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EFF6F4" w14:textId="2A82B446" w:rsidR="00DE35AC" w:rsidRDefault="00DE35AC" w:rsidP="00DE35AC">
      <w:pPr>
        <w:spacing w:after="0" w:line="240" w:lineRule="auto"/>
        <w:jc w:val="both"/>
        <w:rPr>
          <w:rFonts w:ascii="Verdana" w:hAnsi="Verdana" w:cs="Arial"/>
          <w:b/>
          <w:bCs/>
          <w:color w:val="000000" w:themeColor="text1"/>
          <w:lang w:val="es-ES_tradnl"/>
        </w:rPr>
      </w:pPr>
      <w:bookmarkStart w:id="0" w:name="_Hlk143780582"/>
      <w:r w:rsidRPr="00DE35AC">
        <w:rPr>
          <w:rFonts w:ascii="Verdana" w:hAnsi="Verdana" w:cs="Arial"/>
          <w:b/>
          <w:bCs/>
          <w:color w:val="000000" w:themeColor="text1"/>
          <w:lang w:val="es-ES_tradnl"/>
        </w:rPr>
        <w:t>CONTRATACIÓN DE PRESTACIÓN DE SERVICIOS – Tipologías – Contrato para la ejecución de trabajos artísticos</w:t>
      </w:r>
    </w:p>
    <w:p w14:paraId="1563B337" w14:textId="77777777" w:rsidR="00DE35AC" w:rsidRDefault="00DE35AC" w:rsidP="00DE35AC">
      <w:pPr>
        <w:spacing w:after="0" w:line="240" w:lineRule="auto"/>
        <w:jc w:val="both"/>
        <w:rPr>
          <w:rFonts w:ascii="Verdana" w:hAnsi="Verdana" w:cs="Arial"/>
          <w:b/>
          <w:bCs/>
          <w:color w:val="000000" w:themeColor="text1"/>
          <w:lang w:val="es-ES_tradnl"/>
        </w:rPr>
      </w:pPr>
    </w:p>
    <w:p w14:paraId="0241A2EB" w14:textId="52938717" w:rsidR="00DE35AC" w:rsidRDefault="000C6587" w:rsidP="00DE35AC">
      <w:pPr>
        <w:spacing w:after="0" w:line="240" w:lineRule="auto"/>
        <w:jc w:val="both"/>
        <w:rPr>
          <w:rFonts w:ascii="Verdana" w:eastAsia="Calibri" w:hAnsi="Verdana" w:cs="Arial"/>
          <w:color w:val="000000" w:themeColor="text1"/>
          <w:sz w:val="21"/>
          <w:szCs w:val="21"/>
          <w:lang w:val="es-ES_tradnl"/>
        </w:rPr>
      </w:pPr>
      <w:r w:rsidRPr="000C6587">
        <w:rPr>
          <w:rFonts w:ascii="Verdana" w:hAnsi="Verdana" w:cs="Arial"/>
          <w:color w:val="000000" w:themeColor="text1"/>
          <w:sz w:val="21"/>
          <w:szCs w:val="21"/>
        </w:rPr>
        <w:t>En el marco del Estatuto General de Contratación de la Administración Pública–EGCAP–, la principal tipología aplicable para provisión de actividades artísticas es el contrato de prestación de servicios. Este es un contrato estatal típico regulado en el artículo 32.3 de la Ley 80 de 1993. Es definido como aquel que “celebren las entidades estatales para desarrollar actividades relacionadas con la administración o funcionamiento de la entidad. Estos contratos sólo podrán celebrarse con personas naturales cuando dichas actividades no puedan realizarse con personal de planta o requieran conocimientos especializados. En ningún caso estos contratos generan relación laboral ni prestaciones sociales y se celebrarán por el término estrictamente indispensable”.</w:t>
      </w:r>
      <w:r w:rsidRPr="000C6587">
        <w:rPr>
          <w:rFonts w:ascii="Verdana" w:eastAsia="Calibri" w:hAnsi="Verdana" w:cs="Arial"/>
          <w:color w:val="000000" w:themeColor="text1"/>
          <w:sz w:val="21"/>
          <w:szCs w:val="21"/>
          <w:lang w:val="es-ES_tradnl"/>
        </w:rPr>
        <w:t xml:space="preserve"> La celebración de dicho contrato debe efectuarse a través de la modalidad de contratación directa</w:t>
      </w:r>
      <w:r>
        <w:rPr>
          <w:rFonts w:ascii="Verdana" w:eastAsia="Calibri" w:hAnsi="Verdana" w:cs="Arial"/>
          <w:color w:val="000000" w:themeColor="text1"/>
          <w:sz w:val="21"/>
          <w:szCs w:val="21"/>
          <w:lang w:val="es-ES_tradnl"/>
        </w:rPr>
        <w:t xml:space="preserve">. </w:t>
      </w:r>
    </w:p>
    <w:p w14:paraId="57ECC6A0" w14:textId="77777777" w:rsidR="000C6587" w:rsidRDefault="000C6587" w:rsidP="00DE35AC">
      <w:pPr>
        <w:spacing w:after="0" w:line="240" w:lineRule="auto"/>
        <w:jc w:val="both"/>
        <w:rPr>
          <w:rFonts w:ascii="Verdana" w:eastAsia="Calibri" w:hAnsi="Verdana" w:cs="Arial"/>
          <w:color w:val="000000" w:themeColor="text1"/>
          <w:sz w:val="21"/>
          <w:szCs w:val="21"/>
          <w:lang w:val="es-ES_tradnl"/>
        </w:rPr>
      </w:pPr>
    </w:p>
    <w:p w14:paraId="7F75C3D0" w14:textId="4932FD51" w:rsidR="000C6587" w:rsidRDefault="000C6587" w:rsidP="00DE35AC">
      <w:pPr>
        <w:spacing w:after="0" w:line="240" w:lineRule="auto"/>
        <w:jc w:val="both"/>
        <w:rPr>
          <w:rFonts w:ascii="Verdana" w:hAnsi="Verdana" w:cs="Arial"/>
          <w:b/>
          <w:bCs/>
          <w:color w:val="000000" w:themeColor="text1"/>
          <w:lang w:val="es-ES_tradnl"/>
        </w:rPr>
      </w:pPr>
      <w:r w:rsidRPr="000C6587">
        <w:rPr>
          <w:rFonts w:ascii="Verdana" w:hAnsi="Verdana" w:cs="Arial"/>
          <w:b/>
          <w:bCs/>
          <w:color w:val="000000" w:themeColor="text1"/>
          <w:lang w:val="es-ES_tradnl"/>
        </w:rPr>
        <w:t xml:space="preserve">CONTRATACIÓN DIRECTA – Procedencia – Normativa </w:t>
      </w:r>
      <w:r w:rsidR="007D57E8" w:rsidRPr="007D57E8">
        <w:rPr>
          <w:rFonts w:ascii="Verdana" w:hAnsi="Verdana" w:cs="Arial"/>
          <w:b/>
          <w:bCs/>
          <w:color w:val="000000" w:themeColor="text1"/>
          <w:lang w:val="es-ES"/>
        </w:rPr>
        <w:t>–</w:t>
      </w:r>
      <w:r w:rsidRPr="000C6587">
        <w:rPr>
          <w:rFonts w:ascii="Verdana" w:hAnsi="Verdana" w:cs="Arial"/>
          <w:b/>
          <w:bCs/>
          <w:color w:val="000000" w:themeColor="text1"/>
          <w:lang w:val="es-ES_tradnl"/>
        </w:rPr>
        <w:t xml:space="preserve"> TRABAJOS ARTÍSTICOS – Definición – Ejecución de trabajos artísticos</w:t>
      </w:r>
    </w:p>
    <w:p w14:paraId="5EE74BA1" w14:textId="77777777" w:rsidR="000C6587" w:rsidRDefault="000C6587" w:rsidP="00DE35AC">
      <w:pPr>
        <w:spacing w:after="0" w:line="240" w:lineRule="auto"/>
        <w:jc w:val="both"/>
        <w:rPr>
          <w:rFonts w:ascii="Verdana" w:hAnsi="Verdana" w:cs="Arial"/>
          <w:b/>
          <w:bCs/>
          <w:color w:val="000000" w:themeColor="text1"/>
          <w:lang w:val="es-ES_tradnl"/>
        </w:rPr>
      </w:pPr>
    </w:p>
    <w:p w14:paraId="0BE461C2" w14:textId="77777777" w:rsidR="000C6587" w:rsidRPr="000C6587" w:rsidRDefault="000C6587" w:rsidP="000C6587">
      <w:pPr>
        <w:spacing w:line="240" w:lineRule="auto"/>
        <w:jc w:val="both"/>
        <w:rPr>
          <w:rFonts w:ascii="Verdana" w:eastAsia="Times New Roman" w:hAnsi="Verdana" w:cs="Arial"/>
          <w:sz w:val="21"/>
          <w:szCs w:val="21"/>
          <w:lang w:eastAsia="es-CO"/>
        </w:rPr>
      </w:pPr>
      <w:r w:rsidRPr="000C6587">
        <w:rPr>
          <w:rFonts w:ascii="Verdana" w:eastAsia="Times New Roman" w:hAnsi="Verdana" w:cs="Arial"/>
          <w:sz w:val="21"/>
          <w:szCs w:val="21"/>
          <w:lang w:eastAsia="es-CO"/>
        </w:rPr>
        <w:t>De conformidad con el marco normativo vigente, para la contratación de actividades o trabajos artísticos las Entidades Estatales pueden acudir a las tipologías contractuales previstas tanto en el Estatuto General de Contratación de la Administración Pública como en el derecho privado. En particular, resulta procedente el contrato de prestación de servicios cuando se trate de trabajos artísticos que, por su naturaleza, deban ser ejecutados por determinadas personas naturales, en los términos de los artículos 32.3 de la Ley 80 de 1993 y 2.2.1.2.1.4.9 del Decreto 1082 de 2015.</w:t>
      </w:r>
    </w:p>
    <w:p w14:paraId="5387080C" w14:textId="77777777" w:rsidR="000C6587" w:rsidRPr="000C6587" w:rsidRDefault="000C6587" w:rsidP="000C6587">
      <w:pPr>
        <w:spacing w:before="120" w:line="240" w:lineRule="auto"/>
        <w:jc w:val="both"/>
        <w:rPr>
          <w:rFonts w:ascii="Verdana" w:eastAsia="Times New Roman" w:hAnsi="Verdana" w:cs="Arial"/>
          <w:sz w:val="21"/>
          <w:szCs w:val="21"/>
          <w:lang w:eastAsia="es-CO"/>
        </w:rPr>
      </w:pPr>
      <w:r w:rsidRPr="000C6587">
        <w:rPr>
          <w:rFonts w:ascii="Verdana" w:eastAsia="Times New Roman" w:hAnsi="Verdana" w:cs="Arial"/>
          <w:sz w:val="21"/>
          <w:szCs w:val="21"/>
          <w:lang w:eastAsia="es-CO"/>
        </w:rPr>
        <w:t>Adicionalmente, en el ámbito del Decreto 092 de 2017, las entidades del orden nacional, departamental, distrital y municipal pueden contratar servicios artísticos mediante contratos de colaboración con entidades privadas sin ánimo de lucro, siempre que dichos contratos se orienten a la ejecución de planes, programas o proyectos previstos en los instrumentos de planeación, conforme al artículo 355 de la Constitución Política y a los artículos 2, 3 y 4 del citado decreto. Asimismo, con fundamento en el artículo 96 de la Ley 489 de 1996 y su reglamentación en el artículo 5 del Decreto 092 de 2017, es viable acudir a convenios de asociación cuando el objeto contractual se relacione con la misionalidad de la entidad y la satisfacción de un interés general que comprenda actividades artísticas.</w:t>
      </w:r>
    </w:p>
    <w:p w14:paraId="3143AA2E" w14:textId="5ACA7CD5" w:rsidR="000C6587" w:rsidRDefault="000C6587" w:rsidP="00DE35AC">
      <w:pPr>
        <w:spacing w:after="0" w:line="240" w:lineRule="auto"/>
        <w:jc w:val="both"/>
        <w:rPr>
          <w:rFonts w:ascii="Verdana" w:eastAsia="Calibri" w:hAnsi="Verdana" w:cs="Arial"/>
          <w:b/>
          <w:color w:val="000000" w:themeColor="text1"/>
        </w:rPr>
      </w:pPr>
      <w:r w:rsidRPr="000C6587">
        <w:rPr>
          <w:rFonts w:ascii="Verdana" w:eastAsia="Calibri" w:hAnsi="Verdana" w:cs="Arial"/>
          <w:b/>
          <w:color w:val="000000" w:themeColor="text1"/>
        </w:rPr>
        <w:t>CONTRATACIÓN CON ESAL – Contrato de colaboración – Convenio de asociación – Características</w:t>
      </w:r>
    </w:p>
    <w:p w14:paraId="1902A91A" w14:textId="77777777" w:rsidR="000C6587" w:rsidRPr="000C6587" w:rsidRDefault="000C6587" w:rsidP="000C6587">
      <w:pPr>
        <w:spacing w:before="120" w:line="240" w:lineRule="auto"/>
        <w:jc w:val="both"/>
        <w:rPr>
          <w:rFonts w:ascii="Verdana" w:eastAsia="Times New Roman" w:hAnsi="Verdana" w:cs="Arial"/>
          <w:sz w:val="21"/>
          <w:szCs w:val="21"/>
          <w:lang w:eastAsia="es-CO"/>
        </w:rPr>
      </w:pPr>
      <w:r w:rsidRPr="000C6587">
        <w:rPr>
          <w:rFonts w:ascii="Verdana" w:eastAsia="Times New Roman" w:hAnsi="Verdana" w:cs="Arial"/>
          <w:sz w:val="21"/>
          <w:szCs w:val="21"/>
          <w:lang w:eastAsia="es-CO"/>
        </w:rPr>
        <w:t xml:space="preserve">Por su parte, cuando la necesidad esté asociada al desarrollo de una función o a la prestación de un servicio legalmente asignado a la entidad estatal, y se estime pertinente la cooperación con entidades privadas sin ánimo de lucro, la figura idónea es el convenio de asociación. En el marco de los contratos de colaboración y de los </w:t>
      </w:r>
      <w:r w:rsidRPr="000C6587">
        <w:rPr>
          <w:rFonts w:ascii="Verdana" w:eastAsia="Times New Roman" w:hAnsi="Verdana" w:cs="Arial"/>
          <w:sz w:val="21"/>
          <w:szCs w:val="21"/>
          <w:lang w:eastAsia="es-CO"/>
        </w:rPr>
        <w:lastRenderedPageBreak/>
        <w:t>convenios de asociación, puede pactarse la obligación de vincular artistas específicos o indeterminados para la ejecución del componente artístico, ya sea a cargo de la entidad estatal o del contratista, según lo permitan las características del proyecto y la autonomía de la voluntad. En este último caso, la relación jurídica entre el contratista y los artistas se rige por las normas civiles y/o laborales aplicables, siendo la entidad estatal un tercero ajeno a dicha relación, sin perjuicio de su origen en el negocio jurídico estatal.</w:t>
      </w:r>
    </w:p>
    <w:p w14:paraId="3C8F5FF8" w14:textId="2F082426" w:rsidR="000C6587" w:rsidRPr="000C6587" w:rsidRDefault="000C6587" w:rsidP="000C6587">
      <w:pPr>
        <w:spacing w:line="276" w:lineRule="auto"/>
        <w:jc w:val="both"/>
        <w:rPr>
          <w:rFonts w:ascii="Verdana" w:eastAsia="Times New Roman" w:hAnsi="Verdana" w:cs="Arial"/>
          <w:b/>
          <w:bCs/>
          <w:lang w:val="es-ES_tradnl"/>
        </w:rPr>
      </w:pPr>
      <w:r w:rsidRPr="000C6587">
        <w:rPr>
          <w:rFonts w:ascii="Verdana" w:hAnsi="Verdana" w:cs="Arial"/>
          <w:b/>
          <w:bCs/>
          <w:color w:val="000000" w:themeColor="text1"/>
          <w:lang w:val="es-ES_tradnl"/>
        </w:rPr>
        <w:t xml:space="preserve">TRABAJOS ARTÍSTICOS – Ley de garantías electorales </w:t>
      </w:r>
      <w:r w:rsidR="00014C87" w:rsidRPr="00014C87">
        <w:rPr>
          <w:rFonts w:ascii="Verdana" w:hAnsi="Verdana" w:cs="Arial"/>
          <w:b/>
          <w:bCs/>
          <w:color w:val="000000" w:themeColor="text1"/>
          <w:lang w:val="es-ES"/>
        </w:rPr>
        <w:t>–</w:t>
      </w:r>
      <w:r w:rsidRPr="000C6587">
        <w:rPr>
          <w:rFonts w:ascii="Verdana" w:hAnsi="Verdana" w:cs="Arial"/>
          <w:b/>
          <w:bCs/>
          <w:color w:val="000000" w:themeColor="text1"/>
          <w:lang w:val="es-ES_tradnl"/>
        </w:rPr>
        <w:t xml:space="preserve"> Aplicación</w:t>
      </w:r>
    </w:p>
    <w:p w14:paraId="16D5F109" w14:textId="77777777" w:rsidR="000C6587" w:rsidRPr="000C6587" w:rsidRDefault="000C6587" w:rsidP="000C6587">
      <w:pPr>
        <w:spacing w:before="120" w:line="240" w:lineRule="auto"/>
        <w:jc w:val="both"/>
        <w:rPr>
          <w:rFonts w:ascii="Verdana" w:eastAsia="Times New Roman" w:hAnsi="Verdana" w:cs="Arial"/>
          <w:sz w:val="21"/>
          <w:szCs w:val="21"/>
          <w:lang w:eastAsia="es-CO"/>
        </w:rPr>
      </w:pPr>
      <w:r w:rsidRPr="000C6587">
        <w:rPr>
          <w:rFonts w:ascii="Verdana" w:eastAsia="Times New Roman" w:hAnsi="Verdana" w:cs="Arial"/>
          <w:sz w:val="21"/>
          <w:szCs w:val="21"/>
          <w:lang w:eastAsia="es-CO"/>
        </w:rPr>
        <w:t>Como se indicó previamente, la contratación de servicios o trabajos artísticos puede realizarse mediante diferentes tipologías contractuales previstas en el ordenamiento jurídico, cuya elección dependerá de la necesidad que pretenda satisfacer la entidad estatal, de las características del negocio jurídico y del cumplimiento de los requisitos previstos para cada modalidad. En ese sentido, la procedencia del contrato de prestación de servicios, de los contratos de colaboración con entidades privadas sin ánimo de lucro o de los convenios de asociación debe analizarse en cada caso concreto, de conformidad con las disposiciones que regulan cada figura.</w:t>
      </w:r>
    </w:p>
    <w:p w14:paraId="288CAD87" w14:textId="77777777" w:rsidR="000C6587" w:rsidRPr="000C6587" w:rsidRDefault="000C6587" w:rsidP="000C6587">
      <w:pPr>
        <w:spacing w:before="120" w:line="240" w:lineRule="auto"/>
        <w:jc w:val="both"/>
        <w:rPr>
          <w:rFonts w:ascii="Verdana" w:eastAsia="Times New Roman" w:hAnsi="Verdana" w:cs="Arial"/>
          <w:sz w:val="21"/>
          <w:szCs w:val="21"/>
          <w:lang w:eastAsia="es-CO"/>
        </w:rPr>
      </w:pPr>
      <w:r w:rsidRPr="000C6587">
        <w:rPr>
          <w:rFonts w:ascii="Verdana" w:eastAsia="Times New Roman" w:hAnsi="Verdana" w:cs="Arial"/>
          <w:sz w:val="21"/>
          <w:szCs w:val="21"/>
          <w:lang w:eastAsia="es-CO"/>
        </w:rPr>
        <w:t>En consecuencia, para determinar si una entidad estatal puede celebrar este tipo de contratos durante la vigencia de las prohibiciones de la denominada Ley de Garantías Electorales, es necesario verificar, en cada caso, la naturaleza jurídica del contrato, la modalidad de selección aplicable y el alcance de las restricciones establecidas en dicha ley.</w:t>
      </w:r>
    </w:p>
    <w:p w14:paraId="37E9E3EB" w14:textId="77777777" w:rsidR="000C6587" w:rsidRPr="000C6587" w:rsidRDefault="000C6587" w:rsidP="000C6587">
      <w:pPr>
        <w:spacing w:before="120" w:line="240" w:lineRule="auto"/>
        <w:jc w:val="both"/>
        <w:rPr>
          <w:rFonts w:ascii="Verdana" w:eastAsia="Times New Roman" w:hAnsi="Verdana" w:cs="Arial"/>
          <w:sz w:val="21"/>
          <w:szCs w:val="21"/>
          <w:lang w:eastAsia="es-CO"/>
        </w:rPr>
      </w:pPr>
      <w:r w:rsidRPr="000C6587">
        <w:rPr>
          <w:rFonts w:ascii="Verdana" w:eastAsia="Times New Roman" w:hAnsi="Verdana" w:cs="Arial"/>
          <w:sz w:val="21"/>
          <w:szCs w:val="21"/>
          <w:lang w:eastAsia="es-CO"/>
        </w:rPr>
        <w:t>En este contexto, resulta pertinente recordar que la Ley 996 de 2005 contempla restricciones diferenciadas según el tipo de elección y la entidad contratante. Por una parte, el artículo 33 establece limitaciones a la contratación directa durante el período previo a las elecciones presidenciales y, por otra, el parágrafo del artículo 38 prevé restricciones específicas para los gobernadores, alcaldes, secretarios, gerentes y directores de entidades descentralizadas del orden territorial durante los cuatro meses anteriores a las elecciones de autoridades territoriales. En consecuencia, el análisis sobre la procedencia de la contratación de servicios artísticos durante la vigencia de la Ley de Garantías no depende exclusivamente del objeto contractual, sino también del régimen jurídico aplicable y de la restricción específica prevista para cada escenario electoral.</w:t>
      </w:r>
    </w:p>
    <w:p w14:paraId="5A4B6230" w14:textId="77777777" w:rsidR="000C6587" w:rsidRPr="000C6587" w:rsidRDefault="000C6587" w:rsidP="00DE35AC">
      <w:pPr>
        <w:spacing w:after="0" w:line="240" w:lineRule="auto"/>
        <w:jc w:val="both"/>
        <w:rPr>
          <w:rFonts w:ascii="Verdana" w:eastAsia="Geomanist Light" w:hAnsi="Verdana" w:cs="Arial"/>
          <w:b/>
          <w:color w:val="000000" w:themeColor="text1"/>
          <w:sz w:val="21"/>
          <w:szCs w:val="21"/>
        </w:rPr>
      </w:pPr>
    </w:p>
    <w:p w14:paraId="498265A8" w14:textId="77777777" w:rsidR="00DE35AC" w:rsidRDefault="00DE35AC" w:rsidP="00E334D4">
      <w:pPr>
        <w:spacing w:after="0" w:line="240" w:lineRule="auto"/>
        <w:rPr>
          <w:rFonts w:ascii="Verdana" w:eastAsia="Geomanist Light" w:hAnsi="Verdana" w:cs="Arial"/>
          <w:color w:val="000000" w:themeColor="text1"/>
          <w:lang w:val="es-MX"/>
        </w:rPr>
      </w:pPr>
    </w:p>
    <w:p w14:paraId="0F9B5552" w14:textId="77777777" w:rsidR="000C6587" w:rsidRDefault="000C6587" w:rsidP="00E334D4">
      <w:pPr>
        <w:spacing w:after="0" w:line="240" w:lineRule="auto"/>
        <w:rPr>
          <w:rFonts w:ascii="Verdana" w:eastAsia="Geomanist Light" w:hAnsi="Verdana" w:cs="Arial"/>
          <w:color w:val="000000" w:themeColor="text1"/>
          <w:lang w:val="es-MX"/>
        </w:rPr>
      </w:pPr>
    </w:p>
    <w:p w14:paraId="05A003A6" w14:textId="77777777" w:rsidR="000C6587" w:rsidRDefault="000C6587" w:rsidP="00E334D4">
      <w:pPr>
        <w:spacing w:after="0" w:line="240" w:lineRule="auto"/>
        <w:rPr>
          <w:rFonts w:ascii="Verdana" w:eastAsia="Geomanist Light" w:hAnsi="Verdana" w:cs="Arial"/>
          <w:color w:val="000000" w:themeColor="text1"/>
          <w:lang w:val="es-MX"/>
        </w:rPr>
      </w:pPr>
    </w:p>
    <w:p w14:paraId="583FAC83" w14:textId="77777777" w:rsidR="000C6587" w:rsidRDefault="000C6587" w:rsidP="00E334D4">
      <w:pPr>
        <w:spacing w:after="0" w:line="240" w:lineRule="auto"/>
        <w:rPr>
          <w:rFonts w:ascii="Verdana" w:eastAsia="Geomanist Light" w:hAnsi="Verdana" w:cs="Arial"/>
          <w:color w:val="000000" w:themeColor="text1"/>
          <w:lang w:val="es-MX"/>
        </w:rPr>
      </w:pPr>
    </w:p>
    <w:p w14:paraId="6B61E362" w14:textId="77777777" w:rsidR="000C6587" w:rsidRDefault="000C6587" w:rsidP="00E334D4">
      <w:pPr>
        <w:spacing w:after="0" w:line="240" w:lineRule="auto"/>
        <w:rPr>
          <w:rFonts w:ascii="Verdana" w:eastAsia="Geomanist Light" w:hAnsi="Verdana" w:cs="Arial"/>
          <w:color w:val="000000" w:themeColor="text1"/>
          <w:lang w:val="es-MX"/>
        </w:rPr>
      </w:pPr>
    </w:p>
    <w:p w14:paraId="01F13B39" w14:textId="77777777" w:rsidR="000C6587" w:rsidRDefault="000C6587" w:rsidP="00E334D4">
      <w:pPr>
        <w:spacing w:after="0" w:line="240" w:lineRule="auto"/>
        <w:rPr>
          <w:rFonts w:ascii="Verdana" w:eastAsia="Geomanist Light" w:hAnsi="Verdana" w:cs="Arial"/>
          <w:color w:val="000000" w:themeColor="text1"/>
          <w:lang w:val="es-MX"/>
        </w:rPr>
      </w:pPr>
    </w:p>
    <w:p w14:paraId="3F207CCA" w14:textId="77777777" w:rsidR="000C6587" w:rsidRDefault="000C6587" w:rsidP="00E334D4">
      <w:pPr>
        <w:spacing w:after="0" w:line="240" w:lineRule="auto"/>
        <w:rPr>
          <w:rFonts w:ascii="Verdana" w:eastAsia="Geomanist Light" w:hAnsi="Verdana" w:cs="Arial"/>
          <w:color w:val="000000" w:themeColor="text1"/>
          <w:lang w:val="es-MX"/>
        </w:rPr>
      </w:pPr>
    </w:p>
    <w:p w14:paraId="64DE21CD" w14:textId="706FA8F7" w:rsidR="00E334D4" w:rsidRPr="0050687B" w:rsidRDefault="00E334D4" w:rsidP="00E334D4">
      <w:pPr>
        <w:spacing w:after="0" w:line="240" w:lineRule="auto"/>
        <w:rPr>
          <w:rFonts w:ascii="Verdana" w:eastAsia="Times New Roman" w:hAnsi="Verdana" w:cs="Arial"/>
          <w:lang w:eastAsia="es-ES_tradnl"/>
        </w:rPr>
      </w:pPr>
      <w:r w:rsidRPr="00CF64C0">
        <w:rPr>
          <w:rFonts w:ascii="Verdana" w:eastAsia="Geomanist Light" w:hAnsi="Verdana" w:cs="Arial"/>
          <w:color w:val="000000" w:themeColor="text1"/>
          <w:lang w:val="es-MX"/>
        </w:rPr>
        <w:lastRenderedPageBreak/>
        <w:t>Bogotá D.C., </w:t>
      </w:r>
      <w:r w:rsidR="000C6587">
        <w:rPr>
          <w:rFonts w:ascii="Verdana" w:eastAsia="Geomanist Light" w:hAnsi="Verdana" w:cs="Arial"/>
          <w:color w:val="201F1E"/>
          <w:lang w:val="es-MX"/>
        </w:rPr>
        <w:t>10</w:t>
      </w:r>
      <w:r w:rsidRPr="00CF64C0">
        <w:rPr>
          <w:rFonts w:ascii="Verdana" w:eastAsia="Geomanist Light" w:hAnsi="Verdana" w:cs="Arial"/>
          <w:color w:val="201F1E"/>
          <w:lang w:val="es-MX"/>
        </w:rPr>
        <w:t xml:space="preserve"> de </w:t>
      </w:r>
      <w:r w:rsidR="000C6587">
        <w:rPr>
          <w:rFonts w:ascii="Verdana" w:eastAsia="Geomanist Light" w:hAnsi="Verdana" w:cs="Arial"/>
          <w:color w:val="201F1E"/>
          <w:lang w:val="es-MX"/>
        </w:rPr>
        <w:t>julio</w:t>
      </w:r>
      <w:r w:rsidRPr="00CF64C0">
        <w:rPr>
          <w:rFonts w:ascii="Verdana" w:eastAsia="Geomanist Light" w:hAnsi="Verdana" w:cs="Arial"/>
          <w:color w:val="201F1E"/>
          <w:lang w:val="es-MX"/>
        </w:rPr>
        <w:t xml:space="preserve"> de </w:t>
      </w:r>
      <w:r w:rsidR="000C6587">
        <w:rPr>
          <w:rFonts w:ascii="Verdana" w:eastAsia="Geomanist Light" w:hAnsi="Verdana" w:cs="Arial"/>
          <w:color w:val="201F1E"/>
          <w:lang w:val="es-MX"/>
        </w:rPr>
        <w:t>2026</w:t>
      </w:r>
    </w:p>
    <w:p w14:paraId="38C39036" w14:textId="5E3D99CC" w:rsidR="00E334D4" w:rsidRPr="007D3F6E" w:rsidRDefault="00E334D4" w:rsidP="000C6587">
      <w:pPr>
        <w:spacing w:after="0"/>
        <w:ind w:left="4956"/>
        <w:rPr>
          <w:rFonts w:ascii="Verdana" w:hAnsi="Verdana"/>
        </w:rPr>
      </w:pPr>
      <w:r w:rsidRPr="007D3F6E">
        <w:rPr>
          <w:rFonts w:ascii="Verdana" w:hAnsi="Verdana"/>
        </w:rPr>
        <w:br/>
      </w:r>
      <w:bookmarkEnd w:id="0"/>
    </w:p>
    <w:p w14:paraId="4180402F" w14:textId="7C42127A" w:rsidR="00E334D4" w:rsidRPr="007D3F6E" w:rsidRDefault="001C0841" w:rsidP="00E334D4">
      <w:pPr>
        <w:tabs>
          <w:tab w:val="left" w:pos="6279"/>
        </w:tabs>
        <w:spacing w:after="0" w:line="240" w:lineRule="auto"/>
        <w:jc w:val="both"/>
        <w:rPr>
          <w:rFonts w:ascii="Verdana" w:eastAsia="Calibri" w:hAnsi="Verdana" w:cs="Arial"/>
          <w:lang w:eastAsia="es-ES"/>
        </w:rPr>
      </w:pPr>
      <w:r w:rsidRPr="000C6587">
        <w:rPr>
          <w:rFonts w:ascii="Verdana" w:hAnsi="Verdana"/>
          <w:noProof/>
        </w:rPr>
        <w:drawing>
          <wp:anchor distT="0" distB="0" distL="114300" distR="114300" simplePos="0" relativeHeight="251658240" behindDoc="0" locked="0" layoutInCell="1" allowOverlap="1" wp14:anchorId="5E209033" wp14:editId="0DCBDDB1">
            <wp:simplePos x="0" y="0"/>
            <wp:positionH relativeFrom="margin">
              <wp:align>right</wp:align>
            </wp:positionH>
            <wp:positionV relativeFrom="paragraph">
              <wp:posOffset>8724</wp:posOffset>
            </wp:positionV>
            <wp:extent cx="2275840" cy="722630"/>
            <wp:effectExtent l="0" t="0" r="0" b="1270"/>
            <wp:wrapSquare wrapText="bothSides"/>
            <wp:docPr id="92707610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7076107" name=""/>
                    <pic:cNvPicPr/>
                  </pic:nvPicPr>
                  <pic:blipFill>
                    <a:blip r:embed="rId10">
                      <a:extLst>
                        <a:ext uri="{28A0092B-C50C-407E-A947-70E740481C1C}">
                          <a14:useLocalDpi xmlns:a14="http://schemas.microsoft.com/office/drawing/2010/main" val="0"/>
                        </a:ext>
                      </a:extLst>
                    </a:blip>
                    <a:stretch>
                      <a:fillRect/>
                    </a:stretch>
                  </pic:blipFill>
                  <pic:spPr>
                    <a:xfrm>
                      <a:off x="0" y="0"/>
                      <a:ext cx="2275840" cy="722630"/>
                    </a:xfrm>
                    <a:prstGeom prst="rect">
                      <a:avLst/>
                    </a:prstGeom>
                  </pic:spPr>
                </pic:pic>
              </a:graphicData>
            </a:graphic>
            <wp14:sizeRelH relativeFrom="margin">
              <wp14:pctWidth>0</wp14:pctWidth>
            </wp14:sizeRelH>
            <wp14:sizeRelV relativeFrom="margin">
              <wp14:pctHeight>0</wp14:pctHeight>
            </wp14:sizeRelV>
          </wp:anchor>
        </w:drawing>
      </w:r>
      <w:r w:rsidR="00E334D4" w:rsidRPr="007D3F6E">
        <w:rPr>
          <w:rFonts w:ascii="Verdana" w:eastAsia="Calibri" w:hAnsi="Verdana" w:cs="Arial"/>
          <w:lang w:eastAsia="es-ES"/>
        </w:rPr>
        <w:t>Señor</w:t>
      </w:r>
    </w:p>
    <w:p w14:paraId="702B195F" w14:textId="77777777" w:rsidR="00E334D4" w:rsidRPr="004D3BDD" w:rsidRDefault="00E334D4" w:rsidP="00E334D4">
      <w:pPr>
        <w:spacing w:after="0" w:line="240" w:lineRule="auto"/>
        <w:jc w:val="both"/>
        <w:rPr>
          <w:rFonts w:ascii="Verdana" w:eastAsia="Calibri" w:hAnsi="Verdana" w:cs="Arial"/>
          <w:b/>
          <w:lang w:val="pt-PT" w:eastAsia="es-ES_tradnl"/>
        </w:rPr>
      </w:pPr>
      <w:r w:rsidRPr="004D3BDD">
        <w:rPr>
          <w:rFonts w:ascii="Verdana" w:eastAsia="Calibri" w:hAnsi="Verdana" w:cs="Arial"/>
          <w:b/>
          <w:lang w:val="pt-PT" w:eastAsia="es-ES_tradnl"/>
        </w:rPr>
        <w:t>Olmedo H</w:t>
      </w:r>
      <w:r>
        <w:rPr>
          <w:rFonts w:ascii="Verdana" w:eastAsia="Calibri" w:hAnsi="Verdana" w:cs="Arial"/>
          <w:b/>
          <w:lang w:val="pt-PT" w:eastAsia="es-ES_tradnl"/>
        </w:rPr>
        <w:t>ernando Salas Rodriguez</w:t>
      </w:r>
    </w:p>
    <w:p w14:paraId="40794A99" w14:textId="77777777" w:rsidR="00E334D4" w:rsidRPr="004D3BDD" w:rsidRDefault="00E334D4" w:rsidP="00E334D4">
      <w:pPr>
        <w:spacing w:after="0" w:line="240" w:lineRule="auto"/>
        <w:jc w:val="both"/>
        <w:rPr>
          <w:rFonts w:ascii="Verdana" w:hAnsi="Verdana"/>
          <w:lang w:val="pt-PT"/>
        </w:rPr>
      </w:pPr>
      <w:hyperlink r:id="rId11" w:history="1">
        <w:r w:rsidRPr="004D3BDD">
          <w:rPr>
            <w:rStyle w:val="Hipervnculo"/>
            <w:rFonts w:ascii="Verdana" w:hAnsi="Verdana"/>
            <w:lang w:val="pt-PT"/>
          </w:rPr>
          <w:t>olmedosalasr@gmail.com</w:t>
        </w:r>
      </w:hyperlink>
      <w:r w:rsidRPr="004D3BDD">
        <w:rPr>
          <w:rFonts w:ascii="Verdana" w:hAnsi="Verdana"/>
          <w:lang w:val="pt-PT"/>
        </w:rPr>
        <w:t xml:space="preserve">; </w:t>
      </w:r>
    </w:p>
    <w:p w14:paraId="082F9771" w14:textId="5104E8AF" w:rsidR="00E334D4" w:rsidRPr="004D3BDD" w:rsidRDefault="00E334D4" w:rsidP="00E334D4">
      <w:pPr>
        <w:spacing w:after="0" w:line="240" w:lineRule="auto"/>
        <w:jc w:val="both"/>
        <w:rPr>
          <w:rFonts w:ascii="Verdana" w:hAnsi="Verdana"/>
          <w:lang w:val="pt-PT"/>
        </w:rPr>
      </w:pPr>
      <w:r>
        <w:rPr>
          <w:rFonts w:ascii="Verdana" w:hAnsi="Verdana"/>
          <w:lang w:val="pt-PT"/>
        </w:rPr>
        <w:t>Mocoa</w:t>
      </w:r>
      <w:r w:rsidRPr="004D3BDD">
        <w:rPr>
          <w:rFonts w:ascii="Verdana" w:hAnsi="Verdana"/>
          <w:lang w:val="pt-PT"/>
        </w:rPr>
        <w:t xml:space="preserve">, </w:t>
      </w:r>
      <w:r>
        <w:rPr>
          <w:rFonts w:ascii="Verdana" w:hAnsi="Verdana"/>
          <w:lang w:val="pt-PT"/>
        </w:rPr>
        <w:t>Putumayo</w:t>
      </w:r>
    </w:p>
    <w:p w14:paraId="24D184F2" w14:textId="77777777" w:rsidR="00E334D4" w:rsidRPr="004D3BDD" w:rsidRDefault="00E334D4" w:rsidP="00E334D4">
      <w:pPr>
        <w:spacing w:after="0" w:line="240" w:lineRule="auto"/>
        <w:jc w:val="both"/>
        <w:rPr>
          <w:rFonts w:ascii="Verdana" w:eastAsia="Calibri" w:hAnsi="Verdana" w:cs="Arial"/>
          <w:b/>
          <w:bCs/>
          <w:color w:val="0099FF"/>
          <w:lang w:val="pt-PT" w:eastAsia="es-ES_tradnl"/>
        </w:rPr>
      </w:pPr>
    </w:p>
    <w:tbl>
      <w:tblPr>
        <w:tblStyle w:val="Tablaconcuadrcula"/>
        <w:tblW w:w="87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119"/>
        <w:gridCol w:w="5670"/>
      </w:tblGrid>
      <w:tr w:rsidR="00E334D4" w:rsidRPr="00742CFC" w14:paraId="25706472" w14:textId="77777777" w:rsidTr="00220A85">
        <w:trPr>
          <w:trHeight w:val="162"/>
        </w:trPr>
        <w:tc>
          <w:tcPr>
            <w:tcW w:w="3119" w:type="dxa"/>
          </w:tcPr>
          <w:p w14:paraId="14E608EA" w14:textId="77777777" w:rsidR="00E334D4" w:rsidRPr="004D3BDD" w:rsidRDefault="00E334D4" w:rsidP="00220A85">
            <w:pPr>
              <w:jc w:val="both"/>
              <w:rPr>
                <w:rFonts w:ascii="Verdana" w:eastAsia="Calibri" w:hAnsi="Verdana" w:cs="Arial"/>
                <w:b/>
                <w:bCs/>
                <w:color w:val="0099FF"/>
                <w:lang w:val="pt-PT" w:eastAsia="es-ES_tradnl"/>
              </w:rPr>
            </w:pPr>
          </w:p>
        </w:tc>
        <w:tc>
          <w:tcPr>
            <w:tcW w:w="5670" w:type="dxa"/>
          </w:tcPr>
          <w:p w14:paraId="57F0BA0B" w14:textId="25D04C27" w:rsidR="00E334D4" w:rsidRPr="00722BD4" w:rsidRDefault="00E334D4" w:rsidP="00220A85">
            <w:pPr>
              <w:jc w:val="both"/>
              <w:rPr>
                <w:rFonts w:ascii="Verdana" w:eastAsia="Calibri" w:hAnsi="Verdana" w:cs="Arial"/>
                <w:b/>
                <w:bCs/>
                <w:lang w:eastAsia="es-ES"/>
              </w:rPr>
            </w:pPr>
            <w:r w:rsidRPr="00722BD4">
              <w:rPr>
                <w:rFonts w:ascii="Verdana" w:eastAsia="Calibri" w:hAnsi="Verdana" w:cs="Arial"/>
                <w:b/>
                <w:bCs/>
                <w:lang w:eastAsia="es-ES"/>
              </w:rPr>
              <w:t>Concepto C-</w:t>
            </w:r>
            <w:r>
              <w:rPr>
                <w:rFonts w:ascii="Verdana" w:eastAsia="Calibri" w:hAnsi="Verdana" w:cs="Arial"/>
                <w:b/>
                <w:bCs/>
                <w:lang w:eastAsia="es-ES"/>
              </w:rPr>
              <w:t>762</w:t>
            </w:r>
            <w:r w:rsidRPr="00722BD4">
              <w:rPr>
                <w:rFonts w:ascii="Verdana" w:eastAsia="Calibri" w:hAnsi="Verdana" w:cs="Arial"/>
                <w:b/>
                <w:bCs/>
                <w:lang w:eastAsia="es-ES"/>
              </w:rPr>
              <w:t xml:space="preserve"> de 202</w:t>
            </w:r>
            <w:r>
              <w:rPr>
                <w:rFonts w:ascii="Verdana" w:eastAsia="Calibri" w:hAnsi="Verdana" w:cs="Arial"/>
                <w:b/>
                <w:bCs/>
                <w:lang w:eastAsia="es-ES"/>
              </w:rPr>
              <w:t>6</w:t>
            </w:r>
          </w:p>
          <w:p w14:paraId="491E2B4F" w14:textId="77777777" w:rsidR="00E334D4" w:rsidRPr="00722BD4" w:rsidRDefault="00E334D4" w:rsidP="00220A85">
            <w:pPr>
              <w:jc w:val="both"/>
              <w:rPr>
                <w:rFonts w:ascii="Verdana" w:eastAsia="Calibri" w:hAnsi="Verdana" w:cs="Arial"/>
                <w:b/>
                <w:bCs/>
                <w:lang w:eastAsia="es-ES"/>
              </w:rPr>
            </w:pPr>
          </w:p>
        </w:tc>
      </w:tr>
      <w:tr w:rsidR="00E334D4" w:rsidRPr="00742CFC" w14:paraId="40907C50" w14:textId="77777777" w:rsidTr="00220A85">
        <w:trPr>
          <w:trHeight w:val="884"/>
        </w:trPr>
        <w:tc>
          <w:tcPr>
            <w:tcW w:w="3119" w:type="dxa"/>
          </w:tcPr>
          <w:p w14:paraId="63CA2EB9" w14:textId="77777777" w:rsidR="00E334D4" w:rsidRPr="00B87962" w:rsidRDefault="00E334D4" w:rsidP="00220A85">
            <w:pPr>
              <w:jc w:val="both"/>
              <w:rPr>
                <w:rFonts w:ascii="Verdana" w:eastAsia="Calibri" w:hAnsi="Verdana" w:cs="Arial"/>
                <w:lang w:eastAsia="es-ES_tradnl"/>
              </w:rPr>
            </w:pPr>
            <w:r w:rsidRPr="00B87962">
              <w:rPr>
                <w:rFonts w:ascii="Verdana" w:eastAsia="Calibri" w:hAnsi="Verdana" w:cs="Arial"/>
                <w:b/>
                <w:lang w:eastAsia="es-ES_tradnl"/>
              </w:rPr>
              <w:t>Temas:</w:t>
            </w:r>
            <w:r w:rsidRPr="00B87962">
              <w:rPr>
                <w:rFonts w:ascii="Verdana" w:eastAsia="Calibri" w:hAnsi="Verdana" w:cs="Arial"/>
                <w:lang w:eastAsia="es-ES_tradnl"/>
              </w:rPr>
              <w:t xml:space="preserve">                   </w:t>
            </w:r>
          </w:p>
        </w:tc>
        <w:tc>
          <w:tcPr>
            <w:tcW w:w="5670" w:type="dxa"/>
          </w:tcPr>
          <w:p w14:paraId="5E6F49B8" w14:textId="178F1295" w:rsidR="00E334D4" w:rsidRPr="006E363B" w:rsidRDefault="00E334D4" w:rsidP="00220A85">
            <w:pPr>
              <w:spacing w:line="276" w:lineRule="auto"/>
              <w:jc w:val="both"/>
              <w:rPr>
                <w:rFonts w:ascii="Verdana" w:eastAsia="Times New Roman" w:hAnsi="Verdana" w:cs="Arial"/>
                <w:lang w:val="es-ES_tradnl"/>
              </w:rPr>
            </w:pPr>
            <w:r w:rsidRPr="00D34AD2">
              <w:rPr>
                <w:rFonts w:ascii="Verdana" w:hAnsi="Verdana" w:cs="Arial"/>
                <w:color w:val="000000" w:themeColor="text1"/>
                <w:lang w:val="es-ES_tradnl"/>
              </w:rPr>
              <w:t xml:space="preserve">CONTRATACIÓN DE PRESTACIÓN DE SERVICIOS – Tipologías – Contrato para la ejecución de trabajos artísticos / CONTRATACIÓN DIRECTA – Procedencia – Normativa / TRABAJOS ARTÍSTICOS – Definición – Ejecución de trabajos artísticos </w:t>
            </w:r>
            <w:r w:rsidRPr="00D34AD2">
              <w:rPr>
                <w:rFonts w:ascii="Verdana" w:hAnsi="Verdana" w:cs="Arial"/>
                <w:lang w:eastAsia="es-ES"/>
              </w:rPr>
              <w:t>/</w:t>
            </w:r>
            <w:r w:rsidRPr="00D34AD2">
              <w:rPr>
                <w:rFonts w:ascii="Verdana" w:eastAsia="Calibri" w:hAnsi="Verdana" w:cs="Arial"/>
                <w:bCs/>
                <w:color w:val="000000" w:themeColor="text1"/>
              </w:rPr>
              <w:t xml:space="preserve">CONTRATACIÓN CON ESAL – Contrato de colaboración – Convenio de asociación – Características/ </w:t>
            </w:r>
            <w:r w:rsidRPr="00D34AD2">
              <w:rPr>
                <w:rFonts w:ascii="Verdana" w:hAnsi="Verdana" w:cs="Arial"/>
                <w:color w:val="000000" w:themeColor="text1"/>
                <w:lang w:val="es-ES_tradnl"/>
              </w:rPr>
              <w:t xml:space="preserve">TRABAJOS ARTÍSTICOS – Ley de garantías electorales </w:t>
            </w:r>
            <w:r w:rsidR="0097658D" w:rsidRPr="0097658D">
              <w:rPr>
                <w:rFonts w:ascii="Verdana" w:hAnsi="Verdana" w:cs="Arial"/>
                <w:b/>
                <w:bCs/>
                <w:color w:val="000000" w:themeColor="text1"/>
                <w:lang w:val="es-ES"/>
              </w:rPr>
              <w:t>–</w:t>
            </w:r>
            <w:r w:rsidRPr="00D34AD2">
              <w:rPr>
                <w:rFonts w:ascii="Verdana" w:hAnsi="Verdana" w:cs="Arial"/>
                <w:color w:val="000000" w:themeColor="text1"/>
                <w:lang w:val="es-ES_tradnl"/>
              </w:rPr>
              <w:t xml:space="preserve"> Aplicación</w:t>
            </w:r>
          </w:p>
          <w:p w14:paraId="6E6C01DD" w14:textId="77777777" w:rsidR="00E334D4" w:rsidRPr="00B87962" w:rsidRDefault="00E334D4" w:rsidP="00220A85">
            <w:pPr>
              <w:spacing w:line="276" w:lineRule="auto"/>
              <w:jc w:val="both"/>
              <w:rPr>
                <w:rFonts w:ascii="Verdana" w:eastAsia="Times New Roman" w:hAnsi="Verdana" w:cs="Arial"/>
                <w:lang w:val="es-ES_tradnl"/>
              </w:rPr>
            </w:pPr>
          </w:p>
        </w:tc>
      </w:tr>
      <w:tr w:rsidR="00E334D4" w:rsidRPr="007E319E" w14:paraId="1E54930F" w14:textId="77777777" w:rsidTr="00220A85">
        <w:trPr>
          <w:trHeight w:val="226"/>
        </w:trPr>
        <w:tc>
          <w:tcPr>
            <w:tcW w:w="3119" w:type="dxa"/>
          </w:tcPr>
          <w:p w14:paraId="01FDDAD0" w14:textId="77777777" w:rsidR="00E334D4" w:rsidRPr="007E319E" w:rsidRDefault="00E334D4" w:rsidP="00220A85">
            <w:pPr>
              <w:jc w:val="both"/>
              <w:rPr>
                <w:rFonts w:ascii="Verdana" w:eastAsia="Calibri" w:hAnsi="Verdana" w:cs="Arial"/>
                <w:b/>
                <w:lang w:eastAsia="es-ES_tradnl"/>
              </w:rPr>
            </w:pPr>
            <w:r w:rsidRPr="007E319E">
              <w:rPr>
                <w:rFonts w:ascii="Verdana" w:eastAsia="Calibri" w:hAnsi="Verdana" w:cs="Arial"/>
                <w:b/>
                <w:lang w:eastAsia="es-ES_tradnl"/>
              </w:rPr>
              <w:t>Radicación:</w:t>
            </w:r>
            <w:r w:rsidRPr="007E319E">
              <w:rPr>
                <w:rFonts w:ascii="Verdana" w:eastAsia="Calibri" w:hAnsi="Verdana" w:cs="Arial"/>
                <w:lang w:eastAsia="es-ES_tradnl"/>
              </w:rPr>
              <w:t xml:space="preserve">               </w:t>
            </w:r>
          </w:p>
        </w:tc>
        <w:tc>
          <w:tcPr>
            <w:tcW w:w="5670" w:type="dxa"/>
          </w:tcPr>
          <w:p w14:paraId="02C01790" w14:textId="77777777" w:rsidR="00E334D4" w:rsidRPr="007E319E" w:rsidRDefault="00E334D4" w:rsidP="00220A85">
            <w:pPr>
              <w:jc w:val="both"/>
              <w:rPr>
                <w:rFonts w:ascii="Verdana" w:eastAsia="Calibri" w:hAnsi="Verdana" w:cs="Arial"/>
                <w:lang w:eastAsia="es-ES_tradnl"/>
              </w:rPr>
            </w:pPr>
            <w:r w:rsidRPr="007E319E">
              <w:rPr>
                <w:rFonts w:ascii="Verdana" w:eastAsia="Calibri" w:hAnsi="Verdana" w:cs="Arial"/>
                <w:lang w:eastAsia="es-ES_tradnl"/>
              </w:rPr>
              <w:t xml:space="preserve">Respuesta a consultas con radicado No. </w:t>
            </w:r>
            <w:r w:rsidRPr="004D3BDD">
              <w:rPr>
                <w:rFonts w:ascii="Verdana" w:eastAsia="Calibri" w:hAnsi="Verdana" w:cs="Arial"/>
                <w:lang w:eastAsia="es-ES_tradnl"/>
              </w:rPr>
              <w:t>1_2026_05_29_007324</w:t>
            </w:r>
          </w:p>
        </w:tc>
      </w:tr>
    </w:tbl>
    <w:p w14:paraId="2D9A6336" w14:textId="77777777" w:rsidR="00E334D4" w:rsidRDefault="00E334D4" w:rsidP="00E334D4">
      <w:pPr>
        <w:spacing w:after="0" w:line="276" w:lineRule="auto"/>
        <w:jc w:val="both"/>
        <w:rPr>
          <w:rFonts w:ascii="Verdana" w:eastAsia="Calibri" w:hAnsi="Verdana" w:cs="Arial"/>
          <w:lang w:eastAsia="es-ES"/>
        </w:rPr>
      </w:pPr>
    </w:p>
    <w:p w14:paraId="16DCECBB" w14:textId="77777777" w:rsidR="00E334D4" w:rsidRDefault="00E334D4" w:rsidP="00E334D4">
      <w:pPr>
        <w:spacing w:after="0" w:line="276" w:lineRule="auto"/>
        <w:jc w:val="both"/>
        <w:rPr>
          <w:rFonts w:ascii="Verdana" w:eastAsia="Calibri" w:hAnsi="Verdana" w:cs="Arial"/>
          <w:lang w:eastAsia="es-ES"/>
        </w:rPr>
      </w:pPr>
    </w:p>
    <w:p w14:paraId="34727ACE" w14:textId="77777777" w:rsidR="00E334D4" w:rsidRDefault="00E334D4" w:rsidP="00E334D4">
      <w:pPr>
        <w:spacing w:after="0" w:line="276" w:lineRule="auto"/>
        <w:jc w:val="both"/>
        <w:rPr>
          <w:rFonts w:ascii="Verdana" w:eastAsia="Calibri" w:hAnsi="Verdana" w:cs="Arial"/>
          <w:lang w:eastAsia="es-ES"/>
        </w:rPr>
      </w:pPr>
      <w:r w:rsidRPr="00440DFE">
        <w:rPr>
          <w:rFonts w:ascii="Verdana" w:eastAsia="Calibri" w:hAnsi="Verdana" w:cs="Arial"/>
          <w:lang w:eastAsia="es-ES"/>
        </w:rPr>
        <w:t xml:space="preserve">Estimado señor </w:t>
      </w:r>
      <w:r>
        <w:rPr>
          <w:rFonts w:ascii="Verdana" w:eastAsia="Calibri" w:hAnsi="Verdana" w:cs="Arial"/>
          <w:lang w:eastAsia="es-ES_tradnl"/>
        </w:rPr>
        <w:t>Salas Rodríguez</w:t>
      </w:r>
      <w:r w:rsidRPr="00440DFE">
        <w:rPr>
          <w:rFonts w:ascii="Verdana" w:eastAsia="Calibri" w:hAnsi="Verdana" w:cs="Arial"/>
          <w:lang w:eastAsia="es-ES"/>
        </w:rPr>
        <w:t xml:space="preserve">, cordial saludo: </w:t>
      </w:r>
    </w:p>
    <w:p w14:paraId="26DE0582" w14:textId="77777777" w:rsidR="00E334D4" w:rsidRPr="00440DFE" w:rsidRDefault="00E334D4" w:rsidP="00E334D4">
      <w:pPr>
        <w:spacing w:after="0" w:line="276" w:lineRule="auto"/>
        <w:jc w:val="both"/>
        <w:rPr>
          <w:rFonts w:ascii="Verdana" w:eastAsia="Calibri" w:hAnsi="Verdana" w:cs="Arial"/>
          <w:lang w:eastAsia="es-ES"/>
        </w:rPr>
      </w:pPr>
    </w:p>
    <w:p w14:paraId="2E860972" w14:textId="169D896F" w:rsidR="00E334D4" w:rsidRPr="00440DFE" w:rsidRDefault="00E334D4" w:rsidP="00E334D4">
      <w:pPr>
        <w:tabs>
          <w:tab w:val="left" w:pos="3768"/>
        </w:tabs>
        <w:spacing w:after="0" w:line="276" w:lineRule="auto"/>
        <w:jc w:val="both"/>
        <w:rPr>
          <w:rFonts w:ascii="Verdana" w:eastAsia="Calibri" w:hAnsi="Verdana" w:cs="Arial"/>
          <w:lang w:eastAsia="es-ES"/>
        </w:rPr>
      </w:pPr>
      <w:r w:rsidRPr="00440DFE">
        <w:rPr>
          <w:rFonts w:ascii="Verdana" w:eastAsia="Calibri" w:hAnsi="Verdana" w:cs="Arial"/>
          <w:lang w:eastAsia="es-ES"/>
        </w:rPr>
        <w:t>En ejercicio de la competencia otorgada por los artículos 3, numeral 5º, y 11, numeral 8º, del Decreto Ley 4170 de 2011,</w:t>
      </w:r>
      <w:r w:rsidRPr="00440DFE">
        <w:rPr>
          <w:rFonts w:ascii="Verdana" w:eastAsia="Arial MT" w:hAnsi="Verdana" w:cs="Arial MT"/>
          <w:lang w:eastAsia="es-ES"/>
        </w:rPr>
        <w:t xml:space="preserve"> </w:t>
      </w:r>
      <w:r w:rsidRPr="00440DFE">
        <w:rPr>
          <w:rFonts w:ascii="Verdana" w:hAnsi="Verdana" w:cs="Arial"/>
        </w:rPr>
        <w:t xml:space="preserve">así como lo establecido en la Resolución 469 de 2025 expedida por esta Entidad, </w:t>
      </w:r>
      <w:r w:rsidRPr="00440DFE">
        <w:rPr>
          <w:rFonts w:ascii="Verdana" w:eastAsia="Calibri" w:hAnsi="Verdana" w:cs="Arial"/>
          <w:lang w:eastAsia="es-ES"/>
        </w:rPr>
        <w:t xml:space="preserve">la Agencia Nacional de Contratación Pública – Colombia Compra Eficiente– responde su solicitud de consulta de fecha </w:t>
      </w:r>
      <w:r w:rsidR="005A66F5">
        <w:rPr>
          <w:rFonts w:ascii="Verdana" w:eastAsia="Calibri" w:hAnsi="Verdana" w:cs="Arial"/>
          <w:lang w:eastAsia="es-ES"/>
        </w:rPr>
        <w:t>1</w:t>
      </w:r>
      <w:r w:rsidRPr="00440DFE">
        <w:rPr>
          <w:rFonts w:ascii="Verdana" w:eastAsia="Calibri" w:hAnsi="Verdana" w:cs="Arial"/>
          <w:lang w:eastAsia="es-ES"/>
        </w:rPr>
        <w:t xml:space="preserve"> de </w:t>
      </w:r>
      <w:r w:rsidR="005A66F5">
        <w:rPr>
          <w:rFonts w:ascii="Verdana" w:eastAsia="Calibri" w:hAnsi="Verdana" w:cs="Arial"/>
          <w:lang w:eastAsia="es-ES"/>
        </w:rPr>
        <w:t>junio</w:t>
      </w:r>
      <w:r w:rsidRPr="00440DFE">
        <w:rPr>
          <w:rFonts w:ascii="Verdana" w:eastAsia="Calibri" w:hAnsi="Verdana" w:cs="Arial"/>
          <w:lang w:eastAsia="es-ES"/>
        </w:rPr>
        <w:t xml:space="preserve"> de 202</w:t>
      </w:r>
      <w:r>
        <w:rPr>
          <w:rFonts w:ascii="Verdana" w:eastAsia="Calibri" w:hAnsi="Verdana" w:cs="Arial"/>
          <w:lang w:eastAsia="es-ES"/>
        </w:rPr>
        <w:t>6</w:t>
      </w:r>
      <w:r w:rsidRPr="00440DFE">
        <w:rPr>
          <w:rFonts w:ascii="Verdana" w:eastAsia="Calibri" w:hAnsi="Verdana" w:cs="Arial"/>
          <w:lang w:eastAsia="es-ES"/>
        </w:rPr>
        <w:t xml:space="preserve">, en la cual manifiesta lo siguiente: </w:t>
      </w:r>
    </w:p>
    <w:p w14:paraId="67251D3F" w14:textId="77777777" w:rsidR="00E334D4" w:rsidRPr="00440DFE" w:rsidRDefault="00E334D4" w:rsidP="00E334D4">
      <w:pPr>
        <w:spacing w:after="0" w:line="240" w:lineRule="auto"/>
        <w:ind w:right="709"/>
        <w:jc w:val="both"/>
        <w:rPr>
          <w:rFonts w:ascii="Verdana" w:eastAsia="Century Gothic" w:hAnsi="Verdana" w:cs="Century Gothic"/>
          <w:sz w:val="20"/>
          <w:szCs w:val="20"/>
        </w:rPr>
      </w:pPr>
    </w:p>
    <w:p w14:paraId="15DFFAFE" w14:textId="77777777" w:rsidR="00E334D4" w:rsidRPr="00B74800" w:rsidRDefault="00E334D4" w:rsidP="00E334D4">
      <w:pPr>
        <w:tabs>
          <w:tab w:val="left" w:pos="1560"/>
        </w:tabs>
        <w:spacing w:after="0" w:line="240" w:lineRule="auto"/>
        <w:ind w:left="709" w:right="709"/>
        <w:jc w:val="both"/>
        <w:rPr>
          <w:rFonts w:ascii="Verdana" w:eastAsia="Century Gothic" w:hAnsi="Verdana" w:cs="Century Gothic"/>
          <w:i/>
          <w:iCs/>
          <w:sz w:val="20"/>
          <w:szCs w:val="20"/>
        </w:rPr>
      </w:pPr>
      <w:r w:rsidRPr="00440DFE">
        <w:rPr>
          <w:rFonts w:ascii="Verdana" w:eastAsia="Century Gothic" w:hAnsi="Verdana" w:cs="Century Gothic"/>
          <w:i/>
          <w:iCs/>
          <w:sz w:val="20"/>
          <w:szCs w:val="20"/>
        </w:rPr>
        <w:t xml:space="preserve">“ […] </w:t>
      </w:r>
      <w:r w:rsidRPr="00B74800">
        <w:rPr>
          <w:rFonts w:ascii="Verdana" w:eastAsia="Century Gothic" w:hAnsi="Verdana" w:cs="Century Gothic"/>
          <w:i/>
          <w:iCs/>
          <w:sz w:val="20"/>
          <w:szCs w:val="20"/>
        </w:rPr>
        <w:t xml:space="preserve">PREGUNTA 1; Cuando una entidad territorial celebra anualmente una festividad cultural en fechas fijas o predecibles (por ejemplo, una feria, carnaval o festival que se realiza todos los años en los mismos dias del calendario), y para su ejecución requiere contratar servicios artísticos de alto valor económico, ¿el principio de planeación obliga a la entidad a anticipar dicha necesidad en su Plan Anual de Adquisiciones y a iniciar oportunamente un proceso de selección competitivo (licitacion publica, </w:t>
      </w:r>
      <w:r w:rsidRPr="00B74800">
        <w:rPr>
          <w:rFonts w:ascii="Verdana" w:eastAsia="Century Gothic" w:hAnsi="Verdana" w:cs="Century Gothic"/>
          <w:i/>
          <w:iCs/>
          <w:sz w:val="20"/>
          <w:szCs w:val="20"/>
        </w:rPr>
        <w:lastRenderedPageBreak/>
        <w:t>selección abreviada u otro mecanismo competitivo)? ¿O es jurídicamente valido que la entidad acuda recurrente y sistemáticamente a la contratación directa bajo la causal del literal d, numeral 4 del articulo 2 de la Ley 1150/2007?</w:t>
      </w:r>
    </w:p>
    <w:p w14:paraId="4CAC947A" w14:textId="77777777" w:rsidR="00E334D4" w:rsidRPr="00B74800" w:rsidRDefault="00E334D4" w:rsidP="00E334D4">
      <w:pPr>
        <w:tabs>
          <w:tab w:val="left" w:pos="1560"/>
        </w:tabs>
        <w:spacing w:after="0" w:line="240" w:lineRule="auto"/>
        <w:ind w:right="709"/>
        <w:jc w:val="both"/>
        <w:rPr>
          <w:rFonts w:ascii="Verdana" w:eastAsia="Century Gothic" w:hAnsi="Verdana" w:cs="Century Gothic"/>
          <w:i/>
          <w:iCs/>
          <w:sz w:val="20"/>
          <w:szCs w:val="20"/>
        </w:rPr>
      </w:pPr>
    </w:p>
    <w:p w14:paraId="13C8DAA0" w14:textId="77777777" w:rsidR="00E334D4" w:rsidRPr="00B74800" w:rsidRDefault="00E334D4" w:rsidP="00E334D4">
      <w:pPr>
        <w:tabs>
          <w:tab w:val="left" w:pos="1560"/>
        </w:tabs>
        <w:spacing w:after="0" w:line="240" w:lineRule="auto"/>
        <w:ind w:left="709" w:right="709"/>
        <w:jc w:val="both"/>
        <w:rPr>
          <w:rFonts w:ascii="Verdana" w:eastAsia="Century Gothic" w:hAnsi="Verdana" w:cs="Century Gothic"/>
          <w:i/>
          <w:iCs/>
          <w:sz w:val="20"/>
          <w:szCs w:val="20"/>
        </w:rPr>
      </w:pPr>
      <w:r w:rsidRPr="00B74800">
        <w:rPr>
          <w:rFonts w:ascii="Verdana" w:eastAsia="Century Gothic" w:hAnsi="Verdana" w:cs="Century Gothic"/>
          <w:i/>
          <w:iCs/>
          <w:sz w:val="20"/>
          <w:szCs w:val="20"/>
        </w:rPr>
        <w:t xml:space="preserve"> PREGUNTA 2 ¿La causal de contratación directa para servicios artísticos CONCIERTOS prevista en el literal d, numeral 4 del articulo 2 de la Ley 1150/2007 y reglamentada en el articulo 2.2.1.2.1.4.8 del Decreto 1082/2015, es aplicable cuando la entidad contrata con una persona juridica (S.A.S) que actúa como intermediaria o agenciadora entre la entidad y los artistas o interpretes que ejecutaran directamente el espectáculo? ¿O dicha causal exige que el contratista sea el propio interprete, artista o quien tenga la representación jurídica legitima del ejecutante del servicio artístico?</w:t>
      </w:r>
    </w:p>
    <w:p w14:paraId="1B77D87C" w14:textId="77777777" w:rsidR="00E334D4" w:rsidRPr="00B74800" w:rsidRDefault="00E334D4" w:rsidP="00E334D4">
      <w:pPr>
        <w:tabs>
          <w:tab w:val="left" w:pos="1560"/>
        </w:tabs>
        <w:spacing w:after="0" w:line="240" w:lineRule="auto"/>
        <w:ind w:right="709"/>
        <w:jc w:val="both"/>
        <w:rPr>
          <w:rFonts w:ascii="Verdana" w:eastAsia="Century Gothic" w:hAnsi="Verdana" w:cs="Century Gothic"/>
          <w:i/>
          <w:iCs/>
          <w:sz w:val="20"/>
          <w:szCs w:val="20"/>
        </w:rPr>
      </w:pPr>
    </w:p>
    <w:p w14:paraId="5FB8D4E7" w14:textId="77777777" w:rsidR="00E334D4" w:rsidRPr="00B74800" w:rsidRDefault="00E334D4" w:rsidP="00E334D4">
      <w:pPr>
        <w:tabs>
          <w:tab w:val="left" w:pos="1560"/>
        </w:tabs>
        <w:spacing w:after="0" w:line="240" w:lineRule="auto"/>
        <w:ind w:left="709" w:right="709"/>
        <w:jc w:val="both"/>
        <w:rPr>
          <w:rFonts w:ascii="Verdana" w:eastAsia="Century Gothic" w:hAnsi="Verdana" w:cs="Century Gothic"/>
          <w:i/>
          <w:iCs/>
          <w:sz w:val="20"/>
          <w:szCs w:val="20"/>
        </w:rPr>
      </w:pPr>
      <w:r w:rsidRPr="00B74800">
        <w:rPr>
          <w:rFonts w:ascii="Verdana" w:eastAsia="Century Gothic" w:hAnsi="Verdana" w:cs="Century Gothic"/>
          <w:i/>
          <w:iCs/>
          <w:sz w:val="20"/>
          <w:szCs w:val="20"/>
        </w:rPr>
        <w:t xml:space="preserve"> PREGUNTA 3 Cuando una festividad cultural anual de una entidad territorial — con contratación de servicios artísticos de alto valor CONCIERTOS — cae dentro del periodo de restricción del de la Ley 996/2005 (Caso Especifico 1 al 6 de Enero de 2026), situación que es previsible con antelación suficiente, ¿que obligaciones genera para la entidad en materia de planeación contractual? ¿Debía la entidad haber iniciado el proceso de selección con suficiente antelación para que el contrato quedara perfeccionado ANTES del inicio del periodo de restricción de la Ley de Garantías? ¿O puede la entidad invocar la urgencia o la necesidad del servicio para contratar dentro del periodo de restricción sin haber planificado previamente?</w:t>
      </w:r>
    </w:p>
    <w:p w14:paraId="50CC832D" w14:textId="77777777" w:rsidR="00E334D4" w:rsidRPr="00B74800" w:rsidRDefault="00E334D4" w:rsidP="00E334D4">
      <w:pPr>
        <w:tabs>
          <w:tab w:val="left" w:pos="1560"/>
        </w:tabs>
        <w:spacing w:after="0" w:line="240" w:lineRule="auto"/>
        <w:ind w:left="709" w:right="709"/>
        <w:jc w:val="both"/>
        <w:rPr>
          <w:rFonts w:ascii="Verdana" w:eastAsia="Century Gothic" w:hAnsi="Verdana" w:cs="Century Gothic"/>
          <w:i/>
          <w:iCs/>
          <w:sz w:val="20"/>
          <w:szCs w:val="20"/>
        </w:rPr>
      </w:pPr>
    </w:p>
    <w:p w14:paraId="50D12658" w14:textId="77777777" w:rsidR="00E334D4" w:rsidRPr="00B74800" w:rsidRDefault="00E334D4" w:rsidP="00E334D4">
      <w:pPr>
        <w:tabs>
          <w:tab w:val="left" w:pos="1560"/>
        </w:tabs>
        <w:spacing w:after="0" w:line="240" w:lineRule="auto"/>
        <w:ind w:left="709" w:right="709"/>
        <w:jc w:val="both"/>
        <w:rPr>
          <w:rFonts w:ascii="Verdana" w:eastAsia="Century Gothic" w:hAnsi="Verdana" w:cs="Century Gothic"/>
          <w:i/>
          <w:iCs/>
          <w:sz w:val="20"/>
          <w:szCs w:val="20"/>
        </w:rPr>
      </w:pPr>
      <w:r w:rsidRPr="00B74800">
        <w:rPr>
          <w:rFonts w:ascii="Verdana" w:eastAsia="Century Gothic" w:hAnsi="Verdana" w:cs="Century Gothic"/>
          <w:i/>
          <w:iCs/>
          <w:sz w:val="20"/>
          <w:szCs w:val="20"/>
        </w:rPr>
        <w:t xml:space="preserve"> PREGUNTA 4 ¿Cuál es el alcance de la obligación de elaborar el Plan Anual de Adquisiciones (PAA) frente a la contratación de servicios artísticos recurrentes? Si una entidad territorial no incluye en su PAA la contratación de servicios artísticos para una festividad cultural que se celebra todos los años, y luego acude a la contratación directa como si se tratara de una necesidad no prevista, ¿dicha omisión configura violación del principio de planeación con consecuencias sobre la validez del contrato o sobre la responsabilidad disciplinaria y fiscal de los funcionarios?</w:t>
      </w:r>
    </w:p>
    <w:p w14:paraId="02B8E560" w14:textId="77777777" w:rsidR="00E334D4" w:rsidRPr="00B74800" w:rsidRDefault="00E334D4" w:rsidP="00E334D4">
      <w:pPr>
        <w:tabs>
          <w:tab w:val="left" w:pos="1560"/>
        </w:tabs>
        <w:spacing w:after="0" w:line="240" w:lineRule="auto"/>
        <w:ind w:right="709"/>
        <w:jc w:val="both"/>
        <w:rPr>
          <w:rFonts w:ascii="Verdana" w:eastAsia="Century Gothic" w:hAnsi="Verdana" w:cs="Century Gothic"/>
          <w:i/>
          <w:iCs/>
          <w:sz w:val="20"/>
          <w:szCs w:val="20"/>
        </w:rPr>
      </w:pPr>
    </w:p>
    <w:p w14:paraId="0A443A77" w14:textId="77777777" w:rsidR="00E334D4" w:rsidRPr="00B74800" w:rsidRDefault="00E334D4" w:rsidP="00E334D4">
      <w:pPr>
        <w:tabs>
          <w:tab w:val="left" w:pos="1560"/>
        </w:tabs>
        <w:spacing w:after="0" w:line="240" w:lineRule="auto"/>
        <w:ind w:left="709" w:right="709"/>
        <w:jc w:val="both"/>
        <w:rPr>
          <w:rFonts w:ascii="Verdana" w:eastAsia="Century Gothic" w:hAnsi="Verdana" w:cs="Century Gothic"/>
          <w:i/>
          <w:iCs/>
          <w:sz w:val="20"/>
          <w:szCs w:val="20"/>
        </w:rPr>
      </w:pPr>
      <w:r w:rsidRPr="00B74800">
        <w:rPr>
          <w:rFonts w:ascii="Verdana" w:eastAsia="Century Gothic" w:hAnsi="Verdana" w:cs="Century Gothic"/>
          <w:i/>
          <w:iCs/>
          <w:sz w:val="20"/>
          <w:szCs w:val="20"/>
        </w:rPr>
        <w:t xml:space="preserve"> PREGUNTA 5 En materia de contratación directa de servicios artísticos CONCIERTOS, ¿que debe contener el estudio previo para que la justificación de la causal sea suficiente? En particular: ¿es suficiente con enunciar el nombre del artista o grupo artístico, o debe la entidad demostrar por qué ese artista especifico es el único que puede prestar el servicio en las condiciones requeridas, excluyendo a otros de similar trayectoria? ¿Como debe documentarse la unicidad o especificidad del servicio cuando el contrato involucra la presentación de múltiples artistas o grupos artísticos en un mismo evento?</w:t>
      </w:r>
    </w:p>
    <w:p w14:paraId="7683AF9C" w14:textId="77777777" w:rsidR="00E334D4" w:rsidRPr="00B74800" w:rsidRDefault="00E334D4" w:rsidP="00E334D4">
      <w:pPr>
        <w:tabs>
          <w:tab w:val="left" w:pos="1560"/>
        </w:tabs>
        <w:spacing w:after="0" w:line="240" w:lineRule="auto"/>
        <w:ind w:left="709" w:right="709"/>
        <w:jc w:val="both"/>
        <w:rPr>
          <w:rFonts w:ascii="Verdana" w:eastAsia="Century Gothic" w:hAnsi="Verdana" w:cs="Century Gothic"/>
          <w:i/>
          <w:iCs/>
          <w:sz w:val="20"/>
          <w:szCs w:val="20"/>
        </w:rPr>
      </w:pPr>
    </w:p>
    <w:p w14:paraId="34F4F657" w14:textId="77777777" w:rsidR="00E334D4" w:rsidRPr="00440DFE" w:rsidRDefault="00E334D4" w:rsidP="00E334D4">
      <w:pPr>
        <w:tabs>
          <w:tab w:val="left" w:pos="1560"/>
        </w:tabs>
        <w:spacing w:after="0" w:line="240" w:lineRule="auto"/>
        <w:ind w:left="709" w:right="709"/>
        <w:jc w:val="both"/>
        <w:rPr>
          <w:rFonts w:ascii="Verdana" w:eastAsia="Century Gothic" w:hAnsi="Verdana" w:cs="Century Gothic"/>
          <w:i/>
          <w:iCs/>
          <w:sz w:val="20"/>
          <w:szCs w:val="20"/>
        </w:rPr>
      </w:pPr>
      <w:r w:rsidRPr="00B74800">
        <w:rPr>
          <w:rFonts w:ascii="Verdana" w:eastAsia="Century Gothic" w:hAnsi="Verdana" w:cs="Century Gothic"/>
          <w:i/>
          <w:iCs/>
          <w:sz w:val="20"/>
          <w:szCs w:val="20"/>
        </w:rPr>
        <w:lastRenderedPageBreak/>
        <w:t xml:space="preserve"> PREGUNTA 6 ¿La experiencia e idoneidad de un contratista para la ejecución de servicios artísticos de Gran Valor $ 300.000.000 ¿Cuales son los documentos o criterios minimos que debe verificar la entidad para acreditar la idoneidad de una persona juridica S.A.S de reciente constitución (con menos de DOS MESES de existencia) frente a contratos de alto valor economico para la organizacion de festividades culturales?</w:t>
      </w:r>
      <w:r>
        <w:rPr>
          <w:rFonts w:ascii="Verdana" w:eastAsia="Century Gothic" w:hAnsi="Verdana" w:cs="Century Gothic"/>
          <w:i/>
          <w:iCs/>
          <w:sz w:val="20"/>
          <w:szCs w:val="20"/>
        </w:rPr>
        <w:t>” [SIC]</w:t>
      </w:r>
    </w:p>
    <w:p w14:paraId="349B29EB" w14:textId="77777777" w:rsidR="00E334D4" w:rsidRPr="001C3753" w:rsidRDefault="00E334D4" w:rsidP="00E334D4">
      <w:pPr>
        <w:spacing w:before="120" w:after="0" w:line="276" w:lineRule="auto"/>
        <w:ind w:firstLine="709"/>
        <w:jc w:val="both"/>
        <w:rPr>
          <w:rFonts w:ascii="Verdana" w:eastAsia="Calibri" w:hAnsi="Verdana" w:cs="Arial"/>
          <w:szCs w:val="24"/>
          <w:lang w:eastAsia="es-ES_tradnl"/>
        </w:rPr>
      </w:pPr>
      <w:r w:rsidRPr="001C3753">
        <w:rPr>
          <w:rFonts w:ascii="Verdana" w:eastAsia="Calibri" w:hAnsi="Verdana" w:cs="Arial"/>
          <w:lang w:eastAsia="es-ES"/>
        </w:rPr>
        <w:t xml:space="preserve">De manera preliminar, resulta necesario acotar que esta entidad solo tiene competencia para responder consultas sobre la aplicación de normas de carácter general en materia de compras y contratación pública. En ese sentido, resolver casos particulares desborda las atribuciones asignadas por el legislador extraordinario que no concibió a Colombia Compra Eficiente como una autoridad para solucionar problemas jurídicos particulares de todos los partícipes del sistema de compra pública. La competencia de esta entidad se fija con límites claros, con el objeto de evitar que la Agencia actúe como una instancia de validación de las actuaciones de las entidades sujetas a la Ley 80 de 1993 o de los demás participantes de la contratación pública. Esta competencia de interpretación de normas generales, por definición, no puede extenderse a la resolución de controversias, ni a brindar asesorías sobre casos puntuales. </w:t>
      </w:r>
    </w:p>
    <w:p w14:paraId="3FA3ECB2" w14:textId="77777777" w:rsidR="00E334D4" w:rsidRPr="00232B4F" w:rsidRDefault="00E334D4" w:rsidP="00E334D4">
      <w:pPr>
        <w:spacing w:before="120" w:after="0" w:line="276" w:lineRule="auto"/>
        <w:ind w:firstLine="709"/>
        <w:jc w:val="both"/>
        <w:rPr>
          <w:rFonts w:ascii="Verdana" w:eastAsia="Calibri" w:hAnsi="Verdana" w:cs="Arial"/>
          <w:lang w:eastAsia="es-ES"/>
        </w:rPr>
      </w:pPr>
      <w:r w:rsidRPr="001C3753">
        <w:rPr>
          <w:rFonts w:ascii="Verdana" w:eastAsia="Calibri" w:hAnsi="Verdana" w:cs="Arial"/>
          <w:lang w:eastAsia="es-ES"/>
        </w:rPr>
        <w:t xml:space="preserve">Conforme lo expuesto, en aras de garantizar el derecho fundamental de petición, se resolverá su petición dentro de los límites de la referida competencia consultiva, esto es, haciendo abstracción del caso particular y concreto señalado en su petición, pero señalando algunas consideraciones sobre las normas generales relacionadas con el problema jurídico de su consulta.  </w:t>
      </w:r>
    </w:p>
    <w:p w14:paraId="0EBC37B7" w14:textId="77777777" w:rsidR="00E334D4" w:rsidRPr="00742CFC" w:rsidRDefault="00E334D4" w:rsidP="00E334D4">
      <w:pPr>
        <w:spacing w:after="0"/>
        <w:jc w:val="both"/>
        <w:rPr>
          <w:rFonts w:ascii="Verdana" w:eastAsia="Calibri" w:hAnsi="Verdana" w:cs="Arial"/>
          <w:color w:val="0099FF"/>
          <w:lang w:eastAsia="es-ES"/>
        </w:rPr>
      </w:pPr>
    </w:p>
    <w:p w14:paraId="65B23328" w14:textId="77777777" w:rsidR="00E334D4" w:rsidRPr="002D6E1B" w:rsidRDefault="00E334D4" w:rsidP="00E334D4">
      <w:pPr>
        <w:pStyle w:val="Prrafodelista"/>
        <w:numPr>
          <w:ilvl w:val="0"/>
          <w:numId w:val="16"/>
        </w:numPr>
        <w:tabs>
          <w:tab w:val="left" w:pos="142"/>
          <w:tab w:val="left" w:pos="284"/>
        </w:tabs>
        <w:spacing w:afterLines="120" w:after="288" w:line="276" w:lineRule="auto"/>
        <w:ind w:left="0" w:firstLine="0"/>
        <w:contextualSpacing w:val="0"/>
        <w:jc w:val="both"/>
        <w:rPr>
          <w:rFonts w:ascii="Verdana" w:eastAsia="Century Gothic" w:hAnsi="Verdana" w:cs="Century Gothic"/>
          <w:b/>
          <w:bCs/>
        </w:rPr>
      </w:pPr>
      <w:r w:rsidRPr="002D6E1B">
        <w:rPr>
          <w:rFonts w:ascii="Verdana" w:eastAsia="Century Gothic" w:hAnsi="Verdana" w:cs="Century Gothic"/>
          <w:b/>
          <w:bCs/>
        </w:rPr>
        <w:t>Problema planteado:</w:t>
      </w:r>
    </w:p>
    <w:p w14:paraId="006170E8" w14:textId="77777777" w:rsidR="00E334D4" w:rsidRDefault="00E334D4" w:rsidP="00E334D4">
      <w:pPr>
        <w:spacing w:afterLines="120" w:after="288" w:line="276" w:lineRule="auto"/>
        <w:jc w:val="both"/>
        <w:rPr>
          <w:rFonts w:ascii="Verdana" w:eastAsia="Calibri" w:hAnsi="Verdana" w:cs="Arial"/>
          <w:lang w:eastAsia="es-ES"/>
        </w:rPr>
      </w:pPr>
      <w:r w:rsidRPr="002D6E1B">
        <w:rPr>
          <w:rFonts w:ascii="Verdana" w:eastAsia="Calibri" w:hAnsi="Verdana" w:cs="Arial"/>
          <w:lang w:eastAsia="es-ES"/>
        </w:rPr>
        <w:t>De acuerdo con el contenido de su solicitud, esta Agencia resolverá el siguiente problema jurídico:</w:t>
      </w:r>
      <w:r>
        <w:rPr>
          <w:rFonts w:ascii="Verdana" w:eastAsia="Calibri" w:hAnsi="Verdana" w:cs="Arial"/>
          <w:lang w:eastAsia="es-ES"/>
        </w:rPr>
        <w:t xml:space="preserve"> i) ¿Qué aspectos deben tener en condición las entidades estales para adelantar procesos </w:t>
      </w:r>
      <w:r w:rsidRPr="00F139E3">
        <w:rPr>
          <w:rFonts w:ascii="Verdana" w:eastAsia="Calibri" w:hAnsi="Verdana" w:cs="Arial"/>
          <w:lang w:eastAsia="es-ES"/>
        </w:rPr>
        <w:t>de</w:t>
      </w:r>
      <w:r>
        <w:rPr>
          <w:rFonts w:ascii="Verdana" w:eastAsia="Calibri" w:hAnsi="Verdana" w:cs="Arial"/>
          <w:lang w:eastAsia="es-ES"/>
        </w:rPr>
        <w:t xml:space="preserve"> </w:t>
      </w:r>
      <w:r w:rsidRPr="00F139E3">
        <w:rPr>
          <w:rFonts w:ascii="Verdana" w:eastAsia="Calibri" w:hAnsi="Verdana" w:cs="Arial"/>
          <w:lang w:eastAsia="es-ES"/>
        </w:rPr>
        <w:t xml:space="preserve">contratación </w:t>
      </w:r>
      <w:r>
        <w:rPr>
          <w:rFonts w:ascii="Verdana" w:eastAsia="Calibri" w:hAnsi="Verdana" w:cs="Arial"/>
          <w:lang w:eastAsia="es-ES"/>
        </w:rPr>
        <w:t>con objetos asociados a la prestación</w:t>
      </w:r>
      <w:r w:rsidRPr="00F139E3">
        <w:rPr>
          <w:rFonts w:ascii="Verdana" w:eastAsia="Calibri" w:hAnsi="Verdana" w:cs="Arial"/>
          <w:lang w:eastAsia="es-ES"/>
        </w:rPr>
        <w:t xml:space="preserve"> servicios artísticos con personas naturales y jurídicas</w:t>
      </w:r>
      <w:r w:rsidRPr="00461E30">
        <w:rPr>
          <w:rFonts w:ascii="Verdana" w:eastAsia="Calibri" w:hAnsi="Verdana" w:cs="Arial"/>
          <w:lang w:eastAsia="es-ES"/>
        </w:rPr>
        <w:t>?</w:t>
      </w:r>
      <w:r>
        <w:rPr>
          <w:rFonts w:ascii="Verdana" w:eastAsia="Calibri" w:hAnsi="Verdana" w:cs="Arial"/>
          <w:lang w:eastAsia="es-ES"/>
        </w:rPr>
        <w:t xml:space="preserve">; y ii) ¿Es necesario que la entidad vincule directamente a los artistas o puede ser esto contemplado como una obligación del contratista?; </w:t>
      </w:r>
      <w:r w:rsidRPr="0088638E">
        <w:rPr>
          <w:rFonts w:ascii="Verdana" w:eastAsia="Calibri" w:hAnsi="Verdana" w:cs="Arial"/>
          <w:lang w:eastAsia="es-ES"/>
        </w:rPr>
        <w:t>iii</w:t>
      </w:r>
      <w:r>
        <w:rPr>
          <w:rFonts w:ascii="Verdana" w:eastAsia="Calibri" w:hAnsi="Verdana" w:cs="Arial"/>
          <w:lang w:eastAsia="es-ES"/>
        </w:rPr>
        <w:t>)</w:t>
      </w:r>
      <w:r w:rsidRPr="0088638E">
        <w:rPr>
          <w:rFonts w:ascii="Verdana" w:eastAsia="Calibri" w:hAnsi="Verdana" w:cs="Arial"/>
          <w:lang w:eastAsia="es-ES"/>
        </w:rPr>
        <w:t xml:space="preserve"> ¿La contratación directa de servicios artísticos que solo pueden encomendarse a determinadas personas naturales se encuentra restringida durante la vigencia de las prohibiciones previstas en la Ley 996 de 2005 (Ley de Garantías Electorales)?</w:t>
      </w:r>
    </w:p>
    <w:p w14:paraId="353532EC" w14:textId="77777777" w:rsidR="00E334D4" w:rsidRPr="00EB283C" w:rsidRDefault="00E334D4" w:rsidP="00E334D4">
      <w:pPr>
        <w:spacing w:afterLines="120" w:after="288" w:line="276" w:lineRule="auto"/>
        <w:jc w:val="both"/>
        <w:rPr>
          <w:rFonts w:ascii="Verdana" w:eastAsia="Century Gothic" w:hAnsi="Verdana" w:cs="Century Gothic"/>
          <w:b/>
          <w:bCs/>
        </w:rPr>
      </w:pPr>
      <w:r w:rsidRPr="00461E30">
        <w:rPr>
          <w:rFonts w:ascii="Verdana" w:eastAsia="Century Gothic" w:hAnsi="Verdana" w:cs="Century Gothic"/>
          <w:b/>
          <w:bCs/>
        </w:rPr>
        <w:lastRenderedPageBreak/>
        <w:t>2. Respuesta</w:t>
      </w:r>
      <w:r>
        <w:rPr>
          <w:rFonts w:ascii="Verdana" w:eastAsia="Century Gothic" w:hAnsi="Verdana" w:cs="Century Gothic"/>
          <w:b/>
          <w:bCs/>
        </w:rPr>
        <w:t>:</w:t>
      </w:r>
    </w:p>
    <w:tbl>
      <w:tblPr>
        <w:tblStyle w:val="Tablaconcuadrcula"/>
        <w:tblW w:w="0" w:type="auto"/>
        <w:tblInd w:w="-113"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8828"/>
      </w:tblGrid>
      <w:tr w:rsidR="00E334D4" w:rsidRPr="00A60D1C" w14:paraId="3B543218" w14:textId="77777777" w:rsidTr="00220A85">
        <w:tc>
          <w:tcPr>
            <w:tcW w:w="8828" w:type="dxa"/>
          </w:tcPr>
          <w:p w14:paraId="54EF5BE1" w14:textId="77777777" w:rsidR="00E334D4" w:rsidRPr="00F67EF7" w:rsidRDefault="00E334D4" w:rsidP="00220A85">
            <w:pPr>
              <w:spacing w:line="276" w:lineRule="auto"/>
              <w:jc w:val="both"/>
              <w:rPr>
                <w:rFonts w:ascii="Verdana" w:eastAsia="Times New Roman" w:hAnsi="Verdana" w:cs="Arial"/>
                <w:lang w:eastAsia="es-CO"/>
              </w:rPr>
            </w:pPr>
            <w:r>
              <w:rPr>
                <w:rFonts w:ascii="Verdana" w:eastAsia="Times New Roman" w:hAnsi="Verdana" w:cs="Arial"/>
                <w:lang w:eastAsia="es-CO"/>
              </w:rPr>
              <w:t xml:space="preserve">i) </w:t>
            </w:r>
            <w:r w:rsidRPr="00F67EF7">
              <w:rPr>
                <w:rFonts w:ascii="Verdana" w:eastAsia="Times New Roman" w:hAnsi="Verdana" w:cs="Arial"/>
                <w:lang w:eastAsia="es-CO"/>
              </w:rPr>
              <w:t>De conformidad con el marco normativo vigente, para la contratación de actividades o trabajos artísticos las Entidades Estatales pueden acudir a las tipologías contractuales previstas tanto en el Estatuto General de Contratación de la Administración Pública como en el derecho privado. En particular, resulta procedente el contrato de prestación de servicios cuando se trate de trabajos artísticos que, por su naturaleza, deban ser ejecutados por determinadas personas naturales, en los términos de los artículos 32.3 de la Ley 80 de 1993 y 2.2.1.2.1.4.9 del Decreto 1082 de 2015.</w:t>
            </w:r>
          </w:p>
          <w:p w14:paraId="7DA4AE49" w14:textId="77777777" w:rsidR="00E334D4" w:rsidRPr="00F67EF7" w:rsidRDefault="00E334D4" w:rsidP="00220A85">
            <w:pPr>
              <w:spacing w:before="120" w:line="276" w:lineRule="auto"/>
              <w:ind w:firstLine="709"/>
              <w:jc w:val="both"/>
              <w:rPr>
                <w:rFonts w:ascii="Verdana" w:eastAsia="Times New Roman" w:hAnsi="Verdana" w:cs="Arial"/>
                <w:lang w:eastAsia="es-CO"/>
              </w:rPr>
            </w:pPr>
            <w:r w:rsidRPr="00F67EF7">
              <w:rPr>
                <w:rFonts w:ascii="Verdana" w:eastAsia="Times New Roman" w:hAnsi="Verdana" w:cs="Arial"/>
                <w:lang w:eastAsia="es-CO"/>
              </w:rPr>
              <w:t>Adicionalmente, en el ámbito del Decreto 092 de 2017, las entidades del orden nacional, departamental, distrital y municipal pueden contratar servicios artísticos mediante contratos de colaboración con entidades privadas sin ánimo de lucro, siempre que dichos contratos se orienten a la ejecución de planes, programas o proyectos previstos en los instrumentos de planeación, conforme al artículo 355 de la Constitución Política y a los artículos 2, 3 y 4 del citado decreto. Asimismo, con fundamento en el artículo 96 de la Ley 489 de 1996 y su reglamentación en el artículo 5 del Decreto 092 de 2017, es viable acudir a convenios de asociación cuando el objeto contractual se relacione con la misionalidad de la entidad y la satisfacción de un interés general que comprenda actividades artísticas.</w:t>
            </w:r>
          </w:p>
          <w:p w14:paraId="31BF27C6" w14:textId="77777777" w:rsidR="00E334D4" w:rsidRPr="00F67EF7" w:rsidRDefault="00E334D4" w:rsidP="00220A85">
            <w:pPr>
              <w:spacing w:before="120" w:line="276" w:lineRule="auto"/>
              <w:ind w:firstLine="709"/>
              <w:jc w:val="both"/>
              <w:rPr>
                <w:rFonts w:ascii="Verdana" w:eastAsia="Times New Roman" w:hAnsi="Verdana" w:cs="Arial"/>
                <w:lang w:eastAsia="es-CO"/>
              </w:rPr>
            </w:pPr>
            <w:r w:rsidRPr="00F67EF7">
              <w:rPr>
                <w:rFonts w:ascii="Verdana" w:eastAsia="Times New Roman" w:hAnsi="Verdana" w:cs="Arial"/>
                <w:lang w:eastAsia="es-CO"/>
              </w:rPr>
              <w:t>La elección de la tipología contractual aplicable depende, en todo caso, del ejercicio de planeación de la Entidad Estatal, de la necesidad identificada y de las características del negocio jurídico a celebrar. Así, cuando la necesidad corresponda a la ejecución de trabajos artísticos por personas determinadas y se estructure un negocio jurídico conmutativo, procede el contrato de prestación de servicios. En cambio, si se trata de un negocio no conmutativo vinculado a la ejecución de planes, programas o proyectos del plan de desarrollo, resulta aplicable el contrato de colaboración con entidades privadas sin ánimo de lucro, en los términos del artículo 355 superior y del Decreto 092 de 2017.</w:t>
            </w:r>
          </w:p>
          <w:p w14:paraId="0D659726" w14:textId="77777777" w:rsidR="00E334D4" w:rsidRDefault="00E334D4" w:rsidP="00220A85">
            <w:pPr>
              <w:spacing w:before="120" w:line="276" w:lineRule="auto"/>
              <w:ind w:firstLine="709"/>
              <w:jc w:val="both"/>
              <w:rPr>
                <w:rFonts w:ascii="Verdana" w:eastAsia="Times New Roman" w:hAnsi="Verdana" w:cs="Arial"/>
                <w:lang w:eastAsia="es-CO"/>
              </w:rPr>
            </w:pPr>
            <w:r w:rsidRPr="00F67EF7">
              <w:rPr>
                <w:rFonts w:ascii="Verdana" w:eastAsia="Times New Roman" w:hAnsi="Verdana" w:cs="Arial"/>
                <w:lang w:eastAsia="es-CO"/>
              </w:rPr>
              <w:t xml:space="preserve">Por su parte, cuando la necesidad esté asociada al desarrollo de una función o a la prestación de un servicio legalmente asignado a la entidad estatal, y se estime pertinente la cooperación con entidades privadas sin ánimo de lucro, la figura idónea es el convenio de asociación. En el marco de </w:t>
            </w:r>
            <w:r w:rsidRPr="00F67EF7">
              <w:rPr>
                <w:rFonts w:ascii="Verdana" w:eastAsia="Times New Roman" w:hAnsi="Verdana" w:cs="Arial"/>
                <w:lang w:eastAsia="es-CO"/>
              </w:rPr>
              <w:lastRenderedPageBreak/>
              <w:t>los contratos de colaboración y de los convenios de asociación, puede pactarse la obligación de vincular artistas específicos o indeterminados para la ejecución del componente artístico, ya sea a cargo de la entidad estatal o del contratista, según lo permitan las características del proyecto y la autonomía de la voluntad. En este último caso, la relación jurídica entre el contratista y los artistas se rige por las normas civiles y/o laborales aplicables, siendo la entidad estatal un tercero ajeno a dicha relación, sin perjuicio de su origen en el negocio jurídico estatal.</w:t>
            </w:r>
          </w:p>
          <w:p w14:paraId="0D643379" w14:textId="77777777" w:rsidR="00E334D4" w:rsidRDefault="00E334D4" w:rsidP="00220A85">
            <w:pPr>
              <w:spacing w:after="120" w:line="276" w:lineRule="auto"/>
              <w:jc w:val="both"/>
              <w:rPr>
                <w:rFonts w:ascii="Verdana" w:eastAsia="Calibri" w:hAnsi="Verdana" w:cs="Arial"/>
              </w:rPr>
            </w:pPr>
            <w:r>
              <w:rPr>
                <w:rFonts w:ascii="Verdana" w:eastAsia="Times New Roman" w:hAnsi="Verdana" w:cs="Arial"/>
                <w:lang w:eastAsia="es-CO"/>
              </w:rPr>
              <w:t>ii</w:t>
            </w:r>
            <w:r w:rsidRPr="00E04458">
              <w:rPr>
                <w:rFonts w:ascii="Verdana" w:eastAsia="Times New Roman" w:hAnsi="Verdana" w:cs="Arial"/>
                <w:lang w:eastAsia="es-CO"/>
              </w:rPr>
              <w:t xml:space="preserve">) </w:t>
            </w:r>
            <w:r w:rsidRPr="00E04458">
              <w:rPr>
                <w:rFonts w:ascii="Verdana" w:eastAsia="Calibri" w:hAnsi="Verdana" w:cs="Arial"/>
              </w:rPr>
              <w:t>es necesario señalar que, para la celebración de contratos de prestación de servicios artísticos, deben cumplirse, en términos generales, las condiciones establecidas en el Estatuto General de Contratación de la Administración Pública (EGCAP), la Ley 1150 de 2007, el Decreto 1082 de 2015 y la jurisprudencia del Consejo de Estado en la materia.</w:t>
            </w:r>
          </w:p>
          <w:p w14:paraId="581751F1" w14:textId="77777777" w:rsidR="00E334D4" w:rsidRDefault="00E334D4" w:rsidP="00220A85">
            <w:pPr>
              <w:spacing w:after="120" w:line="276" w:lineRule="auto"/>
              <w:jc w:val="both"/>
              <w:rPr>
                <w:rFonts w:ascii="Verdana" w:eastAsia="Calibri" w:hAnsi="Verdana" w:cs="Arial"/>
              </w:rPr>
            </w:pPr>
            <w:r w:rsidRPr="00E04458">
              <w:rPr>
                <w:rFonts w:ascii="Verdana" w:eastAsia="Calibri" w:hAnsi="Verdana" w:cs="Arial"/>
              </w:rPr>
              <w:t>En este sentido, el artículo 2.2.1.2.1.4.9 del Decreto 1082 de 2015 establece que las entidades públicas pueden recurrir a la contratación directa cuando se trate de la prestación de servicios profesionales o de apoyo a la gestión para la ejecución de trabajos artísticos, ya sea con personas naturales o jurídicas que demuestren la capacidad para cumplir con el objeto contractual. Para ello, la entidad debe verificar previamente la idoneidad y experiencia del contratista.</w:t>
            </w:r>
          </w:p>
          <w:p w14:paraId="11AF721B" w14:textId="77777777" w:rsidR="00E334D4" w:rsidRPr="0088638E" w:rsidRDefault="00E334D4" w:rsidP="00220A85">
            <w:pPr>
              <w:spacing w:after="120" w:line="276" w:lineRule="auto"/>
              <w:jc w:val="both"/>
              <w:rPr>
                <w:rFonts w:ascii="Verdana" w:eastAsia="Calibri" w:hAnsi="Verdana" w:cs="Arial"/>
              </w:rPr>
            </w:pPr>
            <w:r w:rsidRPr="00E04458">
              <w:rPr>
                <w:rFonts w:ascii="Verdana" w:eastAsia="Calibri" w:hAnsi="Verdana" w:cs="Arial"/>
              </w:rPr>
              <w:t>Así mismo, según el numeral 4 del artículo 2 de la Ley 1150 de 2007, una de las causales para acudir a la modalidad de contratación directa es la celebración de contratos artísticos que solo pueden ser encomendados a determinadas personas naturales. Para que esta causal proceda, deben concurrir las siguientes condiciones</w:t>
            </w:r>
            <w:r>
              <w:rPr>
                <w:rFonts w:ascii="Verdana" w:eastAsia="Calibri" w:hAnsi="Verdana" w:cs="Arial"/>
              </w:rPr>
              <w:t xml:space="preserve"> para interpretar su ejecución</w:t>
            </w:r>
            <w:r w:rsidRPr="00E04458">
              <w:rPr>
                <w:rFonts w:ascii="Verdana" w:eastAsia="Calibri" w:hAnsi="Verdana" w:cs="Arial"/>
              </w:rPr>
              <w:t>: (i) que el objeto del contrato sea la ejecución de trabajos artísticos y (ii) que estos solo puedan ser realizados por ciertas personas naturales. En consecuencia, esta modalidad no aplica cuando el propósito del contrato no es la ejecución de una obra artística, sino la adquisición o compra de un bien clasificado como obra de arte.</w:t>
            </w:r>
          </w:p>
          <w:p w14:paraId="12B92A56" w14:textId="77777777" w:rsidR="00E334D4" w:rsidRDefault="00E334D4" w:rsidP="00220A85">
            <w:pPr>
              <w:spacing w:before="120" w:line="276" w:lineRule="auto"/>
              <w:ind w:firstLine="708"/>
              <w:jc w:val="both"/>
              <w:rPr>
                <w:rFonts w:ascii="Verdana" w:eastAsia="Times New Roman" w:hAnsi="Verdana" w:cs="Arial"/>
                <w:lang w:eastAsia="es-CO"/>
              </w:rPr>
            </w:pPr>
            <w:r w:rsidRPr="00F67EF7">
              <w:rPr>
                <w:rFonts w:ascii="Verdana" w:eastAsia="Times New Roman" w:hAnsi="Verdana" w:cs="Arial"/>
                <w:lang w:eastAsia="es-CO"/>
              </w:rPr>
              <w:t xml:space="preserve">En conclusión, corresponde a cada Entidad Estatal, en desarrollo de su planeación, definir el objeto contractual y el tipo de negocio jurídico más adecuado para atender necesidades relacionadas con la ejecución de trabajos artísticos. Según el caso, podrán emplearse las figuras previstas en el artículo 32.3 de la Ley 80 de 1993, en los artículos 2 y 5 del Decreto 092 de 2017, o </w:t>
            </w:r>
            <w:r w:rsidRPr="00F67EF7">
              <w:rPr>
                <w:rFonts w:ascii="Verdana" w:eastAsia="Times New Roman" w:hAnsi="Verdana" w:cs="Arial"/>
                <w:lang w:eastAsia="es-CO"/>
              </w:rPr>
              <w:lastRenderedPageBreak/>
              <w:t>los negocios jurídicos celebrados al amparo de la autonomía de la voluntad y las normas civiles, pudiendo optar por la contratación directa de los artistas o por delegar su vinculación en el contratista encargado de la ejecución del objeto.</w:t>
            </w:r>
          </w:p>
          <w:p w14:paraId="6499E561" w14:textId="77777777" w:rsidR="00E334D4" w:rsidRPr="00A60D1C" w:rsidRDefault="00E334D4" w:rsidP="00220A85">
            <w:pPr>
              <w:spacing w:before="120" w:line="276" w:lineRule="auto"/>
              <w:ind w:firstLine="708"/>
              <w:jc w:val="both"/>
              <w:rPr>
                <w:rFonts w:ascii="Verdana" w:eastAsia="Times New Roman" w:hAnsi="Verdana" w:cs="Arial"/>
                <w:lang w:eastAsia="es-CO"/>
              </w:rPr>
            </w:pPr>
            <w:r w:rsidRPr="00A60D1C">
              <w:rPr>
                <w:rFonts w:ascii="Verdana" w:eastAsia="Times New Roman" w:hAnsi="Verdana" w:cs="Arial"/>
                <w:lang w:eastAsia="es-CO"/>
              </w:rPr>
              <w:t>iii) Como se indicó previamente, la contratación de servicios o trabajos artísticos puede realizarse mediante diferentes tipologías contractuales previstas en el ordenamiento jurídico, cuya elección dependerá de la necesidad que pretenda satisfacer la entidad estatal, de las características del negocio jurídico y del cumplimiento de los requisitos previstos para cada modalidad. En ese sentido, la procedencia del contrato de prestación de servicios, de los contratos de colaboración con entidades privadas sin ánimo de lucro o de los convenios de asociación debe analizarse en cada caso concreto, de conformidad con las disposiciones que regulan cada figura.</w:t>
            </w:r>
          </w:p>
          <w:p w14:paraId="7F01A6A8" w14:textId="77777777" w:rsidR="00E334D4" w:rsidRPr="00A60D1C" w:rsidRDefault="00E334D4" w:rsidP="00220A85">
            <w:pPr>
              <w:spacing w:before="120" w:line="276" w:lineRule="auto"/>
              <w:ind w:firstLine="708"/>
              <w:jc w:val="both"/>
              <w:rPr>
                <w:rFonts w:ascii="Verdana" w:eastAsia="Times New Roman" w:hAnsi="Verdana" w:cs="Arial"/>
                <w:lang w:eastAsia="es-CO"/>
              </w:rPr>
            </w:pPr>
            <w:r w:rsidRPr="00A60D1C">
              <w:rPr>
                <w:rFonts w:ascii="Verdana" w:eastAsia="Times New Roman" w:hAnsi="Verdana" w:cs="Arial"/>
                <w:lang w:eastAsia="es-CO"/>
              </w:rPr>
              <w:t>En consecuencia, para determinar si una entidad estatal puede celebrar este tipo de contratos durante la vigencia de las prohibiciones de la denominada Ley de Garantías Electorales, es necesario verificar, en cada caso, la naturaleza jurídica del contrato, la modalidad de selección aplicable y el alcance de las restricciones establecidas en dicha ley.</w:t>
            </w:r>
          </w:p>
          <w:p w14:paraId="7D6374DC" w14:textId="77777777" w:rsidR="00E334D4" w:rsidRDefault="00E334D4" w:rsidP="00220A85">
            <w:pPr>
              <w:spacing w:before="120" w:line="276" w:lineRule="auto"/>
              <w:ind w:firstLine="708"/>
              <w:jc w:val="both"/>
              <w:rPr>
                <w:rFonts w:ascii="Verdana" w:eastAsia="Times New Roman" w:hAnsi="Verdana" w:cs="Arial"/>
                <w:lang w:eastAsia="es-CO"/>
              </w:rPr>
            </w:pPr>
            <w:r w:rsidRPr="00A60D1C">
              <w:rPr>
                <w:rFonts w:ascii="Verdana" w:eastAsia="Times New Roman" w:hAnsi="Verdana" w:cs="Arial"/>
                <w:lang w:eastAsia="es-CO"/>
              </w:rPr>
              <w:t>En este contexto, resulta pertinente recordar que la Ley 996 de 2005 contempla restricciones diferenciadas según el tipo de elección y la entidad contratante. Por una parte, el artículo 33 establece limitaciones a la contratación directa durante el período previo a las elecciones presidenciales y, por otra, el parágrafo del artículo 38 prevé restricciones específicas para los gobernadores, alcaldes, secretarios, gerentes y directores de entidades descentralizadas del orden territorial durante los cuatro meses anteriores a las elecciones de autoridades territoriales. En consecuencia, el análisis sobre la procedencia de la contratación de servicios artísticos durante la vigencia de la Ley de Garantías no depende exclusivamente del objeto contractual, sino también del régimen jurídico aplicable y de la restricción específica prevista para cada escenario electoral.</w:t>
            </w:r>
          </w:p>
          <w:p w14:paraId="6B87299C" w14:textId="77777777" w:rsidR="00E334D4" w:rsidRPr="00A60D1C" w:rsidRDefault="00E334D4" w:rsidP="00220A85">
            <w:pPr>
              <w:spacing w:before="120" w:line="276" w:lineRule="auto"/>
              <w:ind w:firstLine="708"/>
              <w:jc w:val="both"/>
              <w:rPr>
                <w:rFonts w:ascii="Verdana" w:eastAsia="Times New Roman" w:hAnsi="Verdana" w:cs="Arial"/>
                <w:lang w:eastAsia="es-CO"/>
              </w:rPr>
            </w:pPr>
            <w:r w:rsidRPr="008D6721">
              <w:rPr>
                <w:rStyle w:val="s15"/>
                <w:rFonts w:ascii="Verdana" w:hAnsi="Verdana"/>
                <w:color w:val="000000"/>
              </w:rPr>
              <w:t>Al margen de la explicación precedente, debe advertirse que el análisis requerido para resolver problemas específicos en torno a la gestión contractual de las entidades públicas debe ser realizado por quienes tengan interés en ello, de acuerdo con lo explicado en la aclaración preliminar del presente oficio.</w:t>
            </w:r>
            <w:r>
              <w:rPr>
                <w:rStyle w:val="s15"/>
                <w:rFonts w:ascii="Verdana" w:hAnsi="Verdana"/>
                <w:color w:val="000000"/>
              </w:rPr>
              <w:t xml:space="preserve"> Es decir</w:t>
            </w:r>
            <w:r w:rsidRPr="2297304B">
              <w:rPr>
                <w:rFonts w:ascii="Verdana" w:eastAsia="Aptos" w:hAnsi="Verdana" w:cs="Arial"/>
                <w:color w:val="000000"/>
                <w:kern w:val="2"/>
                <w:lang w:val="es-ES"/>
                <w14:ligatures w14:val="standardContextual"/>
              </w:rPr>
              <w:t xml:space="preserve">, corresponde a las entidades estatales y a los particulares revisar si </w:t>
            </w:r>
            <w:r w:rsidRPr="2297304B">
              <w:rPr>
                <w:rFonts w:ascii="Verdana" w:eastAsia="Aptos" w:hAnsi="Verdana" w:cs="Arial"/>
                <w:color w:val="000000"/>
                <w:kern w:val="2"/>
                <w:lang w:val="es-ES"/>
                <w14:ligatures w14:val="standardContextual"/>
              </w:rPr>
              <w:lastRenderedPageBreak/>
              <w:t>se presenta alguna situación que pueda derivar en el rechazo de la oferta o algún supuesto de inhabilidad o incompatibilidad que limite la participación en los procesos de contratación. Esto, con el fin de que adelanten las actuaciones procedentes, en el marco de sus competencias, de manera que se garantice el desarrollo adecuado del respectivo proceso.</w:t>
            </w:r>
            <w:r w:rsidRPr="008D6721">
              <w:rPr>
                <w:rStyle w:val="s15"/>
                <w:rFonts w:ascii="Verdana" w:hAnsi="Verdana"/>
                <w:color w:val="000000"/>
              </w:rPr>
              <w:t xml:space="preserve"> Por lo anterior, previo concepto de sus asesores, la solución de situaciones particulares corresponde a los interesados adoptar la decisión correspondiente y, en caso de conflicto, a las autoridades judiciales, fiscales y disciplinarias. Así, cada entidad definirá la forma de adelantar su gestión contractual, sin que sea atribución de Colombia Compra Eficiente validar sus actuaciones.</w:t>
            </w:r>
          </w:p>
        </w:tc>
      </w:tr>
    </w:tbl>
    <w:p w14:paraId="28129644" w14:textId="77777777" w:rsidR="00E334D4" w:rsidRPr="00A60D1C" w:rsidRDefault="00E334D4" w:rsidP="00E334D4">
      <w:pPr>
        <w:tabs>
          <w:tab w:val="left" w:pos="142"/>
          <w:tab w:val="left" w:pos="284"/>
        </w:tabs>
        <w:spacing w:after="0" w:line="276" w:lineRule="auto"/>
        <w:jc w:val="both"/>
        <w:rPr>
          <w:rFonts w:ascii="Verdana" w:eastAsia="Century Gothic" w:hAnsi="Verdana" w:cs="Century Gothic"/>
          <w:b/>
          <w:bCs/>
        </w:rPr>
      </w:pPr>
    </w:p>
    <w:p w14:paraId="6C1B767B" w14:textId="77777777" w:rsidR="00E334D4" w:rsidRPr="00A60D1C" w:rsidRDefault="00E334D4" w:rsidP="00E334D4">
      <w:pPr>
        <w:tabs>
          <w:tab w:val="left" w:pos="142"/>
          <w:tab w:val="left" w:pos="284"/>
        </w:tabs>
        <w:spacing w:after="0" w:line="276" w:lineRule="auto"/>
        <w:jc w:val="both"/>
        <w:rPr>
          <w:rFonts w:ascii="Verdana" w:eastAsia="Century Gothic" w:hAnsi="Verdana" w:cs="Century Gothic"/>
          <w:b/>
          <w:bCs/>
        </w:rPr>
      </w:pPr>
    </w:p>
    <w:p w14:paraId="749D4D55" w14:textId="77777777" w:rsidR="00E334D4" w:rsidRDefault="00E334D4" w:rsidP="00E334D4">
      <w:pPr>
        <w:tabs>
          <w:tab w:val="left" w:pos="142"/>
          <w:tab w:val="left" w:pos="284"/>
        </w:tabs>
        <w:spacing w:after="0" w:line="276" w:lineRule="auto"/>
        <w:jc w:val="both"/>
        <w:rPr>
          <w:rFonts w:ascii="Verdana" w:eastAsia="Century Gothic" w:hAnsi="Verdana" w:cs="Century Gothic"/>
          <w:b/>
          <w:bCs/>
        </w:rPr>
      </w:pPr>
      <w:r w:rsidRPr="0003322E">
        <w:rPr>
          <w:rFonts w:ascii="Verdana" w:eastAsia="Century Gothic" w:hAnsi="Verdana" w:cs="Century Gothic"/>
          <w:b/>
          <w:bCs/>
        </w:rPr>
        <w:t>3. Razones de la respuesta:</w:t>
      </w:r>
      <w:bookmarkStart w:id="1" w:name="_Hlk204854194"/>
    </w:p>
    <w:p w14:paraId="51ACB16F" w14:textId="77777777" w:rsidR="00E334D4" w:rsidRDefault="00E334D4" w:rsidP="00E334D4">
      <w:pPr>
        <w:tabs>
          <w:tab w:val="left" w:pos="142"/>
          <w:tab w:val="left" w:pos="284"/>
        </w:tabs>
        <w:spacing w:after="0" w:line="276" w:lineRule="auto"/>
        <w:jc w:val="both"/>
        <w:rPr>
          <w:rFonts w:ascii="Verdana" w:eastAsia="Century Gothic" w:hAnsi="Verdana" w:cs="Century Gothic"/>
          <w:b/>
          <w:bCs/>
        </w:rPr>
      </w:pPr>
    </w:p>
    <w:p w14:paraId="691FDD64" w14:textId="77777777" w:rsidR="00E334D4" w:rsidRPr="0003322E" w:rsidRDefault="00E334D4" w:rsidP="00E334D4">
      <w:pPr>
        <w:spacing w:afterLines="120" w:after="288" w:line="276" w:lineRule="auto"/>
        <w:jc w:val="both"/>
        <w:rPr>
          <w:rFonts w:ascii="Verdana" w:eastAsia="Calibri" w:hAnsi="Verdana" w:cs="Arial"/>
          <w:lang w:val="es-ES"/>
        </w:rPr>
      </w:pPr>
      <w:r w:rsidRPr="0003322E">
        <w:rPr>
          <w:rFonts w:ascii="Verdana" w:eastAsia="Calibri" w:hAnsi="Verdana" w:cs="Arial"/>
          <w:lang w:val="es-ES"/>
        </w:rPr>
        <w:t>Lo anterior se sustenta en las siguientes consideraciones:</w:t>
      </w:r>
    </w:p>
    <w:p w14:paraId="067D3F04" w14:textId="77777777" w:rsidR="00E334D4" w:rsidRPr="004D163B" w:rsidRDefault="00E334D4" w:rsidP="00E334D4">
      <w:pPr>
        <w:tabs>
          <w:tab w:val="left" w:pos="0"/>
        </w:tabs>
        <w:spacing w:line="276" w:lineRule="auto"/>
        <w:jc w:val="both"/>
        <w:rPr>
          <w:rFonts w:ascii="Verdana" w:eastAsia="Calibri" w:hAnsi="Verdana" w:cs="Arial"/>
          <w:color w:val="000000" w:themeColor="text1"/>
          <w:lang w:val="es-ES_tradnl"/>
        </w:rPr>
      </w:pPr>
      <w:r>
        <w:rPr>
          <w:rFonts w:ascii="Verdana" w:hAnsi="Verdana" w:cs="Arial"/>
          <w:color w:val="000000" w:themeColor="text1"/>
        </w:rPr>
        <w:t>i. En el marco del Estatuto General de Contratación de la Administración Pública–EGCAP–, la principal tipología aplicable para provisión de actividades artísticas es e</w:t>
      </w:r>
      <w:r w:rsidRPr="004D163B">
        <w:rPr>
          <w:rFonts w:ascii="Verdana" w:hAnsi="Verdana" w:cs="Arial"/>
          <w:color w:val="000000" w:themeColor="text1"/>
        </w:rPr>
        <w:t>l contrato de prestación de servicios</w:t>
      </w:r>
      <w:r>
        <w:rPr>
          <w:rFonts w:ascii="Verdana" w:hAnsi="Verdana" w:cs="Arial"/>
          <w:color w:val="000000" w:themeColor="text1"/>
        </w:rPr>
        <w:t>. Este</w:t>
      </w:r>
      <w:r w:rsidRPr="004D163B">
        <w:rPr>
          <w:rFonts w:ascii="Verdana" w:hAnsi="Verdana" w:cs="Arial"/>
          <w:color w:val="000000" w:themeColor="text1"/>
        </w:rPr>
        <w:t xml:space="preserve"> es un contrato estatal típico regulado en el artículo 32.3 de la Ley 80 de 1993. Es definido como aquel que “celebren las entidades estatales para desarrollar actividades relacionadas con la administración o funcionamiento de la entidad. Estos contratos sólo podrán celebrarse con personas naturales cuando dichas actividades no puedan realizarse con personal de planta o requieran conocimientos especializados. En ningún caso estos contratos generan relación laboral ni prestaciones sociales y se celebrarán por el término estrictamente indispensable”.</w:t>
      </w:r>
      <w:r w:rsidRPr="004D163B">
        <w:rPr>
          <w:rFonts w:ascii="Verdana" w:eastAsia="Calibri" w:hAnsi="Verdana" w:cs="Arial"/>
          <w:color w:val="000000" w:themeColor="text1"/>
          <w:lang w:val="es-ES_tradnl"/>
        </w:rPr>
        <w:t xml:space="preserve"> La celebración de dicho contrato debe efectuarse a través de la modalidad de contratación directa. Así lo dispone el artículo 2, numeral 4º, literal h), de la Ley 1150 de 2007:</w:t>
      </w:r>
    </w:p>
    <w:p w14:paraId="0DE72F55" w14:textId="77777777" w:rsidR="00E334D4" w:rsidRPr="00B93D8C" w:rsidRDefault="00E334D4" w:rsidP="00E334D4">
      <w:pPr>
        <w:spacing w:line="240" w:lineRule="auto"/>
        <w:ind w:left="709" w:right="758"/>
        <w:jc w:val="both"/>
        <w:rPr>
          <w:rFonts w:ascii="Verdana" w:eastAsia="Calibri" w:hAnsi="Verdana" w:cs="Arial"/>
          <w:color w:val="000000" w:themeColor="text1"/>
          <w:sz w:val="20"/>
          <w:szCs w:val="20"/>
        </w:rPr>
      </w:pPr>
      <w:r w:rsidRPr="00B93D8C">
        <w:rPr>
          <w:rFonts w:ascii="Verdana" w:eastAsia="Calibri" w:hAnsi="Verdana" w:cs="Arial"/>
          <w:color w:val="000000" w:themeColor="text1"/>
          <w:sz w:val="20"/>
          <w:szCs w:val="20"/>
        </w:rPr>
        <w:t>“La escogencia del contratista se efectuará con arreglo a las modalidades de selección de licitación pública, selección abreviada, concurso de méritos y contratación directa, con base en las siguientes reglas:</w:t>
      </w:r>
    </w:p>
    <w:p w14:paraId="790F902A" w14:textId="77777777" w:rsidR="00E334D4" w:rsidRPr="00B93D8C" w:rsidRDefault="00E334D4" w:rsidP="00E334D4">
      <w:pPr>
        <w:spacing w:after="120" w:line="240" w:lineRule="auto"/>
        <w:ind w:left="709" w:right="760"/>
        <w:jc w:val="both"/>
        <w:rPr>
          <w:rFonts w:ascii="Verdana" w:eastAsia="Calibri" w:hAnsi="Verdana" w:cs="Arial"/>
          <w:color w:val="000000" w:themeColor="text1"/>
          <w:sz w:val="20"/>
          <w:szCs w:val="20"/>
        </w:rPr>
      </w:pPr>
      <w:r w:rsidRPr="00B93D8C">
        <w:rPr>
          <w:rFonts w:ascii="Verdana" w:eastAsia="Calibri" w:hAnsi="Verdana" w:cs="Arial"/>
          <w:color w:val="000000" w:themeColor="text1"/>
          <w:sz w:val="20"/>
          <w:szCs w:val="20"/>
        </w:rPr>
        <w:t>[…]</w:t>
      </w:r>
    </w:p>
    <w:p w14:paraId="651A959D" w14:textId="77777777" w:rsidR="00E334D4" w:rsidRPr="00B93D8C" w:rsidRDefault="00E334D4" w:rsidP="00E334D4">
      <w:pPr>
        <w:spacing w:line="240" w:lineRule="auto"/>
        <w:ind w:left="709" w:right="758"/>
        <w:jc w:val="both"/>
        <w:rPr>
          <w:rFonts w:ascii="Verdana" w:eastAsia="Calibri" w:hAnsi="Verdana" w:cs="Arial"/>
          <w:color w:val="000000" w:themeColor="text1"/>
          <w:sz w:val="20"/>
          <w:szCs w:val="20"/>
        </w:rPr>
      </w:pPr>
      <w:r w:rsidRPr="00B93D8C">
        <w:rPr>
          <w:rFonts w:ascii="Verdana" w:eastAsia="Calibri" w:hAnsi="Verdana" w:cs="Arial"/>
          <w:color w:val="000000" w:themeColor="text1"/>
          <w:sz w:val="20"/>
          <w:szCs w:val="20"/>
        </w:rPr>
        <w:t>4. Contratación directa. La modalidad de selección de contratación directa solamente procederá en los siguientes casos:</w:t>
      </w:r>
    </w:p>
    <w:p w14:paraId="47EA99B4" w14:textId="77777777" w:rsidR="00E334D4" w:rsidRPr="00B93D8C" w:rsidRDefault="00E334D4" w:rsidP="00E334D4">
      <w:pPr>
        <w:spacing w:after="120" w:line="240" w:lineRule="auto"/>
        <w:ind w:left="709" w:right="760"/>
        <w:jc w:val="both"/>
        <w:rPr>
          <w:rFonts w:ascii="Verdana" w:eastAsia="Calibri" w:hAnsi="Verdana" w:cs="Arial"/>
          <w:color w:val="000000" w:themeColor="text1"/>
          <w:sz w:val="20"/>
          <w:szCs w:val="20"/>
        </w:rPr>
      </w:pPr>
      <w:r w:rsidRPr="00B93D8C">
        <w:rPr>
          <w:rFonts w:ascii="Verdana" w:eastAsia="Calibri" w:hAnsi="Verdana" w:cs="Arial"/>
          <w:color w:val="000000" w:themeColor="text1"/>
          <w:sz w:val="20"/>
          <w:szCs w:val="20"/>
        </w:rPr>
        <w:t>[…]</w:t>
      </w:r>
    </w:p>
    <w:p w14:paraId="0E1756ED" w14:textId="77777777" w:rsidR="00E334D4" w:rsidRPr="00B93D8C" w:rsidRDefault="00E334D4" w:rsidP="00E334D4">
      <w:pPr>
        <w:spacing w:line="240" w:lineRule="auto"/>
        <w:ind w:left="709" w:right="758"/>
        <w:jc w:val="both"/>
        <w:rPr>
          <w:rFonts w:ascii="Verdana" w:eastAsia="Calibri" w:hAnsi="Verdana" w:cs="Arial"/>
          <w:color w:val="000000" w:themeColor="text1"/>
          <w:sz w:val="20"/>
          <w:szCs w:val="20"/>
        </w:rPr>
      </w:pPr>
      <w:r w:rsidRPr="00B93D8C">
        <w:rPr>
          <w:rFonts w:ascii="Verdana" w:eastAsia="Calibri" w:hAnsi="Verdana" w:cs="Arial"/>
          <w:color w:val="000000" w:themeColor="text1"/>
          <w:sz w:val="20"/>
          <w:szCs w:val="20"/>
        </w:rPr>
        <w:lastRenderedPageBreak/>
        <w:t>h) Para la prestación de servicios profesionales y de apoyo a la gestión, o para la ejecución de trabajos artísticos que sólo puedan encomendarse a determinadas personas naturales”.</w:t>
      </w:r>
    </w:p>
    <w:p w14:paraId="306E6EFB" w14:textId="77777777" w:rsidR="00E334D4" w:rsidRPr="004D163B" w:rsidRDefault="00E334D4" w:rsidP="00E334D4">
      <w:pPr>
        <w:tabs>
          <w:tab w:val="left" w:pos="0"/>
        </w:tabs>
        <w:spacing w:line="276" w:lineRule="auto"/>
        <w:jc w:val="both"/>
        <w:rPr>
          <w:rFonts w:ascii="Verdana" w:hAnsi="Verdana" w:cs="Arial"/>
          <w:noProof/>
          <w:lang w:val="es-ES_tradnl"/>
        </w:rPr>
      </w:pPr>
      <w:r w:rsidRPr="004D163B">
        <w:rPr>
          <w:rFonts w:ascii="Verdana" w:hAnsi="Verdana" w:cs="Arial"/>
          <w:noProof/>
          <w:lang w:val="es-ES_tradnl"/>
        </w:rPr>
        <w:tab/>
      </w:r>
      <w:r w:rsidRPr="004D163B">
        <w:rPr>
          <w:rFonts w:ascii="Verdana" w:hAnsi="Verdana" w:cs="Arial"/>
          <w:color w:val="000000" w:themeColor="text1"/>
          <w:lang w:val="es-ES_tradnl"/>
        </w:rPr>
        <w:t>A partir de las disposiciones citadas y de los pronunciamientos judiciales más destacados sobre el tema, es posible señalar las siguientes características del contrato de prestación de servicios</w:t>
      </w:r>
      <w:r w:rsidRPr="004D163B">
        <w:rPr>
          <w:rFonts w:ascii="Verdana" w:hAnsi="Verdana" w:cs="Arial"/>
          <w:noProof/>
          <w:lang w:val="es-ES_tradnl"/>
        </w:rPr>
        <w:t>:</w:t>
      </w:r>
    </w:p>
    <w:p w14:paraId="17A46575" w14:textId="77777777" w:rsidR="00E334D4" w:rsidRPr="004D163B" w:rsidRDefault="00E334D4" w:rsidP="00E334D4">
      <w:pPr>
        <w:spacing w:before="120" w:line="276" w:lineRule="auto"/>
        <w:ind w:firstLine="709"/>
        <w:jc w:val="both"/>
        <w:rPr>
          <w:rFonts w:ascii="Verdana" w:hAnsi="Verdana" w:cs="Arial"/>
          <w:noProof/>
          <w:lang w:val="es-ES_tradnl"/>
        </w:rPr>
      </w:pPr>
      <w:r w:rsidRPr="004D163B">
        <w:rPr>
          <w:rFonts w:ascii="Verdana" w:hAnsi="Verdana" w:cs="Arial"/>
          <w:noProof/>
          <w:lang w:val="es-ES_tradnl"/>
        </w:rPr>
        <w:t>i) Solo puede celebrarse para realizar “actividades relacionadas con la administración o funcionamiento de la entidad”, es decir, que hagan parte de su giro ordinario o quehacer cotidiano.</w:t>
      </w:r>
    </w:p>
    <w:p w14:paraId="18D4FDEB" w14:textId="77777777" w:rsidR="00E334D4" w:rsidRPr="004D163B" w:rsidRDefault="00E334D4" w:rsidP="00E334D4">
      <w:pPr>
        <w:spacing w:before="120" w:line="276" w:lineRule="auto"/>
        <w:ind w:firstLine="709"/>
        <w:jc w:val="both"/>
        <w:rPr>
          <w:rFonts w:ascii="Verdana" w:hAnsi="Verdana" w:cs="Arial"/>
          <w:noProof/>
          <w:lang w:val="es-ES_tradnl"/>
        </w:rPr>
      </w:pPr>
      <w:r w:rsidRPr="004D163B">
        <w:rPr>
          <w:rFonts w:ascii="Verdana" w:hAnsi="Verdana" w:cs="Arial"/>
          <w:noProof/>
          <w:lang w:val="es-ES_tradnl"/>
        </w:rPr>
        <w:t>ii) Admite que se suscriba con personas naturales o jurídicas. Sin embargo, cuando se celebre con aquellas, la entidad estatal debe justificar, en los estudios previos, que las actividades “no puedan realizarse con personal de planta o requieran conocimientos especializados”. Esto sucede en varios eventos, por ejemplo, cuando no exista personal de planta para ejecutar las labores; o existiendo, está sobrecargado de trabajo, necesitando apoyo externo; o habiendo personal de planta, carece de la experticia o conocimiento especializado, razón por la cual es necesario contratar los servicios de una persona natural que tenga el conocimiento y la experiencia en el tema.</w:t>
      </w:r>
    </w:p>
    <w:p w14:paraId="3E1DCDA1" w14:textId="77777777" w:rsidR="00E334D4" w:rsidRPr="004D163B" w:rsidRDefault="00E334D4" w:rsidP="00E334D4">
      <w:pPr>
        <w:spacing w:before="120" w:line="276" w:lineRule="auto"/>
        <w:ind w:firstLine="709"/>
        <w:jc w:val="both"/>
        <w:rPr>
          <w:rFonts w:ascii="Verdana" w:hAnsi="Verdana" w:cs="Arial"/>
          <w:noProof/>
          <w:lang w:val="es-ES_tradnl"/>
        </w:rPr>
      </w:pPr>
      <w:r w:rsidRPr="004D163B">
        <w:rPr>
          <w:rFonts w:ascii="Verdana" w:hAnsi="Verdana" w:cs="Arial"/>
          <w:noProof/>
          <w:lang w:val="es-ES_tradnl"/>
        </w:rPr>
        <w:t xml:space="preserve">iii) Si bien se celebran para obtener la prestación personal de un servicio, se diferencian del contrato de trabajo en que quien celebra el contrato de prestación de servicios debe mantener autonomía e independencia en la ejecución de la labor, lo que significa que no debe existir </w:t>
      </w:r>
      <w:r w:rsidRPr="004D163B">
        <w:rPr>
          <w:rFonts w:ascii="Verdana" w:hAnsi="Verdana" w:cs="Arial"/>
          <w:i/>
          <w:noProof/>
          <w:lang w:val="es-ES_tradnl"/>
        </w:rPr>
        <w:t xml:space="preserve">subordinación </w:t>
      </w:r>
      <w:r w:rsidRPr="004D163B">
        <w:rPr>
          <w:rFonts w:ascii="Verdana" w:hAnsi="Verdana" w:cs="Arial"/>
          <w:iCs/>
          <w:noProof/>
          <w:lang w:val="es-ES_tradnl"/>
        </w:rPr>
        <w:t>ni</w:t>
      </w:r>
      <w:r w:rsidRPr="004D163B">
        <w:rPr>
          <w:rFonts w:ascii="Verdana" w:hAnsi="Verdana" w:cs="Arial"/>
          <w:i/>
          <w:noProof/>
          <w:lang w:val="es-ES_tradnl"/>
        </w:rPr>
        <w:t xml:space="preserve"> dependencia</w:t>
      </w:r>
      <w:r w:rsidRPr="004D163B">
        <w:rPr>
          <w:rFonts w:ascii="Verdana" w:hAnsi="Verdana" w:cs="Arial"/>
          <w:iCs/>
          <w:noProof/>
          <w:lang w:val="es-ES_tradnl"/>
        </w:rPr>
        <w:t>,</w:t>
      </w:r>
      <w:r w:rsidRPr="004D163B">
        <w:rPr>
          <w:rFonts w:ascii="Verdana" w:hAnsi="Verdana" w:cs="Arial"/>
          <w:noProof/>
          <w:lang w:val="es-ES_tradnl"/>
        </w:rPr>
        <w:t xml:space="preserve"> que es uno de los elementos constitutivos del vínculo laboral</w:t>
      </w:r>
      <w:r w:rsidRPr="004D163B">
        <w:rPr>
          <w:rStyle w:val="Refdenotaalpie"/>
          <w:rFonts w:ascii="Verdana" w:hAnsi="Verdana" w:cs="Arial"/>
          <w:noProof/>
          <w:lang w:val="es-ES_tradnl"/>
        </w:rPr>
        <w:footnoteReference w:id="1"/>
      </w:r>
      <w:r w:rsidRPr="004D163B">
        <w:rPr>
          <w:rFonts w:ascii="Verdana" w:hAnsi="Verdana" w:cs="Arial"/>
          <w:noProof/>
          <w:lang w:val="es-ES_tradnl"/>
        </w:rPr>
        <w:t xml:space="preserve">. Por eso, el artículo 32, numeral 3º, de la Ley 80 de 1993 establece que “En ningún caso estos contratos generan relación laboral ni prestaciones sociales”. Este inciso, más que un enunciado que aluda al “ser”, se refiere al “deber ser”, pues debe interpretarse en el sentido de que los contratos de prestación de servicios profesionales </w:t>
      </w:r>
      <w:r w:rsidRPr="004D163B">
        <w:rPr>
          <w:rFonts w:ascii="Verdana" w:hAnsi="Verdana" w:cs="Arial"/>
          <w:i/>
          <w:noProof/>
          <w:lang w:val="es-ES_tradnl"/>
        </w:rPr>
        <w:t>no pueden</w:t>
      </w:r>
      <w:r w:rsidRPr="004D163B">
        <w:rPr>
          <w:rFonts w:ascii="Verdana" w:hAnsi="Verdana" w:cs="Arial"/>
          <w:noProof/>
          <w:lang w:val="es-ES_tradnl"/>
        </w:rPr>
        <w:t xml:space="preserve"> generar relación laboral, ni dar lugar a que las entidades estatales paguen por su cuenta los aportes al Sistema de Seguridad Social Integral del contratista. Tal como se indicó, no puede existir subordinación y </w:t>
      </w:r>
      <w:r w:rsidRPr="004D163B">
        <w:rPr>
          <w:rFonts w:ascii="Verdana" w:hAnsi="Verdana" w:cs="Arial"/>
          <w:noProof/>
          <w:lang w:val="es-ES_tradnl"/>
        </w:rPr>
        <w:lastRenderedPageBreak/>
        <w:t>dependencia; entonces, la relación laboral está proscrita y el contratista es quien, como “trabajador independiente” –como lo califican las normas de la seguridad social– debe cotizar por su cuenta y riesgo al Sistema de Seguridad Social Integral</w:t>
      </w:r>
      <w:r w:rsidRPr="004D163B">
        <w:rPr>
          <w:rStyle w:val="Refdenotaalpie"/>
          <w:rFonts w:ascii="Verdana" w:hAnsi="Verdana" w:cs="Arial"/>
          <w:noProof/>
          <w:lang w:val="es-ES_tradnl"/>
        </w:rPr>
        <w:footnoteReference w:id="2"/>
      </w:r>
      <w:r w:rsidRPr="004D163B">
        <w:rPr>
          <w:rFonts w:ascii="Verdana" w:hAnsi="Verdana" w:cs="Arial"/>
          <w:noProof/>
          <w:lang w:val="es-ES_tradnl"/>
        </w:rPr>
        <w:t xml:space="preserve">. </w:t>
      </w:r>
    </w:p>
    <w:p w14:paraId="1866683E" w14:textId="77777777" w:rsidR="00E334D4" w:rsidRPr="004D163B" w:rsidRDefault="00E334D4" w:rsidP="00E334D4">
      <w:pPr>
        <w:spacing w:before="120" w:line="276" w:lineRule="auto"/>
        <w:ind w:firstLine="709"/>
        <w:jc w:val="both"/>
        <w:rPr>
          <w:rFonts w:ascii="Verdana" w:hAnsi="Verdana" w:cs="Arial"/>
          <w:noProof/>
          <w:lang w:val="es-ES_tradnl"/>
        </w:rPr>
      </w:pPr>
      <w:r w:rsidRPr="004D163B">
        <w:rPr>
          <w:rFonts w:ascii="Verdana" w:hAnsi="Verdana" w:cs="Arial"/>
          <w:noProof/>
          <w:lang w:val="es-ES_tradnl"/>
        </w:rPr>
        <w:t xml:space="preserve">A pesar de este mandato deontológico, es posible que en la práctica se configure una relación laboral, pues el contrato de trabajo es </w:t>
      </w:r>
      <w:r w:rsidRPr="004D163B">
        <w:rPr>
          <w:rFonts w:ascii="Verdana" w:hAnsi="Verdana" w:cs="Arial"/>
          <w:i/>
          <w:iCs/>
          <w:noProof/>
          <w:lang w:val="es-ES_tradnl"/>
        </w:rPr>
        <w:t xml:space="preserve">de </w:t>
      </w:r>
      <w:r w:rsidRPr="004D163B">
        <w:rPr>
          <w:rFonts w:ascii="Verdana" w:hAnsi="Verdana" w:cs="Arial"/>
          <w:i/>
          <w:noProof/>
          <w:lang w:val="es-ES_tradnl"/>
        </w:rPr>
        <w:t>realidad</w:t>
      </w:r>
      <w:r w:rsidRPr="004D163B">
        <w:rPr>
          <w:rFonts w:ascii="Verdana" w:hAnsi="Verdana" w:cs="Arial"/>
          <w:noProof/>
          <w:lang w:val="es-ES_tradnl"/>
        </w:rPr>
        <w:t>, y para perfeccionarlo rige el principio de prevalencia de la realidad sobre las formalidades. En el sentido anterior, la Corte Constitucional declaró la exequibilidad condicionada del segundo inciso del numeral 3º del artículo 32, indicando que “las expresiones acusadas del numeral 3º del artículo 32 de la Ley 80 de 1993, no vulneran los preceptos constitucionales, razón por la cual deberán ser declaradas exequibles, salvo que se acredite por parte del contratista la existencia de una relación laboral subordinada”</w:t>
      </w:r>
      <w:r w:rsidRPr="004D163B">
        <w:rPr>
          <w:rStyle w:val="Refdenotaalpie"/>
          <w:rFonts w:ascii="Verdana" w:hAnsi="Verdana" w:cs="Arial"/>
          <w:noProof/>
          <w:lang w:val="es-ES_tradnl"/>
        </w:rPr>
        <w:footnoteReference w:id="3"/>
      </w:r>
      <w:r w:rsidRPr="004D163B">
        <w:rPr>
          <w:rFonts w:ascii="Verdana" w:hAnsi="Verdana" w:cs="Arial"/>
          <w:noProof/>
          <w:lang w:val="es-ES_tradnl"/>
        </w:rPr>
        <w:t>.</w:t>
      </w:r>
    </w:p>
    <w:p w14:paraId="2BB9C254" w14:textId="77777777" w:rsidR="00E334D4" w:rsidRPr="004D163B" w:rsidRDefault="00E334D4" w:rsidP="00E334D4">
      <w:pPr>
        <w:spacing w:before="120" w:line="276" w:lineRule="auto"/>
        <w:ind w:firstLine="709"/>
        <w:jc w:val="both"/>
        <w:rPr>
          <w:rFonts w:ascii="Verdana" w:hAnsi="Verdana" w:cs="Arial"/>
          <w:noProof/>
          <w:lang w:val="es-ES_tradnl"/>
        </w:rPr>
      </w:pPr>
      <w:r w:rsidRPr="004D163B">
        <w:rPr>
          <w:rFonts w:ascii="Verdana" w:hAnsi="Verdana" w:cs="Arial"/>
          <w:noProof/>
          <w:lang w:val="es-ES_tradnl"/>
        </w:rPr>
        <w:t xml:space="preserve">iv) Deben ser temporales. Así lo consideró la Corte Constitucional en la misma providencia a la que se aludió antes, expresando que: “La vigencia del contrato es temporal y, por lo tanto, su duración debe ser por tiempo limitado y el indispensable para ejecutar el objeto contractual convenido. En el caso de que las actividades con ellos atendidas demanden una permanencia mayor e indefinida, excediendo su carácter excepcional y temporal para convertirse en ordinario y permanente, será necesario que la respectiva entidad adopte las medidas y provisiones pertinentes a fin de que se dé cabal cumplimiento a lo previsto en el artículo 122 de la Carta Política, según el cual se requiere que el </w:t>
      </w:r>
      <w:r w:rsidRPr="004D163B">
        <w:rPr>
          <w:rFonts w:ascii="Verdana" w:hAnsi="Verdana" w:cs="Arial"/>
          <w:noProof/>
          <w:lang w:val="es-ES_tradnl"/>
        </w:rPr>
        <w:lastRenderedPageBreak/>
        <w:t>empleo público quede contemplado en la respectiva planta y previstos sus emolumentos en el presupuesto correspondiente”</w:t>
      </w:r>
      <w:r w:rsidRPr="004D163B">
        <w:rPr>
          <w:rStyle w:val="Refdenotaalpie"/>
          <w:rFonts w:ascii="Verdana" w:hAnsi="Verdana" w:cs="Arial"/>
          <w:noProof/>
          <w:lang w:val="es-ES_tradnl"/>
        </w:rPr>
        <w:footnoteReference w:id="4"/>
      </w:r>
      <w:r w:rsidRPr="004D163B">
        <w:rPr>
          <w:rFonts w:ascii="Verdana" w:hAnsi="Verdana" w:cs="Arial"/>
          <w:noProof/>
          <w:lang w:val="es-ES_tradnl"/>
        </w:rPr>
        <w:t>.</w:t>
      </w:r>
    </w:p>
    <w:p w14:paraId="7064BE3B" w14:textId="0869DD5F" w:rsidR="00E334D4" w:rsidRDefault="00E334D4" w:rsidP="000C6587">
      <w:pPr>
        <w:spacing w:after="120" w:line="276" w:lineRule="auto"/>
        <w:ind w:firstLine="709"/>
        <w:jc w:val="both"/>
        <w:rPr>
          <w:rFonts w:ascii="Verdana" w:hAnsi="Verdana" w:cs="Arial"/>
          <w:noProof/>
          <w:lang w:val="es-ES_tradnl"/>
        </w:rPr>
      </w:pPr>
      <w:r w:rsidRPr="004D163B">
        <w:rPr>
          <w:rFonts w:ascii="Verdana" w:hAnsi="Verdana" w:cs="Arial"/>
          <w:noProof/>
          <w:lang w:val="es-ES_tradnl"/>
        </w:rPr>
        <w:t>v) Se celebran a través de la modalidad de contratación directa, independientemente de la cuantía y del tipo de servicio profesional, siempre que su objeto no sea la consultoría. Esto por cuanto, como lo indicó el Consejo de Estado en la sentencia de unificación jurisprudencial, si bien en ambos existe un componente intelectual y profesional, el objeto del contrato de consultoría es especial y debe celebrarse, por regla general, mediante un concurso de méritos</w:t>
      </w:r>
      <w:r w:rsidRPr="004D163B">
        <w:rPr>
          <w:rStyle w:val="Refdenotaalpie"/>
          <w:rFonts w:ascii="Verdana" w:hAnsi="Verdana" w:cs="Arial"/>
          <w:noProof/>
          <w:lang w:val="es-ES_tradnl"/>
        </w:rPr>
        <w:footnoteReference w:id="5"/>
      </w:r>
      <w:r w:rsidRPr="004D163B">
        <w:rPr>
          <w:rFonts w:ascii="Verdana" w:hAnsi="Verdana" w:cs="Arial"/>
          <w:noProof/>
          <w:lang w:val="es-ES_tradnl"/>
        </w:rPr>
        <w:t>.</w:t>
      </w:r>
    </w:p>
    <w:p w14:paraId="0CDFBBB2" w14:textId="605E4666" w:rsidR="00E334D4" w:rsidRDefault="00E334D4" w:rsidP="00E334D4">
      <w:pPr>
        <w:spacing w:after="120" w:line="276" w:lineRule="auto"/>
        <w:jc w:val="both"/>
        <w:rPr>
          <w:rFonts w:ascii="Verdana" w:hAnsi="Verdana" w:cs="Arial"/>
          <w:noProof/>
          <w:lang w:val="es-ES_tradnl"/>
        </w:rPr>
      </w:pPr>
      <w:r w:rsidRPr="004D163B">
        <w:rPr>
          <w:rFonts w:ascii="Verdana" w:hAnsi="Verdana" w:cs="Arial"/>
          <w:noProof/>
          <w:lang w:val="es-ES_tradnl"/>
        </w:rPr>
        <w:t xml:space="preserve"> Debe aclararse que no debe suscribirse un contrato de prestación de servicios profesionales para ejecutar actividades que se enmarcan en los otros contratos tipificados en el artículo 32 de la Ley 80 de 1993, como, por ejemplo, la construcción de una obra.</w:t>
      </w:r>
    </w:p>
    <w:p w14:paraId="7E305475" w14:textId="77777777" w:rsidR="00E334D4" w:rsidRPr="004D163B" w:rsidRDefault="00E334D4" w:rsidP="00E334D4">
      <w:pPr>
        <w:spacing w:after="120" w:line="276" w:lineRule="auto"/>
        <w:ind w:firstLine="709"/>
        <w:jc w:val="both"/>
        <w:rPr>
          <w:rFonts w:ascii="Verdana" w:hAnsi="Verdana" w:cs="Arial"/>
          <w:noProof/>
          <w:lang w:val="es-ES_tradnl"/>
        </w:rPr>
      </w:pPr>
      <w:r w:rsidRPr="004D163B">
        <w:rPr>
          <w:rFonts w:ascii="Verdana" w:hAnsi="Verdana" w:cs="Arial"/>
          <w:noProof/>
          <w:lang w:val="es-ES_tradnl"/>
        </w:rPr>
        <w:t>vi) Para celebrarlo no se requiere expedir un acto administrativo de justificación de la contratación directa</w:t>
      </w:r>
      <w:r w:rsidRPr="004D163B">
        <w:rPr>
          <w:rStyle w:val="Refdenotaalpie"/>
          <w:rFonts w:ascii="Verdana" w:hAnsi="Verdana" w:cs="Arial"/>
          <w:noProof/>
          <w:lang w:val="es-ES_tradnl"/>
        </w:rPr>
        <w:footnoteReference w:id="6"/>
      </w:r>
      <w:r w:rsidRPr="004D163B">
        <w:rPr>
          <w:rFonts w:ascii="Verdana" w:hAnsi="Verdana" w:cs="Arial"/>
          <w:noProof/>
          <w:lang w:val="es-ES_tradnl"/>
        </w:rPr>
        <w:t>.</w:t>
      </w:r>
    </w:p>
    <w:p w14:paraId="1F250092" w14:textId="77777777" w:rsidR="00E334D4" w:rsidRPr="004D163B" w:rsidRDefault="00E334D4" w:rsidP="00E334D4">
      <w:pPr>
        <w:spacing w:before="120" w:line="276" w:lineRule="auto"/>
        <w:ind w:firstLine="709"/>
        <w:jc w:val="both"/>
        <w:rPr>
          <w:rFonts w:ascii="Verdana" w:hAnsi="Verdana" w:cs="Arial"/>
          <w:noProof/>
          <w:lang w:val="es-ES_tradnl"/>
        </w:rPr>
      </w:pPr>
      <w:r w:rsidRPr="004D163B">
        <w:rPr>
          <w:rFonts w:ascii="Verdana" w:hAnsi="Verdana" w:cs="Arial"/>
          <w:noProof/>
          <w:lang w:val="es-ES_tradnl"/>
        </w:rPr>
        <w:t xml:space="preserve">vii) El contrato admite la inclusión de cláusulas excepcionales. En los contratos de prestación de servicios se puede pactar la caducidad, la modificación, interpretación o terminación unilateral, como acuerdos o elementos accidentales, así que para ejercer estas exorbitancias deben incluirse </w:t>
      </w:r>
      <w:r w:rsidRPr="004D163B">
        <w:rPr>
          <w:rFonts w:ascii="Verdana" w:hAnsi="Verdana" w:cs="Arial"/>
          <w:noProof/>
          <w:lang w:val="es-ES_tradnl"/>
        </w:rPr>
        <w:lastRenderedPageBreak/>
        <w:t>expresamente, porque no se entienden pactadas por naturaleza. Así se infiere del artículo 14, numeral 2º, de la Ley 80 de 1993</w:t>
      </w:r>
      <w:r w:rsidRPr="004D163B">
        <w:rPr>
          <w:rStyle w:val="Refdenotaalpie"/>
          <w:rFonts w:ascii="Verdana" w:hAnsi="Verdana" w:cs="Arial"/>
          <w:noProof/>
          <w:lang w:val="es-ES_tradnl"/>
        </w:rPr>
        <w:footnoteReference w:id="7"/>
      </w:r>
      <w:r w:rsidRPr="004D163B">
        <w:rPr>
          <w:rFonts w:ascii="Verdana" w:hAnsi="Verdana" w:cs="Arial"/>
          <w:noProof/>
          <w:lang w:val="es-ES_tradnl"/>
        </w:rPr>
        <w:t>.</w:t>
      </w:r>
    </w:p>
    <w:p w14:paraId="6993A273" w14:textId="77777777" w:rsidR="00E334D4" w:rsidRPr="004D163B" w:rsidRDefault="00E334D4" w:rsidP="00E334D4">
      <w:pPr>
        <w:spacing w:before="120" w:line="276" w:lineRule="auto"/>
        <w:ind w:firstLine="709"/>
        <w:jc w:val="both"/>
        <w:rPr>
          <w:rFonts w:ascii="Verdana" w:hAnsi="Verdana" w:cs="Arial"/>
          <w:noProof/>
          <w:lang w:val="es-ES_tradnl"/>
        </w:rPr>
      </w:pPr>
      <w:r w:rsidRPr="004D163B">
        <w:rPr>
          <w:rFonts w:ascii="Verdana" w:hAnsi="Verdana" w:cs="Arial"/>
          <w:noProof/>
          <w:lang w:val="es-ES_tradnl"/>
        </w:rPr>
        <w:t>viii) No es obligatorio liquidar estos contratos, como lo establece el artículo 217 del Decreto 019 de 2012, que modificó el artículo 60 de la Ley 80 de 1993</w:t>
      </w:r>
      <w:r w:rsidRPr="004D163B">
        <w:rPr>
          <w:rStyle w:val="Refdenotaalpie"/>
          <w:rFonts w:ascii="Verdana" w:hAnsi="Verdana" w:cs="Arial"/>
          <w:noProof/>
          <w:lang w:val="es-ES_tradnl"/>
        </w:rPr>
        <w:footnoteReference w:id="8"/>
      </w:r>
    </w:p>
    <w:p w14:paraId="5FCC0592" w14:textId="77777777" w:rsidR="00E334D4" w:rsidRPr="004D163B" w:rsidRDefault="00E334D4" w:rsidP="00E334D4">
      <w:pPr>
        <w:spacing w:before="120" w:line="276" w:lineRule="auto"/>
        <w:ind w:firstLine="709"/>
        <w:jc w:val="both"/>
        <w:rPr>
          <w:rFonts w:ascii="Verdana" w:hAnsi="Verdana" w:cs="Arial"/>
          <w:noProof/>
          <w:lang w:val="es-ES_tradnl"/>
        </w:rPr>
      </w:pPr>
      <w:r w:rsidRPr="004D163B">
        <w:rPr>
          <w:rFonts w:ascii="Verdana" w:hAnsi="Verdana" w:cs="Arial"/>
          <w:noProof/>
          <w:lang w:val="es-ES_tradnl"/>
        </w:rPr>
        <w:t>ix) Para celebrarlos no se requiere estar inscrito en el Registro Único de Proponentes –RUP–, como lo señala el artículo 6 de la Ley 1150 de 2007</w:t>
      </w:r>
      <w:r w:rsidRPr="004D163B">
        <w:rPr>
          <w:rStyle w:val="Refdenotaalpie"/>
          <w:rFonts w:ascii="Verdana" w:hAnsi="Verdana" w:cs="Arial"/>
          <w:noProof/>
          <w:lang w:val="es-ES_tradnl"/>
        </w:rPr>
        <w:footnoteReference w:id="9"/>
      </w:r>
      <w:r w:rsidRPr="004D163B">
        <w:rPr>
          <w:rFonts w:ascii="Verdana" w:hAnsi="Verdana" w:cs="Arial"/>
          <w:noProof/>
          <w:lang w:val="es-ES_tradnl"/>
        </w:rPr>
        <w:t>.</w:t>
      </w:r>
    </w:p>
    <w:p w14:paraId="30FE8C2E" w14:textId="77777777" w:rsidR="00E334D4" w:rsidRPr="004D163B" w:rsidRDefault="00E334D4" w:rsidP="00E334D4">
      <w:pPr>
        <w:spacing w:before="120" w:line="276" w:lineRule="auto"/>
        <w:ind w:firstLine="708"/>
        <w:jc w:val="both"/>
        <w:rPr>
          <w:rFonts w:ascii="Verdana" w:hAnsi="Verdana" w:cs="Arial"/>
          <w:noProof/>
          <w:lang w:val="es-ES_tradnl"/>
        </w:rPr>
      </w:pPr>
      <w:r w:rsidRPr="004D163B">
        <w:rPr>
          <w:rFonts w:ascii="Verdana" w:hAnsi="Verdana" w:cs="Arial"/>
          <w:noProof/>
          <w:lang w:val="es-ES_tradnl"/>
        </w:rPr>
        <w:t>x) No es necesario que el Estado exija garantías</w:t>
      </w:r>
      <w:r w:rsidRPr="004D163B">
        <w:rPr>
          <w:rStyle w:val="Refdenotaalpie"/>
          <w:rFonts w:ascii="Verdana" w:hAnsi="Verdana" w:cs="Arial"/>
          <w:noProof/>
          <w:lang w:val="es-ES_tradnl"/>
        </w:rPr>
        <w:footnoteReference w:id="10"/>
      </w:r>
      <w:r w:rsidRPr="004D163B">
        <w:rPr>
          <w:rFonts w:ascii="Verdana" w:hAnsi="Verdana" w:cs="Arial"/>
          <w:noProof/>
          <w:lang w:val="es-ES_tradnl"/>
        </w:rPr>
        <w:t>.</w:t>
      </w:r>
    </w:p>
    <w:p w14:paraId="305487E5" w14:textId="77777777" w:rsidR="00E334D4" w:rsidRPr="004D163B" w:rsidRDefault="00E334D4" w:rsidP="00E334D4">
      <w:pPr>
        <w:tabs>
          <w:tab w:val="left" w:pos="0"/>
        </w:tabs>
        <w:spacing w:before="120" w:line="276" w:lineRule="auto"/>
        <w:ind w:firstLine="709"/>
        <w:jc w:val="both"/>
        <w:rPr>
          <w:rFonts w:ascii="Verdana" w:hAnsi="Verdana" w:cs="Arial"/>
          <w:color w:val="000000" w:themeColor="text1"/>
        </w:rPr>
      </w:pPr>
      <w:r w:rsidRPr="004D163B">
        <w:rPr>
          <w:rFonts w:ascii="Verdana" w:hAnsi="Verdana" w:cs="Arial"/>
          <w:color w:val="000000" w:themeColor="text1"/>
        </w:rPr>
        <w:t xml:space="preserve">Ahora bien, como especies del género </w:t>
      </w:r>
      <w:r w:rsidRPr="004D163B">
        <w:rPr>
          <w:rFonts w:ascii="Verdana" w:hAnsi="Verdana" w:cs="Arial"/>
          <w:i/>
          <w:color w:val="000000" w:themeColor="text1"/>
        </w:rPr>
        <w:t>prestación de servicios,</w:t>
      </w:r>
      <w:r w:rsidRPr="004D163B">
        <w:rPr>
          <w:rFonts w:ascii="Verdana" w:hAnsi="Verdana" w:cs="Arial"/>
          <w:color w:val="000000" w:themeColor="text1"/>
        </w:rPr>
        <w:t xml:space="preserve"> se incluyen </w:t>
      </w:r>
      <w:r w:rsidRPr="004D163B">
        <w:rPr>
          <w:rFonts w:ascii="Verdana" w:hAnsi="Verdana" w:cs="Arial"/>
          <w:color w:val="000000" w:themeColor="text1"/>
          <w:lang w:val="es-ES_tradnl"/>
        </w:rPr>
        <w:t xml:space="preserve">los </w:t>
      </w:r>
      <w:r w:rsidRPr="004D163B">
        <w:rPr>
          <w:rFonts w:ascii="Verdana" w:hAnsi="Verdana" w:cs="Arial"/>
          <w:i/>
          <w:iCs/>
          <w:color w:val="000000" w:themeColor="text1"/>
          <w:lang w:val="es-ES_tradnl"/>
        </w:rPr>
        <w:t>contratos de prestación de servicios profesionales, los contratos de prestación de servicios apoyo a la gestión</w:t>
      </w:r>
      <w:r w:rsidRPr="004D163B">
        <w:rPr>
          <w:rFonts w:ascii="Verdana" w:hAnsi="Verdana" w:cs="Arial"/>
          <w:color w:val="000000" w:themeColor="text1"/>
          <w:lang w:val="es-ES_tradnl"/>
        </w:rPr>
        <w:t xml:space="preserve"> y los </w:t>
      </w:r>
      <w:r w:rsidRPr="004D163B">
        <w:rPr>
          <w:rFonts w:ascii="Verdana" w:hAnsi="Verdana" w:cs="Arial"/>
          <w:i/>
          <w:iCs/>
          <w:color w:val="000000" w:themeColor="text1"/>
          <w:lang w:val="es-ES_tradnl"/>
        </w:rPr>
        <w:t xml:space="preserve">contratos de prestación de servicios artísticos que solo pueden encomendarse a determinadas personas </w:t>
      </w:r>
      <w:r w:rsidRPr="004D163B">
        <w:rPr>
          <w:rFonts w:ascii="Verdana" w:hAnsi="Verdana" w:cs="Arial"/>
          <w:i/>
          <w:iCs/>
          <w:color w:val="000000" w:themeColor="text1"/>
          <w:lang w:val="es-ES_tradnl"/>
        </w:rPr>
        <w:lastRenderedPageBreak/>
        <w:t>naturales</w:t>
      </w:r>
      <w:r w:rsidRPr="004D163B">
        <w:rPr>
          <w:rFonts w:ascii="Verdana" w:hAnsi="Verdana" w:cs="Arial"/>
          <w:color w:val="000000" w:themeColor="text1"/>
          <w:vertAlign w:val="superscript"/>
          <w:lang w:val="es-ES_tradnl"/>
        </w:rPr>
        <w:footnoteReference w:id="11"/>
      </w:r>
      <w:r w:rsidRPr="004D163B">
        <w:rPr>
          <w:rFonts w:ascii="Verdana" w:hAnsi="Verdana" w:cs="Arial"/>
          <w:color w:val="000000" w:themeColor="text1"/>
        </w:rPr>
        <w:t xml:space="preserve">. </w:t>
      </w:r>
      <w:r w:rsidRPr="004D163B">
        <w:rPr>
          <w:rFonts w:ascii="Verdana" w:hAnsi="Verdana" w:cs="Arial"/>
          <w:color w:val="000000" w:themeColor="text1"/>
          <w:lang w:val="es-ES_tradnl"/>
        </w:rPr>
        <w:t xml:space="preserve">La diferencia entre el contrato de prestación de servicios </w:t>
      </w:r>
      <w:r w:rsidRPr="004D163B">
        <w:rPr>
          <w:rFonts w:ascii="Verdana" w:hAnsi="Verdana" w:cs="Arial"/>
          <w:i/>
          <w:color w:val="000000" w:themeColor="text1"/>
          <w:lang w:val="es-ES_tradnl"/>
        </w:rPr>
        <w:t>profesionales</w:t>
      </w:r>
      <w:r w:rsidRPr="004D163B">
        <w:rPr>
          <w:rFonts w:ascii="Verdana" w:hAnsi="Verdana" w:cs="Arial"/>
          <w:color w:val="000000" w:themeColor="text1"/>
          <w:lang w:val="es-ES_tradnl"/>
        </w:rPr>
        <w:t xml:space="preserve"> con las otras dos especies del género en el cual se ubican radica en su contenido intelectual intangible y, al mismo tiempo, en la formación profesional que se exige para desempeñar la labor. Así lo consideró el Consejo de Estado en Sentencia de Unificación jurisprudencial del 2 de diciembre de 2013, al explicar que:</w:t>
      </w:r>
    </w:p>
    <w:p w14:paraId="35EE2519" w14:textId="77777777" w:rsidR="00E334D4" w:rsidRPr="00B93D8C" w:rsidRDefault="00E334D4" w:rsidP="00E334D4">
      <w:pPr>
        <w:spacing w:line="240" w:lineRule="auto"/>
        <w:ind w:left="709" w:right="709"/>
        <w:jc w:val="both"/>
        <w:rPr>
          <w:rFonts w:ascii="Verdana" w:hAnsi="Verdana" w:cs="Arial"/>
          <w:color w:val="000000" w:themeColor="text1"/>
          <w:sz w:val="20"/>
          <w:szCs w:val="20"/>
          <w:lang w:val="es-ES_tradnl"/>
        </w:rPr>
      </w:pPr>
      <w:r w:rsidRPr="00B93D8C">
        <w:rPr>
          <w:rFonts w:ascii="Verdana" w:hAnsi="Verdana" w:cs="Arial"/>
          <w:color w:val="000000" w:themeColor="text1"/>
          <w:sz w:val="20"/>
          <w:szCs w:val="20"/>
          <w:lang w:val="es-ES_tradnl"/>
        </w:rPr>
        <w:t>“Su objeto está determinado por el desarrollo de actividades identificables e intangibles que impliquen el desempeño de un esfuerzo o actividad, tendiente a satisfacer necesidades de las entidades estatales en lo relacionado con la gestión administrativa o funcionamiento que ellas requieran, bien sea acompañándolas, apoyándolas o soportándolas, con conocimientos especializados siempre y cuando dichos objetos estén encomendados a personas consideradas legalmente como profesionales. Se caracteriza por demandar un conocimiento intelectivo cualificado: el saber profesional”</w:t>
      </w:r>
      <w:r w:rsidRPr="00B93D8C">
        <w:rPr>
          <w:rStyle w:val="Refdenotaalpie"/>
          <w:rFonts w:ascii="Verdana" w:hAnsi="Verdana" w:cs="Arial"/>
          <w:color w:val="000000" w:themeColor="text1"/>
          <w:sz w:val="20"/>
          <w:szCs w:val="20"/>
          <w:lang w:val="es-ES_tradnl"/>
        </w:rPr>
        <w:footnoteReference w:id="12"/>
      </w:r>
      <w:r w:rsidRPr="00B93D8C">
        <w:rPr>
          <w:rFonts w:ascii="Verdana" w:hAnsi="Verdana" w:cs="Arial"/>
          <w:color w:val="000000" w:themeColor="text1"/>
          <w:sz w:val="20"/>
          <w:szCs w:val="20"/>
          <w:lang w:val="es-ES_tradnl"/>
        </w:rPr>
        <w:t>.</w:t>
      </w:r>
    </w:p>
    <w:p w14:paraId="0C11FFCF" w14:textId="77777777" w:rsidR="00E334D4" w:rsidRPr="004D163B" w:rsidRDefault="00E334D4" w:rsidP="00E334D4">
      <w:pPr>
        <w:spacing w:line="276" w:lineRule="auto"/>
        <w:ind w:firstLine="709"/>
        <w:jc w:val="both"/>
        <w:rPr>
          <w:rFonts w:ascii="Verdana" w:hAnsi="Verdana" w:cs="Arial"/>
          <w:color w:val="000000" w:themeColor="text1"/>
          <w:lang w:val="es-ES_tradnl"/>
        </w:rPr>
      </w:pPr>
      <w:r w:rsidRPr="004D163B">
        <w:rPr>
          <w:rFonts w:ascii="Verdana" w:hAnsi="Verdana" w:cs="Arial"/>
          <w:color w:val="000000" w:themeColor="text1"/>
          <w:lang w:val="es-ES_tradnl"/>
        </w:rPr>
        <w:t xml:space="preserve">Lo expuesto, según la jurisprudencia citada, se diferencia del objeto del </w:t>
      </w:r>
      <w:r w:rsidRPr="004D163B">
        <w:rPr>
          <w:rFonts w:ascii="Verdana" w:hAnsi="Verdana" w:cs="Arial"/>
          <w:i/>
          <w:iCs/>
          <w:color w:val="000000" w:themeColor="text1"/>
          <w:lang w:val="es-ES_tradnl"/>
        </w:rPr>
        <w:t>contrato de prestación de servicios de apoyo a la gestión</w:t>
      </w:r>
      <w:r w:rsidRPr="004D163B">
        <w:rPr>
          <w:rFonts w:ascii="Verdana" w:hAnsi="Verdana" w:cs="Arial"/>
          <w:color w:val="000000" w:themeColor="text1"/>
          <w:lang w:val="es-ES_tradnl"/>
        </w:rPr>
        <w:t>, en los siguientes aspectos:</w:t>
      </w:r>
    </w:p>
    <w:p w14:paraId="298F65DE" w14:textId="77777777" w:rsidR="00E334D4" w:rsidRPr="00B93D8C" w:rsidRDefault="00E334D4" w:rsidP="00E334D4">
      <w:pPr>
        <w:spacing w:after="120" w:line="240" w:lineRule="auto"/>
        <w:ind w:left="709" w:right="709"/>
        <w:jc w:val="both"/>
        <w:rPr>
          <w:rFonts w:ascii="Verdana" w:hAnsi="Verdana" w:cs="Arial"/>
          <w:color w:val="000000" w:themeColor="text1"/>
          <w:sz w:val="20"/>
          <w:szCs w:val="20"/>
          <w:lang w:val="es-ES_tradnl"/>
        </w:rPr>
      </w:pPr>
      <w:r w:rsidRPr="00B93D8C">
        <w:rPr>
          <w:rFonts w:ascii="Verdana" w:hAnsi="Verdana" w:cs="Arial"/>
          <w:color w:val="000000" w:themeColor="text1"/>
          <w:sz w:val="20"/>
          <w:szCs w:val="20"/>
          <w:lang w:val="es-ES_tradnl"/>
        </w:rPr>
        <w:t>“Su objeto contractual participa de las características encaminadas a desarrollar actividades identificables e intangibles. Hay lugar a su celebración en aquellos casos en donde las necesidades de la Administración no demanden la presencia de personal profesional.</w:t>
      </w:r>
    </w:p>
    <w:p w14:paraId="7D43BBEE" w14:textId="77777777" w:rsidR="00E334D4" w:rsidRPr="00B93D8C" w:rsidRDefault="00E334D4" w:rsidP="00E334D4">
      <w:pPr>
        <w:spacing w:after="120" w:line="240" w:lineRule="auto"/>
        <w:ind w:left="709" w:right="709"/>
        <w:jc w:val="both"/>
        <w:rPr>
          <w:rFonts w:ascii="Verdana" w:hAnsi="Verdana" w:cs="Arial"/>
          <w:color w:val="000000" w:themeColor="text1"/>
          <w:sz w:val="20"/>
          <w:szCs w:val="20"/>
          <w:lang w:val="es-ES"/>
        </w:rPr>
      </w:pPr>
      <w:r w:rsidRPr="00B93D8C">
        <w:rPr>
          <w:rFonts w:ascii="Verdana" w:hAnsi="Verdana" w:cs="Arial"/>
          <w:color w:val="000000" w:themeColor="text1"/>
          <w:sz w:val="20"/>
          <w:szCs w:val="20"/>
          <w:lang w:val="es-ES"/>
        </w:rPr>
        <w:t>Aunque también se caracteriza por el desempeño de actividad intelectiva, ésta se enmarca dentro de un saber propiamente técnico; igualmente involucra actividades en donde prima el esfuerzo físico o mecánico, en donde no se requiere de personal profesional.</w:t>
      </w:r>
    </w:p>
    <w:p w14:paraId="2A8D81D6" w14:textId="77777777" w:rsidR="00E334D4" w:rsidRPr="00B93D8C" w:rsidRDefault="00E334D4" w:rsidP="00E334D4">
      <w:pPr>
        <w:spacing w:line="240" w:lineRule="auto"/>
        <w:ind w:left="709" w:right="709"/>
        <w:jc w:val="both"/>
        <w:rPr>
          <w:rFonts w:ascii="Verdana" w:hAnsi="Verdana" w:cs="Arial"/>
          <w:color w:val="000000" w:themeColor="text1"/>
          <w:sz w:val="20"/>
          <w:szCs w:val="20"/>
          <w:lang w:val="es-ES_tradnl"/>
        </w:rPr>
      </w:pPr>
      <w:r w:rsidRPr="00B93D8C">
        <w:rPr>
          <w:rFonts w:ascii="Verdana" w:hAnsi="Verdana" w:cs="Arial"/>
          <w:color w:val="000000" w:themeColor="text1"/>
          <w:sz w:val="20"/>
          <w:szCs w:val="20"/>
          <w:lang w:val="es-ES_tradnl"/>
        </w:rPr>
        <w:lastRenderedPageBreak/>
        <w:t>Dentro de su objeto contractual pueden tener lugar actividades operativas, logísticas o asistenciales, siempre que satisfaga los requisitos antes mencionados y sea acorde con las necesidades de la Administración y el principio de planeación”</w:t>
      </w:r>
      <w:r w:rsidRPr="00B93D8C">
        <w:rPr>
          <w:rStyle w:val="Refdenotaalpie"/>
          <w:rFonts w:ascii="Verdana" w:hAnsi="Verdana" w:cs="Arial"/>
          <w:color w:val="000000" w:themeColor="text1"/>
          <w:sz w:val="20"/>
          <w:szCs w:val="20"/>
          <w:lang w:val="es-ES_tradnl"/>
        </w:rPr>
        <w:footnoteReference w:id="13"/>
      </w:r>
      <w:r w:rsidRPr="00B93D8C">
        <w:rPr>
          <w:rFonts w:ascii="Verdana" w:hAnsi="Verdana" w:cs="Arial"/>
          <w:color w:val="000000" w:themeColor="text1"/>
          <w:sz w:val="20"/>
          <w:szCs w:val="20"/>
          <w:lang w:val="es-ES_tradnl"/>
        </w:rPr>
        <w:t>.</w:t>
      </w:r>
    </w:p>
    <w:p w14:paraId="11BAC9A2" w14:textId="77777777" w:rsidR="00E334D4" w:rsidRPr="004D163B" w:rsidRDefault="00E334D4" w:rsidP="00E334D4">
      <w:pPr>
        <w:spacing w:line="276" w:lineRule="auto"/>
        <w:ind w:firstLine="709"/>
        <w:jc w:val="both"/>
        <w:rPr>
          <w:rFonts w:ascii="Verdana" w:hAnsi="Verdana" w:cs="Arial"/>
          <w:color w:val="000000" w:themeColor="text1"/>
          <w:lang w:val="es-ES_tradnl"/>
        </w:rPr>
      </w:pPr>
      <w:r w:rsidRPr="004D163B">
        <w:rPr>
          <w:rFonts w:ascii="Verdana" w:hAnsi="Verdana" w:cs="Arial"/>
          <w:color w:val="000000" w:themeColor="text1"/>
          <w:lang w:val="es-ES_tradnl"/>
        </w:rPr>
        <w:t xml:space="preserve">En relación con el </w:t>
      </w:r>
      <w:r w:rsidRPr="004D163B">
        <w:rPr>
          <w:rFonts w:ascii="Verdana" w:hAnsi="Verdana" w:cs="Arial"/>
          <w:i/>
          <w:iCs/>
          <w:color w:val="000000" w:themeColor="text1"/>
          <w:lang w:val="es-ES_tradnl"/>
        </w:rPr>
        <w:t>contrato de prestación de servicios artísticos que solo pueden encomendarse a determinadas personas naturales</w:t>
      </w:r>
      <w:r w:rsidRPr="004D163B">
        <w:rPr>
          <w:rFonts w:ascii="Verdana" w:hAnsi="Verdana" w:cs="Arial"/>
          <w:color w:val="000000" w:themeColor="text1"/>
          <w:lang w:val="es-ES_tradnl"/>
        </w:rPr>
        <w:t>, señala la mencionada decisión judicial lo siguiente:</w:t>
      </w:r>
    </w:p>
    <w:p w14:paraId="45D60BFD" w14:textId="77777777" w:rsidR="00E334D4" w:rsidRDefault="00E334D4" w:rsidP="00E334D4">
      <w:pPr>
        <w:spacing w:after="0" w:line="240" w:lineRule="auto"/>
        <w:ind w:left="709" w:right="709"/>
        <w:jc w:val="both"/>
        <w:rPr>
          <w:rFonts w:ascii="Verdana" w:hAnsi="Verdana" w:cs="Arial"/>
          <w:color w:val="000000" w:themeColor="text1"/>
          <w:sz w:val="20"/>
          <w:szCs w:val="20"/>
          <w:lang w:val="es-ES_tradnl"/>
        </w:rPr>
      </w:pPr>
      <w:r w:rsidRPr="00094E51">
        <w:rPr>
          <w:rFonts w:ascii="Verdana" w:hAnsi="Verdana" w:cs="Arial"/>
          <w:color w:val="000000" w:themeColor="text1"/>
          <w:sz w:val="20"/>
          <w:szCs w:val="20"/>
          <w:lang w:val="es-ES_tradnl"/>
        </w:rPr>
        <w:t>“Tienen lugar dentro de esta categoría los contratos de prestación de servicios que tengan por objeto la ejecución de trabajos artísticos, esto es, trabajos que corresponden al conjunto de creaciones humanas que expresan una especial visión del mundo, tanto real como imaginaria, y que sólo pueda celebrarse con determinadas personas naturales, lo que implica que el contratista debe ser un artista, esto es, una persona reconocida como realizador o productor de arte o trabajos artísticos”</w:t>
      </w:r>
      <w:r w:rsidRPr="00094E51">
        <w:rPr>
          <w:rStyle w:val="Refdenotaalpie"/>
          <w:rFonts w:ascii="Verdana" w:hAnsi="Verdana" w:cs="Arial"/>
          <w:color w:val="000000" w:themeColor="text1"/>
          <w:sz w:val="20"/>
          <w:szCs w:val="20"/>
          <w:lang w:val="es-ES_tradnl"/>
        </w:rPr>
        <w:footnoteReference w:id="14"/>
      </w:r>
      <w:r w:rsidRPr="00094E51">
        <w:rPr>
          <w:rFonts w:ascii="Verdana" w:hAnsi="Verdana" w:cs="Arial"/>
          <w:color w:val="000000" w:themeColor="text1"/>
          <w:sz w:val="20"/>
          <w:szCs w:val="20"/>
          <w:lang w:val="es-ES_tradnl"/>
        </w:rPr>
        <w:t>.</w:t>
      </w:r>
    </w:p>
    <w:p w14:paraId="3F96D555" w14:textId="77777777" w:rsidR="00E334D4" w:rsidRDefault="00E334D4" w:rsidP="00E334D4">
      <w:pPr>
        <w:spacing w:line="276" w:lineRule="auto"/>
        <w:ind w:firstLine="709"/>
        <w:jc w:val="both"/>
        <w:rPr>
          <w:rFonts w:ascii="Verdana" w:hAnsi="Verdana" w:cs="Arial"/>
          <w:color w:val="000000" w:themeColor="text1"/>
          <w:lang w:val="es-ES_tradnl"/>
        </w:rPr>
      </w:pPr>
    </w:p>
    <w:p w14:paraId="1882F15A" w14:textId="77777777" w:rsidR="00E334D4" w:rsidRPr="004D163B" w:rsidRDefault="00E334D4" w:rsidP="00E334D4">
      <w:pPr>
        <w:spacing w:line="276" w:lineRule="auto"/>
        <w:ind w:firstLine="709"/>
        <w:jc w:val="both"/>
        <w:rPr>
          <w:rFonts w:ascii="Verdana" w:hAnsi="Verdana" w:cs="Arial"/>
          <w:color w:val="000000" w:themeColor="text1"/>
          <w:lang w:val="es-ES_tradnl"/>
        </w:rPr>
      </w:pPr>
      <w:r w:rsidRPr="004D163B">
        <w:rPr>
          <w:rFonts w:ascii="Verdana" w:hAnsi="Verdana" w:cs="Arial"/>
          <w:color w:val="000000" w:themeColor="text1"/>
          <w:lang w:val="es-ES_tradnl"/>
        </w:rPr>
        <w:t xml:space="preserve">En este sentido, el contrato de prestación de servicios </w:t>
      </w:r>
      <w:r w:rsidRPr="004D163B">
        <w:rPr>
          <w:rFonts w:ascii="Verdana" w:hAnsi="Verdana" w:cs="Arial"/>
          <w:i/>
          <w:iCs/>
          <w:color w:val="000000" w:themeColor="text1"/>
          <w:lang w:val="es-ES_tradnl"/>
        </w:rPr>
        <w:t>profesionales</w:t>
      </w:r>
      <w:r w:rsidRPr="004D163B">
        <w:rPr>
          <w:rFonts w:ascii="Verdana" w:hAnsi="Verdana" w:cs="Arial"/>
          <w:color w:val="000000" w:themeColor="text1"/>
          <w:lang w:val="es-ES_tradnl"/>
        </w:rPr>
        <w:t xml:space="preserve"> se caracteriza porque su objeto guarda relación con el desarrollo de actividades que demandan competencias y habilidades profesionales o especializadas de la persona natural o jurídica a contratar, de manera que se trata de un </w:t>
      </w:r>
      <w:r w:rsidRPr="004D163B">
        <w:rPr>
          <w:rFonts w:ascii="Verdana" w:hAnsi="Verdana" w:cs="Arial"/>
          <w:i/>
          <w:iCs/>
          <w:color w:val="000000" w:themeColor="text1"/>
          <w:lang w:val="es-ES_tradnl"/>
        </w:rPr>
        <w:t>saber intelectivo cualificado.</w:t>
      </w:r>
      <w:r w:rsidRPr="004D163B">
        <w:rPr>
          <w:rFonts w:ascii="Verdana" w:hAnsi="Verdana" w:cs="Arial"/>
          <w:color w:val="000000" w:themeColor="text1"/>
          <w:lang w:val="es-ES_tradnl"/>
        </w:rPr>
        <w:t xml:space="preserve"> En cambio, los contratos de prestación de servicios de </w:t>
      </w:r>
      <w:r w:rsidRPr="004D163B">
        <w:rPr>
          <w:rFonts w:ascii="Verdana" w:hAnsi="Verdana" w:cs="Arial"/>
          <w:i/>
          <w:iCs/>
          <w:color w:val="000000" w:themeColor="text1"/>
          <w:lang w:val="es-ES_tradnl"/>
        </w:rPr>
        <w:t>apoyo a la gestión</w:t>
      </w:r>
      <w:r w:rsidRPr="004D163B">
        <w:rPr>
          <w:rFonts w:ascii="Verdana" w:hAnsi="Verdana" w:cs="Arial"/>
          <w:color w:val="000000" w:themeColor="text1"/>
          <w:lang w:val="es-ES_tradnl"/>
        </w:rPr>
        <w:t xml:space="preserve"> y de </w:t>
      </w:r>
      <w:r w:rsidRPr="004D163B">
        <w:rPr>
          <w:rFonts w:ascii="Verdana" w:hAnsi="Verdana" w:cs="Arial"/>
          <w:i/>
          <w:iCs/>
          <w:color w:val="000000" w:themeColor="text1"/>
          <w:lang w:val="es-ES_tradnl"/>
        </w:rPr>
        <w:t>servicios artísticos</w:t>
      </w:r>
      <w:r w:rsidRPr="004D163B">
        <w:rPr>
          <w:rFonts w:ascii="Verdana" w:hAnsi="Verdana" w:cs="Arial"/>
          <w:color w:val="000000" w:themeColor="text1"/>
          <w:lang w:val="es-ES_tradnl"/>
        </w:rPr>
        <w:t xml:space="preserve"> no involucran ese conocimiento profesional </w:t>
      </w:r>
      <w:r w:rsidRPr="004D163B">
        <w:rPr>
          <w:rFonts w:ascii="Verdana" w:hAnsi="Verdana" w:cs="Arial"/>
          <w:color w:val="000000" w:themeColor="text1"/>
        </w:rPr>
        <w:t xml:space="preserve">o especializados para su ejecución. En los de apoyo a la gestión </w:t>
      </w:r>
      <w:r w:rsidRPr="004D163B">
        <w:rPr>
          <w:rFonts w:ascii="Verdana" w:hAnsi="Verdana" w:cs="Arial"/>
          <w:color w:val="000000" w:themeColor="text1"/>
          <w:lang w:val="es-ES_tradnl"/>
        </w:rPr>
        <w:t xml:space="preserve">el contratista desempeña un esfuerzo o actividad de apoyo, acompañamiento, o soporte, </w:t>
      </w:r>
      <w:r w:rsidRPr="004D163B">
        <w:rPr>
          <w:rFonts w:ascii="Verdana" w:hAnsi="Verdana" w:cs="Arial"/>
          <w:color w:val="000000" w:themeColor="text1"/>
        </w:rPr>
        <w:t xml:space="preserve">en donde </w:t>
      </w:r>
      <w:r w:rsidRPr="004D163B">
        <w:rPr>
          <w:rFonts w:ascii="Verdana" w:hAnsi="Verdana" w:cs="Arial"/>
          <w:color w:val="000000" w:themeColor="text1"/>
          <w:lang w:val="es-ES_tradnl"/>
        </w:rPr>
        <w:t>“lo predominante es el actuar como ejecutor, con el propósito y finalidad de satisfacer necesidades de las entidades estatales en lo relacionado con la gestión administrativa o funcionamiento de la misma, por personas no profesionales y que no implican el ejercicio de funciones públicas administrativas”. Igualmente, en el contrato de prestación de servicios artísticos lo prevalente es que la persona que lo ejecute se trate de un artista, es decir, “una persona reconocida como realizador o productor de arte, de obras de arte, ejecutor de trabajos artísticos”, en donde es indiferente el carácter de profesional.</w:t>
      </w:r>
    </w:p>
    <w:p w14:paraId="7271CA81" w14:textId="77777777" w:rsidR="00E334D4" w:rsidRPr="006C2113" w:rsidRDefault="00E334D4" w:rsidP="00E334D4">
      <w:pPr>
        <w:pStyle w:val="Textoindependiente"/>
        <w:spacing w:after="0" w:line="276" w:lineRule="auto"/>
        <w:ind w:right="104" w:firstLine="668"/>
        <w:jc w:val="both"/>
        <w:rPr>
          <w:rFonts w:ascii="Verdana" w:eastAsia="Calibri" w:hAnsi="Verdana" w:cs="Arial"/>
          <w:color w:val="000000" w:themeColor="text1"/>
        </w:rPr>
      </w:pPr>
      <w:r w:rsidRPr="006C2113">
        <w:rPr>
          <w:rFonts w:ascii="Verdana" w:eastAsia="Calibri" w:hAnsi="Verdana" w:cs="Arial"/>
          <w:color w:val="000000" w:themeColor="text1"/>
        </w:rPr>
        <w:lastRenderedPageBreak/>
        <w:t xml:space="preserve">Sobre la ejecución de trabajos artísticos que sólo pueden encomendarse a determinadas personas naturales, conviene citar </w:t>
      </w:r>
      <w:r w:rsidRPr="006C2113">
        <w:rPr>
          <w:rFonts w:ascii="Verdana" w:eastAsia="Calibri" w:hAnsi="Verdana" w:cs="Arial"/>
          <w:i/>
          <w:iCs/>
          <w:color w:val="000000" w:themeColor="text1"/>
        </w:rPr>
        <w:t>in extenso</w:t>
      </w:r>
      <w:r w:rsidRPr="006C2113">
        <w:rPr>
          <w:rFonts w:ascii="Verdana" w:eastAsia="Calibri" w:hAnsi="Verdana" w:cs="Arial"/>
          <w:color w:val="000000" w:themeColor="text1"/>
        </w:rPr>
        <w:t xml:space="preserve"> lo expuesto por la Sección Tercera de la Sala de lo Contencioso Administrativo del Consejo de Estado, en Sentencia del 2 de diciembre de 2013, expediente 41.719. Al respecto señaló que:</w:t>
      </w:r>
    </w:p>
    <w:p w14:paraId="1272BBA4" w14:textId="77777777" w:rsidR="00E334D4" w:rsidRPr="006C2113" w:rsidRDefault="00E334D4" w:rsidP="00E334D4">
      <w:pPr>
        <w:widowControl w:val="0"/>
        <w:autoSpaceDE w:val="0"/>
        <w:autoSpaceDN w:val="0"/>
        <w:spacing w:after="0" w:line="240" w:lineRule="auto"/>
        <w:ind w:left="709" w:right="709"/>
        <w:jc w:val="both"/>
        <w:rPr>
          <w:rFonts w:ascii="Verdana" w:hAnsi="Verdana" w:cs="Arial"/>
          <w:color w:val="000000" w:themeColor="text1"/>
          <w:lang w:val="es-ES_tradnl"/>
        </w:rPr>
      </w:pPr>
    </w:p>
    <w:p w14:paraId="569530F5" w14:textId="77777777" w:rsidR="00E334D4" w:rsidRPr="006C2113" w:rsidRDefault="00E334D4" w:rsidP="00E334D4">
      <w:pPr>
        <w:widowControl w:val="0"/>
        <w:autoSpaceDE w:val="0"/>
        <w:autoSpaceDN w:val="0"/>
        <w:spacing w:line="240" w:lineRule="auto"/>
        <w:ind w:left="709" w:right="709"/>
        <w:jc w:val="both"/>
        <w:rPr>
          <w:rFonts w:ascii="Verdana" w:hAnsi="Verdana" w:cs="Arial"/>
          <w:color w:val="000000" w:themeColor="text1"/>
          <w:sz w:val="20"/>
          <w:szCs w:val="20"/>
          <w:lang w:val="es-ES_tradnl"/>
        </w:rPr>
      </w:pPr>
      <w:r w:rsidRPr="006C2113">
        <w:rPr>
          <w:rFonts w:ascii="Verdana" w:hAnsi="Verdana" w:cs="Arial"/>
          <w:color w:val="000000" w:themeColor="text1"/>
          <w:sz w:val="20"/>
          <w:szCs w:val="20"/>
          <w:lang w:val="es-ES_tradnl"/>
        </w:rPr>
        <w:t xml:space="preserve">“El segundo de los elementos normativos que el legislador ha considerado determinante para la configuración de la causal de contratación directa que ocupa la atención de la Sala, es el que se refiere a otra especie de contratos, que en esencia son de prestación de servicios, pero de un contenido prestacional diferente porque corresponden a una modalidad tipificada de negocios cuyo objeto es de por sí especialísimo ya que tienen por objeto la generación de </w:t>
      </w:r>
      <w:r w:rsidRPr="006C2113">
        <w:rPr>
          <w:rFonts w:ascii="Verdana" w:hAnsi="Verdana" w:cs="Arial"/>
          <w:i/>
          <w:color w:val="000000" w:themeColor="text1"/>
          <w:sz w:val="20"/>
          <w:szCs w:val="20"/>
          <w:lang w:val="es-ES_tradnl"/>
        </w:rPr>
        <w:t>patrimonio artístico</w:t>
      </w:r>
      <w:r w:rsidRPr="006C2113">
        <w:rPr>
          <w:rFonts w:ascii="Verdana" w:hAnsi="Verdana" w:cs="Arial"/>
          <w:color w:val="000000" w:themeColor="text1"/>
          <w:sz w:val="20"/>
          <w:szCs w:val="20"/>
          <w:lang w:val="es-ES_tradnl"/>
        </w:rPr>
        <w:t xml:space="preserve"> para la entidad estatal o bien beneficiarla de manifestaciones artísticas, para cuyo efecto se encarga a personas que por sus características, dotes, capacidades o aptitudes resultan ser únicas o especiales en el arte que manejan y que en virtud de esta circunstancia se individualizan en el medio nacional o internacional, mediante el reconocimiento como verdaderos y únicos en las técnicas o el arte que desarrollan.</w:t>
      </w:r>
    </w:p>
    <w:p w14:paraId="3484118E" w14:textId="77777777" w:rsidR="00E334D4" w:rsidRPr="006C2113" w:rsidRDefault="00E334D4" w:rsidP="00E334D4">
      <w:pPr>
        <w:widowControl w:val="0"/>
        <w:autoSpaceDE w:val="0"/>
        <w:autoSpaceDN w:val="0"/>
        <w:spacing w:before="93" w:after="120" w:line="240" w:lineRule="auto"/>
        <w:ind w:left="709" w:right="709"/>
        <w:jc w:val="both"/>
        <w:rPr>
          <w:rFonts w:ascii="Verdana" w:hAnsi="Verdana" w:cs="Arial"/>
          <w:color w:val="000000" w:themeColor="text1"/>
          <w:sz w:val="20"/>
          <w:szCs w:val="20"/>
          <w:lang w:val="es-ES"/>
        </w:rPr>
      </w:pPr>
      <w:r w:rsidRPr="5E1248B4">
        <w:rPr>
          <w:rFonts w:ascii="Verdana" w:hAnsi="Verdana" w:cs="Arial"/>
          <w:color w:val="000000" w:themeColor="text1"/>
          <w:sz w:val="20"/>
          <w:szCs w:val="20"/>
          <w:lang w:val="es-ES"/>
        </w:rPr>
        <w:t xml:space="preserve">En consecuencia, el contrato, para que sea objeto del trámite de la contratación directa, debe estar determinado por las siguientes variables </w:t>
      </w:r>
      <w:r w:rsidRPr="5E1248B4">
        <w:rPr>
          <w:rFonts w:ascii="Verdana" w:hAnsi="Verdana" w:cs="Arial"/>
          <w:i/>
          <w:iCs/>
          <w:color w:val="000000" w:themeColor="text1"/>
          <w:sz w:val="20"/>
          <w:szCs w:val="20"/>
          <w:lang w:val="es-ES"/>
        </w:rPr>
        <w:t>(i)</w:t>
      </w:r>
      <w:r w:rsidRPr="5E1248B4">
        <w:rPr>
          <w:rFonts w:ascii="Verdana" w:hAnsi="Verdana" w:cs="Arial"/>
          <w:color w:val="000000" w:themeColor="text1"/>
          <w:sz w:val="20"/>
          <w:szCs w:val="20"/>
          <w:lang w:val="es-ES"/>
        </w:rPr>
        <w:t xml:space="preserve"> que tengan por objeto la ejecución de </w:t>
      </w:r>
      <w:r w:rsidRPr="5E1248B4">
        <w:rPr>
          <w:rFonts w:ascii="Verdana" w:hAnsi="Verdana" w:cs="Arial"/>
          <w:i/>
          <w:iCs/>
          <w:color w:val="000000" w:themeColor="text1"/>
          <w:sz w:val="20"/>
          <w:szCs w:val="20"/>
          <w:lang w:val="es-ES"/>
        </w:rPr>
        <w:t>trabajos artísticos</w:t>
      </w:r>
      <w:r w:rsidRPr="5E1248B4">
        <w:rPr>
          <w:rFonts w:ascii="Verdana" w:hAnsi="Verdana" w:cs="Arial"/>
          <w:color w:val="000000" w:themeColor="text1"/>
          <w:sz w:val="20"/>
          <w:szCs w:val="20"/>
          <w:lang w:val="es-ES"/>
        </w:rPr>
        <w:t xml:space="preserve">, </w:t>
      </w:r>
      <w:r w:rsidRPr="5E1248B4">
        <w:rPr>
          <w:rFonts w:ascii="Verdana" w:hAnsi="Verdana" w:cs="Arial"/>
          <w:i/>
          <w:iCs/>
          <w:color w:val="000000" w:themeColor="text1"/>
          <w:sz w:val="20"/>
          <w:szCs w:val="20"/>
          <w:lang w:val="es-ES"/>
        </w:rPr>
        <w:t>(ii)</w:t>
      </w:r>
      <w:r w:rsidRPr="5E1248B4">
        <w:rPr>
          <w:rFonts w:ascii="Verdana" w:hAnsi="Verdana" w:cs="Arial"/>
          <w:color w:val="000000" w:themeColor="text1"/>
          <w:sz w:val="20"/>
          <w:szCs w:val="20"/>
          <w:lang w:val="es-ES"/>
        </w:rPr>
        <w:t xml:space="preserve"> que el mismo o los mismos sólo puedan encomendarse a determinadas personas naturales.</w:t>
      </w:r>
    </w:p>
    <w:p w14:paraId="49A2334D" w14:textId="77777777" w:rsidR="00E334D4" w:rsidRPr="006C2113" w:rsidRDefault="00E334D4" w:rsidP="00E334D4">
      <w:pPr>
        <w:widowControl w:val="0"/>
        <w:autoSpaceDE w:val="0"/>
        <w:autoSpaceDN w:val="0"/>
        <w:spacing w:after="120" w:line="240" w:lineRule="auto"/>
        <w:ind w:left="709" w:right="709"/>
        <w:jc w:val="both"/>
        <w:rPr>
          <w:rFonts w:ascii="Verdana" w:hAnsi="Verdana" w:cs="Arial"/>
          <w:color w:val="000000" w:themeColor="text1"/>
          <w:sz w:val="20"/>
          <w:szCs w:val="20"/>
          <w:lang w:val="es-ES"/>
        </w:rPr>
      </w:pPr>
      <w:r w:rsidRPr="5E1248B4">
        <w:rPr>
          <w:rFonts w:ascii="Verdana" w:hAnsi="Verdana" w:cs="Arial"/>
          <w:color w:val="000000" w:themeColor="text1"/>
          <w:sz w:val="20"/>
          <w:szCs w:val="20"/>
          <w:lang w:val="es-ES"/>
        </w:rPr>
        <w:t>En cuanto a la primera de las variables se refiere, se puede afirmar que el concepto que comprende el objeto de esta  modalidad  contractual  es  el    de “trabajo artístico”, pero no en sí mismo, esto es como medio, sino como un resultado real y efectivo. Se contrata y este es el objeto, la realización de una obra artística y no simplemente una ejecución sin resultado. Es el trabajo final, el que pueda ser catalogado como una “obra de arte”, u “obra artística” o pieza de la misma naturaleza, la determinante del objeto para los efectos legales que para la materia a la que se está haciendo referencia, en esto no puede haber confusión de ninguna naturaleza.</w:t>
      </w:r>
    </w:p>
    <w:p w14:paraId="6E96EC15" w14:textId="77777777" w:rsidR="00E334D4" w:rsidRPr="006C2113" w:rsidRDefault="00E334D4" w:rsidP="00E334D4">
      <w:pPr>
        <w:widowControl w:val="0"/>
        <w:autoSpaceDE w:val="0"/>
        <w:autoSpaceDN w:val="0"/>
        <w:spacing w:after="120" w:line="240" w:lineRule="auto"/>
        <w:ind w:left="709" w:right="709"/>
        <w:jc w:val="both"/>
        <w:rPr>
          <w:rFonts w:ascii="Verdana" w:hAnsi="Verdana" w:cs="Arial"/>
          <w:color w:val="000000" w:themeColor="text1"/>
          <w:sz w:val="20"/>
          <w:szCs w:val="20"/>
          <w:lang w:val="es-ES"/>
        </w:rPr>
      </w:pPr>
      <w:r w:rsidRPr="006C2113">
        <w:rPr>
          <w:rFonts w:ascii="Verdana" w:hAnsi="Verdana" w:cs="Arial"/>
          <w:color w:val="000000" w:themeColor="text1"/>
          <w:sz w:val="20"/>
          <w:szCs w:val="20"/>
          <w:lang w:val="es-ES_tradnl"/>
        </w:rPr>
        <w:t>Este es el sentido jurídico de la expresión, no otra cosa espera el interés público de un contrato de esta naturaleza, el de enriquecer con la “obra de arte” el patrimonio público a través de la obtención de una verdadera obra de un artista, una creación del hombre en el campo del arte, lo que comprende también actividades propias de las artes escénicas o aquellas culturales, musicales, por citar algunas manifestaciones concretas que satisfacen el referente artístico.</w:t>
      </w:r>
    </w:p>
    <w:p w14:paraId="2EEBDD0A" w14:textId="77777777" w:rsidR="00E334D4" w:rsidRPr="006C2113" w:rsidRDefault="00E334D4" w:rsidP="00E334D4">
      <w:pPr>
        <w:widowControl w:val="0"/>
        <w:autoSpaceDE w:val="0"/>
        <w:autoSpaceDN w:val="0"/>
        <w:spacing w:line="240" w:lineRule="auto"/>
        <w:ind w:left="709" w:right="709"/>
        <w:jc w:val="both"/>
        <w:rPr>
          <w:rFonts w:ascii="Verdana" w:hAnsi="Verdana" w:cs="Arial"/>
          <w:color w:val="000000" w:themeColor="text1"/>
          <w:sz w:val="20"/>
          <w:szCs w:val="20"/>
          <w:lang w:val="es-ES"/>
        </w:rPr>
      </w:pPr>
      <w:r w:rsidRPr="006C2113">
        <w:rPr>
          <w:rFonts w:ascii="Verdana" w:hAnsi="Verdana" w:cs="Arial"/>
          <w:color w:val="000000" w:themeColor="text1"/>
          <w:sz w:val="20"/>
          <w:szCs w:val="20"/>
          <w:lang w:val="es-ES"/>
        </w:rPr>
        <w:t xml:space="preserve">Es que </w:t>
      </w:r>
      <w:r w:rsidRPr="006C2113">
        <w:rPr>
          <w:rFonts w:ascii="Verdana" w:hAnsi="Verdana" w:cs="Arial"/>
          <w:b/>
          <w:color w:val="000000" w:themeColor="text1"/>
          <w:sz w:val="20"/>
          <w:szCs w:val="20"/>
          <w:lang w:val="es-ES"/>
        </w:rPr>
        <w:t xml:space="preserve">el “trabajo artístico” a que se refiere la disposición legal, no puede ser otro que el que se entiende como un conjunto de </w:t>
      </w:r>
      <w:r w:rsidRPr="006C2113">
        <w:rPr>
          <w:rFonts w:ascii="Verdana" w:hAnsi="Verdana" w:cs="Arial"/>
          <w:b/>
          <w:color w:val="000000" w:themeColor="text1"/>
          <w:sz w:val="20"/>
          <w:szCs w:val="20"/>
          <w:lang w:val="es-ES"/>
        </w:rPr>
        <w:lastRenderedPageBreak/>
        <w:t>creaciones humanas que expresan una especial visión del mundo, tanto real como imaginaria, independientemente de la forma o el modo como se exprese por el autor o los autores, en un producto final, en un producto definitivamente con valor y contenido artístico</w:t>
      </w:r>
      <w:r w:rsidRPr="006C2113">
        <w:rPr>
          <w:rFonts w:ascii="Verdana" w:hAnsi="Verdana" w:cs="Arial"/>
          <w:color w:val="000000" w:themeColor="text1"/>
          <w:sz w:val="20"/>
          <w:szCs w:val="20"/>
          <w:lang w:val="es-ES"/>
        </w:rPr>
        <w:t>, no en otro sentido puede ser entendida la disposiciones bajo criterios de excepcionalidad y restricción conforme lo ampliamente explicado en esta providencia.</w:t>
      </w:r>
    </w:p>
    <w:p w14:paraId="298B8267" w14:textId="77777777" w:rsidR="00E334D4" w:rsidRPr="006C2113" w:rsidRDefault="00E334D4" w:rsidP="00E334D4">
      <w:pPr>
        <w:widowControl w:val="0"/>
        <w:autoSpaceDE w:val="0"/>
        <w:autoSpaceDN w:val="0"/>
        <w:spacing w:line="240" w:lineRule="auto"/>
        <w:ind w:left="851" w:right="900"/>
        <w:jc w:val="both"/>
        <w:rPr>
          <w:rFonts w:ascii="Verdana" w:hAnsi="Verdana" w:cs="Arial"/>
          <w:color w:val="000000" w:themeColor="text1"/>
          <w:sz w:val="20"/>
          <w:szCs w:val="20"/>
          <w:lang w:val="es-ES"/>
        </w:rPr>
      </w:pPr>
      <w:r w:rsidRPr="006C2113">
        <w:rPr>
          <w:rFonts w:ascii="Verdana" w:hAnsi="Verdana" w:cs="Arial"/>
          <w:color w:val="000000" w:themeColor="text1"/>
          <w:sz w:val="20"/>
          <w:szCs w:val="20"/>
          <w:lang w:val="es-ES"/>
        </w:rPr>
        <w:t>“… El arte es entendido generalmente como cualquier actividad o producto realizado por el ser humano con una finalidad estética o comunicativa, a través del cual se expresan ideas, emociones o, en general, una visión del mundo, mediante diversos recursos, como los plásticos, lingüísticos, sonoros, o mixtos…”.</w:t>
      </w:r>
    </w:p>
    <w:p w14:paraId="681684FA" w14:textId="77777777" w:rsidR="00E334D4" w:rsidRPr="006C2113" w:rsidRDefault="00E334D4" w:rsidP="00E334D4">
      <w:pPr>
        <w:widowControl w:val="0"/>
        <w:autoSpaceDE w:val="0"/>
        <w:autoSpaceDN w:val="0"/>
        <w:spacing w:line="240" w:lineRule="auto"/>
        <w:ind w:left="709" w:right="709"/>
        <w:jc w:val="both"/>
        <w:rPr>
          <w:rFonts w:ascii="Verdana" w:hAnsi="Verdana" w:cs="Arial"/>
          <w:color w:val="000000" w:themeColor="text1"/>
          <w:sz w:val="20"/>
          <w:szCs w:val="20"/>
          <w:lang w:val="es-ES_tradnl"/>
        </w:rPr>
      </w:pPr>
      <w:r w:rsidRPr="006C2113">
        <w:rPr>
          <w:rFonts w:ascii="Verdana" w:hAnsi="Verdana" w:cs="Arial"/>
          <w:color w:val="000000" w:themeColor="text1"/>
          <w:sz w:val="20"/>
          <w:szCs w:val="20"/>
          <w:lang w:val="es-ES"/>
        </w:rPr>
        <w:t xml:space="preserve">Tratándose  de  la  segunda  de  las  variables,  esto   es,  la   que  indica  que los </w:t>
      </w:r>
      <w:r w:rsidRPr="006C2113">
        <w:rPr>
          <w:rFonts w:ascii="Verdana" w:hAnsi="Verdana" w:cs="Arial"/>
          <w:b/>
          <w:color w:val="000000" w:themeColor="text1"/>
          <w:sz w:val="20"/>
          <w:szCs w:val="20"/>
          <w:lang w:val="es-ES"/>
        </w:rPr>
        <w:t>“trabajos artísticos” (…) “… que sólo puedan encomendarse a determinadas personas naturales…” debe ser entendida en coherencia con lo anterior, en el sentido de que el contratista debe ser sustancialmente un artista, es decir, una persona reconocida como realizador o productor de arte, de obras de arte, ejecutor de trabajos artísticos, un ser humano que dada su sensibilidad en relación con el mundo tiene la aptitud, la capacidad, la disposición natural o adquirida; el talento y estilo o forma original de hacer las cosas; y la genialidad, naturalidad y el carácter que lo hace distinto a otros artistas, esto es, su capacidad de inventiva que lo hace influyente en el medio, un ser único y excepcional, todo esto, para producir obras artísticas</w:t>
      </w:r>
      <w:r w:rsidRPr="006C2113">
        <w:rPr>
          <w:rFonts w:ascii="Verdana" w:hAnsi="Verdana" w:cs="Arial"/>
          <w:color w:val="000000" w:themeColor="text1"/>
          <w:sz w:val="20"/>
          <w:szCs w:val="20"/>
          <w:lang w:val="es-ES"/>
        </w:rPr>
        <w:t>, de aquí la razonabilidad de la expresión utilizada por la disposición en comento según la cual, los trabajos artísticos sólo puedan encomendarse a determinadas personas naturales. En todo caso, destaca la Sala que la motivación para la celebración de este tipo de contratos debe surgir de la ponderada valoración de las necesidades de la Entidad pública, reflejadas, siempre, en los procesos de planeación adelantados con antelación</w:t>
      </w:r>
      <w:r w:rsidRPr="006C2113">
        <w:rPr>
          <w:rFonts w:ascii="Verdana" w:hAnsi="Verdana" w:cs="Arial"/>
          <w:bCs/>
          <w:color w:val="000000" w:themeColor="text1"/>
          <w:sz w:val="20"/>
          <w:szCs w:val="20"/>
          <w:lang w:val="es-ES"/>
        </w:rPr>
        <w:t>»” (Negrilla fuera de texto)</w:t>
      </w:r>
    </w:p>
    <w:p w14:paraId="42F869AD" w14:textId="77777777" w:rsidR="00E334D4" w:rsidRPr="006C2113" w:rsidRDefault="00E334D4" w:rsidP="00E334D4">
      <w:pPr>
        <w:widowControl w:val="0"/>
        <w:autoSpaceDE w:val="0"/>
        <w:autoSpaceDN w:val="0"/>
        <w:spacing w:before="4" w:after="120" w:line="276" w:lineRule="auto"/>
        <w:ind w:firstLine="709"/>
        <w:jc w:val="both"/>
        <w:rPr>
          <w:rFonts w:ascii="Verdana" w:eastAsia="Calibri" w:hAnsi="Verdana" w:cs="Arial"/>
          <w:color w:val="000000" w:themeColor="text1"/>
        </w:rPr>
      </w:pPr>
      <w:r w:rsidRPr="006C2113">
        <w:rPr>
          <w:rFonts w:ascii="Verdana" w:hAnsi="Verdana" w:cs="Arial"/>
          <w:color w:val="000000" w:themeColor="text1"/>
          <w:lang w:val="es-ES_tradnl"/>
        </w:rPr>
        <w:t>Así, la causal en estudio, para acudir a la contratación directa, tiene lugar cuando se va a encomendar la ejecución de un trabajo artístico a una persona natural y no cuando el objeto convencional perseguido, lejos de ser la prestación de un servicio para la elaboración de una obra artística, es la adquisición o compra de un bien calificado como obra de arte. Conforme a lo establecido en</w:t>
      </w:r>
      <w:r w:rsidRPr="006C2113">
        <w:rPr>
          <w:rFonts w:ascii="Verdana" w:eastAsia="Calibri" w:hAnsi="Verdana" w:cs="Arial"/>
          <w:color w:val="000000" w:themeColor="text1"/>
        </w:rPr>
        <w:t xml:space="preserve"> el inciso final del antecitado artículo 2.2.1.2.1.4.9 del Decreto 1082 de 2015–, la aplicación de la causal de contratación directa deberá quedar plenamente </w:t>
      </w:r>
      <w:r w:rsidRPr="006C2113">
        <w:rPr>
          <w:rFonts w:ascii="Verdana" w:eastAsia="Calibri" w:hAnsi="Verdana" w:cs="Arial"/>
          <w:color w:val="000000" w:themeColor="text1"/>
        </w:rPr>
        <w:lastRenderedPageBreak/>
        <w:t>justificada en los estudios y documentos previos</w:t>
      </w:r>
      <w:r w:rsidRPr="006C2113">
        <w:rPr>
          <w:rStyle w:val="Refdenotaalpie"/>
          <w:rFonts w:ascii="Verdana" w:eastAsia="Calibri" w:hAnsi="Verdana" w:cs="Arial"/>
          <w:color w:val="000000" w:themeColor="text1"/>
        </w:rPr>
        <w:footnoteReference w:id="15"/>
      </w:r>
      <w:r w:rsidRPr="006C2113">
        <w:rPr>
          <w:rFonts w:ascii="Verdana" w:eastAsia="Calibri" w:hAnsi="Verdana" w:cs="Arial"/>
          <w:color w:val="000000" w:themeColor="text1"/>
        </w:rPr>
        <w:t xml:space="preserve"> y está deberá sustentarse en el ejercicio de planeación realizado por la Entidad Estatal, el cual debe dar cuenta de una de necesidad que deba satisfacerse a través del respectivo objeto contractual. </w:t>
      </w:r>
    </w:p>
    <w:p w14:paraId="4EFAD92E" w14:textId="77777777" w:rsidR="00E334D4" w:rsidRPr="0003322E" w:rsidRDefault="00E334D4" w:rsidP="00E334D4">
      <w:pPr>
        <w:spacing w:before="120" w:after="120" w:line="276" w:lineRule="auto"/>
        <w:jc w:val="both"/>
        <w:rPr>
          <w:rFonts w:ascii="Verdana" w:eastAsia="Times New Roman" w:hAnsi="Verdana" w:cs="Arial"/>
          <w:lang w:val="es-ES"/>
        </w:rPr>
      </w:pPr>
      <w:r>
        <w:rPr>
          <w:rFonts w:ascii="Verdana" w:eastAsia="Times New Roman" w:hAnsi="Verdana" w:cs="Arial"/>
          <w:color w:val="000000"/>
        </w:rPr>
        <w:t>De otra parte, para determinar la posibilidad de que los servicios artísticos sean provistos por una entidad privada sin ánimo de lucro</w:t>
      </w:r>
      <w:r w:rsidRPr="0003322E">
        <w:rPr>
          <w:rFonts w:ascii="Verdana" w:eastAsia="Times New Roman" w:hAnsi="Verdana" w:cs="Arial"/>
          <w:color w:val="000000" w:themeColor="text1"/>
        </w:rPr>
        <w:t>,</w:t>
      </w:r>
      <w:r>
        <w:rPr>
          <w:rFonts w:ascii="Verdana" w:eastAsia="Times New Roman" w:hAnsi="Verdana" w:cs="Arial"/>
          <w:color w:val="000000" w:themeColor="text1"/>
        </w:rPr>
        <w:t xml:space="preserve"> es necesario remitirnos al régimen aplicable para contratación con este tipo de entidades. Para estos efectos, conviene recordar que, </w:t>
      </w:r>
      <w:r>
        <w:rPr>
          <w:rFonts w:ascii="Verdana" w:eastAsia="Times New Roman" w:hAnsi="Verdana" w:cs="Arial"/>
          <w:color w:val="000000" w:themeColor="text1"/>
          <w:lang w:val="es-MX"/>
        </w:rPr>
        <w:t>e</w:t>
      </w:r>
      <w:r w:rsidRPr="0003322E">
        <w:rPr>
          <w:rFonts w:ascii="Verdana" w:eastAsia="Times New Roman" w:hAnsi="Verdana" w:cs="Arial"/>
          <w:color w:val="000000" w:themeColor="text1"/>
          <w:lang w:val="es-MX"/>
        </w:rPr>
        <w:t xml:space="preserve">l Gobierno Nacional, en desarrollo del artículo 355 de la Constitución Política, expidió el Decreto 092 de 2017, el cual dispone </w:t>
      </w:r>
      <w:r w:rsidRPr="0003322E">
        <w:rPr>
          <w:rFonts w:ascii="Verdana" w:eastAsia="Times New Roman" w:hAnsi="Verdana" w:cs="Arial"/>
          <w:lang w:val="es-MX"/>
        </w:rPr>
        <w:t xml:space="preserve">reglas para las contrataciones que realizan las Entidades Estatales con las ESAL. </w:t>
      </w:r>
      <w:r w:rsidRPr="0003322E">
        <w:rPr>
          <w:rFonts w:ascii="Verdana" w:eastAsia="Times New Roman" w:hAnsi="Verdana" w:cs="Arial"/>
          <w:color w:val="000000" w:themeColor="text1"/>
          <w:lang w:val="es-ES"/>
        </w:rPr>
        <w:t xml:space="preserve">El Decreto regula dos (2) eventos: i) </w:t>
      </w:r>
      <w:r w:rsidRPr="0003322E">
        <w:rPr>
          <w:rFonts w:ascii="Verdana" w:eastAsia="Times New Roman" w:hAnsi="Verdana" w:cs="Arial"/>
          <w:lang w:val="es-ES" w:eastAsia="es-ES_tradnl"/>
        </w:rPr>
        <w:t xml:space="preserve">los </w:t>
      </w:r>
      <w:r w:rsidRPr="0003322E">
        <w:rPr>
          <w:rFonts w:ascii="Verdana" w:eastAsia="Times New Roman" w:hAnsi="Verdana" w:cs="Arial"/>
          <w:i/>
          <w:iCs/>
          <w:lang w:val="es-ES" w:eastAsia="es-ES_tradnl"/>
        </w:rPr>
        <w:t>contratos de colaboración</w:t>
      </w:r>
      <w:r w:rsidRPr="0003322E">
        <w:rPr>
          <w:rFonts w:ascii="Verdana" w:eastAsia="Times New Roman" w:hAnsi="Verdana" w:cs="Arial"/>
          <w:lang w:val="es-ES" w:eastAsia="es-ES_tradnl"/>
        </w:rPr>
        <w:t xml:space="preserve"> o de interés público, con el fin impulsar programas y actividades de interés público de acuerdo con el Plan Nacional o los planes seccionales de desarrollo, en los términos del artículo 355 de la Constitución Política</w:t>
      </w:r>
      <w:r w:rsidRPr="0003322E">
        <w:rPr>
          <w:rFonts w:ascii="Verdana" w:eastAsia="Times New Roman" w:hAnsi="Verdana" w:cs="Arial"/>
          <w:color w:val="000000" w:themeColor="text1"/>
          <w:lang w:val="es-ES"/>
        </w:rPr>
        <w:t xml:space="preserve"> y; ii) los </w:t>
      </w:r>
      <w:r w:rsidRPr="0003322E">
        <w:rPr>
          <w:rFonts w:ascii="Verdana" w:eastAsia="Times New Roman" w:hAnsi="Verdana" w:cs="Arial"/>
          <w:i/>
          <w:iCs/>
          <w:color w:val="000000" w:themeColor="text1"/>
          <w:lang w:val="es-ES"/>
        </w:rPr>
        <w:t>convenios de asociación</w:t>
      </w:r>
      <w:r w:rsidRPr="0003322E">
        <w:rPr>
          <w:rFonts w:ascii="Verdana" w:eastAsia="Times New Roman" w:hAnsi="Verdana" w:cs="Arial"/>
          <w:color w:val="000000" w:themeColor="text1"/>
          <w:lang w:val="es-ES"/>
        </w:rPr>
        <w:t xml:space="preserve">, para el desarrollo conjunto de actividades relacionadas con las funciones de las Entidades Estatales, en desarrollo del artículo 96 de la Ley 489 de 1998. </w:t>
      </w:r>
      <w:r w:rsidRPr="0003322E">
        <w:rPr>
          <w:rFonts w:ascii="Verdana" w:eastAsia="Times New Roman" w:hAnsi="Verdana" w:cs="Arial"/>
          <w:color w:val="000000"/>
          <w:lang w:val="es-MX" w:eastAsia="es-ES_tradnl"/>
        </w:rPr>
        <w:t xml:space="preserve">Los primeros están regulados en el artículo 2 del Decreto 092 de 2017, mientras que los segundos en los artículos 5, 6, 7 y 8 </w:t>
      </w:r>
      <w:r w:rsidRPr="0003322E">
        <w:rPr>
          <w:rFonts w:ascii="Verdana" w:eastAsia="Times New Roman" w:hAnsi="Verdana" w:cs="Arial"/>
          <w:i/>
          <w:iCs/>
          <w:color w:val="000000"/>
          <w:lang w:val="es-MX" w:eastAsia="es-ES_tradnl"/>
        </w:rPr>
        <w:t>ibidem</w:t>
      </w:r>
      <w:r w:rsidRPr="0003322E">
        <w:rPr>
          <w:rFonts w:ascii="Verdana" w:eastAsia="Times New Roman" w:hAnsi="Verdana" w:cs="Arial"/>
          <w:color w:val="000000"/>
          <w:lang w:val="es-MX" w:eastAsia="es-ES_tradnl"/>
        </w:rPr>
        <w:t xml:space="preserve">. </w:t>
      </w:r>
      <w:r w:rsidRPr="0003322E">
        <w:rPr>
          <w:rFonts w:ascii="Verdana" w:eastAsia="Times New Roman" w:hAnsi="Verdana" w:cs="Arial"/>
          <w:color w:val="000000" w:themeColor="text1"/>
          <w:lang w:val="es-MX" w:eastAsia="es-ES_tradnl"/>
        </w:rPr>
        <w:t xml:space="preserve">Así las cosas, es posible diferenciar los </w:t>
      </w:r>
      <w:r w:rsidRPr="0003322E">
        <w:rPr>
          <w:rFonts w:ascii="Verdana" w:eastAsia="Times New Roman" w:hAnsi="Verdana" w:cs="Arial"/>
          <w:i/>
          <w:iCs/>
          <w:color w:val="000000" w:themeColor="text1"/>
          <w:lang w:val="es-MX" w:eastAsia="es-ES_tradnl"/>
        </w:rPr>
        <w:t>contratos de colaboración</w:t>
      </w:r>
      <w:r w:rsidRPr="0003322E">
        <w:rPr>
          <w:rFonts w:ascii="Verdana" w:eastAsia="Times New Roman" w:hAnsi="Verdana" w:cs="Arial"/>
          <w:color w:val="000000" w:themeColor="text1"/>
          <w:lang w:val="es-MX" w:eastAsia="es-ES_tradnl"/>
        </w:rPr>
        <w:t xml:space="preserve">, establecidos en el artículo 2 del Decreto 092 de 2017, de los </w:t>
      </w:r>
      <w:r w:rsidRPr="0003322E">
        <w:rPr>
          <w:rFonts w:ascii="Verdana" w:eastAsia="Times New Roman" w:hAnsi="Verdana" w:cs="Arial"/>
          <w:i/>
          <w:iCs/>
          <w:color w:val="000000" w:themeColor="text1"/>
          <w:lang w:val="es-MX" w:eastAsia="es-ES_tradnl"/>
        </w:rPr>
        <w:t>convenios de asociación</w:t>
      </w:r>
      <w:r w:rsidRPr="0003322E">
        <w:rPr>
          <w:rFonts w:ascii="Verdana" w:eastAsia="Times New Roman" w:hAnsi="Verdana" w:cs="Arial"/>
          <w:color w:val="000000" w:themeColor="text1"/>
          <w:lang w:val="es-MX" w:eastAsia="es-ES_tradnl"/>
        </w:rPr>
        <w:t>, regulados en el artículo 5.</w:t>
      </w:r>
    </w:p>
    <w:p w14:paraId="086A908E" w14:textId="77777777" w:rsidR="00E334D4" w:rsidRDefault="00E334D4" w:rsidP="00E334D4">
      <w:pPr>
        <w:spacing w:after="0" w:line="276" w:lineRule="auto"/>
        <w:ind w:firstLine="709"/>
        <w:jc w:val="both"/>
        <w:rPr>
          <w:rFonts w:ascii="Verdana" w:eastAsia="Times New Roman" w:hAnsi="Verdana" w:cs="Arial"/>
          <w:color w:val="000000" w:themeColor="text1"/>
          <w:lang w:val="es-ES"/>
        </w:rPr>
      </w:pPr>
      <w:r w:rsidRPr="0003322E">
        <w:rPr>
          <w:rFonts w:ascii="Verdana" w:eastAsia="Times New Roman" w:hAnsi="Verdana" w:cs="Arial"/>
          <w:color w:val="000000" w:themeColor="text1"/>
          <w:lang w:val="es-ES"/>
        </w:rPr>
        <w:t xml:space="preserve">De un lado, los </w:t>
      </w:r>
      <w:r w:rsidRPr="0003322E">
        <w:rPr>
          <w:rFonts w:ascii="Verdana" w:eastAsia="Times New Roman" w:hAnsi="Verdana" w:cs="Arial"/>
          <w:i/>
          <w:iCs/>
          <w:color w:val="000000" w:themeColor="text1"/>
          <w:lang w:val="es-ES"/>
        </w:rPr>
        <w:t>contratos del artículo 355 de la Constitución Política o contratos de colaboración</w:t>
      </w:r>
      <w:r w:rsidRPr="0003322E">
        <w:rPr>
          <w:rFonts w:ascii="Verdana" w:eastAsia="Times New Roman" w:hAnsi="Verdana" w:cs="Arial"/>
          <w:color w:val="000000" w:themeColor="text1"/>
          <w:lang w:val="es-ES"/>
        </w:rPr>
        <w:t xml:space="preserve"> </w:t>
      </w:r>
      <w:r>
        <w:rPr>
          <w:rFonts w:ascii="Verdana" w:eastAsia="Times New Roman" w:hAnsi="Verdana" w:cs="Arial"/>
          <w:color w:val="000000" w:themeColor="text1"/>
          <w:lang w:val="es-ES"/>
        </w:rPr>
        <w:t xml:space="preserve">o </w:t>
      </w:r>
      <w:r w:rsidRPr="008F1E8B">
        <w:rPr>
          <w:rFonts w:ascii="Verdana" w:eastAsia="Times New Roman" w:hAnsi="Verdana" w:cs="Arial"/>
          <w:i/>
          <w:iCs/>
          <w:color w:val="000000" w:themeColor="text1"/>
          <w:lang w:val="es-ES"/>
        </w:rPr>
        <w:t>fomento</w:t>
      </w:r>
      <w:r>
        <w:rPr>
          <w:rFonts w:ascii="Verdana" w:eastAsia="Times New Roman" w:hAnsi="Verdana" w:cs="Arial"/>
          <w:color w:val="000000" w:themeColor="text1"/>
          <w:lang w:val="es-ES"/>
        </w:rPr>
        <w:t xml:space="preserve"> </w:t>
      </w:r>
      <w:r w:rsidRPr="0003322E">
        <w:rPr>
          <w:rFonts w:ascii="Verdana" w:eastAsia="Times New Roman" w:hAnsi="Verdana" w:cs="Arial"/>
          <w:color w:val="000000" w:themeColor="text1"/>
          <w:lang w:val="es-ES"/>
        </w:rPr>
        <w:t xml:space="preserve">tienen como objeto promover acciones de fomento social en beneficio de los sectores más desprotegidos de la población, siempre que estén previstas en los planes de desarrollo, motivo por el cual no </w:t>
      </w:r>
      <w:r w:rsidRPr="0003322E">
        <w:rPr>
          <w:rFonts w:ascii="Verdana" w:eastAsia="Times New Roman" w:hAnsi="Verdana" w:cs="Arial"/>
          <w:color w:val="000000" w:themeColor="text1"/>
          <w:lang w:val="es-ES"/>
        </w:rPr>
        <w:lastRenderedPageBreak/>
        <w:t xml:space="preserve">dan lugar a una contraprestación directa a favor de la entidad y tampoco a una relación conmutativa entre esta y la ESAL, toda vez que el beneficio directo lo recibirán, en últimas, los sectores de este tipo de acciones de fomento. Para celebrar estos contratos, según lo establece el artículo 4 del Decreto 092 de 2017, por regla general, la entidad debe adelantar un proceso competitivo para seleccionar la ESAL contratista. </w:t>
      </w:r>
      <w:r w:rsidRPr="00B149CF">
        <w:rPr>
          <w:rFonts w:ascii="Verdana" w:eastAsia="Times New Roman" w:hAnsi="Verdana" w:cs="Arial"/>
          <w:color w:val="000000" w:themeColor="text1"/>
          <w:lang w:val="es-ES"/>
        </w:rPr>
        <w:t xml:space="preserve">Si bien el inciso final del artículo 4 establece que las Entidades Estatales no están obligadas a desarrollar proceso competitivos cuando el objeto del contrato corresponda a la ejecución de actividades </w:t>
      </w:r>
      <w:r w:rsidRPr="008F1E8B">
        <w:rPr>
          <w:rFonts w:ascii="Verdana" w:eastAsia="Times New Roman" w:hAnsi="Verdana" w:cs="Arial"/>
          <w:i/>
          <w:iCs/>
          <w:color w:val="000000" w:themeColor="text1"/>
          <w:lang w:val="es-ES"/>
        </w:rPr>
        <w:t>“[…] artísticas, culturales, deportivas y de promoción de la diversidad étnica colombiana, que solo pueden desarrollar determinadas personas naturales o jurídicas”</w:t>
      </w:r>
      <w:r w:rsidRPr="00B149CF">
        <w:rPr>
          <w:rFonts w:ascii="Verdana" w:eastAsia="Times New Roman" w:hAnsi="Verdana" w:cs="Arial"/>
          <w:color w:val="000000" w:themeColor="text1"/>
          <w:lang w:val="es-ES"/>
        </w:rPr>
        <w:t xml:space="preserve">, es necesario tener en cuenta que, respecto dicha disposición pesa una medida de suspensión provisional decreta por el Consejo de Estado en auto de 6 de septiembre de 2019, confirmada por Auto de 15 de marzo de 2022. Al decretar dicha medida cautelar, </w:t>
      </w:r>
      <w:r>
        <w:rPr>
          <w:rFonts w:ascii="Verdana" w:eastAsia="Times New Roman" w:hAnsi="Verdana" w:cs="Arial"/>
          <w:color w:val="000000" w:themeColor="text1"/>
          <w:lang w:val="es-ES"/>
        </w:rPr>
        <w:t xml:space="preserve">se </w:t>
      </w:r>
      <w:r w:rsidRPr="00B149CF">
        <w:rPr>
          <w:rFonts w:ascii="Verdana" w:eastAsia="Times New Roman" w:hAnsi="Verdana" w:cs="Arial"/>
          <w:color w:val="000000" w:themeColor="text1"/>
          <w:lang w:val="es-ES"/>
        </w:rPr>
        <w:t xml:space="preserve">expuso lo siguiente: </w:t>
      </w:r>
    </w:p>
    <w:p w14:paraId="7B385F10" w14:textId="77777777" w:rsidR="00E334D4" w:rsidRPr="00B149CF" w:rsidRDefault="00E334D4" w:rsidP="00E334D4">
      <w:pPr>
        <w:spacing w:after="0" w:line="276" w:lineRule="auto"/>
        <w:ind w:firstLine="709"/>
        <w:jc w:val="both"/>
        <w:rPr>
          <w:rFonts w:ascii="Verdana" w:eastAsia="Times New Roman" w:hAnsi="Verdana" w:cs="Arial"/>
          <w:color w:val="000000" w:themeColor="text1"/>
          <w:lang w:val="es-ES"/>
        </w:rPr>
      </w:pPr>
    </w:p>
    <w:p w14:paraId="3CA3F3F4" w14:textId="77777777" w:rsidR="00E334D4" w:rsidRDefault="00E334D4" w:rsidP="00E334D4">
      <w:pPr>
        <w:spacing w:after="0"/>
        <w:ind w:left="708" w:right="709"/>
        <w:jc w:val="both"/>
        <w:rPr>
          <w:rFonts w:ascii="Verdana" w:eastAsia="Calibri" w:hAnsi="Verdana" w:cs="Arial"/>
          <w:color w:val="000000" w:themeColor="text1"/>
          <w:sz w:val="20"/>
          <w:szCs w:val="20"/>
        </w:rPr>
      </w:pPr>
      <w:r w:rsidRPr="008F1E8B">
        <w:rPr>
          <w:rFonts w:ascii="Verdana" w:eastAsia="Times New Roman" w:hAnsi="Verdana" w:cs="Arial"/>
          <w:color w:val="000000" w:themeColor="text1"/>
          <w:sz w:val="20"/>
          <w:szCs w:val="20"/>
          <w:lang w:val="es-ES"/>
        </w:rPr>
        <w:t>“</w:t>
      </w:r>
      <w:r w:rsidRPr="008F1E8B">
        <w:rPr>
          <w:rFonts w:ascii="Verdana" w:eastAsia="Calibri" w:hAnsi="Verdana" w:cs="Arial"/>
          <w:color w:val="000000" w:themeColor="text1"/>
          <w:sz w:val="20"/>
          <w:szCs w:val="20"/>
        </w:rPr>
        <w:t xml:space="preserve">Puestas así las cosas, el despacho no encuentra motivo alguno para que se prescinda del proceso de selección cuando se identifique que el programa o actividad de interés público es ofrecido por más de una persona –natural o jurídica– simple y llanamente porque el objeto del proceso de contratación corresponda a actividades artísticas, culturales, deportivas y de promoción de la diversidad étnica. Esta razón, por tanto, es suficiente para concluir que el Gobierno Nacional le otorgó un tratamiento privilegiado a quienes desarrollen tales actividades (artísticas, culturales, deportivas y de promoción de la diversidad étnica) lo cual resulta claramente violatorio de la igualdad que debe gobernar este tipo de procedimientos contractuales. No se entiende, entonces, cuál es la razón para que se le asigne un tratamiento distinto a la contratación con este tipo de actividades (artísticas, culturales, deportivas y de promoción a la diversidad étnica) frente a las actividades de interés público de otra naturaleza”. </w:t>
      </w:r>
    </w:p>
    <w:p w14:paraId="78D2BD51" w14:textId="77777777" w:rsidR="00E334D4" w:rsidRPr="008F1E8B" w:rsidRDefault="00E334D4" w:rsidP="00E334D4">
      <w:pPr>
        <w:spacing w:after="0"/>
        <w:ind w:left="708" w:right="709"/>
        <w:jc w:val="both"/>
        <w:rPr>
          <w:rFonts w:ascii="Verdana" w:eastAsia="Calibri" w:hAnsi="Verdana" w:cs="Arial"/>
          <w:color w:val="000000" w:themeColor="text1"/>
          <w:sz w:val="20"/>
          <w:szCs w:val="20"/>
        </w:rPr>
      </w:pPr>
    </w:p>
    <w:p w14:paraId="47B5B8EC" w14:textId="77777777" w:rsidR="00E334D4" w:rsidRPr="001E5AF0" w:rsidRDefault="00E334D4" w:rsidP="00E334D4">
      <w:pPr>
        <w:spacing w:before="120" w:line="276" w:lineRule="auto"/>
        <w:ind w:firstLine="708"/>
        <w:jc w:val="both"/>
        <w:rPr>
          <w:rFonts w:ascii="Verdana" w:eastAsia="Calibri" w:hAnsi="Verdana" w:cs="Arial"/>
          <w:color w:val="000000" w:themeColor="text1"/>
        </w:rPr>
      </w:pPr>
      <w:r w:rsidRPr="008F1E8B">
        <w:rPr>
          <w:rFonts w:ascii="Verdana" w:eastAsia="Calibri" w:hAnsi="Verdana" w:cs="Arial"/>
          <w:color w:val="000000" w:themeColor="text1"/>
        </w:rPr>
        <w:t xml:space="preserve">Por consiguiente, se suspendió provisionalmente el inciso final del artículo 4, por violar el principio de igualdad, por lo </w:t>
      </w:r>
      <w:r w:rsidRPr="00B149CF">
        <w:rPr>
          <w:rFonts w:ascii="Verdana" w:eastAsia="Calibri" w:hAnsi="Verdana" w:cs="Arial"/>
          <w:color w:val="000000" w:themeColor="text1"/>
        </w:rPr>
        <w:t>tanto,</w:t>
      </w:r>
      <w:r w:rsidRPr="008F1E8B">
        <w:rPr>
          <w:rFonts w:ascii="Verdana" w:eastAsia="Calibri" w:hAnsi="Verdana" w:cs="Arial"/>
          <w:color w:val="000000" w:themeColor="text1"/>
        </w:rPr>
        <w:t xml:space="preserve"> la contratación para la ejecución de actividades y programas de interés público debe realizarse a través de un proceso competitivo para escoger a la entidad sin ánimo de lucro. </w:t>
      </w:r>
      <w:r>
        <w:rPr>
          <w:rFonts w:ascii="Verdana" w:eastAsia="Calibri" w:hAnsi="Verdana" w:cs="Arial"/>
          <w:color w:val="000000" w:themeColor="text1"/>
        </w:rPr>
        <w:t xml:space="preserve">Dicha suspensión no implica que no puedan celebrarse contratos de fomento o colaboración para la ejecución de los objetos asociados a los señalados en el inciso final del Decreto 092 de 2017, sino que, mientras dicha norma no esté </w:t>
      </w:r>
      <w:r>
        <w:rPr>
          <w:rFonts w:ascii="Verdana" w:eastAsia="Calibri" w:hAnsi="Verdana" w:cs="Arial"/>
          <w:color w:val="000000" w:themeColor="text1"/>
        </w:rPr>
        <w:lastRenderedPageBreak/>
        <w:t xml:space="preserve">vigente, tal contratación necesariamente deber darse previo desarrollo de un proceso competitivo. </w:t>
      </w:r>
    </w:p>
    <w:p w14:paraId="2184102D" w14:textId="77777777" w:rsidR="00E334D4" w:rsidRPr="0003322E" w:rsidRDefault="00E334D4" w:rsidP="00E334D4">
      <w:pPr>
        <w:spacing w:after="120" w:line="276" w:lineRule="auto"/>
        <w:ind w:firstLine="709"/>
        <w:jc w:val="both"/>
        <w:rPr>
          <w:rFonts w:ascii="Verdana" w:eastAsia="Times New Roman" w:hAnsi="Verdana" w:cs="Arial"/>
          <w:lang w:val="es-ES"/>
        </w:rPr>
      </w:pPr>
      <w:r w:rsidRPr="0003322E">
        <w:rPr>
          <w:rFonts w:ascii="Verdana" w:eastAsia="Times New Roman" w:hAnsi="Verdana" w:cs="Arial"/>
          <w:color w:val="000000" w:themeColor="text1"/>
          <w:lang w:val="es-ES"/>
        </w:rPr>
        <w:t xml:space="preserve">De otro lado, los </w:t>
      </w:r>
      <w:r w:rsidRPr="0003322E">
        <w:rPr>
          <w:rFonts w:ascii="Verdana" w:eastAsia="Times New Roman" w:hAnsi="Verdana" w:cs="Arial"/>
          <w:i/>
          <w:iCs/>
          <w:color w:val="000000" w:themeColor="text1"/>
          <w:lang w:val="es-ES"/>
        </w:rPr>
        <w:t xml:space="preserve">convenios de asociación </w:t>
      </w:r>
      <w:r w:rsidRPr="0003322E">
        <w:rPr>
          <w:rFonts w:ascii="Verdana" w:eastAsia="Times New Roman" w:hAnsi="Verdana" w:cs="Arial"/>
          <w:color w:val="000000" w:themeColor="text1"/>
          <w:lang w:val="es-ES"/>
        </w:rPr>
        <w:t>“[…] [t]ienen como finalidad que la entidad estatal, cualquiera que sea su naturaleza y orden administrativo, se asocien con personas jurídicas particulares para el desarrollo conjunto de actividades relacionadas con los cometidos y funciones asignadas a aquellas conforme a la Constitución y a la Ley”</w:t>
      </w:r>
      <w:r w:rsidRPr="0003322E">
        <w:rPr>
          <w:rFonts w:ascii="Verdana" w:eastAsia="Times New Roman" w:hAnsi="Verdana" w:cs="Times New Roman"/>
          <w:vertAlign w:val="superscript"/>
          <w:lang w:val="es-ES"/>
        </w:rPr>
        <w:footnoteReference w:id="16"/>
      </w:r>
      <w:r w:rsidRPr="0003322E">
        <w:rPr>
          <w:rFonts w:ascii="Verdana" w:eastAsia="Times New Roman" w:hAnsi="Verdana" w:cs="Arial"/>
          <w:color w:val="000000" w:themeColor="text1"/>
          <w:lang w:val="es-ES"/>
        </w:rPr>
        <w:t xml:space="preserve">. En estos convenios – al igual que en los contratos de colaboración antes explicados – no existe contraprestación o pago, sino aportes, los cuales están dirigidos, exclusivamente, a lograr la ejecución del convenio no a remunerar la actividad o actuaciones del asociado. </w:t>
      </w:r>
    </w:p>
    <w:p w14:paraId="626D4B0A" w14:textId="77777777" w:rsidR="00E334D4" w:rsidRDefault="00E334D4" w:rsidP="00E334D4">
      <w:pPr>
        <w:spacing w:after="120" w:line="276" w:lineRule="auto"/>
        <w:ind w:firstLine="709"/>
        <w:jc w:val="both"/>
        <w:rPr>
          <w:rFonts w:ascii="Verdana" w:eastAsia="Times New Roman" w:hAnsi="Verdana" w:cs="Arial"/>
          <w:lang w:val="es-ES"/>
        </w:rPr>
      </w:pPr>
      <w:r w:rsidRPr="0003322E">
        <w:rPr>
          <w:rFonts w:ascii="Verdana" w:eastAsia="Times New Roman" w:hAnsi="Verdana" w:cs="Arial"/>
          <w:color w:val="000000"/>
          <w:lang w:val="es-MX" w:eastAsia="es-ES_tradnl"/>
        </w:rPr>
        <w:t xml:space="preserve">De conformidad con el inciso segundo del artículo 96 de la Ley 489 de 1998, en </w:t>
      </w:r>
      <w:r w:rsidRPr="0003322E">
        <w:rPr>
          <w:rFonts w:ascii="Verdana" w:eastAsia="Times New Roman" w:hAnsi="Verdana" w:cs="Arial"/>
          <w:color w:val="000000"/>
          <w:lang w:val="es-ES" w:eastAsia="es-ES_tradnl"/>
        </w:rPr>
        <w:t>los</w:t>
      </w:r>
      <w:r w:rsidRPr="0003322E">
        <w:rPr>
          <w:rFonts w:ascii="Verdana" w:eastAsia="Times New Roman" w:hAnsi="Verdana" w:cs="Arial"/>
          <w:color w:val="000000"/>
          <w:lang w:val="es-MX" w:eastAsia="es-ES_tradnl"/>
        </w:rPr>
        <w:t xml:space="preserve"> convenios</w:t>
      </w:r>
      <w:r w:rsidRPr="0003322E">
        <w:rPr>
          <w:rFonts w:ascii="Verdana" w:eastAsia="Times New Roman" w:hAnsi="Verdana" w:cs="Arial"/>
          <w:color w:val="000000"/>
          <w:lang w:val="es-ES" w:eastAsia="es-ES_tradnl"/>
        </w:rPr>
        <w:t xml:space="preserve"> de asociación</w:t>
      </w:r>
      <w:r w:rsidRPr="0003322E">
        <w:rPr>
          <w:rFonts w:ascii="Verdana" w:eastAsia="Times New Roman" w:hAnsi="Verdana" w:cs="Arial"/>
          <w:color w:val="000000"/>
          <w:lang w:val="es-MX" w:eastAsia="es-ES_tradnl"/>
        </w:rPr>
        <w:t xml:space="preserve"> debe determinarse “con precisión su objeto, término, obligaciones de las partes, aportes, coordinación y todos aquellos aspectos que se consideren pertinentes”, elementos dentro de los que resalta la exigencia de aportes, que debe interpretarse en el sentido de que las ESAL deben realizar aportes a los convenios que suscriban, los cuales pueden ser en dinero, en porcentajes inferiores o superiores al treinta por ciento (30%)</w:t>
      </w:r>
      <w:r w:rsidRPr="0003322E">
        <w:rPr>
          <w:rFonts w:ascii="Verdana" w:eastAsia="Times New Roman" w:hAnsi="Verdana" w:cs="Arial"/>
          <w:color w:val="000000"/>
          <w:lang w:val="es-ES" w:eastAsia="es-ES_tradnl"/>
        </w:rPr>
        <w:t xml:space="preserve"> del valor total</w:t>
      </w:r>
      <w:r w:rsidRPr="0003322E">
        <w:rPr>
          <w:rFonts w:ascii="Verdana" w:eastAsia="Times New Roman" w:hAnsi="Verdana" w:cs="Arial"/>
          <w:color w:val="000000"/>
          <w:lang w:val="es-MX" w:eastAsia="es-ES_tradnl"/>
        </w:rPr>
        <w:t xml:space="preserve">, o en especie, los cuales deben servir al desarrollo de los objetivos comunes de la asociación. </w:t>
      </w:r>
    </w:p>
    <w:p w14:paraId="15E49D6C" w14:textId="77777777" w:rsidR="00E334D4" w:rsidRPr="0003322E" w:rsidRDefault="00E334D4" w:rsidP="00E334D4">
      <w:pPr>
        <w:spacing w:after="120" w:line="276" w:lineRule="auto"/>
        <w:ind w:firstLine="709"/>
        <w:jc w:val="both"/>
        <w:rPr>
          <w:rFonts w:ascii="Verdana" w:eastAsia="Times New Roman" w:hAnsi="Verdana" w:cs="Arial"/>
          <w:lang w:val="es-ES"/>
        </w:rPr>
      </w:pPr>
      <w:r w:rsidRPr="0003322E">
        <w:rPr>
          <w:rFonts w:ascii="Verdana" w:eastAsia="Times New Roman" w:hAnsi="Verdana" w:cs="Arial"/>
          <w:lang w:val="es-ES"/>
        </w:rPr>
        <w:t xml:space="preserve">Respecto a </w:t>
      </w:r>
      <w:r w:rsidRPr="0003322E">
        <w:rPr>
          <w:rFonts w:ascii="Verdana" w:eastAsia="Times New Roman" w:hAnsi="Verdana" w:cs="Arial"/>
          <w:lang w:val="es-ES_tradnl" w:eastAsia="es-ES_tradnl"/>
        </w:rPr>
        <w:t xml:space="preserve">la forma en la cual se debe seleccionar a la ESAL, es menester indicar que, </w:t>
      </w:r>
      <w:bookmarkStart w:id="2" w:name="_Hlk173067283"/>
      <w:r w:rsidRPr="0003322E">
        <w:rPr>
          <w:rFonts w:ascii="Verdana" w:eastAsia="Times New Roman" w:hAnsi="Verdana" w:cs="Arial"/>
          <w:lang w:val="es-ES_tradnl" w:eastAsia="es-ES_tradnl"/>
        </w:rPr>
        <w:t xml:space="preserve">el </w:t>
      </w:r>
      <w:bookmarkStart w:id="3" w:name="_Hlk173065372"/>
      <w:r w:rsidRPr="0003322E">
        <w:rPr>
          <w:rFonts w:ascii="Verdana" w:eastAsia="Times New Roman" w:hAnsi="Verdana" w:cs="Arial"/>
          <w:lang w:val="es-ES_tradnl" w:eastAsia="es-ES_tradnl"/>
        </w:rPr>
        <w:t>artículo 5</w:t>
      </w:r>
      <w:bookmarkEnd w:id="3"/>
      <w:r w:rsidRPr="0003322E">
        <w:rPr>
          <w:rFonts w:ascii="Verdana" w:eastAsia="Times New Roman" w:hAnsi="Verdana" w:cs="Arial"/>
          <w:lang w:val="es-ES_tradnl" w:eastAsia="es-ES_tradnl"/>
        </w:rPr>
        <w:t xml:space="preserve"> del Decreto 092 de 2017</w:t>
      </w:r>
      <w:r w:rsidRPr="0003322E">
        <w:rPr>
          <w:rFonts w:ascii="Verdana" w:eastAsia="Times New Roman" w:hAnsi="Verdana" w:cs="Times New Roman"/>
          <w:vertAlign w:val="superscript"/>
          <w:lang w:val="es-ES" w:eastAsia="es-ES_tradnl"/>
        </w:rPr>
        <w:footnoteReference w:id="17"/>
      </w:r>
      <w:r w:rsidRPr="0003322E">
        <w:rPr>
          <w:rFonts w:ascii="Verdana" w:eastAsia="Times New Roman" w:hAnsi="Verdana" w:cs="Arial"/>
          <w:lang w:val="es-ES_tradnl" w:eastAsia="es-ES_tradnl"/>
        </w:rPr>
        <w:t xml:space="preserve"> establece que, </w:t>
      </w:r>
      <w:bookmarkStart w:id="4" w:name="_Hlk77927493"/>
      <w:r w:rsidRPr="0003322E">
        <w:rPr>
          <w:rFonts w:ascii="Verdana" w:eastAsia="Times New Roman" w:hAnsi="Verdana" w:cs="Arial"/>
          <w:lang w:val="es-ES" w:eastAsia="es-ES_tradnl"/>
        </w:rPr>
        <w:t>el proceso para la escogencia de la ESAL, por regla general, debe estar sujeto a competencia, salvo en aquellos casos en los que una ESAL manifieste su compromiso de aportar recursos en dinero por un valor igual o superior al treinta por ciento (30%) del valor total del convenio, siempre y cuando no existan otras ESAL que ofrezcan aportes en monto igual o superior a dicho porcentaje</w:t>
      </w:r>
      <w:bookmarkEnd w:id="4"/>
      <w:r w:rsidRPr="0003322E">
        <w:rPr>
          <w:rFonts w:ascii="Verdana" w:eastAsia="Times New Roman" w:hAnsi="Verdana" w:cs="Arial"/>
          <w:lang w:val="es-ES" w:eastAsia="es-ES_tradnl"/>
        </w:rPr>
        <w:t xml:space="preserve">, pues en este evento también se tendría que realizar un proceso competitivo. </w:t>
      </w:r>
      <w:bookmarkEnd w:id="2"/>
    </w:p>
    <w:p w14:paraId="7E77E317" w14:textId="77777777" w:rsidR="00E334D4" w:rsidRPr="0003322E" w:rsidRDefault="00E334D4" w:rsidP="00E334D4">
      <w:pPr>
        <w:spacing w:after="120" w:line="276" w:lineRule="auto"/>
        <w:ind w:firstLine="709"/>
        <w:jc w:val="both"/>
        <w:textAlignment w:val="baseline"/>
        <w:rPr>
          <w:rFonts w:ascii="Verdana" w:eastAsia="Times New Roman" w:hAnsi="Verdana" w:cs="Arial"/>
          <w:lang w:val="es-ES_tradnl" w:eastAsia="es-ES_tradnl"/>
        </w:rPr>
      </w:pPr>
      <w:r>
        <w:rPr>
          <w:rFonts w:ascii="Verdana" w:eastAsia="Times New Roman" w:hAnsi="Verdana" w:cs="Arial"/>
          <w:lang w:val="es-ES_tradnl" w:eastAsia="es-ES_tradnl"/>
        </w:rPr>
        <w:t>Con todo, e</w:t>
      </w:r>
      <w:r w:rsidRPr="0003322E">
        <w:rPr>
          <w:rFonts w:ascii="Verdana" w:eastAsia="Times New Roman" w:hAnsi="Verdana" w:cs="Arial"/>
          <w:lang w:val="es-ES_tradnl" w:eastAsia="es-ES_tradnl"/>
        </w:rPr>
        <w:t xml:space="preserve">s importante resaltar que, </w:t>
      </w:r>
      <w:bookmarkStart w:id="5" w:name="_Hlk173070078"/>
      <w:r w:rsidRPr="0003322E">
        <w:rPr>
          <w:rFonts w:ascii="Verdana" w:eastAsia="Times New Roman" w:hAnsi="Verdana" w:cs="Arial"/>
          <w:lang w:val="es-ES_tradnl" w:eastAsia="es-ES_tradnl"/>
        </w:rPr>
        <w:t xml:space="preserve">según el mismo artículo 5, </w:t>
      </w:r>
      <w:r w:rsidRPr="0003322E">
        <w:rPr>
          <w:rFonts w:ascii="Verdana" w:eastAsia="Times New Roman" w:hAnsi="Verdana" w:cs="Arial"/>
          <w:i/>
          <w:iCs/>
          <w:lang w:val="es-ES_tradnl" w:eastAsia="es-ES_tradnl"/>
        </w:rPr>
        <w:t>si hay más de una ESAL</w:t>
      </w:r>
      <w:r w:rsidRPr="0003322E">
        <w:rPr>
          <w:rFonts w:ascii="Verdana" w:eastAsia="Times New Roman" w:hAnsi="Verdana" w:cs="Arial"/>
          <w:lang w:val="es-ES_tradnl" w:eastAsia="es-ES_tradnl"/>
        </w:rPr>
        <w:t xml:space="preserve"> que ofrezca su compromiso de recursos en dinero para el </w:t>
      </w:r>
      <w:r w:rsidRPr="0003322E">
        <w:rPr>
          <w:rFonts w:ascii="Verdana" w:eastAsia="Times New Roman" w:hAnsi="Verdana" w:cs="Arial"/>
          <w:lang w:val="es-ES_tradnl" w:eastAsia="es-ES_tradnl"/>
        </w:rPr>
        <w:lastRenderedPageBreak/>
        <w:t xml:space="preserve">desarrollo conjunto de actividades relacionadas con los cometidos y funciones asignadas por ley a una Entidad Estatal, en una proporción no inferior al treinta por ciento (30%) del valor total del convenio, esta última debe seleccionar de forma objetiva a tal entidad y justificar los criterios para tal selección. En este evento, la Entidad Estatal debe diseñar herramientas que permitan una comparación objetiva de las ESAL para seleccionar objetivamente a aquella que tenga las mejores condiciones para alcanzar el resultado esperado con el proyecto de cooperación. </w:t>
      </w:r>
      <w:bookmarkEnd w:id="5"/>
    </w:p>
    <w:p w14:paraId="584FE5A9" w14:textId="77777777" w:rsidR="00E334D4" w:rsidRPr="008F1E8B" w:rsidRDefault="00E334D4" w:rsidP="00E334D4">
      <w:pPr>
        <w:spacing w:after="0" w:line="276" w:lineRule="auto"/>
        <w:ind w:firstLine="708"/>
        <w:jc w:val="both"/>
        <w:rPr>
          <w:rFonts w:ascii="Verdana" w:eastAsia="Calibri" w:hAnsi="Verdana" w:cs="Arial"/>
          <w:color w:val="000000"/>
          <w:lang w:val="es-MX"/>
        </w:rPr>
      </w:pPr>
      <w:r w:rsidRPr="008F1E8B">
        <w:rPr>
          <w:rFonts w:ascii="Verdana" w:eastAsia="Calibri" w:hAnsi="Verdana" w:cs="Arial"/>
          <w:color w:val="000000"/>
          <w:lang w:val="es-MX"/>
        </w:rPr>
        <w:t xml:space="preserve">Sin perjuicio de lo anterior, es importante aclarar que los negocios jurídicos que regula el Decreto 92 de 2017 </w:t>
      </w:r>
      <w:r>
        <w:rPr>
          <w:rFonts w:ascii="Verdana" w:eastAsia="Calibri" w:hAnsi="Verdana" w:cs="Arial"/>
          <w:color w:val="000000"/>
          <w:lang w:val="es-MX"/>
        </w:rPr>
        <w:t>“</w:t>
      </w:r>
      <w:r w:rsidRPr="008F1E8B">
        <w:rPr>
          <w:rFonts w:ascii="Verdana" w:eastAsia="Calibri" w:hAnsi="Verdana" w:cs="Arial"/>
          <w:color w:val="000000"/>
          <w:lang w:val="es-MX"/>
        </w:rPr>
        <w:t>[…] son esencialmente distintos a los contratos para la adquisición y aprovisionamiento de bienes, obras o servicios regulados por el estatuto de contratación y[, como tal,] no hacen parte del sistema de compra pública. […] De acuerdo con lo anterior, si la entidad estatal adquiere o se abastece de un bien, obra o servicio en un contrato conmutativo en el cual el proveedor es una [ESAL], debe aplicar el régimen contenido en las Leyes 80 de 1993 y 1150 de 2007, y no el Decreto 92 de 2017</w:t>
      </w:r>
      <w:r>
        <w:rPr>
          <w:rFonts w:ascii="Verdana" w:eastAsia="Calibri" w:hAnsi="Verdana" w:cs="Arial"/>
          <w:color w:val="000000"/>
          <w:lang w:val="es-MX"/>
        </w:rPr>
        <w:t>”</w:t>
      </w:r>
      <w:r w:rsidRPr="008F1E8B">
        <w:rPr>
          <w:rFonts w:ascii="Verdana" w:eastAsia="Calibri" w:hAnsi="Verdana" w:cs="Arial"/>
          <w:color w:val="000000"/>
          <w:vertAlign w:val="superscript"/>
          <w:lang w:val="es-MX"/>
        </w:rPr>
        <w:footnoteReference w:id="18"/>
      </w:r>
      <w:r w:rsidRPr="008F1E8B">
        <w:rPr>
          <w:rFonts w:ascii="Verdana" w:eastAsia="Calibri" w:hAnsi="Verdana" w:cs="Arial"/>
          <w:color w:val="000000"/>
          <w:lang w:val="es-MX"/>
        </w:rPr>
        <w:t>. Así lo consideró la Sala de Consulta y Servicio Civil del Consejo de Estado</w:t>
      </w:r>
      <w:r w:rsidRPr="008F1E8B">
        <w:rPr>
          <w:rFonts w:ascii="Verdana" w:eastAsia="Calibri" w:hAnsi="Verdana" w:cs="Arial"/>
          <w:color w:val="000000"/>
          <w:vertAlign w:val="superscript"/>
          <w:lang w:val="es-MX"/>
        </w:rPr>
        <w:footnoteReference w:id="19"/>
      </w:r>
      <w:r w:rsidRPr="008F1E8B">
        <w:rPr>
          <w:rFonts w:ascii="Verdana" w:eastAsia="Calibri" w:hAnsi="Verdana" w:cs="Arial"/>
          <w:color w:val="000000"/>
          <w:lang w:val="es-MX"/>
        </w:rPr>
        <w:t>:</w:t>
      </w:r>
    </w:p>
    <w:p w14:paraId="0C2A6B6D" w14:textId="77777777" w:rsidR="00E334D4" w:rsidRPr="00024939" w:rsidRDefault="00E334D4" w:rsidP="00E334D4">
      <w:pPr>
        <w:spacing w:after="0" w:line="276" w:lineRule="auto"/>
        <w:jc w:val="both"/>
        <w:rPr>
          <w:rFonts w:ascii="Arial" w:eastAsia="Calibri" w:hAnsi="Arial" w:cs="Arial"/>
          <w:color w:val="000000"/>
          <w:lang w:val="es-MX"/>
        </w:rPr>
      </w:pPr>
    </w:p>
    <w:p w14:paraId="5267DEB5" w14:textId="77777777" w:rsidR="00E334D4" w:rsidRPr="008F1E8B" w:rsidRDefault="00E334D4" w:rsidP="00E334D4">
      <w:pPr>
        <w:spacing w:after="0" w:line="240" w:lineRule="auto"/>
        <w:ind w:left="708" w:right="709"/>
        <w:jc w:val="both"/>
        <w:rPr>
          <w:rFonts w:ascii="Verdana" w:eastAsia="Calibri" w:hAnsi="Verdana" w:cs="Arial"/>
          <w:color w:val="000000"/>
          <w:sz w:val="20"/>
          <w:szCs w:val="20"/>
          <w:lang w:val="es-MX"/>
        </w:rPr>
      </w:pPr>
      <w:r w:rsidRPr="008F1E8B">
        <w:rPr>
          <w:rFonts w:ascii="Verdana" w:eastAsia="Calibri" w:hAnsi="Verdana" w:cs="Arial"/>
          <w:color w:val="000000"/>
          <w:sz w:val="20"/>
          <w:szCs w:val="20"/>
          <w:lang w:val="es-MX"/>
        </w:rPr>
        <w:t>“Como ya se indicó, el objeto de los contratos que autoriza el inciso segundo del artículo 355 Superior, se limita a la realización de actividades o programas de interés público que, conforme a los planes de desarrollo, adelanten instituciones privadas sin ánimo de lucro.  Aquellos que generan una contraprestación directa a favor de la entidad contratante y los que tienen por objeto desarrollar proyectos específicos, corresponden al giro normal de las funciones propias de la entidad estatal, y por lo tanto, se tipifican dentro de cualquiera de las modalidades de contratación de la ley 80 de 1.993, debiendo sujetarse a los procedimientos allí previstos, en especial los de escogencia del contratista.</w:t>
      </w:r>
    </w:p>
    <w:p w14:paraId="75D7A2BD" w14:textId="77777777" w:rsidR="00E334D4" w:rsidRPr="008F1E8B" w:rsidRDefault="00E334D4" w:rsidP="00E334D4">
      <w:pPr>
        <w:spacing w:after="0" w:line="240" w:lineRule="auto"/>
        <w:ind w:left="708" w:right="709"/>
        <w:jc w:val="both"/>
        <w:rPr>
          <w:rFonts w:ascii="Verdana" w:eastAsia="Calibri" w:hAnsi="Verdana" w:cs="Arial"/>
          <w:color w:val="000000"/>
          <w:sz w:val="20"/>
          <w:szCs w:val="20"/>
          <w:lang w:val="es-MX"/>
        </w:rPr>
      </w:pPr>
    </w:p>
    <w:p w14:paraId="6C8B1675" w14:textId="77777777" w:rsidR="00E334D4" w:rsidRPr="008F1E8B" w:rsidRDefault="00E334D4" w:rsidP="00E334D4">
      <w:pPr>
        <w:spacing w:after="0" w:line="240" w:lineRule="auto"/>
        <w:ind w:left="708" w:right="709"/>
        <w:jc w:val="both"/>
        <w:rPr>
          <w:rFonts w:ascii="Verdana" w:eastAsia="Calibri" w:hAnsi="Verdana" w:cs="Arial"/>
          <w:color w:val="000000"/>
          <w:sz w:val="20"/>
          <w:szCs w:val="20"/>
          <w:lang w:val="es-MX"/>
        </w:rPr>
      </w:pPr>
      <w:r w:rsidRPr="008F1E8B">
        <w:rPr>
          <w:rFonts w:ascii="Verdana" w:eastAsia="Calibri" w:hAnsi="Verdana" w:cs="Arial"/>
          <w:color w:val="000000"/>
          <w:sz w:val="20"/>
          <w:szCs w:val="20"/>
          <w:lang w:val="es-MX"/>
        </w:rPr>
        <w:t>Cuando el artículo 355 autoriza a las entidades estatales a celebrar contratos para «impulsar» programas y actividades de interés público, se refiere a los del ente privado y no a los del Estado, pues respecto de éste el deber constitucional es no sólo impulsarlos sino cumplirlos, conforme las disposiciones contractuales vigentes, como sería por ejemplo, contratos de prestación de servicios o de obra pública”.</w:t>
      </w:r>
    </w:p>
    <w:p w14:paraId="2EE972A0" w14:textId="77777777" w:rsidR="00E334D4" w:rsidRPr="00024939" w:rsidRDefault="00E334D4" w:rsidP="00E334D4">
      <w:pPr>
        <w:spacing w:after="0" w:line="276" w:lineRule="auto"/>
        <w:jc w:val="both"/>
        <w:rPr>
          <w:rFonts w:ascii="Arial" w:eastAsia="Calibri" w:hAnsi="Arial" w:cs="Arial"/>
          <w:color w:val="000000"/>
          <w:lang w:val="es-MX"/>
        </w:rPr>
      </w:pPr>
    </w:p>
    <w:p w14:paraId="4CDF4229" w14:textId="77777777" w:rsidR="00E334D4" w:rsidRPr="00636239" w:rsidRDefault="00E334D4" w:rsidP="00E334D4">
      <w:pPr>
        <w:spacing w:after="0" w:line="276" w:lineRule="auto"/>
        <w:ind w:firstLine="708"/>
        <w:jc w:val="both"/>
        <w:rPr>
          <w:rFonts w:ascii="Verdana" w:eastAsia="Calibri" w:hAnsi="Verdana" w:cs="Arial"/>
          <w:color w:val="000000"/>
          <w:lang w:val="es-MX"/>
        </w:rPr>
      </w:pPr>
      <w:r w:rsidRPr="00636239">
        <w:rPr>
          <w:rFonts w:ascii="Verdana" w:eastAsia="Calibri" w:hAnsi="Verdana" w:cs="Arial"/>
          <w:color w:val="000000"/>
          <w:lang w:val="es-MX"/>
        </w:rPr>
        <w:lastRenderedPageBreak/>
        <w:t>De acuerdo con lo anterior, no todas las actividades que las entidades estatales deben desarrollar para alcanzar sus objetivos misionales deben ejecutarse a través de la celebración de contratos de colaboración o convenios de asociación. Debe tenerse en cuenta que lo que determina la aplicación del Decreto 92 de 2017 no es únicamente el carácter de las ESAL sino el objeto del contrato o convenio que la entidad pretende adelantar. Por tanto, el hecho de que se trate de una entidad sin ánimo de lucro no implica que necesariamente deba celebrarse un contrato de colaboración o un convenio de asociación. Así lo reconoció la Corte Constitucional en la sentencia C-287 del 18 de abril de 2012, en la que sostuvo lo siguiente:</w:t>
      </w:r>
    </w:p>
    <w:p w14:paraId="2BF9F729" w14:textId="77777777" w:rsidR="00E334D4" w:rsidRDefault="00E334D4" w:rsidP="00E334D4">
      <w:pPr>
        <w:spacing w:after="0" w:line="240" w:lineRule="auto"/>
        <w:ind w:firstLine="708"/>
        <w:jc w:val="both"/>
        <w:rPr>
          <w:rFonts w:ascii="Arial" w:eastAsia="Calibri" w:hAnsi="Arial" w:cs="Arial"/>
          <w:color w:val="000000"/>
          <w:lang w:val="es-MX"/>
        </w:rPr>
      </w:pPr>
    </w:p>
    <w:p w14:paraId="2F8BB8B0" w14:textId="77777777" w:rsidR="00E334D4" w:rsidRPr="00024939" w:rsidRDefault="00E334D4" w:rsidP="00E334D4">
      <w:pPr>
        <w:spacing w:after="0" w:line="240" w:lineRule="auto"/>
        <w:ind w:firstLine="708"/>
        <w:jc w:val="both"/>
        <w:rPr>
          <w:rFonts w:ascii="Arial" w:eastAsia="Calibri" w:hAnsi="Arial" w:cs="Arial"/>
          <w:color w:val="000000"/>
          <w:lang w:val="es-MX"/>
        </w:rPr>
      </w:pPr>
    </w:p>
    <w:p w14:paraId="1E38F4C8" w14:textId="77777777" w:rsidR="00E334D4" w:rsidRPr="00636239" w:rsidRDefault="00E334D4" w:rsidP="00E334D4">
      <w:pPr>
        <w:spacing w:after="0" w:line="240" w:lineRule="auto"/>
        <w:ind w:left="709" w:right="709"/>
        <w:jc w:val="both"/>
        <w:rPr>
          <w:rFonts w:ascii="Verdana" w:eastAsia="Calibri" w:hAnsi="Verdana" w:cs="Arial"/>
          <w:color w:val="000000"/>
          <w:sz w:val="20"/>
          <w:szCs w:val="20"/>
          <w:lang w:val="es-MX"/>
        </w:rPr>
      </w:pPr>
      <w:r w:rsidRPr="00636239">
        <w:rPr>
          <w:rFonts w:ascii="Verdana" w:eastAsia="Calibri" w:hAnsi="Verdana" w:cs="Arial"/>
          <w:color w:val="000000"/>
          <w:sz w:val="20"/>
          <w:szCs w:val="20"/>
          <w:lang w:val="es-MX"/>
        </w:rPr>
        <w:t>“Las corporaciones o asociaciones sin ánimo de lucro han sido definas por la doctrina como personas jurídicas que surgen de la voluntad de un grupo de individuos que vinculan un capital a la obtención de un fin de interés general o de bienestar común no lucrativo, de manera que tienen como finalidad propia la satisfacción de intereses públicos y sociales.</w:t>
      </w:r>
    </w:p>
    <w:p w14:paraId="0A136304" w14:textId="77777777" w:rsidR="00E334D4" w:rsidRPr="00636239" w:rsidRDefault="00E334D4" w:rsidP="00E334D4">
      <w:pPr>
        <w:spacing w:after="0" w:line="240" w:lineRule="auto"/>
        <w:ind w:left="709" w:right="709"/>
        <w:jc w:val="both"/>
        <w:rPr>
          <w:rFonts w:ascii="Verdana" w:eastAsia="Calibri" w:hAnsi="Verdana" w:cs="Arial"/>
          <w:color w:val="000000"/>
          <w:sz w:val="20"/>
          <w:szCs w:val="20"/>
          <w:lang w:val="es-MX"/>
        </w:rPr>
      </w:pPr>
    </w:p>
    <w:p w14:paraId="24CA596F" w14:textId="77777777" w:rsidR="00E334D4" w:rsidRPr="00636239" w:rsidRDefault="00E334D4" w:rsidP="00E334D4">
      <w:pPr>
        <w:spacing w:after="0" w:line="240" w:lineRule="auto"/>
        <w:ind w:left="709" w:right="709"/>
        <w:jc w:val="both"/>
        <w:rPr>
          <w:rFonts w:ascii="Verdana" w:eastAsia="Calibri" w:hAnsi="Verdana" w:cs="Arial"/>
          <w:color w:val="000000"/>
          <w:sz w:val="20"/>
          <w:szCs w:val="20"/>
          <w:lang w:val="es-MX"/>
        </w:rPr>
      </w:pPr>
      <w:r w:rsidRPr="00636239">
        <w:rPr>
          <w:rFonts w:ascii="Verdana" w:eastAsia="Calibri" w:hAnsi="Verdana" w:cs="Arial"/>
          <w:i/>
          <w:iCs/>
          <w:color w:val="000000"/>
          <w:sz w:val="20"/>
          <w:szCs w:val="20"/>
          <w:lang w:val="es-MX"/>
        </w:rPr>
        <w:t>Sin embargo, el hecho que no persigan una finalidad lucrativa, no significa que no desarrollen actividades que generen utilidades, lo que pasa es que a diferencia de las sociedades, el lucro o ganancia obtenida no se reparte entre sus miembros sino que se integra al patrimonio de la asociación para la obtención del fin deseado</w:t>
      </w:r>
      <w:r w:rsidRPr="00636239">
        <w:rPr>
          <w:rFonts w:ascii="Verdana" w:eastAsia="Calibri" w:hAnsi="Verdana" w:cs="Arial"/>
          <w:color w:val="000000"/>
          <w:sz w:val="20"/>
          <w:szCs w:val="20"/>
          <w:lang w:val="es-MX"/>
        </w:rPr>
        <w:t>. Así, el elemento característico de las corporaciones o asociaciones sin ánimo de lucro radica, precisamente, en la determinación de sus miembros de desarrollar una actividad de interés general sin esperar a cambio repartición de utilidades en proporción a su aporte, ni la recuperación del mismo en el momento de su disolución o liquidación”. (Cursivas propias</w:t>
      </w:r>
      <w:r>
        <w:rPr>
          <w:rFonts w:ascii="Verdana" w:eastAsia="Calibri" w:hAnsi="Verdana" w:cs="Arial"/>
          <w:color w:val="000000"/>
          <w:sz w:val="20"/>
          <w:szCs w:val="20"/>
          <w:lang w:val="es-MX"/>
        </w:rPr>
        <w:t>).</w:t>
      </w:r>
    </w:p>
    <w:p w14:paraId="01D5CE05" w14:textId="77777777" w:rsidR="00E334D4" w:rsidRPr="00024939" w:rsidRDefault="00E334D4" w:rsidP="00E334D4">
      <w:pPr>
        <w:spacing w:after="0" w:line="276" w:lineRule="auto"/>
        <w:jc w:val="both"/>
        <w:rPr>
          <w:rFonts w:ascii="Arial" w:eastAsia="Calibri" w:hAnsi="Arial" w:cs="Arial"/>
          <w:color w:val="000000"/>
          <w:lang w:val="es-MX"/>
        </w:rPr>
      </w:pPr>
    </w:p>
    <w:p w14:paraId="024D4F5E" w14:textId="77777777" w:rsidR="00E334D4" w:rsidRPr="008F1E8B" w:rsidRDefault="00E334D4" w:rsidP="00E334D4">
      <w:pPr>
        <w:spacing w:after="0" w:line="276" w:lineRule="auto"/>
        <w:ind w:firstLine="708"/>
        <w:jc w:val="both"/>
        <w:rPr>
          <w:rFonts w:ascii="Verdana" w:eastAsia="Calibri" w:hAnsi="Verdana" w:cs="Arial"/>
          <w:color w:val="000000"/>
          <w:lang w:val="es-MX"/>
        </w:rPr>
      </w:pPr>
      <w:r w:rsidRPr="008F1E8B">
        <w:rPr>
          <w:rFonts w:ascii="Verdana" w:eastAsia="Calibri" w:hAnsi="Verdana" w:cs="Arial"/>
          <w:color w:val="000000"/>
          <w:lang w:val="es-MX"/>
        </w:rPr>
        <w:t>Lo anterior se justifica en que la principal característica de las ESAL es la ausencia de lucro, es decir, las ganancias o beneficios económicos no están destinados a repartirse en favor de los miembros ni de terceros, sino que permanecen dentro de la entidad incrementando su patrimonio. Con todo, las ESAL sí pueden participar en igualdad de condiciones en procesos de contratación regidos por la Ley 80 de 1993, la Ley 1150 de 2007 y el Decreto 1082 de 2015, siempre y cuando cumplan con los requisitos exigidos en los documentos del proceso.</w:t>
      </w:r>
    </w:p>
    <w:p w14:paraId="6AEA6971" w14:textId="77777777" w:rsidR="00E334D4" w:rsidRDefault="00E334D4" w:rsidP="00E334D4">
      <w:pPr>
        <w:spacing w:after="0" w:line="276" w:lineRule="auto"/>
        <w:jc w:val="both"/>
        <w:textAlignment w:val="baseline"/>
        <w:rPr>
          <w:rFonts w:ascii="Verdana" w:eastAsia="Times New Roman" w:hAnsi="Verdana" w:cs="Arial"/>
          <w:color w:val="000000"/>
          <w:lang w:val="es-MX" w:eastAsia="es-ES_tradnl"/>
        </w:rPr>
      </w:pPr>
    </w:p>
    <w:p w14:paraId="3DDC0FE7" w14:textId="77777777" w:rsidR="00E334D4" w:rsidRDefault="00E334D4" w:rsidP="00E334D4">
      <w:pPr>
        <w:spacing w:after="120" w:line="276" w:lineRule="auto"/>
        <w:jc w:val="both"/>
        <w:textAlignment w:val="baseline"/>
        <w:rPr>
          <w:rFonts w:ascii="Verdana" w:eastAsia="Times New Roman" w:hAnsi="Verdana" w:cs="Arial"/>
          <w:color w:val="000000"/>
          <w:lang w:val="es-MX" w:eastAsia="es-ES_tradnl"/>
        </w:rPr>
      </w:pPr>
      <w:r>
        <w:rPr>
          <w:rFonts w:ascii="Verdana" w:eastAsia="Times New Roman" w:hAnsi="Verdana" w:cs="Arial"/>
          <w:color w:val="000000"/>
          <w:lang w:val="es-MX" w:eastAsia="es-ES_tradnl"/>
        </w:rPr>
        <w:t xml:space="preserve">iii. De acuerdo con lo expuesto, para la contratación de actividades o trabajos artísticos, las Entidades Estatales tienen a su disposición las tipologías </w:t>
      </w:r>
      <w:r>
        <w:rPr>
          <w:rFonts w:ascii="Verdana" w:eastAsia="Times New Roman" w:hAnsi="Verdana" w:cs="Arial"/>
          <w:color w:val="000000"/>
          <w:lang w:val="es-MX" w:eastAsia="es-ES_tradnl"/>
        </w:rPr>
        <w:lastRenderedPageBreak/>
        <w:t xml:space="preserve">contractuales establecidas en el marco del EGCAP y el derecho privado, entre las que destaca el contrato de prestación de servicios </w:t>
      </w:r>
      <w:r w:rsidRPr="008F1E8B">
        <w:rPr>
          <w:rFonts w:ascii="Verdana" w:eastAsia="Times New Roman" w:hAnsi="Verdana" w:cs="Arial"/>
          <w:i/>
          <w:iCs/>
          <w:color w:val="000000"/>
          <w:lang w:val="es-MX" w:eastAsia="es-ES_tradnl"/>
        </w:rPr>
        <w:t>para la ejecución de trabajos que por su naturaleza deban encomendarse a determinada natural</w:t>
      </w:r>
      <w:r>
        <w:rPr>
          <w:rFonts w:ascii="Verdana" w:eastAsia="Times New Roman" w:hAnsi="Verdana" w:cs="Arial"/>
          <w:color w:val="000000"/>
          <w:lang w:val="es-MX" w:eastAsia="es-ES_tradnl"/>
        </w:rPr>
        <w:t xml:space="preserve">, </w:t>
      </w:r>
      <w:r w:rsidRPr="008F1E8B">
        <w:rPr>
          <w:rFonts w:ascii="Verdana" w:eastAsia="Times New Roman" w:hAnsi="Verdana" w:cs="Arial"/>
          <w:color w:val="000000"/>
          <w:lang w:val="es-MX" w:eastAsia="es-ES_tradnl"/>
        </w:rPr>
        <w:t xml:space="preserve">según lo establecido en </w:t>
      </w:r>
      <w:r>
        <w:rPr>
          <w:rFonts w:ascii="Verdana" w:eastAsia="Times New Roman" w:hAnsi="Verdana" w:cs="Arial"/>
          <w:color w:val="000000"/>
          <w:lang w:val="es-MX" w:eastAsia="es-ES_tradnl"/>
        </w:rPr>
        <w:t>los</w:t>
      </w:r>
      <w:r w:rsidRPr="008F1E8B">
        <w:rPr>
          <w:rFonts w:ascii="Verdana" w:eastAsia="Times New Roman" w:hAnsi="Verdana" w:cs="Arial"/>
          <w:color w:val="000000"/>
          <w:lang w:val="es-MX" w:eastAsia="es-ES_tradnl"/>
        </w:rPr>
        <w:t xml:space="preserve"> artículo</w:t>
      </w:r>
      <w:r>
        <w:rPr>
          <w:rFonts w:ascii="Verdana" w:eastAsia="Times New Roman" w:hAnsi="Verdana" w:cs="Arial"/>
          <w:color w:val="000000"/>
          <w:lang w:val="es-MX" w:eastAsia="es-ES_tradnl"/>
        </w:rPr>
        <w:t>s</w:t>
      </w:r>
      <w:r w:rsidRPr="008F1E8B">
        <w:rPr>
          <w:rFonts w:ascii="Verdana" w:eastAsia="Times New Roman" w:hAnsi="Verdana" w:cs="Arial"/>
          <w:color w:val="000000"/>
          <w:lang w:val="es-MX" w:eastAsia="es-ES_tradnl"/>
        </w:rPr>
        <w:t xml:space="preserve"> 32.3 de la Ley 80 de 1993</w:t>
      </w:r>
      <w:r>
        <w:rPr>
          <w:rFonts w:ascii="Verdana" w:eastAsia="Times New Roman" w:hAnsi="Verdana" w:cs="Arial"/>
          <w:i/>
          <w:iCs/>
          <w:color w:val="000000"/>
          <w:lang w:val="es-MX" w:eastAsia="es-ES_tradnl"/>
        </w:rPr>
        <w:t xml:space="preserve"> </w:t>
      </w:r>
      <w:r w:rsidRPr="008F1E8B">
        <w:rPr>
          <w:rFonts w:ascii="Verdana" w:eastAsia="Times New Roman" w:hAnsi="Verdana" w:cs="Arial"/>
          <w:color w:val="000000"/>
          <w:lang w:val="es-MX" w:eastAsia="es-ES_tradnl"/>
        </w:rPr>
        <w:t>y</w:t>
      </w:r>
      <w:r>
        <w:rPr>
          <w:rFonts w:ascii="Verdana" w:eastAsia="Times New Roman" w:hAnsi="Verdana" w:cs="Arial"/>
          <w:i/>
          <w:iCs/>
          <w:color w:val="000000"/>
          <w:lang w:val="es-MX" w:eastAsia="es-ES_tradnl"/>
        </w:rPr>
        <w:t xml:space="preserve"> </w:t>
      </w:r>
      <w:r>
        <w:rPr>
          <w:rFonts w:ascii="Verdana" w:eastAsia="Times New Roman" w:hAnsi="Verdana" w:cs="Arial"/>
          <w:color w:val="000000"/>
          <w:lang w:val="es-MX" w:eastAsia="es-ES_tradnl"/>
        </w:rPr>
        <w:t xml:space="preserve">  </w:t>
      </w:r>
      <w:r w:rsidRPr="0010420B">
        <w:rPr>
          <w:rFonts w:ascii="Verdana" w:eastAsia="Times New Roman" w:hAnsi="Verdana" w:cs="Arial"/>
          <w:color w:val="000000"/>
          <w:lang w:val="es-MX" w:eastAsia="es-ES_tradnl"/>
        </w:rPr>
        <w:t>2.2.1.2.1.4.9.</w:t>
      </w:r>
      <w:r>
        <w:rPr>
          <w:rFonts w:ascii="Verdana" w:eastAsia="Times New Roman" w:hAnsi="Verdana" w:cs="Arial"/>
          <w:color w:val="000000"/>
          <w:lang w:val="es-MX" w:eastAsia="es-ES_tradnl"/>
        </w:rPr>
        <w:t xml:space="preserve"> del Decreto 1082 de 2015.</w:t>
      </w:r>
      <w:r>
        <w:rPr>
          <w:rFonts w:ascii="Verdana" w:eastAsia="Times New Roman" w:hAnsi="Verdana" w:cs="Arial"/>
          <w:i/>
          <w:iCs/>
          <w:color w:val="000000"/>
          <w:lang w:val="es-MX" w:eastAsia="es-ES_tradnl"/>
        </w:rPr>
        <w:t xml:space="preserve"> </w:t>
      </w:r>
      <w:r>
        <w:rPr>
          <w:rFonts w:ascii="Verdana" w:eastAsia="Times New Roman" w:hAnsi="Verdana" w:cs="Arial"/>
          <w:color w:val="000000"/>
          <w:lang w:val="es-MX" w:eastAsia="es-ES_tradnl"/>
        </w:rPr>
        <w:t xml:space="preserve">Por otro lado, en el marco de la contratación regulada por el Decreto 092 de 2017, </w:t>
      </w:r>
      <w:r>
        <w:rPr>
          <w:rFonts w:ascii="Verdana" w:eastAsia="Times New Roman" w:hAnsi="Verdana" w:cs="Arial"/>
          <w:color w:val="000000"/>
          <w:lang w:eastAsia="es-ES_tradnl"/>
        </w:rPr>
        <w:t>l</w:t>
      </w:r>
      <w:r w:rsidRPr="006F69F5">
        <w:rPr>
          <w:rFonts w:ascii="Verdana" w:eastAsia="Times New Roman" w:hAnsi="Verdana" w:cs="Arial"/>
          <w:color w:val="000000"/>
          <w:lang w:eastAsia="es-ES_tradnl"/>
        </w:rPr>
        <w:t xml:space="preserve">as Entidades Estatales </w:t>
      </w:r>
      <w:r>
        <w:rPr>
          <w:rFonts w:ascii="Verdana" w:eastAsia="Times New Roman" w:hAnsi="Verdana" w:cs="Arial"/>
          <w:color w:val="000000"/>
          <w:lang w:eastAsia="es-ES_tradnl"/>
        </w:rPr>
        <w:t>que hacen parte del</w:t>
      </w:r>
      <w:r w:rsidRPr="006F69F5">
        <w:rPr>
          <w:rFonts w:ascii="Verdana" w:eastAsia="Times New Roman" w:hAnsi="Verdana" w:cs="Arial"/>
          <w:color w:val="000000"/>
          <w:lang w:eastAsia="es-ES_tradnl"/>
        </w:rPr>
        <w:t xml:space="preserve"> Gobierno nacional, departamental, distrital y municipal</w:t>
      </w:r>
      <w:r>
        <w:rPr>
          <w:rFonts w:ascii="Verdana" w:eastAsia="Times New Roman" w:hAnsi="Verdana" w:cs="Arial"/>
          <w:color w:val="000000"/>
          <w:lang w:val="es-MX" w:eastAsia="es-ES_tradnl"/>
        </w:rPr>
        <w:t xml:space="preserve"> tienen la posibilidad de contratar la prestación de servicios artísticos a través de contratos de colaboración, de acuerdo con los artículos 2, 3 y 4, como parte de la ejecución de los planes, programas o proyectos previstos en los instrumentos de planeación, de acuerdo con el artículo 355 superior. De igual manera, con sustento en el artículo 96 de la Ley 489 de 1996, reglamentado en el artículo 5 del Decreto 092 de 2017, las Entidades Estatales pueden acudir a convenios de asociación para el desarrollo de objetos asociados a la misionalidad de la Entidad Estatal, de los que se desprenda la ejecución de la actividades artísticas asociadas al interés general. </w:t>
      </w:r>
    </w:p>
    <w:p w14:paraId="3E5AECDB" w14:textId="77777777" w:rsidR="00E334D4" w:rsidRDefault="00E334D4" w:rsidP="00E334D4">
      <w:pPr>
        <w:spacing w:after="120" w:line="276" w:lineRule="auto"/>
        <w:jc w:val="both"/>
        <w:textAlignment w:val="baseline"/>
        <w:rPr>
          <w:rFonts w:ascii="Verdana" w:eastAsia="Times New Roman" w:hAnsi="Verdana" w:cs="Arial"/>
          <w:color w:val="000000"/>
          <w:lang w:val="es-MX" w:eastAsia="es-ES_tradnl"/>
        </w:rPr>
      </w:pPr>
      <w:r>
        <w:rPr>
          <w:rFonts w:ascii="Verdana" w:eastAsia="Times New Roman" w:hAnsi="Verdana" w:cs="Arial"/>
          <w:color w:val="000000"/>
          <w:lang w:val="es-MX" w:eastAsia="es-ES_tradnl"/>
        </w:rPr>
        <w:tab/>
        <w:t xml:space="preserve">En todo caso, la tipología contractual aplicable a cada caso concreto depende de la necesidad identificada en el marco del ejercicio de planeación de la Entidad Estatal, así como del objeto y características del negocio jurídico que se pretenda celebrar para satisfacerla. Por un lado, si la necesidad corresponde a la ejecución de trabajos artísticos que por su naturaleza deban ejecutarse por determinadas personas naturales y para satisfacerla se contempla celebrar un negocio jurídico conmutativo, es decir, del que se desprenda una contraprestación o utilidad a favor del contratista, resulta aplicable el contrato de prestación de servicios regulados en </w:t>
      </w:r>
      <w:r w:rsidRPr="00620CBD">
        <w:rPr>
          <w:rFonts w:ascii="Verdana" w:eastAsia="Times New Roman" w:hAnsi="Verdana" w:cs="Arial"/>
          <w:color w:val="000000"/>
          <w:lang w:val="es-MX" w:eastAsia="es-ES_tradnl"/>
        </w:rPr>
        <w:t>artículo</w:t>
      </w:r>
      <w:r>
        <w:rPr>
          <w:rFonts w:ascii="Verdana" w:eastAsia="Times New Roman" w:hAnsi="Verdana" w:cs="Arial"/>
          <w:color w:val="000000"/>
          <w:lang w:val="es-MX" w:eastAsia="es-ES_tradnl"/>
        </w:rPr>
        <w:t>s</w:t>
      </w:r>
      <w:r w:rsidRPr="00620CBD">
        <w:rPr>
          <w:rFonts w:ascii="Verdana" w:eastAsia="Times New Roman" w:hAnsi="Verdana" w:cs="Arial"/>
          <w:color w:val="000000"/>
          <w:lang w:val="es-MX" w:eastAsia="es-ES_tradnl"/>
        </w:rPr>
        <w:t xml:space="preserve"> 32.3 de la Ley 80 de 1993</w:t>
      </w:r>
      <w:r>
        <w:rPr>
          <w:rFonts w:ascii="Verdana" w:eastAsia="Times New Roman" w:hAnsi="Verdana" w:cs="Arial"/>
          <w:i/>
          <w:iCs/>
          <w:color w:val="000000"/>
          <w:lang w:val="es-MX" w:eastAsia="es-ES_tradnl"/>
        </w:rPr>
        <w:t xml:space="preserve"> </w:t>
      </w:r>
      <w:r w:rsidRPr="00620CBD">
        <w:rPr>
          <w:rFonts w:ascii="Verdana" w:eastAsia="Times New Roman" w:hAnsi="Verdana" w:cs="Arial"/>
          <w:color w:val="000000"/>
          <w:lang w:val="es-MX" w:eastAsia="es-ES_tradnl"/>
        </w:rPr>
        <w:t>y</w:t>
      </w:r>
      <w:r>
        <w:rPr>
          <w:rFonts w:ascii="Verdana" w:eastAsia="Times New Roman" w:hAnsi="Verdana" w:cs="Arial"/>
          <w:i/>
          <w:iCs/>
          <w:color w:val="000000"/>
          <w:lang w:val="es-MX" w:eastAsia="es-ES_tradnl"/>
        </w:rPr>
        <w:t xml:space="preserve"> </w:t>
      </w:r>
      <w:r>
        <w:rPr>
          <w:rFonts w:ascii="Verdana" w:eastAsia="Times New Roman" w:hAnsi="Verdana" w:cs="Arial"/>
          <w:color w:val="000000"/>
          <w:lang w:val="es-MX" w:eastAsia="es-ES_tradnl"/>
        </w:rPr>
        <w:t xml:space="preserve">  </w:t>
      </w:r>
      <w:r w:rsidRPr="0010420B">
        <w:rPr>
          <w:rFonts w:ascii="Verdana" w:eastAsia="Times New Roman" w:hAnsi="Verdana" w:cs="Arial"/>
          <w:color w:val="000000"/>
          <w:lang w:val="es-MX" w:eastAsia="es-ES_tradnl"/>
        </w:rPr>
        <w:t>2.2.1.2.1.4.9.</w:t>
      </w:r>
      <w:r>
        <w:rPr>
          <w:rFonts w:ascii="Verdana" w:eastAsia="Times New Roman" w:hAnsi="Verdana" w:cs="Arial"/>
          <w:color w:val="000000"/>
          <w:lang w:val="es-MX" w:eastAsia="es-ES_tradnl"/>
        </w:rPr>
        <w:t xml:space="preserve"> del Decreto 1082 de 2015. Por el contrario, si para el mismo tipo de necesidad se pretende celebrar un contrato no conmutativo, el cual esté relacionado con la ejecución de planes, programas o proyectos establecidos en el plan de desarrollo, la figura aplicable es la del </w:t>
      </w:r>
      <w:r w:rsidRPr="008F1E8B">
        <w:rPr>
          <w:rFonts w:ascii="Verdana" w:eastAsia="Times New Roman" w:hAnsi="Verdana" w:cs="Arial"/>
          <w:i/>
          <w:iCs/>
          <w:color w:val="000000"/>
          <w:lang w:val="es-MX" w:eastAsia="es-ES_tradnl"/>
        </w:rPr>
        <w:t xml:space="preserve">contrato de </w:t>
      </w:r>
      <w:r>
        <w:rPr>
          <w:rFonts w:ascii="Verdana" w:eastAsia="Times New Roman" w:hAnsi="Verdana" w:cs="Arial"/>
          <w:i/>
          <w:iCs/>
          <w:color w:val="000000"/>
          <w:lang w:val="es-MX" w:eastAsia="es-ES_tradnl"/>
        </w:rPr>
        <w:t xml:space="preserve">colaboración </w:t>
      </w:r>
      <w:r w:rsidRPr="008F1E8B">
        <w:rPr>
          <w:rFonts w:ascii="Verdana" w:eastAsia="Times New Roman" w:hAnsi="Verdana" w:cs="Arial"/>
          <w:color w:val="000000"/>
          <w:lang w:val="es-MX" w:eastAsia="es-ES_tradnl"/>
        </w:rPr>
        <w:t>con</w:t>
      </w:r>
      <w:r>
        <w:rPr>
          <w:rFonts w:ascii="Verdana" w:eastAsia="Times New Roman" w:hAnsi="Verdana" w:cs="Arial"/>
          <w:color w:val="000000"/>
          <w:lang w:val="es-MX" w:eastAsia="es-ES_tradnl"/>
        </w:rPr>
        <w:t xml:space="preserve"> entidades primadas sin ánimo de lucro, conforme a lo dispuesto en los artículos 355 superior y 2, 3 y 4 del Decreto 092 de 2017. </w:t>
      </w:r>
    </w:p>
    <w:p w14:paraId="413D6287" w14:textId="77777777" w:rsidR="00E334D4" w:rsidRDefault="00E334D4" w:rsidP="00E334D4">
      <w:pPr>
        <w:spacing w:after="120" w:line="276" w:lineRule="auto"/>
        <w:ind w:firstLine="708"/>
        <w:jc w:val="both"/>
        <w:textAlignment w:val="baseline"/>
        <w:rPr>
          <w:rFonts w:ascii="Verdana" w:eastAsia="Times New Roman" w:hAnsi="Verdana" w:cs="Arial"/>
          <w:color w:val="000000"/>
          <w:lang w:val="es-MX" w:eastAsia="es-ES_tradnl"/>
        </w:rPr>
      </w:pPr>
      <w:r>
        <w:rPr>
          <w:rFonts w:ascii="Verdana" w:eastAsia="Times New Roman" w:hAnsi="Verdana" w:cs="Arial"/>
          <w:color w:val="000000"/>
          <w:lang w:val="es-MX" w:eastAsia="es-ES_tradnl"/>
        </w:rPr>
        <w:t xml:space="preserve">De otra parte, si la necesidad tiene que ver con el desarrollo de una función o la prestación de un servicio, que de conformidad con ley deba cumplir la entidad estatal, respecto de la que se estime procedente acudir a la colaboración con entidades privadas sin animo de lucro, la figura aplicable es la del </w:t>
      </w:r>
      <w:r w:rsidRPr="008F1E8B">
        <w:rPr>
          <w:rFonts w:ascii="Verdana" w:eastAsia="Times New Roman" w:hAnsi="Verdana" w:cs="Arial"/>
          <w:i/>
          <w:iCs/>
          <w:color w:val="000000"/>
          <w:lang w:val="es-MX" w:eastAsia="es-ES_tradnl"/>
        </w:rPr>
        <w:t>convenio de asociación</w:t>
      </w:r>
      <w:r>
        <w:rPr>
          <w:rFonts w:ascii="Verdana" w:eastAsia="Times New Roman" w:hAnsi="Verdana" w:cs="Arial"/>
          <w:color w:val="000000"/>
          <w:lang w:val="es-MX" w:eastAsia="es-ES_tradnl"/>
        </w:rPr>
        <w:t xml:space="preserve">, según establecido en los artículos 96 de la Ley 489 </w:t>
      </w:r>
      <w:r>
        <w:rPr>
          <w:rFonts w:ascii="Verdana" w:eastAsia="Times New Roman" w:hAnsi="Verdana" w:cs="Arial"/>
          <w:color w:val="000000"/>
          <w:lang w:val="es-MX" w:eastAsia="es-ES_tradnl"/>
        </w:rPr>
        <w:lastRenderedPageBreak/>
        <w:t xml:space="preserve">de 1998 y 5 del Decreto 092 de 2017. En el marco de este tipo de convenios, así como dentro de los contratos de colaboración, resulta posible que dentro de las condiciones del contrato se establezca la obligación de vincular a artistas determinados o no, para que se encarguen de ejecutar el componente artístico del objeto. Esto desde luego está sujeto a las características del proyecto y la autonomía de la voluntad de las partes, en virtud de la cual tal obligación puede ser atribuida a la entidad estatal directamente o la entidad sin animo de lucro que funja como ejecutora o contratista. En todo caso, en los casos en los que se opte lo segundo, la vinculación de los artistas con el contratista estará regida por las disposiciones civiles y/o labores que resulten aplicables para efecto, siendo la entidad estatal un tercero ajeno a dicha relación, sin perjuicio que esta tenga su causa en el convenio o contrato estatal.        </w:t>
      </w:r>
    </w:p>
    <w:p w14:paraId="6AF9AE21" w14:textId="77777777" w:rsidR="00E334D4" w:rsidRDefault="00E334D4" w:rsidP="00E334D4">
      <w:pPr>
        <w:spacing w:after="120" w:line="276" w:lineRule="auto"/>
        <w:jc w:val="both"/>
        <w:textAlignment w:val="baseline"/>
        <w:rPr>
          <w:rFonts w:ascii="Verdana" w:eastAsia="Times New Roman" w:hAnsi="Verdana" w:cs="Arial"/>
          <w:color w:val="000000"/>
          <w:lang w:val="es-MX" w:eastAsia="es-ES_tradnl"/>
        </w:rPr>
      </w:pPr>
      <w:r>
        <w:rPr>
          <w:rFonts w:ascii="Verdana" w:eastAsia="Times New Roman" w:hAnsi="Verdana" w:cs="Arial"/>
          <w:color w:val="000000"/>
          <w:lang w:val="es-MX" w:eastAsia="es-ES_tradnl"/>
        </w:rPr>
        <w:tab/>
        <w:t xml:space="preserve">En síntesis, de conformidad con lo establecido en el marco de su ejercicio de planeación, corresponde a la Entidad Estatal determinar cual es el objeto contractual y el tipo de negocio jurídico que se debe celebrar para la satisfacción de una necesidad que este asociada a la ejecución de trabajos artísticos. De acuerdo con el tipo de necesidad resultan aplicables los negocios jurídicos establecidos en los artículo 32.3 de la Ley 80 de 1993, 2 y 5 del Decreto 092 de 2017, así como los que en ejercicio de la autonomía de la voluntad se celebren con arreglo a las disposiciones civiles. En consonancia con el tipo de negocio jurídico escogido, las entidades estatales pueden optar por contratar a los artistas de manera directa, ya sea a través de un </w:t>
      </w:r>
      <w:r w:rsidRPr="008F1E8B">
        <w:rPr>
          <w:rFonts w:ascii="Verdana" w:eastAsia="Times New Roman" w:hAnsi="Verdana" w:cs="Arial"/>
          <w:i/>
          <w:iCs/>
          <w:color w:val="000000"/>
          <w:lang w:val="es-MX" w:eastAsia="es-ES_tradnl"/>
        </w:rPr>
        <w:t xml:space="preserve">contrato de prestación de </w:t>
      </w:r>
      <w:r w:rsidRPr="00636239">
        <w:rPr>
          <w:rFonts w:ascii="Verdana" w:eastAsia="Times New Roman" w:hAnsi="Verdana" w:cs="Arial"/>
          <w:i/>
          <w:iCs/>
          <w:color w:val="000000"/>
          <w:lang w:val="es-MX" w:eastAsia="es-ES_tradnl"/>
        </w:rPr>
        <w:t>servicios</w:t>
      </w:r>
      <w:r>
        <w:rPr>
          <w:rFonts w:ascii="Verdana" w:eastAsia="Times New Roman" w:hAnsi="Verdana" w:cs="Arial"/>
          <w:color w:val="000000"/>
          <w:lang w:val="es-MX" w:eastAsia="es-ES_tradnl"/>
        </w:rPr>
        <w:t xml:space="preserve"> o un </w:t>
      </w:r>
      <w:r w:rsidRPr="00636239">
        <w:rPr>
          <w:rFonts w:ascii="Verdana" w:eastAsia="Times New Roman" w:hAnsi="Verdana" w:cs="Arial"/>
          <w:i/>
          <w:iCs/>
          <w:color w:val="000000"/>
          <w:lang w:val="es-MX" w:eastAsia="es-ES_tradnl"/>
        </w:rPr>
        <w:t>contrato de colaboración</w:t>
      </w:r>
      <w:r>
        <w:rPr>
          <w:rFonts w:ascii="Verdana" w:eastAsia="Times New Roman" w:hAnsi="Verdana" w:cs="Arial"/>
          <w:color w:val="000000"/>
          <w:lang w:val="es-MX" w:eastAsia="es-ES_tradnl"/>
        </w:rPr>
        <w:t xml:space="preserve">, o bien puede acudir a otro tipo de negocio jurídico en el que, la vinculación de los artistas encargados de la ejecución material del objeto sea una obligación del contratista. </w:t>
      </w:r>
    </w:p>
    <w:p w14:paraId="079A2712" w14:textId="77777777" w:rsidR="00E334D4" w:rsidRPr="00176A0C" w:rsidRDefault="00E334D4" w:rsidP="00E334D4">
      <w:pPr>
        <w:tabs>
          <w:tab w:val="left" w:pos="142"/>
          <w:tab w:val="left" w:pos="284"/>
          <w:tab w:val="left" w:pos="6912"/>
        </w:tabs>
        <w:spacing w:after="0" w:line="240" w:lineRule="auto"/>
        <w:jc w:val="both"/>
        <w:rPr>
          <w:rFonts w:ascii="Verdana" w:eastAsia="Times New Roman" w:hAnsi="Verdana" w:cs="Arial"/>
          <w:bCs/>
          <w:lang w:eastAsia="es-CO"/>
        </w:rPr>
      </w:pPr>
    </w:p>
    <w:p w14:paraId="3FD9936A" w14:textId="77777777" w:rsidR="00E334D4" w:rsidRPr="00176A0C" w:rsidRDefault="00E334D4" w:rsidP="00E334D4">
      <w:pPr>
        <w:tabs>
          <w:tab w:val="left" w:pos="142"/>
          <w:tab w:val="left" w:pos="284"/>
          <w:tab w:val="left" w:pos="6912"/>
        </w:tabs>
        <w:spacing w:after="120" w:line="276" w:lineRule="auto"/>
        <w:jc w:val="both"/>
        <w:rPr>
          <w:rFonts w:ascii="Verdana" w:eastAsia="Times New Roman" w:hAnsi="Verdana" w:cs="Arial"/>
          <w:bCs/>
          <w:lang w:eastAsia="es-CO"/>
        </w:rPr>
      </w:pPr>
      <w:r>
        <w:rPr>
          <w:rFonts w:ascii="Verdana" w:eastAsia="Times New Roman" w:hAnsi="Verdana" w:cs="Arial"/>
          <w:bCs/>
          <w:lang w:eastAsia="es-CO"/>
        </w:rPr>
        <w:tab/>
        <w:t>Respecto a la aplicación de las restricciones de la Ley de Garantías Electorales, e</w:t>
      </w:r>
      <w:r w:rsidRPr="00176A0C">
        <w:rPr>
          <w:rFonts w:ascii="Verdana" w:eastAsia="Times New Roman" w:hAnsi="Verdana" w:cs="Arial"/>
          <w:bCs/>
          <w:lang w:eastAsia="es-CO"/>
        </w:rPr>
        <w:t>l ordenamiento jurídico colombiano contempla previsiones claras para evitar la obtención de beneficios personales en asuntos propios de la administración pública. Por ejemplo, el artículo 127 de la Constitución Política establece una prohibición contractual a los servidores públicos y en cuanto a aspectos políticos establece restricciones a ciertos empleados del Estado, incluso en época no electoral</w:t>
      </w:r>
      <w:r w:rsidRPr="00176A0C">
        <w:rPr>
          <w:rFonts w:ascii="Verdana" w:eastAsia="Calibri" w:hAnsi="Verdana" w:cs="Arial"/>
          <w:bCs/>
          <w:vertAlign w:val="superscript"/>
        </w:rPr>
        <w:footnoteReference w:id="20"/>
      </w:r>
      <w:r w:rsidRPr="00176A0C">
        <w:rPr>
          <w:rFonts w:ascii="Verdana" w:eastAsia="Calibri" w:hAnsi="Verdana" w:cs="Arial"/>
          <w:bCs/>
        </w:rPr>
        <w:t xml:space="preserve">. </w:t>
      </w:r>
    </w:p>
    <w:p w14:paraId="18F913FD" w14:textId="77777777" w:rsidR="00E334D4" w:rsidRPr="00176A0C" w:rsidRDefault="00E334D4" w:rsidP="00E334D4">
      <w:pPr>
        <w:tabs>
          <w:tab w:val="left" w:pos="426"/>
        </w:tabs>
        <w:spacing w:after="120" w:line="276" w:lineRule="auto"/>
        <w:ind w:firstLine="709"/>
        <w:jc w:val="both"/>
        <w:rPr>
          <w:rFonts w:ascii="Verdana" w:eastAsia="Calibri" w:hAnsi="Verdana" w:cs="Arial"/>
          <w:noProof/>
          <w:lang w:val="es-ES_tradnl"/>
        </w:rPr>
      </w:pPr>
      <w:r w:rsidRPr="00176A0C">
        <w:rPr>
          <w:rFonts w:ascii="Verdana" w:eastAsia="Times New Roman" w:hAnsi="Verdana" w:cs="Arial"/>
          <w:bCs/>
          <w:lang w:eastAsia="es-CO"/>
        </w:rPr>
        <w:lastRenderedPageBreak/>
        <w:t>En el mismo sentido, la Ley 996 de 2005, conocida como “Ley de Garantías Electorales”, se suma al andamiaje de orden constitucional y legal que se ha ocupado de evitar la injerencia inadecuada de intereses particulares en el ejercicio de la función pública. Esta ley tiene como propósito evitar cualquier tipo de arbitrariedad, de ventaja injustificada, de uso irregular de los recursos del Estado en las campañas o falta de garantías en la elección presidencial</w:t>
      </w:r>
      <w:r w:rsidRPr="00176A0C">
        <w:rPr>
          <w:rFonts w:ascii="Verdana" w:eastAsia="Times New Roman" w:hAnsi="Verdana" w:cs="Arial"/>
          <w:bCs/>
          <w:vertAlign w:val="superscript"/>
          <w:lang w:eastAsia="es-CO"/>
        </w:rPr>
        <w:footnoteReference w:id="21"/>
      </w:r>
      <w:r w:rsidRPr="00176A0C">
        <w:rPr>
          <w:rFonts w:ascii="Verdana" w:eastAsia="Times New Roman" w:hAnsi="Verdana" w:cs="Arial"/>
          <w:bCs/>
          <w:lang w:eastAsia="es-CO"/>
        </w:rPr>
        <w:t>. En esta medida, introduce limitaciones para realizar nombramientos, postulaciones, contrataciones o cualquier otro tipo de actividad que implique destinación de recursos públicos bajo el devenir propio de las entidades estatales.</w:t>
      </w:r>
      <w:r w:rsidRPr="00176A0C">
        <w:rPr>
          <w:rFonts w:ascii="Verdana" w:eastAsia="Calibri" w:hAnsi="Verdana" w:cs="Arial"/>
          <w:noProof/>
          <w:lang w:val="es-ES_tradnl"/>
        </w:rPr>
        <w:t xml:space="preserve"> </w:t>
      </w:r>
    </w:p>
    <w:p w14:paraId="26809984" w14:textId="77777777" w:rsidR="00E334D4" w:rsidRPr="00176A0C" w:rsidRDefault="00E334D4" w:rsidP="00E334D4">
      <w:pPr>
        <w:tabs>
          <w:tab w:val="left" w:pos="426"/>
        </w:tabs>
        <w:spacing w:after="0" w:line="276" w:lineRule="auto"/>
        <w:ind w:firstLine="709"/>
        <w:jc w:val="both"/>
        <w:rPr>
          <w:rFonts w:ascii="Verdana" w:eastAsia="Times New Roman" w:hAnsi="Verdana" w:cs="Arial"/>
          <w:bCs/>
          <w:lang w:eastAsia="es-CO"/>
        </w:rPr>
      </w:pPr>
      <w:r w:rsidRPr="00176A0C">
        <w:rPr>
          <w:rFonts w:ascii="Verdana" w:eastAsia="Times New Roman" w:hAnsi="Verdana" w:cs="Arial"/>
          <w:bCs/>
          <w:lang w:eastAsia="es-CO"/>
        </w:rPr>
        <w:t>En armonía con lo anterior, la Corte Constitucional ha abordado la definición de la Ley de Garantías Electorales. De esta manera, explica que tiene como propósito:</w:t>
      </w:r>
    </w:p>
    <w:p w14:paraId="2E8E372B" w14:textId="77777777" w:rsidR="00E334D4" w:rsidRPr="00176A0C" w:rsidRDefault="00E334D4" w:rsidP="00E334D4">
      <w:pPr>
        <w:tabs>
          <w:tab w:val="left" w:pos="426"/>
        </w:tabs>
        <w:spacing w:after="0" w:line="276" w:lineRule="auto"/>
        <w:ind w:firstLine="709"/>
        <w:jc w:val="both"/>
        <w:rPr>
          <w:rFonts w:ascii="Verdana" w:eastAsia="Times New Roman" w:hAnsi="Verdana" w:cs="Arial"/>
          <w:bCs/>
          <w:lang w:eastAsia="es-CO"/>
        </w:rPr>
      </w:pPr>
    </w:p>
    <w:p w14:paraId="20E73AC6" w14:textId="77777777" w:rsidR="00E334D4" w:rsidRPr="00176A0C" w:rsidRDefault="00E334D4" w:rsidP="00E334D4">
      <w:pPr>
        <w:spacing w:after="0" w:line="240" w:lineRule="auto"/>
        <w:ind w:left="709" w:right="709"/>
        <w:jc w:val="both"/>
        <w:rPr>
          <w:rFonts w:ascii="Verdana" w:eastAsia="Times New Roman" w:hAnsi="Verdana" w:cs="Arial"/>
          <w:sz w:val="20"/>
          <w:szCs w:val="20"/>
          <w:lang w:val="es-ES" w:eastAsia="es-CO"/>
        </w:rPr>
      </w:pPr>
      <w:r w:rsidRPr="00176A0C">
        <w:rPr>
          <w:rFonts w:ascii="Verdana" w:eastAsia="Times New Roman" w:hAnsi="Verdana" w:cs="Arial"/>
          <w:sz w:val="20"/>
          <w:szCs w:val="20"/>
          <w:lang w:val="es-ES" w:eastAsia="es-CO"/>
        </w:rPr>
        <w:t xml:space="preserve">“(…) </w:t>
      </w:r>
      <w:r w:rsidRPr="00176A0C">
        <w:rPr>
          <w:rFonts w:ascii="Verdana" w:eastAsia="Times New Roman" w:hAnsi="Verdana" w:cs="Arial"/>
          <w:bCs/>
          <w:sz w:val="20"/>
          <w:szCs w:val="20"/>
          <w:lang w:eastAsia="es-CO"/>
        </w:rPr>
        <w:t>La definición de reglas claras que permitan acceder a los canales de expresión democrática de manera efectiva e igualitaria. El objetivo de una ley de garantías es definir esas reglas.</w:t>
      </w:r>
    </w:p>
    <w:p w14:paraId="61C682B6" w14:textId="77777777" w:rsidR="00E334D4" w:rsidRPr="00176A0C" w:rsidRDefault="00E334D4" w:rsidP="00E334D4">
      <w:pPr>
        <w:spacing w:after="0" w:line="240" w:lineRule="auto"/>
        <w:ind w:left="709" w:right="709"/>
        <w:jc w:val="both"/>
        <w:rPr>
          <w:rFonts w:ascii="Verdana" w:eastAsia="Times New Roman" w:hAnsi="Verdana" w:cs="Arial"/>
          <w:bCs/>
          <w:sz w:val="20"/>
          <w:szCs w:val="20"/>
          <w:lang w:eastAsia="es-CO"/>
        </w:rPr>
      </w:pPr>
    </w:p>
    <w:p w14:paraId="17917695" w14:textId="77777777" w:rsidR="00E334D4" w:rsidRPr="00176A0C" w:rsidRDefault="00E334D4" w:rsidP="00E334D4">
      <w:pPr>
        <w:spacing w:after="0" w:line="240" w:lineRule="auto"/>
        <w:ind w:left="709" w:right="709"/>
        <w:jc w:val="both"/>
        <w:rPr>
          <w:rFonts w:ascii="Verdana" w:eastAsia="Times New Roman" w:hAnsi="Verdana" w:cs="Arial"/>
          <w:bCs/>
          <w:sz w:val="20"/>
          <w:szCs w:val="20"/>
          <w:lang w:eastAsia="es-CO"/>
        </w:rPr>
      </w:pPr>
      <w:r w:rsidRPr="00176A0C">
        <w:rPr>
          <w:rFonts w:ascii="Verdana" w:eastAsia="Times New Roman" w:hAnsi="Verdana" w:cs="Arial"/>
          <w:bCs/>
          <w:sz w:val="20"/>
          <w:szCs w:val="20"/>
          <w:lang w:eastAsia="es-CO"/>
        </w:rPr>
        <w:t>Una ley de garantías electorales es una guía para el ejercicio equitativo y transparente de la democracia representativa. Un estatuto diseñado para asegurar que la contienda democrática se cumpla en condiciones igualitarias y transparentes para a los electores. Una ley de garantías busca afianzar la neutralidad de los servidores públicos que organizan y supervisan las disputas electorales, e intenta garantizar el acceso igualitario a los canales de comunicación de los candidatos. Igualmente, una ley de garantías debe permitir que, en el debate democrático, sean las ideas y las propuestas las que definan el ascenso al poder, y no el músculo económico de los que se lo disputan (…)”</w:t>
      </w:r>
      <w:r w:rsidRPr="00176A0C">
        <w:rPr>
          <w:rFonts w:ascii="Verdana" w:eastAsia="Aptos" w:hAnsi="Verdana" w:cs="Arial"/>
          <w:sz w:val="20"/>
          <w:szCs w:val="20"/>
          <w:vertAlign w:val="superscript"/>
        </w:rPr>
        <w:footnoteReference w:id="22"/>
      </w:r>
      <w:r w:rsidRPr="00176A0C">
        <w:rPr>
          <w:rFonts w:ascii="Verdana" w:eastAsia="Times New Roman" w:hAnsi="Verdana" w:cs="Arial"/>
          <w:bCs/>
          <w:sz w:val="20"/>
          <w:szCs w:val="20"/>
          <w:lang w:eastAsia="es-CO"/>
        </w:rPr>
        <w:t xml:space="preserve">. </w:t>
      </w:r>
      <w:bookmarkStart w:id="6" w:name="_Hlk78818186"/>
    </w:p>
    <w:p w14:paraId="427EEC46" w14:textId="77777777" w:rsidR="00E334D4" w:rsidRPr="00176A0C" w:rsidRDefault="00E334D4" w:rsidP="00E334D4">
      <w:pPr>
        <w:spacing w:after="0" w:line="276" w:lineRule="auto"/>
        <w:ind w:firstLine="709"/>
        <w:jc w:val="both"/>
        <w:rPr>
          <w:rFonts w:ascii="Verdana" w:eastAsia="Times New Roman" w:hAnsi="Verdana" w:cs="Arial"/>
          <w:bCs/>
          <w:lang w:eastAsia="es-CO"/>
        </w:rPr>
      </w:pPr>
    </w:p>
    <w:p w14:paraId="1A3B1179" w14:textId="77777777" w:rsidR="00E334D4" w:rsidRPr="00176A0C" w:rsidRDefault="00E334D4" w:rsidP="00E334D4">
      <w:pPr>
        <w:spacing w:after="0" w:line="276" w:lineRule="auto"/>
        <w:ind w:firstLine="709"/>
        <w:jc w:val="both"/>
        <w:rPr>
          <w:rFonts w:ascii="Verdana" w:eastAsia="Times New Roman" w:hAnsi="Verdana" w:cs="Arial"/>
          <w:bCs/>
          <w:lang w:eastAsia="es-CO"/>
        </w:rPr>
      </w:pPr>
      <w:r w:rsidRPr="00176A0C">
        <w:rPr>
          <w:rFonts w:ascii="Verdana" w:eastAsia="Times New Roman" w:hAnsi="Verdana" w:cs="Arial"/>
          <w:bCs/>
          <w:lang w:eastAsia="es-CO"/>
        </w:rPr>
        <w:t xml:space="preserve">En este contexto, la Ley de Garantías Electorales establece el marco jurídico para el desarrollo de las elecciones, procurando condiciones de igualdad y transparencia para los aspirantes y paralelamente se incluyen restricciones en el actuar de los servidores públicos, evitando interferencias en la contienda </w:t>
      </w:r>
      <w:r w:rsidRPr="00176A0C">
        <w:rPr>
          <w:rFonts w:ascii="Verdana" w:eastAsia="Times New Roman" w:hAnsi="Verdana" w:cs="Arial"/>
          <w:bCs/>
          <w:lang w:eastAsia="es-CO"/>
        </w:rPr>
        <w:lastRenderedPageBreak/>
        <w:t xml:space="preserve">electoral, así como la posible desviación de recursos públicos en aspiraciones electorales. </w:t>
      </w:r>
      <w:bookmarkEnd w:id="6"/>
      <w:r w:rsidRPr="00176A0C">
        <w:rPr>
          <w:rFonts w:ascii="Verdana" w:eastAsia="Times New Roman" w:hAnsi="Verdana" w:cs="Arial"/>
          <w:bCs/>
          <w:lang w:eastAsia="es-CO"/>
        </w:rPr>
        <w:t>Por ello, varias de las disposiciones de la Ley 996 de 2005, al contener normas prohibitivas, no admiten una interpretación amplia, sino que deben interpretarse restrictivamente. En efecto, la Sala de Consulta y Servicio Civil del Consejo de Estado al analizar la referida ley, precisó lo siguiente:</w:t>
      </w:r>
    </w:p>
    <w:p w14:paraId="671A12D7" w14:textId="77777777" w:rsidR="00E334D4" w:rsidRPr="00176A0C" w:rsidRDefault="00E334D4" w:rsidP="00E334D4">
      <w:pPr>
        <w:spacing w:after="0" w:line="276" w:lineRule="auto"/>
        <w:ind w:firstLine="709"/>
        <w:jc w:val="both"/>
        <w:rPr>
          <w:rFonts w:ascii="Verdana" w:eastAsia="Times New Roman" w:hAnsi="Verdana" w:cs="Arial"/>
          <w:bCs/>
          <w:lang w:eastAsia="es-CO"/>
        </w:rPr>
      </w:pPr>
    </w:p>
    <w:p w14:paraId="6E51B1AC" w14:textId="77777777" w:rsidR="00E334D4" w:rsidRPr="00176A0C" w:rsidRDefault="00E334D4" w:rsidP="00E334D4">
      <w:pPr>
        <w:spacing w:after="0" w:line="240" w:lineRule="auto"/>
        <w:ind w:left="709" w:right="709"/>
        <w:jc w:val="both"/>
        <w:rPr>
          <w:rFonts w:ascii="Verdana" w:eastAsia="Times New Roman" w:hAnsi="Verdana" w:cs="Arial"/>
          <w:bCs/>
          <w:sz w:val="20"/>
          <w:szCs w:val="20"/>
          <w:lang w:eastAsia="es-CO"/>
        </w:rPr>
      </w:pPr>
      <w:r w:rsidRPr="00176A0C">
        <w:rPr>
          <w:rFonts w:ascii="Verdana" w:eastAsia="Times New Roman" w:hAnsi="Verdana" w:cs="Arial"/>
          <w:bCs/>
          <w:sz w:val="20"/>
          <w:szCs w:val="20"/>
          <w:lang w:eastAsia="es-CO"/>
        </w:rPr>
        <w:t>“No está de más recordar que las prohibiciones, en tanto limitan la libertad y los derechos de las personas, son de origen constitucional y legal; la tipificación de sus causas, vigencia, naturaleza y efectos es rígida y taxativa; y su aplicación es restrictiva, de manera que excluye la analogía legis o iuris y la interpretación extensiva. Las normas legales de contenido prohibitivo hacen parte de un conjunto de disposiciones que integran un régimen jurídico imperativo y de orden público, razón por la cual no son disponibles ni pueden ser derogadas, modificadas, ampliadas o adicionadas por acuerdo o convenio o acto unilateral.</w:t>
      </w:r>
    </w:p>
    <w:p w14:paraId="4F19FF15" w14:textId="77777777" w:rsidR="00E334D4" w:rsidRPr="00176A0C" w:rsidRDefault="00E334D4" w:rsidP="00E334D4">
      <w:pPr>
        <w:spacing w:after="0" w:line="240" w:lineRule="auto"/>
        <w:ind w:left="709" w:right="709"/>
        <w:jc w:val="both"/>
        <w:rPr>
          <w:rFonts w:ascii="Verdana" w:eastAsia="Times New Roman" w:hAnsi="Verdana" w:cs="Arial"/>
          <w:bCs/>
          <w:sz w:val="20"/>
          <w:szCs w:val="20"/>
          <w:lang w:eastAsia="es-CO"/>
        </w:rPr>
      </w:pPr>
    </w:p>
    <w:p w14:paraId="335B9C2D" w14:textId="77777777" w:rsidR="00E334D4" w:rsidRPr="00176A0C" w:rsidRDefault="00E334D4" w:rsidP="00E334D4">
      <w:pPr>
        <w:spacing w:after="0" w:line="240" w:lineRule="auto"/>
        <w:ind w:left="709" w:right="709"/>
        <w:jc w:val="both"/>
        <w:rPr>
          <w:rFonts w:ascii="Verdana" w:eastAsia="Times New Roman" w:hAnsi="Verdana" w:cs="Arial"/>
          <w:bCs/>
          <w:sz w:val="20"/>
          <w:szCs w:val="20"/>
          <w:lang w:eastAsia="es-CO"/>
        </w:rPr>
      </w:pPr>
      <w:r w:rsidRPr="00176A0C">
        <w:rPr>
          <w:rFonts w:ascii="Verdana" w:eastAsia="Times New Roman" w:hAnsi="Verdana" w:cs="Arial"/>
          <w:bCs/>
          <w:sz w:val="20"/>
          <w:szCs w:val="20"/>
          <w:lang w:eastAsia="es-CO"/>
        </w:rPr>
        <w:t>La jurisprudencia de la Corte Constitucional</w:t>
      </w:r>
      <w:r w:rsidRPr="00176A0C">
        <w:rPr>
          <w:rFonts w:ascii="Verdana" w:eastAsia="Times New Roman" w:hAnsi="Verdana" w:cs="Arial"/>
          <w:bCs/>
          <w:sz w:val="20"/>
          <w:szCs w:val="20"/>
          <w:vertAlign w:val="superscript"/>
          <w:lang w:eastAsia="es-CO"/>
        </w:rPr>
        <w:footnoteReference w:id="23"/>
      </w:r>
      <w:r w:rsidRPr="00176A0C">
        <w:rPr>
          <w:rFonts w:ascii="Verdana" w:eastAsia="Times New Roman" w:hAnsi="Verdana" w:cs="Arial"/>
          <w:bCs/>
          <w:sz w:val="20"/>
          <w:szCs w:val="20"/>
          <w:lang w:eastAsia="es-CO"/>
        </w:rPr>
        <w:t> y del Consejo de Estado</w:t>
      </w:r>
      <w:r w:rsidRPr="00176A0C">
        <w:rPr>
          <w:rFonts w:ascii="Verdana" w:eastAsia="Times New Roman" w:hAnsi="Verdana" w:cs="Arial"/>
          <w:bCs/>
          <w:sz w:val="20"/>
          <w:szCs w:val="20"/>
          <w:vertAlign w:val="superscript"/>
          <w:lang w:eastAsia="es-CO"/>
        </w:rPr>
        <w:footnoteReference w:id="24"/>
      </w:r>
      <w:r w:rsidRPr="00176A0C">
        <w:rPr>
          <w:rFonts w:ascii="Verdana" w:eastAsia="Times New Roman" w:hAnsi="Verdana" w:cs="Arial"/>
          <w:bCs/>
          <w:sz w:val="20"/>
          <w:szCs w:val="20"/>
          <w:lang w:eastAsia="es-CO"/>
        </w:rPr>
        <w:t>, coinciden en que las normas que establecen prohibiciones deben estar de manera explícita en la Constitución o en la ley y no podrán ser excesivas ni desproporcionadas. No pueden interpretarse extensivamente sino siempre en forma restrictiva o estricta; es decir, en la aplicación de las normas prohibitivas, el intérprete solamente habrá de tener en cuenta lo que en ellas expresamente se menciona y, por tanto, no le es permitido ampliar el natural y obvio alcance de los supuestos que contemplan, pues como entrañan una limitación -así fuere justificada- a la libertad de actuar o capacidad de obrar, sobrepasar sus precisos términos comporta el desconocimiento de la voluntad del legislador”</w:t>
      </w:r>
      <w:r w:rsidRPr="00176A0C">
        <w:rPr>
          <w:rFonts w:ascii="Verdana" w:eastAsia="Times New Roman" w:hAnsi="Verdana" w:cs="Arial"/>
          <w:bCs/>
          <w:sz w:val="20"/>
          <w:szCs w:val="20"/>
          <w:vertAlign w:val="superscript"/>
          <w:lang w:eastAsia="es-CO"/>
        </w:rPr>
        <w:footnoteReference w:id="25"/>
      </w:r>
      <w:r w:rsidRPr="00176A0C">
        <w:rPr>
          <w:rFonts w:ascii="Verdana" w:eastAsia="Times New Roman" w:hAnsi="Verdana" w:cs="Arial"/>
          <w:bCs/>
          <w:sz w:val="20"/>
          <w:szCs w:val="20"/>
          <w:lang w:eastAsia="es-CO"/>
        </w:rPr>
        <w:t>.</w:t>
      </w:r>
    </w:p>
    <w:p w14:paraId="5C833221" w14:textId="77777777" w:rsidR="00E334D4" w:rsidRPr="00176A0C" w:rsidRDefault="00E334D4" w:rsidP="00E334D4">
      <w:pPr>
        <w:spacing w:after="0" w:line="240" w:lineRule="auto"/>
        <w:jc w:val="both"/>
        <w:rPr>
          <w:rFonts w:ascii="Verdana" w:eastAsia="Times New Roman" w:hAnsi="Verdana" w:cs="Arial"/>
          <w:bCs/>
          <w:lang w:eastAsia="es-CO"/>
        </w:rPr>
      </w:pPr>
      <w:r w:rsidRPr="00176A0C">
        <w:rPr>
          <w:rFonts w:ascii="Verdana" w:eastAsia="Times New Roman" w:hAnsi="Verdana" w:cs="Arial"/>
          <w:bCs/>
          <w:lang w:eastAsia="es-CO"/>
        </w:rPr>
        <w:tab/>
      </w:r>
    </w:p>
    <w:p w14:paraId="3026F647" w14:textId="77777777" w:rsidR="00E334D4" w:rsidRPr="00176A0C" w:rsidRDefault="00E334D4" w:rsidP="00E334D4">
      <w:pPr>
        <w:spacing w:after="120" w:line="276" w:lineRule="auto"/>
        <w:ind w:firstLine="709"/>
        <w:jc w:val="both"/>
        <w:rPr>
          <w:rFonts w:ascii="Verdana" w:eastAsia="Arial" w:hAnsi="Verdana" w:cs="Arial"/>
          <w:lang w:val="es-ES" w:eastAsia="es-ES" w:bidi="es-ES"/>
        </w:rPr>
      </w:pPr>
      <w:r w:rsidRPr="00176A0C">
        <w:rPr>
          <w:rFonts w:ascii="Verdana" w:eastAsia="Times New Roman" w:hAnsi="Verdana" w:cs="Arial"/>
          <w:bCs/>
          <w:lang w:eastAsia="es-CO"/>
        </w:rPr>
        <w:t>De</w:t>
      </w:r>
      <w:r w:rsidRPr="00176A0C">
        <w:rPr>
          <w:rFonts w:ascii="Verdana" w:eastAsia="Arial" w:hAnsi="Verdana" w:cs="Arial"/>
          <w:lang w:val="es-ES" w:eastAsia="es-ES" w:bidi="es-ES"/>
        </w:rPr>
        <w:t xml:space="preserve"> conformidad con lo anterior, </w:t>
      </w:r>
      <w:bookmarkStart w:id="7" w:name="_Hlk77236098"/>
      <w:r w:rsidRPr="00176A0C">
        <w:rPr>
          <w:rFonts w:ascii="Verdana" w:eastAsia="Arial" w:hAnsi="Verdana" w:cs="Arial"/>
          <w:lang w:val="es-ES" w:eastAsia="es-ES" w:bidi="es-ES"/>
        </w:rPr>
        <w:t xml:space="preserve">la Ley de Garantías Electorales fijó una serie de regulaciones y prohibiciones dirigidas a los servidores públicos. Así, con la finalidad de preservar la igualdad entre los candidatos en las elecciones, aumentó las garantías en materia de contratación, de forma que no exista </w:t>
      </w:r>
      <w:r w:rsidRPr="00176A0C">
        <w:rPr>
          <w:rFonts w:ascii="Verdana" w:eastAsia="Arial" w:hAnsi="Verdana" w:cs="Arial"/>
          <w:lang w:val="es-ES" w:eastAsia="es-ES" w:bidi="es-ES"/>
        </w:rPr>
        <w:lastRenderedPageBreak/>
        <w:t xml:space="preserve">siquiera sospecha de que, por ese medio, en los periodos previos a la contienda electoral, se altere las condiciones de igualdad entre los candidatos. </w:t>
      </w:r>
    </w:p>
    <w:p w14:paraId="61C2D6E9" w14:textId="77777777" w:rsidR="00E334D4" w:rsidRPr="00176A0C" w:rsidRDefault="00E334D4" w:rsidP="00E334D4">
      <w:pPr>
        <w:spacing w:after="120" w:line="276" w:lineRule="auto"/>
        <w:ind w:firstLine="709"/>
        <w:jc w:val="both"/>
        <w:rPr>
          <w:rFonts w:ascii="Verdana" w:eastAsia="Arial" w:hAnsi="Verdana" w:cs="Arial"/>
          <w:lang w:val="es-ES" w:eastAsia="es-ES" w:bidi="es-ES"/>
        </w:rPr>
      </w:pPr>
      <w:r w:rsidRPr="00176A0C">
        <w:rPr>
          <w:rFonts w:ascii="Verdana" w:eastAsia="Arial" w:hAnsi="Verdana" w:cs="Arial"/>
          <w:lang w:val="es-ES" w:eastAsia="es-ES" w:bidi="es-ES"/>
        </w:rPr>
        <w:t>Específicamente, las restricciones consagradas en la citada ley se dirigen a dos (2) tipos de campañas electorales claramente diferenciadas: las presidenciales y las demás que se adelanten para la elección de los demás cargos de elección popular, tanto a nivel nacional como a nivel territorial.</w:t>
      </w:r>
      <w:bookmarkEnd w:id="7"/>
    </w:p>
    <w:p w14:paraId="0ABB8FAD" w14:textId="77777777" w:rsidR="00E334D4" w:rsidRPr="00176A0C" w:rsidRDefault="00E334D4" w:rsidP="00E334D4">
      <w:pPr>
        <w:spacing w:after="120" w:line="276" w:lineRule="auto"/>
        <w:ind w:firstLine="709"/>
        <w:jc w:val="both"/>
        <w:rPr>
          <w:rFonts w:ascii="Verdana" w:eastAsia="Calibri" w:hAnsi="Verdana" w:cs="Arial"/>
        </w:rPr>
      </w:pPr>
      <w:r w:rsidRPr="00176A0C">
        <w:rPr>
          <w:rFonts w:ascii="Verdana" w:eastAsia="Calibri" w:hAnsi="Verdana" w:cs="Arial"/>
        </w:rPr>
        <w:t>Por un lado, el artículo 33 de la Ley 996 de 2005 prohíbe “</w:t>
      </w:r>
      <w:r w:rsidRPr="00176A0C">
        <w:rPr>
          <w:rFonts w:ascii="Verdana" w:eastAsia="Calibri" w:hAnsi="Verdana" w:cs="Arial"/>
          <w:bCs/>
        </w:rPr>
        <w:t xml:space="preserve">(…) </w:t>
      </w:r>
      <w:r w:rsidRPr="00176A0C">
        <w:rPr>
          <w:rFonts w:ascii="Verdana" w:eastAsia="Calibri" w:hAnsi="Verdana" w:cs="Arial"/>
        </w:rPr>
        <w:t>la contratación directa por parte de todos los entes del Estado</w:t>
      </w:r>
      <w:r w:rsidRPr="00176A0C">
        <w:rPr>
          <w:rFonts w:ascii="Verdana" w:eastAsia="Calibri" w:hAnsi="Verdana" w:cs="Arial"/>
          <w:bCs/>
        </w:rPr>
        <w:t>”</w:t>
      </w:r>
      <w:r w:rsidRPr="00176A0C">
        <w:rPr>
          <w:rFonts w:ascii="Verdana" w:eastAsia="Calibri" w:hAnsi="Verdana" w:cs="Arial"/>
        </w:rPr>
        <w:t xml:space="preserve"> durante los cuatro (4) meses anteriores a las elecciones presidenciales, salvo </w:t>
      </w:r>
      <w:r w:rsidRPr="00176A0C">
        <w:rPr>
          <w:rFonts w:ascii="Verdana" w:eastAsia="Calibri" w:hAnsi="Verdana" w:cs="Arial"/>
          <w:bCs/>
        </w:rPr>
        <w:t xml:space="preserve">“(…) </w:t>
      </w:r>
      <w:r w:rsidRPr="00176A0C">
        <w:rPr>
          <w:rFonts w:ascii="Verdana" w:eastAsia="Calibri" w:hAnsi="Verdana" w:cs="Arial"/>
        </w:rPr>
        <w:t>lo referente a la defensa y seguridad del Estado, los contratos de crédito público, los requeridos para cubrir las emergencias educativas, sanitarias y desastres, así como también los utilizados para la reconstrucción de vías, puentes, carreteras, infraestructura energética y de comunicaciones, en caso de que hayan sido objeto de atentados, acciones terroristas, desastres naturales o casos de fuerza mayor, y los que deban realizar las entidades sanitarias y hospitalarias</w:t>
      </w:r>
      <w:r w:rsidRPr="00176A0C">
        <w:rPr>
          <w:rFonts w:ascii="Verdana" w:eastAsia="Calibri" w:hAnsi="Verdana" w:cs="Arial"/>
          <w:bCs/>
        </w:rPr>
        <w:t>”</w:t>
      </w:r>
      <w:r w:rsidRPr="00176A0C">
        <w:rPr>
          <w:rFonts w:ascii="Verdana" w:eastAsia="Calibri" w:hAnsi="Verdana" w:cs="Arial"/>
          <w:bCs/>
          <w:vertAlign w:val="superscript"/>
        </w:rPr>
        <w:footnoteReference w:id="26"/>
      </w:r>
      <w:r w:rsidRPr="00176A0C">
        <w:rPr>
          <w:rFonts w:ascii="Verdana" w:eastAsia="Calibri" w:hAnsi="Verdana" w:cs="Arial"/>
        </w:rPr>
        <w:t>.</w:t>
      </w:r>
    </w:p>
    <w:p w14:paraId="588389F5" w14:textId="77777777" w:rsidR="00E334D4" w:rsidRPr="00176A0C" w:rsidRDefault="00E334D4" w:rsidP="00E334D4">
      <w:pPr>
        <w:widowControl w:val="0"/>
        <w:autoSpaceDE w:val="0"/>
        <w:autoSpaceDN w:val="0"/>
        <w:spacing w:after="120" w:line="276" w:lineRule="auto"/>
        <w:ind w:firstLine="709"/>
        <w:jc w:val="both"/>
        <w:rPr>
          <w:rFonts w:ascii="Verdana" w:eastAsia="Arial" w:hAnsi="Verdana" w:cs="Arial"/>
          <w:lang w:val="es-ES" w:eastAsia="es-ES" w:bidi="es-ES"/>
        </w:rPr>
      </w:pPr>
      <w:r w:rsidRPr="00176A0C">
        <w:rPr>
          <w:rFonts w:ascii="Verdana" w:eastAsia="Calibri" w:hAnsi="Verdana" w:cs="Arial"/>
        </w:rPr>
        <w:t xml:space="preserve">Por otro lado, el parágrafo del artículo 38 de la Ley 996 de 2005 prevé una restricción, aplicable respecto de cualquier tipo de contienda electoral, que prohíbe a los gobernadores, alcaldes municipales o distritales, secretarios, gerentes y directores de entidades descentralizadas del orden municipal, departamental o distrital </w:t>
      </w:r>
      <w:r w:rsidRPr="00176A0C">
        <w:rPr>
          <w:rFonts w:ascii="Verdana" w:eastAsia="Calibri" w:hAnsi="Verdana" w:cs="Arial"/>
          <w:bCs/>
        </w:rPr>
        <w:t xml:space="preserve">“(…) </w:t>
      </w:r>
      <w:r w:rsidRPr="00176A0C">
        <w:rPr>
          <w:rFonts w:ascii="Verdana" w:eastAsia="Calibri" w:hAnsi="Verdana" w:cs="Arial"/>
        </w:rPr>
        <w:t>celebrar convenios interadministrativos para la ejecución de recursos públicos, ni participar, promover y destinar recursos públicos de las entidades a su cargo, como tampoco de las que participen como miembros de sus juntas directivas, en o para reuniones de carácter proselitista</w:t>
      </w:r>
      <w:r w:rsidRPr="00176A0C">
        <w:rPr>
          <w:rFonts w:ascii="Verdana" w:eastAsia="Calibri" w:hAnsi="Verdana" w:cs="Arial"/>
          <w:bCs/>
        </w:rPr>
        <w:t>”</w:t>
      </w:r>
      <w:r w:rsidRPr="00176A0C">
        <w:rPr>
          <w:rFonts w:ascii="Verdana" w:eastAsia="Calibri" w:hAnsi="Verdana" w:cs="Arial"/>
          <w:bCs/>
          <w:vertAlign w:val="superscript"/>
        </w:rPr>
        <w:footnoteReference w:id="27"/>
      </w:r>
      <w:r w:rsidRPr="00176A0C">
        <w:rPr>
          <w:rFonts w:ascii="Verdana" w:eastAsia="Calibri" w:hAnsi="Verdana" w:cs="Arial"/>
        </w:rPr>
        <w:t>.</w:t>
      </w:r>
      <w:r w:rsidRPr="00176A0C">
        <w:rPr>
          <w:rFonts w:ascii="Verdana" w:eastAsia="Arial" w:hAnsi="Verdana" w:cs="Arial"/>
          <w:lang w:val="es-ES" w:eastAsia="es-ES" w:bidi="es-ES"/>
        </w:rPr>
        <w:t xml:space="preserve"> </w:t>
      </w:r>
    </w:p>
    <w:p w14:paraId="495058FD" w14:textId="77777777" w:rsidR="00E334D4" w:rsidRPr="00176A0C" w:rsidRDefault="00E334D4" w:rsidP="00E334D4">
      <w:pPr>
        <w:spacing w:after="120" w:line="276" w:lineRule="auto"/>
        <w:ind w:firstLine="709"/>
        <w:jc w:val="both"/>
        <w:rPr>
          <w:rFonts w:ascii="Verdana" w:eastAsia="Times New Roman" w:hAnsi="Verdana" w:cs="Arial"/>
          <w:bCs/>
          <w:lang w:eastAsia="es-CO"/>
        </w:rPr>
      </w:pPr>
      <w:r w:rsidRPr="00176A0C">
        <w:rPr>
          <w:rFonts w:ascii="Verdana" w:eastAsia="Times New Roman" w:hAnsi="Verdana" w:cs="Arial"/>
          <w:bCs/>
          <w:lang w:val="es-MX" w:eastAsia="es-CO"/>
        </w:rPr>
        <w:lastRenderedPageBreak/>
        <w:t>Para entender el momento de aplicación de estas restricciones, es preciso señalar que el vocablo “celebrar” es definido por el Diccionario Panhispánico del Español Jurídico como: “</w:t>
      </w:r>
      <w:r w:rsidRPr="00176A0C">
        <w:rPr>
          <w:rFonts w:ascii="Verdana" w:eastAsia="Times New Roman" w:hAnsi="Verdana" w:cs="Arial"/>
          <w:bCs/>
          <w:lang w:eastAsia="es-CO"/>
        </w:rPr>
        <w:t>1. </w:t>
      </w:r>
      <w:r w:rsidRPr="00176A0C">
        <w:rPr>
          <w:rFonts w:ascii="Verdana" w:eastAsia="Times New Roman" w:hAnsi="Verdana" w:cs="Arial"/>
          <w:bCs/>
          <w:i/>
          <w:iCs/>
          <w:lang w:eastAsia="es-CO"/>
        </w:rPr>
        <w:t>Gral.</w:t>
      </w:r>
      <w:r w:rsidRPr="00176A0C">
        <w:rPr>
          <w:rFonts w:ascii="Verdana" w:eastAsia="Times New Roman" w:hAnsi="Verdana" w:cs="Arial"/>
          <w:bCs/>
          <w:lang w:eastAsia="es-CO"/>
        </w:rPr>
        <w:t xml:space="preserve"> Otorgar o firmar un contrato. 2. </w:t>
      </w:r>
      <w:r w:rsidRPr="00176A0C">
        <w:rPr>
          <w:rFonts w:ascii="Verdana" w:eastAsia="Times New Roman" w:hAnsi="Verdana" w:cs="Arial"/>
          <w:bCs/>
          <w:i/>
          <w:iCs/>
          <w:lang w:eastAsia="es-CO"/>
        </w:rPr>
        <w:t>Proc.</w:t>
      </w:r>
      <w:r w:rsidRPr="00176A0C">
        <w:rPr>
          <w:rFonts w:ascii="Verdana" w:eastAsia="Times New Roman" w:hAnsi="Verdana" w:cs="Arial"/>
          <w:bCs/>
          <w:lang w:eastAsia="es-CO"/>
        </w:rPr>
        <w:t xml:space="preserve"> Realizar los actos procesales propios de un juicio o vista”. Dentro de las dos definiciones, la que se acerca a la expresión “celebrar” en el contexto de la Ley de Garantías Electorales es la primera, esto es, al perfeccionamiento del contrato. </w:t>
      </w:r>
    </w:p>
    <w:p w14:paraId="2A72CBB6" w14:textId="77777777" w:rsidR="00E334D4" w:rsidRPr="00176A0C" w:rsidRDefault="00E334D4" w:rsidP="00E334D4">
      <w:pPr>
        <w:spacing w:after="120" w:line="276" w:lineRule="auto"/>
        <w:ind w:firstLine="709"/>
        <w:jc w:val="both"/>
        <w:rPr>
          <w:rFonts w:ascii="Verdana" w:eastAsia="Times New Roman" w:hAnsi="Verdana" w:cs="Arial"/>
          <w:bCs/>
          <w:lang w:val="es-ES" w:eastAsia="es-CO"/>
        </w:rPr>
      </w:pPr>
      <w:r w:rsidRPr="00176A0C">
        <w:rPr>
          <w:rFonts w:ascii="Verdana" w:eastAsia="Times New Roman" w:hAnsi="Verdana" w:cs="Arial"/>
          <w:bCs/>
          <w:lang w:eastAsia="es-CO"/>
        </w:rPr>
        <w:t xml:space="preserve">En efecto, el concepto de celebración en el marco de la contratación estatal se relaciona con el perfeccionamiento, es decir, con los requisitos para que exista un contrato estatal. Al respecto, se destaca que en entidades sometidas al Estatuto General de Contratación de la Administración Pública </w:t>
      </w:r>
      <w:r w:rsidRPr="00176A0C">
        <w:rPr>
          <w:rFonts w:ascii="Verdana" w:eastAsia="Times New Roman" w:hAnsi="Verdana" w:cs="Arial"/>
          <w:bCs/>
          <w:lang w:val="es-ES" w:eastAsia="es-CO"/>
        </w:rPr>
        <w:t xml:space="preserve">la existencia de los contratos estatales, es decir, la producción de efectos jurídicos en los términos del artículo 1501 </w:t>
      </w:r>
      <w:r w:rsidRPr="00176A0C">
        <w:rPr>
          <w:rFonts w:ascii="Verdana" w:eastAsia="Times New Roman" w:hAnsi="Verdana" w:cs="Arial"/>
          <w:bCs/>
          <w:i/>
          <w:lang w:val="es-ES" w:eastAsia="es-CO"/>
        </w:rPr>
        <w:t>ibidem</w:t>
      </w:r>
      <w:r w:rsidRPr="00176A0C">
        <w:rPr>
          <w:rFonts w:ascii="Verdana" w:eastAsia="Times New Roman" w:hAnsi="Verdana" w:cs="Arial"/>
          <w:bCs/>
          <w:lang w:val="es-ES" w:eastAsia="es-CO"/>
        </w:rPr>
        <w:t xml:space="preserve">, depende de la regulación del inciso primero de los artículos 39 y 41 de la Ley 80 de 1993. Por un lado, “Los contratos que celebren las entidades estatales constarán por escrito y no requerirán ser elevados a escritura pública, con excepción de aquellos que impliquen mutación del dominio o imposición de gravámenes y servidumbres sobre bienes inmuebles y, en general, aquellos que conforme a las normas legales vigentes deban cumplir con dicha formalidad”. Por otra parte, “Los contratos del Estado se perfeccionan cuando se logre acuerdo sobre el objeto y la contraprestación y éste se eleve a escrito”. </w:t>
      </w:r>
    </w:p>
    <w:p w14:paraId="10FDCAE1" w14:textId="77777777" w:rsidR="00E334D4" w:rsidRPr="00176A0C" w:rsidRDefault="00E334D4" w:rsidP="00E334D4">
      <w:pPr>
        <w:spacing w:after="120" w:line="276" w:lineRule="auto"/>
        <w:ind w:firstLine="709"/>
        <w:jc w:val="both"/>
        <w:rPr>
          <w:rFonts w:ascii="Verdana" w:eastAsia="Times New Roman" w:hAnsi="Verdana" w:cs="Arial"/>
          <w:bCs/>
          <w:lang w:val="es-ES" w:eastAsia="es-CO"/>
        </w:rPr>
      </w:pPr>
      <w:r w:rsidRPr="00176A0C">
        <w:rPr>
          <w:rFonts w:ascii="Verdana" w:eastAsia="Times New Roman" w:hAnsi="Verdana" w:cs="Arial"/>
          <w:bCs/>
          <w:lang w:val="es-ES" w:eastAsia="es-CO"/>
        </w:rPr>
        <w:t xml:space="preserve">De este modo, esta Agencia precisa que el concepto “celebrar” para efectos de las restricciones en la contratación dispuesta por la Ley de Garantías Electorales se refiere a los requisitos de perfeccionamiento del contrato estatal. Por tanto, no se refiere a los requisitos de ejecución, es decir, aquellas condiciones para iniciar un contrato, como es la aprobación de las garantías o el registro presupuestal, o en algunos casos, la firma del acta de inicio, si así se determinó. </w:t>
      </w:r>
    </w:p>
    <w:p w14:paraId="735CD155" w14:textId="77777777" w:rsidR="00E334D4" w:rsidRPr="00176A0C" w:rsidRDefault="00E334D4" w:rsidP="00E334D4">
      <w:pPr>
        <w:spacing w:after="120" w:line="276" w:lineRule="auto"/>
        <w:ind w:firstLine="708"/>
        <w:jc w:val="both"/>
        <w:rPr>
          <w:rFonts w:ascii="Verdana" w:eastAsia="Times New Roman" w:hAnsi="Verdana" w:cs="Arial"/>
          <w:bCs/>
          <w:lang w:val="es-ES" w:eastAsia="es-CO"/>
        </w:rPr>
      </w:pPr>
      <w:r w:rsidRPr="00176A0C">
        <w:rPr>
          <w:rFonts w:ascii="Verdana" w:eastAsia="Times New Roman" w:hAnsi="Verdana" w:cs="Arial"/>
          <w:bCs/>
          <w:lang w:val="es-ES" w:eastAsia="es-CO"/>
        </w:rPr>
        <w:t xml:space="preserve">Asimismo, </w:t>
      </w:r>
      <w:r w:rsidRPr="00176A0C">
        <w:rPr>
          <w:rFonts w:ascii="Verdana" w:eastAsia="Times New Roman" w:hAnsi="Verdana" w:cs="Arial"/>
          <w:bCs/>
          <w:lang w:val="es-MX" w:eastAsia="es-CO"/>
        </w:rPr>
        <w:t>como en otras oportunidades lo ha manifestado esta Agencia, las prórrogas, modificaciones o adiciones de los contratos suscritos antes de la entrada en vigencia de las prohibiciones anotadas, así como la cesión de los mismos, pueden tener lugar en el período de aplicación de la Ley de Garantías, sin que ello haga nugatoria la restricción de la contratación directa y siempre que cumplan los principios de planeación, transparencia y responsabilidad</w:t>
      </w:r>
      <w:r w:rsidRPr="00176A0C">
        <w:rPr>
          <w:rFonts w:ascii="Verdana" w:eastAsia="Times New Roman" w:hAnsi="Verdana" w:cs="Arial"/>
          <w:bCs/>
          <w:vertAlign w:val="superscript"/>
          <w:lang w:val="es-MX" w:eastAsia="es-CO"/>
        </w:rPr>
        <w:footnoteReference w:id="28"/>
      </w:r>
      <w:r w:rsidRPr="00176A0C">
        <w:rPr>
          <w:rFonts w:ascii="Verdana" w:eastAsia="Times New Roman" w:hAnsi="Verdana" w:cs="Arial"/>
          <w:bCs/>
          <w:lang w:val="es-MX" w:eastAsia="es-CO"/>
        </w:rPr>
        <w:t xml:space="preserve">. </w:t>
      </w:r>
    </w:p>
    <w:p w14:paraId="4AD7A18A" w14:textId="77777777" w:rsidR="00E334D4" w:rsidRPr="00176A0C" w:rsidRDefault="00E334D4" w:rsidP="00E334D4">
      <w:pPr>
        <w:widowControl w:val="0"/>
        <w:autoSpaceDE w:val="0"/>
        <w:autoSpaceDN w:val="0"/>
        <w:spacing w:after="120" w:line="276" w:lineRule="auto"/>
        <w:ind w:firstLine="709"/>
        <w:jc w:val="both"/>
        <w:rPr>
          <w:rFonts w:ascii="Verdana" w:eastAsia="Arial" w:hAnsi="Verdana" w:cs="Arial"/>
          <w:lang w:val="es-ES" w:eastAsia="es-ES" w:bidi="es-ES"/>
        </w:rPr>
      </w:pPr>
      <w:r w:rsidRPr="00176A0C">
        <w:rPr>
          <w:rFonts w:ascii="Verdana" w:eastAsia="Arial" w:hAnsi="Verdana" w:cs="Arial"/>
          <w:lang w:val="es-ES" w:eastAsia="es-ES" w:bidi="es-ES"/>
        </w:rPr>
        <w:lastRenderedPageBreak/>
        <w:t>La Sala de Consulta y Servicio Civil del Consejo de Estado ha aclarado la distinción en la aplicación de las prohibiciones de la Ley 996 de 2005, dependiendo del tipo de elección que se trate. Al respecto, considera que:</w:t>
      </w:r>
    </w:p>
    <w:p w14:paraId="4D5D081E" w14:textId="77777777" w:rsidR="00E334D4" w:rsidRPr="00176A0C" w:rsidRDefault="00E334D4" w:rsidP="00E334D4">
      <w:pPr>
        <w:widowControl w:val="0"/>
        <w:autoSpaceDE w:val="0"/>
        <w:autoSpaceDN w:val="0"/>
        <w:spacing w:after="0" w:line="240" w:lineRule="auto"/>
        <w:ind w:left="709" w:right="709"/>
        <w:jc w:val="both"/>
        <w:rPr>
          <w:rFonts w:ascii="Verdana" w:eastAsia="Arial" w:hAnsi="Verdana" w:cs="Arial"/>
          <w:sz w:val="20"/>
          <w:szCs w:val="20"/>
          <w:lang w:val="es-ES" w:eastAsia="es-ES" w:bidi="es-ES"/>
        </w:rPr>
      </w:pPr>
      <w:r w:rsidRPr="00176A0C">
        <w:rPr>
          <w:rFonts w:ascii="Verdana" w:eastAsia="Arial" w:hAnsi="Verdana" w:cs="Arial"/>
          <w:sz w:val="20"/>
          <w:szCs w:val="20"/>
          <w:lang w:val="es-ES" w:eastAsia="es-ES" w:bidi="es-ES"/>
        </w:rPr>
        <w:t xml:space="preserve">“La interpretación sistemática de las disposiciones consagradas en los artículos 32, 33 y el parágrafo del artículo 38 de la ley 996 de 2.005 lleva a concluir que dichas normas contienen restricciones y prohibiciones para periodos preelectorales diferentes; las dos primeras, de manera específica para los cuatro meses anteriores a la elección presidencial; el último, de manera más genérica para los cuatro meses anteriores a las elecciones  para cualquier cargo de elección popular a que se refiere la ley –incluido el de Presidente de la República-; de manera que dichas restricciones no se excluyen sino que </w:t>
      </w:r>
      <w:bookmarkStart w:id="10" w:name="_Hlk76109421"/>
      <w:r w:rsidRPr="00176A0C">
        <w:rPr>
          <w:rFonts w:ascii="Verdana" w:eastAsia="Arial" w:hAnsi="Verdana" w:cs="Arial"/>
          <w:sz w:val="20"/>
          <w:szCs w:val="20"/>
          <w:lang w:val="es-ES" w:eastAsia="es-ES" w:bidi="es-ES"/>
        </w:rPr>
        <w:t>se integran parcialmente</w:t>
      </w:r>
      <w:bookmarkEnd w:id="10"/>
      <w:r w:rsidRPr="00176A0C">
        <w:rPr>
          <w:rFonts w:ascii="Verdana" w:eastAsia="Arial" w:hAnsi="Verdana" w:cs="Arial"/>
          <w:sz w:val="20"/>
          <w:szCs w:val="20"/>
          <w:lang w:val="es-ES" w:eastAsia="es-ES" w:bidi="es-ES"/>
        </w:rPr>
        <w:t xml:space="preserve">, lo que permite concluir que en periodo preelectoral para elección de Presidente de la República, a todos los entes del Estado, incluidos los territoriales, se aplican las restricciones de los artículos 32 y 33 con sus excepciones, así como las del parágrafo del artículo 38. </w:t>
      </w:r>
      <w:r w:rsidRPr="00176A0C">
        <w:rPr>
          <w:rFonts w:ascii="Verdana" w:eastAsia="Arial" w:hAnsi="Verdana" w:cs="Arial"/>
          <w:bCs/>
          <w:sz w:val="20"/>
          <w:szCs w:val="20"/>
          <w:lang w:val="es-ES" w:eastAsia="es-ES" w:bidi="es-ES"/>
        </w:rPr>
        <w:t>En cambio, para elecciones en general, excluyendo las correspondientes a Presidente de la República, a las autoridades territoriales allí mencionadas sólo se aplican las restricciones contenidas en el parágrafo del artículo 38</w:t>
      </w:r>
      <w:r w:rsidRPr="00176A0C">
        <w:rPr>
          <w:rFonts w:ascii="Verdana" w:eastAsia="Arial" w:hAnsi="Verdana" w:cs="Arial"/>
          <w:sz w:val="20"/>
          <w:szCs w:val="20"/>
          <w:lang w:val="es-ES" w:eastAsia="es-ES" w:bidi="es-ES"/>
        </w:rPr>
        <w:t>”</w:t>
      </w:r>
      <w:r w:rsidRPr="00176A0C">
        <w:rPr>
          <w:rFonts w:ascii="Verdana" w:eastAsia="Arial" w:hAnsi="Verdana" w:cs="Arial"/>
          <w:sz w:val="20"/>
          <w:szCs w:val="20"/>
          <w:vertAlign w:val="superscript"/>
          <w:lang w:val="es-ES" w:eastAsia="es-ES" w:bidi="es-ES"/>
        </w:rPr>
        <w:footnoteReference w:id="29"/>
      </w:r>
      <w:r w:rsidRPr="00176A0C">
        <w:rPr>
          <w:rFonts w:ascii="Verdana" w:eastAsia="Arial" w:hAnsi="Verdana" w:cs="Arial"/>
          <w:sz w:val="20"/>
          <w:szCs w:val="20"/>
          <w:lang w:val="es-ES" w:eastAsia="es-ES" w:bidi="es-ES"/>
        </w:rPr>
        <w:t>.</w:t>
      </w:r>
    </w:p>
    <w:p w14:paraId="050D50B3" w14:textId="77777777" w:rsidR="00E334D4" w:rsidRPr="00176A0C" w:rsidRDefault="00E334D4" w:rsidP="00E334D4">
      <w:pPr>
        <w:spacing w:after="0" w:line="240" w:lineRule="auto"/>
        <w:ind w:firstLine="709"/>
        <w:jc w:val="both"/>
        <w:rPr>
          <w:rFonts w:ascii="Verdana" w:eastAsia="Arial" w:hAnsi="Verdana" w:cs="Arial"/>
          <w:lang w:val="es-ES" w:eastAsia="es-ES" w:bidi="es-ES"/>
        </w:rPr>
      </w:pPr>
    </w:p>
    <w:p w14:paraId="6ADDA8C9" w14:textId="77777777" w:rsidR="00E334D4" w:rsidRPr="00176A0C" w:rsidRDefault="00E334D4" w:rsidP="00E334D4">
      <w:pPr>
        <w:spacing w:after="120" w:line="276" w:lineRule="auto"/>
        <w:ind w:firstLine="709"/>
        <w:jc w:val="both"/>
        <w:rPr>
          <w:rFonts w:ascii="Verdana" w:eastAsia="Arial" w:hAnsi="Verdana" w:cs="Arial"/>
          <w:lang w:val="es-ES" w:eastAsia="es-ES" w:bidi="es-ES"/>
        </w:rPr>
      </w:pPr>
      <w:r w:rsidRPr="00176A0C">
        <w:rPr>
          <w:rFonts w:ascii="Verdana" w:eastAsia="Arial" w:hAnsi="Verdana" w:cs="Arial"/>
          <w:lang w:val="es-ES" w:eastAsia="es-ES" w:bidi="es-ES"/>
        </w:rPr>
        <w:t>De conformidad con lo anterior</w:t>
      </w:r>
      <w:bookmarkStart w:id="11" w:name="_Hlk99438241"/>
      <w:r w:rsidRPr="00176A0C">
        <w:rPr>
          <w:rFonts w:ascii="Verdana" w:eastAsia="Arial" w:hAnsi="Verdana" w:cs="Arial"/>
          <w:lang w:val="es-ES" w:eastAsia="es-ES" w:bidi="es-ES"/>
        </w:rPr>
        <w:t xml:space="preserve">, </w:t>
      </w:r>
      <w:bookmarkStart w:id="12" w:name="_Hlk77236420"/>
      <w:bookmarkStart w:id="13" w:name="_Hlk78818435"/>
      <w:bookmarkStart w:id="14" w:name="_Hlk75780333"/>
      <w:r w:rsidRPr="00176A0C">
        <w:rPr>
          <w:rFonts w:ascii="Verdana" w:eastAsia="Arial" w:hAnsi="Verdana" w:cs="Arial"/>
          <w:lang w:val="es-ES" w:eastAsia="es-ES" w:bidi="es-ES"/>
        </w:rPr>
        <w:t xml:space="preserve">la Ley 996 de 2005 establece dos (2) tipos de restricciones en materia de contratación, las cuales coinciden parcialmente. </w:t>
      </w:r>
      <w:r w:rsidRPr="00176A0C">
        <w:rPr>
          <w:rFonts w:ascii="Verdana" w:eastAsia="Arial" w:hAnsi="Verdana" w:cs="Arial"/>
          <w:i/>
          <w:iCs/>
          <w:lang w:val="es-ES" w:eastAsia="es-ES" w:bidi="es-ES"/>
        </w:rPr>
        <w:t>En primer lugar</w:t>
      </w:r>
      <w:r w:rsidRPr="00176A0C">
        <w:rPr>
          <w:rFonts w:ascii="Verdana" w:eastAsia="Arial" w:hAnsi="Verdana" w:cs="Arial"/>
          <w:lang w:val="es-ES" w:eastAsia="es-ES" w:bidi="es-ES"/>
        </w:rPr>
        <w:t xml:space="preserve">, la del artículo 33 que opera solo respecto de las elecciones presidenciales, en virtud de la cual queda proscrita la contratación directa dentro de los cuatro (4) meses anteriores a la celebración de los comicios, salvo las citadas excepciones. Sin embargo, si ningún candidato obtiene la mitad más uno de los votos que, de manera secreta y directa, depositen los ciudadanos, se celebrará una nueva votación que tendrá lugar tres semanas más tarde, en la que sólo participarán los dos candidatos que hubieren obtenido las votaciones más altas, de conformidad con el artículo 190 de la Constitución Política. Para estos efectos, la restricción se extenderá hasta la fecha en la que se realice la segunda vuelta. </w:t>
      </w:r>
      <w:r w:rsidRPr="00176A0C">
        <w:rPr>
          <w:rFonts w:ascii="Verdana" w:eastAsia="Arial" w:hAnsi="Verdana" w:cs="Arial"/>
          <w:i/>
          <w:iCs/>
          <w:lang w:val="es-ES" w:eastAsia="es-ES" w:bidi="es-ES"/>
        </w:rPr>
        <w:t>En segundo lugar</w:t>
      </w:r>
      <w:r w:rsidRPr="00176A0C">
        <w:rPr>
          <w:rFonts w:ascii="Verdana" w:eastAsia="Arial" w:hAnsi="Verdana" w:cs="Arial"/>
          <w:lang w:val="es-ES" w:eastAsia="es-ES" w:bidi="es-ES"/>
        </w:rPr>
        <w:t>, también se encuentra la prohibición del parágrafo del artículo 38, el cual debe aplicarse respecto de cualquier tipo de contienda electoral, y que prohíbe la celebración de convenios interadministrativos que impliquen la ejecución de recursos públicos dentro de los cuatro (4) meses anteriores a la respectiva jornada de votaciones.</w:t>
      </w:r>
      <w:bookmarkEnd w:id="12"/>
    </w:p>
    <w:bookmarkEnd w:id="11"/>
    <w:bookmarkEnd w:id="13"/>
    <w:p w14:paraId="54A104FB" w14:textId="77777777" w:rsidR="00E334D4" w:rsidRPr="00176A0C" w:rsidRDefault="00E334D4" w:rsidP="00E334D4">
      <w:pPr>
        <w:spacing w:after="120" w:line="276" w:lineRule="auto"/>
        <w:ind w:firstLine="709"/>
        <w:jc w:val="both"/>
        <w:rPr>
          <w:rFonts w:ascii="Verdana" w:eastAsia="Arial" w:hAnsi="Verdana" w:cs="Arial"/>
          <w:lang w:val="es-ES" w:eastAsia="es-ES" w:bidi="es-ES"/>
        </w:rPr>
      </w:pPr>
      <w:r w:rsidRPr="00176A0C">
        <w:rPr>
          <w:rFonts w:ascii="Verdana" w:eastAsia="Arial" w:hAnsi="Verdana" w:cs="Arial"/>
          <w:lang w:val="es-ES" w:eastAsia="es-ES" w:bidi="es-ES"/>
        </w:rPr>
        <w:lastRenderedPageBreak/>
        <w:t>Ambas restricciones no son excluyentes, lo que permite concluir que en el período preelectoral para elección de Presidente de la República, a todos los entes del Estado, incluidos los territoriales, aplican las restricciones del artículo 33 con sus excepciones, así como las del parágrafo del artículo 38. En cambio, tratándose de elecciones en general, excluyendo las correspondientes al Presidente de la República, las autoridades allí mencionadas sólo deben aplicar las restricciones contenidas en el parágrafo del artículo 38.</w:t>
      </w:r>
    </w:p>
    <w:bookmarkEnd w:id="14"/>
    <w:p w14:paraId="4048E2A2" w14:textId="77777777" w:rsidR="00E334D4" w:rsidRPr="00176A0C" w:rsidRDefault="00E334D4" w:rsidP="00E334D4">
      <w:pPr>
        <w:spacing w:after="120" w:line="276" w:lineRule="auto"/>
        <w:ind w:firstLine="709"/>
        <w:jc w:val="both"/>
        <w:rPr>
          <w:rFonts w:ascii="Verdana" w:eastAsia="Times New Roman" w:hAnsi="Verdana" w:cs="Arial"/>
          <w:bCs/>
          <w:lang w:val="es-ES" w:eastAsia="es-CO"/>
        </w:rPr>
      </w:pPr>
      <w:r w:rsidRPr="00176A0C">
        <w:rPr>
          <w:rFonts w:ascii="Verdana" w:eastAsia="Arial" w:hAnsi="Verdana" w:cs="Arial"/>
          <w:lang w:val="es-ES" w:eastAsia="es-ES" w:bidi="es-ES"/>
        </w:rPr>
        <w:t xml:space="preserve">La Corte Constitucional, en la Sentencia C-1153 del 11 de noviembre de 2005, señaló que, para que la garantía sea plena, era necesario que la prohibición se aplicara para el Presidente o el Vicepresidente desde que éstos –estando en ejercicio de su cargo– manifiesten el interés de ser candidato presidencial, lo cual debe ocurrir seis meses antes de la elección en primera vuelta, de acuerdo con el artículo 9 de la Ley 996 de 2005. Sin embargo, el condicionamiento impuesto por la Corte Constitucional, relacionado con el momento en que estas restricciones empiezan a regir para el Presidente y el Vicepresidente de la República, ha perdido vigencia ante la prohibición de la reelección presidencial, restablecida por el Acto Legislativo 2 de 2015, excepto para el Vicepresidente que no haya ejercido la presidencia o que la haya ejercido por un tiempo inferior a tres (3) meses durante el respectivo cuatrienio, en forma continua o discontinua, conforme al artículo 197 de la Constitución Política.  </w:t>
      </w:r>
    </w:p>
    <w:p w14:paraId="472B2556" w14:textId="77777777" w:rsidR="00E334D4" w:rsidRPr="00176A0C" w:rsidRDefault="00E334D4" w:rsidP="00E334D4">
      <w:pPr>
        <w:spacing w:after="120" w:line="276" w:lineRule="auto"/>
        <w:ind w:firstLine="709"/>
        <w:jc w:val="both"/>
        <w:rPr>
          <w:rFonts w:ascii="Verdana" w:eastAsia="Arial" w:hAnsi="Verdana" w:cs="Arial"/>
          <w:lang w:val="es-ES" w:eastAsia="es-ES" w:bidi="es-ES"/>
        </w:rPr>
      </w:pPr>
      <w:r w:rsidRPr="00176A0C">
        <w:rPr>
          <w:rFonts w:ascii="Verdana" w:eastAsia="Times New Roman" w:hAnsi="Verdana" w:cs="Arial"/>
          <w:bCs/>
          <w:lang w:val="es-ES" w:eastAsia="es-CO"/>
        </w:rPr>
        <w:t xml:space="preserve">Teniendo en cuenta lo anterior, a continuación, se hará un análisis sobre la aplicación de la prohibición contenida en el artículo 33 y sus excepciones, relacionada con su ámbito de aplicación y sus destinatarios. </w:t>
      </w:r>
    </w:p>
    <w:p w14:paraId="5D442ED4" w14:textId="77777777" w:rsidR="00E334D4" w:rsidRDefault="00E334D4" w:rsidP="00E334D4">
      <w:pPr>
        <w:spacing w:after="0" w:line="276" w:lineRule="auto"/>
        <w:ind w:firstLine="709"/>
        <w:jc w:val="both"/>
        <w:rPr>
          <w:rFonts w:ascii="Verdana" w:eastAsia="Aptos" w:hAnsi="Verdana" w:cs="Arial"/>
          <w:lang w:eastAsia="es-CO" w:bidi="es-ES"/>
        </w:rPr>
      </w:pPr>
      <w:r w:rsidRPr="00176A0C">
        <w:rPr>
          <w:rFonts w:ascii="Verdana" w:eastAsia="Aptos" w:hAnsi="Verdana" w:cs="Arial"/>
          <w:bCs/>
          <w:lang w:eastAsia="x-none"/>
        </w:rPr>
        <w:t xml:space="preserve">El ámbito material de la prohibición contenida </w:t>
      </w:r>
      <w:bookmarkStart w:id="15" w:name="_Hlk75628761"/>
      <w:r w:rsidRPr="00176A0C">
        <w:rPr>
          <w:rFonts w:ascii="Verdana" w:eastAsia="Aptos" w:hAnsi="Verdana" w:cs="Arial"/>
          <w:bCs/>
          <w:lang w:eastAsia="x-none"/>
        </w:rPr>
        <w:t xml:space="preserve">en el artículo 33 de la ley 996 de 2005 </w:t>
      </w:r>
      <w:bookmarkEnd w:id="15"/>
      <w:r w:rsidRPr="00176A0C">
        <w:rPr>
          <w:rFonts w:ascii="Verdana" w:eastAsia="Aptos" w:hAnsi="Verdana" w:cs="Arial"/>
          <w:bCs/>
          <w:lang w:eastAsia="x-none"/>
        </w:rPr>
        <w:t xml:space="preserve">está delimitado por la expresión </w:t>
      </w:r>
      <w:r w:rsidRPr="00176A0C">
        <w:rPr>
          <w:rFonts w:ascii="Verdana" w:eastAsia="Calibri" w:hAnsi="Verdana" w:cs="Arial"/>
          <w:bCs/>
          <w:i/>
          <w:iCs/>
          <w:sz w:val="20"/>
          <w:szCs w:val="20"/>
        </w:rPr>
        <w:t>“</w:t>
      </w:r>
      <w:r w:rsidRPr="00176A0C">
        <w:rPr>
          <w:rFonts w:ascii="Verdana" w:eastAsia="Aptos" w:hAnsi="Verdana" w:cs="Arial"/>
          <w:bCs/>
          <w:i/>
          <w:iCs/>
          <w:lang w:eastAsia="x-none"/>
        </w:rPr>
        <w:t>queda prohibida la contratación directa</w:t>
      </w:r>
      <w:r w:rsidRPr="00176A0C">
        <w:rPr>
          <w:rFonts w:ascii="Verdana" w:eastAsia="Aptos" w:hAnsi="Verdana" w:cs="Arial"/>
          <w:sz w:val="20"/>
          <w:szCs w:val="20"/>
        </w:rPr>
        <w:t>”</w:t>
      </w:r>
      <w:r w:rsidRPr="00176A0C">
        <w:rPr>
          <w:rFonts w:ascii="Verdana" w:eastAsia="Aptos" w:hAnsi="Verdana" w:cs="Arial"/>
          <w:bCs/>
          <w:lang w:eastAsia="x-none"/>
        </w:rPr>
        <w:t>.</w:t>
      </w:r>
      <w:r w:rsidRPr="00176A0C">
        <w:rPr>
          <w:rFonts w:ascii="Verdana" w:eastAsia="Aptos" w:hAnsi="Verdana" w:cs="Arial"/>
          <w:lang w:eastAsia="es-CO"/>
        </w:rPr>
        <w:t xml:space="preserve"> A propósito de esta restricción de la Ley de Garantías Electorales, la Sala de Consulta y Servicio Civil del Consejo de Estado ha considerado que:</w:t>
      </w:r>
    </w:p>
    <w:p w14:paraId="1BC56C03" w14:textId="77777777" w:rsidR="00E334D4" w:rsidRPr="00176A0C" w:rsidRDefault="00E334D4" w:rsidP="00E334D4">
      <w:pPr>
        <w:spacing w:after="0" w:line="276" w:lineRule="auto"/>
        <w:ind w:firstLine="709"/>
        <w:jc w:val="both"/>
        <w:rPr>
          <w:rFonts w:ascii="Verdana" w:eastAsia="Arial" w:hAnsi="Verdana" w:cs="Arial"/>
          <w:lang w:val="es-ES" w:eastAsia="es-ES" w:bidi="es-ES"/>
        </w:rPr>
      </w:pPr>
    </w:p>
    <w:p w14:paraId="7FCD5F44" w14:textId="77777777" w:rsidR="00E334D4" w:rsidRPr="00176A0C" w:rsidRDefault="00E334D4" w:rsidP="00E334D4">
      <w:pPr>
        <w:spacing w:after="0" w:line="240" w:lineRule="auto"/>
        <w:ind w:left="709" w:right="709"/>
        <w:jc w:val="both"/>
        <w:rPr>
          <w:rFonts w:ascii="Verdana" w:eastAsia="Aptos" w:hAnsi="Verdana" w:cs="Arial"/>
          <w:sz w:val="20"/>
          <w:szCs w:val="20"/>
        </w:rPr>
      </w:pPr>
      <w:r w:rsidRPr="00176A0C">
        <w:rPr>
          <w:rFonts w:ascii="Verdana" w:eastAsia="Aptos" w:hAnsi="Verdana" w:cs="Arial"/>
          <w:sz w:val="20"/>
          <w:szCs w:val="20"/>
        </w:rPr>
        <w:t xml:space="preserve">“(…) La contratación directa es un mecanismo de selección de carácter excepcional, en virtud del cual las entidades públicas pueden contratar mediante un trámite simplificado, ágil y expedito sin necesidad de realizar previamente un proceso de licitación pública o concurso, únicamente en los casos en que expresa y taxativamente señale la ley (numeral 4, artículo </w:t>
      </w:r>
      <w:r w:rsidRPr="00176A0C">
        <w:rPr>
          <w:rFonts w:ascii="Verdana" w:eastAsia="Aptos" w:hAnsi="Verdana" w:cs="Arial"/>
          <w:sz w:val="20"/>
          <w:szCs w:val="20"/>
        </w:rPr>
        <w:lastRenderedPageBreak/>
        <w:t>2, ley 1150 de 2007), y cumpliendo siempre los principios que rigen la contratación pública</w:t>
      </w:r>
      <w:r w:rsidRPr="00176A0C">
        <w:rPr>
          <w:rFonts w:ascii="Verdana" w:eastAsia="Aptos" w:hAnsi="Verdana" w:cs="Arial"/>
          <w:sz w:val="20"/>
          <w:szCs w:val="20"/>
          <w:vertAlign w:val="superscript"/>
          <w:lang w:eastAsia="es-CO"/>
        </w:rPr>
        <w:footnoteReference w:id="30"/>
      </w:r>
      <w:r w:rsidRPr="00176A0C">
        <w:rPr>
          <w:rFonts w:ascii="Verdana" w:eastAsia="Aptos" w:hAnsi="Verdana" w:cs="Arial"/>
          <w:sz w:val="20"/>
          <w:szCs w:val="20"/>
        </w:rPr>
        <w:t>.</w:t>
      </w:r>
    </w:p>
    <w:p w14:paraId="04CCAC0B" w14:textId="77777777" w:rsidR="00E334D4" w:rsidRPr="00176A0C" w:rsidRDefault="00E334D4" w:rsidP="00E334D4">
      <w:pPr>
        <w:spacing w:after="0" w:line="240" w:lineRule="auto"/>
        <w:ind w:left="709" w:right="709"/>
        <w:jc w:val="both"/>
        <w:rPr>
          <w:rFonts w:ascii="Verdana" w:eastAsia="Aptos" w:hAnsi="Verdana" w:cs="Arial"/>
          <w:sz w:val="20"/>
          <w:szCs w:val="20"/>
        </w:rPr>
      </w:pPr>
    </w:p>
    <w:p w14:paraId="3AF0CAAF" w14:textId="77777777" w:rsidR="00E334D4" w:rsidRPr="00176A0C" w:rsidRDefault="00E334D4" w:rsidP="00E334D4">
      <w:pPr>
        <w:spacing w:after="0" w:line="240" w:lineRule="auto"/>
        <w:ind w:left="709" w:right="709"/>
        <w:jc w:val="both"/>
        <w:rPr>
          <w:rFonts w:ascii="Verdana" w:eastAsia="Aptos" w:hAnsi="Verdana" w:cs="Arial"/>
          <w:sz w:val="20"/>
          <w:szCs w:val="20"/>
        </w:rPr>
      </w:pPr>
      <w:r w:rsidRPr="00176A0C">
        <w:rPr>
          <w:rFonts w:ascii="Verdana" w:eastAsia="Aptos" w:hAnsi="Verdana" w:cs="Arial"/>
          <w:sz w:val="20"/>
          <w:szCs w:val="20"/>
        </w:rPr>
        <w:t xml:space="preserve">Esta Sala ha entendido que para los efectos de la ley de garantías, y dada su finalidad, el enunciado ´contratación directa´ es sinónimo </w:t>
      </w:r>
      <w:bookmarkStart w:id="16" w:name="_Hlk75741738"/>
      <w:r w:rsidRPr="00176A0C">
        <w:rPr>
          <w:rFonts w:ascii="Verdana" w:eastAsia="Aptos" w:hAnsi="Verdana" w:cs="Arial"/>
          <w:sz w:val="20"/>
          <w:szCs w:val="20"/>
        </w:rPr>
        <w:t xml:space="preserve">de cualquier sistema que no implique convocatoria pública y posibilidad de pluralidad de oferentes, </w:t>
      </w:r>
      <w:bookmarkEnd w:id="16"/>
      <w:r w:rsidRPr="00176A0C">
        <w:rPr>
          <w:rFonts w:ascii="Verdana" w:eastAsia="Aptos" w:hAnsi="Verdana" w:cs="Arial"/>
          <w:sz w:val="20"/>
          <w:szCs w:val="20"/>
        </w:rPr>
        <w:t>y que, además, no necesariamente hace referencia al procedimiento especial regulado por la ley de contratación estatal, sino a cualquier otro que prescinda de un proceso de licitación pública o concurso</w:t>
      </w:r>
      <w:r w:rsidRPr="00176A0C">
        <w:rPr>
          <w:rFonts w:ascii="Verdana" w:eastAsia="Aptos" w:hAnsi="Verdana" w:cs="Arial"/>
          <w:sz w:val="20"/>
          <w:szCs w:val="20"/>
          <w:vertAlign w:val="superscript"/>
        </w:rPr>
        <w:footnoteReference w:id="31"/>
      </w:r>
      <w:r w:rsidRPr="00176A0C">
        <w:rPr>
          <w:rFonts w:ascii="Verdana" w:eastAsia="Aptos" w:hAnsi="Verdana" w:cs="Arial"/>
          <w:sz w:val="20"/>
          <w:szCs w:val="20"/>
          <w:vertAlign w:val="superscript"/>
        </w:rPr>
        <w:t>.</w:t>
      </w:r>
      <w:r w:rsidRPr="00176A0C">
        <w:rPr>
          <w:rFonts w:ascii="Verdana" w:eastAsia="Aptos" w:hAnsi="Verdana" w:cs="Arial"/>
          <w:sz w:val="20"/>
          <w:szCs w:val="20"/>
        </w:rPr>
        <w:t xml:space="preserve"> Por tanto, no son materia de la prohibición las demás modalidades de selección previstas en la ley 1150 de 2007, siendo estas, la licitación pública, el concurso de méritos y la selección abreviada, razón por la cual en ese periodo preelectoral de que trata la disposición pueden las entidades públicas seguir contratando bajo estos sistemas. (…)”</w:t>
      </w:r>
      <w:r w:rsidRPr="00176A0C">
        <w:rPr>
          <w:rFonts w:ascii="Verdana" w:eastAsia="Aptos" w:hAnsi="Verdana" w:cs="Arial"/>
          <w:sz w:val="20"/>
          <w:szCs w:val="20"/>
          <w:vertAlign w:val="superscript"/>
          <w:lang w:eastAsia="es-CO"/>
        </w:rPr>
        <w:footnoteReference w:id="32"/>
      </w:r>
      <w:r w:rsidRPr="00176A0C">
        <w:rPr>
          <w:rFonts w:ascii="Verdana" w:eastAsia="Aptos" w:hAnsi="Verdana" w:cs="Arial"/>
          <w:sz w:val="20"/>
          <w:szCs w:val="20"/>
        </w:rPr>
        <w:t>.</w:t>
      </w:r>
    </w:p>
    <w:p w14:paraId="429C6741" w14:textId="77777777" w:rsidR="00E334D4" w:rsidRPr="00176A0C" w:rsidRDefault="00E334D4" w:rsidP="00E334D4">
      <w:pPr>
        <w:spacing w:after="0" w:line="240" w:lineRule="auto"/>
        <w:ind w:left="709" w:right="709"/>
        <w:jc w:val="both"/>
        <w:rPr>
          <w:rFonts w:ascii="Verdana" w:eastAsia="Aptos" w:hAnsi="Verdana" w:cs="Arial"/>
        </w:rPr>
      </w:pPr>
    </w:p>
    <w:p w14:paraId="0531EDA0" w14:textId="77777777" w:rsidR="00E334D4" w:rsidRPr="00176A0C" w:rsidRDefault="00E334D4" w:rsidP="00E334D4">
      <w:pPr>
        <w:spacing w:after="120" w:line="276" w:lineRule="auto"/>
        <w:ind w:firstLine="709"/>
        <w:jc w:val="both"/>
        <w:rPr>
          <w:rFonts w:ascii="Verdana" w:eastAsia="Aptos" w:hAnsi="Verdana" w:cs="Arial"/>
          <w:bCs/>
          <w:lang w:eastAsia="x-none"/>
        </w:rPr>
      </w:pPr>
      <w:bookmarkStart w:id="18" w:name="_Hlk94521748"/>
      <w:r w:rsidRPr="00176A0C">
        <w:rPr>
          <w:rFonts w:ascii="Verdana" w:eastAsia="Aptos" w:hAnsi="Verdana" w:cs="Arial"/>
          <w:lang w:eastAsia="x-none"/>
        </w:rPr>
        <w:t xml:space="preserve">De acuerdo con el citado concepto, la prohibición del artículo 33 de la Ley de Garantías Electorales se refiere a </w:t>
      </w:r>
      <w:r w:rsidRPr="00176A0C">
        <w:rPr>
          <w:rFonts w:ascii="Verdana" w:eastAsia="Aptos" w:hAnsi="Verdana" w:cs="Arial"/>
          <w:lang w:eastAsia="en-GB"/>
        </w:rPr>
        <w:t>“</w:t>
      </w:r>
      <w:r w:rsidRPr="00176A0C">
        <w:rPr>
          <w:rFonts w:ascii="Verdana" w:eastAsia="Aptos" w:hAnsi="Verdana" w:cs="Arial"/>
          <w:lang w:eastAsia="x-none"/>
        </w:rPr>
        <w:t>cualquier sistema que no implique convocatoria pública y posibilidad de pluralidad de oferentes</w:t>
      </w:r>
      <w:r w:rsidRPr="00176A0C">
        <w:rPr>
          <w:rFonts w:ascii="Verdana" w:eastAsia="Aptos" w:hAnsi="Verdana" w:cs="Arial"/>
          <w:lang w:eastAsia="en-GB"/>
        </w:rPr>
        <w:t>”</w:t>
      </w:r>
      <w:r w:rsidRPr="00176A0C">
        <w:rPr>
          <w:rFonts w:ascii="Verdana" w:eastAsia="Aptos" w:hAnsi="Verdana" w:cs="Arial"/>
          <w:lang w:eastAsia="x-none"/>
        </w:rPr>
        <w:t xml:space="preserve">, por lo que excluye las demás modalidades de contratación previstas en la Ley 1150 de 2007, es decir, la licitación pública, la selección abreviada, el concurso de méritos </w:t>
      </w:r>
      <w:r w:rsidRPr="00176A0C">
        <w:rPr>
          <w:rFonts w:ascii="Verdana" w:eastAsia="Aptos" w:hAnsi="Verdana" w:cs="Arial"/>
          <w:lang w:val="es-ES_tradnl" w:eastAsia="x-none"/>
        </w:rPr>
        <w:t>y la mínima cuantía</w:t>
      </w:r>
      <w:r w:rsidRPr="00176A0C" w:rsidDel="00A85D9F">
        <w:rPr>
          <w:rFonts w:ascii="Verdana" w:eastAsia="Aptos" w:hAnsi="Verdana" w:cs="Arial"/>
          <w:lang w:eastAsia="x-none"/>
        </w:rPr>
        <w:t xml:space="preserve"> </w:t>
      </w:r>
      <w:r w:rsidRPr="00176A0C">
        <w:rPr>
          <w:rFonts w:ascii="Verdana" w:eastAsia="Aptos" w:hAnsi="Verdana" w:cs="Arial"/>
          <w:lang w:eastAsia="x-none"/>
        </w:rPr>
        <w:t>u otros previstos en normas especiales. Esta posición es congruente con la expedición de la Ley 1150 de 2007 que, entre otras reformas, introdujo la selección abreviada, rediseñó el concurso de méritos</w:t>
      </w:r>
      <w:r w:rsidRPr="00176A0C">
        <w:rPr>
          <w:rFonts w:ascii="Verdana" w:eastAsia="Aptos" w:hAnsi="Verdana" w:cs="Arial"/>
          <w:vertAlign w:val="superscript"/>
          <w:lang w:val="en-GB" w:eastAsia="x-none"/>
        </w:rPr>
        <w:footnoteReference w:id="33"/>
      </w:r>
      <w:r w:rsidRPr="00176A0C">
        <w:rPr>
          <w:rFonts w:ascii="Verdana" w:eastAsia="Aptos" w:hAnsi="Verdana" w:cs="Arial"/>
          <w:lang w:eastAsia="x-none"/>
        </w:rPr>
        <w:t xml:space="preserve"> y sistematizó las causales de contratación directa</w:t>
      </w:r>
      <w:r w:rsidRPr="00176A0C">
        <w:rPr>
          <w:rFonts w:ascii="Verdana" w:eastAsia="Aptos" w:hAnsi="Verdana" w:cs="Arial"/>
          <w:vertAlign w:val="superscript"/>
          <w:lang w:val="en-GB" w:eastAsia="x-none"/>
        </w:rPr>
        <w:footnoteReference w:id="34"/>
      </w:r>
      <w:r w:rsidRPr="00176A0C">
        <w:rPr>
          <w:rFonts w:ascii="Verdana" w:eastAsia="Aptos" w:hAnsi="Verdana" w:cs="Arial"/>
          <w:lang w:eastAsia="x-none"/>
        </w:rPr>
        <w:t>, además lo es con la posterior creación de la modalidad de mínima cuantía establecida actualmente en el numeral 5 del artículo 2 de la Ley 1150 de 2007, de acuerdo con las modificaciones realizadas por leyes posteriores.</w:t>
      </w:r>
    </w:p>
    <w:bookmarkEnd w:id="18"/>
    <w:p w14:paraId="6775D1C3" w14:textId="77777777" w:rsidR="00E334D4" w:rsidRDefault="00E334D4" w:rsidP="00E334D4">
      <w:pPr>
        <w:spacing w:after="120" w:line="276" w:lineRule="auto"/>
        <w:ind w:firstLine="709"/>
        <w:jc w:val="both"/>
        <w:rPr>
          <w:rFonts w:ascii="Verdana" w:eastAsia="Aptos" w:hAnsi="Verdana" w:cs="Arial"/>
          <w:lang w:eastAsia="x-none"/>
        </w:rPr>
      </w:pPr>
      <w:r w:rsidRPr="00176A0C">
        <w:rPr>
          <w:rFonts w:ascii="Verdana" w:eastAsia="Aptos" w:hAnsi="Verdana" w:cs="Arial"/>
          <w:lang w:eastAsia="x-none"/>
        </w:rPr>
        <w:t xml:space="preserve">De esta forma, con fundamento en la evolución de la normativa sobre la contratación pública, se ha depurado la noción de </w:t>
      </w:r>
      <w:r w:rsidRPr="00176A0C">
        <w:rPr>
          <w:rFonts w:ascii="Verdana" w:eastAsia="Aptos" w:hAnsi="Verdana" w:cs="Arial"/>
          <w:i/>
          <w:lang w:eastAsia="en-GB"/>
        </w:rPr>
        <w:t>“</w:t>
      </w:r>
      <w:r w:rsidRPr="00176A0C">
        <w:rPr>
          <w:rFonts w:ascii="Verdana" w:eastAsia="Aptos" w:hAnsi="Verdana" w:cs="Arial"/>
          <w:i/>
          <w:iCs/>
          <w:lang w:eastAsia="x-none"/>
        </w:rPr>
        <w:t>contratación directa</w:t>
      </w:r>
      <w:r w:rsidRPr="00176A0C">
        <w:rPr>
          <w:rFonts w:ascii="Verdana" w:eastAsia="Aptos" w:hAnsi="Verdana" w:cs="Arial"/>
          <w:lang w:eastAsia="en-GB"/>
        </w:rPr>
        <w:t>”</w:t>
      </w:r>
      <w:r w:rsidRPr="00176A0C">
        <w:rPr>
          <w:rFonts w:ascii="Verdana" w:eastAsia="Aptos" w:hAnsi="Verdana" w:cs="Arial"/>
          <w:lang w:eastAsia="x-none"/>
        </w:rPr>
        <w:t xml:space="preserve">, precisando el Consejo de Estado –en el concepto citado– que, “aun cuando no coincide única y exactamente con la regulación que de dicho sistema de selección </w:t>
      </w:r>
      <w:r w:rsidRPr="00176A0C">
        <w:rPr>
          <w:rFonts w:ascii="Verdana" w:eastAsia="Aptos" w:hAnsi="Verdana" w:cs="Arial"/>
          <w:lang w:eastAsia="x-none"/>
        </w:rPr>
        <w:lastRenderedPageBreak/>
        <w:t>hace el artículo 2 de la Ley 1150 de 2007, tampoco puede afirmarse que sea cualquier procedimiento de contratación distinto de la licitación pública, pues esto sería tanto como desconocer que el legislador, no solo en el Estatuto General de la Contratación de la Administración Pública, sino también en leyes especiales e, incluso, en el derecho privado</w:t>
      </w:r>
      <w:r w:rsidRPr="00176A0C">
        <w:rPr>
          <w:rFonts w:ascii="Verdana" w:eastAsia="Aptos" w:hAnsi="Verdana" w:cs="Arial"/>
          <w:vertAlign w:val="superscript"/>
          <w:lang w:val="en-GB" w:eastAsia="x-none"/>
        </w:rPr>
        <w:footnoteReference w:id="35"/>
      </w:r>
      <w:r w:rsidRPr="00176A0C">
        <w:rPr>
          <w:rFonts w:ascii="Verdana" w:eastAsia="Aptos" w:hAnsi="Verdana" w:cs="Arial"/>
          <w:lang w:eastAsia="x-none"/>
        </w:rPr>
        <w:t>, han establecido sistemas de contratación que implican convocatoria pública y participación de varios oferentes</w:t>
      </w:r>
      <w:r w:rsidRPr="00176A0C">
        <w:rPr>
          <w:rFonts w:ascii="Verdana" w:eastAsia="Aptos" w:hAnsi="Verdana" w:cs="Arial"/>
          <w:lang w:eastAsia="en-GB"/>
        </w:rPr>
        <w:t>”</w:t>
      </w:r>
      <w:r w:rsidRPr="00176A0C">
        <w:rPr>
          <w:rFonts w:ascii="Verdana" w:eastAsia="Aptos" w:hAnsi="Verdana" w:cs="Arial"/>
          <w:lang w:eastAsia="x-none"/>
        </w:rPr>
        <w:t>.</w:t>
      </w:r>
    </w:p>
    <w:p w14:paraId="2DFD2059" w14:textId="77777777" w:rsidR="00E334D4" w:rsidRPr="00176A0C" w:rsidRDefault="00E334D4" w:rsidP="00E334D4">
      <w:pPr>
        <w:spacing w:after="120" w:line="276" w:lineRule="auto"/>
        <w:ind w:firstLine="709"/>
        <w:jc w:val="both"/>
        <w:rPr>
          <w:rFonts w:ascii="Verdana" w:eastAsia="Aptos" w:hAnsi="Verdana" w:cs="Arial"/>
          <w:lang w:eastAsia="x-none"/>
        </w:rPr>
      </w:pPr>
      <w:r w:rsidRPr="005A14DD">
        <w:rPr>
          <w:rFonts w:ascii="Verdana" w:eastAsia="Aptos" w:hAnsi="Verdana" w:cs="Arial"/>
          <w:lang w:eastAsia="x-none"/>
        </w:rPr>
        <w:t xml:space="preserve">En consecuencia, </w:t>
      </w:r>
      <w:r>
        <w:rPr>
          <w:rFonts w:ascii="Verdana" w:eastAsia="Aptos" w:hAnsi="Verdana" w:cs="Arial"/>
          <w:lang w:eastAsia="x-none"/>
        </w:rPr>
        <w:t xml:space="preserve">y en aplicabilidad de </w:t>
      </w:r>
      <w:r w:rsidRPr="005A14DD">
        <w:rPr>
          <w:rFonts w:ascii="Verdana" w:eastAsia="Aptos" w:hAnsi="Verdana" w:cs="Arial"/>
          <w:lang w:eastAsia="x-none"/>
        </w:rPr>
        <w:t>la contratación de servicios o trabajos artísticos</w:t>
      </w:r>
      <w:r>
        <w:rPr>
          <w:rFonts w:ascii="Verdana" w:eastAsia="Aptos" w:hAnsi="Verdana" w:cs="Arial"/>
          <w:lang w:eastAsia="x-none"/>
        </w:rPr>
        <w:t xml:space="preserve">, la misma </w:t>
      </w:r>
      <w:r w:rsidRPr="005A14DD">
        <w:rPr>
          <w:rFonts w:ascii="Verdana" w:eastAsia="Aptos" w:hAnsi="Verdana" w:cs="Arial"/>
          <w:lang w:eastAsia="x-none"/>
        </w:rPr>
        <w:t>no se encuentra prohibida, por sí misma, durante la vigencia de la Ley 996 de 2005. Lo relevante es la modalidad de selección aplicable y el alcance de las restricciones previstas en dicha ley. En ese sentido, cuando la contratación deba adelantarse mediante contratación directa, la entidad deberá verificar que concurran tanto los presupuestos legales de la causal prevista para la contratación de trabajos artísticos como que su celebración no se encuentre comprendida dentro de las prohibiciones temporales establecidas en los artículos 33 y 38 de la Ley 996 de 2005. Por el contrario, si la necesidad puede satisfacerse mediante una modalidad de selección que implique convocatoria pública y pluralidad de oferentes, esta no resulta comprendida por la prohibición del artículo 33 de la citada ley.</w:t>
      </w:r>
    </w:p>
    <w:p w14:paraId="62CECF7F" w14:textId="77777777" w:rsidR="00E334D4" w:rsidRPr="005A14DD" w:rsidRDefault="00E334D4" w:rsidP="00E334D4">
      <w:pPr>
        <w:spacing w:after="120" w:line="276" w:lineRule="auto"/>
        <w:jc w:val="both"/>
        <w:textAlignment w:val="baseline"/>
        <w:rPr>
          <w:rFonts w:ascii="Verdana" w:eastAsia="Times New Roman" w:hAnsi="Verdana" w:cs="Arial"/>
          <w:color w:val="000000"/>
          <w:lang w:eastAsia="es-ES_tradnl"/>
        </w:rPr>
      </w:pPr>
    </w:p>
    <w:p w14:paraId="32FB1AD2" w14:textId="77777777" w:rsidR="00E334D4" w:rsidRDefault="00E334D4" w:rsidP="00E334D4">
      <w:pPr>
        <w:tabs>
          <w:tab w:val="left" w:pos="142"/>
          <w:tab w:val="left" w:pos="284"/>
        </w:tabs>
        <w:spacing w:after="0" w:line="276" w:lineRule="auto"/>
        <w:rPr>
          <w:rFonts w:ascii="Verdana" w:eastAsia="Century Gothic" w:hAnsi="Verdana" w:cs="Century Gothic"/>
          <w:b/>
          <w:bCs/>
        </w:rPr>
      </w:pPr>
      <w:r w:rsidRPr="00464D09">
        <w:rPr>
          <w:rFonts w:ascii="Verdana" w:eastAsia="Century Gothic" w:hAnsi="Verdana" w:cs="Century Gothic"/>
          <w:b/>
          <w:bCs/>
        </w:rPr>
        <w:t>4. Referencias normativas:</w:t>
      </w:r>
      <w:bookmarkEnd w:id="1"/>
    </w:p>
    <w:p w14:paraId="6640C267" w14:textId="77777777" w:rsidR="00E334D4" w:rsidRPr="00464D09" w:rsidRDefault="00E334D4" w:rsidP="00E334D4">
      <w:pPr>
        <w:tabs>
          <w:tab w:val="left" w:pos="142"/>
          <w:tab w:val="left" w:pos="284"/>
        </w:tabs>
        <w:spacing w:after="0" w:line="276" w:lineRule="auto"/>
        <w:rPr>
          <w:rFonts w:ascii="Verdana" w:eastAsia="Century Gothic" w:hAnsi="Verdana" w:cs="Century Gothic"/>
          <w:b/>
          <w:bCs/>
        </w:rPr>
      </w:pPr>
    </w:p>
    <w:tbl>
      <w:tblPr>
        <w:tblStyle w:val="Tablaconcuadrcula"/>
        <w:tblW w:w="8647"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8647"/>
      </w:tblGrid>
      <w:tr w:rsidR="00E334D4" w:rsidRPr="00464D09" w14:paraId="51B98A52" w14:textId="77777777" w:rsidTr="00220A85">
        <w:trPr>
          <w:trHeight w:val="1148"/>
          <w:jc w:val="center"/>
        </w:trPr>
        <w:tc>
          <w:tcPr>
            <w:tcW w:w="8647" w:type="dxa"/>
          </w:tcPr>
          <w:p w14:paraId="5D6EDAA2" w14:textId="77777777" w:rsidR="00E334D4" w:rsidRPr="00464D09" w:rsidRDefault="00E334D4" w:rsidP="00220A85">
            <w:pPr>
              <w:spacing w:line="276" w:lineRule="auto"/>
              <w:jc w:val="both"/>
              <w:rPr>
                <w:rFonts w:ascii="Verdana" w:eastAsia="Aptos" w:hAnsi="Verdana" w:cs="Arial"/>
                <w:bCs/>
              </w:rPr>
            </w:pPr>
          </w:p>
          <w:p w14:paraId="00C6644E" w14:textId="77777777" w:rsidR="00E334D4" w:rsidRPr="00464D09" w:rsidRDefault="00E334D4" w:rsidP="00220A85">
            <w:pPr>
              <w:pStyle w:val="Prrafodelista"/>
              <w:numPr>
                <w:ilvl w:val="0"/>
                <w:numId w:val="17"/>
              </w:numPr>
              <w:spacing w:after="120" w:line="276" w:lineRule="auto"/>
              <w:jc w:val="both"/>
              <w:rPr>
                <w:rFonts w:ascii="Verdana" w:eastAsia="Aptos" w:hAnsi="Verdana" w:cs="Arial"/>
                <w:bCs/>
              </w:rPr>
            </w:pPr>
            <w:r w:rsidRPr="00464D09">
              <w:rPr>
                <w:rFonts w:ascii="Verdana" w:eastAsia="Aptos" w:hAnsi="Verdana" w:cs="Arial"/>
                <w:bCs/>
              </w:rPr>
              <w:t>Constitución Política de 1991. Artículo 355 </w:t>
            </w:r>
          </w:p>
          <w:p w14:paraId="5602A394" w14:textId="77777777" w:rsidR="00E334D4" w:rsidRDefault="00E334D4" w:rsidP="00220A85">
            <w:pPr>
              <w:pStyle w:val="Prrafodelista"/>
              <w:numPr>
                <w:ilvl w:val="0"/>
                <w:numId w:val="17"/>
              </w:numPr>
              <w:spacing w:after="120" w:line="276" w:lineRule="auto"/>
              <w:jc w:val="both"/>
              <w:rPr>
                <w:rFonts w:ascii="Verdana" w:eastAsia="Aptos" w:hAnsi="Verdana" w:cs="Arial"/>
                <w:bCs/>
              </w:rPr>
            </w:pPr>
            <w:r w:rsidRPr="00186AFD">
              <w:rPr>
                <w:rFonts w:ascii="Verdana" w:eastAsia="Aptos" w:hAnsi="Verdana" w:cs="Arial"/>
                <w:bCs/>
              </w:rPr>
              <w:t>Ley 80 de 1993, Artículo 32, numeral 3.</w:t>
            </w:r>
          </w:p>
          <w:p w14:paraId="3E4A5B27" w14:textId="77777777" w:rsidR="00E334D4" w:rsidRPr="00BE249E" w:rsidRDefault="00E334D4" w:rsidP="00220A85">
            <w:pPr>
              <w:pStyle w:val="Prrafodelista"/>
              <w:numPr>
                <w:ilvl w:val="0"/>
                <w:numId w:val="17"/>
              </w:numPr>
              <w:spacing w:after="120" w:line="276" w:lineRule="auto"/>
              <w:jc w:val="both"/>
              <w:rPr>
                <w:rFonts w:ascii="Verdana" w:eastAsia="Aptos" w:hAnsi="Verdana" w:cs="Arial"/>
                <w:lang w:eastAsia="es-ES"/>
              </w:rPr>
            </w:pPr>
            <w:r w:rsidRPr="00BE249E">
              <w:rPr>
                <w:rFonts w:ascii="Verdana" w:eastAsia="Aptos" w:hAnsi="Verdana" w:cs="Arial"/>
                <w:bCs/>
              </w:rPr>
              <w:t xml:space="preserve">Ley 489 de 1998, artículo 96. </w:t>
            </w:r>
          </w:p>
          <w:p w14:paraId="4597CC2C" w14:textId="77777777" w:rsidR="00E334D4" w:rsidRPr="00BE249E" w:rsidRDefault="00E334D4" w:rsidP="00220A85">
            <w:pPr>
              <w:pStyle w:val="Prrafodelista"/>
              <w:numPr>
                <w:ilvl w:val="0"/>
                <w:numId w:val="17"/>
              </w:numPr>
              <w:spacing w:after="120" w:line="276" w:lineRule="auto"/>
              <w:jc w:val="both"/>
              <w:rPr>
                <w:rFonts w:ascii="Verdana" w:eastAsia="Aptos" w:hAnsi="Verdana" w:cs="Arial"/>
                <w:lang w:eastAsia="es-ES"/>
              </w:rPr>
            </w:pPr>
            <w:r w:rsidRPr="00BE249E">
              <w:rPr>
                <w:rFonts w:ascii="Verdana" w:eastAsia="Aptos" w:hAnsi="Verdana" w:cs="Arial"/>
                <w:lang w:eastAsia="es-ES"/>
              </w:rPr>
              <w:t xml:space="preserve">Ley 1150 de 2007. Artículo 2 numeral 4 literal c. </w:t>
            </w:r>
          </w:p>
          <w:p w14:paraId="6B808820" w14:textId="77777777" w:rsidR="00E334D4" w:rsidRPr="00176A0C" w:rsidRDefault="00E334D4" w:rsidP="00220A85">
            <w:pPr>
              <w:numPr>
                <w:ilvl w:val="0"/>
                <w:numId w:val="17"/>
              </w:numPr>
              <w:spacing w:line="276" w:lineRule="auto"/>
              <w:contextualSpacing/>
              <w:jc w:val="both"/>
              <w:rPr>
                <w:rFonts w:ascii="Verdana" w:eastAsia="Aptos" w:hAnsi="Verdana" w:cs="Arial"/>
                <w:lang w:eastAsia="es-ES"/>
              </w:rPr>
            </w:pPr>
            <w:r w:rsidRPr="00176A0C">
              <w:rPr>
                <w:rFonts w:ascii="Verdana" w:eastAsia="Aptos" w:hAnsi="Verdana" w:cs="Arial"/>
                <w:lang w:eastAsia="es-ES"/>
              </w:rPr>
              <w:t>Ley 996 de 2005. Artículos 33 y parágrafo del artículo 38.</w:t>
            </w:r>
          </w:p>
          <w:p w14:paraId="3CF33327" w14:textId="77777777" w:rsidR="00E334D4" w:rsidRPr="00176A0C" w:rsidRDefault="00E334D4" w:rsidP="00220A85">
            <w:pPr>
              <w:numPr>
                <w:ilvl w:val="0"/>
                <w:numId w:val="17"/>
              </w:numPr>
              <w:spacing w:line="276" w:lineRule="auto"/>
              <w:contextualSpacing/>
              <w:jc w:val="both"/>
              <w:rPr>
                <w:rFonts w:ascii="Verdana" w:eastAsia="Aptos" w:hAnsi="Verdana" w:cs="Arial"/>
                <w:lang w:eastAsia="es-ES"/>
              </w:rPr>
            </w:pPr>
            <w:r w:rsidRPr="00176A0C">
              <w:rPr>
                <w:rFonts w:ascii="Verdana" w:eastAsia="Aptos" w:hAnsi="Verdana" w:cs="Arial"/>
                <w:lang w:eastAsia="es-ES"/>
              </w:rPr>
              <w:t xml:space="preserve">Consejo de Estado. Sala de lo Contencioso Administrativo. Sección Primera. Sentencia de 3 de marzo de 2005. Radicado: 25001-23-15-000-2004-00823-01 (PI). C.P: Camilo Arciniegas Andrade. </w:t>
            </w:r>
          </w:p>
          <w:p w14:paraId="58FE3F00" w14:textId="77777777" w:rsidR="00E334D4" w:rsidRPr="00176A0C" w:rsidRDefault="00E334D4" w:rsidP="00220A85">
            <w:pPr>
              <w:numPr>
                <w:ilvl w:val="0"/>
                <w:numId w:val="17"/>
              </w:numPr>
              <w:spacing w:line="276" w:lineRule="auto"/>
              <w:contextualSpacing/>
              <w:jc w:val="both"/>
              <w:rPr>
                <w:rFonts w:ascii="Verdana" w:eastAsia="Aptos" w:hAnsi="Verdana" w:cs="Arial"/>
                <w:lang w:eastAsia="es-ES"/>
              </w:rPr>
            </w:pPr>
            <w:r w:rsidRPr="00176A0C">
              <w:rPr>
                <w:rFonts w:ascii="Verdana" w:eastAsia="Aptos" w:hAnsi="Verdana" w:cs="Arial"/>
                <w:lang w:eastAsia="es-ES"/>
              </w:rPr>
              <w:lastRenderedPageBreak/>
              <w:t xml:space="preserve">Consejo de Estado. Sala de lo Contencioso Administrativo. Sección Tercera. Sentencia de 22 de enero de 2002, expediente número 2001-0148-01 </w:t>
            </w:r>
          </w:p>
          <w:p w14:paraId="2CC3C90E" w14:textId="77777777" w:rsidR="00E334D4" w:rsidRPr="00BE249E" w:rsidRDefault="00E334D4" w:rsidP="00220A85">
            <w:pPr>
              <w:numPr>
                <w:ilvl w:val="0"/>
                <w:numId w:val="17"/>
              </w:numPr>
              <w:spacing w:line="276" w:lineRule="auto"/>
              <w:contextualSpacing/>
              <w:jc w:val="both"/>
              <w:rPr>
                <w:rFonts w:ascii="Verdana" w:eastAsia="Aptos" w:hAnsi="Verdana" w:cs="Arial"/>
                <w:lang w:eastAsia="es-ES"/>
              </w:rPr>
            </w:pPr>
            <w:r w:rsidRPr="00176A0C">
              <w:rPr>
                <w:rFonts w:ascii="Verdana" w:eastAsia="Aptos" w:hAnsi="Verdana" w:cs="Arial"/>
                <w:lang w:eastAsia="es-ES"/>
              </w:rPr>
              <w:t>Consejo de Estado. Sala de lo Contencioso Administrativo. Sección Tercera. Sentencia de 20 de noviembre de 2001, expediente número 2001-0130-01(PI).</w:t>
            </w:r>
            <w:r w:rsidRPr="00BE249E">
              <w:rPr>
                <w:rFonts w:ascii="Verdana" w:hAnsi="Verdana" w:cs="Arial"/>
                <w:lang w:val="es-ES_tradnl"/>
              </w:rPr>
              <w:t xml:space="preserve"> </w:t>
            </w:r>
          </w:p>
          <w:p w14:paraId="6E04E0B2" w14:textId="77777777" w:rsidR="00E334D4" w:rsidRPr="008F1E8B" w:rsidRDefault="00E334D4" w:rsidP="00220A85">
            <w:pPr>
              <w:pStyle w:val="Prrafodelista"/>
              <w:numPr>
                <w:ilvl w:val="0"/>
                <w:numId w:val="17"/>
              </w:numPr>
              <w:spacing w:line="276" w:lineRule="auto"/>
              <w:ind w:right="709"/>
              <w:jc w:val="both"/>
              <w:rPr>
                <w:rFonts w:ascii="Verdana" w:hAnsi="Verdana" w:cs="Arial"/>
                <w:lang w:val="es-ES_tradnl"/>
              </w:rPr>
            </w:pPr>
            <w:r w:rsidRPr="00186AFD">
              <w:rPr>
                <w:rFonts w:ascii="Verdana" w:hAnsi="Verdana" w:cs="Arial"/>
                <w:lang w:val="es-ES_tradnl"/>
              </w:rPr>
              <w:t>Decreto 1082 de 2015, artículos</w:t>
            </w:r>
            <w:r w:rsidRPr="00464D09">
              <w:rPr>
                <w:rFonts w:ascii="Verdana" w:hAnsi="Verdana" w:cs="Arial"/>
                <w:lang w:val="es-ES_tradnl"/>
              </w:rPr>
              <w:t xml:space="preserve"> </w:t>
            </w:r>
            <w:r w:rsidRPr="00464D09">
              <w:rPr>
                <w:rFonts w:ascii="Verdana" w:hAnsi="Verdana" w:cs="Arial"/>
              </w:rPr>
              <w:t xml:space="preserve">2.2.1.2.1.4.1 y </w:t>
            </w:r>
            <w:r w:rsidRPr="00464D09">
              <w:rPr>
                <w:rFonts w:ascii="Verdana" w:hAnsi="Verdana" w:cs="Arial"/>
                <w:lang w:val="es-ES_tradnl"/>
              </w:rPr>
              <w:t>2.2.1.2.1.4.9</w:t>
            </w:r>
            <w:r w:rsidRPr="00464D09">
              <w:rPr>
                <w:rFonts w:ascii="Verdana" w:hAnsi="Verdana" w:cs="Arial"/>
                <w:lang w:val="es-MX" w:eastAsia="es-ES_tradnl"/>
              </w:rPr>
              <w:t xml:space="preserve"> </w:t>
            </w:r>
          </w:p>
          <w:p w14:paraId="4C2CF8DC" w14:textId="77777777" w:rsidR="00E334D4" w:rsidRPr="00186AFD" w:rsidRDefault="00E334D4" w:rsidP="00220A85">
            <w:pPr>
              <w:pStyle w:val="Prrafodelista"/>
              <w:numPr>
                <w:ilvl w:val="0"/>
                <w:numId w:val="17"/>
              </w:numPr>
              <w:spacing w:line="276" w:lineRule="auto"/>
              <w:ind w:right="709"/>
              <w:jc w:val="both"/>
              <w:rPr>
                <w:rFonts w:ascii="Verdana" w:hAnsi="Verdana" w:cs="Arial"/>
                <w:lang w:val="es-ES_tradnl"/>
              </w:rPr>
            </w:pPr>
            <w:r w:rsidRPr="00186AFD">
              <w:rPr>
                <w:rFonts w:ascii="Verdana" w:hAnsi="Verdana" w:cs="Arial"/>
                <w:lang w:val="es-ES_tradnl"/>
              </w:rPr>
              <w:t xml:space="preserve">Decreto 092 de 2017, artículos 2, 3, 4 y 5. </w:t>
            </w:r>
          </w:p>
          <w:p w14:paraId="7453F4D9" w14:textId="77777777" w:rsidR="00E334D4" w:rsidRPr="00C40E1E" w:rsidRDefault="00E334D4" w:rsidP="00220A85">
            <w:pPr>
              <w:pStyle w:val="Prrafodelista"/>
              <w:numPr>
                <w:ilvl w:val="0"/>
                <w:numId w:val="17"/>
              </w:numPr>
              <w:tabs>
                <w:tab w:val="clear" w:pos="720"/>
              </w:tabs>
              <w:spacing w:line="276" w:lineRule="auto"/>
              <w:ind w:right="39"/>
              <w:jc w:val="both"/>
              <w:rPr>
                <w:rFonts w:ascii="Verdana" w:eastAsia="Aptos" w:hAnsi="Verdana" w:cs="Arial"/>
                <w:bCs/>
              </w:rPr>
            </w:pPr>
            <w:r w:rsidRPr="00186AFD">
              <w:rPr>
                <w:rFonts w:ascii="Verdana" w:hAnsi="Verdana" w:cs="Arial"/>
                <w:lang w:val="es-ES_tradnl"/>
              </w:rPr>
              <w:t>CONSEJO DE ESTADO, Sala de Consulta y Servicio Civil, Concepto del 24 de febrero de 2005, con radicado No. 1626, C.P. Dra. Gloria Duque Hernández</w:t>
            </w:r>
            <w:r w:rsidRPr="00464D09">
              <w:rPr>
                <w:rFonts w:ascii="Verdana" w:hAnsi="Verdana" w:cs="Arial"/>
                <w:lang w:val="es-ES_tradnl"/>
              </w:rPr>
              <w:t>CONSEJO DE ESTADO, Sección Segunda, Sentencia de unificación por importancia jurídica del nueve (09) de septiembre de 2021. Radicado CE-SUJ2-025-21</w:t>
            </w:r>
          </w:p>
          <w:p w14:paraId="53E51C5F" w14:textId="77777777" w:rsidR="00E334D4" w:rsidRPr="00041151" w:rsidRDefault="00E334D4" w:rsidP="00220A85">
            <w:pPr>
              <w:pStyle w:val="Prrafodelista"/>
              <w:numPr>
                <w:ilvl w:val="0"/>
                <w:numId w:val="17"/>
              </w:numPr>
              <w:spacing w:line="276" w:lineRule="auto"/>
              <w:ind w:right="180"/>
              <w:jc w:val="both"/>
              <w:rPr>
                <w:rFonts w:ascii="Verdana" w:eastAsia="Aptos" w:hAnsi="Verdana" w:cs="Arial"/>
              </w:rPr>
            </w:pPr>
            <w:r w:rsidRPr="00464D09">
              <w:rPr>
                <w:rFonts w:ascii="Verdana" w:hAnsi="Verdana" w:cs="Arial"/>
                <w:lang w:val="es-ES_tradnl"/>
              </w:rPr>
              <w:t>CONSEJO DE ESTADO. Sección Tercera. Subsección C.</w:t>
            </w:r>
            <w:r>
              <w:rPr>
                <w:rFonts w:ascii="Verdana" w:hAnsi="Verdana" w:cs="Arial"/>
                <w:lang w:val="es-ES_tradnl"/>
              </w:rPr>
              <w:t xml:space="preserve"> </w:t>
            </w:r>
            <w:r w:rsidRPr="00464D09">
              <w:rPr>
                <w:rFonts w:ascii="Verdana" w:hAnsi="Verdana" w:cs="Arial"/>
                <w:lang w:val="es-ES_tradnl"/>
              </w:rPr>
              <w:t>Sentencia del 2 de diciembre de 2013. Consejero Ponente: Jaime Orlando Santofimio Gamboa. Exp. 41719.</w:t>
            </w:r>
          </w:p>
          <w:p w14:paraId="177E45F3" w14:textId="77777777" w:rsidR="00E334D4" w:rsidRPr="008F1E8B" w:rsidRDefault="00E334D4" w:rsidP="00220A85">
            <w:pPr>
              <w:pStyle w:val="Prrafodelista"/>
              <w:numPr>
                <w:ilvl w:val="0"/>
                <w:numId w:val="17"/>
              </w:numPr>
              <w:spacing w:line="276" w:lineRule="auto"/>
              <w:ind w:right="180"/>
              <w:jc w:val="both"/>
              <w:rPr>
                <w:rFonts w:ascii="Verdana" w:eastAsia="Aptos" w:hAnsi="Verdana" w:cs="Arial"/>
                <w:bCs/>
              </w:rPr>
            </w:pPr>
            <w:r w:rsidRPr="008F1E8B">
              <w:rPr>
                <w:rFonts w:ascii="Verdana" w:eastAsia="Calibri" w:hAnsi="Verdana" w:cs="Arial"/>
                <w:color w:val="000000" w:themeColor="text1"/>
              </w:rPr>
              <w:t>CONSEJO DE ESTADO, Sección Tercera, Subsección A. Auto del 6 de agosto de 2019 Exp. No. 62.003, Consejero Ponente Carlos Alberto Zambrano Barrera</w:t>
            </w:r>
          </w:p>
          <w:p w14:paraId="624E4228" w14:textId="77777777" w:rsidR="00E334D4" w:rsidRPr="008F1E8B" w:rsidRDefault="00E334D4" w:rsidP="00220A85">
            <w:pPr>
              <w:pStyle w:val="Prrafodelista"/>
              <w:numPr>
                <w:ilvl w:val="0"/>
                <w:numId w:val="17"/>
              </w:numPr>
              <w:spacing w:line="276" w:lineRule="auto"/>
              <w:ind w:right="180"/>
              <w:jc w:val="both"/>
              <w:rPr>
                <w:rFonts w:ascii="Verdana" w:eastAsia="Aptos" w:hAnsi="Verdana" w:cs="Arial"/>
                <w:bCs/>
              </w:rPr>
            </w:pPr>
            <w:r w:rsidRPr="00186AFD">
              <w:rPr>
                <w:rFonts w:ascii="Verdana" w:eastAsia="Aptos" w:hAnsi="Verdana" w:cs="Arial"/>
                <w:bCs/>
                <w:lang w:val="es-CO"/>
              </w:rPr>
              <w:t>CONSEJO DE ESTADO. Sala Plena. </w:t>
            </w:r>
            <w:r w:rsidRPr="008F1E8B">
              <w:rPr>
                <w:rFonts w:ascii="Verdana" w:eastAsia="Aptos" w:hAnsi="Verdana" w:cs="Arial"/>
                <w:lang w:val="es-CO"/>
              </w:rPr>
              <w:t>Auto del 15 de marzo de 2022</w:t>
            </w:r>
            <w:r w:rsidRPr="00186AFD">
              <w:rPr>
                <w:rFonts w:ascii="Verdana" w:eastAsia="Aptos" w:hAnsi="Verdana" w:cs="Arial"/>
                <w:bCs/>
                <w:lang w:val="es-CO"/>
              </w:rPr>
              <w:t>. Exp. No. 62.003. C.P. Rocío Araújo Oñate.</w:t>
            </w:r>
          </w:p>
          <w:p w14:paraId="6F4CF24A" w14:textId="77777777" w:rsidR="00E334D4" w:rsidRPr="00186AFD" w:rsidRDefault="00E334D4" w:rsidP="00220A85">
            <w:pPr>
              <w:pStyle w:val="Prrafodelista"/>
              <w:numPr>
                <w:ilvl w:val="0"/>
                <w:numId w:val="17"/>
              </w:numPr>
              <w:spacing w:line="276" w:lineRule="auto"/>
              <w:ind w:right="180"/>
              <w:jc w:val="both"/>
              <w:rPr>
                <w:rFonts w:ascii="Verdana" w:eastAsia="Aptos" w:hAnsi="Verdana" w:cs="Arial"/>
                <w:bCs/>
              </w:rPr>
            </w:pPr>
            <w:r w:rsidRPr="008F1E8B">
              <w:rPr>
                <w:rFonts w:ascii="Verdana" w:eastAsia="Calibri" w:hAnsi="Verdana" w:cs="Arial"/>
                <w:color w:val="000000" w:themeColor="text1"/>
              </w:rPr>
              <w:t>CORTE CONSTITUCIONAL, sentencia C-910 del 31 de octubre de 2007. Magistrado Ponente, Marco Gerardo Monroy Cabra.</w:t>
            </w:r>
          </w:p>
          <w:p w14:paraId="75F7E116" w14:textId="77777777" w:rsidR="00E334D4" w:rsidRPr="0079133B" w:rsidRDefault="00E334D4" w:rsidP="00220A85">
            <w:pPr>
              <w:pStyle w:val="Prrafodelista"/>
              <w:numPr>
                <w:ilvl w:val="0"/>
                <w:numId w:val="17"/>
              </w:numPr>
              <w:spacing w:line="276" w:lineRule="auto"/>
              <w:rPr>
                <w:rFonts w:ascii="Verdana" w:eastAsia="Aptos" w:hAnsi="Verdana" w:cs="Arial"/>
                <w:bCs/>
              </w:rPr>
            </w:pPr>
            <w:r w:rsidRPr="0079133B">
              <w:rPr>
                <w:rFonts w:ascii="Verdana" w:eastAsia="Aptos" w:hAnsi="Verdana" w:cs="Arial"/>
                <w:bCs/>
              </w:rPr>
              <w:t xml:space="preserve">RODRÍGUEZ TAMAYO, Mauricio. Contratación pública con Entidades sin ánimo de lucro. Bogotá: Legis Editores, 2017. Página 28. </w:t>
            </w:r>
          </w:p>
          <w:p w14:paraId="418311E3" w14:textId="77777777" w:rsidR="00E334D4" w:rsidRPr="00D06C96" w:rsidRDefault="00E334D4" w:rsidP="00220A85">
            <w:pPr>
              <w:pStyle w:val="Prrafodelista"/>
              <w:numPr>
                <w:ilvl w:val="0"/>
                <w:numId w:val="17"/>
              </w:numPr>
              <w:spacing w:line="276" w:lineRule="auto"/>
              <w:ind w:right="180"/>
              <w:jc w:val="both"/>
              <w:rPr>
                <w:rFonts w:ascii="Verdana" w:eastAsia="Aptos" w:hAnsi="Verdana" w:cs="Arial"/>
                <w:bCs/>
              </w:rPr>
            </w:pPr>
            <w:r w:rsidRPr="0079133B">
              <w:rPr>
                <w:rFonts w:ascii="Verdana" w:eastAsia="Aptos" w:hAnsi="Verdana" w:cs="Arial"/>
                <w:bCs/>
              </w:rPr>
              <w:t>AGENCIA NACIONAL DE CONTRATACIÓN PÚBLICA – COLOMBIA COMPRA EFICIENTE. Guía para la contratación con entidades privadas sin ánimo de lucro y de reconocida idoneidad.</w:t>
            </w:r>
          </w:p>
          <w:p w14:paraId="5C5205E8" w14:textId="77777777" w:rsidR="00E334D4" w:rsidRPr="00C40E1E" w:rsidRDefault="00E334D4" w:rsidP="00220A85">
            <w:pPr>
              <w:pStyle w:val="Prrafodelista"/>
              <w:spacing w:line="276" w:lineRule="auto"/>
              <w:ind w:right="180"/>
              <w:jc w:val="both"/>
              <w:rPr>
                <w:rFonts w:ascii="Verdana" w:eastAsia="Aptos" w:hAnsi="Verdana" w:cs="Arial"/>
                <w:bCs/>
              </w:rPr>
            </w:pPr>
            <w:r>
              <w:rPr>
                <w:rFonts w:ascii="Verdana" w:eastAsia="Aptos" w:hAnsi="Verdana" w:cs="Arial"/>
                <w:bCs/>
              </w:rPr>
              <w:t xml:space="preserve"> </w:t>
            </w:r>
          </w:p>
        </w:tc>
      </w:tr>
    </w:tbl>
    <w:p w14:paraId="55FC3AFD" w14:textId="77777777" w:rsidR="00E334D4" w:rsidRPr="00464D09" w:rsidRDefault="00E334D4" w:rsidP="00E334D4">
      <w:pPr>
        <w:widowControl w:val="0"/>
        <w:autoSpaceDE w:val="0"/>
        <w:autoSpaceDN w:val="0"/>
        <w:spacing w:after="0" w:line="276" w:lineRule="auto"/>
        <w:jc w:val="both"/>
        <w:rPr>
          <w:rFonts w:ascii="Verdana" w:hAnsi="Verdana" w:cs="Arial"/>
        </w:rPr>
      </w:pPr>
    </w:p>
    <w:p w14:paraId="486FD586" w14:textId="77777777" w:rsidR="00E334D4" w:rsidRPr="00464D09" w:rsidRDefault="00E334D4" w:rsidP="00E334D4">
      <w:pPr>
        <w:tabs>
          <w:tab w:val="left" w:pos="142"/>
          <w:tab w:val="left" w:pos="284"/>
        </w:tabs>
        <w:spacing w:after="0" w:line="276" w:lineRule="auto"/>
        <w:jc w:val="both"/>
        <w:rPr>
          <w:rFonts w:ascii="Verdana" w:eastAsia="Century Gothic" w:hAnsi="Verdana" w:cs="Century Gothic"/>
          <w:b/>
          <w:bCs/>
        </w:rPr>
      </w:pPr>
      <w:r w:rsidRPr="00464D09">
        <w:rPr>
          <w:rFonts w:ascii="Verdana" w:eastAsia="Century Gothic" w:hAnsi="Verdana" w:cs="Century Gothic"/>
          <w:b/>
          <w:bCs/>
        </w:rPr>
        <w:t>5. Doctrina de la Agencia Nacional de Contratación Pública:</w:t>
      </w:r>
    </w:p>
    <w:p w14:paraId="055F58D0" w14:textId="77777777" w:rsidR="00E334D4" w:rsidRPr="00464D09" w:rsidRDefault="00E334D4" w:rsidP="00E334D4">
      <w:pPr>
        <w:spacing w:after="0" w:line="240" w:lineRule="auto"/>
        <w:jc w:val="both"/>
        <w:rPr>
          <w:rFonts w:ascii="Verdana" w:hAnsi="Verdana" w:cs="Arial"/>
          <w:shd w:val="clear" w:color="auto" w:fill="FFFFFF"/>
        </w:rPr>
      </w:pPr>
    </w:p>
    <w:p w14:paraId="35DEE2F4" w14:textId="77777777" w:rsidR="00E334D4" w:rsidRDefault="00E334D4" w:rsidP="00E334D4">
      <w:pPr>
        <w:widowControl w:val="0"/>
        <w:autoSpaceDE w:val="0"/>
        <w:autoSpaceDN w:val="0"/>
        <w:spacing w:after="0" w:line="276" w:lineRule="auto"/>
        <w:jc w:val="both"/>
      </w:pPr>
      <w:r w:rsidRPr="00464D09">
        <w:rPr>
          <w:rFonts w:ascii="Verdana" w:hAnsi="Verdana" w:cs="Arial"/>
          <w:shd w:val="clear" w:color="auto" w:fill="FFFFFF"/>
        </w:rPr>
        <w:t xml:space="preserve">La Agencia Nacional de Contratación Pública – Colombia Compra Eficiente ha analizado los contratos de prestación de servicios artísticos, así como sus principales elementos, en los conceptos con radicado: C-491 del 14 de septiembre de 2021, C-517 del 30 de septiembre de 2021, C-181 del 07 de abril </w:t>
      </w:r>
      <w:r w:rsidRPr="00464D09">
        <w:rPr>
          <w:rFonts w:ascii="Verdana" w:hAnsi="Verdana" w:cs="Arial"/>
          <w:shd w:val="clear" w:color="auto" w:fill="FFFFFF"/>
        </w:rPr>
        <w:lastRenderedPageBreak/>
        <w:t>de 2022, C-966 del 01 de febrero de 2023, C-107 del 28 de mayo de 2024 y C-101 de agosto de 2024</w:t>
      </w:r>
      <w:r>
        <w:rPr>
          <w:rFonts w:ascii="Verdana" w:hAnsi="Verdana" w:cs="Arial"/>
          <w:shd w:val="clear" w:color="auto" w:fill="FFFFFF"/>
        </w:rPr>
        <w:t>, C</w:t>
      </w:r>
      <w:r w:rsidRPr="009276CD">
        <w:rPr>
          <w:rFonts w:ascii="Verdana" w:hAnsi="Verdana" w:cs="Arial"/>
          <w:shd w:val="clear" w:color="auto" w:fill="FFFFFF"/>
          <w:lang w:val="es-ES"/>
        </w:rPr>
        <w:t xml:space="preserve">- 764 del </w:t>
      </w:r>
      <w:r w:rsidRPr="009276CD">
        <w:rPr>
          <w:rFonts w:ascii="Verdana" w:hAnsi="Verdana" w:cs="Arial"/>
          <w:shd w:val="clear" w:color="auto" w:fill="FFFFFF"/>
          <w:lang w:val="es-MX"/>
        </w:rPr>
        <w:t>05 de diciembre de 2024</w:t>
      </w:r>
      <w:r>
        <w:rPr>
          <w:rFonts w:ascii="Verdana" w:hAnsi="Verdana" w:cs="Arial"/>
          <w:shd w:val="clear" w:color="auto" w:fill="FFFFFF"/>
        </w:rPr>
        <w:t xml:space="preserve">, </w:t>
      </w:r>
      <w:r w:rsidRPr="00C7022E">
        <w:rPr>
          <w:rFonts w:ascii="Verdana" w:hAnsi="Verdana" w:cs="Arial"/>
          <w:shd w:val="clear" w:color="auto" w:fill="FFFFFF"/>
        </w:rPr>
        <w:t xml:space="preserve">C-385 </w:t>
      </w:r>
      <w:r w:rsidRPr="00961D14">
        <w:rPr>
          <w:rFonts w:ascii="Verdana" w:hAnsi="Verdana" w:cs="Arial"/>
          <w:shd w:val="clear" w:color="auto" w:fill="FFFFFF"/>
          <w:lang w:val="es-MX"/>
        </w:rPr>
        <w:t>de mayo de 2025</w:t>
      </w:r>
      <w:r>
        <w:rPr>
          <w:rFonts w:ascii="Verdana" w:hAnsi="Verdana" w:cs="Arial"/>
          <w:shd w:val="clear" w:color="auto" w:fill="FFFFFF"/>
          <w:lang w:val="es-MX"/>
        </w:rPr>
        <w:t xml:space="preserve">. Así mismo, esta Subdirección se ha pronunciado sobre la contratación con entidades privadas sin ánimo de lucro en los conceptos </w:t>
      </w:r>
      <w:r w:rsidRPr="000C21C6">
        <w:rPr>
          <w:rFonts w:ascii="Verdana" w:eastAsia="Aptos" w:hAnsi="Verdana" w:cs="Arial"/>
          <w:shd w:val="clear" w:color="auto" w:fill="FFFFFF"/>
          <w:lang w:val="es-ES"/>
        </w:rPr>
        <w:t>4201912000008310 del 26 de diciembre de 2019, 4201912000007899 del 27 de diciembre de 2019, 4201912000007901 del 27 de diciembre de 2019, C-070 04 de marzo de 2020, C-094 del 04 de marzo de 2020, C-086 del 16 de marzo de 2020, C-594 del 7 de septiembre de 2020, C-670 del 22 de noviembre de 2020, C-689 del 1 de diciembre de 2020, C-724 de 14 de diciembre de 2020, C-364 de 26 de julio de 2021, C-379 de 20 de julio de 2021, C-537 del 27 de septiembre de 2021,  C-021 del 22 de febrero de 2022, C-236 del 27 de abril de 2022, C-273 del 6 de mayo de 2022, C-274 del 6 de mayo de 2022, C-291 del 18 de mayo de 2022, C-550 del 31 de agosto de 2022, C-560 del 7 de septiembre de 2022, C-853 del 9 de diciembre de 2022, C-351 del 6 de octubre de 2023, , C-064 del 24 de abril de 2024, C-080 del 7 de mayo de 2024, C-281 del 29 de octubre de 2024, C-957 del 17 de diciembre de 2024,</w:t>
      </w:r>
      <w:r w:rsidRPr="000C21C6">
        <w:rPr>
          <w:rFonts w:ascii="Verdana" w:eastAsia="Aptos" w:hAnsi="Verdana" w:cs="Arial"/>
          <w:b/>
          <w:bCs/>
          <w:shd w:val="clear" w:color="auto" w:fill="FFFFFF"/>
          <w:lang w:val="es-ES"/>
        </w:rPr>
        <w:t xml:space="preserve"> </w:t>
      </w:r>
      <w:r w:rsidRPr="000C21C6">
        <w:rPr>
          <w:rFonts w:ascii="Verdana" w:eastAsia="Aptos" w:hAnsi="Verdana" w:cs="Arial"/>
          <w:shd w:val="clear" w:color="auto" w:fill="FFFFFF"/>
          <w:lang w:val="es-ES"/>
        </w:rPr>
        <w:t>C-875 del 13 de agosto de 2025</w:t>
      </w:r>
      <w:r w:rsidRPr="00FA312E">
        <w:rPr>
          <w:rFonts w:ascii="Verdana" w:eastAsia="Aptos" w:hAnsi="Verdana" w:cs="Arial"/>
          <w:shd w:val="clear" w:color="auto" w:fill="FFFFFF"/>
          <w:lang w:val="es-ES"/>
        </w:rPr>
        <w:t xml:space="preserve">, </w:t>
      </w:r>
      <w:r w:rsidRPr="000C21C6">
        <w:rPr>
          <w:rFonts w:ascii="Verdana" w:eastAsia="Aptos" w:hAnsi="Verdana" w:cs="Arial"/>
          <w:shd w:val="clear" w:color="auto" w:fill="FFFFFF"/>
          <w:lang w:val="es-ES"/>
        </w:rPr>
        <w:t>C-1384 del 5 de noviembre de 2025</w:t>
      </w:r>
      <w:r w:rsidRPr="00FA312E">
        <w:rPr>
          <w:rFonts w:ascii="Verdana" w:eastAsia="Aptos" w:hAnsi="Verdana" w:cs="Arial"/>
          <w:shd w:val="clear" w:color="auto" w:fill="FFFFFF"/>
          <w:lang w:val="es-ES"/>
        </w:rPr>
        <w:t xml:space="preserve"> y </w:t>
      </w:r>
      <w:r w:rsidRPr="000C21C6">
        <w:rPr>
          <w:rFonts w:ascii="Verdana" w:eastAsia="Aptos" w:hAnsi="Verdana" w:cs="Arial"/>
          <w:shd w:val="clear" w:color="auto" w:fill="FFFFFF"/>
          <w:lang w:val="es-ES"/>
        </w:rPr>
        <w:t>C-1</w:t>
      </w:r>
      <w:r w:rsidRPr="00FA312E">
        <w:rPr>
          <w:rFonts w:ascii="Verdana" w:eastAsia="Aptos" w:hAnsi="Verdana" w:cs="Arial"/>
          <w:shd w:val="clear" w:color="auto" w:fill="FFFFFF"/>
          <w:lang w:val="es-ES"/>
        </w:rPr>
        <w:t>498</w:t>
      </w:r>
      <w:r w:rsidRPr="000C21C6">
        <w:rPr>
          <w:rFonts w:ascii="Verdana" w:eastAsia="Aptos" w:hAnsi="Verdana" w:cs="Arial"/>
          <w:shd w:val="clear" w:color="auto" w:fill="FFFFFF"/>
          <w:lang w:val="es-ES"/>
        </w:rPr>
        <w:t xml:space="preserve"> del </w:t>
      </w:r>
      <w:r w:rsidRPr="00FA312E">
        <w:rPr>
          <w:rFonts w:ascii="Verdana" w:eastAsia="Aptos" w:hAnsi="Verdana" w:cs="Arial"/>
          <w:shd w:val="clear" w:color="auto" w:fill="FFFFFF"/>
          <w:lang w:val="es-ES"/>
        </w:rPr>
        <w:t>26</w:t>
      </w:r>
      <w:r w:rsidRPr="000C21C6">
        <w:rPr>
          <w:rFonts w:ascii="Verdana" w:eastAsia="Aptos" w:hAnsi="Verdana" w:cs="Arial"/>
          <w:shd w:val="clear" w:color="auto" w:fill="FFFFFF"/>
          <w:lang w:val="es-ES"/>
        </w:rPr>
        <w:t xml:space="preserve"> de noviembre de 2025</w:t>
      </w:r>
      <w:r>
        <w:rPr>
          <w:rFonts w:ascii="Verdana" w:eastAsia="Aptos" w:hAnsi="Verdana" w:cs="Arial"/>
          <w:shd w:val="clear" w:color="auto" w:fill="FFFFFF"/>
          <w:lang w:val="es-ES"/>
        </w:rPr>
        <w:t>;</w:t>
      </w:r>
      <w:r w:rsidRPr="000C21C6">
        <w:rPr>
          <w:rFonts w:ascii="Verdana" w:eastAsia="Aptos" w:hAnsi="Verdana" w:cs="Arial"/>
          <w:shd w:val="clear" w:color="auto" w:fill="FFFFFF"/>
          <w:lang w:val="es-ES"/>
        </w:rPr>
        <w:t xml:space="preserve"> </w:t>
      </w:r>
      <w:r>
        <w:rPr>
          <w:rFonts w:ascii="Verdana" w:eastAsia="Aptos" w:hAnsi="Verdana" w:cs="Arial"/>
          <w:shd w:val="clear" w:color="auto" w:fill="FFFFFF"/>
        </w:rPr>
        <w:t>S</w:t>
      </w:r>
      <w:r w:rsidRPr="00176A0C">
        <w:rPr>
          <w:rFonts w:ascii="Verdana" w:eastAsia="Aptos" w:hAnsi="Verdana" w:cs="Arial"/>
          <w:shd w:val="clear" w:color="auto" w:fill="FFFFFF"/>
        </w:rPr>
        <w:t xml:space="preserve">obre la Ley de Garantías Electorales en los conceptos con radicado 4201913000006306 del 21 de octubre de 2019, 4201912000006552 del 07 de noviembre de 2019, 4201913000006604 del 17 de diciembre de 2019,  C-227 del 24 de mayo de 2021 y 396 del 13 de agosto de 2021, C-439 del 27 de agosto de 2021, C-456 del 3 de septiembre, C-481 del 9 de septiembre de 2021, C- 528 del 27 de septiembre de 2021, C-550 del 5 de octubre de 2021, C-523 del 10 de octubre de 2021, C-606 del 28 de octubre de 2021, C-614 del 2 de noviembre de 2021, C-636 del 16 de noviembre de 2021, C-681 del 7 de diciembre de 2021, C-686 del 21 de diciembre de 2021, C-697 del 3 de enero de 2022, C-180 del 21 de marzo de 2025, C-317 del 25 de abril de 2025, C-510 del 4 de junio de 2025, C -635 del 27 de junio de 2025, C–750 de 17 de julio 2025, C-868 del 12 de agosto de 2025, C-1124 del 18 de septiembre de 2025, C-1491 del 20 de noviembre de 2025, C- 1492 del </w:t>
      </w:r>
      <w:r w:rsidRPr="00176A0C">
        <w:rPr>
          <w:rFonts w:ascii="Verdana" w:eastAsia="Aptos" w:hAnsi="Verdana" w:cs="Times New Roman"/>
        </w:rPr>
        <w:t>21 de noviembre del 2025, C-1629, C-1646 del 17 de diciembre de 2025, C-1662 del 22 de diciembre de 2025</w:t>
      </w:r>
      <w:r w:rsidRPr="00176A0C">
        <w:rPr>
          <w:rFonts w:ascii="Verdana" w:eastAsia="Aptos" w:hAnsi="Verdana" w:cs="Arial"/>
          <w:shd w:val="clear" w:color="auto" w:fill="FFFFFF"/>
          <w:lang w:val="es-ES"/>
        </w:rPr>
        <w:t>, C-160 del 24 de febrero de 2026, C-108 del 4 de marzo de 2026, y C-177 del 16  de marzo de 2026</w:t>
      </w:r>
      <w:r w:rsidRPr="000C21C6">
        <w:rPr>
          <w:rFonts w:ascii="Verdana" w:eastAsia="Aptos" w:hAnsi="Verdana" w:cs="Arial"/>
          <w:shd w:val="clear" w:color="auto" w:fill="FFFFFF"/>
          <w:lang w:val="es-ES"/>
        </w:rPr>
        <w:t>entre otros</w:t>
      </w:r>
      <w:r w:rsidRPr="00464D09">
        <w:rPr>
          <w:rFonts w:ascii="Verdana" w:eastAsia="Calibri" w:hAnsi="Verdana" w:cs="Times New Roman"/>
        </w:rPr>
        <w:t xml:space="preserve"> Estos y otros conceptos se encuentran disponibles para consulta en el Sistema de Relatoría de la Agencia, en el cual también podrás encontrar jurisprudencia del Consejo de Estado, laudos arbitrales y la normativa de la contratación concordada con la doctrina de la Subdirección de Gestión </w:t>
      </w:r>
      <w:r w:rsidRPr="00464D09">
        <w:rPr>
          <w:rFonts w:ascii="Verdana" w:eastAsia="Calibri" w:hAnsi="Verdana" w:cs="Times New Roman"/>
        </w:rPr>
        <w:lastRenderedPageBreak/>
        <w:t>Contractual, accede a través del siguiente enlace:</w:t>
      </w:r>
      <w:hyperlink r:id="rId12" w:history="1">
        <w:r w:rsidRPr="00464D09">
          <w:rPr>
            <w:rStyle w:val="Hipervnculo"/>
            <w:rFonts w:ascii="Verdana" w:eastAsia="Calibri" w:hAnsi="Verdana" w:cs="Times New Roman"/>
            <w:color w:val="auto"/>
            <w:lang w:val="es-ES"/>
          </w:rPr>
          <w:t>https://relatoria.colombiacompra.gov.co/busqueda/conceptos</w:t>
        </w:r>
      </w:hyperlink>
      <w:r w:rsidRPr="00464D09">
        <w:rPr>
          <w:rFonts w:ascii="Verdana" w:eastAsia="Calibri" w:hAnsi="Verdana" w:cs="Times New Roman"/>
        </w:rPr>
        <w:t>.</w:t>
      </w:r>
    </w:p>
    <w:p w14:paraId="42B577BE" w14:textId="77777777" w:rsidR="00E334D4" w:rsidRPr="00464D09" w:rsidRDefault="00E334D4" w:rsidP="00E334D4">
      <w:pPr>
        <w:widowControl w:val="0"/>
        <w:autoSpaceDE w:val="0"/>
        <w:autoSpaceDN w:val="0"/>
        <w:spacing w:after="0" w:line="276" w:lineRule="auto"/>
        <w:jc w:val="both"/>
        <w:rPr>
          <w:rFonts w:ascii="Verdana" w:hAnsi="Verdana" w:cs="Arial"/>
          <w:shd w:val="clear" w:color="auto" w:fill="FFFFFF"/>
        </w:rPr>
      </w:pPr>
    </w:p>
    <w:p w14:paraId="46BF8A57" w14:textId="77777777" w:rsidR="00E334D4" w:rsidRPr="00464D09" w:rsidRDefault="00E334D4" w:rsidP="00E334D4">
      <w:pPr>
        <w:widowControl w:val="0"/>
        <w:autoSpaceDE w:val="0"/>
        <w:autoSpaceDN w:val="0"/>
        <w:spacing w:after="0" w:line="276" w:lineRule="auto"/>
        <w:jc w:val="both"/>
        <w:rPr>
          <w:rFonts w:ascii="Verdana" w:hAnsi="Verdana" w:cs="Arial"/>
          <w:shd w:val="clear" w:color="auto" w:fill="FFFFFF"/>
        </w:rPr>
      </w:pPr>
      <w:r w:rsidRPr="00464D09">
        <w:rPr>
          <w:rFonts w:ascii="Verdana" w:hAnsi="Verdana" w:cs="Arial"/>
          <w:shd w:val="clear" w:color="auto" w:fill="FFFFFF"/>
        </w:rPr>
        <w:t>Por último, lo invitamos a seguirnos en las redes sociales en las cuales se difunde información institucional:  </w:t>
      </w:r>
    </w:p>
    <w:p w14:paraId="3D2B0F09" w14:textId="77777777" w:rsidR="00E334D4" w:rsidRPr="00464D09" w:rsidRDefault="00E334D4" w:rsidP="00E334D4">
      <w:pPr>
        <w:widowControl w:val="0"/>
        <w:autoSpaceDE w:val="0"/>
        <w:autoSpaceDN w:val="0"/>
        <w:spacing w:after="0" w:line="276" w:lineRule="auto"/>
        <w:jc w:val="both"/>
        <w:rPr>
          <w:rFonts w:ascii="Verdana" w:hAnsi="Verdana" w:cs="Arial"/>
          <w:shd w:val="clear" w:color="auto" w:fill="FFFFFF"/>
        </w:rPr>
      </w:pPr>
    </w:p>
    <w:p w14:paraId="37ECA788" w14:textId="77777777" w:rsidR="00E334D4" w:rsidRPr="00464D09" w:rsidRDefault="00E334D4" w:rsidP="00E334D4">
      <w:pPr>
        <w:widowControl w:val="0"/>
        <w:autoSpaceDE w:val="0"/>
        <w:autoSpaceDN w:val="0"/>
        <w:spacing w:after="0" w:line="276" w:lineRule="auto"/>
        <w:jc w:val="both"/>
        <w:rPr>
          <w:rFonts w:ascii="Verdana" w:hAnsi="Verdana" w:cs="Arial"/>
          <w:u w:val="single"/>
          <w:shd w:val="clear" w:color="auto" w:fill="FFFFFF"/>
        </w:rPr>
      </w:pPr>
      <w:r w:rsidRPr="00464D09">
        <w:rPr>
          <w:rFonts w:ascii="Verdana" w:hAnsi="Verdana" w:cs="Arial"/>
          <w:shd w:val="clear" w:color="auto" w:fill="FFFFFF"/>
        </w:rPr>
        <w:t>Twitter: </w:t>
      </w:r>
      <w:r w:rsidRPr="00464D09">
        <w:rPr>
          <w:rFonts w:ascii="Verdana" w:hAnsi="Verdana" w:cs="Arial"/>
          <w:u w:val="single"/>
          <w:shd w:val="clear" w:color="auto" w:fill="FFFFFF"/>
        </w:rPr>
        <w:t>@colombiacompra</w:t>
      </w:r>
      <w:r w:rsidRPr="00464D09">
        <w:rPr>
          <w:rFonts w:ascii="Verdana" w:hAnsi="Verdana" w:cs="Arial"/>
          <w:shd w:val="clear" w:color="auto" w:fill="FFFFFF"/>
        </w:rPr>
        <w:t>  </w:t>
      </w:r>
    </w:p>
    <w:p w14:paraId="0CE3EF64" w14:textId="77777777" w:rsidR="00E334D4" w:rsidRPr="00464D09" w:rsidRDefault="00E334D4" w:rsidP="00E334D4">
      <w:pPr>
        <w:widowControl w:val="0"/>
        <w:autoSpaceDE w:val="0"/>
        <w:autoSpaceDN w:val="0"/>
        <w:spacing w:after="0" w:line="276" w:lineRule="auto"/>
        <w:jc w:val="both"/>
        <w:rPr>
          <w:rFonts w:ascii="Verdana" w:hAnsi="Verdana" w:cs="Arial"/>
          <w:shd w:val="clear" w:color="auto" w:fill="FFFFFF"/>
        </w:rPr>
      </w:pPr>
      <w:r w:rsidRPr="00464D09">
        <w:rPr>
          <w:rFonts w:ascii="Verdana" w:hAnsi="Verdana" w:cs="Arial"/>
          <w:shd w:val="clear" w:color="auto" w:fill="FFFFFF"/>
        </w:rPr>
        <w:t>Facebook: </w:t>
      </w:r>
      <w:r w:rsidRPr="00464D09">
        <w:rPr>
          <w:rFonts w:ascii="Verdana" w:hAnsi="Verdana" w:cs="Arial"/>
          <w:u w:val="single"/>
          <w:shd w:val="clear" w:color="auto" w:fill="FFFFFF"/>
        </w:rPr>
        <w:t>ColombiaCompraEficiente</w:t>
      </w:r>
      <w:r w:rsidRPr="00464D09">
        <w:rPr>
          <w:rFonts w:ascii="Verdana" w:hAnsi="Verdana" w:cs="Arial"/>
          <w:shd w:val="clear" w:color="auto" w:fill="FFFFFF"/>
        </w:rPr>
        <w:t> </w:t>
      </w:r>
    </w:p>
    <w:p w14:paraId="1F6380C8" w14:textId="77777777" w:rsidR="00E334D4" w:rsidRPr="00464D09" w:rsidRDefault="00E334D4" w:rsidP="00E334D4">
      <w:pPr>
        <w:widowControl w:val="0"/>
        <w:autoSpaceDE w:val="0"/>
        <w:autoSpaceDN w:val="0"/>
        <w:spacing w:after="0" w:line="276" w:lineRule="auto"/>
        <w:jc w:val="both"/>
        <w:rPr>
          <w:rFonts w:ascii="Verdana" w:hAnsi="Verdana" w:cs="Arial"/>
          <w:shd w:val="clear" w:color="auto" w:fill="FFFFFF"/>
        </w:rPr>
      </w:pPr>
      <w:r w:rsidRPr="00464D09">
        <w:rPr>
          <w:rFonts w:ascii="Verdana" w:hAnsi="Verdana" w:cs="Arial"/>
          <w:shd w:val="clear" w:color="auto" w:fill="FFFFFF"/>
        </w:rPr>
        <w:t>LinkedIn: Agencia Nacional de Contratación Pública - Colombia Compra Eficiente</w:t>
      </w:r>
    </w:p>
    <w:p w14:paraId="47504E00" w14:textId="77777777" w:rsidR="00E334D4" w:rsidRPr="00464D09" w:rsidRDefault="00E334D4" w:rsidP="00E334D4">
      <w:pPr>
        <w:widowControl w:val="0"/>
        <w:autoSpaceDE w:val="0"/>
        <w:autoSpaceDN w:val="0"/>
        <w:spacing w:after="0" w:line="276" w:lineRule="auto"/>
        <w:jc w:val="both"/>
        <w:rPr>
          <w:rFonts w:ascii="Verdana" w:hAnsi="Verdana" w:cs="Arial"/>
          <w:shd w:val="clear" w:color="auto" w:fill="FFFFFF"/>
        </w:rPr>
      </w:pPr>
      <w:r w:rsidRPr="00464D09">
        <w:rPr>
          <w:rFonts w:ascii="Verdana" w:hAnsi="Verdana" w:cs="Arial"/>
          <w:shd w:val="clear" w:color="auto" w:fill="FFFFFF"/>
        </w:rPr>
        <w:t>Instagram: </w:t>
      </w:r>
      <w:r w:rsidRPr="00464D09">
        <w:rPr>
          <w:rFonts w:ascii="Verdana" w:hAnsi="Verdana" w:cs="Arial"/>
          <w:u w:val="single"/>
          <w:shd w:val="clear" w:color="auto" w:fill="FFFFFF"/>
        </w:rPr>
        <w:t>@colombiacompraeficiente_cce</w:t>
      </w:r>
    </w:p>
    <w:p w14:paraId="6ECD2B91" w14:textId="77777777" w:rsidR="00E334D4" w:rsidRPr="00464D09" w:rsidRDefault="00E334D4" w:rsidP="00E334D4">
      <w:pPr>
        <w:widowControl w:val="0"/>
        <w:autoSpaceDE w:val="0"/>
        <w:autoSpaceDN w:val="0"/>
        <w:spacing w:after="0" w:line="276" w:lineRule="auto"/>
        <w:jc w:val="both"/>
        <w:rPr>
          <w:rFonts w:ascii="Verdana" w:hAnsi="Verdana" w:cs="Arial"/>
          <w:shd w:val="clear" w:color="auto" w:fill="FFFFFF"/>
        </w:rPr>
      </w:pPr>
    </w:p>
    <w:p w14:paraId="500D4426" w14:textId="77777777" w:rsidR="00E334D4" w:rsidRPr="00464D09" w:rsidRDefault="00E334D4" w:rsidP="00E334D4">
      <w:pPr>
        <w:spacing w:after="0" w:line="276" w:lineRule="auto"/>
        <w:jc w:val="both"/>
        <w:rPr>
          <w:rFonts w:ascii="Verdana" w:hAnsi="Verdana"/>
        </w:rPr>
      </w:pPr>
      <w:r w:rsidRPr="00464D09">
        <w:rPr>
          <w:rFonts w:ascii="Verdana" w:hAnsi="Verdana"/>
        </w:rPr>
        <w:t>Este concepto tiene el alcance previsto en el artículo 28 del Código de Procedimiento Administrativo y de lo Contencioso Administrativo y las expresiones utilizadas con mayúscula inicial deben ser entendidas con el significado que les otorga el artículo 2.2.1.1.1.3.1 del Decreto 1082 de 2015.</w:t>
      </w:r>
    </w:p>
    <w:p w14:paraId="27FC43FE" w14:textId="77777777" w:rsidR="00E334D4" w:rsidRDefault="00E334D4" w:rsidP="00E334D4">
      <w:pPr>
        <w:spacing w:after="0" w:line="276" w:lineRule="auto"/>
        <w:jc w:val="both"/>
        <w:rPr>
          <w:noProof/>
        </w:rPr>
      </w:pPr>
    </w:p>
    <w:p w14:paraId="13C9271E" w14:textId="77777777" w:rsidR="00E334D4" w:rsidRPr="00464D09" w:rsidRDefault="00E334D4" w:rsidP="00E334D4">
      <w:pPr>
        <w:spacing w:after="0" w:line="276" w:lineRule="auto"/>
        <w:jc w:val="both"/>
        <w:rPr>
          <w:rFonts w:ascii="Verdana" w:eastAsia="Calibri" w:hAnsi="Verdana" w:cs="Times New Roman"/>
        </w:rPr>
      </w:pPr>
    </w:p>
    <w:p w14:paraId="26EE5416" w14:textId="77777777" w:rsidR="00E334D4" w:rsidRDefault="00E334D4" w:rsidP="00E334D4">
      <w:pPr>
        <w:spacing w:after="0" w:line="276" w:lineRule="auto"/>
        <w:jc w:val="both"/>
        <w:rPr>
          <w:rFonts w:ascii="Verdana" w:eastAsia="Calibri" w:hAnsi="Verdana" w:cs="Times New Roman"/>
        </w:rPr>
      </w:pPr>
      <w:r w:rsidRPr="00464D09">
        <w:rPr>
          <w:rFonts w:ascii="Verdana" w:eastAsia="Calibri" w:hAnsi="Verdana" w:cs="Times New Roman"/>
        </w:rPr>
        <w:t>Atentamente,</w:t>
      </w:r>
    </w:p>
    <w:p w14:paraId="201C8D96" w14:textId="4A46453C" w:rsidR="00E334D4" w:rsidRPr="00464D09" w:rsidRDefault="000C6587" w:rsidP="00E334D4">
      <w:pPr>
        <w:spacing w:after="0" w:line="276" w:lineRule="auto"/>
        <w:jc w:val="center"/>
        <w:rPr>
          <w:rFonts w:ascii="Verdana" w:eastAsia="Calibri" w:hAnsi="Verdana" w:cs="Times New Roman"/>
        </w:rPr>
      </w:pPr>
      <w:r w:rsidRPr="002C3AD6">
        <w:rPr>
          <w:rFonts w:ascii="Century Gothic" w:hAnsi="Century Gothic"/>
          <w:noProof/>
        </w:rPr>
        <w:drawing>
          <wp:inline distT="0" distB="0" distL="0" distR="0" wp14:anchorId="04DAFD18" wp14:editId="602C4394">
            <wp:extent cx="3772426" cy="1400370"/>
            <wp:effectExtent l="0" t="0" r="0" b="9525"/>
            <wp:docPr id="1780277293"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0277293" name="Imagen 1" descr="Texto&#10;&#10;Descripción generada automáticamente"/>
                    <pic:cNvPicPr/>
                  </pic:nvPicPr>
                  <pic:blipFill>
                    <a:blip r:embed="rId13"/>
                    <a:stretch>
                      <a:fillRect/>
                    </a:stretch>
                  </pic:blipFill>
                  <pic:spPr>
                    <a:xfrm>
                      <a:off x="0" y="0"/>
                      <a:ext cx="3772426" cy="1400370"/>
                    </a:xfrm>
                    <a:prstGeom prst="rect">
                      <a:avLst/>
                    </a:prstGeom>
                  </pic:spPr>
                </pic:pic>
              </a:graphicData>
            </a:graphic>
          </wp:inline>
        </w:drawing>
      </w:r>
    </w:p>
    <w:tbl>
      <w:tblPr>
        <w:tblStyle w:val="Tablaconcuadrcula"/>
        <w:tblW w:w="65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3"/>
        <w:gridCol w:w="5628"/>
      </w:tblGrid>
      <w:tr w:rsidR="00E334D4" w:rsidRPr="00464D09" w14:paraId="3A52957C" w14:textId="77777777" w:rsidTr="00220A85">
        <w:trPr>
          <w:trHeight w:val="315"/>
        </w:trPr>
        <w:tc>
          <w:tcPr>
            <w:tcW w:w="893" w:type="dxa"/>
            <w:vAlign w:val="center"/>
            <w:hideMark/>
          </w:tcPr>
          <w:p w14:paraId="027072D0" w14:textId="77777777" w:rsidR="00E334D4" w:rsidRPr="00464D09" w:rsidRDefault="00E334D4" w:rsidP="00220A85">
            <w:pPr>
              <w:contextualSpacing/>
              <w:rPr>
                <w:rFonts w:ascii="Verdana" w:hAnsi="Verdana" w:cs="Arial"/>
                <w:sz w:val="16"/>
                <w:szCs w:val="16"/>
                <w:lang w:eastAsia="es-ES"/>
              </w:rPr>
            </w:pPr>
            <w:r w:rsidRPr="00464D09">
              <w:rPr>
                <w:rFonts w:ascii="Verdana" w:hAnsi="Verdana" w:cs="Arial"/>
                <w:sz w:val="16"/>
                <w:szCs w:val="16"/>
                <w:lang w:eastAsia="es-ES"/>
              </w:rPr>
              <w:t>Elaboró:</w:t>
            </w:r>
          </w:p>
        </w:tc>
        <w:tc>
          <w:tcPr>
            <w:tcW w:w="5628" w:type="dxa"/>
            <w:tcBorders>
              <w:top w:val="nil"/>
              <w:left w:val="nil"/>
              <w:bottom w:val="dotted" w:sz="4" w:space="0" w:color="7F7F7F" w:themeColor="text1" w:themeTint="80"/>
              <w:right w:val="nil"/>
            </w:tcBorders>
            <w:vAlign w:val="center"/>
            <w:hideMark/>
          </w:tcPr>
          <w:p w14:paraId="2EF13555" w14:textId="77777777" w:rsidR="00E334D4" w:rsidRPr="00464D09" w:rsidRDefault="00E334D4" w:rsidP="00220A85">
            <w:pPr>
              <w:contextualSpacing/>
              <w:rPr>
                <w:rFonts w:ascii="Verdana" w:hAnsi="Verdana"/>
                <w:sz w:val="16"/>
                <w:szCs w:val="16"/>
              </w:rPr>
            </w:pPr>
            <w:r>
              <w:rPr>
                <w:rFonts w:ascii="Verdana" w:hAnsi="Verdana"/>
                <w:sz w:val="16"/>
                <w:szCs w:val="16"/>
              </w:rPr>
              <w:t>Richard Andrés Montenegro Siefken</w:t>
            </w:r>
          </w:p>
          <w:p w14:paraId="7697D851" w14:textId="77777777" w:rsidR="00E334D4" w:rsidRPr="00464D09" w:rsidRDefault="00E334D4" w:rsidP="00220A85">
            <w:pPr>
              <w:contextualSpacing/>
              <w:rPr>
                <w:rFonts w:ascii="Verdana" w:eastAsia="Arial" w:hAnsi="Verdana" w:cs="Arial"/>
                <w:sz w:val="16"/>
                <w:szCs w:val="16"/>
              </w:rPr>
            </w:pPr>
            <w:r>
              <w:rPr>
                <w:rFonts w:ascii="Verdana" w:hAnsi="Verdana" w:cs="Arial"/>
                <w:sz w:val="16"/>
                <w:szCs w:val="16"/>
                <w:lang w:val="es-ES_tradnl"/>
              </w:rPr>
              <w:t xml:space="preserve">Contratista </w:t>
            </w:r>
            <w:r w:rsidRPr="00464D09">
              <w:rPr>
                <w:rFonts w:ascii="Verdana" w:hAnsi="Verdana" w:cs="Arial"/>
                <w:sz w:val="16"/>
                <w:szCs w:val="16"/>
                <w:lang w:val="es-ES_tradnl"/>
              </w:rPr>
              <w:t>de la Subdirección de Gestión Contractual</w:t>
            </w:r>
          </w:p>
        </w:tc>
      </w:tr>
      <w:tr w:rsidR="00E334D4" w:rsidRPr="00464D09" w14:paraId="3ACA7816" w14:textId="77777777" w:rsidTr="00220A85">
        <w:trPr>
          <w:trHeight w:val="330"/>
        </w:trPr>
        <w:tc>
          <w:tcPr>
            <w:tcW w:w="893" w:type="dxa"/>
            <w:vAlign w:val="center"/>
            <w:hideMark/>
          </w:tcPr>
          <w:p w14:paraId="0D3D8BD8" w14:textId="77777777" w:rsidR="00E334D4" w:rsidRPr="00464D09" w:rsidRDefault="00E334D4" w:rsidP="00220A85">
            <w:pPr>
              <w:contextualSpacing/>
              <w:rPr>
                <w:rFonts w:ascii="Verdana" w:hAnsi="Verdana" w:cs="Arial"/>
                <w:sz w:val="16"/>
                <w:szCs w:val="16"/>
                <w:lang w:eastAsia="es-ES"/>
              </w:rPr>
            </w:pPr>
            <w:r w:rsidRPr="00464D09">
              <w:rPr>
                <w:rFonts w:ascii="Verdana" w:hAnsi="Verdana" w:cs="Arial"/>
                <w:sz w:val="16"/>
                <w:szCs w:val="16"/>
                <w:lang w:eastAsia="es-ES"/>
              </w:rPr>
              <w:t>Revisó:</w:t>
            </w:r>
          </w:p>
        </w:tc>
        <w:tc>
          <w:tcPr>
            <w:tcW w:w="5628" w:type="dxa"/>
            <w:tcBorders>
              <w:top w:val="dotted" w:sz="4" w:space="0" w:color="7F7F7F" w:themeColor="text1" w:themeTint="80"/>
              <w:left w:val="nil"/>
              <w:bottom w:val="dotted" w:sz="4" w:space="0" w:color="7F7F7F" w:themeColor="text1" w:themeTint="80"/>
              <w:right w:val="nil"/>
            </w:tcBorders>
            <w:vAlign w:val="center"/>
            <w:hideMark/>
          </w:tcPr>
          <w:p w14:paraId="0D2A9020" w14:textId="77777777" w:rsidR="00E334D4" w:rsidRPr="00464D09" w:rsidRDefault="00E334D4" w:rsidP="00220A85">
            <w:pPr>
              <w:rPr>
                <w:rFonts w:ascii="Verdana" w:eastAsia="Aptos" w:hAnsi="Verdana" w:cs="Arial"/>
                <w:sz w:val="16"/>
                <w:szCs w:val="16"/>
                <w:lang w:eastAsia="es-ES"/>
              </w:rPr>
            </w:pPr>
            <w:r>
              <w:rPr>
                <w:rFonts w:ascii="Verdana" w:eastAsia="Aptos" w:hAnsi="Verdana" w:cs="Arial"/>
                <w:sz w:val="16"/>
                <w:szCs w:val="16"/>
                <w:lang w:eastAsia="es-ES"/>
              </w:rPr>
              <w:t>Adriana Katherine López</w:t>
            </w:r>
          </w:p>
          <w:p w14:paraId="34E7C702" w14:textId="77777777" w:rsidR="00E334D4" w:rsidRPr="00464D09" w:rsidRDefault="00E334D4" w:rsidP="00220A85">
            <w:pPr>
              <w:contextualSpacing/>
              <w:textAlignment w:val="baseline"/>
              <w:rPr>
                <w:rFonts w:ascii="Verdana" w:eastAsia="Times New Roman" w:hAnsi="Verdana" w:cs="Segoe UI"/>
                <w:sz w:val="16"/>
                <w:szCs w:val="16"/>
                <w:lang w:eastAsia="es-ES_tradnl"/>
              </w:rPr>
            </w:pPr>
            <w:r>
              <w:rPr>
                <w:rFonts w:ascii="Verdana" w:eastAsia="Aptos" w:hAnsi="Verdana" w:cs="Arial"/>
                <w:sz w:val="16"/>
                <w:szCs w:val="16"/>
                <w:lang w:eastAsia="es-ES"/>
              </w:rPr>
              <w:t>Contratista</w:t>
            </w:r>
            <w:r w:rsidRPr="00464D09">
              <w:rPr>
                <w:rFonts w:ascii="Verdana" w:eastAsia="Aptos" w:hAnsi="Verdana" w:cs="Arial"/>
                <w:sz w:val="16"/>
                <w:szCs w:val="16"/>
                <w:lang w:eastAsia="es-ES"/>
              </w:rPr>
              <w:t xml:space="preserve"> de la Subdirección de Gestión Contractual</w:t>
            </w:r>
          </w:p>
        </w:tc>
      </w:tr>
      <w:tr w:rsidR="00E334D4" w:rsidRPr="00464D09" w14:paraId="66958E41" w14:textId="77777777" w:rsidTr="00220A85">
        <w:trPr>
          <w:trHeight w:val="300"/>
        </w:trPr>
        <w:tc>
          <w:tcPr>
            <w:tcW w:w="893" w:type="dxa"/>
            <w:vAlign w:val="center"/>
          </w:tcPr>
          <w:p w14:paraId="046DAE1A" w14:textId="77777777" w:rsidR="00E334D4" w:rsidRPr="00464D09" w:rsidRDefault="00E334D4" w:rsidP="00220A85">
            <w:pPr>
              <w:contextualSpacing/>
              <w:rPr>
                <w:rFonts w:ascii="Verdana" w:hAnsi="Verdana" w:cs="Arial"/>
                <w:sz w:val="16"/>
                <w:szCs w:val="16"/>
                <w:lang w:eastAsia="es-ES"/>
              </w:rPr>
            </w:pPr>
            <w:r w:rsidRPr="00464D09">
              <w:rPr>
                <w:rFonts w:ascii="Verdana" w:hAnsi="Verdana" w:cs="Arial"/>
                <w:sz w:val="16"/>
                <w:szCs w:val="16"/>
                <w:lang w:eastAsia="es-ES"/>
              </w:rPr>
              <w:t>Aprobó:</w:t>
            </w:r>
          </w:p>
        </w:tc>
        <w:tc>
          <w:tcPr>
            <w:tcW w:w="5628" w:type="dxa"/>
            <w:tcBorders>
              <w:top w:val="dotted" w:sz="4" w:space="0" w:color="7F7F7F" w:themeColor="text1" w:themeTint="80"/>
              <w:left w:val="nil"/>
              <w:bottom w:val="dotted" w:sz="4" w:space="0" w:color="7F7F7F" w:themeColor="text1" w:themeTint="80"/>
              <w:right w:val="nil"/>
            </w:tcBorders>
            <w:vAlign w:val="center"/>
          </w:tcPr>
          <w:p w14:paraId="7EBCC135" w14:textId="77777777" w:rsidR="00E334D4" w:rsidRPr="00464D09" w:rsidRDefault="00E334D4" w:rsidP="00220A85">
            <w:pPr>
              <w:contextualSpacing/>
              <w:rPr>
                <w:rFonts w:ascii="Verdana" w:eastAsia="Calibri" w:hAnsi="Verdana" w:cs="Arial"/>
                <w:sz w:val="16"/>
                <w:szCs w:val="16"/>
                <w:lang w:eastAsia="es-ES"/>
              </w:rPr>
            </w:pPr>
            <w:r w:rsidRPr="00464D09">
              <w:rPr>
                <w:rFonts w:ascii="Verdana" w:eastAsia="Calibri" w:hAnsi="Verdana" w:cs="Arial"/>
                <w:sz w:val="16"/>
                <w:szCs w:val="16"/>
                <w:lang w:eastAsia="es-ES"/>
              </w:rPr>
              <w:t>Carolina Quintero Gacharná</w:t>
            </w:r>
          </w:p>
          <w:p w14:paraId="2A4CFD13" w14:textId="77777777" w:rsidR="00E334D4" w:rsidRPr="00464D09" w:rsidRDefault="00E334D4" w:rsidP="00220A85">
            <w:pPr>
              <w:contextualSpacing/>
              <w:rPr>
                <w:rFonts w:ascii="Verdana" w:eastAsia="Calibri" w:hAnsi="Verdana" w:cs="Arial"/>
                <w:sz w:val="16"/>
                <w:szCs w:val="16"/>
                <w:lang w:eastAsia="es-ES"/>
              </w:rPr>
            </w:pPr>
            <w:r w:rsidRPr="00464D09">
              <w:rPr>
                <w:rFonts w:ascii="Verdana" w:eastAsia="Calibri" w:hAnsi="Verdana" w:cs="Arial"/>
                <w:sz w:val="16"/>
                <w:szCs w:val="16"/>
                <w:lang w:eastAsia="es-ES"/>
              </w:rPr>
              <w:t>Subdirectora de Gestión Contractual ANCP – CCE</w:t>
            </w:r>
          </w:p>
        </w:tc>
      </w:tr>
    </w:tbl>
    <w:p w14:paraId="127F30FA" w14:textId="77777777" w:rsidR="00E334D4" w:rsidRPr="004F07B1" w:rsidRDefault="00E334D4" w:rsidP="00E334D4"/>
    <w:p w14:paraId="3486A6BC" w14:textId="77777777" w:rsidR="00E334D4" w:rsidRPr="000D62F3" w:rsidRDefault="00E334D4" w:rsidP="00E334D4"/>
    <w:p w14:paraId="0F293BF4" w14:textId="3C016D3A" w:rsidR="00127233" w:rsidRPr="006B2F28" w:rsidRDefault="00127233" w:rsidP="006B2F28"/>
    <w:sectPr w:rsidR="00127233" w:rsidRPr="006B2F28" w:rsidSect="007C0C0F">
      <w:headerReference w:type="default" r:id="rId14"/>
      <w:footerReference w:type="default" r:id="rId15"/>
      <w:pgSz w:w="12240" w:h="15840" w:code="1"/>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359983" w14:textId="77777777" w:rsidR="006F4B26" w:rsidRDefault="006F4B26" w:rsidP="004A1847">
      <w:pPr>
        <w:spacing w:after="0" w:line="240" w:lineRule="auto"/>
      </w:pPr>
      <w:r>
        <w:separator/>
      </w:r>
    </w:p>
  </w:endnote>
  <w:endnote w:type="continuationSeparator" w:id="0">
    <w:p w14:paraId="6635F21F" w14:textId="77777777" w:rsidR="006F4B26" w:rsidRDefault="006F4B26" w:rsidP="004A18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manist Light">
    <w:altName w:val="Calibri"/>
    <w:panose1 w:val="00000000000000000000"/>
    <w:charset w:val="00"/>
    <w:family w:val="modern"/>
    <w:notTrueType/>
    <w:pitch w:val="variable"/>
    <w:sig w:usb0="A000002F" w:usb1="1000004A" w:usb2="00000000" w:usb3="00000000" w:csb0="00000193" w:csb1="00000000"/>
  </w:font>
  <w:font w:name="Geomanist">
    <w:altName w:val="Calibri"/>
    <w:panose1 w:val="00000000000000000000"/>
    <w:charset w:val="00"/>
    <w:family w:val="modern"/>
    <w:notTrueType/>
    <w:pitch w:val="variable"/>
    <w:sig w:usb0="A000002F" w:usb1="1000004A" w:usb2="00000000" w:usb3="00000000" w:csb0="00000193" w:csb1="00000000"/>
  </w:font>
  <w:font w:name="Verdana">
    <w:panose1 w:val="020B0604030504040204"/>
    <w:charset w:val="00"/>
    <w:family w:val="swiss"/>
    <w:pitch w:val="variable"/>
    <w:sig w:usb0="A00006FF" w:usb1="4000205B" w:usb2="00000010" w:usb3="00000000" w:csb0="0000019F" w:csb1="00000000"/>
  </w:font>
  <w:font w:name="Arial MT">
    <w:altName w:val="Arial"/>
    <w:charset w:val="01"/>
    <w:family w:val="swiss"/>
    <w:pitch w:val="variable"/>
  </w:font>
  <w:font w:name="Century Gothic">
    <w:panose1 w:val="020B0502020202020204"/>
    <w:charset w:val="00"/>
    <w:family w:val="swiss"/>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Geomanist Bold">
    <w:altName w:val="Calibri"/>
    <w:panose1 w:val="00000000000000000000"/>
    <w:charset w:val="00"/>
    <w:family w:val="modern"/>
    <w:notTrueType/>
    <w:pitch w:val="variable"/>
    <w:sig w:usb0="A000002F" w:usb1="1000004A" w:usb2="00000000" w:usb3="00000000" w:csb0="00000193" w:csb1="00000000"/>
  </w:font>
  <w:font w:name="Geo">
    <w:altName w:val="Calibri"/>
    <w:charset w:val="00"/>
    <w:family w:val="auto"/>
    <w:pitch w:val="variable"/>
    <w:sig w:usb0="8000002F" w:usb1="40000048"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11A32" w14:textId="6CE791A4" w:rsidR="004A1847" w:rsidRDefault="004A1847">
    <w:pPr>
      <w:pStyle w:val="Piedepgina"/>
    </w:pPr>
  </w:p>
  <w:p w14:paraId="594D6D9F" w14:textId="77777777" w:rsidR="00D520D8" w:rsidRPr="00174B77" w:rsidRDefault="07C73DD1" w:rsidP="07C73DD1">
    <w:pPr>
      <w:pBdr>
        <w:top w:val="single" w:sz="4" w:space="1" w:color="000000"/>
      </w:pBdr>
      <w:spacing w:after="0"/>
      <w:rPr>
        <w:rFonts w:ascii="Verdana" w:eastAsia="Verdana" w:hAnsi="Verdana" w:cs="Verdana"/>
        <w:b/>
        <w:bCs/>
        <w:sz w:val="18"/>
        <w:szCs w:val="18"/>
      </w:rPr>
    </w:pPr>
    <w:r w:rsidRPr="07C73DD1">
      <w:rPr>
        <w:rFonts w:ascii="Verdana" w:eastAsia="Verdana" w:hAnsi="Verdana" w:cs="Verdana"/>
        <w:b/>
        <w:bCs/>
        <w:sz w:val="18"/>
        <w:szCs w:val="18"/>
      </w:rPr>
      <w:t xml:space="preserve">Agencia Nacional de Contratación Pública                                              </w:t>
    </w:r>
    <w:r w:rsidRPr="07C73DD1">
      <w:rPr>
        <w:rFonts w:ascii="Verdana" w:eastAsia="Verdana" w:hAnsi="Verdana" w:cs="Verdana"/>
        <w:b/>
        <w:bCs/>
        <w:sz w:val="18"/>
        <w:szCs w:val="18"/>
        <w:lang w:val="es-ES"/>
      </w:rPr>
      <w:t xml:space="preserve">pág. </w:t>
    </w:r>
    <w:r w:rsidR="00D520D8" w:rsidRPr="07C73DD1">
      <w:rPr>
        <w:rFonts w:ascii="Verdana" w:eastAsia="Verdana" w:hAnsi="Verdana" w:cs="Verdana"/>
        <w:b/>
        <w:bCs/>
        <w:sz w:val="18"/>
        <w:szCs w:val="18"/>
      </w:rPr>
      <w:fldChar w:fldCharType="begin"/>
    </w:r>
    <w:r w:rsidR="00D520D8" w:rsidRPr="07C73DD1">
      <w:rPr>
        <w:rFonts w:ascii="Verdana" w:hAnsi="Verdana"/>
        <w:b/>
        <w:bCs/>
        <w:sz w:val="16"/>
        <w:szCs w:val="16"/>
      </w:rPr>
      <w:instrText>PAGE    \* MERGEFORMAT</w:instrText>
    </w:r>
    <w:r w:rsidR="00D520D8" w:rsidRPr="07C73DD1">
      <w:rPr>
        <w:rFonts w:ascii="Verdana" w:eastAsiaTheme="minorEastAsia" w:hAnsi="Verdana"/>
        <w:b/>
        <w:bCs/>
        <w:sz w:val="16"/>
        <w:szCs w:val="16"/>
      </w:rPr>
      <w:fldChar w:fldCharType="separate"/>
    </w:r>
    <w:r w:rsidRPr="07C73DD1">
      <w:rPr>
        <w:rFonts w:ascii="Verdana" w:eastAsia="Verdana" w:hAnsi="Verdana" w:cs="Verdana"/>
        <w:b/>
        <w:bCs/>
        <w:sz w:val="18"/>
        <w:szCs w:val="18"/>
      </w:rPr>
      <w:t>1</w:t>
    </w:r>
    <w:r w:rsidR="00D520D8" w:rsidRPr="07C73DD1">
      <w:rPr>
        <w:rFonts w:ascii="Verdana" w:eastAsia="Verdana" w:hAnsi="Verdana" w:cs="Verdana"/>
        <w:b/>
        <w:bCs/>
        <w:sz w:val="18"/>
        <w:szCs w:val="18"/>
      </w:rPr>
      <w:fldChar w:fldCharType="end"/>
    </w:r>
    <w:r w:rsidRPr="07C73DD1">
      <w:rPr>
        <w:rFonts w:ascii="Verdana" w:eastAsia="Verdana" w:hAnsi="Verdana" w:cs="Verdana"/>
        <w:b/>
        <w:bCs/>
        <w:sz w:val="18"/>
        <w:szCs w:val="18"/>
      </w:rPr>
      <w:t xml:space="preserve">              Colombia Compra Eficiente         </w:t>
    </w:r>
    <w:r w:rsidRPr="07C73DD1">
      <w:rPr>
        <w:rFonts w:ascii="Verdana" w:eastAsia="Verdana" w:hAnsi="Verdana" w:cs="Verdana"/>
        <w:b/>
        <w:bCs/>
        <w:sz w:val="18"/>
        <w:szCs w:val="18"/>
        <w:lang w:val="es-ES"/>
      </w:rPr>
      <w:t xml:space="preserve"> </w:t>
    </w:r>
    <w:r w:rsidRPr="07C73DD1">
      <w:rPr>
        <w:rFonts w:ascii="Verdana" w:eastAsia="Verdana" w:hAnsi="Verdana" w:cs="Verdana"/>
        <w:b/>
        <w:bCs/>
        <w:sz w:val="18"/>
        <w:szCs w:val="18"/>
      </w:rPr>
      <w:t xml:space="preserve">                                                  </w:t>
    </w:r>
  </w:p>
  <w:p w14:paraId="0A735DD5" w14:textId="77777777" w:rsidR="00D520D8"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Dirección: Carrera 7 # 26 – 20 - Bogotá, Colombia</w:t>
    </w:r>
  </w:p>
  <w:p w14:paraId="06E36B88" w14:textId="77777777" w:rsidR="00D520D8" w:rsidRPr="00E41027"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Mesa de servicio: (+57) 601 7456788</w:t>
    </w:r>
  </w:p>
  <w:p w14:paraId="744661F5" w14:textId="22B9E88F" w:rsidR="006219F8" w:rsidRPr="006B2F28" w:rsidRDefault="07C73DD1" w:rsidP="07C73DD1">
    <w:pPr>
      <w:pBdr>
        <w:top w:val="nil"/>
        <w:left w:val="nil"/>
        <w:bottom w:val="nil"/>
        <w:right w:val="nil"/>
        <w:between w:val="nil"/>
      </w:pBdr>
      <w:tabs>
        <w:tab w:val="center" w:pos="4419"/>
        <w:tab w:val="right" w:pos="8838"/>
        <w:tab w:val="center" w:pos="5400"/>
      </w:tabs>
      <w:spacing w:after="0"/>
      <w:jc w:val="right"/>
      <w:rPr>
        <w:rFonts w:ascii="Verdana" w:eastAsia="Verdana" w:hAnsi="Verdana" w:cs="Verdana"/>
        <w:sz w:val="18"/>
        <w:szCs w:val="18"/>
        <w:lang w:val="pt-PT" w:eastAsia="es-CO"/>
      </w:rPr>
    </w:pPr>
    <w:r w:rsidRPr="006B2F28">
      <w:rPr>
        <w:rFonts w:ascii="Verdana" w:eastAsia="Verdana" w:hAnsi="Verdana" w:cs="Verdana"/>
        <w:b/>
        <w:bCs/>
        <w:color w:val="000000" w:themeColor="text1"/>
        <w:sz w:val="18"/>
        <w:szCs w:val="18"/>
        <w:lang w:val="pt-PT" w:eastAsia="es-CO"/>
      </w:rPr>
      <w:t xml:space="preserve">Código: </w:t>
    </w:r>
    <w:r w:rsidRPr="006B2F28">
      <w:rPr>
        <w:rFonts w:ascii="Verdana" w:eastAsia="Verdana" w:hAnsi="Verdana" w:cs="Verdana"/>
        <w:color w:val="000000" w:themeColor="text1"/>
        <w:sz w:val="18"/>
        <w:szCs w:val="18"/>
        <w:lang w:val="pt-PT" w:eastAsia="es-CO"/>
      </w:rPr>
      <w:t xml:space="preserve">CCE-REC-FM-17 </w:t>
    </w:r>
    <w:r w:rsidRPr="006B2F28">
      <w:rPr>
        <w:rFonts w:ascii="Verdana" w:eastAsia="Verdana" w:hAnsi="Verdana" w:cs="Verdana"/>
        <w:b/>
        <w:bCs/>
        <w:color w:val="000000" w:themeColor="text1"/>
        <w:sz w:val="18"/>
        <w:szCs w:val="18"/>
        <w:lang w:val="pt-PT" w:eastAsia="es-CO"/>
      </w:rPr>
      <w:t xml:space="preserve">V: </w:t>
    </w:r>
    <w:r w:rsidRPr="006B2F28">
      <w:rPr>
        <w:rFonts w:ascii="Verdana" w:eastAsia="Verdana" w:hAnsi="Verdana" w:cs="Verdana"/>
        <w:sz w:val="18"/>
        <w:szCs w:val="18"/>
        <w:lang w:val="pt-PT" w:eastAsia="es-CO"/>
      </w:rPr>
      <w:t>03 Fecha: 21-10-2025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C5E843" w14:textId="77777777" w:rsidR="006F4B26" w:rsidRDefault="006F4B26" w:rsidP="004A1847">
      <w:pPr>
        <w:spacing w:after="0" w:line="240" w:lineRule="auto"/>
      </w:pPr>
      <w:r>
        <w:separator/>
      </w:r>
    </w:p>
  </w:footnote>
  <w:footnote w:type="continuationSeparator" w:id="0">
    <w:p w14:paraId="55F611BC" w14:textId="77777777" w:rsidR="006F4B26" w:rsidRDefault="006F4B26" w:rsidP="004A1847">
      <w:pPr>
        <w:spacing w:after="0" w:line="240" w:lineRule="auto"/>
      </w:pPr>
      <w:r>
        <w:continuationSeparator/>
      </w:r>
    </w:p>
  </w:footnote>
  <w:footnote w:id="1">
    <w:p w14:paraId="6579A0BE" w14:textId="77777777" w:rsidR="00E334D4" w:rsidRDefault="00E334D4" w:rsidP="00E334D4">
      <w:pPr>
        <w:pStyle w:val="Textonotapie"/>
        <w:ind w:firstLine="709"/>
        <w:jc w:val="both"/>
        <w:rPr>
          <w:rFonts w:ascii="Verdana" w:hAnsi="Verdana" w:cs="Arial"/>
          <w:sz w:val="16"/>
          <w:szCs w:val="16"/>
          <w:lang w:val="es-ES"/>
        </w:rPr>
      </w:pPr>
      <w:r w:rsidRPr="008F1E8B">
        <w:rPr>
          <w:rStyle w:val="Refdenotaalpie"/>
          <w:rFonts w:ascii="Verdana" w:hAnsi="Verdana" w:cs="Arial"/>
          <w:sz w:val="16"/>
          <w:szCs w:val="16"/>
        </w:rPr>
        <w:footnoteRef/>
      </w:r>
      <w:r w:rsidRPr="008F1E8B">
        <w:rPr>
          <w:rFonts w:ascii="Verdana" w:hAnsi="Verdana" w:cs="Arial"/>
          <w:sz w:val="16"/>
          <w:szCs w:val="16"/>
        </w:rPr>
        <w:t xml:space="preserve"> </w:t>
      </w:r>
      <w:r w:rsidRPr="008F1E8B">
        <w:rPr>
          <w:rFonts w:ascii="Verdana" w:hAnsi="Verdana" w:cs="Arial"/>
          <w:sz w:val="16"/>
          <w:szCs w:val="16"/>
          <w:lang w:val="es-ES"/>
        </w:rPr>
        <w:t>El artículo 22 del Código Sustantivo del Trabajo establece: «1. Contrato de trabajo es aquel por el cual una persona natural se obliga a prestar un servicio personal a otra persona, natural o jurídica, bajo la continuada dependencia o subordinación de la segunda y mediante remuneración. 2. Quien presta el servicio se denomina trabajador, quien lo recibe y remunera, empleador, y la remuneración, cualquiera que sea su forma, salario».</w:t>
      </w:r>
    </w:p>
    <w:p w14:paraId="06188200" w14:textId="77777777" w:rsidR="00E334D4" w:rsidRPr="008F1E8B" w:rsidRDefault="00E334D4" w:rsidP="00E334D4">
      <w:pPr>
        <w:pStyle w:val="Textonotapie"/>
        <w:ind w:firstLine="709"/>
        <w:jc w:val="both"/>
        <w:rPr>
          <w:rFonts w:ascii="Verdana" w:hAnsi="Verdana" w:cs="Arial"/>
          <w:sz w:val="16"/>
          <w:szCs w:val="16"/>
          <w:lang w:val="es-ES"/>
        </w:rPr>
      </w:pPr>
    </w:p>
  </w:footnote>
  <w:footnote w:id="2">
    <w:p w14:paraId="753FFFD5" w14:textId="77777777" w:rsidR="00E334D4" w:rsidRPr="008F1E8B" w:rsidRDefault="00E334D4" w:rsidP="00E334D4">
      <w:pPr>
        <w:pStyle w:val="Textonotapie"/>
        <w:ind w:firstLine="709"/>
        <w:jc w:val="both"/>
        <w:rPr>
          <w:rFonts w:ascii="Verdana" w:hAnsi="Verdana" w:cs="Arial"/>
          <w:sz w:val="16"/>
          <w:szCs w:val="16"/>
          <w:lang w:val="es-ES"/>
        </w:rPr>
      </w:pPr>
      <w:r w:rsidRPr="008F1E8B">
        <w:rPr>
          <w:rStyle w:val="Refdenotaalpie"/>
          <w:rFonts w:ascii="Verdana" w:hAnsi="Verdana" w:cs="Arial"/>
          <w:sz w:val="16"/>
          <w:szCs w:val="16"/>
        </w:rPr>
        <w:footnoteRef/>
      </w:r>
      <w:r w:rsidRPr="008F1E8B">
        <w:rPr>
          <w:rFonts w:ascii="Verdana" w:hAnsi="Verdana" w:cs="Arial"/>
          <w:sz w:val="16"/>
          <w:szCs w:val="16"/>
        </w:rPr>
        <w:t xml:space="preserve"> </w:t>
      </w:r>
      <w:r w:rsidRPr="008F1E8B">
        <w:rPr>
          <w:rFonts w:ascii="Verdana" w:hAnsi="Verdana" w:cs="Arial"/>
          <w:sz w:val="16"/>
          <w:szCs w:val="16"/>
          <w:lang w:val="es-ES"/>
        </w:rPr>
        <w:t>En efecto, el artículo 244 de la Ley 1955 de 2015 dispone, en lo pertinente: «Los trabajadores independientes con ingresos netos iguales o superiores a 1 salario mínimo legal mensual vigente que celebren contratos de prestación de servicios personales, cotizarán mes vencido al Sistema de Seguridad Social Integral, sobre una base mínima del 40% del valor mensualizado del contrato, sin incluir el valor del Impuesto al Valor Agregado (IVA).</w:t>
      </w:r>
    </w:p>
    <w:p w14:paraId="3346734F" w14:textId="77777777" w:rsidR="00E334D4" w:rsidRPr="008F1E8B" w:rsidRDefault="00E334D4" w:rsidP="00E334D4">
      <w:pPr>
        <w:pStyle w:val="Textonotapie"/>
        <w:ind w:firstLine="709"/>
        <w:jc w:val="both"/>
        <w:rPr>
          <w:rFonts w:ascii="Verdana" w:hAnsi="Verdana" w:cs="Arial"/>
          <w:sz w:val="16"/>
          <w:szCs w:val="16"/>
          <w:lang w:val="es-ES"/>
        </w:rPr>
      </w:pPr>
      <w:r w:rsidRPr="008F1E8B">
        <w:rPr>
          <w:rFonts w:ascii="Verdana" w:hAnsi="Verdana" w:cs="Arial"/>
          <w:sz w:val="16"/>
          <w:szCs w:val="16"/>
          <w:lang w:val="es-ES"/>
        </w:rPr>
        <w:t>Los independientes por cuenta propia y los trabajadores independientes con contratos diferentes a prestación de servicios personales con ingresos netos iguales o superiores a un (1) salario mínimo legal mensual vigente efectuarán su cotización mes vencido, sobre una base mínima de cotización del 40% del valor mensualizado de los ingresos, sin incluir el valor del Impuesto al Valor Agregado (IVA). En estos casos será procedente la imputación de costos y deducciones siempre que se cumplan los criterios determinados en el artículo 107 del Estatuto Tributario y sin exceder los valores incluidos en la declaración de renta de la respectiva vigencia.</w:t>
      </w:r>
    </w:p>
    <w:p w14:paraId="30C26AF4" w14:textId="77777777" w:rsidR="00E334D4" w:rsidRDefault="00E334D4" w:rsidP="00E334D4">
      <w:pPr>
        <w:pStyle w:val="Textonotapie"/>
        <w:ind w:firstLine="709"/>
        <w:jc w:val="both"/>
        <w:rPr>
          <w:rFonts w:ascii="Verdana" w:hAnsi="Verdana" w:cs="Arial"/>
          <w:sz w:val="16"/>
          <w:szCs w:val="16"/>
          <w:lang w:val="es-ES"/>
        </w:rPr>
      </w:pPr>
      <w:r w:rsidRPr="008F1E8B">
        <w:rPr>
          <w:rFonts w:ascii="Verdana" w:hAnsi="Verdana" w:cs="Arial"/>
          <w:sz w:val="16"/>
          <w:szCs w:val="16"/>
          <w:lang w:val="es-ES"/>
        </w:rPr>
        <w:t>El Gobierno nacional reglamentará el mecanismo para realizar la mensualización de que trata el presente artículo.</w:t>
      </w:r>
    </w:p>
    <w:p w14:paraId="2D8DD088" w14:textId="77777777" w:rsidR="00E334D4" w:rsidRPr="004D3BDD" w:rsidRDefault="00E334D4" w:rsidP="00E334D4">
      <w:pPr>
        <w:pStyle w:val="Textonotapie"/>
        <w:ind w:firstLine="709"/>
        <w:jc w:val="both"/>
        <w:rPr>
          <w:rFonts w:ascii="Verdana" w:hAnsi="Verdana" w:cs="Arial"/>
          <w:sz w:val="16"/>
          <w:szCs w:val="16"/>
          <w:lang w:val="pt-PT"/>
        </w:rPr>
      </w:pPr>
      <w:r>
        <w:rPr>
          <w:rFonts w:ascii="Verdana" w:hAnsi="Verdana" w:cs="Arial"/>
          <w:sz w:val="16"/>
          <w:szCs w:val="16"/>
          <w:lang w:val="es-ES"/>
        </w:rPr>
        <w:t xml:space="preserve"> </w:t>
      </w:r>
      <w:r w:rsidRPr="008F1E8B">
        <w:rPr>
          <w:rFonts w:ascii="Verdana" w:hAnsi="Verdana" w:cs="Arial"/>
          <w:sz w:val="16"/>
          <w:szCs w:val="16"/>
          <w:lang w:val="pt-BR"/>
        </w:rPr>
        <w:t>[…]».</w:t>
      </w:r>
    </w:p>
    <w:p w14:paraId="3485CC98" w14:textId="77777777" w:rsidR="00E334D4" w:rsidRPr="008F1E8B" w:rsidRDefault="00E334D4" w:rsidP="00E334D4">
      <w:pPr>
        <w:pStyle w:val="Textonotapie"/>
        <w:jc w:val="both"/>
        <w:rPr>
          <w:rFonts w:ascii="Verdana" w:hAnsi="Verdana" w:cs="Arial"/>
          <w:sz w:val="16"/>
          <w:szCs w:val="16"/>
          <w:lang w:val="pt-BR"/>
        </w:rPr>
      </w:pPr>
    </w:p>
  </w:footnote>
  <w:footnote w:id="3">
    <w:p w14:paraId="0C06BF3C" w14:textId="77777777" w:rsidR="00E334D4" w:rsidRPr="008F1E8B" w:rsidRDefault="00E334D4" w:rsidP="00E334D4">
      <w:pPr>
        <w:pStyle w:val="Textonotapie"/>
        <w:ind w:firstLine="709"/>
        <w:jc w:val="both"/>
        <w:rPr>
          <w:rFonts w:ascii="Verdana" w:hAnsi="Verdana" w:cs="Arial"/>
          <w:sz w:val="16"/>
          <w:szCs w:val="16"/>
          <w:lang w:val="es-ES"/>
        </w:rPr>
      </w:pPr>
      <w:r w:rsidRPr="008F1E8B">
        <w:rPr>
          <w:rStyle w:val="Refdenotaalpie"/>
          <w:rFonts w:ascii="Verdana" w:hAnsi="Verdana" w:cs="Arial"/>
          <w:sz w:val="16"/>
          <w:szCs w:val="16"/>
        </w:rPr>
        <w:footnoteRef/>
      </w:r>
      <w:r w:rsidRPr="008F1E8B">
        <w:rPr>
          <w:rFonts w:ascii="Verdana" w:hAnsi="Verdana" w:cs="Arial"/>
          <w:sz w:val="16"/>
          <w:szCs w:val="16"/>
          <w:lang w:val="pt-BR"/>
        </w:rPr>
        <w:t xml:space="preserve"> Corte Constitucional. Sentencia C-154 de 1997. </w:t>
      </w:r>
      <w:r w:rsidRPr="008F1E8B">
        <w:rPr>
          <w:rFonts w:ascii="Verdana" w:hAnsi="Verdana" w:cs="Arial"/>
          <w:sz w:val="16"/>
          <w:szCs w:val="16"/>
          <w:lang w:val="es-ES"/>
        </w:rPr>
        <w:t>MP: Hernando Herrera Vergara</w:t>
      </w:r>
    </w:p>
  </w:footnote>
  <w:footnote w:id="4">
    <w:p w14:paraId="79E3165E" w14:textId="77777777" w:rsidR="00E334D4" w:rsidRDefault="00E334D4" w:rsidP="00E334D4">
      <w:pPr>
        <w:pStyle w:val="Textonotapie"/>
        <w:ind w:firstLine="709"/>
        <w:jc w:val="both"/>
        <w:rPr>
          <w:rFonts w:ascii="Verdana" w:hAnsi="Verdana" w:cs="Arial"/>
          <w:sz w:val="16"/>
          <w:szCs w:val="16"/>
          <w:lang w:val="es-ES"/>
        </w:rPr>
      </w:pPr>
      <w:r w:rsidRPr="008F1E8B">
        <w:rPr>
          <w:rStyle w:val="Refdenotaalpie"/>
          <w:rFonts w:ascii="Verdana" w:hAnsi="Verdana" w:cs="Arial"/>
          <w:sz w:val="16"/>
          <w:szCs w:val="16"/>
        </w:rPr>
        <w:footnoteRef/>
      </w:r>
      <w:r w:rsidRPr="008F1E8B">
        <w:rPr>
          <w:rFonts w:ascii="Verdana" w:hAnsi="Verdana" w:cs="Arial"/>
          <w:sz w:val="16"/>
          <w:szCs w:val="16"/>
        </w:rPr>
        <w:t xml:space="preserve"> </w:t>
      </w:r>
      <w:r w:rsidRPr="008F1E8B">
        <w:rPr>
          <w:rFonts w:ascii="Verdana" w:hAnsi="Verdana" w:cs="Arial"/>
          <w:sz w:val="16"/>
          <w:szCs w:val="16"/>
          <w:lang w:val="es-ES"/>
        </w:rPr>
        <w:t>Ibíd.</w:t>
      </w:r>
    </w:p>
    <w:p w14:paraId="17DE0F7C" w14:textId="77777777" w:rsidR="00E334D4" w:rsidRPr="002C4017" w:rsidRDefault="00E334D4" w:rsidP="00E334D4">
      <w:pPr>
        <w:pStyle w:val="Textonotapie"/>
        <w:ind w:firstLine="709"/>
        <w:jc w:val="both"/>
        <w:rPr>
          <w:rFonts w:ascii="Verdana" w:hAnsi="Verdana" w:cs="Arial"/>
          <w:sz w:val="16"/>
          <w:szCs w:val="16"/>
          <w:lang w:val="es-ES"/>
        </w:rPr>
      </w:pPr>
    </w:p>
  </w:footnote>
  <w:footnote w:id="5">
    <w:p w14:paraId="3D04BAEC" w14:textId="77777777" w:rsidR="00E334D4" w:rsidRDefault="00E334D4" w:rsidP="00E334D4">
      <w:pPr>
        <w:pStyle w:val="Textonotapie"/>
        <w:ind w:firstLine="708"/>
        <w:jc w:val="both"/>
        <w:rPr>
          <w:rFonts w:ascii="Verdana" w:hAnsi="Verdana" w:cs="Arial"/>
          <w:sz w:val="16"/>
          <w:szCs w:val="16"/>
          <w:lang w:val="es-ES"/>
        </w:rPr>
      </w:pPr>
      <w:r w:rsidRPr="008F1E8B">
        <w:rPr>
          <w:rStyle w:val="Refdenotaalpie"/>
          <w:rFonts w:ascii="Verdana" w:hAnsi="Verdana" w:cs="Arial"/>
          <w:sz w:val="16"/>
          <w:szCs w:val="16"/>
        </w:rPr>
        <w:footnoteRef/>
      </w:r>
      <w:r w:rsidRPr="008F1E8B">
        <w:rPr>
          <w:rFonts w:ascii="Verdana" w:hAnsi="Verdana" w:cs="Arial"/>
          <w:sz w:val="16"/>
          <w:szCs w:val="16"/>
        </w:rPr>
        <w:t xml:space="preserve"> </w:t>
      </w:r>
      <w:r w:rsidRPr="008F1E8B">
        <w:rPr>
          <w:rFonts w:ascii="Verdana" w:hAnsi="Verdana" w:cs="Arial"/>
          <w:sz w:val="16"/>
          <w:szCs w:val="16"/>
          <w:lang w:val="es-ES"/>
        </w:rPr>
        <w:t>Ibíd. En efecto, el numeral 2º del artículo 32 de la Ley 80 de 1993 define el contrato de consultoría así: «Son contratos de consultoría los que celebren las entidades estatales referidos a los estudios necesarios para la ejecución de proyectos de inversión, estudios de diagnóstico, prefactibilidad o factibilidad para programas o proyectos específicos, así como a las asesorías técnicas de coordinación, control y supervisión.</w:t>
      </w:r>
    </w:p>
    <w:p w14:paraId="7983D662" w14:textId="77777777" w:rsidR="00E334D4" w:rsidRPr="008F1E8B" w:rsidRDefault="00E334D4" w:rsidP="00E334D4">
      <w:pPr>
        <w:pStyle w:val="Textonotapie"/>
        <w:ind w:firstLine="708"/>
        <w:jc w:val="both"/>
        <w:rPr>
          <w:rFonts w:ascii="Verdana" w:hAnsi="Verdana" w:cs="Arial"/>
          <w:sz w:val="16"/>
          <w:szCs w:val="16"/>
          <w:lang w:val="es-ES"/>
        </w:rPr>
      </w:pPr>
    </w:p>
    <w:p w14:paraId="51C467F5" w14:textId="77777777" w:rsidR="00E334D4" w:rsidRDefault="00E334D4" w:rsidP="00E334D4">
      <w:pPr>
        <w:pStyle w:val="Textonotapie"/>
        <w:ind w:firstLine="709"/>
        <w:jc w:val="both"/>
        <w:rPr>
          <w:rFonts w:ascii="Verdana" w:hAnsi="Verdana" w:cs="Arial"/>
          <w:sz w:val="16"/>
          <w:szCs w:val="16"/>
          <w:lang w:val="es-ES"/>
        </w:rPr>
      </w:pPr>
      <w:r w:rsidRPr="008F1E8B">
        <w:rPr>
          <w:rFonts w:ascii="Verdana" w:hAnsi="Verdana" w:cs="Arial"/>
          <w:sz w:val="16"/>
          <w:szCs w:val="16"/>
          <w:lang w:val="es-ES"/>
        </w:rPr>
        <w:t>»Son también contratos de consultoría los que tienen por objeto la interventoría, asesoría, gerencia de obra o de proyectos, dirección, programación y la ejecución de diseños, planos, anteproyectos y proyectos.</w:t>
      </w:r>
    </w:p>
    <w:p w14:paraId="76D513AB" w14:textId="77777777" w:rsidR="00E334D4" w:rsidRDefault="00E334D4" w:rsidP="00E334D4">
      <w:pPr>
        <w:pStyle w:val="Textonotapie"/>
        <w:jc w:val="both"/>
        <w:rPr>
          <w:rFonts w:ascii="Verdana" w:hAnsi="Verdana" w:cs="Arial"/>
          <w:sz w:val="16"/>
          <w:szCs w:val="16"/>
          <w:lang w:val="es-ES"/>
        </w:rPr>
      </w:pPr>
      <w:r w:rsidRPr="008F1E8B">
        <w:rPr>
          <w:rFonts w:ascii="Verdana" w:hAnsi="Verdana" w:cs="Arial"/>
          <w:sz w:val="16"/>
          <w:szCs w:val="16"/>
          <w:lang w:val="es-ES"/>
        </w:rPr>
        <w:t>»Ninguna orden del interventor de una obra podrá darse verbalmente. Es obligatorio para el interventor entregar por escrito sus órdenes o sugerencias y ellas deben enmarcarse dentro de los términos del respectivo contrato».</w:t>
      </w:r>
    </w:p>
    <w:p w14:paraId="67607603" w14:textId="77777777" w:rsidR="00E334D4" w:rsidRPr="008F1E8B" w:rsidRDefault="00E334D4" w:rsidP="00E334D4">
      <w:pPr>
        <w:pStyle w:val="Textonotapie"/>
        <w:jc w:val="both"/>
        <w:rPr>
          <w:rFonts w:ascii="Verdana" w:hAnsi="Verdana" w:cs="Arial"/>
          <w:sz w:val="16"/>
          <w:szCs w:val="16"/>
          <w:lang w:val="es-ES"/>
        </w:rPr>
      </w:pPr>
    </w:p>
  </w:footnote>
  <w:footnote w:id="6">
    <w:p w14:paraId="7A9C4AB2" w14:textId="77777777" w:rsidR="00E334D4" w:rsidRDefault="00E334D4" w:rsidP="00E334D4">
      <w:pPr>
        <w:pStyle w:val="Textonotapie"/>
        <w:ind w:firstLine="708"/>
        <w:jc w:val="both"/>
        <w:rPr>
          <w:rFonts w:ascii="Verdana" w:hAnsi="Verdana" w:cs="Arial"/>
          <w:sz w:val="16"/>
          <w:szCs w:val="16"/>
          <w:lang w:val="es-ES"/>
        </w:rPr>
      </w:pPr>
      <w:r w:rsidRPr="008F1E8B">
        <w:rPr>
          <w:rStyle w:val="Refdenotaalpie"/>
          <w:rFonts w:ascii="Verdana" w:hAnsi="Verdana" w:cs="Arial"/>
          <w:sz w:val="16"/>
          <w:szCs w:val="16"/>
        </w:rPr>
        <w:footnoteRef/>
      </w:r>
      <w:r w:rsidRPr="008F1E8B">
        <w:rPr>
          <w:rFonts w:ascii="Verdana" w:hAnsi="Verdana" w:cs="Arial"/>
          <w:sz w:val="16"/>
          <w:szCs w:val="16"/>
        </w:rPr>
        <w:t xml:space="preserve"> </w:t>
      </w:r>
      <w:r w:rsidRPr="008F1E8B">
        <w:rPr>
          <w:rFonts w:ascii="Verdana" w:hAnsi="Verdana" w:cs="Arial"/>
          <w:sz w:val="16"/>
          <w:szCs w:val="16"/>
          <w:lang w:val="es-ES"/>
        </w:rPr>
        <w:t>Así lo dispone el artículo 2.2.1.2.1.4.1. del Decreto 1082 de 2015: «La Entidad Estatal debe señalar en un acto administrativo la justificación para contratar bajo la modalidad de contratación directa, el cual debe contener:</w:t>
      </w:r>
    </w:p>
    <w:p w14:paraId="58EA874C" w14:textId="77777777" w:rsidR="00E334D4" w:rsidRDefault="00E334D4" w:rsidP="00E334D4">
      <w:pPr>
        <w:pStyle w:val="Textonotapie"/>
        <w:ind w:firstLine="708"/>
        <w:jc w:val="both"/>
        <w:rPr>
          <w:rFonts w:ascii="Verdana" w:hAnsi="Verdana" w:cs="Arial"/>
          <w:sz w:val="16"/>
          <w:szCs w:val="16"/>
          <w:lang w:val="es-ES"/>
        </w:rPr>
      </w:pPr>
    </w:p>
    <w:p w14:paraId="38555988" w14:textId="77777777" w:rsidR="00E334D4" w:rsidRPr="006D6CA3" w:rsidRDefault="00E334D4" w:rsidP="00E334D4">
      <w:pPr>
        <w:pStyle w:val="Textonotapie"/>
        <w:ind w:firstLine="709"/>
        <w:jc w:val="both"/>
        <w:rPr>
          <w:rFonts w:ascii="Verdana" w:hAnsi="Verdana" w:cs="Arial"/>
          <w:sz w:val="15"/>
          <w:szCs w:val="15"/>
          <w:lang w:val="es-ES"/>
        </w:rPr>
      </w:pPr>
      <w:r w:rsidRPr="006D6CA3">
        <w:rPr>
          <w:rFonts w:ascii="Verdana" w:hAnsi="Verdana" w:cs="Arial"/>
          <w:sz w:val="15"/>
          <w:szCs w:val="15"/>
          <w:lang w:val="es-ES"/>
        </w:rPr>
        <w:t>»1. La causal que invoca para contratar directamente.</w:t>
      </w:r>
    </w:p>
    <w:p w14:paraId="3D5897F7" w14:textId="77777777" w:rsidR="00E334D4" w:rsidRPr="006D6CA3" w:rsidRDefault="00E334D4" w:rsidP="00E334D4">
      <w:pPr>
        <w:pStyle w:val="Textonotapie"/>
        <w:ind w:firstLine="709"/>
        <w:jc w:val="both"/>
        <w:rPr>
          <w:rFonts w:ascii="Verdana" w:hAnsi="Verdana" w:cs="Arial"/>
          <w:sz w:val="15"/>
          <w:szCs w:val="15"/>
          <w:lang w:val="es-ES"/>
        </w:rPr>
      </w:pPr>
      <w:r w:rsidRPr="006D6CA3">
        <w:rPr>
          <w:rFonts w:ascii="Verdana" w:hAnsi="Verdana" w:cs="Arial"/>
          <w:sz w:val="15"/>
          <w:szCs w:val="15"/>
          <w:lang w:val="es-ES"/>
        </w:rPr>
        <w:t>»2. El objeto del contrato.</w:t>
      </w:r>
    </w:p>
    <w:p w14:paraId="0ACAA53E" w14:textId="77777777" w:rsidR="00E334D4" w:rsidRPr="006D6CA3" w:rsidRDefault="00E334D4" w:rsidP="00E334D4">
      <w:pPr>
        <w:pStyle w:val="Textonotapie"/>
        <w:ind w:firstLine="709"/>
        <w:jc w:val="both"/>
        <w:rPr>
          <w:rFonts w:ascii="Verdana" w:hAnsi="Verdana" w:cs="Arial"/>
          <w:sz w:val="15"/>
          <w:szCs w:val="15"/>
          <w:lang w:val="es-ES"/>
        </w:rPr>
      </w:pPr>
      <w:r w:rsidRPr="006D6CA3">
        <w:rPr>
          <w:rFonts w:ascii="Verdana" w:hAnsi="Verdana" w:cs="Arial"/>
          <w:sz w:val="15"/>
          <w:szCs w:val="15"/>
          <w:lang w:val="es-ES"/>
        </w:rPr>
        <w:t>»3. El presupuesto para la contratación y las condiciones que exigirá al contratista.</w:t>
      </w:r>
    </w:p>
    <w:p w14:paraId="1B31EC14" w14:textId="77777777" w:rsidR="00E334D4" w:rsidRPr="006D6CA3" w:rsidRDefault="00E334D4" w:rsidP="00E334D4">
      <w:pPr>
        <w:pStyle w:val="Textonotapie"/>
        <w:ind w:firstLine="709"/>
        <w:jc w:val="both"/>
        <w:rPr>
          <w:rFonts w:ascii="Verdana" w:hAnsi="Verdana" w:cs="Arial"/>
          <w:sz w:val="15"/>
          <w:szCs w:val="15"/>
          <w:lang w:val="es-ES"/>
        </w:rPr>
      </w:pPr>
      <w:r w:rsidRPr="006D6CA3">
        <w:rPr>
          <w:rFonts w:ascii="Verdana" w:hAnsi="Verdana" w:cs="Arial"/>
          <w:sz w:val="15"/>
          <w:szCs w:val="15"/>
          <w:lang w:val="es-ES"/>
        </w:rPr>
        <w:t>»4. El lugar en el cual los interesados pueden consultar los estudios y documentos previos.</w:t>
      </w:r>
    </w:p>
    <w:p w14:paraId="653A89B7" w14:textId="77777777" w:rsidR="00E334D4" w:rsidRDefault="00E334D4" w:rsidP="00E334D4">
      <w:pPr>
        <w:pStyle w:val="Textonotapie"/>
        <w:jc w:val="both"/>
        <w:rPr>
          <w:rFonts w:ascii="Verdana" w:hAnsi="Verdana" w:cs="Arial"/>
          <w:sz w:val="15"/>
          <w:szCs w:val="15"/>
          <w:lang w:val="es-ES"/>
        </w:rPr>
      </w:pPr>
    </w:p>
    <w:p w14:paraId="11C21224" w14:textId="77777777" w:rsidR="00E334D4" w:rsidRPr="006D6CA3" w:rsidRDefault="00E334D4" w:rsidP="00E334D4">
      <w:pPr>
        <w:pStyle w:val="Textonotapie"/>
        <w:jc w:val="both"/>
        <w:rPr>
          <w:rFonts w:ascii="Verdana" w:hAnsi="Verdana" w:cs="Arial"/>
          <w:sz w:val="15"/>
          <w:szCs w:val="15"/>
          <w:lang w:val="es-ES"/>
        </w:rPr>
      </w:pPr>
      <w:r w:rsidRPr="006D6CA3">
        <w:rPr>
          <w:rFonts w:ascii="Verdana" w:hAnsi="Verdana" w:cs="Arial"/>
          <w:sz w:val="15"/>
          <w:szCs w:val="15"/>
          <w:lang w:val="es-ES"/>
        </w:rPr>
        <w:t>»Este acto administrativo no es necesario cuando el contrato a celebrar es de prestación de servicios profesionales y de apoyo a la gestión, y para los contratos de que tratan los literales (a) y (b) del artículo 2.2.1.2.1.4.3 del presente decreto».</w:t>
      </w:r>
    </w:p>
  </w:footnote>
  <w:footnote w:id="7">
    <w:p w14:paraId="5D3EAEB1" w14:textId="77777777" w:rsidR="00E334D4" w:rsidRDefault="00E334D4" w:rsidP="00E334D4">
      <w:pPr>
        <w:pStyle w:val="Textonotapie"/>
        <w:ind w:firstLine="708"/>
        <w:jc w:val="both"/>
        <w:rPr>
          <w:rFonts w:ascii="Verdana" w:hAnsi="Verdana" w:cs="Arial"/>
          <w:sz w:val="16"/>
          <w:szCs w:val="16"/>
          <w:lang w:val="es-ES"/>
        </w:rPr>
      </w:pPr>
      <w:r w:rsidRPr="008F1E8B">
        <w:rPr>
          <w:rStyle w:val="Refdenotaalpie"/>
          <w:rFonts w:ascii="Verdana" w:hAnsi="Verdana" w:cs="Arial"/>
          <w:sz w:val="16"/>
          <w:szCs w:val="16"/>
        </w:rPr>
        <w:footnoteRef/>
      </w:r>
      <w:r w:rsidRPr="008F1E8B">
        <w:rPr>
          <w:rFonts w:ascii="Verdana" w:hAnsi="Verdana" w:cs="Arial"/>
          <w:sz w:val="16"/>
          <w:szCs w:val="16"/>
        </w:rPr>
        <w:t xml:space="preserve"> </w:t>
      </w:r>
      <w:r w:rsidRPr="008F1E8B">
        <w:rPr>
          <w:rFonts w:ascii="Verdana" w:hAnsi="Verdana" w:cs="Arial"/>
          <w:sz w:val="16"/>
          <w:szCs w:val="16"/>
          <w:lang w:val="es-ES"/>
        </w:rPr>
        <w:t xml:space="preserve">La norma expresa: «Art. 14. </w:t>
      </w:r>
      <w:r w:rsidRPr="008F1E8B">
        <w:rPr>
          <w:rFonts w:ascii="Verdana" w:hAnsi="Verdana" w:cs="Arial"/>
          <w:sz w:val="16"/>
          <w:szCs w:val="16"/>
        </w:rPr>
        <w:t>P</w:t>
      </w:r>
      <w:r w:rsidRPr="008F1E8B">
        <w:rPr>
          <w:rFonts w:ascii="Verdana" w:hAnsi="Verdana" w:cs="Arial"/>
          <w:sz w:val="16"/>
          <w:szCs w:val="16"/>
          <w:lang w:val="es-ES"/>
        </w:rPr>
        <w:t>ara el cumplimiento de los fines de la contratación, las entidades estatales al celebrar un contrato:</w:t>
      </w:r>
    </w:p>
    <w:p w14:paraId="48C09E4F" w14:textId="77777777" w:rsidR="00E334D4" w:rsidRPr="008F1E8B" w:rsidRDefault="00E334D4" w:rsidP="00E334D4">
      <w:pPr>
        <w:pStyle w:val="Textonotapie"/>
        <w:ind w:firstLine="708"/>
        <w:jc w:val="both"/>
        <w:rPr>
          <w:rFonts w:ascii="Verdana" w:hAnsi="Verdana" w:cs="Arial"/>
          <w:sz w:val="16"/>
          <w:szCs w:val="16"/>
          <w:lang w:val="es-ES"/>
        </w:rPr>
      </w:pPr>
    </w:p>
    <w:p w14:paraId="208606A8" w14:textId="77777777" w:rsidR="00E334D4" w:rsidRPr="008F1E8B" w:rsidRDefault="00E334D4" w:rsidP="00E334D4">
      <w:pPr>
        <w:pStyle w:val="Textonotapie"/>
        <w:ind w:firstLine="709"/>
        <w:jc w:val="both"/>
        <w:rPr>
          <w:rFonts w:ascii="Verdana" w:hAnsi="Verdana" w:cs="Arial"/>
          <w:sz w:val="16"/>
          <w:szCs w:val="16"/>
          <w:lang w:val="es-ES"/>
        </w:rPr>
      </w:pPr>
      <w:r w:rsidRPr="008F1E8B">
        <w:rPr>
          <w:rFonts w:ascii="Verdana" w:hAnsi="Verdana" w:cs="Arial"/>
          <w:sz w:val="16"/>
          <w:szCs w:val="16"/>
          <w:lang w:val="es-ES"/>
        </w:rPr>
        <w:t>[…]</w:t>
      </w:r>
    </w:p>
    <w:p w14:paraId="50BA1939" w14:textId="77777777" w:rsidR="00E334D4" w:rsidRDefault="00E334D4" w:rsidP="00E334D4">
      <w:pPr>
        <w:pStyle w:val="Textonotapie"/>
        <w:ind w:firstLine="709"/>
        <w:jc w:val="both"/>
        <w:rPr>
          <w:rFonts w:ascii="Verdana" w:hAnsi="Verdana" w:cs="Arial"/>
          <w:sz w:val="15"/>
          <w:szCs w:val="15"/>
          <w:lang w:val="es-ES"/>
        </w:rPr>
      </w:pPr>
      <w:r w:rsidRPr="006D6CA3">
        <w:rPr>
          <w:rFonts w:ascii="Verdana" w:hAnsi="Verdana" w:cs="Arial"/>
          <w:sz w:val="15"/>
          <w:szCs w:val="15"/>
          <w:lang w:val="es-ES"/>
        </w:rPr>
        <w:t>2o. Pactarán las cláusulas excepcionales al derecho común de terminación, interpretación y modificación unilaterales, de sometimiento a las leyes nacionales y de caducidad en los contratos que tengan por objeto el ejercicio de una actividad que constituya monopolio estatal, la prestación de servicios públicos o la explotación y concesión de bienes del Estado, así como en los contratos de obra. En los contratos de explotación y concesión de bienes del Estado se incluirá la cláusula de reversión.</w:t>
      </w:r>
    </w:p>
    <w:p w14:paraId="0E667068" w14:textId="77777777" w:rsidR="00E334D4" w:rsidRDefault="00E334D4" w:rsidP="00E334D4">
      <w:pPr>
        <w:pStyle w:val="Textonotapie"/>
        <w:jc w:val="both"/>
        <w:rPr>
          <w:rFonts w:ascii="Verdana" w:hAnsi="Verdana" w:cs="Arial"/>
          <w:sz w:val="15"/>
          <w:szCs w:val="15"/>
          <w:lang w:val="es-ES"/>
        </w:rPr>
      </w:pPr>
    </w:p>
    <w:p w14:paraId="0AF31150" w14:textId="77777777" w:rsidR="00E334D4" w:rsidRPr="006D6CA3" w:rsidRDefault="00E334D4" w:rsidP="00E334D4">
      <w:pPr>
        <w:pStyle w:val="Textonotapie"/>
        <w:jc w:val="both"/>
        <w:rPr>
          <w:rFonts w:ascii="Verdana" w:hAnsi="Verdana" w:cs="Arial"/>
          <w:sz w:val="15"/>
          <w:szCs w:val="15"/>
          <w:lang w:val="es-ES"/>
        </w:rPr>
      </w:pPr>
      <w:r w:rsidRPr="006D6CA3">
        <w:rPr>
          <w:rFonts w:ascii="Verdana" w:hAnsi="Verdana" w:cs="Arial"/>
          <w:sz w:val="15"/>
          <w:szCs w:val="15"/>
          <w:lang w:val="es-ES"/>
        </w:rPr>
        <w:t>Las entidades estatales podrán pactar estas cláusulas en los contratos de suministro y de prestación de servicios.</w:t>
      </w:r>
    </w:p>
    <w:p w14:paraId="29EBE123" w14:textId="77777777" w:rsidR="00E334D4" w:rsidRDefault="00E334D4" w:rsidP="00E334D4">
      <w:pPr>
        <w:pStyle w:val="Textonotapie"/>
        <w:ind w:firstLine="709"/>
        <w:jc w:val="both"/>
        <w:rPr>
          <w:rFonts w:ascii="Verdana" w:hAnsi="Verdana" w:cs="Arial"/>
          <w:sz w:val="15"/>
          <w:szCs w:val="15"/>
          <w:lang w:val="es-ES"/>
        </w:rPr>
      </w:pPr>
      <w:r w:rsidRPr="006D6CA3">
        <w:rPr>
          <w:rFonts w:ascii="Verdana" w:hAnsi="Verdana" w:cs="Arial"/>
          <w:sz w:val="15"/>
          <w:szCs w:val="15"/>
          <w:lang w:val="es-ES"/>
        </w:rPr>
        <w:t>[…]».</w:t>
      </w:r>
    </w:p>
    <w:p w14:paraId="5928C299" w14:textId="77777777" w:rsidR="00E334D4" w:rsidRPr="008F1E8B" w:rsidRDefault="00E334D4" w:rsidP="00E334D4">
      <w:pPr>
        <w:pStyle w:val="Textonotapie"/>
        <w:ind w:firstLine="709"/>
        <w:jc w:val="both"/>
        <w:rPr>
          <w:rFonts w:ascii="Verdana" w:hAnsi="Verdana" w:cs="Arial"/>
          <w:sz w:val="16"/>
          <w:szCs w:val="16"/>
          <w:lang w:val="es-ES"/>
        </w:rPr>
      </w:pPr>
    </w:p>
  </w:footnote>
  <w:footnote w:id="8">
    <w:p w14:paraId="0BBE3AFB" w14:textId="77777777" w:rsidR="00E334D4" w:rsidRDefault="00E334D4" w:rsidP="00E334D4">
      <w:pPr>
        <w:pStyle w:val="Textonotapie"/>
        <w:ind w:firstLine="709"/>
        <w:jc w:val="both"/>
        <w:rPr>
          <w:rFonts w:ascii="Verdana" w:hAnsi="Verdana" w:cs="Arial"/>
          <w:sz w:val="16"/>
          <w:szCs w:val="16"/>
          <w:lang w:val="es-ES"/>
        </w:rPr>
      </w:pPr>
      <w:r w:rsidRPr="008F1E8B">
        <w:rPr>
          <w:rStyle w:val="Refdenotaalpie"/>
          <w:rFonts w:ascii="Verdana" w:hAnsi="Verdana" w:cs="Arial"/>
          <w:sz w:val="16"/>
          <w:szCs w:val="16"/>
        </w:rPr>
        <w:footnoteRef/>
      </w:r>
      <w:r w:rsidRPr="008F1E8B">
        <w:rPr>
          <w:rFonts w:ascii="Verdana" w:hAnsi="Verdana" w:cs="Arial"/>
          <w:sz w:val="16"/>
          <w:szCs w:val="16"/>
        </w:rPr>
        <w:t xml:space="preserve"> </w:t>
      </w:r>
      <w:r w:rsidRPr="008F1E8B">
        <w:rPr>
          <w:rFonts w:ascii="Verdana" w:hAnsi="Verdana" w:cs="Arial"/>
          <w:sz w:val="16"/>
          <w:szCs w:val="16"/>
          <w:lang w:val="es-ES"/>
        </w:rPr>
        <w:t>La norma dispone: «La liquidación a que se refiere el presente artículo no será obligatoria en los contratos de prestación de servicios profesionales y de apoyo a la gestión».</w:t>
      </w:r>
    </w:p>
    <w:p w14:paraId="1BE96908" w14:textId="77777777" w:rsidR="00E334D4" w:rsidRPr="008F1E8B" w:rsidRDefault="00E334D4" w:rsidP="00E334D4">
      <w:pPr>
        <w:pStyle w:val="Textonotapie"/>
        <w:jc w:val="both"/>
        <w:rPr>
          <w:rFonts w:ascii="Verdana" w:hAnsi="Verdana" w:cs="Arial"/>
          <w:sz w:val="16"/>
          <w:szCs w:val="16"/>
          <w:lang w:val="es-ES"/>
        </w:rPr>
      </w:pPr>
    </w:p>
  </w:footnote>
  <w:footnote w:id="9">
    <w:p w14:paraId="646F1412" w14:textId="77777777" w:rsidR="00E334D4" w:rsidRDefault="00E334D4" w:rsidP="00E334D4">
      <w:pPr>
        <w:pStyle w:val="Textonotapie"/>
        <w:ind w:firstLine="709"/>
        <w:jc w:val="both"/>
        <w:rPr>
          <w:rFonts w:ascii="Verdana" w:hAnsi="Verdana" w:cs="Arial"/>
          <w:sz w:val="16"/>
          <w:szCs w:val="16"/>
        </w:rPr>
      </w:pPr>
      <w:r w:rsidRPr="008F1E8B">
        <w:rPr>
          <w:rStyle w:val="Refdenotaalpie"/>
          <w:rFonts w:ascii="Verdana" w:hAnsi="Verdana" w:cs="Arial"/>
          <w:sz w:val="16"/>
          <w:szCs w:val="16"/>
        </w:rPr>
        <w:footnoteRef/>
      </w:r>
      <w:r w:rsidRPr="00636239">
        <w:rPr>
          <w:rFonts w:ascii="Verdana" w:hAnsi="Verdana" w:cs="Arial"/>
          <w:sz w:val="16"/>
          <w:szCs w:val="16"/>
        </w:rPr>
        <w:t xml:space="preserve"> Según dicho artículo: «Art. 6. Todas las personas naturales o jurídicas nacionales o extranjeras domiciliadas o con sucursal en Colombia, que aspiren a celebrar contratos con las entidades estatales, se inscribirán en el Registro Único de Proponentes del Registro Único Empresarial de la Cámara de Comercio con jurisdicción en su domicilio principal.</w:t>
      </w:r>
    </w:p>
    <w:p w14:paraId="1461F146" w14:textId="77777777" w:rsidR="00E334D4" w:rsidRPr="00636239" w:rsidRDefault="00E334D4" w:rsidP="00E334D4">
      <w:pPr>
        <w:pStyle w:val="Textonotapie"/>
        <w:ind w:firstLine="709"/>
        <w:jc w:val="both"/>
        <w:rPr>
          <w:rFonts w:ascii="Verdana" w:hAnsi="Verdana" w:cs="Arial"/>
          <w:sz w:val="16"/>
          <w:szCs w:val="16"/>
        </w:rPr>
      </w:pPr>
    </w:p>
    <w:p w14:paraId="0C71D224" w14:textId="77777777" w:rsidR="00E334D4" w:rsidRDefault="00E334D4" w:rsidP="00E334D4">
      <w:pPr>
        <w:pStyle w:val="Textonotapie"/>
        <w:ind w:firstLine="709"/>
        <w:jc w:val="both"/>
        <w:rPr>
          <w:rFonts w:ascii="Verdana" w:hAnsi="Verdana" w:cs="Arial"/>
          <w:sz w:val="16"/>
          <w:szCs w:val="16"/>
        </w:rPr>
      </w:pPr>
      <w:r w:rsidRPr="00636239">
        <w:rPr>
          <w:rFonts w:ascii="Verdana" w:hAnsi="Verdana" w:cs="Arial"/>
          <w:sz w:val="16"/>
          <w:szCs w:val="16"/>
        </w:rPr>
        <w:t xml:space="preserve">No se requerirá de este registro, ni de clasificación, en los casos de contratación directa; contratos para la prestación de servicios de salud; contratos de mínima cuantía; enajenación de bienes del Estado; contratos que tengan por objeto la adquisición de productos de origen o destinación agropecuaria que se ofrezcan en bolsas de productos legalmente constituidas; los actos y contratos que tengan por objeto directo las actividades comerciales e industriales propias de las empresas industriales y comerciales del Estado y las </w:t>
      </w:r>
      <w:r w:rsidRPr="00066AD5">
        <w:rPr>
          <w:rFonts w:ascii="Verdana" w:hAnsi="Verdana" w:cs="Arial"/>
          <w:sz w:val="16"/>
          <w:szCs w:val="16"/>
        </w:rPr>
        <w:t>sociedades de economía mixta y los contratos de concesión de cualquier índole. En los casos anteriormente señalados, corresponderá a las entidades contratantes cumplir con la labor de verificación de las condiciones de los proponentes. […]».</w:t>
      </w:r>
    </w:p>
    <w:p w14:paraId="05975C0A" w14:textId="77777777" w:rsidR="00E334D4" w:rsidRPr="00066AD5" w:rsidRDefault="00E334D4" w:rsidP="00E334D4">
      <w:pPr>
        <w:pStyle w:val="Textonotapie"/>
        <w:ind w:firstLine="709"/>
        <w:jc w:val="both"/>
        <w:rPr>
          <w:rFonts w:ascii="Verdana" w:hAnsi="Verdana" w:cs="Arial"/>
          <w:sz w:val="16"/>
          <w:szCs w:val="16"/>
        </w:rPr>
      </w:pPr>
    </w:p>
  </w:footnote>
  <w:footnote w:id="10">
    <w:p w14:paraId="1AB29E83" w14:textId="77777777" w:rsidR="00E334D4" w:rsidRPr="00066AD5" w:rsidRDefault="00E334D4" w:rsidP="00E334D4">
      <w:pPr>
        <w:pStyle w:val="Textonotapie"/>
        <w:ind w:firstLine="709"/>
        <w:jc w:val="both"/>
        <w:rPr>
          <w:rFonts w:ascii="Verdana" w:hAnsi="Verdana" w:cs="Arial"/>
          <w:sz w:val="16"/>
          <w:szCs w:val="16"/>
          <w:lang w:val="es-ES"/>
        </w:rPr>
      </w:pPr>
      <w:r w:rsidRPr="00066AD5">
        <w:rPr>
          <w:rStyle w:val="Refdenotaalpie"/>
          <w:rFonts w:ascii="Verdana" w:hAnsi="Verdana" w:cs="Arial"/>
          <w:sz w:val="16"/>
          <w:szCs w:val="16"/>
        </w:rPr>
        <w:footnoteRef/>
      </w:r>
      <w:r w:rsidRPr="00066AD5">
        <w:rPr>
          <w:rFonts w:ascii="Verdana" w:hAnsi="Verdana" w:cs="Arial"/>
          <w:sz w:val="16"/>
          <w:szCs w:val="16"/>
        </w:rPr>
        <w:t xml:space="preserve"> </w:t>
      </w:r>
      <w:r w:rsidRPr="00066AD5">
        <w:rPr>
          <w:rFonts w:ascii="Verdana" w:hAnsi="Verdana" w:cs="Arial"/>
          <w:sz w:val="16"/>
          <w:szCs w:val="16"/>
          <w:lang w:val="es-ES"/>
        </w:rPr>
        <w:t>Así lo establece el Decreto 1082 de 2015: «Artículo 2.2.1.2.1.4.5. No obligatoriedad de garantías. En la contratación directa la exigencia de garantías establecidas en la Sección 3, que comprende los artículos 2.2.1.2.3.1.1 al 2.2.1.2.3.5.1. del presente decreto no es obligatoria y la justificación para exigirlas o no debe estar en los estudios y documentos previos».</w:t>
      </w:r>
    </w:p>
  </w:footnote>
  <w:footnote w:id="11">
    <w:p w14:paraId="5177C7E1" w14:textId="77777777" w:rsidR="00E334D4" w:rsidRPr="00066AD5" w:rsidRDefault="00E334D4" w:rsidP="00E334D4">
      <w:pPr>
        <w:pStyle w:val="Textonotapie"/>
        <w:ind w:firstLine="709"/>
        <w:jc w:val="both"/>
        <w:rPr>
          <w:rFonts w:ascii="Verdana" w:hAnsi="Verdana" w:cs="Arial"/>
          <w:color w:val="000000" w:themeColor="text1"/>
          <w:sz w:val="16"/>
          <w:szCs w:val="16"/>
          <w:lang w:val="es-ES"/>
        </w:rPr>
      </w:pPr>
      <w:r w:rsidRPr="00066AD5">
        <w:rPr>
          <w:rStyle w:val="Refdenotaalpie"/>
          <w:rFonts w:ascii="Verdana" w:hAnsi="Verdana" w:cs="Arial"/>
          <w:color w:val="000000" w:themeColor="text1"/>
          <w:sz w:val="16"/>
          <w:szCs w:val="16"/>
        </w:rPr>
        <w:footnoteRef/>
      </w:r>
      <w:r w:rsidRPr="00066AD5">
        <w:rPr>
          <w:rFonts w:ascii="Verdana" w:hAnsi="Verdana" w:cs="Arial"/>
          <w:color w:val="000000" w:themeColor="text1"/>
          <w:sz w:val="16"/>
          <w:szCs w:val="16"/>
        </w:rPr>
        <w:t xml:space="preserve"> </w:t>
      </w:r>
      <w:r w:rsidRPr="00066AD5">
        <w:rPr>
          <w:rFonts w:ascii="Verdana" w:hAnsi="Verdana" w:cs="Arial"/>
          <w:color w:val="000000" w:themeColor="text1"/>
          <w:sz w:val="16"/>
          <w:szCs w:val="16"/>
          <w:lang w:val="es-ES"/>
        </w:rPr>
        <w:t>El Decreto 1082 de 2015 lo establece de la siguiente manera: «Artículo 2.2.1.2.1.4.9. Contratos de prestación de servicios profesionales y de apoyo a la gestión, o para la ejecución de trabajos artísticos que solo pueden encomendarse a determinadas personas naturales. Las Entidades Estatales pueden contratar bajo la modalidad de contratación directa la prestación de servicios profesionales y de apoyo a la gestión con la persona natural o jurídica que esté en capacidad de ejecutar el objeto del contrato, siempre y cuando la Entidad Estatal verifique la idoneidad o experiencia requerida y relacionada con el área de que se trate. En este caso, no es necesario que la Entidad Estatal haya obtenido previamente varias ofertas, de lo cual el ordenador del gasto debe dejar constancia escrita.</w:t>
      </w:r>
    </w:p>
    <w:p w14:paraId="7B3BD6BB" w14:textId="77777777" w:rsidR="00E334D4" w:rsidRPr="00066AD5" w:rsidRDefault="00E334D4" w:rsidP="00E334D4">
      <w:pPr>
        <w:pStyle w:val="Textonotapie"/>
        <w:ind w:firstLine="709"/>
        <w:jc w:val="both"/>
        <w:rPr>
          <w:rFonts w:ascii="Verdana" w:hAnsi="Verdana" w:cs="Arial"/>
          <w:color w:val="000000" w:themeColor="text1"/>
          <w:sz w:val="16"/>
          <w:szCs w:val="16"/>
          <w:lang w:val="es-ES"/>
        </w:rPr>
      </w:pPr>
      <w:r w:rsidRPr="00066AD5">
        <w:rPr>
          <w:rFonts w:ascii="Verdana" w:hAnsi="Verdana" w:cs="Arial"/>
          <w:color w:val="000000" w:themeColor="text1"/>
          <w:sz w:val="16"/>
          <w:szCs w:val="16"/>
          <w:lang w:val="es-ES"/>
        </w:rPr>
        <w:t>»Los servicios profesionales y de apoyo a la gestión corresponden a aquellos de naturaleza intelectual diferentes a los de consultoría que se derivan del cumplimiento de las funciones de la Entidad Estatal, así como los relacionados con actividades operativas, logísticas, o asistenciales.</w:t>
      </w:r>
    </w:p>
    <w:p w14:paraId="41A9B586" w14:textId="77777777" w:rsidR="00E334D4" w:rsidRPr="00066AD5" w:rsidRDefault="00E334D4" w:rsidP="00E334D4">
      <w:pPr>
        <w:pStyle w:val="Textonotapie"/>
        <w:ind w:firstLine="709"/>
        <w:jc w:val="both"/>
        <w:rPr>
          <w:rFonts w:ascii="Verdana" w:hAnsi="Verdana" w:cs="Arial"/>
          <w:color w:val="000000" w:themeColor="text1"/>
          <w:sz w:val="16"/>
          <w:szCs w:val="16"/>
          <w:lang w:val="es-ES"/>
        </w:rPr>
      </w:pPr>
      <w:r w:rsidRPr="00066AD5">
        <w:rPr>
          <w:rFonts w:ascii="Verdana" w:hAnsi="Verdana" w:cs="Arial"/>
          <w:color w:val="000000" w:themeColor="text1"/>
          <w:sz w:val="16"/>
          <w:szCs w:val="16"/>
          <w:lang w:val="es-ES"/>
        </w:rPr>
        <w:t>»La Entidad Estatal, para la contratación de trabajos artísticos que solamente puedan en</w:t>
      </w:r>
      <w:r w:rsidRPr="00066AD5">
        <w:rPr>
          <w:rFonts w:ascii="Verdana" w:hAnsi="Verdana" w:cs="Arial"/>
          <w:color w:val="000000" w:themeColor="text1"/>
          <w:sz w:val="16"/>
          <w:szCs w:val="16"/>
          <w:lang w:val="es-ES"/>
        </w:rPr>
        <w:softHyphen/>
        <w:t>comendarse a determinadas personas naturales, debe justificar esta situación en los estudios y documentos previos».</w:t>
      </w:r>
    </w:p>
    <w:p w14:paraId="26A5BD9B" w14:textId="77777777" w:rsidR="00E334D4" w:rsidRPr="00066AD5" w:rsidRDefault="00E334D4" w:rsidP="00E334D4">
      <w:pPr>
        <w:pStyle w:val="Textonotapie"/>
        <w:ind w:firstLine="709"/>
        <w:jc w:val="both"/>
        <w:rPr>
          <w:rFonts w:ascii="Verdana" w:hAnsi="Verdana" w:cs="Arial"/>
          <w:color w:val="000000" w:themeColor="text1"/>
          <w:sz w:val="16"/>
          <w:szCs w:val="16"/>
          <w:lang w:val="es-ES"/>
        </w:rPr>
      </w:pPr>
    </w:p>
  </w:footnote>
  <w:footnote w:id="12">
    <w:p w14:paraId="3F67BAAD" w14:textId="77777777" w:rsidR="00E334D4" w:rsidRPr="00066AD5" w:rsidRDefault="00E334D4" w:rsidP="00E334D4">
      <w:pPr>
        <w:pStyle w:val="Textonotapie"/>
        <w:ind w:firstLine="709"/>
        <w:jc w:val="both"/>
        <w:rPr>
          <w:rFonts w:ascii="Verdana" w:hAnsi="Verdana" w:cs="Arial"/>
          <w:color w:val="000000" w:themeColor="text1"/>
          <w:sz w:val="16"/>
          <w:szCs w:val="16"/>
          <w:lang w:val="es-ES"/>
        </w:rPr>
      </w:pPr>
      <w:r w:rsidRPr="00066AD5">
        <w:rPr>
          <w:rStyle w:val="Refdenotaalpie"/>
          <w:rFonts w:ascii="Verdana" w:hAnsi="Verdana" w:cs="Arial"/>
          <w:color w:val="000000" w:themeColor="text1"/>
          <w:sz w:val="16"/>
          <w:szCs w:val="16"/>
        </w:rPr>
        <w:footnoteRef/>
      </w:r>
      <w:r w:rsidRPr="00066AD5">
        <w:rPr>
          <w:rFonts w:ascii="Verdana" w:hAnsi="Verdana" w:cs="Arial"/>
          <w:color w:val="000000" w:themeColor="text1"/>
          <w:sz w:val="16"/>
          <w:szCs w:val="16"/>
        </w:rPr>
        <w:t xml:space="preserve"> </w:t>
      </w:r>
      <w:r w:rsidRPr="00066AD5">
        <w:rPr>
          <w:rFonts w:ascii="Verdana" w:hAnsi="Verdana" w:cs="Arial"/>
          <w:color w:val="000000" w:themeColor="text1"/>
          <w:sz w:val="16"/>
          <w:szCs w:val="16"/>
          <w:lang w:val="es-ES"/>
        </w:rPr>
        <w:t>CONSEJO DE ESTADO. Sección Tercera. Subsección C. Sentencia de Unificación del 2 de diciembre de 2013. Exp. 41.719. C.P. Jaime Orlando Santofimio Gamboa.</w:t>
      </w:r>
    </w:p>
    <w:p w14:paraId="097150BF" w14:textId="77777777" w:rsidR="00E334D4" w:rsidRPr="00636239" w:rsidRDefault="00E334D4" w:rsidP="00E334D4">
      <w:pPr>
        <w:pStyle w:val="Textonotapie"/>
        <w:ind w:firstLine="709"/>
        <w:jc w:val="both"/>
        <w:rPr>
          <w:rFonts w:ascii="Verdana" w:hAnsi="Verdana" w:cs="Arial"/>
          <w:color w:val="000000" w:themeColor="text1"/>
          <w:sz w:val="16"/>
          <w:szCs w:val="16"/>
          <w:lang w:val="es-ES"/>
        </w:rPr>
      </w:pPr>
    </w:p>
  </w:footnote>
  <w:footnote w:id="13">
    <w:p w14:paraId="5B337751" w14:textId="77777777" w:rsidR="00E334D4" w:rsidRPr="00D62056" w:rsidRDefault="00E334D4" w:rsidP="00E334D4">
      <w:pPr>
        <w:pStyle w:val="Textonotapie"/>
        <w:ind w:firstLine="709"/>
        <w:jc w:val="both"/>
        <w:rPr>
          <w:rFonts w:ascii="Verdana" w:hAnsi="Verdana" w:cs="Arial"/>
          <w:color w:val="000000" w:themeColor="text1"/>
          <w:sz w:val="16"/>
          <w:szCs w:val="16"/>
          <w:lang w:val="es-ES"/>
        </w:rPr>
      </w:pPr>
      <w:r w:rsidRPr="00636239">
        <w:rPr>
          <w:rStyle w:val="Refdenotaalpie"/>
          <w:rFonts w:ascii="Verdana" w:hAnsi="Verdana" w:cs="Arial"/>
          <w:color w:val="000000" w:themeColor="text1"/>
          <w:sz w:val="16"/>
          <w:szCs w:val="16"/>
        </w:rPr>
        <w:footnoteRef/>
      </w:r>
      <w:r w:rsidRPr="00D62056">
        <w:rPr>
          <w:rFonts w:ascii="Verdana" w:hAnsi="Verdana" w:cs="Arial"/>
          <w:color w:val="000000" w:themeColor="text1"/>
          <w:sz w:val="16"/>
          <w:szCs w:val="16"/>
        </w:rPr>
        <w:t xml:space="preserve"> </w:t>
      </w:r>
      <w:r w:rsidRPr="00D62056">
        <w:rPr>
          <w:rFonts w:ascii="Verdana" w:hAnsi="Verdana" w:cs="Arial"/>
          <w:i/>
          <w:iCs/>
          <w:color w:val="000000" w:themeColor="text1"/>
          <w:sz w:val="16"/>
          <w:szCs w:val="16"/>
          <w:lang w:val="es-ES"/>
        </w:rPr>
        <w:t>Ibíd</w:t>
      </w:r>
      <w:r w:rsidRPr="00D62056">
        <w:rPr>
          <w:rFonts w:ascii="Verdana" w:hAnsi="Verdana" w:cs="Arial"/>
          <w:color w:val="000000" w:themeColor="text1"/>
          <w:sz w:val="16"/>
          <w:szCs w:val="16"/>
          <w:lang w:val="es-ES"/>
        </w:rPr>
        <w:t>.</w:t>
      </w:r>
    </w:p>
    <w:p w14:paraId="607546A6" w14:textId="77777777" w:rsidR="00E334D4" w:rsidRPr="00D62056" w:rsidRDefault="00E334D4" w:rsidP="00E334D4">
      <w:pPr>
        <w:pStyle w:val="Textonotapie"/>
        <w:ind w:firstLine="709"/>
        <w:jc w:val="both"/>
        <w:rPr>
          <w:rFonts w:ascii="Verdana" w:hAnsi="Verdana" w:cs="Arial"/>
          <w:color w:val="000000" w:themeColor="text1"/>
          <w:sz w:val="16"/>
          <w:szCs w:val="16"/>
          <w:lang w:val="es-ES"/>
        </w:rPr>
      </w:pPr>
    </w:p>
  </w:footnote>
  <w:footnote w:id="14">
    <w:p w14:paraId="0E24418C" w14:textId="77777777" w:rsidR="00E334D4" w:rsidRPr="00636239" w:rsidRDefault="00E334D4" w:rsidP="00E334D4">
      <w:pPr>
        <w:pStyle w:val="Textonotapie"/>
        <w:ind w:firstLine="709"/>
        <w:jc w:val="both"/>
        <w:rPr>
          <w:rFonts w:ascii="Verdana" w:hAnsi="Verdana" w:cs="Arial"/>
          <w:color w:val="000000" w:themeColor="text1"/>
          <w:sz w:val="16"/>
          <w:szCs w:val="16"/>
          <w:lang w:val="es-ES"/>
        </w:rPr>
      </w:pPr>
      <w:r w:rsidRPr="00636239">
        <w:rPr>
          <w:rStyle w:val="Refdenotaalpie"/>
          <w:rFonts w:ascii="Verdana" w:hAnsi="Verdana" w:cs="Arial"/>
          <w:color w:val="000000" w:themeColor="text1"/>
          <w:sz w:val="16"/>
          <w:szCs w:val="16"/>
        </w:rPr>
        <w:footnoteRef/>
      </w:r>
      <w:r w:rsidRPr="00636239">
        <w:rPr>
          <w:rFonts w:ascii="Verdana" w:hAnsi="Verdana" w:cs="Arial"/>
          <w:color w:val="000000" w:themeColor="text1"/>
          <w:sz w:val="16"/>
          <w:szCs w:val="16"/>
        </w:rPr>
        <w:t xml:space="preserve"> </w:t>
      </w:r>
      <w:r w:rsidRPr="00636239">
        <w:rPr>
          <w:rFonts w:ascii="Verdana" w:hAnsi="Verdana" w:cs="Arial"/>
          <w:i/>
          <w:iCs/>
          <w:color w:val="000000" w:themeColor="text1"/>
          <w:sz w:val="16"/>
          <w:szCs w:val="16"/>
          <w:lang w:val="es-ES"/>
        </w:rPr>
        <w:t>Ibíd</w:t>
      </w:r>
      <w:r w:rsidRPr="00636239">
        <w:rPr>
          <w:rFonts w:ascii="Verdana" w:hAnsi="Verdana" w:cs="Arial"/>
          <w:color w:val="000000" w:themeColor="text1"/>
          <w:sz w:val="16"/>
          <w:szCs w:val="16"/>
          <w:lang w:val="es-ES"/>
        </w:rPr>
        <w:t>.</w:t>
      </w:r>
    </w:p>
    <w:p w14:paraId="1FF35946" w14:textId="77777777" w:rsidR="00E334D4" w:rsidRPr="00636239" w:rsidRDefault="00E334D4" w:rsidP="00E334D4">
      <w:pPr>
        <w:pStyle w:val="Textonotapie"/>
        <w:ind w:firstLine="709"/>
        <w:jc w:val="both"/>
        <w:rPr>
          <w:rFonts w:ascii="Verdana" w:hAnsi="Verdana" w:cs="Arial"/>
          <w:color w:val="000000" w:themeColor="text1"/>
          <w:sz w:val="16"/>
          <w:szCs w:val="16"/>
          <w:lang w:val="es-ES"/>
        </w:rPr>
      </w:pPr>
    </w:p>
  </w:footnote>
  <w:footnote w:id="15">
    <w:p w14:paraId="55B49BDC" w14:textId="77777777" w:rsidR="00E334D4" w:rsidRDefault="00E334D4" w:rsidP="00E334D4">
      <w:pPr>
        <w:pStyle w:val="Textonotapie"/>
        <w:ind w:firstLine="708"/>
        <w:jc w:val="both"/>
        <w:rPr>
          <w:rFonts w:ascii="Verdana" w:hAnsi="Verdana" w:cs="Arial"/>
          <w:sz w:val="16"/>
          <w:szCs w:val="16"/>
        </w:rPr>
      </w:pPr>
      <w:r w:rsidRPr="00636239">
        <w:rPr>
          <w:rStyle w:val="Refdenotaalpie"/>
          <w:rFonts w:ascii="Verdana" w:hAnsi="Verdana" w:cs="Arial"/>
          <w:sz w:val="16"/>
          <w:szCs w:val="16"/>
        </w:rPr>
        <w:footnoteRef/>
      </w:r>
      <w:r w:rsidRPr="00636239">
        <w:rPr>
          <w:rFonts w:ascii="Verdana" w:hAnsi="Verdana" w:cs="Arial"/>
          <w:sz w:val="16"/>
          <w:szCs w:val="16"/>
        </w:rPr>
        <w:t xml:space="preserve"> Respecto al alcance del literal h) del numeral 4 del artículo 2 de la Ley 1150 de 2007, la doctrina considera que «[…] El sentido de este enunciado normativo es que la razón que permite la contratación directa con dichas personas naturales es precisamente el conjunto de habilidades artísticas que </w:t>
      </w:r>
      <w:r w:rsidRPr="00080A9F">
        <w:rPr>
          <w:rFonts w:ascii="Verdana" w:hAnsi="Verdana" w:cs="Arial"/>
          <w:sz w:val="16"/>
          <w:szCs w:val="16"/>
        </w:rPr>
        <w:t>reúnen</w:t>
      </w:r>
      <w:r w:rsidRPr="00636239">
        <w:rPr>
          <w:rFonts w:ascii="Verdana" w:hAnsi="Verdana" w:cs="Arial"/>
          <w:sz w:val="16"/>
          <w:szCs w:val="16"/>
        </w:rPr>
        <w:t xml:space="preserve">. En tal medida, la expresión “que solo puedan encomendarse a determinadas personas” no puede interpretarse como un mandato de que el contrato de prestación de servicios para la ejecución del trabajo artístico solo sea causal de contratación directa cuando solo exista un único artista en el mercado que pueda encargarse de la labor requerida por la entidad. La contratación directa está permitida aun cuando sean varios los sujetos en la línea artística sobre la que versa el trabajo que contratará la Administración. Lo contrario sería confundir la causal de contratación directa que se viene analizando, con la prevista en el literal anterior, es decir, en el g) del mismo numeral y artículo, que también permite dicha modalidad contractual “cuando no exista pluralidad de oferentes en el mercado”» (Cfr. DÍAZ DÍEZ, Cristian Andrés &amp; GÓMEZ VELÁSQUEZ, Alejandro. El contrato de prestación de servicios en el estatuto general de contratación de la administración pública: un tipo contractual de compleja celebración. Consultado el 27 de septiembre de 2021 en la página </w:t>
      </w:r>
      <w:hyperlink r:id="rId1" w:history="1">
        <w:r w:rsidRPr="00636239">
          <w:rPr>
            <w:rStyle w:val="Hipervnculo"/>
            <w:rFonts w:ascii="Verdana" w:hAnsi="Verdana" w:cs="Arial"/>
            <w:sz w:val="16"/>
            <w:szCs w:val="16"/>
          </w:rPr>
          <w:t>https://revistas.javeriana.edu.co/files-articulos/VJ/139%20(2019-II)/82562148007/</w:t>
        </w:r>
      </w:hyperlink>
      <w:r w:rsidRPr="00636239">
        <w:rPr>
          <w:rFonts w:ascii="Verdana" w:hAnsi="Verdana" w:cs="Arial"/>
          <w:sz w:val="16"/>
          <w:szCs w:val="16"/>
        </w:rPr>
        <w:t xml:space="preserve">). </w:t>
      </w:r>
    </w:p>
    <w:p w14:paraId="0CCC2110" w14:textId="77777777" w:rsidR="00E334D4" w:rsidRDefault="00E334D4" w:rsidP="00E334D4">
      <w:pPr>
        <w:pStyle w:val="Textonotapie"/>
        <w:ind w:firstLine="708"/>
        <w:jc w:val="both"/>
        <w:rPr>
          <w:rFonts w:ascii="Verdana" w:hAnsi="Verdana" w:cs="Arial"/>
          <w:sz w:val="16"/>
          <w:szCs w:val="16"/>
        </w:rPr>
      </w:pPr>
    </w:p>
    <w:p w14:paraId="0E1D29FF" w14:textId="77777777" w:rsidR="00E334D4" w:rsidRPr="00636239" w:rsidRDefault="00E334D4" w:rsidP="00E334D4">
      <w:pPr>
        <w:pStyle w:val="Textonotapie"/>
        <w:ind w:firstLine="708"/>
        <w:jc w:val="both"/>
        <w:rPr>
          <w:rFonts w:ascii="Verdana" w:hAnsi="Verdana" w:cs="Arial"/>
          <w:sz w:val="16"/>
          <w:szCs w:val="16"/>
        </w:rPr>
      </w:pPr>
    </w:p>
  </w:footnote>
  <w:footnote w:id="16">
    <w:p w14:paraId="0FE0E48C" w14:textId="77777777" w:rsidR="00E334D4" w:rsidRPr="009A2D37" w:rsidRDefault="00E334D4" w:rsidP="00E334D4">
      <w:pPr>
        <w:pStyle w:val="Textonotapie"/>
        <w:ind w:firstLine="709"/>
        <w:jc w:val="both"/>
        <w:rPr>
          <w:rFonts w:ascii="Verdana" w:hAnsi="Verdana" w:cs="Arial"/>
          <w:color w:val="000000" w:themeColor="text1"/>
          <w:sz w:val="16"/>
          <w:szCs w:val="16"/>
        </w:rPr>
      </w:pPr>
      <w:r w:rsidRPr="009A2D37">
        <w:rPr>
          <w:rFonts w:ascii="Verdana" w:hAnsi="Verdana" w:cs="Arial"/>
          <w:color w:val="000000" w:themeColor="text1"/>
          <w:sz w:val="16"/>
          <w:szCs w:val="16"/>
          <w:vertAlign w:val="superscript"/>
        </w:rPr>
        <w:footnoteRef/>
      </w:r>
      <w:r w:rsidRPr="009A2D37">
        <w:rPr>
          <w:rFonts w:ascii="Verdana" w:hAnsi="Verdana" w:cs="Arial"/>
          <w:color w:val="000000" w:themeColor="text1"/>
          <w:sz w:val="16"/>
          <w:szCs w:val="16"/>
        </w:rPr>
        <w:t xml:space="preserve"> </w:t>
      </w:r>
      <w:r>
        <w:rPr>
          <w:rFonts w:ascii="Verdana" w:hAnsi="Verdana" w:cs="Arial"/>
          <w:color w:val="000000" w:themeColor="text1"/>
          <w:sz w:val="16"/>
          <w:szCs w:val="16"/>
        </w:rPr>
        <w:t xml:space="preserve">Agencia Nacional de Contratación Pública – Colombia Compra Eficiente. </w:t>
      </w:r>
      <w:r w:rsidRPr="009A2D37">
        <w:rPr>
          <w:rFonts w:ascii="Verdana" w:hAnsi="Verdana" w:cs="Arial"/>
          <w:color w:val="000000" w:themeColor="text1"/>
          <w:sz w:val="16"/>
          <w:szCs w:val="16"/>
        </w:rPr>
        <w:t>Concepto del 3 de septiembre de 2019, con radicado No. 2201913000006512.</w:t>
      </w:r>
    </w:p>
    <w:p w14:paraId="41AC7838" w14:textId="77777777" w:rsidR="00E334D4" w:rsidRPr="008F1E8B" w:rsidRDefault="00E334D4" w:rsidP="00E334D4">
      <w:pPr>
        <w:pStyle w:val="Textonotapie"/>
        <w:ind w:firstLine="709"/>
        <w:jc w:val="both"/>
        <w:rPr>
          <w:rFonts w:ascii="Verdana" w:hAnsi="Verdana"/>
          <w:sz w:val="16"/>
          <w:szCs w:val="16"/>
        </w:rPr>
      </w:pPr>
    </w:p>
  </w:footnote>
  <w:footnote w:id="17">
    <w:p w14:paraId="108CE060" w14:textId="77777777" w:rsidR="00E334D4" w:rsidRDefault="00E334D4" w:rsidP="00E334D4">
      <w:pPr>
        <w:pStyle w:val="Textonotapie"/>
        <w:ind w:firstLine="708"/>
        <w:jc w:val="both"/>
        <w:rPr>
          <w:rFonts w:ascii="Verdana" w:hAnsi="Verdana" w:cs="Arial"/>
          <w:color w:val="000000"/>
          <w:sz w:val="16"/>
          <w:szCs w:val="16"/>
        </w:rPr>
      </w:pPr>
      <w:r w:rsidRPr="009A2D37">
        <w:rPr>
          <w:rFonts w:ascii="Verdana" w:hAnsi="Verdana" w:cs="Arial"/>
          <w:color w:val="000000"/>
          <w:sz w:val="16"/>
          <w:szCs w:val="16"/>
          <w:vertAlign w:val="superscript"/>
        </w:rPr>
        <w:footnoteRef/>
      </w:r>
      <w:r w:rsidRPr="009A2D37">
        <w:rPr>
          <w:rFonts w:ascii="Verdana" w:hAnsi="Verdana" w:cs="Arial"/>
          <w:color w:val="000000"/>
          <w:sz w:val="16"/>
          <w:szCs w:val="16"/>
        </w:rPr>
        <w:t xml:space="preserve"> Decreto 1082</w:t>
      </w:r>
      <w:r>
        <w:rPr>
          <w:rFonts w:ascii="Verdana" w:hAnsi="Verdana" w:cs="Arial"/>
          <w:color w:val="000000"/>
          <w:sz w:val="16"/>
          <w:szCs w:val="16"/>
        </w:rPr>
        <w:t>. A</w:t>
      </w:r>
      <w:r w:rsidRPr="009A2D37">
        <w:rPr>
          <w:rFonts w:ascii="Verdana" w:hAnsi="Verdana" w:cs="Arial"/>
          <w:color w:val="000000"/>
          <w:sz w:val="16"/>
          <w:szCs w:val="16"/>
        </w:rPr>
        <w:t>rtículo 5: “[…] no estarán sujetos a competencia cuando la entidad sin ánimo de lucro comprometa recursos en dinero para la ejecución de esas actividades en una proporción no inferior al 30% del valor total del convenio. Los recursos que compromete la entidad sin ánimo de lucro pueden ser propios o de cooperación internacional”.</w:t>
      </w:r>
    </w:p>
    <w:p w14:paraId="07888929" w14:textId="77777777" w:rsidR="00E334D4" w:rsidRPr="008F1E8B" w:rsidRDefault="00E334D4" w:rsidP="00E334D4">
      <w:pPr>
        <w:pStyle w:val="Textonotapie"/>
        <w:ind w:firstLine="708"/>
        <w:jc w:val="both"/>
        <w:rPr>
          <w:rFonts w:ascii="Verdana" w:hAnsi="Verdana"/>
          <w:sz w:val="16"/>
          <w:szCs w:val="16"/>
        </w:rPr>
      </w:pPr>
    </w:p>
  </w:footnote>
  <w:footnote w:id="18">
    <w:p w14:paraId="1C02ABE9" w14:textId="77777777" w:rsidR="00E334D4" w:rsidRPr="008F1E8B" w:rsidRDefault="00E334D4" w:rsidP="00E334D4">
      <w:pPr>
        <w:pStyle w:val="Textonotapie"/>
        <w:ind w:firstLine="708"/>
        <w:jc w:val="both"/>
        <w:rPr>
          <w:rFonts w:ascii="Verdana" w:hAnsi="Verdana" w:cs="Arial"/>
          <w:sz w:val="16"/>
          <w:szCs w:val="16"/>
        </w:rPr>
      </w:pPr>
      <w:r w:rsidRPr="008F1E8B">
        <w:rPr>
          <w:rStyle w:val="Refdenotaalpie"/>
          <w:rFonts w:ascii="Verdana" w:hAnsi="Verdana" w:cs="Arial"/>
          <w:sz w:val="16"/>
          <w:szCs w:val="16"/>
        </w:rPr>
        <w:footnoteRef/>
      </w:r>
      <w:r w:rsidRPr="008F1E8B">
        <w:rPr>
          <w:rFonts w:ascii="Verdana" w:hAnsi="Verdana" w:cs="Arial"/>
          <w:sz w:val="16"/>
          <w:szCs w:val="16"/>
        </w:rPr>
        <w:t xml:space="preserve"> Cfr. Concepto del 21 de agosto de 2019, dictado dentro del radicado No. 2201913000006047.</w:t>
      </w:r>
    </w:p>
    <w:p w14:paraId="2D89BE19" w14:textId="77777777" w:rsidR="00E334D4" w:rsidRPr="008F1E8B" w:rsidRDefault="00E334D4" w:rsidP="00E334D4">
      <w:pPr>
        <w:pStyle w:val="Textonotapie"/>
        <w:ind w:firstLine="708"/>
        <w:jc w:val="both"/>
        <w:rPr>
          <w:rFonts w:ascii="Verdana" w:hAnsi="Verdana" w:cs="Arial"/>
          <w:sz w:val="16"/>
          <w:szCs w:val="16"/>
          <w:lang w:val="es-ES"/>
        </w:rPr>
      </w:pPr>
    </w:p>
  </w:footnote>
  <w:footnote w:id="19">
    <w:p w14:paraId="184E7E41" w14:textId="77777777" w:rsidR="00E334D4" w:rsidRPr="008F1E8B" w:rsidRDefault="00E334D4" w:rsidP="00E334D4">
      <w:pPr>
        <w:pStyle w:val="Textonotapie"/>
        <w:ind w:firstLine="708"/>
        <w:jc w:val="both"/>
        <w:rPr>
          <w:rFonts w:ascii="Verdana" w:hAnsi="Verdana" w:cs="Arial"/>
          <w:sz w:val="16"/>
          <w:szCs w:val="16"/>
          <w:lang w:val="es-ES"/>
        </w:rPr>
      </w:pPr>
      <w:r w:rsidRPr="008F1E8B">
        <w:rPr>
          <w:rStyle w:val="Refdenotaalpie"/>
          <w:rFonts w:ascii="Verdana" w:hAnsi="Verdana" w:cs="Arial"/>
          <w:sz w:val="16"/>
          <w:szCs w:val="16"/>
        </w:rPr>
        <w:footnoteRef/>
      </w:r>
      <w:r w:rsidRPr="008F1E8B">
        <w:rPr>
          <w:rFonts w:ascii="Verdana" w:hAnsi="Verdana" w:cs="Arial"/>
          <w:sz w:val="16"/>
          <w:szCs w:val="16"/>
        </w:rPr>
        <w:t xml:space="preserve"> Concepto del 24 de febrero de 2005, con radicado No. 1626, C.P. Dra. Gloria Duque Hernández</w:t>
      </w:r>
    </w:p>
  </w:footnote>
  <w:footnote w:id="20">
    <w:p w14:paraId="164E4DCC" w14:textId="77777777" w:rsidR="00E334D4" w:rsidRPr="00435A6A" w:rsidRDefault="00E334D4" w:rsidP="00E334D4">
      <w:pPr>
        <w:pStyle w:val="Textonotapie"/>
        <w:ind w:firstLine="709"/>
        <w:jc w:val="both"/>
        <w:rPr>
          <w:rFonts w:ascii="Verdana" w:hAnsi="Verdana" w:cs="Arial"/>
          <w:sz w:val="14"/>
          <w:szCs w:val="14"/>
        </w:rPr>
      </w:pPr>
      <w:r w:rsidRPr="00435A6A">
        <w:rPr>
          <w:rStyle w:val="Refdenotaalpie"/>
          <w:rFonts w:ascii="Verdana" w:hAnsi="Verdana" w:cs="Arial"/>
          <w:sz w:val="14"/>
          <w:szCs w:val="14"/>
        </w:rPr>
        <w:footnoteRef/>
      </w:r>
      <w:r w:rsidRPr="00435A6A">
        <w:rPr>
          <w:rFonts w:ascii="Verdana" w:hAnsi="Verdana" w:cs="Arial"/>
          <w:sz w:val="14"/>
          <w:szCs w:val="14"/>
        </w:rPr>
        <w:t xml:space="preserve"> El artículo 127 de la Constitución Política señala: “Los servidores públicos no podrán celebrar, por si o por interpuesta persona, o en representación de otro, contrato alguno con entidades públicas o con personas privadas que manejen o administren recursos públicos, salvo las excepciones legales. </w:t>
      </w:r>
    </w:p>
    <w:p w14:paraId="550B37D7" w14:textId="77777777" w:rsidR="00E334D4" w:rsidRPr="00435A6A" w:rsidRDefault="00E334D4" w:rsidP="00E334D4">
      <w:pPr>
        <w:pStyle w:val="Textonotapie"/>
        <w:ind w:firstLine="709"/>
        <w:jc w:val="both"/>
        <w:rPr>
          <w:rFonts w:ascii="Verdana" w:hAnsi="Verdana" w:cs="Arial"/>
          <w:sz w:val="14"/>
          <w:szCs w:val="14"/>
        </w:rPr>
      </w:pPr>
      <w:r w:rsidRPr="00435A6A">
        <w:rPr>
          <w:rFonts w:ascii="Verdana" w:hAnsi="Verdana" w:cs="Arial"/>
          <w:sz w:val="14"/>
          <w:szCs w:val="14"/>
        </w:rPr>
        <w:t>A los empleados del Estado que se desempeñen en la Rama Judicial, en los órganos electorales, de control y de seguridad les está prohibido tomar parte en las actividades de los partidos y movimientos y en las controversias políticas, sin perjuicio de ejercer libremente el derecho al sufragio. A los miembros de la Fuerza Pública en servicio activo se les aplican las limitaciones contempladas en el artículo 219 de la Constitución. Los empleados no contemplados en esta prohibición solo podrán participar en dichas actividades y controversias en las condiciones que señale la Ley Estatutaria”.</w:t>
      </w:r>
    </w:p>
    <w:p w14:paraId="2A6A1DCE" w14:textId="77777777" w:rsidR="00E334D4" w:rsidRPr="00435A6A" w:rsidRDefault="00E334D4" w:rsidP="00E334D4">
      <w:pPr>
        <w:pStyle w:val="Textonotapie"/>
        <w:ind w:firstLine="709"/>
        <w:jc w:val="both"/>
        <w:rPr>
          <w:rFonts w:ascii="Verdana" w:hAnsi="Verdana" w:cs="Arial"/>
          <w:sz w:val="14"/>
          <w:szCs w:val="14"/>
        </w:rPr>
      </w:pPr>
    </w:p>
  </w:footnote>
  <w:footnote w:id="21">
    <w:p w14:paraId="4406347D" w14:textId="77777777" w:rsidR="00E334D4" w:rsidRPr="00435A6A" w:rsidRDefault="00E334D4" w:rsidP="00E334D4">
      <w:pPr>
        <w:pStyle w:val="Textonotapie"/>
        <w:ind w:firstLine="709"/>
        <w:jc w:val="both"/>
        <w:rPr>
          <w:rFonts w:ascii="Verdana" w:hAnsi="Verdana" w:cs="Arial"/>
          <w:sz w:val="14"/>
          <w:szCs w:val="14"/>
        </w:rPr>
      </w:pPr>
      <w:r w:rsidRPr="00435A6A">
        <w:rPr>
          <w:rStyle w:val="Refdenotaalpie"/>
          <w:rFonts w:ascii="Verdana" w:hAnsi="Verdana" w:cs="Arial"/>
          <w:sz w:val="14"/>
          <w:szCs w:val="14"/>
        </w:rPr>
        <w:footnoteRef/>
      </w:r>
      <w:r w:rsidRPr="00435A6A">
        <w:rPr>
          <w:rFonts w:ascii="Verdana" w:hAnsi="Verdana" w:cs="Arial"/>
          <w:sz w:val="14"/>
          <w:szCs w:val="14"/>
        </w:rPr>
        <w:t xml:space="preserve"> Gaceta del Congreso de la República No. 71 del 2005.</w:t>
      </w:r>
    </w:p>
    <w:p w14:paraId="3D187248" w14:textId="77777777" w:rsidR="00E334D4" w:rsidRPr="00435A6A" w:rsidRDefault="00E334D4" w:rsidP="00E334D4">
      <w:pPr>
        <w:pStyle w:val="Textonotapie"/>
        <w:ind w:firstLine="709"/>
        <w:jc w:val="both"/>
        <w:rPr>
          <w:rFonts w:ascii="Verdana" w:hAnsi="Verdana" w:cs="Arial"/>
          <w:sz w:val="14"/>
          <w:szCs w:val="14"/>
        </w:rPr>
      </w:pPr>
    </w:p>
  </w:footnote>
  <w:footnote w:id="22">
    <w:p w14:paraId="6DE509F2" w14:textId="77777777" w:rsidR="00E334D4" w:rsidRPr="00435A6A" w:rsidRDefault="00E334D4" w:rsidP="00E334D4">
      <w:pPr>
        <w:pStyle w:val="Textonotapie"/>
        <w:tabs>
          <w:tab w:val="left" w:pos="8145"/>
        </w:tabs>
        <w:ind w:firstLine="709"/>
        <w:jc w:val="both"/>
        <w:rPr>
          <w:rFonts w:ascii="Verdana" w:hAnsi="Verdana" w:cs="Arial"/>
          <w:sz w:val="14"/>
          <w:szCs w:val="14"/>
          <w:lang w:val="pt-PT"/>
        </w:rPr>
      </w:pPr>
      <w:r w:rsidRPr="00435A6A">
        <w:rPr>
          <w:rStyle w:val="Refdenotaalpie"/>
          <w:rFonts w:ascii="Verdana" w:hAnsi="Verdana" w:cs="Arial"/>
          <w:sz w:val="14"/>
          <w:szCs w:val="14"/>
        </w:rPr>
        <w:footnoteRef/>
      </w:r>
      <w:r w:rsidRPr="00435A6A">
        <w:rPr>
          <w:rFonts w:ascii="Verdana" w:hAnsi="Verdana" w:cs="Arial"/>
          <w:sz w:val="14"/>
          <w:szCs w:val="14"/>
          <w:lang w:val="pt-PT"/>
        </w:rPr>
        <w:t xml:space="preserve"> Corte Constitucional. Sentencia C- 1153 de 2005, M.P: Marco Gerardo Monroy Cabra.</w:t>
      </w:r>
      <w:r w:rsidRPr="00435A6A">
        <w:rPr>
          <w:rFonts w:ascii="Verdana" w:hAnsi="Verdana" w:cs="Arial"/>
          <w:sz w:val="14"/>
          <w:szCs w:val="14"/>
          <w:lang w:val="pt-PT"/>
        </w:rPr>
        <w:tab/>
      </w:r>
    </w:p>
    <w:p w14:paraId="06BB884C" w14:textId="77777777" w:rsidR="00E334D4" w:rsidRPr="00435A6A" w:rsidRDefault="00E334D4" w:rsidP="00E334D4">
      <w:pPr>
        <w:pStyle w:val="Textonotapie"/>
        <w:tabs>
          <w:tab w:val="left" w:pos="8145"/>
        </w:tabs>
        <w:ind w:firstLine="709"/>
        <w:jc w:val="both"/>
        <w:rPr>
          <w:rFonts w:ascii="Verdana" w:hAnsi="Verdana" w:cs="Arial"/>
          <w:sz w:val="14"/>
          <w:szCs w:val="14"/>
          <w:lang w:val="pt-PT"/>
        </w:rPr>
      </w:pPr>
    </w:p>
  </w:footnote>
  <w:footnote w:id="23">
    <w:p w14:paraId="636876FE" w14:textId="77777777" w:rsidR="00E334D4" w:rsidRPr="00435A6A" w:rsidRDefault="00E334D4" w:rsidP="00E334D4">
      <w:pPr>
        <w:pStyle w:val="Textonotapie"/>
        <w:ind w:firstLine="709"/>
        <w:jc w:val="both"/>
        <w:rPr>
          <w:rFonts w:ascii="Verdana" w:hAnsi="Verdana" w:cs="Arial"/>
          <w:sz w:val="14"/>
          <w:szCs w:val="14"/>
          <w:lang w:val="pt-PT"/>
        </w:rPr>
      </w:pPr>
      <w:r w:rsidRPr="00435A6A">
        <w:rPr>
          <w:rStyle w:val="Refdenotaalpie"/>
          <w:rFonts w:ascii="Verdana" w:hAnsi="Verdana" w:cs="Arial"/>
          <w:sz w:val="14"/>
          <w:szCs w:val="14"/>
        </w:rPr>
        <w:footnoteRef/>
      </w:r>
      <w:r w:rsidRPr="00435A6A">
        <w:rPr>
          <w:rFonts w:ascii="Verdana" w:hAnsi="Verdana" w:cs="Arial"/>
          <w:sz w:val="14"/>
          <w:szCs w:val="14"/>
          <w:lang w:val="pt-PT"/>
        </w:rPr>
        <w:t xml:space="preserve"> </w:t>
      </w:r>
      <w:r w:rsidRPr="005A14DD">
        <w:rPr>
          <w:rFonts w:ascii="Verdana" w:hAnsi="Verdana" w:cs="Arial"/>
          <w:sz w:val="14"/>
          <w:szCs w:val="14"/>
          <w:lang w:val="pt-PT"/>
        </w:rPr>
        <w:t>Corte Constitucional. Sentencias: C-233 de 4 de abril de 2002. M.P: Álvaro Tafur Galvis; C-551 de 9 de julio de 2003. M.P: Eduardo Montealegre Lynnet; C-353 de 20 de mayo de 2009. M.P: Jorge Iván Palacio Palacio; C-541 de 30 de junio de 2010. M.P: Gabriel Eduardo Mendoza Martelo; entre otras.</w:t>
      </w:r>
    </w:p>
    <w:p w14:paraId="39A9CEA2" w14:textId="77777777" w:rsidR="00E334D4" w:rsidRPr="00435A6A" w:rsidRDefault="00E334D4" w:rsidP="00E334D4">
      <w:pPr>
        <w:pStyle w:val="Textonotapie"/>
        <w:ind w:firstLine="709"/>
        <w:jc w:val="both"/>
        <w:rPr>
          <w:rFonts w:ascii="Verdana" w:hAnsi="Verdana" w:cs="Arial"/>
          <w:sz w:val="14"/>
          <w:szCs w:val="14"/>
          <w:lang w:val="pt-PT"/>
        </w:rPr>
      </w:pPr>
    </w:p>
  </w:footnote>
  <w:footnote w:id="24">
    <w:p w14:paraId="4268E6F5" w14:textId="77777777" w:rsidR="00E334D4" w:rsidRPr="00435A6A" w:rsidRDefault="00E334D4" w:rsidP="00E334D4">
      <w:pPr>
        <w:pStyle w:val="Textonotapie"/>
        <w:ind w:firstLine="709"/>
        <w:jc w:val="both"/>
        <w:rPr>
          <w:rFonts w:ascii="Verdana" w:hAnsi="Verdana" w:cs="Arial"/>
          <w:sz w:val="14"/>
          <w:szCs w:val="14"/>
          <w:lang w:val="es-CO"/>
        </w:rPr>
      </w:pPr>
      <w:r w:rsidRPr="00435A6A">
        <w:rPr>
          <w:rStyle w:val="Refdenotaalpie"/>
          <w:rFonts w:ascii="Verdana" w:hAnsi="Verdana" w:cs="Arial"/>
          <w:sz w:val="14"/>
          <w:szCs w:val="14"/>
        </w:rPr>
        <w:footnoteRef/>
      </w:r>
      <w:r w:rsidRPr="005A14DD">
        <w:rPr>
          <w:rFonts w:ascii="Verdana" w:hAnsi="Verdana" w:cs="Arial"/>
          <w:sz w:val="14"/>
          <w:szCs w:val="14"/>
          <w:lang w:val="pt-PT"/>
        </w:rPr>
        <w:t xml:space="preserve"> Consejo de Estado. </w:t>
      </w:r>
      <w:r w:rsidRPr="00435A6A">
        <w:rPr>
          <w:rFonts w:ascii="Verdana" w:hAnsi="Verdana" w:cs="Arial"/>
          <w:sz w:val="14"/>
          <w:szCs w:val="14"/>
          <w:lang w:val="es-CO"/>
        </w:rPr>
        <w:t xml:space="preserve">Sala de lo Contencioso Administrativo. Sección Primera. Sentencia de 3 de marzo de 2005. Radicado: </w:t>
      </w:r>
      <w:r w:rsidRPr="00435A6A">
        <w:rPr>
          <w:rFonts w:ascii="Verdana" w:hAnsi="Verdana" w:cs="Arial"/>
          <w:sz w:val="14"/>
          <w:szCs w:val="14"/>
          <w:lang w:val="es-ES"/>
        </w:rPr>
        <w:t xml:space="preserve">25001-23-15-000-2004-00823-01 (PI). </w:t>
      </w:r>
      <w:r w:rsidRPr="00435A6A">
        <w:rPr>
          <w:rFonts w:ascii="Verdana" w:hAnsi="Verdana" w:cs="Arial"/>
          <w:sz w:val="14"/>
          <w:szCs w:val="14"/>
          <w:lang w:val="es-CO"/>
        </w:rPr>
        <w:t>C.P: Camilo Arciniegas Andrade. Ver también, de la Sección Tercera. Sentencia de 22 de enero de 2002, expediente número 2001-0148-01 y, Sección Tercera. Sentencia de 20 de noviembre de 2001, expediente número 2001-0130-01(PI), entre otras.</w:t>
      </w:r>
    </w:p>
    <w:p w14:paraId="4D711121" w14:textId="77777777" w:rsidR="00E334D4" w:rsidRPr="00435A6A" w:rsidRDefault="00E334D4" w:rsidP="00E334D4">
      <w:pPr>
        <w:pStyle w:val="Textonotapie"/>
        <w:ind w:firstLine="709"/>
        <w:jc w:val="both"/>
        <w:rPr>
          <w:rFonts w:ascii="Verdana" w:hAnsi="Verdana" w:cs="Arial"/>
          <w:sz w:val="14"/>
          <w:szCs w:val="14"/>
          <w:lang w:val="es-CO"/>
        </w:rPr>
      </w:pPr>
    </w:p>
  </w:footnote>
  <w:footnote w:id="25">
    <w:p w14:paraId="05AB0DD0" w14:textId="77777777" w:rsidR="00E334D4" w:rsidRPr="00435A6A" w:rsidRDefault="00E334D4" w:rsidP="00E334D4">
      <w:pPr>
        <w:pStyle w:val="Textonotapie"/>
        <w:ind w:firstLine="709"/>
        <w:jc w:val="both"/>
        <w:rPr>
          <w:rFonts w:ascii="Verdana" w:hAnsi="Verdana" w:cs="Arial"/>
          <w:sz w:val="14"/>
          <w:szCs w:val="14"/>
        </w:rPr>
      </w:pPr>
      <w:r w:rsidRPr="00435A6A">
        <w:rPr>
          <w:rStyle w:val="Refdenotaalpie"/>
          <w:rFonts w:ascii="Verdana" w:hAnsi="Verdana" w:cs="Arial"/>
          <w:sz w:val="14"/>
          <w:szCs w:val="14"/>
        </w:rPr>
        <w:footnoteRef/>
      </w:r>
      <w:r w:rsidRPr="00435A6A">
        <w:rPr>
          <w:rFonts w:ascii="Verdana" w:hAnsi="Verdana" w:cs="Arial"/>
          <w:sz w:val="14"/>
          <w:szCs w:val="14"/>
        </w:rPr>
        <w:t xml:space="preserve"> Consejo de Estado, Sala de Consulta y Servicio Civil. 24 de julio de 2013. Radicado: </w:t>
      </w:r>
      <w:r w:rsidRPr="00435A6A">
        <w:rPr>
          <w:rFonts w:ascii="Verdana" w:hAnsi="Verdana" w:cs="Arial"/>
          <w:sz w:val="14"/>
          <w:szCs w:val="14"/>
          <w:lang w:val="es-CO"/>
        </w:rPr>
        <w:t xml:space="preserve">11001-03-06-000-2013-00407-00 </w:t>
      </w:r>
      <w:r w:rsidRPr="00435A6A">
        <w:rPr>
          <w:rFonts w:ascii="Verdana" w:hAnsi="Verdana" w:cs="Arial"/>
          <w:sz w:val="14"/>
          <w:szCs w:val="14"/>
        </w:rPr>
        <w:t xml:space="preserve">(2166). C.P. Álvaro Namén Vargas.  </w:t>
      </w:r>
    </w:p>
    <w:p w14:paraId="0E3D8A7B" w14:textId="77777777" w:rsidR="00E334D4" w:rsidRPr="00435A6A" w:rsidRDefault="00E334D4" w:rsidP="00E334D4">
      <w:pPr>
        <w:pStyle w:val="Textonotapie"/>
        <w:ind w:firstLine="709"/>
        <w:jc w:val="both"/>
        <w:rPr>
          <w:rFonts w:ascii="Verdana" w:hAnsi="Verdana" w:cs="Arial"/>
          <w:sz w:val="14"/>
          <w:szCs w:val="14"/>
        </w:rPr>
      </w:pPr>
    </w:p>
  </w:footnote>
  <w:footnote w:id="26">
    <w:p w14:paraId="69F640B6" w14:textId="77777777" w:rsidR="00E334D4" w:rsidRPr="00435A6A" w:rsidRDefault="00E334D4" w:rsidP="00E334D4">
      <w:pPr>
        <w:spacing w:after="0" w:line="240" w:lineRule="auto"/>
        <w:ind w:firstLine="709"/>
        <w:jc w:val="both"/>
        <w:rPr>
          <w:rFonts w:ascii="Verdana" w:eastAsia="Times New Roman" w:hAnsi="Verdana" w:cs="Arial"/>
          <w:sz w:val="14"/>
          <w:szCs w:val="14"/>
        </w:rPr>
      </w:pPr>
      <w:r w:rsidRPr="00435A6A">
        <w:rPr>
          <w:rStyle w:val="Refdenotaalpie"/>
          <w:rFonts w:ascii="Verdana" w:hAnsi="Verdana" w:cs="Arial"/>
          <w:sz w:val="14"/>
          <w:szCs w:val="14"/>
        </w:rPr>
        <w:footnoteRef/>
      </w:r>
      <w:r w:rsidRPr="00435A6A">
        <w:rPr>
          <w:rFonts w:ascii="Verdana" w:hAnsi="Verdana" w:cs="Arial"/>
          <w:sz w:val="14"/>
          <w:szCs w:val="14"/>
        </w:rPr>
        <w:t xml:space="preserve"> </w:t>
      </w:r>
      <w:bookmarkStart w:id="8" w:name="33"/>
      <w:r w:rsidRPr="00435A6A">
        <w:rPr>
          <w:rFonts w:ascii="Verdana" w:eastAsia="Calibri" w:hAnsi="Verdana" w:cs="Arial"/>
          <w:color w:val="000000"/>
          <w:sz w:val="14"/>
          <w:szCs w:val="14"/>
        </w:rPr>
        <w:t>“</w:t>
      </w:r>
      <w:r w:rsidRPr="00435A6A">
        <w:rPr>
          <w:rFonts w:ascii="Verdana" w:eastAsia="Times New Roman" w:hAnsi="Verdana" w:cs="Arial"/>
          <w:sz w:val="14"/>
          <w:szCs w:val="14"/>
        </w:rPr>
        <w:t>Artículo 33. Restricciones a la contratación pública.</w:t>
      </w:r>
      <w:bookmarkEnd w:id="8"/>
      <w:r w:rsidRPr="00435A6A">
        <w:rPr>
          <w:rFonts w:ascii="Verdana" w:eastAsia="Times New Roman" w:hAnsi="Verdana" w:cs="Arial"/>
          <w:sz w:val="14"/>
          <w:szCs w:val="14"/>
        </w:rPr>
        <w:t> Durante los cuatro (4) meses anteriores a la elección presidencial y hasta la realización de la elección en la segunda vuelta, si fuere el caso, queda prohibida la contratación directa por parte de todos los entes del Estado.</w:t>
      </w:r>
    </w:p>
    <w:p w14:paraId="271D7084" w14:textId="77777777" w:rsidR="00E334D4" w:rsidRPr="00435A6A" w:rsidRDefault="00E334D4" w:rsidP="00E334D4">
      <w:pPr>
        <w:spacing w:after="0" w:line="240" w:lineRule="auto"/>
        <w:ind w:firstLine="709"/>
        <w:jc w:val="both"/>
        <w:rPr>
          <w:rFonts w:ascii="Verdana" w:eastAsia="Times New Roman" w:hAnsi="Verdana" w:cs="Arial"/>
          <w:sz w:val="14"/>
          <w:szCs w:val="14"/>
        </w:rPr>
      </w:pPr>
      <w:r w:rsidRPr="00435A6A">
        <w:rPr>
          <w:rFonts w:ascii="Verdana" w:eastAsia="Times New Roman" w:hAnsi="Verdana" w:cs="Arial"/>
          <w:sz w:val="14"/>
          <w:szCs w:val="14"/>
        </w:rPr>
        <w:t>Queda exceptuado lo referente a la defensa y seguridad del Estado, los contratos de crédito público, los requeridos para cubrir las emergencias educativas, sanitarias y desastres, así como también los utilizados para la reconstrucción de vías, puentes, carreteras, infraestructura energética y de comunicaciones, en caso de que hayan sido objeto de atentados, acciones terroristas, desastres naturales o casos de fuerza mayor, y los que deban realizar las entidades sanitarias y hospitalarias.</w:t>
      </w:r>
    </w:p>
    <w:p w14:paraId="2F724F19" w14:textId="77777777" w:rsidR="00E334D4" w:rsidRPr="00435A6A" w:rsidRDefault="00E334D4" w:rsidP="00E334D4">
      <w:pPr>
        <w:spacing w:after="0" w:line="240" w:lineRule="auto"/>
        <w:ind w:firstLine="709"/>
        <w:jc w:val="both"/>
        <w:rPr>
          <w:rFonts w:ascii="Verdana" w:eastAsia="Times New Roman" w:hAnsi="Verdana" w:cs="Arial"/>
          <w:sz w:val="14"/>
          <w:szCs w:val="14"/>
        </w:rPr>
      </w:pPr>
    </w:p>
  </w:footnote>
  <w:footnote w:id="27">
    <w:p w14:paraId="4F512F13" w14:textId="77777777" w:rsidR="00E334D4" w:rsidRPr="00435A6A" w:rsidRDefault="00E334D4" w:rsidP="00E334D4">
      <w:pPr>
        <w:pStyle w:val="NormalWeb"/>
        <w:spacing w:before="0" w:beforeAutospacing="0" w:after="0" w:afterAutospacing="0"/>
        <w:ind w:firstLine="709"/>
        <w:jc w:val="both"/>
        <w:rPr>
          <w:rFonts w:ascii="Verdana" w:hAnsi="Verdana" w:cs="Arial"/>
          <w:sz w:val="14"/>
          <w:szCs w:val="14"/>
          <w:lang w:val="es-MX"/>
        </w:rPr>
      </w:pPr>
      <w:r w:rsidRPr="00176A0C">
        <w:rPr>
          <w:rStyle w:val="Refdenotaalpie"/>
          <w:rFonts w:ascii="Verdana" w:hAnsi="Verdana" w:cs="Arial"/>
          <w:sz w:val="14"/>
          <w:szCs w:val="14"/>
        </w:rPr>
        <w:footnoteRef/>
      </w:r>
      <w:r w:rsidRPr="00435A6A">
        <w:rPr>
          <w:rFonts w:ascii="Verdana" w:hAnsi="Verdana" w:cs="Arial"/>
          <w:sz w:val="14"/>
          <w:szCs w:val="14"/>
        </w:rPr>
        <w:t xml:space="preserve"> </w:t>
      </w:r>
      <w:bookmarkStart w:id="9" w:name="38"/>
      <w:r w:rsidRPr="00435A6A">
        <w:rPr>
          <w:rFonts w:ascii="Verdana" w:eastAsia="Calibri" w:hAnsi="Verdana" w:cs="Arial"/>
          <w:color w:val="000000"/>
          <w:sz w:val="14"/>
          <w:szCs w:val="14"/>
        </w:rPr>
        <w:t>“</w:t>
      </w:r>
      <w:r w:rsidRPr="00435A6A">
        <w:rPr>
          <w:rFonts w:ascii="Verdana" w:hAnsi="Verdana" w:cs="Arial"/>
          <w:sz w:val="14"/>
          <w:szCs w:val="14"/>
          <w:lang w:val="es-MX"/>
        </w:rPr>
        <w:t>Artículo 38. Prohibiciones para los servidores públicos. A los empleados del Estado les está prohibido:</w:t>
      </w:r>
      <w:bookmarkEnd w:id="9"/>
    </w:p>
    <w:p w14:paraId="7887C032" w14:textId="77777777" w:rsidR="00E334D4" w:rsidRPr="00435A6A" w:rsidRDefault="00E334D4" w:rsidP="00E334D4">
      <w:pPr>
        <w:pStyle w:val="NormalWeb"/>
        <w:spacing w:before="0" w:beforeAutospacing="0" w:after="0" w:afterAutospacing="0"/>
        <w:ind w:firstLine="709"/>
        <w:jc w:val="both"/>
        <w:rPr>
          <w:rFonts w:ascii="Verdana" w:hAnsi="Verdana" w:cs="Arial"/>
          <w:sz w:val="14"/>
          <w:szCs w:val="14"/>
          <w:lang w:val="es-MX"/>
        </w:rPr>
      </w:pPr>
      <w:r w:rsidRPr="00435A6A">
        <w:rPr>
          <w:rFonts w:ascii="Verdana" w:hAnsi="Verdana" w:cs="Arial"/>
          <w:sz w:val="14"/>
          <w:szCs w:val="14"/>
          <w:lang w:val="es-MX"/>
        </w:rPr>
        <w:t>(…)</w:t>
      </w:r>
    </w:p>
    <w:p w14:paraId="0AE52545" w14:textId="77777777" w:rsidR="00E334D4" w:rsidRPr="00435A6A" w:rsidRDefault="00E334D4" w:rsidP="00E334D4">
      <w:pPr>
        <w:pStyle w:val="NormalWeb"/>
        <w:spacing w:before="0" w:beforeAutospacing="0" w:after="0" w:afterAutospacing="0"/>
        <w:ind w:firstLine="709"/>
        <w:jc w:val="both"/>
        <w:rPr>
          <w:rFonts w:ascii="Verdana" w:eastAsia="Calibri" w:hAnsi="Verdana" w:cs="Arial"/>
          <w:color w:val="000000"/>
          <w:sz w:val="14"/>
          <w:szCs w:val="14"/>
        </w:rPr>
      </w:pPr>
      <w:r w:rsidRPr="00435A6A">
        <w:rPr>
          <w:rStyle w:val="baj"/>
          <w:rFonts w:ascii="Verdana" w:hAnsi="Verdana" w:cs="Arial"/>
          <w:sz w:val="14"/>
          <w:szCs w:val="14"/>
          <w:lang w:val="es-MX"/>
        </w:rPr>
        <w:t>Parágrafo.</w:t>
      </w:r>
      <w:r w:rsidRPr="00435A6A">
        <w:rPr>
          <w:rFonts w:ascii="Verdana" w:hAnsi="Verdana" w:cs="Arial"/>
          <w:sz w:val="14"/>
          <w:szCs w:val="14"/>
          <w:lang w:val="es-MX"/>
        </w:rPr>
        <w:t> Los gobernadores, alcaldes municipales y/o distritales, secretarios, gerentes y directores de entidades descentralizadas del orden municipal, departamental o distrital, dentro de los cuatro (4) meses anteriores a las elecciones, no podrán celebrar convenios interadministrativos para la ejecución de recursos públicos, ni participar, promover y destinar recursos públicos de las entidades a su cargo, como tampoco de las que participen como miembros de sus juntas directivas, en o para reuniones de carácter proselitista</w:t>
      </w:r>
      <w:r w:rsidRPr="00435A6A">
        <w:rPr>
          <w:rFonts w:ascii="Verdana" w:eastAsia="Calibri" w:hAnsi="Verdana" w:cs="Arial"/>
          <w:color w:val="000000"/>
          <w:sz w:val="14"/>
          <w:szCs w:val="14"/>
        </w:rPr>
        <w:t>”.</w:t>
      </w:r>
    </w:p>
    <w:p w14:paraId="13D37926" w14:textId="77777777" w:rsidR="00E334D4" w:rsidRPr="00435A6A" w:rsidRDefault="00E334D4" w:rsidP="00E334D4">
      <w:pPr>
        <w:pStyle w:val="NormalWeb"/>
        <w:spacing w:before="0" w:beforeAutospacing="0" w:after="0" w:afterAutospacing="0"/>
        <w:ind w:firstLine="709"/>
        <w:jc w:val="both"/>
        <w:rPr>
          <w:rFonts w:ascii="Verdana" w:hAnsi="Verdana" w:cs="Arial"/>
          <w:sz w:val="14"/>
          <w:szCs w:val="14"/>
          <w:lang w:val="es-MX"/>
        </w:rPr>
      </w:pPr>
    </w:p>
  </w:footnote>
  <w:footnote w:id="28">
    <w:p w14:paraId="32DB594F" w14:textId="77777777" w:rsidR="00E334D4" w:rsidRPr="00AA5D69" w:rsidRDefault="00E334D4" w:rsidP="00E334D4">
      <w:pPr>
        <w:pStyle w:val="Textonotapie"/>
        <w:ind w:firstLine="708"/>
        <w:jc w:val="both"/>
        <w:rPr>
          <w:rFonts w:ascii="Verdana" w:hAnsi="Verdana" w:cs="Arial"/>
          <w:sz w:val="14"/>
          <w:szCs w:val="14"/>
        </w:rPr>
      </w:pPr>
      <w:r w:rsidRPr="00AA5D69">
        <w:rPr>
          <w:rStyle w:val="Refdenotaalpie"/>
          <w:rFonts w:ascii="Verdana" w:hAnsi="Verdana" w:cs="Arial"/>
          <w:sz w:val="14"/>
          <w:szCs w:val="14"/>
        </w:rPr>
        <w:footnoteRef/>
      </w:r>
      <w:r w:rsidRPr="00AA5D69">
        <w:rPr>
          <w:rFonts w:ascii="Verdana" w:hAnsi="Verdana" w:cs="Arial"/>
          <w:sz w:val="14"/>
          <w:szCs w:val="14"/>
        </w:rPr>
        <w:t xml:space="preserve"> Colombia Compra Eficiente. Circular Externa Única. Numeral 16.5. </w:t>
      </w:r>
    </w:p>
  </w:footnote>
  <w:footnote w:id="29">
    <w:p w14:paraId="23FDEF83" w14:textId="77777777" w:rsidR="00E334D4" w:rsidRPr="00435A6A" w:rsidRDefault="00E334D4" w:rsidP="00E334D4">
      <w:pPr>
        <w:tabs>
          <w:tab w:val="left" w:pos="2127"/>
        </w:tabs>
        <w:spacing w:after="0" w:line="240" w:lineRule="auto"/>
        <w:ind w:left="100" w:right="244" w:firstLine="709"/>
        <w:jc w:val="both"/>
        <w:rPr>
          <w:rFonts w:ascii="Verdana" w:hAnsi="Verdana" w:cs="Arial"/>
          <w:sz w:val="14"/>
          <w:szCs w:val="14"/>
        </w:rPr>
      </w:pPr>
      <w:r w:rsidRPr="00435A6A">
        <w:rPr>
          <w:rStyle w:val="Refdenotaalpie"/>
          <w:rFonts w:ascii="Verdana" w:hAnsi="Verdana" w:cs="Arial"/>
          <w:sz w:val="14"/>
          <w:szCs w:val="14"/>
        </w:rPr>
        <w:footnoteRef/>
      </w:r>
      <w:r w:rsidRPr="00435A6A">
        <w:rPr>
          <w:rFonts w:ascii="Verdana" w:hAnsi="Verdana" w:cs="Arial"/>
          <w:sz w:val="14"/>
          <w:szCs w:val="14"/>
        </w:rPr>
        <w:t xml:space="preserve"> Consejo de Estado. Sala de Consulta y Servicio Civil. Concepto del 17 de febrero de 2015. Radicado: 11001-03-06-000-2015-00164-00 (2269). C.P. William Zambrano Cetina.</w:t>
      </w:r>
    </w:p>
    <w:p w14:paraId="5FDA36D3" w14:textId="77777777" w:rsidR="00E334D4" w:rsidRPr="00435A6A" w:rsidRDefault="00E334D4" w:rsidP="00E334D4">
      <w:pPr>
        <w:spacing w:after="0" w:line="240" w:lineRule="auto"/>
        <w:ind w:left="100" w:right="244" w:firstLine="709"/>
        <w:jc w:val="both"/>
        <w:rPr>
          <w:rFonts w:ascii="Verdana" w:hAnsi="Verdana" w:cs="Arial"/>
          <w:sz w:val="14"/>
          <w:szCs w:val="14"/>
          <w:lang w:val="es-ES"/>
        </w:rPr>
      </w:pPr>
    </w:p>
  </w:footnote>
  <w:footnote w:id="30">
    <w:p w14:paraId="51762C5F" w14:textId="77777777" w:rsidR="00E334D4" w:rsidRPr="00435A6A" w:rsidRDefault="00E334D4" w:rsidP="00E334D4">
      <w:pPr>
        <w:pStyle w:val="Textonotapie"/>
        <w:ind w:firstLine="709"/>
        <w:jc w:val="both"/>
        <w:rPr>
          <w:rFonts w:ascii="Verdana" w:hAnsi="Verdana" w:cs="Arial"/>
          <w:sz w:val="14"/>
          <w:szCs w:val="14"/>
        </w:rPr>
      </w:pPr>
      <w:r w:rsidRPr="00435A6A">
        <w:rPr>
          <w:rStyle w:val="Refdenotaalpie"/>
          <w:rFonts w:ascii="Verdana" w:hAnsi="Verdana" w:cs="Arial"/>
          <w:sz w:val="14"/>
          <w:szCs w:val="14"/>
        </w:rPr>
        <w:footnoteRef/>
      </w:r>
      <w:r w:rsidRPr="00435A6A">
        <w:rPr>
          <w:rFonts w:ascii="Verdana" w:hAnsi="Verdana" w:cs="Arial"/>
          <w:sz w:val="14"/>
          <w:szCs w:val="14"/>
        </w:rPr>
        <w:t xml:space="preserve"> “</w:t>
      </w:r>
      <w:r w:rsidRPr="00435A6A">
        <w:rPr>
          <w:rFonts w:ascii="Verdana" w:hAnsi="Verdana" w:cs="Arial"/>
          <w:sz w:val="14"/>
          <w:szCs w:val="14"/>
          <w:lang w:val="es-ES"/>
        </w:rPr>
        <w:t xml:space="preserve">[25] </w:t>
      </w:r>
      <w:r w:rsidRPr="00435A6A">
        <w:rPr>
          <w:rFonts w:ascii="Verdana" w:hAnsi="Verdana" w:cs="Arial"/>
          <w:sz w:val="14"/>
          <w:szCs w:val="14"/>
        </w:rPr>
        <w:t>Cfr. Consejo de Estado. Sección Tercera. Sentencia de 3 de diciembre de 2007. Radicados: 24.715, 25.206, 25.409, 24.524, 27.834, 25.410, 26.105, 28.244, 31.447 -acumulados-“.</w:t>
      </w:r>
    </w:p>
    <w:p w14:paraId="3D910BAF" w14:textId="77777777" w:rsidR="00E334D4" w:rsidRPr="00435A6A" w:rsidRDefault="00E334D4" w:rsidP="00E334D4">
      <w:pPr>
        <w:pStyle w:val="Textonotapie"/>
        <w:ind w:firstLine="709"/>
        <w:jc w:val="both"/>
        <w:rPr>
          <w:rFonts w:ascii="Verdana" w:hAnsi="Verdana" w:cs="Arial"/>
          <w:sz w:val="14"/>
          <w:szCs w:val="14"/>
        </w:rPr>
      </w:pPr>
    </w:p>
  </w:footnote>
  <w:footnote w:id="31">
    <w:p w14:paraId="007A03E2" w14:textId="77777777" w:rsidR="00E334D4" w:rsidRPr="00435A6A" w:rsidRDefault="00E334D4" w:rsidP="00E334D4">
      <w:pPr>
        <w:pStyle w:val="Textonotapie"/>
        <w:ind w:firstLine="709"/>
        <w:jc w:val="both"/>
        <w:rPr>
          <w:rFonts w:ascii="Verdana" w:hAnsi="Verdana" w:cs="Arial"/>
          <w:sz w:val="14"/>
          <w:szCs w:val="14"/>
        </w:rPr>
      </w:pPr>
      <w:r w:rsidRPr="00435A6A">
        <w:rPr>
          <w:rStyle w:val="Refdenotaalpie"/>
          <w:rFonts w:ascii="Verdana" w:hAnsi="Verdana" w:cs="Arial"/>
          <w:sz w:val="14"/>
          <w:szCs w:val="14"/>
        </w:rPr>
        <w:footnoteRef/>
      </w:r>
      <w:r w:rsidRPr="00435A6A">
        <w:rPr>
          <w:rFonts w:ascii="Verdana" w:hAnsi="Verdana" w:cs="Arial"/>
          <w:sz w:val="14"/>
          <w:szCs w:val="14"/>
        </w:rPr>
        <w:t xml:space="preserve"> </w:t>
      </w:r>
      <w:bookmarkStart w:id="17" w:name="_Hlk74294506"/>
      <w:r w:rsidRPr="00435A6A">
        <w:rPr>
          <w:rFonts w:ascii="Verdana" w:hAnsi="Verdana" w:cs="Arial"/>
          <w:sz w:val="14"/>
          <w:szCs w:val="14"/>
        </w:rPr>
        <w:t>“</w:t>
      </w:r>
      <w:r w:rsidRPr="00435A6A">
        <w:rPr>
          <w:rFonts w:ascii="Verdana" w:hAnsi="Verdana" w:cs="Arial"/>
          <w:sz w:val="14"/>
          <w:szCs w:val="14"/>
          <w:lang w:val="es-ES"/>
        </w:rPr>
        <w:t xml:space="preserve">[26] </w:t>
      </w:r>
      <w:bookmarkEnd w:id="17"/>
      <w:r w:rsidRPr="00435A6A">
        <w:rPr>
          <w:rFonts w:ascii="Verdana" w:hAnsi="Verdana" w:cs="Arial"/>
          <w:sz w:val="14"/>
          <w:szCs w:val="14"/>
        </w:rPr>
        <w:t>Al respecto ver el concepto 1712 de 2 de febrero de 2006. Consejo de Estado Sala de Consulta y Servicio Civil”.</w:t>
      </w:r>
    </w:p>
    <w:p w14:paraId="63F39744" w14:textId="77777777" w:rsidR="00E334D4" w:rsidRPr="00435A6A" w:rsidRDefault="00E334D4" w:rsidP="00E334D4">
      <w:pPr>
        <w:pStyle w:val="Textonotapie"/>
        <w:ind w:firstLine="709"/>
        <w:jc w:val="both"/>
        <w:rPr>
          <w:rFonts w:ascii="Verdana" w:hAnsi="Verdana" w:cs="Arial"/>
          <w:sz w:val="14"/>
          <w:szCs w:val="14"/>
        </w:rPr>
      </w:pPr>
    </w:p>
  </w:footnote>
  <w:footnote w:id="32">
    <w:p w14:paraId="12FF0551" w14:textId="77777777" w:rsidR="00E334D4" w:rsidRPr="00435A6A" w:rsidRDefault="00E334D4" w:rsidP="00E334D4">
      <w:pPr>
        <w:pStyle w:val="Textonotapie"/>
        <w:ind w:firstLine="709"/>
        <w:jc w:val="both"/>
        <w:rPr>
          <w:rFonts w:ascii="Verdana" w:hAnsi="Verdana" w:cs="Arial"/>
          <w:sz w:val="14"/>
          <w:szCs w:val="14"/>
        </w:rPr>
      </w:pPr>
      <w:r w:rsidRPr="00435A6A">
        <w:rPr>
          <w:rStyle w:val="Refdenotaalpie"/>
          <w:rFonts w:ascii="Verdana" w:hAnsi="Verdana" w:cs="Arial"/>
          <w:sz w:val="14"/>
          <w:szCs w:val="14"/>
        </w:rPr>
        <w:footnoteRef/>
      </w:r>
      <w:r w:rsidRPr="00435A6A">
        <w:rPr>
          <w:rFonts w:ascii="Verdana" w:hAnsi="Verdana" w:cs="Arial"/>
          <w:sz w:val="14"/>
          <w:szCs w:val="14"/>
        </w:rPr>
        <w:t xml:space="preserve"> Consejo de Estado. Sala de Consulta y Servicio Civil. Concepto del 2 de septiembre de 2013. Radicación número: 11001-03-06-000-2013-00412-00 (2168). C.P: Álvaro Namén Vargas.</w:t>
      </w:r>
    </w:p>
    <w:p w14:paraId="5C7BABCC" w14:textId="77777777" w:rsidR="00E334D4" w:rsidRPr="00435A6A" w:rsidRDefault="00E334D4" w:rsidP="00E334D4">
      <w:pPr>
        <w:pStyle w:val="Textonotapie"/>
        <w:ind w:firstLine="709"/>
        <w:jc w:val="both"/>
        <w:rPr>
          <w:rFonts w:ascii="Verdana" w:hAnsi="Verdana" w:cs="Arial"/>
          <w:sz w:val="14"/>
          <w:szCs w:val="14"/>
        </w:rPr>
      </w:pPr>
    </w:p>
  </w:footnote>
  <w:footnote w:id="33">
    <w:p w14:paraId="0F7A93DE" w14:textId="77777777" w:rsidR="00E334D4" w:rsidRPr="00435A6A" w:rsidRDefault="00E334D4" w:rsidP="00E334D4">
      <w:pPr>
        <w:pStyle w:val="Textonotapie"/>
        <w:ind w:firstLine="709"/>
        <w:rPr>
          <w:rFonts w:ascii="Verdana" w:hAnsi="Verdana" w:cs="Arial"/>
          <w:sz w:val="14"/>
          <w:szCs w:val="14"/>
          <w:lang w:val="es-ES"/>
        </w:rPr>
      </w:pPr>
      <w:r w:rsidRPr="00435A6A">
        <w:rPr>
          <w:rStyle w:val="Refdenotaalpie"/>
          <w:rFonts w:ascii="Verdana" w:hAnsi="Verdana" w:cs="Arial"/>
          <w:sz w:val="14"/>
          <w:szCs w:val="14"/>
        </w:rPr>
        <w:footnoteRef/>
      </w:r>
      <w:r w:rsidRPr="00435A6A">
        <w:rPr>
          <w:rFonts w:ascii="Verdana" w:hAnsi="Verdana" w:cs="Arial"/>
          <w:sz w:val="14"/>
          <w:szCs w:val="14"/>
        </w:rPr>
        <w:t xml:space="preserve"> </w:t>
      </w:r>
      <w:r w:rsidRPr="00435A6A">
        <w:rPr>
          <w:rFonts w:ascii="Verdana" w:hAnsi="Verdana" w:cs="Arial"/>
          <w:sz w:val="14"/>
          <w:szCs w:val="14"/>
          <w:lang w:val="es-ES"/>
        </w:rPr>
        <w:t xml:space="preserve">Artículo 2. </w:t>
      </w:r>
    </w:p>
    <w:p w14:paraId="6C876E8F" w14:textId="77777777" w:rsidR="00E334D4" w:rsidRPr="00435A6A" w:rsidRDefault="00E334D4" w:rsidP="00E334D4">
      <w:pPr>
        <w:pStyle w:val="Textonotapie"/>
        <w:ind w:firstLine="709"/>
        <w:rPr>
          <w:rFonts w:ascii="Verdana" w:hAnsi="Verdana" w:cs="Arial"/>
          <w:sz w:val="14"/>
          <w:szCs w:val="14"/>
          <w:lang w:val="es-ES"/>
        </w:rPr>
      </w:pPr>
    </w:p>
  </w:footnote>
  <w:footnote w:id="34">
    <w:p w14:paraId="22A945A8" w14:textId="77777777" w:rsidR="00E334D4" w:rsidRDefault="00E334D4" w:rsidP="00E334D4">
      <w:pPr>
        <w:pStyle w:val="Textonotapie"/>
        <w:ind w:firstLine="709"/>
        <w:rPr>
          <w:rFonts w:ascii="Verdana" w:hAnsi="Verdana" w:cs="Arial"/>
          <w:sz w:val="14"/>
          <w:szCs w:val="14"/>
          <w:lang w:val="es-ES"/>
        </w:rPr>
      </w:pPr>
      <w:r w:rsidRPr="00435A6A">
        <w:rPr>
          <w:rStyle w:val="Refdenotaalpie"/>
          <w:rFonts w:ascii="Verdana" w:hAnsi="Verdana" w:cs="Arial"/>
          <w:sz w:val="14"/>
          <w:szCs w:val="14"/>
        </w:rPr>
        <w:footnoteRef/>
      </w:r>
      <w:r w:rsidRPr="00435A6A">
        <w:rPr>
          <w:rFonts w:ascii="Verdana" w:hAnsi="Verdana" w:cs="Arial"/>
          <w:sz w:val="14"/>
          <w:szCs w:val="14"/>
        </w:rPr>
        <w:t xml:space="preserve"> </w:t>
      </w:r>
      <w:r w:rsidRPr="00435A6A">
        <w:rPr>
          <w:rFonts w:ascii="Verdana" w:hAnsi="Verdana" w:cs="Arial"/>
          <w:i/>
          <w:sz w:val="14"/>
          <w:szCs w:val="14"/>
          <w:lang w:val="es-ES"/>
        </w:rPr>
        <w:t>Ídem</w:t>
      </w:r>
      <w:r w:rsidRPr="00435A6A">
        <w:rPr>
          <w:rFonts w:ascii="Verdana" w:hAnsi="Verdana" w:cs="Arial"/>
          <w:sz w:val="14"/>
          <w:szCs w:val="14"/>
          <w:lang w:val="es-ES"/>
        </w:rPr>
        <w:t>.</w:t>
      </w:r>
    </w:p>
    <w:p w14:paraId="52E21279" w14:textId="77777777" w:rsidR="00E334D4" w:rsidRPr="00435A6A" w:rsidRDefault="00E334D4" w:rsidP="00E334D4">
      <w:pPr>
        <w:pStyle w:val="Textonotapie"/>
        <w:ind w:firstLine="709"/>
        <w:rPr>
          <w:rFonts w:ascii="Verdana" w:hAnsi="Verdana" w:cs="Arial"/>
          <w:sz w:val="14"/>
          <w:szCs w:val="14"/>
          <w:lang w:val="es-ES"/>
        </w:rPr>
      </w:pPr>
    </w:p>
  </w:footnote>
  <w:footnote w:id="35">
    <w:p w14:paraId="45EBA0FF" w14:textId="77777777" w:rsidR="00E334D4" w:rsidRPr="00435A6A" w:rsidRDefault="00E334D4" w:rsidP="00E334D4">
      <w:pPr>
        <w:pStyle w:val="Textonotapie"/>
        <w:ind w:firstLine="709"/>
        <w:rPr>
          <w:rFonts w:ascii="Verdana" w:hAnsi="Verdana" w:cs="Arial"/>
          <w:sz w:val="14"/>
          <w:szCs w:val="14"/>
          <w:lang w:val="es-ES"/>
        </w:rPr>
      </w:pPr>
      <w:r w:rsidRPr="00435A6A">
        <w:rPr>
          <w:rStyle w:val="Refdenotaalpie"/>
          <w:rFonts w:ascii="Verdana" w:hAnsi="Verdana" w:cs="Arial"/>
          <w:sz w:val="14"/>
          <w:szCs w:val="14"/>
        </w:rPr>
        <w:footnoteRef/>
      </w:r>
      <w:r w:rsidRPr="00435A6A">
        <w:rPr>
          <w:rStyle w:val="Refdenotaalpie"/>
          <w:rFonts w:ascii="Verdana" w:hAnsi="Verdana" w:cs="Arial"/>
          <w:sz w:val="14"/>
          <w:szCs w:val="14"/>
        </w:rPr>
        <w:t xml:space="preserve"> </w:t>
      </w:r>
      <w:r w:rsidRPr="00435A6A">
        <w:rPr>
          <w:rFonts w:ascii="Verdana" w:hAnsi="Verdana" w:cs="Arial"/>
          <w:sz w:val="14"/>
          <w:szCs w:val="14"/>
          <w:lang w:val="es-ES"/>
        </w:rPr>
        <w:t xml:space="preserve">[…] A este respecto, cabe recordar que el artículo 860 del Código de Comercio regula la licitación en el derecho privado. </w:t>
      </w:r>
    </w:p>
    <w:p w14:paraId="7B8C25D5" w14:textId="77777777" w:rsidR="00E334D4" w:rsidRPr="00435A6A" w:rsidRDefault="00E334D4" w:rsidP="00E334D4">
      <w:pPr>
        <w:pStyle w:val="Textonotapie"/>
        <w:ind w:firstLine="709"/>
        <w:rPr>
          <w:rFonts w:ascii="Verdana" w:hAnsi="Verdana" w:cs="Arial"/>
          <w:sz w:val="14"/>
          <w:szCs w:val="14"/>
          <w:lang w:val="es-E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F4D03" w14:textId="0903BF04" w:rsidR="00756841" w:rsidRDefault="009D3058" w:rsidP="00844AE9">
    <w:pPr>
      <w:pStyle w:val="Encabezado"/>
      <w:spacing w:line="120" w:lineRule="auto"/>
    </w:pPr>
    <w:r>
      <w:rPr>
        <w:rFonts w:ascii="Geomanist Bold" w:hAnsi="Geomanist Bold"/>
        <w:b/>
        <w:bCs/>
        <w:noProof/>
        <w:color w:val="002060"/>
        <w:sz w:val="24"/>
        <w:szCs w:val="24"/>
      </w:rPr>
      <w:drawing>
        <wp:anchor distT="0" distB="0" distL="114300" distR="114300" simplePos="0" relativeHeight="251665408" behindDoc="1" locked="0" layoutInCell="1" allowOverlap="1" wp14:anchorId="6FC3B35F" wp14:editId="51872E67">
          <wp:simplePos x="0" y="0"/>
          <wp:positionH relativeFrom="margin">
            <wp:align>center</wp:align>
          </wp:positionH>
          <wp:positionV relativeFrom="paragraph">
            <wp:posOffset>-256388</wp:posOffset>
          </wp:positionV>
          <wp:extent cx="1924050" cy="856004"/>
          <wp:effectExtent l="0" t="0" r="0" b="1270"/>
          <wp:wrapNone/>
          <wp:docPr id="1309089902" name="Imagen 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089902" name="Imagen 1" descr="Imagen que contiene Interfaz de usuario gráfic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924050" cy="856004"/>
                  </a:xfrm>
                  <a:prstGeom prst="rect">
                    <a:avLst/>
                  </a:prstGeom>
                </pic:spPr>
              </pic:pic>
            </a:graphicData>
          </a:graphic>
          <wp14:sizeRelH relativeFrom="margin">
            <wp14:pctWidth>0</wp14:pctWidth>
          </wp14:sizeRelH>
          <wp14:sizeRelV relativeFrom="margin">
            <wp14:pctHeight>0</wp14:pctHeight>
          </wp14:sizeRelV>
        </wp:anchor>
      </w:drawing>
    </w:r>
    <w:r w:rsidR="00E90F6B">
      <w:rPr>
        <w:rFonts w:ascii="Geomanist Bold" w:hAnsi="Geomanist Bold"/>
        <w:b/>
        <w:bCs/>
        <w:noProof/>
        <w:color w:val="002060"/>
        <w:sz w:val="24"/>
        <w:szCs w:val="24"/>
      </w:rPr>
      <w:drawing>
        <wp:anchor distT="0" distB="0" distL="114300" distR="114300" simplePos="0" relativeHeight="251663360" behindDoc="0" locked="0" layoutInCell="1" allowOverlap="1" wp14:anchorId="4F745D08" wp14:editId="02405FCC">
          <wp:simplePos x="0" y="0"/>
          <wp:positionH relativeFrom="margin">
            <wp:posOffset>8420100</wp:posOffset>
          </wp:positionH>
          <wp:positionV relativeFrom="margin">
            <wp:posOffset>-1377950</wp:posOffset>
          </wp:positionV>
          <wp:extent cx="665480" cy="3098800"/>
          <wp:effectExtent l="0" t="0" r="0" b="0"/>
          <wp:wrapThrough wrapText="bothSides">
            <wp:wrapPolygon edited="0">
              <wp:start x="6183" y="0"/>
              <wp:lineTo x="0" y="1416"/>
              <wp:lineTo x="5359" y="2833"/>
              <wp:lineTo x="2061" y="4249"/>
              <wp:lineTo x="412" y="4780"/>
              <wp:lineTo x="824" y="5134"/>
              <wp:lineTo x="3298" y="5666"/>
              <wp:lineTo x="4534" y="7082"/>
              <wp:lineTo x="412" y="7967"/>
              <wp:lineTo x="0" y="8233"/>
              <wp:lineTo x="5771" y="9915"/>
              <wp:lineTo x="0" y="11508"/>
              <wp:lineTo x="0" y="11685"/>
              <wp:lineTo x="4122" y="12748"/>
              <wp:lineTo x="2061" y="14164"/>
              <wp:lineTo x="0" y="14872"/>
              <wp:lineTo x="0" y="15049"/>
              <wp:lineTo x="2061" y="15580"/>
              <wp:lineTo x="4534" y="16997"/>
              <wp:lineTo x="0" y="18059"/>
              <wp:lineTo x="0" y="18413"/>
              <wp:lineTo x="10718" y="21246"/>
              <wp:lineTo x="12366" y="21511"/>
              <wp:lineTo x="14427" y="21511"/>
              <wp:lineTo x="14840" y="21511"/>
              <wp:lineTo x="17313" y="20980"/>
              <wp:lineTo x="20611" y="20007"/>
              <wp:lineTo x="20198" y="19830"/>
              <wp:lineTo x="13603" y="18413"/>
              <wp:lineTo x="21023" y="16643"/>
              <wp:lineTo x="16489" y="15580"/>
              <wp:lineTo x="17313" y="14164"/>
              <wp:lineTo x="21023" y="13279"/>
              <wp:lineTo x="18962" y="12748"/>
              <wp:lineTo x="15664" y="11331"/>
              <wp:lineTo x="21023" y="10003"/>
              <wp:lineTo x="21023" y="9826"/>
              <wp:lineTo x="18137" y="9207"/>
              <wp:lineTo x="15664" y="8498"/>
              <wp:lineTo x="19374" y="7082"/>
              <wp:lineTo x="21023" y="6639"/>
              <wp:lineTo x="21023" y="6374"/>
              <wp:lineTo x="18137" y="5666"/>
              <wp:lineTo x="16901" y="4249"/>
              <wp:lineTo x="21023" y="3275"/>
              <wp:lineTo x="21023" y="3098"/>
              <wp:lineTo x="20611" y="2833"/>
              <wp:lineTo x="8244" y="0"/>
              <wp:lineTo x="6183" y="0"/>
            </wp:wrapPolygon>
          </wp:wrapThrough>
          <wp:docPr id="962149914" name="Imagen 962149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974706" name="Imagen 1987974706"/>
                  <pic:cNvPicPr/>
                </pic:nvPicPr>
                <pic:blipFill>
                  <a:blip r:embed="rId2" cstate="print">
                    <a:extLst>
                      <a:ext uri="{28A0092B-C50C-407E-A947-70E740481C1C}">
                        <a14:useLocalDpi xmlns:a14="http://schemas.microsoft.com/office/drawing/2010/main" val="0"/>
                      </a:ext>
                    </a:extLst>
                  </a:blip>
                  <a:stretch>
                    <a:fillRect/>
                  </a:stretch>
                </pic:blipFill>
                <pic:spPr>
                  <a:xfrm>
                    <a:off x="0" y="0"/>
                    <a:ext cx="665480" cy="3098800"/>
                  </a:xfrm>
                  <a:prstGeom prst="rect">
                    <a:avLst/>
                  </a:prstGeom>
                </pic:spPr>
              </pic:pic>
            </a:graphicData>
          </a:graphic>
          <wp14:sizeRelH relativeFrom="margin">
            <wp14:pctWidth>0</wp14:pctWidth>
          </wp14:sizeRelH>
          <wp14:sizeRelV relativeFrom="margin">
            <wp14:pctHeight>0</wp14:pctHeight>
          </wp14:sizeRelV>
        </wp:anchor>
      </w:drawing>
    </w:r>
  </w:p>
  <w:p w14:paraId="1BE2B9AE" w14:textId="4B94DB3B" w:rsidR="00756841" w:rsidRDefault="00756841">
    <w:pPr>
      <w:pStyle w:val="Encabezado"/>
    </w:pPr>
  </w:p>
  <w:p w14:paraId="5E18350A" w14:textId="705F7B76" w:rsidR="004A305D" w:rsidRPr="004A305D" w:rsidRDefault="004A305D" w:rsidP="00B01B1A">
    <w:pPr>
      <w:spacing w:after="0" w:line="120" w:lineRule="auto"/>
      <w:rPr>
        <w:rFonts w:ascii="Century Gothic" w:eastAsia="Geo" w:hAnsi="Century Gothic" w:cs="Geo"/>
        <w:sz w:val="16"/>
        <w:szCs w:val="16"/>
        <w:lang w:eastAsia="es-CO"/>
      </w:rPr>
    </w:pPr>
  </w:p>
  <w:p w14:paraId="211B7F5D" w14:textId="77777777" w:rsidR="00C925AC" w:rsidRDefault="00C925AC" w:rsidP="00844AE9">
    <w:pPr>
      <w:spacing w:after="0" w:line="240" w:lineRule="auto"/>
      <w:rPr>
        <w:rFonts w:ascii="Verdana" w:hAnsi="Verdana"/>
        <w:sz w:val="24"/>
        <w:szCs w:val="24"/>
      </w:rPr>
    </w:pPr>
  </w:p>
  <w:p w14:paraId="5A0054B1" w14:textId="77777777" w:rsidR="00A14468" w:rsidRPr="00C925AC" w:rsidRDefault="00A14468" w:rsidP="00844AE9">
    <w:pPr>
      <w:spacing w:after="0" w:line="240" w:lineRule="auto"/>
      <w:rPr>
        <w:rFonts w:ascii="Verdana" w:hAnsi="Verdana"/>
        <w:sz w:val="24"/>
        <w:szCs w:val="24"/>
      </w:rPr>
    </w:pPr>
  </w:p>
  <w:p w14:paraId="1FD1C243" w14:textId="37C5500A" w:rsidR="008A446D" w:rsidRPr="00C925AC" w:rsidRDefault="00C925AC" w:rsidP="000D5DA7">
    <w:pPr>
      <w:spacing w:after="0" w:line="480" w:lineRule="auto"/>
      <w:rPr>
        <w:rFonts w:ascii="Verdana" w:hAnsi="Verdana"/>
        <w:b/>
        <w:bCs/>
        <w:sz w:val="24"/>
        <w:szCs w:val="24"/>
      </w:rPr>
    </w:pPr>
    <w:r w:rsidRPr="00C925AC">
      <w:rPr>
        <w:rFonts w:ascii="Verdana" w:hAnsi="Verdana"/>
        <w:b/>
        <w:bCs/>
        <w:sz w:val="24"/>
        <w:szCs w:val="24"/>
      </w:rPr>
      <w:t>FORMATO</w:t>
    </w:r>
    <w:r w:rsidR="00BF7425">
      <w:rPr>
        <w:rFonts w:ascii="Verdana" w:hAnsi="Verdana"/>
        <w:b/>
        <w:bCs/>
        <w:sz w:val="24"/>
        <w:szCs w:val="24"/>
      </w:rPr>
      <w:t xml:space="preserve"> DE RESPUESTA </w:t>
    </w:r>
    <w:r w:rsidRPr="00C925AC">
      <w:rPr>
        <w:rFonts w:ascii="Verdana" w:hAnsi="Verdana"/>
        <w:b/>
        <w:bCs/>
        <w:sz w:val="24"/>
        <w:szCs w:val="24"/>
      </w:rPr>
      <w:t>PQRSD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9pt;height:11.9pt" o:bullet="t">
        <v:imagedata r:id="rId1" o:title="mso1B13"/>
      </v:shape>
    </w:pict>
  </w:numPicBullet>
  <w:abstractNum w:abstractNumId="0" w15:restartNumberingAfterBreak="0">
    <w:nsid w:val="01C06310"/>
    <w:multiLevelType w:val="multilevel"/>
    <w:tmpl w:val="25FEEF8E"/>
    <w:lvl w:ilvl="0">
      <w:start w:val="1"/>
      <w:numFmt w:val="decimal"/>
      <w:lvlText w:val="%1."/>
      <w:lvlJc w:val="left"/>
      <w:pPr>
        <w:ind w:left="6601" w:hanging="360"/>
      </w:pPr>
      <w:rPr>
        <w:b/>
        <w:color w:val="000000" w:themeColor="text1"/>
      </w:rPr>
    </w:lvl>
    <w:lvl w:ilvl="1">
      <w:start w:val="2"/>
      <w:numFmt w:val="decimal"/>
      <w:isLgl/>
      <w:lvlText w:val="%1.%2"/>
      <w:lvlJc w:val="left"/>
      <w:pPr>
        <w:ind w:left="6241" w:hanging="360"/>
      </w:pPr>
    </w:lvl>
    <w:lvl w:ilvl="2">
      <w:start w:val="1"/>
      <w:numFmt w:val="decimal"/>
      <w:isLgl/>
      <w:lvlText w:val="%1.%2.%3"/>
      <w:lvlJc w:val="left"/>
      <w:pPr>
        <w:ind w:left="6961" w:hanging="720"/>
      </w:pPr>
    </w:lvl>
    <w:lvl w:ilvl="3">
      <w:start w:val="1"/>
      <w:numFmt w:val="decimal"/>
      <w:isLgl/>
      <w:lvlText w:val="%1.%2.%3.%4"/>
      <w:lvlJc w:val="left"/>
      <w:pPr>
        <w:ind w:left="6961" w:hanging="720"/>
      </w:pPr>
    </w:lvl>
    <w:lvl w:ilvl="4">
      <w:start w:val="1"/>
      <w:numFmt w:val="decimal"/>
      <w:isLgl/>
      <w:lvlText w:val="%1.%2.%3.%4.%5"/>
      <w:lvlJc w:val="left"/>
      <w:pPr>
        <w:ind w:left="7321" w:hanging="1080"/>
      </w:pPr>
    </w:lvl>
    <w:lvl w:ilvl="5">
      <w:start w:val="1"/>
      <w:numFmt w:val="decimal"/>
      <w:isLgl/>
      <w:lvlText w:val="%1.%2.%3.%4.%5.%6"/>
      <w:lvlJc w:val="left"/>
      <w:pPr>
        <w:ind w:left="7321" w:hanging="1080"/>
      </w:pPr>
    </w:lvl>
    <w:lvl w:ilvl="6">
      <w:start w:val="1"/>
      <w:numFmt w:val="decimal"/>
      <w:isLgl/>
      <w:lvlText w:val="%1.%2.%3.%4.%5.%6.%7"/>
      <w:lvlJc w:val="left"/>
      <w:pPr>
        <w:ind w:left="7681" w:hanging="1440"/>
      </w:pPr>
    </w:lvl>
    <w:lvl w:ilvl="7">
      <w:start w:val="1"/>
      <w:numFmt w:val="decimal"/>
      <w:isLgl/>
      <w:lvlText w:val="%1.%2.%3.%4.%5.%6.%7.%8"/>
      <w:lvlJc w:val="left"/>
      <w:pPr>
        <w:ind w:left="7681" w:hanging="1440"/>
      </w:pPr>
    </w:lvl>
    <w:lvl w:ilvl="8">
      <w:start w:val="1"/>
      <w:numFmt w:val="decimal"/>
      <w:isLgl/>
      <w:lvlText w:val="%1.%2.%3.%4.%5.%6.%7.%8.%9"/>
      <w:lvlJc w:val="left"/>
      <w:pPr>
        <w:ind w:left="8041" w:hanging="1800"/>
      </w:pPr>
    </w:lvl>
  </w:abstractNum>
  <w:abstractNum w:abstractNumId="1" w15:restartNumberingAfterBreak="0">
    <w:nsid w:val="0337782A"/>
    <w:multiLevelType w:val="multilevel"/>
    <w:tmpl w:val="90D24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6D30BDC"/>
    <w:multiLevelType w:val="hybridMultilevel"/>
    <w:tmpl w:val="734ED3EC"/>
    <w:lvl w:ilvl="0" w:tplc="834431CA">
      <w:numFmt w:val="bullet"/>
      <w:lvlText w:val="-"/>
      <w:lvlJc w:val="left"/>
      <w:pPr>
        <w:ind w:left="1080" w:hanging="360"/>
      </w:pPr>
      <w:rPr>
        <w:rFonts w:ascii="Arial" w:eastAsia="Times New Roman" w:hAnsi="Arial" w:cs="Arial" w:hint="default"/>
        <w:b/>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 w15:restartNumberingAfterBreak="0">
    <w:nsid w:val="25352E86"/>
    <w:multiLevelType w:val="multilevel"/>
    <w:tmpl w:val="E81277D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1280020"/>
    <w:multiLevelType w:val="hybridMultilevel"/>
    <w:tmpl w:val="DA8CAD2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320B0C74"/>
    <w:multiLevelType w:val="multilevel"/>
    <w:tmpl w:val="FCE0A7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3614460"/>
    <w:multiLevelType w:val="hybridMultilevel"/>
    <w:tmpl w:val="7FC88522"/>
    <w:lvl w:ilvl="0" w:tplc="A22AAB2E">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370F0516"/>
    <w:multiLevelType w:val="multilevel"/>
    <w:tmpl w:val="BAD28B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7D933EA"/>
    <w:multiLevelType w:val="multilevel"/>
    <w:tmpl w:val="8BFCD55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40401E8"/>
    <w:multiLevelType w:val="multilevel"/>
    <w:tmpl w:val="5972E662"/>
    <w:lvl w:ilvl="0">
      <w:start w:val="1"/>
      <w:numFmt w:val="bullet"/>
      <w:lvlText w:val=""/>
      <w:lvlJc w:val="left"/>
      <w:pPr>
        <w:tabs>
          <w:tab w:val="num" w:pos="720"/>
        </w:tabs>
        <w:ind w:left="720" w:hanging="360"/>
      </w:pPr>
      <w:rPr>
        <w:rFonts w:ascii="Symbol" w:hAnsi="Symbol" w:hint="default"/>
        <w:color w:val="auto"/>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636C03B0"/>
    <w:multiLevelType w:val="hybridMultilevel"/>
    <w:tmpl w:val="53AC8484"/>
    <w:lvl w:ilvl="0" w:tplc="1F14B5D2">
      <w:start w:val="1"/>
      <w:numFmt w:val="bullet"/>
      <w:lvlText w:val="·"/>
      <w:lvlJc w:val="left"/>
      <w:pPr>
        <w:ind w:left="785" w:hanging="360"/>
      </w:pPr>
      <w:rPr>
        <w:rFonts w:ascii="Symbol" w:hAnsi="Symbol" w:hint="default"/>
        <w:color w:val="auto"/>
      </w:rPr>
    </w:lvl>
    <w:lvl w:ilvl="1" w:tplc="240A0003" w:tentative="1">
      <w:start w:val="1"/>
      <w:numFmt w:val="bullet"/>
      <w:lvlText w:val="o"/>
      <w:lvlJc w:val="left"/>
      <w:pPr>
        <w:ind w:left="1505" w:hanging="360"/>
      </w:pPr>
      <w:rPr>
        <w:rFonts w:ascii="Courier New" w:hAnsi="Courier New" w:cs="Courier New" w:hint="default"/>
      </w:rPr>
    </w:lvl>
    <w:lvl w:ilvl="2" w:tplc="240A0005" w:tentative="1">
      <w:start w:val="1"/>
      <w:numFmt w:val="bullet"/>
      <w:lvlText w:val=""/>
      <w:lvlJc w:val="left"/>
      <w:pPr>
        <w:ind w:left="2225" w:hanging="360"/>
      </w:pPr>
      <w:rPr>
        <w:rFonts w:ascii="Wingdings" w:hAnsi="Wingdings" w:hint="default"/>
      </w:rPr>
    </w:lvl>
    <w:lvl w:ilvl="3" w:tplc="240A0001" w:tentative="1">
      <w:start w:val="1"/>
      <w:numFmt w:val="bullet"/>
      <w:lvlText w:val=""/>
      <w:lvlJc w:val="left"/>
      <w:pPr>
        <w:ind w:left="2945" w:hanging="360"/>
      </w:pPr>
      <w:rPr>
        <w:rFonts w:ascii="Symbol" w:hAnsi="Symbol" w:hint="default"/>
      </w:rPr>
    </w:lvl>
    <w:lvl w:ilvl="4" w:tplc="240A0003" w:tentative="1">
      <w:start w:val="1"/>
      <w:numFmt w:val="bullet"/>
      <w:lvlText w:val="o"/>
      <w:lvlJc w:val="left"/>
      <w:pPr>
        <w:ind w:left="3665" w:hanging="360"/>
      </w:pPr>
      <w:rPr>
        <w:rFonts w:ascii="Courier New" w:hAnsi="Courier New" w:cs="Courier New" w:hint="default"/>
      </w:rPr>
    </w:lvl>
    <w:lvl w:ilvl="5" w:tplc="240A0005" w:tentative="1">
      <w:start w:val="1"/>
      <w:numFmt w:val="bullet"/>
      <w:lvlText w:val=""/>
      <w:lvlJc w:val="left"/>
      <w:pPr>
        <w:ind w:left="4385" w:hanging="360"/>
      </w:pPr>
      <w:rPr>
        <w:rFonts w:ascii="Wingdings" w:hAnsi="Wingdings" w:hint="default"/>
      </w:rPr>
    </w:lvl>
    <w:lvl w:ilvl="6" w:tplc="240A0001" w:tentative="1">
      <w:start w:val="1"/>
      <w:numFmt w:val="bullet"/>
      <w:lvlText w:val=""/>
      <w:lvlJc w:val="left"/>
      <w:pPr>
        <w:ind w:left="5105" w:hanging="360"/>
      </w:pPr>
      <w:rPr>
        <w:rFonts w:ascii="Symbol" w:hAnsi="Symbol" w:hint="default"/>
      </w:rPr>
    </w:lvl>
    <w:lvl w:ilvl="7" w:tplc="240A0003" w:tentative="1">
      <w:start w:val="1"/>
      <w:numFmt w:val="bullet"/>
      <w:lvlText w:val="o"/>
      <w:lvlJc w:val="left"/>
      <w:pPr>
        <w:ind w:left="5825" w:hanging="360"/>
      </w:pPr>
      <w:rPr>
        <w:rFonts w:ascii="Courier New" w:hAnsi="Courier New" w:cs="Courier New" w:hint="default"/>
      </w:rPr>
    </w:lvl>
    <w:lvl w:ilvl="8" w:tplc="240A0005" w:tentative="1">
      <w:start w:val="1"/>
      <w:numFmt w:val="bullet"/>
      <w:lvlText w:val=""/>
      <w:lvlJc w:val="left"/>
      <w:pPr>
        <w:ind w:left="6545" w:hanging="360"/>
      </w:pPr>
      <w:rPr>
        <w:rFonts w:ascii="Wingdings" w:hAnsi="Wingdings" w:hint="default"/>
      </w:rPr>
    </w:lvl>
  </w:abstractNum>
  <w:abstractNum w:abstractNumId="11" w15:restartNumberingAfterBreak="0">
    <w:nsid w:val="6BF97060"/>
    <w:multiLevelType w:val="multilevel"/>
    <w:tmpl w:val="B3E004E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3C082A"/>
    <w:multiLevelType w:val="multilevel"/>
    <w:tmpl w:val="A80420E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F4922CE"/>
    <w:multiLevelType w:val="multilevel"/>
    <w:tmpl w:val="E5E637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FB367B7"/>
    <w:multiLevelType w:val="multilevel"/>
    <w:tmpl w:val="4E0EF64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48779781">
    <w:abstractNumId w:val="6"/>
  </w:num>
  <w:num w:numId="2" w16cid:durableId="19822139">
    <w:abstractNumId w:val="2"/>
  </w:num>
  <w:num w:numId="3" w16cid:durableId="876742304">
    <w:abstractNumId w:val="4"/>
  </w:num>
  <w:num w:numId="4" w16cid:durableId="24518640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49721115">
    <w:abstractNumId w:val="2"/>
  </w:num>
  <w:num w:numId="6" w16cid:durableId="316692925">
    <w:abstractNumId w:val="13"/>
  </w:num>
  <w:num w:numId="7" w16cid:durableId="1946422806">
    <w:abstractNumId w:val="5"/>
  </w:num>
  <w:num w:numId="8" w16cid:durableId="152644682">
    <w:abstractNumId w:val="12"/>
  </w:num>
  <w:num w:numId="9" w16cid:durableId="1317221377">
    <w:abstractNumId w:val="7"/>
  </w:num>
  <w:num w:numId="10" w16cid:durableId="1471245386">
    <w:abstractNumId w:val="11"/>
  </w:num>
  <w:num w:numId="11" w16cid:durableId="289172385">
    <w:abstractNumId w:val="8"/>
  </w:num>
  <w:num w:numId="12" w16cid:durableId="1470781324">
    <w:abstractNumId w:val="1"/>
  </w:num>
  <w:num w:numId="13" w16cid:durableId="1512908409">
    <w:abstractNumId w:val="3"/>
  </w:num>
  <w:num w:numId="14" w16cid:durableId="895897244">
    <w:abstractNumId w:val="14"/>
  </w:num>
  <w:num w:numId="15" w16cid:durableId="390349800">
    <w:abstractNumId w:val="10"/>
  </w:num>
  <w:num w:numId="16" w16cid:durableId="560793310">
    <w:abstractNumId w:val="0"/>
  </w:num>
  <w:num w:numId="17" w16cid:durableId="126781222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847"/>
    <w:rsid w:val="00014C87"/>
    <w:rsid w:val="00016F78"/>
    <w:rsid w:val="00046945"/>
    <w:rsid w:val="00061B2A"/>
    <w:rsid w:val="00082362"/>
    <w:rsid w:val="000A683E"/>
    <w:rsid w:val="000B19B9"/>
    <w:rsid w:val="000C6587"/>
    <w:rsid w:val="000D0334"/>
    <w:rsid w:val="000D5DA7"/>
    <w:rsid w:val="000F6486"/>
    <w:rsid w:val="00116940"/>
    <w:rsid w:val="00125105"/>
    <w:rsid w:val="00127233"/>
    <w:rsid w:val="0015699B"/>
    <w:rsid w:val="001A33BF"/>
    <w:rsid w:val="001C0841"/>
    <w:rsid w:val="001E4177"/>
    <w:rsid w:val="001F0B24"/>
    <w:rsid w:val="001F7DC6"/>
    <w:rsid w:val="0022400B"/>
    <w:rsid w:val="002421BB"/>
    <w:rsid w:val="0025796E"/>
    <w:rsid w:val="002707A2"/>
    <w:rsid w:val="002951A0"/>
    <w:rsid w:val="002962BC"/>
    <w:rsid w:val="002A093D"/>
    <w:rsid w:val="002A0DD0"/>
    <w:rsid w:val="002A49AC"/>
    <w:rsid w:val="002A64FD"/>
    <w:rsid w:val="002C7A84"/>
    <w:rsid w:val="002E2BF8"/>
    <w:rsid w:val="002E4FD9"/>
    <w:rsid w:val="0030657A"/>
    <w:rsid w:val="00322A85"/>
    <w:rsid w:val="00324168"/>
    <w:rsid w:val="00330834"/>
    <w:rsid w:val="003448F4"/>
    <w:rsid w:val="00374F5E"/>
    <w:rsid w:val="00377E3E"/>
    <w:rsid w:val="003A779E"/>
    <w:rsid w:val="003D0F4D"/>
    <w:rsid w:val="003D5B0D"/>
    <w:rsid w:val="003E0499"/>
    <w:rsid w:val="003E4F80"/>
    <w:rsid w:val="003E6439"/>
    <w:rsid w:val="003F3941"/>
    <w:rsid w:val="00406575"/>
    <w:rsid w:val="00414C74"/>
    <w:rsid w:val="0042722E"/>
    <w:rsid w:val="0044528D"/>
    <w:rsid w:val="00466E39"/>
    <w:rsid w:val="00487D2B"/>
    <w:rsid w:val="004A1847"/>
    <w:rsid w:val="004A305D"/>
    <w:rsid w:val="004F21C4"/>
    <w:rsid w:val="004F685F"/>
    <w:rsid w:val="005566E8"/>
    <w:rsid w:val="00574867"/>
    <w:rsid w:val="00591460"/>
    <w:rsid w:val="005A65E0"/>
    <w:rsid w:val="005A66F5"/>
    <w:rsid w:val="005C3777"/>
    <w:rsid w:val="005C5CDC"/>
    <w:rsid w:val="005D476C"/>
    <w:rsid w:val="006200BF"/>
    <w:rsid w:val="006219F8"/>
    <w:rsid w:val="006302F7"/>
    <w:rsid w:val="00646B9F"/>
    <w:rsid w:val="00665D70"/>
    <w:rsid w:val="006900D9"/>
    <w:rsid w:val="006B2F28"/>
    <w:rsid w:val="006F4B26"/>
    <w:rsid w:val="00706C16"/>
    <w:rsid w:val="007340C3"/>
    <w:rsid w:val="0075235A"/>
    <w:rsid w:val="00756841"/>
    <w:rsid w:val="007649AB"/>
    <w:rsid w:val="00771D0C"/>
    <w:rsid w:val="007833AC"/>
    <w:rsid w:val="007B268C"/>
    <w:rsid w:val="007B7171"/>
    <w:rsid w:val="007C0C0F"/>
    <w:rsid w:val="007C3DC2"/>
    <w:rsid w:val="007D57E8"/>
    <w:rsid w:val="007E5497"/>
    <w:rsid w:val="00806F5F"/>
    <w:rsid w:val="00820278"/>
    <w:rsid w:val="008258C9"/>
    <w:rsid w:val="00830C26"/>
    <w:rsid w:val="00844AE9"/>
    <w:rsid w:val="00867F95"/>
    <w:rsid w:val="008843B6"/>
    <w:rsid w:val="00891928"/>
    <w:rsid w:val="008A446D"/>
    <w:rsid w:val="008A57F5"/>
    <w:rsid w:val="008B25F1"/>
    <w:rsid w:val="008D180B"/>
    <w:rsid w:val="008F0EA7"/>
    <w:rsid w:val="00923EEF"/>
    <w:rsid w:val="009419F9"/>
    <w:rsid w:val="0095685E"/>
    <w:rsid w:val="00961B09"/>
    <w:rsid w:val="00965334"/>
    <w:rsid w:val="0097093E"/>
    <w:rsid w:val="0097658D"/>
    <w:rsid w:val="009A0DFA"/>
    <w:rsid w:val="009A1C6F"/>
    <w:rsid w:val="009B2D26"/>
    <w:rsid w:val="009C71FA"/>
    <w:rsid w:val="009C72E7"/>
    <w:rsid w:val="009C7F7E"/>
    <w:rsid w:val="009D3058"/>
    <w:rsid w:val="009E3EEC"/>
    <w:rsid w:val="009F3A13"/>
    <w:rsid w:val="00A122D3"/>
    <w:rsid w:val="00A14468"/>
    <w:rsid w:val="00A17F13"/>
    <w:rsid w:val="00A20739"/>
    <w:rsid w:val="00A23AF9"/>
    <w:rsid w:val="00A33C78"/>
    <w:rsid w:val="00AB0ADB"/>
    <w:rsid w:val="00B00C0E"/>
    <w:rsid w:val="00B01B1A"/>
    <w:rsid w:val="00B0381D"/>
    <w:rsid w:val="00B44A47"/>
    <w:rsid w:val="00B618F7"/>
    <w:rsid w:val="00B72CD3"/>
    <w:rsid w:val="00B72FFF"/>
    <w:rsid w:val="00BC3D36"/>
    <w:rsid w:val="00BD54A6"/>
    <w:rsid w:val="00BD7F72"/>
    <w:rsid w:val="00BF7425"/>
    <w:rsid w:val="00C04FB3"/>
    <w:rsid w:val="00C11D8B"/>
    <w:rsid w:val="00C15139"/>
    <w:rsid w:val="00C330EB"/>
    <w:rsid w:val="00C50D69"/>
    <w:rsid w:val="00C5365C"/>
    <w:rsid w:val="00C754BE"/>
    <w:rsid w:val="00C76B1C"/>
    <w:rsid w:val="00C925AC"/>
    <w:rsid w:val="00CB6357"/>
    <w:rsid w:val="00CC1B26"/>
    <w:rsid w:val="00D055AD"/>
    <w:rsid w:val="00D361FD"/>
    <w:rsid w:val="00D423A2"/>
    <w:rsid w:val="00D44E26"/>
    <w:rsid w:val="00D520D8"/>
    <w:rsid w:val="00D63AC2"/>
    <w:rsid w:val="00D7383B"/>
    <w:rsid w:val="00D7788A"/>
    <w:rsid w:val="00DA231B"/>
    <w:rsid w:val="00DC39FC"/>
    <w:rsid w:val="00DE35AC"/>
    <w:rsid w:val="00DF5254"/>
    <w:rsid w:val="00E02524"/>
    <w:rsid w:val="00E16408"/>
    <w:rsid w:val="00E20894"/>
    <w:rsid w:val="00E245AB"/>
    <w:rsid w:val="00E2764C"/>
    <w:rsid w:val="00E27F2E"/>
    <w:rsid w:val="00E334D4"/>
    <w:rsid w:val="00E50AFE"/>
    <w:rsid w:val="00E75C92"/>
    <w:rsid w:val="00E771DC"/>
    <w:rsid w:val="00E84A95"/>
    <w:rsid w:val="00E8772A"/>
    <w:rsid w:val="00E90F6B"/>
    <w:rsid w:val="00E92C27"/>
    <w:rsid w:val="00EA0E3D"/>
    <w:rsid w:val="00EC0F8B"/>
    <w:rsid w:val="00EC38A7"/>
    <w:rsid w:val="00EE1AA8"/>
    <w:rsid w:val="00F23FEA"/>
    <w:rsid w:val="00F31EDC"/>
    <w:rsid w:val="00F462B3"/>
    <w:rsid w:val="00F5664F"/>
    <w:rsid w:val="00F666C4"/>
    <w:rsid w:val="00F76AFC"/>
    <w:rsid w:val="00FA47C0"/>
    <w:rsid w:val="00FB5DD1"/>
    <w:rsid w:val="00FC2B5D"/>
    <w:rsid w:val="00FF1449"/>
    <w:rsid w:val="00FF7963"/>
    <w:rsid w:val="071B8F93"/>
    <w:rsid w:val="07C73DD1"/>
    <w:rsid w:val="09908A09"/>
    <w:rsid w:val="0E0AF0F4"/>
    <w:rsid w:val="0EFE6349"/>
    <w:rsid w:val="0FF4CCA8"/>
    <w:rsid w:val="13CFC91B"/>
    <w:rsid w:val="19A2EC2C"/>
    <w:rsid w:val="21779BE6"/>
    <w:rsid w:val="2859CA1B"/>
    <w:rsid w:val="2C4D2425"/>
    <w:rsid w:val="2EE1E026"/>
    <w:rsid w:val="2F44F38F"/>
    <w:rsid w:val="30821638"/>
    <w:rsid w:val="32A4F9CF"/>
    <w:rsid w:val="33A1FF93"/>
    <w:rsid w:val="356CEDFD"/>
    <w:rsid w:val="3C591AFD"/>
    <w:rsid w:val="42183F0A"/>
    <w:rsid w:val="545B112A"/>
    <w:rsid w:val="5BEB1497"/>
    <w:rsid w:val="69614A15"/>
    <w:rsid w:val="74BA017B"/>
    <w:rsid w:val="7677286E"/>
    <w:rsid w:val="79A64A20"/>
    <w:rsid w:val="7BB183B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9607BD"/>
  <w15:chartTrackingRefBased/>
  <w15:docId w15:val="{AA18BD11-F4B5-4A67-BA3F-63EFCCB41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45AB"/>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A184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A1847"/>
  </w:style>
  <w:style w:type="paragraph" w:styleId="Piedepgina">
    <w:name w:val="footer"/>
    <w:basedOn w:val="Normal"/>
    <w:link w:val="PiedepginaCar"/>
    <w:uiPriority w:val="99"/>
    <w:unhideWhenUsed/>
    <w:rsid w:val="004A184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A1847"/>
  </w:style>
  <w:style w:type="paragraph" w:customStyle="1" w:styleId="Default">
    <w:name w:val="Default"/>
    <w:rsid w:val="006219F8"/>
    <w:pPr>
      <w:autoSpaceDE w:val="0"/>
      <w:autoSpaceDN w:val="0"/>
      <w:adjustRightInd w:val="0"/>
      <w:spacing w:after="0" w:line="240" w:lineRule="auto"/>
    </w:pPr>
    <w:rPr>
      <w:rFonts w:ascii="Arial" w:hAnsi="Arial" w:cs="Arial"/>
      <w:color w:val="000000"/>
      <w:sz w:val="24"/>
      <w:szCs w:val="24"/>
    </w:rPr>
  </w:style>
  <w:style w:type="character" w:customStyle="1" w:styleId="TextonotapieCar">
    <w:name w:val="Texto nota pie Car"/>
    <w:aliases w:val="Ref. de nota al pie1 Car,Texto de nota al pie Car,referencia nota al pie Car,Appel note de bas de page Car,Footnotes refss Car,Footnote number Car,BVI fnr Car,Footnote Text Char Char Char Char Char Car,Footnote reference Car,FA Fu Car"/>
    <w:basedOn w:val="Fuentedeprrafopredeter"/>
    <w:link w:val="Textonotapie"/>
    <w:uiPriority w:val="99"/>
    <w:qFormat/>
    <w:locked/>
    <w:rsid w:val="006219F8"/>
    <w:rPr>
      <w:sz w:val="20"/>
      <w:szCs w:val="20"/>
      <w:lang w:val="es-MX"/>
    </w:rPr>
  </w:style>
  <w:style w:type="paragraph" w:styleId="Textonotapie">
    <w:name w:val="footnote text"/>
    <w:aliases w:val="Ref. de nota al pie1,Texto de nota al pie,referencia nota al pie,Appel note de bas de page,Footnotes refss,Footnote number,BVI fnr,Footnote Text Char Char Char Char Char,Footnote Text Char Char Char Char,Footnote reference,FA Fu,ft,fn,Car"/>
    <w:basedOn w:val="Normal"/>
    <w:link w:val="TextonotapieCar"/>
    <w:uiPriority w:val="99"/>
    <w:unhideWhenUsed/>
    <w:qFormat/>
    <w:rsid w:val="006219F8"/>
    <w:pPr>
      <w:spacing w:after="0" w:line="240" w:lineRule="auto"/>
    </w:pPr>
    <w:rPr>
      <w:sz w:val="20"/>
      <w:szCs w:val="20"/>
      <w:lang w:val="es-MX"/>
    </w:rPr>
  </w:style>
  <w:style w:type="character" w:customStyle="1" w:styleId="TextonotapieCar1">
    <w:name w:val="Texto nota pie Car1"/>
    <w:basedOn w:val="Fuentedeprrafopredeter"/>
    <w:uiPriority w:val="99"/>
    <w:semiHidden/>
    <w:rsid w:val="006219F8"/>
    <w:rPr>
      <w:sz w:val="20"/>
      <w:szCs w:val="20"/>
    </w:rPr>
  </w:style>
  <w:style w:type="character" w:styleId="Refdenotaalpie">
    <w:name w:val="footnote reference"/>
    <w:aliases w:val="Ref. de nota al pie 2,Ref,de nota al pie,FC,Appel note de bas de p,f,4_G,16 Point,Superscript 6 Point,Texto nota al pie,Pie de Página,Texto de nota al pi,Nota de pie,Texto de nota al p,Footnote symbol,Footnote,Ref. de nota al pie2,F"/>
    <w:basedOn w:val="Fuentedeprrafopredeter"/>
    <w:link w:val="Appelnotedebasde"/>
    <w:uiPriority w:val="99"/>
    <w:unhideWhenUsed/>
    <w:qFormat/>
    <w:rsid w:val="006219F8"/>
    <w:rPr>
      <w:vertAlign w:val="superscript"/>
    </w:rPr>
  </w:style>
  <w:style w:type="character" w:customStyle="1" w:styleId="normaltextrun">
    <w:name w:val="normaltextrun"/>
    <w:basedOn w:val="Fuentedeprrafopredeter"/>
    <w:rsid w:val="006219F8"/>
  </w:style>
  <w:style w:type="table" w:styleId="Tablaconcuadrcula">
    <w:name w:val="Table Grid"/>
    <w:basedOn w:val="Tablanormal"/>
    <w:uiPriority w:val="39"/>
    <w:qFormat/>
    <w:rsid w:val="006219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Fotografía,Párrafo de lista1,Bullet List,FooterText,numbered,Paragraphe de liste1,lp1,Scitum normal,HOJA,Bolita,Párrafo de lista4,BOLADEF,Párrafo de lista3,Párrafo de lista21,BOLA,Nivel 1 OS,Colorful List Accent 1,Foot,List Paragraph"/>
    <w:basedOn w:val="Normal"/>
    <w:link w:val="PrrafodelistaCar"/>
    <w:uiPriority w:val="34"/>
    <w:qFormat/>
    <w:rsid w:val="005566E8"/>
    <w:pPr>
      <w:ind w:left="720"/>
      <w:contextualSpacing/>
    </w:pPr>
    <w:rPr>
      <w:rFonts w:ascii="Geomanist Light" w:hAnsi="Geomanist Light"/>
      <w:lang w:val="es-ES"/>
    </w:rPr>
  </w:style>
  <w:style w:type="paragraph" w:styleId="Ttulo">
    <w:name w:val="Title"/>
    <w:basedOn w:val="Normal"/>
    <w:next w:val="Normal"/>
    <w:link w:val="TtuloCar"/>
    <w:uiPriority w:val="10"/>
    <w:qFormat/>
    <w:rsid w:val="005566E8"/>
    <w:pPr>
      <w:spacing w:after="0" w:line="240" w:lineRule="auto"/>
      <w:contextualSpacing/>
    </w:pPr>
    <w:rPr>
      <w:rFonts w:ascii="Geomanist" w:eastAsiaTheme="majorEastAsia" w:hAnsi="Geomanist" w:cstheme="majorBidi"/>
      <w:spacing w:val="-10"/>
      <w:kern w:val="28"/>
      <w:szCs w:val="56"/>
      <w:lang w:val="es-ES"/>
    </w:rPr>
  </w:style>
  <w:style w:type="character" w:customStyle="1" w:styleId="TtuloCar">
    <w:name w:val="Título Car"/>
    <w:basedOn w:val="Fuentedeprrafopredeter"/>
    <w:link w:val="Ttulo"/>
    <w:uiPriority w:val="10"/>
    <w:rsid w:val="005566E8"/>
    <w:rPr>
      <w:rFonts w:ascii="Geomanist" w:eastAsiaTheme="majorEastAsia" w:hAnsi="Geomanist" w:cstheme="majorBidi"/>
      <w:spacing w:val="-10"/>
      <w:kern w:val="28"/>
      <w:szCs w:val="56"/>
      <w:lang w:val="es-ES"/>
    </w:rPr>
  </w:style>
  <w:style w:type="character" w:customStyle="1" w:styleId="ui-provider">
    <w:name w:val="ui-provider"/>
    <w:basedOn w:val="Fuentedeprrafopredeter"/>
    <w:rsid w:val="00DA231B"/>
  </w:style>
  <w:style w:type="character" w:styleId="Hipervnculo">
    <w:name w:val="Hyperlink"/>
    <w:basedOn w:val="Fuentedeprrafopredeter"/>
    <w:uiPriority w:val="99"/>
    <w:unhideWhenUsed/>
    <w:rsid w:val="00125105"/>
    <w:rPr>
      <w:color w:val="0000FF"/>
      <w:u w:val="single"/>
    </w:rPr>
  </w:style>
  <w:style w:type="character" w:styleId="Hipervnculovisitado">
    <w:name w:val="FollowedHyperlink"/>
    <w:basedOn w:val="Fuentedeprrafopredeter"/>
    <w:uiPriority w:val="99"/>
    <w:semiHidden/>
    <w:unhideWhenUsed/>
    <w:rsid w:val="00125105"/>
    <w:rPr>
      <w:color w:val="954F72" w:themeColor="followedHyperlink"/>
      <w:u w:val="single"/>
    </w:rPr>
  </w:style>
  <w:style w:type="paragraph" w:customStyle="1" w:styleId="paragraph">
    <w:name w:val="paragraph"/>
    <w:basedOn w:val="Normal"/>
    <w:rsid w:val="00322A85"/>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abchar">
    <w:name w:val="tabchar"/>
    <w:basedOn w:val="Fuentedeprrafopredeter"/>
    <w:rsid w:val="00322A85"/>
  </w:style>
  <w:style w:type="character" w:customStyle="1" w:styleId="eop">
    <w:name w:val="eop"/>
    <w:basedOn w:val="Fuentedeprrafopredeter"/>
    <w:rsid w:val="00322A85"/>
  </w:style>
  <w:style w:type="character" w:styleId="Mencinsinresolver">
    <w:name w:val="Unresolved Mention"/>
    <w:basedOn w:val="Fuentedeprrafopredeter"/>
    <w:uiPriority w:val="99"/>
    <w:semiHidden/>
    <w:unhideWhenUsed/>
    <w:rsid w:val="001F7DC6"/>
    <w:rPr>
      <w:color w:val="605E5C"/>
      <w:shd w:val="clear" w:color="auto" w:fill="E1DFDD"/>
    </w:rPr>
  </w:style>
  <w:style w:type="paragraph" w:styleId="NormalWeb">
    <w:name w:val="Normal (Web)"/>
    <w:basedOn w:val="Normal"/>
    <w:link w:val="NormalWebCar"/>
    <w:uiPriority w:val="99"/>
    <w:unhideWhenUsed/>
    <w:rsid w:val="00DF5254"/>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blanco">
    <w:name w:val="blanco"/>
    <w:basedOn w:val="Normal"/>
    <w:rsid w:val="00C76B1C"/>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Revisin">
    <w:name w:val="Revision"/>
    <w:hidden/>
    <w:uiPriority w:val="99"/>
    <w:semiHidden/>
    <w:rsid w:val="009F3A13"/>
    <w:pPr>
      <w:spacing w:after="0" w:line="240" w:lineRule="auto"/>
    </w:pPr>
  </w:style>
  <w:style w:type="character" w:customStyle="1" w:styleId="PrrafodelistaCar">
    <w:name w:val="Párrafo de lista Car"/>
    <w:aliases w:val="Fotografía Car,Párrafo de lista1 Car,Bullet List Car,FooterText Car,numbered Car,Paragraphe de liste1 Car,lp1 Car,Scitum normal Car,HOJA Car,Bolita Car,Párrafo de lista4 Car,BOLADEF Car,Párrafo de lista3 Car,Párrafo de lista21 Car"/>
    <w:link w:val="Prrafodelista"/>
    <w:uiPriority w:val="34"/>
    <w:qFormat/>
    <w:locked/>
    <w:rsid w:val="00E334D4"/>
    <w:rPr>
      <w:rFonts w:ascii="Geomanist Light" w:hAnsi="Geomanist Light"/>
      <w:lang w:val="es-ES"/>
    </w:rPr>
  </w:style>
  <w:style w:type="paragraph" w:styleId="Textoindependiente">
    <w:name w:val="Body Text"/>
    <w:basedOn w:val="Normal"/>
    <w:link w:val="TextoindependienteCar"/>
    <w:uiPriority w:val="1"/>
    <w:unhideWhenUsed/>
    <w:qFormat/>
    <w:rsid w:val="00E334D4"/>
    <w:pPr>
      <w:spacing w:after="120"/>
    </w:pPr>
    <w:rPr>
      <w:rFonts w:eastAsia="Times New Roman" w:cs="Times New Roman"/>
    </w:rPr>
  </w:style>
  <w:style w:type="character" w:customStyle="1" w:styleId="TextoindependienteCar">
    <w:name w:val="Texto independiente Car"/>
    <w:basedOn w:val="Fuentedeprrafopredeter"/>
    <w:link w:val="Textoindependiente"/>
    <w:uiPriority w:val="1"/>
    <w:rsid w:val="00E334D4"/>
    <w:rPr>
      <w:rFonts w:eastAsia="Times New Roman" w:cs="Times New Roman"/>
    </w:rPr>
  </w:style>
  <w:style w:type="paragraph" w:customStyle="1" w:styleId="Appelnotedebasde">
    <w:name w:val="Appel note de bas de..."/>
    <w:basedOn w:val="Normal"/>
    <w:link w:val="Refdenotaalpie"/>
    <w:uiPriority w:val="99"/>
    <w:rsid w:val="00E334D4"/>
    <w:pPr>
      <w:spacing w:line="240" w:lineRule="exact"/>
    </w:pPr>
    <w:rPr>
      <w:vertAlign w:val="superscript"/>
    </w:rPr>
  </w:style>
  <w:style w:type="character" w:customStyle="1" w:styleId="s15">
    <w:name w:val="s15"/>
    <w:basedOn w:val="Fuentedeprrafopredeter"/>
    <w:rsid w:val="00E334D4"/>
  </w:style>
  <w:style w:type="character" w:customStyle="1" w:styleId="NormalWebCar">
    <w:name w:val="Normal (Web) Car"/>
    <w:link w:val="NormalWeb"/>
    <w:uiPriority w:val="99"/>
    <w:locked/>
    <w:rsid w:val="00E334D4"/>
    <w:rPr>
      <w:rFonts w:ascii="Times New Roman" w:eastAsia="Times New Roman" w:hAnsi="Times New Roman" w:cs="Times New Roman"/>
      <w:sz w:val="24"/>
      <w:szCs w:val="24"/>
      <w:lang w:eastAsia="es-CO"/>
    </w:rPr>
  </w:style>
  <w:style w:type="character" w:customStyle="1" w:styleId="baj">
    <w:name w:val="b_aj"/>
    <w:basedOn w:val="Fuentedeprrafopredeter"/>
    <w:rsid w:val="00E334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1767828">
      <w:bodyDiv w:val="1"/>
      <w:marLeft w:val="0"/>
      <w:marRight w:val="0"/>
      <w:marTop w:val="0"/>
      <w:marBottom w:val="0"/>
      <w:divBdr>
        <w:top w:val="none" w:sz="0" w:space="0" w:color="auto"/>
        <w:left w:val="none" w:sz="0" w:space="0" w:color="auto"/>
        <w:bottom w:val="none" w:sz="0" w:space="0" w:color="auto"/>
        <w:right w:val="none" w:sz="0" w:space="0" w:color="auto"/>
      </w:divBdr>
    </w:div>
    <w:div w:id="755788902">
      <w:bodyDiv w:val="1"/>
      <w:marLeft w:val="0"/>
      <w:marRight w:val="0"/>
      <w:marTop w:val="0"/>
      <w:marBottom w:val="0"/>
      <w:divBdr>
        <w:top w:val="none" w:sz="0" w:space="0" w:color="auto"/>
        <w:left w:val="none" w:sz="0" w:space="0" w:color="auto"/>
        <w:bottom w:val="none" w:sz="0" w:space="0" w:color="auto"/>
        <w:right w:val="none" w:sz="0" w:space="0" w:color="auto"/>
      </w:divBdr>
    </w:div>
    <w:div w:id="1132796275">
      <w:bodyDiv w:val="1"/>
      <w:marLeft w:val="0"/>
      <w:marRight w:val="0"/>
      <w:marTop w:val="0"/>
      <w:marBottom w:val="0"/>
      <w:divBdr>
        <w:top w:val="none" w:sz="0" w:space="0" w:color="auto"/>
        <w:left w:val="none" w:sz="0" w:space="0" w:color="auto"/>
        <w:bottom w:val="none" w:sz="0" w:space="0" w:color="auto"/>
        <w:right w:val="none" w:sz="0" w:space="0" w:color="auto"/>
      </w:divBdr>
    </w:div>
    <w:div w:id="1270429918">
      <w:bodyDiv w:val="1"/>
      <w:marLeft w:val="0"/>
      <w:marRight w:val="0"/>
      <w:marTop w:val="0"/>
      <w:marBottom w:val="0"/>
      <w:divBdr>
        <w:top w:val="none" w:sz="0" w:space="0" w:color="auto"/>
        <w:left w:val="none" w:sz="0" w:space="0" w:color="auto"/>
        <w:bottom w:val="none" w:sz="0" w:space="0" w:color="auto"/>
        <w:right w:val="none" w:sz="0" w:space="0" w:color="auto"/>
      </w:divBdr>
    </w:div>
    <w:div w:id="1291863859">
      <w:bodyDiv w:val="1"/>
      <w:marLeft w:val="0"/>
      <w:marRight w:val="0"/>
      <w:marTop w:val="0"/>
      <w:marBottom w:val="0"/>
      <w:divBdr>
        <w:top w:val="none" w:sz="0" w:space="0" w:color="auto"/>
        <w:left w:val="none" w:sz="0" w:space="0" w:color="auto"/>
        <w:bottom w:val="none" w:sz="0" w:space="0" w:color="auto"/>
        <w:right w:val="none" w:sz="0" w:space="0" w:color="auto"/>
      </w:divBdr>
      <w:divsChild>
        <w:div w:id="1814251553">
          <w:marLeft w:val="0"/>
          <w:marRight w:val="0"/>
          <w:marTop w:val="0"/>
          <w:marBottom w:val="0"/>
          <w:divBdr>
            <w:top w:val="none" w:sz="0" w:space="0" w:color="auto"/>
            <w:left w:val="none" w:sz="0" w:space="0" w:color="auto"/>
            <w:bottom w:val="none" w:sz="0" w:space="0" w:color="auto"/>
            <w:right w:val="none" w:sz="0" w:space="0" w:color="auto"/>
          </w:divBdr>
        </w:div>
        <w:div w:id="1098216012">
          <w:marLeft w:val="0"/>
          <w:marRight w:val="0"/>
          <w:marTop w:val="0"/>
          <w:marBottom w:val="0"/>
          <w:divBdr>
            <w:top w:val="none" w:sz="0" w:space="0" w:color="auto"/>
            <w:left w:val="none" w:sz="0" w:space="0" w:color="auto"/>
            <w:bottom w:val="none" w:sz="0" w:space="0" w:color="auto"/>
            <w:right w:val="none" w:sz="0" w:space="0" w:color="auto"/>
          </w:divBdr>
        </w:div>
        <w:div w:id="2036272205">
          <w:marLeft w:val="0"/>
          <w:marRight w:val="0"/>
          <w:marTop w:val="0"/>
          <w:marBottom w:val="0"/>
          <w:divBdr>
            <w:top w:val="none" w:sz="0" w:space="0" w:color="auto"/>
            <w:left w:val="none" w:sz="0" w:space="0" w:color="auto"/>
            <w:bottom w:val="none" w:sz="0" w:space="0" w:color="auto"/>
            <w:right w:val="none" w:sz="0" w:space="0" w:color="auto"/>
          </w:divBdr>
        </w:div>
        <w:div w:id="1963534490">
          <w:marLeft w:val="0"/>
          <w:marRight w:val="0"/>
          <w:marTop w:val="0"/>
          <w:marBottom w:val="0"/>
          <w:divBdr>
            <w:top w:val="none" w:sz="0" w:space="0" w:color="auto"/>
            <w:left w:val="none" w:sz="0" w:space="0" w:color="auto"/>
            <w:bottom w:val="none" w:sz="0" w:space="0" w:color="auto"/>
            <w:right w:val="none" w:sz="0" w:space="0" w:color="auto"/>
          </w:divBdr>
        </w:div>
        <w:div w:id="1009718320">
          <w:marLeft w:val="0"/>
          <w:marRight w:val="0"/>
          <w:marTop w:val="0"/>
          <w:marBottom w:val="0"/>
          <w:divBdr>
            <w:top w:val="none" w:sz="0" w:space="0" w:color="auto"/>
            <w:left w:val="none" w:sz="0" w:space="0" w:color="auto"/>
            <w:bottom w:val="none" w:sz="0" w:space="0" w:color="auto"/>
            <w:right w:val="none" w:sz="0" w:space="0" w:color="auto"/>
          </w:divBdr>
        </w:div>
        <w:div w:id="2075656958">
          <w:marLeft w:val="0"/>
          <w:marRight w:val="0"/>
          <w:marTop w:val="0"/>
          <w:marBottom w:val="0"/>
          <w:divBdr>
            <w:top w:val="none" w:sz="0" w:space="0" w:color="auto"/>
            <w:left w:val="none" w:sz="0" w:space="0" w:color="auto"/>
            <w:bottom w:val="none" w:sz="0" w:space="0" w:color="auto"/>
            <w:right w:val="none" w:sz="0" w:space="0" w:color="auto"/>
          </w:divBdr>
        </w:div>
        <w:div w:id="1227495006">
          <w:marLeft w:val="0"/>
          <w:marRight w:val="0"/>
          <w:marTop w:val="0"/>
          <w:marBottom w:val="0"/>
          <w:divBdr>
            <w:top w:val="none" w:sz="0" w:space="0" w:color="auto"/>
            <w:left w:val="none" w:sz="0" w:space="0" w:color="auto"/>
            <w:bottom w:val="none" w:sz="0" w:space="0" w:color="auto"/>
            <w:right w:val="none" w:sz="0" w:space="0" w:color="auto"/>
          </w:divBdr>
        </w:div>
        <w:div w:id="390231839">
          <w:marLeft w:val="0"/>
          <w:marRight w:val="0"/>
          <w:marTop w:val="0"/>
          <w:marBottom w:val="0"/>
          <w:divBdr>
            <w:top w:val="none" w:sz="0" w:space="0" w:color="auto"/>
            <w:left w:val="none" w:sz="0" w:space="0" w:color="auto"/>
            <w:bottom w:val="none" w:sz="0" w:space="0" w:color="auto"/>
            <w:right w:val="none" w:sz="0" w:space="0" w:color="auto"/>
          </w:divBdr>
        </w:div>
        <w:div w:id="117142684">
          <w:marLeft w:val="0"/>
          <w:marRight w:val="0"/>
          <w:marTop w:val="0"/>
          <w:marBottom w:val="0"/>
          <w:divBdr>
            <w:top w:val="none" w:sz="0" w:space="0" w:color="auto"/>
            <w:left w:val="none" w:sz="0" w:space="0" w:color="auto"/>
            <w:bottom w:val="none" w:sz="0" w:space="0" w:color="auto"/>
            <w:right w:val="none" w:sz="0" w:space="0" w:color="auto"/>
          </w:divBdr>
        </w:div>
        <w:div w:id="882060613">
          <w:marLeft w:val="0"/>
          <w:marRight w:val="0"/>
          <w:marTop w:val="0"/>
          <w:marBottom w:val="0"/>
          <w:divBdr>
            <w:top w:val="none" w:sz="0" w:space="0" w:color="auto"/>
            <w:left w:val="none" w:sz="0" w:space="0" w:color="auto"/>
            <w:bottom w:val="none" w:sz="0" w:space="0" w:color="auto"/>
            <w:right w:val="none" w:sz="0" w:space="0" w:color="auto"/>
          </w:divBdr>
        </w:div>
        <w:div w:id="1343312156">
          <w:marLeft w:val="0"/>
          <w:marRight w:val="0"/>
          <w:marTop w:val="0"/>
          <w:marBottom w:val="0"/>
          <w:divBdr>
            <w:top w:val="none" w:sz="0" w:space="0" w:color="auto"/>
            <w:left w:val="none" w:sz="0" w:space="0" w:color="auto"/>
            <w:bottom w:val="none" w:sz="0" w:space="0" w:color="auto"/>
            <w:right w:val="none" w:sz="0" w:space="0" w:color="auto"/>
          </w:divBdr>
        </w:div>
        <w:div w:id="807745514">
          <w:marLeft w:val="0"/>
          <w:marRight w:val="0"/>
          <w:marTop w:val="0"/>
          <w:marBottom w:val="0"/>
          <w:divBdr>
            <w:top w:val="none" w:sz="0" w:space="0" w:color="auto"/>
            <w:left w:val="none" w:sz="0" w:space="0" w:color="auto"/>
            <w:bottom w:val="none" w:sz="0" w:space="0" w:color="auto"/>
            <w:right w:val="none" w:sz="0" w:space="0" w:color="auto"/>
          </w:divBdr>
        </w:div>
        <w:div w:id="688798703">
          <w:marLeft w:val="0"/>
          <w:marRight w:val="0"/>
          <w:marTop w:val="0"/>
          <w:marBottom w:val="0"/>
          <w:divBdr>
            <w:top w:val="none" w:sz="0" w:space="0" w:color="auto"/>
            <w:left w:val="none" w:sz="0" w:space="0" w:color="auto"/>
            <w:bottom w:val="none" w:sz="0" w:space="0" w:color="auto"/>
            <w:right w:val="none" w:sz="0" w:space="0" w:color="auto"/>
          </w:divBdr>
        </w:div>
        <w:div w:id="1324310022">
          <w:marLeft w:val="0"/>
          <w:marRight w:val="0"/>
          <w:marTop w:val="0"/>
          <w:marBottom w:val="0"/>
          <w:divBdr>
            <w:top w:val="none" w:sz="0" w:space="0" w:color="auto"/>
            <w:left w:val="none" w:sz="0" w:space="0" w:color="auto"/>
            <w:bottom w:val="none" w:sz="0" w:space="0" w:color="auto"/>
            <w:right w:val="none" w:sz="0" w:space="0" w:color="auto"/>
          </w:divBdr>
        </w:div>
        <w:div w:id="715542045">
          <w:marLeft w:val="0"/>
          <w:marRight w:val="0"/>
          <w:marTop w:val="0"/>
          <w:marBottom w:val="0"/>
          <w:divBdr>
            <w:top w:val="none" w:sz="0" w:space="0" w:color="auto"/>
            <w:left w:val="none" w:sz="0" w:space="0" w:color="auto"/>
            <w:bottom w:val="none" w:sz="0" w:space="0" w:color="auto"/>
            <w:right w:val="none" w:sz="0" w:space="0" w:color="auto"/>
          </w:divBdr>
        </w:div>
        <w:div w:id="1065952338">
          <w:marLeft w:val="0"/>
          <w:marRight w:val="0"/>
          <w:marTop w:val="0"/>
          <w:marBottom w:val="0"/>
          <w:divBdr>
            <w:top w:val="none" w:sz="0" w:space="0" w:color="auto"/>
            <w:left w:val="none" w:sz="0" w:space="0" w:color="auto"/>
            <w:bottom w:val="none" w:sz="0" w:space="0" w:color="auto"/>
            <w:right w:val="none" w:sz="0" w:space="0" w:color="auto"/>
          </w:divBdr>
        </w:div>
        <w:div w:id="2092659859">
          <w:marLeft w:val="0"/>
          <w:marRight w:val="0"/>
          <w:marTop w:val="0"/>
          <w:marBottom w:val="0"/>
          <w:divBdr>
            <w:top w:val="none" w:sz="0" w:space="0" w:color="auto"/>
            <w:left w:val="none" w:sz="0" w:space="0" w:color="auto"/>
            <w:bottom w:val="none" w:sz="0" w:space="0" w:color="auto"/>
            <w:right w:val="none" w:sz="0" w:space="0" w:color="auto"/>
          </w:divBdr>
        </w:div>
        <w:div w:id="1134103737">
          <w:marLeft w:val="0"/>
          <w:marRight w:val="0"/>
          <w:marTop w:val="0"/>
          <w:marBottom w:val="0"/>
          <w:divBdr>
            <w:top w:val="none" w:sz="0" w:space="0" w:color="auto"/>
            <w:left w:val="none" w:sz="0" w:space="0" w:color="auto"/>
            <w:bottom w:val="none" w:sz="0" w:space="0" w:color="auto"/>
            <w:right w:val="none" w:sz="0" w:space="0" w:color="auto"/>
          </w:divBdr>
        </w:div>
        <w:div w:id="511727059">
          <w:marLeft w:val="0"/>
          <w:marRight w:val="0"/>
          <w:marTop w:val="0"/>
          <w:marBottom w:val="0"/>
          <w:divBdr>
            <w:top w:val="none" w:sz="0" w:space="0" w:color="auto"/>
            <w:left w:val="none" w:sz="0" w:space="0" w:color="auto"/>
            <w:bottom w:val="none" w:sz="0" w:space="0" w:color="auto"/>
            <w:right w:val="none" w:sz="0" w:space="0" w:color="auto"/>
          </w:divBdr>
        </w:div>
        <w:div w:id="860240521">
          <w:marLeft w:val="0"/>
          <w:marRight w:val="0"/>
          <w:marTop w:val="0"/>
          <w:marBottom w:val="0"/>
          <w:divBdr>
            <w:top w:val="none" w:sz="0" w:space="0" w:color="auto"/>
            <w:left w:val="none" w:sz="0" w:space="0" w:color="auto"/>
            <w:bottom w:val="none" w:sz="0" w:space="0" w:color="auto"/>
            <w:right w:val="none" w:sz="0" w:space="0" w:color="auto"/>
          </w:divBdr>
        </w:div>
        <w:div w:id="892691556">
          <w:marLeft w:val="0"/>
          <w:marRight w:val="0"/>
          <w:marTop w:val="0"/>
          <w:marBottom w:val="0"/>
          <w:divBdr>
            <w:top w:val="none" w:sz="0" w:space="0" w:color="auto"/>
            <w:left w:val="none" w:sz="0" w:space="0" w:color="auto"/>
            <w:bottom w:val="none" w:sz="0" w:space="0" w:color="auto"/>
            <w:right w:val="none" w:sz="0" w:space="0" w:color="auto"/>
          </w:divBdr>
        </w:div>
        <w:div w:id="24454764">
          <w:marLeft w:val="0"/>
          <w:marRight w:val="0"/>
          <w:marTop w:val="0"/>
          <w:marBottom w:val="0"/>
          <w:divBdr>
            <w:top w:val="none" w:sz="0" w:space="0" w:color="auto"/>
            <w:left w:val="none" w:sz="0" w:space="0" w:color="auto"/>
            <w:bottom w:val="none" w:sz="0" w:space="0" w:color="auto"/>
            <w:right w:val="none" w:sz="0" w:space="0" w:color="auto"/>
          </w:divBdr>
        </w:div>
        <w:div w:id="541678020">
          <w:marLeft w:val="0"/>
          <w:marRight w:val="0"/>
          <w:marTop w:val="0"/>
          <w:marBottom w:val="0"/>
          <w:divBdr>
            <w:top w:val="none" w:sz="0" w:space="0" w:color="auto"/>
            <w:left w:val="none" w:sz="0" w:space="0" w:color="auto"/>
            <w:bottom w:val="none" w:sz="0" w:space="0" w:color="auto"/>
            <w:right w:val="none" w:sz="0" w:space="0" w:color="auto"/>
          </w:divBdr>
        </w:div>
        <w:div w:id="1404261026">
          <w:marLeft w:val="0"/>
          <w:marRight w:val="0"/>
          <w:marTop w:val="0"/>
          <w:marBottom w:val="0"/>
          <w:divBdr>
            <w:top w:val="none" w:sz="0" w:space="0" w:color="auto"/>
            <w:left w:val="none" w:sz="0" w:space="0" w:color="auto"/>
            <w:bottom w:val="none" w:sz="0" w:space="0" w:color="auto"/>
            <w:right w:val="none" w:sz="0" w:space="0" w:color="auto"/>
          </w:divBdr>
        </w:div>
        <w:div w:id="638808706">
          <w:marLeft w:val="0"/>
          <w:marRight w:val="0"/>
          <w:marTop w:val="0"/>
          <w:marBottom w:val="0"/>
          <w:divBdr>
            <w:top w:val="none" w:sz="0" w:space="0" w:color="auto"/>
            <w:left w:val="none" w:sz="0" w:space="0" w:color="auto"/>
            <w:bottom w:val="none" w:sz="0" w:space="0" w:color="auto"/>
            <w:right w:val="none" w:sz="0" w:space="0" w:color="auto"/>
          </w:divBdr>
        </w:div>
        <w:div w:id="238516275">
          <w:marLeft w:val="0"/>
          <w:marRight w:val="0"/>
          <w:marTop w:val="0"/>
          <w:marBottom w:val="0"/>
          <w:divBdr>
            <w:top w:val="none" w:sz="0" w:space="0" w:color="auto"/>
            <w:left w:val="none" w:sz="0" w:space="0" w:color="auto"/>
            <w:bottom w:val="none" w:sz="0" w:space="0" w:color="auto"/>
            <w:right w:val="none" w:sz="0" w:space="0" w:color="auto"/>
          </w:divBdr>
        </w:div>
        <w:div w:id="1694109704">
          <w:marLeft w:val="0"/>
          <w:marRight w:val="0"/>
          <w:marTop w:val="0"/>
          <w:marBottom w:val="0"/>
          <w:divBdr>
            <w:top w:val="none" w:sz="0" w:space="0" w:color="auto"/>
            <w:left w:val="none" w:sz="0" w:space="0" w:color="auto"/>
            <w:bottom w:val="none" w:sz="0" w:space="0" w:color="auto"/>
            <w:right w:val="none" w:sz="0" w:space="0" w:color="auto"/>
          </w:divBdr>
        </w:div>
        <w:div w:id="2120836280">
          <w:marLeft w:val="0"/>
          <w:marRight w:val="0"/>
          <w:marTop w:val="0"/>
          <w:marBottom w:val="0"/>
          <w:divBdr>
            <w:top w:val="none" w:sz="0" w:space="0" w:color="auto"/>
            <w:left w:val="none" w:sz="0" w:space="0" w:color="auto"/>
            <w:bottom w:val="none" w:sz="0" w:space="0" w:color="auto"/>
            <w:right w:val="none" w:sz="0" w:space="0" w:color="auto"/>
          </w:divBdr>
        </w:div>
        <w:div w:id="455296425">
          <w:marLeft w:val="0"/>
          <w:marRight w:val="0"/>
          <w:marTop w:val="0"/>
          <w:marBottom w:val="0"/>
          <w:divBdr>
            <w:top w:val="none" w:sz="0" w:space="0" w:color="auto"/>
            <w:left w:val="none" w:sz="0" w:space="0" w:color="auto"/>
            <w:bottom w:val="none" w:sz="0" w:space="0" w:color="auto"/>
            <w:right w:val="none" w:sz="0" w:space="0" w:color="auto"/>
          </w:divBdr>
        </w:div>
        <w:div w:id="1932930429">
          <w:marLeft w:val="0"/>
          <w:marRight w:val="0"/>
          <w:marTop w:val="0"/>
          <w:marBottom w:val="0"/>
          <w:divBdr>
            <w:top w:val="none" w:sz="0" w:space="0" w:color="auto"/>
            <w:left w:val="none" w:sz="0" w:space="0" w:color="auto"/>
            <w:bottom w:val="none" w:sz="0" w:space="0" w:color="auto"/>
            <w:right w:val="none" w:sz="0" w:space="0" w:color="auto"/>
          </w:divBdr>
        </w:div>
        <w:div w:id="538082317">
          <w:marLeft w:val="0"/>
          <w:marRight w:val="0"/>
          <w:marTop w:val="0"/>
          <w:marBottom w:val="0"/>
          <w:divBdr>
            <w:top w:val="none" w:sz="0" w:space="0" w:color="auto"/>
            <w:left w:val="none" w:sz="0" w:space="0" w:color="auto"/>
            <w:bottom w:val="none" w:sz="0" w:space="0" w:color="auto"/>
            <w:right w:val="none" w:sz="0" w:space="0" w:color="auto"/>
          </w:divBdr>
        </w:div>
        <w:div w:id="679356651">
          <w:marLeft w:val="0"/>
          <w:marRight w:val="0"/>
          <w:marTop w:val="0"/>
          <w:marBottom w:val="0"/>
          <w:divBdr>
            <w:top w:val="none" w:sz="0" w:space="0" w:color="auto"/>
            <w:left w:val="none" w:sz="0" w:space="0" w:color="auto"/>
            <w:bottom w:val="none" w:sz="0" w:space="0" w:color="auto"/>
            <w:right w:val="none" w:sz="0" w:space="0" w:color="auto"/>
          </w:divBdr>
        </w:div>
        <w:div w:id="1638532409">
          <w:marLeft w:val="0"/>
          <w:marRight w:val="0"/>
          <w:marTop w:val="0"/>
          <w:marBottom w:val="0"/>
          <w:divBdr>
            <w:top w:val="none" w:sz="0" w:space="0" w:color="auto"/>
            <w:left w:val="none" w:sz="0" w:space="0" w:color="auto"/>
            <w:bottom w:val="none" w:sz="0" w:space="0" w:color="auto"/>
            <w:right w:val="none" w:sz="0" w:space="0" w:color="auto"/>
          </w:divBdr>
        </w:div>
        <w:div w:id="1464275602">
          <w:marLeft w:val="0"/>
          <w:marRight w:val="0"/>
          <w:marTop w:val="0"/>
          <w:marBottom w:val="0"/>
          <w:divBdr>
            <w:top w:val="none" w:sz="0" w:space="0" w:color="auto"/>
            <w:left w:val="none" w:sz="0" w:space="0" w:color="auto"/>
            <w:bottom w:val="none" w:sz="0" w:space="0" w:color="auto"/>
            <w:right w:val="none" w:sz="0" w:space="0" w:color="auto"/>
          </w:divBdr>
        </w:div>
        <w:div w:id="1916237550">
          <w:marLeft w:val="0"/>
          <w:marRight w:val="0"/>
          <w:marTop w:val="0"/>
          <w:marBottom w:val="0"/>
          <w:divBdr>
            <w:top w:val="none" w:sz="0" w:space="0" w:color="auto"/>
            <w:left w:val="none" w:sz="0" w:space="0" w:color="auto"/>
            <w:bottom w:val="none" w:sz="0" w:space="0" w:color="auto"/>
            <w:right w:val="none" w:sz="0" w:space="0" w:color="auto"/>
          </w:divBdr>
        </w:div>
        <w:div w:id="2095541977">
          <w:marLeft w:val="0"/>
          <w:marRight w:val="0"/>
          <w:marTop w:val="0"/>
          <w:marBottom w:val="0"/>
          <w:divBdr>
            <w:top w:val="none" w:sz="0" w:space="0" w:color="auto"/>
            <w:left w:val="none" w:sz="0" w:space="0" w:color="auto"/>
            <w:bottom w:val="none" w:sz="0" w:space="0" w:color="auto"/>
            <w:right w:val="none" w:sz="0" w:space="0" w:color="auto"/>
          </w:divBdr>
          <w:divsChild>
            <w:div w:id="1488938398">
              <w:marLeft w:val="-75"/>
              <w:marRight w:val="0"/>
              <w:marTop w:val="30"/>
              <w:marBottom w:val="30"/>
              <w:divBdr>
                <w:top w:val="none" w:sz="0" w:space="0" w:color="auto"/>
                <w:left w:val="none" w:sz="0" w:space="0" w:color="auto"/>
                <w:bottom w:val="none" w:sz="0" w:space="0" w:color="auto"/>
                <w:right w:val="none" w:sz="0" w:space="0" w:color="auto"/>
              </w:divBdr>
              <w:divsChild>
                <w:div w:id="283007184">
                  <w:marLeft w:val="0"/>
                  <w:marRight w:val="0"/>
                  <w:marTop w:val="0"/>
                  <w:marBottom w:val="0"/>
                  <w:divBdr>
                    <w:top w:val="none" w:sz="0" w:space="0" w:color="auto"/>
                    <w:left w:val="none" w:sz="0" w:space="0" w:color="auto"/>
                    <w:bottom w:val="none" w:sz="0" w:space="0" w:color="auto"/>
                    <w:right w:val="none" w:sz="0" w:space="0" w:color="auto"/>
                  </w:divBdr>
                  <w:divsChild>
                    <w:div w:id="928538327">
                      <w:marLeft w:val="0"/>
                      <w:marRight w:val="0"/>
                      <w:marTop w:val="0"/>
                      <w:marBottom w:val="0"/>
                      <w:divBdr>
                        <w:top w:val="none" w:sz="0" w:space="0" w:color="auto"/>
                        <w:left w:val="none" w:sz="0" w:space="0" w:color="auto"/>
                        <w:bottom w:val="none" w:sz="0" w:space="0" w:color="auto"/>
                        <w:right w:val="none" w:sz="0" w:space="0" w:color="auto"/>
                      </w:divBdr>
                    </w:div>
                  </w:divsChild>
                </w:div>
                <w:div w:id="1080567943">
                  <w:marLeft w:val="0"/>
                  <w:marRight w:val="0"/>
                  <w:marTop w:val="0"/>
                  <w:marBottom w:val="0"/>
                  <w:divBdr>
                    <w:top w:val="none" w:sz="0" w:space="0" w:color="auto"/>
                    <w:left w:val="none" w:sz="0" w:space="0" w:color="auto"/>
                    <w:bottom w:val="none" w:sz="0" w:space="0" w:color="auto"/>
                    <w:right w:val="none" w:sz="0" w:space="0" w:color="auto"/>
                  </w:divBdr>
                  <w:divsChild>
                    <w:div w:id="1112624978">
                      <w:marLeft w:val="0"/>
                      <w:marRight w:val="0"/>
                      <w:marTop w:val="0"/>
                      <w:marBottom w:val="0"/>
                      <w:divBdr>
                        <w:top w:val="none" w:sz="0" w:space="0" w:color="auto"/>
                        <w:left w:val="none" w:sz="0" w:space="0" w:color="auto"/>
                        <w:bottom w:val="none" w:sz="0" w:space="0" w:color="auto"/>
                        <w:right w:val="none" w:sz="0" w:space="0" w:color="auto"/>
                      </w:divBdr>
                    </w:div>
                    <w:div w:id="539319864">
                      <w:marLeft w:val="0"/>
                      <w:marRight w:val="0"/>
                      <w:marTop w:val="0"/>
                      <w:marBottom w:val="0"/>
                      <w:divBdr>
                        <w:top w:val="none" w:sz="0" w:space="0" w:color="auto"/>
                        <w:left w:val="none" w:sz="0" w:space="0" w:color="auto"/>
                        <w:bottom w:val="none" w:sz="0" w:space="0" w:color="auto"/>
                        <w:right w:val="none" w:sz="0" w:space="0" w:color="auto"/>
                      </w:divBdr>
                    </w:div>
                  </w:divsChild>
                </w:div>
                <w:div w:id="344208591">
                  <w:marLeft w:val="0"/>
                  <w:marRight w:val="0"/>
                  <w:marTop w:val="0"/>
                  <w:marBottom w:val="0"/>
                  <w:divBdr>
                    <w:top w:val="none" w:sz="0" w:space="0" w:color="auto"/>
                    <w:left w:val="none" w:sz="0" w:space="0" w:color="auto"/>
                    <w:bottom w:val="none" w:sz="0" w:space="0" w:color="auto"/>
                    <w:right w:val="none" w:sz="0" w:space="0" w:color="auto"/>
                  </w:divBdr>
                  <w:divsChild>
                    <w:div w:id="1723020549">
                      <w:marLeft w:val="0"/>
                      <w:marRight w:val="0"/>
                      <w:marTop w:val="0"/>
                      <w:marBottom w:val="0"/>
                      <w:divBdr>
                        <w:top w:val="none" w:sz="0" w:space="0" w:color="auto"/>
                        <w:left w:val="none" w:sz="0" w:space="0" w:color="auto"/>
                        <w:bottom w:val="none" w:sz="0" w:space="0" w:color="auto"/>
                        <w:right w:val="none" w:sz="0" w:space="0" w:color="auto"/>
                      </w:divBdr>
                    </w:div>
                  </w:divsChild>
                </w:div>
                <w:div w:id="233929418">
                  <w:marLeft w:val="0"/>
                  <w:marRight w:val="0"/>
                  <w:marTop w:val="0"/>
                  <w:marBottom w:val="0"/>
                  <w:divBdr>
                    <w:top w:val="none" w:sz="0" w:space="0" w:color="auto"/>
                    <w:left w:val="none" w:sz="0" w:space="0" w:color="auto"/>
                    <w:bottom w:val="none" w:sz="0" w:space="0" w:color="auto"/>
                    <w:right w:val="none" w:sz="0" w:space="0" w:color="auto"/>
                  </w:divBdr>
                  <w:divsChild>
                    <w:div w:id="193542531">
                      <w:marLeft w:val="0"/>
                      <w:marRight w:val="0"/>
                      <w:marTop w:val="0"/>
                      <w:marBottom w:val="0"/>
                      <w:divBdr>
                        <w:top w:val="none" w:sz="0" w:space="0" w:color="auto"/>
                        <w:left w:val="none" w:sz="0" w:space="0" w:color="auto"/>
                        <w:bottom w:val="none" w:sz="0" w:space="0" w:color="auto"/>
                        <w:right w:val="none" w:sz="0" w:space="0" w:color="auto"/>
                      </w:divBdr>
                    </w:div>
                    <w:div w:id="2029217062">
                      <w:marLeft w:val="0"/>
                      <w:marRight w:val="0"/>
                      <w:marTop w:val="0"/>
                      <w:marBottom w:val="0"/>
                      <w:divBdr>
                        <w:top w:val="none" w:sz="0" w:space="0" w:color="auto"/>
                        <w:left w:val="none" w:sz="0" w:space="0" w:color="auto"/>
                        <w:bottom w:val="none" w:sz="0" w:space="0" w:color="auto"/>
                        <w:right w:val="none" w:sz="0" w:space="0" w:color="auto"/>
                      </w:divBdr>
                    </w:div>
                  </w:divsChild>
                </w:div>
                <w:div w:id="231042282">
                  <w:marLeft w:val="0"/>
                  <w:marRight w:val="0"/>
                  <w:marTop w:val="0"/>
                  <w:marBottom w:val="0"/>
                  <w:divBdr>
                    <w:top w:val="none" w:sz="0" w:space="0" w:color="auto"/>
                    <w:left w:val="none" w:sz="0" w:space="0" w:color="auto"/>
                    <w:bottom w:val="none" w:sz="0" w:space="0" w:color="auto"/>
                    <w:right w:val="none" w:sz="0" w:space="0" w:color="auto"/>
                  </w:divBdr>
                  <w:divsChild>
                    <w:div w:id="1200582818">
                      <w:marLeft w:val="0"/>
                      <w:marRight w:val="0"/>
                      <w:marTop w:val="0"/>
                      <w:marBottom w:val="0"/>
                      <w:divBdr>
                        <w:top w:val="none" w:sz="0" w:space="0" w:color="auto"/>
                        <w:left w:val="none" w:sz="0" w:space="0" w:color="auto"/>
                        <w:bottom w:val="none" w:sz="0" w:space="0" w:color="auto"/>
                        <w:right w:val="none" w:sz="0" w:space="0" w:color="auto"/>
                      </w:divBdr>
                    </w:div>
                  </w:divsChild>
                </w:div>
                <w:div w:id="431166015">
                  <w:marLeft w:val="0"/>
                  <w:marRight w:val="0"/>
                  <w:marTop w:val="0"/>
                  <w:marBottom w:val="0"/>
                  <w:divBdr>
                    <w:top w:val="none" w:sz="0" w:space="0" w:color="auto"/>
                    <w:left w:val="none" w:sz="0" w:space="0" w:color="auto"/>
                    <w:bottom w:val="none" w:sz="0" w:space="0" w:color="auto"/>
                    <w:right w:val="none" w:sz="0" w:space="0" w:color="auto"/>
                  </w:divBdr>
                  <w:divsChild>
                    <w:div w:id="63383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6871884">
          <w:marLeft w:val="0"/>
          <w:marRight w:val="0"/>
          <w:marTop w:val="0"/>
          <w:marBottom w:val="0"/>
          <w:divBdr>
            <w:top w:val="none" w:sz="0" w:space="0" w:color="auto"/>
            <w:left w:val="none" w:sz="0" w:space="0" w:color="auto"/>
            <w:bottom w:val="none" w:sz="0" w:space="0" w:color="auto"/>
            <w:right w:val="none" w:sz="0" w:space="0" w:color="auto"/>
          </w:divBdr>
        </w:div>
        <w:div w:id="1002320289">
          <w:marLeft w:val="0"/>
          <w:marRight w:val="0"/>
          <w:marTop w:val="0"/>
          <w:marBottom w:val="0"/>
          <w:divBdr>
            <w:top w:val="none" w:sz="0" w:space="0" w:color="auto"/>
            <w:left w:val="none" w:sz="0" w:space="0" w:color="auto"/>
            <w:bottom w:val="none" w:sz="0" w:space="0" w:color="auto"/>
            <w:right w:val="none" w:sz="0" w:space="0" w:color="auto"/>
          </w:divBdr>
        </w:div>
        <w:div w:id="2033648475">
          <w:marLeft w:val="0"/>
          <w:marRight w:val="0"/>
          <w:marTop w:val="0"/>
          <w:marBottom w:val="0"/>
          <w:divBdr>
            <w:top w:val="none" w:sz="0" w:space="0" w:color="auto"/>
            <w:left w:val="none" w:sz="0" w:space="0" w:color="auto"/>
            <w:bottom w:val="none" w:sz="0" w:space="0" w:color="auto"/>
            <w:right w:val="none" w:sz="0" w:space="0" w:color="auto"/>
          </w:divBdr>
        </w:div>
        <w:div w:id="1053582647">
          <w:marLeft w:val="0"/>
          <w:marRight w:val="0"/>
          <w:marTop w:val="0"/>
          <w:marBottom w:val="0"/>
          <w:divBdr>
            <w:top w:val="none" w:sz="0" w:space="0" w:color="auto"/>
            <w:left w:val="none" w:sz="0" w:space="0" w:color="auto"/>
            <w:bottom w:val="none" w:sz="0" w:space="0" w:color="auto"/>
            <w:right w:val="none" w:sz="0" w:space="0" w:color="auto"/>
          </w:divBdr>
        </w:div>
        <w:div w:id="165822881">
          <w:marLeft w:val="0"/>
          <w:marRight w:val="0"/>
          <w:marTop w:val="0"/>
          <w:marBottom w:val="0"/>
          <w:divBdr>
            <w:top w:val="none" w:sz="0" w:space="0" w:color="auto"/>
            <w:left w:val="none" w:sz="0" w:space="0" w:color="auto"/>
            <w:bottom w:val="none" w:sz="0" w:space="0" w:color="auto"/>
            <w:right w:val="none" w:sz="0" w:space="0" w:color="auto"/>
          </w:divBdr>
        </w:div>
        <w:div w:id="1919947877">
          <w:marLeft w:val="0"/>
          <w:marRight w:val="0"/>
          <w:marTop w:val="0"/>
          <w:marBottom w:val="0"/>
          <w:divBdr>
            <w:top w:val="none" w:sz="0" w:space="0" w:color="auto"/>
            <w:left w:val="none" w:sz="0" w:space="0" w:color="auto"/>
            <w:bottom w:val="none" w:sz="0" w:space="0" w:color="auto"/>
            <w:right w:val="none" w:sz="0" w:space="0" w:color="auto"/>
          </w:divBdr>
          <w:divsChild>
            <w:div w:id="1192113255">
              <w:marLeft w:val="0"/>
              <w:marRight w:val="0"/>
              <w:marTop w:val="0"/>
              <w:marBottom w:val="0"/>
              <w:divBdr>
                <w:top w:val="none" w:sz="0" w:space="0" w:color="auto"/>
                <w:left w:val="none" w:sz="0" w:space="0" w:color="auto"/>
                <w:bottom w:val="none" w:sz="0" w:space="0" w:color="auto"/>
                <w:right w:val="none" w:sz="0" w:space="0" w:color="auto"/>
              </w:divBdr>
            </w:div>
            <w:div w:id="524707673">
              <w:marLeft w:val="0"/>
              <w:marRight w:val="0"/>
              <w:marTop w:val="0"/>
              <w:marBottom w:val="0"/>
              <w:divBdr>
                <w:top w:val="none" w:sz="0" w:space="0" w:color="auto"/>
                <w:left w:val="none" w:sz="0" w:space="0" w:color="auto"/>
                <w:bottom w:val="none" w:sz="0" w:space="0" w:color="auto"/>
                <w:right w:val="none" w:sz="0" w:space="0" w:color="auto"/>
              </w:divBdr>
            </w:div>
            <w:div w:id="1477457551">
              <w:marLeft w:val="0"/>
              <w:marRight w:val="0"/>
              <w:marTop w:val="0"/>
              <w:marBottom w:val="0"/>
              <w:divBdr>
                <w:top w:val="none" w:sz="0" w:space="0" w:color="auto"/>
                <w:left w:val="none" w:sz="0" w:space="0" w:color="auto"/>
                <w:bottom w:val="none" w:sz="0" w:space="0" w:color="auto"/>
                <w:right w:val="none" w:sz="0" w:space="0" w:color="auto"/>
              </w:divBdr>
            </w:div>
            <w:div w:id="1905212490">
              <w:marLeft w:val="0"/>
              <w:marRight w:val="0"/>
              <w:marTop w:val="0"/>
              <w:marBottom w:val="0"/>
              <w:divBdr>
                <w:top w:val="none" w:sz="0" w:space="0" w:color="auto"/>
                <w:left w:val="none" w:sz="0" w:space="0" w:color="auto"/>
                <w:bottom w:val="none" w:sz="0" w:space="0" w:color="auto"/>
                <w:right w:val="none" w:sz="0" w:space="0" w:color="auto"/>
              </w:divBdr>
            </w:div>
            <w:div w:id="1960529064">
              <w:marLeft w:val="0"/>
              <w:marRight w:val="0"/>
              <w:marTop w:val="0"/>
              <w:marBottom w:val="0"/>
              <w:divBdr>
                <w:top w:val="none" w:sz="0" w:space="0" w:color="auto"/>
                <w:left w:val="none" w:sz="0" w:space="0" w:color="auto"/>
                <w:bottom w:val="none" w:sz="0" w:space="0" w:color="auto"/>
                <w:right w:val="none" w:sz="0" w:space="0" w:color="auto"/>
              </w:divBdr>
            </w:div>
          </w:divsChild>
        </w:div>
        <w:div w:id="1791318772">
          <w:marLeft w:val="0"/>
          <w:marRight w:val="0"/>
          <w:marTop w:val="0"/>
          <w:marBottom w:val="0"/>
          <w:divBdr>
            <w:top w:val="none" w:sz="0" w:space="0" w:color="auto"/>
            <w:left w:val="none" w:sz="0" w:space="0" w:color="auto"/>
            <w:bottom w:val="none" w:sz="0" w:space="0" w:color="auto"/>
            <w:right w:val="none" w:sz="0" w:space="0" w:color="auto"/>
          </w:divBdr>
        </w:div>
        <w:div w:id="1672679863">
          <w:marLeft w:val="0"/>
          <w:marRight w:val="0"/>
          <w:marTop w:val="0"/>
          <w:marBottom w:val="0"/>
          <w:divBdr>
            <w:top w:val="none" w:sz="0" w:space="0" w:color="auto"/>
            <w:left w:val="none" w:sz="0" w:space="0" w:color="auto"/>
            <w:bottom w:val="none" w:sz="0" w:space="0" w:color="auto"/>
            <w:right w:val="none" w:sz="0" w:space="0" w:color="auto"/>
          </w:divBdr>
        </w:div>
        <w:div w:id="896629501">
          <w:marLeft w:val="0"/>
          <w:marRight w:val="0"/>
          <w:marTop w:val="0"/>
          <w:marBottom w:val="0"/>
          <w:divBdr>
            <w:top w:val="none" w:sz="0" w:space="0" w:color="auto"/>
            <w:left w:val="none" w:sz="0" w:space="0" w:color="auto"/>
            <w:bottom w:val="none" w:sz="0" w:space="0" w:color="auto"/>
            <w:right w:val="none" w:sz="0" w:space="0" w:color="auto"/>
          </w:divBdr>
        </w:div>
        <w:div w:id="1492059971">
          <w:marLeft w:val="0"/>
          <w:marRight w:val="0"/>
          <w:marTop w:val="0"/>
          <w:marBottom w:val="0"/>
          <w:divBdr>
            <w:top w:val="none" w:sz="0" w:space="0" w:color="auto"/>
            <w:left w:val="none" w:sz="0" w:space="0" w:color="auto"/>
            <w:bottom w:val="none" w:sz="0" w:space="0" w:color="auto"/>
            <w:right w:val="none" w:sz="0" w:space="0" w:color="auto"/>
          </w:divBdr>
        </w:div>
        <w:div w:id="743262102">
          <w:marLeft w:val="0"/>
          <w:marRight w:val="0"/>
          <w:marTop w:val="0"/>
          <w:marBottom w:val="0"/>
          <w:divBdr>
            <w:top w:val="none" w:sz="0" w:space="0" w:color="auto"/>
            <w:left w:val="none" w:sz="0" w:space="0" w:color="auto"/>
            <w:bottom w:val="none" w:sz="0" w:space="0" w:color="auto"/>
            <w:right w:val="none" w:sz="0" w:space="0" w:color="auto"/>
          </w:divBdr>
        </w:div>
        <w:div w:id="1966614619">
          <w:marLeft w:val="0"/>
          <w:marRight w:val="0"/>
          <w:marTop w:val="0"/>
          <w:marBottom w:val="0"/>
          <w:divBdr>
            <w:top w:val="none" w:sz="0" w:space="0" w:color="auto"/>
            <w:left w:val="none" w:sz="0" w:space="0" w:color="auto"/>
            <w:bottom w:val="none" w:sz="0" w:space="0" w:color="auto"/>
            <w:right w:val="none" w:sz="0" w:space="0" w:color="auto"/>
          </w:divBdr>
          <w:divsChild>
            <w:div w:id="1375154655">
              <w:marLeft w:val="0"/>
              <w:marRight w:val="0"/>
              <w:marTop w:val="0"/>
              <w:marBottom w:val="0"/>
              <w:divBdr>
                <w:top w:val="none" w:sz="0" w:space="0" w:color="auto"/>
                <w:left w:val="none" w:sz="0" w:space="0" w:color="auto"/>
                <w:bottom w:val="none" w:sz="0" w:space="0" w:color="auto"/>
                <w:right w:val="none" w:sz="0" w:space="0" w:color="auto"/>
              </w:divBdr>
            </w:div>
            <w:div w:id="1193155926">
              <w:marLeft w:val="0"/>
              <w:marRight w:val="0"/>
              <w:marTop w:val="0"/>
              <w:marBottom w:val="0"/>
              <w:divBdr>
                <w:top w:val="none" w:sz="0" w:space="0" w:color="auto"/>
                <w:left w:val="none" w:sz="0" w:space="0" w:color="auto"/>
                <w:bottom w:val="none" w:sz="0" w:space="0" w:color="auto"/>
                <w:right w:val="none" w:sz="0" w:space="0" w:color="auto"/>
              </w:divBdr>
            </w:div>
            <w:div w:id="152644634">
              <w:marLeft w:val="0"/>
              <w:marRight w:val="0"/>
              <w:marTop w:val="0"/>
              <w:marBottom w:val="0"/>
              <w:divBdr>
                <w:top w:val="none" w:sz="0" w:space="0" w:color="auto"/>
                <w:left w:val="none" w:sz="0" w:space="0" w:color="auto"/>
                <w:bottom w:val="none" w:sz="0" w:space="0" w:color="auto"/>
                <w:right w:val="none" w:sz="0" w:space="0" w:color="auto"/>
              </w:divBdr>
            </w:div>
            <w:div w:id="1745906066">
              <w:marLeft w:val="0"/>
              <w:marRight w:val="0"/>
              <w:marTop w:val="0"/>
              <w:marBottom w:val="0"/>
              <w:divBdr>
                <w:top w:val="none" w:sz="0" w:space="0" w:color="auto"/>
                <w:left w:val="none" w:sz="0" w:space="0" w:color="auto"/>
                <w:bottom w:val="none" w:sz="0" w:space="0" w:color="auto"/>
                <w:right w:val="none" w:sz="0" w:space="0" w:color="auto"/>
              </w:divBdr>
            </w:div>
            <w:div w:id="293171294">
              <w:marLeft w:val="0"/>
              <w:marRight w:val="0"/>
              <w:marTop w:val="0"/>
              <w:marBottom w:val="0"/>
              <w:divBdr>
                <w:top w:val="none" w:sz="0" w:space="0" w:color="auto"/>
                <w:left w:val="none" w:sz="0" w:space="0" w:color="auto"/>
                <w:bottom w:val="none" w:sz="0" w:space="0" w:color="auto"/>
                <w:right w:val="none" w:sz="0" w:space="0" w:color="auto"/>
              </w:divBdr>
            </w:div>
          </w:divsChild>
        </w:div>
        <w:div w:id="1836526458">
          <w:marLeft w:val="0"/>
          <w:marRight w:val="0"/>
          <w:marTop w:val="0"/>
          <w:marBottom w:val="0"/>
          <w:divBdr>
            <w:top w:val="none" w:sz="0" w:space="0" w:color="auto"/>
            <w:left w:val="none" w:sz="0" w:space="0" w:color="auto"/>
            <w:bottom w:val="none" w:sz="0" w:space="0" w:color="auto"/>
            <w:right w:val="none" w:sz="0" w:space="0" w:color="auto"/>
          </w:divBdr>
          <w:divsChild>
            <w:div w:id="1153059618">
              <w:marLeft w:val="0"/>
              <w:marRight w:val="0"/>
              <w:marTop w:val="0"/>
              <w:marBottom w:val="0"/>
              <w:divBdr>
                <w:top w:val="none" w:sz="0" w:space="0" w:color="auto"/>
                <w:left w:val="none" w:sz="0" w:space="0" w:color="auto"/>
                <w:bottom w:val="none" w:sz="0" w:space="0" w:color="auto"/>
                <w:right w:val="none" w:sz="0" w:space="0" w:color="auto"/>
              </w:divBdr>
            </w:div>
            <w:div w:id="252974095">
              <w:marLeft w:val="0"/>
              <w:marRight w:val="0"/>
              <w:marTop w:val="0"/>
              <w:marBottom w:val="0"/>
              <w:divBdr>
                <w:top w:val="none" w:sz="0" w:space="0" w:color="auto"/>
                <w:left w:val="none" w:sz="0" w:space="0" w:color="auto"/>
                <w:bottom w:val="none" w:sz="0" w:space="0" w:color="auto"/>
                <w:right w:val="none" w:sz="0" w:space="0" w:color="auto"/>
              </w:divBdr>
            </w:div>
            <w:div w:id="465974370">
              <w:marLeft w:val="0"/>
              <w:marRight w:val="0"/>
              <w:marTop w:val="0"/>
              <w:marBottom w:val="0"/>
              <w:divBdr>
                <w:top w:val="none" w:sz="0" w:space="0" w:color="auto"/>
                <w:left w:val="none" w:sz="0" w:space="0" w:color="auto"/>
                <w:bottom w:val="none" w:sz="0" w:space="0" w:color="auto"/>
                <w:right w:val="none" w:sz="0" w:space="0" w:color="auto"/>
              </w:divBdr>
            </w:div>
            <w:div w:id="762535188">
              <w:marLeft w:val="0"/>
              <w:marRight w:val="0"/>
              <w:marTop w:val="0"/>
              <w:marBottom w:val="0"/>
              <w:divBdr>
                <w:top w:val="none" w:sz="0" w:space="0" w:color="auto"/>
                <w:left w:val="none" w:sz="0" w:space="0" w:color="auto"/>
                <w:bottom w:val="none" w:sz="0" w:space="0" w:color="auto"/>
                <w:right w:val="none" w:sz="0" w:space="0" w:color="auto"/>
              </w:divBdr>
            </w:div>
            <w:div w:id="1513228375">
              <w:marLeft w:val="0"/>
              <w:marRight w:val="0"/>
              <w:marTop w:val="0"/>
              <w:marBottom w:val="0"/>
              <w:divBdr>
                <w:top w:val="none" w:sz="0" w:space="0" w:color="auto"/>
                <w:left w:val="none" w:sz="0" w:space="0" w:color="auto"/>
                <w:bottom w:val="none" w:sz="0" w:space="0" w:color="auto"/>
                <w:right w:val="none" w:sz="0" w:space="0" w:color="auto"/>
              </w:divBdr>
            </w:div>
          </w:divsChild>
        </w:div>
        <w:div w:id="1128550095">
          <w:marLeft w:val="0"/>
          <w:marRight w:val="0"/>
          <w:marTop w:val="0"/>
          <w:marBottom w:val="0"/>
          <w:divBdr>
            <w:top w:val="none" w:sz="0" w:space="0" w:color="auto"/>
            <w:left w:val="none" w:sz="0" w:space="0" w:color="auto"/>
            <w:bottom w:val="none" w:sz="0" w:space="0" w:color="auto"/>
            <w:right w:val="none" w:sz="0" w:space="0" w:color="auto"/>
          </w:divBdr>
          <w:divsChild>
            <w:div w:id="407390849">
              <w:marLeft w:val="0"/>
              <w:marRight w:val="0"/>
              <w:marTop w:val="0"/>
              <w:marBottom w:val="0"/>
              <w:divBdr>
                <w:top w:val="none" w:sz="0" w:space="0" w:color="auto"/>
                <w:left w:val="none" w:sz="0" w:space="0" w:color="auto"/>
                <w:bottom w:val="none" w:sz="0" w:space="0" w:color="auto"/>
                <w:right w:val="none" w:sz="0" w:space="0" w:color="auto"/>
              </w:divBdr>
            </w:div>
            <w:div w:id="1142380584">
              <w:marLeft w:val="0"/>
              <w:marRight w:val="0"/>
              <w:marTop w:val="0"/>
              <w:marBottom w:val="0"/>
              <w:divBdr>
                <w:top w:val="none" w:sz="0" w:space="0" w:color="auto"/>
                <w:left w:val="none" w:sz="0" w:space="0" w:color="auto"/>
                <w:bottom w:val="none" w:sz="0" w:space="0" w:color="auto"/>
                <w:right w:val="none" w:sz="0" w:space="0" w:color="auto"/>
              </w:divBdr>
            </w:div>
            <w:div w:id="1192953861">
              <w:marLeft w:val="0"/>
              <w:marRight w:val="0"/>
              <w:marTop w:val="0"/>
              <w:marBottom w:val="0"/>
              <w:divBdr>
                <w:top w:val="none" w:sz="0" w:space="0" w:color="auto"/>
                <w:left w:val="none" w:sz="0" w:space="0" w:color="auto"/>
                <w:bottom w:val="none" w:sz="0" w:space="0" w:color="auto"/>
                <w:right w:val="none" w:sz="0" w:space="0" w:color="auto"/>
              </w:divBdr>
            </w:div>
          </w:divsChild>
        </w:div>
        <w:div w:id="953637238">
          <w:marLeft w:val="0"/>
          <w:marRight w:val="0"/>
          <w:marTop w:val="0"/>
          <w:marBottom w:val="0"/>
          <w:divBdr>
            <w:top w:val="none" w:sz="0" w:space="0" w:color="auto"/>
            <w:left w:val="none" w:sz="0" w:space="0" w:color="auto"/>
            <w:bottom w:val="none" w:sz="0" w:space="0" w:color="auto"/>
            <w:right w:val="none" w:sz="0" w:space="0" w:color="auto"/>
          </w:divBdr>
          <w:divsChild>
            <w:div w:id="330067371">
              <w:marLeft w:val="0"/>
              <w:marRight w:val="0"/>
              <w:marTop w:val="0"/>
              <w:marBottom w:val="0"/>
              <w:divBdr>
                <w:top w:val="none" w:sz="0" w:space="0" w:color="auto"/>
                <w:left w:val="none" w:sz="0" w:space="0" w:color="auto"/>
                <w:bottom w:val="none" w:sz="0" w:space="0" w:color="auto"/>
                <w:right w:val="none" w:sz="0" w:space="0" w:color="auto"/>
              </w:divBdr>
            </w:div>
            <w:div w:id="1721204122">
              <w:marLeft w:val="0"/>
              <w:marRight w:val="0"/>
              <w:marTop w:val="0"/>
              <w:marBottom w:val="0"/>
              <w:divBdr>
                <w:top w:val="none" w:sz="0" w:space="0" w:color="auto"/>
                <w:left w:val="none" w:sz="0" w:space="0" w:color="auto"/>
                <w:bottom w:val="none" w:sz="0" w:space="0" w:color="auto"/>
                <w:right w:val="none" w:sz="0" w:space="0" w:color="auto"/>
              </w:divBdr>
            </w:div>
            <w:div w:id="543758897">
              <w:marLeft w:val="0"/>
              <w:marRight w:val="0"/>
              <w:marTop w:val="0"/>
              <w:marBottom w:val="0"/>
              <w:divBdr>
                <w:top w:val="none" w:sz="0" w:space="0" w:color="auto"/>
                <w:left w:val="none" w:sz="0" w:space="0" w:color="auto"/>
                <w:bottom w:val="none" w:sz="0" w:space="0" w:color="auto"/>
                <w:right w:val="none" w:sz="0" w:space="0" w:color="auto"/>
              </w:divBdr>
            </w:div>
            <w:div w:id="1286548090">
              <w:marLeft w:val="0"/>
              <w:marRight w:val="0"/>
              <w:marTop w:val="0"/>
              <w:marBottom w:val="0"/>
              <w:divBdr>
                <w:top w:val="none" w:sz="0" w:space="0" w:color="auto"/>
                <w:left w:val="none" w:sz="0" w:space="0" w:color="auto"/>
                <w:bottom w:val="none" w:sz="0" w:space="0" w:color="auto"/>
                <w:right w:val="none" w:sz="0" w:space="0" w:color="auto"/>
              </w:divBdr>
            </w:div>
            <w:div w:id="220364327">
              <w:marLeft w:val="0"/>
              <w:marRight w:val="0"/>
              <w:marTop w:val="0"/>
              <w:marBottom w:val="0"/>
              <w:divBdr>
                <w:top w:val="none" w:sz="0" w:space="0" w:color="auto"/>
                <w:left w:val="none" w:sz="0" w:space="0" w:color="auto"/>
                <w:bottom w:val="none" w:sz="0" w:space="0" w:color="auto"/>
                <w:right w:val="none" w:sz="0" w:space="0" w:color="auto"/>
              </w:divBdr>
            </w:div>
          </w:divsChild>
        </w:div>
        <w:div w:id="568075362">
          <w:marLeft w:val="0"/>
          <w:marRight w:val="0"/>
          <w:marTop w:val="0"/>
          <w:marBottom w:val="0"/>
          <w:divBdr>
            <w:top w:val="none" w:sz="0" w:space="0" w:color="auto"/>
            <w:left w:val="none" w:sz="0" w:space="0" w:color="auto"/>
            <w:bottom w:val="none" w:sz="0" w:space="0" w:color="auto"/>
            <w:right w:val="none" w:sz="0" w:space="0" w:color="auto"/>
          </w:divBdr>
        </w:div>
        <w:div w:id="1538200560">
          <w:marLeft w:val="0"/>
          <w:marRight w:val="0"/>
          <w:marTop w:val="0"/>
          <w:marBottom w:val="0"/>
          <w:divBdr>
            <w:top w:val="none" w:sz="0" w:space="0" w:color="auto"/>
            <w:left w:val="none" w:sz="0" w:space="0" w:color="auto"/>
            <w:bottom w:val="none" w:sz="0" w:space="0" w:color="auto"/>
            <w:right w:val="none" w:sz="0" w:space="0" w:color="auto"/>
          </w:divBdr>
          <w:divsChild>
            <w:div w:id="1030690503">
              <w:marLeft w:val="-75"/>
              <w:marRight w:val="0"/>
              <w:marTop w:val="30"/>
              <w:marBottom w:val="30"/>
              <w:divBdr>
                <w:top w:val="none" w:sz="0" w:space="0" w:color="auto"/>
                <w:left w:val="none" w:sz="0" w:space="0" w:color="auto"/>
                <w:bottom w:val="none" w:sz="0" w:space="0" w:color="auto"/>
                <w:right w:val="none" w:sz="0" w:space="0" w:color="auto"/>
              </w:divBdr>
              <w:divsChild>
                <w:div w:id="439450645">
                  <w:marLeft w:val="0"/>
                  <w:marRight w:val="0"/>
                  <w:marTop w:val="0"/>
                  <w:marBottom w:val="0"/>
                  <w:divBdr>
                    <w:top w:val="none" w:sz="0" w:space="0" w:color="auto"/>
                    <w:left w:val="none" w:sz="0" w:space="0" w:color="auto"/>
                    <w:bottom w:val="none" w:sz="0" w:space="0" w:color="auto"/>
                    <w:right w:val="none" w:sz="0" w:space="0" w:color="auto"/>
                  </w:divBdr>
                  <w:divsChild>
                    <w:div w:id="1359618204">
                      <w:marLeft w:val="0"/>
                      <w:marRight w:val="0"/>
                      <w:marTop w:val="0"/>
                      <w:marBottom w:val="0"/>
                      <w:divBdr>
                        <w:top w:val="none" w:sz="0" w:space="0" w:color="auto"/>
                        <w:left w:val="none" w:sz="0" w:space="0" w:color="auto"/>
                        <w:bottom w:val="none" w:sz="0" w:space="0" w:color="auto"/>
                        <w:right w:val="none" w:sz="0" w:space="0" w:color="auto"/>
                      </w:divBdr>
                    </w:div>
                  </w:divsChild>
                </w:div>
                <w:div w:id="835262197">
                  <w:marLeft w:val="0"/>
                  <w:marRight w:val="0"/>
                  <w:marTop w:val="0"/>
                  <w:marBottom w:val="0"/>
                  <w:divBdr>
                    <w:top w:val="none" w:sz="0" w:space="0" w:color="auto"/>
                    <w:left w:val="none" w:sz="0" w:space="0" w:color="auto"/>
                    <w:bottom w:val="none" w:sz="0" w:space="0" w:color="auto"/>
                    <w:right w:val="none" w:sz="0" w:space="0" w:color="auto"/>
                  </w:divBdr>
                  <w:divsChild>
                    <w:div w:id="1468469984">
                      <w:marLeft w:val="0"/>
                      <w:marRight w:val="0"/>
                      <w:marTop w:val="0"/>
                      <w:marBottom w:val="0"/>
                      <w:divBdr>
                        <w:top w:val="none" w:sz="0" w:space="0" w:color="auto"/>
                        <w:left w:val="none" w:sz="0" w:space="0" w:color="auto"/>
                        <w:bottom w:val="none" w:sz="0" w:space="0" w:color="auto"/>
                        <w:right w:val="none" w:sz="0" w:space="0" w:color="auto"/>
                      </w:divBdr>
                    </w:div>
                  </w:divsChild>
                </w:div>
                <w:div w:id="1874032042">
                  <w:marLeft w:val="0"/>
                  <w:marRight w:val="0"/>
                  <w:marTop w:val="0"/>
                  <w:marBottom w:val="0"/>
                  <w:divBdr>
                    <w:top w:val="none" w:sz="0" w:space="0" w:color="auto"/>
                    <w:left w:val="none" w:sz="0" w:space="0" w:color="auto"/>
                    <w:bottom w:val="none" w:sz="0" w:space="0" w:color="auto"/>
                    <w:right w:val="none" w:sz="0" w:space="0" w:color="auto"/>
                  </w:divBdr>
                  <w:divsChild>
                    <w:div w:id="1346664389">
                      <w:marLeft w:val="0"/>
                      <w:marRight w:val="0"/>
                      <w:marTop w:val="0"/>
                      <w:marBottom w:val="0"/>
                      <w:divBdr>
                        <w:top w:val="none" w:sz="0" w:space="0" w:color="auto"/>
                        <w:left w:val="none" w:sz="0" w:space="0" w:color="auto"/>
                        <w:bottom w:val="none" w:sz="0" w:space="0" w:color="auto"/>
                        <w:right w:val="none" w:sz="0" w:space="0" w:color="auto"/>
                      </w:divBdr>
                    </w:div>
                  </w:divsChild>
                </w:div>
                <w:div w:id="1896239809">
                  <w:marLeft w:val="0"/>
                  <w:marRight w:val="0"/>
                  <w:marTop w:val="0"/>
                  <w:marBottom w:val="0"/>
                  <w:divBdr>
                    <w:top w:val="none" w:sz="0" w:space="0" w:color="auto"/>
                    <w:left w:val="none" w:sz="0" w:space="0" w:color="auto"/>
                    <w:bottom w:val="none" w:sz="0" w:space="0" w:color="auto"/>
                    <w:right w:val="none" w:sz="0" w:space="0" w:color="auto"/>
                  </w:divBdr>
                  <w:divsChild>
                    <w:div w:id="385639604">
                      <w:marLeft w:val="0"/>
                      <w:marRight w:val="0"/>
                      <w:marTop w:val="0"/>
                      <w:marBottom w:val="0"/>
                      <w:divBdr>
                        <w:top w:val="none" w:sz="0" w:space="0" w:color="auto"/>
                        <w:left w:val="none" w:sz="0" w:space="0" w:color="auto"/>
                        <w:bottom w:val="none" w:sz="0" w:space="0" w:color="auto"/>
                        <w:right w:val="none" w:sz="0" w:space="0" w:color="auto"/>
                      </w:divBdr>
                    </w:div>
                  </w:divsChild>
                </w:div>
                <w:div w:id="738094220">
                  <w:marLeft w:val="0"/>
                  <w:marRight w:val="0"/>
                  <w:marTop w:val="0"/>
                  <w:marBottom w:val="0"/>
                  <w:divBdr>
                    <w:top w:val="none" w:sz="0" w:space="0" w:color="auto"/>
                    <w:left w:val="none" w:sz="0" w:space="0" w:color="auto"/>
                    <w:bottom w:val="none" w:sz="0" w:space="0" w:color="auto"/>
                    <w:right w:val="none" w:sz="0" w:space="0" w:color="auto"/>
                  </w:divBdr>
                  <w:divsChild>
                    <w:div w:id="1453859116">
                      <w:marLeft w:val="0"/>
                      <w:marRight w:val="0"/>
                      <w:marTop w:val="0"/>
                      <w:marBottom w:val="0"/>
                      <w:divBdr>
                        <w:top w:val="none" w:sz="0" w:space="0" w:color="auto"/>
                        <w:left w:val="none" w:sz="0" w:space="0" w:color="auto"/>
                        <w:bottom w:val="none" w:sz="0" w:space="0" w:color="auto"/>
                        <w:right w:val="none" w:sz="0" w:space="0" w:color="auto"/>
                      </w:divBdr>
                    </w:div>
                  </w:divsChild>
                </w:div>
                <w:div w:id="1785539217">
                  <w:marLeft w:val="0"/>
                  <w:marRight w:val="0"/>
                  <w:marTop w:val="0"/>
                  <w:marBottom w:val="0"/>
                  <w:divBdr>
                    <w:top w:val="none" w:sz="0" w:space="0" w:color="auto"/>
                    <w:left w:val="none" w:sz="0" w:space="0" w:color="auto"/>
                    <w:bottom w:val="none" w:sz="0" w:space="0" w:color="auto"/>
                    <w:right w:val="none" w:sz="0" w:space="0" w:color="auto"/>
                  </w:divBdr>
                  <w:divsChild>
                    <w:div w:id="1682002375">
                      <w:marLeft w:val="0"/>
                      <w:marRight w:val="0"/>
                      <w:marTop w:val="0"/>
                      <w:marBottom w:val="0"/>
                      <w:divBdr>
                        <w:top w:val="none" w:sz="0" w:space="0" w:color="auto"/>
                        <w:left w:val="none" w:sz="0" w:space="0" w:color="auto"/>
                        <w:bottom w:val="none" w:sz="0" w:space="0" w:color="auto"/>
                        <w:right w:val="none" w:sz="0" w:space="0" w:color="auto"/>
                      </w:divBdr>
                    </w:div>
                  </w:divsChild>
                </w:div>
                <w:div w:id="618798070">
                  <w:marLeft w:val="0"/>
                  <w:marRight w:val="0"/>
                  <w:marTop w:val="0"/>
                  <w:marBottom w:val="0"/>
                  <w:divBdr>
                    <w:top w:val="none" w:sz="0" w:space="0" w:color="auto"/>
                    <w:left w:val="none" w:sz="0" w:space="0" w:color="auto"/>
                    <w:bottom w:val="none" w:sz="0" w:space="0" w:color="auto"/>
                    <w:right w:val="none" w:sz="0" w:space="0" w:color="auto"/>
                  </w:divBdr>
                  <w:divsChild>
                    <w:div w:id="429785129">
                      <w:marLeft w:val="0"/>
                      <w:marRight w:val="0"/>
                      <w:marTop w:val="0"/>
                      <w:marBottom w:val="0"/>
                      <w:divBdr>
                        <w:top w:val="none" w:sz="0" w:space="0" w:color="auto"/>
                        <w:left w:val="none" w:sz="0" w:space="0" w:color="auto"/>
                        <w:bottom w:val="none" w:sz="0" w:space="0" w:color="auto"/>
                        <w:right w:val="none" w:sz="0" w:space="0" w:color="auto"/>
                      </w:divBdr>
                    </w:div>
                  </w:divsChild>
                </w:div>
                <w:div w:id="252473224">
                  <w:marLeft w:val="0"/>
                  <w:marRight w:val="0"/>
                  <w:marTop w:val="0"/>
                  <w:marBottom w:val="0"/>
                  <w:divBdr>
                    <w:top w:val="none" w:sz="0" w:space="0" w:color="auto"/>
                    <w:left w:val="none" w:sz="0" w:space="0" w:color="auto"/>
                    <w:bottom w:val="none" w:sz="0" w:space="0" w:color="auto"/>
                    <w:right w:val="none" w:sz="0" w:space="0" w:color="auto"/>
                  </w:divBdr>
                  <w:divsChild>
                    <w:div w:id="1209220644">
                      <w:marLeft w:val="0"/>
                      <w:marRight w:val="0"/>
                      <w:marTop w:val="0"/>
                      <w:marBottom w:val="0"/>
                      <w:divBdr>
                        <w:top w:val="none" w:sz="0" w:space="0" w:color="auto"/>
                        <w:left w:val="none" w:sz="0" w:space="0" w:color="auto"/>
                        <w:bottom w:val="none" w:sz="0" w:space="0" w:color="auto"/>
                        <w:right w:val="none" w:sz="0" w:space="0" w:color="auto"/>
                      </w:divBdr>
                    </w:div>
                  </w:divsChild>
                </w:div>
                <w:div w:id="837228363">
                  <w:marLeft w:val="0"/>
                  <w:marRight w:val="0"/>
                  <w:marTop w:val="0"/>
                  <w:marBottom w:val="0"/>
                  <w:divBdr>
                    <w:top w:val="none" w:sz="0" w:space="0" w:color="auto"/>
                    <w:left w:val="none" w:sz="0" w:space="0" w:color="auto"/>
                    <w:bottom w:val="none" w:sz="0" w:space="0" w:color="auto"/>
                    <w:right w:val="none" w:sz="0" w:space="0" w:color="auto"/>
                  </w:divBdr>
                  <w:divsChild>
                    <w:div w:id="1391149772">
                      <w:marLeft w:val="0"/>
                      <w:marRight w:val="0"/>
                      <w:marTop w:val="0"/>
                      <w:marBottom w:val="0"/>
                      <w:divBdr>
                        <w:top w:val="none" w:sz="0" w:space="0" w:color="auto"/>
                        <w:left w:val="none" w:sz="0" w:space="0" w:color="auto"/>
                        <w:bottom w:val="none" w:sz="0" w:space="0" w:color="auto"/>
                        <w:right w:val="none" w:sz="0" w:space="0" w:color="auto"/>
                      </w:divBdr>
                    </w:div>
                  </w:divsChild>
                </w:div>
                <w:div w:id="1081558220">
                  <w:marLeft w:val="0"/>
                  <w:marRight w:val="0"/>
                  <w:marTop w:val="0"/>
                  <w:marBottom w:val="0"/>
                  <w:divBdr>
                    <w:top w:val="none" w:sz="0" w:space="0" w:color="auto"/>
                    <w:left w:val="none" w:sz="0" w:space="0" w:color="auto"/>
                    <w:bottom w:val="none" w:sz="0" w:space="0" w:color="auto"/>
                    <w:right w:val="none" w:sz="0" w:space="0" w:color="auto"/>
                  </w:divBdr>
                  <w:divsChild>
                    <w:div w:id="520363348">
                      <w:marLeft w:val="0"/>
                      <w:marRight w:val="0"/>
                      <w:marTop w:val="0"/>
                      <w:marBottom w:val="0"/>
                      <w:divBdr>
                        <w:top w:val="none" w:sz="0" w:space="0" w:color="auto"/>
                        <w:left w:val="none" w:sz="0" w:space="0" w:color="auto"/>
                        <w:bottom w:val="none" w:sz="0" w:space="0" w:color="auto"/>
                        <w:right w:val="none" w:sz="0" w:space="0" w:color="auto"/>
                      </w:divBdr>
                    </w:div>
                  </w:divsChild>
                </w:div>
                <w:div w:id="784075614">
                  <w:marLeft w:val="0"/>
                  <w:marRight w:val="0"/>
                  <w:marTop w:val="0"/>
                  <w:marBottom w:val="0"/>
                  <w:divBdr>
                    <w:top w:val="none" w:sz="0" w:space="0" w:color="auto"/>
                    <w:left w:val="none" w:sz="0" w:space="0" w:color="auto"/>
                    <w:bottom w:val="none" w:sz="0" w:space="0" w:color="auto"/>
                    <w:right w:val="none" w:sz="0" w:space="0" w:color="auto"/>
                  </w:divBdr>
                  <w:divsChild>
                    <w:div w:id="1669867117">
                      <w:marLeft w:val="0"/>
                      <w:marRight w:val="0"/>
                      <w:marTop w:val="0"/>
                      <w:marBottom w:val="0"/>
                      <w:divBdr>
                        <w:top w:val="none" w:sz="0" w:space="0" w:color="auto"/>
                        <w:left w:val="none" w:sz="0" w:space="0" w:color="auto"/>
                        <w:bottom w:val="none" w:sz="0" w:space="0" w:color="auto"/>
                        <w:right w:val="none" w:sz="0" w:space="0" w:color="auto"/>
                      </w:divBdr>
                    </w:div>
                    <w:div w:id="1061059177">
                      <w:marLeft w:val="0"/>
                      <w:marRight w:val="0"/>
                      <w:marTop w:val="0"/>
                      <w:marBottom w:val="0"/>
                      <w:divBdr>
                        <w:top w:val="none" w:sz="0" w:space="0" w:color="auto"/>
                        <w:left w:val="none" w:sz="0" w:space="0" w:color="auto"/>
                        <w:bottom w:val="none" w:sz="0" w:space="0" w:color="auto"/>
                        <w:right w:val="none" w:sz="0" w:space="0" w:color="auto"/>
                      </w:divBdr>
                    </w:div>
                  </w:divsChild>
                </w:div>
                <w:div w:id="1620144540">
                  <w:marLeft w:val="0"/>
                  <w:marRight w:val="0"/>
                  <w:marTop w:val="0"/>
                  <w:marBottom w:val="0"/>
                  <w:divBdr>
                    <w:top w:val="none" w:sz="0" w:space="0" w:color="auto"/>
                    <w:left w:val="none" w:sz="0" w:space="0" w:color="auto"/>
                    <w:bottom w:val="none" w:sz="0" w:space="0" w:color="auto"/>
                    <w:right w:val="none" w:sz="0" w:space="0" w:color="auto"/>
                  </w:divBdr>
                  <w:divsChild>
                    <w:div w:id="419764345">
                      <w:marLeft w:val="0"/>
                      <w:marRight w:val="0"/>
                      <w:marTop w:val="0"/>
                      <w:marBottom w:val="0"/>
                      <w:divBdr>
                        <w:top w:val="none" w:sz="0" w:space="0" w:color="auto"/>
                        <w:left w:val="none" w:sz="0" w:space="0" w:color="auto"/>
                        <w:bottom w:val="none" w:sz="0" w:space="0" w:color="auto"/>
                        <w:right w:val="none" w:sz="0" w:space="0" w:color="auto"/>
                      </w:divBdr>
                    </w:div>
                  </w:divsChild>
                </w:div>
                <w:div w:id="851533023">
                  <w:marLeft w:val="0"/>
                  <w:marRight w:val="0"/>
                  <w:marTop w:val="0"/>
                  <w:marBottom w:val="0"/>
                  <w:divBdr>
                    <w:top w:val="none" w:sz="0" w:space="0" w:color="auto"/>
                    <w:left w:val="none" w:sz="0" w:space="0" w:color="auto"/>
                    <w:bottom w:val="none" w:sz="0" w:space="0" w:color="auto"/>
                    <w:right w:val="none" w:sz="0" w:space="0" w:color="auto"/>
                  </w:divBdr>
                  <w:divsChild>
                    <w:div w:id="421223715">
                      <w:marLeft w:val="0"/>
                      <w:marRight w:val="0"/>
                      <w:marTop w:val="0"/>
                      <w:marBottom w:val="0"/>
                      <w:divBdr>
                        <w:top w:val="none" w:sz="0" w:space="0" w:color="auto"/>
                        <w:left w:val="none" w:sz="0" w:space="0" w:color="auto"/>
                        <w:bottom w:val="none" w:sz="0" w:space="0" w:color="auto"/>
                        <w:right w:val="none" w:sz="0" w:space="0" w:color="auto"/>
                      </w:divBdr>
                    </w:div>
                  </w:divsChild>
                </w:div>
                <w:div w:id="300615503">
                  <w:marLeft w:val="0"/>
                  <w:marRight w:val="0"/>
                  <w:marTop w:val="0"/>
                  <w:marBottom w:val="0"/>
                  <w:divBdr>
                    <w:top w:val="none" w:sz="0" w:space="0" w:color="auto"/>
                    <w:left w:val="none" w:sz="0" w:space="0" w:color="auto"/>
                    <w:bottom w:val="none" w:sz="0" w:space="0" w:color="auto"/>
                    <w:right w:val="none" w:sz="0" w:space="0" w:color="auto"/>
                  </w:divBdr>
                  <w:divsChild>
                    <w:div w:id="1767268462">
                      <w:marLeft w:val="0"/>
                      <w:marRight w:val="0"/>
                      <w:marTop w:val="0"/>
                      <w:marBottom w:val="0"/>
                      <w:divBdr>
                        <w:top w:val="none" w:sz="0" w:space="0" w:color="auto"/>
                        <w:left w:val="none" w:sz="0" w:space="0" w:color="auto"/>
                        <w:bottom w:val="none" w:sz="0" w:space="0" w:color="auto"/>
                        <w:right w:val="none" w:sz="0" w:space="0" w:color="auto"/>
                      </w:divBdr>
                    </w:div>
                    <w:div w:id="2067948171">
                      <w:marLeft w:val="0"/>
                      <w:marRight w:val="0"/>
                      <w:marTop w:val="0"/>
                      <w:marBottom w:val="0"/>
                      <w:divBdr>
                        <w:top w:val="none" w:sz="0" w:space="0" w:color="auto"/>
                        <w:left w:val="none" w:sz="0" w:space="0" w:color="auto"/>
                        <w:bottom w:val="none" w:sz="0" w:space="0" w:color="auto"/>
                        <w:right w:val="none" w:sz="0" w:space="0" w:color="auto"/>
                      </w:divBdr>
                    </w:div>
                  </w:divsChild>
                </w:div>
                <w:div w:id="1439057601">
                  <w:marLeft w:val="0"/>
                  <w:marRight w:val="0"/>
                  <w:marTop w:val="0"/>
                  <w:marBottom w:val="0"/>
                  <w:divBdr>
                    <w:top w:val="none" w:sz="0" w:space="0" w:color="auto"/>
                    <w:left w:val="none" w:sz="0" w:space="0" w:color="auto"/>
                    <w:bottom w:val="none" w:sz="0" w:space="0" w:color="auto"/>
                    <w:right w:val="none" w:sz="0" w:space="0" w:color="auto"/>
                  </w:divBdr>
                  <w:divsChild>
                    <w:div w:id="1578132383">
                      <w:marLeft w:val="0"/>
                      <w:marRight w:val="0"/>
                      <w:marTop w:val="0"/>
                      <w:marBottom w:val="0"/>
                      <w:divBdr>
                        <w:top w:val="none" w:sz="0" w:space="0" w:color="auto"/>
                        <w:left w:val="none" w:sz="0" w:space="0" w:color="auto"/>
                        <w:bottom w:val="none" w:sz="0" w:space="0" w:color="auto"/>
                        <w:right w:val="none" w:sz="0" w:space="0" w:color="auto"/>
                      </w:divBdr>
                    </w:div>
                    <w:div w:id="1578437451">
                      <w:marLeft w:val="0"/>
                      <w:marRight w:val="0"/>
                      <w:marTop w:val="0"/>
                      <w:marBottom w:val="0"/>
                      <w:divBdr>
                        <w:top w:val="none" w:sz="0" w:space="0" w:color="auto"/>
                        <w:left w:val="none" w:sz="0" w:space="0" w:color="auto"/>
                        <w:bottom w:val="none" w:sz="0" w:space="0" w:color="auto"/>
                        <w:right w:val="none" w:sz="0" w:space="0" w:color="auto"/>
                      </w:divBdr>
                    </w:div>
                  </w:divsChild>
                </w:div>
                <w:div w:id="1259679740">
                  <w:marLeft w:val="0"/>
                  <w:marRight w:val="0"/>
                  <w:marTop w:val="0"/>
                  <w:marBottom w:val="0"/>
                  <w:divBdr>
                    <w:top w:val="none" w:sz="0" w:space="0" w:color="auto"/>
                    <w:left w:val="none" w:sz="0" w:space="0" w:color="auto"/>
                    <w:bottom w:val="none" w:sz="0" w:space="0" w:color="auto"/>
                    <w:right w:val="none" w:sz="0" w:space="0" w:color="auto"/>
                  </w:divBdr>
                  <w:divsChild>
                    <w:div w:id="54084858">
                      <w:marLeft w:val="0"/>
                      <w:marRight w:val="0"/>
                      <w:marTop w:val="0"/>
                      <w:marBottom w:val="0"/>
                      <w:divBdr>
                        <w:top w:val="none" w:sz="0" w:space="0" w:color="auto"/>
                        <w:left w:val="none" w:sz="0" w:space="0" w:color="auto"/>
                        <w:bottom w:val="none" w:sz="0" w:space="0" w:color="auto"/>
                        <w:right w:val="none" w:sz="0" w:space="0" w:color="auto"/>
                      </w:divBdr>
                    </w:div>
                  </w:divsChild>
                </w:div>
                <w:div w:id="440225636">
                  <w:marLeft w:val="0"/>
                  <w:marRight w:val="0"/>
                  <w:marTop w:val="0"/>
                  <w:marBottom w:val="0"/>
                  <w:divBdr>
                    <w:top w:val="none" w:sz="0" w:space="0" w:color="auto"/>
                    <w:left w:val="none" w:sz="0" w:space="0" w:color="auto"/>
                    <w:bottom w:val="none" w:sz="0" w:space="0" w:color="auto"/>
                    <w:right w:val="none" w:sz="0" w:space="0" w:color="auto"/>
                  </w:divBdr>
                  <w:divsChild>
                    <w:div w:id="1617329362">
                      <w:marLeft w:val="0"/>
                      <w:marRight w:val="0"/>
                      <w:marTop w:val="0"/>
                      <w:marBottom w:val="0"/>
                      <w:divBdr>
                        <w:top w:val="none" w:sz="0" w:space="0" w:color="auto"/>
                        <w:left w:val="none" w:sz="0" w:space="0" w:color="auto"/>
                        <w:bottom w:val="none" w:sz="0" w:space="0" w:color="auto"/>
                        <w:right w:val="none" w:sz="0" w:space="0" w:color="auto"/>
                      </w:divBdr>
                    </w:div>
                    <w:div w:id="521668105">
                      <w:marLeft w:val="0"/>
                      <w:marRight w:val="0"/>
                      <w:marTop w:val="0"/>
                      <w:marBottom w:val="0"/>
                      <w:divBdr>
                        <w:top w:val="none" w:sz="0" w:space="0" w:color="auto"/>
                        <w:left w:val="none" w:sz="0" w:space="0" w:color="auto"/>
                        <w:bottom w:val="none" w:sz="0" w:space="0" w:color="auto"/>
                        <w:right w:val="none" w:sz="0" w:space="0" w:color="auto"/>
                      </w:divBdr>
                    </w:div>
                  </w:divsChild>
                </w:div>
                <w:div w:id="1393964384">
                  <w:marLeft w:val="0"/>
                  <w:marRight w:val="0"/>
                  <w:marTop w:val="0"/>
                  <w:marBottom w:val="0"/>
                  <w:divBdr>
                    <w:top w:val="none" w:sz="0" w:space="0" w:color="auto"/>
                    <w:left w:val="none" w:sz="0" w:space="0" w:color="auto"/>
                    <w:bottom w:val="none" w:sz="0" w:space="0" w:color="auto"/>
                    <w:right w:val="none" w:sz="0" w:space="0" w:color="auto"/>
                  </w:divBdr>
                  <w:divsChild>
                    <w:div w:id="1224876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491009">
          <w:marLeft w:val="0"/>
          <w:marRight w:val="0"/>
          <w:marTop w:val="0"/>
          <w:marBottom w:val="0"/>
          <w:divBdr>
            <w:top w:val="none" w:sz="0" w:space="0" w:color="auto"/>
            <w:left w:val="none" w:sz="0" w:space="0" w:color="auto"/>
            <w:bottom w:val="none" w:sz="0" w:space="0" w:color="auto"/>
            <w:right w:val="none" w:sz="0" w:space="0" w:color="auto"/>
          </w:divBdr>
        </w:div>
        <w:div w:id="1668825297">
          <w:marLeft w:val="0"/>
          <w:marRight w:val="0"/>
          <w:marTop w:val="0"/>
          <w:marBottom w:val="0"/>
          <w:divBdr>
            <w:top w:val="none" w:sz="0" w:space="0" w:color="auto"/>
            <w:left w:val="none" w:sz="0" w:space="0" w:color="auto"/>
            <w:bottom w:val="none" w:sz="0" w:space="0" w:color="auto"/>
            <w:right w:val="none" w:sz="0" w:space="0" w:color="auto"/>
          </w:divBdr>
        </w:div>
        <w:div w:id="596713425">
          <w:marLeft w:val="0"/>
          <w:marRight w:val="0"/>
          <w:marTop w:val="0"/>
          <w:marBottom w:val="0"/>
          <w:divBdr>
            <w:top w:val="none" w:sz="0" w:space="0" w:color="auto"/>
            <w:left w:val="none" w:sz="0" w:space="0" w:color="auto"/>
            <w:bottom w:val="none" w:sz="0" w:space="0" w:color="auto"/>
            <w:right w:val="none" w:sz="0" w:space="0" w:color="auto"/>
          </w:divBdr>
        </w:div>
        <w:div w:id="355544057">
          <w:marLeft w:val="0"/>
          <w:marRight w:val="0"/>
          <w:marTop w:val="0"/>
          <w:marBottom w:val="0"/>
          <w:divBdr>
            <w:top w:val="none" w:sz="0" w:space="0" w:color="auto"/>
            <w:left w:val="none" w:sz="0" w:space="0" w:color="auto"/>
            <w:bottom w:val="none" w:sz="0" w:space="0" w:color="auto"/>
            <w:right w:val="none" w:sz="0" w:space="0" w:color="auto"/>
          </w:divBdr>
        </w:div>
        <w:div w:id="210045895">
          <w:marLeft w:val="0"/>
          <w:marRight w:val="0"/>
          <w:marTop w:val="0"/>
          <w:marBottom w:val="0"/>
          <w:divBdr>
            <w:top w:val="none" w:sz="0" w:space="0" w:color="auto"/>
            <w:left w:val="none" w:sz="0" w:space="0" w:color="auto"/>
            <w:bottom w:val="none" w:sz="0" w:space="0" w:color="auto"/>
            <w:right w:val="none" w:sz="0" w:space="0" w:color="auto"/>
          </w:divBdr>
        </w:div>
        <w:div w:id="1252810003">
          <w:marLeft w:val="0"/>
          <w:marRight w:val="0"/>
          <w:marTop w:val="0"/>
          <w:marBottom w:val="0"/>
          <w:divBdr>
            <w:top w:val="none" w:sz="0" w:space="0" w:color="auto"/>
            <w:left w:val="none" w:sz="0" w:space="0" w:color="auto"/>
            <w:bottom w:val="none" w:sz="0" w:space="0" w:color="auto"/>
            <w:right w:val="none" w:sz="0" w:space="0" w:color="auto"/>
          </w:divBdr>
        </w:div>
      </w:divsChild>
    </w:div>
    <w:div w:id="2134253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relatoria.colombiacompra.gov.co/busqueda/concepto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olmedosalasr@gmail.com"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2.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revistas.javeriana.edu.co/files-articulos/VJ/139%20(2019-II)/82562148007/"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F2E0F32964D9B84EA054B84E5D4157A0" ma:contentTypeVersion="20" ma:contentTypeDescription="Crear nuevo documento." ma:contentTypeScope="" ma:versionID="3aa158c1e2510b50ba9620437d74e4ff">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41aa8ca4bdcfc2e304923d637cfc37a1"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11a0eb6-ad86-4071-a759-4f0356bdc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Estado de aprobación" ma:internalName="Estado_x0020_de_x0020_aprobaci_x00f3_n">
      <xsd:simpleType>
        <xsd:restriction base="dms:Text"/>
      </xsd:simpleType>
    </xsd:element>
    <xsd:element name="MediaServiceLocation" ma:index="26" nillable="true" ma:displayName="Location" ma:descrip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1105a6f2-09f1-4f7d-bab9-e03f1dc4ac6e}" ma:internalName="TaxCatchAll" ma:showField="CatchAllData" ma:web="a6cb9e4b-f1d1-4245-83ec-6cad768d5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No xmlns="9d85dbaf-23eb-4e57-a637-93dcacc8b1a1" xsi:nil="true"/>
    <TaxCatchAll xmlns="a6cb9e4b-f1d1-4245-83ec-6cad768d538a" xsi:nil="true"/>
    <_Flow_SignoffStatus xmlns="9d85dbaf-23eb-4e57-a637-93dcacc8b1a1" xsi:nil="true"/>
    <lcf76f155ced4ddcb4097134ff3c332f xmlns="9d85dbaf-23eb-4e57-a637-93dcacc8b1a1">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014F0FE-641F-47E0-853F-5BD9774E85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85dbaf-23eb-4e57-a637-93dcacc8b1a1"/>
    <ds:schemaRef ds:uri="a6cb9e4b-f1d1-4245-83ec-6cad768d53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63618BE-28CB-4D69-955E-CDA788483BED}">
  <ds:schemaRefs>
    <ds:schemaRef ds:uri="http://schemas.microsoft.com/office/2006/metadata/properties"/>
    <ds:schemaRef ds:uri="http://schemas.microsoft.com/office/infopath/2007/PartnerControls"/>
    <ds:schemaRef ds:uri="9d85dbaf-23eb-4e57-a637-93dcacc8b1a1"/>
    <ds:schemaRef ds:uri="a6cb9e4b-f1d1-4245-83ec-6cad768d538a"/>
  </ds:schemaRefs>
</ds:datastoreItem>
</file>

<file path=customXml/itemProps3.xml><?xml version="1.0" encoding="utf-8"?>
<ds:datastoreItem xmlns:ds="http://schemas.openxmlformats.org/officeDocument/2006/customXml" ds:itemID="{19B0637E-D058-473B-8FE7-AA861F69C797}">
  <ds:schemaRefs>
    <ds:schemaRef ds:uri="http://schemas.microsoft.com/sharepoint/v3/contenttype/forms"/>
  </ds:schemaRefs>
</ds:datastoreItem>
</file>

<file path=docMetadata/LabelInfo.xml><?xml version="1.0" encoding="utf-8"?>
<clbl:labelList xmlns:clbl="http://schemas.microsoft.com/office/2020/mipLabelMetadata">
  <clbl:label id="{7b09041e-2451-49d0-8cb1-79d5e3d8c1be}" enabled="0" method="" siteId="{7b09041e-2451-49d0-8cb1-79d5e3d8c1be}" removed="1"/>
</clbl:labelList>
</file>

<file path=docProps/app.xml><?xml version="1.0" encoding="utf-8"?>
<Properties xmlns="http://schemas.openxmlformats.org/officeDocument/2006/extended-properties" xmlns:vt="http://schemas.openxmlformats.org/officeDocument/2006/docPropsVTypes">
  <Template>Normal</Template>
  <TotalTime>11</TotalTime>
  <Pages>35</Pages>
  <Words>11726</Words>
  <Characters>64494</Characters>
  <Application>Microsoft Office Word</Application>
  <DocSecurity>0</DocSecurity>
  <Lines>537</Lines>
  <Paragraphs>152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76068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Andrés Felipe Ospina Acosta</dc:creator>
  <cp:keywords/>
  <dc:description/>
  <cp:lastModifiedBy>Sergio Andrés Rivera Cano</cp:lastModifiedBy>
  <cp:revision>7</cp:revision>
  <cp:lastPrinted>2023-01-10T21:18:00Z</cp:lastPrinted>
  <dcterms:created xsi:type="dcterms:W3CDTF">2026-07-15T14:23:00Z</dcterms:created>
  <dcterms:modified xsi:type="dcterms:W3CDTF">2026-07-15T14:54:00Z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y fmtid="{D5CDD505-2E9C-101B-9397-08002B2CF9AE}" pid="3" name="MediaServiceImageTags">
    <vt:lpwstr/>
  </property>
</Properties>
</file>