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0D082" w14:textId="33D8897A" w:rsidR="00E83602" w:rsidRDefault="00E83602" w:rsidP="00417B6E">
      <w:pPr>
        <w:spacing w:after="0" w:line="240" w:lineRule="auto"/>
        <w:jc w:val="both"/>
        <w:rPr>
          <w:rFonts w:ascii="Verdana" w:eastAsia="Calibri" w:hAnsi="Verdana" w:cs="Arial"/>
          <w:b/>
          <w:bCs/>
        </w:rPr>
      </w:pPr>
      <w:bookmarkStart w:id="0" w:name="_Hlk143780582"/>
      <w:bookmarkStart w:id="1" w:name="_Hlk180638295"/>
      <w:bookmarkStart w:id="2" w:name="_Hlk181166167"/>
      <w:r w:rsidRPr="00E83602">
        <w:rPr>
          <w:rFonts w:ascii="Verdana" w:eastAsia="Calibri" w:hAnsi="Verdana" w:cs="Arial"/>
          <w:b/>
          <w:bCs/>
          <w:lang w:eastAsia="es-ES"/>
        </w:rPr>
        <w:t xml:space="preserve">PRINCIPIO DE </w:t>
      </w:r>
      <w:r w:rsidRPr="00E83602">
        <w:rPr>
          <w:rFonts w:ascii="Verdana" w:eastAsia="Calibri" w:hAnsi="Verdana" w:cs="Arial"/>
          <w:b/>
          <w:bCs/>
        </w:rPr>
        <w:t xml:space="preserve">PUBLICIDAD – </w:t>
      </w:r>
      <w:r w:rsidRPr="00E83602">
        <w:rPr>
          <w:rFonts w:ascii="Verdana" w:eastAsia="Arial" w:hAnsi="Verdana" w:cs="Arial"/>
          <w:b/>
          <w:bCs/>
          <w:color w:val="000000" w:themeColor="text1"/>
          <w:lang w:val="es-ES"/>
        </w:rPr>
        <w:t>Derecho fundamental</w:t>
      </w:r>
      <w:r w:rsidR="002C73A5">
        <w:rPr>
          <w:rFonts w:ascii="Verdana" w:eastAsia="Arial" w:hAnsi="Verdana" w:cs="Arial"/>
          <w:b/>
          <w:bCs/>
          <w:color w:val="000000" w:themeColor="text1"/>
          <w:lang w:val="es-ES"/>
        </w:rPr>
        <w:t xml:space="preserve"> </w:t>
      </w:r>
      <w:r w:rsidR="002C73A5" w:rsidRPr="002C73A5">
        <w:rPr>
          <w:rFonts w:ascii="Verdana" w:eastAsia="Arial" w:hAnsi="Verdana" w:cs="Arial"/>
          <w:b/>
          <w:bCs/>
          <w:color w:val="000000" w:themeColor="text1"/>
          <w:lang w:val="es-ES"/>
        </w:rPr>
        <w:t>–</w:t>
      </w:r>
      <w:r w:rsidRPr="00E83602">
        <w:rPr>
          <w:rFonts w:ascii="Verdana" w:eastAsia="Calibri" w:hAnsi="Verdana" w:cs="Arial"/>
          <w:b/>
          <w:bCs/>
        </w:rPr>
        <w:t xml:space="preserve"> Transparencia – Ley 1150 de 2007</w:t>
      </w:r>
    </w:p>
    <w:p w14:paraId="63531A81" w14:textId="77777777" w:rsidR="00417B6E" w:rsidRDefault="00417B6E" w:rsidP="005B06E1">
      <w:pPr>
        <w:spacing w:after="0" w:line="240" w:lineRule="auto"/>
        <w:rPr>
          <w:rFonts w:ascii="Verdana" w:eastAsia="Calibri" w:hAnsi="Verdana" w:cs="Arial"/>
          <w:b/>
          <w:bCs/>
        </w:rPr>
      </w:pPr>
    </w:p>
    <w:p w14:paraId="193EF7C2" w14:textId="77777777" w:rsidR="00417B6E" w:rsidRPr="00417B6E" w:rsidRDefault="00417B6E" w:rsidP="00417B6E">
      <w:pPr>
        <w:spacing w:after="120" w:line="240" w:lineRule="auto"/>
        <w:jc w:val="both"/>
        <w:rPr>
          <w:rFonts w:ascii="Verdana" w:eastAsia="Arial" w:hAnsi="Verdana" w:cs="Arial"/>
          <w:sz w:val="21"/>
          <w:szCs w:val="21"/>
          <w:lang w:val="es-ES"/>
        </w:rPr>
      </w:pPr>
      <w:r w:rsidRPr="00417B6E">
        <w:rPr>
          <w:rFonts w:ascii="Verdana" w:eastAsia="Calibri" w:hAnsi="Verdana" w:cs="Arial"/>
          <w:sz w:val="21"/>
          <w:szCs w:val="21"/>
          <w:lang w:val="es-ES_tradnl"/>
        </w:rPr>
        <w:t xml:space="preserve">La Constitución Política de 1991 consagra en varios artículos la </w:t>
      </w:r>
      <w:r w:rsidRPr="00417B6E">
        <w:rPr>
          <w:rFonts w:ascii="Verdana" w:eastAsia="Calibri" w:hAnsi="Verdana" w:cs="Arial"/>
          <w:i/>
          <w:iCs/>
          <w:sz w:val="21"/>
          <w:szCs w:val="21"/>
          <w:lang w:val="es-ES_tradnl"/>
        </w:rPr>
        <w:t>publicidad</w:t>
      </w:r>
      <w:r w:rsidRPr="00417B6E">
        <w:rPr>
          <w:rFonts w:ascii="Verdana" w:eastAsia="Calibri" w:hAnsi="Verdana" w:cs="Arial"/>
          <w:sz w:val="21"/>
          <w:szCs w:val="21"/>
          <w:lang w:val="es-ES_tradnl"/>
        </w:rPr>
        <w:t xml:space="preserve"> como un principio rector del Estado colombiano. Entre </w:t>
      </w:r>
      <w:r w:rsidRPr="00417B6E">
        <w:rPr>
          <w:rFonts w:ascii="Verdana" w:eastAsia="Calibri" w:hAnsi="Verdana" w:cs="Arial"/>
          <w:color w:val="000000" w:themeColor="text1"/>
          <w:sz w:val="21"/>
          <w:szCs w:val="21"/>
          <w:lang w:val="es-ES_tradnl"/>
        </w:rPr>
        <w:t xml:space="preserve">los más destacados, puede mencionarse el 209, que afirma que la publicidad es uno de los principios que fundamentan el ejercicio de la función administrativa. Asimismo, </w:t>
      </w:r>
      <w:r w:rsidRPr="00417B6E">
        <w:rPr>
          <w:rFonts w:ascii="Verdana" w:eastAsia="Arial" w:hAnsi="Verdana" w:cs="Arial"/>
          <w:sz w:val="21"/>
          <w:szCs w:val="21"/>
          <w:lang w:val="es-ES"/>
        </w:rPr>
        <w:t xml:space="preserve">el artículo 74 de la Constitución Política establece que: “Todas las personas tienen derecho a acceder a los documentos públicos salvo los casos que establezca la ley”. Esta disposición constitucional consagra la garantía fundamental de acceso a la información y a la documentación pública, salvo causal de reserva expresamente prevista en la Constitución o en la Ley. </w:t>
      </w:r>
    </w:p>
    <w:p w14:paraId="1FB39509" w14:textId="4AA047E5" w:rsidR="00417B6E" w:rsidRPr="00417B6E" w:rsidRDefault="00417B6E" w:rsidP="00417B6E">
      <w:pPr>
        <w:spacing w:after="120" w:line="240" w:lineRule="auto"/>
        <w:jc w:val="both"/>
        <w:rPr>
          <w:rFonts w:ascii="Verdana" w:eastAsia="Arial" w:hAnsi="Verdana" w:cs="Arial"/>
          <w:sz w:val="21"/>
          <w:szCs w:val="21"/>
          <w:lang w:val="es-ES"/>
        </w:rPr>
      </w:pPr>
      <w:r w:rsidRPr="00417B6E">
        <w:rPr>
          <w:rFonts w:ascii="Verdana" w:eastAsia="Arial" w:hAnsi="Verdana" w:cs="Arial"/>
          <w:sz w:val="21"/>
          <w:szCs w:val="21"/>
          <w:lang w:val="es-ES"/>
        </w:rPr>
        <w:t>El principio de publicidad impone a las autoridades administrativas el deber de dar a conocer sus actos, contratos y decisiones, para que se divulguen y, eventualmente, se controlen las actuaciones. Por ello, en materia de contratación estatal, el literal c) del artículo 3 de la Ley 1150 de 2007 establece que el Sistema Electrónico para la Contratación Pública –SECOP– “contará con la información oficial de la contratación realizada con dineros públicos, para lo cual establecerá los patrones a que haya lugar y se encargará de su difusión a través de canales electrónicos”.</w:t>
      </w:r>
    </w:p>
    <w:p w14:paraId="47693FA7" w14:textId="77777777" w:rsidR="00417B6E" w:rsidRPr="00417B6E" w:rsidRDefault="00417B6E" w:rsidP="00417B6E">
      <w:pPr>
        <w:spacing w:after="120" w:line="240" w:lineRule="auto"/>
        <w:jc w:val="both"/>
        <w:rPr>
          <w:rFonts w:ascii="Verdana" w:eastAsia="Arial" w:hAnsi="Verdana" w:cs="Arial"/>
          <w:sz w:val="21"/>
          <w:szCs w:val="21"/>
          <w:lang w:val="es-ES"/>
        </w:rPr>
      </w:pPr>
      <w:r w:rsidRPr="00417B6E">
        <w:rPr>
          <w:rFonts w:ascii="Verdana" w:eastAsia="Arial" w:hAnsi="Verdana" w:cs="Arial"/>
          <w:sz w:val="21"/>
          <w:szCs w:val="21"/>
          <w:lang w:val="es-ES"/>
        </w:rPr>
        <w:t>De este modo, del artículo 3 de la Ley 1150 de 2007 se desprende un deber de publicar las actuaciones contractuales, el cual implica que todas las entidades estatales, publiquen los documentos en los que se evidencia el desarrollo de sus procesos de contratación. Esto, como quiera que el objetivo del deber de dar publicidad a las actuaciones contractuales es materializar el derecho a conocer e intervenir de las decisiones de la Administración Pública.</w:t>
      </w:r>
    </w:p>
    <w:p w14:paraId="7B3772E0" w14:textId="0E81D47E" w:rsidR="00417B6E" w:rsidRPr="00417B6E" w:rsidRDefault="00417B6E" w:rsidP="00417B6E">
      <w:pPr>
        <w:spacing w:after="0" w:line="240" w:lineRule="auto"/>
        <w:jc w:val="both"/>
        <w:rPr>
          <w:rFonts w:ascii="Verdana" w:eastAsia="Calibri" w:hAnsi="Verdana" w:cs="Arial"/>
          <w:b/>
          <w:bCs/>
          <w:lang w:val="es-ES"/>
        </w:rPr>
      </w:pPr>
      <w:r w:rsidRPr="00417B6E">
        <w:rPr>
          <w:rFonts w:ascii="Verdana" w:eastAsia="Calibri" w:hAnsi="Verdana" w:cs="Arial"/>
          <w:b/>
          <w:bCs/>
        </w:rPr>
        <w:t xml:space="preserve">PRINCIPIO DE PUBLICIDAD </w:t>
      </w:r>
      <w:r w:rsidR="002C73A5" w:rsidRPr="002C73A5">
        <w:rPr>
          <w:rFonts w:ascii="Verdana" w:eastAsia="Calibri" w:hAnsi="Verdana" w:cs="Arial"/>
          <w:b/>
          <w:bCs/>
          <w:lang w:val="es-ES"/>
        </w:rPr>
        <w:t>–</w:t>
      </w:r>
      <w:r w:rsidRPr="00417B6E">
        <w:rPr>
          <w:rFonts w:ascii="Verdana" w:eastAsia="Calibri" w:hAnsi="Verdana" w:cs="Arial"/>
          <w:b/>
          <w:bCs/>
        </w:rPr>
        <w:t xml:space="preserve"> Ley 1712 de 2014 </w:t>
      </w:r>
      <w:r w:rsidR="002C73A5" w:rsidRPr="002C73A5">
        <w:rPr>
          <w:rFonts w:ascii="Verdana" w:eastAsia="Calibri" w:hAnsi="Verdana" w:cs="Arial"/>
          <w:b/>
          <w:bCs/>
          <w:lang w:val="es-ES"/>
        </w:rPr>
        <w:t>–</w:t>
      </w:r>
      <w:r w:rsidRPr="00417B6E">
        <w:rPr>
          <w:rFonts w:ascii="Verdana" w:eastAsia="Calibri" w:hAnsi="Verdana" w:cs="Arial"/>
          <w:b/>
          <w:bCs/>
          <w:lang w:val="es-ES_tradnl"/>
        </w:rPr>
        <w:t xml:space="preserve"> </w:t>
      </w:r>
      <w:r w:rsidRPr="00417B6E">
        <w:rPr>
          <w:rFonts w:ascii="Verdana" w:eastAsia="Arial" w:hAnsi="Verdana" w:cs="Arial"/>
          <w:b/>
          <w:bCs/>
          <w:color w:val="000000" w:themeColor="text1"/>
          <w:lang w:val="es-ES"/>
        </w:rPr>
        <w:t xml:space="preserve">ACCESO A DOCUMENTACIÓN PÚBLICA </w:t>
      </w:r>
      <w:r w:rsidR="002C73A5" w:rsidRPr="002C73A5">
        <w:rPr>
          <w:rFonts w:ascii="Verdana" w:eastAsia="Arial" w:hAnsi="Verdana" w:cs="Arial"/>
          <w:b/>
          <w:bCs/>
          <w:color w:val="000000" w:themeColor="text1"/>
          <w:lang w:val="es-ES"/>
        </w:rPr>
        <w:t>–</w:t>
      </w:r>
      <w:r w:rsidR="002C73A5">
        <w:rPr>
          <w:rFonts w:ascii="Verdana" w:eastAsia="Arial" w:hAnsi="Verdana" w:cs="Arial"/>
          <w:b/>
          <w:bCs/>
          <w:color w:val="000000" w:themeColor="text1"/>
          <w:lang w:val="es-ES"/>
        </w:rPr>
        <w:t xml:space="preserve"> </w:t>
      </w:r>
      <w:r w:rsidRPr="00417B6E">
        <w:rPr>
          <w:rFonts w:ascii="Verdana" w:eastAsia="Arial" w:hAnsi="Verdana" w:cs="Arial"/>
          <w:b/>
          <w:bCs/>
          <w:color w:val="000000" w:themeColor="text1"/>
          <w:lang w:val="es-ES"/>
        </w:rPr>
        <w:t>Transparencia – Información contractual</w:t>
      </w:r>
    </w:p>
    <w:p w14:paraId="0E0DC251" w14:textId="77777777" w:rsidR="00E83602" w:rsidRPr="00E83602" w:rsidRDefault="00E83602" w:rsidP="005B06E1">
      <w:pPr>
        <w:spacing w:after="0" w:line="240" w:lineRule="auto"/>
        <w:rPr>
          <w:rFonts w:ascii="Verdana" w:eastAsia="Geomanist Light" w:hAnsi="Verdana" w:cs="Arial"/>
          <w:b/>
          <w:bCs/>
          <w:color w:val="000000" w:themeColor="text1"/>
          <w:lang w:val="es-MX"/>
        </w:rPr>
      </w:pPr>
    </w:p>
    <w:p w14:paraId="67B16E85" w14:textId="77777777" w:rsidR="00417B6E" w:rsidRPr="00417B6E" w:rsidRDefault="00417B6E" w:rsidP="00417B6E">
      <w:pPr>
        <w:spacing w:after="120" w:line="240" w:lineRule="auto"/>
        <w:jc w:val="both"/>
        <w:rPr>
          <w:rFonts w:ascii="Verdana" w:eastAsia="Calibri" w:hAnsi="Verdana" w:cs="Arial"/>
          <w:sz w:val="21"/>
          <w:szCs w:val="21"/>
          <w:lang w:val="es-ES" w:eastAsia="es-ES"/>
        </w:rPr>
      </w:pPr>
      <w:r w:rsidRPr="00417B6E">
        <w:rPr>
          <w:rFonts w:ascii="Verdana" w:eastAsia="Calibri" w:hAnsi="Verdana" w:cs="Arial"/>
          <w:sz w:val="21"/>
          <w:szCs w:val="21"/>
          <w:lang w:val="es-ES" w:eastAsia="es-ES"/>
        </w:rPr>
        <w:t>El cumplimiento del deber de publicación de la documentación contractual debe armonizarse con las normas aplicables al tipo de información que estas contienen. En efecto, el principio o regla general consiste en la máxima publicidad de la información pública y lo excepcional es la reserva, razón por la cual el artículo 21 de la Ley 1712 de 2014 incluso exige la divulgación parcial de la información contenida en un documento, cuando este contenga parte de información sometida a reserva, pero también incluya información que no esté afectada por la reserva. Además, dicha disposición establece que la reserva de acceso a la información opera respecto al contenido de un documento público, pero no respecto de su existencia. Sin perjuicio de lo anterior, es posible que el contenido de todo el documento o expediente no deba ser objeto de publicidad por estar amparado de forma íntegra por la reserva, dada su conexión con las causales establecidas en la Constitución o la ley.</w:t>
      </w:r>
    </w:p>
    <w:p w14:paraId="1CE9CA99" w14:textId="77777777" w:rsidR="00417B6E" w:rsidRPr="00417B6E" w:rsidRDefault="00417B6E" w:rsidP="002C73A5">
      <w:pPr>
        <w:spacing w:after="120" w:line="240" w:lineRule="auto"/>
        <w:jc w:val="both"/>
        <w:rPr>
          <w:rFonts w:ascii="Verdana" w:eastAsia="Calibri" w:hAnsi="Verdana" w:cs="Arial"/>
          <w:sz w:val="21"/>
          <w:szCs w:val="21"/>
          <w:lang w:val="es-ES" w:eastAsia="es-ES"/>
        </w:rPr>
      </w:pPr>
      <w:r w:rsidRPr="00417B6E">
        <w:rPr>
          <w:rFonts w:ascii="Verdana" w:eastAsia="Calibri" w:hAnsi="Verdana" w:cs="Arial"/>
          <w:sz w:val="21"/>
          <w:szCs w:val="21"/>
          <w:lang w:val="es-ES" w:eastAsia="es-ES"/>
        </w:rPr>
        <w:lastRenderedPageBreak/>
        <w:t>El enunciado constitucional, en armonía con los artículos 18 y 19 de la Ley 1712 de 2014 y los artículos 24 y 25 de la Ley 1437 de 2011, establecen que el derecho de acceso a la información o documentación pública no es absoluto, sino que puede exceptuarse cuando se configuren causales de reserva. Así mismo, hay información que goza de protección especial y no puede divulgarse. La información pública que contiene datos semiprivados o privados, definidos en los literales g) y h) del artículo 3° de la Ley 1266 de 2008, clasificados o reservados, según los artículos 18 y 19 de la Ley 1712 de 2014, o datos personales o sensibles, según lo previsto en los artículos 3° y 5° de la Ley 1581 de 2012 y en el numeral 3° del artículo 3° del Decreto 1377 de 2013, solo podrá divulgarse según las reglas establecidas en dichas normas. Pero esto no quiere decir que todo el documento se convierta en reservado, sino que se debe proceder como se indica a continuación.</w:t>
      </w:r>
    </w:p>
    <w:p w14:paraId="5F9C9824" w14:textId="7F955D78" w:rsidR="00417B6E" w:rsidRPr="00417B6E" w:rsidRDefault="00417B6E" w:rsidP="00417B6E">
      <w:pPr>
        <w:contextualSpacing/>
        <w:jc w:val="both"/>
        <w:rPr>
          <w:rFonts w:ascii="Verdana" w:eastAsia="Calibri" w:hAnsi="Verdana" w:cs="Arial"/>
          <w:b/>
          <w:bCs/>
          <w:lang w:val="es-ES_tradnl"/>
        </w:rPr>
      </w:pPr>
      <w:r w:rsidRPr="00417B6E">
        <w:rPr>
          <w:rFonts w:ascii="Verdana" w:eastAsia="Arial" w:hAnsi="Verdana" w:cs="Arial"/>
          <w:b/>
          <w:bCs/>
          <w:color w:val="000000" w:themeColor="text1"/>
          <w:lang w:val="es-ES"/>
        </w:rPr>
        <w:t xml:space="preserve">SECOP – Deber de publicación – Información contractual </w:t>
      </w:r>
      <w:r w:rsidR="002C73A5" w:rsidRPr="002C73A5">
        <w:rPr>
          <w:rFonts w:ascii="Verdana" w:eastAsia="Arial" w:hAnsi="Verdana" w:cs="Arial"/>
          <w:b/>
          <w:bCs/>
          <w:color w:val="000000" w:themeColor="text1"/>
          <w:lang w:val="es-ES"/>
        </w:rPr>
        <w:t>–</w:t>
      </w:r>
      <w:r w:rsidRPr="00417B6E">
        <w:rPr>
          <w:rFonts w:ascii="Verdana" w:eastAsia="Arial" w:hAnsi="Verdana" w:cs="Arial"/>
          <w:b/>
          <w:bCs/>
          <w:color w:val="000000" w:themeColor="text1"/>
          <w:lang w:val="es-ES"/>
        </w:rPr>
        <w:t xml:space="preserve"> Ley 1150 de 2007 </w:t>
      </w:r>
      <w:r w:rsidR="002C73A5" w:rsidRPr="002C73A5">
        <w:rPr>
          <w:rFonts w:ascii="Verdana" w:eastAsia="Arial" w:hAnsi="Verdana" w:cs="Arial"/>
          <w:b/>
          <w:bCs/>
          <w:color w:val="000000" w:themeColor="text1"/>
          <w:lang w:val="es-ES"/>
        </w:rPr>
        <w:t>–</w:t>
      </w:r>
      <w:r w:rsidR="002C73A5">
        <w:rPr>
          <w:rFonts w:ascii="Verdana" w:eastAsia="Arial" w:hAnsi="Verdana" w:cs="Arial"/>
          <w:b/>
          <w:bCs/>
          <w:color w:val="000000" w:themeColor="text1"/>
          <w:lang w:val="es-ES"/>
        </w:rPr>
        <w:t xml:space="preserve"> </w:t>
      </w:r>
      <w:r w:rsidRPr="00417B6E">
        <w:rPr>
          <w:rFonts w:ascii="Verdana" w:eastAsia="Arial" w:hAnsi="Verdana" w:cs="Arial"/>
          <w:b/>
          <w:bCs/>
          <w:color w:val="000000" w:themeColor="text1"/>
          <w:lang w:val="es-ES"/>
        </w:rPr>
        <w:t xml:space="preserve">DATOS SENSIBLES – Reserva – Excepción – SECOP </w:t>
      </w:r>
    </w:p>
    <w:p w14:paraId="602EAA14" w14:textId="77777777" w:rsidR="00417B6E" w:rsidRPr="00417B6E" w:rsidRDefault="00417B6E" w:rsidP="005B06E1">
      <w:pPr>
        <w:spacing w:after="0" w:line="240" w:lineRule="auto"/>
        <w:rPr>
          <w:rFonts w:ascii="Verdana" w:eastAsia="Geomanist Light" w:hAnsi="Verdana" w:cs="Arial"/>
          <w:color w:val="000000" w:themeColor="text1"/>
          <w:lang w:val="es-ES_tradnl"/>
        </w:rPr>
      </w:pPr>
    </w:p>
    <w:p w14:paraId="0D137472" w14:textId="77777777" w:rsidR="00417B6E" w:rsidRPr="00417B6E" w:rsidRDefault="00417B6E" w:rsidP="00417B6E">
      <w:pPr>
        <w:spacing w:after="120" w:line="240" w:lineRule="auto"/>
        <w:jc w:val="both"/>
        <w:rPr>
          <w:rFonts w:ascii="Verdana" w:eastAsia="Calibri" w:hAnsi="Verdana" w:cs="Arial"/>
          <w:sz w:val="21"/>
          <w:szCs w:val="21"/>
          <w:lang w:val="es-ES" w:eastAsia="es-ES"/>
        </w:rPr>
      </w:pPr>
      <w:r w:rsidRPr="00417B6E">
        <w:rPr>
          <w:rFonts w:ascii="Verdana" w:eastAsia="Calibri" w:hAnsi="Verdana" w:cs="Arial"/>
          <w:sz w:val="21"/>
          <w:szCs w:val="21"/>
          <w:lang w:val="es-ES" w:eastAsia="es-ES"/>
        </w:rPr>
        <w:t>El cumplimiento del deber de publicación de la documentación contractual debe armonizarse con las normas aplicables al tipo de información que estas contienen. En efecto, el principio o regla general consiste en la máxima publicidad de la información pública y lo excepcional es la reserva, razón por la cual el artículo 21 de la Ley 1712 de 2014 incluso exige la divulgación parcial de la información contenida en un documento, cuando este contenga parte de información sometida a reserva, pero también incluya información que no esté afectada por la reserva. Además, dicha disposición establece que la reserva de acceso a la información opera respecto al contenido de un documento público, pero no respecto de su existencia. Sin perjuicio de lo anterior, es posible que el contenido de todo el documento o expediente no deba ser objeto de publicidad por estar amparado de forma íntegra por la reserva, dada su conexión con las causales establecidas en la Constitución o la ley.</w:t>
      </w:r>
    </w:p>
    <w:p w14:paraId="3E66F189" w14:textId="77777777" w:rsidR="00417B6E" w:rsidRPr="00417B6E" w:rsidRDefault="00417B6E" w:rsidP="002C73A5">
      <w:pPr>
        <w:spacing w:after="120" w:line="240" w:lineRule="auto"/>
        <w:jc w:val="both"/>
        <w:rPr>
          <w:rFonts w:ascii="Verdana" w:eastAsia="Calibri" w:hAnsi="Verdana" w:cs="Arial"/>
          <w:sz w:val="21"/>
          <w:szCs w:val="21"/>
          <w:lang w:val="es-ES" w:eastAsia="es-ES"/>
        </w:rPr>
      </w:pPr>
      <w:r w:rsidRPr="00417B6E">
        <w:rPr>
          <w:rFonts w:ascii="Verdana" w:eastAsia="Calibri" w:hAnsi="Verdana" w:cs="Arial"/>
          <w:sz w:val="21"/>
          <w:szCs w:val="21"/>
          <w:lang w:val="es-ES" w:eastAsia="es-ES"/>
        </w:rPr>
        <w:t>El enunciado constitucional, en armonía con los artículos 18 y 19 de la Ley 1712 de 2014 y los artículos 24 y 25 de la Ley 1437 de 2011, establecen que el derecho de acceso a la información o documentación pública no es absoluto, sino que puede exceptuarse cuando se configuren causales de reserva. Así mismo, hay información que goza de protección especial y no puede divulgarse. La información pública que contiene datos semiprivados o privados, definidos en los literales g) y h) del artículo 3° de la Ley 1266 de 2008, clasificados o reservados, según los artículos 18 y 19 de la Ley 1712 de 2014, o datos personales o sensibles, según lo previsto en los artículos 3° y 5° de la Ley 1581 de 2012 y en el numeral 3° del artículo 3° del Decreto 1377 de 2013, solo podrá divulgarse según las reglas establecidas en dichas normas. Pero esto no quiere decir que todo el documento se convierta en reservado, sino que se debe proceder como se indica a continuación.</w:t>
      </w:r>
    </w:p>
    <w:p w14:paraId="0E4CF07C" w14:textId="77777777" w:rsidR="00417B6E" w:rsidRPr="00417B6E" w:rsidRDefault="00417B6E" w:rsidP="002C73A5">
      <w:pPr>
        <w:spacing w:after="120" w:line="240" w:lineRule="auto"/>
        <w:jc w:val="both"/>
        <w:rPr>
          <w:rFonts w:ascii="Verdana" w:eastAsia="Calibri" w:hAnsi="Verdana" w:cs="Arial"/>
          <w:sz w:val="21"/>
          <w:szCs w:val="21"/>
          <w:lang w:val="es-ES" w:eastAsia="es-ES"/>
        </w:rPr>
      </w:pPr>
      <w:r w:rsidRPr="00417B6E">
        <w:rPr>
          <w:rFonts w:ascii="Verdana" w:eastAsia="Calibri" w:hAnsi="Verdana" w:cs="Arial"/>
          <w:sz w:val="21"/>
          <w:szCs w:val="21"/>
          <w:lang w:val="es-ES" w:eastAsia="es-ES"/>
        </w:rPr>
        <w:t xml:space="preserve">Cuando el documento contractual tenga información sensible, clasificada o reservada, para proteger la información, las autoridades deben abstenerse de publicar en el SECOP la información que tiene protección especial. Por ello, la entidad </w:t>
      </w:r>
      <w:r w:rsidRPr="00417B6E">
        <w:rPr>
          <w:rFonts w:ascii="Verdana" w:eastAsia="Calibri" w:hAnsi="Verdana" w:cs="Arial"/>
          <w:sz w:val="21"/>
          <w:szCs w:val="21"/>
          <w:lang w:val="es-ES" w:eastAsia="es-ES"/>
        </w:rPr>
        <w:lastRenderedPageBreak/>
        <w:t>estatal deberá excluir del documento entregado por el proponente o del contratista, la información que contenga datos sensibles, clasificados o reservados, para no divulgarla, pero debe publicar las demás piezas o los apartados que no gozan de reserva o que no están protegidos por las disposiciones de habeas data.</w:t>
      </w:r>
    </w:p>
    <w:p w14:paraId="19703500" w14:textId="77777777" w:rsidR="00417B6E" w:rsidRPr="00417B6E" w:rsidRDefault="00417B6E" w:rsidP="005B06E1">
      <w:pPr>
        <w:spacing w:after="0" w:line="240" w:lineRule="auto"/>
        <w:rPr>
          <w:rFonts w:ascii="Verdana" w:eastAsia="Geomanist Light" w:hAnsi="Verdana" w:cs="Arial"/>
          <w:color w:val="000000" w:themeColor="text1"/>
          <w:lang w:val="es-ES"/>
        </w:rPr>
      </w:pPr>
    </w:p>
    <w:p w14:paraId="30B04E25" w14:textId="77777777" w:rsidR="00417B6E" w:rsidRDefault="00417B6E" w:rsidP="005B06E1">
      <w:pPr>
        <w:spacing w:after="0" w:line="240" w:lineRule="auto"/>
        <w:rPr>
          <w:rFonts w:ascii="Verdana" w:eastAsia="Geomanist Light" w:hAnsi="Verdana" w:cs="Arial"/>
          <w:color w:val="000000" w:themeColor="text1"/>
          <w:lang w:val="es-MX"/>
        </w:rPr>
      </w:pPr>
    </w:p>
    <w:p w14:paraId="3D6C4882" w14:textId="77777777" w:rsidR="00417B6E" w:rsidRDefault="00417B6E" w:rsidP="005B06E1">
      <w:pPr>
        <w:spacing w:after="0" w:line="240" w:lineRule="auto"/>
        <w:rPr>
          <w:rFonts w:ascii="Verdana" w:eastAsia="Geomanist Light" w:hAnsi="Verdana" w:cs="Arial"/>
          <w:color w:val="000000" w:themeColor="text1"/>
          <w:lang w:val="es-MX"/>
        </w:rPr>
      </w:pPr>
    </w:p>
    <w:p w14:paraId="25E3837D" w14:textId="77777777" w:rsidR="00417B6E" w:rsidRDefault="00417B6E" w:rsidP="005B06E1">
      <w:pPr>
        <w:spacing w:after="0" w:line="240" w:lineRule="auto"/>
        <w:rPr>
          <w:rFonts w:ascii="Verdana" w:eastAsia="Geomanist Light" w:hAnsi="Verdana" w:cs="Arial"/>
          <w:color w:val="000000" w:themeColor="text1"/>
          <w:lang w:val="es-MX"/>
        </w:rPr>
      </w:pPr>
    </w:p>
    <w:p w14:paraId="15661A35" w14:textId="77777777" w:rsidR="00417B6E" w:rsidRDefault="00417B6E" w:rsidP="005B06E1">
      <w:pPr>
        <w:spacing w:after="0" w:line="240" w:lineRule="auto"/>
        <w:rPr>
          <w:rFonts w:ascii="Verdana" w:eastAsia="Geomanist Light" w:hAnsi="Verdana" w:cs="Arial"/>
          <w:color w:val="000000" w:themeColor="text1"/>
          <w:lang w:val="es-MX"/>
        </w:rPr>
      </w:pPr>
    </w:p>
    <w:p w14:paraId="17C70550" w14:textId="77777777" w:rsidR="00417B6E" w:rsidRDefault="00417B6E" w:rsidP="005B06E1">
      <w:pPr>
        <w:spacing w:after="0" w:line="240" w:lineRule="auto"/>
        <w:rPr>
          <w:rFonts w:ascii="Verdana" w:eastAsia="Geomanist Light" w:hAnsi="Verdana" w:cs="Arial"/>
          <w:color w:val="000000" w:themeColor="text1"/>
          <w:lang w:val="es-MX"/>
        </w:rPr>
      </w:pPr>
    </w:p>
    <w:p w14:paraId="74C83ECC" w14:textId="77777777" w:rsidR="00417B6E" w:rsidRDefault="00417B6E" w:rsidP="005B06E1">
      <w:pPr>
        <w:spacing w:after="0" w:line="240" w:lineRule="auto"/>
        <w:rPr>
          <w:rFonts w:ascii="Verdana" w:eastAsia="Geomanist Light" w:hAnsi="Verdana" w:cs="Arial"/>
          <w:color w:val="000000" w:themeColor="text1"/>
          <w:lang w:val="es-MX"/>
        </w:rPr>
      </w:pPr>
    </w:p>
    <w:p w14:paraId="3AF9426A" w14:textId="77777777" w:rsidR="00417B6E" w:rsidRDefault="00417B6E" w:rsidP="005B06E1">
      <w:pPr>
        <w:spacing w:after="0" w:line="240" w:lineRule="auto"/>
        <w:rPr>
          <w:rFonts w:ascii="Verdana" w:eastAsia="Geomanist Light" w:hAnsi="Verdana" w:cs="Arial"/>
          <w:color w:val="000000" w:themeColor="text1"/>
          <w:lang w:val="es-MX"/>
        </w:rPr>
      </w:pPr>
    </w:p>
    <w:p w14:paraId="471B45F2" w14:textId="77777777" w:rsidR="00417B6E" w:rsidRDefault="00417B6E" w:rsidP="005B06E1">
      <w:pPr>
        <w:spacing w:after="0" w:line="240" w:lineRule="auto"/>
        <w:rPr>
          <w:rFonts w:ascii="Verdana" w:eastAsia="Geomanist Light" w:hAnsi="Verdana" w:cs="Arial"/>
          <w:color w:val="000000" w:themeColor="text1"/>
          <w:lang w:val="es-MX"/>
        </w:rPr>
      </w:pPr>
    </w:p>
    <w:p w14:paraId="3AA8F141" w14:textId="77777777" w:rsidR="00417B6E" w:rsidRDefault="00417B6E" w:rsidP="005B06E1">
      <w:pPr>
        <w:spacing w:after="0" w:line="240" w:lineRule="auto"/>
        <w:rPr>
          <w:rFonts w:ascii="Verdana" w:eastAsia="Geomanist Light" w:hAnsi="Verdana" w:cs="Arial"/>
          <w:color w:val="000000" w:themeColor="text1"/>
          <w:lang w:val="es-MX"/>
        </w:rPr>
      </w:pPr>
    </w:p>
    <w:p w14:paraId="66157361" w14:textId="77777777" w:rsidR="00417B6E" w:rsidRDefault="00417B6E" w:rsidP="005B06E1">
      <w:pPr>
        <w:spacing w:after="0" w:line="240" w:lineRule="auto"/>
        <w:rPr>
          <w:rFonts w:ascii="Verdana" w:eastAsia="Geomanist Light" w:hAnsi="Verdana" w:cs="Arial"/>
          <w:color w:val="000000" w:themeColor="text1"/>
          <w:lang w:val="es-MX"/>
        </w:rPr>
      </w:pPr>
    </w:p>
    <w:p w14:paraId="4E8A11E7" w14:textId="77777777" w:rsidR="00417B6E" w:rsidRDefault="00417B6E" w:rsidP="005B06E1">
      <w:pPr>
        <w:spacing w:after="0" w:line="240" w:lineRule="auto"/>
        <w:rPr>
          <w:rFonts w:ascii="Verdana" w:eastAsia="Geomanist Light" w:hAnsi="Verdana" w:cs="Arial"/>
          <w:color w:val="000000" w:themeColor="text1"/>
          <w:lang w:val="es-MX"/>
        </w:rPr>
      </w:pPr>
    </w:p>
    <w:p w14:paraId="4FC42F9D" w14:textId="77777777" w:rsidR="00417B6E" w:rsidRDefault="00417B6E" w:rsidP="005B06E1">
      <w:pPr>
        <w:spacing w:after="0" w:line="240" w:lineRule="auto"/>
        <w:rPr>
          <w:rFonts w:ascii="Verdana" w:eastAsia="Geomanist Light" w:hAnsi="Verdana" w:cs="Arial"/>
          <w:color w:val="000000" w:themeColor="text1"/>
          <w:lang w:val="es-MX"/>
        </w:rPr>
      </w:pPr>
    </w:p>
    <w:p w14:paraId="3997A960" w14:textId="77777777" w:rsidR="00417B6E" w:rsidRDefault="00417B6E" w:rsidP="005B06E1">
      <w:pPr>
        <w:spacing w:after="0" w:line="240" w:lineRule="auto"/>
        <w:rPr>
          <w:rFonts w:ascii="Verdana" w:eastAsia="Geomanist Light" w:hAnsi="Verdana" w:cs="Arial"/>
          <w:color w:val="000000" w:themeColor="text1"/>
          <w:lang w:val="es-MX"/>
        </w:rPr>
      </w:pPr>
    </w:p>
    <w:p w14:paraId="44B407D4" w14:textId="77777777" w:rsidR="00417B6E" w:rsidRDefault="00417B6E" w:rsidP="005B06E1">
      <w:pPr>
        <w:spacing w:after="0" w:line="240" w:lineRule="auto"/>
        <w:rPr>
          <w:rFonts w:ascii="Verdana" w:eastAsia="Geomanist Light" w:hAnsi="Verdana" w:cs="Arial"/>
          <w:color w:val="000000" w:themeColor="text1"/>
          <w:lang w:val="es-MX"/>
        </w:rPr>
      </w:pPr>
    </w:p>
    <w:p w14:paraId="2A92A84E" w14:textId="77777777" w:rsidR="00417B6E" w:rsidRDefault="00417B6E" w:rsidP="005B06E1">
      <w:pPr>
        <w:spacing w:after="0" w:line="240" w:lineRule="auto"/>
        <w:rPr>
          <w:rFonts w:ascii="Verdana" w:eastAsia="Geomanist Light" w:hAnsi="Verdana" w:cs="Arial"/>
          <w:color w:val="000000" w:themeColor="text1"/>
          <w:lang w:val="es-MX"/>
        </w:rPr>
      </w:pPr>
    </w:p>
    <w:p w14:paraId="20857298" w14:textId="77777777" w:rsidR="00417B6E" w:rsidRDefault="00417B6E" w:rsidP="005B06E1">
      <w:pPr>
        <w:spacing w:after="0" w:line="240" w:lineRule="auto"/>
        <w:rPr>
          <w:rFonts w:ascii="Verdana" w:eastAsia="Geomanist Light" w:hAnsi="Verdana" w:cs="Arial"/>
          <w:color w:val="000000" w:themeColor="text1"/>
          <w:lang w:val="es-MX"/>
        </w:rPr>
      </w:pPr>
    </w:p>
    <w:p w14:paraId="5961B7F4" w14:textId="77777777" w:rsidR="00417B6E" w:rsidRDefault="00417B6E" w:rsidP="005B06E1">
      <w:pPr>
        <w:spacing w:after="0" w:line="240" w:lineRule="auto"/>
        <w:rPr>
          <w:rFonts w:ascii="Verdana" w:eastAsia="Geomanist Light" w:hAnsi="Verdana" w:cs="Arial"/>
          <w:color w:val="000000" w:themeColor="text1"/>
          <w:lang w:val="es-MX"/>
        </w:rPr>
      </w:pPr>
    </w:p>
    <w:p w14:paraId="2D0FAC71" w14:textId="77777777" w:rsidR="00417B6E" w:rsidRDefault="00417B6E" w:rsidP="005B06E1">
      <w:pPr>
        <w:spacing w:after="0" w:line="240" w:lineRule="auto"/>
        <w:rPr>
          <w:rFonts w:ascii="Verdana" w:eastAsia="Geomanist Light" w:hAnsi="Verdana" w:cs="Arial"/>
          <w:color w:val="000000" w:themeColor="text1"/>
          <w:lang w:val="es-MX"/>
        </w:rPr>
      </w:pPr>
    </w:p>
    <w:p w14:paraId="2770B6B6" w14:textId="77777777" w:rsidR="00417B6E" w:rsidRDefault="00417B6E" w:rsidP="005B06E1">
      <w:pPr>
        <w:spacing w:after="0" w:line="240" w:lineRule="auto"/>
        <w:rPr>
          <w:rFonts w:ascii="Verdana" w:eastAsia="Geomanist Light" w:hAnsi="Verdana" w:cs="Arial"/>
          <w:color w:val="000000" w:themeColor="text1"/>
          <w:lang w:val="es-MX"/>
        </w:rPr>
      </w:pPr>
    </w:p>
    <w:p w14:paraId="6050AA52" w14:textId="77777777" w:rsidR="00417B6E" w:rsidRDefault="00417B6E" w:rsidP="005B06E1">
      <w:pPr>
        <w:spacing w:after="0" w:line="240" w:lineRule="auto"/>
        <w:rPr>
          <w:rFonts w:ascii="Verdana" w:eastAsia="Geomanist Light" w:hAnsi="Verdana" w:cs="Arial"/>
          <w:color w:val="000000" w:themeColor="text1"/>
          <w:lang w:val="es-MX"/>
        </w:rPr>
      </w:pPr>
    </w:p>
    <w:p w14:paraId="3189A093" w14:textId="77777777" w:rsidR="00417B6E" w:rsidRDefault="00417B6E" w:rsidP="005B06E1">
      <w:pPr>
        <w:spacing w:after="0" w:line="240" w:lineRule="auto"/>
        <w:rPr>
          <w:rFonts w:ascii="Verdana" w:eastAsia="Geomanist Light" w:hAnsi="Verdana" w:cs="Arial"/>
          <w:color w:val="000000" w:themeColor="text1"/>
          <w:lang w:val="es-MX"/>
        </w:rPr>
      </w:pPr>
    </w:p>
    <w:p w14:paraId="036AC3CE" w14:textId="77777777" w:rsidR="00417B6E" w:rsidRDefault="00417B6E" w:rsidP="005B06E1">
      <w:pPr>
        <w:spacing w:after="0" w:line="240" w:lineRule="auto"/>
        <w:rPr>
          <w:rFonts w:ascii="Verdana" w:eastAsia="Geomanist Light" w:hAnsi="Verdana" w:cs="Arial"/>
          <w:color w:val="000000" w:themeColor="text1"/>
          <w:lang w:val="es-MX"/>
        </w:rPr>
      </w:pPr>
    </w:p>
    <w:p w14:paraId="6E38012F" w14:textId="77777777" w:rsidR="00417B6E" w:rsidRDefault="00417B6E" w:rsidP="005B06E1">
      <w:pPr>
        <w:spacing w:after="0" w:line="240" w:lineRule="auto"/>
        <w:rPr>
          <w:rFonts w:ascii="Verdana" w:eastAsia="Geomanist Light" w:hAnsi="Verdana" w:cs="Arial"/>
          <w:color w:val="000000" w:themeColor="text1"/>
          <w:lang w:val="es-MX"/>
        </w:rPr>
      </w:pPr>
    </w:p>
    <w:p w14:paraId="07E33527" w14:textId="77777777" w:rsidR="00417B6E" w:rsidRDefault="00417B6E" w:rsidP="005B06E1">
      <w:pPr>
        <w:spacing w:after="0" w:line="240" w:lineRule="auto"/>
        <w:rPr>
          <w:rFonts w:ascii="Verdana" w:eastAsia="Geomanist Light" w:hAnsi="Verdana" w:cs="Arial"/>
          <w:color w:val="000000" w:themeColor="text1"/>
          <w:lang w:val="es-MX"/>
        </w:rPr>
      </w:pPr>
    </w:p>
    <w:p w14:paraId="2E204F8F" w14:textId="77777777" w:rsidR="00417B6E" w:rsidRDefault="00417B6E" w:rsidP="005B06E1">
      <w:pPr>
        <w:spacing w:after="0" w:line="240" w:lineRule="auto"/>
        <w:rPr>
          <w:rFonts w:ascii="Verdana" w:eastAsia="Geomanist Light" w:hAnsi="Verdana" w:cs="Arial"/>
          <w:color w:val="000000" w:themeColor="text1"/>
          <w:lang w:val="es-MX"/>
        </w:rPr>
      </w:pPr>
    </w:p>
    <w:p w14:paraId="0FE5688A" w14:textId="77777777" w:rsidR="00417B6E" w:rsidRDefault="00417B6E" w:rsidP="005B06E1">
      <w:pPr>
        <w:spacing w:after="0" w:line="240" w:lineRule="auto"/>
        <w:rPr>
          <w:rFonts w:ascii="Verdana" w:eastAsia="Geomanist Light" w:hAnsi="Verdana" w:cs="Arial"/>
          <w:color w:val="000000" w:themeColor="text1"/>
          <w:lang w:val="es-MX"/>
        </w:rPr>
      </w:pPr>
    </w:p>
    <w:p w14:paraId="5EC7325B" w14:textId="77777777" w:rsidR="00417B6E" w:rsidRDefault="00417B6E" w:rsidP="005B06E1">
      <w:pPr>
        <w:spacing w:after="0" w:line="240" w:lineRule="auto"/>
        <w:rPr>
          <w:rFonts w:ascii="Verdana" w:eastAsia="Geomanist Light" w:hAnsi="Verdana" w:cs="Arial"/>
          <w:color w:val="000000" w:themeColor="text1"/>
          <w:lang w:val="es-MX"/>
        </w:rPr>
      </w:pPr>
    </w:p>
    <w:p w14:paraId="2C0D85A4" w14:textId="77777777" w:rsidR="00417B6E" w:rsidRDefault="00417B6E" w:rsidP="005B06E1">
      <w:pPr>
        <w:spacing w:after="0" w:line="240" w:lineRule="auto"/>
        <w:rPr>
          <w:rFonts w:ascii="Verdana" w:eastAsia="Geomanist Light" w:hAnsi="Verdana" w:cs="Arial"/>
          <w:color w:val="000000" w:themeColor="text1"/>
          <w:lang w:val="es-MX"/>
        </w:rPr>
      </w:pPr>
    </w:p>
    <w:p w14:paraId="4F1FC9AB" w14:textId="77777777" w:rsidR="00417B6E" w:rsidRDefault="00417B6E" w:rsidP="005B06E1">
      <w:pPr>
        <w:spacing w:after="0" w:line="240" w:lineRule="auto"/>
        <w:rPr>
          <w:rFonts w:ascii="Verdana" w:eastAsia="Geomanist Light" w:hAnsi="Verdana" w:cs="Arial"/>
          <w:color w:val="000000" w:themeColor="text1"/>
          <w:lang w:val="es-MX"/>
        </w:rPr>
      </w:pPr>
    </w:p>
    <w:p w14:paraId="3D55EB36" w14:textId="77777777" w:rsidR="00417B6E" w:rsidRDefault="00417B6E" w:rsidP="005B06E1">
      <w:pPr>
        <w:spacing w:after="0" w:line="240" w:lineRule="auto"/>
        <w:rPr>
          <w:rFonts w:ascii="Verdana" w:eastAsia="Geomanist Light" w:hAnsi="Verdana" w:cs="Arial"/>
          <w:color w:val="000000" w:themeColor="text1"/>
          <w:lang w:val="es-MX"/>
        </w:rPr>
      </w:pPr>
    </w:p>
    <w:p w14:paraId="7871B5D0" w14:textId="77777777" w:rsidR="00417B6E" w:rsidRDefault="00417B6E" w:rsidP="005B06E1">
      <w:pPr>
        <w:spacing w:after="0" w:line="240" w:lineRule="auto"/>
        <w:rPr>
          <w:rFonts w:ascii="Verdana" w:eastAsia="Geomanist Light" w:hAnsi="Verdana" w:cs="Arial"/>
          <w:color w:val="000000" w:themeColor="text1"/>
          <w:lang w:val="es-MX"/>
        </w:rPr>
      </w:pPr>
    </w:p>
    <w:p w14:paraId="158603B7" w14:textId="77777777" w:rsidR="00417B6E" w:rsidRDefault="00417B6E" w:rsidP="005B06E1">
      <w:pPr>
        <w:spacing w:after="0" w:line="240" w:lineRule="auto"/>
        <w:rPr>
          <w:rFonts w:ascii="Verdana" w:eastAsia="Geomanist Light" w:hAnsi="Verdana" w:cs="Arial"/>
          <w:color w:val="000000" w:themeColor="text1"/>
          <w:lang w:val="es-MX"/>
        </w:rPr>
      </w:pPr>
    </w:p>
    <w:p w14:paraId="013E41A3" w14:textId="77777777" w:rsidR="00417B6E" w:rsidRDefault="00417B6E" w:rsidP="005B06E1">
      <w:pPr>
        <w:spacing w:after="0" w:line="240" w:lineRule="auto"/>
        <w:rPr>
          <w:rFonts w:ascii="Verdana" w:eastAsia="Geomanist Light" w:hAnsi="Verdana" w:cs="Arial"/>
          <w:color w:val="000000" w:themeColor="text1"/>
          <w:lang w:val="es-MX"/>
        </w:rPr>
      </w:pPr>
    </w:p>
    <w:p w14:paraId="6819EE4B" w14:textId="77777777" w:rsidR="00417B6E" w:rsidRDefault="00417B6E" w:rsidP="005B06E1">
      <w:pPr>
        <w:spacing w:after="0" w:line="240" w:lineRule="auto"/>
        <w:rPr>
          <w:rFonts w:ascii="Verdana" w:eastAsia="Geomanist Light" w:hAnsi="Verdana" w:cs="Arial"/>
          <w:color w:val="000000" w:themeColor="text1"/>
          <w:lang w:val="es-MX"/>
        </w:rPr>
      </w:pPr>
    </w:p>
    <w:p w14:paraId="7B51BF62" w14:textId="77777777" w:rsidR="00417B6E" w:rsidRDefault="00417B6E" w:rsidP="005B06E1">
      <w:pPr>
        <w:spacing w:after="0" w:line="240" w:lineRule="auto"/>
        <w:rPr>
          <w:rFonts w:ascii="Verdana" w:eastAsia="Geomanist Light" w:hAnsi="Verdana" w:cs="Arial"/>
          <w:color w:val="000000" w:themeColor="text1"/>
          <w:lang w:val="es-MX"/>
        </w:rPr>
      </w:pPr>
    </w:p>
    <w:p w14:paraId="3C66919A" w14:textId="77777777" w:rsidR="00417B6E" w:rsidRDefault="00417B6E" w:rsidP="005B06E1">
      <w:pPr>
        <w:spacing w:after="0" w:line="240" w:lineRule="auto"/>
        <w:rPr>
          <w:rFonts w:ascii="Verdana" w:eastAsia="Geomanist Light" w:hAnsi="Verdana" w:cs="Arial"/>
          <w:color w:val="000000" w:themeColor="text1"/>
          <w:lang w:val="es-MX"/>
        </w:rPr>
      </w:pPr>
    </w:p>
    <w:p w14:paraId="22A72F6D" w14:textId="77777777" w:rsidR="00417B6E" w:rsidRDefault="00417B6E" w:rsidP="005B06E1">
      <w:pPr>
        <w:spacing w:after="0" w:line="240" w:lineRule="auto"/>
        <w:rPr>
          <w:rFonts w:ascii="Verdana" w:eastAsia="Geomanist Light" w:hAnsi="Verdana" w:cs="Arial"/>
          <w:color w:val="000000" w:themeColor="text1"/>
          <w:lang w:val="es-MX"/>
        </w:rPr>
      </w:pPr>
    </w:p>
    <w:p w14:paraId="2F60C3AA" w14:textId="78A08246" w:rsidR="00E42A9A" w:rsidRPr="00843FED" w:rsidRDefault="00E42A9A" w:rsidP="005B06E1">
      <w:pPr>
        <w:spacing w:after="0" w:line="240" w:lineRule="auto"/>
        <w:rPr>
          <w:rFonts w:ascii="Verdana" w:eastAsia="Geomanist Light" w:hAnsi="Verdana" w:cs="Arial"/>
          <w:color w:val="201F1E"/>
          <w:lang w:val="es-MX"/>
        </w:rPr>
      </w:pPr>
      <w:r w:rsidRPr="00843FED">
        <w:rPr>
          <w:rFonts w:ascii="Verdana" w:eastAsia="Geomanist Light" w:hAnsi="Verdana" w:cs="Arial"/>
          <w:color w:val="000000" w:themeColor="text1"/>
          <w:lang w:val="es-MX"/>
        </w:rPr>
        <w:lastRenderedPageBreak/>
        <w:t>Bogotá D.C., </w:t>
      </w:r>
      <w:r w:rsidR="00417B6E">
        <w:rPr>
          <w:rFonts w:ascii="Verdana" w:eastAsia="Geomanist Light" w:hAnsi="Verdana" w:cs="Arial"/>
          <w:color w:val="201F1E"/>
          <w:lang w:val="es-MX"/>
        </w:rPr>
        <w:t>24</w:t>
      </w:r>
      <w:r w:rsidRPr="00843FED">
        <w:rPr>
          <w:rFonts w:ascii="Verdana" w:eastAsia="Geomanist Light" w:hAnsi="Verdana" w:cs="Arial"/>
          <w:color w:val="201F1E"/>
          <w:lang w:val="es-MX"/>
        </w:rPr>
        <w:t xml:space="preserve"> de </w:t>
      </w:r>
      <w:r w:rsidR="00417B6E">
        <w:rPr>
          <w:rFonts w:ascii="Verdana" w:eastAsia="Geomanist Light" w:hAnsi="Verdana" w:cs="Arial"/>
          <w:color w:val="201F1E"/>
          <w:lang w:val="es-MX"/>
        </w:rPr>
        <w:t xml:space="preserve">junio </w:t>
      </w:r>
      <w:r w:rsidRPr="00843FED">
        <w:rPr>
          <w:rFonts w:ascii="Verdana" w:eastAsia="Geomanist Light" w:hAnsi="Verdana" w:cs="Arial"/>
          <w:color w:val="201F1E"/>
          <w:lang w:val="es-MX"/>
        </w:rPr>
        <w:t xml:space="preserve">de </w:t>
      </w:r>
      <w:r w:rsidR="00417B6E">
        <w:rPr>
          <w:rFonts w:ascii="Verdana" w:eastAsia="Geomanist Light" w:hAnsi="Verdana" w:cs="Arial"/>
          <w:color w:val="201F1E"/>
          <w:lang w:val="es-MX"/>
        </w:rPr>
        <w:t>2026</w:t>
      </w:r>
    </w:p>
    <w:p w14:paraId="2E3F208F" w14:textId="77777777" w:rsidR="00E42A9A" w:rsidRPr="008934B6" w:rsidRDefault="00E42A9A" w:rsidP="00E42A9A">
      <w:pPr>
        <w:spacing w:after="0"/>
        <w:rPr>
          <w:rFonts w:ascii="Verdana" w:hAnsi="Verdana" w:cs="Arial"/>
          <w:bCs/>
          <w:lang w:eastAsia="es-ES" w:bidi="es-ES"/>
        </w:rPr>
      </w:pPr>
      <w:r w:rsidRPr="000E2B93">
        <w:rPr>
          <w:rFonts w:ascii="Verdana" w:hAnsi="Verdana"/>
        </w:rPr>
        <w:tab/>
      </w:r>
    </w:p>
    <w:p w14:paraId="64E9E3A6" w14:textId="34579A19" w:rsidR="00417B6E" w:rsidRDefault="00417B6E" w:rsidP="00417B6E">
      <w:pPr>
        <w:spacing w:after="0" w:line="240" w:lineRule="auto"/>
        <w:ind w:left="4956"/>
        <w:rPr>
          <w:rFonts w:ascii="Verdana" w:eastAsia="Calibri" w:hAnsi="Verdana" w:cs="Times New Roman"/>
        </w:rPr>
      </w:pPr>
      <w:r w:rsidRPr="00417B6E">
        <w:rPr>
          <w:rFonts w:ascii="Verdana" w:eastAsia="Calibri" w:hAnsi="Verdana" w:cs="Times New Roman"/>
          <w:noProof/>
        </w:rPr>
        <w:drawing>
          <wp:inline distT="0" distB="0" distL="0" distR="0" wp14:anchorId="1FBF78F1" wp14:editId="0F8F7073">
            <wp:extent cx="2553056" cy="762106"/>
            <wp:effectExtent l="0" t="0" r="0" b="0"/>
            <wp:docPr id="6034840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84043" name=""/>
                    <pic:cNvPicPr/>
                  </pic:nvPicPr>
                  <pic:blipFill>
                    <a:blip r:embed="rId11"/>
                    <a:stretch>
                      <a:fillRect/>
                    </a:stretch>
                  </pic:blipFill>
                  <pic:spPr>
                    <a:xfrm>
                      <a:off x="0" y="0"/>
                      <a:ext cx="2553056" cy="762106"/>
                    </a:xfrm>
                    <a:prstGeom prst="rect">
                      <a:avLst/>
                    </a:prstGeom>
                  </pic:spPr>
                </pic:pic>
              </a:graphicData>
            </a:graphic>
          </wp:inline>
        </w:drawing>
      </w:r>
    </w:p>
    <w:p w14:paraId="46D0D295" w14:textId="6EEF1447" w:rsidR="00E42A9A" w:rsidRPr="00E42A9A" w:rsidRDefault="00E42A9A" w:rsidP="00E42A9A">
      <w:pPr>
        <w:spacing w:after="0" w:line="240" w:lineRule="auto"/>
        <w:rPr>
          <w:rFonts w:ascii="Verdana" w:eastAsia="Calibri" w:hAnsi="Verdana" w:cs="Times New Roman"/>
        </w:rPr>
      </w:pPr>
      <w:r w:rsidRPr="00E42A9A">
        <w:rPr>
          <w:rFonts w:ascii="Verdana" w:eastAsia="Calibri" w:hAnsi="Verdana" w:cs="Times New Roman"/>
        </w:rPr>
        <w:t>Señor</w:t>
      </w:r>
    </w:p>
    <w:p w14:paraId="542B86A7" w14:textId="77777777" w:rsidR="00E42A9A" w:rsidRPr="005B06E1" w:rsidRDefault="00E42A9A" w:rsidP="00E42A9A">
      <w:pPr>
        <w:spacing w:after="0" w:line="240" w:lineRule="auto"/>
        <w:rPr>
          <w:rFonts w:ascii="Verdana" w:eastAsia="Calibri" w:hAnsi="Verdana" w:cs="Times New Roman"/>
          <w:b/>
        </w:rPr>
      </w:pPr>
      <w:r w:rsidRPr="005B06E1">
        <w:rPr>
          <w:rFonts w:ascii="Verdana" w:eastAsia="Calibri" w:hAnsi="Verdana" w:cs="Times New Roman"/>
          <w:b/>
        </w:rPr>
        <w:t>Anónimo</w:t>
      </w:r>
    </w:p>
    <w:p w14:paraId="24D99D6B" w14:textId="77777777" w:rsidR="00E42A9A" w:rsidRPr="00334489" w:rsidRDefault="00E42A9A" w:rsidP="00E42A9A">
      <w:pPr>
        <w:spacing w:after="0" w:line="240" w:lineRule="auto"/>
        <w:rPr>
          <w:rFonts w:ascii="Verdana" w:eastAsia="Calibri" w:hAnsi="Verdana" w:cs="Times New Roman"/>
        </w:rPr>
      </w:pPr>
      <w:r w:rsidRPr="005B06E1">
        <w:rPr>
          <w:rFonts w:ascii="Verdana" w:eastAsia="Calibri" w:hAnsi="Verdana" w:cs="Times New Roman"/>
        </w:rPr>
        <w:t>Bogotá D.C.</w:t>
      </w:r>
    </w:p>
    <w:p w14:paraId="0F458FE2" w14:textId="77777777" w:rsidR="00BC7D7E" w:rsidRPr="00E42A9A" w:rsidRDefault="00BC7D7E" w:rsidP="00BC7D7E">
      <w:pPr>
        <w:spacing w:after="0" w:line="240" w:lineRule="auto"/>
        <w:rPr>
          <w:rFonts w:ascii="Verdana" w:eastAsia="Calibri" w:hAnsi="Verdana" w:cs="Arial"/>
          <w:color w:val="000000"/>
          <w:lang w:eastAsia="es-ES_tradnl"/>
        </w:rPr>
      </w:pPr>
    </w:p>
    <w:tbl>
      <w:tblPr>
        <w:tblStyle w:val="Tablaconcuadrc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468"/>
        <w:gridCol w:w="336"/>
      </w:tblGrid>
      <w:tr w:rsidR="00BC7D7E" w:rsidRPr="00593A5F" w14:paraId="3C4E8885" w14:textId="77777777" w:rsidTr="0032557F">
        <w:trPr>
          <w:trHeight w:val="202"/>
        </w:trPr>
        <w:tc>
          <w:tcPr>
            <w:tcW w:w="2410" w:type="dxa"/>
          </w:tcPr>
          <w:p w14:paraId="7AAD9416" w14:textId="77777777" w:rsidR="00BC7D7E" w:rsidRPr="00E42A9A" w:rsidRDefault="00BC7D7E" w:rsidP="00851EFB">
            <w:pPr>
              <w:jc w:val="both"/>
              <w:rPr>
                <w:rFonts w:ascii="Verdana" w:eastAsia="Calibri" w:hAnsi="Verdana" w:cs="Arial"/>
                <w:b/>
                <w:bCs/>
                <w:color w:val="7030A0"/>
                <w:lang w:eastAsia="es-ES_tradnl"/>
              </w:rPr>
            </w:pPr>
          </w:p>
        </w:tc>
        <w:tc>
          <w:tcPr>
            <w:tcW w:w="6804" w:type="dxa"/>
            <w:gridSpan w:val="2"/>
          </w:tcPr>
          <w:p w14:paraId="6092B8EE" w14:textId="3999E9A7" w:rsidR="00E42A9A" w:rsidRPr="00B57A1B" w:rsidRDefault="00E42A9A" w:rsidP="00E42A9A">
            <w:pPr>
              <w:spacing w:line="256" w:lineRule="auto"/>
              <w:rPr>
                <w:rFonts w:ascii="Verdana" w:eastAsia="Calibri" w:hAnsi="Verdana" w:cs="Times New Roman"/>
                <w:b/>
                <w:bCs/>
                <w:lang w:val="es-ES"/>
              </w:rPr>
            </w:pPr>
            <w:r>
              <w:rPr>
                <w:rFonts w:ascii="Verdana" w:eastAsia="Calibri" w:hAnsi="Verdana" w:cs="Times New Roman"/>
                <w:b/>
                <w:bCs/>
                <w:lang w:val="es-ES"/>
              </w:rPr>
              <w:t xml:space="preserve">Concepto </w:t>
            </w:r>
            <w:r w:rsidRPr="00406ACF">
              <w:rPr>
                <w:rFonts w:ascii="Verdana" w:eastAsia="Calibri" w:hAnsi="Verdana" w:cs="Times New Roman"/>
                <w:b/>
                <w:bCs/>
                <w:lang w:val="es-ES"/>
              </w:rPr>
              <w:t>C-801</w:t>
            </w:r>
            <w:r>
              <w:rPr>
                <w:rFonts w:ascii="Verdana" w:eastAsia="Calibri" w:hAnsi="Verdana" w:cs="Times New Roman"/>
                <w:b/>
                <w:bCs/>
                <w:lang w:val="es-ES"/>
              </w:rPr>
              <w:t xml:space="preserve"> </w:t>
            </w:r>
            <w:r w:rsidRPr="00B57A1B">
              <w:rPr>
                <w:rFonts w:ascii="Verdana" w:eastAsia="Calibri" w:hAnsi="Verdana" w:cs="Times New Roman"/>
                <w:b/>
                <w:bCs/>
                <w:lang w:val="es-ES"/>
              </w:rPr>
              <w:t>de 202</w:t>
            </w:r>
            <w:r>
              <w:rPr>
                <w:rFonts w:ascii="Verdana" w:eastAsia="Calibri" w:hAnsi="Verdana" w:cs="Times New Roman"/>
                <w:b/>
                <w:bCs/>
                <w:lang w:val="es-ES"/>
              </w:rPr>
              <w:t>6</w:t>
            </w:r>
          </w:p>
          <w:p w14:paraId="7016F8AA" w14:textId="77777777" w:rsidR="0064167D" w:rsidRPr="00E5644F" w:rsidRDefault="0064167D" w:rsidP="00851EFB">
            <w:pPr>
              <w:jc w:val="both"/>
              <w:rPr>
                <w:rFonts w:ascii="Verdana" w:eastAsia="Calibri" w:hAnsi="Verdana" w:cs="Arial"/>
                <w:b/>
                <w:bCs/>
                <w:color w:val="7030A0"/>
                <w:lang w:val="es-ES" w:eastAsia="es-ES"/>
              </w:rPr>
            </w:pPr>
          </w:p>
        </w:tc>
      </w:tr>
      <w:tr w:rsidR="00BC7D7E" w:rsidRPr="00A52DE7" w14:paraId="0315C23F" w14:textId="77777777" w:rsidTr="00851EFB">
        <w:trPr>
          <w:trHeight w:val="884"/>
        </w:trPr>
        <w:tc>
          <w:tcPr>
            <w:tcW w:w="2410" w:type="dxa"/>
          </w:tcPr>
          <w:p w14:paraId="2BD82C69" w14:textId="77777777" w:rsidR="00BC7D7E" w:rsidRPr="00593A5F" w:rsidRDefault="00BC7D7E" w:rsidP="00851EFB">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804" w:type="dxa"/>
            <w:gridSpan w:val="2"/>
          </w:tcPr>
          <w:p w14:paraId="1F2C86AC" w14:textId="77777777" w:rsidR="00BC7D7E" w:rsidRPr="005B06E1" w:rsidRDefault="00BC7D7E" w:rsidP="00851EFB">
            <w:pPr>
              <w:contextualSpacing/>
              <w:jc w:val="both"/>
              <w:rPr>
                <w:rFonts w:ascii="Verdana" w:eastAsia="Calibri" w:hAnsi="Verdana" w:cs="Arial"/>
                <w:bCs/>
                <w:lang w:val="es-ES_tradnl"/>
              </w:rPr>
            </w:pPr>
            <w:r w:rsidRPr="005B06E1">
              <w:rPr>
                <w:rFonts w:ascii="Verdana" w:eastAsia="Calibri" w:hAnsi="Verdana" w:cs="Arial"/>
                <w:lang w:eastAsia="es-ES"/>
              </w:rPr>
              <w:t xml:space="preserve">PRINCIPIO DE </w:t>
            </w:r>
            <w:r w:rsidRPr="005B06E1">
              <w:rPr>
                <w:rFonts w:ascii="Verdana" w:eastAsia="Calibri" w:hAnsi="Verdana" w:cs="Arial"/>
              </w:rPr>
              <w:t xml:space="preserve">PUBLICIDAD – </w:t>
            </w:r>
            <w:r w:rsidRPr="005B06E1">
              <w:rPr>
                <w:rFonts w:ascii="Verdana" w:eastAsia="Arial" w:hAnsi="Verdana" w:cs="Arial"/>
                <w:color w:val="000000" w:themeColor="text1"/>
                <w:lang w:val="es-ES"/>
              </w:rPr>
              <w:t>Derecho fundamental-</w:t>
            </w:r>
            <w:r w:rsidRPr="005B06E1">
              <w:rPr>
                <w:rFonts w:ascii="Verdana" w:eastAsia="Calibri" w:hAnsi="Verdana" w:cs="Arial"/>
              </w:rPr>
              <w:t xml:space="preserve"> Transparencia – Ley 1150 de 2007 / PRINCIPIO DE PUBLICIDAD - Ley 1712 de 2014 </w:t>
            </w:r>
            <w:r w:rsidRPr="005B06E1">
              <w:rPr>
                <w:rFonts w:ascii="Verdana" w:eastAsia="Calibri" w:hAnsi="Verdana" w:cs="Arial"/>
                <w:bCs/>
                <w:lang w:val="es-ES_tradnl"/>
              </w:rPr>
              <w:t xml:space="preserve">/ </w:t>
            </w:r>
            <w:r w:rsidRPr="005B06E1">
              <w:rPr>
                <w:rFonts w:ascii="Verdana" w:eastAsia="Arial" w:hAnsi="Verdana" w:cs="Arial"/>
                <w:color w:val="000000" w:themeColor="text1"/>
                <w:lang w:val="es-ES"/>
              </w:rPr>
              <w:t xml:space="preserve">ACCESO A DOCUMENTACIÓN PÚBLICA -Transparencia – Información contractual / SECOP – Deber de publicación – Información contractual / Ley 1150 de 2007 /DATOS SENSIBLES – Reserva – Excepción – SECOP </w:t>
            </w:r>
          </w:p>
          <w:p w14:paraId="0A3735C0" w14:textId="77777777" w:rsidR="00BC7D7E" w:rsidRPr="005B06E1" w:rsidRDefault="00BC7D7E" w:rsidP="00851EFB">
            <w:pPr>
              <w:jc w:val="both"/>
              <w:rPr>
                <w:rFonts w:ascii="Verdana" w:eastAsia="Calibri" w:hAnsi="Verdana" w:cs="Arial"/>
                <w:b/>
                <w:lang w:val="es-ES" w:eastAsia="es-ES"/>
              </w:rPr>
            </w:pPr>
          </w:p>
        </w:tc>
      </w:tr>
      <w:tr w:rsidR="00E42A9A" w:rsidRPr="00593A5F" w14:paraId="75CACB81" w14:textId="77777777" w:rsidTr="00851EFB">
        <w:tc>
          <w:tcPr>
            <w:tcW w:w="2410" w:type="dxa"/>
          </w:tcPr>
          <w:p w14:paraId="74C9A6E7" w14:textId="2FFF180B" w:rsidR="00E42A9A" w:rsidRPr="006730E9" w:rsidRDefault="00E42A9A" w:rsidP="00E42A9A">
            <w:pPr>
              <w:jc w:val="both"/>
              <w:rPr>
                <w:rFonts w:ascii="Verdana" w:eastAsia="Calibri" w:hAnsi="Verdana" w:cs="Arial"/>
                <w:b/>
                <w:lang w:val="es-ES_tradnl" w:eastAsia="es-ES_tradnl"/>
              </w:rPr>
            </w:pPr>
            <w:r w:rsidRPr="00B57A1B">
              <w:rPr>
                <w:rFonts w:ascii="Verdana" w:hAnsi="Verdana"/>
                <w:b/>
                <w:bCs/>
                <w:lang w:val="es-ES_tradnl"/>
              </w:rPr>
              <w:t xml:space="preserve">Radicación:               </w:t>
            </w:r>
          </w:p>
        </w:tc>
        <w:tc>
          <w:tcPr>
            <w:tcW w:w="6804" w:type="dxa"/>
            <w:gridSpan w:val="2"/>
          </w:tcPr>
          <w:p w14:paraId="0069F425" w14:textId="77777777" w:rsidR="00E42A9A" w:rsidRPr="002F4390" w:rsidRDefault="00E42A9A" w:rsidP="00E42A9A">
            <w:pPr>
              <w:spacing w:line="257" w:lineRule="auto"/>
              <w:jc w:val="both"/>
              <w:rPr>
                <w:rFonts w:ascii="Verdana" w:hAnsi="Verdana"/>
                <w:lang w:val="es-ES_tradnl"/>
              </w:rPr>
            </w:pPr>
            <w:r w:rsidRPr="00B57A1B">
              <w:rPr>
                <w:rFonts w:ascii="Verdana" w:hAnsi="Verdana"/>
                <w:lang w:val="es-ES_tradnl"/>
              </w:rPr>
              <w:t>Respue</w:t>
            </w:r>
            <w:r>
              <w:rPr>
                <w:rFonts w:ascii="Verdana" w:hAnsi="Verdana"/>
                <w:lang w:val="es-ES_tradnl"/>
              </w:rPr>
              <w:t>sta a consulta con radicado No.</w:t>
            </w:r>
            <w:r w:rsidRPr="003C5A95">
              <w:rPr>
                <w:rFonts w:ascii="Segoe UI" w:hAnsi="Segoe UI" w:cs="Segoe UI"/>
                <w:color w:val="2B2B2B"/>
                <w:sz w:val="27"/>
                <w:szCs w:val="27"/>
                <w:shd w:val="clear" w:color="auto" w:fill="FFFFFF"/>
              </w:rPr>
              <w:t xml:space="preserve"> </w:t>
            </w:r>
            <w:r w:rsidRPr="00406ACF">
              <w:rPr>
                <w:rFonts w:ascii="Verdana" w:hAnsi="Verdana"/>
              </w:rPr>
              <w:t>1_2026_05_13_006505</w:t>
            </w:r>
          </w:p>
          <w:p w14:paraId="7BC7E443" w14:textId="77777777" w:rsidR="00E42A9A" w:rsidRPr="00B57A1B" w:rsidRDefault="00E42A9A" w:rsidP="00E42A9A">
            <w:pPr>
              <w:spacing w:line="257" w:lineRule="auto"/>
              <w:jc w:val="both"/>
              <w:rPr>
                <w:rFonts w:ascii="Verdana" w:hAnsi="Verdana"/>
              </w:rPr>
            </w:pPr>
          </w:p>
          <w:p w14:paraId="7714D8B7" w14:textId="684A2B3F" w:rsidR="00E42A9A" w:rsidRPr="006730E9" w:rsidRDefault="00E42A9A" w:rsidP="00E42A9A">
            <w:pPr>
              <w:jc w:val="both"/>
              <w:rPr>
                <w:rFonts w:ascii="Verdana" w:eastAsia="Calibri" w:hAnsi="Verdana" w:cs="Arial"/>
                <w:lang w:val="es-ES_tradnl" w:eastAsia="es-ES_tradnl"/>
              </w:rPr>
            </w:pPr>
          </w:p>
        </w:tc>
      </w:tr>
      <w:tr w:rsidR="00BC7D7E" w:rsidRPr="00DB23D2" w14:paraId="6A2031F5" w14:textId="77777777" w:rsidTr="00851EFB">
        <w:trPr>
          <w:gridAfter w:val="1"/>
          <w:wAfter w:w="336" w:type="dxa"/>
          <w:trHeight w:val="233"/>
        </w:trPr>
        <w:tc>
          <w:tcPr>
            <w:tcW w:w="8878" w:type="dxa"/>
            <w:gridSpan w:val="2"/>
          </w:tcPr>
          <w:p w14:paraId="7FEE0AC5" w14:textId="77777777" w:rsidR="00BC7D7E" w:rsidRPr="00DB23D2" w:rsidRDefault="00BC7D7E" w:rsidP="00851EFB">
            <w:pPr>
              <w:spacing w:after="120" w:line="276" w:lineRule="auto"/>
              <w:jc w:val="both"/>
              <w:rPr>
                <w:rFonts w:ascii="Verdana" w:eastAsia="Calibri" w:hAnsi="Verdana" w:cs="Arial"/>
                <w:lang w:val="es-ES_tradnl" w:eastAsia="es-ES"/>
              </w:rPr>
            </w:pPr>
          </w:p>
        </w:tc>
      </w:tr>
    </w:tbl>
    <w:p w14:paraId="702970B9" w14:textId="320CB021" w:rsidR="00BC7D7E" w:rsidRPr="006730E9" w:rsidRDefault="00BC7D7E" w:rsidP="00BC7D7E">
      <w:pPr>
        <w:spacing w:after="0" w:line="276" w:lineRule="auto"/>
        <w:jc w:val="both"/>
        <w:rPr>
          <w:rFonts w:ascii="Verdana" w:eastAsia="Calibri" w:hAnsi="Verdana" w:cs="Arial"/>
          <w:lang w:val="es-ES" w:eastAsia="es-ES"/>
        </w:rPr>
      </w:pPr>
      <w:r w:rsidRPr="006730E9">
        <w:rPr>
          <w:rFonts w:ascii="Verdana" w:eastAsia="Calibri" w:hAnsi="Verdana" w:cs="Arial"/>
          <w:lang w:val="es-ES" w:eastAsia="es-ES"/>
        </w:rPr>
        <w:t>Estimad</w:t>
      </w:r>
      <w:r w:rsidR="00E42A9A">
        <w:rPr>
          <w:rFonts w:ascii="Verdana" w:eastAsia="Calibri" w:hAnsi="Verdana" w:cs="Arial"/>
          <w:lang w:val="es-ES" w:eastAsia="es-ES"/>
        </w:rPr>
        <w:t>o señor Anónimo</w:t>
      </w:r>
      <w:r>
        <w:rPr>
          <w:rFonts w:ascii="Verdana" w:eastAsia="Calibri" w:hAnsi="Verdana" w:cs="Arial"/>
          <w:lang w:val="es-ES" w:eastAsia="es-ES"/>
        </w:rPr>
        <w:t>;</w:t>
      </w:r>
    </w:p>
    <w:p w14:paraId="00D6588E" w14:textId="77777777" w:rsidR="00BC7D7E" w:rsidRDefault="00BC7D7E" w:rsidP="00BC7D7E">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0BF9A4BB" w14:textId="77777777" w:rsidR="00E42A9A" w:rsidRDefault="00E42A9A" w:rsidP="00E42A9A">
      <w:pPr>
        <w:spacing w:after="0" w:line="276" w:lineRule="auto"/>
        <w:jc w:val="both"/>
        <w:rPr>
          <w:rFonts w:ascii="Verdana" w:eastAsia="Calibri" w:hAnsi="Verdana" w:cs="Times New Roman"/>
          <w:bCs/>
          <w:lang w:val="es-ES" w:bidi="es-ES"/>
        </w:rPr>
      </w:pPr>
      <w:bookmarkStart w:id="3" w:name="_Hlk95313578"/>
      <w:r w:rsidRPr="00B57A1B">
        <w:rPr>
          <w:rFonts w:ascii="Verdana" w:eastAsia="Calibri" w:hAnsi="Verdana" w:cs="Times New Roman"/>
          <w:bCs/>
          <w:lang w:val="es-ES" w:bidi="es-ES"/>
        </w:rPr>
        <w:t xml:space="preserve">En ejercicio de la competencia otorgada por los artículos 3, numeral 5º, y 11, numeral 8º, del Decreto Ley 4170 de 2011, </w:t>
      </w:r>
      <w:r w:rsidRPr="00B57A1B">
        <w:rPr>
          <w:rFonts w:ascii="Verdana" w:eastAsia="Calibri" w:hAnsi="Verdana" w:cs="Times New Roman"/>
          <w:bCs/>
        </w:rPr>
        <w:t xml:space="preserve">así como lo establecido por la Resolución 469 de 2025 expedida por esta Entidad, </w:t>
      </w:r>
      <w:r w:rsidRPr="00B57A1B">
        <w:rPr>
          <w:rFonts w:ascii="Verdana" w:eastAsia="Calibri" w:hAnsi="Verdana" w:cs="Times New Roman"/>
          <w:bCs/>
          <w:lang w:val="es-ES" w:bidi="es-ES"/>
        </w:rPr>
        <w:t>la Agencia Nacional de Contratación Pública – Colombia Compra Eficien</w:t>
      </w:r>
      <w:r>
        <w:rPr>
          <w:rFonts w:ascii="Verdana" w:eastAsia="Calibri" w:hAnsi="Verdana" w:cs="Times New Roman"/>
          <w:bCs/>
          <w:lang w:val="es-ES" w:bidi="es-ES"/>
        </w:rPr>
        <w:t>te– responde la solicitud de consulta del 13 de mayo de 2026</w:t>
      </w:r>
      <w:r w:rsidRPr="00B57A1B">
        <w:rPr>
          <w:rFonts w:ascii="Verdana" w:eastAsia="Calibri" w:hAnsi="Verdana" w:cs="Times New Roman"/>
          <w:bCs/>
          <w:lang w:val="es-ES" w:bidi="es-ES"/>
        </w:rPr>
        <w:t xml:space="preserve">, en la cual manifiesta: </w:t>
      </w:r>
    </w:p>
    <w:p w14:paraId="107983A9" w14:textId="77777777" w:rsidR="00BC7D7E" w:rsidRPr="00E42A9A" w:rsidRDefault="00BC7D7E" w:rsidP="00BC7D7E">
      <w:pPr>
        <w:spacing w:after="0" w:line="240" w:lineRule="auto"/>
        <w:ind w:left="709" w:right="474"/>
        <w:jc w:val="both"/>
        <w:rPr>
          <w:rFonts w:ascii="Verdana" w:hAnsi="Verdana" w:cs="Arial"/>
          <w:sz w:val="20"/>
          <w:szCs w:val="20"/>
          <w:shd w:val="clear" w:color="auto" w:fill="FFFFFF"/>
          <w:lang w:val="es-ES"/>
        </w:rPr>
      </w:pPr>
    </w:p>
    <w:bookmarkEnd w:id="3"/>
    <w:p w14:paraId="7EA89399" w14:textId="77777777" w:rsidR="00E42A9A" w:rsidRPr="00406ACF" w:rsidRDefault="00E42A9A" w:rsidP="00E42A9A">
      <w:pPr>
        <w:spacing w:after="0" w:line="240" w:lineRule="auto"/>
        <w:ind w:left="720" w:right="709"/>
        <w:jc w:val="both"/>
        <w:rPr>
          <w:rFonts w:ascii="Verdana" w:eastAsia="Calibri" w:hAnsi="Verdana" w:cs="Times New Roman"/>
          <w:bCs/>
          <w:i/>
          <w:iCs/>
          <w:sz w:val="20"/>
          <w:szCs w:val="20"/>
          <w:lang w:bidi="es-ES"/>
        </w:rPr>
      </w:pPr>
      <w:r w:rsidRPr="00406ACF">
        <w:rPr>
          <w:rFonts w:ascii="Verdana" w:eastAsia="Calibri" w:hAnsi="Verdana" w:cs="Times New Roman"/>
          <w:bCs/>
          <w:i/>
          <w:iCs/>
          <w:sz w:val="20"/>
          <w:szCs w:val="20"/>
          <w:lang w:bidi="es-ES"/>
        </w:rPr>
        <w:t>“</w:t>
      </w:r>
      <w:r>
        <w:rPr>
          <w:rFonts w:ascii="Verdana" w:eastAsia="Calibri" w:hAnsi="Verdana" w:cs="Times New Roman"/>
          <w:bCs/>
          <w:i/>
          <w:iCs/>
          <w:sz w:val="20"/>
          <w:szCs w:val="20"/>
          <w:lang w:bidi="es-ES"/>
        </w:rPr>
        <w:t xml:space="preserve">[…] </w:t>
      </w:r>
      <w:r w:rsidRPr="00406ACF">
        <w:rPr>
          <w:rFonts w:ascii="Verdana" w:eastAsia="Calibri" w:hAnsi="Verdana" w:cs="Times New Roman"/>
          <w:bCs/>
          <w:i/>
          <w:iCs/>
          <w:sz w:val="20"/>
          <w:szCs w:val="20"/>
          <w:lang w:bidi="es-ES"/>
        </w:rPr>
        <w:t xml:space="preserve">PRIMERO: Si los documentos relacionados con experiencia, formación académica, hojas de vida y certificaciones laborales de contratistas estatales pueden ser considerados información reservada o restringida de manera general. </w:t>
      </w:r>
    </w:p>
    <w:p w14:paraId="24334FEB" w14:textId="77777777" w:rsidR="00E42A9A" w:rsidRPr="00406ACF" w:rsidRDefault="00E42A9A" w:rsidP="00E42A9A">
      <w:pPr>
        <w:spacing w:after="0" w:line="240" w:lineRule="auto"/>
        <w:ind w:left="720" w:right="709"/>
        <w:jc w:val="both"/>
        <w:rPr>
          <w:rFonts w:ascii="Verdana" w:eastAsia="Calibri" w:hAnsi="Verdana" w:cs="Times New Roman"/>
          <w:bCs/>
          <w:i/>
          <w:iCs/>
          <w:sz w:val="20"/>
          <w:szCs w:val="20"/>
          <w:lang w:bidi="es-ES"/>
        </w:rPr>
      </w:pPr>
    </w:p>
    <w:p w14:paraId="5F8D9D3F" w14:textId="77777777" w:rsidR="00E42A9A" w:rsidRPr="00406ACF" w:rsidRDefault="00E42A9A" w:rsidP="00E42A9A">
      <w:pPr>
        <w:spacing w:after="0" w:line="240" w:lineRule="auto"/>
        <w:ind w:left="720" w:right="709"/>
        <w:jc w:val="both"/>
        <w:rPr>
          <w:rFonts w:ascii="Verdana" w:eastAsia="Calibri" w:hAnsi="Verdana" w:cs="Times New Roman"/>
          <w:bCs/>
          <w:i/>
          <w:iCs/>
          <w:sz w:val="20"/>
          <w:szCs w:val="20"/>
          <w:lang w:bidi="es-ES"/>
        </w:rPr>
      </w:pPr>
      <w:r w:rsidRPr="00406ACF">
        <w:rPr>
          <w:rFonts w:ascii="Verdana" w:eastAsia="Calibri" w:hAnsi="Verdana" w:cs="Times New Roman"/>
          <w:bCs/>
          <w:i/>
          <w:iCs/>
          <w:sz w:val="20"/>
          <w:szCs w:val="20"/>
          <w:lang w:bidi="es-ES"/>
        </w:rPr>
        <w:t>SEGUNDO: Cuál es el alcance del principio de transparencia y publicidad en contratación estatal frente a los documentos que acreditan la idoneidad de contratistas vinculados mediante contratos de prestación de servicios.</w:t>
      </w:r>
    </w:p>
    <w:p w14:paraId="56D6608A" w14:textId="77777777" w:rsidR="00E42A9A" w:rsidRPr="00406ACF" w:rsidRDefault="00E42A9A" w:rsidP="00E42A9A">
      <w:pPr>
        <w:spacing w:after="0" w:line="240" w:lineRule="auto"/>
        <w:ind w:left="720" w:right="709"/>
        <w:jc w:val="both"/>
        <w:rPr>
          <w:rFonts w:ascii="Verdana" w:eastAsia="Calibri" w:hAnsi="Verdana" w:cs="Times New Roman"/>
          <w:bCs/>
          <w:i/>
          <w:iCs/>
          <w:sz w:val="20"/>
          <w:szCs w:val="20"/>
          <w:lang w:bidi="es-ES"/>
        </w:rPr>
      </w:pPr>
      <w:r w:rsidRPr="00406ACF">
        <w:rPr>
          <w:rFonts w:ascii="Verdana" w:eastAsia="Calibri" w:hAnsi="Verdana" w:cs="Times New Roman"/>
          <w:bCs/>
          <w:i/>
          <w:iCs/>
          <w:sz w:val="20"/>
          <w:szCs w:val="20"/>
          <w:lang w:bidi="es-ES"/>
        </w:rPr>
        <w:lastRenderedPageBreak/>
        <w:t xml:space="preserve"> </w:t>
      </w:r>
    </w:p>
    <w:p w14:paraId="79426220" w14:textId="77777777" w:rsidR="00E42A9A" w:rsidRPr="00406ACF" w:rsidRDefault="00E42A9A" w:rsidP="00E42A9A">
      <w:pPr>
        <w:spacing w:after="0" w:line="240" w:lineRule="auto"/>
        <w:ind w:left="720" w:right="709"/>
        <w:jc w:val="both"/>
        <w:rPr>
          <w:rFonts w:ascii="Verdana" w:eastAsia="Calibri" w:hAnsi="Verdana" w:cs="Times New Roman"/>
          <w:bCs/>
          <w:i/>
          <w:iCs/>
          <w:sz w:val="20"/>
          <w:szCs w:val="20"/>
          <w:lang w:bidi="es-ES"/>
        </w:rPr>
      </w:pPr>
      <w:r w:rsidRPr="00406ACF">
        <w:rPr>
          <w:rFonts w:ascii="Verdana" w:eastAsia="Calibri" w:hAnsi="Verdana" w:cs="Times New Roman"/>
          <w:bCs/>
          <w:i/>
          <w:iCs/>
          <w:sz w:val="20"/>
          <w:szCs w:val="20"/>
          <w:lang w:bidi="es-ES"/>
        </w:rPr>
        <w:t>TERCERO: Si resulta procedente omitir la publicación de dichos soportes en SECOP invocando de manera general la Ley 1581 de 2012 o si, por el contrario, deben implementarse mecanismos de anonimización parcial que permitan garantizar simultáneamente la protección de datos sensibles y el acceso a la información pública.</w:t>
      </w:r>
    </w:p>
    <w:p w14:paraId="02BB5738" w14:textId="77777777" w:rsidR="00E42A9A" w:rsidRPr="00406ACF" w:rsidRDefault="00E42A9A" w:rsidP="00E42A9A">
      <w:pPr>
        <w:spacing w:after="0" w:line="240" w:lineRule="auto"/>
        <w:ind w:left="720" w:right="709"/>
        <w:jc w:val="both"/>
        <w:rPr>
          <w:rFonts w:ascii="Verdana" w:eastAsia="Calibri" w:hAnsi="Verdana" w:cs="Times New Roman"/>
          <w:bCs/>
          <w:i/>
          <w:iCs/>
          <w:sz w:val="20"/>
          <w:szCs w:val="20"/>
          <w:lang w:bidi="es-ES"/>
        </w:rPr>
      </w:pPr>
    </w:p>
    <w:p w14:paraId="680DC0E7" w14:textId="77777777" w:rsidR="00E42A9A" w:rsidRPr="00406ACF" w:rsidRDefault="00E42A9A" w:rsidP="00E42A9A">
      <w:pPr>
        <w:spacing w:after="0" w:line="240" w:lineRule="auto"/>
        <w:ind w:left="720" w:right="709"/>
        <w:jc w:val="both"/>
        <w:rPr>
          <w:rFonts w:ascii="Verdana" w:eastAsia="Calibri" w:hAnsi="Verdana" w:cs="Times New Roman"/>
          <w:bCs/>
          <w:i/>
          <w:iCs/>
          <w:sz w:val="20"/>
          <w:szCs w:val="20"/>
          <w:lang w:bidi="es-ES"/>
        </w:rPr>
      </w:pPr>
      <w:r w:rsidRPr="00406ACF">
        <w:rPr>
          <w:rFonts w:ascii="Verdana" w:eastAsia="Calibri" w:hAnsi="Verdana" w:cs="Times New Roman"/>
          <w:bCs/>
          <w:i/>
          <w:iCs/>
          <w:sz w:val="20"/>
          <w:szCs w:val="20"/>
          <w:lang w:bidi="es-ES"/>
        </w:rPr>
        <w:t xml:space="preserve">CUARTO: Si las entidades públicas pueden definir discrecionalmente qué documentos contractuales tienen carácter reservado o si dicha reserva debe encontrarse expresamente sustentada en norma legal. </w:t>
      </w:r>
    </w:p>
    <w:p w14:paraId="72AE5BA6" w14:textId="77777777" w:rsidR="00E42A9A" w:rsidRPr="00406ACF" w:rsidRDefault="00E42A9A" w:rsidP="00E42A9A">
      <w:pPr>
        <w:spacing w:after="0" w:line="240" w:lineRule="auto"/>
        <w:ind w:left="720" w:right="709"/>
        <w:jc w:val="both"/>
        <w:rPr>
          <w:rFonts w:ascii="Verdana" w:eastAsia="Calibri" w:hAnsi="Verdana" w:cs="Times New Roman"/>
          <w:bCs/>
          <w:i/>
          <w:iCs/>
          <w:sz w:val="20"/>
          <w:szCs w:val="20"/>
          <w:lang w:bidi="es-ES"/>
        </w:rPr>
      </w:pPr>
    </w:p>
    <w:p w14:paraId="25FED835" w14:textId="77777777" w:rsidR="00E42A9A" w:rsidRPr="00406ACF" w:rsidRDefault="00E42A9A" w:rsidP="00E42A9A">
      <w:pPr>
        <w:spacing w:after="0" w:line="240" w:lineRule="auto"/>
        <w:ind w:left="720" w:right="709"/>
        <w:jc w:val="both"/>
        <w:rPr>
          <w:rFonts w:ascii="Verdana" w:eastAsia="Calibri" w:hAnsi="Verdana" w:cs="Times New Roman"/>
          <w:bCs/>
          <w:i/>
          <w:iCs/>
          <w:sz w:val="20"/>
          <w:szCs w:val="20"/>
          <w:lang w:bidi="es-ES"/>
        </w:rPr>
      </w:pPr>
      <w:r w:rsidRPr="00406ACF">
        <w:rPr>
          <w:rFonts w:ascii="Verdana" w:eastAsia="Calibri" w:hAnsi="Verdana" w:cs="Times New Roman"/>
          <w:bCs/>
          <w:i/>
          <w:iCs/>
          <w:sz w:val="20"/>
          <w:szCs w:val="20"/>
          <w:lang w:bidi="es-ES"/>
        </w:rPr>
        <w:t>QUINTO: Qué alcance tienen los manuales de contratación de las entidades públicas frente a la regulación interna sobre publicación documental y acceso a soportes contractuales en SECOP.</w:t>
      </w:r>
      <w:r>
        <w:rPr>
          <w:rFonts w:ascii="Verdana" w:eastAsia="Calibri" w:hAnsi="Verdana" w:cs="Times New Roman"/>
          <w:bCs/>
          <w:i/>
          <w:iCs/>
          <w:sz w:val="20"/>
          <w:szCs w:val="20"/>
          <w:lang w:bidi="es-ES"/>
        </w:rPr>
        <w:t xml:space="preserve"> […]</w:t>
      </w:r>
      <w:r w:rsidRPr="00406ACF">
        <w:rPr>
          <w:rFonts w:ascii="Verdana" w:eastAsia="Calibri" w:hAnsi="Verdana" w:cs="Times New Roman"/>
          <w:bCs/>
          <w:i/>
          <w:iCs/>
          <w:sz w:val="20"/>
          <w:szCs w:val="20"/>
          <w:lang w:bidi="es-ES"/>
        </w:rPr>
        <w:t>”</w:t>
      </w:r>
    </w:p>
    <w:p w14:paraId="0F118D18" w14:textId="77777777" w:rsidR="00BC7D7E" w:rsidRPr="00CD7324" w:rsidRDefault="00BC7D7E" w:rsidP="0032557F">
      <w:pPr>
        <w:tabs>
          <w:tab w:val="left" w:pos="142"/>
          <w:tab w:val="left" w:pos="567"/>
        </w:tabs>
        <w:spacing w:after="0" w:line="240" w:lineRule="auto"/>
        <w:ind w:left="709" w:right="709"/>
        <w:jc w:val="both"/>
        <w:rPr>
          <w:rFonts w:ascii="Verdana" w:eastAsia="Century Gothic" w:hAnsi="Verdana" w:cs="Century Gothic"/>
          <w:i/>
          <w:iCs/>
          <w:sz w:val="20"/>
          <w:szCs w:val="20"/>
        </w:rPr>
      </w:pPr>
      <w:r w:rsidRPr="00CD7324">
        <w:rPr>
          <w:rFonts w:ascii="Verdana" w:eastAsia="Century Gothic" w:hAnsi="Verdana" w:cs="Century Gothic"/>
          <w:i/>
          <w:iCs/>
          <w:sz w:val="20"/>
          <w:szCs w:val="20"/>
        </w:rPr>
        <w:t>(…)”</w:t>
      </w:r>
      <w:r>
        <w:rPr>
          <w:rFonts w:ascii="Verdana" w:eastAsia="Century Gothic" w:hAnsi="Verdana" w:cs="Century Gothic"/>
          <w:i/>
          <w:iCs/>
          <w:sz w:val="20"/>
          <w:szCs w:val="20"/>
        </w:rPr>
        <w:t>.</w:t>
      </w:r>
      <w:r w:rsidRPr="00CD7324">
        <w:rPr>
          <w:rFonts w:ascii="Verdana" w:eastAsia="Century Gothic" w:hAnsi="Verdana" w:cs="Century Gothic"/>
          <w:i/>
          <w:iCs/>
          <w:sz w:val="20"/>
          <w:szCs w:val="20"/>
        </w:rPr>
        <w:t xml:space="preserve"> </w:t>
      </w:r>
    </w:p>
    <w:p w14:paraId="2BD740E1" w14:textId="77777777" w:rsidR="00EF4629" w:rsidRDefault="00EF4629" w:rsidP="0032557F">
      <w:pPr>
        <w:spacing w:after="0" w:line="276" w:lineRule="auto"/>
        <w:ind w:firstLine="709"/>
        <w:jc w:val="both"/>
        <w:rPr>
          <w:rFonts w:ascii="Verdana" w:eastAsia="Calibri" w:hAnsi="Verdana" w:cs="Arial"/>
          <w:lang w:val="es-ES" w:eastAsia="es-ES"/>
        </w:rPr>
      </w:pPr>
    </w:p>
    <w:p w14:paraId="2F5E7DC7" w14:textId="7D291353" w:rsidR="00BC7D7E" w:rsidRPr="00AA3B9F" w:rsidRDefault="00BC7D7E" w:rsidP="00BC7D7E">
      <w:pPr>
        <w:spacing w:after="120" w:line="276" w:lineRule="auto"/>
        <w:ind w:firstLine="709"/>
        <w:jc w:val="both"/>
        <w:rPr>
          <w:rFonts w:ascii="Verdana" w:eastAsia="Calibri" w:hAnsi="Verdana" w:cs="Arial"/>
          <w:lang w:val="es-ES_tradnl" w:eastAsia="es-ES_tradnl"/>
        </w:rPr>
      </w:pPr>
      <w:r w:rsidRPr="00AA3B9F">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w:t>
      </w:r>
      <w:r>
        <w:rPr>
          <w:rFonts w:ascii="Verdana" w:eastAsia="Calibri" w:hAnsi="Verdana" w:cs="Arial"/>
          <w:lang w:val="es-ES" w:eastAsia="es-ES"/>
        </w:rPr>
        <w:t>E</w:t>
      </w:r>
      <w:r w:rsidRPr="00AA3B9F">
        <w:rPr>
          <w:rFonts w:ascii="Verdana" w:eastAsia="Calibri" w:hAnsi="Verdana" w:cs="Arial"/>
          <w:lang w:val="es-ES" w:eastAsia="es-ES"/>
        </w:rPr>
        <w:t xml:space="preserve">ntidades </w:t>
      </w:r>
      <w:r>
        <w:rPr>
          <w:rFonts w:ascii="Verdana" w:eastAsia="Calibri" w:hAnsi="Verdana" w:cs="Arial"/>
          <w:lang w:val="es-ES" w:eastAsia="es-ES"/>
        </w:rPr>
        <w:t xml:space="preserve">Estatales </w:t>
      </w:r>
      <w:r w:rsidRPr="00AA3B9F">
        <w:rPr>
          <w:rFonts w:ascii="Verdana" w:eastAsia="Calibri" w:hAnsi="Verdana" w:cs="Arial"/>
          <w:lang w:val="es-ES" w:eastAsia="es-ES"/>
        </w:rPr>
        <w:t>o de los demás participantes de la contratación pública. Esta competencia de interpretación de normas generales, por definición, no puede extenderse a la resolución de controversias, ni a brindar asesorías sobre casos puntuales.</w:t>
      </w:r>
    </w:p>
    <w:p w14:paraId="570C0DA3" w14:textId="77777777" w:rsidR="00BC7D7E" w:rsidRPr="00AA3B9F" w:rsidRDefault="00BC7D7E" w:rsidP="00BC7D7E">
      <w:pPr>
        <w:spacing w:after="0" w:line="276" w:lineRule="auto"/>
        <w:ind w:firstLine="709"/>
        <w:jc w:val="both"/>
        <w:rPr>
          <w:rFonts w:ascii="Verdana" w:eastAsia="Calibri" w:hAnsi="Verdana" w:cs="Arial"/>
          <w:lang w:val="es-ES" w:eastAsia="es-ES"/>
        </w:rPr>
      </w:pPr>
      <w:r w:rsidRPr="00AA3B9F">
        <w:rPr>
          <w:rFonts w:ascii="Verdana" w:eastAsia="Calibri" w:hAnsi="Verdana" w:cs="Arial"/>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w:t>
      </w:r>
      <w:r w:rsidRPr="00E21BD1">
        <w:t xml:space="preserve"> </w:t>
      </w:r>
    </w:p>
    <w:p w14:paraId="047417F6" w14:textId="77777777" w:rsidR="00BC7D7E" w:rsidRDefault="00BC7D7E" w:rsidP="0032557F">
      <w:pPr>
        <w:pStyle w:val="Prrafodelista"/>
        <w:tabs>
          <w:tab w:val="left" w:pos="142"/>
          <w:tab w:val="left" w:pos="284"/>
        </w:tabs>
        <w:spacing w:after="0" w:line="276" w:lineRule="auto"/>
        <w:ind w:left="425" w:right="1185"/>
        <w:jc w:val="both"/>
        <w:rPr>
          <w:rFonts w:ascii="Verdana" w:eastAsia="Century Gothic" w:hAnsi="Verdana" w:cs="Century Gothic"/>
          <w:i/>
          <w:iCs/>
          <w:lang w:val="es-CO"/>
        </w:rPr>
      </w:pPr>
    </w:p>
    <w:p w14:paraId="74C7E180" w14:textId="77777777" w:rsidR="00BC7D7E" w:rsidRDefault="00BC7D7E" w:rsidP="003C07B0">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w:t>
      </w:r>
      <w:r>
        <w:rPr>
          <w:rFonts w:ascii="Verdana" w:eastAsia="Century Gothic" w:hAnsi="Verdana" w:cs="Century Gothic"/>
          <w:b/>
          <w:bCs/>
        </w:rPr>
        <w:t xml:space="preserve"> jurídico </w:t>
      </w:r>
      <w:r w:rsidRPr="00593A5F">
        <w:rPr>
          <w:rFonts w:ascii="Verdana" w:eastAsia="Century Gothic" w:hAnsi="Verdana" w:cs="Century Gothic"/>
          <w:b/>
          <w:bCs/>
        </w:rPr>
        <w:t>planteado:</w:t>
      </w:r>
    </w:p>
    <w:p w14:paraId="3322E0FD" w14:textId="77777777" w:rsidR="00BC7D7E" w:rsidRDefault="00BC7D7E" w:rsidP="003C07B0">
      <w:pPr>
        <w:pStyle w:val="Prrafodelista"/>
        <w:tabs>
          <w:tab w:val="left" w:pos="142"/>
          <w:tab w:val="left" w:pos="284"/>
        </w:tabs>
        <w:spacing w:after="0" w:line="276" w:lineRule="auto"/>
        <w:ind w:left="0"/>
        <w:jc w:val="both"/>
        <w:rPr>
          <w:rFonts w:ascii="Verdana" w:eastAsia="Century Gothic" w:hAnsi="Verdana" w:cs="Century Gothic"/>
          <w:b/>
          <w:bCs/>
        </w:rPr>
      </w:pPr>
    </w:p>
    <w:p w14:paraId="5C1E1C8E" w14:textId="45B83FC0" w:rsidR="00BC7D7E" w:rsidRDefault="00BC7D7E" w:rsidP="003C07B0">
      <w:pPr>
        <w:spacing w:after="0" w:line="276" w:lineRule="auto"/>
        <w:jc w:val="both"/>
        <w:rPr>
          <w:rFonts w:ascii="Verdana" w:eastAsia="Century Gothic" w:hAnsi="Verdana" w:cs="Century Gothic"/>
        </w:rPr>
      </w:pPr>
      <w:r w:rsidRPr="00E21BD1">
        <w:rPr>
          <w:rFonts w:ascii="Verdana" w:eastAsia="Calibri" w:hAnsi="Verdana" w:cs="Arial"/>
          <w:lang w:eastAsia="es-ES"/>
        </w:rPr>
        <w:t xml:space="preserve">De acuerdo con el contenido de su solicitud, esta Agencia resolverá </w:t>
      </w:r>
      <w:r>
        <w:rPr>
          <w:rFonts w:ascii="Verdana" w:eastAsia="Calibri" w:hAnsi="Verdana" w:cs="Arial"/>
          <w:lang w:eastAsia="es-ES"/>
        </w:rPr>
        <w:t xml:space="preserve">los </w:t>
      </w:r>
      <w:r w:rsidRPr="00E21BD1">
        <w:rPr>
          <w:rFonts w:ascii="Verdana" w:eastAsia="Calibri" w:hAnsi="Verdana" w:cs="Arial"/>
          <w:lang w:eastAsia="es-ES"/>
        </w:rPr>
        <w:t>siguiente</w:t>
      </w:r>
      <w:r>
        <w:rPr>
          <w:rFonts w:ascii="Verdana" w:eastAsia="Calibri" w:hAnsi="Verdana" w:cs="Arial"/>
          <w:lang w:eastAsia="es-ES"/>
        </w:rPr>
        <w:t>s</w:t>
      </w:r>
      <w:r w:rsidRPr="00E21BD1">
        <w:rPr>
          <w:rFonts w:ascii="Verdana" w:eastAsia="Calibri" w:hAnsi="Verdana" w:cs="Arial"/>
          <w:lang w:eastAsia="es-ES"/>
        </w:rPr>
        <w:t xml:space="preserve"> problema</w:t>
      </w:r>
      <w:r>
        <w:rPr>
          <w:rFonts w:ascii="Verdana" w:eastAsia="Calibri" w:hAnsi="Verdana" w:cs="Arial"/>
          <w:lang w:eastAsia="es-ES"/>
        </w:rPr>
        <w:t>s</w:t>
      </w:r>
      <w:r w:rsidRPr="00E21BD1">
        <w:rPr>
          <w:rFonts w:ascii="Verdana" w:eastAsia="Calibri" w:hAnsi="Verdana" w:cs="Arial"/>
          <w:lang w:eastAsia="es-ES"/>
        </w:rPr>
        <w:t xml:space="preserve"> jurídico</w:t>
      </w:r>
      <w:r>
        <w:rPr>
          <w:rFonts w:ascii="Verdana" w:eastAsia="Calibri" w:hAnsi="Verdana" w:cs="Arial"/>
          <w:lang w:eastAsia="es-ES"/>
        </w:rPr>
        <w:t>s</w:t>
      </w:r>
      <w:r w:rsidRPr="00E21BD1">
        <w:rPr>
          <w:rFonts w:ascii="Verdana" w:eastAsia="Calibri" w:hAnsi="Verdana" w:cs="Arial"/>
          <w:lang w:eastAsia="es-ES"/>
        </w:rPr>
        <w:t>:</w:t>
      </w:r>
      <w:bookmarkStart w:id="4" w:name="_Hlk196737317"/>
      <w:r>
        <w:rPr>
          <w:rFonts w:ascii="Verdana" w:eastAsia="Calibri" w:hAnsi="Verdana" w:cs="Arial"/>
          <w:lang w:eastAsia="es-ES"/>
        </w:rPr>
        <w:t xml:space="preserve"> </w:t>
      </w:r>
      <w:r w:rsidR="00371137">
        <w:rPr>
          <w:rFonts w:ascii="Verdana" w:eastAsia="Calibri" w:hAnsi="Verdana" w:cs="Arial"/>
          <w:lang w:eastAsia="es-ES"/>
        </w:rPr>
        <w:t>i)</w:t>
      </w:r>
      <w:r w:rsidR="00AD0C5F" w:rsidRPr="00AD0C5F">
        <w:rPr>
          <w:rFonts w:ascii="Verdana" w:eastAsia="Century Gothic" w:hAnsi="Verdana" w:cs="Century Gothic"/>
        </w:rPr>
        <w:t xml:space="preserve"> </w:t>
      </w:r>
      <w:r w:rsidR="00AD0C5F">
        <w:rPr>
          <w:rFonts w:ascii="Verdana" w:eastAsia="Century Gothic" w:hAnsi="Verdana" w:cs="Century Gothic"/>
        </w:rPr>
        <w:t>¿Cuáles son los documentos que tienen carácter de reserva y no deben ser publicados en el SECOP II</w:t>
      </w:r>
      <w:r w:rsidR="00AD0C5F" w:rsidRPr="00737D0F">
        <w:rPr>
          <w:rFonts w:ascii="Verdana" w:eastAsia="Century Gothic" w:hAnsi="Verdana" w:cs="Century Gothic"/>
        </w:rPr>
        <w:t>?</w:t>
      </w:r>
      <w:r w:rsidR="00AD0C5F">
        <w:rPr>
          <w:rFonts w:ascii="Verdana" w:eastAsia="Century Gothic" w:hAnsi="Verdana" w:cs="Century Gothic"/>
        </w:rPr>
        <w:t xml:space="preserve">; </w:t>
      </w:r>
      <w:proofErr w:type="spellStart"/>
      <w:r w:rsidR="00AD0C5F">
        <w:rPr>
          <w:rFonts w:ascii="Verdana" w:eastAsia="Century Gothic" w:hAnsi="Verdana" w:cs="Century Gothic"/>
        </w:rPr>
        <w:t>ii</w:t>
      </w:r>
      <w:proofErr w:type="spellEnd"/>
      <w:r w:rsidR="00AD0C5F">
        <w:rPr>
          <w:rFonts w:ascii="Verdana" w:eastAsia="Century Gothic" w:hAnsi="Verdana" w:cs="Century Gothic"/>
        </w:rPr>
        <w:t xml:space="preserve">) </w:t>
      </w:r>
      <w:r w:rsidR="00C606BC" w:rsidRPr="00C606BC">
        <w:rPr>
          <w:rFonts w:ascii="Verdana" w:eastAsia="Century Gothic" w:hAnsi="Verdana" w:cs="Century Gothic"/>
        </w:rPr>
        <w:t xml:space="preserve">¿Cuál es el alcance de los </w:t>
      </w:r>
      <w:r w:rsidR="00C606BC" w:rsidRPr="00C606BC">
        <w:rPr>
          <w:rFonts w:ascii="Verdana" w:eastAsia="Century Gothic" w:hAnsi="Verdana" w:cs="Century Gothic"/>
        </w:rPr>
        <w:lastRenderedPageBreak/>
        <w:t>principios de transparencia y publicidad en materia de contratación estatal respecto de los documentos mediante los cuales se acredita la idoneidad y experiencia de las personas naturales vinculadas por las entidades estatales mediante contratos de prestación de servicios</w:t>
      </w:r>
      <w:r w:rsidR="00C606BC">
        <w:rPr>
          <w:rFonts w:ascii="Verdana" w:eastAsia="Century Gothic" w:hAnsi="Verdana" w:cs="Century Gothic"/>
        </w:rPr>
        <w:t>?</w:t>
      </w:r>
    </w:p>
    <w:p w14:paraId="0A3A5AD7" w14:textId="38C6CBA0" w:rsidR="00BC7D7E" w:rsidRPr="00AD0C5F" w:rsidRDefault="00AD0C5F" w:rsidP="003C07B0">
      <w:pPr>
        <w:pStyle w:val="Prrafodelista"/>
        <w:tabs>
          <w:tab w:val="left" w:pos="142"/>
          <w:tab w:val="left" w:pos="284"/>
        </w:tabs>
        <w:spacing w:after="0" w:line="276" w:lineRule="auto"/>
        <w:ind w:left="0"/>
        <w:jc w:val="both"/>
        <w:rPr>
          <w:rFonts w:ascii="Verdana" w:eastAsia="Century Gothic" w:hAnsi="Verdana" w:cs="Century Gothic"/>
          <w:lang w:val="es-CO"/>
        </w:rPr>
      </w:pPr>
      <w:r>
        <w:rPr>
          <w:rFonts w:ascii="Verdana" w:eastAsia="Century Gothic" w:hAnsi="Verdana" w:cs="Century Gothic"/>
          <w:lang w:val="es-CO"/>
        </w:rPr>
        <w:t xml:space="preserve"> </w:t>
      </w:r>
    </w:p>
    <w:p w14:paraId="6953DAE2" w14:textId="77777777" w:rsidR="00BC7D7E" w:rsidRDefault="00BC7D7E" w:rsidP="003C07B0">
      <w:pPr>
        <w:pStyle w:val="Prrafodelista"/>
        <w:tabs>
          <w:tab w:val="left" w:pos="142"/>
          <w:tab w:val="left" w:pos="284"/>
        </w:tabs>
        <w:spacing w:after="0" w:line="276" w:lineRule="auto"/>
        <w:ind w:left="0"/>
        <w:jc w:val="both"/>
        <w:rPr>
          <w:rFonts w:ascii="Verdana" w:eastAsia="Calibri" w:hAnsi="Verdana" w:cs="Arial"/>
          <w:lang w:val="es-CO" w:eastAsia="es-ES"/>
        </w:rPr>
      </w:pPr>
    </w:p>
    <w:bookmarkEnd w:id="4"/>
    <w:p w14:paraId="5100FB06" w14:textId="77777777" w:rsidR="00BC7D7E" w:rsidRPr="00593A5F" w:rsidRDefault="00BC7D7E" w:rsidP="003C07B0">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2DAAF6BD" w14:textId="77777777" w:rsidR="00BC7D7E" w:rsidRPr="00593A5F" w:rsidRDefault="00BC7D7E" w:rsidP="003C07B0">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C7D7E" w:rsidRPr="00593A5F" w14:paraId="6D3C8108" w14:textId="77777777" w:rsidTr="00851EFB">
        <w:tc>
          <w:tcPr>
            <w:tcW w:w="8828" w:type="dxa"/>
          </w:tcPr>
          <w:p w14:paraId="3EA2F03A" w14:textId="77777777" w:rsidR="00400C19" w:rsidRPr="00AD6B46" w:rsidRDefault="00400C19" w:rsidP="0032557F">
            <w:pPr>
              <w:spacing w:line="276" w:lineRule="auto"/>
              <w:jc w:val="both"/>
              <w:rPr>
                <w:rFonts w:ascii="Verdana" w:eastAsia="Calibri" w:hAnsi="Verdana" w:cs="Arial"/>
                <w:lang w:val="es-ES" w:eastAsia="es-ES_tradnl"/>
              </w:rPr>
            </w:pPr>
            <w:r w:rsidRPr="00AD6B46">
              <w:rPr>
                <w:rFonts w:ascii="Verdana" w:eastAsia="Calibri" w:hAnsi="Verdana" w:cs="Arial"/>
                <w:lang w:val="es-ES" w:eastAsia="es-ES_tradnl"/>
              </w:rPr>
              <w:t>Respecto a los problemas jurídicos, objeto de su consulta, se expresa lo siguiente:</w:t>
            </w:r>
          </w:p>
          <w:p w14:paraId="4C323166" w14:textId="77777777" w:rsidR="007452E8" w:rsidRDefault="007452E8" w:rsidP="0032557F">
            <w:pPr>
              <w:spacing w:line="276" w:lineRule="auto"/>
              <w:jc w:val="both"/>
              <w:rPr>
                <w:rFonts w:ascii="Verdana" w:eastAsia="Calibri" w:hAnsi="Verdana" w:cs="Arial"/>
                <w:lang w:val="es-ES" w:eastAsia="es-ES_tradnl"/>
              </w:rPr>
            </w:pPr>
          </w:p>
          <w:p w14:paraId="26995798" w14:textId="77777777" w:rsidR="00AD0C5F" w:rsidRPr="001C5618" w:rsidRDefault="00400C19" w:rsidP="00AD0C5F">
            <w:pPr>
              <w:spacing w:after="120" w:line="276" w:lineRule="auto"/>
              <w:jc w:val="both"/>
              <w:rPr>
                <w:rFonts w:ascii="Verdana" w:eastAsia="Calibri" w:hAnsi="Verdana" w:cs="Arial"/>
                <w:lang w:val="es-ES" w:eastAsia="es-ES"/>
              </w:rPr>
            </w:pPr>
            <w:r w:rsidRPr="00AD6B46">
              <w:rPr>
                <w:rFonts w:ascii="Verdana" w:eastAsia="Calibri" w:hAnsi="Verdana" w:cs="Arial"/>
                <w:lang w:val="es-ES" w:eastAsia="es-ES_tradnl"/>
              </w:rPr>
              <w:t>i</w:t>
            </w:r>
            <w:r w:rsidR="00AF2A63">
              <w:rPr>
                <w:rFonts w:ascii="Verdana" w:eastAsia="Calibri" w:hAnsi="Verdana" w:cs="Arial"/>
                <w:lang w:val="es-ES" w:eastAsia="es-ES_tradnl"/>
              </w:rPr>
              <w:t xml:space="preserve">) </w:t>
            </w:r>
            <w:r w:rsidR="00AD0C5F">
              <w:rPr>
                <w:rFonts w:ascii="Verdana" w:eastAsia="Calibri" w:hAnsi="Verdana" w:cs="Arial"/>
                <w:lang w:val="es-ES" w:eastAsia="es-ES"/>
              </w:rPr>
              <w:t>E</w:t>
            </w:r>
            <w:r w:rsidR="00AD0C5F" w:rsidRPr="001C5618">
              <w:rPr>
                <w:rFonts w:ascii="Verdana" w:eastAsia="Calibri" w:hAnsi="Verdana" w:cs="Arial"/>
                <w:lang w:val="es-ES" w:eastAsia="es-ES"/>
              </w:rPr>
              <w:t>l cumplimiento del deber de publicación de la documentación contractual debe armonizarse con las normas aplicables al tipo de información que estas contienen. En efecto, el principio o regla general consiste en la máxima publicidad de la información pública y lo excepcional es la reserva, razón por la cual el artículo 21 de la Ley 1712 de 2014 incluso exige la divulgación parcial de la información contenida en un documento, cuando este contenga parte de información sometida a reserva, pero también incluya información que no esté afectada por la reserva. Además, dicha disposición establece que la reserva de acceso a la información opera respecto al contenido de un documento público, pero no respecto de su existencia. Sin perjuicio de lo anterior, es posible que el contenido de todo el documento o expediente no deba ser objeto de publicidad por estar amparado de forma íntegra por la reserva, dada su conexión con las causales establecidas en la Constitución o la ley.</w:t>
            </w:r>
          </w:p>
          <w:p w14:paraId="63C22D5F" w14:textId="77777777" w:rsidR="00AD0C5F" w:rsidRPr="001C5618" w:rsidRDefault="00AD0C5F" w:rsidP="00AD0C5F">
            <w:pPr>
              <w:spacing w:after="120" w:line="276" w:lineRule="auto"/>
              <w:ind w:firstLine="709"/>
              <w:jc w:val="both"/>
              <w:rPr>
                <w:rFonts w:ascii="Verdana" w:eastAsia="Calibri" w:hAnsi="Verdana" w:cs="Arial"/>
                <w:lang w:val="es-ES" w:eastAsia="es-ES"/>
              </w:rPr>
            </w:pPr>
            <w:r w:rsidRPr="001C5618">
              <w:rPr>
                <w:rFonts w:ascii="Verdana" w:eastAsia="Calibri" w:hAnsi="Verdana" w:cs="Arial"/>
                <w:lang w:val="es-ES" w:eastAsia="es-ES"/>
              </w:rPr>
              <w:t xml:space="preserve">El enunciado constitucional, en armonía con los artículos 18 y 19 de la Ley 1712 de 2014 y los artículos 24 y 25 de la Ley 1437 de 2011, establecen que el derecho de acceso a la información o documentación pública no es absoluto, sino que puede exceptuarse cuando se configuren causales de reserva. Así mismo, hay información que goza de protección especial y no puede divulgarse. La información pública que contiene datos semiprivados o privados, definidos en los literales g) y h) del artículo 3° de la Ley 1266 de 2008, clasificados o reservados, según los artículos 18 y 19 de la Ley 1712 de 2014, o datos personales o sensibles, según lo previsto en los artículos 3° y 5° de la Ley 1581 de 2012 y en el numeral 3° del artículo 3° del Decreto 1377 de 2013, solo podrá divulgarse según las reglas establecidas en dichas </w:t>
            </w:r>
            <w:r w:rsidRPr="001C5618">
              <w:rPr>
                <w:rFonts w:ascii="Verdana" w:eastAsia="Calibri" w:hAnsi="Verdana" w:cs="Arial"/>
                <w:lang w:val="es-ES" w:eastAsia="es-ES"/>
              </w:rPr>
              <w:lastRenderedPageBreak/>
              <w:t>normas. Pero esto no quiere decir que todo el documento se convierta en reservado, sino que se debe proceder como se indica a continuación.</w:t>
            </w:r>
          </w:p>
          <w:p w14:paraId="2B537678" w14:textId="77777777" w:rsidR="00AD0C5F" w:rsidRPr="001C5618" w:rsidRDefault="00AD0C5F" w:rsidP="00AD0C5F">
            <w:pPr>
              <w:spacing w:after="120" w:line="276" w:lineRule="auto"/>
              <w:ind w:firstLine="709"/>
              <w:jc w:val="both"/>
              <w:rPr>
                <w:rFonts w:ascii="Verdana" w:eastAsia="Calibri" w:hAnsi="Verdana" w:cs="Arial"/>
                <w:lang w:val="es-ES" w:eastAsia="es-ES"/>
              </w:rPr>
            </w:pPr>
            <w:r w:rsidRPr="001C5618">
              <w:rPr>
                <w:rFonts w:ascii="Verdana" w:eastAsia="Calibri" w:hAnsi="Verdana" w:cs="Arial"/>
                <w:lang w:val="es-ES" w:eastAsia="es-ES"/>
              </w:rPr>
              <w:t>Cuando el documento contractual tenga información sensible, clasificada o reservada, para proteger la información, las autoridades deben abstenerse de publicar en el SECOP la información que tiene protección especial. Por ello, la entidad estatal deberá excluir del documento entregado por el proponente o del contratista, la información que contenga datos sensibles, clasificados o reservados, para no divulgarla, pero debe publicar las demás piezas o los apartados que no gozan de reserva o que no están protegidos por las disposiciones de habeas data.</w:t>
            </w:r>
          </w:p>
          <w:p w14:paraId="3BF4B515" w14:textId="77777777" w:rsidR="00AD0C5F" w:rsidRDefault="00AD0C5F" w:rsidP="00AD0C5F">
            <w:pPr>
              <w:spacing w:after="120" w:line="276" w:lineRule="auto"/>
              <w:ind w:firstLine="709"/>
              <w:jc w:val="both"/>
              <w:rPr>
                <w:rFonts w:ascii="Verdana" w:eastAsia="Calibri" w:hAnsi="Verdana" w:cs="Arial"/>
                <w:lang w:val="es-ES" w:eastAsia="es-ES"/>
              </w:rPr>
            </w:pPr>
            <w:r w:rsidRPr="001C5618">
              <w:rPr>
                <w:rFonts w:ascii="Verdana" w:eastAsia="Calibri" w:hAnsi="Verdana" w:cs="Arial"/>
                <w:lang w:val="es-ES" w:eastAsia="es-ES"/>
              </w:rPr>
              <w:t>A manera de ejemplo, podrían considerarse documentos con datos sensibles, clasificados o reservados, por ejemplo la hoja de vida, la cédula de ciudadanía, la tarjeta profesional, si aplica, el RUT, el certificado bancario, el examen médico ocupacional, la declaración de conflicto de intereses, el certificado REDAM, por lo que deben clasificarse y dejarse marcados en la plataforma SECOP II como “solicitud de confidencialidad”  por el proponente y, “confidencialidad“ por la entidad, sin embargo, se deben publicar las demás piezas de la oferta o los apartados que no gozan de reserva o que no están protegidos por las disposiciones de habeas data.</w:t>
            </w:r>
            <w:r>
              <w:t xml:space="preserve"> </w:t>
            </w:r>
          </w:p>
          <w:p w14:paraId="35D3B827" w14:textId="77777777" w:rsidR="00AD0C5F" w:rsidRDefault="00AD0C5F" w:rsidP="00AD0C5F">
            <w:pPr>
              <w:spacing w:after="120" w:line="276" w:lineRule="auto"/>
              <w:ind w:firstLine="709"/>
              <w:jc w:val="both"/>
            </w:pPr>
            <w:r>
              <w:rPr>
                <w:rFonts w:ascii="Verdana" w:eastAsia="Calibri" w:hAnsi="Verdana" w:cs="Arial"/>
                <w:bCs/>
                <w:color w:val="000000" w:themeColor="text1"/>
              </w:rPr>
              <w:t>Finalmente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r>
              <w:t xml:space="preserve"> </w:t>
            </w:r>
          </w:p>
          <w:p w14:paraId="6CAA6B40" w14:textId="164C7BA0" w:rsidR="00AD0C5F" w:rsidRDefault="00AD0C5F" w:rsidP="00AD0C5F">
            <w:pPr>
              <w:spacing w:after="120" w:line="276" w:lineRule="auto"/>
              <w:jc w:val="both"/>
              <w:rPr>
                <w:rFonts w:ascii="Verdana" w:eastAsia="Calibri" w:hAnsi="Verdana" w:cs="Arial"/>
                <w:lang w:val="es-ES" w:eastAsia="es-ES_tradnl"/>
              </w:rPr>
            </w:pPr>
            <w:r w:rsidRPr="00521FBA">
              <w:rPr>
                <w:rFonts w:ascii="Verdana" w:eastAsia="Calibri" w:hAnsi="Verdana" w:cs="Arial"/>
                <w:lang w:val="es-ES" w:eastAsia="es-ES"/>
              </w:rPr>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0BE6C002" w14:textId="18F6417C" w:rsidR="00400C19" w:rsidRPr="00AD6B46" w:rsidRDefault="00AD0C5F" w:rsidP="0032557F">
            <w:pPr>
              <w:spacing w:after="120" w:line="276" w:lineRule="auto"/>
              <w:jc w:val="both"/>
              <w:rPr>
                <w:rFonts w:ascii="Verdana" w:eastAsia="Times New Roman" w:hAnsi="Verdana" w:cs="Arial"/>
                <w:lang w:val="es-ES_tradnl" w:eastAsia="es-ES_tradnl"/>
                <w14:ligatures w14:val="standardContextual"/>
              </w:rPr>
            </w:pPr>
            <w:proofErr w:type="spellStart"/>
            <w:r>
              <w:rPr>
                <w:rFonts w:ascii="Verdana" w:eastAsia="Calibri" w:hAnsi="Verdana" w:cs="Arial"/>
                <w:lang w:val="es-ES" w:eastAsia="es-ES_tradnl"/>
              </w:rPr>
              <w:lastRenderedPageBreak/>
              <w:t>ii</w:t>
            </w:r>
            <w:proofErr w:type="spellEnd"/>
            <w:r>
              <w:rPr>
                <w:rFonts w:ascii="Verdana" w:eastAsia="Calibri" w:hAnsi="Verdana" w:cs="Arial"/>
                <w:lang w:val="es-ES" w:eastAsia="es-ES_tradnl"/>
              </w:rPr>
              <w:t xml:space="preserve">) </w:t>
            </w:r>
            <w:r w:rsidR="00AF2A63">
              <w:rPr>
                <w:rFonts w:ascii="Verdana" w:eastAsia="Calibri" w:hAnsi="Verdana" w:cs="Arial"/>
                <w:lang w:val="es-ES" w:eastAsia="es-ES_tradnl"/>
              </w:rPr>
              <w:t>L</w:t>
            </w:r>
            <w:r w:rsidR="00400C19" w:rsidRPr="00AD6B46">
              <w:rPr>
                <w:rFonts w:ascii="Verdana" w:eastAsia="Times New Roman" w:hAnsi="Verdana" w:cs="Arial"/>
                <w:lang w:val="es-ES_tradnl" w:eastAsia="es-ES_tradnl"/>
                <w14:ligatures w14:val="standardContextual"/>
              </w:rPr>
              <w:t xml:space="preserve">as </w:t>
            </w:r>
            <w:r w:rsidR="002D362C" w:rsidRPr="00AD6B46">
              <w:rPr>
                <w:rFonts w:ascii="Verdana" w:eastAsia="Times New Roman" w:hAnsi="Verdana" w:cs="Arial"/>
                <w:lang w:val="es-ES_tradnl" w:eastAsia="es-ES_tradnl"/>
                <w14:ligatures w14:val="standardContextual"/>
              </w:rPr>
              <w:t>entidades estatales</w:t>
            </w:r>
            <w:r w:rsidR="00400C19" w:rsidRPr="00AD6B46">
              <w:rPr>
                <w:rFonts w:ascii="Verdana" w:eastAsia="Times New Roman" w:hAnsi="Verdana" w:cs="Arial"/>
                <w:lang w:val="es-ES_tradnl" w:eastAsia="es-ES_tradnl"/>
                <w14:ligatures w14:val="standardContextual"/>
              </w:rPr>
              <w:t>, conforme al artículo 2.2.1.1.1.7.1 del Decreto 1082 de 2015, tienen la obligación de publicar en el SECOP “[…] los Documentos del Proceso y los actos administrativos del Proceso de Contratación, dentro de los tres (3) días siguientes a su expedición […]”. Al respecto, la</w:t>
            </w:r>
            <w:r w:rsidR="00400C19" w:rsidRPr="00AD6B46">
              <w:rPr>
                <w:rFonts w:ascii="Verdana" w:hAnsi="Verdana" w:cs="Arial"/>
                <w:shd w:val="clear" w:color="auto" w:fill="FFFFFF"/>
              </w:rPr>
              <w:t xml:space="preserve"> expresión </w:t>
            </w:r>
            <w:r w:rsidR="00400C19" w:rsidRPr="00AD6B46">
              <w:rPr>
                <w:rFonts w:ascii="Verdana" w:hAnsi="Verdana" w:cs="Arial"/>
                <w:i/>
                <w:iCs/>
                <w:shd w:val="clear" w:color="auto" w:fill="FFFFFF"/>
              </w:rPr>
              <w:t xml:space="preserve">Documentos del Proceso </w:t>
            </w:r>
            <w:r w:rsidR="00400C19" w:rsidRPr="00AD6B46">
              <w:rPr>
                <w:rFonts w:ascii="Verdana" w:hAnsi="Verdana" w:cs="Arial"/>
                <w:shd w:val="clear" w:color="auto" w:fill="FFFFFF"/>
              </w:rPr>
              <w:t xml:space="preserve">está definida en el artículo 2.2.1.1.1.3.1. del Decreto 1082 de 2015, donde se establece que: “son: (a) los estudios y documentos previos; (b) el aviso de convocatoria; (c) los pliegos de condiciones o la invitación; (d) las adendas; (e) la oferta; (f) el informe de evaluación; (g) el contrato; </w:t>
            </w:r>
            <w:r w:rsidR="00400C19" w:rsidRPr="00AD6B46">
              <w:rPr>
                <w:rFonts w:ascii="Verdana" w:hAnsi="Verdana" w:cs="Arial"/>
                <w:i/>
                <w:iCs/>
                <w:shd w:val="clear" w:color="auto" w:fill="FFFFFF"/>
              </w:rPr>
              <w:t>y cualquier otro documento expedido por la Entidad Estatal durante el Proceso de Contratación</w:t>
            </w:r>
            <w:r w:rsidR="00400C19" w:rsidRPr="00AD6B46">
              <w:rPr>
                <w:rFonts w:ascii="Verdana" w:hAnsi="Verdana" w:cs="Arial"/>
                <w:shd w:val="clear" w:color="auto" w:fill="FFFFFF"/>
              </w:rPr>
              <w:t>”. [Énfasis fuera de texto]</w:t>
            </w:r>
          </w:p>
          <w:p w14:paraId="2E60C586" w14:textId="584B1179" w:rsidR="00400C19" w:rsidRDefault="00400C19" w:rsidP="007452E8">
            <w:pPr>
              <w:tabs>
                <w:tab w:val="left" w:pos="709"/>
              </w:tabs>
              <w:spacing w:after="120"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Nótese que la norma se refiere a los documentos “expedidos por la entidad estatal” durante el proceso de contratación, excluyendo de la noción de </w:t>
            </w:r>
            <w:r w:rsidR="008630D9" w:rsidRPr="00AD6B46">
              <w:rPr>
                <w:rFonts w:ascii="Verdana" w:hAnsi="Verdana" w:cs="Arial"/>
                <w:shd w:val="clear" w:color="auto" w:fill="FFFFFF"/>
              </w:rPr>
              <w:t xml:space="preserve">documentos del proceso </w:t>
            </w:r>
            <w:r w:rsidRPr="00AD6B46">
              <w:rPr>
                <w:rFonts w:ascii="Verdana" w:hAnsi="Verdana" w:cs="Arial"/>
                <w:shd w:val="clear" w:color="auto" w:fill="FFFFFF"/>
              </w:rPr>
              <w:t xml:space="preserve">los expedidos por un sujeto distinto a la entidad, salvo la oferta, la cual se incluye expresamente en el referido artículo 2.2.1.1.1.3. </w:t>
            </w:r>
          </w:p>
          <w:p w14:paraId="680F4A31" w14:textId="0A0A91A7" w:rsidR="008630D9" w:rsidRDefault="008630D9" w:rsidP="0032557F">
            <w:pPr>
              <w:tabs>
                <w:tab w:val="left" w:pos="709"/>
              </w:tabs>
              <w:spacing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En ese sentido, </w:t>
            </w:r>
            <w:r>
              <w:rPr>
                <w:rFonts w:ascii="Verdana" w:hAnsi="Verdana" w:cs="Arial"/>
                <w:shd w:val="clear" w:color="auto" w:fill="FFFFFF"/>
              </w:rPr>
              <w:t xml:space="preserve">se concluye que, </w:t>
            </w:r>
            <w:r w:rsidRPr="00AD6B46">
              <w:rPr>
                <w:rFonts w:ascii="Verdana" w:hAnsi="Verdana" w:cs="Arial"/>
                <w:shd w:val="clear" w:color="auto" w:fill="FFFFFF"/>
              </w:rPr>
              <w:t xml:space="preserve">la interpretación sistemática de los preceptos del Decreto 1082 de 2015, de acuerdo con el principio de publicidad, inicialmente, indica que las entidades estatales tienen la obligación de publicar todos los documentos que expidan con ocasión del </w:t>
            </w:r>
            <w:r w:rsidR="00384686" w:rsidRPr="00AD6B46">
              <w:rPr>
                <w:rFonts w:ascii="Verdana" w:hAnsi="Verdana" w:cs="Arial"/>
                <w:shd w:val="clear" w:color="auto" w:fill="FFFFFF"/>
              </w:rPr>
              <w:t>proceso de contratación</w:t>
            </w:r>
            <w:r w:rsidR="00384686">
              <w:rPr>
                <w:rFonts w:ascii="Verdana" w:hAnsi="Verdana" w:cs="Arial"/>
                <w:shd w:val="clear" w:color="auto" w:fill="FFFFFF"/>
              </w:rPr>
              <w:t xml:space="preserve">. </w:t>
            </w:r>
            <w:r w:rsidR="00384686" w:rsidRPr="00AD6B46">
              <w:rPr>
                <w:rFonts w:ascii="Verdana" w:hAnsi="Verdana" w:cs="Arial"/>
                <w:shd w:val="clear" w:color="auto" w:fill="FFFFFF"/>
              </w:rPr>
              <w:t xml:space="preserve">Es </w:t>
            </w:r>
            <w:r w:rsidRPr="00AD6B46">
              <w:rPr>
                <w:rFonts w:ascii="Verdana" w:hAnsi="Verdana" w:cs="Arial"/>
                <w:shd w:val="clear" w:color="auto" w:fill="FFFFFF"/>
              </w:rPr>
              <w:t xml:space="preserve">decir, que todos los documentos expedidos por la entidad durante las etapas precontractual, de ejecución y </w:t>
            </w:r>
            <w:proofErr w:type="spellStart"/>
            <w:r w:rsidRPr="00AD6B46">
              <w:rPr>
                <w:rFonts w:ascii="Verdana" w:hAnsi="Verdana" w:cs="Arial"/>
                <w:shd w:val="clear" w:color="auto" w:fill="FFFFFF"/>
              </w:rPr>
              <w:t>postcontractual</w:t>
            </w:r>
            <w:proofErr w:type="spellEnd"/>
            <w:r w:rsidRPr="00AD6B46">
              <w:rPr>
                <w:rFonts w:ascii="Verdana" w:hAnsi="Verdana" w:cs="Arial"/>
                <w:shd w:val="clear" w:color="auto" w:fill="FFFFFF"/>
              </w:rPr>
              <w:t xml:space="preserve"> deberán publicarse en SECOP dentro de los tres (3) días siguientes a su expedición, para cumplir el deber de publicidad regulado por el artículo 2.2.1.1.1.7.1. del Decreto 1082 de 2015</w:t>
            </w:r>
            <w:r>
              <w:rPr>
                <w:rFonts w:ascii="Verdana" w:hAnsi="Verdana" w:cs="Arial"/>
                <w:shd w:val="clear" w:color="auto" w:fill="FFFFFF"/>
              </w:rPr>
              <w:t xml:space="preserve">. </w:t>
            </w:r>
          </w:p>
          <w:p w14:paraId="30C04E06" w14:textId="77777777" w:rsidR="000B26A0" w:rsidRDefault="000B26A0" w:rsidP="0032557F">
            <w:pPr>
              <w:spacing w:line="276" w:lineRule="auto"/>
              <w:jc w:val="both"/>
              <w:rPr>
                <w:rFonts w:ascii="Verdana" w:eastAsia="Calibri" w:hAnsi="Verdana" w:cs="Arial"/>
                <w:lang w:eastAsia="es-ES"/>
              </w:rPr>
            </w:pPr>
          </w:p>
          <w:p w14:paraId="45C9E3FF" w14:textId="588D15D1" w:rsidR="00BC7D7E" w:rsidRPr="00C606BC" w:rsidRDefault="00C606BC" w:rsidP="00C606BC">
            <w:pPr>
              <w:spacing w:line="276" w:lineRule="auto"/>
              <w:jc w:val="both"/>
              <w:rPr>
                <w:rFonts w:ascii="Verdana" w:eastAsia="Calibri" w:hAnsi="Verdana" w:cs="Arial"/>
                <w:lang w:eastAsia="es-ES"/>
              </w:rPr>
            </w:pPr>
            <w:r>
              <w:rPr>
                <w:rFonts w:ascii="Verdana" w:eastAsia="Calibri" w:hAnsi="Verdana" w:cs="Arial"/>
                <w:lang w:eastAsia="es-ES"/>
              </w:rPr>
              <w:t xml:space="preserve">Ahora bien, lo anteriormente dispuesto legalmente en principio va de la mano con el principio de publicidad y transparencia que cobijan la contratación estatal, </w:t>
            </w:r>
            <w:r w:rsidRPr="00C606BC">
              <w:rPr>
                <w:rFonts w:ascii="Verdana" w:eastAsia="Calibri" w:hAnsi="Verdana" w:cs="Arial"/>
                <w:lang w:eastAsia="es-ES"/>
              </w:rPr>
              <w:t>No obstante, dichos principios no tienen carácter absoluto. Su aplicación debe armonizarse con los derechos fundamentales a la intimidad y al habeas data, así como con las disposiciones sobre protección de datos personales y acceso a la información pública</w:t>
            </w:r>
            <w:r>
              <w:rPr>
                <w:rFonts w:ascii="Verdana" w:eastAsia="Calibri" w:hAnsi="Verdana" w:cs="Arial"/>
                <w:lang w:eastAsia="es-ES"/>
              </w:rPr>
              <w:t xml:space="preserve">. Por ende, y relacionado con </w:t>
            </w:r>
            <w:r>
              <w:rPr>
                <w:rFonts w:ascii="Verdana" w:eastAsia="Calibri" w:hAnsi="Verdana" w:cs="Arial"/>
                <w:lang w:eastAsia="es-ES"/>
              </w:rPr>
              <w:lastRenderedPageBreak/>
              <w:t xml:space="preserve">aquellos documentos y/o información que son objeto de reserva, tal como se explico en la primera respuesta, por ejemplo, </w:t>
            </w:r>
            <w:r w:rsidRPr="00C606BC">
              <w:rPr>
                <w:rFonts w:ascii="Verdana" w:eastAsia="Calibri" w:hAnsi="Verdana" w:cs="Arial"/>
                <w:lang w:eastAsia="es-ES"/>
              </w:rPr>
              <w:t>la publicidad de los documentos que soportan la idoneidad del contratista procede en la medida en que resulte necesaria para garantizar la transparencia de la actuación administrativa y permitir el control ciudadano, sin perjuicio de la obligación de las entidades de proteger la información clasificada o reservada y de adoptar las medidas necesarias para evitar la divulgación de datos personales sensibles o de información cuya publicidad se encuentre restringida por disposición constitucional o legal.</w:t>
            </w:r>
          </w:p>
        </w:tc>
      </w:tr>
    </w:tbl>
    <w:p w14:paraId="081E3F8C" w14:textId="77777777" w:rsidR="00BC7D7E" w:rsidRDefault="00BC7D7E" w:rsidP="00A32106">
      <w:pPr>
        <w:tabs>
          <w:tab w:val="left" w:pos="142"/>
          <w:tab w:val="left" w:pos="284"/>
        </w:tabs>
        <w:spacing w:after="0" w:line="276" w:lineRule="auto"/>
        <w:jc w:val="both"/>
        <w:rPr>
          <w:rFonts w:ascii="Verdana" w:eastAsia="Century Gothic" w:hAnsi="Verdana" w:cs="Century Gothic"/>
          <w:b/>
          <w:bCs/>
          <w:lang w:val="es-ES"/>
        </w:rPr>
      </w:pPr>
    </w:p>
    <w:p w14:paraId="0B78A592" w14:textId="77777777" w:rsidR="00BC7D7E" w:rsidRPr="00593A5F" w:rsidRDefault="00BC7D7E" w:rsidP="00A3210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2E747EFF" w14:textId="77777777" w:rsidR="00BC7D7E" w:rsidRDefault="00BC7D7E" w:rsidP="0032557F">
      <w:pPr>
        <w:spacing w:after="0" w:line="276" w:lineRule="auto"/>
        <w:ind w:firstLine="708"/>
        <w:jc w:val="both"/>
        <w:rPr>
          <w:rFonts w:ascii="Verdana" w:eastAsia="Calibri" w:hAnsi="Verdana" w:cs="Arial"/>
          <w:lang w:val="es-ES"/>
        </w:rPr>
      </w:pPr>
    </w:p>
    <w:p w14:paraId="62B379C3" w14:textId="77777777" w:rsidR="00C606BC" w:rsidRPr="00DD49A2" w:rsidRDefault="000A5CFE" w:rsidP="00C606BC">
      <w:pPr>
        <w:spacing w:after="120" w:line="276" w:lineRule="auto"/>
        <w:jc w:val="both"/>
        <w:rPr>
          <w:rFonts w:ascii="Verdana" w:eastAsia="Arial" w:hAnsi="Verdana" w:cs="Arial"/>
          <w:color w:val="000000" w:themeColor="text1"/>
        </w:rPr>
      </w:pPr>
      <w:r>
        <w:rPr>
          <w:rFonts w:ascii="Verdana" w:eastAsia="Calibri" w:hAnsi="Verdana" w:cs="Arial"/>
          <w:lang w:val="es-ES_tradnl"/>
        </w:rPr>
        <w:t xml:space="preserve">i) </w:t>
      </w:r>
      <w:r w:rsidR="00C606BC" w:rsidRPr="00DD49A2">
        <w:rPr>
          <w:rFonts w:ascii="Verdana" w:eastAsia="Arial" w:hAnsi="Verdana" w:cs="Arial"/>
          <w:lang w:val="es"/>
        </w:rPr>
        <w:t xml:space="preserve">Sin perjuicio de lo expresado </w:t>
      </w:r>
      <w:r w:rsidR="00C606BC">
        <w:rPr>
          <w:rFonts w:ascii="Verdana" w:eastAsia="Arial" w:hAnsi="Verdana" w:cs="Arial"/>
          <w:lang w:val="es"/>
        </w:rPr>
        <w:t>en líneas anteriores</w:t>
      </w:r>
      <w:r w:rsidR="00C606BC" w:rsidRPr="00DD49A2">
        <w:rPr>
          <w:rFonts w:ascii="Verdana" w:eastAsia="Arial" w:hAnsi="Verdana" w:cs="Arial"/>
          <w:color w:val="000000" w:themeColor="text1"/>
        </w:rPr>
        <w:t>, vale la pena aclarar que el cumplimiento del deber de publicación de la documentación contractual debe armonizarse con las normas aplicables al tipo de información que estas contienen. Lo anterior significa que, respecto de datos sensibles, información sometida a reserva o de la cual proceda un tratamiento especial que impida su publicidad, las entidades deberán proceder de conformidad con el tratamiento que impongan tales normas, absteniéndose, de ser el caso, de publicar las ofertas, o las partes pertinentes en las que se evidencie este tipo de información. Para dichos eventos, la plataforma SECOP II, antes de publicar las ofertas, brinda a las entidades la opción de calificar dicha información como confidencial, lo cual impide que los documentos se publiquen.</w:t>
      </w:r>
    </w:p>
    <w:p w14:paraId="1A5319E4" w14:textId="77777777" w:rsidR="00C606BC" w:rsidRDefault="00C606BC" w:rsidP="00C606BC">
      <w:pPr>
        <w:spacing w:after="120" w:line="276" w:lineRule="auto"/>
        <w:ind w:firstLine="709"/>
        <w:jc w:val="both"/>
        <w:rPr>
          <w:rFonts w:ascii="Verdana" w:eastAsia="Arial" w:hAnsi="Verdana" w:cs="Arial"/>
          <w:color w:val="000000" w:themeColor="text1"/>
        </w:rPr>
      </w:pPr>
      <w:r w:rsidRPr="00DD49A2">
        <w:rPr>
          <w:rFonts w:ascii="Verdana" w:eastAsia="Arial" w:hAnsi="Verdana" w:cs="Arial"/>
          <w:color w:val="000000" w:themeColor="text1"/>
        </w:rPr>
        <w:t xml:space="preserve">En otras palabras, </w:t>
      </w:r>
      <w:r>
        <w:rPr>
          <w:rFonts w:ascii="Verdana" w:eastAsia="Arial" w:hAnsi="Verdana" w:cs="Arial"/>
          <w:color w:val="000000" w:themeColor="text1"/>
        </w:rPr>
        <w:t>aun cuando el artículo</w:t>
      </w:r>
      <w:r w:rsidRPr="00DD49A2">
        <w:rPr>
          <w:rFonts w:ascii="Verdana" w:eastAsia="Arial" w:hAnsi="Verdana" w:cs="Arial"/>
          <w:color w:val="000000" w:themeColor="text1"/>
        </w:rPr>
        <w:t xml:space="preserve"> 74 de la Constitución establezca que la información pública debe ser dada a conocer a la ciudadanía y así los documentos que hagan parte de la actividad contractual puedan catalogarse, </w:t>
      </w:r>
      <w:r w:rsidRPr="00DD49A2">
        <w:rPr>
          <w:rFonts w:ascii="Verdana" w:eastAsia="Arial" w:hAnsi="Verdana" w:cs="Arial"/>
          <w:i/>
          <w:iCs/>
          <w:color w:val="000000" w:themeColor="text1"/>
        </w:rPr>
        <w:t>prima facie</w:t>
      </w:r>
      <w:r w:rsidRPr="00DD49A2">
        <w:rPr>
          <w:rFonts w:ascii="Verdana" w:eastAsia="Arial" w:hAnsi="Verdana" w:cs="Arial"/>
          <w:color w:val="000000" w:themeColor="text1"/>
        </w:rPr>
        <w:t>, como información pública, cuando dicha documentación contenga datos sensibles, operan algunas restricciones a su publicidad. Sin embargo, esto no necesariamente convierte el documento completo en reservado, es decir, en un documento que no puede publicarse.</w:t>
      </w:r>
    </w:p>
    <w:p w14:paraId="0114F076" w14:textId="77777777" w:rsidR="00C606BC" w:rsidRPr="004D5D03" w:rsidRDefault="00C606BC" w:rsidP="00C606BC">
      <w:pPr>
        <w:spacing w:after="120" w:line="276" w:lineRule="auto"/>
        <w:ind w:firstLine="709"/>
        <w:jc w:val="both"/>
        <w:rPr>
          <w:rFonts w:ascii="Verdana" w:eastAsia="Calibri" w:hAnsi="Verdana" w:cs="Arial"/>
          <w:color w:val="000000"/>
          <w:lang w:val="es-ES" w:eastAsia="en-GB"/>
        </w:rPr>
      </w:pPr>
      <w:r w:rsidRPr="2AB8B192">
        <w:rPr>
          <w:rFonts w:ascii="Verdana" w:eastAsia="Calibri" w:hAnsi="Verdana" w:cs="Arial"/>
          <w:color w:val="000000"/>
          <w:lang w:val="es-ES" w:eastAsia="en-GB"/>
        </w:rPr>
        <w:t xml:space="preserve">En efecto, el principio o regla general consiste en la máxima publicidad de la información pública y lo excepcional es la reserva, razón por la cual el artículo 21 de la Ley 1712 de 2014 incluso exige la divulgación parcial de la información contenida en un documento, cuando este contenga parte de información sometida a reserva, pero también incluya información que no esté afectada por la reserva. Además, dicha disposición establece que la reserva de acceso a la </w:t>
      </w:r>
      <w:r w:rsidRPr="2AB8B192">
        <w:rPr>
          <w:rFonts w:ascii="Verdana" w:eastAsia="Calibri" w:hAnsi="Verdana" w:cs="Arial"/>
          <w:color w:val="000000"/>
          <w:lang w:val="es-ES" w:eastAsia="en-GB"/>
        </w:rPr>
        <w:lastRenderedPageBreak/>
        <w:t>información opera respecto al contenido de un documento público, pero no respecto de su existencia</w:t>
      </w:r>
      <w:r w:rsidRPr="2AB8B192">
        <w:rPr>
          <w:rFonts w:ascii="Verdana" w:eastAsia="Calibri" w:hAnsi="Verdana" w:cs="Arial"/>
          <w:color w:val="000000"/>
          <w:vertAlign w:val="superscript"/>
          <w:lang w:val="es-ES" w:eastAsia="en-GB"/>
        </w:rPr>
        <w:footnoteReference w:id="2"/>
      </w:r>
      <w:r w:rsidRPr="2AB8B192">
        <w:rPr>
          <w:rFonts w:ascii="Verdana" w:eastAsia="Calibri" w:hAnsi="Verdana" w:cs="Arial"/>
          <w:color w:val="000000"/>
          <w:lang w:val="es-ES" w:eastAsia="en-GB"/>
        </w:rPr>
        <w:t>. Sin perjuicio de lo anterior, es posible que el contenido de todo el documento o expediente no deba ser objeto de publicidad por estar amparado de forma íntegra por la reserva, dada su conexión con las causales establecidas en la Constitución o la ley.</w:t>
      </w:r>
    </w:p>
    <w:p w14:paraId="1B598DED" w14:textId="77777777" w:rsidR="00C606BC" w:rsidRPr="00DD49A2" w:rsidRDefault="00C606BC" w:rsidP="00C606BC">
      <w:pPr>
        <w:spacing w:after="120" w:line="276" w:lineRule="auto"/>
        <w:ind w:firstLine="709"/>
        <w:jc w:val="both"/>
        <w:rPr>
          <w:rFonts w:ascii="Verdana" w:eastAsia="Arial" w:hAnsi="Verdana" w:cs="Arial"/>
          <w:color w:val="000000" w:themeColor="text1"/>
        </w:rPr>
      </w:pPr>
      <w:r w:rsidRPr="00DD49A2">
        <w:rPr>
          <w:rFonts w:ascii="Verdana" w:eastAsia="Arial" w:hAnsi="Verdana" w:cs="Arial"/>
          <w:color w:val="000000" w:themeColor="text1"/>
        </w:rPr>
        <w:t>El enunciado constitucional, en armonía con los artículos 18 y 19 de la Ley 1712 de 2014 y los artículos 24</w:t>
      </w:r>
      <w:r>
        <w:rPr>
          <w:rStyle w:val="Refdenotaalpie"/>
          <w:rFonts w:ascii="Verdana" w:eastAsia="Arial" w:hAnsi="Verdana" w:cs="Arial"/>
          <w:color w:val="000000" w:themeColor="text1"/>
        </w:rPr>
        <w:footnoteReference w:id="3"/>
      </w:r>
      <w:r w:rsidRPr="00DD49A2">
        <w:rPr>
          <w:rFonts w:ascii="Verdana" w:eastAsia="Arial" w:hAnsi="Verdana" w:cs="Arial"/>
          <w:color w:val="000000" w:themeColor="text1"/>
        </w:rPr>
        <w:t xml:space="preserve"> y 25 de la Ley 1437 de 2011, establecen que el derecho de acceso a la información o documentación pública no es absoluto, sino que puede exceptuarse cuando se configuren causales de reserva. Así mismo, hay información que goza de protección especial y no puede divulgarse. La información pública que contiene datos semiprivados o privados, definidos en los literales g) y h) del artículo 3° de la Ley 1266 de 2008, clasificados o reservados, según los artículos 18 y 19 de la Ley 1712 de 2014, o datos personales o sensibles, según lo previsto en los artículos 3° y 5° de la Ley 1581 de 2012 y en el numeral 3° del artículo 3° del Decreto 1377 de 2013, solo podrá </w:t>
      </w:r>
      <w:r w:rsidRPr="00DD49A2">
        <w:rPr>
          <w:rFonts w:ascii="Verdana" w:eastAsia="Arial" w:hAnsi="Verdana" w:cs="Arial"/>
          <w:color w:val="000000" w:themeColor="text1"/>
        </w:rPr>
        <w:lastRenderedPageBreak/>
        <w:t>divulgarse según las reglas establecidas en dichas normas. Pero esto no quiere decir que todo el documento se convierta en reservado, sino que se debe proceder como se indica a continuación.</w:t>
      </w:r>
    </w:p>
    <w:p w14:paraId="55A67345" w14:textId="77777777" w:rsidR="00C606BC" w:rsidRDefault="00C606BC" w:rsidP="00C606BC">
      <w:pPr>
        <w:spacing w:after="120" w:line="276" w:lineRule="auto"/>
        <w:ind w:firstLine="709"/>
        <w:jc w:val="both"/>
        <w:rPr>
          <w:rFonts w:ascii="Verdana" w:eastAsia="Arial" w:hAnsi="Verdana" w:cs="Arial"/>
          <w:color w:val="000000" w:themeColor="text1"/>
        </w:rPr>
      </w:pPr>
      <w:r w:rsidRPr="00DD49A2">
        <w:rPr>
          <w:rFonts w:ascii="Verdana" w:eastAsia="Arial" w:hAnsi="Verdana" w:cs="Arial"/>
          <w:color w:val="000000" w:themeColor="text1"/>
        </w:rPr>
        <w:t>Cuando el documento contractual tenga información sensible, clasificada o reservada, para proteger la información, las autoridades deben abstenerse de publicar en el SECOP la información que tiene protección especial, tal como sucede</w:t>
      </w:r>
      <w:r>
        <w:rPr>
          <w:rFonts w:ascii="Verdana" w:eastAsia="Arial" w:hAnsi="Verdana" w:cs="Arial"/>
          <w:color w:val="000000" w:themeColor="text1"/>
        </w:rPr>
        <w:t>,</w:t>
      </w:r>
      <w:r w:rsidRPr="00DD49A2">
        <w:rPr>
          <w:rFonts w:ascii="Verdana" w:eastAsia="Arial" w:hAnsi="Verdana" w:cs="Arial"/>
          <w:color w:val="000000" w:themeColor="text1"/>
        </w:rPr>
        <w:t xml:space="preserve"> </w:t>
      </w:r>
      <w:r>
        <w:rPr>
          <w:rFonts w:ascii="Verdana" w:eastAsia="Arial" w:hAnsi="Verdana" w:cs="Arial"/>
          <w:color w:val="000000" w:themeColor="text1"/>
        </w:rPr>
        <w:t xml:space="preserve">por ejemplo, </w:t>
      </w:r>
      <w:r w:rsidRPr="00DD49A2">
        <w:rPr>
          <w:rFonts w:ascii="Verdana" w:eastAsia="Arial" w:hAnsi="Verdana" w:cs="Arial"/>
          <w:color w:val="000000" w:themeColor="text1"/>
        </w:rPr>
        <w:t>con los derechos de los menores, de conformidad con</w:t>
      </w:r>
      <w:r>
        <w:rPr>
          <w:rFonts w:ascii="Verdana" w:eastAsia="Arial" w:hAnsi="Verdana" w:cs="Arial"/>
          <w:color w:val="000000" w:themeColor="text1"/>
        </w:rPr>
        <w:t xml:space="preserve"> lo establecido en</w:t>
      </w:r>
      <w:r w:rsidRPr="00DD49A2">
        <w:rPr>
          <w:rFonts w:ascii="Verdana" w:eastAsia="Arial" w:hAnsi="Verdana" w:cs="Arial"/>
          <w:color w:val="000000" w:themeColor="text1"/>
        </w:rPr>
        <w:t xml:space="preserve"> el artículo 7° de la Ley 1581 de 2012 y el artículo 2.1.1.4.1.2 del Decreto 1081 de 2015. Sin embargo, de acuerdo con el segundo inciso del artículo 25 de la Ley 1437 de 2011 “La restricción por reserva legal no se extenderá a otras piezas del respectivo expediente o actuación que no estén cubiertas por ella”. Por ello, la entidad estatal deberá excluir del documento entregado por el proponente </w:t>
      </w:r>
      <w:r>
        <w:rPr>
          <w:rFonts w:ascii="Verdana" w:eastAsia="Arial" w:hAnsi="Verdana" w:cs="Arial"/>
          <w:color w:val="000000" w:themeColor="text1"/>
        </w:rPr>
        <w:t xml:space="preserve">o del contratista, </w:t>
      </w:r>
      <w:r w:rsidRPr="00DD49A2">
        <w:rPr>
          <w:rFonts w:ascii="Verdana" w:eastAsia="Arial" w:hAnsi="Verdana" w:cs="Arial"/>
          <w:color w:val="000000" w:themeColor="text1"/>
        </w:rPr>
        <w:t xml:space="preserve">la información que contenga datos sensibles, clasificados o reservados, para no divulgarla, pero debe publicar las demás piezas o los apartados que no gozan de reserva o que no están protegidos por las </w:t>
      </w:r>
      <w:r w:rsidRPr="000A5966">
        <w:rPr>
          <w:rFonts w:ascii="Verdana" w:eastAsia="Arial" w:hAnsi="Verdana" w:cs="Arial"/>
          <w:color w:val="000000" w:themeColor="text1"/>
        </w:rPr>
        <w:t>disposiciones de habeas data.</w:t>
      </w:r>
    </w:p>
    <w:p w14:paraId="6DA10FEB" w14:textId="77777777" w:rsidR="00C606BC" w:rsidRDefault="00C606BC" w:rsidP="00C606BC">
      <w:pPr>
        <w:tabs>
          <w:tab w:val="left" w:pos="426"/>
        </w:tabs>
        <w:spacing w:after="120" w:line="276" w:lineRule="auto"/>
        <w:ind w:firstLine="709"/>
        <w:jc w:val="both"/>
        <w:rPr>
          <w:rFonts w:ascii="Verdana" w:eastAsia="Calibri" w:hAnsi="Verdana" w:cs="Arial"/>
          <w:color w:val="000000"/>
          <w:lang w:val="es-ES_tradnl" w:eastAsia="en-GB"/>
        </w:rPr>
      </w:pPr>
      <w:r w:rsidRPr="00A9405A">
        <w:rPr>
          <w:rFonts w:ascii="Verdana" w:eastAsia="Calibri" w:hAnsi="Verdana" w:cs="Arial"/>
          <w:color w:val="000000"/>
          <w:lang w:val="es-ES_tradnl" w:eastAsia="en-GB"/>
        </w:rPr>
        <w:t xml:space="preserve">En efecto, de conformidad con la Constitución y la jurisprudencia de las altas cortes, la reserva de información pública solo puede crearla el constituyente o el legislador. </w:t>
      </w:r>
      <w:r>
        <w:rPr>
          <w:rFonts w:ascii="Verdana" w:eastAsia="Calibri" w:hAnsi="Verdana" w:cs="Arial"/>
          <w:color w:val="000000"/>
          <w:lang w:val="es-ES_tradnl" w:eastAsia="en-GB"/>
        </w:rPr>
        <w:t>En efecto,</w:t>
      </w:r>
      <w:r w:rsidRPr="00A9405A">
        <w:rPr>
          <w:rFonts w:ascii="Verdana" w:eastAsia="Calibri" w:hAnsi="Verdana" w:cs="Arial"/>
          <w:color w:val="000000"/>
          <w:lang w:val="es-ES_tradnl" w:eastAsia="en-GB"/>
        </w:rPr>
        <w:t xml:space="preserve"> las Leyes estatutarias 1712 de 2014 y la 1755 de 2015 –que sustituyó los artículos 13 a 33 de la Ley 1437 de 2011– establecen reservas particulares de información pública. </w:t>
      </w:r>
    </w:p>
    <w:p w14:paraId="56EC9777" w14:textId="77777777" w:rsidR="00C606BC" w:rsidRPr="00AD6B46" w:rsidRDefault="00C606BC" w:rsidP="00C606BC">
      <w:pPr>
        <w:spacing w:after="120" w:line="276" w:lineRule="auto"/>
        <w:ind w:firstLine="709"/>
        <w:jc w:val="both"/>
        <w:rPr>
          <w:rFonts w:ascii="Verdana" w:eastAsia="Calibri" w:hAnsi="Verdana" w:cs="Arial"/>
          <w:color w:val="000000"/>
        </w:rPr>
      </w:pPr>
      <w:r>
        <w:rPr>
          <w:rFonts w:ascii="Verdana" w:eastAsia="Calibri" w:hAnsi="Verdana" w:cs="Arial"/>
          <w:color w:val="000000"/>
        </w:rPr>
        <w:t>D</w:t>
      </w:r>
      <w:r w:rsidRPr="00AD6B46">
        <w:rPr>
          <w:rFonts w:ascii="Verdana" w:eastAsia="Calibri" w:hAnsi="Verdana" w:cs="Arial"/>
          <w:color w:val="000000"/>
        </w:rPr>
        <w:t xml:space="preserve">e acuerdo con el segundo inciso del artículo 25 de la Ley 1437 de 2011 “La restricción por reserva legal no se extenderá a otras piezas del respectivo expediente o actuación que no estén cubiertas por ella”. Por ello, la entidad estatal puede no publicar o suministrar algún documento del proceso o aparte del mismo que contenga información clasificada o reservada, para no divulgarlo, pero debe publicar los demás documentos o los apartados de estos, en caso de que estos no gocen de reserva. Lo anterior, sin perjuicio de que, dependiendo de la información en específico, todo el documento o expediente no pueda publicarse o suministrarse, por ampararse en su integridad en alguna causal de reserva, dada la conexión de su contenido con la información que el constituyente o el legislador decidió limitar en cuanto a su publicidad o suministro. De este modo, cuando el documento contractual tenga información clasificada o reservada, las autoridades deben abstenerse de publicar en el SECOP la información que tenga dicho carácter, por tanto, deberá publicar la información de forma parcial. </w:t>
      </w:r>
    </w:p>
    <w:p w14:paraId="4D7B9C0D" w14:textId="77777777" w:rsidR="00C606BC" w:rsidRPr="00AD6B46" w:rsidRDefault="00C606BC" w:rsidP="00C606BC">
      <w:pPr>
        <w:spacing w:after="120" w:line="276" w:lineRule="auto"/>
        <w:ind w:firstLine="708"/>
        <w:jc w:val="both"/>
        <w:rPr>
          <w:rFonts w:ascii="Verdana" w:eastAsia="Calibri" w:hAnsi="Verdana" w:cs="Arial"/>
          <w:color w:val="000000"/>
        </w:rPr>
      </w:pPr>
      <w:r w:rsidRPr="00AD6B46">
        <w:rPr>
          <w:rFonts w:ascii="Verdana" w:eastAsia="Calibri" w:hAnsi="Verdana" w:cs="Arial"/>
          <w:color w:val="000000"/>
        </w:rPr>
        <w:lastRenderedPageBreak/>
        <w:t>En línea con todo lo expuesto, el Decreto 1081 de 2015 en su artículo 2.1.1.4.3.2 establece que, si un mismo acto o documento contiene información que puede divulgarse y a su vez, información clasificada o reservada, la entidad debe revelar los datos no protegidos y presentar los fundamentos constitucionales y legales por los que retiene los datos que no puede divulgar. De igual modo, deben revisar si los documentos contienen datos que no deban divulgarse, conforme a los fundamentos constitucionales y legales, y por tanto, tachar los apartes clasificados o reservados del documento, anonimizar, transliterar o editar el documento para suprimir la información que no puede difundirse; así como abrir un nuevo expediente con la información pública que pueda divulgar; o en su defecto, acudir a las acciones que sean necesarias para cumplir con su deber de permitir el acceso a toda aquella información que no esté clasificada o reservada, teniendo en cuenta el formato y medio de conservación de la información.</w:t>
      </w:r>
    </w:p>
    <w:p w14:paraId="1A1E872D" w14:textId="77777777" w:rsidR="00C606BC" w:rsidRDefault="00C606BC" w:rsidP="00C606BC">
      <w:pPr>
        <w:spacing w:after="0" w:line="276" w:lineRule="auto"/>
        <w:ind w:firstLine="708"/>
        <w:jc w:val="both"/>
        <w:rPr>
          <w:rFonts w:ascii="Verdana" w:hAnsi="Verdana"/>
        </w:rPr>
      </w:pPr>
      <w:r w:rsidRPr="00AD6B46">
        <w:rPr>
          <w:rFonts w:ascii="Verdana" w:eastAsia="Calibri" w:hAnsi="Verdana" w:cs="Arial"/>
          <w:color w:val="000000"/>
        </w:rPr>
        <w:t>Así mismo, el Archivo General de la Nación como entidad encargada de liderar la Política de archivo y gestión documental a nivel nacional, expidió el Acuerdo 001 de 2024 “Por el cual se establece el Acuerdo Único de la Función Archivística, se definen los criterios técnicos y jurídicos para su implementación en el Estado Colombiano y se fijan otras disposiciones”, que en su artículo 7.1.3.</w:t>
      </w:r>
      <w:r w:rsidRPr="00AD6B46">
        <w:rPr>
          <w:rFonts w:ascii="Verdana" w:eastAsia="Calibri" w:hAnsi="Verdana" w:cs="Arial"/>
          <w:color w:val="000000"/>
          <w:vertAlign w:val="superscript"/>
        </w:rPr>
        <w:footnoteReference w:id="4"/>
      </w:r>
      <w:r w:rsidRPr="00AD6B46">
        <w:rPr>
          <w:rFonts w:ascii="Verdana" w:eastAsia="Calibri" w:hAnsi="Verdana" w:cs="Arial"/>
          <w:color w:val="000000"/>
        </w:rPr>
        <w:t xml:space="preserve"> preciso que </w:t>
      </w:r>
      <w:r w:rsidRPr="00AD6B46">
        <w:rPr>
          <w:rFonts w:ascii="Verdana" w:hAnsi="Verdana"/>
        </w:rPr>
        <w:t xml:space="preserve">la reserva aplica a la información, no a los documentos, para lo cual el responsable de la información verificará qué información está sometida a reserva, y elaborará una versión pública que mantenga la reserva de los titulares de los datos, con el fin de garantizar el principio de máxima publicidad y conforme a las disposiciones legales sobre el acceso a la información. Al </w:t>
      </w:r>
      <w:r w:rsidRPr="00AD6B46">
        <w:rPr>
          <w:rFonts w:ascii="Verdana" w:hAnsi="Verdana"/>
        </w:rPr>
        <w:lastRenderedPageBreak/>
        <w:t>respecto, el parágrafo primero del referenciado artículo dispone algunos criterios para la reserva información:</w:t>
      </w:r>
    </w:p>
    <w:p w14:paraId="203484C5" w14:textId="77777777" w:rsidR="00C606BC" w:rsidRPr="00AD6B46" w:rsidRDefault="00C606BC" w:rsidP="00C606BC">
      <w:pPr>
        <w:spacing w:after="0" w:line="276" w:lineRule="auto"/>
        <w:ind w:firstLine="708"/>
        <w:jc w:val="both"/>
        <w:rPr>
          <w:rFonts w:ascii="Verdana" w:hAnsi="Verdana"/>
        </w:rPr>
      </w:pPr>
    </w:p>
    <w:p w14:paraId="19D62E9E" w14:textId="77777777" w:rsidR="00C606BC" w:rsidRPr="0032557F" w:rsidRDefault="00C606BC" w:rsidP="00C606BC">
      <w:pPr>
        <w:spacing w:after="0" w:line="276" w:lineRule="auto"/>
        <w:ind w:left="709" w:right="709"/>
        <w:jc w:val="both"/>
        <w:rPr>
          <w:rFonts w:ascii="Verdana" w:hAnsi="Verdana"/>
          <w:sz w:val="20"/>
          <w:szCs w:val="20"/>
        </w:rPr>
      </w:pPr>
      <w:r w:rsidRPr="0032557F">
        <w:rPr>
          <w:rFonts w:ascii="Verdana" w:hAnsi="Verdana"/>
          <w:sz w:val="20"/>
          <w:szCs w:val="20"/>
        </w:rPr>
        <w:t xml:space="preserve">Parágrafo 1. De existir reserva legal, se aplicarán, como mínimo, los siguientes criterios: </w:t>
      </w:r>
    </w:p>
    <w:p w14:paraId="48C72DF4" w14:textId="77777777" w:rsidR="00C606BC" w:rsidRPr="0032557F" w:rsidRDefault="00C606BC" w:rsidP="00C606BC">
      <w:pPr>
        <w:spacing w:after="0" w:line="240" w:lineRule="auto"/>
        <w:ind w:left="709" w:right="709"/>
        <w:jc w:val="both"/>
        <w:rPr>
          <w:rFonts w:ascii="Verdana" w:hAnsi="Verdana"/>
          <w:sz w:val="20"/>
          <w:szCs w:val="20"/>
        </w:rPr>
      </w:pPr>
      <w:r w:rsidRPr="0032557F">
        <w:rPr>
          <w:rFonts w:ascii="Verdana" w:hAnsi="Verdana"/>
          <w:sz w:val="20"/>
          <w:szCs w:val="20"/>
        </w:rPr>
        <w:t>1. La reserva opera sobre el contenido del documento, no sobre la existencia de este. Estos documentos deben ser identificados de manera clara en los instrumentos de la gestión de información pública.</w:t>
      </w:r>
    </w:p>
    <w:p w14:paraId="1C3AB938" w14:textId="77777777" w:rsidR="00C606BC" w:rsidRPr="0032557F" w:rsidRDefault="00C606BC" w:rsidP="00C606BC">
      <w:pPr>
        <w:spacing w:after="0" w:line="240" w:lineRule="auto"/>
        <w:ind w:left="709" w:right="709"/>
        <w:jc w:val="both"/>
        <w:rPr>
          <w:rFonts w:ascii="Verdana" w:hAnsi="Verdana"/>
          <w:sz w:val="20"/>
          <w:szCs w:val="20"/>
        </w:rPr>
      </w:pPr>
      <w:r w:rsidRPr="0032557F">
        <w:rPr>
          <w:rFonts w:ascii="Verdana" w:hAnsi="Verdana"/>
          <w:sz w:val="20"/>
          <w:szCs w:val="20"/>
        </w:rPr>
        <w:t xml:space="preserve"> </w:t>
      </w:r>
    </w:p>
    <w:p w14:paraId="13E04913" w14:textId="77777777" w:rsidR="00C606BC" w:rsidRPr="0032557F" w:rsidRDefault="00C606BC" w:rsidP="00C606BC">
      <w:pPr>
        <w:spacing w:after="0" w:line="240" w:lineRule="auto"/>
        <w:ind w:left="709" w:right="709"/>
        <w:jc w:val="both"/>
        <w:rPr>
          <w:rFonts w:ascii="Verdana" w:hAnsi="Verdana"/>
          <w:sz w:val="20"/>
          <w:szCs w:val="20"/>
        </w:rPr>
      </w:pPr>
      <w:r w:rsidRPr="0032557F">
        <w:rPr>
          <w:rFonts w:ascii="Verdana" w:hAnsi="Verdana"/>
          <w:sz w:val="20"/>
          <w:szCs w:val="20"/>
        </w:rPr>
        <w:t>2. La reserva legal solo opera sobre la información que compromete derechos fundamentales o bienes constitucionales, no sobre los procesos o actuaciones de los que hace parte. Para tal efecto se realizarán versiones públicas de estos documentos, que impidan la identificación de los titulares de los datos personales, como lo ordena la normativa vigente.</w:t>
      </w:r>
    </w:p>
    <w:p w14:paraId="1E602C6E" w14:textId="77777777" w:rsidR="00C606BC" w:rsidRPr="0032557F" w:rsidRDefault="00C606BC" w:rsidP="00C606BC">
      <w:pPr>
        <w:spacing w:after="0" w:line="240" w:lineRule="auto"/>
        <w:ind w:left="709" w:right="709"/>
        <w:jc w:val="both"/>
        <w:rPr>
          <w:rFonts w:ascii="Verdana" w:hAnsi="Verdana"/>
          <w:sz w:val="20"/>
          <w:szCs w:val="20"/>
        </w:rPr>
      </w:pPr>
      <w:r w:rsidRPr="0032557F">
        <w:rPr>
          <w:rFonts w:ascii="Verdana" w:hAnsi="Verdana"/>
          <w:sz w:val="20"/>
          <w:szCs w:val="20"/>
        </w:rPr>
        <w:t xml:space="preserve"> </w:t>
      </w:r>
    </w:p>
    <w:p w14:paraId="6A953939" w14:textId="77777777" w:rsidR="00C606BC" w:rsidRPr="0032557F" w:rsidRDefault="00C606BC" w:rsidP="00C606BC">
      <w:pPr>
        <w:spacing w:after="0" w:line="240" w:lineRule="auto"/>
        <w:ind w:left="709" w:right="709"/>
        <w:jc w:val="both"/>
        <w:rPr>
          <w:rFonts w:ascii="Verdana" w:hAnsi="Verdana"/>
          <w:sz w:val="20"/>
          <w:szCs w:val="20"/>
        </w:rPr>
      </w:pPr>
      <w:r w:rsidRPr="0032557F">
        <w:rPr>
          <w:rFonts w:ascii="Verdana" w:hAnsi="Verdana"/>
          <w:sz w:val="20"/>
          <w:szCs w:val="20"/>
        </w:rPr>
        <w:t xml:space="preserve">3. La reserva deberá ser temporal, como lo determine la Ley. </w:t>
      </w:r>
    </w:p>
    <w:p w14:paraId="79C1218F" w14:textId="77777777" w:rsidR="00C606BC" w:rsidRPr="00AD6B46" w:rsidRDefault="00C606BC" w:rsidP="00C606BC">
      <w:pPr>
        <w:spacing w:after="0" w:line="276" w:lineRule="auto"/>
        <w:ind w:firstLine="708"/>
        <w:jc w:val="both"/>
        <w:rPr>
          <w:rFonts w:ascii="Verdana" w:eastAsia="Calibri" w:hAnsi="Verdana" w:cs="Arial"/>
          <w:color w:val="000000"/>
        </w:rPr>
      </w:pPr>
    </w:p>
    <w:p w14:paraId="013173B3" w14:textId="77777777" w:rsidR="00C606BC" w:rsidRPr="00AD6B46" w:rsidRDefault="00C606BC" w:rsidP="00C606BC">
      <w:pPr>
        <w:spacing w:after="120" w:line="276" w:lineRule="auto"/>
        <w:ind w:firstLine="708"/>
        <w:jc w:val="both"/>
        <w:rPr>
          <w:rFonts w:ascii="Verdana" w:eastAsia="Calibri" w:hAnsi="Verdana" w:cs="Arial"/>
          <w:color w:val="000000"/>
          <w:lang w:val="es-ES"/>
        </w:rPr>
      </w:pPr>
      <w:r w:rsidRPr="00AD6B46">
        <w:rPr>
          <w:rFonts w:ascii="Verdana" w:eastAsia="Calibri" w:hAnsi="Verdana" w:cs="Arial"/>
          <w:color w:val="000000"/>
        </w:rPr>
        <w:t>Ahora bien, para elaborar estas versiones públicas</w:t>
      </w:r>
      <w:r w:rsidRPr="00AD6B46">
        <w:rPr>
          <w:rFonts w:ascii="Verdana" w:hAnsi="Verdana"/>
          <w:sz w:val="16"/>
          <w:szCs w:val="16"/>
        </w:rPr>
        <w:t xml:space="preserve"> </w:t>
      </w:r>
      <w:r w:rsidRPr="00AD6B46">
        <w:rPr>
          <w:rFonts w:ascii="Verdana" w:eastAsia="Calibri" w:hAnsi="Verdana" w:cs="Arial"/>
          <w:color w:val="000000"/>
        </w:rPr>
        <w:t xml:space="preserve">que contengan información clasificada o reservada, la entidad debe aplicar estándares para la anonimización de datos, teniendo en cuenta la normativa vigente para la protección de datos personales y acceso a la información, como lo dispone el parágrafo segundo del artículo 7.1.3. del Acuerdo 001 del Archivo General de la Nación.  </w:t>
      </w:r>
    </w:p>
    <w:p w14:paraId="61303A2B" w14:textId="77777777" w:rsidR="00C606BC" w:rsidRDefault="00C606BC" w:rsidP="00C606BC">
      <w:pPr>
        <w:spacing w:after="120" w:line="276" w:lineRule="auto"/>
        <w:ind w:firstLine="709"/>
        <w:jc w:val="both"/>
        <w:rPr>
          <w:rFonts w:ascii="Verdana" w:eastAsia="Times New Roman" w:hAnsi="Verdana" w:cs="Arial"/>
          <w:lang w:val="es-ES" w:eastAsia="es-ES"/>
        </w:rPr>
      </w:pPr>
      <w:r>
        <w:rPr>
          <w:rFonts w:ascii="Verdana" w:eastAsia="Calibri" w:hAnsi="Verdana" w:cs="Arial"/>
          <w:color w:val="000000"/>
          <w:lang w:val="es-ES_tradnl" w:eastAsia="en-GB"/>
        </w:rPr>
        <w:t xml:space="preserve">A manera de ejemplo, podrían considerarse documentos con datos sensibles, clasificados o reservados, por ejemplo confidencialidad” cedula de ciudadanía, la tarjeta profesional, si aplica, el RUT, el certificado bancario, el examen médico ocupacional, la declaración de conflicto de intereses, el certificado REDAM, </w:t>
      </w:r>
      <w:r w:rsidRPr="00D4693F">
        <w:rPr>
          <w:rFonts w:ascii="Verdana" w:eastAsia="Arial" w:hAnsi="Verdana" w:cs="Arial"/>
          <w:lang w:val="es"/>
        </w:rPr>
        <w:t>por lo que deben clasificarse y dejarse marcados en la plataforma SECOP</w:t>
      </w:r>
      <w:r>
        <w:rPr>
          <w:rFonts w:ascii="Verdana" w:eastAsia="Arial" w:hAnsi="Verdana" w:cs="Arial"/>
          <w:lang w:val="es"/>
        </w:rPr>
        <w:t xml:space="preserve"> </w:t>
      </w:r>
      <w:r w:rsidRPr="00D4693F">
        <w:rPr>
          <w:rFonts w:ascii="Verdana" w:eastAsia="Arial" w:hAnsi="Verdana" w:cs="Arial"/>
          <w:lang w:val="es"/>
        </w:rPr>
        <w:t>II como “solicitud de confidencialidad”  por el proponente y, “confidencialidad“ por la entidad, sin embargo, se deben publicar las demás piezas de la oferta o los apartados que no gozan de reserva o que no están protegidos por las disposiciones de habeas data</w:t>
      </w:r>
      <w:r w:rsidRPr="00D4693F">
        <w:rPr>
          <w:rFonts w:ascii="Verdana" w:eastAsia="Times New Roman" w:hAnsi="Verdana" w:cs="Arial"/>
          <w:lang w:val="es-ES" w:eastAsia="es-ES"/>
        </w:rPr>
        <w:t xml:space="preserve">. </w:t>
      </w:r>
    </w:p>
    <w:p w14:paraId="123480E8" w14:textId="77777777" w:rsidR="00C606BC" w:rsidRDefault="00C606BC" w:rsidP="00C606BC">
      <w:pPr>
        <w:spacing w:after="120" w:line="276" w:lineRule="auto"/>
        <w:ind w:firstLine="708"/>
        <w:jc w:val="both"/>
      </w:pPr>
      <w:r>
        <w:rPr>
          <w:rFonts w:ascii="Verdana" w:eastAsia="Calibri" w:hAnsi="Verdana" w:cs="Arial"/>
          <w:bCs/>
          <w:color w:val="000000" w:themeColor="text1"/>
        </w:rPr>
        <w:t>Finalmente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w:t>
      </w:r>
      <w:r w:rsidRPr="00DB4737">
        <w:rPr>
          <w:rFonts w:ascii="Verdana" w:eastAsia="Calibri" w:hAnsi="Verdana" w:cs="Times New Roman"/>
          <w:lang w:val="es-ES"/>
        </w:rPr>
        <w:lastRenderedPageBreak/>
        <w:t>decisión y, en caso de conflicto, a las autoridades judiciales, fiscales y disciplinarias.</w:t>
      </w:r>
      <w:r>
        <w:t xml:space="preserve"> </w:t>
      </w:r>
    </w:p>
    <w:p w14:paraId="174EFB4F" w14:textId="77777777" w:rsidR="00C606BC" w:rsidRDefault="00C606BC" w:rsidP="0032557F">
      <w:pPr>
        <w:spacing w:after="120" w:line="276" w:lineRule="auto"/>
        <w:jc w:val="both"/>
        <w:rPr>
          <w:rFonts w:ascii="Verdana" w:eastAsia="Calibri" w:hAnsi="Verdana" w:cs="Arial"/>
        </w:rPr>
      </w:pPr>
    </w:p>
    <w:p w14:paraId="4638D5E0" w14:textId="4B941AC1" w:rsidR="00BC7D7E" w:rsidRPr="00D4693F" w:rsidRDefault="00C606BC" w:rsidP="00C606BC">
      <w:pPr>
        <w:spacing w:after="120" w:line="276" w:lineRule="auto"/>
        <w:ind w:firstLine="708"/>
        <w:jc w:val="both"/>
        <w:rPr>
          <w:rFonts w:ascii="Verdana" w:eastAsia="Arial" w:hAnsi="Verdana" w:cs="Arial"/>
          <w:lang w:val="es-ES"/>
        </w:rPr>
      </w:pPr>
      <w:proofErr w:type="spellStart"/>
      <w:r>
        <w:rPr>
          <w:rFonts w:ascii="Verdana" w:eastAsia="Calibri" w:hAnsi="Verdana" w:cs="Arial"/>
        </w:rPr>
        <w:t>ii</w:t>
      </w:r>
      <w:proofErr w:type="spellEnd"/>
      <w:r>
        <w:rPr>
          <w:rFonts w:ascii="Verdana" w:eastAsia="Calibri" w:hAnsi="Verdana" w:cs="Arial"/>
        </w:rPr>
        <w:t xml:space="preserve">) </w:t>
      </w:r>
      <w:r w:rsidR="00BC7D7E" w:rsidRPr="00AD58E3">
        <w:rPr>
          <w:rFonts w:ascii="Verdana" w:eastAsia="Calibri" w:hAnsi="Verdana" w:cs="Arial"/>
          <w:lang w:val="es-ES_tradnl"/>
        </w:rPr>
        <w:t xml:space="preserve">La Constitución Política de 1991 consagra en varios artículos la </w:t>
      </w:r>
      <w:r w:rsidR="00BC7D7E" w:rsidRPr="00AD58E3">
        <w:rPr>
          <w:rFonts w:ascii="Verdana" w:eastAsia="Calibri" w:hAnsi="Verdana" w:cs="Arial"/>
          <w:i/>
          <w:iCs/>
          <w:lang w:val="es-ES_tradnl"/>
        </w:rPr>
        <w:t>publicidad</w:t>
      </w:r>
      <w:r w:rsidR="00BC7D7E" w:rsidRPr="00AD58E3">
        <w:rPr>
          <w:rFonts w:ascii="Verdana" w:eastAsia="Calibri" w:hAnsi="Verdana" w:cs="Arial"/>
          <w:lang w:val="es-ES_tradnl"/>
        </w:rPr>
        <w:t xml:space="preserve"> como un principio rector del Estado colombiano. Entre </w:t>
      </w:r>
      <w:r w:rsidR="00BC7D7E" w:rsidRPr="00AD58E3">
        <w:rPr>
          <w:rFonts w:ascii="Verdana" w:eastAsia="Calibri" w:hAnsi="Verdana" w:cs="Arial"/>
          <w:color w:val="000000" w:themeColor="text1"/>
          <w:lang w:val="es-ES_tradnl"/>
        </w:rPr>
        <w:t xml:space="preserve">los más destacados, puede mencionarse el 209, que afirma que la publicidad es uno de los principios que fundamentan el ejercicio de la función administrativa. Asimismo, </w:t>
      </w:r>
      <w:r w:rsidR="00BC7D7E" w:rsidRPr="00D4693F">
        <w:rPr>
          <w:rFonts w:ascii="Verdana" w:eastAsia="Arial" w:hAnsi="Verdana" w:cs="Arial"/>
          <w:lang w:val="es-ES"/>
        </w:rPr>
        <w:t xml:space="preserve">el artículo 74 de la Constitución Política establece que: “Todas las personas tienen derecho a acceder a los documentos públicos salvo los casos que establezca la ley”. Esta disposición constitucional consagra la garantía fundamental de acceso a la información y a la documentación pública, salvo causal de reserva expresamente prevista en la Constitución o en la Ley. </w:t>
      </w:r>
    </w:p>
    <w:p w14:paraId="0D71D908" w14:textId="2AED5DB3" w:rsidR="00BC7D7E" w:rsidRPr="00816504" w:rsidRDefault="00BC7D7E" w:rsidP="00DF2912">
      <w:pPr>
        <w:spacing w:after="120" w:line="276" w:lineRule="auto"/>
        <w:ind w:firstLine="709"/>
        <w:jc w:val="both"/>
        <w:rPr>
          <w:rFonts w:ascii="Verdana" w:eastAsia="Arial" w:hAnsi="Verdana" w:cs="Arial"/>
          <w:lang w:val="es-ES"/>
        </w:rPr>
      </w:pPr>
      <w:r w:rsidRPr="00D4693F">
        <w:rPr>
          <w:rFonts w:ascii="Verdana" w:eastAsia="Arial" w:hAnsi="Verdana" w:cs="Arial"/>
          <w:lang w:val="es-ES"/>
        </w:rPr>
        <w:t>El principio de publicidad impone a las autoridades administrativas el deber de dar a conocer sus actos, contratos y decisiones, para que se divulguen y, eventualmente, se controlen las actuaciones</w:t>
      </w:r>
      <w:r>
        <w:rPr>
          <w:rStyle w:val="Refdenotaalpie"/>
          <w:rFonts w:ascii="Verdana" w:eastAsia="Arial" w:hAnsi="Verdana" w:cs="Arial"/>
          <w:lang w:val="es-ES"/>
        </w:rPr>
        <w:footnoteReference w:id="5"/>
      </w:r>
      <w:r w:rsidRPr="00D4693F">
        <w:rPr>
          <w:rFonts w:ascii="Verdana" w:eastAsia="Arial" w:hAnsi="Verdana" w:cs="Arial"/>
          <w:lang w:val="es-ES"/>
        </w:rPr>
        <w:t xml:space="preserve">. </w:t>
      </w:r>
      <w:r w:rsidR="00BF50B3">
        <w:rPr>
          <w:rFonts w:ascii="Verdana" w:eastAsia="Arial" w:hAnsi="Verdana" w:cs="Arial"/>
          <w:lang w:val="es-ES"/>
        </w:rPr>
        <w:t>Por ello, en materia de contratación estatal, e</w:t>
      </w:r>
      <w:r w:rsidRPr="00D4693F">
        <w:rPr>
          <w:rFonts w:ascii="Verdana" w:eastAsia="Arial" w:hAnsi="Verdana" w:cs="Arial"/>
          <w:lang w:val="es-ES"/>
        </w:rPr>
        <w:t>l literal c) del artículo 3 de la Ley 1150 de 2007 establece que el Sistema Electrónico para la Contratación Pública –SECOP– “contará con la información oficial de la contratación realizada con dineros públicos, para lo cual establecerá los patrones a que haya lugar y se encargará de su difusión a través de canales electrónicos”</w:t>
      </w:r>
      <w:r w:rsidRPr="00816504">
        <w:rPr>
          <w:rFonts w:ascii="Verdana" w:eastAsia="Arial" w:hAnsi="Verdana" w:cs="Arial"/>
          <w:lang w:val="es-ES"/>
        </w:rPr>
        <w:t>.</w:t>
      </w:r>
    </w:p>
    <w:p w14:paraId="639FB589" w14:textId="6F30702B" w:rsidR="00BC7D7E" w:rsidRPr="00D4693F" w:rsidRDefault="006509C1" w:rsidP="00DF2912">
      <w:pPr>
        <w:spacing w:after="120" w:line="276" w:lineRule="auto"/>
        <w:ind w:firstLine="709"/>
        <w:jc w:val="both"/>
        <w:rPr>
          <w:rFonts w:ascii="Verdana" w:eastAsia="Arial" w:hAnsi="Verdana" w:cs="Arial"/>
          <w:lang w:val="es-ES"/>
        </w:rPr>
      </w:pPr>
      <w:r>
        <w:rPr>
          <w:rFonts w:ascii="Verdana" w:eastAsia="Arial" w:hAnsi="Verdana" w:cs="Arial"/>
          <w:lang w:val="es-ES"/>
        </w:rPr>
        <w:t>De este modo, d</w:t>
      </w:r>
      <w:r w:rsidR="00BC7D7E" w:rsidRPr="00D4693F">
        <w:rPr>
          <w:rFonts w:ascii="Verdana" w:eastAsia="Arial" w:hAnsi="Verdana" w:cs="Arial"/>
          <w:lang w:val="es-ES"/>
        </w:rPr>
        <w:t>el artículo 3 de la Ley 1150 de 2007 se desprende un deber de publicar las actuaciones contractuales, el cual implica que todas las entidades estatales, publiquen los documentos en los que se evidencia el desarrollo de sus procesos de contratación. Esto, como quiera que el objetivo del deber de dar publicidad a las actuaciones contractuales es materializar el derecho a conocer e intervenir de las decisiones de la Administración Pública.</w:t>
      </w:r>
    </w:p>
    <w:p w14:paraId="01043A5D" w14:textId="304C2126" w:rsidR="00BC7D7E" w:rsidRPr="00AD58E3" w:rsidRDefault="00BC7D7E" w:rsidP="00DF2912">
      <w:pPr>
        <w:spacing w:after="120" w:line="276" w:lineRule="auto"/>
        <w:ind w:firstLine="708"/>
        <w:jc w:val="both"/>
        <w:rPr>
          <w:rFonts w:ascii="Verdana" w:eastAsia="Times New Roman" w:hAnsi="Verdana" w:cs="Arial"/>
          <w:lang w:eastAsia="es-CO"/>
        </w:rPr>
      </w:pPr>
      <w:r w:rsidRPr="00D4693F">
        <w:rPr>
          <w:rFonts w:ascii="Verdana" w:eastAsia="Arial" w:hAnsi="Verdana" w:cs="Arial"/>
          <w:lang w:val="es-ES"/>
        </w:rPr>
        <w:lastRenderedPageBreak/>
        <w:t>De otra parte, la Ley 1712 de 2014</w:t>
      </w:r>
      <w:r>
        <w:rPr>
          <w:rStyle w:val="Refdenotaalpie"/>
          <w:rFonts w:ascii="Verdana" w:eastAsia="Arial" w:hAnsi="Verdana" w:cs="Arial"/>
          <w:lang w:val="es-ES"/>
        </w:rPr>
        <w:footnoteReference w:id="6"/>
      </w:r>
      <w:r w:rsidRPr="00D4693F">
        <w:rPr>
          <w:rFonts w:ascii="Verdana" w:eastAsia="Arial" w:hAnsi="Verdana" w:cs="Arial"/>
          <w:lang w:val="es-ES"/>
        </w:rPr>
        <w:t xml:space="preserve"> identifica como principios que orientan el derecho de acceso a la información pública los de máxima publicidad, de transparencia en la información y de buena fe. El principio de máxima publicidad establece que “toda información en posesión, bajo control o custodia de un sujeto obligado es pública y no podrá ser reservada o limitada sino por disposición constitucional o legal"</w:t>
      </w:r>
      <w:r>
        <w:rPr>
          <w:rStyle w:val="Refdenotaalpie"/>
          <w:rFonts w:ascii="Verdana" w:eastAsia="Arial" w:hAnsi="Verdana" w:cs="Arial"/>
          <w:lang w:val="es-ES"/>
        </w:rPr>
        <w:footnoteReference w:id="7"/>
      </w:r>
      <w:r w:rsidRPr="00D4693F">
        <w:rPr>
          <w:rFonts w:ascii="Verdana" w:eastAsia="Arial" w:hAnsi="Verdana" w:cs="Arial"/>
          <w:lang w:val="es-ES"/>
        </w:rPr>
        <w:t>. El principio de transparencia en la información alude al deber de los sujetos de proporcionar y facilitar el acceso a la misma en los términos más amplios posibles y</w:t>
      </w:r>
      <w:r w:rsidR="003F681E">
        <w:rPr>
          <w:rFonts w:ascii="Verdana" w:eastAsia="Arial" w:hAnsi="Verdana" w:cs="Arial"/>
          <w:lang w:val="es-ES"/>
        </w:rPr>
        <w:t>,</w:t>
      </w:r>
      <w:r w:rsidRPr="00D4693F">
        <w:rPr>
          <w:rFonts w:ascii="Verdana" w:eastAsia="Arial" w:hAnsi="Verdana" w:cs="Arial"/>
          <w:lang w:val="es-ES"/>
        </w:rPr>
        <w:t xml:space="preserve"> a través de los medios y procedimientos que establezca la ley</w:t>
      </w:r>
      <w:r w:rsidRPr="00AD58E3">
        <w:rPr>
          <w:rFonts w:ascii="Verdana" w:eastAsia="Times New Roman" w:hAnsi="Verdana" w:cs="Arial"/>
          <w:vertAlign w:val="superscript"/>
          <w:lang w:eastAsia="es-CO"/>
        </w:rPr>
        <w:footnoteReference w:id="8"/>
      </w:r>
      <w:r w:rsidRPr="00AD58E3">
        <w:rPr>
          <w:rFonts w:ascii="Verdana" w:eastAsia="Times New Roman" w:hAnsi="Verdana" w:cs="Arial"/>
          <w:lang w:eastAsia="es-CO"/>
        </w:rPr>
        <w:t>. Finalmente, el principio de buena fe hace referencia al deber de todo sujeto obligado de cumplir con las obligaciones derivadas del derecho de acceso a la información pública con motivación honesta, leal y desprovista de cualquier intención dolosa o culposa</w:t>
      </w:r>
      <w:r w:rsidRPr="00AD58E3">
        <w:rPr>
          <w:rFonts w:ascii="Verdana" w:eastAsia="Times New Roman" w:hAnsi="Verdana" w:cs="Arial"/>
          <w:vertAlign w:val="superscript"/>
          <w:lang w:eastAsia="es-CO"/>
        </w:rPr>
        <w:footnoteReference w:id="9"/>
      </w:r>
      <w:r w:rsidRPr="00AD58E3">
        <w:rPr>
          <w:rFonts w:ascii="Verdana" w:eastAsia="Times New Roman" w:hAnsi="Verdana" w:cs="Arial"/>
          <w:lang w:eastAsia="es-CO"/>
        </w:rPr>
        <w:t xml:space="preserve">. </w:t>
      </w:r>
    </w:p>
    <w:p w14:paraId="1A3FC35A" w14:textId="77777777" w:rsidR="00BC7D7E" w:rsidRDefault="00BC7D7E" w:rsidP="00DF2912">
      <w:pPr>
        <w:spacing w:after="120" w:line="276" w:lineRule="auto"/>
        <w:ind w:firstLine="709"/>
        <w:jc w:val="both"/>
        <w:rPr>
          <w:rFonts w:ascii="Verdana" w:eastAsia="Arial" w:hAnsi="Verdana" w:cs="Arial"/>
          <w:lang w:val="es-ES"/>
        </w:rPr>
      </w:pPr>
      <w:r w:rsidRPr="00D4693F">
        <w:rPr>
          <w:rFonts w:ascii="Verdana" w:eastAsia="Arial" w:hAnsi="Verdana" w:cs="Arial"/>
          <w:lang w:val="es-ES"/>
        </w:rPr>
        <w:t>La ley citada establece, en el literal e) del artículo 9, que los sujetos obligados, que son todas las entidades públicas, deben publicar la información relativa a su contratación</w:t>
      </w:r>
      <w:r w:rsidRPr="00AD58E3">
        <w:rPr>
          <w:rFonts w:ascii="Verdana" w:eastAsia="Times New Roman" w:hAnsi="Verdana" w:cs="Arial"/>
          <w:vertAlign w:val="superscript"/>
          <w:lang w:eastAsia="es-CO"/>
        </w:rPr>
        <w:footnoteReference w:id="10"/>
      </w:r>
      <w:r w:rsidRPr="00D4693F">
        <w:rPr>
          <w:rFonts w:ascii="Verdana" w:eastAsia="Arial" w:hAnsi="Verdana" w:cs="Arial"/>
          <w:lang w:val="es-ES"/>
        </w:rPr>
        <w:t xml:space="preserve">. </w:t>
      </w:r>
      <w:r w:rsidRPr="00AD58E3">
        <w:rPr>
          <w:rFonts w:ascii="Verdana" w:eastAsia="Arial MT" w:hAnsi="Verdana" w:cs="Arial"/>
          <w:lang w:val="es-ES"/>
        </w:rPr>
        <w:t xml:space="preserve">El artículo 5 </w:t>
      </w:r>
      <w:r w:rsidRPr="00AD58E3">
        <w:rPr>
          <w:rFonts w:ascii="Verdana" w:eastAsia="Arial MT" w:hAnsi="Verdana" w:cs="Arial"/>
          <w:i/>
          <w:iCs/>
          <w:lang w:val="es-ES"/>
        </w:rPr>
        <w:t>ibidem</w:t>
      </w:r>
      <w:r w:rsidRPr="00AD58E3">
        <w:rPr>
          <w:rFonts w:ascii="Verdana" w:eastAsia="Arial MT" w:hAnsi="Verdana" w:cs="Arial"/>
          <w:lang w:val="es-ES"/>
        </w:rPr>
        <w:t xml:space="preserve">, al describir qué se entiende por sujetos obligados, consagra una lista cuyo propósito es incluir a cualquier entidad, órgano, organismo, o persona natural que desempeñe funciones </w:t>
      </w:r>
      <w:r w:rsidRPr="00AD58E3">
        <w:rPr>
          <w:rFonts w:ascii="Verdana" w:eastAsia="Arial MT" w:hAnsi="Verdana" w:cs="Arial"/>
          <w:lang w:val="es-ES"/>
        </w:rPr>
        <w:lastRenderedPageBreak/>
        <w:t>públicas o administre recursos públicos</w:t>
      </w:r>
      <w:r w:rsidRPr="00AD58E3">
        <w:rPr>
          <w:rFonts w:ascii="Verdana" w:eastAsia="Times New Roman" w:hAnsi="Verdana" w:cs="Arial"/>
          <w:vertAlign w:val="superscript"/>
          <w:lang w:eastAsia="es-CO"/>
        </w:rPr>
        <w:footnoteReference w:id="11"/>
      </w:r>
      <w:r w:rsidRPr="00AD58E3">
        <w:rPr>
          <w:rFonts w:ascii="Verdana" w:eastAsia="Arial MT" w:hAnsi="Verdana" w:cs="Arial"/>
          <w:lang w:val="es-ES"/>
        </w:rPr>
        <w:t>.</w:t>
      </w:r>
      <w:r w:rsidRPr="00AD58E3">
        <w:rPr>
          <w:rFonts w:ascii="Verdana" w:eastAsia="Times New Roman" w:hAnsi="Verdana" w:cs="Arial"/>
          <w:lang w:eastAsia="es-CO"/>
        </w:rPr>
        <w:t xml:space="preserve"> </w:t>
      </w:r>
      <w:r w:rsidRPr="00D4693F">
        <w:rPr>
          <w:rFonts w:ascii="Verdana" w:eastAsia="Arial" w:hAnsi="Verdana" w:cs="Arial"/>
          <w:lang w:val="es-ES"/>
        </w:rPr>
        <w:t>Asimismo, de acuerdo con el literal g) del artículo 11 de la misma Ley, todos los destinatarios de la Ley de Transparencia deben garantizar la publicidad de “sus procedimientos, lineamientos, políticas en materia de adquisiciones y compras, así como todos los datos de adjudicación y ejecución de contratos, incluidos concursos y licitaciones”, y esta información también debe estar en el SECOP.</w:t>
      </w:r>
    </w:p>
    <w:p w14:paraId="765F9389" w14:textId="33DB795C" w:rsidR="00146C5B" w:rsidRPr="00CA409A" w:rsidRDefault="00146C5B" w:rsidP="0032557F">
      <w:pPr>
        <w:spacing w:before="160" w:after="0" w:line="276" w:lineRule="auto"/>
        <w:ind w:firstLine="709"/>
        <w:jc w:val="both"/>
        <w:rPr>
          <w:rFonts w:ascii="Verdana" w:hAnsi="Verdana"/>
        </w:rPr>
      </w:pPr>
      <w:r w:rsidRPr="00CA409A">
        <w:rPr>
          <w:rFonts w:ascii="Verdana" w:hAnsi="Verdana"/>
        </w:rPr>
        <w:t>A</w:t>
      </w:r>
      <w:r>
        <w:rPr>
          <w:rFonts w:ascii="Verdana" w:hAnsi="Verdana"/>
        </w:rPr>
        <w:t xml:space="preserve">l anterior marco normativo se suma </w:t>
      </w:r>
      <w:r w:rsidRPr="00CA409A">
        <w:rPr>
          <w:rFonts w:ascii="Verdana" w:hAnsi="Verdana"/>
        </w:rPr>
        <w:t>el</w:t>
      </w:r>
      <w:r w:rsidRPr="00CA409A">
        <w:rPr>
          <w:rFonts w:ascii="Verdana" w:hAnsi="Verdana"/>
          <w:spacing w:val="-5"/>
        </w:rPr>
        <w:t xml:space="preserve"> </w:t>
      </w:r>
      <w:r w:rsidRPr="00CA409A">
        <w:rPr>
          <w:rFonts w:ascii="Verdana" w:hAnsi="Verdana"/>
        </w:rPr>
        <w:t>artículo</w:t>
      </w:r>
      <w:r w:rsidRPr="00CA409A">
        <w:rPr>
          <w:rFonts w:ascii="Verdana" w:hAnsi="Verdana"/>
          <w:spacing w:val="-4"/>
        </w:rPr>
        <w:t xml:space="preserve"> </w:t>
      </w:r>
      <w:r w:rsidRPr="00CA409A">
        <w:rPr>
          <w:rFonts w:ascii="Verdana" w:hAnsi="Verdana"/>
        </w:rPr>
        <w:t>53</w:t>
      </w:r>
      <w:r w:rsidRPr="00CA409A">
        <w:rPr>
          <w:rFonts w:ascii="Verdana" w:hAnsi="Verdana"/>
          <w:spacing w:val="-3"/>
        </w:rPr>
        <w:t xml:space="preserve"> </w:t>
      </w:r>
      <w:r w:rsidRPr="00CA409A">
        <w:rPr>
          <w:rFonts w:ascii="Verdana" w:hAnsi="Verdana"/>
        </w:rPr>
        <w:t>de</w:t>
      </w:r>
      <w:r w:rsidRPr="00CA409A">
        <w:rPr>
          <w:rFonts w:ascii="Verdana" w:hAnsi="Verdana"/>
          <w:spacing w:val="-4"/>
        </w:rPr>
        <w:t xml:space="preserve"> </w:t>
      </w:r>
      <w:r w:rsidRPr="00CA409A">
        <w:rPr>
          <w:rFonts w:ascii="Verdana" w:hAnsi="Verdana"/>
        </w:rPr>
        <w:t>la</w:t>
      </w:r>
      <w:r w:rsidRPr="00CA409A">
        <w:rPr>
          <w:rFonts w:ascii="Verdana" w:hAnsi="Verdana"/>
          <w:spacing w:val="-5"/>
        </w:rPr>
        <w:t xml:space="preserve"> </w:t>
      </w:r>
      <w:r w:rsidRPr="00CA409A">
        <w:rPr>
          <w:rFonts w:ascii="Verdana" w:hAnsi="Verdana"/>
        </w:rPr>
        <w:t>Ley</w:t>
      </w:r>
      <w:r w:rsidRPr="00CA409A">
        <w:rPr>
          <w:rFonts w:ascii="Verdana" w:hAnsi="Verdana"/>
          <w:spacing w:val="-6"/>
        </w:rPr>
        <w:t xml:space="preserve"> </w:t>
      </w:r>
      <w:r w:rsidRPr="00CA409A">
        <w:rPr>
          <w:rFonts w:ascii="Verdana" w:hAnsi="Verdana"/>
        </w:rPr>
        <w:t>2195</w:t>
      </w:r>
      <w:r w:rsidRPr="00CA409A">
        <w:rPr>
          <w:rFonts w:ascii="Verdana" w:hAnsi="Verdana"/>
          <w:spacing w:val="-3"/>
        </w:rPr>
        <w:t xml:space="preserve"> </w:t>
      </w:r>
      <w:r w:rsidRPr="00CA409A">
        <w:rPr>
          <w:rFonts w:ascii="Verdana" w:hAnsi="Verdana"/>
        </w:rPr>
        <w:t>de</w:t>
      </w:r>
      <w:r w:rsidRPr="00CA409A">
        <w:rPr>
          <w:rFonts w:ascii="Verdana" w:hAnsi="Verdana"/>
          <w:spacing w:val="-6"/>
        </w:rPr>
        <w:t xml:space="preserve"> </w:t>
      </w:r>
      <w:r w:rsidRPr="00CA409A">
        <w:rPr>
          <w:rFonts w:ascii="Verdana" w:hAnsi="Verdana"/>
        </w:rPr>
        <w:t>2022</w:t>
      </w:r>
      <w:r w:rsidR="003C3059">
        <w:rPr>
          <w:rFonts w:ascii="Verdana" w:hAnsi="Verdana"/>
          <w:spacing w:val="-3"/>
        </w:rPr>
        <w:t xml:space="preserve">, aplicable </w:t>
      </w:r>
      <w:r w:rsidRPr="00CA409A">
        <w:rPr>
          <w:rFonts w:ascii="Verdana" w:hAnsi="Verdana"/>
        </w:rPr>
        <w:t xml:space="preserve">a las </w:t>
      </w:r>
      <w:r w:rsidR="003C3059" w:rsidRPr="00CA409A">
        <w:rPr>
          <w:rFonts w:ascii="Verdana" w:hAnsi="Verdana"/>
        </w:rPr>
        <w:t xml:space="preserve">entidades estatales </w:t>
      </w:r>
      <w:r>
        <w:rPr>
          <w:rFonts w:ascii="Verdana" w:hAnsi="Verdana"/>
          <w:i/>
        </w:rPr>
        <w:t>“</w:t>
      </w:r>
      <w:r w:rsidRPr="00CA409A">
        <w:rPr>
          <w:rFonts w:ascii="Verdana" w:hAnsi="Verdana"/>
          <w:i/>
        </w:rPr>
        <w:t>que por disposición legal cuenten con un régimen contractual excepcional al del Estatuto General de Contratación de la Administración Pública</w:t>
      </w:r>
      <w:r>
        <w:rPr>
          <w:rFonts w:ascii="Verdana" w:hAnsi="Verdana"/>
          <w:i/>
        </w:rPr>
        <w:t>”</w:t>
      </w:r>
      <w:r w:rsidR="000E4810">
        <w:rPr>
          <w:rFonts w:ascii="Verdana" w:hAnsi="Verdana"/>
        </w:rPr>
        <w:t xml:space="preserve">. Dicha disposición señala: </w:t>
      </w:r>
    </w:p>
    <w:p w14:paraId="608EF2EC" w14:textId="77777777" w:rsidR="00DF2912" w:rsidRPr="0032557F" w:rsidRDefault="00DF2912" w:rsidP="0032557F">
      <w:pPr>
        <w:spacing w:after="0" w:line="276" w:lineRule="auto"/>
        <w:ind w:left="709" w:right="709"/>
        <w:jc w:val="both"/>
        <w:rPr>
          <w:rFonts w:ascii="Verdana" w:eastAsia="Arial" w:hAnsi="Verdana" w:cs="Arial"/>
        </w:rPr>
      </w:pPr>
    </w:p>
    <w:p w14:paraId="7FFF3875" w14:textId="40282E8F" w:rsidR="00DF2912" w:rsidRPr="0032557F" w:rsidRDefault="00DF2912" w:rsidP="0032557F">
      <w:pPr>
        <w:spacing w:after="0" w:line="240" w:lineRule="auto"/>
        <w:ind w:left="709" w:right="709"/>
        <w:jc w:val="both"/>
        <w:rPr>
          <w:rFonts w:ascii="Verdana" w:eastAsia="Arial" w:hAnsi="Verdana" w:cs="Arial"/>
          <w:sz w:val="20"/>
          <w:szCs w:val="20"/>
        </w:rPr>
      </w:pPr>
      <w:r w:rsidRPr="0032557F">
        <w:rPr>
          <w:rFonts w:ascii="Verdana" w:eastAsia="Arial" w:hAnsi="Verdana" w:cs="Arial"/>
          <w:sz w:val="20"/>
          <w:szCs w:val="20"/>
        </w:rPr>
        <w:t>“</w:t>
      </w:r>
      <w:r w:rsidRPr="0032557F">
        <w:rPr>
          <w:rFonts w:ascii="Verdana" w:eastAsia="Arial" w:hAnsi="Verdana" w:cs="Arial"/>
          <w:b/>
          <w:bCs/>
          <w:sz w:val="20"/>
          <w:szCs w:val="20"/>
        </w:rPr>
        <w:t>ARTÍCULO</w:t>
      </w:r>
      <w:bookmarkStart w:id="7" w:name="53"/>
      <w:bookmarkEnd w:id="7"/>
      <w:r w:rsidRPr="0032557F">
        <w:rPr>
          <w:rFonts w:ascii="Verdana" w:eastAsia="Arial" w:hAnsi="Verdana" w:cs="Arial"/>
          <w:b/>
          <w:bCs/>
          <w:sz w:val="20"/>
          <w:szCs w:val="20"/>
        </w:rPr>
        <w:t> 53.</w:t>
      </w:r>
      <w:r w:rsidRPr="0032557F">
        <w:rPr>
          <w:rFonts w:ascii="Verdana" w:eastAsia="Arial" w:hAnsi="Verdana" w:cs="Arial"/>
          <w:sz w:val="20"/>
          <w:szCs w:val="20"/>
        </w:rPr>
        <w:t> Adiciónese los siguientes incisos al Artículo </w:t>
      </w:r>
      <w:hyperlink r:id="rId12" w:anchor="13" w:history="1">
        <w:r w:rsidRPr="0032557F">
          <w:rPr>
            <w:rStyle w:val="Hipervnculo"/>
            <w:rFonts w:ascii="Verdana" w:eastAsia="Arial" w:hAnsi="Verdana" w:cs="Arial"/>
            <w:color w:val="auto"/>
            <w:sz w:val="20"/>
            <w:szCs w:val="20"/>
            <w:u w:val="none"/>
          </w:rPr>
          <w:t>13</w:t>
        </w:r>
        <w:r w:rsidRPr="0032557F">
          <w:rPr>
            <w:rStyle w:val="Hipervnculo"/>
            <w:rFonts w:ascii="Verdana" w:eastAsia="Arial" w:hAnsi="Verdana" w:cs="Arial"/>
            <w:color w:val="auto"/>
            <w:sz w:val="20"/>
            <w:szCs w:val="20"/>
          </w:rPr>
          <w:t> </w:t>
        </w:r>
      </w:hyperlink>
      <w:r w:rsidRPr="0032557F">
        <w:rPr>
          <w:rFonts w:ascii="Verdana" w:eastAsia="Arial" w:hAnsi="Verdana" w:cs="Arial"/>
          <w:sz w:val="20"/>
          <w:szCs w:val="20"/>
        </w:rPr>
        <w:t>de la Ley </w:t>
      </w:r>
      <w:hyperlink r:id="rId13" w:anchor="0" w:history="1">
        <w:r w:rsidRPr="0032557F">
          <w:rPr>
            <w:rStyle w:val="Hipervnculo"/>
            <w:rFonts w:ascii="Verdana" w:eastAsia="Arial" w:hAnsi="Verdana" w:cs="Arial"/>
            <w:color w:val="auto"/>
            <w:sz w:val="20"/>
            <w:szCs w:val="20"/>
            <w:u w:val="none"/>
          </w:rPr>
          <w:t>1150</w:t>
        </w:r>
      </w:hyperlink>
      <w:r w:rsidRPr="0032557F">
        <w:rPr>
          <w:rFonts w:ascii="Verdana" w:eastAsia="Arial" w:hAnsi="Verdana" w:cs="Arial"/>
          <w:sz w:val="20"/>
          <w:szCs w:val="20"/>
        </w:rPr>
        <w:t> de 2007, el cual quedara así:</w:t>
      </w:r>
    </w:p>
    <w:p w14:paraId="266C4B91" w14:textId="77777777" w:rsidR="00DF2912" w:rsidRPr="00DF2912" w:rsidRDefault="00DF2912" w:rsidP="00DF2912">
      <w:pPr>
        <w:spacing w:after="0" w:line="240" w:lineRule="auto"/>
        <w:ind w:left="709" w:right="709"/>
        <w:jc w:val="both"/>
        <w:rPr>
          <w:rFonts w:ascii="Verdana" w:eastAsia="Arial" w:hAnsi="Verdana" w:cs="Arial"/>
          <w:sz w:val="20"/>
          <w:szCs w:val="20"/>
        </w:rPr>
      </w:pPr>
    </w:p>
    <w:p w14:paraId="7D25E26D" w14:textId="47D3E105" w:rsidR="00DF2912" w:rsidRPr="0032557F" w:rsidRDefault="00DF2912" w:rsidP="0032557F">
      <w:pPr>
        <w:spacing w:after="0" w:line="240" w:lineRule="auto"/>
        <w:ind w:left="709" w:right="709"/>
        <w:jc w:val="both"/>
        <w:rPr>
          <w:rFonts w:ascii="Verdana" w:eastAsia="Arial" w:hAnsi="Verdana" w:cs="Arial"/>
          <w:sz w:val="20"/>
          <w:szCs w:val="20"/>
        </w:rPr>
      </w:pPr>
      <w:r w:rsidRPr="0032557F">
        <w:rPr>
          <w:rFonts w:ascii="Verdana" w:eastAsia="Arial" w:hAnsi="Verdana" w:cs="Arial"/>
          <w:sz w:val="20"/>
          <w:szCs w:val="20"/>
        </w:rPr>
        <w:t>Artículo </w:t>
      </w:r>
      <w:hyperlink r:id="rId14" w:anchor="13" w:history="1">
        <w:r w:rsidRPr="0032557F">
          <w:rPr>
            <w:rStyle w:val="Hipervnculo"/>
            <w:rFonts w:ascii="Verdana" w:eastAsia="Arial" w:hAnsi="Verdana" w:cs="Arial"/>
            <w:color w:val="auto"/>
            <w:sz w:val="20"/>
            <w:szCs w:val="20"/>
          </w:rPr>
          <w:t>13</w:t>
        </w:r>
      </w:hyperlink>
      <w:r w:rsidRPr="0032557F">
        <w:rPr>
          <w:rFonts w:ascii="Verdana" w:eastAsia="Arial" w:hAnsi="Verdana" w:cs="Arial"/>
          <w:sz w:val="20"/>
          <w:szCs w:val="20"/>
        </w:rPr>
        <w:t xml:space="preserve">. PRINCIPIOS GENERALES DE LA ACTIVIDAD CONTRACTUAL PARA ENTIDADES NO SOMETIDAS AL ESTATUTO GENERAL DE CONTRATACION DE LA ADMINISTRACION PUBLICA. Las entidades estatales que por disposición legal cuenten con un régimen contractual excepcional al del Estatuto General de Contratación de la Administración </w:t>
      </w:r>
      <w:proofErr w:type="spellStart"/>
      <w:r w:rsidRPr="0032557F">
        <w:rPr>
          <w:rFonts w:ascii="Verdana" w:eastAsia="Arial" w:hAnsi="Verdana" w:cs="Arial"/>
          <w:sz w:val="20"/>
          <w:szCs w:val="20"/>
        </w:rPr>
        <w:t>Publica</w:t>
      </w:r>
      <w:proofErr w:type="spellEnd"/>
      <w:r w:rsidRPr="0032557F">
        <w:rPr>
          <w:rFonts w:ascii="Verdana" w:eastAsia="Arial" w:hAnsi="Verdana" w:cs="Arial"/>
          <w:sz w:val="20"/>
          <w:szCs w:val="20"/>
        </w:rPr>
        <w:t>, aplicaran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14:paraId="377E56ED" w14:textId="77777777" w:rsidR="00DF2912" w:rsidRPr="00DF2912" w:rsidRDefault="00DF2912" w:rsidP="00DF2912">
      <w:pPr>
        <w:spacing w:after="0" w:line="240" w:lineRule="auto"/>
        <w:ind w:left="709" w:right="709"/>
        <w:jc w:val="both"/>
        <w:rPr>
          <w:rFonts w:ascii="Verdana" w:eastAsia="Arial" w:hAnsi="Verdana" w:cs="Arial"/>
          <w:sz w:val="20"/>
          <w:szCs w:val="20"/>
        </w:rPr>
      </w:pPr>
    </w:p>
    <w:p w14:paraId="316C6E9A" w14:textId="0FC5EF69" w:rsidR="00DF2912" w:rsidRPr="0032557F" w:rsidRDefault="00DF2912" w:rsidP="0032557F">
      <w:pPr>
        <w:spacing w:after="0" w:line="240" w:lineRule="auto"/>
        <w:ind w:left="709" w:right="709"/>
        <w:jc w:val="both"/>
        <w:rPr>
          <w:rFonts w:ascii="Verdana" w:eastAsia="Arial" w:hAnsi="Verdana" w:cs="Arial"/>
          <w:sz w:val="20"/>
          <w:szCs w:val="20"/>
        </w:rPr>
      </w:pPr>
      <w:r w:rsidRPr="0032557F">
        <w:rPr>
          <w:rFonts w:ascii="Verdana" w:eastAsia="Arial" w:hAnsi="Verdana" w:cs="Arial"/>
          <w:sz w:val="20"/>
          <w:szCs w:val="20"/>
        </w:rPr>
        <w:t xml:space="preserve">En desarrollo de los anteriores principios, deberán publicar los documentos relacionados con su actividad contractual en el Sistema Electrónico para la Contratación </w:t>
      </w:r>
      <w:proofErr w:type="spellStart"/>
      <w:r w:rsidRPr="0032557F">
        <w:rPr>
          <w:rFonts w:ascii="Verdana" w:eastAsia="Arial" w:hAnsi="Verdana" w:cs="Arial"/>
          <w:sz w:val="20"/>
          <w:szCs w:val="20"/>
        </w:rPr>
        <w:t>Publica</w:t>
      </w:r>
      <w:proofErr w:type="spellEnd"/>
      <w:r w:rsidRPr="0032557F">
        <w:rPr>
          <w:rFonts w:ascii="Verdana" w:eastAsia="Arial" w:hAnsi="Verdana" w:cs="Arial"/>
          <w:sz w:val="20"/>
          <w:szCs w:val="20"/>
        </w:rPr>
        <w:t xml:space="preserve"> -SECOP 11- o la plataforma transaccional que haga sus veces. Para los efectos de este Artículo, se entiende por actividad contractual los documentos, contratos, actos e información generada por oferentes, contratista, contratante, supervisor o interventor, tanto en la etapa precontractual, como en la contractual y la </w:t>
      </w:r>
      <w:proofErr w:type="spellStart"/>
      <w:r w:rsidRPr="0032557F">
        <w:rPr>
          <w:rFonts w:ascii="Verdana" w:eastAsia="Arial" w:hAnsi="Verdana" w:cs="Arial"/>
          <w:sz w:val="20"/>
          <w:szCs w:val="20"/>
        </w:rPr>
        <w:t>postcontractual</w:t>
      </w:r>
      <w:proofErr w:type="spellEnd"/>
      <w:r w:rsidRPr="0032557F">
        <w:rPr>
          <w:rFonts w:ascii="Verdana" w:eastAsia="Arial" w:hAnsi="Verdana" w:cs="Arial"/>
          <w:sz w:val="20"/>
          <w:szCs w:val="20"/>
        </w:rPr>
        <w:t>.</w:t>
      </w:r>
    </w:p>
    <w:p w14:paraId="2D2511DA" w14:textId="77777777" w:rsidR="00DF2912" w:rsidRPr="00DF2912" w:rsidRDefault="00DF2912" w:rsidP="00DF2912">
      <w:pPr>
        <w:spacing w:after="0" w:line="240" w:lineRule="auto"/>
        <w:ind w:left="709" w:right="709"/>
        <w:jc w:val="both"/>
        <w:rPr>
          <w:rFonts w:ascii="Verdana" w:eastAsia="Arial" w:hAnsi="Verdana" w:cs="Arial"/>
          <w:sz w:val="20"/>
          <w:szCs w:val="20"/>
        </w:rPr>
      </w:pPr>
    </w:p>
    <w:p w14:paraId="32F0593F" w14:textId="745D9499" w:rsidR="00146C5B" w:rsidRDefault="00DF2912" w:rsidP="00DF2912">
      <w:pPr>
        <w:spacing w:after="0" w:line="240" w:lineRule="auto"/>
        <w:ind w:left="709" w:right="709"/>
        <w:jc w:val="both"/>
        <w:rPr>
          <w:rFonts w:ascii="Verdana" w:eastAsia="Arial" w:hAnsi="Verdana" w:cs="Arial"/>
        </w:rPr>
      </w:pPr>
      <w:r w:rsidRPr="0032557F">
        <w:rPr>
          <w:rFonts w:ascii="Verdana" w:eastAsia="Arial" w:hAnsi="Verdana" w:cs="Arial"/>
          <w:sz w:val="20"/>
          <w:szCs w:val="20"/>
        </w:rPr>
        <w:t>A partir de la entrada en vigencia de la presente Ley, se establecerá un periodo de transición de seis (6) meses, para que las entidades den cumplimiento efectivo a lo aquí establecido</w:t>
      </w:r>
      <w:r w:rsidRPr="00DF2912">
        <w:rPr>
          <w:rFonts w:ascii="Verdana" w:eastAsia="Arial" w:hAnsi="Verdana" w:cs="Arial"/>
        </w:rPr>
        <w:t>”.</w:t>
      </w:r>
    </w:p>
    <w:p w14:paraId="6E3A644B" w14:textId="77777777" w:rsidR="00DF2912" w:rsidRPr="0032557F" w:rsidRDefault="00DF2912" w:rsidP="0032557F">
      <w:pPr>
        <w:spacing w:after="0" w:line="276" w:lineRule="auto"/>
        <w:ind w:left="709" w:right="709"/>
        <w:jc w:val="both"/>
        <w:rPr>
          <w:rFonts w:ascii="Verdana" w:eastAsia="Arial" w:hAnsi="Verdana" w:cs="Arial"/>
        </w:rPr>
      </w:pPr>
    </w:p>
    <w:p w14:paraId="4F09ADBE" w14:textId="2BCD6E37" w:rsidR="00BC7D7E" w:rsidRPr="00CA409A" w:rsidRDefault="00BC7D7E" w:rsidP="0032557F">
      <w:pPr>
        <w:pStyle w:val="Textoindependiente"/>
        <w:spacing w:line="276" w:lineRule="auto"/>
        <w:ind w:firstLine="709"/>
        <w:jc w:val="both"/>
        <w:rPr>
          <w:rFonts w:ascii="Verdana" w:hAnsi="Verdana"/>
        </w:rPr>
      </w:pPr>
      <w:r w:rsidRPr="00CA409A">
        <w:rPr>
          <w:rFonts w:ascii="Verdana" w:hAnsi="Verdana"/>
        </w:rPr>
        <w:lastRenderedPageBreak/>
        <w:t>Así las cosas, en virtud de esta disposición normativa, todas las entidades que tienen un régimen de contratación exceptuado del Estatuto General de Contratación de la Administración Pública, a partir del 18 de julio de 2022, están</w:t>
      </w:r>
      <w:r w:rsidRPr="00CA409A">
        <w:rPr>
          <w:rFonts w:ascii="Verdana" w:hAnsi="Verdana"/>
          <w:spacing w:val="-11"/>
        </w:rPr>
        <w:t xml:space="preserve"> </w:t>
      </w:r>
      <w:r w:rsidRPr="00CA409A">
        <w:rPr>
          <w:rFonts w:ascii="Verdana" w:hAnsi="Verdana"/>
        </w:rPr>
        <w:t>obligados</w:t>
      </w:r>
      <w:r w:rsidRPr="00CA409A">
        <w:rPr>
          <w:rFonts w:ascii="Verdana" w:hAnsi="Verdana"/>
          <w:spacing w:val="-10"/>
        </w:rPr>
        <w:t xml:space="preserve"> </w:t>
      </w:r>
      <w:r w:rsidRPr="00CA409A">
        <w:rPr>
          <w:rFonts w:ascii="Verdana" w:hAnsi="Verdana"/>
        </w:rPr>
        <w:t>a</w:t>
      </w:r>
      <w:r w:rsidRPr="00CA409A">
        <w:rPr>
          <w:rFonts w:ascii="Verdana" w:hAnsi="Verdana"/>
          <w:spacing w:val="-11"/>
        </w:rPr>
        <w:t xml:space="preserve"> </w:t>
      </w:r>
      <w:r w:rsidRPr="00CA409A">
        <w:rPr>
          <w:rFonts w:ascii="Verdana" w:hAnsi="Verdana"/>
        </w:rPr>
        <w:t>publicar</w:t>
      </w:r>
      <w:r w:rsidRPr="00CA409A">
        <w:rPr>
          <w:rFonts w:ascii="Verdana" w:hAnsi="Verdana"/>
          <w:spacing w:val="-12"/>
        </w:rPr>
        <w:t xml:space="preserve"> </w:t>
      </w:r>
      <w:r w:rsidRPr="00CA409A">
        <w:rPr>
          <w:rFonts w:ascii="Verdana" w:hAnsi="Verdana"/>
        </w:rPr>
        <w:t>su</w:t>
      </w:r>
      <w:r w:rsidRPr="00CA409A">
        <w:rPr>
          <w:rFonts w:ascii="Verdana" w:hAnsi="Verdana"/>
          <w:spacing w:val="-13"/>
        </w:rPr>
        <w:t xml:space="preserve"> </w:t>
      </w:r>
      <w:r w:rsidRPr="00CA409A">
        <w:rPr>
          <w:rFonts w:ascii="Verdana" w:hAnsi="Verdana"/>
        </w:rPr>
        <w:t>actividad</w:t>
      </w:r>
      <w:r w:rsidRPr="00CA409A">
        <w:rPr>
          <w:rFonts w:ascii="Verdana" w:hAnsi="Verdana"/>
          <w:spacing w:val="-9"/>
        </w:rPr>
        <w:t xml:space="preserve"> </w:t>
      </w:r>
      <w:r w:rsidRPr="00CA409A">
        <w:rPr>
          <w:rFonts w:ascii="Verdana" w:hAnsi="Verdana"/>
        </w:rPr>
        <w:t>contractual</w:t>
      </w:r>
      <w:r w:rsidRPr="00CA409A">
        <w:rPr>
          <w:rFonts w:ascii="Verdana" w:hAnsi="Verdana"/>
          <w:spacing w:val="-11"/>
        </w:rPr>
        <w:t xml:space="preserve"> </w:t>
      </w:r>
      <w:r w:rsidRPr="00CA409A">
        <w:rPr>
          <w:rFonts w:ascii="Verdana" w:hAnsi="Verdana"/>
        </w:rPr>
        <w:t>en</w:t>
      </w:r>
      <w:r w:rsidRPr="00CA409A">
        <w:rPr>
          <w:rFonts w:ascii="Verdana" w:hAnsi="Verdana"/>
          <w:spacing w:val="-10"/>
        </w:rPr>
        <w:t xml:space="preserve"> </w:t>
      </w:r>
      <w:r w:rsidRPr="00CA409A">
        <w:rPr>
          <w:rFonts w:ascii="Verdana" w:hAnsi="Verdana"/>
        </w:rPr>
        <w:t>la</w:t>
      </w:r>
      <w:r w:rsidRPr="00CA409A">
        <w:rPr>
          <w:rFonts w:ascii="Verdana" w:hAnsi="Verdana"/>
          <w:spacing w:val="-11"/>
        </w:rPr>
        <w:t xml:space="preserve"> </w:t>
      </w:r>
      <w:r w:rsidRPr="00CA409A">
        <w:rPr>
          <w:rFonts w:ascii="Verdana" w:hAnsi="Verdana"/>
        </w:rPr>
        <w:t>plataforma</w:t>
      </w:r>
      <w:r w:rsidRPr="00CA409A">
        <w:rPr>
          <w:rFonts w:ascii="Verdana" w:hAnsi="Verdana"/>
          <w:spacing w:val="-11"/>
        </w:rPr>
        <w:t xml:space="preserve"> </w:t>
      </w:r>
      <w:r w:rsidRPr="00CA409A">
        <w:rPr>
          <w:rFonts w:ascii="Verdana" w:hAnsi="Verdana"/>
        </w:rPr>
        <w:t>SECOP</w:t>
      </w:r>
      <w:r w:rsidRPr="00CA409A">
        <w:rPr>
          <w:rFonts w:ascii="Verdana" w:hAnsi="Verdana"/>
          <w:spacing w:val="-9"/>
        </w:rPr>
        <w:t xml:space="preserve"> </w:t>
      </w:r>
      <w:r w:rsidRPr="00CA409A">
        <w:rPr>
          <w:rFonts w:ascii="Verdana" w:hAnsi="Verdana"/>
        </w:rPr>
        <w:t>II o en la plataforma transaccional que haga sus veces.</w:t>
      </w:r>
    </w:p>
    <w:p w14:paraId="415B3108" w14:textId="77777777" w:rsidR="00BC7D7E" w:rsidRPr="00CA409A" w:rsidRDefault="00BC7D7E" w:rsidP="0032557F">
      <w:pPr>
        <w:spacing w:after="120" w:line="276" w:lineRule="auto"/>
        <w:ind w:firstLine="709"/>
        <w:jc w:val="both"/>
        <w:rPr>
          <w:rFonts w:ascii="Verdana" w:hAnsi="Verdana"/>
          <w:i/>
        </w:rPr>
      </w:pPr>
      <w:r w:rsidRPr="00CA409A">
        <w:rPr>
          <w:rFonts w:ascii="Verdana" w:hAnsi="Verdana"/>
        </w:rPr>
        <w:t>De</w:t>
      </w:r>
      <w:r w:rsidRPr="00CA409A">
        <w:rPr>
          <w:rFonts w:ascii="Verdana" w:hAnsi="Verdana"/>
          <w:spacing w:val="-18"/>
        </w:rPr>
        <w:t xml:space="preserve"> </w:t>
      </w:r>
      <w:r w:rsidRPr="00CA409A">
        <w:rPr>
          <w:rFonts w:ascii="Verdana" w:hAnsi="Verdana"/>
        </w:rPr>
        <w:t>la</w:t>
      </w:r>
      <w:r w:rsidRPr="00CA409A">
        <w:rPr>
          <w:rFonts w:ascii="Verdana" w:hAnsi="Verdana"/>
          <w:spacing w:val="-19"/>
        </w:rPr>
        <w:t xml:space="preserve"> </w:t>
      </w:r>
      <w:r w:rsidRPr="00CA409A">
        <w:rPr>
          <w:rFonts w:ascii="Verdana" w:hAnsi="Verdana"/>
        </w:rPr>
        <w:t>misma</w:t>
      </w:r>
      <w:r w:rsidRPr="00CA409A">
        <w:rPr>
          <w:rFonts w:ascii="Verdana" w:hAnsi="Verdana"/>
          <w:spacing w:val="-19"/>
        </w:rPr>
        <w:t xml:space="preserve"> </w:t>
      </w:r>
      <w:r w:rsidRPr="00CA409A">
        <w:rPr>
          <w:rFonts w:ascii="Verdana" w:hAnsi="Verdana"/>
        </w:rPr>
        <w:t>manera,</w:t>
      </w:r>
      <w:r w:rsidRPr="00CA409A">
        <w:rPr>
          <w:rFonts w:ascii="Verdana" w:hAnsi="Verdana"/>
          <w:spacing w:val="-18"/>
        </w:rPr>
        <w:t xml:space="preserve"> </w:t>
      </w:r>
      <w:r w:rsidRPr="00CA409A">
        <w:rPr>
          <w:rFonts w:ascii="Verdana" w:hAnsi="Verdana"/>
        </w:rPr>
        <w:t>la</w:t>
      </w:r>
      <w:r w:rsidRPr="00CA409A">
        <w:rPr>
          <w:rFonts w:ascii="Verdana" w:hAnsi="Verdana"/>
          <w:spacing w:val="-19"/>
        </w:rPr>
        <w:t xml:space="preserve"> </w:t>
      </w:r>
      <w:r w:rsidRPr="00CA409A">
        <w:rPr>
          <w:rFonts w:ascii="Verdana" w:hAnsi="Verdana"/>
        </w:rPr>
        <w:t>norma</w:t>
      </w:r>
      <w:r w:rsidRPr="00CA409A">
        <w:rPr>
          <w:rFonts w:ascii="Verdana" w:hAnsi="Verdana"/>
          <w:spacing w:val="-19"/>
        </w:rPr>
        <w:t xml:space="preserve"> </w:t>
      </w:r>
      <w:r w:rsidRPr="00CA409A">
        <w:rPr>
          <w:rFonts w:ascii="Verdana" w:hAnsi="Verdana"/>
        </w:rPr>
        <w:t>en</w:t>
      </w:r>
      <w:r w:rsidRPr="00CA409A">
        <w:rPr>
          <w:rFonts w:ascii="Verdana" w:hAnsi="Verdana"/>
          <w:spacing w:val="-19"/>
        </w:rPr>
        <w:t xml:space="preserve"> </w:t>
      </w:r>
      <w:r w:rsidRPr="00CA409A">
        <w:rPr>
          <w:rFonts w:ascii="Verdana" w:hAnsi="Verdana"/>
        </w:rPr>
        <w:t>mención</w:t>
      </w:r>
      <w:r w:rsidRPr="00CA409A">
        <w:rPr>
          <w:rFonts w:ascii="Verdana" w:hAnsi="Verdana"/>
          <w:spacing w:val="-19"/>
        </w:rPr>
        <w:t xml:space="preserve"> </w:t>
      </w:r>
      <w:r w:rsidRPr="00CA409A">
        <w:rPr>
          <w:rFonts w:ascii="Verdana" w:hAnsi="Verdana"/>
        </w:rPr>
        <w:t>precisa</w:t>
      </w:r>
      <w:r w:rsidRPr="00CA409A">
        <w:rPr>
          <w:rFonts w:ascii="Verdana" w:hAnsi="Verdana"/>
          <w:spacing w:val="-19"/>
        </w:rPr>
        <w:t xml:space="preserve"> </w:t>
      </w:r>
      <w:r w:rsidRPr="00CA409A">
        <w:rPr>
          <w:rFonts w:ascii="Verdana" w:hAnsi="Verdana"/>
        </w:rPr>
        <w:t>el</w:t>
      </w:r>
      <w:r w:rsidRPr="00CA409A">
        <w:rPr>
          <w:rFonts w:ascii="Verdana" w:hAnsi="Verdana"/>
          <w:spacing w:val="-19"/>
        </w:rPr>
        <w:t xml:space="preserve"> </w:t>
      </w:r>
      <w:r w:rsidRPr="00CA409A">
        <w:rPr>
          <w:rFonts w:ascii="Verdana" w:hAnsi="Verdana"/>
        </w:rPr>
        <w:t>entendimiento</w:t>
      </w:r>
      <w:r w:rsidRPr="00CA409A">
        <w:rPr>
          <w:rFonts w:ascii="Verdana" w:hAnsi="Verdana"/>
          <w:spacing w:val="-19"/>
        </w:rPr>
        <w:t xml:space="preserve"> </w:t>
      </w:r>
      <w:r w:rsidRPr="00CA409A">
        <w:rPr>
          <w:rFonts w:ascii="Verdana" w:hAnsi="Verdana"/>
        </w:rPr>
        <w:t>que</w:t>
      </w:r>
      <w:r w:rsidRPr="00CA409A">
        <w:rPr>
          <w:rFonts w:ascii="Verdana" w:hAnsi="Verdana"/>
          <w:spacing w:val="-19"/>
        </w:rPr>
        <w:t xml:space="preserve"> </w:t>
      </w:r>
      <w:r w:rsidRPr="00CA409A">
        <w:rPr>
          <w:rFonts w:ascii="Verdana" w:hAnsi="Verdana"/>
        </w:rPr>
        <w:t>debe dársele</w:t>
      </w:r>
      <w:r w:rsidRPr="00CA409A">
        <w:rPr>
          <w:rFonts w:ascii="Verdana" w:hAnsi="Verdana"/>
          <w:spacing w:val="-7"/>
        </w:rPr>
        <w:t xml:space="preserve"> </w:t>
      </w:r>
      <w:r w:rsidRPr="00CA409A">
        <w:rPr>
          <w:rFonts w:ascii="Verdana" w:hAnsi="Verdana"/>
        </w:rPr>
        <w:t>a</w:t>
      </w:r>
      <w:r w:rsidRPr="00CA409A">
        <w:rPr>
          <w:rFonts w:ascii="Verdana" w:hAnsi="Verdana"/>
          <w:spacing w:val="-8"/>
        </w:rPr>
        <w:t xml:space="preserve"> </w:t>
      </w:r>
      <w:r w:rsidRPr="00CA409A">
        <w:rPr>
          <w:rFonts w:ascii="Verdana" w:hAnsi="Verdana"/>
        </w:rPr>
        <w:t>la</w:t>
      </w:r>
      <w:r w:rsidRPr="00CA409A">
        <w:rPr>
          <w:rFonts w:ascii="Verdana" w:hAnsi="Verdana"/>
          <w:spacing w:val="-8"/>
        </w:rPr>
        <w:t xml:space="preserve"> </w:t>
      </w:r>
      <w:r w:rsidRPr="00CA409A">
        <w:rPr>
          <w:rFonts w:ascii="Verdana" w:hAnsi="Verdana"/>
        </w:rPr>
        <w:t>expresión</w:t>
      </w:r>
      <w:r w:rsidRPr="00CA409A">
        <w:rPr>
          <w:rFonts w:ascii="Verdana" w:hAnsi="Verdana"/>
          <w:spacing w:val="-8"/>
        </w:rPr>
        <w:t xml:space="preserve"> </w:t>
      </w:r>
      <w:r>
        <w:rPr>
          <w:rFonts w:ascii="Verdana" w:hAnsi="Verdana"/>
          <w:spacing w:val="-8"/>
        </w:rPr>
        <w:t>“</w:t>
      </w:r>
      <w:r w:rsidRPr="00CA409A">
        <w:rPr>
          <w:rFonts w:ascii="Verdana" w:hAnsi="Verdana"/>
          <w:spacing w:val="-8"/>
        </w:rPr>
        <w:t>actividad</w:t>
      </w:r>
      <w:r w:rsidRPr="00CA409A">
        <w:rPr>
          <w:rFonts w:ascii="Verdana" w:hAnsi="Verdana"/>
          <w:spacing w:val="-9"/>
        </w:rPr>
        <w:t xml:space="preserve"> </w:t>
      </w:r>
      <w:r w:rsidRPr="00CA409A">
        <w:rPr>
          <w:rFonts w:ascii="Verdana" w:hAnsi="Verdana"/>
        </w:rPr>
        <w:t>contractual</w:t>
      </w:r>
      <w:r>
        <w:rPr>
          <w:rFonts w:ascii="Verdana" w:hAnsi="Verdana"/>
        </w:rPr>
        <w:t>”</w:t>
      </w:r>
      <w:r w:rsidRPr="00CA409A">
        <w:rPr>
          <w:rFonts w:ascii="Verdana" w:hAnsi="Verdana"/>
          <w:spacing w:val="-9"/>
        </w:rPr>
        <w:t xml:space="preserve"> </w:t>
      </w:r>
      <w:r w:rsidRPr="00CA409A">
        <w:rPr>
          <w:rFonts w:ascii="Verdana" w:hAnsi="Verdana"/>
        </w:rPr>
        <w:t>y</w:t>
      </w:r>
      <w:r w:rsidRPr="00CA409A">
        <w:rPr>
          <w:rFonts w:ascii="Verdana" w:hAnsi="Verdana"/>
          <w:spacing w:val="-9"/>
        </w:rPr>
        <w:t xml:space="preserve"> </w:t>
      </w:r>
      <w:r w:rsidRPr="00CA409A">
        <w:rPr>
          <w:rFonts w:ascii="Verdana" w:hAnsi="Verdana"/>
        </w:rPr>
        <w:t>que</w:t>
      </w:r>
      <w:r w:rsidRPr="00CA409A">
        <w:rPr>
          <w:rFonts w:ascii="Verdana" w:hAnsi="Verdana"/>
          <w:spacing w:val="-8"/>
        </w:rPr>
        <w:t xml:space="preserve"> </w:t>
      </w:r>
      <w:r w:rsidRPr="00CA409A">
        <w:rPr>
          <w:rFonts w:ascii="Verdana" w:hAnsi="Verdana"/>
        </w:rPr>
        <w:t>permitirá</w:t>
      </w:r>
      <w:r w:rsidRPr="00CA409A">
        <w:rPr>
          <w:rFonts w:ascii="Verdana" w:hAnsi="Verdana"/>
          <w:spacing w:val="-8"/>
        </w:rPr>
        <w:t xml:space="preserve"> </w:t>
      </w:r>
      <w:r w:rsidRPr="00CA409A">
        <w:rPr>
          <w:rFonts w:ascii="Verdana" w:hAnsi="Verdana"/>
        </w:rPr>
        <w:t>determinar</w:t>
      </w:r>
      <w:r w:rsidRPr="00CA409A">
        <w:rPr>
          <w:rFonts w:ascii="Verdana" w:hAnsi="Verdana"/>
          <w:spacing w:val="-8"/>
        </w:rPr>
        <w:t xml:space="preserve"> </w:t>
      </w:r>
      <w:r w:rsidRPr="00CA409A">
        <w:rPr>
          <w:rFonts w:ascii="Verdana" w:hAnsi="Verdana"/>
        </w:rPr>
        <w:t>los documentos que deben publicar en la plataforma SECOP II estas entidades. En ese sentido, las entidades que tienen un régimen de contratación exceptuado</w:t>
      </w:r>
      <w:r w:rsidRPr="00CA409A">
        <w:rPr>
          <w:rFonts w:ascii="Verdana" w:hAnsi="Verdana"/>
          <w:spacing w:val="-16"/>
        </w:rPr>
        <w:t xml:space="preserve"> </w:t>
      </w:r>
      <w:r w:rsidRPr="00CA409A">
        <w:rPr>
          <w:rFonts w:ascii="Verdana" w:hAnsi="Verdana"/>
        </w:rPr>
        <w:t>del</w:t>
      </w:r>
      <w:r w:rsidRPr="00CA409A">
        <w:rPr>
          <w:rFonts w:ascii="Verdana" w:hAnsi="Verdana"/>
          <w:spacing w:val="-16"/>
        </w:rPr>
        <w:t xml:space="preserve"> </w:t>
      </w:r>
      <w:r w:rsidRPr="00CA409A">
        <w:rPr>
          <w:rFonts w:ascii="Verdana" w:hAnsi="Verdana"/>
        </w:rPr>
        <w:t>Estatuto</w:t>
      </w:r>
      <w:r w:rsidRPr="00CA409A">
        <w:rPr>
          <w:rFonts w:ascii="Verdana" w:hAnsi="Verdana"/>
          <w:spacing w:val="-16"/>
        </w:rPr>
        <w:t xml:space="preserve"> </w:t>
      </w:r>
      <w:r w:rsidRPr="00CA409A">
        <w:rPr>
          <w:rFonts w:ascii="Verdana" w:hAnsi="Verdana"/>
        </w:rPr>
        <w:t>General</w:t>
      </w:r>
      <w:r w:rsidRPr="00CA409A">
        <w:rPr>
          <w:rFonts w:ascii="Verdana" w:hAnsi="Verdana"/>
          <w:spacing w:val="-17"/>
        </w:rPr>
        <w:t xml:space="preserve"> </w:t>
      </w:r>
      <w:r w:rsidRPr="00CA409A">
        <w:rPr>
          <w:rFonts w:ascii="Verdana" w:hAnsi="Verdana"/>
        </w:rPr>
        <w:t>de</w:t>
      </w:r>
      <w:r w:rsidRPr="00CA409A">
        <w:rPr>
          <w:rFonts w:ascii="Verdana" w:hAnsi="Verdana"/>
          <w:spacing w:val="-16"/>
        </w:rPr>
        <w:t xml:space="preserve"> </w:t>
      </w:r>
      <w:r w:rsidRPr="00CA409A">
        <w:rPr>
          <w:rFonts w:ascii="Verdana" w:hAnsi="Verdana"/>
        </w:rPr>
        <w:t>Contratación</w:t>
      </w:r>
      <w:r w:rsidRPr="00CA409A">
        <w:rPr>
          <w:rFonts w:ascii="Verdana" w:hAnsi="Verdana"/>
          <w:spacing w:val="-16"/>
        </w:rPr>
        <w:t xml:space="preserve"> </w:t>
      </w:r>
      <w:r w:rsidRPr="00CA409A">
        <w:rPr>
          <w:rFonts w:ascii="Verdana" w:hAnsi="Verdana"/>
        </w:rPr>
        <w:t>de</w:t>
      </w:r>
      <w:r w:rsidRPr="00CA409A">
        <w:rPr>
          <w:rFonts w:ascii="Verdana" w:hAnsi="Verdana"/>
          <w:spacing w:val="-16"/>
        </w:rPr>
        <w:t xml:space="preserve"> </w:t>
      </w:r>
      <w:r w:rsidRPr="00CA409A">
        <w:rPr>
          <w:rFonts w:ascii="Verdana" w:hAnsi="Verdana"/>
        </w:rPr>
        <w:t>la</w:t>
      </w:r>
      <w:r w:rsidRPr="00CA409A">
        <w:rPr>
          <w:rFonts w:ascii="Verdana" w:hAnsi="Verdana"/>
          <w:spacing w:val="-17"/>
        </w:rPr>
        <w:t xml:space="preserve"> </w:t>
      </w:r>
      <w:r w:rsidRPr="00CA409A">
        <w:rPr>
          <w:rFonts w:ascii="Verdana" w:hAnsi="Verdana"/>
        </w:rPr>
        <w:t>Administración</w:t>
      </w:r>
      <w:r w:rsidRPr="00CA409A">
        <w:rPr>
          <w:rFonts w:ascii="Verdana" w:hAnsi="Verdana"/>
          <w:spacing w:val="-16"/>
        </w:rPr>
        <w:t xml:space="preserve"> </w:t>
      </w:r>
      <w:r w:rsidRPr="00CA409A">
        <w:rPr>
          <w:rFonts w:ascii="Verdana" w:hAnsi="Verdana"/>
        </w:rPr>
        <w:t xml:space="preserve">Pública tendrán la obligación de publicar </w:t>
      </w:r>
      <w:r>
        <w:rPr>
          <w:rFonts w:ascii="Verdana" w:hAnsi="Verdana"/>
          <w:i/>
        </w:rPr>
        <w:t>“</w:t>
      </w:r>
      <w:r w:rsidRPr="00CA409A">
        <w:rPr>
          <w:rFonts w:ascii="Verdana" w:hAnsi="Verdana"/>
          <w:i/>
        </w:rPr>
        <w:t>los documentos, contratos, actos e información</w:t>
      </w:r>
      <w:r w:rsidRPr="00CA409A">
        <w:rPr>
          <w:rFonts w:ascii="Verdana" w:hAnsi="Verdana"/>
          <w:i/>
          <w:spacing w:val="26"/>
        </w:rPr>
        <w:t xml:space="preserve"> </w:t>
      </w:r>
      <w:r w:rsidRPr="00CA409A">
        <w:rPr>
          <w:rFonts w:ascii="Verdana" w:hAnsi="Verdana"/>
          <w:i/>
        </w:rPr>
        <w:t>generada</w:t>
      </w:r>
      <w:r w:rsidRPr="00CA409A">
        <w:rPr>
          <w:rFonts w:ascii="Verdana" w:hAnsi="Verdana"/>
          <w:i/>
          <w:spacing w:val="28"/>
        </w:rPr>
        <w:t xml:space="preserve"> </w:t>
      </w:r>
      <w:r w:rsidRPr="00CA409A">
        <w:rPr>
          <w:rFonts w:ascii="Verdana" w:hAnsi="Verdana"/>
          <w:i/>
        </w:rPr>
        <w:t>por</w:t>
      </w:r>
      <w:r w:rsidRPr="00CA409A">
        <w:rPr>
          <w:rFonts w:ascii="Verdana" w:hAnsi="Verdana"/>
          <w:i/>
          <w:spacing w:val="28"/>
        </w:rPr>
        <w:t xml:space="preserve"> </w:t>
      </w:r>
      <w:r w:rsidRPr="00CA409A">
        <w:rPr>
          <w:rFonts w:ascii="Verdana" w:hAnsi="Verdana"/>
          <w:i/>
        </w:rPr>
        <w:t>oferentes,</w:t>
      </w:r>
      <w:r w:rsidRPr="00CA409A">
        <w:rPr>
          <w:rFonts w:ascii="Verdana" w:hAnsi="Verdana"/>
          <w:i/>
          <w:spacing w:val="30"/>
        </w:rPr>
        <w:t xml:space="preserve"> </w:t>
      </w:r>
      <w:r w:rsidRPr="00CA409A">
        <w:rPr>
          <w:rFonts w:ascii="Verdana" w:hAnsi="Verdana"/>
          <w:i/>
        </w:rPr>
        <w:t>contratista,</w:t>
      </w:r>
      <w:r w:rsidRPr="00CA409A">
        <w:rPr>
          <w:rFonts w:ascii="Verdana" w:hAnsi="Verdana"/>
          <w:i/>
          <w:spacing w:val="29"/>
        </w:rPr>
        <w:t xml:space="preserve"> </w:t>
      </w:r>
      <w:r w:rsidRPr="00CA409A">
        <w:rPr>
          <w:rFonts w:ascii="Verdana" w:hAnsi="Verdana"/>
          <w:i/>
        </w:rPr>
        <w:t>contratante,</w:t>
      </w:r>
      <w:r w:rsidRPr="00CA409A">
        <w:rPr>
          <w:rFonts w:ascii="Verdana" w:hAnsi="Verdana"/>
          <w:i/>
          <w:spacing w:val="30"/>
        </w:rPr>
        <w:t xml:space="preserve"> </w:t>
      </w:r>
      <w:r w:rsidRPr="00CA409A">
        <w:rPr>
          <w:rFonts w:ascii="Verdana" w:hAnsi="Verdana"/>
          <w:i/>
        </w:rPr>
        <w:t>supervisor</w:t>
      </w:r>
      <w:r w:rsidRPr="00CA409A">
        <w:rPr>
          <w:rFonts w:ascii="Verdana" w:hAnsi="Verdana"/>
          <w:i/>
          <w:spacing w:val="27"/>
        </w:rPr>
        <w:t xml:space="preserve"> </w:t>
      </w:r>
      <w:r w:rsidRPr="00CA409A">
        <w:rPr>
          <w:rFonts w:ascii="Verdana" w:hAnsi="Verdana"/>
          <w:i/>
          <w:spacing w:val="-10"/>
        </w:rPr>
        <w:t>o</w:t>
      </w:r>
      <w:r>
        <w:rPr>
          <w:rFonts w:ascii="Verdana" w:hAnsi="Verdana"/>
          <w:i/>
        </w:rPr>
        <w:t xml:space="preserve"> </w:t>
      </w:r>
      <w:r w:rsidRPr="00CA409A">
        <w:rPr>
          <w:rFonts w:ascii="Verdana" w:hAnsi="Verdana"/>
          <w:i/>
        </w:rPr>
        <w:t xml:space="preserve">interventor, tanto en la etapa precontractual, como en la contractual y la </w:t>
      </w:r>
      <w:proofErr w:type="spellStart"/>
      <w:r w:rsidRPr="00CA409A">
        <w:rPr>
          <w:rFonts w:ascii="Verdana" w:hAnsi="Verdana"/>
          <w:i/>
          <w:spacing w:val="-2"/>
        </w:rPr>
        <w:t>postcontractual</w:t>
      </w:r>
      <w:proofErr w:type="spellEnd"/>
      <w:r>
        <w:rPr>
          <w:rFonts w:ascii="Verdana" w:hAnsi="Verdana"/>
          <w:i/>
          <w:spacing w:val="-2"/>
        </w:rPr>
        <w:t>”</w:t>
      </w:r>
      <w:r w:rsidRPr="00CA409A">
        <w:rPr>
          <w:rFonts w:ascii="Verdana" w:hAnsi="Verdana"/>
          <w:spacing w:val="-2"/>
        </w:rPr>
        <w:t>.</w:t>
      </w:r>
    </w:p>
    <w:p w14:paraId="6274E608" w14:textId="7E8B1BC3" w:rsidR="00BC7D7E" w:rsidRPr="00CA409A" w:rsidRDefault="00BC7D7E" w:rsidP="0032557F">
      <w:pPr>
        <w:pStyle w:val="Textoindependiente"/>
        <w:spacing w:line="276" w:lineRule="auto"/>
        <w:ind w:firstLine="709"/>
        <w:jc w:val="both"/>
        <w:rPr>
          <w:rFonts w:ascii="Verdana" w:hAnsi="Verdana"/>
        </w:rPr>
      </w:pPr>
      <w:r w:rsidRPr="00CA409A">
        <w:rPr>
          <w:rFonts w:ascii="Verdana" w:hAnsi="Verdana"/>
        </w:rPr>
        <w:t>Respecto a</w:t>
      </w:r>
      <w:r w:rsidR="00FD50C1">
        <w:rPr>
          <w:rFonts w:ascii="Verdana" w:hAnsi="Verdana"/>
        </w:rPr>
        <w:t>l primer problema jurídico planteado en la presente consulta, relacionado</w:t>
      </w:r>
      <w:r w:rsidRPr="00CA409A">
        <w:rPr>
          <w:rFonts w:ascii="Verdana" w:hAnsi="Verdana"/>
        </w:rPr>
        <w:t xml:space="preserve"> los documentos que deben publicarse</w:t>
      </w:r>
      <w:r w:rsidR="00D22F19">
        <w:rPr>
          <w:rFonts w:ascii="Verdana" w:hAnsi="Verdana"/>
        </w:rPr>
        <w:t xml:space="preserve">, </w:t>
      </w:r>
      <w:r w:rsidR="00FD50C1">
        <w:rPr>
          <w:rFonts w:ascii="Verdana" w:hAnsi="Verdana"/>
        </w:rPr>
        <w:t>debe señalarse que, de acuerdo con lo previsto</w:t>
      </w:r>
      <w:r w:rsidRPr="00CA409A">
        <w:rPr>
          <w:rFonts w:ascii="Verdana" w:hAnsi="Verdana"/>
          <w:spacing w:val="-7"/>
        </w:rPr>
        <w:t xml:space="preserve"> </w:t>
      </w:r>
      <w:r w:rsidRPr="00CA409A">
        <w:rPr>
          <w:rFonts w:ascii="Verdana" w:hAnsi="Verdana"/>
        </w:rPr>
        <w:t>lo</w:t>
      </w:r>
      <w:r w:rsidRPr="00CA409A">
        <w:rPr>
          <w:rFonts w:ascii="Verdana" w:hAnsi="Verdana"/>
          <w:spacing w:val="-6"/>
        </w:rPr>
        <w:t xml:space="preserve"> </w:t>
      </w:r>
      <w:r w:rsidRPr="00CA409A">
        <w:rPr>
          <w:rFonts w:ascii="Verdana" w:hAnsi="Verdana"/>
        </w:rPr>
        <w:t>previsto</w:t>
      </w:r>
      <w:r w:rsidRPr="00CA409A">
        <w:rPr>
          <w:rFonts w:ascii="Verdana" w:hAnsi="Verdana"/>
          <w:spacing w:val="-7"/>
        </w:rPr>
        <w:t xml:space="preserve"> </w:t>
      </w:r>
      <w:r w:rsidRPr="00CA409A">
        <w:rPr>
          <w:rFonts w:ascii="Verdana" w:hAnsi="Verdana"/>
        </w:rPr>
        <w:t>en</w:t>
      </w:r>
      <w:r w:rsidRPr="00CA409A">
        <w:rPr>
          <w:rFonts w:ascii="Verdana" w:hAnsi="Verdana"/>
          <w:spacing w:val="-7"/>
        </w:rPr>
        <w:t xml:space="preserve"> </w:t>
      </w:r>
      <w:r w:rsidRPr="00CA409A">
        <w:rPr>
          <w:rFonts w:ascii="Verdana" w:hAnsi="Verdana"/>
        </w:rPr>
        <w:t>la</w:t>
      </w:r>
      <w:r w:rsidRPr="00CA409A">
        <w:rPr>
          <w:rFonts w:ascii="Verdana" w:hAnsi="Verdana"/>
          <w:spacing w:val="-7"/>
        </w:rPr>
        <w:t xml:space="preserve"> </w:t>
      </w:r>
      <w:r w:rsidR="0018166A">
        <w:rPr>
          <w:rFonts w:ascii="Verdana" w:hAnsi="Verdana"/>
          <w:spacing w:val="-7"/>
        </w:rPr>
        <w:t xml:space="preserve">Ley 1150 de 2007 y la </w:t>
      </w:r>
      <w:r w:rsidRPr="00CA409A">
        <w:rPr>
          <w:rFonts w:ascii="Verdana" w:hAnsi="Verdana"/>
        </w:rPr>
        <w:t>Ley</w:t>
      </w:r>
      <w:r w:rsidRPr="00CA409A">
        <w:rPr>
          <w:rFonts w:ascii="Verdana" w:hAnsi="Verdana"/>
          <w:spacing w:val="-8"/>
        </w:rPr>
        <w:t xml:space="preserve"> </w:t>
      </w:r>
      <w:r w:rsidRPr="00CA409A">
        <w:rPr>
          <w:rFonts w:ascii="Verdana" w:hAnsi="Verdana"/>
        </w:rPr>
        <w:t>1712</w:t>
      </w:r>
      <w:r w:rsidRPr="00CA409A">
        <w:rPr>
          <w:rFonts w:ascii="Verdana" w:hAnsi="Verdana"/>
          <w:spacing w:val="-6"/>
        </w:rPr>
        <w:t xml:space="preserve"> </w:t>
      </w:r>
      <w:r w:rsidRPr="00CA409A">
        <w:rPr>
          <w:rFonts w:ascii="Verdana" w:hAnsi="Verdana"/>
        </w:rPr>
        <w:t>de</w:t>
      </w:r>
      <w:r w:rsidRPr="00CA409A">
        <w:rPr>
          <w:rFonts w:ascii="Verdana" w:hAnsi="Verdana"/>
          <w:spacing w:val="-9"/>
        </w:rPr>
        <w:t xml:space="preserve"> </w:t>
      </w:r>
      <w:r w:rsidRPr="00CA409A">
        <w:rPr>
          <w:rFonts w:ascii="Verdana" w:hAnsi="Verdana"/>
        </w:rPr>
        <w:t>2014</w:t>
      </w:r>
      <w:r w:rsidR="0018166A">
        <w:rPr>
          <w:rFonts w:ascii="Verdana" w:hAnsi="Verdana"/>
        </w:rPr>
        <w:t>,</w:t>
      </w:r>
      <w:r w:rsidRPr="00CA409A">
        <w:rPr>
          <w:rFonts w:ascii="Verdana" w:hAnsi="Verdana"/>
          <w:spacing w:val="-7"/>
        </w:rPr>
        <w:t xml:space="preserve"> </w:t>
      </w:r>
      <w:r w:rsidRPr="00CA409A">
        <w:rPr>
          <w:rFonts w:ascii="Verdana" w:hAnsi="Verdana"/>
        </w:rPr>
        <w:t>se</w:t>
      </w:r>
      <w:r w:rsidRPr="00CA409A">
        <w:rPr>
          <w:rFonts w:ascii="Verdana" w:hAnsi="Verdana"/>
          <w:spacing w:val="-6"/>
        </w:rPr>
        <w:t xml:space="preserve"> </w:t>
      </w:r>
      <w:r w:rsidRPr="00CA409A">
        <w:rPr>
          <w:rFonts w:ascii="Verdana" w:hAnsi="Verdana"/>
        </w:rPr>
        <w:t>publicará</w:t>
      </w:r>
      <w:r w:rsidRPr="00CA409A">
        <w:rPr>
          <w:rFonts w:ascii="Verdana" w:hAnsi="Verdana"/>
          <w:spacing w:val="-7"/>
        </w:rPr>
        <w:t xml:space="preserve"> </w:t>
      </w:r>
      <w:r w:rsidRPr="00CA409A">
        <w:rPr>
          <w:rFonts w:ascii="Verdana" w:hAnsi="Verdana"/>
        </w:rPr>
        <w:t>toda la</w:t>
      </w:r>
      <w:r w:rsidRPr="00CA409A">
        <w:rPr>
          <w:rFonts w:ascii="Verdana" w:hAnsi="Verdana"/>
          <w:spacing w:val="-3"/>
        </w:rPr>
        <w:t xml:space="preserve"> </w:t>
      </w:r>
      <w:r w:rsidRPr="00CA409A">
        <w:rPr>
          <w:rFonts w:ascii="Verdana" w:hAnsi="Verdana"/>
        </w:rPr>
        <w:t>información</w:t>
      </w:r>
      <w:r w:rsidRPr="00CA409A">
        <w:rPr>
          <w:rFonts w:ascii="Verdana" w:hAnsi="Verdana"/>
          <w:spacing w:val="-2"/>
        </w:rPr>
        <w:t xml:space="preserve"> </w:t>
      </w:r>
      <w:r w:rsidRPr="00CA409A">
        <w:rPr>
          <w:rFonts w:ascii="Verdana" w:hAnsi="Verdana"/>
        </w:rPr>
        <w:t>que</w:t>
      </w:r>
      <w:r w:rsidRPr="00CA409A">
        <w:rPr>
          <w:rFonts w:ascii="Verdana" w:hAnsi="Verdana"/>
          <w:spacing w:val="-2"/>
        </w:rPr>
        <w:t xml:space="preserve"> </w:t>
      </w:r>
      <w:r w:rsidRPr="00CA409A">
        <w:rPr>
          <w:rFonts w:ascii="Verdana" w:hAnsi="Verdana"/>
        </w:rPr>
        <w:t>se</w:t>
      </w:r>
      <w:r w:rsidRPr="00CA409A">
        <w:rPr>
          <w:rFonts w:ascii="Verdana" w:hAnsi="Verdana"/>
          <w:spacing w:val="-4"/>
        </w:rPr>
        <w:t xml:space="preserve"> </w:t>
      </w:r>
      <w:r w:rsidRPr="00CA409A">
        <w:rPr>
          <w:rFonts w:ascii="Verdana" w:hAnsi="Verdana"/>
        </w:rPr>
        <w:t>genere</w:t>
      </w:r>
      <w:r w:rsidRPr="00CA409A">
        <w:rPr>
          <w:rFonts w:ascii="Verdana" w:hAnsi="Verdana"/>
          <w:spacing w:val="-2"/>
        </w:rPr>
        <w:t xml:space="preserve"> </w:t>
      </w:r>
      <w:r w:rsidRPr="00CA409A">
        <w:rPr>
          <w:rFonts w:ascii="Verdana" w:hAnsi="Verdana"/>
        </w:rPr>
        <w:t>en</w:t>
      </w:r>
      <w:r w:rsidRPr="00CA409A">
        <w:rPr>
          <w:rFonts w:ascii="Verdana" w:hAnsi="Verdana"/>
          <w:spacing w:val="-2"/>
        </w:rPr>
        <w:t xml:space="preserve"> </w:t>
      </w:r>
      <w:r w:rsidRPr="00CA409A">
        <w:rPr>
          <w:rFonts w:ascii="Verdana" w:hAnsi="Verdana"/>
        </w:rPr>
        <w:t>la</w:t>
      </w:r>
      <w:r w:rsidRPr="00CA409A">
        <w:rPr>
          <w:rFonts w:ascii="Verdana" w:hAnsi="Verdana"/>
          <w:spacing w:val="-5"/>
        </w:rPr>
        <w:t xml:space="preserve"> </w:t>
      </w:r>
      <w:r w:rsidRPr="00CA409A">
        <w:rPr>
          <w:rFonts w:ascii="Verdana" w:hAnsi="Verdana"/>
        </w:rPr>
        <w:t>actividad</w:t>
      </w:r>
      <w:r w:rsidRPr="00CA409A">
        <w:rPr>
          <w:rFonts w:ascii="Verdana" w:hAnsi="Verdana"/>
          <w:spacing w:val="-3"/>
        </w:rPr>
        <w:t xml:space="preserve"> </w:t>
      </w:r>
      <w:r w:rsidRPr="00CA409A">
        <w:rPr>
          <w:rFonts w:ascii="Verdana" w:hAnsi="Verdana"/>
        </w:rPr>
        <w:t>contractual,</w:t>
      </w:r>
      <w:r w:rsidRPr="00CA409A">
        <w:rPr>
          <w:rFonts w:ascii="Verdana" w:hAnsi="Verdana"/>
          <w:spacing w:val="-2"/>
        </w:rPr>
        <w:t xml:space="preserve"> </w:t>
      </w:r>
      <w:r w:rsidRPr="00CA409A">
        <w:rPr>
          <w:rFonts w:ascii="Verdana" w:hAnsi="Verdana"/>
        </w:rPr>
        <w:t>salvo</w:t>
      </w:r>
      <w:r w:rsidRPr="00CA409A">
        <w:rPr>
          <w:rFonts w:ascii="Verdana" w:hAnsi="Verdana"/>
          <w:spacing w:val="-2"/>
        </w:rPr>
        <w:t xml:space="preserve"> </w:t>
      </w:r>
      <w:r w:rsidRPr="00CA409A">
        <w:rPr>
          <w:rFonts w:ascii="Verdana" w:hAnsi="Verdana"/>
        </w:rPr>
        <w:t>a</w:t>
      </w:r>
      <w:r w:rsidRPr="00CA409A">
        <w:rPr>
          <w:rFonts w:ascii="Verdana" w:hAnsi="Verdana"/>
          <w:spacing w:val="-3"/>
        </w:rPr>
        <w:t xml:space="preserve"> </w:t>
      </w:r>
      <w:r w:rsidRPr="00CA409A">
        <w:rPr>
          <w:rFonts w:ascii="Verdana" w:hAnsi="Verdana"/>
        </w:rPr>
        <w:t>aquello</w:t>
      </w:r>
      <w:r w:rsidRPr="00CA409A">
        <w:rPr>
          <w:rFonts w:ascii="Verdana" w:hAnsi="Verdana"/>
          <w:spacing w:val="-2"/>
        </w:rPr>
        <w:t xml:space="preserve"> </w:t>
      </w:r>
      <w:r w:rsidRPr="00CA409A">
        <w:rPr>
          <w:rFonts w:ascii="Verdana" w:hAnsi="Verdana"/>
        </w:rPr>
        <w:t>que sea sujeto a reserva legal.</w:t>
      </w:r>
    </w:p>
    <w:p w14:paraId="4A209E2E" w14:textId="77777777" w:rsidR="006F7E5B" w:rsidRPr="00AD6B46" w:rsidRDefault="006F7E5B" w:rsidP="0032557F">
      <w:pPr>
        <w:spacing w:after="120" w:line="276" w:lineRule="auto"/>
        <w:ind w:firstLine="709"/>
        <w:jc w:val="both"/>
        <w:rPr>
          <w:rFonts w:ascii="Verdana" w:eastAsia="Times New Roman" w:hAnsi="Verdana" w:cs="Arial"/>
          <w:lang w:val="es-ES_tradnl" w:eastAsia="es-ES_tradnl"/>
          <w14:ligatures w14:val="standardContextual"/>
        </w:rPr>
      </w:pPr>
      <w:r w:rsidRPr="00AD6B46">
        <w:rPr>
          <w:rFonts w:ascii="Verdana" w:eastAsia="Times New Roman" w:hAnsi="Verdana" w:cs="Arial"/>
          <w:lang w:val="es-ES_tradnl" w:eastAsia="es-ES_tradnl"/>
          <w14:ligatures w14:val="standardContextual"/>
        </w:rPr>
        <w:t>En ese contexto, las Entidades Estatales, conforme al artículo 2.2.1.1.1.7.1 del Decreto 1082 de 2015, tienen la obligación de publicar en el SECOP “[…] los Documentos del Proceso y los actos administrativos del Proceso de Contratación, dentro de los tres (3) días siguientes a su expedición […]”.</w:t>
      </w:r>
    </w:p>
    <w:p w14:paraId="60612E70" w14:textId="77777777" w:rsidR="006F7E5B" w:rsidRPr="00AD6B46" w:rsidRDefault="006F7E5B" w:rsidP="0032557F">
      <w:pPr>
        <w:tabs>
          <w:tab w:val="left" w:pos="709"/>
        </w:tabs>
        <w:spacing w:after="120"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La expresión </w:t>
      </w:r>
      <w:r w:rsidRPr="00AD6B46">
        <w:rPr>
          <w:rFonts w:ascii="Verdana" w:hAnsi="Verdana" w:cs="Arial"/>
          <w:i/>
          <w:iCs/>
          <w:shd w:val="clear" w:color="auto" w:fill="FFFFFF"/>
        </w:rPr>
        <w:t xml:space="preserve">Documentos del Proceso </w:t>
      </w:r>
      <w:r w:rsidRPr="00AD6B46">
        <w:rPr>
          <w:rFonts w:ascii="Verdana" w:hAnsi="Verdana" w:cs="Arial"/>
          <w:shd w:val="clear" w:color="auto" w:fill="FFFFFF"/>
        </w:rPr>
        <w:t xml:space="preserve">está definida en el artículo 2.2.1.1.1.3.1. del Decreto 1082 de 2015, donde se establece que: “son: (a) los estudios y documentos previos; (b) el aviso de convocatoria; (c) los pliegos de condiciones o la invitación; (d) las adendas; (e) la oferta; (f) el informe de evaluación; (g) el contrato; </w:t>
      </w:r>
      <w:r w:rsidRPr="00AD6B46">
        <w:rPr>
          <w:rFonts w:ascii="Verdana" w:hAnsi="Verdana" w:cs="Arial"/>
          <w:i/>
          <w:iCs/>
          <w:shd w:val="clear" w:color="auto" w:fill="FFFFFF"/>
        </w:rPr>
        <w:t>y cualquier otro documento expedido por la Entidad Estatal durante el Proceso de Contratación</w:t>
      </w:r>
      <w:r w:rsidRPr="00AD6B46">
        <w:rPr>
          <w:rFonts w:ascii="Verdana" w:hAnsi="Verdana" w:cs="Arial"/>
          <w:shd w:val="clear" w:color="auto" w:fill="FFFFFF"/>
        </w:rPr>
        <w:t>”. [Énfasis fuera de texto]</w:t>
      </w:r>
    </w:p>
    <w:p w14:paraId="0B3F75D4" w14:textId="0D0A7249" w:rsidR="006F7E5B" w:rsidRPr="00AD6B46" w:rsidRDefault="006F7E5B" w:rsidP="0032557F">
      <w:pPr>
        <w:tabs>
          <w:tab w:val="left" w:pos="709"/>
        </w:tabs>
        <w:spacing w:after="120"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Sin embargo, para identificar los documentos que deben publicarse, es necesario realizar una interpretación sistemática de las disposiciones del Decreto 1082 del 2015, comoquiera que el anterior no es un listado taxativo, sino enunciativo, porque además de los documentos enlistados, el artículo 2.2.1.1.1.3.1 </w:t>
      </w:r>
      <w:r w:rsidRPr="00AD6B46">
        <w:rPr>
          <w:rFonts w:ascii="Verdana" w:hAnsi="Verdana" w:cs="Arial"/>
          <w:i/>
          <w:iCs/>
          <w:shd w:val="clear" w:color="auto" w:fill="FFFFFF"/>
        </w:rPr>
        <w:t>Ibidem</w:t>
      </w:r>
      <w:r w:rsidRPr="00AD6B46">
        <w:rPr>
          <w:rFonts w:ascii="Verdana" w:hAnsi="Verdana" w:cs="Arial"/>
          <w:shd w:val="clear" w:color="auto" w:fill="FFFFFF"/>
        </w:rPr>
        <w:t xml:space="preserve"> recoge en la noción de </w:t>
      </w:r>
      <w:r w:rsidR="005C77A9" w:rsidRPr="00AD6B46">
        <w:rPr>
          <w:rFonts w:ascii="Verdana" w:hAnsi="Verdana" w:cs="Arial"/>
          <w:shd w:val="clear" w:color="auto" w:fill="FFFFFF"/>
        </w:rPr>
        <w:t xml:space="preserve">documentos del proceso </w:t>
      </w:r>
      <w:r w:rsidRPr="00AD6B46">
        <w:rPr>
          <w:rFonts w:ascii="Verdana" w:hAnsi="Verdana" w:cs="Arial"/>
          <w:shd w:val="clear" w:color="auto" w:fill="FFFFFF"/>
        </w:rPr>
        <w:t xml:space="preserve">“cualquier otro documento expedido por la Entidad Estatal durante el Proceso de Contratación”. </w:t>
      </w:r>
    </w:p>
    <w:p w14:paraId="1C97F227" w14:textId="77A43C34" w:rsidR="006F7E5B" w:rsidRPr="00AD6B46" w:rsidRDefault="006F7E5B" w:rsidP="0032557F">
      <w:pPr>
        <w:tabs>
          <w:tab w:val="left" w:pos="709"/>
        </w:tabs>
        <w:spacing w:after="120" w:line="276" w:lineRule="auto"/>
        <w:ind w:firstLine="709"/>
        <w:jc w:val="both"/>
        <w:rPr>
          <w:rFonts w:ascii="Verdana" w:hAnsi="Verdana" w:cs="Arial"/>
          <w:shd w:val="clear" w:color="auto" w:fill="FFFFFF"/>
        </w:rPr>
      </w:pPr>
      <w:r w:rsidRPr="00AD6B46">
        <w:rPr>
          <w:rFonts w:ascii="Verdana" w:hAnsi="Verdana" w:cs="Arial"/>
          <w:shd w:val="clear" w:color="auto" w:fill="FFFFFF"/>
        </w:rPr>
        <w:lastRenderedPageBreak/>
        <w:t xml:space="preserve">Este mismo artículo define la expresión </w:t>
      </w:r>
      <w:r w:rsidR="00114427" w:rsidRPr="00AD6B46">
        <w:rPr>
          <w:rFonts w:ascii="Verdana" w:hAnsi="Verdana" w:cs="Arial"/>
          <w:shd w:val="clear" w:color="auto" w:fill="FFFFFF"/>
        </w:rPr>
        <w:t xml:space="preserve">proceso de contratación </w:t>
      </w:r>
      <w:r w:rsidRPr="00AD6B46">
        <w:rPr>
          <w:rFonts w:ascii="Verdana" w:hAnsi="Verdana" w:cs="Arial"/>
          <w:shd w:val="clear" w:color="auto" w:fill="FFFFFF"/>
        </w:rPr>
        <w:t xml:space="preserve">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Nótese que la norma se refiere a los documentos “expedidos por la entidad estatal” durante el proceso de contratación, excluyendo de la noción de </w:t>
      </w:r>
      <w:r w:rsidR="00114427" w:rsidRPr="00AD6B46">
        <w:rPr>
          <w:rFonts w:ascii="Verdana" w:hAnsi="Verdana" w:cs="Arial"/>
          <w:shd w:val="clear" w:color="auto" w:fill="FFFFFF"/>
        </w:rPr>
        <w:t xml:space="preserve">documentos del proceso </w:t>
      </w:r>
      <w:r w:rsidRPr="00AD6B46">
        <w:rPr>
          <w:rFonts w:ascii="Verdana" w:hAnsi="Verdana" w:cs="Arial"/>
          <w:shd w:val="clear" w:color="auto" w:fill="FFFFFF"/>
        </w:rPr>
        <w:t>los expedidos por un sujeto distinto a la entidad, salvo la oferta, la cual se incluye expresamente en el referido artículo 2.2.1.1.1.3.</w:t>
      </w:r>
    </w:p>
    <w:p w14:paraId="5772CB48" w14:textId="77777777" w:rsidR="005B06E1" w:rsidRDefault="006F7E5B" w:rsidP="005B06E1">
      <w:pPr>
        <w:tabs>
          <w:tab w:val="left" w:pos="709"/>
        </w:tabs>
        <w:spacing w:after="120" w:line="276" w:lineRule="auto"/>
        <w:ind w:firstLine="709"/>
        <w:jc w:val="both"/>
        <w:rPr>
          <w:rFonts w:ascii="Verdana" w:eastAsia="Calibri" w:hAnsi="Verdana" w:cs="Arial"/>
          <w:color w:val="000000"/>
          <w:lang w:val="es-ES_tradnl" w:eastAsia="en-GB"/>
        </w:rPr>
      </w:pPr>
      <w:r w:rsidRPr="00AD6B46">
        <w:rPr>
          <w:rFonts w:ascii="Verdana" w:hAnsi="Verdana" w:cs="Arial"/>
          <w:shd w:val="clear" w:color="auto" w:fill="FFFFFF"/>
        </w:rPr>
        <w:t xml:space="preserve">En ese sentido, la interpretación sistemática de los preceptos del Decreto 1082 de 2015, de acuerdo con el principio de publicidad, inicialmente, indica que las </w:t>
      </w:r>
      <w:r w:rsidR="003D72F8" w:rsidRPr="00AD6B46">
        <w:rPr>
          <w:rFonts w:ascii="Verdana" w:hAnsi="Verdana" w:cs="Arial"/>
          <w:shd w:val="clear" w:color="auto" w:fill="FFFFFF"/>
        </w:rPr>
        <w:t xml:space="preserve">entidades estatales </w:t>
      </w:r>
      <w:r w:rsidRPr="00AD6B46">
        <w:rPr>
          <w:rFonts w:ascii="Verdana" w:hAnsi="Verdana" w:cs="Arial"/>
          <w:shd w:val="clear" w:color="auto" w:fill="FFFFFF"/>
        </w:rPr>
        <w:t xml:space="preserve">tienen la obligación de publicar todos los documentos que expidan con ocasión del </w:t>
      </w:r>
      <w:r w:rsidR="008E29AE" w:rsidRPr="00AD6B46">
        <w:rPr>
          <w:rFonts w:ascii="Verdana" w:hAnsi="Verdana" w:cs="Arial"/>
          <w:shd w:val="clear" w:color="auto" w:fill="FFFFFF"/>
        </w:rPr>
        <w:t>proceso de contratación</w:t>
      </w:r>
      <w:r w:rsidRPr="00AD6B46">
        <w:rPr>
          <w:rFonts w:ascii="Verdana" w:hAnsi="Verdana" w:cs="Arial"/>
          <w:shd w:val="clear" w:color="auto" w:fill="FFFFFF"/>
        </w:rPr>
        <w:t xml:space="preserve">, es decir, que todos los documentos expedidos por la entidad durante las etapas precontractual, de </w:t>
      </w:r>
      <w:r w:rsidRPr="0032557F">
        <w:rPr>
          <w:rFonts w:ascii="Verdana" w:hAnsi="Verdana" w:cs="Arial"/>
          <w:i/>
          <w:iCs/>
          <w:shd w:val="clear" w:color="auto" w:fill="FFFFFF"/>
        </w:rPr>
        <w:t>ejecución</w:t>
      </w:r>
      <w:r w:rsidRPr="00AD6B46">
        <w:rPr>
          <w:rFonts w:ascii="Verdana" w:hAnsi="Verdana" w:cs="Arial"/>
          <w:shd w:val="clear" w:color="auto" w:fill="FFFFFF"/>
        </w:rPr>
        <w:t xml:space="preserve"> y </w:t>
      </w:r>
      <w:proofErr w:type="spellStart"/>
      <w:r w:rsidRPr="00AD6B46">
        <w:rPr>
          <w:rFonts w:ascii="Verdana" w:hAnsi="Verdana" w:cs="Arial"/>
          <w:shd w:val="clear" w:color="auto" w:fill="FFFFFF"/>
        </w:rPr>
        <w:t>postcontractual</w:t>
      </w:r>
      <w:proofErr w:type="spellEnd"/>
      <w:r w:rsidRPr="00AD6B46">
        <w:rPr>
          <w:rFonts w:ascii="Verdana" w:hAnsi="Verdana" w:cs="Arial"/>
          <w:shd w:val="clear" w:color="auto" w:fill="FFFFFF"/>
        </w:rPr>
        <w:t xml:space="preserve"> deberán publicarse en SECOP dentro de los tres (3) días siguientes a su expedición, para cumplir el deber de publicidad regulado por el artículo 2.2.1.1.1.7.1. del Decreto 1082 de 2015.</w:t>
      </w:r>
      <w:r w:rsidR="003D72F8">
        <w:rPr>
          <w:rFonts w:ascii="Verdana" w:hAnsi="Verdana" w:cs="Arial"/>
          <w:shd w:val="clear" w:color="auto" w:fill="FFFFFF"/>
        </w:rPr>
        <w:t xml:space="preserve"> Dentro de esos documentos se encuentran </w:t>
      </w:r>
      <w:r w:rsidR="005B06E1">
        <w:rPr>
          <w:rFonts w:ascii="Verdana" w:hAnsi="Verdana" w:cs="Arial"/>
          <w:shd w:val="clear" w:color="auto" w:fill="FFFFFF"/>
        </w:rPr>
        <w:t xml:space="preserve">para la </w:t>
      </w:r>
      <w:proofErr w:type="spellStart"/>
      <w:r w:rsidR="005B06E1">
        <w:rPr>
          <w:rFonts w:ascii="Verdana" w:hAnsi="Verdana" w:cs="Arial"/>
          <w:shd w:val="clear" w:color="auto" w:fill="FFFFFF"/>
        </w:rPr>
        <w:t>contratacion</w:t>
      </w:r>
      <w:proofErr w:type="spellEnd"/>
      <w:r w:rsidR="005B06E1">
        <w:rPr>
          <w:rFonts w:ascii="Verdana" w:hAnsi="Verdana" w:cs="Arial"/>
          <w:shd w:val="clear" w:color="auto" w:fill="FFFFFF"/>
        </w:rPr>
        <w:t xml:space="preserve"> directa y suscripción de contratos de prestación de servicios los documentos del oferente y/o futuro contratista, los </w:t>
      </w:r>
      <w:r w:rsidR="005B06E1">
        <w:rPr>
          <w:rFonts w:ascii="Verdana" w:hAnsi="Verdana"/>
        </w:rPr>
        <w:t xml:space="preserve">dicho </w:t>
      </w:r>
      <w:r w:rsidR="00BC7D7E">
        <w:rPr>
          <w:rFonts w:ascii="Verdana" w:hAnsi="Verdana"/>
        </w:rPr>
        <w:t xml:space="preserve">el proveedor o contratista </w:t>
      </w:r>
      <w:r w:rsidR="00BC7D7E">
        <w:rPr>
          <w:rFonts w:ascii="Verdana" w:eastAsia="Calibri" w:hAnsi="Verdana" w:cs="Arial"/>
          <w:color w:val="000000"/>
          <w:lang w:val="es-ES_tradnl" w:eastAsia="en-GB"/>
        </w:rPr>
        <w:t>puede solicitar la confidencialidad sobre algún documento. Los documentos marcados como confidenciales no serán públicos, es decir, solo serán visibles para la entidad y el proveedor. Por lo cual, la opción de confidencialidad sobre los documentos del proveedor es una responsabilidad de las partes. Así mismo, como entidad estatal también podrá seleccionar la confidencialidad sobre algún documento de carácter confidencial, reservado con información sensible</w:t>
      </w:r>
      <w:r w:rsidR="00BC7D7E">
        <w:rPr>
          <w:rStyle w:val="Refdenotaalpie"/>
          <w:rFonts w:ascii="Verdana" w:eastAsia="Calibri" w:hAnsi="Verdana" w:cs="Arial"/>
          <w:color w:val="000000"/>
          <w:lang w:val="es-ES_tradnl" w:eastAsia="en-GB"/>
        </w:rPr>
        <w:footnoteReference w:id="12"/>
      </w:r>
      <w:r w:rsidR="00BC7D7E">
        <w:rPr>
          <w:rFonts w:ascii="Verdana" w:eastAsia="Calibri" w:hAnsi="Verdana" w:cs="Arial"/>
          <w:color w:val="000000"/>
          <w:lang w:val="es-ES_tradnl" w:eastAsia="en-GB"/>
        </w:rPr>
        <w:t xml:space="preserve">. </w:t>
      </w:r>
    </w:p>
    <w:p w14:paraId="18268CDA" w14:textId="5049531F" w:rsidR="005B06E1" w:rsidRPr="005B06E1" w:rsidRDefault="005B06E1" w:rsidP="005B06E1">
      <w:pPr>
        <w:tabs>
          <w:tab w:val="left" w:pos="709"/>
        </w:tabs>
        <w:spacing w:after="120" w:line="276" w:lineRule="auto"/>
        <w:ind w:firstLine="709"/>
        <w:jc w:val="both"/>
        <w:rPr>
          <w:rFonts w:ascii="Verdana" w:eastAsia="Calibri" w:hAnsi="Verdana" w:cs="Arial"/>
          <w:color w:val="000000"/>
          <w:lang w:eastAsia="en-GB"/>
        </w:rPr>
      </w:pPr>
      <w:r>
        <w:rPr>
          <w:rFonts w:ascii="Verdana" w:eastAsia="Calibri" w:hAnsi="Verdana" w:cs="Arial"/>
          <w:color w:val="000000"/>
          <w:lang w:val="es-ES_tradnl" w:eastAsia="en-GB"/>
        </w:rPr>
        <w:t xml:space="preserve">Lo anterior, </w:t>
      </w:r>
      <w:r>
        <w:rPr>
          <w:rFonts w:ascii="Verdana" w:eastAsia="Calibri" w:hAnsi="Verdana" w:cs="Arial"/>
          <w:color w:val="000000"/>
          <w:lang w:eastAsia="en-GB"/>
        </w:rPr>
        <w:t>va de la mano a l</w:t>
      </w:r>
      <w:r w:rsidRPr="005B06E1">
        <w:rPr>
          <w:rFonts w:ascii="Verdana" w:eastAsia="Calibri" w:hAnsi="Verdana" w:cs="Arial"/>
          <w:color w:val="000000"/>
          <w:lang w:eastAsia="en-GB"/>
        </w:rPr>
        <w:t xml:space="preserve">os principios de transparencia y publicidad que rigen la contratación estatal </w:t>
      </w:r>
      <w:r>
        <w:rPr>
          <w:rFonts w:ascii="Verdana" w:eastAsia="Calibri" w:hAnsi="Verdana" w:cs="Arial"/>
          <w:color w:val="000000"/>
          <w:lang w:eastAsia="en-GB"/>
        </w:rPr>
        <w:t xml:space="preserve">los cuales </w:t>
      </w:r>
      <w:r w:rsidRPr="005B06E1">
        <w:rPr>
          <w:rFonts w:ascii="Verdana" w:eastAsia="Calibri" w:hAnsi="Verdana" w:cs="Arial"/>
          <w:color w:val="000000"/>
          <w:lang w:eastAsia="en-GB"/>
        </w:rPr>
        <w:t xml:space="preserve">imponen a las entidades públicas el deber de garantizar el acceso a la información relacionada con la actividad contractual y de publicar en el Sistema Electrónico para la Contratación Pública (SECOP) los documentos que soportan las diferentes etapas del proceso contractual, incluidos aquellos que acreditan la idoneidad y experiencia del </w:t>
      </w:r>
      <w:r w:rsidRPr="005B06E1">
        <w:rPr>
          <w:rFonts w:ascii="Verdana" w:eastAsia="Calibri" w:hAnsi="Verdana" w:cs="Arial"/>
          <w:color w:val="000000"/>
          <w:lang w:eastAsia="en-GB"/>
        </w:rPr>
        <w:lastRenderedPageBreak/>
        <w:t>contratista en los contratos de prestación de servicios profesionales y de apoyo a la gestión.</w:t>
      </w:r>
    </w:p>
    <w:p w14:paraId="19F6385A" w14:textId="77777777" w:rsidR="005B06E1" w:rsidRPr="005B06E1" w:rsidRDefault="005B06E1" w:rsidP="005B06E1">
      <w:pPr>
        <w:tabs>
          <w:tab w:val="left" w:pos="709"/>
        </w:tabs>
        <w:spacing w:after="120" w:line="276" w:lineRule="auto"/>
        <w:ind w:firstLine="709"/>
        <w:jc w:val="both"/>
        <w:rPr>
          <w:rFonts w:ascii="Verdana" w:eastAsia="Calibri" w:hAnsi="Verdana" w:cs="Arial"/>
          <w:color w:val="000000"/>
          <w:lang w:eastAsia="en-GB"/>
        </w:rPr>
      </w:pPr>
      <w:r w:rsidRPr="005B06E1">
        <w:rPr>
          <w:rFonts w:ascii="Verdana" w:eastAsia="Calibri" w:hAnsi="Verdana" w:cs="Arial"/>
          <w:color w:val="000000"/>
          <w:lang w:eastAsia="en-GB"/>
        </w:rPr>
        <w:t>No obstante, dichos principios no tienen carácter absoluto. Su aplicación debe armonizarse con los derechos fundamentales a la intimidad y al habeas data, así como con las disposiciones sobre protección de datos personales y acceso a la información pública. En consecuencia, la publicidad de los documentos que soportan la idoneidad del contratista procede en la medida en que resulte necesaria para garantizar la transparencia de la actuación administrativa y permitir el control ciudadano, sin perjuicio de la obligación de las entidades de proteger la información clasificada o reservada y de adoptar las medidas necesarias para evitar la divulgación de datos personales sensibles o de información cuya publicidad se encuentre restringida por disposición constitucional o legal.</w:t>
      </w:r>
    </w:p>
    <w:p w14:paraId="15DC8E2B" w14:textId="77777777" w:rsidR="005B06E1" w:rsidRPr="005B06E1" w:rsidRDefault="005B06E1" w:rsidP="005B06E1">
      <w:pPr>
        <w:tabs>
          <w:tab w:val="left" w:pos="709"/>
        </w:tabs>
        <w:spacing w:after="120" w:line="276" w:lineRule="auto"/>
        <w:ind w:firstLine="709"/>
        <w:jc w:val="both"/>
        <w:rPr>
          <w:rFonts w:ascii="Verdana" w:eastAsia="Calibri" w:hAnsi="Verdana" w:cs="Arial"/>
          <w:color w:val="000000"/>
          <w:lang w:eastAsia="en-GB"/>
        </w:rPr>
      </w:pPr>
      <w:r w:rsidRPr="005B06E1">
        <w:rPr>
          <w:rFonts w:ascii="Verdana" w:eastAsia="Calibri" w:hAnsi="Verdana" w:cs="Arial"/>
          <w:color w:val="000000"/>
          <w:lang w:eastAsia="en-GB"/>
        </w:rPr>
        <w:t>Así, los soportes de formación académica, experiencia e idoneidad que justifican la contratación directa de una persona natural constituyen documentos del expediente contractual y, en principio, deben ser objeto de publicidad en SECOP, salvo respecto de aquella información que se encuentre amparada por reserva legal o cuya divulgación implique la vulneración de derechos constitucionales, caso en el cual la entidad deberá efectuar la correspondiente anonimización o aplicar las restricciones previstas en el ordenamiento jurídico</w:t>
      </w:r>
    </w:p>
    <w:p w14:paraId="2240AB2F" w14:textId="3D0A58EF" w:rsidR="00BC7D7E" w:rsidRPr="008C5FD3" w:rsidRDefault="005B06E1" w:rsidP="005B06E1">
      <w:pPr>
        <w:widowControl w:val="0"/>
        <w:autoSpaceDE w:val="0"/>
        <w:autoSpaceDN w:val="0"/>
        <w:spacing w:after="0" w:line="276" w:lineRule="auto"/>
        <w:ind w:firstLine="709"/>
        <w:jc w:val="both"/>
        <w:rPr>
          <w:rFonts w:ascii="Verdana" w:eastAsia="Calibri" w:hAnsi="Verdana" w:cs="Arial"/>
          <w:color w:val="000000"/>
          <w:lang w:val="es-ES_tradnl" w:eastAsia="en-GB"/>
        </w:rPr>
      </w:pPr>
      <w:r>
        <w:rPr>
          <w:rFonts w:ascii="Verdana" w:eastAsia="Calibri" w:hAnsi="Verdana" w:cs="Times New Roman"/>
          <w:lang w:val="es-ES"/>
        </w:rPr>
        <w:t>Finalmente</w:t>
      </w:r>
      <w:r w:rsidRPr="00DB4737">
        <w:rPr>
          <w:rFonts w:ascii="Verdana" w:eastAsia="Calibri" w:hAnsi="Verdana" w:cs="Times New Roman"/>
          <w:lang w:val="es-ES"/>
        </w:rPr>
        <w:t>,</w:t>
      </w:r>
      <w:r>
        <w:rPr>
          <w:rFonts w:ascii="Verdana" w:eastAsia="Calibri" w:hAnsi="Verdana" w:cs="Times New Roman"/>
          <w:lang w:val="es-ES"/>
        </w:rPr>
        <w:t xml:space="preserve"> debe advertirse que</w:t>
      </w:r>
      <w:r w:rsidRPr="00DB4737">
        <w:rPr>
          <w:rFonts w:ascii="Verdana" w:eastAsia="Calibri" w:hAnsi="Verdana" w:cs="Times New Roman"/>
          <w:lang w:val="es-ES"/>
        </w:rPr>
        <w:t xml:space="preserve">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r w:rsidRPr="00BE1034">
        <w:rPr>
          <w:rFonts w:ascii="Verdana" w:eastAsia="Calibri" w:hAnsi="Verdana" w:cs="Arial"/>
        </w:rPr>
        <w:t xml:space="preserve"> </w:t>
      </w:r>
    </w:p>
    <w:p w14:paraId="27B33BC6" w14:textId="77777777" w:rsidR="00BC7D7E" w:rsidRDefault="00BC7D7E" w:rsidP="00A216B9">
      <w:pPr>
        <w:spacing w:after="0" w:line="276" w:lineRule="auto"/>
        <w:jc w:val="both"/>
        <w:rPr>
          <w:rFonts w:ascii="Verdana" w:eastAsia="Calibri" w:hAnsi="Verdana" w:cs="Arial"/>
          <w:lang w:val="es-ES"/>
        </w:rPr>
      </w:pPr>
    </w:p>
    <w:p w14:paraId="2208DB25" w14:textId="77777777" w:rsidR="00BC7D7E" w:rsidRPr="0060676F" w:rsidRDefault="00BC7D7E" w:rsidP="0032557F">
      <w:pPr>
        <w:pStyle w:val="Prrafodelista"/>
        <w:numPr>
          <w:ilvl w:val="0"/>
          <w:numId w:val="16"/>
        </w:numPr>
        <w:spacing w:after="0" w:line="276" w:lineRule="auto"/>
        <w:ind w:left="284"/>
        <w:jc w:val="both"/>
        <w:rPr>
          <w:rFonts w:ascii="Verdana" w:eastAsia="Century Gothic" w:hAnsi="Verdana" w:cs="Century Gothic"/>
          <w:b/>
          <w:bCs/>
        </w:rPr>
      </w:pPr>
      <w:r w:rsidRPr="0060676F">
        <w:rPr>
          <w:rFonts w:ascii="Verdana" w:eastAsia="Century Gothic" w:hAnsi="Verdana" w:cs="Century Gothic"/>
          <w:b/>
          <w:bCs/>
        </w:rPr>
        <w:t>Referencias normativas, jurisprudenciales y otras fuentes:</w:t>
      </w:r>
    </w:p>
    <w:p w14:paraId="48CBE778" w14:textId="77777777" w:rsidR="00BC7D7E" w:rsidRPr="00593A5F" w:rsidRDefault="00BC7D7E" w:rsidP="00A216B9">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C7D7E" w:rsidRPr="00593A5F" w14:paraId="755BC5EE" w14:textId="77777777" w:rsidTr="00851EFB">
        <w:trPr>
          <w:trHeight w:val="870"/>
        </w:trPr>
        <w:tc>
          <w:tcPr>
            <w:tcW w:w="8647" w:type="dxa"/>
          </w:tcPr>
          <w:p w14:paraId="517BB5F1" w14:textId="77777777" w:rsidR="00BC7D7E" w:rsidRPr="00A216B9" w:rsidRDefault="00BC7D7E" w:rsidP="0032557F">
            <w:pPr>
              <w:pStyle w:val="Prrafodelista"/>
              <w:numPr>
                <w:ilvl w:val="0"/>
                <w:numId w:val="17"/>
              </w:numPr>
              <w:spacing w:after="120" w:line="276" w:lineRule="auto"/>
              <w:ind w:left="714" w:hanging="357"/>
              <w:contextualSpacing w:val="0"/>
              <w:jc w:val="both"/>
              <w:rPr>
                <w:rFonts w:ascii="Verdana" w:eastAsia="Calibri" w:hAnsi="Verdana" w:cs="Arial"/>
                <w:lang w:val="es-ES_tradnl"/>
              </w:rPr>
            </w:pPr>
            <w:r w:rsidRPr="00A216B9">
              <w:rPr>
                <w:rFonts w:ascii="Verdana" w:eastAsia="Calibri" w:hAnsi="Verdana" w:cs="Arial"/>
                <w:lang w:val="es-ES_tradnl"/>
              </w:rPr>
              <w:t>Constitución Política. Artículos 74 y 209.</w:t>
            </w:r>
          </w:p>
          <w:p w14:paraId="11FFC61B" w14:textId="77777777" w:rsidR="00BC7D7E" w:rsidRPr="00A216B9" w:rsidRDefault="00BC7D7E" w:rsidP="0032557F">
            <w:pPr>
              <w:pStyle w:val="Prrafodelista"/>
              <w:numPr>
                <w:ilvl w:val="0"/>
                <w:numId w:val="17"/>
              </w:numPr>
              <w:spacing w:after="120" w:line="276" w:lineRule="auto"/>
              <w:ind w:left="714" w:hanging="357"/>
              <w:contextualSpacing w:val="0"/>
              <w:jc w:val="both"/>
              <w:rPr>
                <w:rFonts w:ascii="Verdana" w:hAnsi="Verdana"/>
              </w:rPr>
            </w:pPr>
            <w:r w:rsidRPr="00A216B9">
              <w:rPr>
                <w:rFonts w:ascii="Verdana" w:hAnsi="Verdana"/>
              </w:rPr>
              <w:t xml:space="preserve">Ley 1150 de 2007. Artículo 3 literal c), artículo 13. </w:t>
            </w:r>
          </w:p>
          <w:p w14:paraId="2E102F39" w14:textId="4195D344" w:rsidR="00A216B9" w:rsidRPr="00A216B9" w:rsidRDefault="00A216B9" w:rsidP="0032557F">
            <w:pPr>
              <w:pStyle w:val="Prrafodelista"/>
              <w:numPr>
                <w:ilvl w:val="0"/>
                <w:numId w:val="17"/>
              </w:numPr>
              <w:spacing w:after="120" w:line="276" w:lineRule="auto"/>
              <w:ind w:left="714" w:hanging="357"/>
              <w:contextualSpacing w:val="0"/>
              <w:jc w:val="both"/>
              <w:rPr>
                <w:rFonts w:ascii="Verdana" w:hAnsi="Verdana"/>
              </w:rPr>
            </w:pPr>
            <w:r w:rsidRPr="00A216B9">
              <w:rPr>
                <w:rFonts w:ascii="Verdana" w:eastAsia="Arial" w:hAnsi="Verdana" w:cs="Arial"/>
                <w:color w:val="000000" w:themeColor="text1"/>
              </w:rPr>
              <w:t>Ley 1266 de 2008. Artículos 3 literales g) y h</w:t>
            </w:r>
            <w:proofErr w:type="gramStart"/>
            <w:r w:rsidRPr="00A216B9">
              <w:rPr>
                <w:rFonts w:ascii="Verdana" w:eastAsia="Arial" w:hAnsi="Verdana" w:cs="Arial"/>
                <w:color w:val="000000" w:themeColor="text1"/>
              </w:rPr>
              <w:t>).</w:t>
            </w:r>
            <w:r w:rsidRPr="00A216B9">
              <w:rPr>
                <w:rFonts w:ascii="Verdana" w:eastAsia="Calibri" w:hAnsi="Verdana" w:cs="Arial"/>
                <w:lang w:val="es-CO"/>
              </w:rPr>
              <w:t>Ley</w:t>
            </w:r>
            <w:proofErr w:type="gramEnd"/>
            <w:r w:rsidRPr="00A216B9">
              <w:rPr>
                <w:rFonts w:ascii="Verdana" w:eastAsia="Calibri" w:hAnsi="Verdana" w:cs="Arial"/>
                <w:lang w:val="es-CO"/>
              </w:rPr>
              <w:t xml:space="preserve"> 2195 de 2022. Artículo 53.</w:t>
            </w:r>
          </w:p>
          <w:p w14:paraId="26CF2FE2" w14:textId="77777777" w:rsidR="00A216B9" w:rsidRPr="00A216B9" w:rsidRDefault="00A216B9" w:rsidP="0032557F">
            <w:pPr>
              <w:pStyle w:val="Prrafodelista"/>
              <w:numPr>
                <w:ilvl w:val="0"/>
                <w:numId w:val="17"/>
              </w:numPr>
              <w:spacing w:after="120" w:line="276" w:lineRule="auto"/>
              <w:ind w:left="714" w:hanging="357"/>
              <w:contextualSpacing w:val="0"/>
              <w:jc w:val="both"/>
              <w:rPr>
                <w:rFonts w:ascii="Verdana" w:hAnsi="Verdana"/>
              </w:rPr>
            </w:pPr>
            <w:r w:rsidRPr="00A216B9">
              <w:rPr>
                <w:rFonts w:ascii="Verdana" w:eastAsia="Calibri" w:hAnsi="Verdana" w:cs="Arial"/>
                <w:lang w:val="es-MX"/>
              </w:rPr>
              <w:lastRenderedPageBreak/>
              <w:t>Ley 1437 de 2011 Artículos: 24 y 25.</w:t>
            </w:r>
          </w:p>
          <w:p w14:paraId="4409289A" w14:textId="77777777" w:rsidR="00A216B9" w:rsidRPr="00A216B9" w:rsidRDefault="00A216B9" w:rsidP="0032557F">
            <w:pPr>
              <w:pStyle w:val="Prrafodelista"/>
              <w:numPr>
                <w:ilvl w:val="0"/>
                <w:numId w:val="17"/>
              </w:numPr>
              <w:spacing w:after="120" w:line="276" w:lineRule="auto"/>
              <w:ind w:left="714" w:hanging="357"/>
              <w:contextualSpacing w:val="0"/>
              <w:jc w:val="both"/>
              <w:rPr>
                <w:rFonts w:ascii="Verdana" w:hAnsi="Verdana"/>
              </w:rPr>
            </w:pPr>
            <w:r w:rsidRPr="00A216B9">
              <w:rPr>
                <w:rFonts w:ascii="Verdana" w:eastAsia="Arial" w:hAnsi="Verdana" w:cs="Arial"/>
                <w:color w:val="000000" w:themeColor="text1"/>
              </w:rPr>
              <w:t xml:space="preserve">Ley 1581 de 2012. Artículos: 3, 5 y 7. </w:t>
            </w:r>
          </w:p>
          <w:p w14:paraId="1C5FAE56" w14:textId="77777777" w:rsidR="00BC7D7E" w:rsidRPr="00A216B9" w:rsidRDefault="00BC7D7E" w:rsidP="0032557F">
            <w:pPr>
              <w:pStyle w:val="Prrafodelista"/>
              <w:numPr>
                <w:ilvl w:val="0"/>
                <w:numId w:val="17"/>
              </w:numPr>
              <w:spacing w:after="120" w:line="276" w:lineRule="auto"/>
              <w:ind w:left="714" w:hanging="357"/>
              <w:contextualSpacing w:val="0"/>
              <w:jc w:val="both"/>
              <w:rPr>
                <w:rFonts w:ascii="Verdana" w:hAnsi="Verdana"/>
              </w:rPr>
            </w:pPr>
            <w:r w:rsidRPr="00A216B9">
              <w:rPr>
                <w:rFonts w:ascii="Verdana" w:hAnsi="Verdana"/>
              </w:rPr>
              <w:t xml:space="preserve">Ley 1712 de 2024. Artículos: 2, 3, 5, 9 literal e), 11 literal g), 18, 19, 21. </w:t>
            </w:r>
          </w:p>
          <w:p w14:paraId="2B6C6605" w14:textId="77777777" w:rsidR="00BC7D7E" w:rsidRPr="00A216B9" w:rsidRDefault="00BC7D7E" w:rsidP="0032557F">
            <w:pPr>
              <w:pStyle w:val="Prrafodelista"/>
              <w:numPr>
                <w:ilvl w:val="0"/>
                <w:numId w:val="17"/>
              </w:numPr>
              <w:spacing w:after="120" w:line="276" w:lineRule="auto"/>
              <w:ind w:left="714" w:hanging="357"/>
              <w:contextualSpacing w:val="0"/>
              <w:jc w:val="both"/>
              <w:rPr>
                <w:rFonts w:ascii="Verdana" w:hAnsi="Verdana"/>
              </w:rPr>
            </w:pPr>
            <w:r w:rsidRPr="00A216B9">
              <w:rPr>
                <w:rFonts w:ascii="Verdana" w:eastAsia="Arial" w:hAnsi="Verdana" w:cs="Arial"/>
                <w:color w:val="000000" w:themeColor="text1"/>
              </w:rPr>
              <w:t xml:space="preserve">Decreto 1377 de 2013. Artículo 3 numeral 3. </w:t>
            </w:r>
          </w:p>
          <w:p w14:paraId="78929A51" w14:textId="7A322346" w:rsidR="00BC7D7E" w:rsidRPr="0032557F" w:rsidRDefault="00BC7D7E" w:rsidP="0032557F">
            <w:pPr>
              <w:pStyle w:val="Prrafodelista"/>
              <w:numPr>
                <w:ilvl w:val="0"/>
                <w:numId w:val="17"/>
              </w:numPr>
              <w:spacing w:after="120" w:line="276" w:lineRule="auto"/>
              <w:ind w:left="714" w:hanging="357"/>
              <w:contextualSpacing w:val="0"/>
              <w:jc w:val="both"/>
              <w:rPr>
                <w:rFonts w:ascii="Verdana" w:hAnsi="Verdana"/>
              </w:rPr>
            </w:pPr>
            <w:r w:rsidRPr="00A216B9">
              <w:rPr>
                <w:rFonts w:ascii="Verdana" w:eastAsia="Arial" w:hAnsi="Verdana" w:cs="Arial"/>
                <w:color w:val="000000" w:themeColor="text1"/>
              </w:rPr>
              <w:t>Decreto 1081 de 2015. Artículo 2.1.1.4.1.2.</w:t>
            </w:r>
          </w:p>
          <w:p w14:paraId="7732B540" w14:textId="6AED1D61" w:rsidR="00F03AC1" w:rsidRPr="0032557F" w:rsidRDefault="00F03AC1" w:rsidP="0032557F">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lang w:val="es-ES_tradnl"/>
              </w:rPr>
              <w:t>Decreto 1082 de 2015</w:t>
            </w:r>
            <w:r>
              <w:rPr>
                <w:rFonts w:ascii="Verdana" w:hAnsi="Verdana" w:cs="Arial"/>
                <w:lang w:val="es-ES_tradnl"/>
              </w:rPr>
              <w:t>. A</w:t>
            </w:r>
            <w:r w:rsidRPr="00AD6B46">
              <w:rPr>
                <w:rFonts w:ascii="Verdana" w:hAnsi="Verdana" w:cs="Arial"/>
                <w:lang w:val="es-ES_tradnl"/>
              </w:rPr>
              <w:t>rtículos 2.2.1.1.1.7.1, 2.2.1.1.1.3.1., 2.2.2.1.8.3., 2.2.2.1.5.11., 2.2.2.1.12.7.</w:t>
            </w:r>
          </w:p>
          <w:p w14:paraId="2B3700BA" w14:textId="77777777" w:rsidR="00BC7D7E" w:rsidRPr="00A216B9" w:rsidRDefault="00BC7D7E" w:rsidP="0032557F">
            <w:pPr>
              <w:pStyle w:val="Prrafodelista"/>
              <w:numPr>
                <w:ilvl w:val="0"/>
                <w:numId w:val="17"/>
              </w:numPr>
              <w:spacing w:after="120" w:line="276" w:lineRule="auto"/>
              <w:ind w:left="714" w:hanging="357"/>
              <w:contextualSpacing w:val="0"/>
              <w:jc w:val="both"/>
              <w:rPr>
                <w:rFonts w:ascii="Verdana" w:hAnsi="Verdana"/>
              </w:rPr>
            </w:pPr>
            <w:r w:rsidRPr="00A216B9">
              <w:rPr>
                <w:rFonts w:ascii="Verdana" w:hAnsi="Verdana"/>
              </w:rPr>
              <w:t>Corte Constitucional. Sentencia C- 341 del 4 de junio de 2014. M. P. Mauricio González Cuervo.</w:t>
            </w:r>
          </w:p>
          <w:p w14:paraId="7823973D" w14:textId="77777777" w:rsidR="00BC7D7E" w:rsidRPr="00A216B9" w:rsidRDefault="00BC7D7E" w:rsidP="0032557F">
            <w:pPr>
              <w:pStyle w:val="Prrafodelista"/>
              <w:numPr>
                <w:ilvl w:val="0"/>
                <w:numId w:val="17"/>
              </w:numPr>
              <w:spacing w:after="120" w:line="276" w:lineRule="auto"/>
              <w:ind w:left="714" w:hanging="357"/>
              <w:contextualSpacing w:val="0"/>
              <w:jc w:val="both"/>
              <w:rPr>
                <w:rFonts w:ascii="Verdana" w:hAnsi="Verdana"/>
              </w:rPr>
            </w:pPr>
            <w:r w:rsidRPr="00A216B9">
              <w:rPr>
                <w:rFonts w:ascii="Verdana" w:hAnsi="Verdana" w:cs="Arial"/>
                <w:lang w:val="es-ES_tradnl"/>
              </w:rPr>
              <w:t xml:space="preserve">Consejo de Estado. Sección Tercera. Subsección C. Auto del 14 de agosto de 2017. </w:t>
            </w:r>
            <w:proofErr w:type="spellStart"/>
            <w:r w:rsidRPr="00A216B9">
              <w:rPr>
                <w:rFonts w:ascii="Verdana" w:hAnsi="Verdana" w:cs="Arial"/>
                <w:lang w:val="es-ES_tradnl"/>
              </w:rPr>
              <w:t>Exp</w:t>
            </w:r>
            <w:proofErr w:type="spellEnd"/>
            <w:r w:rsidRPr="00A216B9">
              <w:rPr>
                <w:rFonts w:ascii="Verdana" w:hAnsi="Verdana" w:cs="Arial"/>
                <w:lang w:val="es-ES_tradnl"/>
              </w:rPr>
              <w:t>. 58.820. C.P. Jaime Orlando Santofimio Gamboa.</w:t>
            </w:r>
          </w:p>
          <w:p w14:paraId="7EAE0752" w14:textId="7F64D422" w:rsidR="00BC7D7E" w:rsidRPr="0032557F" w:rsidRDefault="00BC7D7E" w:rsidP="0032557F">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A216B9">
              <w:rPr>
                <w:rFonts w:ascii="Verdana" w:hAnsi="Verdana"/>
              </w:rPr>
              <w:t xml:space="preserve">Circular Única Externa de la Agencia Nacional de Contratación Pública. </w:t>
            </w:r>
            <w:proofErr w:type="gramStart"/>
            <w:r w:rsidR="00BF13A6" w:rsidRPr="00BF13A6">
              <w:rPr>
                <w:rFonts w:ascii="Verdana" w:hAnsi="Verdana"/>
              </w:rPr>
              <w:t>https://www.colombiacompra.gov.co/wp-content/uploads/2024/08/circular_externa_unica_version_3_vf49.pdf</w:t>
            </w:r>
            <w:r w:rsidR="00BF13A6">
              <w:rPr>
                <w:rFonts w:ascii="Verdana" w:hAnsi="Verdana"/>
              </w:rPr>
              <w:t xml:space="preserve">  </w:t>
            </w:r>
            <w:r w:rsidR="00B02370" w:rsidRPr="00AD6B46">
              <w:rPr>
                <w:rFonts w:ascii="Verdana" w:eastAsia="Calibri" w:hAnsi="Verdana" w:cs="Arial"/>
                <w:color w:val="000000"/>
                <w:lang w:val="es-ES"/>
              </w:rPr>
              <w:t>Acuerdo</w:t>
            </w:r>
            <w:proofErr w:type="gramEnd"/>
            <w:r w:rsidR="00B02370" w:rsidRPr="00AD6B46">
              <w:rPr>
                <w:rFonts w:ascii="Verdana" w:eastAsia="Calibri" w:hAnsi="Verdana" w:cs="Arial"/>
                <w:color w:val="000000"/>
                <w:lang w:val="es-ES"/>
              </w:rPr>
              <w:t xml:space="preserve"> 001 de 2024 “Por el cual se establece el Acuerdo Único de la Función Archivística, se definen los criterios técnicos y jurídicos para su implementación en el Estado Colombiano y se fijan otras disposiciones”</w:t>
            </w:r>
            <w:r w:rsidR="00B02370">
              <w:rPr>
                <w:rFonts w:ascii="Verdana" w:eastAsia="Calibri" w:hAnsi="Verdana" w:cs="Arial"/>
                <w:color w:val="000000"/>
                <w:lang w:val="es-ES"/>
              </w:rPr>
              <w:t>. A</w:t>
            </w:r>
            <w:r w:rsidR="00B02370" w:rsidRPr="00AD6B46">
              <w:rPr>
                <w:rFonts w:ascii="Verdana" w:eastAsia="Calibri" w:hAnsi="Verdana" w:cs="Arial"/>
                <w:color w:val="000000"/>
                <w:lang w:val="es-ES"/>
              </w:rPr>
              <w:t xml:space="preserve">rtículo 7.1.3. </w:t>
            </w:r>
          </w:p>
        </w:tc>
      </w:tr>
    </w:tbl>
    <w:p w14:paraId="5CC52017" w14:textId="77777777" w:rsidR="00BC7D7E" w:rsidRDefault="00BC7D7E" w:rsidP="00BC7D7E">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116CEA1A" w14:textId="77777777" w:rsidR="00BC7D7E" w:rsidRDefault="00BC7D7E" w:rsidP="00BC7D7E">
      <w:pPr>
        <w:pStyle w:val="Prrafodelista"/>
        <w:numPr>
          <w:ilvl w:val="0"/>
          <w:numId w:val="16"/>
        </w:numPr>
        <w:tabs>
          <w:tab w:val="left" w:pos="142"/>
          <w:tab w:val="left" w:pos="284"/>
        </w:tabs>
        <w:spacing w:after="0" w:line="276" w:lineRule="auto"/>
        <w:ind w:left="284"/>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1A5D8F76" w14:textId="77777777" w:rsidR="00BC7D7E" w:rsidRPr="00593A5F" w:rsidRDefault="00BC7D7E" w:rsidP="00BC7D7E">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12555532" w14:textId="5EA8F1C3" w:rsidR="00BC7D7E" w:rsidRPr="00AE7E03" w:rsidRDefault="00BC7D7E" w:rsidP="00BC7D7E">
      <w:pPr>
        <w:widowControl w:val="0"/>
        <w:autoSpaceDE w:val="0"/>
        <w:autoSpaceDN w:val="0"/>
        <w:spacing w:after="0" w:line="276" w:lineRule="auto"/>
        <w:jc w:val="both"/>
        <w:rPr>
          <w:rFonts w:ascii="Verdana" w:eastAsia="Arial" w:hAnsi="Verdana" w:cs="Arial"/>
          <w:lang w:val="es-MX" w:eastAsia="es-ES_tradnl"/>
        </w:rPr>
      </w:pPr>
      <w:r w:rsidRPr="002C1A73">
        <w:rPr>
          <w:rFonts w:ascii="Verdana" w:hAnsi="Verdana" w:cs="Arial"/>
          <w:shd w:val="clear" w:color="auto" w:fill="FFFFFF"/>
          <w:lang w:val="es-ES"/>
        </w:rPr>
        <w:t xml:space="preserve">Sobre el acceso a la documentación pública y los límites a su publicación por contener reserva legal, esta Subdirección se ha referido en los </w:t>
      </w:r>
      <w:r w:rsidRPr="002C1A73">
        <w:rPr>
          <w:rFonts w:ascii="Verdana" w:eastAsia="Arial" w:hAnsi="Verdana" w:cs="Arial"/>
          <w:lang w:val="es-MX" w:eastAsia="es-ES_tradnl"/>
        </w:rPr>
        <w:t>conceptos</w:t>
      </w:r>
      <w:r>
        <w:rPr>
          <w:rFonts w:ascii="Verdana" w:eastAsia="Arial" w:hAnsi="Verdana" w:cs="Arial"/>
          <w:lang w:val="es-MX" w:eastAsia="es-ES_tradnl"/>
        </w:rPr>
        <w:t xml:space="preserve"> C-273 del 30 de abril de 2025, C-311 del 24 de abril de 2025, C- 235 del 3 de abril </w:t>
      </w:r>
      <w:r w:rsidRPr="002C1A73">
        <w:rPr>
          <w:rFonts w:ascii="Verdana" w:eastAsia="Arial" w:hAnsi="Verdana" w:cs="Arial"/>
          <w:lang w:val="es-MX" w:eastAsia="es-ES_tradnl"/>
        </w:rPr>
        <w:t>de 2025, C- 373 del 3 de septiembre de 2024</w:t>
      </w:r>
      <w:r>
        <w:rPr>
          <w:rFonts w:ascii="Verdana" w:eastAsia="Arial" w:hAnsi="Verdana" w:cs="Arial"/>
          <w:lang w:val="es-MX" w:eastAsia="es-ES_tradnl"/>
        </w:rPr>
        <w:t>,</w:t>
      </w:r>
      <w:r w:rsidRPr="002C1A73">
        <w:rPr>
          <w:rFonts w:ascii="Verdana" w:eastAsia="Arial" w:hAnsi="Verdana" w:cs="Arial"/>
          <w:lang w:val="es-MX" w:eastAsia="es-ES_tradnl"/>
        </w:rPr>
        <w:t xml:space="preserve"> C-327 del 18 de septiembre de 2023</w:t>
      </w:r>
      <w:r>
        <w:rPr>
          <w:rFonts w:ascii="Verdana" w:eastAsia="Arial" w:hAnsi="Verdana" w:cs="Arial"/>
          <w:lang w:val="es-MX" w:eastAsia="es-ES_tradnl"/>
        </w:rPr>
        <w:t xml:space="preserve">, C-649 del 9 de septiembre de 2022, </w:t>
      </w:r>
      <w:r w:rsidRPr="002C1A73">
        <w:rPr>
          <w:rFonts w:ascii="Verdana" w:eastAsia="Aptos" w:hAnsi="Verdana" w:cs="Segoe UI"/>
          <w:kern w:val="2"/>
          <w14:ligatures w14:val="standardContextual"/>
        </w:rPr>
        <w:t>C-135 del 28 de marzo de 2022</w:t>
      </w:r>
      <w:r>
        <w:rPr>
          <w:rFonts w:ascii="Verdana" w:eastAsia="Aptos" w:hAnsi="Verdana" w:cs="Segoe UI"/>
          <w:kern w:val="2"/>
          <w14:ligatures w14:val="standardContextual"/>
        </w:rPr>
        <w:t>, C-468 del 19 de mayo de 2025, entre otros</w:t>
      </w:r>
      <w:r w:rsidR="00C649EF">
        <w:rPr>
          <w:rFonts w:ascii="Verdana" w:eastAsia="Calibri" w:hAnsi="Verdana" w:cs="Times New Roman"/>
        </w:rPr>
        <w:t>. Es</w:t>
      </w:r>
      <w:r>
        <w:rPr>
          <w:rFonts w:ascii="Verdana" w:eastAsia="Calibri" w:hAnsi="Verdana" w:cs="Times New Roman"/>
        </w:rPr>
        <w:t xml:space="preserve">tos </w:t>
      </w:r>
      <w:r w:rsidRPr="00185EE9">
        <w:rPr>
          <w:rFonts w:ascii="Verdana" w:eastAsia="Calibri" w:hAnsi="Verdana" w:cs="Times New Roman"/>
        </w:rPr>
        <w:t>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6EB222E6" w14:textId="77777777" w:rsidR="00BC7D7E" w:rsidRPr="0065720B" w:rsidRDefault="00BC7D7E" w:rsidP="00BC7D7E">
      <w:pPr>
        <w:widowControl w:val="0"/>
        <w:autoSpaceDE w:val="0"/>
        <w:autoSpaceDN w:val="0"/>
        <w:spacing w:after="0" w:line="276" w:lineRule="auto"/>
        <w:jc w:val="both"/>
        <w:rPr>
          <w:rStyle w:val="normaltextrun"/>
          <w:rFonts w:ascii="Verdana" w:eastAsia="Calibri" w:hAnsi="Verdana" w:cs="Arial"/>
          <w:lang w:val="es-ES_tradnl" w:eastAsia="en-GB"/>
        </w:rPr>
      </w:pPr>
      <w:hyperlink r:id="rId15" w:history="1">
        <w:r w:rsidRPr="00191357">
          <w:rPr>
            <w:rStyle w:val="Hipervnculo"/>
            <w:rFonts w:ascii="Verdana" w:eastAsia="Calibri" w:hAnsi="Verdana" w:cs="Times New Roman"/>
            <w:lang w:val="es-ES"/>
          </w:rPr>
          <w:t>https://relatoria.colombiacompra.gov.co/busqueda/conceptos</w:t>
        </w:r>
      </w:hyperlink>
      <w:r w:rsidRPr="00185EE9">
        <w:rPr>
          <w:rFonts w:ascii="Verdana" w:eastAsia="Calibri" w:hAnsi="Verdana" w:cs="Times New Roman"/>
        </w:rPr>
        <w:t>.</w:t>
      </w:r>
    </w:p>
    <w:p w14:paraId="771694AC" w14:textId="77777777" w:rsidR="00BC7D7E" w:rsidRDefault="00BC7D7E" w:rsidP="00BC7D7E">
      <w:pPr>
        <w:widowControl w:val="0"/>
        <w:autoSpaceDE w:val="0"/>
        <w:autoSpaceDN w:val="0"/>
        <w:spacing w:after="0" w:line="276" w:lineRule="auto"/>
        <w:jc w:val="both"/>
      </w:pPr>
    </w:p>
    <w:p w14:paraId="365A2D5B" w14:textId="123E3CD6" w:rsidR="008A4850" w:rsidRPr="005B06E1" w:rsidRDefault="00BC7D7E" w:rsidP="00BC7D7E">
      <w:pPr>
        <w:widowControl w:val="0"/>
        <w:autoSpaceDE w:val="0"/>
        <w:autoSpaceDN w:val="0"/>
        <w:spacing w:after="0" w:line="276" w:lineRule="auto"/>
        <w:jc w:val="both"/>
        <w:rPr>
          <w:rFonts w:ascii="Verdana" w:hAnsi="Verdana" w:cs="Arial"/>
          <w:lang w:val="es-ES_tradnl"/>
        </w:rPr>
      </w:pPr>
      <w:r w:rsidRPr="00505CD6">
        <w:rPr>
          <w:rFonts w:ascii="Verdana" w:hAnsi="Verdana" w:cs="Arial"/>
        </w:rPr>
        <w:lastRenderedPageBreak/>
        <w:t xml:space="preserve">Este concepto tiene el alcance previsto en el artículo 28 del Código de Procedimiento Administrativo y de lo Contencioso Administrativo </w:t>
      </w:r>
      <w:r w:rsidRPr="00505CD6">
        <w:rPr>
          <w:rFonts w:ascii="Verdana" w:hAnsi="Verdana" w:cs="Arial"/>
          <w:lang w:val="es-ES_tradnl"/>
        </w:rPr>
        <w:t>y las expresiones aquí utilizadas con mayúscula inicial deben ser entendidas con el significado que les otorga el artículo 2.2.1.1.1.3.1. del Decreto 1082 de 2015.</w:t>
      </w:r>
    </w:p>
    <w:p w14:paraId="3439F5DE" w14:textId="77777777" w:rsidR="008A4850" w:rsidRPr="00505CD6" w:rsidRDefault="008A4850" w:rsidP="00BC7D7E">
      <w:pPr>
        <w:widowControl w:val="0"/>
        <w:autoSpaceDE w:val="0"/>
        <w:autoSpaceDN w:val="0"/>
        <w:spacing w:after="0" w:line="276" w:lineRule="auto"/>
        <w:jc w:val="both"/>
        <w:rPr>
          <w:rFonts w:ascii="Verdana" w:hAnsi="Verdana" w:cs="Arial"/>
        </w:rPr>
      </w:pPr>
    </w:p>
    <w:p w14:paraId="4F4291F8" w14:textId="26D27009" w:rsidR="00BC7D7E" w:rsidRPr="0032557F" w:rsidRDefault="00BC7D7E" w:rsidP="0032557F">
      <w:pPr>
        <w:spacing w:after="0" w:line="276" w:lineRule="auto"/>
        <w:jc w:val="both"/>
        <w:rPr>
          <w:rFonts w:ascii="Verdana" w:hAnsi="Verdana" w:cs="Arial"/>
          <w:lang w:eastAsia="es-CO"/>
        </w:rPr>
      </w:pPr>
      <w:r w:rsidRPr="00505CD6">
        <w:rPr>
          <w:rFonts w:ascii="Verdana" w:eastAsia="Times New Roman" w:hAnsi="Verdana" w:cs="Arial"/>
          <w:lang w:eastAsia="es-CO"/>
        </w:rPr>
        <w:t>Atentamente,</w:t>
      </w:r>
      <w:r w:rsidRPr="00505CD6">
        <w:rPr>
          <w:rFonts w:ascii="Verdana" w:hAnsi="Verdana" w:cs="Arial"/>
          <w:lang w:eastAsia="es-CO"/>
        </w:rPr>
        <w:t xml:space="preserve"> </w:t>
      </w:r>
    </w:p>
    <w:p w14:paraId="1A452EEF" w14:textId="5FE6FA02" w:rsidR="009A5179" w:rsidRPr="008A4850" w:rsidRDefault="00417B6E" w:rsidP="008A4850">
      <w:pPr>
        <w:spacing w:line="276" w:lineRule="auto"/>
        <w:jc w:val="center"/>
        <w:rPr>
          <w:noProof/>
        </w:rPr>
      </w:pPr>
      <w:r w:rsidRPr="002C3AD6">
        <w:rPr>
          <w:rFonts w:ascii="Century Gothic" w:hAnsi="Century Gothic"/>
          <w:noProof/>
        </w:rPr>
        <w:drawing>
          <wp:inline distT="0" distB="0" distL="0" distR="0" wp14:anchorId="3B120215" wp14:editId="3CE6B3EC">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6"/>
                    <a:stretch>
                      <a:fillRect/>
                    </a:stretch>
                  </pic:blipFill>
                  <pic:spPr>
                    <a:xfrm>
                      <a:off x="0" y="0"/>
                      <a:ext cx="3772426" cy="1400370"/>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C7D7E" w:rsidRPr="00593A5F" w14:paraId="17EAD6E0" w14:textId="77777777" w:rsidTr="00851EFB">
        <w:trPr>
          <w:trHeight w:val="315"/>
        </w:trPr>
        <w:tc>
          <w:tcPr>
            <w:tcW w:w="893" w:type="dxa"/>
            <w:vAlign w:val="center"/>
            <w:hideMark/>
          </w:tcPr>
          <w:p w14:paraId="792FA635" w14:textId="77777777" w:rsidR="00BC7D7E" w:rsidRPr="003751C7" w:rsidRDefault="00BC7D7E" w:rsidP="00851EFB">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34083724" w14:textId="10078B44" w:rsidR="00BC7D7E" w:rsidRPr="007911EE" w:rsidRDefault="005B06E1" w:rsidP="00851EFB">
            <w:pPr>
              <w:contextualSpacing/>
              <w:rPr>
                <w:rFonts w:ascii="Verdana" w:hAnsi="Verdana"/>
                <w:sz w:val="16"/>
                <w:szCs w:val="16"/>
              </w:rPr>
            </w:pPr>
            <w:r>
              <w:rPr>
                <w:rFonts w:ascii="Verdana" w:hAnsi="Verdana"/>
                <w:sz w:val="16"/>
                <w:szCs w:val="16"/>
              </w:rPr>
              <w:t>Richard Andrés Montenegro Siefken</w:t>
            </w:r>
          </w:p>
          <w:p w14:paraId="3A382B88" w14:textId="77777777" w:rsidR="00BC7D7E" w:rsidRPr="007911EE" w:rsidRDefault="00BC7D7E" w:rsidP="00851EFB">
            <w:pPr>
              <w:contextualSpacing/>
              <w:rPr>
                <w:rFonts w:ascii="Verdana" w:eastAsia="Arial" w:hAnsi="Verdana" w:cs="Arial"/>
                <w:sz w:val="16"/>
                <w:szCs w:val="16"/>
              </w:rPr>
            </w:pPr>
            <w:r w:rsidRPr="007911EE">
              <w:rPr>
                <w:rFonts w:ascii="Verdana" w:hAnsi="Verdana"/>
                <w:sz w:val="16"/>
                <w:szCs w:val="16"/>
              </w:rPr>
              <w:t>Contratista de la Subdirección de Gestión Contractual</w:t>
            </w:r>
          </w:p>
        </w:tc>
      </w:tr>
      <w:tr w:rsidR="00BC7D7E" w:rsidRPr="00593A5F" w14:paraId="49F9F987" w14:textId="77777777" w:rsidTr="00851EFB">
        <w:trPr>
          <w:trHeight w:val="330"/>
        </w:trPr>
        <w:tc>
          <w:tcPr>
            <w:tcW w:w="893" w:type="dxa"/>
            <w:vAlign w:val="center"/>
            <w:hideMark/>
          </w:tcPr>
          <w:p w14:paraId="27421A61" w14:textId="77777777" w:rsidR="00BC7D7E" w:rsidRPr="003751C7" w:rsidRDefault="00BC7D7E" w:rsidP="00851EFB">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2DFACE43" w14:textId="77777777" w:rsidR="00BC7D7E" w:rsidRPr="007911EE" w:rsidRDefault="00BC7D7E" w:rsidP="00851EFB">
            <w:pPr>
              <w:spacing w:line="276" w:lineRule="auto"/>
              <w:contextualSpacing/>
              <w:jc w:val="both"/>
              <w:rPr>
                <w:rFonts w:ascii="Verdana" w:hAnsi="Verdana"/>
                <w:sz w:val="16"/>
                <w:szCs w:val="16"/>
              </w:rPr>
            </w:pPr>
            <w:r>
              <w:rPr>
                <w:rFonts w:ascii="Verdana" w:hAnsi="Verdana"/>
                <w:sz w:val="16"/>
                <w:szCs w:val="16"/>
              </w:rPr>
              <w:t>Diana Lucia Saavedra</w:t>
            </w:r>
          </w:p>
          <w:p w14:paraId="09C79DB6" w14:textId="77777777" w:rsidR="00BC7D7E" w:rsidRPr="007911EE" w:rsidRDefault="00BC7D7E" w:rsidP="00851EFB">
            <w:pPr>
              <w:pStyle w:val="paragraph"/>
              <w:spacing w:before="0" w:beforeAutospacing="0" w:after="0" w:afterAutospacing="0"/>
              <w:contextualSpacing/>
              <w:textAlignment w:val="baseline"/>
              <w:rPr>
                <w:rFonts w:ascii="Verdana" w:hAnsi="Verdana" w:cstheme="minorHAnsi"/>
                <w:sz w:val="16"/>
                <w:szCs w:val="16"/>
              </w:rPr>
            </w:pPr>
            <w:r>
              <w:rPr>
                <w:rStyle w:val="normaltextrun"/>
                <w:rFonts w:ascii="Verdana" w:eastAsia="Arial" w:hAnsi="Verdana"/>
                <w:sz w:val="16"/>
                <w:szCs w:val="16"/>
              </w:rPr>
              <w:t>Contratista</w:t>
            </w:r>
            <w:r w:rsidRPr="00CD7324">
              <w:rPr>
                <w:rStyle w:val="normaltextrun"/>
                <w:rFonts w:ascii="Verdana" w:eastAsia="Arial" w:hAnsi="Verdana"/>
                <w:sz w:val="16"/>
                <w:szCs w:val="16"/>
              </w:rPr>
              <w:t xml:space="preserve"> de la</w:t>
            </w:r>
            <w:r w:rsidRPr="007911EE">
              <w:rPr>
                <w:rStyle w:val="normaltextrun"/>
                <w:rFonts w:ascii="Verdana" w:eastAsia="Arial" w:hAnsi="Verdana" w:cs="Arial"/>
                <w:sz w:val="16"/>
                <w:szCs w:val="16"/>
              </w:rPr>
              <w:t xml:space="preserve"> Subdirección de Gestión Contractual</w:t>
            </w:r>
          </w:p>
        </w:tc>
      </w:tr>
      <w:tr w:rsidR="00BC7D7E" w:rsidRPr="00593A5F" w14:paraId="5975C924" w14:textId="77777777" w:rsidTr="00851EFB">
        <w:trPr>
          <w:trHeight w:val="300"/>
        </w:trPr>
        <w:tc>
          <w:tcPr>
            <w:tcW w:w="893" w:type="dxa"/>
            <w:vAlign w:val="center"/>
          </w:tcPr>
          <w:p w14:paraId="15E6828B" w14:textId="77777777" w:rsidR="00BC7D7E" w:rsidRPr="003751C7" w:rsidRDefault="00BC7D7E" w:rsidP="00851EFB">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72AC172" w14:textId="340610B4" w:rsidR="00BC7D7E" w:rsidRPr="007911EE" w:rsidRDefault="005B06E1" w:rsidP="00851EFB">
            <w:pPr>
              <w:contextualSpacing/>
              <w:rPr>
                <w:rFonts w:ascii="Verdana" w:eastAsia="Calibri" w:hAnsi="Verdana" w:cs="Arial"/>
                <w:sz w:val="16"/>
                <w:szCs w:val="16"/>
                <w:lang w:val="pt-BR" w:eastAsia="es-ES"/>
              </w:rPr>
            </w:pPr>
            <w:r>
              <w:rPr>
                <w:rFonts w:ascii="Verdana" w:eastAsia="Calibri" w:hAnsi="Verdana" w:cs="Arial"/>
                <w:sz w:val="16"/>
                <w:szCs w:val="16"/>
                <w:lang w:val="pt-BR" w:eastAsia="es-ES"/>
              </w:rPr>
              <w:t xml:space="preserve">Carolina Quintero </w:t>
            </w:r>
            <w:proofErr w:type="spellStart"/>
            <w:r>
              <w:rPr>
                <w:rFonts w:ascii="Verdana" w:eastAsia="Calibri" w:hAnsi="Verdana" w:cs="Arial"/>
                <w:sz w:val="16"/>
                <w:szCs w:val="16"/>
                <w:lang w:val="pt-BR" w:eastAsia="es-ES"/>
              </w:rPr>
              <w:t>Gacharná</w:t>
            </w:r>
            <w:proofErr w:type="spellEnd"/>
          </w:p>
          <w:p w14:paraId="4E4C2009" w14:textId="3CCCA762" w:rsidR="00BC7D7E" w:rsidRPr="007911EE" w:rsidRDefault="00BC7D7E" w:rsidP="00851EFB">
            <w:pPr>
              <w:contextualSpacing/>
              <w:rPr>
                <w:rFonts w:ascii="Verdana" w:eastAsia="Calibri" w:hAnsi="Verdana" w:cs="Arial"/>
                <w:sz w:val="16"/>
                <w:szCs w:val="16"/>
                <w:lang w:val="pt-BR" w:eastAsia="es-ES"/>
              </w:rPr>
            </w:pPr>
            <w:r w:rsidRPr="007911EE">
              <w:rPr>
                <w:rFonts w:ascii="Verdana" w:eastAsia="Calibri" w:hAnsi="Verdana" w:cs="Arial"/>
                <w:sz w:val="16"/>
                <w:szCs w:val="16"/>
                <w:lang w:eastAsia="es-ES"/>
              </w:rPr>
              <w:t>Subdirectora</w:t>
            </w:r>
            <w:r w:rsidRPr="007911EE">
              <w:rPr>
                <w:rFonts w:ascii="Verdana" w:eastAsia="Calibri" w:hAnsi="Verdana" w:cs="Arial"/>
                <w:sz w:val="16"/>
                <w:szCs w:val="16"/>
                <w:lang w:val="pt-BR" w:eastAsia="es-ES"/>
              </w:rPr>
              <w:t xml:space="preserve"> de Gestión Contratual</w:t>
            </w:r>
            <w:r w:rsidR="005B06E1">
              <w:rPr>
                <w:rFonts w:ascii="Verdana" w:eastAsia="Calibri" w:hAnsi="Verdana" w:cs="Arial"/>
                <w:sz w:val="16"/>
                <w:szCs w:val="16"/>
                <w:lang w:val="pt-BR" w:eastAsia="es-ES"/>
              </w:rPr>
              <w:t xml:space="preserve"> </w:t>
            </w:r>
            <w:r w:rsidRPr="007911EE">
              <w:rPr>
                <w:rFonts w:ascii="Verdana" w:eastAsia="Calibri" w:hAnsi="Verdana" w:cs="Arial"/>
                <w:sz w:val="16"/>
                <w:szCs w:val="16"/>
                <w:lang w:val="pt-BR" w:eastAsia="es-ES"/>
              </w:rPr>
              <w:t>ANCP – CCE</w:t>
            </w:r>
          </w:p>
        </w:tc>
      </w:tr>
      <w:bookmarkEnd w:id="0"/>
      <w:bookmarkEnd w:id="1"/>
      <w:bookmarkEnd w:id="2"/>
    </w:tbl>
    <w:p w14:paraId="16B25C0C" w14:textId="77777777" w:rsidR="00BC7D7E" w:rsidRPr="0044528D" w:rsidRDefault="00BC7D7E" w:rsidP="00BC7D7E">
      <w:pPr>
        <w:spacing w:after="0"/>
        <w:rPr>
          <w:rFonts w:ascii="Verdana" w:hAnsi="Verdana"/>
        </w:rPr>
      </w:pPr>
    </w:p>
    <w:p w14:paraId="5381F666" w14:textId="77777777" w:rsidR="00BC7D7E" w:rsidRPr="00EA6F8B" w:rsidRDefault="00BC7D7E" w:rsidP="00BC7D7E"/>
    <w:p w14:paraId="3BD6902E" w14:textId="77777777" w:rsidR="00BC7D7E" w:rsidRPr="00DE435A" w:rsidRDefault="00BC7D7E" w:rsidP="00BC7D7E">
      <w:pPr>
        <w:rPr>
          <w:lang w:val="es-ES"/>
        </w:rPr>
      </w:pPr>
    </w:p>
    <w:p w14:paraId="3900974D" w14:textId="77777777" w:rsidR="003D5B0D" w:rsidRPr="00B91D19" w:rsidRDefault="003D5B0D" w:rsidP="00B91D19"/>
    <w:sectPr w:rsidR="003D5B0D" w:rsidRPr="00B91D19"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366F6" w14:textId="77777777" w:rsidR="007C56F5" w:rsidRDefault="007C56F5" w:rsidP="004A1847">
      <w:pPr>
        <w:spacing w:after="0" w:line="240" w:lineRule="auto"/>
      </w:pPr>
      <w:r>
        <w:separator/>
      </w:r>
    </w:p>
  </w:endnote>
  <w:endnote w:type="continuationSeparator" w:id="0">
    <w:p w14:paraId="531C9B9D" w14:textId="77777777" w:rsidR="007C56F5" w:rsidRDefault="007C56F5" w:rsidP="004A1847">
      <w:pPr>
        <w:spacing w:after="0" w:line="240" w:lineRule="auto"/>
      </w:pPr>
      <w:r>
        <w:continuationSeparator/>
      </w:r>
    </w:p>
  </w:endnote>
  <w:endnote w:type="continuationNotice" w:id="1">
    <w:p w14:paraId="64757FEE" w14:textId="77777777" w:rsidR="007C56F5" w:rsidRDefault="007C56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593AA28F" w:rsidR="006219F8" w:rsidRDefault="00D520D8"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00FA47C0" w:rsidRPr="004A305D">
      <w:rPr>
        <w:rFonts w:ascii="Century Gothic" w:eastAsia="Geo" w:hAnsi="Century Gothic" w:cs="Geo"/>
        <w:b/>
        <w:color w:val="000000"/>
        <w:sz w:val="16"/>
        <w:szCs w:val="16"/>
        <w:lang w:eastAsia="es-CO"/>
      </w:rPr>
      <w:t xml:space="preserve">Código: </w:t>
    </w:r>
    <w:r w:rsidR="00FA47C0" w:rsidRPr="004A305D">
      <w:rPr>
        <w:rFonts w:ascii="Century Gothic" w:eastAsia="Geo" w:hAnsi="Century Gothic" w:cs="Geo"/>
        <w:bCs/>
        <w:color w:val="000000"/>
        <w:sz w:val="16"/>
        <w:szCs w:val="16"/>
        <w:lang w:eastAsia="es-CO"/>
      </w:rPr>
      <w:t>CCE-</w:t>
    </w:r>
    <w:r w:rsidR="00FA47C0">
      <w:rPr>
        <w:rFonts w:ascii="Century Gothic" w:eastAsia="Geo" w:hAnsi="Century Gothic" w:cs="Geo"/>
        <w:bCs/>
        <w:color w:val="000000"/>
        <w:sz w:val="16"/>
        <w:szCs w:val="16"/>
        <w:lang w:eastAsia="es-CO"/>
      </w:rPr>
      <w:t>REC</w:t>
    </w:r>
    <w:r w:rsidR="00FA47C0" w:rsidRPr="004A305D">
      <w:rPr>
        <w:rFonts w:ascii="Century Gothic" w:eastAsia="Geo" w:hAnsi="Century Gothic" w:cs="Geo"/>
        <w:bCs/>
        <w:color w:val="000000"/>
        <w:sz w:val="16"/>
        <w:szCs w:val="16"/>
        <w:lang w:eastAsia="es-CO"/>
      </w:rPr>
      <w:t>-FM-</w:t>
    </w:r>
    <w:r w:rsidR="00FA47C0">
      <w:rPr>
        <w:rFonts w:ascii="Century Gothic" w:eastAsia="Geo" w:hAnsi="Century Gothic" w:cs="Geo"/>
        <w:bCs/>
        <w:color w:val="000000"/>
        <w:sz w:val="16"/>
        <w:szCs w:val="16"/>
        <w:lang w:eastAsia="es-CO"/>
      </w:rPr>
      <w:t>17</w:t>
    </w:r>
    <w:r w:rsidR="0025796E">
      <w:rPr>
        <w:rFonts w:ascii="Century Gothic" w:eastAsia="Geo" w:hAnsi="Century Gothic" w:cs="Geo"/>
        <w:bCs/>
        <w:color w:val="000000"/>
        <w:sz w:val="16"/>
        <w:szCs w:val="16"/>
        <w:lang w:eastAsia="es-CO"/>
      </w:rPr>
      <w:t xml:space="preserve"> </w:t>
    </w:r>
    <w:r w:rsidR="00FA47C0" w:rsidRPr="004A305D">
      <w:rPr>
        <w:rFonts w:ascii="Century Gothic" w:eastAsia="Geo" w:hAnsi="Century Gothic" w:cs="Geo"/>
        <w:b/>
        <w:color w:val="000000"/>
        <w:sz w:val="16"/>
        <w:szCs w:val="16"/>
        <w:lang w:eastAsia="es-CO"/>
      </w:rPr>
      <w:t>Versión</w:t>
    </w:r>
    <w:r w:rsidR="00FA47C0" w:rsidRPr="004A305D">
      <w:rPr>
        <w:rFonts w:ascii="Century Gothic" w:eastAsia="Arial Nova" w:hAnsi="Century Gothic" w:cs="Arial Nova"/>
        <w:b/>
        <w:color w:val="000000"/>
        <w:sz w:val="16"/>
        <w:szCs w:val="16"/>
        <w:lang w:eastAsia="es-CO"/>
      </w:rPr>
      <w:t xml:space="preserve">: </w:t>
    </w:r>
    <w:r w:rsidR="00FA47C0" w:rsidRPr="004A305D">
      <w:rPr>
        <w:rFonts w:ascii="Century Gothic" w:eastAsia="Geo" w:hAnsi="Century Gothic" w:cs="Geo"/>
        <w:sz w:val="16"/>
        <w:szCs w:val="16"/>
        <w:lang w:eastAsia="es-CO"/>
      </w:rPr>
      <w:t>0</w:t>
    </w:r>
    <w:r w:rsidR="00FA47C0">
      <w:rPr>
        <w:rFonts w:ascii="Century Gothic" w:eastAsia="Geo" w:hAnsi="Century Gothic" w:cs="Geo"/>
        <w:sz w:val="16"/>
        <w:szCs w:val="16"/>
        <w:lang w:eastAsia="es-CO"/>
      </w:rPr>
      <w:t>2</w:t>
    </w:r>
    <w:r w:rsidR="00FA47C0" w:rsidRPr="004A305D">
      <w:rPr>
        <w:rFonts w:ascii="Century Gothic" w:eastAsia="Geo" w:hAnsi="Century Gothic" w:cs="Geo"/>
        <w:sz w:val="16"/>
        <w:szCs w:val="16"/>
        <w:lang w:eastAsia="es-CO"/>
      </w:rPr>
      <w:t xml:space="preserve"> </w:t>
    </w:r>
    <w:r w:rsidR="0025796E">
      <w:rPr>
        <w:rFonts w:ascii="Century Gothic" w:eastAsia="Geo" w:hAnsi="Century Gothic" w:cs="Geo"/>
        <w:sz w:val="16"/>
        <w:szCs w:val="16"/>
        <w:lang w:eastAsia="es-CO"/>
      </w:rPr>
      <w:t>Fecha: 31-08-2023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D501A" w14:textId="77777777" w:rsidR="007C56F5" w:rsidRDefault="007C56F5" w:rsidP="004A1847">
      <w:pPr>
        <w:spacing w:after="0" w:line="240" w:lineRule="auto"/>
      </w:pPr>
      <w:r>
        <w:separator/>
      </w:r>
    </w:p>
  </w:footnote>
  <w:footnote w:type="continuationSeparator" w:id="0">
    <w:p w14:paraId="56245DCC" w14:textId="77777777" w:rsidR="007C56F5" w:rsidRDefault="007C56F5" w:rsidP="004A1847">
      <w:pPr>
        <w:spacing w:after="0" w:line="240" w:lineRule="auto"/>
      </w:pPr>
      <w:r>
        <w:continuationSeparator/>
      </w:r>
    </w:p>
  </w:footnote>
  <w:footnote w:type="continuationNotice" w:id="1">
    <w:p w14:paraId="4E30F05B" w14:textId="77777777" w:rsidR="007C56F5" w:rsidRDefault="007C56F5">
      <w:pPr>
        <w:spacing w:after="0" w:line="240" w:lineRule="auto"/>
      </w:pPr>
    </w:p>
  </w:footnote>
  <w:footnote w:id="2">
    <w:p w14:paraId="2A8EB817" w14:textId="77777777" w:rsidR="00C606BC" w:rsidRPr="0032557F" w:rsidRDefault="00C606BC" w:rsidP="00C606BC">
      <w:pPr>
        <w:pStyle w:val="Textonotapie"/>
        <w:ind w:firstLine="708"/>
        <w:contextualSpacing/>
        <w:jc w:val="both"/>
        <w:rPr>
          <w:rFonts w:ascii="Verdana" w:hAnsi="Verdana" w:cs="Arial"/>
          <w:sz w:val="16"/>
          <w:szCs w:val="16"/>
        </w:rPr>
      </w:pPr>
      <w:r w:rsidRPr="0032557F">
        <w:rPr>
          <w:rStyle w:val="Refdenotaalpie"/>
          <w:rFonts w:ascii="Verdana" w:hAnsi="Verdana" w:cs="Arial"/>
          <w:sz w:val="16"/>
          <w:szCs w:val="16"/>
        </w:rPr>
        <w:footnoteRef/>
      </w:r>
      <w:r w:rsidRPr="0032557F">
        <w:rPr>
          <w:rFonts w:ascii="Verdana" w:hAnsi="Verdana" w:cs="Arial"/>
          <w:sz w:val="16"/>
          <w:szCs w:val="16"/>
        </w:rPr>
        <w:t xml:space="preserve"> “Artículo 21. DIVULGACIÓN PARCIAL Y OTRAS REGLAS. En aquellas circunstancias en que la totalidad de la información contenida en un documento no esté protegida por una excepción contenida en la presente ley, debe hacerse una versión pública que mantenga la reserva únicamente de la parte indispensable. La información pública que no cae en ningún supuesto de excepción deberá ser entregada a la parte solicitante, así como ser de conocimiento público. La reserva de acceso a la información opera respecto del contenido de un documento público pero no de su existencia.</w:t>
      </w:r>
    </w:p>
    <w:p w14:paraId="40390998" w14:textId="77777777" w:rsidR="00C606BC" w:rsidRPr="0032557F" w:rsidRDefault="00C606BC" w:rsidP="00C606BC">
      <w:pPr>
        <w:pStyle w:val="Textonotapie"/>
        <w:ind w:firstLine="708"/>
        <w:contextualSpacing/>
        <w:jc w:val="both"/>
        <w:rPr>
          <w:rFonts w:ascii="Verdana" w:hAnsi="Verdana" w:cs="Arial"/>
          <w:sz w:val="16"/>
          <w:szCs w:val="16"/>
        </w:rPr>
      </w:pPr>
      <w:r w:rsidRPr="0032557F">
        <w:rPr>
          <w:rFonts w:ascii="Verdana" w:hAnsi="Verdana" w:cs="Arial"/>
          <w:sz w:val="16"/>
          <w:szCs w:val="16"/>
        </w:rPr>
        <w:t>Ninguna autoridad pública puede negarse a indicar si un documento obra o no en su poder o negar la divulgación de un documento, salvo que el daño causado al interés protegido sea mayor al interés público de obtener acceso a la información.</w:t>
      </w:r>
    </w:p>
    <w:p w14:paraId="6731F1BF" w14:textId="77777777" w:rsidR="00C606BC" w:rsidRPr="0032557F" w:rsidRDefault="00C606BC" w:rsidP="00C606BC">
      <w:pPr>
        <w:pStyle w:val="Textonotapie"/>
        <w:ind w:firstLine="708"/>
        <w:contextualSpacing/>
        <w:jc w:val="both"/>
        <w:rPr>
          <w:rFonts w:ascii="Verdana" w:hAnsi="Verdana" w:cs="Arial"/>
          <w:sz w:val="16"/>
          <w:szCs w:val="16"/>
          <w:lang w:val="es-CO"/>
        </w:rPr>
      </w:pPr>
      <w:r w:rsidRPr="0032557F">
        <w:rPr>
          <w:rFonts w:ascii="Verdana" w:hAnsi="Verdana" w:cs="Arial"/>
          <w:sz w:val="16"/>
          <w:szCs w:val="16"/>
        </w:rPr>
        <w:t>Las excepciones de acceso a la información contenidas en la presente ley no aplican en casos de violación de derechos humanos o delitos de lesa humanidad, y en todo caso deberán protegerse los derechos de las víctimas de dichas violaciones”.</w:t>
      </w:r>
    </w:p>
  </w:footnote>
  <w:footnote w:id="3">
    <w:p w14:paraId="02140AF3" w14:textId="77777777" w:rsidR="00C606BC" w:rsidRPr="0032557F" w:rsidRDefault="00C606BC" w:rsidP="00C606BC">
      <w:pPr>
        <w:spacing w:after="0" w:line="240" w:lineRule="auto"/>
        <w:ind w:firstLine="708"/>
        <w:contextualSpacing/>
        <w:jc w:val="both"/>
        <w:rPr>
          <w:rFonts w:ascii="Verdana" w:eastAsia="Arial" w:hAnsi="Verdana" w:cs="Arial"/>
          <w:sz w:val="16"/>
          <w:szCs w:val="16"/>
          <w:lang w:val="es"/>
        </w:rPr>
      </w:pPr>
      <w:r w:rsidRPr="0032557F">
        <w:rPr>
          <w:rStyle w:val="Refdenotaalpie"/>
          <w:rFonts w:ascii="Verdana" w:hAnsi="Verdana"/>
          <w:sz w:val="16"/>
          <w:szCs w:val="16"/>
        </w:rPr>
        <w:footnoteRef/>
      </w:r>
      <w:r w:rsidRPr="0032557F">
        <w:rPr>
          <w:rFonts w:ascii="Verdana" w:hAnsi="Verdana"/>
          <w:sz w:val="16"/>
          <w:szCs w:val="16"/>
        </w:rPr>
        <w:t xml:space="preserve"> </w:t>
      </w:r>
      <w:r w:rsidRPr="0032557F">
        <w:rPr>
          <w:rFonts w:ascii="Verdana" w:eastAsia="Arial" w:hAnsi="Verdana" w:cs="Arial"/>
          <w:sz w:val="16"/>
          <w:szCs w:val="16"/>
          <w:lang w:val="es"/>
        </w:rPr>
        <w:t>Ley 1437 de 2011 “Artículo 24. Informaciones y documentos reservados. Solo tendrán carácter reservado las informaciones y documentos expresamente sometidos a reserva por la Constitución Política o la ley, y en especial:</w:t>
      </w:r>
    </w:p>
    <w:p w14:paraId="55F4C898" w14:textId="77777777" w:rsidR="00C606BC" w:rsidRPr="0032557F" w:rsidRDefault="00C606BC" w:rsidP="00C606BC">
      <w:pPr>
        <w:spacing w:after="0" w:line="240" w:lineRule="auto"/>
        <w:ind w:firstLine="709"/>
        <w:contextualSpacing/>
        <w:jc w:val="both"/>
        <w:rPr>
          <w:rFonts w:ascii="Verdana" w:eastAsia="Arial" w:hAnsi="Verdana" w:cs="Arial"/>
          <w:sz w:val="16"/>
          <w:szCs w:val="16"/>
          <w:lang w:val="es"/>
        </w:rPr>
      </w:pPr>
      <w:r w:rsidRPr="0032557F">
        <w:rPr>
          <w:rFonts w:ascii="Verdana" w:eastAsia="Arial" w:hAnsi="Verdana" w:cs="Arial"/>
          <w:sz w:val="16"/>
          <w:szCs w:val="16"/>
          <w:lang w:val="es"/>
        </w:rPr>
        <w:t>"1. Los relacionados con la defensa o seguridad nacionales.</w:t>
      </w:r>
    </w:p>
    <w:p w14:paraId="2AC05187" w14:textId="77777777" w:rsidR="00C606BC" w:rsidRPr="0032557F" w:rsidRDefault="00C606BC" w:rsidP="00C606BC">
      <w:pPr>
        <w:spacing w:after="0" w:line="240" w:lineRule="auto"/>
        <w:ind w:firstLine="709"/>
        <w:contextualSpacing/>
        <w:jc w:val="both"/>
        <w:rPr>
          <w:rFonts w:ascii="Verdana" w:eastAsia="Arial" w:hAnsi="Verdana" w:cs="Arial"/>
          <w:sz w:val="16"/>
          <w:szCs w:val="16"/>
          <w:lang w:val="es"/>
        </w:rPr>
      </w:pPr>
      <w:r w:rsidRPr="0032557F">
        <w:rPr>
          <w:rFonts w:ascii="Verdana" w:eastAsia="Arial" w:hAnsi="Verdana" w:cs="Arial"/>
          <w:sz w:val="16"/>
          <w:szCs w:val="16"/>
          <w:lang w:val="es"/>
        </w:rPr>
        <w:t>“2. Las instrucciones en materia diplomática o sobre negociaciones reservadas.</w:t>
      </w:r>
    </w:p>
    <w:p w14:paraId="2F047E83" w14:textId="77777777" w:rsidR="00C606BC" w:rsidRPr="0032557F" w:rsidRDefault="00C606BC" w:rsidP="00C606BC">
      <w:pPr>
        <w:spacing w:after="0" w:line="240" w:lineRule="auto"/>
        <w:ind w:firstLine="708"/>
        <w:contextualSpacing/>
        <w:jc w:val="both"/>
        <w:rPr>
          <w:rFonts w:ascii="Verdana" w:eastAsia="Arial" w:hAnsi="Verdana" w:cs="Arial"/>
          <w:sz w:val="16"/>
          <w:szCs w:val="16"/>
          <w:lang w:val="es"/>
        </w:rPr>
      </w:pPr>
      <w:r w:rsidRPr="0032557F">
        <w:rPr>
          <w:rFonts w:ascii="Verdana" w:eastAsia="Arial" w:hAnsi="Verdana" w:cs="Arial"/>
          <w:sz w:val="16"/>
          <w:szCs w:val="16"/>
          <w:lang w:val="es"/>
        </w:rPr>
        <w:t>“3. Los que involucren derechos a la privacidad e intimidad de las personas, incluidas en las hojas de vida, la historia laboral y los expedientes pensionales y demás registros de personal que obren en los archivos de las instituciones públicas o privadas, así como la historia clínica.</w:t>
      </w:r>
    </w:p>
    <w:p w14:paraId="5A763297" w14:textId="77777777" w:rsidR="00C606BC" w:rsidRPr="0032557F" w:rsidRDefault="00C606BC" w:rsidP="00C606BC">
      <w:pPr>
        <w:spacing w:after="0" w:line="240" w:lineRule="auto"/>
        <w:ind w:firstLine="708"/>
        <w:contextualSpacing/>
        <w:jc w:val="both"/>
        <w:rPr>
          <w:rFonts w:ascii="Verdana" w:eastAsia="Arial" w:hAnsi="Verdana" w:cs="Arial"/>
          <w:sz w:val="16"/>
          <w:szCs w:val="16"/>
          <w:lang w:val="es"/>
        </w:rPr>
      </w:pPr>
      <w:r w:rsidRPr="0032557F">
        <w:rPr>
          <w:rFonts w:ascii="Verdana" w:eastAsia="Arial" w:hAnsi="Verdana" w:cs="Arial"/>
          <w:sz w:val="16"/>
          <w:szCs w:val="16"/>
          <w:lang w:val="es"/>
        </w:rPr>
        <w:t>“4. Los relativos a las condiciones financieras de las operaciones de crédito público y tesorería que realice la nación, así como a los estudios técnicos de valoración de los activos de la nación. Estos documentos e informaciones estarán sometidos a reserva por un término de seis (6) meses contados a partir de la realización de la respectiva operación.</w:t>
      </w:r>
    </w:p>
    <w:p w14:paraId="037FC43E" w14:textId="77777777" w:rsidR="00C606BC" w:rsidRPr="0032557F" w:rsidRDefault="00C606BC" w:rsidP="00C606BC">
      <w:pPr>
        <w:spacing w:after="0" w:line="240" w:lineRule="auto"/>
        <w:ind w:firstLine="709"/>
        <w:contextualSpacing/>
        <w:jc w:val="both"/>
        <w:rPr>
          <w:rFonts w:ascii="Verdana" w:eastAsia="Arial" w:hAnsi="Verdana" w:cs="Arial"/>
          <w:sz w:val="16"/>
          <w:szCs w:val="16"/>
          <w:lang w:val="es"/>
        </w:rPr>
      </w:pPr>
      <w:r w:rsidRPr="0032557F">
        <w:rPr>
          <w:rFonts w:ascii="Verdana" w:eastAsia="Arial" w:hAnsi="Verdana" w:cs="Arial"/>
          <w:sz w:val="16"/>
          <w:szCs w:val="16"/>
          <w:lang w:val="es"/>
        </w:rPr>
        <w:t>“5. Los datos referentes a la información financiera y comercial, en los términos de la Ley Estatutaria 1266 de 2008.</w:t>
      </w:r>
    </w:p>
    <w:p w14:paraId="57983BE3" w14:textId="77777777" w:rsidR="00C606BC" w:rsidRPr="0032557F" w:rsidRDefault="00C606BC" w:rsidP="00C606BC">
      <w:pPr>
        <w:spacing w:after="0" w:line="240" w:lineRule="auto"/>
        <w:ind w:firstLine="709"/>
        <w:contextualSpacing/>
        <w:jc w:val="both"/>
        <w:rPr>
          <w:rFonts w:ascii="Verdana" w:eastAsia="Arial" w:hAnsi="Verdana" w:cs="Arial"/>
          <w:sz w:val="16"/>
          <w:szCs w:val="16"/>
          <w:lang w:val="es"/>
        </w:rPr>
      </w:pPr>
      <w:r w:rsidRPr="0032557F">
        <w:rPr>
          <w:rFonts w:ascii="Verdana" w:eastAsia="Arial" w:hAnsi="Verdana" w:cs="Arial"/>
          <w:sz w:val="16"/>
          <w:szCs w:val="16"/>
          <w:lang w:val="es"/>
        </w:rPr>
        <w:t>“6. Los protegidos por el secreto comercial o industrial, así como los planes estratégicos de las empresas públicas de servicios públicos.</w:t>
      </w:r>
    </w:p>
    <w:p w14:paraId="063E6A9B" w14:textId="77777777" w:rsidR="00C606BC" w:rsidRPr="0032557F" w:rsidRDefault="00C606BC" w:rsidP="00C606BC">
      <w:pPr>
        <w:spacing w:after="0" w:line="240" w:lineRule="auto"/>
        <w:ind w:firstLine="709"/>
        <w:contextualSpacing/>
        <w:jc w:val="both"/>
        <w:rPr>
          <w:rFonts w:ascii="Verdana" w:eastAsia="Arial" w:hAnsi="Verdana" w:cs="Arial"/>
          <w:sz w:val="16"/>
          <w:szCs w:val="16"/>
          <w:lang w:val="es"/>
        </w:rPr>
      </w:pPr>
      <w:r w:rsidRPr="0032557F">
        <w:rPr>
          <w:rFonts w:ascii="Verdana" w:eastAsia="Arial" w:hAnsi="Verdana" w:cs="Arial"/>
          <w:sz w:val="16"/>
          <w:szCs w:val="16"/>
          <w:lang w:val="es"/>
        </w:rPr>
        <w:t xml:space="preserve">“7. Los amparados por el secreto profesional. </w:t>
      </w:r>
    </w:p>
    <w:p w14:paraId="238C6872" w14:textId="77777777" w:rsidR="00C606BC" w:rsidRPr="0032557F" w:rsidRDefault="00C606BC" w:rsidP="00C606BC">
      <w:pPr>
        <w:spacing w:after="0" w:line="240" w:lineRule="auto"/>
        <w:ind w:firstLine="709"/>
        <w:contextualSpacing/>
        <w:jc w:val="both"/>
        <w:rPr>
          <w:rFonts w:ascii="Verdana" w:eastAsia="Arial" w:hAnsi="Verdana" w:cs="Arial"/>
          <w:sz w:val="16"/>
          <w:szCs w:val="16"/>
          <w:lang w:val="es"/>
        </w:rPr>
      </w:pPr>
      <w:r w:rsidRPr="0032557F">
        <w:rPr>
          <w:rFonts w:ascii="Verdana" w:eastAsia="Arial" w:hAnsi="Verdana" w:cs="Arial"/>
          <w:sz w:val="16"/>
          <w:szCs w:val="16"/>
          <w:lang w:val="es"/>
        </w:rPr>
        <w:t>“8. Los datos genéticos humanos.</w:t>
      </w:r>
    </w:p>
    <w:p w14:paraId="5C8F905D" w14:textId="77777777" w:rsidR="00C606BC" w:rsidRPr="00A216B9" w:rsidRDefault="00C606BC" w:rsidP="00C606BC">
      <w:pPr>
        <w:spacing w:after="0" w:line="240" w:lineRule="auto"/>
        <w:ind w:firstLine="709"/>
        <w:contextualSpacing/>
        <w:jc w:val="both"/>
        <w:rPr>
          <w:lang w:val="es"/>
        </w:rPr>
      </w:pPr>
      <w:r w:rsidRPr="0032557F">
        <w:rPr>
          <w:rFonts w:ascii="Verdana" w:eastAsia="Arial" w:hAnsi="Verdana" w:cs="Arial"/>
          <w:sz w:val="16"/>
          <w:szCs w:val="16"/>
          <w:lang w:val="es"/>
        </w:rPr>
        <w:t>“Parágrafo. Para efecto de la solicitud de información de carácter reservado, enunciada en los numerales 3, 5, 6 y 7 solo podrá ser solicitada por el titular de la información, por sus apoderados o por personas autorizadas con facultad expresa para acceder a esa información”.</w:t>
      </w:r>
    </w:p>
  </w:footnote>
  <w:footnote w:id="4">
    <w:p w14:paraId="0AA22D69" w14:textId="77777777" w:rsidR="00C606BC" w:rsidRPr="0032557F" w:rsidRDefault="00C606BC" w:rsidP="00C606BC">
      <w:pPr>
        <w:pStyle w:val="Textonotapie"/>
        <w:ind w:firstLine="708"/>
        <w:contextualSpacing/>
        <w:jc w:val="both"/>
        <w:rPr>
          <w:rFonts w:ascii="Verdana" w:hAnsi="Verdana"/>
          <w:sz w:val="16"/>
          <w:szCs w:val="16"/>
          <w:lang w:val="es-CO"/>
        </w:rPr>
      </w:pPr>
      <w:r w:rsidRPr="0032557F">
        <w:rPr>
          <w:rStyle w:val="Refdenotaalpie"/>
          <w:rFonts w:ascii="Verdana" w:hAnsi="Verdana"/>
          <w:sz w:val="16"/>
          <w:szCs w:val="16"/>
        </w:rPr>
        <w:footnoteRef/>
      </w:r>
      <w:r w:rsidRPr="0032557F">
        <w:rPr>
          <w:rFonts w:ascii="Verdana" w:hAnsi="Verdana"/>
          <w:sz w:val="16"/>
          <w:szCs w:val="16"/>
        </w:rPr>
        <w:t xml:space="preserve"> </w:t>
      </w:r>
      <w:r w:rsidRPr="0032557F">
        <w:rPr>
          <w:rFonts w:ascii="Verdana" w:hAnsi="Verdana"/>
          <w:sz w:val="16"/>
          <w:szCs w:val="16"/>
          <w:lang w:val="es-CO"/>
        </w:rPr>
        <w:t>Artículo 7.1.3. Reserva de la información. Criterios. En concordancia con lo establecido en la Ley 1712 de 2014, Ley de transparencia y de Acceso a la Información Pública, la reserva aplica a la información, no a los documentos, para lo cual el responsable de la información verificará qué información está sometida a reserva y cuál no, y elaborará una versión pública que mantenga la reserva de los titulares de los datos, para garantizar el principio de máxima publicidad y conforme a las disposiciones legales vigentes sobre el acceso a la información.</w:t>
      </w:r>
    </w:p>
    <w:p w14:paraId="0AB4BEA9" w14:textId="77777777" w:rsidR="00C606BC" w:rsidRPr="0032557F" w:rsidRDefault="00C606BC" w:rsidP="00C606BC">
      <w:pPr>
        <w:pStyle w:val="Textonotapie"/>
        <w:ind w:firstLine="708"/>
        <w:contextualSpacing/>
        <w:jc w:val="both"/>
        <w:rPr>
          <w:rFonts w:ascii="Verdana" w:hAnsi="Verdana"/>
          <w:sz w:val="16"/>
          <w:szCs w:val="16"/>
          <w:lang w:val="es-CO"/>
        </w:rPr>
      </w:pPr>
      <w:r w:rsidRPr="0032557F">
        <w:rPr>
          <w:rFonts w:ascii="Verdana" w:hAnsi="Verdana"/>
          <w:sz w:val="16"/>
          <w:szCs w:val="16"/>
          <w:lang w:val="es-CO"/>
        </w:rPr>
        <w:t xml:space="preserve">Parágrafo 1. De existir reserva legal, se aplicarán, como mínimo, los siguientes criterios: </w:t>
      </w:r>
    </w:p>
    <w:p w14:paraId="5302FEA2" w14:textId="77777777" w:rsidR="00C606BC" w:rsidRPr="0032557F" w:rsidRDefault="00C606BC" w:rsidP="00C606BC">
      <w:pPr>
        <w:pStyle w:val="Textonotapie"/>
        <w:ind w:firstLine="708"/>
        <w:contextualSpacing/>
        <w:jc w:val="both"/>
        <w:rPr>
          <w:rFonts w:ascii="Verdana" w:hAnsi="Verdana"/>
          <w:sz w:val="16"/>
          <w:szCs w:val="16"/>
          <w:lang w:val="es-CO"/>
        </w:rPr>
      </w:pPr>
      <w:r w:rsidRPr="0032557F">
        <w:rPr>
          <w:rFonts w:ascii="Verdana" w:hAnsi="Verdana"/>
          <w:sz w:val="16"/>
          <w:szCs w:val="16"/>
          <w:lang w:val="es-CO"/>
        </w:rPr>
        <w:t xml:space="preserve">1. La reserva opera sobre el contenido del documento, no sobre la existencia de este. Estos documentos deben ser identificados de manera clara en los instrumentos de la gestión de información pública. </w:t>
      </w:r>
    </w:p>
    <w:p w14:paraId="34EF7142" w14:textId="77777777" w:rsidR="00C606BC" w:rsidRPr="0032557F" w:rsidRDefault="00C606BC" w:rsidP="00C606BC">
      <w:pPr>
        <w:pStyle w:val="Textonotapie"/>
        <w:ind w:firstLine="708"/>
        <w:contextualSpacing/>
        <w:jc w:val="both"/>
        <w:rPr>
          <w:rFonts w:ascii="Verdana" w:hAnsi="Verdana"/>
          <w:sz w:val="16"/>
          <w:szCs w:val="16"/>
          <w:lang w:val="es-CO"/>
        </w:rPr>
      </w:pPr>
      <w:r w:rsidRPr="0032557F">
        <w:rPr>
          <w:rFonts w:ascii="Verdana" w:hAnsi="Verdana"/>
          <w:sz w:val="16"/>
          <w:szCs w:val="16"/>
          <w:lang w:val="es-CO"/>
        </w:rPr>
        <w:t xml:space="preserve">2. La reserva legal solo opera sobre la información que compromete derechos fundamentales o bienes constitucionales, no sobre los procesos o actuaciones de los que hace parte. Para tal efecto se realizarán versiones públicas de estos documentos, que impidan la identificación de los titulares de los datos personales, como lo ordena la normativa vigente. </w:t>
      </w:r>
    </w:p>
    <w:p w14:paraId="60D8B3BC" w14:textId="77777777" w:rsidR="00C606BC" w:rsidRPr="0032557F" w:rsidRDefault="00C606BC" w:rsidP="00C606BC">
      <w:pPr>
        <w:pStyle w:val="Textonotapie"/>
        <w:ind w:firstLine="708"/>
        <w:contextualSpacing/>
        <w:jc w:val="both"/>
        <w:rPr>
          <w:rFonts w:ascii="Verdana" w:hAnsi="Verdana"/>
          <w:sz w:val="16"/>
          <w:szCs w:val="16"/>
          <w:lang w:val="es-CO"/>
        </w:rPr>
      </w:pPr>
      <w:r w:rsidRPr="0032557F">
        <w:rPr>
          <w:rFonts w:ascii="Verdana" w:hAnsi="Verdana"/>
          <w:sz w:val="16"/>
          <w:szCs w:val="16"/>
          <w:lang w:val="es-CO"/>
        </w:rPr>
        <w:t>3. La reserva deberá ser temporal, como lo determine la Ley.</w:t>
      </w:r>
    </w:p>
    <w:p w14:paraId="74742D6D" w14:textId="77777777" w:rsidR="00C606BC" w:rsidRPr="0032557F" w:rsidRDefault="00C606BC" w:rsidP="00C606BC">
      <w:pPr>
        <w:pStyle w:val="Textonotapie"/>
        <w:ind w:firstLine="708"/>
        <w:contextualSpacing/>
        <w:jc w:val="both"/>
        <w:rPr>
          <w:rFonts w:ascii="Verdana" w:hAnsi="Verdana"/>
          <w:sz w:val="16"/>
          <w:szCs w:val="16"/>
          <w:lang w:val="es-ES"/>
        </w:rPr>
      </w:pPr>
      <w:r w:rsidRPr="0032557F">
        <w:rPr>
          <w:rFonts w:ascii="Verdana" w:hAnsi="Verdana"/>
          <w:sz w:val="16"/>
          <w:szCs w:val="16"/>
          <w:lang w:val="es-CO"/>
        </w:rPr>
        <w:t xml:space="preserve"> Parágrafo 2. Para elaborar versiones públicas de documentos que contengan información clasificada o reservada, la entidad aplicará estándares para la anonimización de datos. El proceso de anonimización de datos requiere una adecuada comprensión del propósito final y uso de la información. Por tal motivo, es importante que el administrador de los documentos identifique los datos objeto de anonimización en articulación con la normativa vigente para la protección de datos personales y acceso a la información</w:t>
      </w:r>
    </w:p>
  </w:footnote>
  <w:footnote w:id="5">
    <w:p w14:paraId="179B4BEF" w14:textId="77777777" w:rsidR="00BC7D7E" w:rsidRPr="0032557F" w:rsidRDefault="00BC7D7E" w:rsidP="0032557F">
      <w:pPr>
        <w:pStyle w:val="Textonotapie"/>
        <w:ind w:firstLine="709"/>
        <w:contextualSpacing/>
        <w:jc w:val="both"/>
        <w:rPr>
          <w:rFonts w:ascii="Verdana" w:hAnsi="Verdana"/>
          <w:sz w:val="16"/>
          <w:szCs w:val="16"/>
          <w:lang w:val="es-CO"/>
        </w:rPr>
      </w:pPr>
      <w:r w:rsidRPr="0032557F">
        <w:rPr>
          <w:rStyle w:val="Refdenotaalpie"/>
          <w:rFonts w:ascii="Verdana" w:hAnsi="Verdana"/>
          <w:sz w:val="16"/>
          <w:szCs w:val="16"/>
        </w:rPr>
        <w:footnoteRef/>
      </w:r>
      <w:r w:rsidRPr="0032557F">
        <w:rPr>
          <w:rFonts w:ascii="Verdana" w:hAnsi="Verdana"/>
          <w:sz w:val="16"/>
          <w:szCs w:val="16"/>
        </w:rPr>
        <w:t xml:space="preserve"> </w:t>
      </w:r>
      <w:r w:rsidRPr="0032557F">
        <w:rPr>
          <w:rFonts w:ascii="Verdana" w:hAnsi="Verdana" w:cs="Arial"/>
          <w:sz w:val="16"/>
          <w:szCs w:val="16"/>
        </w:rPr>
        <w:t xml:space="preserve">Para la Corte Constitucional, el principio de publicidad es la garantía que tienen las personas de conocer las actuaciones judiciales y administrativas y con base en ese conocimiento tener la posibilidad de exigir que se surtan conforme a la ley: «El principio de publicidad se encuentra consagrado en el artículo 209 de la Constitución Política, que señala que la función administrativa está al servicio de los intereses generales y se desarrolla con fundamento entre otros, en el «principio de publicidad», el cual se evidencia en dos dimensiones. La primera de ellas, como el derecho que tienen las personas directamente involucradas, al conocimiento de las actuaciones judiciales y administrativas, la cual se concreta a través de los mecanismos de comunicación y la segunda, como el reconocimiento del derecho que tiene la comunidad de conocer las actuaciones de las autoridades y, a través de ese conocimiento, a exigir que ellas se surtan conforme a la ley». </w:t>
      </w:r>
      <w:bookmarkStart w:id="5" w:name="_Hlk202777591"/>
      <w:r w:rsidRPr="0032557F">
        <w:rPr>
          <w:rFonts w:ascii="Verdana" w:hAnsi="Verdana" w:cs="Arial"/>
          <w:sz w:val="16"/>
          <w:szCs w:val="16"/>
        </w:rPr>
        <w:t>Corte Constitucional. Sentencia C- 341 del 4 de junio de 2014. M. P. Mauricio González Cuervo.</w:t>
      </w:r>
    </w:p>
    <w:bookmarkEnd w:id="5"/>
  </w:footnote>
  <w:footnote w:id="6">
    <w:p w14:paraId="3BBCC5EC" w14:textId="77777777" w:rsidR="00BC7D7E" w:rsidRPr="0032557F" w:rsidRDefault="00BC7D7E" w:rsidP="0032557F">
      <w:pPr>
        <w:pStyle w:val="Textonotapie"/>
        <w:ind w:firstLine="709"/>
        <w:contextualSpacing/>
        <w:jc w:val="both"/>
        <w:rPr>
          <w:rFonts w:ascii="Verdana" w:hAnsi="Verdana"/>
          <w:sz w:val="16"/>
          <w:szCs w:val="16"/>
          <w:lang w:val="es-ES"/>
        </w:rPr>
      </w:pPr>
      <w:r w:rsidRPr="0032557F">
        <w:rPr>
          <w:rStyle w:val="Refdenotaalpie"/>
          <w:rFonts w:ascii="Verdana" w:hAnsi="Verdana"/>
          <w:sz w:val="16"/>
          <w:szCs w:val="16"/>
        </w:rPr>
        <w:footnoteRef/>
      </w:r>
      <w:r w:rsidRPr="0032557F">
        <w:rPr>
          <w:rFonts w:ascii="Verdana" w:hAnsi="Verdana"/>
          <w:sz w:val="16"/>
          <w:szCs w:val="16"/>
        </w:rPr>
        <w:t xml:space="preserve"> Por medio de la cual se crea la Ley de Transparencia y del Derecho de Acceso a la Información Pública Nacional y se dictan otras disposiciones.</w:t>
      </w:r>
    </w:p>
  </w:footnote>
  <w:footnote w:id="7">
    <w:p w14:paraId="5401CE1E" w14:textId="77777777" w:rsidR="00BC7D7E" w:rsidRPr="0032557F" w:rsidRDefault="00BC7D7E" w:rsidP="0032557F">
      <w:pPr>
        <w:pStyle w:val="Textonotapie"/>
        <w:ind w:firstLine="709"/>
        <w:contextualSpacing/>
        <w:jc w:val="both"/>
        <w:rPr>
          <w:rFonts w:ascii="Verdana" w:hAnsi="Verdana"/>
          <w:sz w:val="16"/>
          <w:szCs w:val="16"/>
        </w:rPr>
      </w:pPr>
      <w:r w:rsidRPr="0032557F">
        <w:rPr>
          <w:rStyle w:val="Refdenotaalpie"/>
          <w:rFonts w:ascii="Verdana" w:hAnsi="Verdana"/>
          <w:sz w:val="16"/>
          <w:szCs w:val="16"/>
        </w:rPr>
        <w:footnoteRef/>
      </w:r>
      <w:r w:rsidRPr="0032557F">
        <w:rPr>
          <w:rFonts w:ascii="Verdana" w:hAnsi="Verdana"/>
          <w:sz w:val="16"/>
          <w:szCs w:val="16"/>
        </w:rPr>
        <w:t xml:space="preserve"> </w:t>
      </w:r>
      <w:r w:rsidRPr="0032557F">
        <w:rPr>
          <w:rFonts w:ascii="Verdana" w:hAnsi="Verdana" w:cs="Arial"/>
          <w:color w:val="000000" w:themeColor="text1"/>
          <w:sz w:val="16"/>
          <w:szCs w:val="16"/>
        </w:rPr>
        <w:t>Ley 1712 de 2014: Artículo 2. Toda información en posesión, bajo control o custodia de un sujeto obligado es pública y no podrá ser reservada o limitada sino por disposición constitucional o legal, de conformidad con la presente ley”.</w:t>
      </w:r>
    </w:p>
  </w:footnote>
  <w:footnote w:id="8">
    <w:p w14:paraId="01572B34" w14:textId="77777777" w:rsidR="00BC7D7E" w:rsidRPr="0032557F" w:rsidRDefault="00BC7D7E" w:rsidP="00A216B9">
      <w:pPr>
        <w:pStyle w:val="Textonotapie"/>
        <w:ind w:firstLine="707"/>
        <w:contextualSpacing/>
        <w:jc w:val="both"/>
        <w:rPr>
          <w:rFonts w:ascii="Verdana" w:hAnsi="Verdana" w:cs="Arial"/>
          <w:sz w:val="16"/>
          <w:szCs w:val="16"/>
          <w:lang w:val="es-CO"/>
        </w:rPr>
      </w:pPr>
      <w:r w:rsidRPr="0032557F">
        <w:rPr>
          <w:rStyle w:val="Refdenotaalpie"/>
          <w:rFonts w:ascii="Verdana" w:hAnsi="Verdana" w:cs="Arial"/>
          <w:sz w:val="16"/>
          <w:szCs w:val="16"/>
        </w:rPr>
        <w:footnoteRef/>
      </w:r>
      <w:r w:rsidRPr="0032557F">
        <w:rPr>
          <w:rFonts w:ascii="Verdana" w:hAnsi="Verdana" w:cs="Arial"/>
          <w:sz w:val="16"/>
          <w:szCs w:val="16"/>
          <w:vertAlign w:val="superscript"/>
        </w:rPr>
        <w:t xml:space="preserve"> </w:t>
      </w:r>
      <w:r w:rsidRPr="0032557F">
        <w:rPr>
          <w:rFonts w:ascii="Verdana" w:hAnsi="Verdana" w:cs="Arial"/>
          <w:sz w:val="16"/>
          <w:szCs w:val="16"/>
        </w:rPr>
        <w:t xml:space="preserve">Ley 1712 de 2014: “Artículo 3. </w:t>
      </w:r>
      <w:bookmarkStart w:id="6" w:name="3"/>
      <w:r w:rsidRPr="0032557F">
        <w:rPr>
          <w:rFonts w:ascii="Verdana" w:hAnsi="Verdana" w:cs="Arial"/>
          <w:sz w:val="16"/>
          <w:szCs w:val="16"/>
          <w:lang w:val="es-CO"/>
        </w:rPr>
        <w:t>Otros principios de la transparencia y acceso a la información pública.</w:t>
      </w:r>
      <w:bookmarkEnd w:id="6"/>
      <w:r w:rsidRPr="0032557F">
        <w:rPr>
          <w:rFonts w:ascii="Verdana" w:hAnsi="Verdana" w:cs="Arial"/>
          <w:sz w:val="16"/>
          <w:szCs w:val="16"/>
          <w:lang w:val="es-CO"/>
        </w:rPr>
        <w:t> </w:t>
      </w:r>
    </w:p>
    <w:p w14:paraId="08212D7B" w14:textId="77777777" w:rsidR="00BC7D7E" w:rsidRPr="0032557F" w:rsidRDefault="00BC7D7E" w:rsidP="00A216B9">
      <w:pPr>
        <w:pStyle w:val="Textonotapie"/>
        <w:ind w:firstLine="707"/>
        <w:contextualSpacing/>
        <w:jc w:val="both"/>
        <w:rPr>
          <w:rFonts w:ascii="Verdana" w:hAnsi="Verdana" w:cs="Arial"/>
          <w:sz w:val="16"/>
          <w:szCs w:val="16"/>
          <w:lang w:val="es-CO"/>
        </w:rPr>
      </w:pPr>
      <w:r w:rsidRPr="0032557F">
        <w:rPr>
          <w:rFonts w:ascii="Verdana" w:hAnsi="Verdana" w:cs="Arial"/>
          <w:sz w:val="16"/>
          <w:szCs w:val="16"/>
          <w:lang w:val="es-CO"/>
        </w:rPr>
        <w:t>[…]</w:t>
      </w:r>
    </w:p>
    <w:p w14:paraId="06C7FBAD" w14:textId="77E74123" w:rsidR="00BC7D7E" w:rsidRPr="0032557F" w:rsidRDefault="00BC7D7E" w:rsidP="0032557F">
      <w:pPr>
        <w:pStyle w:val="Textonotapie"/>
        <w:ind w:firstLine="707"/>
        <w:contextualSpacing/>
        <w:jc w:val="both"/>
        <w:rPr>
          <w:rFonts w:ascii="Verdana" w:hAnsi="Verdana" w:cs="Arial"/>
          <w:sz w:val="16"/>
          <w:szCs w:val="16"/>
          <w:lang w:val="es-CO"/>
        </w:rPr>
      </w:pPr>
      <w:r w:rsidRPr="0032557F">
        <w:rPr>
          <w:rStyle w:val="baj"/>
          <w:rFonts w:ascii="Verdana" w:hAnsi="Verdana" w:cs="Arial"/>
          <w:sz w:val="16"/>
          <w:szCs w:val="16"/>
        </w:rPr>
        <w:t>Principio de transparencia</w:t>
      </w:r>
      <w:r w:rsidRPr="0032557F">
        <w:rPr>
          <w:rFonts w:ascii="Verdana" w:hAnsi="Verdana" w:cs="Arial"/>
          <w:sz w:val="16"/>
          <w:szCs w:val="16"/>
        </w:rPr>
        <w:t>. Principio conforme al cual toda la información en poder de los sujetos obligados definidos en esta ley se presume pública, en consecuencia de lo cual dichos sujetos están en el deber de proporcionar y facilitar el acceso a la misma en los términos más amplios posibles y a través de los medios y procedimientos que al efecto establezca la ley, excluyendo solo aquello que esté sujeto a las excepciones constitucionales y legales y bajo el cumplimiento de los requisitos establecidos en esta ley”.</w:t>
      </w:r>
    </w:p>
  </w:footnote>
  <w:footnote w:id="9">
    <w:p w14:paraId="410ED638" w14:textId="77777777" w:rsidR="00BC7D7E" w:rsidRPr="0032557F" w:rsidRDefault="00BC7D7E" w:rsidP="00A216B9">
      <w:pPr>
        <w:pStyle w:val="Textonotapie"/>
        <w:ind w:firstLine="707"/>
        <w:contextualSpacing/>
        <w:jc w:val="both"/>
        <w:rPr>
          <w:rFonts w:ascii="Verdana" w:hAnsi="Verdana" w:cs="Arial"/>
          <w:sz w:val="16"/>
          <w:szCs w:val="16"/>
          <w:lang w:val="es-CO"/>
        </w:rPr>
      </w:pPr>
      <w:r w:rsidRPr="0032557F">
        <w:rPr>
          <w:rStyle w:val="Refdenotaalpie"/>
          <w:rFonts w:ascii="Verdana" w:hAnsi="Verdana" w:cs="Arial"/>
          <w:sz w:val="16"/>
          <w:szCs w:val="16"/>
        </w:rPr>
        <w:footnoteRef/>
      </w:r>
      <w:r w:rsidRPr="0032557F">
        <w:rPr>
          <w:rFonts w:ascii="Verdana" w:hAnsi="Verdana" w:cs="Arial"/>
          <w:sz w:val="16"/>
          <w:szCs w:val="16"/>
          <w:vertAlign w:val="superscript"/>
        </w:rPr>
        <w:t xml:space="preserve"> </w:t>
      </w:r>
      <w:r w:rsidRPr="0032557F">
        <w:rPr>
          <w:rFonts w:ascii="Verdana" w:hAnsi="Verdana" w:cs="Arial"/>
          <w:sz w:val="16"/>
          <w:szCs w:val="16"/>
        </w:rPr>
        <w:t xml:space="preserve">Ley 1712 de 2014: “Artículo 3. </w:t>
      </w:r>
      <w:r w:rsidRPr="0032557F">
        <w:rPr>
          <w:rFonts w:ascii="Verdana" w:hAnsi="Verdana" w:cs="Arial"/>
          <w:sz w:val="16"/>
          <w:szCs w:val="16"/>
          <w:lang w:val="es-CO"/>
        </w:rPr>
        <w:t>Otros principios de la transparencia y acceso a la información pública. </w:t>
      </w:r>
    </w:p>
    <w:p w14:paraId="713CE8EC" w14:textId="77777777" w:rsidR="00BC7D7E" w:rsidRPr="0032557F" w:rsidRDefault="00BC7D7E" w:rsidP="00A216B9">
      <w:pPr>
        <w:pStyle w:val="Textonotapie"/>
        <w:ind w:firstLine="707"/>
        <w:contextualSpacing/>
        <w:jc w:val="both"/>
        <w:rPr>
          <w:rFonts w:ascii="Verdana" w:hAnsi="Verdana" w:cs="Arial"/>
          <w:sz w:val="16"/>
          <w:szCs w:val="16"/>
          <w:lang w:val="es-ES"/>
        </w:rPr>
      </w:pPr>
      <w:r w:rsidRPr="0032557F">
        <w:rPr>
          <w:rFonts w:ascii="Verdana" w:hAnsi="Verdana" w:cs="Arial"/>
          <w:sz w:val="16"/>
          <w:szCs w:val="16"/>
          <w:lang w:val="es-ES"/>
        </w:rPr>
        <w:t>[…]</w:t>
      </w:r>
    </w:p>
    <w:p w14:paraId="48C0A9FC" w14:textId="77777777" w:rsidR="00BC7D7E" w:rsidRPr="0032557F" w:rsidRDefault="00BC7D7E" w:rsidP="00A216B9">
      <w:pPr>
        <w:pStyle w:val="Textonotapie"/>
        <w:ind w:firstLine="707"/>
        <w:contextualSpacing/>
        <w:jc w:val="both"/>
        <w:rPr>
          <w:rFonts w:ascii="Verdana" w:hAnsi="Verdana" w:cs="Arial"/>
          <w:sz w:val="16"/>
          <w:szCs w:val="16"/>
          <w:lang w:val="es-ES"/>
        </w:rPr>
      </w:pPr>
      <w:r w:rsidRPr="0032557F">
        <w:rPr>
          <w:rStyle w:val="baj"/>
          <w:rFonts w:ascii="Verdana" w:hAnsi="Verdana" w:cs="Arial"/>
          <w:sz w:val="16"/>
          <w:szCs w:val="16"/>
        </w:rPr>
        <w:t>Principio de buena fe</w:t>
      </w:r>
      <w:r w:rsidRPr="0032557F">
        <w:rPr>
          <w:rFonts w:ascii="Verdana" w:hAnsi="Verdana" w:cs="Arial"/>
          <w:sz w:val="16"/>
          <w:szCs w:val="16"/>
        </w:rPr>
        <w:t>. En virtud del cual todo sujeto obligado, al cumplir con las obligaciones derivadas del derecho de acceso a la información pública, lo hará con motivación honesta, leal y desprovista de cualquier intención dolosa o culposa”.</w:t>
      </w:r>
    </w:p>
  </w:footnote>
  <w:footnote w:id="10">
    <w:p w14:paraId="70863C46" w14:textId="77777777" w:rsidR="00BC7D7E" w:rsidRPr="0032557F" w:rsidRDefault="00BC7D7E" w:rsidP="00A216B9">
      <w:pPr>
        <w:pStyle w:val="Textonotapie"/>
        <w:ind w:firstLine="707"/>
        <w:contextualSpacing/>
        <w:jc w:val="both"/>
        <w:rPr>
          <w:rFonts w:ascii="Verdana" w:hAnsi="Verdana" w:cs="Arial"/>
          <w:sz w:val="16"/>
          <w:szCs w:val="16"/>
          <w:shd w:val="clear" w:color="auto" w:fill="FFFFFF"/>
        </w:rPr>
      </w:pPr>
      <w:r w:rsidRPr="0032557F">
        <w:rPr>
          <w:rStyle w:val="Refdenotaalpie"/>
          <w:rFonts w:ascii="Verdana" w:hAnsi="Verdana" w:cs="Arial"/>
          <w:sz w:val="16"/>
          <w:szCs w:val="16"/>
        </w:rPr>
        <w:footnoteRef/>
      </w:r>
      <w:r w:rsidRPr="0032557F">
        <w:rPr>
          <w:rFonts w:ascii="Verdana" w:hAnsi="Verdana" w:cs="Arial"/>
          <w:sz w:val="16"/>
          <w:szCs w:val="16"/>
        </w:rPr>
        <w:t xml:space="preserve"> Ley 1712 de 2014: “Artículo 9. </w:t>
      </w:r>
      <w:r w:rsidRPr="0032557F">
        <w:rPr>
          <w:rFonts w:ascii="Verdana" w:hAnsi="Verdana" w:cs="Arial"/>
          <w:sz w:val="16"/>
          <w:szCs w:val="16"/>
          <w:shd w:val="clear" w:color="auto" w:fill="FFFFFF"/>
        </w:rPr>
        <w:t> </w:t>
      </w:r>
      <w:r w:rsidRPr="0032557F">
        <w:rPr>
          <w:rStyle w:val="nfasis"/>
          <w:rFonts w:ascii="Verdana" w:hAnsi="Verdana" w:cs="Arial"/>
          <w:sz w:val="16"/>
          <w:szCs w:val="16"/>
          <w:shd w:val="clear" w:color="auto" w:fill="FFFFFF"/>
        </w:rPr>
        <w:t>Información mínima obligatoria respecto a la estructura del sujeto obligado. </w:t>
      </w:r>
      <w:r w:rsidRPr="0032557F">
        <w:rPr>
          <w:rFonts w:ascii="Verdana" w:hAnsi="Verdana" w:cs="Arial"/>
          <w:sz w:val="16"/>
          <w:szCs w:val="16"/>
          <w:shd w:val="clear" w:color="auto" w:fill="FFFFFF"/>
        </w:rPr>
        <w:t>Todo sujeto obligado deberá publicar la siguiente información mínima obligatoria de manera proactiva en los sistemas de información del Estado o herramientas que lo sustituyan:</w:t>
      </w:r>
    </w:p>
    <w:p w14:paraId="68C34E20" w14:textId="77777777" w:rsidR="00BC7D7E" w:rsidRPr="0032557F" w:rsidRDefault="00BC7D7E" w:rsidP="00A216B9">
      <w:pPr>
        <w:pStyle w:val="Textonotapie"/>
        <w:ind w:firstLine="707"/>
        <w:contextualSpacing/>
        <w:jc w:val="both"/>
        <w:rPr>
          <w:rFonts w:ascii="Verdana" w:hAnsi="Verdana" w:cs="Arial"/>
          <w:sz w:val="16"/>
          <w:szCs w:val="16"/>
          <w:shd w:val="clear" w:color="auto" w:fill="FFFFFF"/>
        </w:rPr>
      </w:pPr>
      <w:r w:rsidRPr="0032557F">
        <w:rPr>
          <w:rFonts w:ascii="Verdana" w:hAnsi="Verdana" w:cs="Arial"/>
          <w:sz w:val="16"/>
          <w:szCs w:val="16"/>
          <w:shd w:val="clear" w:color="auto" w:fill="FFFFFF"/>
        </w:rPr>
        <w:t>[…]</w:t>
      </w:r>
    </w:p>
    <w:p w14:paraId="279915D7" w14:textId="77777777" w:rsidR="00BC7D7E" w:rsidRPr="0032557F" w:rsidRDefault="00BC7D7E" w:rsidP="00A216B9">
      <w:pPr>
        <w:pStyle w:val="Textonotapie"/>
        <w:ind w:firstLine="707"/>
        <w:contextualSpacing/>
        <w:jc w:val="both"/>
        <w:rPr>
          <w:rFonts w:ascii="Verdana" w:hAnsi="Verdana" w:cs="Arial"/>
          <w:sz w:val="16"/>
          <w:szCs w:val="16"/>
          <w:lang w:val="es-ES"/>
        </w:rPr>
      </w:pPr>
      <w:r w:rsidRPr="0032557F">
        <w:rPr>
          <w:rFonts w:ascii="Verdana" w:hAnsi="Verdana" w:cs="Arial"/>
          <w:sz w:val="16"/>
          <w:szCs w:val="16"/>
          <w:shd w:val="clear" w:color="auto" w:fill="FFFFFF"/>
        </w:rPr>
        <w:t>e) Su respectivo plan de compras anual, así como las contrataciones adjudicadas para la correspondiente vigencia en lo relacionado con funcionamiento e inversión, las obras públicas, los bienes adquiridos, arrendados y en caso de los servicios de estudios o investigaciones deberá señalarse el tema específico, de conformidad con el artículo 74</w:t>
      </w:r>
      <w:r w:rsidRPr="0032557F">
        <w:rPr>
          <w:rFonts w:ascii="Verdana" w:hAnsi="Verdana" w:cs="Arial"/>
          <w:sz w:val="16"/>
          <w:szCs w:val="16"/>
        </w:rPr>
        <w:t xml:space="preserve"> </w:t>
      </w:r>
      <w:r w:rsidRPr="0032557F">
        <w:rPr>
          <w:rFonts w:ascii="Verdana" w:hAnsi="Verdana" w:cs="Arial"/>
          <w:sz w:val="16"/>
          <w:szCs w:val="16"/>
          <w:shd w:val="clear" w:color="auto" w:fill="FFFFFF"/>
        </w:rPr>
        <w:t>de la Ley 1474 de 2011. En el caso de las personas naturales con contratos de prestación de servicios, deberá publicarse el objeto del contrato, monto de los honorarios y direcciones de correo electrónico, de conformidad con el formato de información de servidores públicos y contratistas;</w:t>
      </w:r>
      <w:r w:rsidRPr="0032557F">
        <w:rPr>
          <w:rFonts w:ascii="Verdana" w:hAnsi="Verdana" w:cs="Arial"/>
          <w:sz w:val="16"/>
          <w:szCs w:val="16"/>
        </w:rPr>
        <w:t>”.</w:t>
      </w:r>
    </w:p>
  </w:footnote>
  <w:footnote w:id="11">
    <w:p w14:paraId="703371D1" w14:textId="77777777" w:rsidR="00BC7D7E" w:rsidRPr="0032557F" w:rsidRDefault="00BC7D7E" w:rsidP="00A216B9">
      <w:pPr>
        <w:spacing w:after="0" w:line="240" w:lineRule="auto"/>
        <w:ind w:firstLine="707"/>
        <w:contextualSpacing/>
        <w:jc w:val="both"/>
        <w:rPr>
          <w:rFonts w:ascii="Verdana" w:hAnsi="Verdana" w:cs="Arial"/>
          <w:sz w:val="16"/>
          <w:szCs w:val="16"/>
        </w:rPr>
      </w:pPr>
      <w:r w:rsidRPr="0032557F">
        <w:rPr>
          <w:rStyle w:val="Refdenotaalpie"/>
          <w:rFonts w:ascii="Verdana" w:hAnsi="Verdana" w:cs="Arial"/>
          <w:sz w:val="16"/>
          <w:szCs w:val="16"/>
        </w:rPr>
        <w:footnoteRef/>
      </w:r>
      <w:r w:rsidRPr="0032557F">
        <w:rPr>
          <w:rFonts w:ascii="Verdana" w:hAnsi="Verdana" w:cs="Arial"/>
          <w:sz w:val="16"/>
          <w:szCs w:val="16"/>
        </w:rPr>
        <w:t xml:space="preserve"> Ley 1712 de 2014: “Artículo 5. Ámbito de aplicación. Las disposiciones de esta ley serán aplicables a las siguientes personas en calidad de sujetos obligados:</w:t>
      </w:r>
    </w:p>
    <w:p w14:paraId="70EE9DBC" w14:textId="7DBAD924" w:rsidR="00BC7D7E" w:rsidRPr="0032557F" w:rsidRDefault="00BC7D7E" w:rsidP="0032557F">
      <w:pPr>
        <w:spacing w:after="0" w:line="240" w:lineRule="auto"/>
        <w:ind w:firstLine="707"/>
        <w:contextualSpacing/>
        <w:jc w:val="both"/>
      </w:pPr>
      <w:r w:rsidRPr="0032557F">
        <w:rPr>
          <w:rFonts w:ascii="Verdana" w:hAnsi="Verdana" w:cs="Arial"/>
          <w:sz w:val="16"/>
          <w:szCs w:val="16"/>
        </w:rPr>
        <w:t>a) Toda entidad pública, incluyendo las pertenecientes a todas las Ramas del Poder Público, en todos los niveles de la estructura estatal, central o descentralizada por servicios o territorialmente, en los órdenes nacional, departamental, municipal y distrital”.</w:t>
      </w:r>
    </w:p>
  </w:footnote>
  <w:footnote w:id="12">
    <w:p w14:paraId="789C5DE0" w14:textId="77777777" w:rsidR="00BC7D7E" w:rsidRPr="0032557F" w:rsidRDefault="00BC7D7E" w:rsidP="0032557F">
      <w:pPr>
        <w:pStyle w:val="Textonotapie"/>
        <w:ind w:firstLine="709"/>
        <w:contextualSpacing/>
        <w:jc w:val="both"/>
        <w:rPr>
          <w:rFonts w:ascii="Verdana" w:hAnsi="Verdana"/>
          <w:sz w:val="16"/>
          <w:szCs w:val="16"/>
          <w:lang w:val="es-ES"/>
        </w:rPr>
      </w:pPr>
      <w:r w:rsidRPr="0032557F">
        <w:rPr>
          <w:rStyle w:val="Refdenotaalpie"/>
          <w:rFonts w:ascii="Verdana" w:hAnsi="Verdana"/>
          <w:sz w:val="16"/>
          <w:szCs w:val="16"/>
        </w:rPr>
        <w:footnoteRef/>
      </w:r>
      <w:r w:rsidRPr="0032557F">
        <w:rPr>
          <w:rFonts w:ascii="Verdana" w:hAnsi="Verdana"/>
          <w:sz w:val="16"/>
          <w:szCs w:val="16"/>
        </w:rPr>
        <w:t xml:space="preserve"> En </w:t>
      </w:r>
      <w:hyperlink r:id="rId1" w:history="1">
        <w:r w:rsidRPr="0032557F">
          <w:rPr>
            <w:rStyle w:val="Hipervnculo"/>
            <w:rFonts w:ascii="Verdana" w:hAnsi="Verdana"/>
            <w:sz w:val="16"/>
            <w:szCs w:val="16"/>
            <w:lang w:val="es-CO"/>
          </w:rPr>
          <w:t>cce-sec-gi-22guiasecopii_eemcregimenespecialsinofertas20-04-2022.pdf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pPr>
      <w:pStyle w:val="Encabezad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12DD542F">
          <wp:simplePos x="0" y="0"/>
          <wp:positionH relativeFrom="margin">
            <wp:align>center</wp:align>
          </wp:positionH>
          <wp:positionV relativeFrom="paragraph">
            <wp:posOffset>-345440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3079FC11" w14:textId="77777777" w:rsidR="00DC39FC" w:rsidRDefault="00DC39FC" w:rsidP="004A305D">
    <w:pPr>
      <w:spacing w:after="0"/>
      <w:rPr>
        <w:rFonts w:ascii="Verdana" w:hAnsi="Verdana"/>
        <w:b/>
        <w:bCs/>
      </w:rPr>
    </w:pPr>
  </w:p>
  <w:p w14:paraId="7FE1230C" w14:textId="77E53D9F" w:rsidR="004A305D" w:rsidRPr="00DC39FC" w:rsidRDefault="004A305D" w:rsidP="004A305D">
    <w:pPr>
      <w:spacing w:after="0"/>
      <w:rPr>
        <w:rFonts w:ascii="Verdana" w:hAnsi="Verdana"/>
        <w:b/>
        <w:bCs/>
      </w:rPr>
    </w:pPr>
    <w:r w:rsidRPr="00DC39FC">
      <w:rPr>
        <w:rFonts w:ascii="Verdana" w:hAnsi="Verdana"/>
        <w:b/>
        <w:bCs/>
      </w:rPr>
      <w:t>FORMATO PQRSD</w:t>
    </w: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6D74A3CF" w:rsidR="008A446D" w:rsidRDefault="008A446D" w:rsidP="00061B2A">
    <w:pPr>
      <w:pStyle w:val="Encabezado"/>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08" w:hanging="360"/>
      </w:pPr>
      <w:rPr>
        <w:rFonts w:ascii="Symbol" w:hAnsi="Symbol" w:hint="default"/>
      </w:rPr>
    </w:lvl>
    <w:lvl w:ilvl="1" w:tplc="040A0003" w:tentative="1">
      <w:start w:val="1"/>
      <w:numFmt w:val="bullet"/>
      <w:lvlText w:val="o"/>
      <w:lvlJc w:val="left"/>
      <w:pPr>
        <w:ind w:left="12" w:hanging="360"/>
      </w:pPr>
      <w:rPr>
        <w:rFonts w:ascii="Courier New" w:hAnsi="Courier New" w:cs="Courier New" w:hint="default"/>
      </w:rPr>
    </w:lvl>
    <w:lvl w:ilvl="2" w:tplc="040A0005" w:tentative="1">
      <w:start w:val="1"/>
      <w:numFmt w:val="bullet"/>
      <w:lvlText w:val=""/>
      <w:lvlJc w:val="left"/>
      <w:pPr>
        <w:ind w:left="732" w:hanging="360"/>
      </w:pPr>
      <w:rPr>
        <w:rFonts w:ascii="Wingdings" w:hAnsi="Wingdings" w:hint="default"/>
      </w:rPr>
    </w:lvl>
    <w:lvl w:ilvl="3" w:tplc="040A0001" w:tentative="1">
      <w:start w:val="1"/>
      <w:numFmt w:val="bullet"/>
      <w:lvlText w:val=""/>
      <w:lvlJc w:val="left"/>
      <w:pPr>
        <w:ind w:left="1452" w:hanging="360"/>
      </w:pPr>
      <w:rPr>
        <w:rFonts w:ascii="Symbol" w:hAnsi="Symbol" w:hint="default"/>
      </w:rPr>
    </w:lvl>
    <w:lvl w:ilvl="4" w:tplc="040A0003" w:tentative="1">
      <w:start w:val="1"/>
      <w:numFmt w:val="bullet"/>
      <w:lvlText w:val="o"/>
      <w:lvlJc w:val="left"/>
      <w:pPr>
        <w:ind w:left="2172" w:hanging="360"/>
      </w:pPr>
      <w:rPr>
        <w:rFonts w:ascii="Courier New" w:hAnsi="Courier New" w:cs="Courier New" w:hint="default"/>
      </w:rPr>
    </w:lvl>
    <w:lvl w:ilvl="5" w:tplc="040A0005" w:tentative="1">
      <w:start w:val="1"/>
      <w:numFmt w:val="bullet"/>
      <w:lvlText w:val=""/>
      <w:lvlJc w:val="left"/>
      <w:pPr>
        <w:ind w:left="2892" w:hanging="360"/>
      </w:pPr>
      <w:rPr>
        <w:rFonts w:ascii="Wingdings" w:hAnsi="Wingdings" w:hint="default"/>
      </w:rPr>
    </w:lvl>
    <w:lvl w:ilvl="6" w:tplc="040A0001" w:tentative="1">
      <w:start w:val="1"/>
      <w:numFmt w:val="bullet"/>
      <w:lvlText w:val=""/>
      <w:lvlJc w:val="left"/>
      <w:pPr>
        <w:ind w:left="3612" w:hanging="360"/>
      </w:pPr>
      <w:rPr>
        <w:rFonts w:ascii="Symbol" w:hAnsi="Symbol" w:hint="default"/>
      </w:rPr>
    </w:lvl>
    <w:lvl w:ilvl="7" w:tplc="040A0003" w:tentative="1">
      <w:start w:val="1"/>
      <w:numFmt w:val="bullet"/>
      <w:lvlText w:val="o"/>
      <w:lvlJc w:val="left"/>
      <w:pPr>
        <w:ind w:left="4332" w:hanging="360"/>
      </w:pPr>
      <w:rPr>
        <w:rFonts w:ascii="Courier New" w:hAnsi="Courier New" w:cs="Courier New" w:hint="default"/>
      </w:rPr>
    </w:lvl>
    <w:lvl w:ilvl="8" w:tplc="040A0005" w:tentative="1">
      <w:start w:val="1"/>
      <w:numFmt w:val="bullet"/>
      <w:lvlText w:val=""/>
      <w:lvlJc w:val="left"/>
      <w:pPr>
        <w:ind w:left="5052" w:hanging="360"/>
      </w:pPr>
      <w:rPr>
        <w:rFonts w:ascii="Wingdings" w:hAnsi="Wingdings" w:hint="default"/>
      </w:rPr>
    </w:lvl>
  </w:abstractNum>
  <w:abstractNum w:abstractNumId="10" w15:restartNumberingAfterBreak="0">
    <w:nsid w:val="41A06B96"/>
    <w:multiLevelType w:val="hybridMultilevel"/>
    <w:tmpl w:val="3304996A"/>
    <w:lvl w:ilvl="0" w:tplc="FB80F6C4">
      <w:numFmt w:val="bullet"/>
      <w:lvlText w:val=""/>
      <w:lvlJc w:val="left"/>
      <w:pPr>
        <w:ind w:left="863" w:hanging="360"/>
      </w:pPr>
      <w:rPr>
        <w:rFonts w:ascii="Wingdings" w:eastAsia="Wingdings" w:hAnsi="Wingdings" w:cs="Wingdings" w:hint="default"/>
        <w:b w:val="0"/>
        <w:bCs w:val="0"/>
        <w:i w:val="0"/>
        <w:iCs w:val="0"/>
        <w:spacing w:val="0"/>
        <w:w w:val="100"/>
        <w:sz w:val="22"/>
        <w:szCs w:val="22"/>
        <w:lang w:val="es-ES" w:eastAsia="en-US" w:bidi="ar-SA"/>
      </w:rPr>
    </w:lvl>
    <w:lvl w:ilvl="1" w:tplc="59A0ABCC">
      <w:numFmt w:val="bullet"/>
      <w:lvlText w:val="•"/>
      <w:lvlJc w:val="left"/>
      <w:pPr>
        <w:ind w:left="1652" w:hanging="360"/>
      </w:pPr>
      <w:rPr>
        <w:rFonts w:hint="default"/>
        <w:lang w:val="es-ES" w:eastAsia="en-US" w:bidi="ar-SA"/>
      </w:rPr>
    </w:lvl>
    <w:lvl w:ilvl="2" w:tplc="3E441FDE">
      <w:numFmt w:val="bullet"/>
      <w:lvlText w:val="•"/>
      <w:lvlJc w:val="left"/>
      <w:pPr>
        <w:ind w:left="2445" w:hanging="360"/>
      </w:pPr>
      <w:rPr>
        <w:rFonts w:hint="default"/>
        <w:lang w:val="es-ES" w:eastAsia="en-US" w:bidi="ar-SA"/>
      </w:rPr>
    </w:lvl>
    <w:lvl w:ilvl="3" w:tplc="E9BA2F22">
      <w:numFmt w:val="bullet"/>
      <w:lvlText w:val="•"/>
      <w:lvlJc w:val="left"/>
      <w:pPr>
        <w:ind w:left="3238" w:hanging="360"/>
      </w:pPr>
      <w:rPr>
        <w:rFonts w:hint="default"/>
        <w:lang w:val="es-ES" w:eastAsia="en-US" w:bidi="ar-SA"/>
      </w:rPr>
    </w:lvl>
    <w:lvl w:ilvl="4" w:tplc="AD6C9D9C">
      <w:numFmt w:val="bullet"/>
      <w:lvlText w:val="•"/>
      <w:lvlJc w:val="left"/>
      <w:pPr>
        <w:ind w:left="4031" w:hanging="360"/>
      </w:pPr>
      <w:rPr>
        <w:rFonts w:hint="default"/>
        <w:lang w:val="es-ES" w:eastAsia="en-US" w:bidi="ar-SA"/>
      </w:rPr>
    </w:lvl>
    <w:lvl w:ilvl="5" w:tplc="F7503B50">
      <w:numFmt w:val="bullet"/>
      <w:lvlText w:val="•"/>
      <w:lvlJc w:val="left"/>
      <w:pPr>
        <w:ind w:left="4824" w:hanging="360"/>
      </w:pPr>
      <w:rPr>
        <w:rFonts w:hint="default"/>
        <w:lang w:val="es-ES" w:eastAsia="en-US" w:bidi="ar-SA"/>
      </w:rPr>
    </w:lvl>
    <w:lvl w:ilvl="6" w:tplc="F6884CB6">
      <w:numFmt w:val="bullet"/>
      <w:lvlText w:val="•"/>
      <w:lvlJc w:val="left"/>
      <w:pPr>
        <w:ind w:left="5617" w:hanging="360"/>
      </w:pPr>
      <w:rPr>
        <w:rFonts w:hint="default"/>
        <w:lang w:val="es-ES" w:eastAsia="en-US" w:bidi="ar-SA"/>
      </w:rPr>
    </w:lvl>
    <w:lvl w:ilvl="7" w:tplc="6EBA6A3C">
      <w:numFmt w:val="bullet"/>
      <w:lvlText w:val="•"/>
      <w:lvlJc w:val="left"/>
      <w:pPr>
        <w:ind w:left="6409" w:hanging="360"/>
      </w:pPr>
      <w:rPr>
        <w:rFonts w:hint="default"/>
        <w:lang w:val="es-ES" w:eastAsia="en-US" w:bidi="ar-SA"/>
      </w:rPr>
    </w:lvl>
    <w:lvl w:ilvl="8" w:tplc="DF464534">
      <w:numFmt w:val="bullet"/>
      <w:lvlText w:val="•"/>
      <w:lvlJc w:val="left"/>
      <w:pPr>
        <w:ind w:left="7202" w:hanging="360"/>
      </w:pPr>
      <w:rPr>
        <w:rFonts w:hint="default"/>
        <w:lang w:val="es-ES" w:eastAsia="en-US" w:bidi="ar-SA"/>
      </w:rPr>
    </w:lvl>
  </w:abstractNum>
  <w:abstractNum w:abstractNumId="11"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873424267">
    <w:abstractNumId w:val="0"/>
  </w:num>
  <w:num w:numId="17" w16cid:durableId="1275282775">
    <w:abstractNumId w:val="9"/>
  </w:num>
  <w:num w:numId="18" w16cid:durableId="13758888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5CFE"/>
    <w:rsid w:val="000A683E"/>
    <w:rsid w:val="000B19B9"/>
    <w:rsid w:val="000B26A0"/>
    <w:rsid w:val="000B2D16"/>
    <w:rsid w:val="000D0334"/>
    <w:rsid w:val="000E4810"/>
    <w:rsid w:val="000F6486"/>
    <w:rsid w:val="00114427"/>
    <w:rsid w:val="0012397A"/>
    <w:rsid w:val="00123B54"/>
    <w:rsid w:val="00125105"/>
    <w:rsid w:val="00127233"/>
    <w:rsid w:val="0014614D"/>
    <w:rsid w:val="00146C5B"/>
    <w:rsid w:val="001511A0"/>
    <w:rsid w:val="001648BF"/>
    <w:rsid w:val="0018166A"/>
    <w:rsid w:val="00185AAC"/>
    <w:rsid w:val="001E4177"/>
    <w:rsid w:val="001F7DC6"/>
    <w:rsid w:val="002421BB"/>
    <w:rsid w:val="0025796E"/>
    <w:rsid w:val="002600EF"/>
    <w:rsid w:val="002707A2"/>
    <w:rsid w:val="00273D4C"/>
    <w:rsid w:val="00277C9E"/>
    <w:rsid w:val="002951A0"/>
    <w:rsid w:val="002962BC"/>
    <w:rsid w:val="002A093D"/>
    <w:rsid w:val="002A0DD0"/>
    <w:rsid w:val="002A49AC"/>
    <w:rsid w:val="002A64FD"/>
    <w:rsid w:val="002C73A5"/>
    <w:rsid w:val="002C7A84"/>
    <w:rsid w:val="002D362C"/>
    <w:rsid w:val="002E4FD9"/>
    <w:rsid w:val="003027C1"/>
    <w:rsid w:val="0031798F"/>
    <w:rsid w:val="00322A85"/>
    <w:rsid w:val="00324168"/>
    <w:rsid w:val="0032557F"/>
    <w:rsid w:val="003448F4"/>
    <w:rsid w:val="00345B99"/>
    <w:rsid w:val="00371137"/>
    <w:rsid w:val="00374F5E"/>
    <w:rsid w:val="00377E3E"/>
    <w:rsid w:val="00384686"/>
    <w:rsid w:val="0039612E"/>
    <w:rsid w:val="003A0215"/>
    <w:rsid w:val="003A779E"/>
    <w:rsid w:val="003B1296"/>
    <w:rsid w:val="003C07B0"/>
    <w:rsid w:val="003C3059"/>
    <w:rsid w:val="003D0F4D"/>
    <w:rsid w:val="003D5B0D"/>
    <w:rsid w:val="003D72F8"/>
    <w:rsid w:val="003E0499"/>
    <w:rsid w:val="003F3941"/>
    <w:rsid w:val="003F681E"/>
    <w:rsid w:val="00400C19"/>
    <w:rsid w:val="00406575"/>
    <w:rsid w:val="0040712E"/>
    <w:rsid w:val="00414C74"/>
    <w:rsid w:val="00417B6E"/>
    <w:rsid w:val="0042722E"/>
    <w:rsid w:val="0044528D"/>
    <w:rsid w:val="00480639"/>
    <w:rsid w:val="004A1847"/>
    <w:rsid w:val="004A305D"/>
    <w:rsid w:val="004E7EA1"/>
    <w:rsid w:val="004F21C4"/>
    <w:rsid w:val="004F685F"/>
    <w:rsid w:val="005566E8"/>
    <w:rsid w:val="00574867"/>
    <w:rsid w:val="00591460"/>
    <w:rsid w:val="005B06E1"/>
    <w:rsid w:val="005B3816"/>
    <w:rsid w:val="005C3777"/>
    <w:rsid w:val="005C5CDC"/>
    <w:rsid w:val="005C77A9"/>
    <w:rsid w:val="005D476C"/>
    <w:rsid w:val="00604698"/>
    <w:rsid w:val="006219F8"/>
    <w:rsid w:val="006313F6"/>
    <w:rsid w:val="0064167D"/>
    <w:rsid w:val="006509C1"/>
    <w:rsid w:val="00665D70"/>
    <w:rsid w:val="006900D9"/>
    <w:rsid w:val="006F7E5B"/>
    <w:rsid w:val="00706C16"/>
    <w:rsid w:val="00717346"/>
    <w:rsid w:val="007452E8"/>
    <w:rsid w:val="00756841"/>
    <w:rsid w:val="007649AB"/>
    <w:rsid w:val="00770310"/>
    <w:rsid w:val="00771D0C"/>
    <w:rsid w:val="007833AC"/>
    <w:rsid w:val="007B268C"/>
    <w:rsid w:val="007B7171"/>
    <w:rsid w:val="007C0C0F"/>
    <w:rsid w:val="007C3DC2"/>
    <w:rsid w:val="007C56F5"/>
    <w:rsid w:val="007D318B"/>
    <w:rsid w:val="007E3D92"/>
    <w:rsid w:val="007E5497"/>
    <w:rsid w:val="00806F5F"/>
    <w:rsid w:val="00820278"/>
    <w:rsid w:val="00837A94"/>
    <w:rsid w:val="008630D9"/>
    <w:rsid w:val="00867F95"/>
    <w:rsid w:val="008843B6"/>
    <w:rsid w:val="00891928"/>
    <w:rsid w:val="00894DF4"/>
    <w:rsid w:val="008A446D"/>
    <w:rsid w:val="008A4850"/>
    <w:rsid w:val="008D180B"/>
    <w:rsid w:val="008E29AE"/>
    <w:rsid w:val="008F0EA7"/>
    <w:rsid w:val="00923EEF"/>
    <w:rsid w:val="009419F9"/>
    <w:rsid w:val="0095685E"/>
    <w:rsid w:val="00961B09"/>
    <w:rsid w:val="00965334"/>
    <w:rsid w:val="0097093E"/>
    <w:rsid w:val="009756AF"/>
    <w:rsid w:val="00986AC5"/>
    <w:rsid w:val="009A0DFA"/>
    <w:rsid w:val="009A5179"/>
    <w:rsid w:val="009B2D26"/>
    <w:rsid w:val="009B3EE7"/>
    <w:rsid w:val="009C71FA"/>
    <w:rsid w:val="009C72E7"/>
    <w:rsid w:val="009D3058"/>
    <w:rsid w:val="009F3A13"/>
    <w:rsid w:val="00A122D3"/>
    <w:rsid w:val="00A17F13"/>
    <w:rsid w:val="00A20739"/>
    <w:rsid w:val="00A216B9"/>
    <w:rsid w:val="00A32106"/>
    <w:rsid w:val="00A33C78"/>
    <w:rsid w:val="00A82E8B"/>
    <w:rsid w:val="00AB0ADB"/>
    <w:rsid w:val="00AD0C5F"/>
    <w:rsid w:val="00AF2A63"/>
    <w:rsid w:val="00B01B1A"/>
    <w:rsid w:val="00B02370"/>
    <w:rsid w:val="00B276C8"/>
    <w:rsid w:val="00B359B7"/>
    <w:rsid w:val="00B45865"/>
    <w:rsid w:val="00B473B9"/>
    <w:rsid w:val="00B56A6C"/>
    <w:rsid w:val="00B66319"/>
    <w:rsid w:val="00B72CD3"/>
    <w:rsid w:val="00B72FFF"/>
    <w:rsid w:val="00B91D19"/>
    <w:rsid w:val="00BC3D36"/>
    <w:rsid w:val="00BC7D7E"/>
    <w:rsid w:val="00BD7F72"/>
    <w:rsid w:val="00BE399B"/>
    <w:rsid w:val="00BF13A6"/>
    <w:rsid w:val="00BF50B3"/>
    <w:rsid w:val="00BF730D"/>
    <w:rsid w:val="00C031E0"/>
    <w:rsid w:val="00C04FB3"/>
    <w:rsid w:val="00C330EB"/>
    <w:rsid w:val="00C41061"/>
    <w:rsid w:val="00C606BC"/>
    <w:rsid w:val="00C649EF"/>
    <w:rsid w:val="00C64A05"/>
    <w:rsid w:val="00C754BE"/>
    <w:rsid w:val="00C76B1C"/>
    <w:rsid w:val="00C93D76"/>
    <w:rsid w:val="00CA15A0"/>
    <w:rsid w:val="00CB6357"/>
    <w:rsid w:val="00CC1B26"/>
    <w:rsid w:val="00D1211B"/>
    <w:rsid w:val="00D22F19"/>
    <w:rsid w:val="00D423A2"/>
    <w:rsid w:val="00D520D8"/>
    <w:rsid w:val="00D63AC2"/>
    <w:rsid w:val="00D7383B"/>
    <w:rsid w:val="00DA231B"/>
    <w:rsid w:val="00DB1409"/>
    <w:rsid w:val="00DC39FC"/>
    <w:rsid w:val="00DF2912"/>
    <w:rsid w:val="00DF345D"/>
    <w:rsid w:val="00DF5254"/>
    <w:rsid w:val="00E16408"/>
    <w:rsid w:val="00E20894"/>
    <w:rsid w:val="00E245AB"/>
    <w:rsid w:val="00E2764C"/>
    <w:rsid w:val="00E27F2E"/>
    <w:rsid w:val="00E42A9A"/>
    <w:rsid w:val="00E50AFE"/>
    <w:rsid w:val="00E75C92"/>
    <w:rsid w:val="00E771DC"/>
    <w:rsid w:val="00E83602"/>
    <w:rsid w:val="00E8772A"/>
    <w:rsid w:val="00E90F6B"/>
    <w:rsid w:val="00E92C27"/>
    <w:rsid w:val="00EA0E3D"/>
    <w:rsid w:val="00EB5BCF"/>
    <w:rsid w:val="00EC38A7"/>
    <w:rsid w:val="00ED7384"/>
    <w:rsid w:val="00EE0A42"/>
    <w:rsid w:val="00EE1AA8"/>
    <w:rsid w:val="00EE317E"/>
    <w:rsid w:val="00EE4842"/>
    <w:rsid w:val="00EF4629"/>
    <w:rsid w:val="00F03AC1"/>
    <w:rsid w:val="00F31EDC"/>
    <w:rsid w:val="00F346C0"/>
    <w:rsid w:val="00F462B3"/>
    <w:rsid w:val="00F55E4C"/>
    <w:rsid w:val="00F5664F"/>
    <w:rsid w:val="00F666C4"/>
    <w:rsid w:val="00F76AFC"/>
    <w:rsid w:val="00F76D5E"/>
    <w:rsid w:val="00F85425"/>
    <w:rsid w:val="00FA47C0"/>
    <w:rsid w:val="00FB5DD1"/>
    <w:rsid w:val="00FC2B5D"/>
    <w:rsid w:val="00FD50C1"/>
    <w:rsid w:val="00FE4AF4"/>
    <w:rsid w:val="00FF1449"/>
    <w:rsid w:val="165E9519"/>
    <w:rsid w:val="2AB8B192"/>
    <w:rsid w:val="382536D9"/>
    <w:rsid w:val="6EFDAB80"/>
    <w:rsid w:val="7B6AA7A6"/>
    <w:rsid w:val="7C1839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0D9"/>
  </w:style>
  <w:style w:type="paragraph" w:styleId="Ttulo2">
    <w:name w:val="heading 2"/>
    <w:basedOn w:val="Normal"/>
    <w:next w:val="Normal"/>
    <w:link w:val="Ttulo2Car"/>
    <w:uiPriority w:val="9"/>
    <w:unhideWhenUsed/>
    <w:qFormat/>
    <w:rsid w:val="00BC7D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unhideWhenUsed/>
    <w:qFormat/>
    <w:rsid w:val="00BC7D7E"/>
    <w:pPr>
      <w:widowControl w:val="0"/>
      <w:autoSpaceDE w:val="0"/>
      <w:autoSpaceDN w:val="0"/>
      <w:spacing w:before="160" w:after="0" w:line="240" w:lineRule="auto"/>
      <w:ind w:left="851" w:right="902"/>
      <w:jc w:val="both"/>
      <w:outlineLvl w:val="2"/>
    </w:pPr>
    <w:rPr>
      <w:rFonts w:ascii="Verdana" w:eastAsia="Verdana" w:hAnsi="Verdana" w:cs="Verdana"/>
      <w:b/>
      <w:bCs/>
      <w:i/>
      <w:iCs/>
      <w:u w:val="single" w:color="000000"/>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Ttulo2Car">
    <w:name w:val="Título 2 Car"/>
    <w:basedOn w:val="Fuentedeprrafopredeter"/>
    <w:link w:val="Ttulo2"/>
    <w:uiPriority w:val="9"/>
    <w:rsid w:val="00BC7D7E"/>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BC7D7E"/>
    <w:rPr>
      <w:rFonts w:ascii="Verdana" w:eastAsia="Verdana" w:hAnsi="Verdana" w:cs="Verdana"/>
      <w:b/>
      <w:bCs/>
      <w:i/>
      <w:iCs/>
      <w:u w:val="single" w:color="000000"/>
      <w:lang w:val="es-ES"/>
    </w:rPr>
  </w:style>
  <w:style w:type="paragraph" w:customStyle="1" w:styleId="Appelnotedebasde">
    <w:name w:val="Appel note de bas de..."/>
    <w:basedOn w:val="Normal"/>
    <w:link w:val="Refdenotaalpie"/>
    <w:uiPriority w:val="99"/>
    <w:rsid w:val="00BC7D7E"/>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BC7D7E"/>
    <w:rPr>
      <w:rFonts w:ascii="Geomanist Light" w:hAnsi="Geomanist Light"/>
      <w:lang w:val="es-ES"/>
    </w:rPr>
  </w:style>
  <w:style w:type="paragraph" w:styleId="Textoindependiente">
    <w:name w:val="Body Text"/>
    <w:basedOn w:val="Normal"/>
    <w:link w:val="TextoindependienteCar"/>
    <w:uiPriority w:val="1"/>
    <w:unhideWhenUsed/>
    <w:qFormat/>
    <w:rsid w:val="00BC7D7E"/>
    <w:pPr>
      <w:spacing w:after="120"/>
    </w:pPr>
  </w:style>
  <w:style w:type="character" w:customStyle="1" w:styleId="TextoindependienteCar">
    <w:name w:val="Texto independiente Car"/>
    <w:basedOn w:val="Fuentedeprrafopredeter"/>
    <w:link w:val="Textoindependiente"/>
    <w:uiPriority w:val="1"/>
    <w:rsid w:val="00BC7D7E"/>
  </w:style>
  <w:style w:type="character" w:customStyle="1" w:styleId="baj">
    <w:name w:val="b_aj"/>
    <w:basedOn w:val="Fuentedeprrafopredeter"/>
    <w:rsid w:val="00BC7D7E"/>
  </w:style>
  <w:style w:type="character" w:styleId="nfasis">
    <w:name w:val="Emphasis"/>
    <w:basedOn w:val="Fuentedeprrafopredeter"/>
    <w:uiPriority w:val="20"/>
    <w:qFormat/>
    <w:rsid w:val="00BC7D7E"/>
    <w:rPr>
      <w:i/>
      <w:iCs/>
    </w:rPr>
  </w:style>
  <w:style w:type="character" w:styleId="Refdecomentario">
    <w:name w:val="annotation reference"/>
    <w:basedOn w:val="Fuentedeprrafopredeter"/>
    <w:uiPriority w:val="99"/>
    <w:semiHidden/>
    <w:unhideWhenUsed/>
    <w:rsid w:val="00A216B9"/>
    <w:rPr>
      <w:sz w:val="16"/>
      <w:szCs w:val="16"/>
    </w:rPr>
  </w:style>
  <w:style w:type="paragraph" w:styleId="Textocomentario">
    <w:name w:val="annotation text"/>
    <w:basedOn w:val="Normal"/>
    <w:link w:val="TextocomentarioCar"/>
    <w:uiPriority w:val="99"/>
    <w:unhideWhenUsed/>
    <w:rsid w:val="00A216B9"/>
    <w:pPr>
      <w:spacing w:line="240" w:lineRule="auto"/>
    </w:pPr>
    <w:rPr>
      <w:sz w:val="20"/>
      <w:szCs w:val="20"/>
    </w:rPr>
  </w:style>
  <w:style w:type="character" w:customStyle="1" w:styleId="TextocomentarioCar">
    <w:name w:val="Texto comentario Car"/>
    <w:basedOn w:val="Fuentedeprrafopredeter"/>
    <w:link w:val="Textocomentario"/>
    <w:uiPriority w:val="99"/>
    <w:rsid w:val="00A216B9"/>
    <w:rPr>
      <w:sz w:val="20"/>
      <w:szCs w:val="20"/>
    </w:rPr>
  </w:style>
  <w:style w:type="paragraph" w:styleId="Asuntodelcomentario">
    <w:name w:val="annotation subject"/>
    <w:basedOn w:val="Textocomentario"/>
    <w:next w:val="Textocomentario"/>
    <w:link w:val="AsuntodelcomentarioCar"/>
    <w:uiPriority w:val="99"/>
    <w:semiHidden/>
    <w:unhideWhenUsed/>
    <w:rsid w:val="00A216B9"/>
    <w:rPr>
      <w:b/>
      <w:bCs/>
    </w:rPr>
  </w:style>
  <w:style w:type="character" w:customStyle="1" w:styleId="AsuntodelcomentarioCar">
    <w:name w:val="Asunto del comentario Car"/>
    <w:basedOn w:val="TextocomentarioCar"/>
    <w:link w:val="Asuntodelcomentario"/>
    <w:uiPriority w:val="99"/>
    <w:semiHidden/>
    <w:rsid w:val="00A216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uncionpublica.gov.co/eva/gestornormativo/norma.php?i=2567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uncionpublica.gov.co/eva/gestornormativo/norma.php?i=2567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relatoria.colombiacompra.gov.co/busqueda/concepto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uncionpublica.gov.co/eva/gestornormativo/norma.php?i=2567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peraciones.colombiacompra.gov.co/sites/cce_public/files/cce_step/cce-sec-gi-22guiasecopii_eemcregimenespecialsinofertas20-04-2022.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85dbaf-23eb-4e57-a637-93dcacc8b1a1">
      <Terms xmlns="http://schemas.microsoft.com/office/infopath/2007/PartnerControls"/>
    </lcf76f155ced4ddcb4097134ff3c332f>
    <TaxCatchAll xmlns="a6cb9e4b-f1d1-4245-83ec-6cad768d538a" xsi:nil="true"/>
    <No xmlns="9d85dbaf-23eb-4e57-a637-93dcacc8b1a1" xsi:nil="true"/>
    <_Flow_SignoffStatus xmlns="9d85dbaf-23eb-4e57-a637-93dcacc8b1a1" xsi:nil="true"/>
  </documentManagement>
</p:properties>
</file>

<file path=customXml/itemProps1.xml><?xml version="1.0" encoding="utf-8"?>
<ds:datastoreItem xmlns:ds="http://schemas.openxmlformats.org/officeDocument/2006/customXml" ds:itemID="{8C9A02E9-203B-4279-A415-88190CF0D151}">
  <ds:schemaRefs>
    <ds:schemaRef ds:uri="http://schemas.openxmlformats.org/officeDocument/2006/bibliography"/>
  </ds:schemaRefs>
</ds:datastoreItem>
</file>

<file path=customXml/itemProps2.xml><?xml version="1.0" encoding="utf-8"?>
<ds:datastoreItem xmlns:ds="http://schemas.openxmlformats.org/officeDocument/2006/customXml" ds:itemID="{895FA421-8582-434B-B0D7-563270D1C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6616</Words>
  <Characters>36394</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3</cp:revision>
  <cp:lastPrinted>2023-01-10T21:18:00Z</cp:lastPrinted>
  <dcterms:created xsi:type="dcterms:W3CDTF">2026-07-01T02:15:00Z</dcterms:created>
  <dcterms:modified xsi:type="dcterms:W3CDTF">2026-07-01T13:43:00Z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