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CA1AE" w14:textId="77777777" w:rsidR="00803BCF" w:rsidRDefault="00803BCF" w:rsidP="00803BCF">
      <w:pPr>
        <w:jc w:val="both"/>
        <w:rPr>
          <w:rFonts w:ascii="Verdana" w:hAnsi="Verdana" w:cs="Arial"/>
          <w:b/>
          <w:bCs/>
          <w:lang w:val="es-ES" w:eastAsia="es-ES"/>
        </w:rPr>
      </w:pPr>
      <w:bookmarkStart w:id="0" w:name="_Hlk143780582"/>
      <w:r w:rsidRPr="00803BCF">
        <w:rPr>
          <w:rFonts w:ascii="Verdana" w:hAnsi="Verdana" w:cs="Arial"/>
          <w:b/>
          <w:bCs/>
          <w:lang w:val="es-ES" w:eastAsia="es-ES"/>
        </w:rPr>
        <w:t>SUBSANABILIDAD – Aplicación – Regla general – Excepciones</w:t>
      </w:r>
    </w:p>
    <w:p w14:paraId="0873F41D" w14:textId="77777777" w:rsidR="00F962DB" w:rsidRPr="00BA0F46" w:rsidRDefault="00F962DB" w:rsidP="00AA553C">
      <w:pPr>
        <w:spacing w:after="0" w:line="240" w:lineRule="auto"/>
        <w:jc w:val="both"/>
        <w:rPr>
          <w:rFonts w:ascii="Verdana" w:eastAsia="Times New Roman" w:hAnsi="Verdana" w:cs="Arial"/>
          <w:sz w:val="20"/>
          <w:szCs w:val="20"/>
          <w:lang w:val="es-ES_tradnl" w:eastAsia="es-ES_tradnl"/>
        </w:rPr>
      </w:pPr>
      <w:r w:rsidRPr="00BA0F46">
        <w:rPr>
          <w:rFonts w:ascii="Verdana" w:eastAsia="Calibri" w:hAnsi="Verdana" w:cs="Arial"/>
          <w:noProof/>
          <w:sz w:val="20"/>
          <w:szCs w:val="20"/>
          <w:lang w:val="es-ES_tradnl"/>
        </w:rPr>
        <w:t>L</w:t>
      </w:r>
      <w:r w:rsidRPr="00BA0F46">
        <w:rPr>
          <w:rFonts w:ascii="Verdana" w:eastAsia="Times New Roman" w:hAnsi="Verdana" w:cs="Arial"/>
          <w:sz w:val="20"/>
          <w:szCs w:val="20"/>
        </w:rPr>
        <w:t xml:space="preserve">a regla de la </w:t>
      </w:r>
      <w:proofErr w:type="spellStart"/>
      <w:r w:rsidRPr="00BA0F46">
        <w:rPr>
          <w:rFonts w:ascii="Verdana" w:eastAsia="Times New Roman" w:hAnsi="Verdana" w:cs="Arial"/>
          <w:sz w:val="20"/>
          <w:szCs w:val="20"/>
        </w:rPr>
        <w:t>subsanabilidad</w:t>
      </w:r>
      <w:proofErr w:type="spellEnd"/>
      <w:r w:rsidRPr="00BA0F46">
        <w:rPr>
          <w:rFonts w:ascii="Verdana" w:eastAsia="Times New Roman" w:hAnsi="Verdana" w:cs="Arial"/>
          <w:sz w:val="20"/>
          <w:szCs w:val="20"/>
        </w:rPr>
        <w:t xml:space="preserve"> de las ofertas en los procedimientos de selección</w:t>
      </w:r>
      <w:r w:rsidRPr="00BA0F46">
        <w:rPr>
          <w:rFonts w:ascii="Verdana" w:eastAsia="Times New Roman" w:hAnsi="Verdana" w:cs="Arial"/>
          <w:b/>
          <w:bCs/>
          <w:sz w:val="20"/>
          <w:szCs w:val="20"/>
        </w:rPr>
        <w:t xml:space="preserve"> </w:t>
      </w:r>
      <w:r w:rsidRPr="00BA0F46">
        <w:rPr>
          <w:rFonts w:ascii="Verdana" w:eastAsia="Times New Roman" w:hAnsi="Verdana" w:cs="Arial"/>
          <w:sz w:val="20"/>
          <w:szCs w:val="20"/>
          <w:lang w:val="es-ES_tradnl" w:eastAsia="es-ES_tradnl"/>
        </w:rPr>
        <w:t>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6D12E1F9" w14:textId="20BA2128" w:rsidR="00F962DB" w:rsidRPr="00BA0F46" w:rsidRDefault="00F962DB" w:rsidP="00BA0F46">
      <w:pPr>
        <w:spacing w:line="240" w:lineRule="auto"/>
        <w:jc w:val="both"/>
        <w:rPr>
          <w:rFonts w:ascii="Verdana" w:hAnsi="Verdana" w:cs="Arial"/>
          <w:b/>
          <w:bCs/>
          <w:sz w:val="20"/>
          <w:szCs w:val="20"/>
          <w:lang w:val="es-ES" w:eastAsia="es-ES"/>
        </w:rPr>
      </w:pPr>
      <w:r w:rsidRPr="00BA0F46">
        <w:rPr>
          <w:rFonts w:ascii="Verdana" w:eastAsia="Times New Roman" w:hAnsi="Verdana" w:cs="Arial"/>
          <w:sz w:val="20"/>
          <w:szCs w:val="20"/>
          <w:lang w:val="es-ES_tradnl" w:eastAsia="es-ES_tradnl"/>
        </w:rPr>
        <w:t>La posibilidad de enmendar, corregir o subsanar los errores en los que se incurre en los documentos contentivos de la oferta es un tema que ha tenido diferentes momentos o etapas en el ordenamiento jurídico colombiano, momentos que se han expuesto de manera detallada en conceptos como el C-285 del 20 de mayo de 2022</w:t>
      </w:r>
      <w:r w:rsidR="003563BF">
        <w:rPr>
          <w:rFonts w:ascii="Verdana" w:eastAsia="Times New Roman" w:hAnsi="Verdana" w:cs="Arial"/>
          <w:sz w:val="20"/>
          <w:szCs w:val="20"/>
          <w:vertAlign w:val="superscript"/>
          <w:lang w:val="es-ES_tradnl" w:eastAsia="es-ES_tradnl"/>
        </w:rPr>
        <w:t xml:space="preserve"> </w:t>
      </w:r>
      <w:r w:rsidRPr="00BA0F46">
        <w:rPr>
          <w:rFonts w:ascii="Verdana" w:eastAsia="Times New Roman" w:hAnsi="Verdana" w:cs="Arial"/>
          <w:sz w:val="20"/>
          <w:szCs w:val="20"/>
          <w:lang w:val="es-ES_tradnl" w:eastAsia="es-ES_tradnl"/>
        </w:rPr>
        <w:t>o el C-447 del 19 de septiembre de 2024</w:t>
      </w:r>
      <w:r w:rsidR="003563BF">
        <w:rPr>
          <w:rFonts w:ascii="Verdana" w:eastAsia="Times New Roman" w:hAnsi="Verdana" w:cs="Arial"/>
          <w:sz w:val="20"/>
          <w:szCs w:val="20"/>
          <w:vertAlign w:val="superscript"/>
          <w:lang w:val="es-ES_tradnl" w:eastAsia="es-ES_tradnl"/>
        </w:rPr>
        <w:t xml:space="preserve"> </w:t>
      </w:r>
      <w:r w:rsidRPr="00BA0F46">
        <w:rPr>
          <w:rFonts w:ascii="Verdana" w:eastAsia="Times New Roman" w:hAnsi="Verdana" w:cs="Arial"/>
          <w:sz w:val="20"/>
          <w:szCs w:val="20"/>
          <w:lang w:val="es-ES_tradnl" w:eastAsia="es-ES_tradnl"/>
        </w:rPr>
        <w:t>los cuales, en el evento en que tenga interés, podrá consultar en los enlaces de la nota al pie. Sin embargo</w:t>
      </w:r>
      <w:r w:rsidRPr="00BA0F46">
        <w:rPr>
          <w:rFonts w:ascii="Verdana" w:eastAsia="Times New Roman" w:hAnsi="Verdana" w:cs="Arial"/>
          <w:sz w:val="20"/>
          <w:szCs w:val="20"/>
          <w:lang w:val="es-ES" w:eastAsia="es-ES"/>
        </w:rPr>
        <w:t xml:space="preserve">, a continuación, se hará referencia particularmente al último momento, que refleja la postura vigente en torno a la </w:t>
      </w:r>
      <w:proofErr w:type="spellStart"/>
      <w:r w:rsidRPr="00BA0F46">
        <w:rPr>
          <w:rFonts w:ascii="Verdana" w:eastAsia="Times New Roman" w:hAnsi="Verdana" w:cs="Arial"/>
          <w:sz w:val="20"/>
          <w:szCs w:val="20"/>
          <w:lang w:val="es-ES" w:eastAsia="es-ES"/>
        </w:rPr>
        <w:t>subsanabilidad</w:t>
      </w:r>
      <w:proofErr w:type="spellEnd"/>
      <w:r w:rsidR="00BA0F46" w:rsidRPr="00BA0F46">
        <w:rPr>
          <w:rFonts w:ascii="Verdana" w:eastAsia="Times New Roman" w:hAnsi="Verdana" w:cs="Arial"/>
          <w:sz w:val="20"/>
          <w:szCs w:val="20"/>
          <w:lang w:val="es-ES" w:eastAsia="es-ES"/>
        </w:rPr>
        <w:t>.</w:t>
      </w:r>
    </w:p>
    <w:p w14:paraId="180841A2" w14:textId="77777777" w:rsidR="00803BCF" w:rsidRDefault="00803BCF" w:rsidP="00803BCF">
      <w:pPr>
        <w:jc w:val="both"/>
        <w:rPr>
          <w:rFonts w:ascii="Verdana" w:hAnsi="Verdana" w:cs="Arial"/>
          <w:b/>
          <w:bCs/>
          <w:lang w:val="es-ES" w:eastAsia="es-ES"/>
        </w:rPr>
      </w:pPr>
      <w:r w:rsidRPr="00803BCF">
        <w:rPr>
          <w:rFonts w:ascii="Verdana" w:hAnsi="Verdana" w:cs="Arial"/>
          <w:b/>
          <w:bCs/>
          <w:lang w:val="es-ES" w:eastAsia="es-ES"/>
        </w:rPr>
        <w:t>SUBSANABILIDAD – Ley 1882 de 2018</w:t>
      </w:r>
    </w:p>
    <w:p w14:paraId="370A5F39" w14:textId="7852126A" w:rsidR="005D13CA" w:rsidRPr="005D13CA" w:rsidRDefault="005D13CA" w:rsidP="005D13CA">
      <w:pPr>
        <w:spacing w:after="120" w:line="240" w:lineRule="auto"/>
        <w:jc w:val="both"/>
        <w:rPr>
          <w:rFonts w:ascii="Verdana" w:eastAsia="Times New Roman" w:hAnsi="Verdana" w:cs="Arial"/>
          <w:sz w:val="20"/>
          <w:szCs w:val="20"/>
          <w:lang w:val="es-ES" w:eastAsia="es-ES"/>
        </w:rPr>
      </w:pPr>
      <w:r w:rsidRPr="005D13CA">
        <w:rPr>
          <w:rFonts w:ascii="Verdana" w:eastAsia="Times New Roman" w:hAnsi="Verdana" w:cs="Arial"/>
          <w:sz w:val="20"/>
          <w:szCs w:val="20"/>
          <w:lang w:val="es-ES" w:eastAsia="es-ES"/>
        </w:rPr>
        <w:t xml:space="preserve">[…] </w:t>
      </w:r>
      <w:r w:rsidRPr="005D13CA">
        <w:rPr>
          <w:rFonts w:ascii="Verdana" w:eastAsia="Times New Roman" w:hAnsi="Verdana" w:cs="Arial"/>
          <w:sz w:val="20"/>
          <w:szCs w:val="20"/>
          <w:lang w:val="es-ES" w:eastAsia="es-ES"/>
        </w:rPr>
        <w:t xml:space="preserve">la Ley 1882 de 2018: i) mantiene el criterio de la Ley 80 de 1993, relativo a que todo lo que no sea necesario para la comparación de propuestas no es título suficiente para su rechazo; </w:t>
      </w:r>
      <w:proofErr w:type="spellStart"/>
      <w:r w:rsidRPr="005D13CA">
        <w:rPr>
          <w:rFonts w:ascii="Verdana" w:eastAsia="Times New Roman" w:hAnsi="Verdana" w:cs="Arial"/>
          <w:sz w:val="20"/>
          <w:szCs w:val="20"/>
          <w:lang w:val="es-ES" w:eastAsia="es-ES"/>
        </w:rPr>
        <w:t>ii</w:t>
      </w:r>
      <w:proofErr w:type="spellEnd"/>
      <w:r w:rsidRPr="005D13CA">
        <w:rPr>
          <w:rFonts w:ascii="Verdana" w:eastAsia="Times New Roman" w:hAnsi="Verdana" w:cs="Arial"/>
          <w:sz w:val="20"/>
          <w:szCs w:val="20"/>
          <w:lang w:val="es-ES" w:eastAsia="es-ES"/>
        </w:rPr>
        <w:t xml:space="preserve">) mantiene el criterio aclaratorio de la Ley 1150 de 2007, según el cual todo lo que no afecte la asignación de puntaje puede subsanarse; e, </w:t>
      </w:r>
      <w:proofErr w:type="spellStart"/>
      <w:r w:rsidRPr="005D13CA">
        <w:rPr>
          <w:rFonts w:ascii="Verdana" w:eastAsia="Times New Roman" w:hAnsi="Verdana" w:cs="Arial"/>
          <w:sz w:val="20"/>
          <w:szCs w:val="20"/>
          <w:lang w:val="es-ES" w:eastAsia="es-ES"/>
        </w:rPr>
        <w:t>iii</w:t>
      </w:r>
      <w:proofErr w:type="spellEnd"/>
      <w:r w:rsidRPr="005D13CA">
        <w:rPr>
          <w:rFonts w:ascii="Verdana" w:eastAsia="Times New Roman" w:hAnsi="Verdana" w:cs="Arial"/>
          <w:sz w:val="20"/>
          <w:szCs w:val="20"/>
          <w:lang w:val="es-ES" w:eastAsia="es-ES"/>
        </w:rPr>
        <w:t xml:space="preserve">) introduce modificaciones en relación con algunos aspectos que se analizarán a continuación. </w:t>
      </w:r>
    </w:p>
    <w:p w14:paraId="23F3DCD5" w14:textId="452E8BEE" w:rsidR="005D13CA" w:rsidRPr="005D13CA" w:rsidRDefault="005D13CA" w:rsidP="005D13CA">
      <w:pPr>
        <w:spacing w:after="120" w:line="240" w:lineRule="auto"/>
        <w:ind w:right="51"/>
        <w:jc w:val="both"/>
        <w:rPr>
          <w:rFonts w:ascii="Verdana" w:eastAsia="Times New Roman" w:hAnsi="Verdana" w:cs="Arial"/>
          <w:sz w:val="20"/>
          <w:szCs w:val="20"/>
          <w:lang w:val="es-ES_tradnl" w:eastAsia="es-ES_tradnl"/>
        </w:rPr>
      </w:pPr>
      <w:r w:rsidRPr="005D13CA">
        <w:rPr>
          <w:rFonts w:ascii="Verdana" w:eastAsia="Times New Roman" w:hAnsi="Verdana" w:cs="Arial"/>
          <w:i/>
          <w:iCs/>
          <w:sz w:val="20"/>
          <w:szCs w:val="20"/>
          <w:lang w:val="es-ES_tradnl" w:eastAsia="es-ES_tradnl"/>
        </w:rPr>
        <w:t xml:space="preserve">La primera modificación </w:t>
      </w:r>
      <w:r w:rsidRPr="005D13CA">
        <w:rPr>
          <w:rFonts w:ascii="Verdana" w:eastAsia="Times New Roman" w:hAnsi="Verdana" w:cs="Arial"/>
          <w:sz w:val="20"/>
          <w:szCs w:val="20"/>
          <w:lang w:val="es-ES_tradnl" w:eastAsia="es-ES_tradnl"/>
        </w:rPr>
        <w:t>está relacionada con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w:t>
      </w:r>
      <w:r w:rsidR="003E052D">
        <w:rPr>
          <w:rFonts w:ascii="Verdana" w:eastAsia="Times New Roman" w:hAnsi="Verdana" w:cs="Arial"/>
          <w:sz w:val="20"/>
          <w:szCs w:val="20"/>
          <w:lang w:val="es-ES_tradnl" w:eastAsia="es-ES_tradnl"/>
        </w:rPr>
        <w:t>a.</w:t>
      </w:r>
    </w:p>
    <w:p w14:paraId="5D6BAA06" w14:textId="77777777" w:rsidR="005D13CA" w:rsidRPr="005D13CA" w:rsidRDefault="005D13CA" w:rsidP="005D13CA">
      <w:pPr>
        <w:spacing w:after="120" w:line="240" w:lineRule="auto"/>
        <w:jc w:val="both"/>
        <w:rPr>
          <w:rFonts w:ascii="Verdana" w:eastAsia="Times New Roman" w:hAnsi="Verdana" w:cs="Arial"/>
          <w:sz w:val="20"/>
          <w:szCs w:val="20"/>
          <w:lang w:val="es-ES" w:eastAsia="es-ES"/>
        </w:rPr>
      </w:pPr>
      <w:r w:rsidRPr="005D13CA">
        <w:rPr>
          <w:rFonts w:ascii="Verdana" w:eastAsia="Times New Roman" w:hAnsi="Verdana" w:cs="Arial"/>
          <w:sz w:val="20"/>
          <w:szCs w:val="20"/>
          <w:lang w:val="es-ES" w:eastAsia="es-ES"/>
        </w:rPr>
        <w:t>Frente a la regla general aplicable a los demás procesos de selección, la norma fijó un límite final para que la Administración y los oferentes subsanen los requisitos o documentos que puedan y deban ser subsanados. No obstante, 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w:t>
      </w:r>
      <w:r w:rsidRPr="005D13CA">
        <w:rPr>
          <w:rFonts w:ascii="Verdana" w:eastAsia="Times New Roman" w:hAnsi="Verdana" w:cs="Arial"/>
          <w:i/>
          <w:iCs/>
          <w:sz w:val="20"/>
          <w:szCs w:val="20"/>
          <w:lang w:val="es-ES" w:eastAsia="es-ES"/>
        </w:rPr>
        <w:t>deberán ser solicitados por las entidades estatales y deberán ser entregados por los proponentes hasta el término de traslado del informe de evaluación que corresponda a cada modalidad de selección”.</w:t>
      </w:r>
      <w:r w:rsidRPr="005D13CA">
        <w:rPr>
          <w:rFonts w:ascii="Verdana" w:eastAsia="Times New Roman" w:hAnsi="Verdana" w:cs="Arial"/>
          <w:sz w:val="20"/>
          <w:szCs w:val="20"/>
          <w:lang w:val="es-ES" w:eastAsia="es-ES"/>
        </w:rPr>
        <w:t xml:space="preserve"> </w:t>
      </w:r>
    </w:p>
    <w:p w14:paraId="290D0609" w14:textId="77777777" w:rsidR="00803BCF" w:rsidRDefault="00803BCF" w:rsidP="00803BCF">
      <w:pPr>
        <w:jc w:val="both"/>
        <w:rPr>
          <w:rFonts w:ascii="Verdana" w:hAnsi="Verdana" w:cs="Arial"/>
          <w:b/>
          <w:bCs/>
          <w:lang w:val="es-ES" w:eastAsia="es-ES"/>
        </w:rPr>
      </w:pPr>
      <w:r w:rsidRPr="00803BCF">
        <w:rPr>
          <w:rFonts w:ascii="Verdana" w:hAnsi="Verdana" w:cs="Arial"/>
          <w:b/>
          <w:bCs/>
          <w:lang w:val="es-ES" w:eastAsia="es-ES"/>
        </w:rPr>
        <w:t>SUBSANABILIDAD Y ACLARACIÓN DE LA OFERTA – Diferencias</w:t>
      </w:r>
    </w:p>
    <w:p w14:paraId="0E8D1692" w14:textId="7ED68D19" w:rsidR="00B46072" w:rsidRPr="00B46072" w:rsidRDefault="00B46072" w:rsidP="00B46072">
      <w:pPr>
        <w:spacing w:after="120" w:line="240" w:lineRule="auto"/>
        <w:jc w:val="both"/>
        <w:rPr>
          <w:rFonts w:ascii="Verdana" w:eastAsia="Calibri" w:hAnsi="Verdana" w:cs="Times New Roman"/>
          <w:color w:val="000000"/>
          <w:sz w:val="20"/>
          <w:szCs w:val="20"/>
        </w:rPr>
      </w:pPr>
      <w:r w:rsidRPr="00B46072">
        <w:rPr>
          <w:rFonts w:ascii="Verdana" w:eastAsia="Calibri" w:hAnsi="Verdana" w:cs="Times New Roman"/>
          <w:color w:val="000000"/>
          <w:sz w:val="20"/>
          <w:szCs w:val="20"/>
        </w:rPr>
        <w:t xml:space="preserve">[…] </w:t>
      </w:r>
      <w:r w:rsidRPr="00B46072">
        <w:rPr>
          <w:rFonts w:ascii="Verdana" w:eastAsia="Calibri" w:hAnsi="Verdana" w:cs="Times New Roman"/>
          <w:color w:val="000000"/>
          <w:sz w:val="20"/>
          <w:szCs w:val="20"/>
        </w:rPr>
        <w:t xml:space="preserve">se hace necesario que esta Agencia se manifieste sobre la diferencia entre la regla sobre subsanación de ofertas en los procesos de selección antes explicada, y la </w:t>
      </w:r>
      <w:r w:rsidRPr="00B46072">
        <w:rPr>
          <w:rFonts w:ascii="Verdana" w:eastAsia="Calibri" w:hAnsi="Verdana" w:cs="Times New Roman"/>
          <w:color w:val="000000"/>
          <w:sz w:val="20"/>
          <w:szCs w:val="20"/>
        </w:rPr>
        <w:lastRenderedPageBreak/>
        <w:t>aclaración de las ofertas, cuestiones que resultan ser distintas, pese a que ambas puedan contener considerandos como elementos propios del principio de selección objetiva. Así, es aras de que la Entidad Estatal al momento de evaluar las ofertas recibidas y, con el fin de comprender integralmente cada documento contenido en la oferta, podrá acudir a la facultad que le otorga expresamente el numeral 7 del artículo 30 de la Ley 80 de 1993. Dicha norma señala que entre los componentes que deberá contener el pliego de condiciones incluye al “plazo razonable dentro del cual la entidad deberá elaborar los estudios técnicos, económicos y jurídicos necesarios para la evaluación de las propuestas y para solicitar a los proponentes las aclaraciones y explicaciones que se estimen indispensables”.</w:t>
      </w:r>
    </w:p>
    <w:p w14:paraId="55A79789" w14:textId="77777777" w:rsidR="00B46072" w:rsidRPr="00B46072" w:rsidRDefault="00B46072" w:rsidP="00B46072">
      <w:pPr>
        <w:spacing w:after="120" w:line="240" w:lineRule="auto"/>
        <w:jc w:val="both"/>
        <w:rPr>
          <w:rFonts w:ascii="Verdana" w:eastAsia="Calibri" w:hAnsi="Verdana" w:cs="Times New Roman"/>
          <w:bCs/>
          <w:color w:val="000000"/>
          <w:sz w:val="20"/>
          <w:szCs w:val="20"/>
          <w:lang w:val="es-ES"/>
        </w:rPr>
      </w:pPr>
      <w:r w:rsidRPr="00B46072">
        <w:rPr>
          <w:rFonts w:ascii="Verdana" w:eastAsia="Calibri" w:hAnsi="Verdana" w:cs="Times New Roman"/>
          <w:color w:val="000000"/>
          <w:sz w:val="20"/>
          <w:szCs w:val="20"/>
          <w:lang w:val="es-ES_tradnl"/>
        </w:rPr>
        <w:t xml:space="preserve">Dicha facultad, a su vez se establece entre otras, en el artículo </w:t>
      </w:r>
      <w:r w:rsidRPr="00B46072">
        <w:rPr>
          <w:rFonts w:ascii="Verdana" w:eastAsia="Calibri" w:hAnsi="Verdana" w:cs="Times New Roman"/>
          <w:bCs/>
          <w:color w:val="000000"/>
          <w:sz w:val="20"/>
          <w:szCs w:val="20"/>
          <w:lang w:val="es-ES"/>
        </w:rPr>
        <w:t>2.2.1.1.2.2.4. del Decreto 1082 de 2015, referido a las explicaciones que la Entidad Estatal deberá solicitar al oferente cuando advierta que su oferta contiene un precio artificialmente bajo. En similar sentido, el numeral 3 del artículo 2.2.1.2.1.3.12 incluye el deber de aclaración, en cabeza del organismo asesor dentro del concurso de arquitectura o la posibilidad con la que cuenta la Entidad Estatal para solicitar aclaraciones al originador del proyecto al tratarse de asociaciones público-privadas de iniciativa privada. Todas estas normas contienen ejemplos de aplicación del principio de selección objetiva, pues pretenden que la entidad u organismo que evaluará las respectiva oferta o iniciativa, según el caso, cuente con el conocimiento e información veraz y suficiente para tomar una decisión acertada.</w:t>
      </w:r>
    </w:p>
    <w:p w14:paraId="196D3AF6" w14:textId="77777777" w:rsidR="00B46072" w:rsidRPr="00B46072" w:rsidRDefault="00B46072" w:rsidP="00B46072">
      <w:pPr>
        <w:spacing w:after="120" w:line="240" w:lineRule="auto"/>
        <w:jc w:val="both"/>
        <w:rPr>
          <w:rFonts w:ascii="Verdana" w:eastAsia="Calibri" w:hAnsi="Verdana" w:cs="Times New Roman"/>
          <w:color w:val="000000"/>
          <w:sz w:val="20"/>
          <w:szCs w:val="20"/>
          <w:lang w:val="es-ES_tradnl"/>
        </w:rPr>
      </w:pPr>
      <w:r w:rsidRPr="00B46072">
        <w:rPr>
          <w:rFonts w:ascii="Verdana" w:eastAsia="Calibri" w:hAnsi="Verdana" w:cs="Times New Roman"/>
          <w:bCs/>
          <w:color w:val="000000"/>
          <w:sz w:val="20"/>
          <w:szCs w:val="20"/>
          <w:lang w:val="es-ES"/>
        </w:rPr>
        <w:t>En ese sentido, la facultad de solicitar aclaraciones en cabeza de la entidad contratante, establecida principal y genéricamente en el artículo 30 de la Ley 80 de 1993, debe comprenderse bajo el entendido que el oferente cuya oferta requiera ser aclarada, no podrá, so pena de proceder de conformidad con el requerimiento de la Entidad Estatal, realizar modificaciones que impliquen una mejora o alteración sustancial de la oferta, tal y como ha sido expresado por el Consejo de Estado.</w:t>
      </w:r>
    </w:p>
    <w:p w14:paraId="0E7BC131" w14:textId="77777777" w:rsidR="00B46072" w:rsidRPr="00B46072" w:rsidRDefault="00B46072" w:rsidP="00B46072">
      <w:pPr>
        <w:spacing w:after="120" w:line="240" w:lineRule="auto"/>
        <w:jc w:val="both"/>
        <w:rPr>
          <w:rFonts w:ascii="Verdana" w:eastAsia="Calibri" w:hAnsi="Verdana" w:cs="Times New Roman"/>
          <w:color w:val="000000"/>
          <w:sz w:val="20"/>
          <w:szCs w:val="20"/>
          <w:lang w:val="es-ES_tradnl"/>
        </w:rPr>
      </w:pPr>
      <w:r w:rsidRPr="00B46072">
        <w:rPr>
          <w:rFonts w:ascii="Verdana" w:eastAsia="Calibri" w:hAnsi="Verdana" w:cs="Times New Roman"/>
          <w:color w:val="000000"/>
          <w:sz w:val="20"/>
          <w:szCs w:val="20"/>
          <w:lang w:val="es-ES_tradnl"/>
        </w:rPr>
        <w:t xml:space="preserve">Sin embargo, lo anterior no impide que se puedan realizar aclaraciones a las propuestas, bien sea porque la Entidad Estatal las solicite en la evaluación de las mismas, o porque las realicen los oferentes en la etapa dispuesta para las observaciones a los informes de evaluación; pero, siempre y cuando versen sobre aspectos meramente formales o adjetivos o que en todo caso, no impliquen una variación o corrección del fondo de la propuestas a favor de quien las presenta y en detrimento de la posición de los demás proponentes en la evaluación, es decir, que con las mismas no se altere de manera sustancial la información inicialmente suministrada y la situación de los oferentes en el Proceso de Contratación. </w:t>
      </w:r>
    </w:p>
    <w:p w14:paraId="64167FD6" w14:textId="77777777" w:rsidR="00803BCF" w:rsidRDefault="00803BCF" w:rsidP="00803BCF">
      <w:pPr>
        <w:jc w:val="both"/>
        <w:rPr>
          <w:rFonts w:ascii="Verdana" w:hAnsi="Verdana" w:cs="Arial"/>
          <w:b/>
          <w:bCs/>
          <w:lang w:val="es-ES" w:eastAsia="es-ES"/>
        </w:rPr>
      </w:pPr>
      <w:r w:rsidRPr="00803BCF">
        <w:rPr>
          <w:rFonts w:ascii="Verdana" w:hAnsi="Verdana" w:cs="Arial"/>
          <w:b/>
          <w:bCs/>
          <w:lang w:val="es-ES" w:eastAsia="es-ES"/>
        </w:rPr>
        <w:t>PREVALENCIA DEL DERECHO SUSTANCIAL – Principio constitucional</w:t>
      </w:r>
    </w:p>
    <w:p w14:paraId="3EC0A5EC" w14:textId="65B5C4EB" w:rsidR="00A31904" w:rsidRPr="00451F8C" w:rsidRDefault="00A31904" w:rsidP="00451F8C">
      <w:pPr>
        <w:spacing w:after="120" w:line="240" w:lineRule="auto"/>
        <w:jc w:val="both"/>
        <w:rPr>
          <w:rFonts w:ascii="Verdana" w:hAnsi="Verdana" w:cs="Arial"/>
          <w:sz w:val="20"/>
          <w:szCs w:val="20"/>
        </w:rPr>
      </w:pPr>
      <w:r w:rsidRPr="00451F8C">
        <w:rPr>
          <w:rFonts w:ascii="Verdana" w:eastAsia="Batang" w:hAnsi="Verdana" w:cs="Arial"/>
          <w:sz w:val="20"/>
          <w:szCs w:val="20"/>
        </w:rPr>
        <w:t xml:space="preserve">Igualmente, en el ámbito de las reglas de </w:t>
      </w:r>
      <w:proofErr w:type="spellStart"/>
      <w:r w:rsidRPr="00451F8C">
        <w:rPr>
          <w:rFonts w:ascii="Verdana" w:eastAsia="Batang" w:hAnsi="Verdana" w:cs="Arial"/>
          <w:sz w:val="20"/>
          <w:szCs w:val="20"/>
        </w:rPr>
        <w:t>subsanabilidad</w:t>
      </w:r>
      <w:proofErr w:type="spellEnd"/>
      <w:r w:rsidRPr="00451F8C">
        <w:rPr>
          <w:rFonts w:ascii="Verdana" w:eastAsia="Batang" w:hAnsi="Verdana" w:cs="Arial"/>
          <w:sz w:val="20"/>
          <w:szCs w:val="20"/>
        </w:rPr>
        <w:t xml:space="preserve">, es importante traer a colación </w:t>
      </w:r>
      <w:r w:rsidRPr="00451F8C">
        <w:rPr>
          <w:rFonts w:ascii="Verdana" w:hAnsi="Verdana" w:cs="Arial"/>
          <w:sz w:val="20"/>
          <w:szCs w:val="20"/>
        </w:rPr>
        <w:t>el principio constitucional de prevalencia del derecho sustancial sobre las formas. Al respecto, la Corte Constitucional ha señalado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00451F8C">
        <w:rPr>
          <w:rFonts w:ascii="Verdana" w:hAnsi="Verdana" w:cs="Arial"/>
          <w:sz w:val="20"/>
          <w:szCs w:val="20"/>
        </w:rPr>
        <w:t>”</w:t>
      </w:r>
      <w:r w:rsidRPr="00451F8C">
        <w:rPr>
          <w:rFonts w:ascii="Verdana" w:hAnsi="Verdana" w:cs="Arial"/>
          <w:sz w:val="20"/>
          <w:szCs w:val="20"/>
        </w:rPr>
        <w:t xml:space="preserve"> Ese fue el sentido que inspiró la Sentencia C-029 de 1995, mediante la </w:t>
      </w:r>
      <w:r w:rsidRPr="00451F8C">
        <w:rPr>
          <w:rFonts w:ascii="Verdana" w:hAnsi="Verdana" w:cs="Arial"/>
          <w:sz w:val="20"/>
          <w:szCs w:val="20"/>
        </w:rPr>
        <w:lastRenderedPageBreak/>
        <w:t>cual la Corte Constitucional declaró exequible el artículo 4º del Código de Procedimiento Civil, argumentando, además, que el artículo 228 de la Constitución reconoce que “prevalecerá el derecho sustancial”, con lo que también está reconociendo, según el tribunal constitucional, que el fin de los procedimientos es la realización de los derechos consagrados en abstracto por el derecho objetivo.</w:t>
      </w:r>
    </w:p>
    <w:p w14:paraId="006F66AA" w14:textId="509B5329" w:rsidR="00803BCF" w:rsidRDefault="00803BCF" w:rsidP="00803BCF">
      <w:pPr>
        <w:jc w:val="both"/>
        <w:rPr>
          <w:rFonts w:ascii="Verdana" w:hAnsi="Verdana" w:cs="Arial"/>
          <w:b/>
          <w:bCs/>
          <w:lang w:val="es-ES" w:eastAsia="es-ES"/>
        </w:rPr>
      </w:pPr>
      <w:r w:rsidRPr="00803BCF">
        <w:rPr>
          <w:rFonts w:ascii="Verdana" w:hAnsi="Verdana" w:cs="Arial"/>
          <w:b/>
          <w:bCs/>
          <w:lang w:val="es-ES" w:eastAsia="es-ES"/>
        </w:rPr>
        <w:t xml:space="preserve">CAUSALES DE RECHAZO DE LAS OFERTAS – Origen – Límites en su configuración </w:t>
      </w:r>
    </w:p>
    <w:p w14:paraId="327DB1AA" w14:textId="4F7DE391" w:rsidR="005B2FC2" w:rsidRPr="005B2FC2" w:rsidRDefault="005B2FC2" w:rsidP="005B2FC2">
      <w:pPr>
        <w:widowControl w:val="0"/>
        <w:spacing w:after="120" w:line="240" w:lineRule="auto"/>
        <w:jc w:val="both"/>
        <w:rPr>
          <w:rFonts w:ascii="Verdana" w:eastAsia="Arial" w:hAnsi="Verdana" w:cs="Arial"/>
          <w:sz w:val="20"/>
          <w:szCs w:val="20"/>
        </w:rPr>
      </w:pPr>
      <w:r w:rsidRPr="005B2FC2">
        <w:rPr>
          <w:rFonts w:ascii="Verdana" w:eastAsia="Arial" w:hAnsi="Verdana" w:cs="Arial"/>
          <w:sz w:val="20"/>
          <w:szCs w:val="20"/>
        </w:rPr>
        <w:t xml:space="preserve">[…] </w:t>
      </w:r>
      <w:r w:rsidRPr="005B2FC2">
        <w:rPr>
          <w:rFonts w:ascii="Verdana" w:eastAsia="Arial" w:hAnsi="Verdana" w:cs="Arial"/>
          <w:sz w:val="20"/>
          <w:szCs w:val="20"/>
        </w:rPr>
        <w:t>el 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w:t>
      </w:r>
      <w:r w:rsidRPr="005B2FC2">
        <w:rPr>
          <w:rFonts w:ascii="Verdana" w:eastAsia="Arial" w:hAnsi="Verdana" w:cs="Arial"/>
          <w:sz w:val="20"/>
          <w:szCs w:val="20"/>
        </w:rPr>
        <w:t>”.</w:t>
      </w:r>
      <w:r w:rsidRPr="005B2FC2">
        <w:rPr>
          <w:rFonts w:ascii="Verdana" w:eastAsia="Arial" w:hAnsi="Verdana" w:cs="Arial"/>
          <w:sz w:val="20"/>
          <w:szCs w:val="20"/>
        </w:rPr>
        <w:t xml:space="preserve"> En ese sentido, si bien las Entidades Estatales, en ejercicio de la discrecionalidad que les corresponde en la configuración de los pliegos de condiciones, tienen competencia para determinar los requisitos que deben cumplir los proponentes para la presentación de oferta</w:t>
      </w:r>
      <w:r w:rsidRPr="005B2FC2">
        <w:rPr>
          <w:rFonts w:ascii="Verdana" w:eastAsia="Arial" w:hAnsi="Verdana" w:cs="Arial"/>
          <w:sz w:val="20"/>
          <w:szCs w:val="20"/>
        </w:rPr>
        <w:t>s</w:t>
      </w:r>
      <w:r w:rsidRPr="005B2FC2">
        <w:rPr>
          <w:rFonts w:ascii="Verdana" w:eastAsia="Arial" w:hAnsi="Verdana" w:cs="Arial"/>
          <w:sz w:val="20"/>
          <w:szCs w:val="20"/>
        </w:rPr>
        <w:t xml:space="preserve"> y regular los eventos en los que procede su rechaz</w:t>
      </w:r>
      <w:r w:rsidRPr="005B2FC2">
        <w:rPr>
          <w:rFonts w:ascii="Verdana" w:eastAsia="Arial" w:hAnsi="Verdana" w:cs="Arial"/>
          <w:sz w:val="20"/>
          <w:szCs w:val="20"/>
        </w:rPr>
        <w:t>o,</w:t>
      </w:r>
      <w:r w:rsidRPr="005B2FC2">
        <w:rPr>
          <w:rFonts w:ascii="Verdana" w:eastAsia="Arial" w:hAnsi="Verdana" w:cs="Arial"/>
          <w:sz w:val="20"/>
          <w:szCs w:val="20"/>
        </w:rPr>
        <w:t xml:space="preserve"> el ejercicio de tales facultades encuentra ciertos límites en la ley y el reglamento, así como en los principios de razonabilidad y proporcionalidad.  </w:t>
      </w:r>
    </w:p>
    <w:p w14:paraId="1B1598A8" w14:textId="77777777" w:rsidR="005B2FC2" w:rsidRPr="005B2FC2" w:rsidRDefault="005B2FC2" w:rsidP="005B2FC2">
      <w:pPr>
        <w:widowControl w:val="0"/>
        <w:spacing w:after="120" w:line="240" w:lineRule="auto"/>
        <w:jc w:val="both"/>
        <w:rPr>
          <w:rFonts w:ascii="Verdana" w:eastAsia="Arial" w:hAnsi="Verdana" w:cs="Arial"/>
          <w:sz w:val="20"/>
          <w:szCs w:val="20"/>
        </w:rPr>
      </w:pPr>
      <w:r w:rsidRPr="005B2FC2">
        <w:rPr>
          <w:rFonts w:ascii="Verdana" w:eastAsia="Arial" w:hAnsi="Verdana" w:cs="Arial"/>
          <w:sz w:val="20"/>
          <w:szCs w:val="20"/>
        </w:rPr>
        <w:t xml:space="preserve">En ese entendido, uno de los límites a la facultad para establecer causales de rechazo, se encuentra en la regla de </w:t>
      </w:r>
      <w:proofErr w:type="spellStart"/>
      <w:r w:rsidRPr="005B2FC2">
        <w:rPr>
          <w:rFonts w:ascii="Verdana" w:eastAsia="Arial" w:hAnsi="Verdana" w:cs="Arial"/>
          <w:sz w:val="20"/>
          <w:szCs w:val="20"/>
        </w:rPr>
        <w:t>subsanabilidad</w:t>
      </w:r>
      <w:proofErr w:type="spellEnd"/>
      <w:r w:rsidRPr="005B2FC2">
        <w:rPr>
          <w:rFonts w:ascii="Verdana" w:eastAsia="Arial" w:hAnsi="Verdana" w:cs="Arial"/>
          <w:sz w:val="20"/>
          <w:szCs w:val="20"/>
        </w:rPr>
        <w:t xml:space="preserve"> del parágrafo 1 del artículo 5 de la Ley 1150 de 2007, según la cual “La ausencia de requisitos o la falta de documentos referentes a la futura contratación o al proponente, no necesarios para la comparación de las propuestas no servirán de título suficiente para el rechazo de los ofrecimientos hechos”, por lo que las entidades no podrán establecer causales de rechazo referentes a meros requisitos formales o rechazar las ofertas por esa razón. </w:t>
      </w:r>
    </w:p>
    <w:p w14:paraId="51F09824" w14:textId="74190F5D" w:rsidR="00803BCF" w:rsidRDefault="00803BCF" w:rsidP="00803BCF">
      <w:pPr>
        <w:jc w:val="both"/>
        <w:rPr>
          <w:rFonts w:ascii="Verdana" w:hAnsi="Verdana" w:cs="Arial"/>
          <w:b/>
          <w:bCs/>
          <w:lang w:val="es-ES" w:eastAsia="es-ES"/>
        </w:rPr>
      </w:pPr>
      <w:r w:rsidRPr="00803BCF">
        <w:rPr>
          <w:rFonts w:ascii="Verdana" w:hAnsi="Verdana" w:cs="Arial"/>
          <w:b/>
          <w:bCs/>
          <w:lang w:val="es-ES" w:eastAsia="es-ES"/>
        </w:rPr>
        <w:t>CAUSALES DE RECHAZO – Procedencia</w:t>
      </w:r>
    </w:p>
    <w:p w14:paraId="2B4A2709" w14:textId="3DA6B678" w:rsidR="00AB41EB" w:rsidRPr="00AB41EB" w:rsidRDefault="00AB41EB" w:rsidP="00AB41EB">
      <w:pPr>
        <w:widowControl w:val="0"/>
        <w:spacing w:after="120" w:line="240" w:lineRule="auto"/>
        <w:jc w:val="both"/>
        <w:rPr>
          <w:rFonts w:ascii="Verdana" w:eastAsia="Arial" w:hAnsi="Verdana" w:cs="Arial"/>
          <w:sz w:val="20"/>
          <w:szCs w:val="20"/>
        </w:rPr>
      </w:pPr>
      <w:r w:rsidRPr="00AB41EB">
        <w:rPr>
          <w:rFonts w:ascii="Verdana" w:eastAsia="Arial" w:hAnsi="Verdana" w:cs="Arial"/>
          <w:sz w:val="20"/>
          <w:szCs w:val="20"/>
        </w:rPr>
        <w:t xml:space="preserve">[…] </w:t>
      </w:r>
      <w:r w:rsidRPr="00AB41EB">
        <w:rPr>
          <w:rFonts w:ascii="Verdana" w:eastAsia="Arial" w:hAnsi="Verdana" w:cs="Arial"/>
          <w:sz w:val="20"/>
          <w:szCs w:val="20"/>
        </w:rPr>
        <w:t xml:space="preserve">existen dos casos en los que procede el rechazo de la oferta: i) que se configure alguna de las causales de rechazo originadas en la ley o el reglamento y </w:t>
      </w:r>
      <w:proofErr w:type="spellStart"/>
      <w:r w:rsidRPr="00AB41EB">
        <w:rPr>
          <w:rFonts w:ascii="Verdana" w:eastAsia="Arial" w:hAnsi="Verdana" w:cs="Arial"/>
          <w:sz w:val="20"/>
          <w:szCs w:val="20"/>
        </w:rPr>
        <w:t>ii</w:t>
      </w:r>
      <w:proofErr w:type="spellEnd"/>
      <w:r w:rsidRPr="00AB41EB">
        <w:rPr>
          <w:rFonts w:ascii="Verdana" w:eastAsia="Arial" w:hAnsi="Verdana" w:cs="Arial"/>
          <w:sz w:val="20"/>
          <w:szCs w:val="20"/>
        </w:rPr>
        <w:t xml:space="preserve">) que se materialicen las establecidas en el pliego de condiciones o documentos equivalentes. En tal sentido, las causales de rechazo de la oferta serán las consagradas en la ley o el reglamento producto de su aplicación, así como las definidas por las entidades en el respectivo pliego de condiciones. </w:t>
      </w:r>
    </w:p>
    <w:p w14:paraId="14FC3A02" w14:textId="3FB2DC0E" w:rsidR="00AB41EB" w:rsidRPr="00AB41EB" w:rsidRDefault="00AB41EB" w:rsidP="00AB41EB">
      <w:pPr>
        <w:spacing w:line="240" w:lineRule="auto"/>
        <w:jc w:val="both"/>
        <w:rPr>
          <w:rFonts w:ascii="Verdana" w:hAnsi="Verdana" w:cs="Arial"/>
          <w:b/>
          <w:bCs/>
          <w:sz w:val="20"/>
          <w:szCs w:val="20"/>
          <w:lang w:val="es-ES" w:eastAsia="es-ES"/>
        </w:rPr>
      </w:pPr>
      <w:r w:rsidRPr="00AB41EB">
        <w:rPr>
          <w:rFonts w:ascii="Verdana" w:eastAsia="Arial" w:hAnsi="Verdana" w:cs="Arial"/>
          <w:sz w:val="20"/>
          <w:szCs w:val="20"/>
        </w:rPr>
        <w:t>En tales términos, la facultad de las Entidades Estatales para incluir en los pliegos de condiciones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w:t>
      </w:r>
    </w:p>
    <w:p w14:paraId="1C5DB4DF" w14:textId="77777777" w:rsidR="00803BCF" w:rsidRDefault="00803BCF" w:rsidP="30821638">
      <w:pPr>
        <w:spacing w:after="0"/>
        <w:rPr>
          <w:rFonts w:ascii="Verdana" w:eastAsia="Verdana" w:hAnsi="Verdana" w:cs="Verdana"/>
        </w:rPr>
      </w:pPr>
    </w:p>
    <w:p w14:paraId="7D478F74" w14:textId="77777777" w:rsidR="00803BCF" w:rsidRDefault="00803BCF" w:rsidP="30821638">
      <w:pPr>
        <w:spacing w:after="0"/>
        <w:rPr>
          <w:rFonts w:ascii="Verdana" w:eastAsia="Verdana" w:hAnsi="Verdana" w:cs="Verdana"/>
        </w:rPr>
      </w:pPr>
    </w:p>
    <w:p w14:paraId="61D2564F" w14:textId="77777777" w:rsidR="00803BCF" w:rsidRDefault="00803BCF" w:rsidP="30821638">
      <w:pPr>
        <w:spacing w:after="0"/>
        <w:rPr>
          <w:rFonts w:ascii="Verdana" w:eastAsia="Verdana" w:hAnsi="Verdana" w:cs="Verdana"/>
        </w:rPr>
      </w:pPr>
    </w:p>
    <w:p w14:paraId="62E4E760" w14:textId="77777777" w:rsidR="00803BCF" w:rsidRDefault="00803BCF" w:rsidP="30821638">
      <w:pPr>
        <w:spacing w:after="0"/>
        <w:rPr>
          <w:rFonts w:ascii="Verdana" w:eastAsia="Verdana" w:hAnsi="Verdana" w:cs="Verdana"/>
        </w:rPr>
      </w:pPr>
    </w:p>
    <w:p w14:paraId="1468C46D" w14:textId="00D23C3E" w:rsidR="00C15139" w:rsidRPr="0024624F" w:rsidRDefault="00D20C1D" w:rsidP="30821638">
      <w:pPr>
        <w:spacing w:after="0"/>
        <w:rPr>
          <w:rFonts w:ascii="Verdana" w:eastAsia="Verdana" w:hAnsi="Verdana" w:cs="Verdana"/>
        </w:rPr>
      </w:pPr>
      <w:r w:rsidRPr="00D20C1D">
        <w:rPr>
          <w:noProof/>
        </w:rPr>
        <w:lastRenderedPageBreak/>
        <w:drawing>
          <wp:anchor distT="0" distB="0" distL="114300" distR="114300" simplePos="0" relativeHeight="251659264" behindDoc="1" locked="0" layoutInCell="1" allowOverlap="1" wp14:anchorId="61689CE8" wp14:editId="0640F2D8">
            <wp:simplePos x="0" y="0"/>
            <wp:positionH relativeFrom="margin">
              <wp:align>right</wp:align>
            </wp:positionH>
            <wp:positionV relativeFrom="paragraph">
              <wp:posOffset>8626</wp:posOffset>
            </wp:positionV>
            <wp:extent cx="2644140" cy="730885"/>
            <wp:effectExtent l="0" t="0" r="3810" b="0"/>
            <wp:wrapNone/>
            <wp:docPr id="18427240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44140" cy="730885"/>
                    </a:xfrm>
                    <a:prstGeom prst="rect">
                      <a:avLst/>
                    </a:prstGeom>
                    <a:noFill/>
                    <a:ln>
                      <a:noFill/>
                    </a:ln>
                  </pic:spPr>
                </pic:pic>
              </a:graphicData>
            </a:graphic>
          </wp:anchor>
        </w:drawing>
      </w:r>
      <w:r w:rsidR="00C15139" w:rsidRPr="30821638">
        <w:rPr>
          <w:rFonts w:ascii="Verdana" w:eastAsia="Verdana" w:hAnsi="Verdana" w:cs="Verdana"/>
        </w:rPr>
        <w:t xml:space="preserve">Bogotá D.C., </w:t>
      </w:r>
      <w:r w:rsidR="00166037">
        <w:rPr>
          <w:rFonts w:ascii="Verdana" w:eastAsia="Verdana" w:hAnsi="Verdana" w:cs="Verdana"/>
        </w:rPr>
        <w:t>30 Junio 2026</w:t>
      </w:r>
      <w:r w:rsidR="00C15139">
        <w:tab/>
      </w:r>
      <w:r w:rsidR="00C15139">
        <w:br/>
      </w:r>
      <w:r w:rsidR="00C15139">
        <w:tab/>
      </w:r>
    </w:p>
    <w:p w14:paraId="67A7F6D1" w14:textId="77777777" w:rsidR="0095030C" w:rsidRPr="0018723E" w:rsidRDefault="0095030C" w:rsidP="0095030C">
      <w:pPr>
        <w:spacing w:after="0" w:line="240" w:lineRule="auto"/>
        <w:jc w:val="both"/>
        <w:rPr>
          <w:rFonts w:ascii="Verdana" w:eastAsia="Calibri" w:hAnsi="Verdana" w:cs="Arial"/>
          <w:lang w:eastAsia="es-ES"/>
        </w:rPr>
      </w:pPr>
      <w:r w:rsidRPr="001129A3">
        <w:rPr>
          <w:rFonts w:ascii="Verdana" w:eastAsia="Calibri" w:hAnsi="Verdana" w:cs="Arial"/>
          <w:lang w:eastAsia="es-ES"/>
        </w:rPr>
        <w:t>Señor</w:t>
      </w:r>
    </w:p>
    <w:p w14:paraId="31B494EE" w14:textId="063A87FC" w:rsidR="0095030C" w:rsidRDefault="00E0692C" w:rsidP="0095030C">
      <w:pPr>
        <w:spacing w:after="0" w:line="240" w:lineRule="auto"/>
        <w:rPr>
          <w:rFonts w:ascii="Verdana" w:eastAsia="Calibri" w:hAnsi="Verdana" w:cs="Arial"/>
          <w:b/>
          <w:lang w:eastAsia="es-ES_tradnl"/>
        </w:rPr>
      </w:pPr>
      <w:r>
        <w:rPr>
          <w:rFonts w:ascii="Verdana" w:eastAsia="Calibri" w:hAnsi="Verdana" w:cs="Arial"/>
          <w:b/>
          <w:lang w:eastAsia="es-ES_tradnl"/>
        </w:rPr>
        <w:t xml:space="preserve">Miguel Arturo </w:t>
      </w:r>
      <w:r w:rsidR="0059118F">
        <w:rPr>
          <w:rFonts w:ascii="Verdana" w:eastAsia="Calibri" w:hAnsi="Verdana" w:cs="Arial"/>
          <w:b/>
          <w:lang w:eastAsia="es-ES_tradnl"/>
        </w:rPr>
        <w:t>Bautista Fernández</w:t>
      </w:r>
    </w:p>
    <w:p w14:paraId="52F5672C" w14:textId="587B23ED" w:rsidR="0059118F" w:rsidRPr="0059118F" w:rsidRDefault="0059118F" w:rsidP="0095030C">
      <w:pPr>
        <w:spacing w:after="0" w:line="240" w:lineRule="auto"/>
        <w:rPr>
          <w:rFonts w:ascii="Verdana" w:hAnsi="Verdana"/>
        </w:rPr>
      </w:pPr>
      <w:hyperlink r:id="rId11" w:history="1">
        <w:r w:rsidRPr="0059118F">
          <w:rPr>
            <w:rStyle w:val="Hipervnculo"/>
            <w:rFonts w:ascii="Verdana" w:hAnsi="Verdana"/>
          </w:rPr>
          <w:t>miguelbautistaabogado@gmail.com</w:t>
        </w:r>
      </w:hyperlink>
    </w:p>
    <w:p w14:paraId="72820D78" w14:textId="577740B6" w:rsidR="0095030C" w:rsidRPr="00AB1F39" w:rsidRDefault="0059118F" w:rsidP="0095030C">
      <w:pPr>
        <w:spacing w:after="0" w:line="240" w:lineRule="auto"/>
        <w:rPr>
          <w:rFonts w:ascii="Verdana" w:hAnsi="Verdana"/>
        </w:rPr>
      </w:pPr>
      <w:r>
        <w:rPr>
          <w:rFonts w:ascii="Verdana" w:hAnsi="Verdana"/>
        </w:rPr>
        <w:t>Floridablanca</w:t>
      </w:r>
      <w:r w:rsidR="0095030C">
        <w:rPr>
          <w:rFonts w:ascii="Verdana" w:hAnsi="Verdana"/>
        </w:rPr>
        <w:t xml:space="preserve"> – Santander, Colombia</w:t>
      </w:r>
    </w:p>
    <w:p w14:paraId="024BBACB" w14:textId="77777777" w:rsidR="0095030C" w:rsidRPr="001129A3" w:rsidRDefault="0095030C" w:rsidP="0095030C">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95030C" w:rsidRPr="001129A3" w14:paraId="2E631344" w14:textId="77777777" w:rsidTr="000774F1">
        <w:trPr>
          <w:trHeight w:val="162"/>
        </w:trPr>
        <w:tc>
          <w:tcPr>
            <w:tcW w:w="3119" w:type="dxa"/>
          </w:tcPr>
          <w:p w14:paraId="2E49BD83" w14:textId="77777777" w:rsidR="0095030C" w:rsidRPr="001129A3" w:rsidRDefault="0095030C" w:rsidP="000774F1">
            <w:pPr>
              <w:jc w:val="both"/>
              <w:rPr>
                <w:rFonts w:ascii="Verdana" w:eastAsia="Calibri" w:hAnsi="Verdana" w:cs="Arial"/>
                <w:b/>
                <w:bCs/>
                <w:color w:val="7030A0"/>
                <w:lang w:eastAsia="es-ES_tradnl"/>
              </w:rPr>
            </w:pPr>
          </w:p>
        </w:tc>
        <w:tc>
          <w:tcPr>
            <w:tcW w:w="5670" w:type="dxa"/>
          </w:tcPr>
          <w:p w14:paraId="5DF8142C" w14:textId="2FC056C5" w:rsidR="0095030C" w:rsidRPr="001129A3" w:rsidRDefault="0095030C" w:rsidP="000774F1">
            <w:pPr>
              <w:rPr>
                <w:rFonts w:ascii="Verdana" w:eastAsia="Calibri" w:hAnsi="Verdana" w:cs="Arial"/>
                <w:b/>
                <w:bCs/>
                <w:lang w:eastAsia="es-ES"/>
              </w:rPr>
            </w:pPr>
            <w:r w:rsidRPr="001129A3">
              <w:rPr>
                <w:rFonts w:ascii="Verdana" w:eastAsia="Calibri" w:hAnsi="Verdana" w:cs="Arial"/>
                <w:b/>
                <w:bCs/>
                <w:lang w:eastAsia="es-ES"/>
              </w:rPr>
              <w:t xml:space="preserve">Concepto </w:t>
            </w:r>
            <w:r w:rsidRPr="008332DB">
              <w:rPr>
                <w:rFonts w:ascii="Verdana" w:eastAsia="Calibri" w:hAnsi="Verdana" w:cs="Arial"/>
                <w:b/>
                <w:bCs/>
                <w:lang w:eastAsia="es-ES"/>
              </w:rPr>
              <w:t>C-</w:t>
            </w:r>
            <w:r w:rsidR="00E0692C">
              <w:rPr>
                <w:rFonts w:ascii="Verdana" w:eastAsia="Calibri" w:hAnsi="Verdana" w:cs="Arial"/>
                <w:b/>
                <w:bCs/>
                <w:lang w:eastAsia="es-ES"/>
              </w:rPr>
              <w:t>808</w:t>
            </w:r>
            <w:r w:rsidRPr="001129A3">
              <w:rPr>
                <w:rFonts w:ascii="Verdana" w:eastAsia="Calibri" w:hAnsi="Verdana" w:cs="Arial"/>
                <w:b/>
                <w:bCs/>
                <w:lang w:eastAsia="es-ES"/>
              </w:rPr>
              <w:t xml:space="preserve"> de 2026</w:t>
            </w:r>
          </w:p>
          <w:p w14:paraId="112AB4B4" w14:textId="77777777" w:rsidR="0095030C" w:rsidRPr="001129A3" w:rsidRDefault="0095030C" w:rsidP="000774F1">
            <w:pPr>
              <w:jc w:val="center"/>
              <w:rPr>
                <w:rFonts w:ascii="Verdana" w:eastAsia="Calibri" w:hAnsi="Verdana" w:cs="Arial"/>
                <w:b/>
                <w:bCs/>
                <w:color w:val="7030A0"/>
                <w:lang w:eastAsia="es-ES"/>
              </w:rPr>
            </w:pPr>
          </w:p>
        </w:tc>
      </w:tr>
      <w:tr w:rsidR="0095030C" w:rsidRPr="00BF6D60" w14:paraId="09D951C0" w14:textId="77777777" w:rsidTr="000774F1">
        <w:trPr>
          <w:trHeight w:val="884"/>
        </w:trPr>
        <w:tc>
          <w:tcPr>
            <w:tcW w:w="3119" w:type="dxa"/>
          </w:tcPr>
          <w:p w14:paraId="29E6E22F" w14:textId="77777777" w:rsidR="0095030C" w:rsidRPr="0018723E" w:rsidRDefault="0095030C" w:rsidP="000774F1">
            <w:pPr>
              <w:jc w:val="both"/>
              <w:rPr>
                <w:rFonts w:ascii="Verdana" w:eastAsia="Calibri" w:hAnsi="Verdana" w:cs="Arial"/>
                <w:color w:val="000000"/>
                <w:lang w:eastAsia="es-ES_tradnl"/>
              </w:rPr>
            </w:pPr>
            <w:r w:rsidRPr="001129A3">
              <w:rPr>
                <w:rFonts w:ascii="Verdana" w:eastAsia="Calibri" w:hAnsi="Verdana" w:cs="Arial"/>
                <w:b/>
                <w:color w:val="000000"/>
                <w:lang w:eastAsia="es-ES_tradnl"/>
              </w:rPr>
              <w:t>Temas:</w:t>
            </w:r>
            <w:r w:rsidRPr="001129A3">
              <w:rPr>
                <w:rFonts w:ascii="Verdana" w:eastAsia="Calibri" w:hAnsi="Verdana" w:cs="Arial"/>
                <w:color w:val="000000"/>
                <w:lang w:eastAsia="es-ES_tradnl"/>
              </w:rPr>
              <w:t xml:space="preserve">                   </w:t>
            </w:r>
          </w:p>
        </w:tc>
        <w:tc>
          <w:tcPr>
            <w:tcW w:w="5670" w:type="dxa"/>
          </w:tcPr>
          <w:p w14:paraId="4497FEF4" w14:textId="77777777" w:rsidR="00470972" w:rsidRDefault="009556AB" w:rsidP="00107E38">
            <w:pPr>
              <w:jc w:val="both"/>
              <w:rPr>
                <w:rFonts w:ascii="Verdana" w:hAnsi="Verdana" w:cs="Arial"/>
                <w:lang w:val="es-ES" w:eastAsia="es-ES"/>
              </w:rPr>
            </w:pPr>
            <w:r w:rsidRPr="008F4EC5">
              <w:rPr>
                <w:rFonts w:ascii="Verdana" w:hAnsi="Verdana" w:cs="Arial"/>
                <w:lang w:val="es-ES" w:eastAsia="es-ES"/>
              </w:rPr>
              <w:t>SUBSANABILIDAD – Aplicación – Regla general – Excepciones / SUBSANABILIDAD – Ley 1882 de 2018 / SUBSANABILIDAD Y ACLARACIÓN DE LA OFERTA – Diferencias / PREVALENCIA DEL DERECHO SUSTANCIAL – Principio constitucional / CAUSALES DE RECHAZO DE LAS OFERTAS – Origen – Límites en su configuración / CAUSALES DE RECHAZO – Procedencia</w:t>
            </w:r>
          </w:p>
          <w:p w14:paraId="5BCE066C" w14:textId="6D75CC8B" w:rsidR="009556AB" w:rsidRPr="00A740A9" w:rsidRDefault="009556AB" w:rsidP="00107E38">
            <w:pPr>
              <w:jc w:val="both"/>
              <w:rPr>
                <w:rFonts w:ascii="Verdana" w:eastAsia="Calibri" w:hAnsi="Verdana" w:cs="Arial"/>
                <w:highlight w:val="yellow"/>
                <w:lang w:val="es-ES" w:eastAsia="es-ES"/>
              </w:rPr>
            </w:pPr>
          </w:p>
        </w:tc>
      </w:tr>
      <w:tr w:rsidR="0095030C" w:rsidRPr="001129A3" w14:paraId="193AAF3C" w14:textId="77777777" w:rsidTr="000774F1">
        <w:tc>
          <w:tcPr>
            <w:tcW w:w="3119" w:type="dxa"/>
          </w:tcPr>
          <w:p w14:paraId="7121F788" w14:textId="77777777" w:rsidR="0095030C" w:rsidRPr="0018723E" w:rsidRDefault="0095030C" w:rsidP="000774F1">
            <w:pPr>
              <w:jc w:val="both"/>
              <w:rPr>
                <w:rFonts w:ascii="Verdana" w:eastAsia="Calibri" w:hAnsi="Verdana" w:cs="Arial"/>
                <w:b/>
                <w:lang w:eastAsia="es-ES_tradnl"/>
              </w:rPr>
            </w:pPr>
            <w:r>
              <w:rPr>
                <w:rFonts w:ascii="Verdana" w:eastAsia="Calibri" w:hAnsi="Verdana" w:cs="Arial"/>
                <w:b/>
                <w:lang w:eastAsia="es-ES_tradnl"/>
              </w:rPr>
              <w:t xml:space="preserve"> </w:t>
            </w:r>
            <w:r w:rsidRPr="001129A3">
              <w:rPr>
                <w:rFonts w:ascii="Verdana" w:eastAsia="Calibri" w:hAnsi="Verdana" w:cs="Arial"/>
                <w:b/>
                <w:lang w:eastAsia="es-ES_tradnl"/>
              </w:rPr>
              <w:t>Radicación:</w:t>
            </w:r>
            <w:r w:rsidRPr="001129A3">
              <w:rPr>
                <w:rFonts w:ascii="Verdana" w:eastAsia="Calibri" w:hAnsi="Verdana" w:cs="Arial"/>
                <w:lang w:eastAsia="es-ES_tradnl"/>
              </w:rPr>
              <w:t xml:space="preserve">               </w:t>
            </w:r>
          </w:p>
        </w:tc>
        <w:tc>
          <w:tcPr>
            <w:tcW w:w="5670" w:type="dxa"/>
          </w:tcPr>
          <w:p w14:paraId="3F2212DE" w14:textId="4481B12B" w:rsidR="0095030C" w:rsidRPr="001129A3" w:rsidRDefault="0095030C" w:rsidP="000774F1">
            <w:pPr>
              <w:jc w:val="both"/>
              <w:rPr>
                <w:rFonts w:ascii="Verdana" w:eastAsia="Calibri" w:hAnsi="Verdana" w:cs="Arial"/>
                <w:lang w:eastAsia="es-ES_tradnl"/>
              </w:rPr>
            </w:pPr>
            <w:r w:rsidRPr="001129A3">
              <w:rPr>
                <w:rFonts w:ascii="Verdana" w:eastAsia="Calibri" w:hAnsi="Verdana" w:cs="Arial"/>
                <w:lang w:eastAsia="es-ES_tradnl"/>
              </w:rPr>
              <w:t xml:space="preserve">Respuesta a consulta con radicado No. </w:t>
            </w:r>
            <w:r w:rsidR="00E0692C" w:rsidRPr="00E0692C">
              <w:rPr>
                <w:rFonts w:ascii="Verdana" w:eastAsia="Calibri" w:hAnsi="Verdana" w:cs="Arial"/>
                <w:lang w:eastAsia="es-ES_tradnl"/>
              </w:rPr>
              <w:t>1_2026_05_15_006566</w:t>
            </w:r>
          </w:p>
        </w:tc>
      </w:tr>
    </w:tbl>
    <w:p w14:paraId="7B614970" w14:textId="77777777" w:rsidR="0095030C" w:rsidRPr="001129A3" w:rsidRDefault="0095030C" w:rsidP="0095030C">
      <w:pPr>
        <w:spacing w:after="0" w:line="240" w:lineRule="auto"/>
        <w:jc w:val="both"/>
        <w:rPr>
          <w:rFonts w:ascii="Verdana" w:eastAsia="Calibri" w:hAnsi="Verdana" w:cs="Arial"/>
          <w:lang w:eastAsia="es-ES_tradnl"/>
        </w:rPr>
      </w:pPr>
    </w:p>
    <w:p w14:paraId="5E4B5A2D" w14:textId="13592426" w:rsidR="0095030C" w:rsidRPr="000952AC" w:rsidRDefault="0095030C" w:rsidP="0095030C">
      <w:pPr>
        <w:spacing w:line="276" w:lineRule="auto"/>
        <w:jc w:val="both"/>
        <w:rPr>
          <w:rFonts w:ascii="Verdana" w:eastAsia="Calibri" w:hAnsi="Verdana" w:cs="Arial"/>
          <w:lang w:eastAsia="es-ES"/>
        </w:rPr>
      </w:pPr>
      <w:r w:rsidRPr="000952AC">
        <w:rPr>
          <w:rFonts w:ascii="Verdana" w:eastAsia="Calibri" w:hAnsi="Verdana" w:cs="Arial"/>
          <w:lang w:eastAsia="es-ES"/>
        </w:rPr>
        <w:t>Estimad</w:t>
      </w:r>
      <w:r>
        <w:rPr>
          <w:rFonts w:ascii="Verdana" w:eastAsia="Calibri" w:hAnsi="Verdana" w:cs="Arial"/>
          <w:lang w:eastAsia="es-ES"/>
        </w:rPr>
        <w:t>o</w:t>
      </w:r>
      <w:r w:rsidRPr="000952AC">
        <w:rPr>
          <w:rFonts w:ascii="Verdana" w:eastAsia="Calibri" w:hAnsi="Verdana" w:cs="Arial"/>
          <w:lang w:eastAsia="es-ES"/>
        </w:rPr>
        <w:t xml:space="preserve"> señor</w:t>
      </w:r>
      <w:r>
        <w:rPr>
          <w:rFonts w:ascii="Verdana" w:eastAsia="Calibri" w:hAnsi="Verdana" w:cs="Arial"/>
          <w:lang w:eastAsia="es-ES"/>
        </w:rPr>
        <w:t xml:space="preserve">, </w:t>
      </w:r>
      <w:r w:rsidR="00F5650E">
        <w:rPr>
          <w:rFonts w:ascii="Verdana" w:eastAsia="Calibri" w:hAnsi="Verdana" w:cs="Arial"/>
          <w:lang w:eastAsia="es-ES"/>
        </w:rPr>
        <w:t>Bautista</w:t>
      </w:r>
      <w:r>
        <w:rPr>
          <w:rFonts w:ascii="Verdana" w:eastAsia="Calibri" w:hAnsi="Verdana" w:cs="Arial"/>
          <w:lang w:eastAsia="es-ES"/>
        </w:rPr>
        <w:t>:</w:t>
      </w:r>
      <w:r w:rsidRPr="000952AC">
        <w:rPr>
          <w:rFonts w:ascii="Verdana" w:eastAsia="Calibri" w:hAnsi="Verdana" w:cs="Arial"/>
          <w:lang w:eastAsia="es-ES"/>
        </w:rPr>
        <w:t xml:space="preserve"> </w:t>
      </w:r>
    </w:p>
    <w:p w14:paraId="0BCF605E" w14:textId="6514C21B" w:rsidR="0095030C" w:rsidRPr="000952AC" w:rsidRDefault="0095030C" w:rsidP="0095030C">
      <w:pPr>
        <w:spacing w:after="0" w:line="276" w:lineRule="auto"/>
        <w:jc w:val="both"/>
        <w:rPr>
          <w:rFonts w:ascii="Verdana" w:eastAsia="Calibri" w:hAnsi="Verdana" w:cs="Arial"/>
          <w:lang w:eastAsia="es-ES"/>
        </w:rPr>
      </w:pPr>
      <w:r w:rsidRPr="000952AC">
        <w:rPr>
          <w:rFonts w:ascii="Verdana" w:eastAsia="Calibri" w:hAnsi="Verdana" w:cs="Arial"/>
          <w:color w:val="000000" w:themeColor="text1"/>
          <w:lang w:eastAsia="es-ES"/>
        </w:rPr>
        <w:t>En ejercicio de la competencia otorgada por los artículos 3, numeral 5º, y 11, numeral 8º, del Decreto Ley 4170 de 2011,</w:t>
      </w:r>
      <w:r w:rsidRPr="000952AC">
        <w:rPr>
          <w:rFonts w:ascii="Verdana" w:eastAsia="Arial MT" w:hAnsi="Verdana" w:cs="Arial MT"/>
          <w:lang w:eastAsia="es-ES"/>
        </w:rPr>
        <w:t xml:space="preserve"> </w:t>
      </w:r>
      <w:r w:rsidRPr="000952AC">
        <w:rPr>
          <w:rFonts w:ascii="Verdana" w:hAnsi="Verdana" w:cs="Arial"/>
        </w:rPr>
        <w:t xml:space="preserve">así como lo establecido en el artículo 4 de la Resolución 1707 de 2018 expedida por esta Entidad, </w:t>
      </w:r>
      <w:r w:rsidRPr="000952AC">
        <w:rPr>
          <w:rFonts w:ascii="Verdana" w:eastAsia="Calibri" w:hAnsi="Verdana" w:cs="Arial"/>
          <w:color w:val="000000" w:themeColor="text1"/>
          <w:lang w:eastAsia="es-ES"/>
        </w:rPr>
        <w:t xml:space="preserve">la Agencia Nacional de Contratación </w:t>
      </w:r>
      <w:r w:rsidRPr="000952AC">
        <w:rPr>
          <w:rFonts w:ascii="Verdana" w:eastAsia="Calibri" w:hAnsi="Verdana" w:cs="Arial"/>
          <w:lang w:eastAsia="es-ES"/>
        </w:rPr>
        <w:t>Pública – Colombia Compra Eficiente– responde su solicitud de consulta de fecha</w:t>
      </w:r>
      <w:r>
        <w:rPr>
          <w:rFonts w:ascii="Verdana" w:eastAsia="Calibri" w:hAnsi="Verdana" w:cs="Arial"/>
          <w:lang w:eastAsia="es-ES"/>
        </w:rPr>
        <w:t xml:space="preserve"> 1</w:t>
      </w:r>
      <w:r w:rsidR="0059118F">
        <w:rPr>
          <w:rFonts w:ascii="Verdana" w:eastAsia="Calibri" w:hAnsi="Verdana" w:cs="Arial"/>
          <w:lang w:eastAsia="es-ES"/>
        </w:rPr>
        <w:t>5</w:t>
      </w:r>
      <w:r>
        <w:rPr>
          <w:rFonts w:ascii="Verdana" w:eastAsia="Calibri" w:hAnsi="Verdana" w:cs="Arial"/>
          <w:lang w:eastAsia="es-ES"/>
        </w:rPr>
        <w:t xml:space="preserve"> de mayo</w:t>
      </w:r>
      <w:r w:rsidRPr="000952AC">
        <w:rPr>
          <w:rFonts w:ascii="Verdana" w:eastAsia="Calibri" w:hAnsi="Verdana" w:cs="Arial"/>
          <w:lang w:eastAsia="es-ES"/>
        </w:rPr>
        <w:t xml:space="preserve"> de 202</w:t>
      </w:r>
      <w:r>
        <w:rPr>
          <w:rFonts w:ascii="Verdana" w:eastAsia="Calibri" w:hAnsi="Verdana" w:cs="Arial"/>
          <w:lang w:eastAsia="es-ES"/>
        </w:rPr>
        <w:t>6</w:t>
      </w:r>
      <w:r w:rsidRPr="000952AC">
        <w:rPr>
          <w:rFonts w:ascii="Verdana" w:eastAsia="Calibri" w:hAnsi="Verdana" w:cs="Arial"/>
          <w:lang w:eastAsia="es-ES"/>
        </w:rPr>
        <w:t xml:space="preserve">, en la cual manifiesta lo siguiente: </w:t>
      </w:r>
    </w:p>
    <w:p w14:paraId="2DB0BED5" w14:textId="77777777" w:rsidR="0095030C" w:rsidRDefault="0095030C" w:rsidP="0095030C">
      <w:pPr>
        <w:spacing w:after="0" w:line="240" w:lineRule="auto"/>
        <w:ind w:left="709" w:right="709"/>
        <w:jc w:val="both"/>
        <w:rPr>
          <w:rFonts w:ascii="Verdana" w:eastAsia="Century Gothic" w:hAnsi="Verdana" w:cs="Century Gothic"/>
          <w:i/>
          <w:iCs/>
          <w:sz w:val="20"/>
          <w:szCs w:val="20"/>
        </w:rPr>
      </w:pPr>
      <w:bookmarkStart w:id="1" w:name="_Hlk192699624"/>
      <w:bookmarkStart w:id="2" w:name="_Hlk199394899"/>
    </w:p>
    <w:p w14:paraId="7095AC32" w14:textId="77777777" w:rsidR="0095030C" w:rsidRPr="00690AC0" w:rsidRDefault="0095030C" w:rsidP="0095030C">
      <w:pPr>
        <w:spacing w:after="0" w:line="240" w:lineRule="auto"/>
        <w:ind w:left="709" w:right="709"/>
        <w:jc w:val="both"/>
        <w:rPr>
          <w:rFonts w:ascii="Verdana" w:eastAsia="Century Gothic" w:hAnsi="Verdana" w:cs="Century Gothic"/>
          <w:i/>
          <w:iCs/>
          <w:sz w:val="20"/>
          <w:szCs w:val="20"/>
        </w:rPr>
      </w:pPr>
      <w:r w:rsidRPr="00690AC0">
        <w:rPr>
          <w:rFonts w:ascii="Verdana" w:eastAsia="Century Gothic" w:hAnsi="Verdana" w:cs="Century Gothic"/>
          <w:i/>
          <w:iCs/>
          <w:sz w:val="20"/>
          <w:szCs w:val="20"/>
        </w:rPr>
        <w:t>“</w:t>
      </w:r>
      <w:bookmarkEnd w:id="1"/>
      <w:r w:rsidRPr="00690AC0">
        <w:rPr>
          <w:rFonts w:ascii="Verdana" w:eastAsia="Century Gothic" w:hAnsi="Verdana" w:cs="Century Gothic"/>
          <w:i/>
          <w:iCs/>
          <w:sz w:val="20"/>
          <w:szCs w:val="20"/>
        </w:rPr>
        <w:t>(…)</w:t>
      </w:r>
    </w:p>
    <w:p w14:paraId="38FBEA8F" w14:textId="77777777" w:rsidR="0095030C" w:rsidRPr="00690AC0" w:rsidRDefault="0095030C" w:rsidP="0095030C">
      <w:pPr>
        <w:spacing w:after="0" w:line="240" w:lineRule="auto"/>
        <w:ind w:left="709" w:right="709"/>
        <w:jc w:val="both"/>
        <w:rPr>
          <w:rFonts w:ascii="Verdana" w:eastAsia="Century Gothic" w:hAnsi="Verdana" w:cs="Century Gothic"/>
          <w:i/>
          <w:iCs/>
          <w:sz w:val="20"/>
          <w:szCs w:val="20"/>
        </w:rPr>
      </w:pPr>
    </w:p>
    <w:p w14:paraId="4D32B001" w14:textId="77777777" w:rsidR="006B72FF" w:rsidRPr="006B72FF" w:rsidRDefault="006B72FF" w:rsidP="006B72FF">
      <w:pPr>
        <w:spacing w:after="0" w:line="240" w:lineRule="auto"/>
        <w:ind w:left="709" w:right="709"/>
        <w:jc w:val="both"/>
        <w:rPr>
          <w:rFonts w:ascii="Verdana" w:hAnsi="Verdana"/>
          <w:i/>
          <w:iCs/>
          <w:sz w:val="20"/>
          <w:szCs w:val="20"/>
        </w:rPr>
      </w:pPr>
      <w:r w:rsidRPr="006B72FF">
        <w:rPr>
          <w:rFonts w:ascii="Verdana" w:hAnsi="Verdana"/>
          <w:i/>
          <w:iCs/>
          <w:sz w:val="20"/>
          <w:szCs w:val="20"/>
        </w:rPr>
        <w:t>¿Es jurídicamente viable que un proponente subsane requisitos habilitantes cuya documentación soporte fue omitida totalmente en su oferta inicial, bajo el amparo del parágrafo 1 del artículo 5 de la Ley 1150 de 2007 y el principio de selección objetiva?</w:t>
      </w:r>
    </w:p>
    <w:p w14:paraId="2C96EDCE" w14:textId="77777777" w:rsidR="006B72FF" w:rsidRPr="006B72FF" w:rsidRDefault="006B72FF" w:rsidP="006B72FF">
      <w:pPr>
        <w:spacing w:after="0" w:line="240" w:lineRule="auto"/>
        <w:ind w:left="709" w:right="709"/>
        <w:jc w:val="both"/>
        <w:rPr>
          <w:rFonts w:ascii="Verdana" w:hAnsi="Verdana"/>
          <w:i/>
          <w:iCs/>
          <w:sz w:val="20"/>
          <w:szCs w:val="20"/>
        </w:rPr>
      </w:pPr>
    </w:p>
    <w:p w14:paraId="081AA0C6" w14:textId="352DD0B4" w:rsidR="0095030C" w:rsidRPr="0048613B" w:rsidRDefault="006B72FF" w:rsidP="006B72FF">
      <w:pPr>
        <w:spacing w:after="0" w:line="240" w:lineRule="auto"/>
        <w:ind w:left="709" w:right="709"/>
        <w:jc w:val="both"/>
        <w:rPr>
          <w:rFonts w:ascii="Verdana" w:hAnsi="Verdana"/>
          <w:i/>
          <w:iCs/>
          <w:sz w:val="20"/>
          <w:szCs w:val="20"/>
        </w:rPr>
      </w:pPr>
      <w:r w:rsidRPr="006B72FF">
        <w:rPr>
          <w:rFonts w:ascii="Verdana" w:hAnsi="Verdana"/>
          <w:i/>
          <w:iCs/>
          <w:sz w:val="20"/>
          <w:szCs w:val="20"/>
        </w:rPr>
        <w:t>¿La incorporación de certificaciones o documentos nuevos destinados exclusivamente a acreditar requisitos habilitantes que no fueron presentados inicialmente constituye una mejora prohibida de la oferta, o debe entenderse como un acto reglado de verificación que no afecta los factores de puntuación?</w:t>
      </w:r>
    </w:p>
    <w:p w14:paraId="27F33258" w14:textId="77777777" w:rsidR="0095030C" w:rsidRPr="00690AC0" w:rsidRDefault="0095030C" w:rsidP="0095030C">
      <w:pPr>
        <w:spacing w:after="0" w:line="240" w:lineRule="auto"/>
        <w:ind w:left="709" w:right="709"/>
        <w:jc w:val="both"/>
        <w:rPr>
          <w:rFonts w:ascii="Verdana" w:hAnsi="Verdana"/>
          <w:i/>
          <w:iCs/>
          <w:sz w:val="20"/>
          <w:szCs w:val="20"/>
        </w:rPr>
      </w:pPr>
    </w:p>
    <w:p w14:paraId="37DF2234" w14:textId="77777777" w:rsidR="0095030C" w:rsidRPr="00690AC0" w:rsidRDefault="0095030C" w:rsidP="0095030C">
      <w:pPr>
        <w:spacing w:after="0" w:line="240" w:lineRule="auto"/>
        <w:ind w:left="709" w:right="709"/>
        <w:jc w:val="both"/>
        <w:rPr>
          <w:rFonts w:ascii="Verdana" w:hAnsi="Verdana"/>
          <w:i/>
          <w:iCs/>
          <w:sz w:val="20"/>
          <w:szCs w:val="20"/>
        </w:rPr>
      </w:pPr>
      <w:r w:rsidRPr="00690AC0">
        <w:rPr>
          <w:rFonts w:ascii="Verdana" w:hAnsi="Verdana"/>
          <w:i/>
          <w:iCs/>
          <w:sz w:val="20"/>
          <w:szCs w:val="20"/>
        </w:rPr>
        <w:lastRenderedPageBreak/>
        <w:t>(…)”.</w:t>
      </w:r>
      <w:bookmarkEnd w:id="2"/>
    </w:p>
    <w:p w14:paraId="062FE7C5" w14:textId="77777777" w:rsidR="0095030C" w:rsidRPr="001C2143" w:rsidRDefault="0095030C" w:rsidP="0095030C">
      <w:pPr>
        <w:spacing w:after="0" w:line="240" w:lineRule="auto"/>
        <w:ind w:left="709" w:right="709"/>
        <w:jc w:val="both"/>
        <w:rPr>
          <w:rFonts w:ascii="Verdana" w:hAnsi="Verdana"/>
          <w:i/>
          <w:iCs/>
          <w:sz w:val="20"/>
          <w:szCs w:val="20"/>
        </w:rPr>
      </w:pPr>
    </w:p>
    <w:p w14:paraId="76DB1547" w14:textId="77777777" w:rsidR="0095030C" w:rsidRPr="000952AC" w:rsidRDefault="0095030C" w:rsidP="0095030C">
      <w:pPr>
        <w:spacing w:after="120" w:line="276" w:lineRule="auto"/>
        <w:ind w:firstLine="709"/>
        <w:jc w:val="both"/>
        <w:rPr>
          <w:rFonts w:ascii="Verdana" w:eastAsia="Calibri" w:hAnsi="Verdana" w:cs="Arial"/>
          <w:color w:val="000000"/>
          <w:szCs w:val="24"/>
          <w:lang w:eastAsia="es-ES_tradnl"/>
        </w:rPr>
      </w:pPr>
      <w:r w:rsidRPr="000952AC">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 </w:t>
      </w:r>
      <w:r w:rsidRPr="000952AC">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952AC">
        <w:rPr>
          <w:rFonts w:ascii="Verdana" w:eastAsia="Calibri" w:hAnsi="Verdana" w:cs="Arial"/>
          <w:color w:val="000000"/>
          <w:szCs w:val="24"/>
          <w:lang w:eastAsia="es-ES_tradnl"/>
        </w:rPr>
        <w:tab/>
      </w:r>
    </w:p>
    <w:p w14:paraId="4DCC4525" w14:textId="77777777" w:rsidR="0095030C" w:rsidRDefault="0095030C" w:rsidP="004F2C48">
      <w:pPr>
        <w:spacing w:after="0" w:line="276" w:lineRule="auto"/>
        <w:ind w:firstLine="709"/>
        <w:jc w:val="both"/>
        <w:rPr>
          <w:rFonts w:ascii="Verdana" w:eastAsia="Calibri" w:hAnsi="Verdana" w:cs="Arial"/>
          <w:color w:val="000000"/>
          <w:lang w:eastAsia="es-ES"/>
        </w:rPr>
      </w:pPr>
      <w:r w:rsidRPr="000952AC">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sidRPr="00BF0229">
        <w:rPr>
          <w:rFonts w:ascii="Verdana" w:eastAsia="Calibri" w:hAnsi="Verdana" w:cs="Arial"/>
          <w:color w:val="000000"/>
          <w:lang w:eastAsia="es-ES"/>
        </w:rPr>
        <w:t>el problema jurídico de su consulta.</w:t>
      </w:r>
      <w:r w:rsidRPr="000952AC">
        <w:rPr>
          <w:rFonts w:ascii="Verdana" w:eastAsia="Calibri" w:hAnsi="Verdana" w:cs="Arial"/>
          <w:color w:val="000000"/>
          <w:lang w:eastAsia="es-ES"/>
        </w:rPr>
        <w:t xml:space="preserve">  </w:t>
      </w:r>
    </w:p>
    <w:p w14:paraId="12B282C0" w14:textId="77777777" w:rsidR="004F2C48" w:rsidRPr="000952AC" w:rsidRDefault="004F2C48" w:rsidP="008F0F67">
      <w:pPr>
        <w:spacing w:after="0" w:line="276" w:lineRule="auto"/>
        <w:ind w:firstLine="709"/>
        <w:jc w:val="both"/>
        <w:rPr>
          <w:rFonts w:ascii="Verdana" w:eastAsia="Calibri" w:hAnsi="Verdana" w:cs="Arial"/>
          <w:color w:val="000000"/>
          <w:lang w:eastAsia="es-ES"/>
        </w:rPr>
      </w:pPr>
    </w:p>
    <w:p w14:paraId="30857C20" w14:textId="77777777" w:rsidR="0095030C" w:rsidRDefault="0095030C" w:rsidP="008F0F67">
      <w:pPr>
        <w:numPr>
          <w:ilvl w:val="0"/>
          <w:numId w:val="16"/>
        </w:numPr>
        <w:spacing w:after="0" w:line="276" w:lineRule="auto"/>
        <w:jc w:val="both"/>
        <w:rPr>
          <w:rFonts w:ascii="Verdana" w:eastAsia="Century Gothic" w:hAnsi="Verdana" w:cs="Century Gothic"/>
          <w:b/>
          <w:bCs/>
        </w:rPr>
      </w:pPr>
      <w:r w:rsidRPr="00C05088">
        <w:rPr>
          <w:rFonts w:ascii="Verdana" w:eastAsia="Century Gothic" w:hAnsi="Verdana" w:cs="Century Gothic"/>
          <w:b/>
          <w:bCs/>
        </w:rPr>
        <w:t>Problema planteado:</w:t>
      </w:r>
    </w:p>
    <w:p w14:paraId="0D3F18BE" w14:textId="77777777" w:rsidR="008F0F67" w:rsidRPr="00C05088" w:rsidRDefault="008F0F67" w:rsidP="008F0F67">
      <w:pPr>
        <w:spacing w:after="0" w:line="276" w:lineRule="auto"/>
        <w:ind w:left="720"/>
        <w:jc w:val="both"/>
        <w:rPr>
          <w:rFonts w:ascii="Verdana" w:eastAsia="Century Gothic" w:hAnsi="Verdana" w:cs="Century Gothic"/>
          <w:b/>
          <w:bCs/>
        </w:rPr>
      </w:pPr>
    </w:p>
    <w:p w14:paraId="0BF7AFBF" w14:textId="77CFB17E" w:rsidR="0095030C" w:rsidRDefault="0095030C" w:rsidP="008F0F67">
      <w:pPr>
        <w:spacing w:after="0" w:line="276" w:lineRule="auto"/>
        <w:jc w:val="both"/>
        <w:rPr>
          <w:rFonts w:ascii="Verdana" w:eastAsia="Century Gothic" w:hAnsi="Verdana" w:cs="Century Gothic"/>
          <w:bCs/>
        </w:rPr>
      </w:pPr>
      <w:r w:rsidRPr="00C05088">
        <w:rPr>
          <w:rFonts w:ascii="Verdana" w:eastAsia="Calibri" w:hAnsi="Verdana" w:cs="Arial"/>
          <w:color w:val="000000"/>
          <w:szCs w:val="24"/>
          <w:lang w:eastAsia="es-ES_tradnl"/>
        </w:rPr>
        <w:t>D</w:t>
      </w:r>
      <w:r w:rsidRPr="00C05088">
        <w:rPr>
          <w:rFonts w:ascii="Verdana" w:eastAsia="Century Gothic" w:hAnsi="Verdana" w:cs="Century Gothic"/>
        </w:rPr>
        <w:t xml:space="preserve">e acuerdo con el contenido de su solicitud, esta Agencia resolverá el siguiente problema jurídico: </w:t>
      </w:r>
      <w:r w:rsidR="00230FB7">
        <w:rPr>
          <w:rFonts w:ascii="Verdana" w:eastAsia="Calibri" w:hAnsi="Verdana" w:cs="Arial"/>
          <w:lang w:eastAsia="es-ES"/>
        </w:rPr>
        <w:t xml:space="preserve">¿Cómo debe aplicarse </w:t>
      </w:r>
      <w:r w:rsidR="00230FB7" w:rsidRPr="00F814ED">
        <w:rPr>
          <w:rFonts w:ascii="Verdana" w:eastAsia="Calibri" w:hAnsi="Verdana" w:cs="Arial"/>
          <w:lang w:eastAsia="es-ES"/>
        </w:rPr>
        <w:t xml:space="preserve">la regla de </w:t>
      </w:r>
      <w:proofErr w:type="spellStart"/>
      <w:r w:rsidR="00230FB7" w:rsidRPr="00F814ED">
        <w:rPr>
          <w:rFonts w:ascii="Verdana" w:eastAsia="Calibri" w:hAnsi="Verdana" w:cs="Arial"/>
          <w:lang w:eastAsia="es-ES"/>
        </w:rPr>
        <w:t>subsanabilidad</w:t>
      </w:r>
      <w:proofErr w:type="spellEnd"/>
      <w:r w:rsidR="00230FB7">
        <w:rPr>
          <w:rFonts w:ascii="Verdana" w:eastAsia="Calibri" w:hAnsi="Verdana" w:cs="Arial"/>
          <w:lang w:eastAsia="es-ES"/>
        </w:rPr>
        <w:t xml:space="preserve"> </w:t>
      </w:r>
      <w:r w:rsidR="00621666" w:rsidRPr="00534481">
        <w:rPr>
          <w:rFonts w:ascii="Verdana" w:hAnsi="Verdana" w:cs="Arial"/>
        </w:rPr>
        <w:t xml:space="preserve">de las ofertas </w:t>
      </w:r>
      <w:r w:rsidR="007C3FA2">
        <w:rPr>
          <w:rFonts w:ascii="Verdana" w:hAnsi="Verdana" w:cs="Arial"/>
        </w:rPr>
        <w:t>según los</w:t>
      </w:r>
      <w:r w:rsidR="00621666" w:rsidRPr="000D3A73">
        <w:rPr>
          <w:rFonts w:ascii="Verdana" w:eastAsia="Century Gothic" w:hAnsi="Verdana" w:cs="Century Gothic"/>
          <w:bCs/>
        </w:rPr>
        <w:t xml:space="preserve"> procedimientos regulados por el </w:t>
      </w:r>
      <w:r w:rsidR="00621666">
        <w:rPr>
          <w:rFonts w:ascii="Verdana" w:eastAsia="Century Gothic" w:hAnsi="Verdana" w:cs="Century Gothic"/>
          <w:bCs/>
        </w:rPr>
        <w:t>Estatuto General de Contratación de la Administración Pública,</w:t>
      </w:r>
      <w:r w:rsidR="00621666" w:rsidRPr="000D3A73">
        <w:rPr>
          <w:rFonts w:ascii="Verdana" w:eastAsia="Century Gothic" w:hAnsi="Verdana" w:cs="Century Gothic"/>
          <w:bCs/>
        </w:rPr>
        <w:t xml:space="preserve"> previst</w:t>
      </w:r>
      <w:r w:rsidR="00621666">
        <w:rPr>
          <w:rFonts w:ascii="Verdana" w:eastAsia="Century Gothic" w:hAnsi="Verdana" w:cs="Century Gothic"/>
          <w:bCs/>
        </w:rPr>
        <w:t>o</w:t>
      </w:r>
      <w:r w:rsidR="00621666" w:rsidRPr="000D3A73">
        <w:rPr>
          <w:rFonts w:ascii="Verdana" w:eastAsia="Century Gothic" w:hAnsi="Verdana" w:cs="Century Gothic"/>
          <w:bCs/>
        </w:rPr>
        <w:t xml:space="preserve"> en los parágrafos 1 al 4 del artículo 5 de la Ley 1150 de 2007, modificado por la Ley 1882 de 2018</w:t>
      </w:r>
      <w:r w:rsidR="00621666">
        <w:rPr>
          <w:rFonts w:ascii="Verdana" w:eastAsia="Century Gothic" w:hAnsi="Verdana" w:cs="Century Gothic"/>
          <w:bCs/>
        </w:rPr>
        <w:t>?</w:t>
      </w:r>
    </w:p>
    <w:p w14:paraId="78ADF65E" w14:textId="77777777" w:rsidR="008F0F67" w:rsidRDefault="008F0F67" w:rsidP="008F0F67">
      <w:pPr>
        <w:spacing w:after="0" w:line="276" w:lineRule="auto"/>
        <w:jc w:val="both"/>
        <w:rPr>
          <w:rFonts w:ascii="Verdana" w:eastAsia="Century Gothic" w:hAnsi="Verdana" w:cs="Century Gothic"/>
        </w:rPr>
      </w:pPr>
    </w:p>
    <w:p w14:paraId="381DD6E1" w14:textId="77777777" w:rsidR="0095030C" w:rsidRDefault="0095030C" w:rsidP="008F0F67">
      <w:pPr>
        <w:numPr>
          <w:ilvl w:val="0"/>
          <w:numId w:val="16"/>
        </w:numPr>
        <w:spacing w:after="0" w:line="276" w:lineRule="auto"/>
        <w:jc w:val="both"/>
        <w:rPr>
          <w:rFonts w:ascii="Verdana" w:eastAsia="Century Gothic" w:hAnsi="Verdana" w:cs="Century Gothic"/>
          <w:b/>
          <w:bCs/>
        </w:rPr>
      </w:pPr>
      <w:r w:rsidRPr="00C05088">
        <w:rPr>
          <w:rFonts w:ascii="Verdana" w:eastAsia="Century Gothic" w:hAnsi="Verdana" w:cs="Century Gothic"/>
          <w:b/>
          <w:bCs/>
        </w:rPr>
        <w:t>Respuesta:</w:t>
      </w:r>
    </w:p>
    <w:p w14:paraId="31585EA8" w14:textId="77777777" w:rsidR="008F0F67" w:rsidRPr="007D4309" w:rsidRDefault="008F0F67" w:rsidP="008F0F67">
      <w:pPr>
        <w:spacing w:after="0" w:line="276" w:lineRule="auto"/>
        <w:ind w:left="360"/>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95030C" w:rsidRPr="000952AC" w14:paraId="2CB38132" w14:textId="77777777" w:rsidTr="000774F1">
        <w:tc>
          <w:tcPr>
            <w:tcW w:w="8828" w:type="dxa"/>
          </w:tcPr>
          <w:p w14:paraId="7D479112" w14:textId="77777777" w:rsidR="00076281" w:rsidRDefault="001710B1" w:rsidP="002C571D">
            <w:pPr>
              <w:spacing w:after="120" w:line="276" w:lineRule="auto"/>
              <w:jc w:val="both"/>
              <w:rPr>
                <w:rFonts w:ascii="Verdana" w:eastAsia="Century Gothic" w:hAnsi="Verdana" w:cs="Century Gothic"/>
                <w:bCs/>
              </w:rPr>
            </w:pPr>
            <w:r>
              <w:rPr>
                <w:rFonts w:ascii="Verdana" w:hAnsi="Verdana" w:cs="Arial"/>
                <w:lang w:val="es-ES"/>
              </w:rPr>
              <w:t>Para dar respuesta al problema jurídico planteado es menester</w:t>
            </w:r>
            <w:r w:rsidR="008E76D7">
              <w:rPr>
                <w:rFonts w:ascii="Verdana" w:hAnsi="Verdana" w:cs="Arial"/>
                <w:lang w:val="es-ES"/>
              </w:rPr>
              <w:t xml:space="preserve"> indicar que</w:t>
            </w:r>
            <w:r w:rsidRPr="001710B1">
              <w:rPr>
                <w:rFonts w:ascii="Verdana" w:hAnsi="Verdana" w:cs="Arial"/>
                <w:lang w:val="es-ES"/>
              </w:rPr>
              <w:t xml:space="preserve">, </w:t>
            </w:r>
            <w:r w:rsidRPr="001710B1">
              <w:rPr>
                <w:rFonts w:ascii="Verdana" w:hAnsi="Verdana" w:cs="Arial"/>
              </w:rPr>
              <w:t xml:space="preserve">la </w:t>
            </w:r>
            <w:proofErr w:type="spellStart"/>
            <w:r w:rsidRPr="001710B1">
              <w:rPr>
                <w:rFonts w:ascii="Verdana" w:hAnsi="Verdana" w:cs="Arial"/>
              </w:rPr>
              <w:t>subsanabilidad</w:t>
            </w:r>
            <w:proofErr w:type="spellEnd"/>
            <w:r w:rsidRPr="001710B1">
              <w:rPr>
                <w:rFonts w:ascii="Verdana" w:hAnsi="Verdana" w:cs="Arial"/>
              </w:rPr>
              <w:t xml:space="preserve"> de las ofertas </w:t>
            </w:r>
            <w:r w:rsidRPr="001710B1">
              <w:rPr>
                <w:rFonts w:ascii="Verdana" w:eastAsia="Century Gothic" w:hAnsi="Verdana" w:cs="Century Gothic"/>
                <w:bCs/>
              </w:rPr>
              <w:t xml:space="preserve">es un mecanismo previsto en los procedimientos regulados por el Estatuto General de Contratación de la Administración Pública, </w:t>
            </w:r>
            <w:r w:rsidR="00FD40D1">
              <w:rPr>
                <w:rFonts w:ascii="Verdana" w:eastAsia="Century Gothic" w:hAnsi="Verdana" w:cs="Century Gothic"/>
                <w:bCs/>
              </w:rPr>
              <w:t>consagrado</w:t>
            </w:r>
            <w:r w:rsidRPr="001710B1">
              <w:rPr>
                <w:rFonts w:ascii="Verdana" w:eastAsia="Century Gothic" w:hAnsi="Verdana" w:cs="Century Gothic"/>
                <w:bCs/>
              </w:rPr>
              <w:t xml:space="preserve"> en los parágrafos 1 al 4 del artículo 5 de la Ley 1150 de 2007, modificado por la Ley 1882 de 2018, que permite que los proponentes </w:t>
            </w:r>
            <w:r w:rsidRPr="001710B1">
              <w:rPr>
                <w:rFonts w:ascii="Verdana" w:eastAsia="Century Gothic" w:hAnsi="Verdana" w:cs="Century Gothic"/>
                <w:bCs/>
              </w:rPr>
              <w:lastRenderedPageBreak/>
              <w:t xml:space="preserve">puedan enmendar, corregir o modificar los errores en los documentos de la oferta respecto a los requisitos habilitantes o aquellos que no son necesarios para la comparación de las ofertas. </w:t>
            </w:r>
          </w:p>
          <w:p w14:paraId="2E69D0F7" w14:textId="281C43A1" w:rsidR="001710B1" w:rsidRPr="001710B1" w:rsidRDefault="001710B1" w:rsidP="001710B1">
            <w:pPr>
              <w:spacing w:after="120" w:line="276" w:lineRule="auto"/>
              <w:ind w:firstLine="709"/>
              <w:jc w:val="both"/>
              <w:rPr>
                <w:rFonts w:ascii="Verdana" w:hAnsi="Verdana" w:cs="Arial"/>
              </w:rPr>
            </w:pPr>
            <w:r w:rsidRPr="001710B1">
              <w:rPr>
                <w:rFonts w:ascii="Verdana" w:eastAsia="Century Gothic" w:hAnsi="Verdana" w:cs="Century Gothic"/>
                <w:bCs/>
              </w:rPr>
              <w:t xml:space="preserve">En ese </w:t>
            </w:r>
            <w:r w:rsidR="00076281">
              <w:rPr>
                <w:rFonts w:ascii="Verdana" w:eastAsia="Century Gothic" w:hAnsi="Verdana" w:cs="Century Gothic"/>
                <w:bCs/>
              </w:rPr>
              <w:t>sentido</w:t>
            </w:r>
            <w:r w:rsidRPr="001710B1">
              <w:rPr>
                <w:rFonts w:ascii="Verdana" w:eastAsia="Century Gothic" w:hAnsi="Verdana" w:cs="Century Gothic"/>
                <w:bCs/>
              </w:rPr>
              <w:t>, conforme a la norma señalada, los requisitos habilitantes dentro de los procesos de contratación, como regla general, son subsanables siempre y cuando estos no afecten la asignación de puntaje.</w:t>
            </w:r>
            <w:r w:rsidRPr="001710B1">
              <w:rPr>
                <w:rFonts w:ascii="Verdana" w:hAnsi="Verdana" w:cs="Arial"/>
              </w:rPr>
              <w:t xml:space="preserve"> La facultad de subsanar las ofertas tiene como finalidad asegurar que prevalezca el fondo sobre la forma dentro de los procesos de contratación fortaleciendo la competencia real en los procedimientos de selección.</w:t>
            </w:r>
          </w:p>
          <w:p w14:paraId="2C825FC9" w14:textId="77777777" w:rsidR="001710B1" w:rsidRPr="00AF3623" w:rsidRDefault="001710B1" w:rsidP="00AF3623">
            <w:pPr>
              <w:spacing w:after="120" w:line="276" w:lineRule="auto"/>
              <w:ind w:firstLine="709"/>
              <w:jc w:val="both"/>
              <w:rPr>
                <w:rFonts w:ascii="Verdana" w:hAnsi="Verdana" w:cs="Arial"/>
              </w:rPr>
            </w:pPr>
            <w:r w:rsidRPr="00AF3623">
              <w:rPr>
                <w:rFonts w:ascii="Verdana" w:hAnsi="Verdana" w:cs="Arial"/>
              </w:rPr>
              <w:t xml:space="preserve">Ahora bien, en torno a aclaraciones de la propuesta, se recomienda requerir al proponente con el fin de que presente las aclaraciones que sean pertinentes, atendiendo los postulados previstos en el numeral 7 del artículo 30 de la Ley 80 de 1993, esto con el fin de verificar si el requerimiento es sujeto de aclaración por parte del proponente, evento en el cual y previo análisis de la entidad contratante, considere sí es procedente aclararlo. </w:t>
            </w:r>
          </w:p>
          <w:p w14:paraId="20A16382" w14:textId="77777777" w:rsidR="001710B1" w:rsidRPr="00AF3623" w:rsidRDefault="001710B1" w:rsidP="00AF3623">
            <w:pPr>
              <w:spacing w:after="120" w:line="276" w:lineRule="auto"/>
              <w:ind w:firstLine="709"/>
              <w:jc w:val="both"/>
              <w:rPr>
                <w:rFonts w:ascii="Verdana" w:eastAsia="Arial" w:hAnsi="Verdana" w:cs="Arial"/>
                <w:color w:val="000000" w:themeColor="text1"/>
              </w:rPr>
            </w:pPr>
            <w:r w:rsidRPr="00AF3623">
              <w:rPr>
                <w:rFonts w:ascii="Verdana" w:eastAsia="Arial" w:hAnsi="Verdana" w:cs="Arial"/>
                <w:color w:val="000000" w:themeColor="text1"/>
              </w:rPr>
              <w:t xml:space="preserve">Visto lo anterior, una vez verificada la ausencia de requisitos y/o documentos de la oferta, para efectos de saber si se pueden subsanar, la Administración se debe preguntar, en primer lugar, si lo que hace falta es un documento que afecte la asignación de puntaje o no y, en segundo lugar, si el cumplimiento del requisito constituye una circunstancia ocurrida con anterioridad o con posterioridad al cierre del proceso. </w:t>
            </w:r>
          </w:p>
          <w:p w14:paraId="6A73429F" w14:textId="77777777" w:rsidR="001710B1" w:rsidRPr="00E861D3" w:rsidRDefault="001710B1" w:rsidP="00E861D3">
            <w:pPr>
              <w:spacing w:before="120" w:after="120" w:line="276" w:lineRule="auto"/>
              <w:ind w:firstLine="709"/>
              <w:jc w:val="both"/>
              <w:rPr>
                <w:rFonts w:ascii="Verdana" w:eastAsia="Arial" w:hAnsi="Verdana" w:cs="Arial"/>
                <w:color w:val="000000" w:themeColor="text1"/>
              </w:rPr>
            </w:pPr>
            <w:r w:rsidRPr="00E861D3">
              <w:rPr>
                <w:rFonts w:ascii="Verdana" w:eastAsia="Arial" w:hAnsi="Verdana" w:cs="Arial"/>
                <w:color w:val="000000" w:themeColor="text1"/>
              </w:rPr>
              <w:t>En consecuencia, la subsanación de los documentos que no se entregaron con la oferta es jurídicamente procedente siempre que el defecto u omisión no afecte la asignación de puntaje ni la comparación de las ofertas; y que la documentación que pruebe el cumplimiento del requisito sea solicitada por la entidad y entregada por el proponente dentro del plazo máximo previsto por la ley, esto es, hasta el término de traslado del informe de evaluación correspondiente a cada modalidad, en observancia de lo dispuesto en el artículo 5 de la Ley 1150 de 2007, modificado por la Ley 1882 de 2018, y la reglamentación aplicable.</w:t>
            </w:r>
          </w:p>
          <w:p w14:paraId="62CFCA24" w14:textId="77777777" w:rsidR="001710B1" w:rsidRPr="00E521B8" w:rsidRDefault="001710B1" w:rsidP="00E521B8">
            <w:pPr>
              <w:spacing w:after="120" w:line="276" w:lineRule="auto"/>
              <w:ind w:firstLine="709"/>
              <w:jc w:val="both"/>
              <w:rPr>
                <w:rFonts w:ascii="Verdana" w:hAnsi="Verdana" w:cs="Arial"/>
              </w:rPr>
            </w:pPr>
            <w:r w:rsidRPr="00E521B8">
              <w:rPr>
                <w:rFonts w:ascii="Verdana" w:hAnsi="Verdana" w:cs="Arial"/>
              </w:rPr>
              <w:t xml:space="preserve">Por ejemplo, la oferta económica es un criterio ponderable y se le asigna un puntaje, por lo que no es susceptible de subsanación. Sin embargo, se pueden realizar aclaraciones sobre aspectos meramente formales, pero no </w:t>
            </w:r>
            <w:r w:rsidRPr="00E521B8">
              <w:rPr>
                <w:rFonts w:ascii="Verdana" w:hAnsi="Verdana" w:cs="Arial"/>
              </w:rPr>
              <w:lastRenderedPageBreak/>
              <w:t>sobre requisitos esenciales del pliego de condiciones ni sobre factores calificables, como es el componente económico.</w:t>
            </w:r>
          </w:p>
          <w:p w14:paraId="588AB4FF" w14:textId="77777777" w:rsidR="001710B1" w:rsidRPr="002809EB" w:rsidRDefault="001710B1" w:rsidP="002809EB">
            <w:pPr>
              <w:spacing w:after="120" w:line="276" w:lineRule="auto"/>
              <w:ind w:firstLine="709"/>
              <w:jc w:val="both"/>
              <w:rPr>
                <w:rFonts w:ascii="Verdana" w:hAnsi="Verdana" w:cs="Arial"/>
              </w:rPr>
            </w:pPr>
            <w:r w:rsidRPr="002809EB">
              <w:rPr>
                <w:rFonts w:ascii="Verdana" w:eastAsia="Batang" w:hAnsi="Verdana" w:cs="Arial"/>
              </w:rPr>
              <w:t xml:space="preserve">Igualmente, en el ámbito de las reglas de </w:t>
            </w:r>
            <w:proofErr w:type="spellStart"/>
            <w:r w:rsidRPr="002809EB">
              <w:rPr>
                <w:rFonts w:ascii="Verdana" w:eastAsia="Batang" w:hAnsi="Verdana" w:cs="Arial"/>
              </w:rPr>
              <w:t>subsanabilidad</w:t>
            </w:r>
            <w:proofErr w:type="spellEnd"/>
            <w:r w:rsidRPr="002809EB">
              <w:rPr>
                <w:rFonts w:ascii="Verdana" w:eastAsia="Batang" w:hAnsi="Verdana" w:cs="Arial"/>
              </w:rPr>
              <w:t xml:space="preserve">, es importante traer a colación </w:t>
            </w:r>
            <w:r w:rsidRPr="002809EB">
              <w:rPr>
                <w:rFonts w:ascii="Verdana" w:hAnsi="Verdana" w:cs="Arial"/>
              </w:rPr>
              <w:t>el principio constitucional de prevalencia del derecho sustancial sobre las formas. Al respecto, la Corte Constitucional ha señalado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B10A68">
              <w:rPr>
                <w:vertAlign w:val="superscript"/>
              </w:rPr>
              <w:footnoteReference w:id="1"/>
            </w:r>
            <w:r w:rsidRPr="002809EB">
              <w:rPr>
                <w:rFonts w:ascii="Verdana" w:hAnsi="Verdana" w:cs="Arial"/>
              </w:rPr>
              <w:t>. Ese fue el sentido que inspiró la Sentencia C-029 de 1995, mediante la cual la Corte Constitucional declaró exequible el artículo 4º del Código de Procedimiento Civil, argumentando, además, que el artículo 228 de la Constitución reconoce que “prevalecerá el derecho sustancial”, con lo que también está reconociendo, según el tribunal constitucional, que el fin de los procedimientos es la realización de los derechos consagrados en abstracto por el derecho objetivo.</w:t>
            </w:r>
          </w:p>
          <w:p w14:paraId="2945C670" w14:textId="69BCC0BA" w:rsidR="00170C47" w:rsidRDefault="00BC21E1" w:rsidP="00BF379E">
            <w:pPr>
              <w:spacing w:after="120" w:line="276" w:lineRule="auto"/>
              <w:ind w:firstLine="709"/>
              <w:jc w:val="both"/>
              <w:rPr>
                <w:rFonts w:ascii="Verdana" w:hAnsi="Verdana" w:cs="Arial"/>
              </w:rPr>
            </w:pPr>
            <w:r>
              <w:rPr>
                <w:rFonts w:ascii="Verdana" w:hAnsi="Verdana" w:cs="Arial"/>
              </w:rPr>
              <w:t>L</w:t>
            </w:r>
            <w:r w:rsidR="001710B1" w:rsidRPr="00BF379E">
              <w:rPr>
                <w:rFonts w:ascii="Verdana" w:hAnsi="Verdana" w:cs="Arial"/>
              </w:rPr>
              <w:t xml:space="preserve">a falta de documentos puede ser materia de estipulación de causales de rechazo en los pliegos de condiciones, pero teniendo en cuenta que </w:t>
            </w:r>
            <w:r w:rsidR="001710B1" w:rsidRPr="00BF379E">
              <w:rPr>
                <w:rFonts w:ascii="Verdana" w:eastAsia="Arial" w:hAnsi="Verdana" w:cs="Arial"/>
              </w:rPr>
              <w:t>las entidades no podrán establecer causales de rechazo referentes a meros requisitos formales o rechazar las ofertas por esa razón</w:t>
            </w:r>
            <w:r w:rsidR="001710B1" w:rsidRPr="00BF379E">
              <w:rPr>
                <w:rFonts w:ascii="Verdana" w:hAnsi="Verdana" w:cs="Arial"/>
              </w:rPr>
              <w:t xml:space="preserve">. </w:t>
            </w:r>
          </w:p>
          <w:p w14:paraId="07DFB871" w14:textId="263214FA" w:rsidR="0095030C" w:rsidRPr="00170C47" w:rsidRDefault="00170C47" w:rsidP="00170C47">
            <w:pPr>
              <w:spacing w:line="276" w:lineRule="auto"/>
              <w:ind w:firstLine="720"/>
              <w:contextualSpacing/>
              <w:jc w:val="both"/>
              <w:rPr>
                <w:rFonts w:ascii="Verdana" w:eastAsia="Arial" w:hAnsi="Verdana" w:cs="Arial"/>
                <w:color w:val="000000" w:themeColor="text1"/>
                <w:lang w:val="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xml:space="preserve">, cada entidad definirá la forma de adelantar su gestión contractual, sin que sea atribución de Colombia Compra Eficiente validar </w:t>
            </w:r>
            <w:r>
              <w:rPr>
                <w:rFonts w:ascii="Verdana" w:hAnsi="Verdana" w:cs="Arial"/>
                <w:lang w:eastAsia="es-ES"/>
              </w:rPr>
              <w:t>estas</w:t>
            </w:r>
            <w:r w:rsidRPr="00301910">
              <w:rPr>
                <w:rFonts w:ascii="Verdana" w:hAnsi="Verdana" w:cs="Arial"/>
                <w:lang w:eastAsia="es-ES"/>
              </w:rPr>
              <w:t xml:space="preserve"> actuaciones</w:t>
            </w:r>
            <w:r w:rsidR="001710B1" w:rsidRPr="00BF379E">
              <w:rPr>
                <w:rFonts w:ascii="Verdana" w:hAnsi="Verdana" w:cs="Arial"/>
              </w:rPr>
              <w:t>.</w:t>
            </w:r>
          </w:p>
        </w:tc>
      </w:tr>
    </w:tbl>
    <w:p w14:paraId="7D703334" w14:textId="77777777" w:rsidR="0095030C" w:rsidRPr="000952AC" w:rsidRDefault="0095030C" w:rsidP="0095030C">
      <w:pPr>
        <w:tabs>
          <w:tab w:val="left" w:pos="142"/>
          <w:tab w:val="left" w:pos="284"/>
        </w:tabs>
        <w:spacing w:after="0" w:line="276" w:lineRule="auto"/>
        <w:jc w:val="both"/>
        <w:rPr>
          <w:rFonts w:ascii="Verdana" w:eastAsia="Century Gothic" w:hAnsi="Verdana" w:cs="Century Gothic"/>
          <w:b/>
          <w:bCs/>
        </w:rPr>
      </w:pPr>
    </w:p>
    <w:p w14:paraId="54693C23" w14:textId="77777777" w:rsidR="0095030C" w:rsidRPr="000952AC" w:rsidRDefault="0095030C" w:rsidP="0095030C">
      <w:pPr>
        <w:tabs>
          <w:tab w:val="left" w:pos="142"/>
          <w:tab w:val="left" w:pos="284"/>
        </w:tabs>
        <w:spacing w:after="0" w:line="276" w:lineRule="auto"/>
        <w:jc w:val="both"/>
        <w:rPr>
          <w:rFonts w:ascii="Verdana" w:eastAsia="Century Gothic" w:hAnsi="Verdana" w:cs="Century Gothic"/>
          <w:b/>
          <w:bCs/>
        </w:rPr>
      </w:pPr>
      <w:r w:rsidRPr="000952AC">
        <w:rPr>
          <w:rFonts w:ascii="Verdana" w:eastAsia="Century Gothic" w:hAnsi="Verdana" w:cs="Century Gothic"/>
          <w:b/>
          <w:bCs/>
        </w:rPr>
        <w:t>3. Razones de la respuesta:</w:t>
      </w:r>
    </w:p>
    <w:p w14:paraId="6434FA6E" w14:textId="77777777" w:rsidR="0095030C" w:rsidRDefault="0095030C" w:rsidP="0095030C">
      <w:pPr>
        <w:tabs>
          <w:tab w:val="left" w:pos="142"/>
          <w:tab w:val="left" w:pos="284"/>
        </w:tabs>
        <w:spacing w:after="0" w:line="276" w:lineRule="auto"/>
        <w:jc w:val="both"/>
        <w:rPr>
          <w:rFonts w:ascii="Verdana" w:eastAsia="Calibri" w:hAnsi="Verdana" w:cs="Arial"/>
        </w:rPr>
      </w:pPr>
    </w:p>
    <w:p w14:paraId="5F78477E" w14:textId="77777777" w:rsidR="0095030C" w:rsidRDefault="0095030C" w:rsidP="0095030C">
      <w:pPr>
        <w:tabs>
          <w:tab w:val="left" w:pos="142"/>
          <w:tab w:val="left" w:pos="284"/>
        </w:tabs>
        <w:spacing w:after="0" w:line="276" w:lineRule="auto"/>
        <w:jc w:val="both"/>
        <w:rPr>
          <w:rFonts w:ascii="Verdana" w:eastAsia="Calibri" w:hAnsi="Verdana" w:cs="Arial"/>
        </w:rPr>
      </w:pPr>
      <w:r w:rsidRPr="000952AC">
        <w:rPr>
          <w:rFonts w:ascii="Verdana" w:eastAsia="Calibri" w:hAnsi="Verdana" w:cs="Arial"/>
        </w:rPr>
        <w:t xml:space="preserve">Lo anterior se sustenta en las siguientes consideraciones: </w:t>
      </w:r>
    </w:p>
    <w:p w14:paraId="7A373919" w14:textId="77777777" w:rsidR="00107E38" w:rsidRPr="00B10A68" w:rsidRDefault="00107E38" w:rsidP="00107E38">
      <w:pPr>
        <w:spacing w:before="240" w:after="120" w:line="276" w:lineRule="auto"/>
        <w:ind w:firstLine="709"/>
        <w:jc w:val="both"/>
        <w:rPr>
          <w:rFonts w:ascii="Verdana" w:eastAsia="Times New Roman" w:hAnsi="Verdana" w:cs="Arial"/>
          <w:lang w:val="es-ES_tradnl" w:eastAsia="es-ES_tradnl"/>
        </w:rPr>
      </w:pPr>
      <w:r w:rsidRPr="00B10A68">
        <w:rPr>
          <w:rFonts w:ascii="Verdana" w:eastAsia="Calibri" w:hAnsi="Verdana" w:cs="Arial"/>
          <w:noProof/>
          <w:lang w:val="es-ES_tradnl"/>
        </w:rPr>
        <w:lastRenderedPageBreak/>
        <w:t>L</w:t>
      </w:r>
      <w:r w:rsidRPr="00B10A68">
        <w:rPr>
          <w:rFonts w:ascii="Verdana" w:eastAsia="Times New Roman" w:hAnsi="Verdana" w:cs="Arial"/>
        </w:rPr>
        <w:t xml:space="preserve">a regla de la </w:t>
      </w:r>
      <w:proofErr w:type="spellStart"/>
      <w:r w:rsidRPr="00B10A68">
        <w:rPr>
          <w:rFonts w:ascii="Verdana" w:eastAsia="Times New Roman" w:hAnsi="Verdana" w:cs="Arial"/>
        </w:rPr>
        <w:t>subsanabilidad</w:t>
      </w:r>
      <w:proofErr w:type="spellEnd"/>
      <w:r w:rsidRPr="00B10A68">
        <w:rPr>
          <w:rFonts w:ascii="Verdana" w:eastAsia="Times New Roman" w:hAnsi="Verdana" w:cs="Arial"/>
        </w:rPr>
        <w:t xml:space="preserve"> de las ofertas en los procedimientos de selección</w:t>
      </w:r>
      <w:r w:rsidRPr="00B10A68">
        <w:rPr>
          <w:rFonts w:ascii="Verdana" w:eastAsia="Times New Roman" w:hAnsi="Verdana" w:cs="Arial"/>
          <w:b/>
          <w:bCs/>
        </w:rPr>
        <w:t xml:space="preserve"> </w:t>
      </w:r>
      <w:r w:rsidRPr="00B10A68">
        <w:rPr>
          <w:rFonts w:ascii="Verdana" w:eastAsia="Times New Roman" w:hAnsi="Verdana" w:cs="Arial"/>
          <w:lang w:val="es-ES_tradnl" w:eastAsia="es-ES_tradnl"/>
        </w:rPr>
        <w:t>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33967602" w14:textId="77777777" w:rsidR="00107E38" w:rsidRPr="00B10A68" w:rsidRDefault="00107E38" w:rsidP="00107E38">
      <w:pPr>
        <w:spacing w:after="120" w:line="276" w:lineRule="auto"/>
        <w:ind w:firstLine="708"/>
        <w:jc w:val="both"/>
        <w:rPr>
          <w:rFonts w:ascii="Verdana" w:eastAsia="Times New Roman" w:hAnsi="Verdana" w:cs="Arial"/>
          <w:lang w:val="es-ES" w:eastAsia="es-ES"/>
        </w:rPr>
      </w:pPr>
      <w:r w:rsidRPr="00B10A68">
        <w:rPr>
          <w:rFonts w:ascii="Verdana" w:eastAsia="Times New Roman" w:hAnsi="Verdana" w:cs="Arial"/>
          <w:lang w:val="es-ES_tradnl" w:eastAsia="es-ES_tradnl"/>
        </w:rPr>
        <w:t>La posibilidad de enmendar, corregir o subsanar los errores en los que se incurre en los documentos contentivos de la oferta es un tema que ha tenido diferentes momentos o etapas en el ordenamiento jurídico colombiano, momentos que se han expuesto de manera detallada en conceptos como el C-285 del 20 de mayo de 2022</w:t>
      </w:r>
      <w:r w:rsidRPr="00B10A68">
        <w:rPr>
          <w:rFonts w:ascii="Verdana" w:eastAsia="Times New Roman" w:hAnsi="Verdana" w:cs="Arial"/>
          <w:vertAlign w:val="superscript"/>
          <w:lang w:val="es-ES_tradnl" w:eastAsia="es-ES_tradnl"/>
        </w:rPr>
        <w:footnoteReference w:id="2"/>
      </w:r>
      <w:r w:rsidRPr="00B10A68">
        <w:rPr>
          <w:rFonts w:ascii="Verdana" w:eastAsia="Times New Roman" w:hAnsi="Verdana" w:cs="Arial"/>
          <w:lang w:val="es-ES_tradnl" w:eastAsia="es-ES_tradnl"/>
        </w:rPr>
        <w:t xml:space="preserve"> o el C-447 del 19 de septiembre de 2024</w:t>
      </w:r>
      <w:r w:rsidRPr="00B10A68">
        <w:rPr>
          <w:rFonts w:ascii="Verdana" w:eastAsia="Times New Roman" w:hAnsi="Verdana" w:cs="Arial"/>
          <w:vertAlign w:val="superscript"/>
          <w:lang w:val="es-ES_tradnl" w:eastAsia="es-ES_tradnl"/>
        </w:rPr>
        <w:footnoteReference w:id="3"/>
      </w:r>
      <w:r w:rsidRPr="00B10A68">
        <w:rPr>
          <w:rFonts w:ascii="Verdana" w:eastAsia="Times New Roman" w:hAnsi="Verdana" w:cs="Arial"/>
          <w:lang w:val="es-ES_tradnl" w:eastAsia="es-ES_tradnl"/>
        </w:rPr>
        <w:t xml:space="preserve"> los cuales, en el evento en que tenga interés, podrá consultar en los enlaces de la nota al pie. Sin embargo</w:t>
      </w:r>
      <w:r w:rsidRPr="00B10A68">
        <w:rPr>
          <w:rFonts w:ascii="Verdana" w:eastAsia="Times New Roman" w:hAnsi="Verdana" w:cs="Arial"/>
          <w:lang w:val="es-ES" w:eastAsia="es-ES"/>
        </w:rPr>
        <w:t xml:space="preserve">, a continuación, se hará referencia particularmente al último momento, que refleja la postura vigente en torno a la </w:t>
      </w:r>
      <w:proofErr w:type="spellStart"/>
      <w:r w:rsidRPr="00B10A68">
        <w:rPr>
          <w:rFonts w:ascii="Verdana" w:eastAsia="Times New Roman" w:hAnsi="Verdana" w:cs="Arial"/>
          <w:lang w:val="es-ES" w:eastAsia="es-ES"/>
        </w:rPr>
        <w:t>subsanabilidad</w:t>
      </w:r>
      <w:proofErr w:type="spellEnd"/>
      <w:r w:rsidRPr="00B10A68">
        <w:rPr>
          <w:rFonts w:ascii="Verdana" w:eastAsia="Times New Roman" w:hAnsi="Verdana" w:cs="Arial"/>
          <w:lang w:val="es-ES" w:eastAsia="es-ES"/>
        </w:rPr>
        <w:t>:</w:t>
      </w:r>
    </w:p>
    <w:p w14:paraId="2E3A035E" w14:textId="77777777" w:rsidR="00107E38" w:rsidRPr="00B10A68" w:rsidRDefault="00107E38" w:rsidP="00107E38">
      <w:pPr>
        <w:tabs>
          <w:tab w:val="left" w:pos="284"/>
        </w:tabs>
        <w:spacing w:after="0" w:line="276" w:lineRule="auto"/>
        <w:ind w:firstLine="709"/>
        <w:jc w:val="both"/>
        <w:rPr>
          <w:rFonts w:ascii="Verdana" w:eastAsia="Times New Roman" w:hAnsi="Verdana" w:cs="Arial"/>
          <w:lang w:val="es-ES_tradnl" w:eastAsia="es-CO"/>
        </w:rPr>
      </w:pPr>
      <w:r w:rsidRPr="00B10A68">
        <w:rPr>
          <w:rFonts w:ascii="Verdana" w:eastAsia="Times New Roman" w:hAnsi="Verdana" w:cs="Arial"/>
          <w:lang w:val="es-ES_tradnl" w:eastAsia="es-ES_tradnl"/>
        </w:rPr>
        <w:t xml:space="preserve">La expedición de la Ley </w:t>
      </w:r>
      <w:r w:rsidRPr="00B10A68">
        <w:rPr>
          <w:rFonts w:ascii="Verdana" w:eastAsia="Times New Roman" w:hAnsi="Verdana" w:cs="Arial"/>
          <w:lang w:val="es-ES_tradnl" w:eastAsia="es-CO"/>
        </w:rPr>
        <w:t xml:space="preserve">1882 de 2018 tuvo por finalidad la de introducir cambios y ajustes para fortalecer la contratación pública. En ese orden, mediante su artículo 5 modificó el parágrafo 1º y adicionó algunos otros, entre ellos el 3° y 4° del artículo 5 de la Ley 1150 de 2007, en los siguientes términos: </w:t>
      </w:r>
    </w:p>
    <w:p w14:paraId="02A0026C" w14:textId="77777777" w:rsidR="00107E38" w:rsidRPr="00B10A68" w:rsidRDefault="00107E38" w:rsidP="00107E38">
      <w:pPr>
        <w:spacing w:after="0" w:line="276" w:lineRule="auto"/>
        <w:ind w:left="709" w:right="709"/>
        <w:jc w:val="both"/>
        <w:rPr>
          <w:rFonts w:ascii="Verdana" w:eastAsia="Times New Roman" w:hAnsi="Verdana" w:cs="Arial"/>
          <w:lang w:val="es-ES_tradnl" w:eastAsia="es-CO"/>
        </w:rPr>
      </w:pPr>
    </w:p>
    <w:p w14:paraId="4F899178" w14:textId="77777777" w:rsidR="00107E38" w:rsidRPr="00B10A68" w:rsidRDefault="00107E38" w:rsidP="00107E38">
      <w:pPr>
        <w:spacing w:after="0" w:line="240" w:lineRule="auto"/>
        <w:ind w:left="709" w:right="709"/>
        <w:jc w:val="both"/>
        <w:rPr>
          <w:rFonts w:ascii="Verdana" w:eastAsia="Times New Roman" w:hAnsi="Verdana" w:cs="Arial"/>
          <w:sz w:val="20"/>
          <w:szCs w:val="20"/>
          <w:lang w:val="es-ES_tradnl" w:eastAsia="es-CO"/>
        </w:rPr>
      </w:pPr>
      <w:r w:rsidRPr="00B10A68">
        <w:rPr>
          <w:rFonts w:ascii="Verdana" w:eastAsia="Times New Roman" w:hAnsi="Verdana" w:cs="Arial"/>
          <w:sz w:val="20"/>
          <w:szCs w:val="20"/>
          <w:lang w:val="es-ES_tradnl" w:eastAsia="es-CO"/>
        </w:rPr>
        <w:t xml:space="preserve">“Artículo 5°. De la selección objetiva. </w:t>
      </w:r>
    </w:p>
    <w:p w14:paraId="6B9E9730" w14:textId="77777777" w:rsidR="00107E38" w:rsidRPr="00B10A68" w:rsidRDefault="00107E38" w:rsidP="00107E38">
      <w:pPr>
        <w:spacing w:after="0" w:line="240" w:lineRule="auto"/>
        <w:ind w:left="709" w:right="709"/>
        <w:jc w:val="both"/>
        <w:textAlignment w:val="baseline"/>
        <w:rPr>
          <w:rFonts w:ascii="Verdana" w:eastAsia="Times New Roman" w:hAnsi="Verdana" w:cs="Arial"/>
          <w:color w:val="000000"/>
          <w:sz w:val="20"/>
          <w:szCs w:val="20"/>
          <w:lang w:val="es-ES" w:eastAsia="es-ES_tradnl"/>
        </w:rPr>
      </w:pPr>
    </w:p>
    <w:p w14:paraId="3E1B012D" w14:textId="77777777" w:rsidR="00107E38" w:rsidRPr="00B10A68" w:rsidRDefault="00107E38" w:rsidP="00107E38">
      <w:pPr>
        <w:spacing w:after="0" w:line="240" w:lineRule="auto"/>
        <w:ind w:left="709" w:right="709"/>
        <w:jc w:val="both"/>
        <w:textAlignment w:val="baseline"/>
        <w:rPr>
          <w:rFonts w:ascii="Verdana" w:eastAsia="Times New Roman" w:hAnsi="Verdana" w:cs="Segoe UI"/>
          <w:sz w:val="20"/>
          <w:szCs w:val="20"/>
          <w:lang w:eastAsia="es-ES_tradnl"/>
        </w:rPr>
      </w:pPr>
      <w:r w:rsidRPr="00B10A68">
        <w:rPr>
          <w:rFonts w:ascii="Verdana" w:eastAsia="Times New Roman" w:hAnsi="Verdana" w:cs="Arial"/>
          <w:color w:val="000000"/>
          <w:sz w:val="20"/>
          <w:szCs w:val="20"/>
          <w:lang w:val="es-ES" w:eastAsia="es-ES_tradnl"/>
        </w:rPr>
        <w:t>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r w:rsidRPr="00B10A68">
        <w:rPr>
          <w:rFonts w:ascii="Verdana" w:eastAsia="Arial" w:hAnsi="Verdana" w:cs="Times New Roman"/>
          <w:color w:val="000000"/>
          <w:sz w:val="20"/>
          <w:szCs w:val="20"/>
          <w:lang w:eastAsia="es-ES_tradnl"/>
        </w:rPr>
        <w:t> </w:t>
      </w:r>
    </w:p>
    <w:p w14:paraId="2D08F530" w14:textId="77777777" w:rsidR="00107E38" w:rsidRPr="00B10A68" w:rsidRDefault="00107E38" w:rsidP="00107E38">
      <w:pPr>
        <w:spacing w:after="0" w:line="240" w:lineRule="auto"/>
        <w:ind w:left="709" w:right="709"/>
        <w:jc w:val="both"/>
        <w:textAlignment w:val="baseline"/>
        <w:rPr>
          <w:rFonts w:ascii="Verdana" w:eastAsia="Times New Roman" w:hAnsi="Verdana" w:cs="Segoe UI"/>
          <w:sz w:val="20"/>
          <w:szCs w:val="20"/>
          <w:lang w:eastAsia="es-ES_tradnl"/>
        </w:rPr>
      </w:pPr>
      <w:r w:rsidRPr="00B10A68">
        <w:rPr>
          <w:rFonts w:ascii="Verdana" w:eastAsia="Arial" w:hAnsi="Verdana" w:cs="Times New Roman"/>
          <w:color w:val="000000"/>
          <w:sz w:val="20"/>
          <w:szCs w:val="20"/>
          <w:lang w:eastAsia="es-ES_tradnl"/>
        </w:rPr>
        <w:t> </w:t>
      </w:r>
    </w:p>
    <w:p w14:paraId="4BB3041C" w14:textId="77777777" w:rsidR="00107E38" w:rsidRPr="00B10A68" w:rsidRDefault="00107E38" w:rsidP="00107E38">
      <w:pPr>
        <w:spacing w:after="0" w:line="240" w:lineRule="auto"/>
        <w:ind w:left="709" w:right="709"/>
        <w:jc w:val="both"/>
        <w:textAlignment w:val="baseline"/>
        <w:rPr>
          <w:rFonts w:ascii="Verdana" w:eastAsia="Times New Roman" w:hAnsi="Verdana" w:cs="Segoe UI"/>
          <w:sz w:val="20"/>
          <w:szCs w:val="20"/>
          <w:lang w:eastAsia="es-ES_tradnl"/>
        </w:rPr>
      </w:pPr>
      <w:r w:rsidRPr="00B10A68">
        <w:rPr>
          <w:rFonts w:ascii="Verdana" w:eastAsia="Times New Roman" w:hAnsi="Verdana" w:cs="Arial"/>
          <w:color w:val="000000"/>
          <w:sz w:val="20"/>
          <w:szCs w:val="20"/>
          <w:lang w:val="es-ES" w:eastAsia="es-ES_tradnl"/>
        </w:rPr>
        <w:t>(…)</w:t>
      </w:r>
    </w:p>
    <w:p w14:paraId="2DB17F90" w14:textId="77777777" w:rsidR="00107E38" w:rsidRPr="00B10A68" w:rsidRDefault="00107E38" w:rsidP="00107E38">
      <w:pPr>
        <w:spacing w:after="0" w:line="240" w:lineRule="auto"/>
        <w:ind w:left="709" w:right="709"/>
        <w:jc w:val="both"/>
        <w:textAlignment w:val="baseline"/>
        <w:rPr>
          <w:rFonts w:ascii="Verdana" w:eastAsia="Times New Roman" w:hAnsi="Verdana" w:cs="Segoe UI"/>
          <w:sz w:val="20"/>
          <w:szCs w:val="20"/>
          <w:lang w:eastAsia="es-ES_tradnl"/>
        </w:rPr>
      </w:pPr>
      <w:r w:rsidRPr="00B10A68">
        <w:rPr>
          <w:rFonts w:ascii="Verdana" w:eastAsia="Arial" w:hAnsi="Verdana" w:cs="Times New Roman"/>
          <w:color w:val="000000"/>
          <w:sz w:val="20"/>
          <w:szCs w:val="20"/>
          <w:lang w:eastAsia="es-ES_tradnl"/>
        </w:rPr>
        <w:t> </w:t>
      </w:r>
    </w:p>
    <w:p w14:paraId="0D77858B" w14:textId="77777777" w:rsidR="00107E38" w:rsidRPr="00B10A68" w:rsidRDefault="00107E38" w:rsidP="00107E38">
      <w:pPr>
        <w:spacing w:after="0" w:line="240" w:lineRule="auto"/>
        <w:ind w:left="709" w:right="709"/>
        <w:jc w:val="both"/>
        <w:textAlignment w:val="baseline"/>
        <w:rPr>
          <w:rFonts w:ascii="Verdana" w:eastAsia="Times New Roman" w:hAnsi="Verdana" w:cs="Segoe UI"/>
          <w:sz w:val="20"/>
          <w:szCs w:val="20"/>
          <w:lang w:eastAsia="es-ES_tradnl"/>
        </w:rPr>
      </w:pPr>
      <w:r w:rsidRPr="00B10A68">
        <w:rPr>
          <w:rFonts w:ascii="Verdana" w:eastAsia="Times New Roman" w:hAnsi="Verdana" w:cs="Arial"/>
          <w:color w:val="000000"/>
          <w:sz w:val="20"/>
          <w:szCs w:val="20"/>
          <w:u w:val="single"/>
          <w:lang w:val="es-ES" w:eastAsia="es-ES_tradnl"/>
        </w:rPr>
        <w:lastRenderedPageBreak/>
        <w:t>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w:t>
      </w:r>
      <w:r w:rsidRPr="00B10A68">
        <w:rPr>
          <w:rFonts w:ascii="Verdana" w:eastAsia="Times New Roman" w:hAnsi="Verdana" w:cs="Arial"/>
          <w:color w:val="000000"/>
          <w:sz w:val="20"/>
          <w:szCs w:val="20"/>
          <w:lang w:val="es-ES" w:eastAsia="es-ES_tradnl"/>
        </w:rPr>
        <w:t xml:space="preserve">, salvo lo dispuesto para el proceso de Mínima cuantía y para el proceso de selección a través del sistema de subasta. </w:t>
      </w:r>
      <w:r w:rsidRPr="00B10A68">
        <w:rPr>
          <w:rFonts w:ascii="Verdana" w:eastAsia="Times New Roman" w:hAnsi="Verdana" w:cs="Arial"/>
          <w:color w:val="000000"/>
          <w:sz w:val="20"/>
          <w:szCs w:val="20"/>
          <w:u w:val="single"/>
          <w:lang w:val="es-ES" w:eastAsia="es-ES_tradnl"/>
        </w:rPr>
        <w:t>Serán rechazadas las ofertas de aquellos proponentes que no suministren la información y la documentación solicitada por la entidad estatal hasta el plazo anteriormente señalado.</w:t>
      </w:r>
      <w:r w:rsidRPr="00B10A68">
        <w:rPr>
          <w:rFonts w:ascii="Verdana" w:eastAsia="Arial" w:hAnsi="Verdana" w:cs="Times New Roman"/>
          <w:color w:val="000000"/>
          <w:sz w:val="20"/>
          <w:szCs w:val="20"/>
          <w:u w:val="single"/>
          <w:lang w:eastAsia="es-ES_tradnl"/>
        </w:rPr>
        <w:t> </w:t>
      </w:r>
    </w:p>
    <w:p w14:paraId="3D4ACAE3" w14:textId="77777777" w:rsidR="00107E38" w:rsidRPr="00B10A68" w:rsidRDefault="00107E38" w:rsidP="00107E38">
      <w:pPr>
        <w:spacing w:after="0" w:line="240" w:lineRule="auto"/>
        <w:ind w:left="709" w:right="709"/>
        <w:jc w:val="both"/>
        <w:textAlignment w:val="baseline"/>
        <w:rPr>
          <w:rFonts w:ascii="Verdana" w:eastAsia="Times New Roman" w:hAnsi="Verdana" w:cs="Segoe UI"/>
          <w:sz w:val="20"/>
          <w:szCs w:val="20"/>
          <w:lang w:eastAsia="es-ES_tradnl"/>
        </w:rPr>
      </w:pPr>
      <w:r w:rsidRPr="00B10A68">
        <w:rPr>
          <w:rFonts w:ascii="Verdana" w:eastAsia="Arial" w:hAnsi="Verdana" w:cs="Times New Roman"/>
          <w:color w:val="000000"/>
          <w:sz w:val="20"/>
          <w:szCs w:val="20"/>
          <w:lang w:eastAsia="es-ES_tradnl"/>
        </w:rPr>
        <w:t> </w:t>
      </w:r>
    </w:p>
    <w:p w14:paraId="79563270" w14:textId="77777777" w:rsidR="00107E38" w:rsidRPr="00B10A68" w:rsidRDefault="00107E38" w:rsidP="00107E38">
      <w:pPr>
        <w:spacing w:after="0" w:line="240" w:lineRule="auto"/>
        <w:ind w:left="709" w:right="709"/>
        <w:jc w:val="both"/>
        <w:textAlignment w:val="baseline"/>
        <w:rPr>
          <w:rFonts w:ascii="Verdana" w:eastAsia="Times New Roman" w:hAnsi="Verdana" w:cs="Segoe UI"/>
          <w:sz w:val="20"/>
          <w:szCs w:val="20"/>
          <w:lang w:eastAsia="es-ES_tradnl"/>
        </w:rPr>
      </w:pPr>
      <w:r w:rsidRPr="00B10A68">
        <w:rPr>
          <w:rFonts w:ascii="Verdana" w:eastAsia="Times New Roman" w:hAnsi="Verdana" w:cs="Arial"/>
          <w:color w:val="000000"/>
          <w:sz w:val="20"/>
          <w:szCs w:val="20"/>
          <w:u w:val="single"/>
          <w:lang w:val="es-ES" w:eastAsia="es-ES_tradnl"/>
        </w:rPr>
        <w:t>Durante el término otorgado para subsanar las ofertas, los proponentes no podrán acreditar circunstancias ocurridas con posterioridad al cierre del proceso.</w:t>
      </w:r>
      <w:r w:rsidRPr="00B10A68">
        <w:rPr>
          <w:rFonts w:ascii="Verdana" w:eastAsia="Arial" w:hAnsi="Verdana" w:cs="Times New Roman"/>
          <w:color w:val="000000"/>
          <w:sz w:val="20"/>
          <w:szCs w:val="20"/>
          <w:lang w:eastAsia="es-ES_tradnl"/>
        </w:rPr>
        <w:t> </w:t>
      </w:r>
    </w:p>
    <w:p w14:paraId="7AD9F9EE" w14:textId="77777777" w:rsidR="00107E38" w:rsidRPr="00B10A68" w:rsidRDefault="00107E38" w:rsidP="00107E38">
      <w:pPr>
        <w:spacing w:after="0" w:line="240" w:lineRule="auto"/>
        <w:ind w:left="709" w:right="709"/>
        <w:jc w:val="both"/>
        <w:textAlignment w:val="baseline"/>
        <w:rPr>
          <w:rFonts w:ascii="Verdana" w:eastAsia="Times New Roman" w:hAnsi="Verdana" w:cs="Segoe UI"/>
          <w:sz w:val="20"/>
          <w:szCs w:val="20"/>
          <w:lang w:eastAsia="es-ES_tradnl"/>
        </w:rPr>
      </w:pPr>
      <w:r w:rsidRPr="00B10A68">
        <w:rPr>
          <w:rFonts w:ascii="Verdana" w:eastAsia="Arial" w:hAnsi="Verdana" w:cs="Times New Roman"/>
          <w:color w:val="000000"/>
          <w:sz w:val="20"/>
          <w:szCs w:val="20"/>
          <w:lang w:eastAsia="es-ES_tradnl"/>
        </w:rPr>
        <w:t> </w:t>
      </w:r>
    </w:p>
    <w:p w14:paraId="17561A6C" w14:textId="77777777" w:rsidR="00107E38" w:rsidRPr="00B10A68" w:rsidRDefault="00107E38" w:rsidP="00107E38">
      <w:pPr>
        <w:spacing w:after="0" w:line="240" w:lineRule="auto"/>
        <w:ind w:left="709" w:right="709"/>
        <w:jc w:val="both"/>
        <w:textAlignment w:val="baseline"/>
        <w:rPr>
          <w:rFonts w:ascii="Verdana" w:eastAsia="Times New Roman" w:hAnsi="Verdana" w:cs="Segoe UI"/>
          <w:sz w:val="20"/>
          <w:szCs w:val="20"/>
          <w:lang w:eastAsia="es-ES_tradnl"/>
        </w:rPr>
      </w:pPr>
      <w:r w:rsidRPr="00B10A68">
        <w:rPr>
          <w:rFonts w:ascii="Verdana" w:eastAsia="Times New Roman" w:hAnsi="Verdana" w:cs="Arial"/>
          <w:color w:val="000000"/>
          <w:sz w:val="20"/>
          <w:szCs w:val="20"/>
          <w:lang w:val="es-ES" w:eastAsia="es-ES_tradnl"/>
        </w:rPr>
        <w:t>PARÁGRAFO 2o. Las certificaciones de sistemas de gestión de calidad no serán objeto de calificación, ni podrán establecerse como documento habilitante para participar en licitaciones o concursos.</w:t>
      </w:r>
      <w:r w:rsidRPr="00B10A68">
        <w:rPr>
          <w:rFonts w:ascii="Verdana" w:eastAsia="Arial" w:hAnsi="Verdana" w:cs="Times New Roman"/>
          <w:color w:val="000000"/>
          <w:sz w:val="20"/>
          <w:szCs w:val="20"/>
          <w:lang w:eastAsia="es-ES_tradnl"/>
        </w:rPr>
        <w:t> </w:t>
      </w:r>
    </w:p>
    <w:p w14:paraId="5D40578E" w14:textId="77777777" w:rsidR="00107E38" w:rsidRPr="00B10A68" w:rsidRDefault="00107E38" w:rsidP="00107E38">
      <w:pPr>
        <w:spacing w:after="0" w:line="240" w:lineRule="auto"/>
        <w:ind w:left="709" w:right="709"/>
        <w:jc w:val="both"/>
        <w:textAlignment w:val="baseline"/>
        <w:rPr>
          <w:rFonts w:ascii="Verdana" w:eastAsia="Times New Roman" w:hAnsi="Verdana" w:cs="Segoe UI"/>
          <w:sz w:val="20"/>
          <w:szCs w:val="20"/>
          <w:lang w:eastAsia="es-ES_tradnl"/>
        </w:rPr>
      </w:pPr>
      <w:r w:rsidRPr="00B10A68">
        <w:rPr>
          <w:rFonts w:ascii="Verdana" w:eastAsia="Arial" w:hAnsi="Verdana" w:cs="Times New Roman"/>
          <w:color w:val="000000"/>
          <w:sz w:val="20"/>
          <w:szCs w:val="20"/>
          <w:lang w:eastAsia="es-ES_tradnl"/>
        </w:rPr>
        <w:t> </w:t>
      </w:r>
    </w:p>
    <w:p w14:paraId="086BD6E1" w14:textId="77777777" w:rsidR="00107E38" w:rsidRPr="00B10A68" w:rsidRDefault="00107E38" w:rsidP="00107E38">
      <w:pPr>
        <w:spacing w:after="0" w:line="240" w:lineRule="auto"/>
        <w:ind w:left="709" w:right="709"/>
        <w:jc w:val="both"/>
        <w:textAlignment w:val="baseline"/>
        <w:rPr>
          <w:rFonts w:ascii="Verdana" w:eastAsia="Times New Roman" w:hAnsi="Verdana" w:cs="Segoe UI"/>
          <w:sz w:val="20"/>
          <w:szCs w:val="20"/>
          <w:u w:val="single"/>
          <w:lang w:eastAsia="es-ES_tradnl"/>
        </w:rPr>
      </w:pPr>
      <w:r w:rsidRPr="00B10A68">
        <w:rPr>
          <w:rFonts w:ascii="Verdana" w:eastAsia="Times New Roman" w:hAnsi="Verdana" w:cs="Arial"/>
          <w:color w:val="000000"/>
          <w:sz w:val="20"/>
          <w:szCs w:val="20"/>
          <w:u w:val="single"/>
          <w:lang w:val="es-ES" w:eastAsia="es-ES_tradnl"/>
        </w:rPr>
        <w:t>PARÁGRAFO 3o. &lt;Parágrafo adicionado por el artículo 5 de la Ley 1882 de 2018. El nuevo texto es el siguiente:&gt; La no entrega de la garantía de seriedad junto con la propuesta no será subsanable y será causal de rechazo de la misma.</w:t>
      </w:r>
      <w:r w:rsidRPr="00B10A68">
        <w:rPr>
          <w:rFonts w:ascii="Verdana" w:eastAsia="Arial" w:hAnsi="Verdana" w:cs="Times New Roman"/>
          <w:color w:val="000000"/>
          <w:sz w:val="20"/>
          <w:szCs w:val="20"/>
          <w:u w:val="single"/>
          <w:lang w:eastAsia="es-ES_tradnl"/>
        </w:rPr>
        <w:t> </w:t>
      </w:r>
    </w:p>
    <w:p w14:paraId="2C1F259E" w14:textId="77777777" w:rsidR="00107E38" w:rsidRPr="00B10A68" w:rsidRDefault="00107E38" w:rsidP="00107E38">
      <w:pPr>
        <w:spacing w:after="0" w:line="240" w:lineRule="auto"/>
        <w:ind w:left="709" w:right="709"/>
        <w:jc w:val="both"/>
        <w:textAlignment w:val="baseline"/>
        <w:rPr>
          <w:rFonts w:ascii="Verdana" w:eastAsia="Times New Roman" w:hAnsi="Verdana" w:cs="Segoe UI"/>
          <w:sz w:val="20"/>
          <w:szCs w:val="20"/>
          <w:lang w:eastAsia="es-ES_tradnl"/>
        </w:rPr>
      </w:pPr>
      <w:r w:rsidRPr="00B10A68">
        <w:rPr>
          <w:rFonts w:ascii="Verdana" w:eastAsia="Arial" w:hAnsi="Verdana" w:cs="Times New Roman"/>
          <w:color w:val="000000"/>
          <w:sz w:val="20"/>
          <w:szCs w:val="20"/>
          <w:lang w:eastAsia="es-ES_tradnl"/>
        </w:rPr>
        <w:t> </w:t>
      </w:r>
    </w:p>
    <w:p w14:paraId="41F2FADC" w14:textId="77777777" w:rsidR="00107E38" w:rsidRPr="00B10A68" w:rsidRDefault="00107E38" w:rsidP="00107E38">
      <w:pPr>
        <w:spacing w:after="0" w:line="240" w:lineRule="auto"/>
        <w:ind w:left="709" w:right="709"/>
        <w:jc w:val="both"/>
        <w:textAlignment w:val="baseline"/>
        <w:rPr>
          <w:rFonts w:ascii="Verdana" w:eastAsia="Times New Roman" w:hAnsi="Verdana" w:cs="Segoe UI"/>
          <w:sz w:val="20"/>
          <w:szCs w:val="20"/>
          <w:lang w:eastAsia="es-ES_tradnl"/>
        </w:rPr>
      </w:pPr>
      <w:r w:rsidRPr="00B10A68">
        <w:rPr>
          <w:rFonts w:ascii="Verdana" w:eastAsia="Times New Roman" w:hAnsi="Verdana" w:cs="Arial"/>
          <w:color w:val="000000"/>
          <w:sz w:val="20"/>
          <w:szCs w:val="20"/>
          <w:lang w:val="es-ES" w:eastAsia="es-ES_tradnl"/>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B10A68">
        <w:rPr>
          <w:rFonts w:ascii="Verdana" w:eastAsia="Arial" w:hAnsi="Verdana" w:cs="Times New Roman"/>
          <w:color w:val="000000"/>
          <w:sz w:val="20"/>
          <w:szCs w:val="20"/>
          <w:lang w:eastAsia="es-ES_tradnl"/>
        </w:rPr>
        <w:t> </w:t>
      </w:r>
    </w:p>
    <w:p w14:paraId="218EA94F" w14:textId="77777777" w:rsidR="00107E38" w:rsidRPr="00B10A68" w:rsidRDefault="00107E38" w:rsidP="00107E38">
      <w:pPr>
        <w:spacing w:after="0" w:line="240" w:lineRule="auto"/>
        <w:ind w:left="709" w:right="709"/>
        <w:jc w:val="both"/>
        <w:textAlignment w:val="baseline"/>
        <w:rPr>
          <w:rFonts w:ascii="Verdana" w:eastAsia="Times New Roman" w:hAnsi="Verdana" w:cs="Segoe UI"/>
          <w:sz w:val="20"/>
          <w:szCs w:val="20"/>
          <w:lang w:eastAsia="es-ES_tradnl"/>
        </w:rPr>
      </w:pPr>
      <w:r w:rsidRPr="00B10A68">
        <w:rPr>
          <w:rFonts w:ascii="Verdana" w:eastAsia="Arial" w:hAnsi="Verdana" w:cs="Times New Roman"/>
          <w:color w:val="000000"/>
          <w:sz w:val="20"/>
          <w:szCs w:val="20"/>
          <w:lang w:eastAsia="es-ES_tradnl"/>
        </w:rPr>
        <w:t> </w:t>
      </w:r>
    </w:p>
    <w:p w14:paraId="7901F7F0" w14:textId="77777777" w:rsidR="00107E38" w:rsidRPr="00B10A68" w:rsidRDefault="00107E38" w:rsidP="00107E38">
      <w:pPr>
        <w:spacing w:after="0" w:line="240" w:lineRule="auto"/>
        <w:ind w:left="709" w:right="709"/>
        <w:jc w:val="both"/>
        <w:textAlignment w:val="baseline"/>
        <w:rPr>
          <w:rFonts w:ascii="Verdana" w:eastAsia="Times New Roman" w:hAnsi="Verdana" w:cs="Segoe UI"/>
          <w:sz w:val="20"/>
          <w:szCs w:val="20"/>
          <w:lang w:eastAsia="es-ES_tradnl"/>
        </w:rPr>
      </w:pPr>
      <w:r w:rsidRPr="00B10A68">
        <w:rPr>
          <w:rFonts w:ascii="Verdana" w:eastAsia="Times New Roman" w:hAnsi="Verdana" w:cs="Arial"/>
          <w:color w:val="000000"/>
          <w:sz w:val="20"/>
          <w:szCs w:val="20"/>
          <w:lang w:val="es-ES" w:eastAsia="es-ES_tradnl"/>
        </w:rPr>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 [Subrayado por fuera de texto original]</w:t>
      </w:r>
    </w:p>
    <w:p w14:paraId="5B91B3E3" w14:textId="77777777" w:rsidR="00107E38" w:rsidRPr="00B10A68" w:rsidRDefault="00107E38" w:rsidP="00107E38">
      <w:pPr>
        <w:spacing w:after="0" w:line="276" w:lineRule="auto"/>
        <w:ind w:left="709" w:right="709"/>
        <w:jc w:val="both"/>
        <w:rPr>
          <w:rFonts w:ascii="Verdana" w:eastAsia="Times New Roman" w:hAnsi="Verdana" w:cs="Arial"/>
          <w:lang w:eastAsia="es-CO"/>
        </w:rPr>
      </w:pPr>
    </w:p>
    <w:p w14:paraId="7FAEF57C" w14:textId="77777777" w:rsidR="00107E38" w:rsidRPr="00B10A68" w:rsidRDefault="00107E38" w:rsidP="00107E38">
      <w:pPr>
        <w:spacing w:after="120" w:line="276" w:lineRule="auto"/>
        <w:ind w:firstLine="709"/>
        <w:jc w:val="both"/>
        <w:rPr>
          <w:rFonts w:ascii="Verdana" w:eastAsia="Times New Roman" w:hAnsi="Verdana" w:cs="Arial"/>
          <w:lang w:val="es-ES" w:eastAsia="es-ES"/>
        </w:rPr>
      </w:pPr>
      <w:r w:rsidRPr="00B10A68">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w:t>
      </w:r>
      <w:proofErr w:type="spellStart"/>
      <w:r w:rsidRPr="00B10A68">
        <w:rPr>
          <w:rFonts w:ascii="Verdana" w:eastAsia="Times New Roman" w:hAnsi="Verdana" w:cs="Arial"/>
          <w:lang w:val="es-ES" w:eastAsia="es-ES"/>
        </w:rPr>
        <w:t>ii</w:t>
      </w:r>
      <w:proofErr w:type="spellEnd"/>
      <w:r w:rsidRPr="00B10A68">
        <w:rPr>
          <w:rFonts w:ascii="Verdana" w:eastAsia="Times New Roman" w:hAnsi="Verdana" w:cs="Arial"/>
          <w:lang w:val="es-ES" w:eastAsia="es-ES"/>
        </w:rPr>
        <w:t xml:space="preserve">) mantiene el criterio aclaratorio de la Ley 1150 de 2007, según el cual todo lo que no afecte </w:t>
      </w:r>
      <w:r w:rsidRPr="00B10A68">
        <w:rPr>
          <w:rFonts w:ascii="Verdana" w:eastAsia="Times New Roman" w:hAnsi="Verdana" w:cs="Arial"/>
          <w:lang w:val="es-ES" w:eastAsia="es-ES"/>
        </w:rPr>
        <w:lastRenderedPageBreak/>
        <w:t xml:space="preserve">la asignación de puntaje puede subsanarse; e, </w:t>
      </w:r>
      <w:proofErr w:type="spellStart"/>
      <w:r w:rsidRPr="00B10A68">
        <w:rPr>
          <w:rFonts w:ascii="Verdana" w:eastAsia="Times New Roman" w:hAnsi="Verdana" w:cs="Arial"/>
          <w:lang w:val="es-ES" w:eastAsia="es-ES"/>
        </w:rPr>
        <w:t>iii</w:t>
      </w:r>
      <w:proofErr w:type="spellEnd"/>
      <w:r w:rsidRPr="00B10A68">
        <w:rPr>
          <w:rFonts w:ascii="Verdana" w:eastAsia="Times New Roman" w:hAnsi="Verdana" w:cs="Arial"/>
          <w:lang w:val="es-ES" w:eastAsia="es-ES"/>
        </w:rPr>
        <w:t xml:space="preserve">) introduce modificaciones en relación con algunos aspectos que se analizarán a continuación. </w:t>
      </w:r>
    </w:p>
    <w:p w14:paraId="760C9712" w14:textId="77777777" w:rsidR="00107E38" w:rsidRPr="00B10A68" w:rsidRDefault="00107E38" w:rsidP="00107E38">
      <w:pPr>
        <w:spacing w:after="120" w:line="276" w:lineRule="auto"/>
        <w:ind w:right="51" w:firstLine="709"/>
        <w:jc w:val="both"/>
        <w:rPr>
          <w:rFonts w:ascii="Verdana" w:eastAsia="Times New Roman" w:hAnsi="Verdana" w:cs="Arial"/>
          <w:lang w:val="es-ES_tradnl" w:eastAsia="es-ES_tradnl"/>
        </w:rPr>
      </w:pPr>
      <w:r w:rsidRPr="00B10A68">
        <w:rPr>
          <w:rFonts w:ascii="Verdana" w:eastAsia="Times New Roman" w:hAnsi="Verdana" w:cs="Arial"/>
          <w:i/>
          <w:iCs/>
          <w:lang w:val="es-ES_tradnl" w:eastAsia="es-ES_tradnl"/>
        </w:rPr>
        <w:t xml:space="preserve">La primera modificación </w:t>
      </w:r>
      <w:r w:rsidRPr="00B10A68">
        <w:rPr>
          <w:rFonts w:ascii="Verdana" w:eastAsia="Times New Roman" w:hAnsi="Verdana" w:cs="Arial"/>
          <w:lang w:val="es-ES_tradnl" w:eastAsia="es-ES_tradnl"/>
        </w:rPr>
        <w:t>está relacionada con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B10A68">
        <w:rPr>
          <w:rFonts w:ascii="Verdana" w:eastAsia="Times New Roman" w:hAnsi="Verdana" w:cs="Arial"/>
          <w:vertAlign w:val="superscript"/>
          <w:lang w:val="es-ES_tradnl" w:eastAsia="es-ES_tradnl"/>
        </w:rPr>
        <w:footnoteReference w:id="4"/>
      </w:r>
      <w:r w:rsidRPr="00B10A68">
        <w:rPr>
          <w:rFonts w:ascii="Verdana" w:eastAsia="Times New Roman" w:hAnsi="Verdana" w:cs="Arial"/>
          <w:lang w:val="es-ES_tradnl" w:eastAsia="es-ES_tradnl"/>
        </w:rPr>
        <w:t>.</w:t>
      </w:r>
    </w:p>
    <w:p w14:paraId="5C0C85A6" w14:textId="77777777" w:rsidR="00107E38" w:rsidRPr="00B10A68" w:rsidRDefault="00107E38" w:rsidP="00107E38">
      <w:pPr>
        <w:spacing w:after="120" w:line="276" w:lineRule="auto"/>
        <w:ind w:firstLine="709"/>
        <w:jc w:val="both"/>
        <w:rPr>
          <w:rFonts w:ascii="Verdana" w:eastAsia="Times New Roman" w:hAnsi="Verdana" w:cs="Arial"/>
          <w:lang w:val="es-ES" w:eastAsia="es-ES"/>
        </w:rPr>
      </w:pPr>
      <w:r w:rsidRPr="00B10A68">
        <w:rPr>
          <w:rFonts w:ascii="Verdana" w:eastAsia="Times New Roman" w:hAnsi="Verdana" w:cs="Arial"/>
          <w:lang w:val="es-ES" w:eastAsia="es-ES"/>
        </w:rPr>
        <w:t>Frente a la regla general aplicable a los demás procesos de selección, la norma fijó un límite final para que la Administración y los oferentes subsanen los requisitos o documentos que puedan y deban ser subsanados. No obstante, 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w:t>
      </w:r>
      <w:r w:rsidRPr="00B10A68">
        <w:rPr>
          <w:rFonts w:ascii="Verdana" w:eastAsia="Times New Roman" w:hAnsi="Verdana" w:cs="Arial"/>
          <w:i/>
          <w:iCs/>
          <w:lang w:val="es-ES" w:eastAsia="es-ES"/>
        </w:rPr>
        <w:t>deberán ser solicitados por las entidades estatales y deberán ser entregados por los proponentes hasta el término de traslado del informe de evaluación que corresponda a cada modalidad de selección”.</w:t>
      </w:r>
      <w:r w:rsidRPr="00B10A68">
        <w:rPr>
          <w:rFonts w:ascii="Verdana" w:eastAsia="Times New Roman" w:hAnsi="Verdana" w:cs="Arial"/>
          <w:lang w:val="es-ES" w:eastAsia="es-ES"/>
        </w:rPr>
        <w:t xml:space="preserve"> </w:t>
      </w:r>
    </w:p>
    <w:p w14:paraId="677011BC" w14:textId="77777777" w:rsidR="00107E38" w:rsidRPr="00B10A68" w:rsidRDefault="00107E38" w:rsidP="00107E38">
      <w:pPr>
        <w:spacing w:after="120" w:line="276" w:lineRule="auto"/>
        <w:ind w:firstLine="709"/>
        <w:jc w:val="both"/>
        <w:rPr>
          <w:rFonts w:ascii="Verdana" w:eastAsia="Times New Roman" w:hAnsi="Verdana" w:cs="Arial"/>
          <w:lang w:val="es-ES" w:eastAsia="es-ES"/>
        </w:rPr>
      </w:pPr>
      <w:r w:rsidRPr="00B10A68">
        <w:rPr>
          <w:rFonts w:ascii="Verdana" w:eastAsia="Times New Roman" w:hAnsi="Verdana" w:cs="Arial"/>
          <w:lang w:val="es-ES" w:eastAsia="es-ES"/>
        </w:rPr>
        <w:t xml:space="preserve">Sin perjuicio de lo expuesto, de la lectura de este aparte podrían, en la práctica, darse dos interpretaciones que dan lugar a dos formas de proceder en los procesos de selección, en lo que a la </w:t>
      </w:r>
      <w:proofErr w:type="spellStart"/>
      <w:r w:rsidRPr="00B10A68">
        <w:rPr>
          <w:rFonts w:ascii="Verdana" w:eastAsia="Times New Roman" w:hAnsi="Verdana" w:cs="Arial"/>
          <w:lang w:val="es-ES" w:eastAsia="es-ES"/>
        </w:rPr>
        <w:t>subsanabilidad</w:t>
      </w:r>
      <w:proofErr w:type="spellEnd"/>
      <w:r w:rsidRPr="00B10A68">
        <w:rPr>
          <w:rFonts w:ascii="Verdana" w:eastAsia="Times New Roman" w:hAnsi="Verdana" w:cs="Arial"/>
          <w:lang w:val="es-ES" w:eastAsia="es-ES"/>
        </w:rPr>
        <w:t xml:space="preserve"> de las ofertas se refiere. </w:t>
      </w:r>
      <w:r w:rsidRPr="00B10A68">
        <w:rPr>
          <w:rFonts w:ascii="Verdana" w:eastAsia="Times New Roman" w:hAnsi="Verdana" w:cs="Arial"/>
          <w:i/>
          <w:iCs/>
          <w:lang w:val="es-ES" w:eastAsia="es-ES"/>
        </w:rPr>
        <w:t>Primera</w:t>
      </w:r>
      <w:r w:rsidRPr="00B10A68">
        <w:rPr>
          <w:rFonts w:ascii="Verdana" w:eastAsia="Times New Roman" w:hAnsi="Verdana" w:cs="Arial"/>
          <w:lang w:val="es-ES" w:eastAsia="es-ES"/>
        </w:rPr>
        <w:t xml:space="preserve">, que la posibilidad para subsanar de los oferentes es el término del traslado del informe de evaluación, ya que es en este documento donde la Administración consigna los requisitos o documentos omitidos que los oferentes deben subsanar, so pena de rechazo. </w:t>
      </w:r>
      <w:r w:rsidRPr="00B10A68">
        <w:rPr>
          <w:rFonts w:ascii="Verdana" w:eastAsia="Times New Roman" w:hAnsi="Verdana" w:cs="Arial"/>
          <w:i/>
          <w:iCs/>
          <w:lang w:val="es-ES" w:eastAsia="es-ES"/>
        </w:rPr>
        <w:t>Segunda</w:t>
      </w:r>
      <w:r w:rsidRPr="00B10A68">
        <w:rPr>
          <w:rFonts w:ascii="Verdana" w:eastAsia="Times New Roman" w:hAnsi="Verdana" w:cs="Arial"/>
          <w:lang w:val="es-ES" w:eastAsia="es-ES"/>
        </w:rPr>
        <w:t xml:space="preserve">, que el término del traslado del informe de evaluación es el </w:t>
      </w:r>
      <w:r w:rsidRPr="00B10A68">
        <w:rPr>
          <w:rFonts w:ascii="Verdana" w:eastAsia="Times New Roman" w:hAnsi="Verdana" w:cs="Arial"/>
          <w:i/>
          <w:lang w:val="es-ES" w:eastAsia="es-ES"/>
        </w:rPr>
        <w:t>límite</w:t>
      </w:r>
      <w:r w:rsidRPr="00B10A68">
        <w:rPr>
          <w:rFonts w:ascii="Verdana" w:eastAsia="Times New Roman" w:hAnsi="Verdana" w:cs="Arial"/>
          <w:lang w:val="es-ES" w:eastAsia="es-ES"/>
        </w:rPr>
        <w:t xml:space="preserve"> para la subsanación de ofertas, pero no el único momento para hacerlo. </w:t>
      </w:r>
    </w:p>
    <w:p w14:paraId="516550BB" w14:textId="77777777" w:rsidR="00107E38" w:rsidRPr="00B10A68" w:rsidRDefault="00107E38" w:rsidP="00107E38">
      <w:pPr>
        <w:spacing w:after="120" w:line="276" w:lineRule="auto"/>
        <w:ind w:firstLine="709"/>
        <w:jc w:val="both"/>
        <w:rPr>
          <w:rFonts w:ascii="Verdana" w:eastAsia="Times New Roman" w:hAnsi="Verdana" w:cs="Arial"/>
          <w:lang w:val="es-ES_tradnl" w:eastAsia="es-ES_tradnl"/>
        </w:rPr>
      </w:pPr>
      <w:r w:rsidRPr="00B10A68">
        <w:rPr>
          <w:rFonts w:ascii="Verdana" w:eastAsia="Times New Roman" w:hAnsi="Verdana" w:cs="Arial"/>
          <w:lang w:val="es-ES_tradnl" w:eastAsia="es-ES_tradnl"/>
        </w:rPr>
        <w:t xml:space="preserve">De acuerdo con la primera interpretación, el informe de evaluación se convierte en la oportunidad que adopta la Administración para decirles a los oferentes qué documentos o requisitos omitieron y deben subsanar. </w:t>
      </w:r>
      <w:r w:rsidRPr="00B10A68">
        <w:rPr>
          <w:rFonts w:ascii="Verdana" w:eastAsia="Times New Roman" w:hAnsi="Verdana" w:cs="Arial"/>
          <w:lang w:val="es-ES_tradnl" w:eastAsia="es-ES_tradnl"/>
        </w:rPr>
        <w:lastRenderedPageBreak/>
        <w:t xml:space="preserve">Consecuentemente, el término del traslado es la oportunidad del proponente para cumplir con lo solicitado.  </w:t>
      </w:r>
    </w:p>
    <w:p w14:paraId="36D7044E" w14:textId="77777777" w:rsidR="00107E38" w:rsidRPr="00B10A68" w:rsidRDefault="00107E38" w:rsidP="00107E38">
      <w:pPr>
        <w:spacing w:after="120" w:line="276" w:lineRule="auto"/>
        <w:ind w:firstLine="709"/>
        <w:jc w:val="both"/>
        <w:rPr>
          <w:rFonts w:ascii="Verdana" w:eastAsia="Times New Roman" w:hAnsi="Verdana" w:cs="Arial"/>
          <w:lang w:val="es-ES_tradnl" w:eastAsia="es-ES_tradnl"/>
        </w:rPr>
      </w:pPr>
      <w:r w:rsidRPr="00B10A68">
        <w:rPr>
          <w:rFonts w:ascii="Verdana" w:eastAsia="Times New Roman" w:hAnsi="Verdana" w:cs="Arial"/>
          <w:lang w:val="es-ES_tradnl" w:eastAsia="es-ES_tradnl"/>
        </w:rPr>
        <w:t>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71CCED2A" w14:textId="77777777" w:rsidR="00107E38" w:rsidRPr="00B10A68" w:rsidRDefault="00107E38" w:rsidP="00107E38">
      <w:pPr>
        <w:spacing w:after="120" w:line="276" w:lineRule="auto"/>
        <w:ind w:firstLine="709"/>
        <w:jc w:val="both"/>
        <w:rPr>
          <w:rFonts w:ascii="Verdana" w:eastAsia="Times New Roman" w:hAnsi="Verdana" w:cs="Arial"/>
          <w:lang w:val="es-ES" w:eastAsia="es-ES"/>
        </w:rPr>
      </w:pPr>
      <w:r w:rsidRPr="00B10A68">
        <w:rPr>
          <w:rFonts w:ascii="Verdana" w:eastAsia="Times New Roman" w:hAnsi="Verdana" w:cs="Arial"/>
          <w:lang w:val="es-ES" w:eastAsia="es-ES"/>
        </w:rPr>
        <w:t>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Lo anterior, se aclara, sin desconocer el límite que establece la norma para que los oferentes, sin perjuicio de que lo hagan antes, cuenten hasta el término de traslado del informe de evaluación con la posibilidad de presentar la información solicitada.</w:t>
      </w:r>
    </w:p>
    <w:p w14:paraId="5DB35360" w14:textId="77777777" w:rsidR="00107E38" w:rsidRPr="00B10A68" w:rsidRDefault="00107E38" w:rsidP="00107E38">
      <w:pPr>
        <w:spacing w:after="120" w:line="276" w:lineRule="auto"/>
        <w:ind w:firstLine="709"/>
        <w:jc w:val="both"/>
        <w:rPr>
          <w:rFonts w:ascii="Verdana" w:eastAsia="Times New Roman" w:hAnsi="Verdana" w:cs="Arial"/>
          <w:lang w:val="es-ES_tradnl" w:eastAsia="es-ES_tradnl"/>
        </w:rPr>
      </w:pPr>
      <w:r w:rsidRPr="00B10A68">
        <w:rPr>
          <w:rFonts w:ascii="Verdana" w:eastAsia="Times New Roman" w:hAnsi="Verdana" w:cs="Arial"/>
          <w:lang w:val="es-ES_tradnl" w:eastAsia="es-ES_tradnl"/>
        </w:rPr>
        <w:t xml:space="preserve">El </w:t>
      </w:r>
      <w:r w:rsidRPr="00B10A68">
        <w:rPr>
          <w:rFonts w:ascii="Verdana" w:eastAsia="Times New Roman" w:hAnsi="Verdana" w:cs="Arial"/>
          <w:i/>
          <w:iCs/>
          <w:lang w:val="es-ES_tradnl" w:eastAsia="es-ES_tradnl"/>
        </w:rPr>
        <w:t>segundo cambio</w:t>
      </w:r>
      <w:r w:rsidRPr="00B10A68">
        <w:rPr>
          <w:rFonts w:ascii="Verdana" w:eastAsia="Times New Roman" w:hAnsi="Verdana" w:cs="Arial"/>
          <w:lang w:val="es-ES_tradnl" w:eastAsia="es-ES_tradnl"/>
        </w:rPr>
        <w:t xml:space="preserve"> importante de la Ley 1882 de 2018 fue la introducción de un criterio material, directamente relacionado con los aspectos subsanables: </w:t>
      </w:r>
      <w:r w:rsidRPr="00B10A68">
        <w:rPr>
          <w:rFonts w:ascii="Verdana" w:eastAsia="Times New Roman" w:hAnsi="Verdana" w:cs="Arial"/>
          <w:i/>
          <w:iCs/>
          <w:lang w:val="es-ES_tradnl" w:eastAsia="es-ES_tradnl"/>
        </w:rPr>
        <w:t>“los proponentes no podrán acreditar circunstancias ocurridas con posterioridad al cierre del proceso”.</w:t>
      </w:r>
      <w:r w:rsidRPr="00B10A68">
        <w:rPr>
          <w:rFonts w:ascii="Verdana" w:eastAsia="Times New Roman" w:hAnsi="Verdana" w:cs="Arial"/>
          <w:lang w:val="es-ES_tradnl" w:eastAsia="es-ES_tradnl"/>
        </w:rPr>
        <w:t xml:space="preserve"> Lo anterior ofrece dos aspectos que merecen clarificación; primero, qué debe entenderse por circunstancias ocurridas con posterioridad; y segundo, qué es el cierre del proceso. </w:t>
      </w:r>
    </w:p>
    <w:p w14:paraId="4392721A" w14:textId="77777777" w:rsidR="00107E38" w:rsidRPr="00B10A68" w:rsidRDefault="00107E38" w:rsidP="00107E38">
      <w:pPr>
        <w:spacing w:after="120" w:line="276" w:lineRule="auto"/>
        <w:ind w:firstLine="709"/>
        <w:jc w:val="both"/>
        <w:rPr>
          <w:rFonts w:ascii="Verdana" w:eastAsia="Times New Roman" w:hAnsi="Verdana" w:cs="Arial"/>
          <w:lang w:val="es-ES" w:eastAsia="es-ES"/>
        </w:rPr>
      </w:pPr>
      <w:r w:rsidRPr="00B10A68">
        <w:rPr>
          <w:rFonts w:ascii="Verdana" w:eastAsia="Times New Roman" w:hAnsi="Verdana" w:cs="Arial"/>
          <w:lang w:val="es-ES" w:eastAsia="es-ES"/>
        </w:rPr>
        <w:t xml:space="preserve">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En esa ocasión, el Consejo de Estado precisó que, por cierre del proceso debe entenderse el </w:t>
      </w:r>
      <w:r w:rsidRPr="00B10A68">
        <w:rPr>
          <w:rFonts w:ascii="Verdana" w:eastAsia="Times New Roman" w:hAnsi="Verdana" w:cs="Arial"/>
          <w:lang w:val="es-ES" w:eastAsia="es-ES"/>
        </w:rPr>
        <w:lastRenderedPageBreak/>
        <w:t>vencimiento del plazo para la presentación de las ofertas y que lo subsanable son las circunstancias que ocurrieron con anterioridad a esa fecha</w:t>
      </w:r>
      <w:r w:rsidRPr="00B10A68">
        <w:rPr>
          <w:rFonts w:ascii="Verdana" w:eastAsia="Times New Roman" w:hAnsi="Verdana" w:cs="Arial"/>
          <w:vertAlign w:val="superscript"/>
          <w:lang w:val="es-ES" w:eastAsia="es-ES"/>
        </w:rPr>
        <w:footnoteReference w:id="5"/>
      </w:r>
      <w:r w:rsidRPr="00B10A68">
        <w:rPr>
          <w:rFonts w:ascii="Verdana" w:eastAsia="Times New Roman" w:hAnsi="Verdana" w:cs="Arial"/>
          <w:lang w:val="es-ES" w:eastAsia="es-ES"/>
        </w:rPr>
        <w:t>.</w:t>
      </w:r>
    </w:p>
    <w:p w14:paraId="64301C52" w14:textId="77777777" w:rsidR="00107E38" w:rsidRPr="00B10A68" w:rsidRDefault="00107E38" w:rsidP="00107E38">
      <w:pPr>
        <w:spacing w:after="120" w:line="276" w:lineRule="auto"/>
        <w:ind w:firstLine="709"/>
        <w:jc w:val="both"/>
        <w:rPr>
          <w:rFonts w:ascii="Verdana" w:eastAsia="Times New Roman" w:hAnsi="Verdana" w:cs="Arial"/>
          <w:lang w:val="es-ES_tradnl" w:eastAsia="es-ES_tradnl"/>
        </w:rPr>
      </w:pPr>
      <w:r w:rsidRPr="00B10A68">
        <w:rPr>
          <w:rFonts w:ascii="Verdana" w:eastAsia="Times New Roman" w:hAnsi="Verdana" w:cs="Arial"/>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24BB5D91" w14:textId="77777777" w:rsidR="00107E38" w:rsidRPr="00B10A68" w:rsidRDefault="00107E38" w:rsidP="00107E38">
      <w:pPr>
        <w:spacing w:after="120" w:line="276" w:lineRule="auto"/>
        <w:ind w:firstLine="709"/>
        <w:jc w:val="both"/>
        <w:rPr>
          <w:rFonts w:ascii="Verdana" w:eastAsia="Times New Roman" w:hAnsi="Verdana" w:cs="Arial"/>
          <w:lang w:val="es-ES" w:eastAsia="es-ES"/>
        </w:rPr>
      </w:pPr>
      <w:r w:rsidRPr="00B10A68">
        <w:rPr>
          <w:rFonts w:ascii="Verdana" w:eastAsia="Times New Roman" w:hAnsi="Verdana" w:cs="Arial"/>
          <w:lang w:val="es-ES" w:eastAsia="es-ES"/>
        </w:rPr>
        <w:t xml:space="preserve">Un mejor entendimiento del significado de la expresión </w:t>
      </w:r>
      <w:r w:rsidRPr="00B10A68">
        <w:rPr>
          <w:rFonts w:ascii="Verdana" w:eastAsia="Times New Roman" w:hAnsi="Verdana" w:cs="Arial"/>
          <w:i/>
          <w:lang w:val="es-ES" w:eastAsia="es-ES"/>
        </w:rPr>
        <w:t>“circunstancias ocurridas con posterioridad al cierre del proceso”</w:t>
      </w:r>
      <w:r w:rsidRPr="00B10A68">
        <w:rPr>
          <w:rFonts w:ascii="Verdana" w:eastAsia="Times New Roman" w:hAnsi="Verdana" w:cs="Arial"/>
          <w:lang w:val="es-ES" w:eastAsia="es-ES"/>
        </w:rPr>
        <w:t xml:space="preserve"> implica distinguir entre la prueba de un hecho y el hecho mismo. En el caso de la </w:t>
      </w:r>
      <w:proofErr w:type="spellStart"/>
      <w:r w:rsidRPr="00B10A68">
        <w:rPr>
          <w:rFonts w:ascii="Verdana" w:eastAsia="Times New Roman" w:hAnsi="Verdana" w:cs="Arial"/>
          <w:lang w:val="es-ES" w:eastAsia="es-ES"/>
        </w:rPr>
        <w:t>subsanabilidad</w:t>
      </w:r>
      <w:proofErr w:type="spellEnd"/>
      <w:r w:rsidRPr="00B10A68">
        <w:rPr>
          <w:rFonts w:ascii="Verdana" w:eastAsia="Times New Roman" w:hAnsi="Verdana" w:cs="Arial"/>
          <w:lang w:val="es-ES" w:eastAsia="es-ES"/>
        </w:rPr>
        <w:t xml:space="preserve">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00B10A68">
        <w:rPr>
          <w:rFonts w:ascii="Verdana" w:eastAsia="Times New Roman" w:hAnsi="Verdana" w:cs="Arial"/>
          <w:vertAlign w:val="superscript"/>
          <w:lang w:val="es-ES" w:eastAsia="es-ES"/>
        </w:rPr>
        <w:footnoteReference w:id="6"/>
      </w:r>
      <w:r w:rsidRPr="00B10A68">
        <w:rPr>
          <w:rFonts w:ascii="Verdana" w:eastAsia="Times New Roman" w:hAnsi="Verdana" w:cs="Arial"/>
          <w:lang w:val="es-ES" w:eastAsia="es-ES"/>
        </w:rPr>
        <w:t xml:space="preserve">. </w:t>
      </w:r>
    </w:p>
    <w:p w14:paraId="43014D1B" w14:textId="77777777" w:rsidR="00107E38" w:rsidRPr="00B10A68" w:rsidRDefault="00107E38" w:rsidP="00107E38">
      <w:pPr>
        <w:spacing w:after="120" w:line="276" w:lineRule="auto"/>
        <w:ind w:firstLine="709"/>
        <w:jc w:val="both"/>
        <w:rPr>
          <w:rFonts w:ascii="Verdana" w:eastAsia="Times New Roman" w:hAnsi="Verdana" w:cs="Arial"/>
          <w:lang w:val="es-ES" w:eastAsia="es-ES"/>
        </w:rPr>
      </w:pPr>
      <w:r w:rsidRPr="00B10A68">
        <w:rPr>
          <w:rFonts w:ascii="Verdana" w:eastAsia="Times New Roman" w:hAnsi="Verdana" w:cs="Arial"/>
          <w:lang w:val="es-ES" w:eastAsia="es-ES"/>
        </w:rPr>
        <w:lastRenderedPageBreak/>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está en firme para dicho momento; </w:t>
      </w:r>
      <w:proofErr w:type="spellStart"/>
      <w:r w:rsidRPr="00B10A68">
        <w:rPr>
          <w:rFonts w:ascii="Verdana" w:eastAsia="Times New Roman" w:hAnsi="Verdana" w:cs="Arial"/>
          <w:lang w:val="es-ES" w:eastAsia="es-ES"/>
        </w:rPr>
        <w:t>ii</w:t>
      </w:r>
      <w:proofErr w:type="spellEnd"/>
      <w:r w:rsidRPr="00B10A68">
        <w:rPr>
          <w:rFonts w:ascii="Verdana" w:eastAsia="Times New Roman" w:hAnsi="Verdana" w:cs="Arial"/>
          <w:lang w:val="es-ES" w:eastAsia="es-ES"/>
        </w:rPr>
        <w:t>)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B10A68">
        <w:rPr>
          <w:rFonts w:ascii="Verdana" w:eastAsia="Times New Roman" w:hAnsi="Verdana" w:cs="Arial"/>
          <w:vertAlign w:val="superscript"/>
          <w:lang w:val="es-ES" w:eastAsia="es-ES"/>
        </w:rPr>
        <w:footnoteReference w:id="7"/>
      </w:r>
      <w:r w:rsidRPr="00B10A68">
        <w:rPr>
          <w:rFonts w:ascii="Verdana" w:eastAsia="Times New Roman" w:hAnsi="Verdana" w:cs="Arial"/>
          <w:lang w:val="es-ES" w:eastAsia="es-ES"/>
        </w:rPr>
        <w:t xml:space="preserve">; </w:t>
      </w:r>
      <w:proofErr w:type="spellStart"/>
      <w:r w:rsidRPr="00B10A68">
        <w:rPr>
          <w:rFonts w:ascii="Verdana" w:eastAsia="Times New Roman" w:hAnsi="Verdana" w:cs="Arial"/>
          <w:lang w:val="es-ES" w:eastAsia="es-ES"/>
        </w:rPr>
        <w:t>iii</w:t>
      </w:r>
      <w:proofErr w:type="spellEnd"/>
      <w:r w:rsidRPr="00B10A68">
        <w:rPr>
          <w:rFonts w:ascii="Verdana" w:eastAsia="Times New Roman" w:hAnsi="Verdana" w:cs="Arial"/>
          <w:lang w:val="es-ES" w:eastAsia="es-ES"/>
        </w:rPr>
        <w:t>) si un oferente no anexó el Certificado de existencia y representación legal, el documento aportado con posterioridad debe dar cuenta de que la sociedad existía antes del cierre del proceso</w:t>
      </w:r>
      <w:r w:rsidRPr="00B10A68">
        <w:rPr>
          <w:rFonts w:ascii="Verdana" w:eastAsia="Times New Roman" w:hAnsi="Verdana" w:cs="Arial"/>
          <w:vertAlign w:val="superscript"/>
          <w:lang w:val="es-ES" w:eastAsia="es-ES"/>
        </w:rPr>
        <w:footnoteReference w:id="8"/>
      </w:r>
      <w:r w:rsidRPr="00B10A68">
        <w:rPr>
          <w:rFonts w:ascii="Verdana" w:eastAsia="Times New Roman" w:hAnsi="Verdana" w:cs="Arial"/>
          <w:lang w:val="es-ES" w:eastAsia="es-ES"/>
        </w:rPr>
        <w:t xml:space="preserve">; </w:t>
      </w:r>
      <w:proofErr w:type="spellStart"/>
      <w:r w:rsidRPr="00B10A68">
        <w:rPr>
          <w:rFonts w:ascii="Verdana" w:eastAsia="Times New Roman" w:hAnsi="Verdana" w:cs="Arial"/>
          <w:lang w:val="es-ES" w:eastAsia="es-ES"/>
        </w:rPr>
        <w:t>iv</w:t>
      </w:r>
      <w:proofErr w:type="spellEnd"/>
      <w:r w:rsidRPr="00B10A68">
        <w:rPr>
          <w:rFonts w:ascii="Verdana" w:eastAsia="Times New Roman" w:hAnsi="Verdana" w:cs="Arial"/>
          <w:lang w:val="es-ES" w:eastAsia="es-ES"/>
        </w:rPr>
        <w:t xml:space="preserve">) si 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–sin importar que tenga fecha posterior– debe demostrar que la experiencia que se pretende hacer valer se obtuvo antes de vencerse el término para presentar ofertas y vi) si el oferente olvidó firmar la propuesta o presentar una copia de ella, puede subsanar sin que con ello se entienda que acreditó una circunstancia ocurrida con posterioridad al cierre del proceso. </w:t>
      </w:r>
    </w:p>
    <w:p w14:paraId="23F7DEF3" w14:textId="77777777" w:rsidR="00107E38" w:rsidRPr="00B10A68" w:rsidRDefault="00107E38" w:rsidP="00107E38">
      <w:pPr>
        <w:spacing w:after="120" w:line="276" w:lineRule="auto"/>
        <w:ind w:firstLine="709"/>
        <w:jc w:val="both"/>
        <w:rPr>
          <w:rFonts w:ascii="Verdana" w:eastAsia="Times New Roman" w:hAnsi="Verdana" w:cs="Arial"/>
          <w:i/>
          <w:lang w:val="es-ES" w:eastAsia="es-ES"/>
        </w:rPr>
      </w:pPr>
      <w:r w:rsidRPr="00B10A68">
        <w:rPr>
          <w:rFonts w:ascii="Verdana" w:eastAsia="Times New Roman" w:hAnsi="Verdana" w:cs="Arial"/>
          <w:lang w:val="es-ES" w:eastAsia="es-ES"/>
        </w:rPr>
        <w:t xml:space="preserve">Lo anterior quiere decir que 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w:t>
      </w:r>
      <w:r w:rsidRPr="00B10A68">
        <w:rPr>
          <w:rFonts w:ascii="Verdana" w:eastAsia="Times New Roman" w:hAnsi="Verdana" w:cs="Arial"/>
          <w:lang w:val="es-ES" w:eastAsia="es-ES"/>
        </w:rPr>
        <w:lastRenderedPageBreak/>
        <w:t>antes, esto es, que no sea una circunstancia ocurrida con posterioridad al cierre del proceso. Es por esto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B10A68">
        <w:rPr>
          <w:rFonts w:ascii="Verdana" w:eastAsia="Times New Roman" w:hAnsi="Verdana" w:cs="Arial"/>
          <w:vertAlign w:val="superscript"/>
          <w:lang w:val="es-ES" w:eastAsia="es-ES"/>
        </w:rPr>
        <w:footnoteReference w:id="9"/>
      </w:r>
      <w:r w:rsidRPr="00B10A68">
        <w:rPr>
          <w:rFonts w:ascii="Verdana" w:eastAsia="Times New Roman" w:hAnsi="Verdana" w:cs="Arial"/>
          <w:lang w:val="es-ES" w:eastAsia="es-ES"/>
        </w:rPr>
        <w:t>.</w:t>
      </w:r>
    </w:p>
    <w:p w14:paraId="7730D775" w14:textId="77777777" w:rsidR="00107E38" w:rsidRPr="00B10A68" w:rsidRDefault="00107E38" w:rsidP="00107E38">
      <w:pPr>
        <w:spacing w:after="120" w:line="276" w:lineRule="auto"/>
        <w:ind w:firstLine="709"/>
        <w:jc w:val="both"/>
        <w:rPr>
          <w:rFonts w:ascii="Verdana" w:eastAsia="Calibri" w:hAnsi="Verdana" w:cs="Times New Roman"/>
          <w:color w:val="000000"/>
        </w:rPr>
      </w:pPr>
      <w:r w:rsidRPr="00B10A68">
        <w:rPr>
          <w:rFonts w:ascii="Verdana" w:eastAsia="Times New Roman" w:hAnsi="Verdana" w:cs="Arial"/>
          <w:iCs/>
          <w:lang w:val="es-ES" w:eastAsia="es-ES"/>
        </w:rPr>
        <w:t>Ahora bien,</w:t>
      </w:r>
      <w:r w:rsidRPr="00B10A68">
        <w:rPr>
          <w:rFonts w:ascii="Verdana" w:eastAsia="Times New Roman" w:hAnsi="Verdana" w:cs="Arial"/>
          <w:i/>
          <w:lang w:val="es-ES" w:eastAsia="es-ES"/>
        </w:rPr>
        <w:t xml:space="preserve"> e</w:t>
      </w:r>
      <w:r w:rsidRPr="00B10A68">
        <w:rPr>
          <w:rFonts w:ascii="Verdana" w:eastAsia="Calibri" w:hAnsi="Verdana" w:cs="Arial"/>
          <w:color w:val="000000"/>
          <w:lang w:val="es-ES"/>
        </w:rPr>
        <w:t>l parágrafo 3 del artículo 5 de la Ley 1882 de 2018 determinó, de manera expresa, que “la no entrega de la garantía de seriedad junto con la propuesta no será subsanable y será causal de rechazo de la misma”, dejando claro que se trata de un documento de obligatoria presentación junto con la propuesta y que materializa los principios de seriedad e irrevocabilidad de la oferta.</w:t>
      </w:r>
      <w:r w:rsidRPr="00B10A68">
        <w:rPr>
          <w:rFonts w:ascii="Verdana" w:eastAsia="Calibri" w:hAnsi="Verdana" w:cs="Times New Roman"/>
          <w:color w:val="000000"/>
        </w:rPr>
        <w:t> </w:t>
      </w:r>
    </w:p>
    <w:p w14:paraId="27C692C6" w14:textId="77777777" w:rsidR="00107E38" w:rsidRPr="00B10A68" w:rsidRDefault="00107E38" w:rsidP="00107E38">
      <w:pPr>
        <w:spacing w:after="120" w:line="276" w:lineRule="auto"/>
        <w:ind w:firstLine="709"/>
        <w:jc w:val="both"/>
        <w:rPr>
          <w:rFonts w:ascii="Verdana" w:eastAsia="Calibri" w:hAnsi="Verdana" w:cs="Times New Roman"/>
          <w:color w:val="000000"/>
        </w:rPr>
      </w:pPr>
      <w:r w:rsidRPr="00B10A68">
        <w:rPr>
          <w:rFonts w:ascii="Verdana" w:eastAsia="Calibri" w:hAnsi="Verdana" w:cs="Times New Roman"/>
          <w:color w:val="000000"/>
        </w:rPr>
        <w:t>En línea con lo anterior, una vez verificada la ausencia de requisitos y/o documentos de la oferta, para efectos de saber si se pueden subsanar, la entidad contratante debe preguntarse, en primer lugar, si lo que hace falta es un documento que afecte la asignación de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07F985BB" w14:textId="77777777" w:rsidR="00107E38" w:rsidRPr="00B10A68" w:rsidRDefault="00107E38" w:rsidP="00107E38">
      <w:pPr>
        <w:spacing w:after="120" w:line="276" w:lineRule="auto"/>
        <w:ind w:firstLine="709"/>
        <w:jc w:val="both"/>
        <w:rPr>
          <w:rFonts w:ascii="Verdana" w:eastAsia="Calibri" w:hAnsi="Verdana" w:cs="Times New Roman"/>
          <w:color w:val="000000"/>
        </w:rPr>
      </w:pPr>
      <w:r w:rsidRPr="00B10A68">
        <w:rPr>
          <w:rFonts w:ascii="Verdana" w:eastAsia="Calibri" w:hAnsi="Verdana" w:cs="Times New Roman"/>
          <w:color w:val="000000"/>
        </w:rPr>
        <w:t xml:space="preserve">Ahora bien, teniendo en cuenta el objeto bajo consulta, se hace necesario que esta Agencia se manifieste sobre la diferencia entre la regla sobre subsanación de ofertas en los procesos de selección antes explicada, y la aclaración de las ofertas, cuestiones que resultan ser distintas, pese a que ambas puedan contener considerandos como elementos propios del principio de selección objetiva. Así, es aras de que la Entidad Estatal al momento de evaluar las ofertas recibidas y, con el fin de comprender integralmente cada documento contenido en la oferta, podrá acudir a la facultad que le otorga expresamente el numeral 7 del artículo 30 de la Ley 80 de 1993. Dicha norma señala que entre </w:t>
      </w:r>
      <w:r w:rsidRPr="00B10A68">
        <w:rPr>
          <w:rFonts w:ascii="Verdana" w:eastAsia="Calibri" w:hAnsi="Verdana" w:cs="Times New Roman"/>
          <w:color w:val="000000"/>
        </w:rPr>
        <w:lastRenderedPageBreak/>
        <w:t>los componentes que deberá contener el pliego de condiciones incluye al “plazo razonable dentro del cual la entidad deberá elaborar los estudios técnicos, económicos y jurídicos necesarios para la evaluación de las propuestas y para solicitar a los proponentes las aclaraciones y explicaciones que se estimen indispensables”.</w:t>
      </w:r>
    </w:p>
    <w:p w14:paraId="0A8C1B92" w14:textId="77777777" w:rsidR="00107E38" w:rsidRPr="00B10A68" w:rsidRDefault="00107E38" w:rsidP="00107E38">
      <w:pPr>
        <w:spacing w:after="120" w:line="276" w:lineRule="auto"/>
        <w:ind w:firstLine="708"/>
        <w:jc w:val="both"/>
        <w:rPr>
          <w:rFonts w:ascii="Verdana" w:eastAsia="Calibri" w:hAnsi="Verdana" w:cs="Times New Roman"/>
          <w:bCs/>
          <w:color w:val="000000"/>
          <w:lang w:val="es-ES"/>
        </w:rPr>
      </w:pPr>
      <w:r w:rsidRPr="00B10A68">
        <w:rPr>
          <w:rFonts w:ascii="Verdana" w:eastAsia="Calibri" w:hAnsi="Verdana" w:cs="Times New Roman"/>
          <w:color w:val="000000"/>
          <w:lang w:val="es-ES_tradnl"/>
        </w:rPr>
        <w:t xml:space="preserve">Dicha facultad, a su vez se establece entre otras, en el artículo </w:t>
      </w:r>
      <w:r w:rsidRPr="00B10A68">
        <w:rPr>
          <w:rFonts w:ascii="Verdana" w:eastAsia="Calibri" w:hAnsi="Verdana" w:cs="Times New Roman"/>
          <w:bCs/>
          <w:color w:val="000000"/>
          <w:lang w:val="es-ES"/>
        </w:rPr>
        <w:t>2.2.1.1.2.2.4. del Decreto 1082 de 2015, referido a las explicaciones que la Entidad Estatal deberá solicitar al oferente cuando advierta que su oferta contiene un precio artificialmente bajo. En similar sentido, el numeral 3 del artículo 2.2.1.2.1.3.12 incluye el deber de aclaración, en cabeza del organismo asesor dentro del concurso de arquitectura o la posibilidad con la que cuenta la Entidad Estatal para solicitar aclaraciones al originador del proyecto al tratarse de asociaciones público-privadas de iniciativa privada. Todas estas normas contienen ejemplos de aplicación del principio de selección objetiva, pues pretenden que la entidad u organismo que evaluará las respectiva oferta o iniciativa, según el caso, cuente con el conocimiento e información veraz y suficiente para tomar una decisión acertada.</w:t>
      </w:r>
    </w:p>
    <w:p w14:paraId="3C0A7234" w14:textId="77777777" w:rsidR="00107E38" w:rsidRPr="00B10A68" w:rsidRDefault="00107E38" w:rsidP="00107E38">
      <w:pPr>
        <w:spacing w:after="120" w:line="276" w:lineRule="auto"/>
        <w:ind w:firstLine="708"/>
        <w:jc w:val="both"/>
        <w:rPr>
          <w:rFonts w:ascii="Verdana" w:eastAsia="Calibri" w:hAnsi="Verdana" w:cs="Times New Roman"/>
          <w:color w:val="000000"/>
          <w:lang w:val="es-ES_tradnl"/>
        </w:rPr>
      </w:pPr>
      <w:r w:rsidRPr="00B10A68">
        <w:rPr>
          <w:rFonts w:ascii="Verdana" w:eastAsia="Calibri" w:hAnsi="Verdana" w:cs="Times New Roman"/>
          <w:bCs/>
          <w:color w:val="000000"/>
          <w:lang w:val="es-ES"/>
        </w:rPr>
        <w:t>En ese sentido, la facultad de solicitar aclaraciones en cabeza de la entidad contratante, establecida principal y genéricamente en el artículo 30 de la Ley 80 de 1993, debe comprenderse bajo el entendido que el oferente cuya oferta requiera ser aclarada, no podrá, so pena de proceder de conformidad con el requerimiento de la Entidad Estatal, realizar modificaciones que impliquen una mejora o alteración sustancial de la oferta, tal y como ha sido expresado por el Consejo de Estado.</w:t>
      </w:r>
    </w:p>
    <w:p w14:paraId="77CBF746" w14:textId="77777777" w:rsidR="00107E38" w:rsidRPr="00B10A68" w:rsidRDefault="00107E38" w:rsidP="00107E38">
      <w:pPr>
        <w:spacing w:after="120" w:line="276" w:lineRule="auto"/>
        <w:ind w:firstLine="708"/>
        <w:jc w:val="both"/>
        <w:rPr>
          <w:rFonts w:ascii="Verdana" w:eastAsia="Calibri" w:hAnsi="Verdana" w:cs="Times New Roman"/>
          <w:color w:val="000000"/>
          <w:lang w:val="es-ES_tradnl"/>
        </w:rPr>
      </w:pPr>
      <w:r w:rsidRPr="00B10A68">
        <w:rPr>
          <w:rFonts w:ascii="Verdana" w:eastAsia="Calibri" w:hAnsi="Verdana" w:cs="Times New Roman"/>
          <w:color w:val="000000"/>
          <w:lang w:val="es-ES_tradnl"/>
        </w:rPr>
        <w:t xml:space="preserve">Sin embargo, lo anterior no impide que se puedan realizar aclaraciones a las propuestas, bien sea porque la Entidad Estatal las solicite en la evaluación de las mismas, o porque las realicen los oferentes en la etapa dispuesta para las observaciones a los informes de evaluación; pero, siempre y cuando versen sobre aspectos meramente formales o adjetivos o que en todo caso, no impliquen una variación o corrección del fondo de la propuestas a favor de quien las presenta y en detrimento de la posición de los demás proponentes en la evaluación, es decir, que con las mismas no se altere de manera sustancial la información inicialmente suministrada y la situación de los oferentes en el Proceso de Contratación. </w:t>
      </w:r>
    </w:p>
    <w:p w14:paraId="66DA3615" w14:textId="77777777" w:rsidR="00107E38" w:rsidRPr="00B10A68" w:rsidRDefault="00107E38" w:rsidP="00107E38">
      <w:pPr>
        <w:spacing w:after="120" w:line="276" w:lineRule="auto"/>
        <w:ind w:firstLine="708"/>
        <w:jc w:val="both"/>
        <w:rPr>
          <w:rFonts w:ascii="Verdana" w:eastAsia="Calibri" w:hAnsi="Verdana" w:cs="Times New Roman"/>
          <w:color w:val="000000"/>
          <w:lang w:val="es-ES"/>
        </w:rPr>
      </w:pPr>
      <w:r w:rsidRPr="04EA4659">
        <w:rPr>
          <w:rFonts w:ascii="Verdana" w:eastAsia="Calibri" w:hAnsi="Verdana" w:cs="Times New Roman"/>
          <w:color w:val="000000" w:themeColor="text1"/>
          <w:lang w:val="es-ES"/>
        </w:rPr>
        <w:lastRenderedPageBreak/>
        <w:t>Así pues, como es posible que por vía aclaratoria los proponentes intenten modificar o mejorar sus ofertas, debe distinguirse entre las simples aclaraciones de las propuestas y las modificaciones a estas. Las primeras son los medios para que se pueda hacer perceptible, manifiesto, explícito o inteligible algún aspecto confuso de la propuesta, sin que ello implique una complementación, adición, modificación o mejora de dicho aspecto, que es, precisamente, en lo que consisten las segundas.</w:t>
      </w:r>
    </w:p>
    <w:p w14:paraId="5C59B4FE" w14:textId="77777777" w:rsidR="00107E38" w:rsidRDefault="00107E38" w:rsidP="00107E38">
      <w:pPr>
        <w:spacing w:after="0" w:line="276" w:lineRule="auto"/>
        <w:ind w:firstLine="709"/>
        <w:jc w:val="both"/>
        <w:rPr>
          <w:rFonts w:ascii="Verdana" w:eastAsia="Calibri" w:hAnsi="Verdana" w:cs="Times New Roman"/>
          <w:color w:val="000000" w:themeColor="text1"/>
          <w:lang w:val="es-ES"/>
        </w:rPr>
      </w:pPr>
      <w:r w:rsidRPr="04EA4659">
        <w:rPr>
          <w:rFonts w:ascii="Verdana" w:eastAsia="Calibri" w:hAnsi="Verdana" w:cs="Times New Roman"/>
          <w:color w:val="000000" w:themeColor="text1"/>
          <w:lang w:val="es-ES"/>
        </w:rPr>
        <w:t xml:space="preserve">La solicitud de aclaraciones permite que las Entidad Estatales requieran a los proponentes para esclarecer aspectos de sus propuestas que, en principio, resultan confusos para efectos de evaluación, diferenciándose de la </w:t>
      </w:r>
      <w:proofErr w:type="spellStart"/>
      <w:r w:rsidRPr="04EA4659">
        <w:rPr>
          <w:rFonts w:ascii="Verdana" w:eastAsia="Calibri" w:hAnsi="Verdana" w:cs="Times New Roman"/>
          <w:color w:val="000000" w:themeColor="text1"/>
          <w:lang w:val="es-ES"/>
        </w:rPr>
        <w:t>subsanabilidad</w:t>
      </w:r>
      <w:proofErr w:type="spellEnd"/>
      <w:r w:rsidRPr="04EA4659">
        <w:rPr>
          <w:rFonts w:ascii="Verdana" w:eastAsia="Calibri" w:hAnsi="Verdana" w:cs="Times New Roman"/>
          <w:color w:val="000000" w:themeColor="text1"/>
          <w:lang w:val="es-ES"/>
        </w:rPr>
        <w:t>, pues no parte del supuesto de la ausencia de requisitos de la oferta sino de la existencia de dudas sobre esta, cuya explicación se requiere para su evaluación. Esta diferencia es importante, pues es posible aclarar los requisitos que asignan puntaje, tal y como lo ha señalado la jurisprudencia del Consejo de Estado en los siguientes términos:</w:t>
      </w:r>
    </w:p>
    <w:p w14:paraId="78816DA7" w14:textId="77777777" w:rsidR="00107E38" w:rsidRPr="00B10A68" w:rsidRDefault="00107E38" w:rsidP="00107E38">
      <w:pPr>
        <w:spacing w:after="0" w:line="276" w:lineRule="auto"/>
        <w:ind w:firstLine="709"/>
        <w:jc w:val="both"/>
        <w:rPr>
          <w:rFonts w:ascii="Verdana" w:eastAsia="Calibri" w:hAnsi="Verdana" w:cs="Times New Roman"/>
          <w:color w:val="000000"/>
          <w:lang w:val="es-ES"/>
        </w:rPr>
      </w:pPr>
    </w:p>
    <w:p w14:paraId="1858A9C3" w14:textId="77777777" w:rsidR="00107E38" w:rsidRPr="006A332C" w:rsidRDefault="00107E38" w:rsidP="00107E38">
      <w:pPr>
        <w:spacing w:after="0" w:line="240" w:lineRule="auto"/>
        <w:ind w:left="709" w:right="709"/>
        <w:jc w:val="both"/>
        <w:textAlignment w:val="baseline"/>
        <w:rPr>
          <w:rFonts w:ascii="Verdana" w:eastAsia="Calibri" w:hAnsi="Verdana" w:cs="Times New Roman"/>
          <w:color w:val="000000"/>
          <w:sz w:val="20"/>
          <w:szCs w:val="20"/>
          <w:lang w:val="es-ES"/>
        </w:rPr>
      </w:pPr>
      <w:r w:rsidRPr="006A332C">
        <w:rPr>
          <w:rFonts w:ascii="Verdana" w:eastAsia="Calibri" w:hAnsi="Verdana" w:cs="Times New Roman"/>
          <w:color w:val="000000"/>
          <w:sz w:val="20"/>
          <w:szCs w:val="20"/>
          <w:lang w:val="es-ES"/>
        </w:rPr>
        <w:t xml:space="preserve">“Conforme al art. 30.7 las entidades deben garantizar el derecho que tienen los oferentes de aclarar los aspectos confusos de sus propuestas, facultad que le permitirá a la entidad definir su adecuación o no al pliego. Esta figura constituye una oportunidad propia del proceso de evaluación de las ofertas -que se diferencia de la </w:t>
      </w:r>
      <w:proofErr w:type="spellStart"/>
      <w:r w:rsidRPr="006A332C">
        <w:rPr>
          <w:rFonts w:ascii="Verdana" w:eastAsia="Calibri" w:hAnsi="Verdana" w:cs="Times New Roman"/>
          <w:color w:val="000000"/>
          <w:sz w:val="20"/>
          <w:szCs w:val="20"/>
          <w:lang w:val="es-ES"/>
        </w:rPr>
        <w:t>subsanabilidad</w:t>
      </w:r>
      <w:proofErr w:type="spellEnd"/>
      <w:r w:rsidRPr="006A332C">
        <w:rPr>
          <w:rFonts w:ascii="Verdana" w:eastAsia="Calibri" w:hAnsi="Verdana" w:cs="Times New Roman"/>
          <w:color w:val="000000"/>
          <w:sz w:val="20"/>
          <w:szCs w:val="20"/>
          <w:lang w:val="es-ES"/>
        </w:rPr>
        <w:t xml:space="preserve"> -, pues no parte del supuesto de la ausencia de requisitos de la oferta -los que hay que subsanar-, sino de la presencia de inconsistencias o falta de claridad en la oferta, […]. La importancia de diferenciarlos radica en que la aclaración o explicación se admite, incluso, sobre requisitos que afectan la comparación de las ofertas y/o inciden en la asignación del puntaje; se repite, siempre y cuando se trate de inconsistencias o falta de claridad, porque allí no se modifica el ofrecimiento, simplemente se aclara, es decir, se trata de hacer manifiesto lo que ya existe -sólo que es contradictorio o confuso-, se busca sacar a la luz lo que parece oscuro, no de subsanar algo, pues el requisito que admite ser aclarado tiene que estar incluido en la oferta, solo que la entidad tiene dudas sobre su alcance, contenido o acreditación, porque de la oferta se pueden inferir entendimientos diferentes”</w:t>
      </w:r>
      <w:r w:rsidRPr="006A332C">
        <w:rPr>
          <w:rFonts w:ascii="Verdana" w:eastAsia="Calibri" w:hAnsi="Verdana" w:cs="Times New Roman"/>
          <w:color w:val="000000"/>
          <w:sz w:val="20"/>
          <w:szCs w:val="20"/>
          <w:vertAlign w:val="superscript"/>
          <w:lang w:val="es-ES"/>
        </w:rPr>
        <w:footnoteReference w:id="10"/>
      </w:r>
      <w:r w:rsidRPr="006A332C">
        <w:rPr>
          <w:rFonts w:ascii="Verdana" w:eastAsia="Calibri" w:hAnsi="Verdana" w:cs="Times New Roman"/>
          <w:color w:val="000000"/>
          <w:sz w:val="20"/>
          <w:szCs w:val="20"/>
          <w:lang w:val="es-ES"/>
        </w:rPr>
        <w:t>.</w:t>
      </w:r>
    </w:p>
    <w:p w14:paraId="1C756EB1" w14:textId="77777777" w:rsidR="00107E38" w:rsidRPr="00B10A68" w:rsidRDefault="00107E38" w:rsidP="00107E38">
      <w:pPr>
        <w:spacing w:after="0" w:line="276" w:lineRule="auto"/>
        <w:ind w:firstLine="709"/>
        <w:jc w:val="both"/>
        <w:rPr>
          <w:rFonts w:ascii="Verdana" w:eastAsia="Calibri" w:hAnsi="Verdana" w:cs="Times New Roman"/>
          <w:bCs/>
          <w:color w:val="000000"/>
          <w:lang w:val="es-ES"/>
        </w:rPr>
      </w:pPr>
    </w:p>
    <w:p w14:paraId="60242F66" w14:textId="77777777" w:rsidR="00107E38" w:rsidRPr="00B10A68" w:rsidRDefault="00107E38" w:rsidP="00107E38">
      <w:pPr>
        <w:spacing w:after="120" w:line="276" w:lineRule="auto"/>
        <w:ind w:firstLine="708"/>
        <w:jc w:val="both"/>
        <w:rPr>
          <w:rFonts w:ascii="Verdana" w:eastAsia="Calibri" w:hAnsi="Verdana" w:cs="Times New Roman"/>
          <w:bCs/>
          <w:color w:val="000000"/>
          <w:lang w:val="es-ES"/>
        </w:rPr>
      </w:pPr>
      <w:r w:rsidRPr="00B10A68">
        <w:rPr>
          <w:rFonts w:ascii="Verdana" w:eastAsia="Calibri" w:hAnsi="Verdana" w:cs="Times New Roman"/>
          <w:bCs/>
          <w:color w:val="000000"/>
          <w:lang w:val="es-ES"/>
        </w:rPr>
        <w:t xml:space="preserve">De esta forma, así como lo expresó el Alto Tribunal Administrativo, aclarar una oferta no puede implicar su alteración sustancial o mejoría de sus </w:t>
      </w:r>
      <w:r w:rsidRPr="00B10A68">
        <w:rPr>
          <w:rFonts w:ascii="Verdana" w:eastAsia="Calibri" w:hAnsi="Verdana" w:cs="Times New Roman"/>
          <w:bCs/>
          <w:color w:val="000000"/>
          <w:lang w:val="es-ES"/>
        </w:rPr>
        <w:lastRenderedPageBreak/>
        <w:t>componentes, sino limitarse a disipar lo que resulta borroso u otorgar claridad a lo que oscuro o intangible. En este punto, se concluye, es plausible la diferencia entre aclarar y subsanar una oferta, siendo este último una institución que procura porque el oferente presente, dentro del plazo y bajo las condiciones dadas por la norma aplicable, los documentos que acrediten el cumplimiento de los requisitos exigidos como habilitantes para participar en el respectivo procedimiento de selección, mientras que la aclaración por su parte, permite el mejor entendimiento de los elementos de la oferta, sean o no subsanables, para la correcta verificación y evaluación de estos por parte de la Entidad Estatal.</w:t>
      </w:r>
    </w:p>
    <w:p w14:paraId="673B579C" w14:textId="77777777" w:rsidR="00107E38" w:rsidRPr="00B10A68" w:rsidRDefault="00107E38" w:rsidP="00107E38">
      <w:pPr>
        <w:spacing w:after="120" w:line="276" w:lineRule="auto"/>
        <w:ind w:firstLine="708"/>
        <w:jc w:val="both"/>
        <w:rPr>
          <w:rFonts w:ascii="Verdana" w:eastAsia="Calibri" w:hAnsi="Verdana" w:cs="Times New Roman"/>
          <w:color w:val="000000"/>
          <w:lang w:val="es-ES_tradnl"/>
        </w:rPr>
      </w:pPr>
      <w:r w:rsidRPr="00B10A68">
        <w:rPr>
          <w:rFonts w:ascii="Verdana" w:eastAsia="Calibri" w:hAnsi="Verdana" w:cs="Times New Roman"/>
          <w:color w:val="000000"/>
          <w:lang w:val="es-ES_tradnl"/>
        </w:rPr>
        <w:t>De acuerdo con lo dispuesto en el numeral 7 del artículo 30 de la Ley 80 de 1993, la aclaración de las propuestas se realiza durante la evaluación de estas, pues es necesario esclarecer los aspectos dudosos de las ofertas antes de la adjudicación</w:t>
      </w:r>
      <w:r w:rsidRPr="00B10A68">
        <w:rPr>
          <w:rFonts w:ascii="Verdana" w:eastAsia="Calibri" w:hAnsi="Verdana" w:cs="Times New Roman"/>
          <w:color w:val="000000"/>
          <w:vertAlign w:val="superscript"/>
          <w:lang w:val="es-ES"/>
        </w:rPr>
        <w:footnoteReference w:id="11"/>
      </w:r>
      <w:r w:rsidRPr="00B10A68">
        <w:rPr>
          <w:rFonts w:ascii="Verdana" w:eastAsia="Calibri" w:hAnsi="Verdana" w:cs="Times New Roman"/>
          <w:bCs/>
          <w:color w:val="000000"/>
          <w:lang w:val="es-ES"/>
        </w:rPr>
        <w:t>. De ahí que, la jurisprudencia explica a su vez que “[…] el proponente debe acogerse al tiempo que le otorga la administración para subsanar o aclarar la oferta, lapso que la entidad no puede extender más allá de la adjudicación […]”</w:t>
      </w:r>
      <w:r w:rsidRPr="00B10A68">
        <w:rPr>
          <w:rFonts w:ascii="Verdana" w:eastAsia="Calibri" w:hAnsi="Verdana" w:cs="Times New Roman"/>
          <w:bCs/>
          <w:color w:val="000000"/>
          <w:vertAlign w:val="superscript"/>
          <w:lang w:val="es-ES"/>
        </w:rPr>
        <w:footnoteReference w:id="12"/>
      </w:r>
      <w:r w:rsidRPr="00B10A68">
        <w:rPr>
          <w:rFonts w:ascii="Verdana" w:eastAsia="Calibri" w:hAnsi="Verdana" w:cs="Times New Roman"/>
          <w:bCs/>
          <w:color w:val="000000"/>
          <w:lang w:val="es-ES"/>
        </w:rPr>
        <w:t>. De esta manera, “lo ideal en un proceso de selección es que las aclaraciones y explicaciones se anticipen y soliciten durante la etapa de evaluación, lo más pronto posible, es decir, antes de que la entidad elabore el informe respectivo, de tal manera que las tenga en cuenta para producir este acto administrativo”</w:t>
      </w:r>
      <w:r w:rsidRPr="00B10A68">
        <w:rPr>
          <w:rFonts w:ascii="Verdana" w:eastAsia="Calibri" w:hAnsi="Verdana" w:cs="Times New Roman"/>
          <w:bCs/>
          <w:color w:val="000000"/>
          <w:vertAlign w:val="superscript"/>
          <w:lang w:val="es-ES"/>
        </w:rPr>
        <w:t xml:space="preserve"> </w:t>
      </w:r>
      <w:r w:rsidRPr="00B10A68">
        <w:rPr>
          <w:rFonts w:ascii="Verdana" w:eastAsia="Calibri" w:hAnsi="Verdana" w:cs="Times New Roman"/>
          <w:bCs/>
          <w:color w:val="000000"/>
          <w:vertAlign w:val="superscript"/>
          <w:lang w:val="es-ES"/>
        </w:rPr>
        <w:footnoteReference w:id="13"/>
      </w:r>
      <w:r w:rsidRPr="00B10A68">
        <w:rPr>
          <w:rFonts w:ascii="Verdana" w:eastAsia="Calibri" w:hAnsi="Verdana" w:cs="Times New Roman"/>
          <w:bCs/>
          <w:color w:val="000000"/>
          <w:vertAlign w:val="superscript"/>
          <w:lang w:val="es-ES"/>
        </w:rPr>
        <w:t>.</w:t>
      </w:r>
    </w:p>
    <w:p w14:paraId="6A9CE9AA" w14:textId="77777777" w:rsidR="00107E38" w:rsidRPr="00B10A68" w:rsidRDefault="00107E38" w:rsidP="00107E38">
      <w:pPr>
        <w:spacing w:after="120" w:line="276" w:lineRule="auto"/>
        <w:ind w:firstLine="607"/>
        <w:jc w:val="both"/>
        <w:rPr>
          <w:rFonts w:ascii="Verdana" w:eastAsia="Calibri" w:hAnsi="Verdana" w:cs="Times New Roman"/>
          <w:color w:val="000000"/>
        </w:rPr>
      </w:pPr>
      <w:r w:rsidRPr="00B10A68">
        <w:rPr>
          <w:rFonts w:ascii="Verdana" w:eastAsia="Calibri" w:hAnsi="Verdana" w:cs="Times New Roman"/>
          <w:color w:val="000000"/>
          <w:lang w:val="es-ES_tradnl"/>
        </w:rPr>
        <w:t xml:space="preserve">En ese contexto, considerando la diferencia entre aclarar y subsanar en el evento en que la Entidad Estatal, con ocasión de la elaboración del informe de evaluación de las propuestas o de las observaciones presentadas por los proponentes a este, identifique en una propuesta aspectos que no sean claros o generen dudas, podrá requerir al proponente para que haga la aclaración correspondiente. De ahí que, habida consideración del principio de prevalencia </w:t>
      </w:r>
      <w:r w:rsidRPr="00B10A68">
        <w:rPr>
          <w:rFonts w:ascii="Verdana" w:eastAsia="Calibri" w:hAnsi="Verdana" w:cs="Times New Roman"/>
          <w:color w:val="000000"/>
          <w:lang w:val="es-ES_tradnl"/>
        </w:rPr>
        <w:lastRenderedPageBreak/>
        <w:t xml:space="preserve">de lo sustancial sobre lo formal, podrán aclararse aspectos puramente formales de las propuestas, inclusive aquellos que otorgan puntaje, siempre y cuando ese hecho no conlleve una adición, modificación o mejora sustancial de la oferta. </w:t>
      </w:r>
    </w:p>
    <w:p w14:paraId="20BD117A" w14:textId="77777777" w:rsidR="00107E38" w:rsidRPr="00B10A68" w:rsidRDefault="00107E38" w:rsidP="00107E38">
      <w:pPr>
        <w:widowControl w:val="0"/>
        <w:spacing w:after="120" w:line="254" w:lineRule="auto"/>
        <w:ind w:firstLine="607"/>
        <w:jc w:val="both"/>
        <w:rPr>
          <w:rFonts w:ascii="Verdana" w:eastAsia="Arial" w:hAnsi="Verdana" w:cs="Arial"/>
        </w:rPr>
      </w:pPr>
      <w:r w:rsidRPr="00B10A68">
        <w:rPr>
          <w:rFonts w:ascii="Verdana" w:eastAsia="Arial" w:hAnsi="Verdana" w:cs="Arial"/>
        </w:rPr>
        <w:t>Por último, el 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w:t>
      </w:r>
      <w:r w:rsidRPr="00B10A68">
        <w:rPr>
          <w:rFonts w:ascii="Verdana" w:eastAsia="Arial" w:hAnsi="Verdana" w:cs="Arial"/>
          <w:vertAlign w:val="superscript"/>
        </w:rPr>
        <w:footnoteReference w:id="14"/>
      </w:r>
      <w:r w:rsidRPr="00B10A68">
        <w:rPr>
          <w:rFonts w:ascii="Verdana" w:eastAsia="Arial" w:hAnsi="Verdana" w:cs="Arial"/>
        </w:rPr>
        <w:t>. En ese sentido, si bien las Entidades Estatales, en ejercicio de la discrecionalidad que les corresponde en la configuración de los pliegos de condiciones, tienen competencia para determinar los requisitos que deben cumplir los proponentes para la presentación de ofertas</w:t>
      </w:r>
      <w:r w:rsidRPr="00B10A68">
        <w:rPr>
          <w:rFonts w:ascii="Verdana" w:eastAsia="Arial" w:hAnsi="Verdana" w:cs="Arial"/>
          <w:vertAlign w:val="superscript"/>
        </w:rPr>
        <w:footnoteReference w:id="15"/>
      </w:r>
      <w:r w:rsidRPr="00B10A68">
        <w:rPr>
          <w:rFonts w:ascii="Verdana" w:eastAsia="Arial" w:hAnsi="Verdana" w:cs="Arial"/>
        </w:rPr>
        <w:t xml:space="preserve"> y regular los eventos en los que procede su rechazo</w:t>
      </w:r>
      <w:r w:rsidRPr="00B10A68">
        <w:rPr>
          <w:rFonts w:ascii="Verdana" w:eastAsia="Arial" w:hAnsi="Verdana" w:cs="Arial"/>
          <w:vertAlign w:val="superscript"/>
        </w:rPr>
        <w:footnoteReference w:id="16"/>
      </w:r>
      <w:r w:rsidRPr="00B10A68">
        <w:rPr>
          <w:rFonts w:ascii="Verdana" w:eastAsia="Arial" w:hAnsi="Verdana" w:cs="Arial"/>
        </w:rPr>
        <w:t xml:space="preserve">, el ejercicio de tales facultades encuentra ciertos límites en la ley y el reglamento, así como en los principios de razonabilidad y proporcionalidad.  </w:t>
      </w:r>
    </w:p>
    <w:p w14:paraId="10542C52" w14:textId="77777777" w:rsidR="00107E38" w:rsidRPr="00B10A68" w:rsidRDefault="00107E38" w:rsidP="00107E38">
      <w:pPr>
        <w:widowControl w:val="0"/>
        <w:spacing w:after="120" w:line="254" w:lineRule="auto"/>
        <w:ind w:firstLine="607"/>
        <w:jc w:val="both"/>
        <w:rPr>
          <w:rFonts w:ascii="Verdana" w:eastAsia="Arial" w:hAnsi="Verdana" w:cs="Arial"/>
        </w:rPr>
      </w:pPr>
      <w:r w:rsidRPr="00B10A68">
        <w:rPr>
          <w:rFonts w:ascii="Verdana" w:eastAsia="Arial" w:hAnsi="Verdana" w:cs="Arial"/>
        </w:rPr>
        <w:t xml:space="preserve">En ese entendido, uno de los límites a la facultad para establecer causales de rechazo, se encuentra en la regla de </w:t>
      </w:r>
      <w:proofErr w:type="spellStart"/>
      <w:r w:rsidRPr="00B10A68">
        <w:rPr>
          <w:rFonts w:ascii="Verdana" w:eastAsia="Arial" w:hAnsi="Verdana" w:cs="Arial"/>
        </w:rPr>
        <w:t>subsanabilidad</w:t>
      </w:r>
      <w:proofErr w:type="spellEnd"/>
      <w:r w:rsidRPr="00B10A68">
        <w:rPr>
          <w:rFonts w:ascii="Verdana" w:eastAsia="Arial" w:hAnsi="Verdana" w:cs="Arial"/>
        </w:rPr>
        <w:t xml:space="preserve"> del parágrafo 1 del artículo 5 de la Ley 1150 de 2007, según la cual “La ausencia de requisitos o la falta de documentos referentes a la futura contratación o al proponente, no necesarios para la comparación de las propuestas no servirán de título suficiente para el rechazo de los ofrecimientos hechos”, por lo que las entidades no podrán establecer causales de rechazo referentes a meros requisitos formales o rechazar las ofertas por esa razón. </w:t>
      </w:r>
    </w:p>
    <w:p w14:paraId="083505B5" w14:textId="77777777" w:rsidR="00107E38" w:rsidRPr="00B10A68" w:rsidRDefault="00107E38" w:rsidP="00107E38">
      <w:pPr>
        <w:widowControl w:val="0"/>
        <w:spacing w:after="0" w:line="254" w:lineRule="auto"/>
        <w:ind w:firstLine="708"/>
        <w:jc w:val="both"/>
        <w:rPr>
          <w:rFonts w:ascii="Verdana" w:eastAsia="Arial" w:hAnsi="Verdana" w:cs="Arial"/>
        </w:rPr>
      </w:pPr>
      <w:r w:rsidRPr="00B10A68">
        <w:rPr>
          <w:rFonts w:ascii="Verdana" w:eastAsia="Arial" w:hAnsi="Verdana" w:cs="Arial"/>
        </w:rPr>
        <w:t>De esta manera, la jurisprudencia del Consejo de Estado ha determinado que las causales de rechazo pueden o no estar establecidas en el pliego de condiciones, sin perjuicio de que sean aplicables al proceso contractual las establecidas directamente en la ley. Así se estableció en la sentencia del 27 de abril de 2011, en los siguientes términos:</w:t>
      </w:r>
    </w:p>
    <w:p w14:paraId="7528A1E7" w14:textId="77777777" w:rsidR="00107E38" w:rsidRPr="00B10A68" w:rsidRDefault="00107E38" w:rsidP="00107E38">
      <w:pPr>
        <w:widowControl w:val="0"/>
        <w:spacing w:after="0" w:line="254" w:lineRule="auto"/>
        <w:ind w:firstLine="708"/>
        <w:jc w:val="both"/>
        <w:rPr>
          <w:rFonts w:ascii="Verdana" w:eastAsia="Arial" w:hAnsi="Verdana" w:cs="Arial"/>
        </w:rPr>
      </w:pPr>
    </w:p>
    <w:p w14:paraId="32D8211E" w14:textId="77777777" w:rsidR="00107E38" w:rsidRPr="006A332C" w:rsidRDefault="00107E38" w:rsidP="00107E38">
      <w:pPr>
        <w:widowControl w:val="0"/>
        <w:spacing w:after="0" w:line="240" w:lineRule="auto"/>
        <w:ind w:left="709" w:right="709"/>
        <w:jc w:val="both"/>
        <w:rPr>
          <w:rFonts w:ascii="Verdana" w:eastAsia="Arial" w:hAnsi="Verdana" w:cs="Arial"/>
          <w:sz w:val="20"/>
          <w:szCs w:val="20"/>
        </w:rPr>
      </w:pPr>
      <w:r w:rsidRPr="006A332C">
        <w:rPr>
          <w:rFonts w:ascii="Verdana" w:eastAsia="Arial" w:hAnsi="Verdana" w:cs="Arial"/>
          <w:sz w:val="20"/>
          <w:szCs w:val="20"/>
        </w:rPr>
        <w:t>“En efecto, la Administración puede rechazar o descalificar los ofrecimientos hechos por causales previstas en la ley; hipótesis bajo la cual, la entidad pública licitante se limita a dar por comprobado el hecho que justifica la exclusión y así lo declarará apoyada en normas legales o reglamentarias de carácter general.</w:t>
      </w:r>
    </w:p>
    <w:p w14:paraId="287B3BAA" w14:textId="77777777" w:rsidR="00107E38" w:rsidRPr="006A332C" w:rsidRDefault="00107E38" w:rsidP="00107E38">
      <w:pPr>
        <w:widowControl w:val="0"/>
        <w:spacing w:after="0" w:line="240" w:lineRule="auto"/>
        <w:ind w:left="709" w:right="709"/>
        <w:jc w:val="both"/>
        <w:rPr>
          <w:rFonts w:ascii="Verdana" w:eastAsia="Arial" w:hAnsi="Verdana" w:cs="Arial"/>
          <w:sz w:val="20"/>
          <w:szCs w:val="20"/>
        </w:rPr>
      </w:pPr>
      <w:r w:rsidRPr="006A332C">
        <w:rPr>
          <w:rFonts w:ascii="Verdana" w:eastAsia="Arial" w:hAnsi="Verdana" w:cs="Arial"/>
          <w:sz w:val="20"/>
          <w:szCs w:val="20"/>
        </w:rPr>
        <w:t>En esta línea de pensamiento, resulta claro que el rechazo o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1AACB257" w14:textId="77777777" w:rsidR="00107E38" w:rsidRPr="006A332C" w:rsidRDefault="00107E38" w:rsidP="00107E38">
      <w:pPr>
        <w:widowControl w:val="0"/>
        <w:spacing w:after="0" w:line="240" w:lineRule="auto"/>
        <w:ind w:left="709" w:right="709"/>
        <w:jc w:val="both"/>
        <w:rPr>
          <w:rFonts w:ascii="Verdana" w:eastAsia="Arial" w:hAnsi="Verdana" w:cs="Arial"/>
          <w:sz w:val="20"/>
          <w:szCs w:val="20"/>
        </w:rPr>
      </w:pPr>
      <w:r w:rsidRPr="006A332C">
        <w:rPr>
          <w:rFonts w:ascii="Verdana" w:eastAsia="Arial" w:hAnsi="Verdana" w:cs="Arial"/>
          <w:sz w:val="20"/>
          <w:szCs w:val="20"/>
        </w:rPr>
        <w:t>[…]</w:t>
      </w:r>
    </w:p>
    <w:p w14:paraId="6E427551" w14:textId="77777777" w:rsidR="00107E38" w:rsidRPr="006A332C" w:rsidRDefault="00107E38" w:rsidP="00107E38">
      <w:pPr>
        <w:widowControl w:val="0"/>
        <w:spacing w:after="0" w:line="240" w:lineRule="auto"/>
        <w:ind w:left="709" w:right="709"/>
        <w:jc w:val="both"/>
        <w:rPr>
          <w:rFonts w:ascii="Verdana" w:eastAsia="Arial" w:hAnsi="Verdana" w:cs="Arial"/>
          <w:sz w:val="20"/>
          <w:szCs w:val="20"/>
        </w:rPr>
      </w:pPr>
      <w:r w:rsidRPr="006A332C">
        <w:rPr>
          <w:rFonts w:ascii="Verdana" w:eastAsia="Arial" w:hAnsi="Verdana" w:cs="Arial"/>
          <w:sz w:val="20"/>
          <w:szCs w:val="20"/>
        </w:rPr>
        <w:t xml:space="preserve">Quiere con esto destacar la Sala que las causales de rechazo de las propuestas pueden ser legales y por lo mismo generan el efecto del descarte o exclusión de la oferta </w:t>
      </w:r>
      <w:proofErr w:type="spellStart"/>
      <w:r w:rsidRPr="006A332C">
        <w:rPr>
          <w:rFonts w:ascii="Verdana" w:eastAsia="Arial" w:hAnsi="Verdana" w:cs="Arial"/>
          <w:i/>
          <w:sz w:val="20"/>
          <w:szCs w:val="20"/>
        </w:rPr>
        <w:t>ope</w:t>
      </w:r>
      <w:proofErr w:type="spellEnd"/>
      <w:r w:rsidRPr="006A332C">
        <w:rPr>
          <w:rFonts w:ascii="Verdana" w:eastAsia="Arial" w:hAnsi="Verdana" w:cs="Arial"/>
          <w:i/>
          <w:sz w:val="20"/>
          <w:szCs w:val="20"/>
        </w:rPr>
        <w:t xml:space="preserve"> </w:t>
      </w:r>
      <w:proofErr w:type="spellStart"/>
      <w:r w:rsidRPr="006A332C">
        <w:rPr>
          <w:rFonts w:ascii="Verdana" w:eastAsia="Arial" w:hAnsi="Verdana" w:cs="Arial"/>
          <w:i/>
          <w:sz w:val="20"/>
          <w:szCs w:val="20"/>
        </w:rPr>
        <w:t>legis</w:t>
      </w:r>
      <w:proofErr w:type="spellEnd"/>
      <w:r w:rsidRPr="006A332C">
        <w:rPr>
          <w:rFonts w:ascii="Verdana" w:eastAsia="Arial" w:hAnsi="Verdana" w:cs="Arial"/>
          <w:sz w:val="20"/>
          <w:szCs w:val="20"/>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r w:rsidRPr="006A332C">
        <w:rPr>
          <w:rFonts w:ascii="Verdana" w:eastAsia="Arial" w:hAnsi="Verdana" w:cs="Arial"/>
          <w:sz w:val="20"/>
          <w:szCs w:val="20"/>
          <w:vertAlign w:val="superscript"/>
        </w:rPr>
        <w:footnoteReference w:id="17"/>
      </w:r>
      <w:r w:rsidRPr="006A332C">
        <w:rPr>
          <w:rFonts w:ascii="Verdana" w:eastAsia="Arial" w:hAnsi="Verdana" w:cs="Arial"/>
          <w:sz w:val="20"/>
          <w:szCs w:val="20"/>
        </w:rPr>
        <w:t>”.</w:t>
      </w:r>
    </w:p>
    <w:p w14:paraId="069B89BC" w14:textId="77777777" w:rsidR="00107E38" w:rsidRPr="00B10A68" w:rsidRDefault="00107E38" w:rsidP="00107E38">
      <w:pPr>
        <w:widowControl w:val="0"/>
        <w:spacing w:after="0" w:line="240" w:lineRule="auto"/>
        <w:ind w:left="709" w:right="709"/>
        <w:jc w:val="both"/>
        <w:rPr>
          <w:rFonts w:ascii="Verdana" w:eastAsia="Arial" w:hAnsi="Verdana" w:cs="Arial"/>
          <w:sz w:val="21"/>
          <w:szCs w:val="21"/>
        </w:rPr>
      </w:pPr>
    </w:p>
    <w:p w14:paraId="17FF9497" w14:textId="77777777" w:rsidR="00107E38" w:rsidRPr="00B10A68" w:rsidRDefault="00107E38" w:rsidP="00107E38">
      <w:pPr>
        <w:widowControl w:val="0"/>
        <w:spacing w:after="120" w:line="254" w:lineRule="auto"/>
        <w:ind w:firstLine="708"/>
        <w:jc w:val="both"/>
        <w:rPr>
          <w:rFonts w:ascii="Verdana" w:eastAsia="Arial" w:hAnsi="Verdana" w:cs="Arial"/>
        </w:rPr>
      </w:pPr>
      <w:r w:rsidRPr="00B10A68">
        <w:rPr>
          <w:rFonts w:ascii="Verdana" w:eastAsia="Arial" w:hAnsi="Verdana" w:cs="Arial"/>
        </w:rPr>
        <w:t xml:space="preserve">De acuerdo con la jurisprudencia citada, existen dos casos en los que procede el rechazo de la oferta: i) que se configure alguna de las causales de rechazo originadas en la ley o el reglamento y </w:t>
      </w:r>
      <w:proofErr w:type="spellStart"/>
      <w:r w:rsidRPr="00B10A68">
        <w:rPr>
          <w:rFonts w:ascii="Verdana" w:eastAsia="Arial" w:hAnsi="Verdana" w:cs="Arial"/>
        </w:rPr>
        <w:t>ii</w:t>
      </w:r>
      <w:proofErr w:type="spellEnd"/>
      <w:r w:rsidRPr="00B10A68">
        <w:rPr>
          <w:rFonts w:ascii="Verdana" w:eastAsia="Arial" w:hAnsi="Verdana" w:cs="Arial"/>
        </w:rPr>
        <w:t>) que se materialicen las establecidas en el pliego de condiciones</w:t>
      </w:r>
      <w:r>
        <w:rPr>
          <w:rFonts w:ascii="Verdana" w:eastAsia="Arial" w:hAnsi="Verdana" w:cs="Arial"/>
        </w:rPr>
        <w:t xml:space="preserve"> o documentos equivalentes</w:t>
      </w:r>
      <w:r w:rsidRPr="00B10A68">
        <w:rPr>
          <w:rFonts w:ascii="Verdana" w:eastAsia="Arial" w:hAnsi="Verdana" w:cs="Arial"/>
        </w:rPr>
        <w:t xml:space="preserve">. En tal sentido, las causales de rechazo de la oferta serán las consagradas en la ley o </w:t>
      </w:r>
      <w:r w:rsidRPr="00B10A68">
        <w:rPr>
          <w:rFonts w:ascii="Verdana" w:eastAsia="Arial" w:hAnsi="Verdana" w:cs="Arial"/>
        </w:rPr>
        <w:lastRenderedPageBreak/>
        <w:t xml:space="preserve">el reglamento producto de su aplicación, así como las definidas por las entidades en el respectivo pliego de condiciones. </w:t>
      </w:r>
    </w:p>
    <w:p w14:paraId="42F42D89" w14:textId="77777777" w:rsidR="00107E38" w:rsidRPr="00B10A68" w:rsidRDefault="00107E38" w:rsidP="00107E38">
      <w:pPr>
        <w:spacing w:after="120" w:line="254" w:lineRule="auto"/>
        <w:jc w:val="both"/>
        <w:rPr>
          <w:rFonts w:ascii="Verdana" w:eastAsia="Arial" w:hAnsi="Verdana" w:cs="Arial"/>
        </w:rPr>
      </w:pPr>
      <w:r w:rsidRPr="00B10A68">
        <w:rPr>
          <w:rFonts w:ascii="Verdana" w:eastAsia="Arial" w:hAnsi="Verdana" w:cs="Arial"/>
        </w:rPr>
        <w:tab/>
        <w:t xml:space="preserve">En tales términos, la facultad de las Entidades Estatales para incluir en los pliegos de condiciones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3DEDD84B" w14:textId="77777777" w:rsidR="0095030C" w:rsidRDefault="0095030C" w:rsidP="0095030C">
      <w:pPr>
        <w:spacing w:after="0" w:line="276" w:lineRule="auto"/>
        <w:ind w:firstLine="720"/>
        <w:contextualSpacing/>
        <w:jc w:val="both"/>
        <w:rPr>
          <w:rFonts w:ascii="Verdana" w:eastAsia="Arial" w:hAnsi="Verdana" w:cs="Arial"/>
          <w:color w:val="000000" w:themeColor="text1"/>
          <w:lang w:val="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xml:space="preserve">, cada entidad definirá la forma de adelantar su gestión contractual, sin que sea atribución de Colombia Compra Eficiente validar </w:t>
      </w:r>
      <w:r>
        <w:rPr>
          <w:rFonts w:ascii="Verdana" w:hAnsi="Verdana" w:cs="Arial"/>
          <w:lang w:eastAsia="es-ES"/>
        </w:rPr>
        <w:t>estas</w:t>
      </w:r>
      <w:r w:rsidRPr="00301910">
        <w:rPr>
          <w:rFonts w:ascii="Verdana" w:hAnsi="Verdana" w:cs="Arial"/>
          <w:lang w:eastAsia="es-ES"/>
        </w:rPr>
        <w:t xml:space="preserve"> actuaciones.</w:t>
      </w:r>
    </w:p>
    <w:p w14:paraId="66265406" w14:textId="77777777" w:rsidR="0095030C" w:rsidRPr="004A2375" w:rsidRDefault="0095030C" w:rsidP="006941CF">
      <w:pPr>
        <w:spacing w:before="240" w:line="276" w:lineRule="auto"/>
        <w:rPr>
          <w:rFonts w:ascii="Verdana" w:eastAsia="Calibri" w:hAnsi="Verdana" w:cs="Times New Roman"/>
          <w:b/>
          <w:bCs/>
        </w:rPr>
      </w:pPr>
      <w:r w:rsidRPr="004A2375">
        <w:rPr>
          <w:rFonts w:ascii="Verdana" w:eastAsia="Calibri" w:hAnsi="Verdana" w:cs="Times New Roman"/>
          <w:b/>
          <w:bCs/>
        </w:rPr>
        <w:t>4. Referencias normativas, jurisprudenciales y otras fuentes:</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5030C" w:rsidRPr="004A2375" w14:paraId="382FD2B3" w14:textId="77777777" w:rsidTr="000774F1">
        <w:trPr>
          <w:trHeight w:val="870"/>
          <w:jc w:val="center"/>
        </w:trPr>
        <w:tc>
          <w:tcPr>
            <w:tcW w:w="8647" w:type="dxa"/>
          </w:tcPr>
          <w:p w14:paraId="0BDCF630" w14:textId="77777777" w:rsidR="00D70FDE" w:rsidRPr="00B10A68" w:rsidRDefault="00D70FDE" w:rsidP="00D70FDE">
            <w:pPr>
              <w:numPr>
                <w:ilvl w:val="0"/>
                <w:numId w:val="17"/>
              </w:numPr>
              <w:spacing w:line="276" w:lineRule="auto"/>
              <w:ind w:left="714" w:hanging="357"/>
              <w:jc w:val="both"/>
              <w:rPr>
                <w:rFonts w:ascii="Verdana" w:hAnsi="Verdana" w:cs="Arial"/>
                <w:color w:val="000000"/>
                <w:lang w:eastAsia="es-ES"/>
              </w:rPr>
            </w:pPr>
            <w:r w:rsidRPr="00B10A68">
              <w:rPr>
                <w:rFonts w:ascii="Verdana" w:hAnsi="Verdana" w:cs="Arial"/>
                <w:color w:val="000000"/>
                <w:lang w:val="es-ES_tradnl"/>
              </w:rPr>
              <w:t>Ley 80 de 1993, artículos 24.5 literal b) y 30.8</w:t>
            </w:r>
          </w:p>
          <w:p w14:paraId="36DD49A8" w14:textId="77777777" w:rsidR="00D70FDE" w:rsidRPr="00B10A68" w:rsidRDefault="00D70FDE" w:rsidP="00D70FDE">
            <w:pPr>
              <w:numPr>
                <w:ilvl w:val="0"/>
                <w:numId w:val="17"/>
              </w:numPr>
              <w:spacing w:line="276" w:lineRule="auto"/>
              <w:ind w:left="714" w:hanging="357"/>
              <w:jc w:val="both"/>
              <w:rPr>
                <w:rFonts w:ascii="Verdana" w:hAnsi="Verdana" w:cs="Arial"/>
                <w:color w:val="000000"/>
                <w:lang w:eastAsia="es-ES"/>
              </w:rPr>
            </w:pPr>
            <w:r w:rsidRPr="00B10A68">
              <w:rPr>
                <w:rFonts w:ascii="Verdana" w:hAnsi="Verdana" w:cs="Arial"/>
                <w:color w:val="000000"/>
                <w:lang w:eastAsia="es-ES"/>
              </w:rPr>
              <w:t xml:space="preserve">Ley 1150 de 2007, </w:t>
            </w:r>
            <w:r w:rsidRPr="00B10A68">
              <w:rPr>
                <w:rFonts w:ascii="Verdana" w:hAnsi="Verdana" w:cs="Arial"/>
                <w:color w:val="000000" w:themeColor="text1"/>
              </w:rPr>
              <w:t>artículo 5, parágrafo 1, 3 y 4 y 6.</w:t>
            </w:r>
          </w:p>
          <w:p w14:paraId="625F910A" w14:textId="77777777" w:rsidR="00D70FDE" w:rsidRPr="00C032A8" w:rsidRDefault="00D70FDE" w:rsidP="00D70FDE">
            <w:pPr>
              <w:numPr>
                <w:ilvl w:val="0"/>
                <w:numId w:val="17"/>
              </w:numPr>
              <w:spacing w:line="276" w:lineRule="auto"/>
              <w:ind w:left="714" w:hanging="357"/>
              <w:jc w:val="both"/>
              <w:rPr>
                <w:rFonts w:ascii="Verdana" w:hAnsi="Verdana" w:cs="Arial"/>
                <w:shd w:val="clear" w:color="auto" w:fill="FFFFFF"/>
              </w:rPr>
            </w:pPr>
            <w:r w:rsidRPr="00C032A8">
              <w:rPr>
                <w:rFonts w:ascii="Verdana" w:hAnsi="Verdana" w:cs="Arial"/>
                <w:color w:val="000000"/>
              </w:rPr>
              <w:t>Ley 1882 de 2018 artículo 5.</w:t>
            </w:r>
          </w:p>
          <w:p w14:paraId="074C12C4" w14:textId="77777777" w:rsidR="00D70FDE" w:rsidRPr="00B10A68" w:rsidRDefault="00D70FDE" w:rsidP="00D70FDE">
            <w:pPr>
              <w:numPr>
                <w:ilvl w:val="0"/>
                <w:numId w:val="17"/>
              </w:numPr>
              <w:spacing w:line="276" w:lineRule="auto"/>
              <w:ind w:left="714" w:hanging="357"/>
              <w:jc w:val="both"/>
              <w:rPr>
                <w:rFonts w:ascii="Verdana" w:hAnsi="Verdana" w:cs="Arial"/>
                <w:color w:val="000000"/>
                <w:lang w:eastAsia="es-ES"/>
              </w:rPr>
            </w:pPr>
            <w:r w:rsidRPr="00B10A68">
              <w:rPr>
                <w:rFonts w:ascii="Verdana" w:hAnsi="Verdana" w:cs="Arial"/>
                <w:color w:val="000000"/>
                <w:lang w:eastAsia="es-ES"/>
              </w:rPr>
              <w:t>Decreto 1082 de 2015, artículo 2.2.1.1.2.1.3. numeral 6</w:t>
            </w:r>
          </w:p>
          <w:p w14:paraId="0C788C6C" w14:textId="77777777" w:rsidR="00D70FDE" w:rsidRPr="00C032A8" w:rsidRDefault="00D70FDE" w:rsidP="00D70FDE">
            <w:pPr>
              <w:widowControl w:val="0"/>
              <w:numPr>
                <w:ilvl w:val="0"/>
                <w:numId w:val="17"/>
              </w:numPr>
              <w:autoSpaceDE w:val="0"/>
              <w:autoSpaceDN w:val="0"/>
              <w:spacing w:line="276" w:lineRule="auto"/>
              <w:ind w:left="714" w:hanging="357"/>
              <w:jc w:val="both"/>
              <w:rPr>
                <w:rFonts w:ascii="Verdana" w:hAnsi="Verdana" w:cs="Arial"/>
                <w:lang w:val="es-ES"/>
              </w:rPr>
            </w:pPr>
            <w:r w:rsidRPr="00C032A8">
              <w:rPr>
                <w:rFonts w:ascii="Verdana" w:hAnsi="Verdana" w:cs="Arial"/>
                <w:lang w:val="pt-PT"/>
              </w:rPr>
              <w:t xml:space="preserve">Corte Constitucional. Sentencia C-128 de 2003. </w:t>
            </w:r>
            <w:r w:rsidRPr="00C032A8">
              <w:rPr>
                <w:rFonts w:ascii="Verdana" w:hAnsi="Verdana" w:cs="Arial"/>
                <w:lang w:val="es-ES"/>
              </w:rPr>
              <w:t>M.P. Álvaro Tafur Galvis.</w:t>
            </w:r>
          </w:p>
          <w:p w14:paraId="07AFCCF3" w14:textId="77777777" w:rsidR="00D70FDE" w:rsidRPr="00B10A68" w:rsidRDefault="00D70FDE" w:rsidP="00D70FDE">
            <w:pPr>
              <w:widowControl w:val="0"/>
              <w:numPr>
                <w:ilvl w:val="0"/>
                <w:numId w:val="17"/>
              </w:numPr>
              <w:tabs>
                <w:tab w:val="left" w:pos="8419"/>
              </w:tabs>
              <w:autoSpaceDE w:val="0"/>
              <w:autoSpaceDN w:val="0"/>
              <w:spacing w:line="276" w:lineRule="auto"/>
              <w:ind w:left="714" w:hanging="357"/>
              <w:jc w:val="both"/>
              <w:rPr>
                <w:rFonts w:ascii="Verdana" w:hAnsi="Verdana" w:cs="Arial"/>
                <w:lang w:val="pt-BR"/>
              </w:rPr>
            </w:pPr>
            <w:r w:rsidRPr="00B10A68">
              <w:rPr>
                <w:rFonts w:ascii="Verdana" w:hAnsi="Verdana" w:cs="Arial"/>
                <w:lang w:val="pt-BR"/>
              </w:rPr>
              <w:t xml:space="preserve">Corte Constitucional. Sentencia C-569 de 2004. M.P. Rodrigo </w:t>
            </w:r>
            <w:proofErr w:type="spellStart"/>
            <w:r w:rsidRPr="00B10A68">
              <w:rPr>
                <w:rFonts w:ascii="Verdana" w:hAnsi="Verdana" w:cs="Arial"/>
                <w:lang w:val="pt-BR"/>
              </w:rPr>
              <w:t>Uprimny</w:t>
            </w:r>
            <w:proofErr w:type="spellEnd"/>
            <w:r w:rsidRPr="00B10A68">
              <w:rPr>
                <w:rFonts w:ascii="Verdana" w:hAnsi="Verdana" w:cs="Arial"/>
                <w:lang w:val="pt-BR"/>
              </w:rPr>
              <w:t xml:space="preserve"> Yepes.</w:t>
            </w:r>
          </w:p>
          <w:p w14:paraId="7E564537" w14:textId="77777777" w:rsidR="00D70FDE" w:rsidRPr="00B10A68" w:rsidRDefault="00D70FDE" w:rsidP="00D70FDE">
            <w:pPr>
              <w:widowControl w:val="0"/>
              <w:numPr>
                <w:ilvl w:val="0"/>
                <w:numId w:val="17"/>
              </w:numPr>
              <w:tabs>
                <w:tab w:val="left" w:pos="8419"/>
              </w:tabs>
              <w:autoSpaceDE w:val="0"/>
              <w:autoSpaceDN w:val="0"/>
              <w:spacing w:line="276" w:lineRule="auto"/>
              <w:ind w:left="714" w:hanging="357"/>
              <w:jc w:val="both"/>
              <w:rPr>
                <w:rFonts w:ascii="Verdana" w:hAnsi="Verdana" w:cs="Arial"/>
                <w:lang w:val="es-ES"/>
              </w:rPr>
            </w:pPr>
            <w:r w:rsidRPr="00B10A68">
              <w:rPr>
                <w:rFonts w:ascii="Verdana" w:hAnsi="Verdana" w:cs="Arial"/>
                <w:lang w:val="es-ES"/>
              </w:rPr>
              <w:t>Consejo de Estado. Sección Tercera. Providencias del 11 de diciembre de 2002, dictada dentro del expediente AG-1683, y del 18 de octubre de 2001, proferida dentro del plenario AG-021.</w:t>
            </w:r>
          </w:p>
          <w:p w14:paraId="4EAA3EFF" w14:textId="77777777" w:rsidR="00D70FDE" w:rsidRPr="00B10A68" w:rsidRDefault="00D70FDE" w:rsidP="00D70FDE">
            <w:pPr>
              <w:numPr>
                <w:ilvl w:val="0"/>
                <w:numId w:val="17"/>
              </w:numPr>
              <w:spacing w:line="276" w:lineRule="auto"/>
              <w:ind w:left="714" w:hanging="357"/>
              <w:jc w:val="both"/>
              <w:rPr>
                <w:rFonts w:ascii="Verdana" w:hAnsi="Verdana" w:cs="Arial"/>
                <w:shd w:val="clear" w:color="auto" w:fill="FFFFFF"/>
              </w:rPr>
            </w:pPr>
            <w:r w:rsidRPr="00B10A68">
              <w:rPr>
                <w:rFonts w:ascii="Verdana" w:hAnsi="Verdana" w:cs="Arial"/>
                <w:shd w:val="clear" w:color="auto" w:fill="FFFFFF"/>
              </w:rPr>
              <w:t>Consejo de Estado. Sala de Consulta y Servicio Civil. Concepto del 6 de noviembre de 2008. Expediente: 1927. Consejero Ponente: William Zambrano Cetina</w:t>
            </w:r>
            <w:r w:rsidRPr="00C032A8">
              <w:rPr>
                <w:rFonts w:ascii="Verdana" w:hAnsi="Verdana" w:cs="Arial"/>
                <w:shd w:val="clear" w:color="auto" w:fill="FFFFFF"/>
              </w:rPr>
              <w:t>.</w:t>
            </w:r>
          </w:p>
          <w:p w14:paraId="743FABC1" w14:textId="77777777" w:rsidR="00D70FDE" w:rsidRPr="00C032A8" w:rsidRDefault="00D70FDE" w:rsidP="00D70FDE">
            <w:pPr>
              <w:numPr>
                <w:ilvl w:val="0"/>
                <w:numId w:val="17"/>
              </w:numPr>
              <w:spacing w:line="276" w:lineRule="auto"/>
              <w:ind w:left="714" w:hanging="357"/>
              <w:jc w:val="both"/>
              <w:rPr>
                <w:rFonts w:ascii="Verdana" w:hAnsi="Verdana" w:cs="Arial"/>
                <w:shd w:val="clear" w:color="auto" w:fill="FFFFFF"/>
              </w:rPr>
            </w:pPr>
            <w:r w:rsidRPr="00C032A8">
              <w:rPr>
                <w:rFonts w:ascii="Verdana" w:hAnsi="Verdana" w:cs="Arial"/>
                <w:shd w:val="clear" w:color="auto" w:fill="FFFFFF"/>
              </w:rPr>
              <w:lastRenderedPageBreak/>
              <w:t>Consejo de Estado. Sala de Consulta y Servicio Civil. Concepto del 20 de mayo de 2010. Expediente: 1992. Consejero Ponente: Enrique José Arboleda Perdomo.</w:t>
            </w:r>
          </w:p>
          <w:p w14:paraId="49ACF343" w14:textId="77777777" w:rsidR="00D70FDE" w:rsidRPr="00C032A8" w:rsidRDefault="00D70FDE" w:rsidP="00D70FDE">
            <w:pPr>
              <w:numPr>
                <w:ilvl w:val="0"/>
                <w:numId w:val="17"/>
              </w:numPr>
              <w:spacing w:line="276" w:lineRule="auto"/>
              <w:ind w:left="714" w:hanging="357"/>
              <w:jc w:val="both"/>
              <w:rPr>
                <w:rFonts w:ascii="Verdana" w:hAnsi="Verdana" w:cs="Arial"/>
                <w:shd w:val="clear" w:color="auto" w:fill="FFFFFF"/>
              </w:rPr>
            </w:pPr>
            <w:r w:rsidRPr="00C032A8">
              <w:rPr>
                <w:rFonts w:ascii="Verdana" w:hAnsi="Verdana" w:cs="Arial"/>
                <w:shd w:val="clear" w:color="auto" w:fill="FFFFFF"/>
              </w:rPr>
              <w:t xml:space="preserve">Consejo de Estado. Sección Tercera, Subsección C. Sentencia del 26 de febrero de 2011. C.P. Jaime Orlando Santofimio. Rad. 36.408. </w:t>
            </w:r>
          </w:p>
          <w:p w14:paraId="0AFD3DC4" w14:textId="77777777" w:rsidR="00D70FDE" w:rsidRPr="00C032A8" w:rsidRDefault="00D70FDE" w:rsidP="00D70FDE">
            <w:pPr>
              <w:numPr>
                <w:ilvl w:val="0"/>
                <w:numId w:val="17"/>
              </w:numPr>
              <w:spacing w:line="276" w:lineRule="auto"/>
              <w:ind w:left="714" w:hanging="357"/>
              <w:jc w:val="both"/>
              <w:rPr>
                <w:rFonts w:ascii="Verdana" w:hAnsi="Verdana" w:cs="Arial"/>
                <w:shd w:val="clear" w:color="auto" w:fill="FFFFFF"/>
              </w:rPr>
            </w:pPr>
            <w:r w:rsidRPr="00C032A8">
              <w:rPr>
                <w:rFonts w:ascii="Verdana" w:hAnsi="Verdana" w:cs="Arial"/>
                <w:shd w:val="clear" w:color="auto" w:fill="FFFFFF"/>
              </w:rPr>
              <w:t>Consejo de Estado. Sección Tercera Subsección B. Sentencia del 27 de abril de 2011. Expediente No. 18.293. C.P. Ponente: Ruth Stella Correa Palacio.</w:t>
            </w:r>
          </w:p>
          <w:p w14:paraId="30373550" w14:textId="77777777" w:rsidR="00D70FDE" w:rsidRPr="00B10A68" w:rsidRDefault="00D70FDE" w:rsidP="00D70FDE">
            <w:pPr>
              <w:numPr>
                <w:ilvl w:val="0"/>
                <w:numId w:val="17"/>
              </w:numPr>
              <w:spacing w:line="276" w:lineRule="auto"/>
              <w:ind w:left="714" w:hanging="357"/>
              <w:jc w:val="both"/>
              <w:rPr>
                <w:rFonts w:ascii="Verdana" w:hAnsi="Verdana" w:cs="Arial"/>
                <w:shd w:val="clear" w:color="auto" w:fill="FFFFFF"/>
              </w:rPr>
            </w:pPr>
            <w:r w:rsidRPr="00C032A8">
              <w:rPr>
                <w:rFonts w:ascii="Verdana" w:hAnsi="Verdana" w:cs="Arial"/>
                <w:shd w:val="clear" w:color="auto" w:fill="FFFFFF"/>
              </w:rPr>
              <w:t>Consejo de Estado</w:t>
            </w:r>
            <w:r w:rsidRPr="00B10A68">
              <w:rPr>
                <w:rFonts w:ascii="Verdana" w:hAnsi="Verdana" w:cs="Arial"/>
                <w:shd w:val="clear" w:color="auto" w:fill="FFFFFF"/>
              </w:rPr>
              <w:t>, Sección Tercera, Subsección C. Sentencia del 26 de febrero de 2014. C.P. Enrique Gil Botero. Rad. 25.804.</w:t>
            </w:r>
          </w:p>
          <w:p w14:paraId="5104FEE0" w14:textId="77777777" w:rsidR="00D70FDE" w:rsidRPr="00C032A8" w:rsidRDefault="00D70FDE" w:rsidP="00D70FDE">
            <w:pPr>
              <w:widowControl w:val="0"/>
              <w:numPr>
                <w:ilvl w:val="0"/>
                <w:numId w:val="17"/>
              </w:numPr>
              <w:tabs>
                <w:tab w:val="left" w:pos="8419"/>
              </w:tabs>
              <w:autoSpaceDE w:val="0"/>
              <w:autoSpaceDN w:val="0"/>
              <w:spacing w:line="276" w:lineRule="auto"/>
              <w:ind w:left="714" w:hanging="357"/>
              <w:jc w:val="both"/>
              <w:rPr>
                <w:rFonts w:ascii="Verdana" w:hAnsi="Verdana" w:cs="Arial"/>
                <w:lang w:val="es-ES"/>
              </w:rPr>
            </w:pPr>
            <w:r w:rsidRPr="00C032A8">
              <w:rPr>
                <w:rFonts w:ascii="Verdana" w:hAnsi="Verdana" w:cs="Arial"/>
                <w:lang w:val="es-ES"/>
              </w:rPr>
              <w:t xml:space="preserve">Consejo de Estado. Sección Tercera. Subsección C. Sentencia del 12 de noviembre de 2014. </w:t>
            </w:r>
            <w:proofErr w:type="spellStart"/>
            <w:r w:rsidRPr="00C032A8">
              <w:rPr>
                <w:rFonts w:ascii="Verdana" w:hAnsi="Verdana" w:cs="Arial"/>
                <w:lang w:val="es-ES"/>
              </w:rPr>
              <w:t>Exp</w:t>
            </w:r>
            <w:proofErr w:type="spellEnd"/>
            <w:r w:rsidRPr="00C032A8">
              <w:rPr>
                <w:rFonts w:ascii="Verdana" w:hAnsi="Verdana" w:cs="Arial"/>
                <w:lang w:val="es-ES"/>
              </w:rPr>
              <w:t>. 27.986. C.P. Enrique Gil Botero.</w:t>
            </w:r>
          </w:p>
          <w:p w14:paraId="47B2B5C9" w14:textId="77777777" w:rsidR="00D70FDE" w:rsidRPr="00B10A68" w:rsidRDefault="00D70FDE" w:rsidP="00D70FDE">
            <w:pPr>
              <w:numPr>
                <w:ilvl w:val="0"/>
                <w:numId w:val="17"/>
              </w:numPr>
              <w:spacing w:line="276" w:lineRule="auto"/>
              <w:ind w:left="714" w:hanging="357"/>
              <w:jc w:val="both"/>
              <w:rPr>
                <w:rFonts w:ascii="Verdana" w:hAnsi="Verdana" w:cs="Arial"/>
                <w:shd w:val="clear" w:color="auto" w:fill="FFFFFF"/>
              </w:rPr>
            </w:pPr>
            <w:r w:rsidRPr="00C032A8">
              <w:rPr>
                <w:rFonts w:ascii="Verdana" w:hAnsi="Verdana" w:cs="Arial"/>
                <w:shd w:val="clear" w:color="auto" w:fill="FFFFFF"/>
              </w:rPr>
              <w:t xml:space="preserve">Agencia Nacional de Contratación Pública – Colombia Compra Eficiente. </w:t>
            </w:r>
            <w:r w:rsidRPr="00B10A68">
              <w:rPr>
                <w:rFonts w:ascii="Verdana" w:hAnsi="Verdana" w:cs="Arial"/>
                <w:shd w:val="clear" w:color="auto" w:fill="FFFFFF"/>
              </w:rPr>
              <w:t>Circular Externa Única</w:t>
            </w:r>
            <w:r w:rsidRPr="00C032A8">
              <w:rPr>
                <w:rFonts w:ascii="Verdana" w:hAnsi="Verdana" w:cs="Arial"/>
                <w:shd w:val="clear" w:color="auto" w:fill="FFFFFF"/>
              </w:rPr>
              <w:t xml:space="preserve">. </w:t>
            </w:r>
          </w:p>
          <w:p w14:paraId="2DF4B4C4" w14:textId="77777777" w:rsidR="00D70FDE" w:rsidRPr="00B10A68" w:rsidRDefault="00D70FDE" w:rsidP="00D70FDE">
            <w:pPr>
              <w:widowControl w:val="0"/>
              <w:numPr>
                <w:ilvl w:val="0"/>
                <w:numId w:val="17"/>
              </w:numPr>
              <w:autoSpaceDE w:val="0"/>
              <w:autoSpaceDN w:val="0"/>
              <w:spacing w:line="276" w:lineRule="auto"/>
              <w:ind w:left="714" w:hanging="357"/>
              <w:jc w:val="both"/>
              <w:rPr>
                <w:rFonts w:ascii="Verdana" w:hAnsi="Verdana" w:cs="Arial"/>
              </w:rPr>
            </w:pPr>
            <w:r w:rsidRPr="00B10A68">
              <w:rPr>
                <w:rFonts w:ascii="Verdana" w:hAnsi="Verdana" w:cs="Arial"/>
                <w:shd w:val="clear" w:color="auto" w:fill="FFFFFF"/>
              </w:rPr>
              <w:t>RODRÍGUEZ TAMAYO, Mauricio Fernando. Evaluación y rechazo de ofertas en la Ley 80 de 1993. Medellín: Librería Jurídica Sánchez, 2016. p. 190.</w:t>
            </w:r>
          </w:p>
          <w:p w14:paraId="1FC78764" w14:textId="77777777" w:rsidR="00D70FDE" w:rsidRPr="00C032A8" w:rsidRDefault="00D70FDE" w:rsidP="00D70FDE">
            <w:pPr>
              <w:widowControl w:val="0"/>
              <w:numPr>
                <w:ilvl w:val="0"/>
                <w:numId w:val="17"/>
              </w:numPr>
              <w:tabs>
                <w:tab w:val="left" w:pos="8419"/>
              </w:tabs>
              <w:autoSpaceDE w:val="0"/>
              <w:autoSpaceDN w:val="0"/>
              <w:spacing w:line="276" w:lineRule="auto"/>
              <w:ind w:left="714" w:hanging="357"/>
              <w:jc w:val="both"/>
              <w:rPr>
                <w:rFonts w:ascii="Verdana" w:hAnsi="Verdana" w:cs="Arial"/>
                <w:lang w:val="es-ES"/>
              </w:rPr>
            </w:pPr>
            <w:r w:rsidRPr="00B10A68">
              <w:rPr>
                <w:rFonts w:ascii="Verdana" w:hAnsi="Verdana" w:cs="Arial"/>
              </w:rPr>
              <w:t>DÁVILA VINUEZA, Luis Guillermo. Régimen jurídico de la contratación estatal. Tercera edición, Bogotá: Legis, 2016.</w:t>
            </w:r>
            <w:r w:rsidRPr="00C032A8">
              <w:rPr>
                <w:rFonts w:ascii="Verdana" w:hAnsi="Verdana" w:cs="Arial"/>
                <w:lang w:val="es-ES"/>
              </w:rPr>
              <w:t xml:space="preserve"> </w:t>
            </w:r>
          </w:p>
          <w:p w14:paraId="314B7E0F" w14:textId="44A1C60B" w:rsidR="0095030C" w:rsidRPr="00D70FDE" w:rsidRDefault="00D70FDE" w:rsidP="00D70FDE">
            <w:pPr>
              <w:pStyle w:val="Prrafodelista"/>
              <w:numPr>
                <w:ilvl w:val="0"/>
                <w:numId w:val="17"/>
              </w:numPr>
              <w:spacing w:after="120" w:line="276" w:lineRule="auto"/>
              <w:jc w:val="both"/>
              <w:rPr>
                <w:rFonts w:ascii="Verdana" w:hAnsi="Verdana" w:cs="Arial"/>
              </w:rPr>
            </w:pPr>
            <w:r w:rsidRPr="00D70FDE">
              <w:rPr>
                <w:rFonts w:ascii="Verdana" w:hAnsi="Verdana" w:cs="Arial"/>
              </w:rPr>
              <w:t>EXPÓSITO VELEZ, Juan C., El deber de selección objetiva, en: Del contrato estatal a los sistemas de compras públicas, por COVILLA MARTINEZ Juan C. y LOZANO VILLEGAS Germán (Eds.). Universidad Externado de Colombia, Bogotá, 2019.</w:t>
            </w:r>
          </w:p>
        </w:tc>
      </w:tr>
    </w:tbl>
    <w:p w14:paraId="1DB30149" w14:textId="77777777" w:rsidR="0095030C" w:rsidRPr="004A2375" w:rsidRDefault="0095030C" w:rsidP="0095030C">
      <w:pPr>
        <w:spacing w:after="0" w:line="276" w:lineRule="auto"/>
        <w:ind w:right="709"/>
        <w:jc w:val="both"/>
        <w:rPr>
          <w:rFonts w:ascii="Verdana" w:hAnsi="Verdana" w:cs="Arial"/>
          <w:color w:val="000000" w:themeColor="text1"/>
        </w:rPr>
      </w:pPr>
    </w:p>
    <w:p w14:paraId="77450257" w14:textId="77777777" w:rsidR="0095030C" w:rsidRPr="004A2375" w:rsidRDefault="0095030C" w:rsidP="0095030C">
      <w:pPr>
        <w:spacing w:line="276" w:lineRule="auto"/>
        <w:rPr>
          <w:rFonts w:ascii="Verdana" w:eastAsia="Calibri" w:hAnsi="Verdana" w:cs="Times New Roman"/>
          <w:b/>
          <w:bCs/>
        </w:rPr>
      </w:pPr>
      <w:r w:rsidRPr="004A2375">
        <w:rPr>
          <w:rFonts w:ascii="Verdana" w:eastAsia="Calibri" w:hAnsi="Verdana" w:cs="Times New Roman"/>
          <w:b/>
          <w:bCs/>
        </w:rPr>
        <w:t>5. Doctrina de la Agencia Nacional de Contratación Pública:</w:t>
      </w:r>
    </w:p>
    <w:p w14:paraId="2D77C5FB" w14:textId="09A3EED9" w:rsidR="0095030C" w:rsidRDefault="006E78A4" w:rsidP="0095030C">
      <w:pPr>
        <w:widowControl w:val="0"/>
        <w:autoSpaceDE w:val="0"/>
        <w:autoSpaceDN w:val="0"/>
        <w:spacing w:after="0" w:line="276" w:lineRule="auto"/>
        <w:jc w:val="both"/>
        <w:rPr>
          <w:rFonts w:ascii="Verdana" w:hAnsi="Verdana"/>
        </w:rPr>
      </w:pPr>
      <w:r w:rsidRPr="00B10A68">
        <w:rPr>
          <w:rFonts w:ascii="Verdana" w:eastAsia="Calibri" w:hAnsi="Verdana" w:cs="Arial"/>
          <w:shd w:val="clear" w:color="auto" w:fill="FFFFFF"/>
          <w:lang w:val="es-ES"/>
        </w:rPr>
        <w:t xml:space="preserve">Sobre la regla de </w:t>
      </w:r>
      <w:proofErr w:type="spellStart"/>
      <w:r w:rsidRPr="00B10A68">
        <w:rPr>
          <w:rFonts w:ascii="Verdana" w:eastAsia="Calibri" w:hAnsi="Verdana" w:cs="Arial"/>
          <w:shd w:val="clear" w:color="auto" w:fill="FFFFFF"/>
          <w:lang w:val="es-ES"/>
        </w:rPr>
        <w:t>subsanabilidad</w:t>
      </w:r>
      <w:proofErr w:type="spellEnd"/>
      <w:r w:rsidRPr="00B10A68">
        <w:rPr>
          <w:rFonts w:ascii="Verdana" w:eastAsia="Calibri" w:hAnsi="Verdana" w:cs="Arial"/>
          <w:shd w:val="clear" w:color="auto" w:fill="FFFFFF"/>
          <w:lang w:val="es-ES"/>
        </w:rPr>
        <w:t xml:space="preserve"> en los procesos de selección y la aclaración de la oferta económica, se pronunció esta Subdirección en los conceptos 4201913000007643 del 26 de diciembre de 2019, C-343 del 17 de junio de 2020, C-518 del 9 de septiembre de 2020, C-285 del 20 de mayo de 2022, C-614 del 5 de octubre de 2022, C-882 del 21 de diciembre de 2022, C-172 del 6 de junio de 2023, C-354 del 30 de agosto de 2024, C-447 del 19 de septiembre de 2024 y C-1009 del 30 de enero de 2025</w:t>
      </w:r>
      <w:r w:rsidR="00DA6D79">
        <w:rPr>
          <w:rFonts w:ascii="Verdana" w:eastAsia="Times New Roman" w:hAnsi="Verdana" w:cs="Times New Roman"/>
          <w:lang w:eastAsia="es-CO"/>
        </w:rPr>
        <w:t>, entre otros.</w:t>
      </w:r>
      <w:r w:rsidR="0095030C" w:rsidRPr="0024415B">
        <w:rPr>
          <w:rFonts w:ascii="Verdana" w:hAnsi="Verdana" w:cs="Arial"/>
          <w:shd w:val="clear" w:color="auto" w:fill="FFFFFF"/>
          <w:lang w:val="es-ES"/>
        </w:rPr>
        <w:t xml:space="preserve"> Estos se encuentran disponibles para consulta en el Sistema de relatoría de la Agencia, al cual puede accederse a través del siguiente enlace:</w:t>
      </w:r>
      <w:r w:rsidR="0095030C" w:rsidRPr="0024415B">
        <w:rPr>
          <w:rFonts w:ascii="Verdana" w:hAnsi="Verdana"/>
          <w:lang w:val="es-ES"/>
        </w:rPr>
        <w:t xml:space="preserve"> </w:t>
      </w:r>
      <w:hyperlink r:id="rId12" w:history="1">
        <w:r w:rsidR="0095030C" w:rsidRPr="0024415B">
          <w:rPr>
            <w:rStyle w:val="Hipervnculo"/>
            <w:rFonts w:ascii="Verdana" w:hAnsi="Verdana" w:cs="Arial"/>
            <w:shd w:val="clear" w:color="auto" w:fill="FFFFFF"/>
          </w:rPr>
          <w:t>https://relatoria.colombiacompra.gov.co/busqueda/conceptos</w:t>
        </w:r>
      </w:hyperlink>
    </w:p>
    <w:p w14:paraId="66F30A1E" w14:textId="77777777" w:rsidR="0095030C" w:rsidRPr="004A2375" w:rsidRDefault="0095030C" w:rsidP="0095030C">
      <w:pPr>
        <w:spacing w:before="240" w:after="0" w:line="276" w:lineRule="auto"/>
        <w:jc w:val="both"/>
        <w:rPr>
          <w:rFonts w:ascii="Verdana" w:hAnsi="Verdana"/>
        </w:rPr>
      </w:pPr>
      <w:r w:rsidRPr="004A2375">
        <w:rPr>
          <w:rFonts w:ascii="Verdana" w:hAnsi="Verdana"/>
        </w:rPr>
        <w:lastRenderedPageBreak/>
        <w:t xml:space="preserve">La sostenibilidad no es una opción, es una obligación. Por ello, la Agencia Nacional de Contratación Pública –Colombia Compra Eficiente– te invita a realizar el </w:t>
      </w:r>
      <w:r w:rsidRPr="004A2375">
        <w:rPr>
          <w:rFonts w:ascii="Verdana" w:hAnsi="Verdana"/>
          <w:b/>
          <w:bCs/>
        </w:rPr>
        <w:t>Curso de Contratación Pública Sostenible y Socialmente Responsable</w:t>
      </w:r>
      <w:r w:rsidRPr="004A237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4A2375">
        <w:rPr>
          <w:rFonts w:ascii="Verdana" w:hAnsi="Verdana"/>
        </w:rPr>
        <w:br/>
      </w:r>
      <w:hyperlink r:id="rId13" w:tgtFrame="_new" w:history="1">
        <w:r w:rsidRPr="008548E4">
          <w:rPr>
            <w:rStyle w:val="Hipervnculo"/>
            <w:rFonts w:ascii="Verdana" w:hAnsi="Verdana"/>
          </w:rPr>
          <w:t>https://formacionvirtual.colombiacompra.gov.co/mod/page/view.php?id=3718</w:t>
        </w:r>
      </w:hyperlink>
    </w:p>
    <w:p w14:paraId="14D81C3C" w14:textId="77777777" w:rsidR="0095030C" w:rsidRPr="004A2375" w:rsidRDefault="0095030C" w:rsidP="0095030C">
      <w:pPr>
        <w:spacing w:before="240" w:after="0" w:line="276" w:lineRule="auto"/>
        <w:jc w:val="both"/>
        <w:rPr>
          <w:rFonts w:ascii="Verdana" w:hAnsi="Verdana"/>
        </w:rPr>
      </w:pPr>
      <w:r w:rsidRPr="004A2375">
        <w:rPr>
          <w:rFonts w:ascii="Verdana" w:hAnsi="Verdana"/>
        </w:rPr>
        <w:t xml:space="preserve">De otro lado, te contamos que esta Agencia ha da un paso decisivo en la estandarización y modernización del </w:t>
      </w:r>
      <w:r w:rsidRPr="004A2375">
        <w:rPr>
          <w:rFonts w:ascii="Verdana" w:hAnsi="Verdana"/>
          <w:b/>
          <w:bCs/>
        </w:rPr>
        <w:t>sector  social</w:t>
      </w:r>
      <w:r w:rsidRPr="004A2375">
        <w:rPr>
          <w:rFonts w:ascii="Verdana" w:hAnsi="Verdana"/>
        </w:rPr>
        <w:t xml:space="preserve"> con la expedición de las </w:t>
      </w:r>
      <w:r w:rsidRPr="004A2375">
        <w:rPr>
          <w:rFonts w:ascii="Verdana" w:hAnsi="Verdana"/>
          <w:b/>
          <w:bCs/>
        </w:rPr>
        <w:t>Resoluciones 539, 540, 541, 952 y 953 de 2025</w:t>
      </w:r>
      <w:r w:rsidRPr="004A2375">
        <w:rPr>
          <w:rFonts w:ascii="Verdana" w:hAnsi="Verdana"/>
        </w:rPr>
        <w:t xml:space="preserve">, </w:t>
      </w:r>
      <w:r w:rsidRPr="004A2375">
        <w:rPr>
          <w:rFonts w:ascii="Verdana" w:hAnsi="Verdana"/>
          <w:b/>
          <w:bCs/>
        </w:rPr>
        <w:t>mediante las cuales adoptó Documentos Tipo</w:t>
      </w:r>
      <w:r w:rsidRPr="004A2375">
        <w:rPr>
          <w:rFonts w:ascii="Verdana" w:hAnsi="Verdana"/>
        </w:rPr>
        <w:t xml:space="preserve"> para las modalidades de selección de</w:t>
      </w:r>
      <w:r w:rsidRPr="004A2375">
        <w:rPr>
          <w:rFonts w:ascii="Verdana" w:hAnsi="Verdana"/>
          <w:b/>
          <w:bCs/>
        </w:rPr>
        <w:t xml:space="preserve"> licitación pública (versión 2), selección abreviada de menor cuantía, mínima cuantía, consultoría e interventoría</w:t>
      </w:r>
      <w:r w:rsidRPr="004A2375">
        <w:rPr>
          <w:rFonts w:ascii="Verdana" w:hAnsi="Verdana"/>
        </w:rPr>
        <w:t xml:space="preserve">, promoviendo procesos más transparentes, eficientes  competitivos y sostenibles en sectores estratégicos como educación, salud, cultura, recreación, deporte, institucional y vivienda. </w:t>
      </w:r>
      <w:r w:rsidRPr="008548E4">
        <w:rPr>
          <w:rFonts w:ascii="Verdana" w:hAnsi="Verdana"/>
        </w:rPr>
        <w:t xml:space="preserve">Consulta y descarga los documentos aquí: </w:t>
      </w:r>
      <w:hyperlink r:id="rId14" w:tgtFrame="_new" w:history="1">
        <w:r w:rsidRPr="008548E4">
          <w:rPr>
            <w:rStyle w:val="Hipervnculo"/>
            <w:rFonts w:ascii="Verdana" w:hAnsi="Verdana"/>
          </w:rPr>
          <w:t>https://www.colombiacompra.gov.co/normativa-y-relatoria/documentos-tipo</w:t>
        </w:r>
      </w:hyperlink>
    </w:p>
    <w:p w14:paraId="41BFDC86" w14:textId="77777777" w:rsidR="0095030C" w:rsidRPr="004A2375" w:rsidRDefault="0095030C" w:rsidP="0095030C">
      <w:pPr>
        <w:spacing w:before="240" w:after="0" w:line="276" w:lineRule="auto"/>
        <w:jc w:val="both"/>
        <w:rPr>
          <w:rFonts w:ascii="Verdana" w:hAnsi="Verdana"/>
        </w:rPr>
      </w:pPr>
      <w:r w:rsidRPr="004A2375">
        <w:rPr>
          <w:rFonts w:ascii="Verdana" w:hAnsi="Verdana"/>
        </w:rPr>
        <w:t xml:space="preserve">Si quieres conocer más sobre la aplicación de Documentos Tipo puedes consultar la última versión de la </w:t>
      </w:r>
      <w:r w:rsidRPr="004A2375">
        <w:rPr>
          <w:rFonts w:ascii="Verdana" w:hAnsi="Verdana"/>
          <w:b/>
          <w:bCs/>
        </w:rPr>
        <w:t>Guía para la comprensión e implementación de los Documentos Tipo de obra pública de infraestructura de transporte</w:t>
      </w:r>
      <w:r w:rsidRPr="004A2375">
        <w:rPr>
          <w:rFonts w:ascii="Verdana" w:hAnsi="Verdana"/>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r w:rsidRPr="008548E4">
        <w:rPr>
          <w:rFonts w:ascii="Verdana" w:hAnsi="Verdana"/>
        </w:rPr>
        <w:t>Además se incluyeron lineamientos que orientan la implementación de los criterios ambientales y sociales incluidos en los documentos tipo: Consulta la guía aquí:</w:t>
      </w:r>
      <w:r w:rsidRPr="008548E4">
        <w:rPr>
          <w:rFonts w:ascii="Verdana" w:hAnsi="Verdana"/>
        </w:rPr>
        <w:br/>
      </w:r>
      <w:hyperlink r:id="rId15" w:tgtFrame="_new" w:history="1">
        <w:r w:rsidRPr="008548E4">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87BD964" w14:textId="77777777" w:rsidR="0095030C" w:rsidRPr="004A2375" w:rsidRDefault="0095030C" w:rsidP="0095030C">
      <w:pPr>
        <w:spacing w:before="240" w:line="276" w:lineRule="auto"/>
        <w:jc w:val="both"/>
        <w:rPr>
          <w:rFonts w:ascii="Verdana" w:hAnsi="Verdana"/>
        </w:rPr>
      </w:pPr>
      <w:r w:rsidRPr="004A2375">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w:t>
      </w:r>
      <w:r w:rsidRPr="004A2375">
        <w:rPr>
          <w:rFonts w:ascii="Verdana" w:hAnsi="Verdana"/>
        </w:rPr>
        <w:lastRenderedPageBreak/>
        <w:t xml:space="preserve">requiera en el marco de nuestras funciones a través de nuestros diferentes canales de atención: </w:t>
      </w:r>
    </w:p>
    <w:p w14:paraId="424FD3EE" w14:textId="77777777" w:rsidR="0095030C" w:rsidRPr="004A2375" w:rsidRDefault="0095030C" w:rsidP="0095030C">
      <w:pPr>
        <w:numPr>
          <w:ilvl w:val="0"/>
          <w:numId w:val="15"/>
        </w:numPr>
        <w:spacing w:after="0" w:line="276" w:lineRule="auto"/>
        <w:jc w:val="both"/>
        <w:rPr>
          <w:rFonts w:ascii="Verdana" w:hAnsi="Verdana"/>
        </w:rPr>
      </w:pPr>
      <w:r w:rsidRPr="004A2375">
        <w:rPr>
          <w:rFonts w:ascii="Verdana" w:hAnsi="Verdana"/>
        </w:rPr>
        <w:t>Línea nacional gratuita o servicio a la ciudadanía: 01800 0520808</w:t>
      </w:r>
    </w:p>
    <w:p w14:paraId="0B821C05" w14:textId="77777777" w:rsidR="0095030C" w:rsidRPr="004A2375" w:rsidRDefault="0095030C" w:rsidP="0095030C">
      <w:pPr>
        <w:numPr>
          <w:ilvl w:val="0"/>
          <w:numId w:val="15"/>
        </w:numPr>
        <w:spacing w:after="0" w:line="276" w:lineRule="auto"/>
        <w:jc w:val="both"/>
        <w:rPr>
          <w:rFonts w:ascii="Verdana" w:hAnsi="Verdana"/>
        </w:rPr>
      </w:pPr>
      <w:r w:rsidRPr="004A2375">
        <w:rPr>
          <w:rFonts w:ascii="Verdana" w:hAnsi="Verdana"/>
        </w:rPr>
        <w:t>Línea en Bogotá (Mesa de servicio): +57 601 7456788</w:t>
      </w:r>
    </w:p>
    <w:p w14:paraId="19799508" w14:textId="77777777" w:rsidR="0095030C" w:rsidRPr="004A2375" w:rsidRDefault="0095030C" w:rsidP="0095030C">
      <w:pPr>
        <w:numPr>
          <w:ilvl w:val="0"/>
          <w:numId w:val="15"/>
        </w:numPr>
        <w:spacing w:after="0" w:line="276" w:lineRule="auto"/>
        <w:jc w:val="both"/>
        <w:rPr>
          <w:rFonts w:ascii="Verdana" w:hAnsi="Verdana"/>
        </w:rPr>
      </w:pPr>
      <w:r w:rsidRPr="004A2375">
        <w:rPr>
          <w:rFonts w:ascii="Verdana" w:hAnsi="Verdana"/>
        </w:rPr>
        <w:t>Línea de servicio y atención al ciudadano: +57 601 7956600</w:t>
      </w:r>
    </w:p>
    <w:p w14:paraId="685703A2" w14:textId="77777777" w:rsidR="0095030C" w:rsidRPr="004A2375" w:rsidRDefault="0095030C" w:rsidP="0095030C">
      <w:pPr>
        <w:numPr>
          <w:ilvl w:val="0"/>
          <w:numId w:val="15"/>
        </w:numPr>
        <w:spacing w:after="0" w:line="276" w:lineRule="auto"/>
        <w:jc w:val="both"/>
        <w:rPr>
          <w:rFonts w:ascii="Verdana" w:hAnsi="Verdana"/>
        </w:rPr>
      </w:pPr>
      <w:r w:rsidRPr="008548E4">
        <w:rPr>
          <w:rFonts w:ascii="Verdana" w:hAnsi="Verdana"/>
        </w:rPr>
        <w:t xml:space="preserve">Página web: </w:t>
      </w:r>
      <w:hyperlink r:id="rId16" w:history="1">
        <w:r w:rsidRPr="008548E4">
          <w:rPr>
            <w:rStyle w:val="Hipervnculo"/>
            <w:rFonts w:ascii="Verdana" w:hAnsi="Verdana"/>
          </w:rPr>
          <w:t>www.colombiacompra.gov.co</w:t>
        </w:r>
      </w:hyperlink>
    </w:p>
    <w:p w14:paraId="6D3352BD" w14:textId="77777777" w:rsidR="0095030C" w:rsidRPr="004A2375" w:rsidRDefault="0095030C" w:rsidP="0095030C">
      <w:pPr>
        <w:spacing w:before="240" w:line="276" w:lineRule="auto"/>
        <w:jc w:val="both"/>
        <w:rPr>
          <w:rFonts w:ascii="Verdana" w:hAnsi="Verdana"/>
        </w:rPr>
      </w:pPr>
      <w:r w:rsidRPr="004A2375">
        <w:rPr>
          <w:rFonts w:ascii="Verdana" w:hAnsi="Verdana"/>
        </w:rPr>
        <w:t xml:space="preserve">Por último, lo invitamos a seguirnos en las redes sociales en las cuales se difunde información institucional: </w:t>
      </w:r>
    </w:p>
    <w:p w14:paraId="64FA0449" w14:textId="77777777" w:rsidR="0095030C" w:rsidRPr="004A2375" w:rsidRDefault="0095030C" w:rsidP="0095030C">
      <w:pPr>
        <w:spacing w:after="0" w:line="276" w:lineRule="auto"/>
        <w:jc w:val="both"/>
        <w:rPr>
          <w:rFonts w:ascii="Verdana" w:hAnsi="Verdana"/>
        </w:rPr>
      </w:pPr>
      <w:r w:rsidRPr="004A2375">
        <w:rPr>
          <w:rFonts w:ascii="Verdana" w:hAnsi="Verdana"/>
        </w:rPr>
        <w:t xml:space="preserve">Twitter: </w:t>
      </w:r>
      <w:r w:rsidRPr="004A2375">
        <w:rPr>
          <w:rStyle w:val="Hipervnculo"/>
          <w:rFonts w:ascii="Verdana" w:hAnsi="Verdana"/>
        </w:rPr>
        <w:t>@colombiacompra</w:t>
      </w:r>
      <w:r w:rsidRPr="004A2375">
        <w:rPr>
          <w:rFonts w:ascii="Verdana" w:hAnsi="Verdana"/>
        </w:rPr>
        <w:t xml:space="preserve"> </w:t>
      </w:r>
    </w:p>
    <w:p w14:paraId="66834673" w14:textId="77777777" w:rsidR="0095030C" w:rsidRPr="004A2375" w:rsidRDefault="0095030C" w:rsidP="0095030C">
      <w:pPr>
        <w:spacing w:after="0" w:line="276" w:lineRule="auto"/>
        <w:jc w:val="both"/>
        <w:rPr>
          <w:rFonts w:ascii="Verdana" w:hAnsi="Verdana"/>
        </w:rPr>
      </w:pPr>
      <w:r w:rsidRPr="004A2375">
        <w:rPr>
          <w:rFonts w:ascii="Verdana" w:hAnsi="Verdana"/>
        </w:rPr>
        <w:t xml:space="preserve">Facebook: </w:t>
      </w:r>
      <w:proofErr w:type="spellStart"/>
      <w:r w:rsidRPr="004A2375">
        <w:rPr>
          <w:rStyle w:val="Hipervnculo"/>
          <w:rFonts w:ascii="Verdana" w:hAnsi="Verdana"/>
        </w:rPr>
        <w:t>ColombiaCompraEficiente</w:t>
      </w:r>
      <w:proofErr w:type="spellEnd"/>
    </w:p>
    <w:p w14:paraId="55329320" w14:textId="77777777" w:rsidR="0095030C" w:rsidRPr="004A2375" w:rsidRDefault="0095030C" w:rsidP="0095030C">
      <w:pPr>
        <w:spacing w:after="0" w:line="276" w:lineRule="auto"/>
        <w:jc w:val="both"/>
        <w:rPr>
          <w:rFonts w:ascii="Verdana" w:hAnsi="Verdana"/>
        </w:rPr>
      </w:pPr>
      <w:r w:rsidRPr="004A2375">
        <w:rPr>
          <w:rFonts w:ascii="Verdana" w:hAnsi="Verdana"/>
        </w:rPr>
        <w:t xml:space="preserve">LinkedIn: </w:t>
      </w:r>
      <w:r w:rsidRPr="004A2375">
        <w:rPr>
          <w:rStyle w:val="Hipervnculo"/>
          <w:rFonts w:ascii="Verdana" w:hAnsi="Verdana"/>
        </w:rPr>
        <w:t>Agencia Nacional de Contratación Pública - Colombia Compra Eficiente</w:t>
      </w:r>
      <w:r w:rsidRPr="004A2375">
        <w:rPr>
          <w:rFonts w:ascii="Verdana" w:hAnsi="Verdana"/>
        </w:rPr>
        <w:t xml:space="preserve"> Instagram: </w:t>
      </w:r>
      <w:r w:rsidRPr="004A2375">
        <w:rPr>
          <w:rStyle w:val="Hipervnculo"/>
          <w:rFonts w:ascii="Verdana" w:hAnsi="Verdana"/>
        </w:rPr>
        <w:t>@colombiacompraeficiente_cce</w:t>
      </w:r>
    </w:p>
    <w:p w14:paraId="10431B4E" w14:textId="77777777" w:rsidR="0095030C" w:rsidRPr="004A2375" w:rsidRDefault="0095030C" w:rsidP="0095030C">
      <w:pPr>
        <w:spacing w:before="240" w:after="0" w:line="276" w:lineRule="auto"/>
        <w:jc w:val="both"/>
        <w:rPr>
          <w:rFonts w:ascii="Verdana" w:eastAsia="Calibri" w:hAnsi="Verdana" w:cs="Times New Roman"/>
          <w:bCs/>
        </w:rPr>
      </w:pPr>
      <w:r w:rsidRPr="004A2375">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97B294B" w14:textId="77777777" w:rsidR="0095030C" w:rsidRPr="004A2375" w:rsidRDefault="0095030C" w:rsidP="0095030C">
      <w:pPr>
        <w:spacing w:before="240" w:after="0" w:line="276" w:lineRule="auto"/>
        <w:jc w:val="both"/>
        <w:rPr>
          <w:rFonts w:ascii="Verdana" w:eastAsia="Calibri" w:hAnsi="Verdana" w:cs="Times New Roman"/>
        </w:rPr>
      </w:pPr>
      <w:r w:rsidRPr="004A2375">
        <w:rPr>
          <w:rFonts w:ascii="Verdana" w:eastAsia="Calibri" w:hAnsi="Verdana" w:cs="Times New Roman"/>
        </w:rPr>
        <w:t xml:space="preserve">Atentamente,  </w:t>
      </w:r>
    </w:p>
    <w:p w14:paraId="04EC17AA" w14:textId="125AD253" w:rsidR="0095030C" w:rsidRPr="00630B5E" w:rsidRDefault="00683AF3" w:rsidP="0095030C">
      <w:pPr>
        <w:spacing w:after="0" w:line="276" w:lineRule="auto"/>
        <w:jc w:val="both"/>
        <w:rPr>
          <w:rFonts w:ascii="Verdana" w:eastAsia="Calibri" w:hAnsi="Verdana" w:cs="Times New Roman"/>
        </w:rPr>
      </w:pPr>
      <w:r w:rsidRPr="00683AF3">
        <w:rPr>
          <w:rFonts w:ascii="Verdana" w:eastAsia="Calibri" w:hAnsi="Verdana" w:cs="Times New Roman"/>
        </w:rPr>
        <w:drawing>
          <wp:anchor distT="0" distB="0" distL="114300" distR="114300" simplePos="0" relativeHeight="251660288" behindDoc="1" locked="0" layoutInCell="1" allowOverlap="1" wp14:anchorId="33BBD0C1" wp14:editId="41436ED4">
            <wp:simplePos x="0" y="0"/>
            <wp:positionH relativeFrom="margin">
              <wp:align>center</wp:align>
            </wp:positionH>
            <wp:positionV relativeFrom="paragraph">
              <wp:posOffset>135195</wp:posOffset>
            </wp:positionV>
            <wp:extent cx="3230150" cy="1199071"/>
            <wp:effectExtent l="0" t="0" r="8890" b="1270"/>
            <wp:wrapNone/>
            <wp:docPr id="21426667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30150" cy="1199071"/>
                    </a:xfrm>
                    <a:prstGeom prst="rect">
                      <a:avLst/>
                    </a:prstGeom>
                    <a:noFill/>
                    <a:ln>
                      <a:noFill/>
                    </a:ln>
                  </pic:spPr>
                </pic:pic>
              </a:graphicData>
            </a:graphic>
          </wp:anchor>
        </w:drawing>
      </w:r>
    </w:p>
    <w:p w14:paraId="474449BD" w14:textId="6DB6A167" w:rsidR="00683AF3" w:rsidRPr="00683AF3" w:rsidRDefault="00683AF3" w:rsidP="00683AF3">
      <w:pPr>
        <w:spacing w:after="0" w:line="276" w:lineRule="auto"/>
        <w:jc w:val="both"/>
        <w:rPr>
          <w:rFonts w:ascii="Verdana" w:eastAsia="Calibri" w:hAnsi="Verdana" w:cs="Times New Roman"/>
        </w:rPr>
      </w:pPr>
    </w:p>
    <w:p w14:paraId="70547A25" w14:textId="7E61A7F4" w:rsidR="0095030C" w:rsidRPr="00E0051B" w:rsidRDefault="0095030C" w:rsidP="0095030C">
      <w:pPr>
        <w:spacing w:after="0" w:line="276" w:lineRule="auto"/>
        <w:jc w:val="both"/>
        <w:rPr>
          <w:rFonts w:ascii="Verdana" w:eastAsia="Calibri" w:hAnsi="Verdana" w:cs="Times New Roman"/>
        </w:rPr>
      </w:pPr>
    </w:p>
    <w:p w14:paraId="3F0AF473" w14:textId="585277CA" w:rsidR="000548CB" w:rsidRPr="000548CB" w:rsidRDefault="000548CB" w:rsidP="000548CB">
      <w:pPr>
        <w:spacing w:after="0" w:line="276" w:lineRule="auto"/>
        <w:jc w:val="both"/>
        <w:rPr>
          <w:rFonts w:ascii="Verdana" w:eastAsia="Calibri" w:hAnsi="Verdana" w:cs="Times New Roman"/>
        </w:rPr>
      </w:pPr>
    </w:p>
    <w:p w14:paraId="73DECFC7" w14:textId="77777777" w:rsidR="0095030C" w:rsidRPr="00FD1C41" w:rsidRDefault="0095030C" w:rsidP="0095030C">
      <w:pPr>
        <w:spacing w:after="0" w:line="276" w:lineRule="auto"/>
        <w:jc w:val="both"/>
        <w:rPr>
          <w:rFonts w:ascii="Verdana" w:eastAsia="Calibri" w:hAnsi="Verdana" w:cs="Times New Roman"/>
        </w:rPr>
      </w:pPr>
    </w:p>
    <w:p w14:paraId="45D60CB0" w14:textId="77777777" w:rsidR="0095030C" w:rsidRPr="00E57F10" w:rsidRDefault="0095030C" w:rsidP="0095030C">
      <w:pPr>
        <w:spacing w:after="0" w:line="256" w:lineRule="auto"/>
        <w:jc w:val="center"/>
        <w:rPr>
          <w:rFonts w:ascii="Verdana" w:eastAsia="Times New Roman" w:hAnsi="Verdana" w:cs="Arial"/>
          <w:sz w:val="24"/>
          <w:szCs w:val="24"/>
        </w:rPr>
      </w:pPr>
    </w:p>
    <w:p w14:paraId="3FB19E78" w14:textId="77777777" w:rsidR="0095030C" w:rsidRDefault="0095030C" w:rsidP="0095030C">
      <w:pPr>
        <w:spacing w:after="0" w:line="256" w:lineRule="auto"/>
        <w:jc w:val="center"/>
        <w:rPr>
          <w:rFonts w:ascii="Verdana" w:eastAsia="Times New Roman" w:hAnsi="Verdana" w:cs="Arial"/>
          <w:sz w:val="24"/>
          <w:szCs w:val="24"/>
        </w:rPr>
      </w:pPr>
    </w:p>
    <w:p w14:paraId="1C1935F7" w14:textId="77777777" w:rsidR="0095030C" w:rsidRDefault="0095030C" w:rsidP="0095030C">
      <w:pPr>
        <w:spacing w:after="0" w:line="256" w:lineRule="auto"/>
        <w:jc w:val="center"/>
        <w:rPr>
          <w:rFonts w:ascii="Verdana" w:eastAsia="Times New Roman" w:hAnsi="Verdana" w:cs="Arial"/>
          <w:sz w:val="24"/>
          <w:szCs w:val="24"/>
        </w:rPr>
      </w:pPr>
    </w:p>
    <w:p w14:paraId="1741F803" w14:textId="77777777" w:rsidR="0095030C" w:rsidRDefault="0095030C" w:rsidP="0095030C">
      <w:pPr>
        <w:spacing w:after="0" w:line="256" w:lineRule="auto"/>
        <w:jc w:val="center"/>
        <w:rPr>
          <w:rFonts w:ascii="Verdana" w:eastAsia="Times New Roman" w:hAnsi="Verdana" w:cs="Arial"/>
          <w:sz w:val="24"/>
          <w:szCs w:val="24"/>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5030C" w:rsidRPr="00432BAE" w14:paraId="26543AD0" w14:textId="77777777" w:rsidTr="000774F1">
        <w:trPr>
          <w:trHeight w:val="315"/>
        </w:trPr>
        <w:tc>
          <w:tcPr>
            <w:tcW w:w="893" w:type="dxa"/>
            <w:vAlign w:val="center"/>
            <w:hideMark/>
          </w:tcPr>
          <w:p w14:paraId="58D43DF7" w14:textId="77777777" w:rsidR="0095030C" w:rsidRPr="004F246A" w:rsidRDefault="0095030C" w:rsidP="000774F1">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615A1361" w14:textId="77777777" w:rsidR="0095030C" w:rsidRPr="004F246A" w:rsidRDefault="0095030C" w:rsidP="000774F1">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Ángela María Olmos Andrade</w:t>
            </w:r>
          </w:p>
          <w:p w14:paraId="57A66A98" w14:textId="77777777" w:rsidR="0095030C" w:rsidRPr="004F246A" w:rsidRDefault="0095030C" w:rsidP="000774F1">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Analista T2 - 02 de la Subdirección de Gestión Contractual</w:t>
            </w:r>
          </w:p>
        </w:tc>
      </w:tr>
      <w:tr w:rsidR="0095030C" w:rsidRPr="00432BAE" w14:paraId="4BAAA6EA" w14:textId="77777777" w:rsidTr="000774F1">
        <w:trPr>
          <w:trHeight w:val="330"/>
        </w:trPr>
        <w:tc>
          <w:tcPr>
            <w:tcW w:w="893" w:type="dxa"/>
            <w:vAlign w:val="center"/>
            <w:hideMark/>
          </w:tcPr>
          <w:p w14:paraId="0860FF21" w14:textId="77777777" w:rsidR="0095030C" w:rsidRPr="004F246A" w:rsidRDefault="0095030C" w:rsidP="000774F1">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0C2845FF" w14:textId="77777777" w:rsidR="0095030C" w:rsidRPr="004F246A" w:rsidRDefault="0095030C" w:rsidP="000774F1">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Diana Lucia Saavedra Castañeda</w:t>
            </w:r>
          </w:p>
          <w:p w14:paraId="0011F32D" w14:textId="77777777" w:rsidR="0095030C" w:rsidRPr="004F246A" w:rsidRDefault="0095030C" w:rsidP="000774F1">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Contratista</w:t>
            </w:r>
            <w:r w:rsidRPr="004F246A">
              <w:rPr>
                <w:rFonts w:ascii="Verdana" w:eastAsia="Times New Roman" w:hAnsi="Verdana" w:cs="Arial"/>
                <w:color w:val="000000"/>
                <w:sz w:val="16"/>
                <w:szCs w:val="16"/>
              </w:rPr>
              <w:t xml:space="preserve"> de la Subdirección de Gestión Contractual</w:t>
            </w:r>
          </w:p>
        </w:tc>
      </w:tr>
      <w:tr w:rsidR="0095030C" w:rsidRPr="00432BAE" w14:paraId="18D84EDF" w14:textId="77777777" w:rsidTr="000774F1">
        <w:trPr>
          <w:trHeight w:val="300"/>
        </w:trPr>
        <w:tc>
          <w:tcPr>
            <w:tcW w:w="893" w:type="dxa"/>
            <w:vAlign w:val="center"/>
            <w:hideMark/>
          </w:tcPr>
          <w:p w14:paraId="6CD2473B" w14:textId="77777777" w:rsidR="0095030C" w:rsidRPr="004F246A" w:rsidRDefault="0095030C" w:rsidP="000774F1">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5A03A34F" w14:textId="77777777" w:rsidR="0095030C" w:rsidRPr="004F246A" w:rsidRDefault="0095030C" w:rsidP="000774F1">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Carolina Quintero Gacharná</w:t>
            </w:r>
          </w:p>
          <w:p w14:paraId="589CF7B9" w14:textId="77777777" w:rsidR="0095030C" w:rsidRPr="004F246A" w:rsidRDefault="0095030C" w:rsidP="000774F1">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Subdirectora de Gestión Contractual ANCP – CCE</w:t>
            </w:r>
          </w:p>
        </w:tc>
      </w:tr>
    </w:tbl>
    <w:p w14:paraId="3D56929C" w14:textId="77777777" w:rsidR="0095030C" w:rsidRPr="00E02524" w:rsidRDefault="0095030C" w:rsidP="0095030C">
      <w:pPr>
        <w:spacing w:after="0" w:line="240" w:lineRule="auto"/>
        <w:jc w:val="both"/>
        <w:rPr>
          <w:rFonts w:ascii="Verdana" w:eastAsia="Verdana" w:hAnsi="Verdana" w:cs="Verdana"/>
          <w:b/>
          <w:bCs/>
          <w:lang w:val="es-MX"/>
        </w:rPr>
      </w:pPr>
    </w:p>
    <w:bookmarkEnd w:id="0"/>
    <w:p w14:paraId="0F293BF4" w14:textId="77CF98A1" w:rsidR="00127233" w:rsidRPr="0015699B" w:rsidRDefault="00127233" w:rsidP="0095030C">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FEA992" w14:textId="77777777" w:rsidR="00CB51D0" w:rsidRDefault="00CB51D0" w:rsidP="004A1847">
      <w:pPr>
        <w:spacing w:after="0" w:line="240" w:lineRule="auto"/>
      </w:pPr>
      <w:r>
        <w:separator/>
      </w:r>
    </w:p>
  </w:endnote>
  <w:endnote w:type="continuationSeparator" w:id="0">
    <w:p w14:paraId="096B629A" w14:textId="77777777" w:rsidR="00CB51D0" w:rsidRDefault="00CB51D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Batang">
    <w:panose1 w:val="02030600000101010101"/>
    <w:charset w:val="81"/>
    <w:family w:val="roman"/>
    <w:pitch w:val="variable"/>
    <w:sig w:usb0="B00002AF" w:usb1="69D77CFB" w:usb2="00000030" w:usb3="00000000" w:csb0="0008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26F93" w14:textId="77777777" w:rsidR="00CB51D0" w:rsidRDefault="00CB51D0" w:rsidP="004A1847">
      <w:pPr>
        <w:spacing w:after="0" w:line="240" w:lineRule="auto"/>
      </w:pPr>
      <w:r>
        <w:separator/>
      </w:r>
    </w:p>
  </w:footnote>
  <w:footnote w:type="continuationSeparator" w:id="0">
    <w:p w14:paraId="08C5C634" w14:textId="77777777" w:rsidR="00CB51D0" w:rsidRDefault="00CB51D0" w:rsidP="004A1847">
      <w:pPr>
        <w:spacing w:after="0" w:line="240" w:lineRule="auto"/>
      </w:pPr>
      <w:r>
        <w:continuationSeparator/>
      </w:r>
    </w:p>
  </w:footnote>
  <w:footnote w:id="1">
    <w:p w14:paraId="4B863F15" w14:textId="77777777" w:rsidR="001710B1" w:rsidRDefault="001710B1" w:rsidP="001710B1">
      <w:pPr>
        <w:pStyle w:val="Textonotapie"/>
        <w:ind w:left="720"/>
        <w:jc w:val="both"/>
        <w:rPr>
          <w:rFonts w:ascii="Verdana" w:hAnsi="Verdana"/>
          <w:sz w:val="16"/>
          <w:szCs w:val="16"/>
          <w:lang w:val="es-ES"/>
        </w:rPr>
      </w:pPr>
      <w:r>
        <w:rPr>
          <w:rStyle w:val="Refdenotaalpie"/>
          <w:rFonts w:ascii="Verdana" w:hAnsi="Verdana"/>
          <w:sz w:val="16"/>
          <w:szCs w:val="16"/>
        </w:rPr>
        <w:footnoteRef/>
      </w:r>
      <w:r w:rsidRPr="00E8380C">
        <w:rPr>
          <w:rFonts w:ascii="Verdana" w:hAnsi="Verdana"/>
          <w:sz w:val="16"/>
          <w:szCs w:val="16"/>
          <w:lang w:val="pt-PT"/>
        </w:rPr>
        <w:t xml:space="preserve"> Corte Constitucional. Sentencia C-128 de 2003. </w:t>
      </w:r>
      <w:r>
        <w:rPr>
          <w:rFonts w:ascii="Verdana" w:hAnsi="Verdana"/>
          <w:sz w:val="16"/>
          <w:szCs w:val="16"/>
          <w:lang w:val="es-ES"/>
        </w:rPr>
        <w:t>M.P. Álvaro Tafur Galvis.</w:t>
      </w:r>
    </w:p>
    <w:p w14:paraId="782EEE87" w14:textId="77777777" w:rsidR="001710B1" w:rsidRDefault="001710B1" w:rsidP="001710B1">
      <w:pPr>
        <w:pStyle w:val="Textonotapie"/>
        <w:jc w:val="both"/>
        <w:rPr>
          <w:rFonts w:ascii="Verdana" w:hAnsi="Verdana"/>
          <w:sz w:val="16"/>
          <w:szCs w:val="16"/>
        </w:rPr>
      </w:pPr>
    </w:p>
  </w:footnote>
  <w:footnote w:id="2">
    <w:p w14:paraId="2C83C1F4" w14:textId="77777777" w:rsidR="00107E38" w:rsidRDefault="00107E38" w:rsidP="00107E38">
      <w:pPr>
        <w:pStyle w:val="Textonotapie"/>
        <w:ind w:firstLine="708"/>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Agencia Nacional de Contratación Pública – Colombia Compra Eficiente. Concepto C-285 del 20 de mayo de 2022. Consultar en: </w:t>
      </w:r>
      <w:hyperlink r:id="rId1" w:history="1">
        <w:r>
          <w:rPr>
            <w:rStyle w:val="Hipervnculo"/>
            <w:rFonts w:ascii="Verdana" w:hAnsi="Verdana"/>
            <w:sz w:val="16"/>
            <w:szCs w:val="16"/>
          </w:rPr>
          <w:t>https://relatoria.colombiacompra.gov.co/conceptos/c-285-de-2022/</w:t>
        </w:r>
      </w:hyperlink>
    </w:p>
    <w:p w14:paraId="55B477AB" w14:textId="77777777" w:rsidR="00107E38" w:rsidRDefault="00107E38" w:rsidP="00107E38">
      <w:pPr>
        <w:pStyle w:val="Textonotapie"/>
        <w:ind w:firstLine="708"/>
        <w:jc w:val="both"/>
        <w:rPr>
          <w:rFonts w:ascii="Verdana" w:hAnsi="Verdana"/>
          <w:sz w:val="16"/>
          <w:szCs w:val="16"/>
          <w:lang w:val="es-CO"/>
        </w:rPr>
      </w:pPr>
      <w:r>
        <w:rPr>
          <w:rFonts w:ascii="Verdana" w:hAnsi="Verdana"/>
          <w:sz w:val="16"/>
          <w:szCs w:val="16"/>
        </w:rPr>
        <w:t xml:space="preserve"> </w:t>
      </w:r>
    </w:p>
  </w:footnote>
  <w:footnote w:id="3">
    <w:p w14:paraId="075FC6A6" w14:textId="77777777" w:rsidR="00107E38" w:rsidRDefault="00107E38" w:rsidP="00107E38">
      <w:pPr>
        <w:pStyle w:val="Textonotapie"/>
        <w:ind w:firstLine="708"/>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Agencia Nacional de Contratación Pública – Colombia Compra Eficiente. Concepto C-447 del 19 de septiembre de 2024. Consultar en: </w:t>
      </w:r>
      <w:hyperlink r:id="rId2" w:history="1">
        <w:r>
          <w:rPr>
            <w:rStyle w:val="Hipervnculo"/>
            <w:rFonts w:ascii="Verdana" w:hAnsi="Verdana"/>
            <w:sz w:val="16"/>
            <w:szCs w:val="16"/>
          </w:rPr>
          <w:t>https://relatoria.colombiacompra.gov.co/conceptos/c-447-de-2024/</w:t>
        </w:r>
      </w:hyperlink>
      <w:r>
        <w:rPr>
          <w:rFonts w:ascii="Verdana" w:hAnsi="Verdana"/>
          <w:sz w:val="16"/>
          <w:szCs w:val="16"/>
        </w:rPr>
        <w:t xml:space="preserve"> </w:t>
      </w:r>
    </w:p>
    <w:p w14:paraId="00547486" w14:textId="77777777" w:rsidR="00107E38" w:rsidRDefault="00107E38" w:rsidP="00107E38">
      <w:pPr>
        <w:pStyle w:val="Textonotapie"/>
        <w:jc w:val="both"/>
        <w:rPr>
          <w:rFonts w:ascii="Verdana" w:hAnsi="Verdana"/>
          <w:sz w:val="16"/>
          <w:szCs w:val="16"/>
        </w:rPr>
      </w:pPr>
    </w:p>
  </w:footnote>
  <w:footnote w:id="4">
    <w:p w14:paraId="4306DE38" w14:textId="77777777" w:rsidR="00107E38" w:rsidRDefault="00107E38" w:rsidP="00107E38">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Style w:val="Refdenotaalpie"/>
          <w:rFonts w:ascii="Verdana" w:hAnsi="Verdana" w:cs="Arial"/>
          <w:color w:val="000000"/>
          <w:sz w:val="16"/>
          <w:szCs w:val="16"/>
        </w:rPr>
        <w:t xml:space="preserve"> </w:t>
      </w:r>
      <w:r>
        <w:rPr>
          <w:rFonts w:ascii="Verdana"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7987E442" w14:textId="77777777" w:rsidR="00107E38" w:rsidRDefault="00107E38" w:rsidP="00107E38">
      <w:pPr>
        <w:pStyle w:val="Textonotapie"/>
        <w:ind w:firstLine="709"/>
        <w:jc w:val="both"/>
        <w:rPr>
          <w:rFonts w:ascii="Verdana" w:hAnsi="Verdana" w:cs="Arial"/>
          <w:color w:val="000000"/>
          <w:sz w:val="16"/>
          <w:szCs w:val="16"/>
        </w:rPr>
      </w:pPr>
    </w:p>
  </w:footnote>
  <w:footnote w:id="5">
    <w:p w14:paraId="6D4C9F00" w14:textId="77777777" w:rsidR="00107E38" w:rsidRDefault="00107E38" w:rsidP="00107E38">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Sin embargo, debe tenerse en cuenta que la última norma en cita -Decreto 2474 de 2008, aparte subrayado-, establece un límite a la </w:t>
      </w:r>
      <w:proofErr w:type="spellStart"/>
      <w:r>
        <w:rPr>
          <w:rFonts w:ascii="Verdana" w:hAnsi="Verdana" w:cs="Arial"/>
          <w:color w:val="000000"/>
          <w:sz w:val="16"/>
          <w:szCs w:val="16"/>
        </w:rPr>
        <w:t>subsanabilidad</w:t>
      </w:r>
      <w:proofErr w:type="spellEnd"/>
      <w:r>
        <w:rPr>
          <w:rFonts w:ascii="Verdana" w:hAnsi="Verdana" w:cs="Arial"/>
          <w:color w:val="000000"/>
          <w:sz w:val="16"/>
          <w:szCs w:val="16"/>
        </w:rPr>
        <w:t>, puesto que en cualquier caso debe referirse o recaer sobre circunstancias ocurridas antes del cierre del respectivo proceso, esto es, del vencimiento del plazo para presentar ofertas.</w:t>
      </w:r>
    </w:p>
    <w:p w14:paraId="2F7CB9EA" w14:textId="77777777" w:rsidR="00107E38" w:rsidRDefault="00107E38" w:rsidP="00107E38">
      <w:pPr>
        <w:pStyle w:val="Textonotapie"/>
        <w:ind w:firstLine="709"/>
        <w:jc w:val="both"/>
        <w:rPr>
          <w:rFonts w:ascii="Verdana" w:hAnsi="Verdana" w:cs="Arial"/>
          <w:color w:val="000000"/>
          <w:sz w:val="16"/>
          <w:szCs w:val="16"/>
        </w:rPr>
      </w:pPr>
      <w:r>
        <w:rPr>
          <w:rFonts w:ascii="Verdana" w:hAnsi="Verdana" w:cs="Arial"/>
          <w:color w:val="000000"/>
          <w:sz w:val="16"/>
          <w:szCs w:val="16"/>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5EF503AC" w14:textId="77777777" w:rsidR="00107E38" w:rsidRDefault="00107E38" w:rsidP="00107E38">
      <w:pPr>
        <w:pStyle w:val="Textonotapie"/>
        <w:ind w:firstLine="709"/>
        <w:jc w:val="both"/>
        <w:rPr>
          <w:rFonts w:ascii="Verdana" w:hAnsi="Verdana" w:cs="Arial"/>
          <w:color w:val="000000"/>
          <w:sz w:val="16"/>
          <w:szCs w:val="16"/>
        </w:rPr>
      </w:pPr>
    </w:p>
  </w:footnote>
  <w:footnote w:id="6">
    <w:p w14:paraId="789ACA21" w14:textId="77777777" w:rsidR="00107E38" w:rsidRDefault="00107E38" w:rsidP="00107E38">
      <w:pPr>
        <w:pStyle w:val="Textonotapie"/>
        <w:ind w:firstLine="709"/>
        <w:jc w:val="both"/>
        <w:rPr>
          <w:rFonts w:ascii="Verdana" w:hAnsi="Verdana" w:cs="Arial"/>
          <w:color w:val="000000"/>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color w:val="000000"/>
          <w:sz w:val="16"/>
          <w:szCs w:val="16"/>
        </w:rPr>
        <w:t xml:space="preserve">En armonía con lo anterior, actualmente la Circular Externa Única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65493C5D" w14:textId="77777777" w:rsidR="00107E38" w:rsidRDefault="00107E38" w:rsidP="00107E38">
      <w:pPr>
        <w:pStyle w:val="Textonotapie"/>
        <w:ind w:firstLine="709"/>
        <w:jc w:val="both"/>
        <w:rPr>
          <w:rFonts w:ascii="Verdana" w:hAnsi="Verdana" w:cs="Arial"/>
          <w:color w:val="000000"/>
          <w:sz w:val="16"/>
          <w:szCs w:val="16"/>
        </w:rPr>
      </w:pPr>
      <w:r>
        <w:rPr>
          <w:rFonts w:ascii="Verdana" w:hAnsi="Verdana" w:cs="Arial"/>
          <w:color w:val="000000"/>
          <w:sz w:val="16"/>
          <w:szCs w:val="16"/>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w:t>
      </w:r>
      <w:proofErr w:type="spellStart"/>
      <w:r>
        <w:rPr>
          <w:rFonts w:ascii="Verdana" w:hAnsi="Verdana" w:cs="Arial"/>
          <w:color w:val="000000"/>
          <w:sz w:val="16"/>
          <w:szCs w:val="16"/>
        </w:rPr>
        <w:t>subsanabilidad</w:t>
      </w:r>
      <w:proofErr w:type="spellEnd"/>
      <w:r>
        <w:rPr>
          <w:rFonts w:ascii="Verdana" w:hAnsi="Verdana" w:cs="Arial"/>
          <w:color w:val="000000"/>
          <w:sz w:val="16"/>
          <w:szCs w:val="16"/>
        </w:rPr>
        <w:t xml:space="preserve">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3" w:history="1">
        <w:r>
          <w:rPr>
            <w:rStyle w:val="Hipervnculo"/>
            <w:rFonts w:ascii="Verdana" w:hAnsi="Verdana" w:cs="Arial"/>
            <w:sz w:val="16"/>
            <w:szCs w:val="16"/>
          </w:rPr>
          <w:t>https://www.colombiacompra.gov.co/circulares?page=2</w:t>
        </w:r>
      </w:hyperlink>
      <w:r>
        <w:rPr>
          <w:rStyle w:val="Hipervnculo"/>
          <w:rFonts w:ascii="Verdana" w:hAnsi="Verdana" w:cs="Arial"/>
          <w:color w:val="000000"/>
          <w:sz w:val="16"/>
          <w:szCs w:val="16"/>
        </w:rPr>
        <w:t xml:space="preserve"> </w:t>
      </w:r>
    </w:p>
    <w:p w14:paraId="459D96AC" w14:textId="77777777" w:rsidR="00107E38" w:rsidRDefault="00107E38" w:rsidP="00107E38">
      <w:pPr>
        <w:pStyle w:val="Textonotapie"/>
        <w:ind w:firstLine="709"/>
        <w:jc w:val="both"/>
        <w:rPr>
          <w:rFonts w:ascii="Verdana" w:hAnsi="Verdana" w:cs="Arial"/>
          <w:color w:val="000000"/>
          <w:sz w:val="16"/>
          <w:szCs w:val="16"/>
        </w:rPr>
      </w:pPr>
    </w:p>
  </w:footnote>
  <w:footnote w:id="7">
    <w:p w14:paraId="49AA2AFC" w14:textId="77777777" w:rsidR="00107E38" w:rsidRDefault="00107E38" w:rsidP="00107E38">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Ver CONSEJO DE ESTADO, Sección Tercera, Subsección C. Sentencia del 26 de febrero de 2011. C.P. Jaime Orlando Santofimio. Rad. 36.408. </w:t>
      </w:r>
    </w:p>
  </w:footnote>
  <w:footnote w:id="8">
    <w:p w14:paraId="203FF1F8" w14:textId="77777777" w:rsidR="00107E38" w:rsidRDefault="00107E38" w:rsidP="00107E38">
      <w:pPr>
        <w:pStyle w:val="Textonotapie"/>
        <w:ind w:firstLine="709"/>
        <w:jc w:val="both"/>
        <w:rPr>
          <w:rFonts w:ascii="Verdana" w:hAnsi="Verdana" w:cs="Arial"/>
          <w:color w:val="000000"/>
          <w:sz w:val="16"/>
          <w:szCs w:val="16"/>
        </w:rPr>
      </w:pPr>
    </w:p>
    <w:p w14:paraId="50328A90" w14:textId="77777777" w:rsidR="00107E38" w:rsidRDefault="00107E38" w:rsidP="00107E38">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Ver CONSEJO DE ESTADO, Sección Tercera, Subsección C. Sentencia del 26 de febrero de 2014. C.P. Enrique Gil Botero. Rad. 25.804. </w:t>
      </w:r>
    </w:p>
    <w:p w14:paraId="3DFA9D7D" w14:textId="77777777" w:rsidR="00107E38" w:rsidRDefault="00107E38" w:rsidP="00107E38">
      <w:pPr>
        <w:pStyle w:val="Textonotapie"/>
        <w:ind w:firstLine="709"/>
        <w:jc w:val="both"/>
        <w:rPr>
          <w:rFonts w:ascii="Verdana" w:hAnsi="Verdana" w:cs="Arial"/>
          <w:color w:val="000000"/>
          <w:sz w:val="16"/>
          <w:szCs w:val="16"/>
        </w:rPr>
      </w:pPr>
    </w:p>
  </w:footnote>
  <w:footnote w:id="9">
    <w:p w14:paraId="5278A2D2" w14:textId="77777777" w:rsidR="00107E38" w:rsidRDefault="00107E38" w:rsidP="00107E38">
      <w:pPr>
        <w:pStyle w:val="Textonotapie"/>
        <w:ind w:firstLine="708"/>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CONSEJO DE ESTADO. Sala de Consulta y Servicio Civil. Concepto del 20 de mayo de 2010. Expediente: 1992. Consejero Ponente: Enrique José Arboleda Perdomo.</w:t>
      </w:r>
    </w:p>
    <w:p w14:paraId="790B2708" w14:textId="77777777" w:rsidR="00107E38" w:rsidRDefault="00107E38" w:rsidP="00107E38">
      <w:pPr>
        <w:pStyle w:val="Textonotapie"/>
        <w:ind w:firstLine="708"/>
        <w:jc w:val="both"/>
        <w:rPr>
          <w:rFonts w:ascii="Verdana" w:hAnsi="Verdana" w:cs="Arial"/>
          <w:color w:val="000000"/>
          <w:sz w:val="16"/>
          <w:szCs w:val="16"/>
        </w:rPr>
      </w:pPr>
    </w:p>
  </w:footnote>
  <w:footnote w:id="10">
    <w:p w14:paraId="3BE54874" w14:textId="77777777" w:rsidR="00107E38" w:rsidRDefault="00107E38" w:rsidP="00107E38">
      <w:pPr>
        <w:spacing w:after="0" w:line="240" w:lineRule="auto"/>
        <w:ind w:firstLine="709"/>
        <w:jc w:val="both"/>
        <w:rPr>
          <w:rFonts w:ascii="Verdana" w:eastAsia="Arial" w:hAnsi="Verdana" w:cs="Arial"/>
          <w:color w:val="000000"/>
          <w:sz w:val="16"/>
          <w:szCs w:val="16"/>
        </w:rPr>
      </w:pPr>
      <w:r>
        <w:rPr>
          <w:rFonts w:ascii="Verdana" w:hAnsi="Verdana" w:cs="Arial"/>
          <w:sz w:val="16"/>
          <w:szCs w:val="16"/>
          <w:vertAlign w:val="superscript"/>
        </w:rPr>
        <w:footnoteRef/>
      </w:r>
      <w:r>
        <w:rPr>
          <w:rFonts w:ascii="Verdana" w:eastAsia="Arial" w:hAnsi="Verdana" w:cs="Arial"/>
          <w:color w:val="000000"/>
          <w:sz w:val="16"/>
          <w:szCs w:val="16"/>
        </w:rPr>
        <w:t xml:space="preserve"> CONSEJO DE ESTADO. Sección Tercera. Subsección C. Sentencia del 12 de noviembre de 2014. </w:t>
      </w:r>
      <w:proofErr w:type="spellStart"/>
      <w:r>
        <w:rPr>
          <w:rFonts w:ascii="Verdana" w:eastAsia="Arial" w:hAnsi="Verdana" w:cs="Arial"/>
          <w:color w:val="000000"/>
          <w:sz w:val="16"/>
          <w:szCs w:val="16"/>
        </w:rPr>
        <w:t>Exp</w:t>
      </w:r>
      <w:proofErr w:type="spellEnd"/>
      <w:r>
        <w:rPr>
          <w:rFonts w:ascii="Verdana" w:eastAsia="Arial" w:hAnsi="Verdana" w:cs="Arial"/>
          <w:color w:val="000000"/>
          <w:sz w:val="16"/>
          <w:szCs w:val="16"/>
        </w:rPr>
        <w:t>. 27.986. C.P. Enrique Gil Botero.</w:t>
      </w:r>
    </w:p>
    <w:p w14:paraId="66196F5E" w14:textId="77777777" w:rsidR="00107E38" w:rsidRDefault="00107E38" w:rsidP="00107E38">
      <w:pPr>
        <w:spacing w:after="0" w:line="240" w:lineRule="auto"/>
        <w:ind w:firstLine="709"/>
        <w:jc w:val="both"/>
        <w:rPr>
          <w:rFonts w:ascii="Verdana" w:eastAsia="Arial" w:hAnsi="Verdana" w:cs="Arial"/>
          <w:color w:val="000000"/>
          <w:sz w:val="16"/>
          <w:szCs w:val="16"/>
        </w:rPr>
      </w:pPr>
    </w:p>
  </w:footnote>
  <w:footnote w:id="11">
    <w:p w14:paraId="78D25232" w14:textId="77777777" w:rsidR="00107E38" w:rsidRDefault="00107E38" w:rsidP="00107E38">
      <w:pPr>
        <w:pStyle w:val="Textonotapie"/>
        <w:ind w:firstLine="709"/>
        <w:jc w:val="both"/>
        <w:rPr>
          <w:rFonts w:ascii="Verdana" w:eastAsia="Calibri" w:hAnsi="Verdana" w:cs="Arial"/>
          <w:sz w:val="16"/>
          <w:szCs w:val="16"/>
          <w:lang w:val="es-CO"/>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bCs/>
          <w:sz w:val="16"/>
          <w:szCs w:val="16"/>
        </w:rPr>
        <w:t xml:space="preserve">En todo caso, conforme al parágrafo 3 del artículo 30 del Estatuto General de Contratación de la Administración pública, es necesario tener en cuenta que para los procesos de licitación para los contratistas de obra pública la oferta debe entregarse en dos sobres. El sobre numero 2 contiene la propuesta económica, y la norma dispone “[…] se mantendrá cerrado hasta la audiencia efectiva de adjudicación, momento en el cual se podrán hacer observaciones al informe de evaluación, las cuales se decidirán en la misma. Durante esta audiencia se dará apertura al sobre, se evaluará la oferta económica a través del mecanismo escogido mediante el método aleatorio que se establezca en los pliegos de condiciones, corriendo traslado a los proponentes habilitados en la misma diligencia solo para la revisión del aspecto económico y se establecerá el orden de elegibilidad”.  </w:t>
      </w:r>
    </w:p>
  </w:footnote>
  <w:footnote w:id="12">
    <w:p w14:paraId="37A83B54" w14:textId="77777777" w:rsidR="00107E38" w:rsidRDefault="00107E38" w:rsidP="00107E38">
      <w:pPr>
        <w:spacing w:after="0" w:line="240" w:lineRule="auto"/>
        <w:ind w:firstLine="709"/>
        <w:jc w:val="both"/>
        <w:rPr>
          <w:rFonts w:ascii="Verdana" w:hAnsi="Verdana" w:cs="Arial"/>
          <w:color w:val="000000"/>
          <w:sz w:val="16"/>
          <w:szCs w:val="16"/>
        </w:rPr>
      </w:pPr>
    </w:p>
    <w:p w14:paraId="4BF8E666" w14:textId="77777777" w:rsidR="00107E38" w:rsidRPr="00E8380C" w:rsidRDefault="00107E38" w:rsidP="00107E38">
      <w:pPr>
        <w:spacing w:after="0" w:line="240" w:lineRule="auto"/>
        <w:ind w:firstLine="709"/>
        <w:jc w:val="both"/>
        <w:rPr>
          <w:rFonts w:ascii="Verdana" w:eastAsia="Arial" w:hAnsi="Verdana" w:cs="Arial"/>
          <w:i/>
          <w:color w:val="000000"/>
          <w:sz w:val="16"/>
          <w:szCs w:val="16"/>
          <w:lang w:val="pt-PT"/>
        </w:rPr>
      </w:pPr>
      <w:r>
        <w:rPr>
          <w:rFonts w:ascii="Verdana" w:hAnsi="Verdana" w:cs="Arial"/>
          <w:sz w:val="16"/>
          <w:szCs w:val="16"/>
          <w:vertAlign w:val="superscript"/>
        </w:rPr>
        <w:footnoteRef/>
      </w:r>
      <w:r w:rsidRPr="00E8380C">
        <w:rPr>
          <w:rFonts w:ascii="Verdana" w:hAnsi="Verdana" w:cs="Arial"/>
          <w:color w:val="000000"/>
          <w:sz w:val="16"/>
          <w:szCs w:val="16"/>
          <w:lang w:val="pt-PT"/>
        </w:rPr>
        <w:t xml:space="preserve"> </w:t>
      </w:r>
      <w:r w:rsidRPr="00E8380C">
        <w:rPr>
          <w:rFonts w:ascii="Verdana" w:eastAsia="Arial" w:hAnsi="Verdana" w:cs="Arial"/>
          <w:color w:val="000000"/>
          <w:sz w:val="16"/>
          <w:szCs w:val="16"/>
          <w:lang w:val="pt-PT"/>
        </w:rPr>
        <w:t>Ibídem</w:t>
      </w:r>
      <w:r w:rsidRPr="00E8380C">
        <w:rPr>
          <w:rFonts w:ascii="Verdana" w:eastAsia="Arial" w:hAnsi="Verdana" w:cs="Arial"/>
          <w:i/>
          <w:color w:val="000000"/>
          <w:sz w:val="16"/>
          <w:szCs w:val="16"/>
          <w:lang w:val="pt-PT"/>
        </w:rPr>
        <w:t>.</w:t>
      </w:r>
    </w:p>
    <w:p w14:paraId="26ABAB93" w14:textId="77777777" w:rsidR="00107E38" w:rsidRPr="00E8380C" w:rsidRDefault="00107E38" w:rsidP="00107E38">
      <w:pPr>
        <w:spacing w:after="0" w:line="240" w:lineRule="auto"/>
        <w:ind w:firstLine="709"/>
        <w:jc w:val="both"/>
        <w:rPr>
          <w:rFonts w:ascii="Verdana" w:eastAsia="Calibri" w:hAnsi="Verdana" w:cs="Arial"/>
          <w:color w:val="000000"/>
          <w:sz w:val="16"/>
          <w:szCs w:val="16"/>
          <w:lang w:val="pt-PT"/>
        </w:rPr>
      </w:pPr>
    </w:p>
  </w:footnote>
  <w:footnote w:id="13">
    <w:p w14:paraId="22E1FC0C" w14:textId="77777777" w:rsidR="00107E38" w:rsidRPr="00E8380C" w:rsidRDefault="00107E38" w:rsidP="00107E38">
      <w:pPr>
        <w:spacing w:after="0" w:line="240" w:lineRule="auto"/>
        <w:ind w:firstLine="709"/>
        <w:jc w:val="both"/>
        <w:rPr>
          <w:rFonts w:ascii="Verdana" w:hAnsi="Verdana" w:cs="Arial"/>
          <w:color w:val="000000"/>
          <w:sz w:val="16"/>
          <w:szCs w:val="16"/>
          <w:lang w:val="pt-PT"/>
        </w:rPr>
      </w:pPr>
      <w:r>
        <w:rPr>
          <w:rFonts w:ascii="Verdana" w:hAnsi="Verdana" w:cs="Arial"/>
          <w:sz w:val="16"/>
          <w:szCs w:val="16"/>
          <w:vertAlign w:val="superscript"/>
        </w:rPr>
        <w:footnoteRef/>
      </w:r>
      <w:r w:rsidRPr="00E8380C">
        <w:rPr>
          <w:rFonts w:ascii="Verdana" w:hAnsi="Verdana" w:cs="Arial"/>
          <w:color w:val="000000"/>
          <w:sz w:val="16"/>
          <w:szCs w:val="16"/>
          <w:lang w:val="pt-PT"/>
        </w:rPr>
        <w:t xml:space="preserve"> </w:t>
      </w:r>
      <w:r w:rsidRPr="00E8380C">
        <w:rPr>
          <w:rFonts w:ascii="Verdana" w:hAnsi="Verdana" w:cs="Arial"/>
          <w:color w:val="000000"/>
          <w:sz w:val="16"/>
          <w:szCs w:val="16"/>
          <w:lang w:val="pt-PT"/>
        </w:rPr>
        <w:t>Ibídem</w:t>
      </w:r>
    </w:p>
    <w:p w14:paraId="528F2370" w14:textId="77777777" w:rsidR="00107E38" w:rsidRPr="00E8380C" w:rsidRDefault="00107E38" w:rsidP="00107E38">
      <w:pPr>
        <w:spacing w:after="0" w:line="240" w:lineRule="auto"/>
        <w:ind w:firstLine="709"/>
        <w:jc w:val="both"/>
        <w:rPr>
          <w:rFonts w:ascii="Verdana" w:hAnsi="Verdana" w:cs="Arial"/>
          <w:color w:val="000000"/>
          <w:sz w:val="16"/>
          <w:szCs w:val="16"/>
          <w:lang w:val="pt-PT"/>
        </w:rPr>
      </w:pPr>
    </w:p>
  </w:footnote>
  <w:footnote w:id="14">
    <w:p w14:paraId="584F59AD" w14:textId="77777777" w:rsidR="00107E38" w:rsidRDefault="00107E38" w:rsidP="00107E38">
      <w:pPr>
        <w:spacing w:after="0" w:line="240" w:lineRule="auto"/>
        <w:ind w:firstLine="709"/>
        <w:jc w:val="both"/>
        <w:rPr>
          <w:rFonts w:ascii="Verdana" w:eastAsia="Arial" w:hAnsi="Verdana" w:cs="Arial"/>
          <w:color w:val="000000" w:themeColor="text1"/>
          <w:sz w:val="16"/>
          <w:szCs w:val="16"/>
        </w:rPr>
      </w:pPr>
      <w:r>
        <w:rPr>
          <w:rFonts w:ascii="Verdana" w:hAnsi="Verdana" w:cs="Arial"/>
          <w:color w:val="000000" w:themeColor="text1"/>
          <w:sz w:val="16"/>
          <w:szCs w:val="16"/>
          <w:vertAlign w:val="superscript"/>
        </w:rPr>
        <w:footnoteRef/>
      </w:r>
      <w:r w:rsidRPr="00E8380C">
        <w:rPr>
          <w:rFonts w:ascii="Verdana" w:eastAsia="Arial" w:hAnsi="Verdana" w:cs="Arial"/>
          <w:color w:val="000000" w:themeColor="text1"/>
          <w:sz w:val="16"/>
          <w:szCs w:val="16"/>
          <w:lang w:val="pt-PT"/>
        </w:rPr>
        <w:t xml:space="preserve">  RODRÍGUEZ </w:t>
      </w:r>
      <w:r w:rsidRPr="00E8380C">
        <w:rPr>
          <w:rFonts w:ascii="Verdana" w:eastAsia="Arial" w:hAnsi="Verdana" w:cs="Arial"/>
          <w:color w:val="000000" w:themeColor="text1"/>
          <w:sz w:val="16"/>
          <w:szCs w:val="16"/>
          <w:lang w:val="pt-PT"/>
        </w:rPr>
        <w:t xml:space="preserve">TAMAYO, Mauricio Fernando. </w:t>
      </w:r>
      <w:r>
        <w:rPr>
          <w:rFonts w:ascii="Verdana" w:eastAsia="Arial" w:hAnsi="Verdana" w:cs="Arial"/>
          <w:color w:val="000000" w:themeColor="text1"/>
          <w:sz w:val="16"/>
          <w:szCs w:val="16"/>
        </w:rPr>
        <w:t xml:space="preserve">Evaluación y rechazo de ofertas en la Ley 80 de 1993. Medellín: Librería Jurídica Sánchez, 2016. p. 190. </w:t>
      </w:r>
    </w:p>
    <w:p w14:paraId="77302174" w14:textId="77777777" w:rsidR="00107E38" w:rsidRDefault="00107E38" w:rsidP="00107E38">
      <w:pPr>
        <w:spacing w:after="0" w:line="240" w:lineRule="auto"/>
        <w:ind w:firstLine="709"/>
        <w:jc w:val="both"/>
        <w:rPr>
          <w:rFonts w:ascii="Verdana" w:eastAsia="Arial" w:hAnsi="Verdana" w:cs="Arial"/>
          <w:color w:val="000000" w:themeColor="text1"/>
          <w:sz w:val="16"/>
          <w:szCs w:val="16"/>
        </w:rPr>
      </w:pPr>
    </w:p>
  </w:footnote>
  <w:footnote w:id="15">
    <w:p w14:paraId="0C8056A8" w14:textId="77777777" w:rsidR="00107E38" w:rsidRDefault="00107E38" w:rsidP="00107E38">
      <w:pPr>
        <w:spacing w:after="0" w:line="240" w:lineRule="auto"/>
        <w:ind w:firstLine="709"/>
        <w:jc w:val="both"/>
        <w:rPr>
          <w:rFonts w:ascii="Verdana" w:eastAsia="Arial" w:hAnsi="Verdana" w:cs="Arial"/>
          <w:color w:val="000000" w:themeColor="text1"/>
          <w:sz w:val="16"/>
          <w:szCs w:val="16"/>
        </w:rPr>
      </w:pPr>
      <w:r>
        <w:rPr>
          <w:rFonts w:ascii="Verdana" w:hAnsi="Verdana" w:cs="Arial"/>
          <w:color w:val="000000" w:themeColor="text1"/>
          <w:sz w:val="16"/>
          <w:szCs w:val="16"/>
          <w:vertAlign w:val="superscript"/>
        </w:rPr>
        <w:footnoteRef/>
      </w:r>
      <w:r>
        <w:rPr>
          <w:rFonts w:ascii="Verdana" w:eastAsia="Arial" w:hAnsi="Verdana" w:cs="Arial"/>
          <w:color w:val="000000" w:themeColor="text1"/>
          <w:sz w:val="16"/>
          <w:szCs w:val="16"/>
        </w:rPr>
        <w:t xml:space="preserve">  Ley 80 de 1993 “</w:t>
      </w:r>
      <w:r>
        <w:rPr>
          <w:rFonts w:ascii="Verdana" w:eastAsia="Arial" w:hAnsi="Verdana" w:cs="Arial"/>
          <w:bCs/>
          <w:color w:val="000000" w:themeColor="text1"/>
          <w:sz w:val="16"/>
          <w:szCs w:val="16"/>
        </w:rPr>
        <w:t>Articulo 24. Del principio de transparencia. </w:t>
      </w:r>
      <w:r>
        <w:rPr>
          <w:rFonts w:ascii="Verdana" w:eastAsia="Arial" w:hAnsi="Verdana" w:cs="Arial"/>
          <w:color w:val="000000" w:themeColor="text1"/>
          <w:sz w:val="16"/>
          <w:szCs w:val="16"/>
        </w:rPr>
        <w:t xml:space="preserve">En virtud de este principio: </w:t>
      </w:r>
    </w:p>
    <w:p w14:paraId="328913B8" w14:textId="77777777" w:rsidR="00107E38" w:rsidRDefault="00107E38" w:rsidP="00107E38">
      <w:pPr>
        <w:spacing w:after="0" w:line="240" w:lineRule="auto"/>
        <w:ind w:firstLine="709"/>
        <w:jc w:val="both"/>
        <w:rPr>
          <w:rFonts w:ascii="Verdana" w:eastAsia="Arial" w:hAnsi="Verdana" w:cs="Arial"/>
          <w:color w:val="000000" w:themeColor="text1"/>
          <w:sz w:val="16"/>
          <w:szCs w:val="16"/>
        </w:rPr>
      </w:pPr>
      <w:r>
        <w:rPr>
          <w:rFonts w:ascii="Verdana" w:eastAsia="Arial" w:hAnsi="Verdana" w:cs="Arial"/>
          <w:color w:val="000000" w:themeColor="text1"/>
          <w:sz w:val="16"/>
          <w:szCs w:val="16"/>
        </w:rPr>
        <w:t>[…]</w:t>
      </w:r>
    </w:p>
    <w:p w14:paraId="4FC64585" w14:textId="77777777" w:rsidR="00107E38" w:rsidRDefault="00107E38" w:rsidP="00107E38">
      <w:pPr>
        <w:spacing w:after="0" w:line="240" w:lineRule="auto"/>
        <w:ind w:firstLine="709"/>
        <w:jc w:val="both"/>
        <w:rPr>
          <w:rFonts w:ascii="Verdana" w:eastAsia="Arial" w:hAnsi="Verdana" w:cs="Arial"/>
          <w:color w:val="000000" w:themeColor="text1"/>
          <w:sz w:val="16"/>
          <w:szCs w:val="16"/>
        </w:rPr>
      </w:pPr>
      <w:r>
        <w:rPr>
          <w:rFonts w:ascii="Verdana" w:eastAsia="Arial" w:hAnsi="Verdana" w:cs="Arial"/>
          <w:color w:val="000000" w:themeColor="text1"/>
          <w:sz w:val="16"/>
          <w:szCs w:val="16"/>
        </w:rPr>
        <w:t>5o. En los pliegos de condiciones:</w:t>
      </w:r>
    </w:p>
    <w:p w14:paraId="0465EAB1" w14:textId="77777777" w:rsidR="00107E38" w:rsidRDefault="00107E38" w:rsidP="00107E38">
      <w:pPr>
        <w:spacing w:after="0" w:line="240" w:lineRule="auto"/>
        <w:ind w:firstLine="709"/>
        <w:jc w:val="both"/>
        <w:rPr>
          <w:rFonts w:ascii="Verdana" w:eastAsia="Arial" w:hAnsi="Verdana" w:cs="Arial"/>
          <w:color w:val="000000" w:themeColor="text1"/>
          <w:sz w:val="16"/>
          <w:szCs w:val="16"/>
        </w:rPr>
      </w:pPr>
      <w:r>
        <w:rPr>
          <w:rFonts w:ascii="Verdana" w:eastAsia="Arial" w:hAnsi="Verdana" w:cs="Arial"/>
          <w:color w:val="000000" w:themeColor="text1"/>
          <w:sz w:val="16"/>
          <w:szCs w:val="16"/>
        </w:rPr>
        <w:t>[…]</w:t>
      </w:r>
    </w:p>
    <w:p w14:paraId="54E946F1" w14:textId="77777777" w:rsidR="00107E38" w:rsidRDefault="00107E38" w:rsidP="00107E38">
      <w:pPr>
        <w:spacing w:after="0" w:line="240" w:lineRule="auto"/>
        <w:ind w:firstLine="709"/>
        <w:jc w:val="both"/>
        <w:rPr>
          <w:rFonts w:ascii="Verdana" w:eastAsia="Arial" w:hAnsi="Verdana" w:cs="Arial"/>
          <w:color w:val="000000" w:themeColor="text1"/>
          <w:sz w:val="16"/>
          <w:szCs w:val="16"/>
        </w:rPr>
      </w:pPr>
      <w:r>
        <w:rPr>
          <w:rFonts w:ascii="Verdana" w:eastAsia="Arial" w:hAnsi="Verdana" w:cs="Arial"/>
          <w:color w:val="000000" w:themeColor="text1"/>
          <w:sz w:val="16"/>
          <w:szCs w:val="16"/>
        </w:rPr>
        <w:t>b) Se definirán reglas objetivas, justas, claras y completas que permitan la confección de ofrecimientos de la misma índole, aseguren una escogencia objetiva y eviten la declaratoria de desierta de la licitación […]”.</w:t>
      </w:r>
    </w:p>
    <w:p w14:paraId="14535FB3" w14:textId="77777777" w:rsidR="00107E38" w:rsidRDefault="00107E38" w:rsidP="00107E38">
      <w:pPr>
        <w:spacing w:after="0" w:line="240" w:lineRule="auto"/>
        <w:ind w:firstLine="709"/>
        <w:jc w:val="both"/>
        <w:rPr>
          <w:rFonts w:ascii="Verdana" w:eastAsia="Arial" w:hAnsi="Verdana" w:cs="Arial"/>
          <w:color w:val="000000" w:themeColor="text1"/>
          <w:sz w:val="16"/>
          <w:szCs w:val="16"/>
        </w:rPr>
      </w:pPr>
    </w:p>
  </w:footnote>
  <w:footnote w:id="16">
    <w:p w14:paraId="5D8B08D4" w14:textId="77777777" w:rsidR="00107E38" w:rsidRDefault="00107E38" w:rsidP="00107E38">
      <w:pPr>
        <w:spacing w:after="0" w:line="240" w:lineRule="auto"/>
        <w:ind w:firstLine="709"/>
        <w:jc w:val="both"/>
        <w:rPr>
          <w:rFonts w:ascii="Verdana" w:eastAsia="Arial" w:hAnsi="Verdana" w:cs="Arial"/>
          <w:color w:val="000000" w:themeColor="text1"/>
          <w:sz w:val="16"/>
          <w:szCs w:val="16"/>
        </w:rPr>
      </w:pPr>
      <w:r>
        <w:rPr>
          <w:rFonts w:ascii="Verdana" w:hAnsi="Verdana" w:cs="Arial"/>
          <w:color w:val="000000" w:themeColor="text1"/>
          <w:sz w:val="16"/>
          <w:szCs w:val="16"/>
          <w:vertAlign w:val="superscript"/>
        </w:rPr>
        <w:footnoteRef/>
      </w:r>
      <w:r>
        <w:rPr>
          <w:rFonts w:ascii="Verdana" w:eastAsia="Arial" w:hAnsi="Verdana" w:cs="Arial"/>
          <w:color w:val="000000" w:themeColor="text1"/>
          <w:sz w:val="16"/>
          <w:szCs w:val="16"/>
        </w:rPr>
        <w:t xml:space="preserve"> Decreto 1082 de 2015 “Artículo 2.2.1.1.2.1.3. Pliegos de condiciones. Los pliegos de condiciones deben contener por lo menos la siguiente información</w:t>
      </w:r>
    </w:p>
    <w:p w14:paraId="39DE8CB3" w14:textId="77777777" w:rsidR="00107E38" w:rsidRDefault="00107E38" w:rsidP="00107E38">
      <w:pPr>
        <w:spacing w:after="0" w:line="240" w:lineRule="auto"/>
        <w:ind w:firstLine="709"/>
        <w:jc w:val="both"/>
        <w:rPr>
          <w:rFonts w:ascii="Verdana" w:eastAsia="Arial" w:hAnsi="Verdana" w:cs="Arial"/>
          <w:color w:val="000000" w:themeColor="text1"/>
          <w:sz w:val="16"/>
          <w:szCs w:val="16"/>
        </w:rPr>
      </w:pPr>
      <w:r>
        <w:rPr>
          <w:rFonts w:ascii="Verdana" w:eastAsia="Arial" w:hAnsi="Verdana" w:cs="Arial"/>
          <w:color w:val="000000" w:themeColor="text1"/>
          <w:sz w:val="16"/>
          <w:szCs w:val="16"/>
        </w:rPr>
        <w:t>[…]</w:t>
      </w:r>
    </w:p>
    <w:p w14:paraId="29C88725" w14:textId="77777777" w:rsidR="00107E38" w:rsidRDefault="00107E38" w:rsidP="00107E38">
      <w:pPr>
        <w:spacing w:after="0" w:line="240" w:lineRule="auto"/>
        <w:ind w:firstLine="709"/>
        <w:jc w:val="both"/>
        <w:rPr>
          <w:rFonts w:ascii="Verdana" w:eastAsia="Arial" w:hAnsi="Verdana" w:cs="Arial"/>
          <w:color w:val="000000" w:themeColor="text1"/>
          <w:sz w:val="16"/>
          <w:szCs w:val="16"/>
        </w:rPr>
      </w:pPr>
      <w:r>
        <w:rPr>
          <w:rFonts w:ascii="Verdana" w:eastAsia="Arial" w:hAnsi="Verdana" w:cs="Arial"/>
          <w:color w:val="000000" w:themeColor="text1"/>
          <w:sz w:val="16"/>
          <w:szCs w:val="16"/>
        </w:rPr>
        <w:t>6. Las causas que dan lugar a rechazar una oferta […]”</w:t>
      </w:r>
    </w:p>
  </w:footnote>
  <w:footnote w:id="17">
    <w:p w14:paraId="0CF5614C" w14:textId="77777777" w:rsidR="00107E38" w:rsidRDefault="00107E38" w:rsidP="00107E38">
      <w:pPr>
        <w:spacing w:after="0" w:line="240" w:lineRule="auto"/>
        <w:ind w:firstLine="709"/>
        <w:jc w:val="both"/>
        <w:rPr>
          <w:rFonts w:ascii="Verdana" w:eastAsia="Arial" w:hAnsi="Verdana" w:cs="Arial"/>
          <w:color w:val="000000" w:themeColor="text1"/>
          <w:sz w:val="16"/>
          <w:szCs w:val="16"/>
        </w:rPr>
      </w:pPr>
      <w:r>
        <w:rPr>
          <w:rFonts w:ascii="Verdana" w:hAnsi="Verdana" w:cs="Arial"/>
          <w:color w:val="000000" w:themeColor="text1"/>
          <w:sz w:val="16"/>
          <w:szCs w:val="16"/>
          <w:vertAlign w:val="superscript"/>
        </w:rPr>
        <w:footnoteRef/>
      </w:r>
      <w:r>
        <w:rPr>
          <w:rFonts w:ascii="Verdana" w:eastAsia="Arial" w:hAnsi="Verdana" w:cs="Arial"/>
          <w:color w:val="000000" w:themeColor="text1"/>
          <w:sz w:val="16"/>
          <w:szCs w:val="16"/>
        </w:rPr>
        <w:t xml:space="preserve"> CONSEJO DE ESTADO. Sección Tercera Subsección B. Sentencia del 27 de abril de 2011. Expediente No. 18.293. C.P. Ponente: Ruth Stella Correa Palacio. </w:t>
      </w:r>
    </w:p>
    <w:p w14:paraId="3CA265B2" w14:textId="77777777" w:rsidR="00107E38" w:rsidRDefault="00107E38" w:rsidP="00107E38">
      <w:pPr>
        <w:spacing w:after="0" w:line="240" w:lineRule="auto"/>
        <w:ind w:firstLine="709"/>
        <w:jc w:val="both"/>
        <w:rPr>
          <w:rFonts w:ascii="Verdana" w:eastAsia="Arial" w:hAnsi="Verdana" w:cs="Arial"/>
          <w:color w:val="000000" w:themeColor="text1"/>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11.5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0314EA3"/>
    <w:multiLevelType w:val="hybridMultilevel"/>
    <w:tmpl w:val="5DFE51E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1DF81B0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595017302">
    <w:abstractNumId w:val="2"/>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48CB"/>
    <w:rsid w:val="00061B2A"/>
    <w:rsid w:val="00076281"/>
    <w:rsid w:val="000774F1"/>
    <w:rsid w:val="00082362"/>
    <w:rsid w:val="000A683E"/>
    <w:rsid w:val="000B19B9"/>
    <w:rsid w:val="000D0334"/>
    <w:rsid w:val="000D5DA7"/>
    <w:rsid w:val="000F6486"/>
    <w:rsid w:val="00107E38"/>
    <w:rsid w:val="00116940"/>
    <w:rsid w:val="00125105"/>
    <w:rsid w:val="00127233"/>
    <w:rsid w:val="001330C9"/>
    <w:rsid w:val="0015699B"/>
    <w:rsid w:val="00166037"/>
    <w:rsid w:val="00170C47"/>
    <w:rsid w:val="001710B1"/>
    <w:rsid w:val="001A33BF"/>
    <w:rsid w:val="001E4177"/>
    <w:rsid w:val="001F0B24"/>
    <w:rsid w:val="001F7DC6"/>
    <w:rsid w:val="0022400B"/>
    <w:rsid w:val="00230FB7"/>
    <w:rsid w:val="002421BB"/>
    <w:rsid w:val="0025796E"/>
    <w:rsid w:val="002707A2"/>
    <w:rsid w:val="002809EB"/>
    <w:rsid w:val="002951A0"/>
    <w:rsid w:val="002962BC"/>
    <w:rsid w:val="002A093D"/>
    <w:rsid w:val="002A0DD0"/>
    <w:rsid w:val="002A49AC"/>
    <w:rsid w:val="002A64FD"/>
    <w:rsid w:val="002A6B85"/>
    <w:rsid w:val="002C571D"/>
    <w:rsid w:val="002C7A84"/>
    <w:rsid w:val="002E2BF8"/>
    <w:rsid w:val="002E4FD9"/>
    <w:rsid w:val="0030657A"/>
    <w:rsid w:val="00322A85"/>
    <w:rsid w:val="00324168"/>
    <w:rsid w:val="00330834"/>
    <w:rsid w:val="00330CBA"/>
    <w:rsid w:val="003448F4"/>
    <w:rsid w:val="003563BF"/>
    <w:rsid w:val="00374F5E"/>
    <w:rsid w:val="00377E3E"/>
    <w:rsid w:val="003A779E"/>
    <w:rsid w:val="003D0F4D"/>
    <w:rsid w:val="003D5B0D"/>
    <w:rsid w:val="003E0499"/>
    <w:rsid w:val="003E052D"/>
    <w:rsid w:val="003E4F80"/>
    <w:rsid w:val="003E6439"/>
    <w:rsid w:val="003F3941"/>
    <w:rsid w:val="00406575"/>
    <w:rsid w:val="00414C74"/>
    <w:rsid w:val="0042722E"/>
    <w:rsid w:val="0044528D"/>
    <w:rsid w:val="00451F8C"/>
    <w:rsid w:val="00466E39"/>
    <w:rsid w:val="00470972"/>
    <w:rsid w:val="004A1847"/>
    <w:rsid w:val="004A305D"/>
    <w:rsid w:val="004F21C4"/>
    <w:rsid w:val="004F2C48"/>
    <w:rsid w:val="004F685F"/>
    <w:rsid w:val="00520429"/>
    <w:rsid w:val="005566E8"/>
    <w:rsid w:val="00574867"/>
    <w:rsid w:val="0059118F"/>
    <w:rsid w:val="00591460"/>
    <w:rsid w:val="005949FF"/>
    <w:rsid w:val="005A3498"/>
    <w:rsid w:val="005A65E0"/>
    <w:rsid w:val="005B2FC2"/>
    <w:rsid w:val="005C3777"/>
    <w:rsid w:val="005C5CDC"/>
    <w:rsid w:val="005D13CA"/>
    <w:rsid w:val="005D476C"/>
    <w:rsid w:val="006200BF"/>
    <w:rsid w:val="00621666"/>
    <w:rsid w:val="006219F8"/>
    <w:rsid w:val="006302F7"/>
    <w:rsid w:val="00646B9F"/>
    <w:rsid w:val="00665D70"/>
    <w:rsid w:val="00683AF3"/>
    <w:rsid w:val="006900D9"/>
    <w:rsid w:val="006941CF"/>
    <w:rsid w:val="00695856"/>
    <w:rsid w:val="006B72FF"/>
    <w:rsid w:val="006E78A4"/>
    <w:rsid w:val="00706C16"/>
    <w:rsid w:val="007340C3"/>
    <w:rsid w:val="0075235A"/>
    <w:rsid w:val="0075644D"/>
    <w:rsid w:val="00756841"/>
    <w:rsid w:val="007649AB"/>
    <w:rsid w:val="00771D0C"/>
    <w:rsid w:val="007833AC"/>
    <w:rsid w:val="007B268C"/>
    <w:rsid w:val="007B7171"/>
    <w:rsid w:val="007C0C0F"/>
    <w:rsid w:val="007C3DC2"/>
    <w:rsid w:val="007C3FA2"/>
    <w:rsid w:val="007E5497"/>
    <w:rsid w:val="007F6A85"/>
    <w:rsid w:val="00803BCF"/>
    <w:rsid w:val="00806F5F"/>
    <w:rsid w:val="00820278"/>
    <w:rsid w:val="008258C9"/>
    <w:rsid w:val="00827F82"/>
    <w:rsid w:val="008439B2"/>
    <w:rsid w:val="00844AE9"/>
    <w:rsid w:val="00867F95"/>
    <w:rsid w:val="008843B6"/>
    <w:rsid w:val="00891928"/>
    <w:rsid w:val="008A446D"/>
    <w:rsid w:val="008A604D"/>
    <w:rsid w:val="008B25F1"/>
    <w:rsid w:val="008D180B"/>
    <w:rsid w:val="008E76D7"/>
    <w:rsid w:val="008F0EA7"/>
    <w:rsid w:val="008F0F67"/>
    <w:rsid w:val="00923EEF"/>
    <w:rsid w:val="009419F9"/>
    <w:rsid w:val="0095030C"/>
    <w:rsid w:val="009556AB"/>
    <w:rsid w:val="0095685E"/>
    <w:rsid w:val="00961B09"/>
    <w:rsid w:val="00965334"/>
    <w:rsid w:val="0097093E"/>
    <w:rsid w:val="00987C2A"/>
    <w:rsid w:val="00990B5A"/>
    <w:rsid w:val="009A0DFA"/>
    <w:rsid w:val="009A1C6F"/>
    <w:rsid w:val="009B2D26"/>
    <w:rsid w:val="009C71FA"/>
    <w:rsid w:val="009C72E7"/>
    <w:rsid w:val="009C7F7E"/>
    <w:rsid w:val="009D3058"/>
    <w:rsid w:val="009E5C5E"/>
    <w:rsid w:val="009F3A13"/>
    <w:rsid w:val="00A122D3"/>
    <w:rsid w:val="00A14468"/>
    <w:rsid w:val="00A17F13"/>
    <w:rsid w:val="00A20739"/>
    <w:rsid w:val="00A23AF9"/>
    <w:rsid w:val="00A31904"/>
    <w:rsid w:val="00A33C78"/>
    <w:rsid w:val="00AA553C"/>
    <w:rsid w:val="00AB0ADB"/>
    <w:rsid w:val="00AB41EB"/>
    <w:rsid w:val="00AF3623"/>
    <w:rsid w:val="00B00C0E"/>
    <w:rsid w:val="00B01B1A"/>
    <w:rsid w:val="00B0381D"/>
    <w:rsid w:val="00B042AF"/>
    <w:rsid w:val="00B15392"/>
    <w:rsid w:val="00B44A47"/>
    <w:rsid w:val="00B46072"/>
    <w:rsid w:val="00B72CD3"/>
    <w:rsid w:val="00B72FFF"/>
    <w:rsid w:val="00BA0F46"/>
    <w:rsid w:val="00BC21E1"/>
    <w:rsid w:val="00BC3D36"/>
    <w:rsid w:val="00BD54A6"/>
    <w:rsid w:val="00BD7F72"/>
    <w:rsid w:val="00BF379E"/>
    <w:rsid w:val="00BF7425"/>
    <w:rsid w:val="00C01385"/>
    <w:rsid w:val="00C04FB3"/>
    <w:rsid w:val="00C11D8B"/>
    <w:rsid w:val="00C15139"/>
    <w:rsid w:val="00C330EB"/>
    <w:rsid w:val="00C50D69"/>
    <w:rsid w:val="00C5365C"/>
    <w:rsid w:val="00C754BE"/>
    <w:rsid w:val="00C76B1C"/>
    <w:rsid w:val="00C925AC"/>
    <w:rsid w:val="00CB51D0"/>
    <w:rsid w:val="00CB6357"/>
    <w:rsid w:val="00CC1B26"/>
    <w:rsid w:val="00CC7ECC"/>
    <w:rsid w:val="00D20C1D"/>
    <w:rsid w:val="00D361FD"/>
    <w:rsid w:val="00D423A2"/>
    <w:rsid w:val="00D44E26"/>
    <w:rsid w:val="00D520D8"/>
    <w:rsid w:val="00D63AC2"/>
    <w:rsid w:val="00D70FDE"/>
    <w:rsid w:val="00D7383B"/>
    <w:rsid w:val="00D7788A"/>
    <w:rsid w:val="00DA231B"/>
    <w:rsid w:val="00DA6D79"/>
    <w:rsid w:val="00DA725C"/>
    <w:rsid w:val="00DC0191"/>
    <w:rsid w:val="00DC39FC"/>
    <w:rsid w:val="00DF5254"/>
    <w:rsid w:val="00E02524"/>
    <w:rsid w:val="00E0692C"/>
    <w:rsid w:val="00E16408"/>
    <w:rsid w:val="00E20894"/>
    <w:rsid w:val="00E245AB"/>
    <w:rsid w:val="00E2764C"/>
    <w:rsid w:val="00E27F2E"/>
    <w:rsid w:val="00E31F54"/>
    <w:rsid w:val="00E50AFE"/>
    <w:rsid w:val="00E521B8"/>
    <w:rsid w:val="00E75C92"/>
    <w:rsid w:val="00E771DC"/>
    <w:rsid w:val="00E84754"/>
    <w:rsid w:val="00E861D3"/>
    <w:rsid w:val="00E8772A"/>
    <w:rsid w:val="00E90F6B"/>
    <w:rsid w:val="00E92C27"/>
    <w:rsid w:val="00EA0E3D"/>
    <w:rsid w:val="00EB132D"/>
    <w:rsid w:val="00EC38A7"/>
    <w:rsid w:val="00EE1AA8"/>
    <w:rsid w:val="00F23FEA"/>
    <w:rsid w:val="00F31EDC"/>
    <w:rsid w:val="00F462B3"/>
    <w:rsid w:val="00F5650E"/>
    <w:rsid w:val="00F5664F"/>
    <w:rsid w:val="00F666C4"/>
    <w:rsid w:val="00F66D98"/>
    <w:rsid w:val="00F76AFC"/>
    <w:rsid w:val="00F962DB"/>
    <w:rsid w:val="00FA47C0"/>
    <w:rsid w:val="00FB5DD1"/>
    <w:rsid w:val="00FC2B5D"/>
    <w:rsid w:val="00FD40D1"/>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0179199-7B19-4F50-B616-9191FA3D0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F,R,Footnote Reference"/>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95030C"/>
    <w:pPr>
      <w:spacing w:line="240" w:lineRule="exact"/>
    </w:pPr>
    <w:rPr>
      <w:vertAlign w:val="superscript"/>
    </w:rPr>
  </w:style>
  <w:style w:type="character" w:customStyle="1" w:styleId="NormalWebCar">
    <w:name w:val="Normal (Web) Car"/>
    <w:link w:val="NormalWeb"/>
    <w:uiPriority w:val="99"/>
    <w:locked/>
    <w:rsid w:val="0095030C"/>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030C"/>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iguelbautistaabogado@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circulares?page=2" TargetMode="External"/><Relationship Id="rId2" Type="http://schemas.openxmlformats.org/officeDocument/2006/relationships/hyperlink" Target="https://relatoria.colombiacompra.gov.co/conceptos/c-447-de-2024/" TargetMode="External"/><Relationship Id="rId1" Type="http://schemas.openxmlformats.org/officeDocument/2006/relationships/hyperlink" Target="https://relatoria.colombiacompra.gov.co/conceptos/c-285-de-202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435D04A-A15D-4904-9760-867F52799D52}"/>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32</TotalTime>
  <Pages>23</Pages>
  <Words>8066</Words>
  <Characters>44368</Characters>
  <Application>Microsoft Office Word</Application>
  <DocSecurity>0</DocSecurity>
  <Lines>369</Lines>
  <Paragraphs>104</Paragraphs>
  <ScaleCrop>false</ScaleCrop>
  <Company/>
  <LinksUpToDate>false</LinksUpToDate>
  <CharactersWithSpaces>52330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20</cp:revision>
  <cp:lastPrinted>2023-01-10T18:18:00Z</cp:lastPrinted>
  <dcterms:created xsi:type="dcterms:W3CDTF">2026-06-30T21:26:00Z</dcterms:created>
  <dcterms:modified xsi:type="dcterms:W3CDTF">2026-06-30T22:10:00Z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