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63082E" w14:textId="77777777" w:rsidR="00584C69" w:rsidRPr="00584C69" w:rsidRDefault="00584C69" w:rsidP="00584C69">
      <w:pPr>
        <w:spacing w:after="0" w:line="240" w:lineRule="auto"/>
        <w:jc w:val="both"/>
        <w:rPr>
          <w:rFonts w:ascii="Verdana" w:eastAsia="Calibri" w:hAnsi="Verdana" w:cs="Arial"/>
          <w:b/>
          <w:lang w:val="es-ES" w:eastAsia="es-ES"/>
        </w:rPr>
      </w:pPr>
      <w:r w:rsidRPr="00584C69">
        <w:rPr>
          <w:rFonts w:ascii="Verdana" w:eastAsia="Calibri" w:hAnsi="Verdana" w:cs="Arial"/>
          <w:b/>
          <w:lang w:val="es-ES" w:eastAsia="es-ES"/>
        </w:rPr>
        <w:t xml:space="preserve">CONTRATACIÓN PÚBLICA – Principio de publicidad – Principio de transparencia – Uso del SECOP </w:t>
      </w:r>
    </w:p>
    <w:p w14:paraId="503DD634" w14:textId="77777777" w:rsidR="00584C69" w:rsidRPr="00584C69" w:rsidRDefault="00584C69" w:rsidP="00584C69">
      <w:pPr>
        <w:spacing w:after="0" w:line="240" w:lineRule="auto"/>
        <w:jc w:val="both"/>
        <w:rPr>
          <w:rFonts w:ascii="Verdana" w:eastAsia="Calibri" w:hAnsi="Verdana" w:cs="Arial"/>
          <w:b/>
          <w:bCs/>
          <w:sz w:val="20"/>
          <w:szCs w:val="20"/>
          <w:highlight w:val="yellow"/>
          <w:lang w:val="es-ES_tradnl" w:eastAsia="es-ES_tradnl"/>
        </w:rPr>
      </w:pPr>
    </w:p>
    <w:p w14:paraId="6F4F6EB7" w14:textId="77777777" w:rsidR="00584C69" w:rsidRPr="00584C69" w:rsidRDefault="00584C69" w:rsidP="00584C69">
      <w:pPr>
        <w:spacing w:after="0" w:line="240" w:lineRule="auto"/>
        <w:jc w:val="both"/>
        <w:rPr>
          <w:rFonts w:ascii="Verdana" w:eastAsia="Aptos" w:hAnsi="Verdana" w:cs="Times New Roman"/>
          <w:sz w:val="20"/>
          <w:szCs w:val="20"/>
        </w:rPr>
      </w:pPr>
      <w:r w:rsidRPr="00584C69">
        <w:rPr>
          <w:rFonts w:ascii="Verdana" w:eastAsia="Aptos" w:hAnsi="Verdana" w:cs="Times New Roman"/>
          <w:sz w:val="20"/>
          <w:szCs w:val="20"/>
        </w:rPr>
        <w:t>El principio de publicidad impone a las autoridades administrativas el deber de dar a conocer sus actos, contratos y decisiones para que se divulguen y eventualmente se controlen. Por ello, en la contratación estatal, el literal c) del artículo 3 de la Ley 1150 de 2007 establece el Sistema Electrónico para la Contratación Pública, en adelante SECOP, como un mecanismo que “contará con la información oficial de la contratación realizada con dineros públicos, para lo cual establecerá los patrones a que haya lugar y se encargará de su difusión a través de canales electrónicos”.</w:t>
      </w:r>
    </w:p>
    <w:p w14:paraId="55575CEA" w14:textId="77777777" w:rsidR="00584C69" w:rsidRPr="00584C69" w:rsidRDefault="00584C69" w:rsidP="00584C69">
      <w:pPr>
        <w:spacing w:line="240" w:lineRule="auto"/>
        <w:jc w:val="both"/>
        <w:rPr>
          <w:rFonts w:ascii="Verdana" w:eastAsia="Calibri" w:hAnsi="Verdana" w:cs="Arial"/>
          <w:b/>
          <w:color w:val="EE0000"/>
        </w:rPr>
      </w:pPr>
    </w:p>
    <w:p w14:paraId="13944F5B" w14:textId="77777777" w:rsidR="00584C69" w:rsidRPr="00584C69" w:rsidRDefault="00584C69" w:rsidP="00584C69">
      <w:pPr>
        <w:spacing w:after="0" w:line="240" w:lineRule="auto"/>
        <w:jc w:val="both"/>
        <w:rPr>
          <w:rFonts w:ascii="Verdana" w:hAnsi="Verdana"/>
          <w:b/>
          <w:bCs/>
          <w:lang w:val="es-ES"/>
        </w:rPr>
      </w:pPr>
      <w:r w:rsidRPr="00584C69">
        <w:rPr>
          <w:rFonts w:ascii="Verdana" w:hAnsi="Verdana"/>
          <w:b/>
          <w:bCs/>
          <w:lang w:val="es-ES"/>
        </w:rPr>
        <w:t xml:space="preserve">PRINCIPIO DE TRANSPARENCIA – Ley 1712 de 2014 – Documentos públicos </w:t>
      </w:r>
    </w:p>
    <w:p w14:paraId="3BB52170" w14:textId="77777777" w:rsidR="00584C69" w:rsidRPr="00584C69" w:rsidRDefault="00584C69" w:rsidP="00584C69">
      <w:pPr>
        <w:spacing w:after="0" w:line="240" w:lineRule="auto"/>
        <w:rPr>
          <w:rFonts w:ascii="Verdana" w:hAnsi="Verdana"/>
        </w:rPr>
      </w:pPr>
    </w:p>
    <w:p w14:paraId="2ED09530" w14:textId="77777777" w:rsidR="00584C69" w:rsidRPr="00584C69" w:rsidRDefault="00584C69" w:rsidP="00584C69">
      <w:pPr>
        <w:spacing w:after="0" w:line="240" w:lineRule="auto"/>
        <w:jc w:val="both"/>
        <w:rPr>
          <w:rFonts w:ascii="Verdana" w:eastAsia="Times New Roman" w:hAnsi="Verdana" w:cs="Arial"/>
          <w:sz w:val="20"/>
          <w:szCs w:val="20"/>
          <w:lang w:eastAsia="es-CO"/>
        </w:rPr>
      </w:pPr>
      <w:r w:rsidRPr="00584C69">
        <w:rPr>
          <w:rFonts w:ascii="Verdana" w:eastAsia="Arial" w:hAnsi="Verdana" w:cs="Arial"/>
          <w:sz w:val="20"/>
          <w:szCs w:val="20"/>
          <w:lang w:val="es-ES"/>
        </w:rPr>
        <w:t>La Ley 1712 de 2014 identifica como principios que orientan el derecho de acceso a la información pública los de máxima publicidad, de transparencia en la información y de buena fe. El principio de máxima publicidad establece que “toda información en posesión, bajo control o custodia de un sujeto obligado es pública y no podrá ser reservada o limitada sino por disposición constitucional o legal". El principio de transparencia en la información alude al deber de los sujetos de proporcionar y facilitar el acceso a la misma en los términos más amplios posibles, y a través de los medios y procedimientos que establezca la ley</w:t>
      </w:r>
      <w:r w:rsidRPr="00584C69">
        <w:rPr>
          <w:rFonts w:ascii="Verdana" w:eastAsia="Times New Roman" w:hAnsi="Verdana" w:cs="Arial"/>
          <w:sz w:val="20"/>
          <w:szCs w:val="20"/>
          <w:lang w:eastAsia="es-CO"/>
        </w:rPr>
        <w:t>. Finalmente, el principio de buena fe hace referencia al deber de todo sujeto obligado de cumplir con las obligaciones derivadas del derecho de acceso a la información pública con motivación honesta, leal y desprovista de cualquier intención dolosa o culposa.</w:t>
      </w:r>
    </w:p>
    <w:p w14:paraId="12F82191" w14:textId="77777777" w:rsidR="00584C69" w:rsidRPr="00584C69" w:rsidRDefault="00584C69" w:rsidP="00584C69">
      <w:pPr>
        <w:spacing w:after="0" w:line="240" w:lineRule="auto"/>
        <w:jc w:val="both"/>
        <w:rPr>
          <w:rFonts w:ascii="Verdana" w:eastAsia="Times New Roman" w:hAnsi="Verdana" w:cs="Arial"/>
          <w:sz w:val="20"/>
          <w:szCs w:val="20"/>
          <w:lang w:eastAsia="es-CO"/>
        </w:rPr>
      </w:pPr>
    </w:p>
    <w:p w14:paraId="542C63F5" w14:textId="77777777" w:rsidR="00584C69" w:rsidRPr="00584C69" w:rsidRDefault="00584C69" w:rsidP="00584C69">
      <w:pPr>
        <w:spacing w:after="0" w:line="240" w:lineRule="auto"/>
        <w:jc w:val="both"/>
        <w:rPr>
          <w:rFonts w:ascii="Verdana" w:hAnsi="Verdana"/>
          <w:b/>
          <w:bCs/>
        </w:rPr>
      </w:pPr>
      <w:r w:rsidRPr="00584C69">
        <w:rPr>
          <w:rFonts w:ascii="Verdana" w:hAnsi="Verdana"/>
          <w:b/>
          <w:bCs/>
        </w:rPr>
        <w:t>CIRCULAR ÚNICA EXTERNA – Deber de publicar oportunamente la actividad contractual en SECOP</w:t>
      </w:r>
    </w:p>
    <w:p w14:paraId="46039541" w14:textId="77777777" w:rsidR="00584C69" w:rsidRPr="00584C69" w:rsidRDefault="00584C69" w:rsidP="00584C69">
      <w:pPr>
        <w:spacing w:after="0" w:line="240" w:lineRule="auto"/>
        <w:jc w:val="both"/>
        <w:rPr>
          <w:rFonts w:ascii="Verdana" w:hAnsi="Verdana"/>
        </w:rPr>
      </w:pPr>
    </w:p>
    <w:p w14:paraId="1281C3FF" w14:textId="77777777" w:rsidR="00584C69" w:rsidRPr="00584C69" w:rsidRDefault="00584C69" w:rsidP="00584C69">
      <w:pPr>
        <w:spacing w:after="0" w:line="240" w:lineRule="auto"/>
        <w:jc w:val="both"/>
        <w:rPr>
          <w:rFonts w:ascii="Verdana" w:eastAsia="Times New Roman" w:hAnsi="Verdana" w:cs="Arial"/>
          <w:sz w:val="20"/>
          <w:szCs w:val="20"/>
          <w:lang w:eastAsia="es-CO"/>
        </w:rPr>
      </w:pPr>
      <w:r w:rsidRPr="00584C69">
        <w:rPr>
          <w:rFonts w:ascii="Verdana" w:eastAsia="Times New Roman" w:hAnsi="Verdana" w:cs="Arial"/>
          <w:sz w:val="20"/>
          <w:szCs w:val="20"/>
          <w:lang w:eastAsia="es-CO"/>
        </w:rPr>
        <w:t>La Circular Externa Única, recordó a todas las entidades del Estado el deber de publicar oportunamente su actividad contractual en el SECOP, sin distinción de su régimen jurídico, naturaleza jurídica o la pertenencia a una u otra rama del poder público. Además, la Circular Externa Única, en el numeral 1.1., establece, de manera enunciativa, que deben publicar en el SECOP: “las Entidades Estatales que por disposición legal cuenten con un régimen contractual excepcional al del Estatuto General de Contratación de la Administración Pública, deberán publicar en el SECOP II, todos los documentos relacionados con su actividad contractual, de conformidad con lo señalado en el artículo 53 de la Ley 2195 de 2022.</w:t>
      </w:r>
    </w:p>
    <w:p w14:paraId="1748B7E6" w14:textId="77777777" w:rsidR="00584C69" w:rsidRPr="00584C69" w:rsidRDefault="00584C69" w:rsidP="00584C69">
      <w:pPr>
        <w:spacing w:after="0" w:line="240" w:lineRule="auto"/>
        <w:jc w:val="both"/>
        <w:rPr>
          <w:rFonts w:ascii="Verdana" w:eastAsia="Times New Roman" w:hAnsi="Verdana" w:cs="Arial"/>
          <w:sz w:val="20"/>
          <w:szCs w:val="20"/>
          <w:lang w:eastAsia="es-CO"/>
        </w:rPr>
      </w:pPr>
    </w:p>
    <w:p w14:paraId="5BC3B71D" w14:textId="77777777" w:rsidR="00584C69" w:rsidRPr="00584C69" w:rsidRDefault="00584C69" w:rsidP="00584C69">
      <w:pPr>
        <w:spacing w:after="0" w:line="240" w:lineRule="auto"/>
        <w:jc w:val="both"/>
        <w:rPr>
          <w:rFonts w:ascii="Verdana" w:eastAsia="Times New Roman" w:hAnsi="Verdana" w:cs="Arial"/>
          <w:sz w:val="20"/>
          <w:szCs w:val="20"/>
          <w:lang w:eastAsia="es-CO"/>
        </w:rPr>
      </w:pPr>
      <w:r w:rsidRPr="00584C69">
        <w:rPr>
          <w:rFonts w:ascii="Verdana" w:eastAsia="Times New Roman" w:hAnsi="Verdana" w:cs="Arial"/>
          <w:sz w:val="20"/>
          <w:szCs w:val="20"/>
          <w:lang w:eastAsia="es-CO"/>
        </w:rPr>
        <w:t>Así mismo, en la Circular única Externa se indicó que “Las Entidades Estatales que contratan con cargo a recursos públicos están obligadas a publicar oportunamente su actividad contractual en el SECOP, sin que sea relevante, para la exigencia de esta obligación, su régimen jurídico, naturaleza de público o privada o la pertenencia a una u otra rama del poder público. Esta obligación deberá cumplirse, inclusive, si la ejecución del contrato no implica erogación presupuestal”.</w:t>
      </w:r>
    </w:p>
    <w:p w14:paraId="2BF5631E" w14:textId="095C9BD4" w:rsidR="004809D3" w:rsidRDefault="00A95D12" w:rsidP="00584C69">
      <w:pPr>
        <w:spacing w:after="0" w:line="240" w:lineRule="auto"/>
        <w:jc w:val="both"/>
        <w:rPr>
          <w:rFonts w:ascii="Verdana" w:eastAsia="Times New Roman" w:hAnsi="Verdana" w:cs="Arial"/>
          <w:noProof/>
          <w:lang w:val="es-ES_tradnl" w:eastAsia="es-ES_tradnl"/>
        </w:rPr>
      </w:pPr>
      <w:r w:rsidRPr="00A95D12">
        <w:rPr>
          <w:rFonts w:ascii="Verdana" w:eastAsia="Times New Roman" w:hAnsi="Verdana" w:cs="Arial"/>
          <w:noProof/>
          <w:lang w:val="es-ES_tradnl" w:eastAsia="es-ES_tradnl"/>
        </w:rPr>
        <w:lastRenderedPageBreak/>
        <w:t xml:space="preserve">Bogotá D.C., </w:t>
      </w:r>
      <w:r w:rsidR="00E55F89">
        <w:rPr>
          <w:rFonts w:ascii="Verdana" w:eastAsia="Times New Roman" w:hAnsi="Verdana" w:cs="Arial"/>
          <w:noProof/>
          <w:lang w:val="es-ES_tradnl" w:eastAsia="es-ES_tradnl"/>
        </w:rPr>
        <w:t>24 de junio de 2026</w:t>
      </w:r>
    </w:p>
    <w:p w14:paraId="6F0897CA" w14:textId="77777777" w:rsidR="00E55F89" w:rsidRDefault="00E55F89" w:rsidP="00584C69">
      <w:pPr>
        <w:spacing w:after="0" w:line="240" w:lineRule="auto"/>
        <w:jc w:val="both"/>
        <w:rPr>
          <w:rFonts w:ascii="Verdana" w:eastAsia="Times New Roman" w:hAnsi="Verdana" w:cs="Arial"/>
          <w:noProof/>
          <w:lang w:val="es-ES_tradnl" w:eastAsia="es-ES_tradnl"/>
        </w:rPr>
      </w:pPr>
    </w:p>
    <w:p w14:paraId="14922966" w14:textId="45C87CF8" w:rsidR="00E55F89" w:rsidRDefault="00E55F89" w:rsidP="00E55F89">
      <w:pPr>
        <w:spacing w:after="0" w:line="240" w:lineRule="auto"/>
        <w:jc w:val="right"/>
        <w:rPr>
          <w:rFonts w:ascii="Verdana" w:eastAsia="Times New Roman" w:hAnsi="Verdana" w:cs="Arial"/>
          <w:noProof/>
          <w:lang w:val="es-ES_tradnl" w:eastAsia="es-ES_tradnl"/>
        </w:rPr>
      </w:pPr>
      <w:r w:rsidRPr="00E55F89">
        <w:rPr>
          <w:rFonts w:ascii="Verdana" w:eastAsia="Times New Roman" w:hAnsi="Verdana" w:cs="Arial"/>
          <w:noProof/>
          <w:lang w:val="es-ES_tradnl" w:eastAsia="es-ES_tradnl"/>
        </w:rPr>
        <w:drawing>
          <wp:inline distT="0" distB="0" distL="0" distR="0" wp14:anchorId="376F2104" wp14:editId="3D527803">
            <wp:extent cx="3667637" cy="1000265"/>
            <wp:effectExtent l="0" t="0" r="0" b="9525"/>
            <wp:docPr id="21871013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710136" name=""/>
                    <pic:cNvPicPr/>
                  </pic:nvPicPr>
                  <pic:blipFill>
                    <a:blip r:embed="rId10"/>
                    <a:stretch>
                      <a:fillRect/>
                    </a:stretch>
                  </pic:blipFill>
                  <pic:spPr>
                    <a:xfrm>
                      <a:off x="0" y="0"/>
                      <a:ext cx="3667637" cy="1000265"/>
                    </a:xfrm>
                    <a:prstGeom prst="rect">
                      <a:avLst/>
                    </a:prstGeom>
                  </pic:spPr>
                </pic:pic>
              </a:graphicData>
            </a:graphic>
          </wp:inline>
        </w:drawing>
      </w:r>
    </w:p>
    <w:p w14:paraId="2F6BF922" w14:textId="77777777" w:rsidR="00490D76" w:rsidRDefault="00490D76" w:rsidP="00584C69">
      <w:pPr>
        <w:spacing w:after="0" w:line="240" w:lineRule="auto"/>
        <w:jc w:val="both"/>
        <w:rPr>
          <w:rFonts w:ascii="Verdana" w:eastAsia="Times New Roman" w:hAnsi="Verdana" w:cs="Arial"/>
          <w:noProof/>
          <w:lang w:val="es-ES_tradnl" w:eastAsia="es-ES_tradnl"/>
        </w:rPr>
      </w:pPr>
    </w:p>
    <w:p w14:paraId="12B4203B" w14:textId="77777777" w:rsidR="00584C69" w:rsidRPr="00584C69" w:rsidRDefault="00584C69" w:rsidP="00584C69">
      <w:pPr>
        <w:spacing w:after="0" w:line="240" w:lineRule="auto"/>
        <w:jc w:val="both"/>
        <w:rPr>
          <w:rFonts w:ascii="Verdana" w:eastAsia="Times New Roman" w:hAnsi="Verdana" w:cs="Arial"/>
          <w:noProof/>
          <w:color w:val="EE0000"/>
          <w:lang w:val="es-ES_tradnl" w:eastAsia="es-ES_tradnl"/>
        </w:rPr>
      </w:pPr>
    </w:p>
    <w:p w14:paraId="23452810" w14:textId="77777777" w:rsidR="00584C69" w:rsidRPr="00584C69" w:rsidRDefault="00584C69" w:rsidP="00584C69">
      <w:pPr>
        <w:spacing w:after="0" w:line="240" w:lineRule="auto"/>
        <w:jc w:val="both"/>
        <w:rPr>
          <w:rFonts w:ascii="Verdana" w:eastAsia="Calibri" w:hAnsi="Verdana" w:cs="Arial"/>
          <w:lang w:val="es-ES" w:eastAsia="es-ES_tradnl"/>
        </w:rPr>
      </w:pPr>
      <w:r w:rsidRPr="00584C69">
        <w:rPr>
          <w:rFonts w:ascii="Verdana" w:eastAsia="Calibri" w:hAnsi="Verdana" w:cs="Arial"/>
          <w:lang w:val="es-ES" w:eastAsia="es-ES_tradnl"/>
        </w:rPr>
        <w:t>Señora</w:t>
      </w:r>
    </w:p>
    <w:p w14:paraId="2F1EC33B" w14:textId="63235B04" w:rsidR="00584C69" w:rsidRPr="00584C69" w:rsidRDefault="00575FB1" w:rsidP="00584C69">
      <w:pPr>
        <w:spacing w:after="0" w:line="240" w:lineRule="auto"/>
        <w:rPr>
          <w:rFonts w:ascii="Verdana" w:eastAsia="Calibri" w:hAnsi="Verdana" w:cs="Arial"/>
          <w:b/>
          <w:bCs/>
          <w:lang w:val="es-ES" w:eastAsia="es-ES_tradnl"/>
        </w:rPr>
      </w:pPr>
      <w:r>
        <w:rPr>
          <w:rFonts w:ascii="Verdana" w:eastAsia="Calibri" w:hAnsi="Verdana" w:cs="Arial"/>
          <w:b/>
          <w:bCs/>
          <w:lang w:val="es-ES" w:eastAsia="es-ES_tradnl"/>
        </w:rPr>
        <w:t>Tatiana Gonz</w:t>
      </w:r>
      <w:r w:rsidR="00B2415F">
        <w:rPr>
          <w:rFonts w:ascii="Verdana" w:eastAsia="Calibri" w:hAnsi="Verdana" w:cs="Arial"/>
          <w:b/>
          <w:bCs/>
          <w:lang w:val="es-ES" w:eastAsia="es-ES_tradnl"/>
        </w:rPr>
        <w:t>á</w:t>
      </w:r>
      <w:r>
        <w:rPr>
          <w:rFonts w:ascii="Verdana" w:eastAsia="Calibri" w:hAnsi="Verdana" w:cs="Arial"/>
          <w:b/>
          <w:bCs/>
          <w:lang w:val="es-ES" w:eastAsia="es-ES_tradnl"/>
        </w:rPr>
        <w:t>lez Cadavid</w:t>
      </w:r>
    </w:p>
    <w:p w14:paraId="4A348AF8" w14:textId="3FD27BE0" w:rsidR="00584C69" w:rsidRPr="00584C69" w:rsidRDefault="006372AE" w:rsidP="00584C69">
      <w:pPr>
        <w:spacing w:after="0" w:line="240" w:lineRule="auto"/>
        <w:rPr>
          <w:rFonts w:ascii="Verdana" w:hAnsi="Verdana"/>
        </w:rPr>
      </w:pPr>
      <w:r>
        <w:rPr>
          <w:rFonts w:ascii="Verdana" w:hAnsi="Verdana"/>
          <w:color w:val="0000FF"/>
          <w:u w:val="single"/>
        </w:rPr>
        <w:t>Tatianagon.84@gmail.com</w:t>
      </w:r>
    </w:p>
    <w:p w14:paraId="5CC43272" w14:textId="77777777" w:rsidR="00584C69" w:rsidRPr="00584C69" w:rsidRDefault="00584C69" w:rsidP="00584C69">
      <w:pPr>
        <w:spacing w:after="0" w:line="240" w:lineRule="auto"/>
        <w:rPr>
          <w:rFonts w:ascii="Verdana" w:eastAsia="Calibri" w:hAnsi="Verdana" w:cs="Arial"/>
          <w:lang w:val="es-ES_tradnl" w:eastAsia="es-ES_tradnl"/>
        </w:rPr>
      </w:pPr>
      <w:r w:rsidRPr="00584C69">
        <w:rPr>
          <w:rFonts w:ascii="Verdana" w:eastAsia="Calibri" w:hAnsi="Verdana" w:cs="Arial"/>
          <w:bCs/>
          <w:lang w:val="es-ES_tradnl" w:eastAsia="es-ES_tradnl"/>
        </w:rPr>
        <w:t>Ciudad</w:t>
      </w:r>
    </w:p>
    <w:p w14:paraId="6DD01DE5" w14:textId="77777777" w:rsidR="00584C69" w:rsidRPr="00584C69" w:rsidRDefault="00584C69" w:rsidP="00584C69">
      <w:pPr>
        <w:spacing w:after="0" w:line="240" w:lineRule="auto"/>
        <w:rPr>
          <w:rFonts w:ascii="Verdana" w:eastAsia="Calibri" w:hAnsi="Verdana" w:cs="Arial"/>
          <w:color w:val="EE0000"/>
          <w:lang w:val="es-ES_tradnl" w:eastAsia="es-ES_tradnl"/>
        </w:rPr>
      </w:pPr>
    </w:p>
    <w:p w14:paraId="6417DC44" w14:textId="77777777" w:rsidR="00584C69" w:rsidRPr="00584C69" w:rsidRDefault="00584C69" w:rsidP="00584C69">
      <w:pPr>
        <w:spacing w:after="0" w:line="240" w:lineRule="auto"/>
        <w:rPr>
          <w:rFonts w:ascii="Verdana" w:eastAsia="Calibri" w:hAnsi="Verdana" w:cs="Arial"/>
          <w:color w:val="EE0000"/>
          <w:lang w:val="es-ES_tradnl" w:eastAsia="es-ES_tradnl"/>
        </w:rPr>
      </w:pPr>
    </w:p>
    <w:p w14:paraId="026A0322" w14:textId="0B4F6C17" w:rsidR="00584C69" w:rsidRPr="00584C69" w:rsidRDefault="00584C69" w:rsidP="00584C69">
      <w:pPr>
        <w:spacing w:after="0" w:line="240" w:lineRule="auto"/>
        <w:ind w:left="2694"/>
        <w:rPr>
          <w:rFonts w:ascii="Verdana" w:eastAsia="Calibri" w:hAnsi="Verdana" w:cs="Arial"/>
          <w:b/>
          <w:bCs/>
          <w:lang w:val="es-ES" w:eastAsia="es-ES_tradnl"/>
        </w:rPr>
      </w:pPr>
      <w:r w:rsidRPr="00584C69">
        <w:rPr>
          <w:rFonts w:ascii="Verdana" w:eastAsia="Calibri" w:hAnsi="Verdana" w:cs="Arial"/>
          <w:b/>
          <w:bCs/>
          <w:lang w:val="es-ES" w:eastAsia="es-ES_tradnl"/>
        </w:rPr>
        <w:t>Concepto C-</w:t>
      </w:r>
      <w:r w:rsidR="00490D76">
        <w:rPr>
          <w:rFonts w:ascii="Verdana" w:eastAsia="Calibri" w:hAnsi="Verdana" w:cs="Arial"/>
          <w:b/>
          <w:bCs/>
          <w:lang w:val="es-ES" w:eastAsia="es-ES_tradnl"/>
        </w:rPr>
        <w:t>813</w:t>
      </w:r>
      <w:r w:rsidRPr="00584C69">
        <w:rPr>
          <w:rFonts w:ascii="Verdana" w:eastAsia="Calibri" w:hAnsi="Verdana" w:cs="Arial"/>
          <w:b/>
          <w:bCs/>
          <w:lang w:val="es-ES" w:eastAsia="es-ES_tradnl"/>
        </w:rPr>
        <w:t xml:space="preserve"> de 202</w:t>
      </w:r>
      <w:r w:rsidR="00490D76">
        <w:rPr>
          <w:rFonts w:ascii="Verdana" w:eastAsia="Calibri" w:hAnsi="Verdana" w:cs="Arial"/>
          <w:b/>
          <w:bCs/>
          <w:lang w:val="es-ES" w:eastAsia="es-ES_tradnl"/>
        </w:rPr>
        <w:t>6</w:t>
      </w:r>
    </w:p>
    <w:p w14:paraId="3806EE71" w14:textId="77777777" w:rsidR="00584C69" w:rsidRPr="00584C69" w:rsidRDefault="00584C69" w:rsidP="00584C69">
      <w:pPr>
        <w:spacing w:after="0" w:line="240" w:lineRule="auto"/>
        <w:jc w:val="both"/>
        <w:rPr>
          <w:rFonts w:ascii="Verdana" w:eastAsia="Calibri" w:hAnsi="Verdana" w:cs="Arial"/>
          <w:color w:val="EE0000"/>
          <w:lang w:val="es-ES_tradnl" w:eastAsia="es-ES_tradnl"/>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94"/>
        <w:gridCol w:w="6095"/>
      </w:tblGrid>
      <w:tr w:rsidR="00584C69" w:rsidRPr="00584C69" w14:paraId="36E8518B" w14:textId="77777777" w:rsidTr="000118AD">
        <w:tc>
          <w:tcPr>
            <w:tcW w:w="2694" w:type="dxa"/>
          </w:tcPr>
          <w:p w14:paraId="7CF63CA4" w14:textId="77777777" w:rsidR="00584C69" w:rsidRPr="00584C69" w:rsidRDefault="00584C69" w:rsidP="00584C69">
            <w:pPr>
              <w:rPr>
                <w:rFonts w:ascii="Verdana" w:eastAsia="Calibri" w:hAnsi="Verdana" w:cs="Arial"/>
                <w:lang w:val="es-ES_tradnl" w:eastAsia="es-ES_tradnl"/>
              </w:rPr>
            </w:pPr>
            <w:r w:rsidRPr="00584C69">
              <w:rPr>
                <w:rFonts w:ascii="Verdana" w:eastAsia="Calibri" w:hAnsi="Verdana" w:cs="Arial"/>
                <w:b/>
                <w:lang w:val="es-ES_tradnl" w:eastAsia="es-ES_tradnl"/>
              </w:rPr>
              <w:t>Temas:</w:t>
            </w:r>
          </w:p>
        </w:tc>
        <w:tc>
          <w:tcPr>
            <w:tcW w:w="6095" w:type="dxa"/>
          </w:tcPr>
          <w:p w14:paraId="1F31C82D" w14:textId="77777777" w:rsidR="00584C69" w:rsidRDefault="00584C69" w:rsidP="00584C69">
            <w:pPr>
              <w:contextualSpacing/>
              <w:jc w:val="both"/>
              <w:rPr>
                <w:rFonts w:ascii="Verdana" w:eastAsia="Calibri" w:hAnsi="Verdana" w:cs="Arial"/>
                <w:bCs/>
                <w:lang w:val="es-ES_tradnl"/>
              </w:rPr>
            </w:pPr>
            <w:r w:rsidRPr="00584C69">
              <w:rPr>
                <w:rFonts w:ascii="Verdana" w:eastAsia="Calibri" w:hAnsi="Verdana" w:cs="Arial"/>
                <w:bCs/>
                <w:lang w:val="es-ES_tradnl"/>
              </w:rPr>
              <w:t xml:space="preserve">CONTRATACIÓN PÚBLICA – Principio de publicidad – Principio de transparencia – Uso del SECOP </w:t>
            </w:r>
            <w:r w:rsidRPr="00584C69">
              <w:rPr>
                <w:rFonts w:ascii="Verdana" w:eastAsia="Times New Roman" w:hAnsi="Verdana" w:cs="Arial"/>
                <w:bCs/>
                <w:lang w:eastAsia="es-ES_tradnl"/>
              </w:rPr>
              <w:t xml:space="preserve">/ </w:t>
            </w:r>
            <w:r w:rsidRPr="00584C69">
              <w:rPr>
                <w:rFonts w:ascii="Verdana" w:eastAsia="Calibri" w:hAnsi="Verdana" w:cs="Arial"/>
                <w:bCs/>
                <w:lang w:val="es-ES_tradnl"/>
              </w:rPr>
              <w:t>PRINCIPIO DE TRANSPARENCIA – Ley 1712 de 2014 – Documentos públicos / CIRCULAR ÚNICA EXTERNA – Deber de publicar oportunamente la actividad contractual en SECOP</w:t>
            </w:r>
          </w:p>
          <w:p w14:paraId="0D815D63" w14:textId="77777777" w:rsidR="00D662A1" w:rsidRPr="00584C69" w:rsidRDefault="00D662A1" w:rsidP="00584C69">
            <w:pPr>
              <w:contextualSpacing/>
              <w:jc w:val="both"/>
              <w:rPr>
                <w:rFonts w:ascii="Verdana" w:eastAsia="Calibri" w:hAnsi="Verdana" w:cs="Arial"/>
                <w:bCs/>
                <w:lang w:val="es-ES_tradnl" w:eastAsia="es-ES"/>
              </w:rPr>
            </w:pPr>
          </w:p>
        </w:tc>
      </w:tr>
      <w:tr w:rsidR="00584C69" w:rsidRPr="00584C69" w14:paraId="00AE5D61" w14:textId="77777777" w:rsidTr="000118AD">
        <w:tc>
          <w:tcPr>
            <w:tcW w:w="2694" w:type="dxa"/>
          </w:tcPr>
          <w:p w14:paraId="098D0C47" w14:textId="77777777" w:rsidR="00584C69" w:rsidRPr="00584C69" w:rsidRDefault="00584C69" w:rsidP="00584C69">
            <w:pPr>
              <w:rPr>
                <w:rFonts w:ascii="Verdana" w:eastAsia="Calibri" w:hAnsi="Verdana" w:cs="Arial"/>
                <w:b/>
                <w:lang w:val="es-ES" w:eastAsia="es-ES_tradnl"/>
              </w:rPr>
            </w:pPr>
            <w:r w:rsidRPr="00584C69">
              <w:rPr>
                <w:rFonts w:ascii="Verdana" w:eastAsia="Calibri" w:hAnsi="Verdana" w:cs="Arial"/>
                <w:b/>
                <w:lang w:val="es-ES" w:eastAsia="es-ES_tradnl"/>
              </w:rPr>
              <w:t>Radicación:</w:t>
            </w:r>
          </w:p>
        </w:tc>
        <w:tc>
          <w:tcPr>
            <w:tcW w:w="6095" w:type="dxa"/>
          </w:tcPr>
          <w:p w14:paraId="2FD86690" w14:textId="77777777" w:rsidR="00F908C7" w:rsidRPr="00633FCB" w:rsidRDefault="00F908C7" w:rsidP="00F908C7">
            <w:pPr>
              <w:jc w:val="both"/>
              <w:rPr>
                <w:rFonts w:ascii="Verdana" w:eastAsia="Times New Roman" w:hAnsi="Verdana" w:cs="Arial"/>
                <w:lang w:eastAsia="es-ES_tradnl"/>
              </w:rPr>
            </w:pPr>
            <w:r w:rsidRPr="00584C69">
              <w:rPr>
                <w:rFonts w:ascii="Verdana" w:eastAsia="Calibri" w:hAnsi="Verdana" w:cs="Arial"/>
                <w:lang w:val="es-ES" w:eastAsia="es-ES_tradnl"/>
              </w:rPr>
              <w:t>Respuesta a consulta</w:t>
            </w:r>
            <w:r>
              <w:rPr>
                <w:rFonts w:ascii="Verdana" w:eastAsia="Calibri" w:hAnsi="Verdana" w:cs="Arial"/>
                <w:lang w:val="es-ES" w:eastAsia="es-ES_tradnl"/>
              </w:rPr>
              <w:t>s acumuladas con</w:t>
            </w:r>
            <w:r w:rsidRPr="00584C69">
              <w:rPr>
                <w:rFonts w:ascii="Verdana" w:eastAsia="Calibri" w:hAnsi="Verdana" w:cs="Arial"/>
                <w:lang w:val="es-ES" w:eastAsia="es-ES_tradnl"/>
              </w:rPr>
              <w:t xml:space="preserve"> radicado</w:t>
            </w:r>
            <w:r>
              <w:rPr>
                <w:rFonts w:ascii="Verdana" w:eastAsia="Calibri" w:hAnsi="Verdana" w:cs="Arial"/>
                <w:lang w:val="es-ES" w:eastAsia="es-ES_tradnl"/>
              </w:rPr>
              <w:t>s</w:t>
            </w:r>
            <w:r w:rsidRPr="00584C69">
              <w:rPr>
                <w:rFonts w:ascii="Verdana" w:eastAsia="Calibri" w:hAnsi="Verdana" w:cs="Arial"/>
                <w:lang w:val="es-ES" w:eastAsia="es-ES_tradnl"/>
              </w:rPr>
              <w:t xml:space="preserve"> No. </w:t>
            </w:r>
            <w:r w:rsidRPr="00B2415F">
              <w:rPr>
                <w:rFonts w:ascii="Verdana" w:eastAsia="Times New Roman" w:hAnsi="Verdana" w:cs="Arial"/>
                <w:lang w:eastAsia="es-ES_tradnl"/>
              </w:rPr>
              <w:t>1_2026_05_15_006570</w:t>
            </w:r>
            <w:r>
              <w:rPr>
                <w:rFonts w:ascii="Verdana" w:eastAsia="Times New Roman" w:hAnsi="Verdana" w:cs="Arial"/>
                <w:lang w:eastAsia="es-ES_tradnl"/>
              </w:rPr>
              <w:t xml:space="preserve">, </w:t>
            </w:r>
            <w:r w:rsidRPr="00633FCB">
              <w:rPr>
                <w:rFonts w:ascii="Verdana" w:eastAsia="Times New Roman" w:hAnsi="Verdana" w:cs="Arial"/>
                <w:lang w:eastAsia="es-ES_tradnl"/>
              </w:rPr>
              <w:t xml:space="preserve">1_2026_05_15_006576 y </w:t>
            </w:r>
          </w:p>
          <w:p w14:paraId="031CBDEA" w14:textId="1BE35E1C" w:rsidR="00584C69" w:rsidRPr="00584C69" w:rsidRDefault="00F908C7" w:rsidP="00F908C7">
            <w:pPr>
              <w:jc w:val="both"/>
              <w:rPr>
                <w:rFonts w:ascii="Verdana" w:eastAsia="Calibri" w:hAnsi="Verdana" w:cs="Arial"/>
                <w:lang w:val="es-ES" w:eastAsia="es-ES_tradnl"/>
              </w:rPr>
            </w:pPr>
            <w:r w:rsidRPr="00633FCB">
              <w:rPr>
                <w:rFonts w:ascii="Verdana" w:eastAsia="Times New Roman" w:hAnsi="Verdana" w:cs="Arial"/>
                <w:lang w:eastAsia="es-ES_tradnl"/>
              </w:rPr>
              <w:t>1_2026_05_19_006698</w:t>
            </w:r>
          </w:p>
        </w:tc>
      </w:tr>
    </w:tbl>
    <w:p w14:paraId="3C40FB87" w14:textId="77777777" w:rsidR="00584C69" w:rsidRPr="00584C69" w:rsidRDefault="00584C69" w:rsidP="00584C69">
      <w:pPr>
        <w:spacing w:after="0" w:line="240" w:lineRule="auto"/>
        <w:jc w:val="both"/>
        <w:rPr>
          <w:rFonts w:ascii="Verdana" w:eastAsia="Calibri" w:hAnsi="Verdana" w:cs="Arial"/>
          <w:color w:val="EE0000"/>
          <w:lang w:val="es-ES_tradnl" w:eastAsia="es-ES_tradnl"/>
        </w:rPr>
      </w:pPr>
    </w:p>
    <w:p w14:paraId="23FE37BD" w14:textId="77777777" w:rsidR="00584C69" w:rsidRPr="00584C69" w:rsidRDefault="00584C69" w:rsidP="00584C69">
      <w:pPr>
        <w:spacing w:after="0" w:line="240" w:lineRule="auto"/>
        <w:jc w:val="both"/>
        <w:rPr>
          <w:rFonts w:ascii="Verdana" w:eastAsia="Calibri" w:hAnsi="Verdana" w:cs="Arial"/>
          <w:color w:val="EE0000"/>
          <w:lang w:val="es-ES_tradnl" w:eastAsia="es-ES_tradnl"/>
        </w:rPr>
      </w:pPr>
    </w:p>
    <w:p w14:paraId="6AAD2240" w14:textId="470BC23C" w:rsidR="00584C69" w:rsidRPr="00584C69" w:rsidRDefault="00584C69" w:rsidP="00584C69">
      <w:pPr>
        <w:spacing w:after="0" w:line="276" w:lineRule="auto"/>
        <w:contextualSpacing/>
        <w:jc w:val="both"/>
        <w:rPr>
          <w:rFonts w:ascii="Verdana" w:eastAsia="Calibri" w:hAnsi="Verdana" w:cs="Arial"/>
          <w:bCs/>
          <w:lang w:val="es-ES_tradnl" w:eastAsia="es-ES_tradnl"/>
        </w:rPr>
      </w:pPr>
      <w:r w:rsidRPr="00584C69">
        <w:rPr>
          <w:rFonts w:ascii="Verdana" w:eastAsia="Calibri" w:hAnsi="Verdana" w:cs="Arial"/>
          <w:lang w:val="es-ES_tradnl" w:eastAsia="es-ES_tradnl"/>
        </w:rPr>
        <w:t xml:space="preserve">Estimada señora </w:t>
      </w:r>
      <w:r w:rsidR="00B2415F">
        <w:rPr>
          <w:rFonts w:ascii="Verdana" w:eastAsia="Calibri" w:hAnsi="Verdana" w:cs="Arial"/>
          <w:lang w:val="es-ES_tradnl" w:eastAsia="es-ES_tradnl"/>
        </w:rPr>
        <w:t>González</w:t>
      </w:r>
      <w:r w:rsidRPr="00584C69">
        <w:rPr>
          <w:rFonts w:ascii="Verdana" w:eastAsia="Calibri" w:hAnsi="Verdana" w:cs="Arial"/>
          <w:lang w:val="es-ES_tradnl" w:eastAsia="es-ES_tradnl"/>
        </w:rPr>
        <w:t>:</w:t>
      </w:r>
    </w:p>
    <w:p w14:paraId="0F07F43A" w14:textId="77777777" w:rsidR="00584C69" w:rsidRPr="00584C69" w:rsidRDefault="00584C69" w:rsidP="00584C69">
      <w:pPr>
        <w:spacing w:after="0" w:line="276" w:lineRule="auto"/>
        <w:contextualSpacing/>
        <w:jc w:val="both"/>
        <w:rPr>
          <w:rFonts w:ascii="Verdana" w:eastAsia="Calibri" w:hAnsi="Verdana" w:cs="Arial"/>
          <w:color w:val="EE0000"/>
          <w:lang w:val="es-ES_tradnl" w:eastAsia="es-ES_tradnl"/>
        </w:rPr>
      </w:pPr>
    </w:p>
    <w:p w14:paraId="3F311C07" w14:textId="79ABCBDB" w:rsidR="00584C69" w:rsidRPr="00584C69" w:rsidRDefault="00584C69" w:rsidP="00584C69">
      <w:pPr>
        <w:spacing w:after="0" w:line="276" w:lineRule="auto"/>
        <w:contextualSpacing/>
        <w:jc w:val="both"/>
        <w:rPr>
          <w:rFonts w:ascii="Verdana" w:eastAsia="Calibri" w:hAnsi="Verdana" w:cs="Arial"/>
          <w:lang w:val="es-ES" w:eastAsia="es-ES_tradnl"/>
        </w:rPr>
      </w:pPr>
      <w:r w:rsidRPr="00584C69">
        <w:rPr>
          <w:rFonts w:ascii="Verdana" w:eastAsia="Calibri" w:hAnsi="Verdana" w:cs="Arial"/>
          <w:lang w:val="es-ES" w:eastAsia="es-ES_tradnl"/>
        </w:rPr>
        <w:t>En ejercicio de la competencia otorgada por los artículos 3, numeral 5º, y 11, numeral 8º, del Decreto Ley 4170 de 2011, así como lo establecido en el artículo 4 de la Resolución 1707 de 2018 expedida por esta Entidad, la Agencia Nacional de Contratación Pública – Colombia Compra Eficiente– responde su solicitud de consulta de fecha</w:t>
      </w:r>
      <w:r w:rsidR="00B2415F">
        <w:rPr>
          <w:rFonts w:ascii="Verdana" w:eastAsia="Calibri" w:hAnsi="Verdana" w:cs="Arial"/>
          <w:lang w:val="es-ES" w:eastAsia="es-ES_tradnl"/>
        </w:rPr>
        <w:t xml:space="preserve"> 15</w:t>
      </w:r>
      <w:r w:rsidRPr="00584C69">
        <w:rPr>
          <w:rFonts w:ascii="Verdana" w:eastAsia="Calibri" w:hAnsi="Verdana" w:cs="Arial"/>
          <w:lang w:val="es-ES" w:eastAsia="es-ES_tradnl"/>
        </w:rPr>
        <w:t xml:space="preserve"> de </w:t>
      </w:r>
      <w:r w:rsidR="00B2415F">
        <w:rPr>
          <w:rFonts w:ascii="Verdana" w:eastAsia="Calibri" w:hAnsi="Verdana" w:cs="Arial"/>
          <w:lang w:val="es-ES" w:eastAsia="es-ES_tradnl"/>
        </w:rPr>
        <w:t>may</w:t>
      </w:r>
      <w:r w:rsidRPr="00584C69">
        <w:rPr>
          <w:rFonts w:ascii="Verdana" w:eastAsia="Calibri" w:hAnsi="Verdana" w:cs="Arial"/>
          <w:lang w:val="es-ES" w:eastAsia="es-ES_tradnl"/>
        </w:rPr>
        <w:t>o de 202</w:t>
      </w:r>
      <w:r w:rsidR="00B2415F">
        <w:rPr>
          <w:rFonts w:ascii="Verdana" w:eastAsia="Calibri" w:hAnsi="Verdana" w:cs="Arial"/>
          <w:lang w:val="es-ES" w:eastAsia="es-ES_tradnl"/>
        </w:rPr>
        <w:t>6</w:t>
      </w:r>
      <w:r w:rsidRPr="00584C69">
        <w:rPr>
          <w:rFonts w:ascii="Verdana" w:eastAsia="Calibri" w:hAnsi="Verdana" w:cs="Arial"/>
          <w:lang w:val="es-ES" w:eastAsia="es-ES_tradnl"/>
        </w:rPr>
        <w:t>, en la cual manifiesta lo siguiente:</w:t>
      </w:r>
    </w:p>
    <w:p w14:paraId="5A0D12E8" w14:textId="77777777" w:rsidR="00584C69" w:rsidRPr="00584C69" w:rsidRDefault="00584C69" w:rsidP="00584C69">
      <w:pPr>
        <w:spacing w:after="0" w:line="276" w:lineRule="auto"/>
        <w:ind w:left="709" w:right="709"/>
        <w:contextualSpacing/>
        <w:jc w:val="both"/>
        <w:rPr>
          <w:rFonts w:ascii="Verdana" w:eastAsia="Calibri" w:hAnsi="Verdana" w:cs="Arial"/>
          <w:b/>
          <w:sz w:val="20"/>
          <w:szCs w:val="20"/>
          <w:lang w:val="es-ES_tradnl" w:eastAsia="es-ES_tradnl"/>
        </w:rPr>
      </w:pPr>
    </w:p>
    <w:p w14:paraId="10A21946" w14:textId="5CB3F1E6" w:rsidR="009654F8" w:rsidRPr="000A3F74" w:rsidRDefault="00584C69" w:rsidP="000A3F74">
      <w:pPr>
        <w:spacing w:after="0" w:line="240" w:lineRule="auto"/>
        <w:ind w:left="709" w:right="709"/>
        <w:contextualSpacing/>
        <w:jc w:val="both"/>
        <w:rPr>
          <w:rFonts w:ascii="Verdana" w:eastAsia="Times New Roman" w:hAnsi="Verdana" w:cs="Arial"/>
          <w:sz w:val="21"/>
          <w:szCs w:val="21"/>
          <w:lang w:eastAsia="es-ES_tradnl"/>
        </w:rPr>
      </w:pPr>
      <w:r w:rsidRPr="000A3F74">
        <w:rPr>
          <w:rFonts w:ascii="Verdana" w:eastAsia="Times New Roman" w:hAnsi="Verdana" w:cs="Arial"/>
          <w:sz w:val="21"/>
          <w:szCs w:val="21"/>
          <w:lang w:eastAsia="es-ES_tradnl"/>
        </w:rPr>
        <w:t>“</w:t>
      </w:r>
      <w:r w:rsidR="009654F8" w:rsidRPr="000A3F74">
        <w:rPr>
          <w:rFonts w:ascii="Verdana" w:eastAsia="Times New Roman" w:hAnsi="Verdana" w:cs="Arial"/>
          <w:sz w:val="21"/>
          <w:szCs w:val="21"/>
          <w:lang w:eastAsia="es-ES_tradnl"/>
        </w:rPr>
        <w:t>1. ¿Qué se entiende por “los Documentos del Proceso y los actos administrativos del Proceso de Contratación”?</w:t>
      </w:r>
    </w:p>
    <w:p w14:paraId="4668479A" w14:textId="78C60354" w:rsidR="009654F8" w:rsidRPr="000A3F74" w:rsidRDefault="009654F8" w:rsidP="000A3F74">
      <w:pPr>
        <w:spacing w:after="0" w:line="240" w:lineRule="auto"/>
        <w:ind w:left="709" w:right="709"/>
        <w:contextualSpacing/>
        <w:jc w:val="both"/>
        <w:rPr>
          <w:rFonts w:ascii="Verdana" w:eastAsia="Times New Roman" w:hAnsi="Verdana" w:cs="Arial"/>
          <w:sz w:val="21"/>
          <w:szCs w:val="21"/>
          <w:lang w:eastAsia="es-ES_tradnl"/>
        </w:rPr>
      </w:pPr>
      <w:r w:rsidRPr="000A3F74">
        <w:rPr>
          <w:rFonts w:ascii="Verdana" w:eastAsia="Times New Roman" w:hAnsi="Verdana" w:cs="Arial"/>
          <w:sz w:val="21"/>
          <w:szCs w:val="21"/>
          <w:lang w:eastAsia="es-ES_tradnl"/>
        </w:rPr>
        <w:t>2. ¿Cuál es el alcance en las diferentes etapas? ¿Es decir, la obligación existe y recae en etapa precontractual, contractual y postcontractual?</w:t>
      </w:r>
    </w:p>
    <w:p w14:paraId="6CF69B21" w14:textId="67AD469B" w:rsidR="009654F8" w:rsidRPr="000A3F74" w:rsidRDefault="009654F8" w:rsidP="000A3F74">
      <w:pPr>
        <w:spacing w:after="0" w:line="240" w:lineRule="auto"/>
        <w:ind w:left="709" w:right="709"/>
        <w:contextualSpacing/>
        <w:jc w:val="both"/>
        <w:rPr>
          <w:rFonts w:ascii="Verdana" w:eastAsia="Times New Roman" w:hAnsi="Verdana" w:cs="Arial"/>
          <w:sz w:val="21"/>
          <w:szCs w:val="21"/>
          <w:lang w:eastAsia="es-ES_tradnl"/>
        </w:rPr>
      </w:pPr>
      <w:r w:rsidRPr="000A3F74">
        <w:rPr>
          <w:rFonts w:ascii="Verdana" w:eastAsia="Times New Roman" w:hAnsi="Verdana" w:cs="Arial"/>
          <w:sz w:val="21"/>
          <w:szCs w:val="21"/>
          <w:lang w:eastAsia="es-ES_tradnl"/>
        </w:rPr>
        <w:lastRenderedPageBreak/>
        <w:t>3. ¿Es válido y jurídicamente correcto entender que el deber de publicación en SECOP II comprende toda la actividad contractual, incluyendo la etapa de ejecución, y debe realizarse dentro del término de los tres (3) días siguientes a la expedición del documento, en cumplimiento del principio de publicidad y transparencia?</w:t>
      </w:r>
    </w:p>
    <w:p w14:paraId="04624CA5" w14:textId="28434925" w:rsidR="00584C69" w:rsidRPr="000A3F74" w:rsidRDefault="009654F8" w:rsidP="000A3F74">
      <w:pPr>
        <w:spacing w:after="0" w:line="240" w:lineRule="auto"/>
        <w:ind w:left="709" w:right="709"/>
        <w:contextualSpacing/>
        <w:jc w:val="both"/>
        <w:rPr>
          <w:rFonts w:ascii="Verdana" w:eastAsia="Times New Roman" w:hAnsi="Verdana" w:cs="Arial"/>
          <w:sz w:val="21"/>
          <w:szCs w:val="21"/>
          <w:lang w:eastAsia="es-ES_tradnl"/>
        </w:rPr>
      </w:pPr>
      <w:r w:rsidRPr="000A3F74">
        <w:rPr>
          <w:rFonts w:ascii="Verdana" w:eastAsia="Times New Roman" w:hAnsi="Verdana" w:cs="Arial"/>
          <w:sz w:val="21"/>
          <w:szCs w:val="21"/>
          <w:lang w:eastAsia="es-ES_tradnl"/>
        </w:rPr>
        <w:t>4. Los documentos de ejecución de contractos -específicamente contratos de prestación de servicios profesionales y apoyo a la gestión- tales como informes, soportes de pago, certificaciones, entre otros; ¿hacen parte integral del expediente contractual y, por tanto, están sujetos a las mismas reglas de oportunidad y publicación?</w:t>
      </w:r>
    </w:p>
    <w:p w14:paraId="093218D1" w14:textId="545B667E" w:rsidR="00104B60" w:rsidRPr="000A3F74" w:rsidRDefault="00104B60" w:rsidP="000A3F74">
      <w:pPr>
        <w:spacing w:after="0" w:line="240" w:lineRule="auto"/>
        <w:ind w:left="709" w:right="709"/>
        <w:contextualSpacing/>
        <w:jc w:val="both"/>
        <w:rPr>
          <w:rFonts w:ascii="Verdana" w:eastAsia="Times New Roman" w:hAnsi="Verdana" w:cs="Arial"/>
          <w:sz w:val="21"/>
          <w:szCs w:val="21"/>
          <w:lang w:eastAsia="es-ES_tradnl"/>
        </w:rPr>
      </w:pPr>
      <w:r w:rsidRPr="000A3F74">
        <w:rPr>
          <w:rFonts w:ascii="Verdana" w:eastAsia="Times New Roman" w:hAnsi="Verdana" w:cs="Arial"/>
          <w:sz w:val="21"/>
          <w:szCs w:val="21"/>
          <w:lang w:eastAsia="es-ES_tradnl"/>
        </w:rPr>
        <w:t>5. La responsabilidad de cargue de informes de supervisión en cabeza del supervisor goza de algún tipo de excepción en el cumplimiento de los tres (03) días establecidos en la norma; en razón y/o con justificación en la misionalidad de la entidad y/o el volumen de contratos y la carga operativa?</w:t>
      </w:r>
    </w:p>
    <w:p w14:paraId="1E804E9E" w14:textId="2E9BB9BC" w:rsidR="00104B60" w:rsidRPr="000A3F74" w:rsidRDefault="00104B60" w:rsidP="000A3F74">
      <w:pPr>
        <w:spacing w:after="0" w:line="240" w:lineRule="auto"/>
        <w:ind w:left="709" w:right="709"/>
        <w:contextualSpacing/>
        <w:jc w:val="both"/>
        <w:rPr>
          <w:rFonts w:ascii="Verdana" w:eastAsia="Times New Roman" w:hAnsi="Verdana" w:cs="Arial"/>
          <w:sz w:val="21"/>
          <w:szCs w:val="21"/>
          <w:lang w:eastAsia="es-ES_tradnl"/>
        </w:rPr>
      </w:pPr>
      <w:r w:rsidRPr="000A3F74">
        <w:rPr>
          <w:rFonts w:ascii="Verdana" w:eastAsia="Times New Roman" w:hAnsi="Verdana" w:cs="Arial"/>
          <w:sz w:val="21"/>
          <w:szCs w:val="21"/>
          <w:lang w:eastAsia="es-ES_tradnl"/>
        </w:rPr>
        <w:t>6. ¿Cuáles son las implicaciones y consecuencias para el supervisor y la entidad ante el incumplimiento del articulo ARTÍCULO 2?2.1.1.1.7.1?</w:t>
      </w:r>
    </w:p>
    <w:p w14:paraId="4A2315DB" w14:textId="7E275851" w:rsidR="00584C69" w:rsidRPr="000A3F74" w:rsidRDefault="00104B60" w:rsidP="000A3F74">
      <w:pPr>
        <w:spacing w:after="0" w:line="240" w:lineRule="auto"/>
        <w:ind w:left="709" w:right="709"/>
        <w:contextualSpacing/>
        <w:jc w:val="both"/>
        <w:rPr>
          <w:rFonts w:ascii="Verdana" w:eastAsia="Times New Roman" w:hAnsi="Verdana" w:cs="Arial"/>
          <w:sz w:val="21"/>
          <w:szCs w:val="21"/>
          <w:lang w:eastAsia="es-ES_tradnl"/>
        </w:rPr>
      </w:pPr>
      <w:r w:rsidRPr="000A3F74">
        <w:rPr>
          <w:rFonts w:ascii="Verdana" w:eastAsia="Times New Roman" w:hAnsi="Verdana" w:cs="Arial"/>
          <w:sz w:val="21"/>
          <w:szCs w:val="21"/>
          <w:lang w:eastAsia="es-ES_tradnl"/>
        </w:rPr>
        <w:t>7. En materia de hallazgos y responsabilidades en informes de control interno, ¿quién debe responder por el incumplimiento de la disposición?</w:t>
      </w:r>
      <w:r w:rsidR="00584C69" w:rsidRPr="000A3F74">
        <w:rPr>
          <w:rFonts w:ascii="Verdana" w:eastAsia="Times New Roman" w:hAnsi="Verdana" w:cs="Arial"/>
          <w:sz w:val="21"/>
          <w:szCs w:val="21"/>
          <w:lang w:eastAsia="es-ES_tradnl"/>
        </w:rPr>
        <w:t>”.</w:t>
      </w:r>
    </w:p>
    <w:p w14:paraId="3F0A4A13" w14:textId="77777777" w:rsidR="00584C69" w:rsidRPr="00584C69" w:rsidRDefault="00584C69" w:rsidP="00584C69">
      <w:pPr>
        <w:spacing w:after="0" w:line="240" w:lineRule="auto"/>
        <w:ind w:left="709" w:right="709"/>
        <w:contextualSpacing/>
        <w:jc w:val="both"/>
        <w:rPr>
          <w:rFonts w:ascii="Verdana" w:eastAsia="Times New Roman" w:hAnsi="Verdana" w:cs="Arial"/>
          <w:color w:val="EE0000"/>
          <w:sz w:val="21"/>
          <w:szCs w:val="21"/>
          <w:lang w:eastAsia="es-ES_tradnl"/>
        </w:rPr>
      </w:pPr>
    </w:p>
    <w:p w14:paraId="08C89ABD" w14:textId="77777777" w:rsidR="00584C69" w:rsidRPr="00584C69" w:rsidRDefault="00584C69" w:rsidP="00584C69">
      <w:pPr>
        <w:spacing w:after="120" w:line="276" w:lineRule="auto"/>
        <w:ind w:firstLine="709"/>
        <w:jc w:val="both"/>
        <w:rPr>
          <w:rFonts w:ascii="Verdana" w:eastAsia="Calibri" w:hAnsi="Verdana" w:cs="Arial"/>
          <w:lang w:val="es-ES" w:eastAsia="es-ES"/>
        </w:rPr>
      </w:pPr>
      <w:r w:rsidRPr="00584C69">
        <w:rPr>
          <w:rFonts w:ascii="Verdana" w:eastAsia="Calibri" w:hAnsi="Verdana" w:cs="Arial"/>
          <w:lang w:val="es-ES" w:eastAsia="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584C69">
        <w:rPr>
          <w:rFonts w:ascii="Verdana" w:eastAsia="Calibri" w:hAnsi="Verdana" w:cs="Arial"/>
          <w:szCs w:val="24"/>
          <w:lang w:val="es-ES_tradnl" w:eastAsia="es-ES_tradnl"/>
        </w:rPr>
        <w:tab/>
      </w:r>
    </w:p>
    <w:p w14:paraId="12E5045A" w14:textId="64C60D1C" w:rsidR="00584C69" w:rsidRPr="00584C69" w:rsidRDefault="00584C69" w:rsidP="00584C69">
      <w:pPr>
        <w:spacing w:after="0" w:line="276" w:lineRule="auto"/>
        <w:ind w:firstLine="709"/>
        <w:jc w:val="both"/>
        <w:rPr>
          <w:rFonts w:ascii="Verdana" w:eastAsia="Calibri" w:hAnsi="Verdana" w:cs="Arial"/>
          <w:lang w:val="es-ES" w:eastAsia="es-ES"/>
        </w:rPr>
      </w:pPr>
      <w:r w:rsidRPr="00584C69">
        <w:rPr>
          <w:rFonts w:ascii="Verdana" w:eastAsia="Calibri" w:hAnsi="Verdana" w:cs="Arial"/>
          <w:lang w:val="es-ES" w:eastAsia="es-ES"/>
        </w:rPr>
        <w:t>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w:t>
      </w:r>
      <w:r w:rsidR="00DE0DC3">
        <w:rPr>
          <w:rFonts w:ascii="Verdana" w:eastAsia="Calibri" w:hAnsi="Verdana" w:cs="Arial"/>
          <w:lang w:val="es-ES" w:eastAsia="es-ES"/>
        </w:rPr>
        <w:t xml:space="preserve"> los</w:t>
      </w:r>
      <w:r w:rsidRPr="00584C69">
        <w:rPr>
          <w:rFonts w:ascii="Verdana" w:eastAsia="Calibri" w:hAnsi="Verdana" w:cs="Arial"/>
          <w:lang w:val="es-ES" w:eastAsia="es-ES"/>
        </w:rPr>
        <w:t xml:space="preserve"> problema</w:t>
      </w:r>
      <w:r w:rsidR="00DE0DC3">
        <w:rPr>
          <w:rFonts w:ascii="Verdana" w:eastAsia="Calibri" w:hAnsi="Verdana" w:cs="Arial"/>
          <w:lang w:val="es-ES" w:eastAsia="es-ES"/>
        </w:rPr>
        <w:t>s</w:t>
      </w:r>
      <w:r w:rsidRPr="00584C69">
        <w:rPr>
          <w:rFonts w:ascii="Verdana" w:eastAsia="Calibri" w:hAnsi="Verdana" w:cs="Arial"/>
          <w:lang w:val="es-ES" w:eastAsia="es-ES"/>
        </w:rPr>
        <w:t xml:space="preserve"> jurídico</w:t>
      </w:r>
      <w:r w:rsidR="00DE0DC3">
        <w:rPr>
          <w:rFonts w:ascii="Verdana" w:eastAsia="Calibri" w:hAnsi="Verdana" w:cs="Arial"/>
          <w:lang w:val="es-ES" w:eastAsia="es-ES"/>
        </w:rPr>
        <w:t>s</w:t>
      </w:r>
      <w:r w:rsidRPr="00584C69">
        <w:rPr>
          <w:rFonts w:ascii="Verdana" w:eastAsia="Calibri" w:hAnsi="Verdana" w:cs="Arial"/>
          <w:lang w:val="es-ES" w:eastAsia="es-ES"/>
        </w:rPr>
        <w:t xml:space="preserve"> de su consulta. </w:t>
      </w:r>
    </w:p>
    <w:p w14:paraId="76E4B34E" w14:textId="77777777" w:rsidR="00584C69" w:rsidRPr="00584C69" w:rsidRDefault="00584C69" w:rsidP="00584C69">
      <w:pPr>
        <w:spacing w:after="0" w:line="276" w:lineRule="auto"/>
        <w:contextualSpacing/>
        <w:jc w:val="both"/>
        <w:rPr>
          <w:rFonts w:ascii="Verdana" w:eastAsia="Times New Roman" w:hAnsi="Verdana" w:cs="Arial"/>
          <w:szCs w:val="24"/>
          <w:lang w:val="es-ES_tradnl" w:eastAsia="es-ES_tradnl"/>
        </w:rPr>
      </w:pPr>
    </w:p>
    <w:p w14:paraId="3EBFA388" w14:textId="23C64C26" w:rsidR="00584C69" w:rsidRPr="00584C69" w:rsidRDefault="00584C69" w:rsidP="00584C69">
      <w:pPr>
        <w:tabs>
          <w:tab w:val="left" w:pos="0"/>
          <w:tab w:val="left" w:pos="284"/>
        </w:tabs>
        <w:spacing w:after="0" w:line="276" w:lineRule="auto"/>
        <w:contextualSpacing/>
        <w:jc w:val="both"/>
        <w:rPr>
          <w:rFonts w:ascii="Verdana" w:eastAsia="Calibri" w:hAnsi="Verdana" w:cs="Arial"/>
          <w:b/>
          <w:lang w:val="es-ES_tradnl"/>
        </w:rPr>
      </w:pPr>
      <w:r w:rsidRPr="00584C69">
        <w:rPr>
          <w:rFonts w:ascii="Verdana" w:eastAsia="Calibri" w:hAnsi="Verdana" w:cs="Arial"/>
          <w:b/>
          <w:lang w:val="es-ES_tradnl"/>
        </w:rPr>
        <w:lastRenderedPageBreak/>
        <w:t>1. Problema</w:t>
      </w:r>
      <w:r w:rsidR="005F7933">
        <w:rPr>
          <w:rFonts w:ascii="Verdana" w:eastAsia="Calibri" w:hAnsi="Verdana" w:cs="Arial"/>
          <w:b/>
          <w:lang w:val="es-ES_tradnl"/>
        </w:rPr>
        <w:t>s</w:t>
      </w:r>
      <w:r w:rsidRPr="00584C69">
        <w:rPr>
          <w:rFonts w:ascii="Verdana" w:eastAsia="Calibri" w:hAnsi="Verdana" w:cs="Arial"/>
          <w:b/>
          <w:lang w:val="es-ES_tradnl"/>
        </w:rPr>
        <w:t xml:space="preserve"> planteado</w:t>
      </w:r>
      <w:r w:rsidR="005F7933">
        <w:rPr>
          <w:rFonts w:ascii="Verdana" w:eastAsia="Calibri" w:hAnsi="Verdana" w:cs="Arial"/>
          <w:b/>
          <w:lang w:val="es-ES_tradnl"/>
        </w:rPr>
        <w:t>s</w:t>
      </w:r>
      <w:r w:rsidRPr="00584C69">
        <w:rPr>
          <w:rFonts w:ascii="Verdana" w:eastAsia="Calibri" w:hAnsi="Verdana" w:cs="Arial"/>
          <w:b/>
          <w:lang w:val="es-ES_tradnl"/>
        </w:rPr>
        <w:t>:</w:t>
      </w:r>
    </w:p>
    <w:p w14:paraId="58F17D55" w14:textId="77777777" w:rsidR="00584C69" w:rsidRPr="00584C69" w:rsidRDefault="00584C69" w:rsidP="00584C69">
      <w:pPr>
        <w:tabs>
          <w:tab w:val="left" w:pos="0"/>
          <w:tab w:val="left" w:pos="284"/>
        </w:tabs>
        <w:spacing w:after="0" w:line="276" w:lineRule="auto"/>
        <w:contextualSpacing/>
        <w:jc w:val="both"/>
        <w:rPr>
          <w:rFonts w:ascii="Verdana" w:eastAsia="Calibri" w:hAnsi="Verdana" w:cs="Arial"/>
          <w:b/>
          <w:color w:val="EE0000"/>
          <w:lang w:val="es-ES_tradnl"/>
        </w:rPr>
      </w:pPr>
    </w:p>
    <w:p w14:paraId="4362196B" w14:textId="640F1C01" w:rsidR="00584C69" w:rsidRPr="00584C69" w:rsidRDefault="00584C69" w:rsidP="00584C69">
      <w:pPr>
        <w:spacing w:after="0" w:line="276" w:lineRule="auto"/>
        <w:jc w:val="both"/>
        <w:rPr>
          <w:rFonts w:ascii="Verdana" w:eastAsia="Century Gothic" w:hAnsi="Verdana" w:cs="Century Gothic"/>
        </w:rPr>
      </w:pPr>
      <w:r w:rsidRPr="00584C69">
        <w:rPr>
          <w:rFonts w:ascii="Verdana" w:eastAsia="Century Gothic" w:hAnsi="Verdana" w:cs="Century Gothic"/>
        </w:rPr>
        <w:t xml:space="preserve">De acuerdo con el contenido de su solicitud, esta Agencia resolverá </w:t>
      </w:r>
      <w:r w:rsidR="005D2616">
        <w:rPr>
          <w:rFonts w:ascii="Verdana" w:eastAsia="Century Gothic" w:hAnsi="Verdana" w:cs="Century Gothic"/>
        </w:rPr>
        <w:t>los</w:t>
      </w:r>
      <w:r w:rsidRPr="00584C69">
        <w:rPr>
          <w:rFonts w:ascii="Verdana" w:eastAsia="Century Gothic" w:hAnsi="Verdana" w:cs="Century Gothic"/>
        </w:rPr>
        <w:t xml:space="preserve"> siguiente</w:t>
      </w:r>
      <w:r w:rsidR="005D2616">
        <w:rPr>
          <w:rFonts w:ascii="Verdana" w:eastAsia="Century Gothic" w:hAnsi="Verdana" w:cs="Century Gothic"/>
        </w:rPr>
        <w:t>s</w:t>
      </w:r>
      <w:r w:rsidRPr="00584C69">
        <w:rPr>
          <w:rFonts w:ascii="Verdana" w:eastAsia="Century Gothic" w:hAnsi="Verdana" w:cs="Century Gothic"/>
        </w:rPr>
        <w:t xml:space="preserve"> problema</w:t>
      </w:r>
      <w:r w:rsidR="005D2616">
        <w:rPr>
          <w:rFonts w:ascii="Verdana" w:eastAsia="Century Gothic" w:hAnsi="Verdana" w:cs="Century Gothic"/>
        </w:rPr>
        <w:t>s</w:t>
      </w:r>
      <w:r w:rsidRPr="00584C69">
        <w:rPr>
          <w:rFonts w:ascii="Verdana" w:eastAsia="Century Gothic" w:hAnsi="Verdana" w:cs="Century Gothic"/>
        </w:rPr>
        <w:t xml:space="preserve"> jurídico</w:t>
      </w:r>
      <w:r w:rsidR="005D2616">
        <w:rPr>
          <w:rFonts w:ascii="Verdana" w:eastAsia="Century Gothic" w:hAnsi="Verdana" w:cs="Century Gothic"/>
        </w:rPr>
        <w:t>s</w:t>
      </w:r>
      <w:r w:rsidRPr="00584C69">
        <w:rPr>
          <w:rFonts w:ascii="Verdana" w:eastAsia="Century Gothic" w:hAnsi="Verdana" w:cs="Century Gothic"/>
        </w:rPr>
        <w:t xml:space="preserve">: </w:t>
      </w:r>
      <w:bookmarkStart w:id="0" w:name="_Hlk199424158"/>
      <w:r w:rsidR="005D2616">
        <w:rPr>
          <w:rFonts w:ascii="Verdana" w:eastAsia="Century Gothic" w:hAnsi="Verdana" w:cs="Century Gothic"/>
        </w:rPr>
        <w:t xml:space="preserve">i) </w:t>
      </w:r>
      <w:r w:rsidRPr="00584C69">
        <w:rPr>
          <w:rFonts w:ascii="Verdana" w:eastAsia="Century Gothic" w:hAnsi="Verdana" w:cs="Century Gothic"/>
        </w:rPr>
        <w:t xml:space="preserve">¿Qué </w:t>
      </w:r>
      <w:r w:rsidR="00E552E7">
        <w:rPr>
          <w:rFonts w:ascii="Verdana" w:eastAsia="Century Gothic" w:hAnsi="Verdana" w:cs="Century Gothic"/>
        </w:rPr>
        <w:t>documentos y de cuáles etapas del proceso se deben</w:t>
      </w:r>
      <w:r w:rsidRPr="00584C69">
        <w:rPr>
          <w:rFonts w:ascii="Verdana" w:eastAsia="Century Gothic" w:hAnsi="Verdana" w:cs="Century Gothic"/>
        </w:rPr>
        <w:t xml:space="preserve"> publicar en el SECOP?</w:t>
      </w:r>
      <w:r w:rsidR="005D2616">
        <w:rPr>
          <w:rFonts w:ascii="Verdana" w:eastAsia="Century Gothic" w:hAnsi="Verdana" w:cs="Century Gothic"/>
        </w:rPr>
        <w:t xml:space="preserve"> y </w:t>
      </w:r>
      <w:proofErr w:type="spellStart"/>
      <w:r w:rsidR="005D2616">
        <w:rPr>
          <w:rFonts w:ascii="Verdana" w:eastAsia="Century Gothic" w:hAnsi="Verdana" w:cs="Century Gothic"/>
        </w:rPr>
        <w:t>ii</w:t>
      </w:r>
      <w:proofErr w:type="spellEnd"/>
      <w:r w:rsidR="005D2616">
        <w:rPr>
          <w:rFonts w:ascii="Verdana" w:eastAsia="Century Gothic" w:hAnsi="Verdana" w:cs="Century Gothic"/>
        </w:rPr>
        <w:t xml:space="preserve">) </w:t>
      </w:r>
      <w:r w:rsidR="0022564E">
        <w:rPr>
          <w:rFonts w:ascii="Verdana" w:eastAsia="Century Gothic" w:hAnsi="Verdana" w:cs="Century Gothic"/>
        </w:rPr>
        <w:t xml:space="preserve">Para publicar los documentos en SECOP II ¿Aplica el término señalado en el artículo </w:t>
      </w:r>
      <w:r w:rsidR="002D4E01" w:rsidRPr="002D4E01">
        <w:rPr>
          <w:rFonts w:ascii="Verdana" w:eastAsia="Century Gothic" w:hAnsi="Verdana" w:cs="Century Gothic"/>
        </w:rPr>
        <w:t>2.2.1.1.1.7.1.</w:t>
      </w:r>
      <w:r w:rsidR="002D4E01">
        <w:rPr>
          <w:rFonts w:ascii="Verdana" w:eastAsia="Century Gothic" w:hAnsi="Verdana" w:cs="Century Gothic"/>
        </w:rPr>
        <w:t xml:space="preserve"> </w:t>
      </w:r>
      <w:r w:rsidR="0022564E">
        <w:rPr>
          <w:rFonts w:ascii="Verdana" w:eastAsia="Century Gothic" w:hAnsi="Verdana" w:cs="Century Gothic"/>
        </w:rPr>
        <w:t>del Decreto 1082 de 2015?</w:t>
      </w:r>
    </w:p>
    <w:bookmarkEnd w:id="0"/>
    <w:p w14:paraId="2575FB29" w14:textId="77777777" w:rsidR="00584C69" w:rsidRPr="00584C69" w:rsidRDefault="00584C69" w:rsidP="00584C69">
      <w:pPr>
        <w:spacing w:after="0" w:line="276" w:lineRule="auto"/>
        <w:ind w:firstLine="709"/>
        <w:jc w:val="both"/>
        <w:rPr>
          <w:rFonts w:ascii="Verdana" w:eastAsia="Calibri" w:hAnsi="Verdana" w:cs="Arial"/>
          <w:color w:val="EE0000"/>
          <w:lang w:val="es-ES" w:eastAsia="es-ES_tradnl"/>
        </w:rPr>
      </w:pPr>
    </w:p>
    <w:p w14:paraId="3A310CD7" w14:textId="1CF1E322" w:rsidR="00584C69" w:rsidRPr="00584C69" w:rsidRDefault="00584C69" w:rsidP="00584C69">
      <w:pPr>
        <w:tabs>
          <w:tab w:val="left" w:pos="142"/>
          <w:tab w:val="left" w:pos="284"/>
        </w:tabs>
        <w:spacing w:after="0" w:line="276" w:lineRule="auto"/>
        <w:jc w:val="both"/>
        <w:rPr>
          <w:rFonts w:ascii="Verdana" w:eastAsia="Century Gothic" w:hAnsi="Verdana" w:cs="Century Gothic"/>
          <w:b/>
          <w:bCs/>
        </w:rPr>
      </w:pPr>
      <w:r w:rsidRPr="00584C69">
        <w:rPr>
          <w:rFonts w:ascii="Verdana" w:eastAsia="Century Gothic" w:hAnsi="Verdana" w:cs="Century Gothic"/>
          <w:b/>
          <w:bCs/>
        </w:rPr>
        <w:t>2. Respuesta</w:t>
      </w:r>
      <w:r w:rsidR="00DE0DC3">
        <w:rPr>
          <w:rFonts w:ascii="Verdana" w:eastAsia="Century Gothic" w:hAnsi="Verdana" w:cs="Century Gothic"/>
          <w:b/>
          <w:bCs/>
        </w:rPr>
        <w:t>s</w:t>
      </w:r>
      <w:r w:rsidRPr="00584C69">
        <w:rPr>
          <w:rFonts w:ascii="Verdana" w:eastAsia="Century Gothic" w:hAnsi="Verdana" w:cs="Century Gothic"/>
          <w:b/>
          <w:bCs/>
        </w:rPr>
        <w:t>:</w:t>
      </w:r>
    </w:p>
    <w:p w14:paraId="06C66FBF" w14:textId="77777777" w:rsidR="00584C69" w:rsidRPr="00584C69" w:rsidRDefault="00584C69" w:rsidP="00584C69">
      <w:pPr>
        <w:tabs>
          <w:tab w:val="left" w:pos="142"/>
          <w:tab w:val="left" w:pos="284"/>
        </w:tabs>
        <w:spacing w:after="0" w:line="276" w:lineRule="auto"/>
        <w:jc w:val="both"/>
        <w:rPr>
          <w:rFonts w:ascii="Verdana" w:eastAsia="Century Gothic" w:hAnsi="Verdana" w:cs="Century Gothic"/>
          <w:b/>
          <w:bCs/>
          <w:lang w:val="es-ES"/>
        </w:rPr>
      </w:pPr>
    </w:p>
    <w:tbl>
      <w:tblPr>
        <w:tblStyle w:val="Tablaconcuadrcu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584C69" w:rsidRPr="00584C69" w14:paraId="51DFBBCC" w14:textId="77777777" w:rsidTr="000118AD">
        <w:tc>
          <w:tcPr>
            <w:tcW w:w="8828" w:type="dxa"/>
          </w:tcPr>
          <w:p w14:paraId="18235F52" w14:textId="6BEE01AC" w:rsidR="00645E00" w:rsidRDefault="00645E00" w:rsidP="00AB6DC2">
            <w:pPr>
              <w:tabs>
                <w:tab w:val="left" w:pos="597"/>
              </w:tabs>
              <w:spacing w:after="120" w:line="276" w:lineRule="auto"/>
              <w:jc w:val="both"/>
              <w:rPr>
                <w:rFonts w:ascii="Verdana" w:hAnsi="Verdana"/>
                <w:lang w:eastAsia="es-ES_tradnl"/>
              </w:rPr>
            </w:pPr>
            <w:r>
              <w:rPr>
                <w:rFonts w:ascii="Verdana" w:eastAsia="Calibri" w:hAnsi="Verdana" w:cs="Arial"/>
              </w:rPr>
              <w:t xml:space="preserve">i) El artículo </w:t>
            </w:r>
            <w:r w:rsidRPr="00645E00">
              <w:rPr>
                <w:rFonts w:ascii="Verdana" w:eastAsia="Calibri" w:hAnsi="Verdana" w:cs="Arial"/>
              </w:rPr>
              <w:t>2.2.1.1.1.7.1.</w:t>
            </w:r>
            <w:r>
              <w:rPr>
                <w:rFonts w:ascii="Verdana" w:eastAsia="Calibri" w:hAnsi="Verdana" w:cs="Arial"/>
              </w:rPr>
              <w:t xml:space="preserve"> del Decreto 1082 de 2015 dispone que se deben publicar en el SECOP </w:t>
            </w:r>
            <w:r w:rsidRPr="00584C69">
              <w:rPr>
                <w:rFonts w:ascii="Verdana" w:hAnsi="Verdana"/>
                <w:lang w:eastAsia="es-ES_tradnl"/>
              </w:rPr>
              <w:t>los Documentos del Proceso y los actos administrativos del Proceso de Contratación, dentro de los tres (3) días siguientes a su expedición.</w:t>
            </w:r>
            <w:r>
              <w:rPr>
                <w:rFonts w:ascii="Verdana" w:hAnsi="Verdana"/>
                <w:lang w:eastAsia="es-ES_tradnl"/>
              </w:rPr>
              <w:t xml:space="preserve"> </w:t>
            </w:r>
            <w:r w:rsidR="007554BC">
              <w:rPr>
                <w:rFonts w:ascii="Verdana" w:hAnsi="Verdana"/>
                <w:lang w:eastAsia="es-ES_tradnl"/>
              </w:rPr>
              <w:t xml:space="preserve">El mismo decreto en su artículo </w:t>
            </w:r>
            <w:r w:rsidR="00BE7D7F" w:rsidRPr="00BE7D7F">
              <w:rPr>
                <w:rFonts w:ascii="Verdana" w:hAnsi="Verdana"/>
                <w:lang w:eastAsia="es-ES_tradnl"/>
              </w:rPr>
              <w:t>2.2.1.1.1.3.1.</w:t>
            </w:r>
            <w:r w:rsidR="00BE7D7F">
              <w:rPr>
                <w:rFonts w:ascii="Verdana" w:hAnsi="Verdana"/>
                <w:lang w:eastAsia="es-ES_tradnl"/>
              </w:rPr>
              <w:t xml:space="preserve"> sobre d</w:t>
            </w:r>
            <w:r w:rsidR="00BE7D7F" w:rsidRPr="00BE7D7F">
              <w:rPr>
                <w:rFonts w:ascii="Verdana" w:hAnsi="Verdana"/>
                <w:lang w:eastAsia="es-ES_tradnl"/>
              </w:rPr>
              <w:t>efiniciones</w:t>
            </w:r>
            <w:r w:rsidR="00BE7D7F">
              <w:rPr>
                <w:rFonts w:ascii="Verdana" w:hAnsi="Verdana"/>
                <w:lang w:eastAsia="es-ES_tradnl"/>
              </w:rPr>
              <w:t xml:space="preserve"> señala que los documentos del proceso son:</w:t>
            </w:r>
          </w:p>
          <w:p w14:paraId="68AAFD3E" w14:textId="759A29F9" w:rsidR="00BE7D7F" w:rsidRDefault="00BE7D7F" w:rsidP="000A3F74">
            <w:pPr>
              <w:ind w:left="709" w:right="709"/>
              <w:contextualSpacing/>
              <w:jc w:val="both"/>
              <w:rPr>
                <w:rFonts w:ascii="Verdana" w:eastAsia="Times New Roman" w:hAnsi="Verdana" w:cs="Arial"/>
                <w:sz w:val="21"/>
                <w:szCs w:val="21"/>
                <w:lang w:eastAsia="es-ES_tradnl"/>
              </w:rPr>
            </w:pPr>
            <w:r w:rsidRPr="000A3F74">
              <w:rPr>
                <w:rFonts w:ascii="Verdana" w:eastAsia="Times New Roman" w:hAnsi="Verdana" w:cs="Arial"/>
                <w:sz w:val="21"/>
                <w:szCs w:val="21"/>
                <w:lang w:eastAsia="es-ES_tradnl"/>
              </w:rPr>
              <w:t>“</w:t>
            </w:r>
            <w:r w:rsidR="000A3F74" w:rsidRPr="000A3F74">
              <w:rPr>
                <w:rFonts w:ascii="Verdana" w:eastAsia="Times New Roman" w:hAnsi="Verdana" w:cs="Arial"/>
                <w:sz w:val="21"/>
                <w:szCs w:val="21"/>
                <w:lang w:eastAsia="es-ES_tradnl"/>
              </w:rPr>
              <w:t>(…) (a) los estudios y documentos previos; (b) el aviso de convocatoria; (c) los pliegos de condiciones o la invitación; (d) las Adendas; (e) la oferta; (f) el informe de evaluación; (g) el contrato; y cualquier otro documento expedido por la Entidad Estatal durante el Proceso de Contratación”.</w:t>
            </w:r>
          </w:p>
          <w:p w14:paraId="34677A35" w14:textId="77777777" w:rsidR="000A3F74" w:rsidRPr="000A3F74" w:rsidRDefault="000A3F74" w:rsidP="000A3F74">
            <w:pPr>
              <w:ind w:left="709" w:right="709"/>
              <w:contextualSpacing/>
              <w:jc w:val="both"/>
              <w:rPr>
                <w:rFonts w:ascii="Verdana" w:eastAsia="Times New Roman" w:hAnsi="Verdana" w:cs="Arial"/>
                <w:sz w:val="21"/>
                <w:szCs w:val="21"/>
                <w:lang w:eastAsia="es-ES_tradnl"/>
              </w:rPr>
            </w:pPr>
          </w:p>
          <w:p w14:paraId="32711C93" w14:textId="70B471E7" w:rsidR="000A3F74" w:rsidRDefault="000A3F74" w:rsidP="000A3F74">
            <w:pPr>
              <w:tabs>
                <w:tab w:val="left" w:pos="597"/>
              </w:tabs>
              <w:spacing w:after="120" w:line="276" w:lineRule="auto"/>
              <w:ind w:firstLine="595"/>
              <w:jc w:val="both"/>
              <w:rPr>
                <w:rFonts w:ascii="Verdana" w:eastAsia="Calibri" w:hAnsi="Verdana" w:cs="Arial"/>
              </w:rPr>
            </w:pPr>
            <w:r>
              <w:rPr>
                <w:rFonts w:ascii="Verdana" w:eastAsia="Calibri" w:hAnsi="Verdana" w:cs="Arial"/>
              </w:rPr>
              <w:t xml:space="preserve">Lo anterior indica que </w:t>
            </w:r>
            <w:r w:rsidR="005E6DD0">
              <w:rPr>
                <w:rFonts w:ascii="Verdana" w:eastAsia="Calibri" w:hAnsi="Verdana" w:cs="Arial"/>
              </w:rPr>
              <w:t>todos los documentos expedidos</w:t>
            </w:r>
            <w:r w:rsidR="00425077">
              <w:rPr>
                <w:rFonts w:ascii="Verdana" w:eastAsia="Calibri" w:hAnsi="Verdana" w:cs="Arial"/>
              </w:rPr>
              <w:t xml:space="preserve"> por la Entidad Estatal</w:t>
            </w:r>
            <w:r w:rsidR="005E6DD0">
              <w:rPr>
                <w:rFonts w:ascii="Verdana" w:eastAsia="Calibri" w:hAnsi="Verdana" w:cs="Arial"/>
              </w:rPr>
              <w:t xml:space="preserve"> en todas las fases del proceso contractual deben ser publicados en SECOP</w:t>
            </w:r>
            <w:r w:rsidR="001F1DE3">
              <w:rPr>
                <w:rFonts w:ascii="Verdana" w:eastAsia="Calibri" w:hAnsi="Verdana" w:cs="Arial"/>
              </w:rPr>
              <w:t>, incluidos los que se producen en la etapa de ejecución y liquidación del contrato</w:t>
            </w:r>
            <w:r w:rsidR="004514EB" w:rsidRPr="00565782">
              <w:rPr>
                <w:rFonts w:ascii="Verdana" w:hAnsi="Verdana" w:cs="Arial"/>
              </w:rPr>
              <w:t>; sin que dicha obligación se extienda, en principio, a los documentos elaborados por el contratista o por terceros —como</w:t>
            </w:r>
            <w:r w:rsidR="000F2F42">
              <w:t xml:space="preserve"> </w:t>
            </w:r>
            <w:r w:rsidR="000F2F42" w:rsidRPr="000F2F42">
              <w:rPr>
                <w:rFonts w:ascii="Verdana" w:hAnsi="Verdana" w:cs="Arial"/>
              </w:rPr>
              <w:t>informes, soportes de pago, certificaciones</w:t>
            </w:r>
            <w:r w:rsidR="000F2F42">
              <w:rPr>
                <w:rFonts w:ascii="Verdana" w:hAnsi="Verdana" w:cs="Arial"/>
              </w:rPr>
              <w:t>,</w:t>
            </w:r>
            <w:r w:rsidR="004514EB" w:rsidRPr="00565782">
              <w:rPr>
                <w:rFonts w:ascii="Verdana" w:hAnsi="Verdana" w:cs="Arial"/>
              </w:rPr>
              <w:t xml:space="preserve"> </w:t>
            </w:r>
            <w:r w:rsidR="004514EB">
              <w:rPr>
                <w:rFonts w:ascii="Verdana" w:hAnsi="Verdana" w:cs="Arial"/>
              </w:rPr>
              <w:t>cuentas de cobro</w:t>
            </w:r>
            <w:r w:rsidR="004514EB" w:rsidRPr="00565782">
              <w:rPr>
                <w:rFonts w:ascii="Verdana" w:hAnsi="Verdana" w:cs="Arial"/>
              </w:rPr>
              <w:t>—, los cuales, si bien pueden formar parte del expediente contractual y deben ser conservados por la entidad, no están sujetos al término de publicación de tres días previsto en la norma, salvo que la Entidad Estatal los incorpore formalmente mediante un acto propio o que las condiciones del pliego o del contrato así lo establezcan expresamente</w:t>
            </w:r>
            <w:r w:rsidR="001F1DE3">
              <w:rPr>
                <w:rFonts w:ascii="Verdana" w:eastAsia="Calibri" w:hAnsi="Verdana" w:cs="Arial"/>
              </w:rPr>
              <w:t>.</w:t>
            </w:r>
            <w:r w:rsidR="00C829E3">
              <w:rPr>
                <w:rFonts w:ascii="Verdana" w:eastAsia="Calibri" w:hAnsi="Verdana" w:cs="Arial"/>
              </w:rPr>
              <w:t xml:space="preserve"> </w:t>
            </w:r>
          </w:p>
          <w:p w14:paraId="51A551BB" w14:textId="2A12390D" w:rsidR="00AB6DC2" w:rsidRPr="00AB6DC2" w:rsidRDefault="002D4E01" w:rsidP="00AB6DC2">
            <w:pPr>
              <w:tabs>
                <w:tab w:val="left" w:pos="597"/>
              </w:tabs>
              <w:spacing w:after="120" w:line="276" w:lineRule="auto"/>
              <w:jc w:val="both"/>
              <w:rPr>
                <w:rFonts w:ascii="Verdana" w:eastAsia="Calibri" w:hAnsi="Verdana" w:cs="Arial"/>
              </w:rPr>
            </w:pPr>
            <w:proofErr w:type="spellStart"/>
            <w:r>
              <w:rPr>
                <w:rFonts w:ascii="Verdana" w:eastAsia="Calibri" w:hAnsi="Verdana" w:cs="Arial"/>
              </w:rPr>
              <w:t>i</w:t>
            </w:r>
            <w:r w:rsidR="00645E00">
              <w:rPr>
                <w:rFonts w:ascii="Verdana" w:eastAsia="Calibri" w:hAnsi="Verdana" w:cs="Arial"/>
              </w:rPr>
              <w:t>i</w:t>
            </w:r>
            <w:proofErr w:type="spellEnd"/>
            <w:r>
              <w:rPr>
                <w:rFonts w:ascii="Verdana" w:eastAsia="Calibri" w:hAnsi="Verdana" w:cs="Arial"/>
              </w:rPr>
              <w:t xml:space="preserve">) </w:t>
            </w:r>
            <w:r w:rsidR="00AB6DC2" w:rsidRPr="00AB6DC2">
              <w:rPr>
                <w:rFonts w:ascii="Verdana" w:eastAsia="Calibri" w:hAnsi="Verdana" w:cs="Arial"/>
              </w:rPr>
              <w:t xml:space="preserve">La obligación </w:t>
            </w:r>
            <w:r w:rsidR="00057DB5">
              <w:rPr>
                <w:rFonts w:ascii="Verdana" w:eastAsia="Calibri" w:hAnsi="Verdana" w:cs="Arial"/>
              </w:rPr>
              <w:t xml:space="preserve">de </w:t>
            </w:r>
            <w:r w:rsidR="00AB6DC2" w:rsidRPr="00AB6DC2">
              <w:rPr>
                <w:rFonts w:ascii="Verdana" w:eastAsia="Calibri" w:hAnsi="Verdana" w:cs="Arial"/>
              </w:rPr>
              <w:t>publicar en el Sistema Electrónico para la Contratación Pública – SECOP II, encuentra sustento en un conjunto normativo que articula disposiciones constitucionales, legales, reglamentarias y administrativas, todas orientadas a garantizar el principio de publicidad y el derecho de acceso a la información pública en el marco de la contratación estatal.</w:t>
            </w:r>
          </w:p>
          <w:p w14:paraId="216C3175" w14:textId="7F91EC62" w:rsidR="00AB6DC2" w:rsidRPr="00AB6DC2" w:rsidRDefault="00AB6DC2" w:rsidP="006D1C22">
            <w:pPr>
              <w:tabs>
                <w:tab w:val="left" w:pos="597"/>
              </w:tabs>
              <w:spacing w:after="120" w:line="276" w:lineRule="auto"/>
              <w:ind w:firstLine="595"/>
              <w:jc w:val="both"/>
              <w:rPr>
                <w:rFonts w:ascii="Verdana" w:eastAsia="Calibri" w:hAnsi="Verdana" w:cs="Arial"/>
              </w:rPr>
            </w:pPr>
            <w:r w:rsidRPr="00AB6DC2">
              <w:rPr>
                <w:rFonts w:ascii="Verdana" w:eastAsia="Calibri" w:hAnsi="Verdana" w:cs="Arial"/>
              </w:rPr>
              <w:lastRenderedPageBreak/>
              <w:t>La Constitución Política de 1991 consagra la publicidad como uno de los principios fundamentales que rigen la función administrativa, conforme lo establece el artículo 209. A su vez, el artículo 74 reconoce el derecho de todas las personas a acceder a los documentos públicos, salvo los casos de reserva previstos expresamente en la ley. En desarrollo de estos principios, el artículo 3 de la Ley 1150 de 2007 establece que el SECOP debe contener la información oficial de la contratación realizada con dineros públicos, y que dicha información debe ser difundida a través de canales electrónicos. Esta norma consagra un deber general de publicidad contractual que recae sobre todas las entidades estatales, sin distinción de su régimen jurídico, naturaleza o pertenencia a una rama del poder público.</w:t>
            </w:r>
          </w:p>
          <w:p w14:paraId="4EB21172" w14:textId="77777777" w:rsidR="00AB6DC2" w:rsidRPr="00AB6DC2" w:rsidRDefault="00AB6DC2" w:rsidP="006D1C22">
            <w:pPr>
              <w:tabs>
                <w:tab w:val="left" w:pos="597"/>
              </w:tabs>
              <w:spacing w:after="120" w:line="276" w:lineRule="auto"/>
              <w:ind w:firstLine="595"/>
              <w:jc w:val="both"/>
              <w:rPr>
                <w:rFonts w:ascii="Verdana" w:eastAsia="Calibri" w:hAnsi="Verdana" w:cs="Arial"/>
              </w:rPr>
            </w:pPr>
            <w:r w:rsidRPr="00AB6DC2">
              <w:rPr>
                <w:rFonts w:ascii="Verdana" w:eastAsia="Calibri" w:hAnsi="Verdana" w:cs="Arial"/>
              </w:rPr>
              <w:t>Complementariamente, la Ley 1712 de 2014, conocida como la Ley de Transparencia y del Derecho de Acceso a la Información Pública, refuerza esta obligación al establecer los principios de máxima publicidad, transparencia y buena fe. En particular, el literal e) del artículo 9 impone a los sujetos obligados —entre los cuales se encuentran todas las entidades públicas y aquellas que administren recursos públicos— el deber de publicar la información relativa a su contratación. El artículo 11, literal g), exige además la divulgación de los procedimientos, lineamientos, políticas de adquisiciones, datos de adjudicación y ejecución de contratos, incluyendo concursos y licitaciones, información que debe estar disponible en el SECOP.</w:t>
            </w:r>
          </w:p>
          <w:p w14:paraId="05B9AB7C" w14:textId="600528D1" w:rsidR="00584C69" w:rsidRPr="00584C69" w:rsidRDefault="00584C69" w:rsidP="006D1C22">
            <w:pPr>
              <w:tabs>
                <w:tab w:val="left" w:pos="597"/>
              </w:tabs>
              <w:spacing w:after="120" w:line="276" w:lineRule="auto"/>
              <w:ind w:firstLine="595"/>
              <w:jc w:val="both"/>
              <w:rPr>
                <w:rFonts w:ascii="Verdana" w:eastAsia="Calibri" w:hAnsi="Verdana" w:cs="Arial"/>
              </w:rPr>
            </w:pPr>
            <w:r w:rsidRPr="00584C69">
              <w:rPr>
                <w:rFonts w:ascii="Verdana" w:eastAsia="Calibri" w:hAnsi="Verdana" w:cs="Arial"/>
                <w:lang w:val="es-ES"/>
              </w:rPr>
              <w:t>La Circular Externa Única emitida por esta Agencia, recordó a todas las entidades del Estado el deber de publicar oportunamente su actividad contractual en el SECOP, sin distinción de su régimen jurídico, naturaleza jurídica o la pertenencia a una u otra rama del poder público</w:t>
            </w:r>
            <w:r w:rsidR="00AB6DC2">
              <w:rPr>
                <w:rFonts w:ascii="Verdana" w:eastAsia="Calibri" w:hAnsi="Verdana" w:cs="Arial"/>
                <w:lang w:val="es-ES"/>
              </w:rPr>
              <w:t>.</w:t>
            </w:r>
          </w:p>
          <w:p w14:paraId="3EF47742" w14:textId="4E406D51" w:rsidR="00584C69" w:rsidRPr="00584C69" w:rsidRDefault="00584C69" w:rsidP="006D1C22">
            <w:pPr>
              <w:spacing w:after="120" w:line="276" w:lineRule="auto"/>
              <w:ind w:firstLine="595"/>
              <w:jc w:val="both"/>
              <w:rPr>
                <w:rFonts w:ascii="Verdana" w:hAnsi="Verdana"/>
                <w:lang w:eastAsia="es-ES_tradnl"/>
              </w:rPr>
            </w:pPr>
            <w:r w:rsidRPr="00584C69">
              <w:rPr>
                <w:rFonts w:ascii="Verdana" w:hAnsi="Verdana"/>
                <w:lang w:eastAsia="es-ES_tradnl"/>
              </w:rPr>
              <w:t xml:space="preserve">Ahora bien, para dar respuesta a su pregunta, la Entidad Estatal está obligada a publicar en el SECOP los Documentos del Proceso y los actos administrativos del Proceso de Contratación, dentro de los tres (3) días siguientes a su expedición. Sin embargo, en virtud de que el SECOP se compone de las plataformas SECOP I y SECOP II, resulta importante señalar que, para cada una de ellas, el procedimiento de publicación podría resultar distinto, habida cuenta que, en el caso de las entidades estatales que aún publiquen su actividad contractual en el SECOP I, esta plataforma funciona como medio de publicidad, sin que exija la publicación inmediata de los documentos precontractuales y contractuales. En ese sentido, </w:t>
            </w:r>
            <w:r w:rsidR="002716FE" w:rsidRPr="00584C69">
              <w:rPr>
                <w:rFonts w:ascii="Verdana" w:hAnsi="Verdana"/>
                <w:lang w:eastAsia="es-ES_tradnl"/>
              </w:rPr>
              <w:t>La Entidad Estatal</w:t>
            </w:r>
            <w:r w:rsidRPr="00584C69">
              <w:rPr>
                <w:rFonts w:ascii="Verdana" w:hAnsi="Verdana"/>
                <w:lang w:eastAsia="es-ES_tradnl"/>
              </w:rPr>
              <w:t xml:space="preserve"> podrá publicar tales documentos dentro del término previsto por el </w:t>
            </w:r>
            <w:r w:rsidRPr="00584C69">
              <w:rPr>
                <w:rFonts w:ascii="Verdana" w:hAnsi="Verdana"/>
                <w:lang w:eastAsia="es-ES_tradnl"/>
              </w:rPr>
              <w:lastRenderedPageBreak/>
              <w:t>artículo citado. No obstante, la plataforma SECOP II es una plataforma esencialmente transaccional, de contratación en línea, donde se gestionan todas las etapas del Proceso de Contratación, lo cual supone que los documentos que se expidan en el marco de cada una de las etapas, deberán publicarse al tiempo en que se realiza la gestión transaccional, lo que ameritaría una publicación inmediata, en la medida en que deben ser puestos en conocimiento de los partícipes del Sistema de Compra Pública, interesados en consultarlos. </w:t>
            </w:r>
          </w:p>
          <w:p w14:paraId="04E4A021" w14:textId="2ABD03D9" w:rsidR="00584C69" w:rsidRPr="00584C69" w:rsidRDefault="00250B10" w:rsidP="00250B10">
            <w:pPr>
              <w:spacing w:before="120" w:after="120" w:line="276" w:lineRule="auto"/>
              <w:ind w:firstLine="742"/>
              <w:jc w:val="both"/>
              <w:rPr>
                <w:rFonts w:ascii="Verdana" w:eastAsia="Calibri" w:hAnsi="Verdana" w:cs="Arial"/>
                <w:szCs w:val="24"/>
                <w:lang w:eastAsia="es-ES_tradnl"/>
              </w:rPr>
            </w:pPr>
            <w:r w:rsidRPr="00360AA2">
              <w:rPr>
                <w:rFonts w:ascii="Verdana" w:hAnsi="Verdana"/>
                <w:lang w:val="es-ES"/>
              </w:rPr>
              <w:t xml:space="preserve">En </w:t>
            </w:r>
            <w:r w:rsidRPr="00360AA2">
              <w:rPr>
                <w:rFonts w:ascii="Verdana" w:hAnsi="Verdana"/>
              </w:rPr>
              <w:t>todo</w:t>
            </w:r>
            <w:r w:rsidRPr="00360AA2">
              <w:rPr>
                <w:rFonts w:ascii="Verdana" w:hAnsi="Verdana"/>
                <w:lang w:val="es-ES"/>
              </w:rPr>
              <w:t xml:space="preserve"> caso, sobre </w:t>
            </w:r>
            <w:r>
              <w:rPr>
                <w:rFonts w:ascii="Verdana" w:hAnsi="Verdana"/>
                <w:lang w:val="es-ES"/>
              </w:rPr>
              <w:t>las consecuencias del incumplimiento de la norma</w:t>
            </w:r>
            <w:r w:rsidRPr="00360AA2">
              <w:rPr>
                <w:rFonts w:ascii="Verdana" w:hAnsi="Verdana"/>
                <w:lang w:val="es-ES"/>
              </w:rPr>
              <w:t>, a</w:t>
            </w:r>
            <w:r w:rsidRPr="00360AA2">
              <w:rPr>
                <w:rFonts w:ascii="Verdana" w:hAnsi="Verdana"/>
              </w:rPr>
              <w:t>l margen de la explicación precedente debe advertirse que el análisis requerido para resolver problemas específicos en torno a normas diferentes a la contratación estatal debe ser realizado por quienes tengan interés en ello, de acuerdo con lo explicado en el presente concepto. Por lo anterior, previo concepto de sus asesores, la solución de situaciones particulares corresponde a los interesados en adoptar la decisión correspondiente y, en caso de conflicto, a las autoridades judiciales, fiscales y disciplinarias. Así, cada entidad definirá la forma de adelantar su gestión contractual, sin que sea atribución de Colombia Compra Eficiente validar sus actuaciones.</w:t>
            </w:r>
          </w:p>
        </w:tc>
      </w:tr>
    </w:tbl>
    <w:p w14:paraId="0F346897" w14:textId="77777777" w:rsidR="00584C69" w:rsidRPr="00584C69" w:rsidRDefault="00584C69" w:rsidP="00584C69">
      <w:pPr>
        <w:spacing w:after="0" w:line="276" w:lineRule="auto"/>
        <w:contextualSpacing/>
        <w:jc w:val="both"/>
        <w:rPr>
          <w:rFonts w:ascii="Verdana" w:eastAsia="Times New Roman" w:hAnsi="Verdana" w:cs="Arial"/>
          <w:color w:val="EE0000"/>
          <w:lang w:eastAsia="es-ES_tradnl"/>
        </w:rPr>
      </w:pPr>
    </w:p>
    <w:p w14:paraId="689D1669" w14:textId="0C8935D3" w:rsidR="00584C69" w:rsidRPr="00584C69" w:rsidRDefault="00584C69" w:rsidP="0012783F">
      <w:pPr>
        <w:tabs>
          <w:tab w:val="left" w:pos="142"/>
          <w:tab w:val="left" w:pos="284"/>
        </w:tabs>
        <w:spacing w:after="0" w:line="276" w:lineRule="auto"/>
        <w:jc w:val="both"/>
        <w:rPr>
          <w:rFonts w:ascii="Verdana" w:eastAsia="Century Gothic" w:hAnsi="Verdana" w:cs="Century Gothic"/>
          <w:b/>
          <w:bCs/>
          <w:lang w:val="es-ES"/>
        </w:rPr>
      </w:pPr>
      <w:r w:rsidRPr="00584C69">
        <w:rPr>
          <w:rFonts w:ascii="Verdana" w:eastAsia="Century Gothic" w:hAnsi="Verdana" w:cs="Century Gothic"/>
          <w:b/>
          <w:bCs/>
          <w:lang w:val="es-ES"/>
        </w:rPr>
        <w:t>3. Razones de la</w:t>
      </w:r>
      <w:r w:rsidR="008F7352">
        <w:rPr>
          <w:rFonts w:ascii="Verdana" w:eastAsia="Century Gothic" w:hAnsi="Verdana" w:cs="Century Gothic"/>
          <w:b/>
          <w:bCs/>
          <w:lang w:val="es-ES"/>
        </w:rPr>
        <w:t>s</w:t>
      </w:r>
      <w:r w:rsidRPr="00584C69">
        <w:rPr>
          <w:rFonts w:ascii="Verdana" w:eastAsia="Century Gothic" w:hAnsi="Verdana" w:cs="Century Gothic"/>
          <w:b/>
          <w:bCs/>
          <w:lang w:val="es-ES"/>
        </w:rPr>
        <w:t xml:space="preserve"> respuesta</w:t>
      </w:r>
      <w:r w:rsidR="008F7352">
        <w:rPr>
          <w:rFonts w:ascii="Verdana" w:eastAsia="Century Gothic" w:hAnsi="Verdana" w:cs="Century Gothic"/>
          <w:b/>
          <w:bCs/>
          <w:lang w:val="es-ES"/>
        </w:rPr>
        <w:t>s</w:t>
      </w:r>
      <w:r w:rsidRPr="00584C69">
        <w:rPr>
          <w:rFonts w:ascii="Verdana" w:eastAsia="Century Gothic" w:hAnsi="Verdana" w:cs="Century Gothic"/>
          <w:b/>
          <w:bCs/>
          <w:lang w:val="es-ES"/>
        </w:rPr>
        <w:t>:</w:t>
      </w:r>
    </w:p>
    <w:p w14:paraId="6D71A4C4" w14:textId="77777777" w:rsidR="00584C69" w:rsidRPr="00584C69" w:rsidRDefault="00584C69" w:rsidP="006D1C22">
      <w:pPr>
        <w:spacing w:after="0" w:line="276" w:lineRule="auto"/>
        <w:jc w:val="both"/>
        <w:rPr>
          <w:rFonts w:ascii="Verdana" w:eastAsia="Calibri" w:hAnsi="Verdana" w:cs="Arial"/>
          <w:lang w:val="es-ES"/>
        </w:rPr>
      </w:pPr>
    </w:p>
    <w:p w14:paraId="3BCADF40" w14:textId="77777777" w:rsidR="00584C69" w:rsidRPr="00584C69" w:rsidRDefault="00584C69" w:rsidP="006D1C22">
      <w:pPr>
        <w:spacing w:after="0" w:line="276" w:lineRule="auto"/>
        <w:jc w:val="both"/>
        <w:rPr>
          <w:rFonts w:ascii="Verdana" w:eastAsia="Calibri" w:hAnsi="Verdana" w:cs="Arial"/>
          <w:lang w:val="es-ES"/>
        </w:rPr>
      </w:pPr>
      <w:r w:rsidRPr="00584C69">
        <w:rPr>
          <w:rFonts w:ascii="Verdana" w:eastAsia="Calibri" w:hAnsi="Verdana" w:cs="Arial"/>
          <w:lang w:val="es-ES"/>
        </w:rPr>
        <w:t xml:space="preserve">Lo anterior se sustenta en las siguientes consideraciones: </w:t>
      </w:r>
    </w:p>
    <w:p w14:paraId="0BF38CF3" w14:textId="77777777" w:rsidR="0012783F" w:rsidRDefault="0012783F" w:rsidP="006D1C22">
      <w:pPr>
        <w:spacing w:after="0" w:line="276" w:lineRule="auto"/>
        <w:jc w:val="both"/>
        <w:rPr>
          <w:rFonts w:ascii="Verdana" w:eastAsia="Calibri" w:hAnsi="Verdana" w:cs="Arial"/>
          <w:lang w:val="es-ES_tradnl"/>
        </w:rPr>
      </w:pPr>
    </w:p>
    <w:p w14:paraId="70E37164" w14:textId="51AD99D6" w:rsidR="00584C69" w:rsidRPr="00584C69" w:rsidRDefault="00584C69" w:rsidP="00584C69">
      <w:pPr>
        <w:spacing w:after="120" w:line="276" w:lineRule="auto"/>
        <w:jc w:val="both"/>
        <w:rPr>
          <w:rFonts w:ascii="Verdana" w:eastAsia="Arial" w:hAnsi="Verdana" w:cs="Arial"/>
          <w:lang w:val="es-ES"/>
        </w:rPr>
      </w:pPr>
      <w:r w:rsidRPr="00584C69">
        <w:rPr>
          <w:rFonts w:ascii="Verdana" w:eastAsia="Calibri" w:hAnsi="Verdana" w:cs="Arial"/>
          <w:lang w:val="es-ES_tradnl"/>
        </w:rPr>
        <w:t xml:space="preserve">La Constitución Política de 1991 consagra en varios artículos la </w:t>
      </w:r>
      <w:r w:rsidRPr="00584C69">
        <w:rPr>
          <w:rFonts w:ascii="Verdana" w:eastAsia="Calibri" w:hAnsi="Verdana" w:cs="Arial"/>
          <w:i/>
          <w:iCs/>
          <w:lang w:val="es-ES_tradnl"/>
        </w:rPr>
        <w:t>publicidad</w:t>
      </w:r>
      <w:r w:rsidRPr="00584C69">
        <w:rPr>
          <w:rFonts w:ascii="Verdana" w:eastAsia="Calibri" w:hAnsi="Verdana" w:cs="Arial"/>
          <w:lang w:val="es-ES_tradnl"/>
        </w:rPr>
        <w:t xml:space="preserve"> como un principio rector del Estado colombiano. Entre los más destacados, puede mencionarse el 209, que afirma que la publicidad es uno de los principios que fundamentan el ejercicio de la función administrativa. Asimismo, </w:t>
      </w:r>
      <w:r w:rsidRPr="00584C69">
        <w:rPr>
          <w:rFonts w:ascii="Verdana" w:eastAsia="Arial" w:hAnsi="Verdana" w:cs="Arial"/>
          <w:lang w:val="es-ES"/>
        </w:rPr>
        <w:t xml:space="preserve">el artículo 74 de la Constitución Política establece que: “Todas las personas tienen derecho a acceder a los documentos públicos salvo los casos que establezca la ley”. Esta disposición constitucional consagra la garantía fundamental de acceso a la información y a la documentación pública, salvo causal de reserva expresamente prevista en la Constitución o en la Ley. </w:t>
      </w:r>
    </w:p>
    <w:p w14:paraId="6081ECAE" w14:textId="77777777" w:rsidR="00584C69" w:rsidRPr="00584C69" w:rsidRDefault="00584C69" w:rsidP="00584C69">
      <w:pPr>
        <w:spacing w:after="120" w:line="276" w:lineRule="auto"/>
        <w:ind w:firstLine="709"/>
        <w:jc w:val="both"/>
        <w:rPr>
          <w:rFonts w:ascii="Verdana" w:eastAsia="Arial" w:hAnsi="Verdana" w:cs="Arial"/>
          <w:lang w:val="es-ES"/>
        </w:rPr>
      </w:pPr>
      <w:r w:rsidRPr="00584C69">
        <w:rPr>
          <w:rFonts w:ascii="Verdana" w:eastAsia="Arial" w:hAnsi="Verdana" w:cs="Arial"/>
          <w:lang w:val="es-ES"/>
        </w:rPr>
        <w:t xml:space="preserve">El principio de publicidad impone a las autoridades administrativas el deber de dar a conocer sus actos, contratos y decisiones, para que se divulguen </w:t>
      </w:r>
      <w:r w:rsidRPr="00584C69">
        <w:rPr>
          <w:rFonts w:ascii="Verdana" w:eastAsia="Arial" w:hAnsi="Verdana" w:cs="Arial"/>
          <w:lang w:val="es-ES"/>
        </w:rPr>
        <w:lastRenderedPageBreak/>
        <w:t>y, eventualmente, se controlen las actuaciones</w:t>
      </w:r>
      <w:r w:rsidRPr="00584C69">
        <w:rPr>
          <w:rFonts w:ascii="Verdana" w:eastAsia="Arial" w:hAnsi="Verdana" w:cs="Arial"/>
          <w:vertAlign w:val="superscript"/>
          <w:lang w:val="es-ES"/>
        </w:rPr>
        <w:footnoteReference w:id="1"/>
      </w:r>
      <w:r w:rsidRPr="00584C69">
        <w:rPr>
          <w:rFonts w:ascii="Verdana" w:eastAsia="Arial" w:hAnsi="Verdana" w:cs="Arial"/>
          <w:lang w:val="es-ES"/>
        </w:rPr>
        <w:t>. El literal c) del artículo 3 de la Ley 1150 de 2007 establece que el Sistema Electrónico para la Contratación Pública –SECOP– “contará con la información oficial de la contratación realizada con dineros públicos, para lo cual establecerá los patrones a que haya lugar y se encargará de su difusión a través de canales electrónicos”.</w:t>
      </w:r>
    </w:p>
    <w:p w14:paraId="7361CA04" w14:textId="77777777" w:rsidR="00584C69" w:rsidRPr="00584C69" w:rsidRDefault="00584C69" w:rsidP="00584C69">
      <w:pPr>
        <w:spacing w:after="120" w:line="276" w:lineRule="auto"/>
        <w:ind w:firstLine="709"/>
        <w:jc w:val="both"/>
        <w:rPr>
          <w:rFonts w:ascii="Verdana" w:eastAsia="Arial" w:hAnsi="Verdana" w:cs="Arial"/>
          <w:lang w:val="es-ES"/>
        </w:rPr>
      </w:pPr>
      <w:r w:rsidRPr="00584C69">
        <w:rPr>
          <w:rFonts w:ascii="Verdana" w:eastAsia="Arial" w:hAnsi="Verdana" w:cs="Arial"/>
          <w:lang w:val="es-ES"/>
        </w:rPr>
        <w:t>Del artículo 3 de la Ley 1150 de 2007 se desprende un deber de publicar las actuaciones contractuales, el cual implica que todas las entidades estatales, publiquen los documentos en los que se evidencia el desarrollo de sus procesos de contratación. Esto, como quiera que el objetivo del deber de dar publicidad a las actuaciones contractuales es materializar el derecho a conocer e intervenir de las decisiones de la Administración Pública.</w:t>
      </w:r>
    </w:p>
    <w:p w14:paraId="098FF07F" w14:textId="77777777" w:rsidR="00584C69" w:rsidRPr="00584C69" w:rsidRDefault="00584C69" w:rsidP="00584C69">
      <w:pPr>
        <w:spacing w:after="120" w:line="276" w:lineRule="auto"/>
        <w:ind w:firstLine="708"/>
        <w:jc w:val="both"/>
        <w:rPr>
          <w:rFonts w:ascii="Verdana" w:eastAsia="Times New Roman" w:hAnsi="Verdana" w:cs="Arial"/>
          <w:lang w:eastAsia="es-CO"/>
        </w:rPr>
      </w:pPr>
      <w:r w:rsidRPr="00584C69">
        <w:rPr>
          <w:rFonts w:ascii="Verdana" w:eastAsia="Arial" w:hAnsi="Verdana" w:cs="Arial"/>
          <w:lang w:val="es-ES"/>
        </w:rPr>
        <w:t>De otra parte, la Ley 1712 de 2014</w:t>
      </w:r>
      <w:r w:rsidRPr="00584C69">
        <w:rPr>
          <w:rFonts w:ascii="Verdana" w:eastAsia="Arial" w:hAnsi="Verdana" w:cs="Arial"/>
          <w:vertAlign w:val="superscript"/>
          <w:lang w:val="es-ES"/>
        </w:rPr>
        <w:footnoteReference w:id="2"/>
      </w:r>
      <w:r w:rsidRPr="00584C69">
        <w:rPr>
          <w:rFonts w:ascii="Verdana" w:eastAsia="Arial" w:hAnsi="Verdana" w:cs="Arial"/>
          <w:lang w:val="es-ES"/>
        </w:rPr>
        <w:t xml:space="preserve"> identifica como principios que orientan el derecho de acceso a la información pública los de máxima publicidad, de transparencia en la información y de buena fe. El principio de máxima publicidad establece que “toda información en posesión, bajo control o custodia de un sujeto obligado es pública y no podrá ser reservada o limitada sino por disposición constitucional o legal"</w:t>
      </w:r>
      <w:r w:rsidRPr="00584C69">
        <w:rPr>
          <w:rFonts w:ascii="Verdana" w:eastAsia="Arial" w:hAnsi="Verdana" w:cs="Arial"/>
          <w:vertAlign w:val="superscript"/>
          <w:lang w:val="es-ES"/>
        </w:rPr>
        <w:footnoteReference w:id="3"/>
      </w:r>
      <w:r w:rsidRPr="00584C69">
        <w:rPr>
          <w:rFonts w:ascii="Verdana" w:eastAsia="Arial" w:hAnsi="Verdana" w:cs="Arial"/>
          <w:lang w:val="es-ES"/>
        </w:rPr>
        <w:t>. El principio de transparencia en la información alude al deber de los sujetos de proporcionar y facilitar el acceso a la misma en los términos más amplios posibles, y a través de los medios y procedimientos que establezca la ley</w:t>
      </w:r>
      <w:r w:rsidRPr="00584C69">
        <w:rPr>
          <w:rFonts w:ascii="Verdana" w:eastAsia="Times New Roman" w:hAnsi="Verdana" w:cs="Arial"/>
          <w:vertAlign w:val="superscript"/>
          <w:lang w:eastAsia="es-CO"/>
        </w:rPr>
        <w:footnoteReference w:id="4"/>
      </w:r>
      <w:r w:rsidRPr="00584C69">
        <w:rPr>
          <w:rFonts w:ascii="Verdana" w:eastAsia="Times New Roman" w:hAnsi="Verdana" w:cs="Arial"/>
          <w:lang w:eastAsia="es-CO"/>
        </w:rPr>
        <w:t xml:space="preserve">. Finalmente, el principio de buena fe hace </w:t>
      </w:r>
      <w:r w:rsidRPr="00584C69">
        <w:rPr>
          <w:rFonts w:ascii="Verdana" w:eastAsia="Times New Roman" w:hAnsi="Verdana" w:cs="Arial"/>
          <w:lang w:eastAsia="es-CO"/>
        </w:rPr>
        <w:lastRenderedPageBreak/>
        <w:t>referencia al deber de todo sujeto obligado de cumplir con las obligaciones derivadas del derecho de acceso a la información pública con motivación honesta, leal y desprovista de cualquier intención dolosa o culposa</w:t>
      </w:r>
      <w:r w:rsidRPr="00584C69">
        <w:rPr>
          <w:rFonts w:ascii="Verdana" w:eastAsia="Times New Roman" w:hAnsi="Verdana" w:cs="Arial"/>
          <w:vertAlign w:val="superscript"/>
          <w:lang w:eastAsia="es-CO"/>
        </w:rPr>
        <w:footnoteReference w:id="5"/>
      </w:r>
      <w:r w:rsidRPr="00584C69">
        <w:rPr>
          <w:rFonts w:ascii="Verdana" w:eastAsia="Times New Roman" w:hAnsi="Verdana" w:cs="Arial"/>
          <w:lang w:eastAsia="es-CO"/>
        </w:rPr>
        <w:t xml:space="preserve">. </w:t>
      </w:r>
    </w:p>
    <w:p w14:paraId="7209E11F" w14:textId="77777777" w:rsidR="00584C69" w:rsidRPr="00584C69" w:rsidRDefault="00584C69" w:rsidP="00584C69">
      <w:pPr>
        <w:spacing w:after="120" w:line="276" w:lineRule="auto"/>
        <w:ind w:firstLine="709"/>
        <w:jc w:val="both"/>
        <w:rPr>
          <w:rFonts w:ascii="Verdana" w:eastAsia="Arial" w:hAnsi="Verdana" w:cs="Arial"/>
          <w:lang w:val="es-ES"/>
        </w:rPr>
      </w:pPr>
      <w:r w:rsidRPr="00584C69">
        <w:rPr>
          <w:rFonts w:ascii="Verdana" w:eastAsia="Arial" w:hAnsi="Verdana" w:cs="Arial"/>
          <w:lang w:val="es-ES"/>
        </w:rPr>
        <w:t>La ley citada establece, en el literal e) del artículo 9, que los sujetos obligados, que son todas las entidades públicas, deben publicar la información relativa a su contratación</w:t>
      </w:r>
      <w:r w:rsidRPr="00584C69">
        <w:rPr>
          <w:rFonts w:ascii="Verdana" w:eastAsia="Times New Roman" w:hAnsi="Verdana" w:cs="Arial"/>
          <w:vertAlign w:val="superscript"/>
          <w:lang w:eastAsia="es-CO"/>
        </w:rPr>
        <w:footnoteReference w:id="6"/>
      </w:r>
      <w:r w:rsidRPr="00584C69">
        <w:rPr>
          <w:rFonts w:ascii="Verdana" w:eastAsia="Arial" w:hAnsi="Verdana" w:cs="Arial"/>
          <w:lang w:val="es-ES"/>
        </w:rPr>
        <w:t xml:space="preserve">. </w:t>
      </w:r>
      <w:r w:rsidRPr="00584C69">
        <w:rPr>
          <w:rFonts w:ascii="Verdana" w:eastAsia="Arial MT" w:hAnsi="Verdana" w:cs="Arial"/>
          <w:lang w:val="es-ES"/>
        </w:rPr>
        <w:t xml:space="preserve">El artículo 5 </w:t>
      </w:r>
      <w:r w:rsidRPr="00584C69">
        <w:rPr>
          <w:rFonts w:ascii="Verdana" w:eastAsia="Arial MT" w:hAnsi="Verdana" w:cs="Arial"/>
          <w:i/>
          <w:iCs/>
          <w:lang w:val="es-ES"/>
        </w:rPr>
        <w:t>ibidem</w:t>
      </w:r>
      <w:r w:rsidRPr="00584C69">
        <w:rPr>
          <w:rFonts w:ascii="Verdana" w:eastAsia="Arial MT" w:hAnsi="Verdana" w:cs="Arial"/>
          <w:lang w:val="es-ES"/>
        </w:rPr>
        <w:t>, al describir qué se entiende por sujetos obligados, consagra una lista cuyo propósito es incluir a cualquier entidad, órgano, organismo, o persona natural que desempeñe funciones públicas o administre recursos públicos</w:t>
      </w:r>
      <w:r w:rsidRPr="00584C69">
        <w:rPr>
          <w:rFonts w:ascii="Verdana" w:eastAsia="Times New Roman" w:hAnsi="Verdana" w:cs="Arial"/>
          <w:vertAlign w:val="superscript"/>
          <w:lang w:eastAsia="es-CO"/>
        </w:rPr>
        <w:footnoteReference w:id="7"/>
      </w:r>
      <w:r w:rsidRPr="00584C69">
        <w:rPr>
          <w:rFonts w:ascii="Verdana" w:eastAsia="Arial MT" w:hAnsi="Verdana" w:cs="Arial"/>
          <w:lang w:val="es-ES"/>
        </w:rPr>
        <w:t>.</w:t>
      </w:r>
      <w:r w:rsidRPr="00584C69">
        <w:rPr>
          <w:rFonts w:ascii="Verdana" w:eastAsia="Times New Roman" w:hAnsi="Verdana" w:cs="Arial"/>
          <w:lang w:eastAsia="es-CO"/>
        </w:rPr>
        <w:t xml:space="preserve"> </w:t>
      </w:r>
      <w:r w:rsidRPr="00584C69">
        <w:rPr>
          <w:rFonts w:ascii="Verdana" w:eastAsia="Arial" w:hAnsi="Verdana" w:cs="Arial"/>
          <w:lang w:val="es-ES"/>
        </w:rPr>
        <w:t>Asimismo, de acuerdo con el literal g) del artículo 11 de la misma Ley, todos los destinatarios de la Ley de Transparencia deben garantizar la publicidad de “sus procedimientos, lineamientos, políticas en materia de adquisiciones y compras, así como todos los datos de adjudicación y ejecución de contratos, incluidos concursos y licitaciones”, y esta información también debe estar en el SECOP.</w:t>
      </w:r>
    </w:p>
    <w:p w14:paraId="000E49D1" w14:textId="77777777" w:rsidR="00584C69" w:rsidRPr="00584C69" w:rsidRDefault="00584C69" w:rsidP="00584C69">
      <w:pPr>
        <w:widowControl w:val="0"/>
        <w:autoSpaceDE w:val="0"/>
        <w:autoSpaceDN w:val="0"/>
        <w:spacing w:line="278" w:lineRule="auto"/>
        <w:ind w:right="130" w:firstLine="709"/>
        <w:jc w:val="both"/>
        <w:rPr>
          <w:rFonts w:ascii="Verdana" w:eastAsia="Calibri" w:hAnsi="Verdana" w:cs="Arial"/>
          <w:lang w:val="es-ES"/>
        </w:rPr>
      </w:pPr>
      <w:r w:rsidRPr="00584C69">
        <w:rPr>
          <w:rFonts w:ascii="Verdana" w:eastAsia="Calibri" w:hAnsi="Verdana" w:cs="Arial"/>
          <w:lang w:val="es-ES"/>
        </w:rPr>
        <w:t>En el año 2013, la Agencia Nacional de Contratación Pública – Colombia Compra Eficiente, mediante la Circular Externa No 1 del 21 de junio de 2013</w:t>
      </w:r>
      <w:r w:rsidRPr="00584C69">
        <w:rPr>
          <w:rFonts w:ascii="Verdana" w:eastAsia="Calibri" w:hAnsi="Verdana" w:cs="Arial"/>
          <w:vertAlign w:val="superscript"/>
          <w:lang w:val="es-ES"/>
        </w:rPr>
        <w:footnoteReference w:id="8"/>
      </w:r>
      <w:r w:rsidRPr="00584C69">
        <w:rPr>
          <w:rFonts w:ascii="Verdana" w:eastAsia="Calibri" w:hAnsi="Verdana" w:cs="Arial"/>
          <w:lang w:val="es-ES"/>
        </w:rPr>
        <w:t>, recopilada en la Circular Externa Única, recordó a todas las entidades del Estado el deber de publicar oportunamente su actividad contractual en el SECOP, sin distinción de su régimen jurídico, naturaleza jurídica o la pertenencia a una u otra rama del poder público</w:t>
      </w:r>
      <w:r w:rsidRPr="00584C69">
        <w:rPr>
          <w:rFonts w:ascii="Verdana" w:eastAsia="Calibri" w:hAnsi="Verdana" w:cs="Arial"/>
          <w:vertAlign w:val="superscript"/>
          <w:lang w:val="es-ES"/>
        </w:rPr>
        <w:footnoteReference w:id="9"/>
      </w:r>
      <w:r w:rsidRPr="00584C69">
        <w:rPr>
          <w:rFonts w:ascii="Verdana" w:eastAsia="Calibri" w:hAnsi="Verdana" w:cs="Arial"/>
          <w:lang w:val="es-ES"/>
        </w:rPr>
        <w:t xml:space="preserve">. Además, la Circular Externa Única, en el numeral </w:t>
      </w:r>
      <w:r w:rsidRPr="00584C69">
        <w:rPr>
          <w:rFonts w:ascii="Verdana" w:eastAsia="Calibri" w:hAnsi="Verdana" w:cs="Arial"/>
          <w:lang w:val="es-ES"/>
        </w:rPr>
        <w:lastRenderedPageBreak/>
        <w:t xml:space="preserve">1.1., establece, de manera enunciativa, que deben publicar en el SECOP: “las Entidades Estatales que por disposición legal cuenten con un régimen contractual excepcional al del Estatuto General de Contratación de la Administración Pública, deberán publicar en el SECOP II, todos los documentos relacionados con su actividad contractual, de conformidad con lo señalado en el artículo 53 de la Ley 2195 de 2022. </w:t>
      </w:r>
    </w:p>
    <w:p w14:paraId="3F328B9A" w14:textId="77777777" w:rsidR="00584C69" w:rsidRPr="00584C69" w:rsidRDefault="00584C69" w:rsidP="00584C69">
      <w:pPr>
        <w:widowControl w:val="0"/>
        <w:autoSpaceDE w:val="0"/>
        <w:autoSpaceDN w:val="0"/>
        <w:spacing w:line="278" w:lineRule="auto"/>
        <w:ind w:right="130" w:firstLine="709"/>
        <w:jc w:val="both"/>
        <w:rPr>
          <w:rFonts w:ascii="Verdana" w:eastAsia="Calibri" w:hAnsi="Verdana" w:cs="Arial"/>
          <w:lang w:val="es-ES"/>
        </w:rPr>
      </w:pPr>
      <w:r w:rsidRPr="00584C69">
        <w:rPr>
          <w:rFonts w:ascii="Verdana" w:eastAsia="Calibri" w:hAnsi="Verdana" w:cs="Arial"/>
          <w:lang w:val="es-ES"/>
        </w:rPr>
        <w:t>Así mismo, en la Circular única Externa se indicó que “Las Entidades Estatales que contratan con cargo a recursos públicos están obligadas a publicar oportunamente su actividad contractual en el SECOP, sin que sea relevante, para la exigencia de esta obligación, su régimen jurídico, naturaleza de público o privada o la pertenencia a una u otra rama del poder público. Esta obligación deberá cumplirse, inclusive, si la ejecución del contrato no implica erogación presupuestal”.</w:t>
      </w:r>
    </w:p>
    <w:p w14:paraId="11226106" w14:textId="77777777" w:rsidR="00584C69" w:rsidRPr="00584C69" w:rsidRDefault="00584C69" w:rsidP="00584C69">
      <w:pPr>
        <w:spacing w:after="120" w:line="276" w:lineRule="auto"/>
        <w:ind w:firstLine="708"/>
        <w:jc w:val="both"/>
        <w:textAlignment w:val="baseline"/>
        <w:rPr>
          <w:rFonts w:ascii="Verdana" w:eastAsia="Aptos" w:hAnsi="Verdana" w:cs="Arial"/>
          <w:lang w:val="es-ES_tradnl" w:eastAsia="es-MX"/>
        </w:rPr>
      </w:pPr>
      <w:r w:rsidRPr="00584C69">
        <w:rPr>
          <w:rFonts w:ascii="Verdana" w:eastAsia="Aptos" w:hAnsi="Verdana" w:cs="Arial"/>
          <w:lang w:val="es-ES_tradnl" w:eastAsia="es-MX"/>
        </w:rPr>
        <w:t>Resulta importante resaltar que las Entidades Estatales, conforme al artículo 2.2.1.1.1.7.1 del Decreto 1082 de 2015, tienen la obligación de publicar en el SECOP “[…] los Documentos del Proceso y los actos administrativos del Proceso de Contratación, dentro de los tres (3) días siguientes a su expedición […]”. La expresión Documentos del Proceso está definida en el artículo 2.2.1.1.1.3.1. del Decreto 1082 de 2015, donde se establece que: “son: (a) los estudios y documentos previos; (b) el aviso de convocatoria; (c) los pliegos de condiciones o la invitación; (d) las adendas; (e) la oferta; (f) el informe de evaluación; (g) el contrato; y cualquier otro documento expedido por la Entidad Estatal durante el Proceso de Contratación”.</w:t>
      </w:r>
    </w:p>
    <w:p w14:paraId="6EF0EEA1" w14:textId="77777777" w:rsidR="00584C69" w:rsidRPr="00584C69" w:rsidRDefault="00584C69" w:rsidP="00584C69">
      <w:pPr>
        <w:spacing w:after="120" w:line="276" w:lineRule="auto"/>
        <w:ind w:firstLine="709"/>
        <w:jc w:val="both"/>
        <w:textAlignment w:val="baseline"/>
        <w:rPr>
          <w:rFonts w:ascii="Verdana" w:eastAsia="Aptos" w:hAnsi="Verdana" w:cs="Arial"/>
          <w:lang w:val="es-ES_tradnl" w:eastAsia="es-MX"/>
        </w:rPr>
      </w:pPr>
      <w:r w:rsidRPr="00584C69">
        <w:rPr>
          <w:rFonts w:ascii="Verdana" w:eastAsia="Aptos" w:hAnsi="Verdana" w:cs="Arial"/>
          <w:lang w:val="es-ES_tradnl" w:eastAsia="es-MX"/>
        </w:rPr>
        <w:t xml:space="preserve">En consecuencia, para identificar los documentos que deben publicarse, es necesario realizar una interpretación sistemática de las disposiciones del Decreto 1082 del 2015, comoquiera que el anterior no es un listado taxativo, sino enunciativo, porque además de los documentos enlistados, el artículo 2.2.1.1.1.3.1, recoge en la noción de Documentos del Proceso “cualquier otro documento expedido por la Entidad Estatal durante el Proceso de Contratación”. Este mismo artículo define la expresión Proceso de Contratación como el “Conjunto de actos y actividades, y su secuencia, adelantadas por la Entidad Estatal desde la planeación hasta el vencimiento de las garantías de calidad, estabilidad y mantenimiento, o las condiciones de disposición final o </w:t>
      </w:r>
      <w:r w:rsidRPr="00584C69">
        <w:rPr>
          <w:rFonts w:ascii="Verdana" w:eastAsia="Aptos" w:hAnsi="Verdana" w:cs="Arial"/>
          <w:lang w:val="es-ES_tradnl" w:eastAsia="es-MX"/>
        </w:rPr>
        <w:lastRenderedPageBreak/>
        <w:t>recuperación ambiental de las obras o bienes o el vencimiento del plazo, lo que ocurra más tarde”.</w:t>
      </w:r>
    </w:p>
    <w:p w14:paraId="2BFF9352" w14:textId="77777777" w:rsidR="00584C69" w:rsidRPr="00584C69" w:rsidRDefault="00584C69" w:rsidP="006D1C22">
      <w:pPr>
        <w:spacing w:after="0" w:line="276" w:lineRule="auto"/>
        <w:ind w:firstLine="709"/>
        <w:jc w:val="both"/>
        <w:rPr>
          <w:rFonts w:ascii="Verdana" w:eastAsia="Aptos" w:hAnsi="Verdana" w:cs="Arial"/>
          <w:lang w:val="es-ES" w:eastAsia="es-MX"/>
        </w:rPr>
      </w:pPr>
      <w:r w:rsidRPr="00584C69">
        <w:rPr>
          <w:rFonts w:ascii="Verdana" w:eastAsia="Aptos" w:hAnsi="Verdana" w:cs="Arial"/>
          <w:lang w:val="es-ES" w:eastAsia="es-MX"/>
        </w:rPr>
        <w:t xml:space="preserve">Nótese que la norma hace referencia a los documentos “expedidos por la entidad estatal” durante el proceso de contratación, excluyendo de la noción de Documentos del Proceso los expedidos por un sujeto distinto a la entidad, salvo la oferta, la cual se incluye expresamente en el referido artículo 2.2.1.1.1.3.1. En ese sentido, </w:t>
      </w:r>
      <w:bookmarkStart w:id="2" w:name="_Hlk178832591"/>
      <w:r w:rsidRPr="00584C69">
        <w:rPr>
          <w:rFonts w:ascii="Verdana" w:eastAsia="Aptos" w:hAnsi="Verdana" w:cs="Arial"/>
          <w:lang w:val="es-ES" w:eastAsia="es-MX"/>
        </w:rPr>
        <w:t>la interpretación sistemática de los preceptos del Decreto 1082 de 2015, de acuerdo con el principio de publicidad, inicialmente, indica que las Entidades Estatales tienen la obligación de publicar todos los documentos que expidan con ocasión del Proceso de Contratación, es decir que todos los documentos expedidos por la entidad durante las etapas precontractual, de ejecución y postcontractual deberán ser publicados en SECOP ll.</w:t>
      </w:r>
      <w:bookmarkEnd w:id="2"/>
    </w:p>
    <w:p w14:paraId="06C37BF2" w14:textId="77777777" w:rsidR="00584C69" w:rsidRPr="00584C69" w:rsidRDefault="00584C69" w:rsidP="006D1C22">
      <w:pPr>
        <w:spacing w:after="0" w:line="276" w:lineRule="auto"/>
        <w:jc w:val="both"/>
        <w:rPr>
          <w:rFonts w:ascii="Verdana" w:eastAsia="Aptos" w:hAnsi="Verdana" w:cs="Arial"/>
          <w:lang w:val="es-ES" w:eastAsia="es-MX"/>
        </w:rPr>
      </w:pPr>
    </w:p>
    <w:p w14:paraId="1476AD83" w14:textId="77777777" w:rsidR="00584C69" w:rsidRPr="00584C69" w:rsidRDefault="00584C69" w:rsidP="00584C69">
      <w:pPr>
        <w:tabs>
          <w:tab w:val="left" w:pos="142"/>
          <w:tab w:val="left" w:pos="284"/>
        </w:tabs>
        <w:spacing w:after="0" w:line="276" w:lineRule="auto"/>
        <w:jc w:val="both"/>
        <w:rPr>
          <w:rFonts w:ascii="Verdana" w:eastAsia="Century Gothic" w:hAnsi="Verdana" w:cs="Century Gothic"/>
          <w:b/>
          <w:bCs/>
        </w:rPr>
      </w:pPr>
      <w:r w:rsidRPr="00584C69">
        <w:rPr>
          <w:rFonts w:ascii="Verdana" w:eastAsia="Century Gothic" w:hAnsi="Verdana" w:cs="Century Gothic"/>
          <w:b/>
          <w:bCs/>
        </w:rPr>
        <w:t>4. Referencias normativas, jurisprudenciales y otras fuentes:</w:t>
      </w:r>
    </w:p>
    <w:p w14:paraId="27EB2FB7" w14:textId="77777777" w:rsidR="00584C69" w:rsidRPr="00584C69" w:rsidRDefault="00584C69" w:rsidP="00584C69">
      <w:pPr>
        <w:tabs>
          <w:tab w:val="left" w:pos="142"/>
          <w:tab w:val="left" w:pos="284"/>
        </w:tabs>
        <w:spacing w:after="0" w:line="276" w:lineRule="auto"/>
        <w:jc w:val="both"/>
        <w:rPr>
          <w:rFonts w:ascii="Verdana" w:eastAsia="Century Gothic" w:hAnsi="Verdana" w:cs="Century Gothic"/>
          <w:b/>
          <w:bCs/>
          <w:color w:val="EE0000"/>
        </w:rPr>
      </w:pPr>
    </w:p>
    <w:tbl>
      <w:tblPr>
        <w:tblStyle w:val="Tablaconcuadrcula"/>
        <w:tblW w:w="8647"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584C69" w:rsidRPr="00584C69" w14:paraId="6147966D" w14:textId="77777777" w:rsidTr="000118AD">
        <w:trPr>
          <w:trHeight w:val="870"/>
        </w:trPr>
        <w:tc>
          <w:tcPr>
            <w:tcW w:w="8647" w:type="dxa"/>
          </w:tcPr>
          <w:p w14:paraId="04925102" w14:textId="77777777" w:rsidR="00584C69" w:rsidRPr="00584C69" w:rsidRDefault="00584C69" w:rsidP="00584C69">
            <w:pPr>
              <w:widowControl w:val="0"/>
              <w:numPr>
                <w:ilvl w:val="0"/>
                <w:numId w:val="16"/>
              </w:numPr>
              <w:autoSpaceDE w:val="0"/>
              <w:autoSpaceDN w:val="0"/>
              <w:spacing w:after="120" w:line="276" w:lineRule="auto"/>
              <w:contextualSpacing/>
              <w:jc w:val="both"/>
              <w:rPr>
                <w:rFonts w:ascii="Verdana" w:hAnsi="Verdana" w:cs="Arial"/>
                <w:color w:val="000000" w:themeColor="text1"/>
                <w:lang w:val="es-ES"/>
              </w:rPr>
            </w:pPr>
            <w:r w:rsidRPr="00584C69">
              <w:rPr>
                <w:rFonts w:ascii="Verdana" w:hAnsi="Verdana" w:cs="Arial"/>
                <w:lang w:val="es-ES"/>
              </w:rPr>
              <w:t>Constitución Política de Colombia, artículo 209.</w:t>
            </w:r>
          </w:p>
          <w:p w14:paraId="7C3A5ED0" w14:textId="77777777" w:rsidR="00584C69" w:rsidRPr="00584C69" w:rsidRDefault="00584C69" w:rsidP="00584C69">
            <w:pPr>
              <w:widowControl w:val="0"/>
              <w:numPr>
                <w:ilvl w:val="0"/>
                <w:numId w:val="16"/>
              </w:numPr>
              <w:autoSpaceDE w:val="0"/>
              <w:autoSpaceDN w:val="0"/>
              <w:spacing w:after="120" w:line="276" w:lineRule="auto"/>
              <w:contextualSpacing/>
              <w:jc w:val="both"/>
              <w:rPr>
                <w:rFonts w:ascii="Verdana" w:hAnsi="Verdana" w:cs="Arial"/>
                <w:color w:val="000000" w:themeColor="text1"/>
                <w:lang w:val="es-ES"/>
              </w:rPr>
            </w:pPr>
            <w:r w:rsidRPr="00584C69">
              <w:rPr>
                <w:rFonts w:ascii="Verdana" w:hAnsi="Verdana" w:cs="Arial"/>
                <w:lang w:val="es-ES"/>
              </w:rPr>
              <w:t>Ley 1150 de 2007, artículo 3.</w:t>
            </w:r>
          </w:p>
          <w:p w14:paraId="66544E64" w14:textId="77777777" w:rsidR="00584C69" w:rsidRPr="00584C69" w:rsidRDefault="00584C69" w:rsidP="00584C69">
            <w:pPr>
              <w:widowControl w:val="0"/>
              <w:numPr>
                <w:ilvl w:val="0"/>
                <w:numId w:val="16"/>
              </w:numPr>
              <w:autoSpaceDE w:val="0"/>
              <w:autoSpaceDN w:val="0"/>
              <w:spacing w:after="120" w:line="276" w:lineRule="auto"/>
              <w:contextualSpacing/>
              <w:jc w:val="both"/>
              <w:rPr>
                <w:rFonts w:ascii="Verdana" w:hAnsi="Verdana" w:cs="Arial"/>
                <w:color w:val="000000" w:themeColor="text1"/>
                <w:lang w:val="es-ES"/>
              </w:rPr>
            </w:pPr>
            <w:r w:rsidRPr="00584C69">
              <w:rPr>
                <w:rFonts w:ascii="Verdana" w:hAnsi="Verdana" w:cs="Arial"/>
                <w:color w:val="000000" w:themeColor="text1"/>
                <w:lang w:val="es-ES"/>
              </w:rPr>
              <w:t xml:space="preserve">Decreto 1082 de 2015, artículo </w:t>
            </w:r>
            <w:r w:rsidRPr="00584C69">
              <w:rPr>
                <w:rFonts w:ascii="Verdana" w:hAnsi="Verdana"/>
                <w:lang w:val="es-ES" w:eastAsia="es-ES_tradnl"/>
              </w:rPr>
              <w:t>2.2.1.1.1.7.1.</w:t>
            </w:r>
          </w:p>
          <w:p w14:paraId="4B5043D8" w14:textId="77777777" w:rsidR="00584C69" w:rsidRPr="00584C69" w:rsidRDefault="00584C69" w:rsidP="00584C69">
            <w:pPr>
              <w:widowControl w:val="0"/>
              <w:numPr>
                <w:ilvl w:val="0"/>
                <w:numId w:val="16"/>
              </w:numPr>
              <w:autoSpaceDE w:val="0"/>
              <w:autoSpaceDN w:val="0"/>
              <w:spacing w:after="120" w:line="276" w:lineRule="auto"/>
              <w:contextualSpacing/>
              <w:jc w:val="both"/>
              <w:rPr>
                <w:rFonts w:ascii="Verdana" w:hAnsi="Verdana" w:cs="Arial"/>
                <w:color w:val="000000" w:themeColor="text1"/>
                <w:lang w:val="es-ES"/>
              </w:rPr>
            </w:pPr>
            <w:r w:rsidRPr="00584C69">
              <w:rPr>
                <w:rFonts w:ascii="Verdana" w:hAnsi="Verdana" w:cs="Arial"/>
                <w:lang w:val="es-ES"/>
              </w:rPr>
              <w:t xml:space="preserve">Agencia Nacional de Contratación Pública - Colombia Compra Eficiente. Circular Externa Única. </w:t>
            </w:r>
            <w:hyperlink r:id="rId11" w:history="1">
              <w:r w:rsidRPr="00584C69">
                <w:rPr>
                  <w:rFonts w:ascii="Verdana" w:hAnsi="Verdana" w:cs="Arial"/>
                  <w:color w:val="0000FF"/>
                  <w:u w:val="single"/>
                  <w:lang w:val="es-ES"/>
                </w:rPr>
                <w:t>https://www.colombiacompra.gov.co/normativa-y-relatoria/circular-unica-externa</w:t>
              </w:r>
            </w:hyperlink>
          </w:p>
        </w:tc>
      </w:tr>
    </w:tbl>
    <w:p w14:paraId="1262AF17" w14:textId="77777777" w:rsidR="00584C69" w:rsidRPr="00584C69" w:rsidRDefault="00584C69" w:rsidP="00584C69">
      <w:pPr>
        <w:tabs>
          <w:tab w:val="left" w:pos="142"/>
          <w:tab w:val="left" w:pos="284"/>
        </w:tabs>
        <w:spacing w:after="0" w:line="276" w:lineRule="auto"/>
        <w:jc w:val="both"/>
        <w:rPr>
          <w:rFonts w:ascii="Verdana" w:eastAsia="Century Gothic" w:hAnsi="Verdana" w:cs="Century Gothic"/>
          <w:b/>
          <w:bCs/>
          <w:color w:val="EE0000"/>
          <w:lang w:val="es-ES"/>
        </w:rPr>
      </w:pPr>
    </w:p>
    <w:p w14:paraId="6EE3B083" w14:textId="77777777" w:rsidR="00584C69" w:rsidRPr="00584C69" w:rsidRDefault="00584C69" w:rsidP="00584C69">
      <w:pPr>
        <w:tabs>
          <w:tab w:val="left" w:pos="142"/>
          <w:tab w:val="left" w:pos="284"/>
        </w:tabs>
        <w:spacing w:after="0" w:line="276" w:lineRule="auto"/>
        <w:jc w:val="both"/>
        <w:rPr>
          <w:rFonts w:ascii="Verdana" w:eastAsia="Century Gothic" w:hAnsi="Verdana" w:cs="Century Gothic"/>
          <w:b/>
          <w:bCs/>
          <w:lang w:val="es-ES"/>
        </w:rPr>
      </w:pPr>
      <w:r w:rsidRPr="00584C69">
        <w:rPr>
          <w:rFonts w:ascii="Verdana" w:eastAsia="Century Gothic" w:hAnsi="Verdana" w:cs="Century Gothic"/>
          <w:b/>
          <w:bCs/>
          <w:lang w:val="es-ES"/>
        </w:rPr>
        <w:t>5. Doctrina de la Agencia Nacional de Contratación Pública:</w:t>
      </w:r>
    </w:p>
    <w:p w14:paraId="2FF78368" w14:textId="77777777" w:rsidR="00584C69" w:rsidRPr="00584C69" w:rsidRDefault="00584C69" w:rsidP="00584C69">
      <w:pPr>
        <w:spacing w:after="0" w:line="276" w:lineRule="auto"/>
        <w:ind w:firstLine="709"/>
        <w:jc w:val="both"/>
        <w:rPr>
          <w:rFonts w:ascii="Verdana" w:eastAsia="Times New Roman" w:hAnsi="Verdana" w:cs="Arial"/>
          <w:color w:val="EE0000"/>
          <w:szCs w:val="24"/>
          <w:lang w:val="es-ES" w:eastAsia="es-ES_tradnl"/>
        </w:rPr>
      </w:pPr>
    </w:p>
    <w:p w14:paraId="45790353" w14:textId="0F558F55" w:rsidR="00584C69" w:rsidRPr="00584C69" w:rsidRDefault="00584C69" w:rsidP="00584C69">
      <w:pPr>
        <w:spacing w:after="0" w:line="276" w:lineRule="auto"/>
        <w:jc w:val="both"/>
        <w:rPr>
          <w:rFonts w:ascii="Verdana" w:hAnsi="Verdana" w:cs="Arial"/>
          <w:highlight w:val="yellow"/>
          <w:shd w:val="clear" w:color="auto" w:fill="FFFFFF"/>
          <w:lang w:val="es-ES"/>
        </w:rPr>
      </w:pPr>
      <w:r w:rsidRPr="00584C69">
        <w:rPr>
          <w:rFonts w:ascii="Verdana" w:eastAsia="Calibri" w:hAnsi="Verdana" w:cs="Arial"/>
          <w:bCs/>
          <w:lang w:val="es-ES"/>
        </w:rPr>
        <w:t xml:space="preserve">La Agencia Nacional de Contratación Pública </w:t>
      </w:r>
      <w:r w:rsidRPr="00584C69">
        <w:rPr>
          <w:rFonts w:ascii="Verdana" w:eastAsia="Calibri" w:hAnsi="Verdana" w:cs="Arial"/>
          <w:bCs/>
        </w:rPr>
        <w:t xml:space="preserve">estudió el deber de publicidad de las actuaciones contractuales, en los conceptos con radicado No. 4201913000005397 del 9 de agosto de 2019, 4201912000006611 del 25 de septiembre de 2019, </w:t>
      </w:r>
      <w:r w:rsidRPr="00584C69">
        <w:rPr>
          <w:rFonts w:ascii="Verdana" w:eastAsia="Calibri" w:hAnsi="Verdana" w:cs="Arial"/>
        </w:rPr>
        <w:t xml:space="preserve">4201913000006847 del 4 de octubre de 2019, </w:t>
      </w:r>
      <w:r w:rsidRPr="00584C69">
        <w:rPr>
          <w:rFonts w:ascii="Verdana" w:eastAsia="Calibri" w:hAnsi="Verdana" w:cs="Arial"/>
          <w:bCs/>
        </w:rPr>
        <w:t>4201912000007828 del 13 de noviembre de 2019,</w:t>
      </w:r>
      <w:r w:rsidRPr="00584C69">
        <w:rPr>
          <w:rFonts w:ascii="Verdana" w:eastAsia="Calibri" w:hAnsi="Verdana" w:cs="Arial"/>
        </w:rPr>
        <w:t xml:space="preserve"> </w:t>
      </w:r>
      <w:r w:rsidRPr="00584C69">
        <w:rPr>
          <w:rFonts w:ascii="Verdana" w:eastAsia="Calibri" w:hAnsi="Verdana" w:cs="Arial"/>
          <w:bCs/>
        </w:rPr>
        <w:t xml:space="preserve">4201912000007762 del 18 de noviembre de 2019. Las posturas expuestas por la Subdirección en relación con la materia, </w:t>
      </w:r>
      <w:r w:rsidRPr="00584C69">
        <w:rPr>
          <w:rFonts w:ascii="Verdana" w:eastAsia="Calibri" w:hAnsi="Verdana" w:cs="Arial"/>
        </w:rPr>
        <w:t xml:space="preserve">fueron unificadas en el concepto CU–003 de 3 de enero de 2020, confirmado en los conceptos C–061 de 21 de enero de 2020, C–115 de 11 de febrero de 2020, C–149 de 14 de febrero de 2020, C–312 del 6 de mayo de 2020, C–346 del 26 de mayo de 2020, C-369 del 4 de junio de 2020, C-399 del 23 de junio de 2020, C-372 del 30 de junio de 2020, C-437 del 6 de julio de 2020, C-468 del 24 de julio de 2020, C-494 del 4 de agosto de 2020, C-449 del </w:t>
      </w:r>
      <w:r w:rsidRPr="00584C69">
        <w:rPr>
          <w:rFonts w:ascii="Verdana" w:eastAsia="Calibri" w:hAnsi="Verdana" w:cs="Arial"/>
        </w:rPr>
        <w:lastRenderedPageBreak/>
        <w:t>5 de agosto de 2020, C-559  del 25 de agosto de 2020, C-562 del 25 de agosto de 2020, C-574 del 27 de agosto de 2020, C-146 del 4 de marzo de 2025, C-468 del 19 de mayo de 2025</w:t>
      </w:r>
      <w:r w:rsidR="00FC18DA">
        <w:rPr>
          <w:rFonts w:ascii="Verdana" w:eastAsia="Calibri" w:hAnsi="Verdana" w:cs="Arial"/>
        </w:rPr>
        <w:t xml:space="preserve">, </w:t>
      </w:r>
      <w:r w:rsidRPr="00584C69">
        <w:rPr>
          <w:rFonts w:ascii="Verdana" w:eastAsia="Calibri" w:hAnsi="Verdana" w:cs="Arial"/>
        </w:rPr>
        <w:t>C-707 del 14 de julio de 2025</w:t>
      </w:r>
      <w:r w:rsidR="00FC18DA">
        <w:rPr>
          <w:rFonts w:ascii="Verdana" w:eastAsia="Calibri" w:hAnsi="Verdana" w:cs="Arial"/>
        </w:rPr>
        <w:t>, C-900 del 18 de agosto de 2025 y C-</w:t>
      </w:r>
      <w:r w:rsidR="00952468">
        <w:rPr>
          <w:rFonts w:ascii="Verdana" w:eastAsia="Calibri" w:hAnsi="Verdana" w:cs="Arial"/>
        </w:rPr>
        <w:t>622 del 19 de mayo de 2026</w:t>
      </w:r>
      <w:r w:rsidRPr="00584C69">
        <w:rPr>
          <w:rFonts w:ascii="Verdana" w:eastAsia="Calibri" w:hAnsi="Verdana" w:cs="Arial"/>
        </w:rPr>
        <w:t xml:space="preserve">. </w:t>
      </w:r>
      <w:r w:rsidRPr="00584C69">
        <w:rPr>
          <w:rFonts w:ascii="Verdana" w:eastAsia="Calibri" w:hAnsi="Verdana" w:cs="Arial"/>
          <w:lang w:val="es-ES_tradnl" w:eastAsia="es-ES_tradnl"/>
        </w:rPr>
        <w:t xml:space="preserve">Estos y otros conceptos se encuentran disponibles para consulta en el Sistema de relatoría de la Agencia, al cual se puede acceder a través del siguiente enlace: </w:t>
      </w:r>
      <w:hyperlink r:id="rId12" w:history="1">
        <w:r w:rsidRPr="00584C69">
          <w:rPr>
            <w:rFonts w:ascii="Verdana" w:eastAsia="Calibri" w:hAnsi="Verdana" w:cs="Arial"/>
            <w:color w:val="0000FF"/>
            <w:u w:val="single"/>
            <w:lang w:val="es-ES_tradnl" w:eastAsia="es-ES_tradnl"/>
          </w:rPr>
          <w:t>https://relatoria.colombiacompra.gov.co</w:t>
        </w:r>
      </w:hyperlink>
    </w:p>
    <w:p w14:paraId="7CC25A51" w14:textId="77777777" w:rsidR="00584C69" w:rsidRPr="00584C69" w:rsidRDefault="00584C69" w:rsidP="00584C69">
      <w:pPr>
        <w:spacing w:after="0" w:line="276" w:lineRule="auto"/>
        <w:jc w:val="both"/>
        <w:rPr>
          <w:rFonts w:ascii="Verdana" w:hAnsi="Verdana"/>
          <w:color w:val="EE0000"/>
        </w:rPr>
      </w:pPr>
    </w:p>
    <w:p w14:paraId="16FA4094" w14:textId="77777777" w:rsidR="00B6349E" w:rsidRPr="00206556" w:rsidRDefault="00B6349E" w:rsidP="00B6349E">
      <w:pPr>
        <w:spacing w:after="0" w:line="276" w:lineRule="auto"/>
        <w:jc w:val="both"/>
        <w:rPr>
          <w:rFonts w:ascii="Verdana" w:hAnsi="Verdana" w:cs="Arial"/>
          <w:shd w:val="clear" w:color="auto" w:fill="FFFFFF"/>
        </w:rPr>
      </w:pPr>
      <w:r w:rsidRPr="00206556">
        <w:rPr>
          <w:rFonts w:ascii="Verdana" w:hAnsi="Verdana" w:cs="Arial"/>
          <w:shd w:val="clear" w:color="auto" w:fill="FFFFFF"/>
        </w:rPr>
        <w:t xml:space="preserve">La sostenibilidad no es una opción, es una obligación. Por ello, la Agencia Nacional de Contratación Pública –Colombia Compra Eficiente– te invita a realizar el Curso de Contratación Pública Sostenible y Socialmente Responsable, una herramienta clave para fortalecer las capacidades de todos los compradores públicos, proveedores, servidores públicos v para generar mayor valor público. Accede al curso y aprende como implementar criterios sociales y ambientales en las diferentes etapas del proceso de contratación: </w:t>
      </w:r>
      <w:hyperlink r:id="rId13" w:history="1">
        <w:r w:rsidRPr="00206556">
          <w:rPr>
            <w:rStyle w:val="Hipervnculo"/>
            <w:rFonts w:ascii="Verdana" w:hAnsi="Verdana" w:cs="Arial"/>
            <w:shd w:val="clear" w:color="auto" w:fill="FFFFFF"/>
          </w:rPr>
          <w:t>https://formacionvirtual.colombiacompra.gov.co/mod/page/view.php?id=3718</w:t>
        </w:r>
      </w:hyperlink>
      <w:r w:rsidRPr="00206556">
        <w:rPr>
          <w:rFonts w:ascii="Verdana" w:hAnsi="Verdana" w:cs="Arial"/>
          <w:shd w:val="clear" w:color="auto" w:fill="FFFFFF"/>
        </w:rPr>
        <w:t xml:space="preserve"> </w:t>
      </w:r>
    </w:p>
    <w:p w14:paraId="198C3C4B" w14:textId="77777777" w:rsidR="00B6349E" w:rsidRPr="00206556" w:rsidRDefault="00B6349E" w:rsidP="00B6349E">
      <w:pPr>
        <w:spacing w:after="0" w:line="276" w:lineRule="auto"/>
        <w:jc w:val="both"/>
        <w:rPr>
          <w:rFonts w:ascii="Verdana" w:hAnsi="Verdana" w:cs="Arial"/>
          <w:shd w:val="clear" w:color="auto" w:fill="FFFFFF"/>
        </w:rPr>
      </w:pPr>
    </w:p>
    <w:p w14:paraId="33F1CA82" w14:textId="77777777" w:rsidR="00B6349E" w:rsidRPr="00206556" w:rsidRDefault="00B6349E" w:rsidP="00B6349E">
      <w:pPr>
        <w:spacing w:after="0" w:line="276" w:lineRule="auto"/>
        <w:jc w:val="both"/>
        <w:rPr>
          <w:rFonts w:ascii="Verdana" w:hAnsi="Verdana" w:cs="Arial"/>
          <w:shd w:val="clear" w:color="auto" w:fill="FFFFFF"/>
        </w:rPr>
      </w:pPr>
      <w:r w:rsidRPr="00206556">
        <w:rPr>
          <w:rFonts w:ascii="Verdana" w:hAnsi="Verdana" w:cs="Arial"/>
          <w:shd w:val="clear" w:color="auto" w:fill="FFFFFF"/>
        </w:rPr>
        <w:t xml:space="preserve">De otro lado, te contamos que esta Agencia ha da un paso decisivo en la estandarización y modernización del sector social con la expedición de las Resoluciones 539, 540, 541, 952 y 953 de 2025, mediante las cuales adoptó Documentos Tipo para las modalidades de selección de licitación pública (versión 2), selección abreviada de menor cuantía, mínima cuantía, consultoría e interventoría, promoviendo procesos más transparentes, eficientes competitivos y sostenibles en sectores estratégicos como educación, salud, cultura, recreación, deporte, institucional y vivienda. Consulta y descarga los documentos aquí: </w:t>
      </w:r>
      <w:hyperlink r:id="rId14" w:history="1">
        <w:r w:rsidRPr="00206556">
          <w:rPr>
            <w:rStyle w:val="Hipervnculo"/>
            <w:rFonts w:ascii="Verdana" w:hAnsi="Verdana" w:cs="Arial"/>
            <w:shd w:val="clear" w:color="auto" w:fill="FFFFFF"/>
          </w:rPr>
          <w:t>https://www.colombiacompra.gov.co/normativa-y-relatoria/documentos-tipo</w:t>
        </w:r>
      </w:hyperlink>
    </w:p>
    <w:p w14:paraId="5DF2BF15" w14:textId="77777777" w:rsidR="00B6349E" w:rsidRPr="00206556" w:rsidRDefault="00B6349E" w:rsidP="00B6349E">
      <w:pPr>
        <w:spacing w:after="0" w:line="276" w:lineRule="auto"/>
        <w:jc w:val="both"/>
        <w:rPr>
          <w:rFonts w:ascii="Verdana" w:hAnsi="Verdana" w:cs="Arial"/>
          <w:shd w:val="clear" w:color="auto" w:fill="FFFFFF"/>
        </w:rPr>
      </w:pPr>
    </w:p>
    <w:p w14:paraId="44996B03" w14:textId="77777777" w:rsidR="00B6349E" w:rsidRPr="00206556" w:rsidRDefault="00B6349E" w:rsidP="00B6349E">
      <w:pPr>
        <w:spacing w:after="0" w:line="276" w:lineRule="auto"/>
        <w:jc w:val="both"/>
        <w:rPr>
          <w:rFonts w:ascii="Verdana" w:hAnsi="Verdana" w:cs="Arial"/>
          <w:shd w:val="clear" w:color="auto" w:fill="FFFFFF"/>
        </w:rPr>
      </w:pPr>
      <w:r w:rsidRPr="00206556">
        <w:rPr>
          <w:rFonts w:ascii="Verdana" w:hAnsi="Verdana" w:cs="Arial"/>
          <w:shd w:val="clear" w:color="auto" w:fill="FFFFFF"/>
        </w:rPr>
        <w:t xml:space="preserve">Si quieres conocer más sobre la aplicación de Documentos Tipo puedes consultar la última versión de la Guía para la comprensión e implementación de los Documentos Tipo de obra pública de infraestructura de transporte. En esta actualización se incorporaron orientaciones prácticas dirigidas a entidades públicas, proveedores, organismos de control y demás interesados, con el propósito de facilitar la adecuada implementación de estos instrumentos en los procesos contractuales. Además se incluyeron lineamientos que orientan la implementación de los criterios ambientales y sociales incluidos en los documentos tipo: Consulta la guía aquí: </w:t>
      </w:r>
      <w:r w:rsidRPr="00206556">
        <w:rPr>
          <w:rFonts w:ascii="Verdana" w:hAnsi="Verdana" w:cs="Arial"/>
          <w:shd w:val="clear" w:color="auto" w:fill="FFFFFF"/>
        </w:rPr>
        <w:lastRenderedPageBreak/>
        <w:t>https://www.colombiacompra.gov.co/archivos/manual/guia-para-la-comprension-e-implementacion-de-los-documentos-tipo-de-obra-publica-de-infraestructura-de-transporte-bajo-las-diferentes-modalidades-de-contratacion-vigentes</w:t>
      </w:r>
    </w:p>
    <w:p w14:paraId="4CAB1886" w14:textId="77777777" w:rsidR="00B6349E" w:rsidRPr="00206556" w:rsidRDefault="00B6349E" w:rsidP="00B6349E">
      <w:pPr>
        <w:spacing w:after="0" w:line="276" w:lineRule="auto"/>
        <w:jc w:val="both"/>
        <w:rPr>
          <w:rFonts w:ascii="Verdana" w:hAnsi="Verdana" w:cs="Arial"/>
          <w:color w:val="ED7D31" w:themeColor="accent2"/>
          <w:shd w:val="clear" w:color="auto" w:fill="FFFFFF"/>
        </w:rPr>
      </w:pPr>
    </w:p>
    <w:p w14:paraId="5AD89CA0" w14:textId="77777777" w:rsidR="00B6349E" w:rsidRPr="00206556" w:rsidRDefault="00B6349E" w:rsidP="00B6349E">
      <w:pPr>
        <w:spacing w:after="0"/>
        <w:jc w:val="both"/>
        <w:rPr>
          <w:rFonts w:ascii="Verdana" w:hAnsi="Verdana" w:cs="Arial"/>
          <w:shd w:val="clear" w:color="auto" w:fill="FFFFFF"/>
        </w:rPr>
      </w:pPr>
      <w:r w:rsidRPr="00206556">
        <w:rPr>
          <w:rFonts w:ascii="Verdana" w:hAnsi="Verdana" w:cs="Arial"/>
          <w:shd w:val="clear" w:color="auto" w:fill="FFFFFF"/>
        </w:rPr>
        <w:t xml:space="preserve">Por último, lo invitamos a seguirnos en las redes sociales en las cuales se difunde información institucional: </w:t>
      </w:r>
    </w:p>
    <w:p w14:paraId="42FD9F0F" w14:textId="77777777" w:rsidR="00B6349E" w:rsidRPr="00206556" w:rsidRDefault="00B6349E" w:rsidP="00B6349E">
      <w:pPr>
        <w:spacing w:after="0"/>
        <w:jc w:val="both"/>
        <w:rPr>
          <w:rFonts w:ascii="Verdana" w:hAnsi="Verdana" w:cs="Arial"/>
          <w:shd w:val="clear" w:color="auto" w:fill="FFFFFF"/>
        </w:rPr>
      </w:pPr>
    </w:p>
    <w:p w14:paraId="16CBE2BC" w14:textId="77777777" w:rsidR="00B6349E" w:rsidRPr="00206556" w:rsidRDefault="00B6349E" w:rsidP="00B6349E">
      <w:pPr>
        <w:spacing w:after="0"/>
        <w:jc w:val="both"/>
        <w:rPr>
          <w:rFonts w:ascii="Verdana" w:hAnsi="Verdana" w:cs="Arial"/>
          <w:shd w:val="clear" w:color="auto" w:fill="FFFFFF"/>
        </w:rPr>
      </w:pPr>
      <w:r w:rsidRPr="00206556">
        <w:rPr>
          <w:rFonts w:ascii="Verdana" w:hAnsi="Verdana" w:cs="Arial"/>
          <w:shd w:val="clear" w:color="auto" w:fill="FFFFFF"/>
        </w:rPr>
        <w:t xml:space="preserve">Twitter: </w:t>
      </w:r>
      <w:r w:rsidRPr="00206556">
        <w:rPr>
          <w:rStyle w:val="Hipervnculo"/>
          <w:rFonts w:ascii="Verdana" w:hAnsi="Verdana"/>
          <w:lang w:val="es-ES"/>
        </w:rPr>
        <w:t>@colombiacompra</w:t>
      </w:r>
      <w:r w:rsidRPr="00206556">
        <w:rPr>
          <w:rStyle w:val="Hipervnculo"/>
          <w:rFonts w:ascii="Verdana" w:hAnsi="Verdana"/>
          <w:color w:val="auto"/>
          <w:lang w:val="es-ES"/>
        </w:rPr>
        <w:t xml:space="preserve"> </w:t>
      </w:r>
    </w:p>
    <w:p w14:paraId="26C6096F" w14:textId="77777777" w:rsidR="00B6349E" w:rsidRPr="00206556" w:rsidRDefault="00B6349E" w:rsidP="00B6349E">
      <w:pPr>
        <w:spacing w:after="0"/>
        <w:jc w:val="both"/>
        <w:rPr>
          <w:rFonts w:ascii="Verdana" w:hAnsi="Verdana" w:cs="Arial"/>
          <w:shd w:val="clear" w:color="auto" w:fill="FFFFFF"/>
        </w:rPr>
      </w:pPr>
      <w:r w:rsidRPr="00206556">
        <w:rPr>
          <w:rFonts w:ascii="Verdana" w:hAnsi="Verdana" w:cs="Arial"/>
          <w:shd w:val="clear" w:color="auto" w:fill="FFFFFF"/>
        </w:rPr>
        <w:t>Facebook:</w:t>
      </w:r>
      <w:r w:rsidRPr="00206556">
        <w:rPr>
          <w:rStyle w:val="Hipervnculo"/>
          <w:rFonts w:ascii="Verdana" w:hAnsi="Verdana"/>
          <w:lang w:val="es-ES"/>
        </w:rPr>
        <w:t xml:space="preserve"> </w:t>
      </w:r>
      <w:proofErr w:type="spellStart"/>
      <w:r w:rsidRPr="00206556">
        <w:rPr>
          <w:rStyle w:val="Hipervnculo"/>
          <w:rFonts w:ascii="Verdana" w:hAnsi="Verdana"/>
          <w:lang w:val="es-ES"/>
        </w:rPr>
        <w:t>ColombiaCompraEficiente</w:t>
      </w:r>
      <w:proofErr w:type="spellEnd"/>
    </w:p>
    <w:p w14:paraId="1664B793" w14:textId="77777777" w:rsidR="00B6349E" w:rsidRPr="00206556" w:rsidRDefault="00B6349E" w:rsidP="00B6349E">
      <w:pPr>
        <w:spacing w:after="0"/>
        <w:jc w:val="both"/>
        <w:rPr>
          <w:rFonts w:ascii="Verdana" w:hAnsi="Verdana" w:cs="Arial"/>
          <w:shd w:val="clear" w:color="auto" w:fill="FFFFFF"/>
        </w:rPr>
      </w:pPr>
      <w:r w:rsidRPr="00206556">
        <w:rPr>
          <w:rFonts w:ascii="Verdana" w:hAnsi="Verdana" w:cs="Arial"/>
          <w:shd w:val="clear" w:color="auto" w:fill="FFFFFF"/>
        </w:rPr>
        <w:t xml:space="preserve">LinkedIn: </w:t>
      </w:r>
      <w:r w:rsidRPr="00206556">
        <w:rPr>
          <w:rStyle w:val="Hipervnculo"/>
          <w:rFonts w:ascii="Verdana" w:hAnsi="Verdana"/>
          <w:lang w:val="es-ES"/>
        </w:rPr>
        <w:t>Agencia Nacional de Contratación Pública - Colombia Compra Eficiente</w:t>
      </w:r>
      <w:r w:rsidRPr="00206556">
        <w:rPr>
          <w:rFonts w:ascii="Verdana" w:hAnsi="Verdana" w:cs="Arial"/>
          <w:color w:val="0000FF"/>
          <w:shd w:val="clear" w:color="auto" w:fill="FFFFFF"/>
        </w:rPr>
        <w:t xml:space="preserve"> </w:t>
      </w:r>
    </w:p>
    <w:p w14:paraId="30E34A7C" w14:textId="77777777" w:rsidR="00B6349E" w:rsidRPr="00206556" w:rsidRDefault="00B6349E" w:rsidP="00B6349E">
      <w:pPr>
        <w:spacing w:after="0"/>
        <w:jc w:val="both"/>
        <w:rPr>
          <w:rFonts w:ascii="Verdana" w:hAnsi="Verdana" w:cs="Arial"/>
          <w:shd w:val="clear" w:color="auto" w:fill="FFFFFF"/>
        </w:rPr>
      </w:pPr>
      <w:r w:rsidRPr="00206556">
        <w:rPr>
          <w:rFonts w:ascii="Verdana" w:hAnsi="Verdana" w:cs="Arial"/>
          <w:shd w:val="clear" w:color="auto" w:fill="FFFFFF"/>
        </w:rPr>
        <w:t xml:space="preserve">Instagram: </w:t>
      </w:r>
      <w:r w:rsidRPr="00206556">
        <w:rPr>
          <w:rStyle w:val="Hipervnculo"/>
          <w:rFonts w:ascii="Verdana" w:hAnsi="Verdana"/>
          <w:lang w:val="es-ES"/>
        </w:rPr>
        <w:t>@colombiacompraeficiente_cce</w:t>
      </w:r>
    </w:p>
    <w:p w14:paraId="1AAD46D9" w14:textId="77777777" w:rsidR="00B6349E" w:rsidRPr="00206556" w:rsidRDefault="00B6349E" w:rsidP="00B6349E">
      <w:pPr>
        <w:widowControl w:val="0"/>
        <w:autoSpaceDE w:val="0"/>
        <w:autoSpaceDN w:val="0"/>
        <w:spacing w:after="0" w:line="276" w:lineRule="auto"/>
        <w:jc w:val="both"/>
        <w:rPr>
          <w:rFonts w:ascii="Verdana" w:hAnsi="Verdana" w:cs="Arial"/>
          <w:color w:val="ED7D31" w:themeColor="accent2"/>
          <w:lang w:val="es-ES"/>
        </w:rPr>
      </w:pPr>
    </w:p>
    <w:p w14:paraId="0483B778" w14:textId="77777777" w:rsidR="00B6349E" w:rsidRPr="00206556" w:rsidRDefault="00B6349E" w:rsidP="00B6349E">
      <w:pPr>
        <w:widowControl w:val="0"/>
        <w:autoSpaceDE w:val="0"/>
        <w:autoSpaceDN w:val="0"/>
        <w:spacing w:after="0" w:line="276" w:lineRule="auto"/>
        <w:jc w:val="both"/>
        <w:rPr>
          <w:rFonts w:ascii="Verdana" w:hAnsi="Verdana" w:cs="Arial"/>
          <w:lang w:val="es-ES"/>
        </w:rPr>
      </w:pPr>
      <w:r w:rsidRPr="00206556">
        <w:rPr>
          <w:rFonts w:ascii="Verdana" w:hAnsi="Verdana" w:cs="Arial"/>
          <w:lang w:val="es-ES"/>
        </w:rPr>
        <w:t>Este concepto tiene el alcance previsto en el artículo 28 del Código de Procedimiento Administrativo y de lo Contencioso Administrativo y las expresiones aquí utilizadas con mayúscula inicial deben ser entendidas con el significado que les otorga el artículo 2.2.1.1.1.3.1. del Decreto 1082 de 2015.</w:t>
      </w:r>
    </w:p>
    <w:p w14:paraId="4C2238C1" w14:textId="77777777" w:rsidR="00B6349E" w:rsidRPr="00206556" w:rsidRDefault="00B6349E" w:rsidP="00B6349E">
      <w:pPr>
        <w:widowControl w:val="0"/>
        <w:autoSpaceDE w:val="0"/>
        <w:autoSpaceDN w:val="0"/>
        <w:spacing w:after="0" w:line="276" w:lineRule="auto"/>
        <w:jc w:val="both"/>
        <w:rPr>
          <w:rFonts w:ascii="Verdana" w:hAnsi="Verdana" w:cs="Arial"/>
          <w:lang w:val="es-ES"/>
        </w:rPr>
      </w:pPr>
    </w:p>
    <w:p w14:paraId="57E82CDD" w14:textId="77777777" w:rsidR="00B6349E" w:rsidRPr="00206556" w:rsidRDefault="00B6349E" w:rsidP="00B6349E">
      <w:pPr>
        <w:spacing w:after="0" w:line="276" w:lineRule="auto"/>
        <w:rPr>
          <w:rFonts w:ascii="Verdana" w:hAnsi="Verdana" w:cs="Arial"/>
          <w:lang w:val="es-ES" w:eastAsia="es-CO"/>
        </w:rPr>
      </w:pPr>
      <w:r w:rsidRPr="00206556">
        <w:rPr>
          <w:rFonts w:ascii="Verdana" w:eastAsia="Times New Roman" w:hAnsi="Verdana" w:cs="Arial"/>
          <w:lang w:val="es-ES" w:eastAsia="es-CO"/>
        </w:rPr>
        <w:t>Atentamente,</w:t>
      </w:r>
      <w:r w:rsidRPr="00206556">
        <w:rPr>
          <w:rFonts w:ascii="Verdana" w:hAnsi="Verdana" w:cs="Arial"/>
          <w:lang w:val="es-ES" w:eastAsia="es-CO"/>
        </w:rPr>
        <w:t xml:space="preserve"> </w:t>
      </w:r>
    </w:p>
    <w:p w14:paraId="470FD720" w14:textId="5A1FF4AC" w:rsidR="00584C69" w:rsidRPr="00584C69" w:rsidRDefault="00584C69" w:rsidP="00584C69">
      <w:pPr>
        <w:spacing w:after="0" w:line="276" w:lineRule="auto"/>
        <w:jc w:val="both"/>
        <w:rPr>
          <w:rFonts w:ascii="Verdana" w:hAnsi="Verdana"/>
          <w:color w:val="4472C4" w:themeColor="accent1"/>
        </w:rPr>
      </w:pPr>
    </w:p>
    <w:p w14:paraId="45BCD0A6" w14:textId="77777777" w:rsidR="00584C69" w:rsidRPr="00584C69" w:rsidRDefault="00584C69" w:rsidP="00584C69">
      <w:pPr>
        <w:spacing w:after="0" w:line="240" w:lineRule="auto"/>
        <w:jc w:val="both"/>
        <w:rPr>
          <w:rFonts w:ascii="Verdana" w:hAnsi="Verdana"/>
        </w:rPr>
      </w:pPr>
    </w:p>
    <w:p w14:paraId="57C9F6E5" w14:textId="77777777" w:rsidR="00584C69" w:rsidRPr="00584C69" w:rsidRDefault="00584C69" w:rsidP="00584C69">
      <w:pPr>
        <w:spacing w:after="0" w:line="276" w:lineRule="auto"/>
        <w:jc w:val="both"/>
        <w:rPr>
          <w:rFonts w:ascii="Verdana" w:eastAsia="Times New Roman" w:hAnsi="Verdana" w:cs="Arial"/>
          <w:color w:val="EE0000"/>
          <w:lang w:val="es-ES_tradnl" w:eastAsia="es-CO"/>
        </w:rPr>
      </w:pPr>
      <w:bookmarkStart w:id="3" w:name="_Hlk117695077"/>
    </w:p>
    <w:bookmarkEnd w:id="3"/>
    <w:p w14:paraId="7A118BE0" w14:textId="00B6F824" w:rsidR="00584C69" w:rsidRPr="00584C69" w:rsidRDefault="00E55F89" w:rsidP="00584C69">
      <w:pPr>
        <w:spacing w:after="18" w:line="240" w:lineRule="auto"/>
        <w:jc w:val="center"/>
        <w:rPr>
          <w:rFonts w:ascii="Verdana" w:eastAsia="Times New Roman" w:hAnsi="Verdana" w:cs="Arial"/>
          <w:color w:val="EE0000"/>
          <w:sz w:val="24"/>
          <w:szCs w:val="24"/>
          <w:lang w:eastAsia="es-CO"/>
        </w:rPr>
      </w:pPr>
      <w:r>
        <w:rPr>
          <w:noProof/>
        </w:rPr>
        <w:drawing>
          <wp:inline distT="0" distB="0" distL="0" distR="0" wp14:anchorId="065A392D" wp14:editId="4E501A63">
            <wp:extent cx="3771900" cy="1400175"/>
            <wp:effectExtent l="0" t="0" r="0" b="9525"/>
            <wp:docPr id="178027729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77293" name="Imagen 1" descr="Texto&#10;&#10;Descripción generada automáticamente"/>
                    <pic:cNvPicPr>
                      <a:picLocks noChangeAspect="1"/>
                    </pic:cNvPicPr>
                  </pic:nvPicPr>
                  <pic:blipFill>
                    <a:blip r:embed="rId15"/>
                    <a:stretch>
                      <a:fillRect/>
                    </a:stretch>
                  </pic:blipFill>
                  <pic:spPr>
                    <a:xfrm>
                      <a:off x="0" y="0"/>
                      <a:ext cx="3771900" cy="1400175"/>
                    </a:xfrm>
                    <a:prstGeom prst="rect">
                      <a:avLst/>
                    </a:prstGeom>
                  </pic:spPr>
                </pic:pic>
              </a:graphicData>
            </a:graphic>
          </wp:inline>
        </w:drawing>
      </w:r>
    </w:p>
    <w:tbl>
      <w:tblPr>
        <w:tblStyle w:val="Tablaconcuadrcula1"/>
        <w:tblpPr w:leftFromText="141" w:rightFromText="141" w:vertAnchor="text" w:horzAnchor="margin" w:tblpY="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4777"/>
      </w:tblGrid>
      <w:tr w:rsidR="00584C69" w:rsidRPr="00584C69" w14:paraId="2AD79FDB" w14:textId="77777777" w:rsidTr="000118AD">
        <w:trPr>
          <w:trHeight w:val="286"/>
        </w:trPr>
        <w:tc>
          <w:tcPr>
            <w:tcW w:w="893" w:type="dxa"/>
            <w:vAlign w:val="center"/>
            <w:hideMark/>
          </w:tcPr>
          <w:p w14:paraId="0E3004AB" w14:textId="77777777" w:rsidR="00584C69" w:rsidRPr="00584C69" w:rsidRDefault="00584C69" w:rsidP="00584C69">
            <w:pPr>
              <w:rPr>
                <w:rFonts w:ascii="Verdana" w:eastAsia="Times New Roman" w:hAnsi="Verdana" w:cs="Arial"/>
                <w:sz w:val="14"/>
                <w:szCs w:val="14"/>
                <w:lang w:eastAsia="es-ES"/>
              </w:rPr>
            </w:pPr>
            <w:r w:rsidRPr="00584C69">
              <w:rPr>
                <w:rFonts w:ascii="Verdana" w:eastAsia="Times New Roman" w:hAnsi="Verdana" w:cs="Arial"/>
                <w:sz w:val="16"/>
                <w:szCs w:val="16"/>
                <w:lang w:eastAsia="es-ES"/>
              </w:rPr>
              <w:t>Elaboró:</w:t>
            </w:r>
          </w:p>
        </w:tc>
        <w:tc>
          <w:tcPr>
            <w:tcW w:w="4777" w:type="dxa"/>
            <w:vAlign w:val="center"/>
            <w:hideMark/>
          </w:tcPr>
          <w:p w14:paraId="632FC400" w14:textId="77777777" w:rsidR="00584C69" w:rsidRPr="00584C69" w:rsidRDefault="00584C69" w:rsidP="00584C69">
            <w:pPr>
              <w:rPr>
                <w:rFonts w:ascii="Verdana" w:eastAsia="Times New Roman" w:hAnsi="Verdana" w:cs="Arial"/>
                <w:sz w:val="16"/>
                <w:szCs w:val="16"/>
                <w:lang w:val="es-ES_tradnl" w:eastAsia="es-ES"/>
              </w:rPr>
            </w:pPr>
          </w:p>
          <w:p w14:paraId="3A7F1076" w14:textId="77777777" w:rsidR="00584C69" w:rsidRPr="00584C69" w:rsidRDefault="00584C69" w:rsidP="00584C69">
            <w:pPr>
              <w:rPr>
                <w:rFonts w:ascii="Verdana" w:eastAsia="Times New Roman" w:hAnsi="Verdana" w:cs="Arial"/>
                <w:sz w:val="16"/>
                <w:szCs w:val="16"/>
                <w:lang w:val="es-ES_tradnl" w:eastAsia="es-ES"/>
              </w:rPr>
            </w:pPr>
            <w:r w:rsidRPr="00584C69">
              <w:rPr>
                <w:rFonts w:ascii="Verdana" w:eastAsia="Times New Roman" w:hAnsi="Verdana" w:cs="Arial"/>
                <w:sz w:val="16"/>
                <w:szCs w:val="16"/>
                <w:lang w:val="es-ES_tradnl" w:eastAsia="es-ES"/>
              </w:rPr>
              <w:t>Ximena Ríos López</w:t>
            </w:r>
          </w:p>
          <w:p w14:paraId="37A75E40" w14:textId="77777777" w:rsidR="00584C69" w:rsidRPr="00584C69" w:rsidRDefault="00584C69" w:rsidP="00584C69">
            <w:pPr>
              <w:rPr>
                <w:rFonts w:ascii="Verdana" w:eastAsia="Times New Roman" w:hAnsi="Verdana" w:cs="Arial"/>
                <w:sz w:val="14"/>
                <w:szCs w:val="14"/>
                <w:lang w:eastAsia="es-ES"/>
              </w:rPr>
            </w:pPr>
            <w:r w:rsidRPr="00584C69">
              <w:rPr>
                <w:rFonts w:ascii="Verdana" w:eastAsia="Times New Roman" w:hAnsi="Verdana" w:cs="Arial"/>
                <w:sz w:val="16"/>
                <w:szCs w:val="16"/>
                <w:lang w:eastAsia="es-ES"/>
              </w:rPr>
              <w:t>Gestor T1-11 de la Subdirección de Gestión Contractual</w:t>
            </w:r>
          </w:p>
        </w:tc>
      </w:tr>
      <w:tr w:rsidR="00584C69" w:rsidRPr="00584C69" w14:paraId="760357A5" w14:textId="77777777" w:rsidTr="000118AD">
        <w:trPr>
          <w:trHeight w:val="299"/>
        </w:trPr>
        <w:tc>
          <w:tcPr>
            <w:tcW w:w="893" w:type="dxa"/>
            <w:vAlign w:val="center"/>
            <w:hideMark/>
          </w:tcPr>
          <w:p w14:paraId="2D1C6FE6" w14:textId="77777777" w:rsidR="00584C69" w:rsidRPr="00584C69" w:rsidRDefault="00584C69" w:rsidP="00584C69">
            <w:pPr>
              <w:rPr>
                <w:rFonts w:ascii="Verdana" w:eastAsia="Times New Roman" w:hAnsi="Verdana" w:cs="Arial"/>
                <w:sz w:val="14"/>
                <w:szCs w:val="14"/>
                <w:lang w:eastAsia="es-ES"/>
              </w:rPr>
            </w:pPr>
            <w:r w:rsidRPr="00584C69">
              <w:rPr>
                <w:rFonts w:ascii="Verdana" w:eastAsia="Times New Roman" w:hAnsi="Verdana" w:cs="Arial"/>
                <w:sz w:val="16"/>
                <w:szCs w:val="16"/>
                <w:lang w:eastAsia="es-ES"/>
              </w:rPr>
              <w:t>Revisó:</w:t>
            </w:r>
          </w:p>
        </w:tc>
        <w:tc>
          <w:tcPr>
            <w:tcW w:w="4777" w:type="dxa"/>
            <w:vAlign w:val="center"/>
            <w:hideMark/>
          </w:tcPr>
          <w:p w14:paraId="36FD8E24" w14:textId="0FEBAD7E" w:rsidR="00584C69" w:rsidRPr="00584C69" w:rsidRDefault="00957D56" w:rsidP="00584C69">
            <w:pPr>
              <w:rPr>
                <w:rFonts w:ascii="Verdana" w:eastAsia="Times New Roman" w:hAnsi="Verdana" w:cs="Arial"/>
                <w:sz w:val="16"/>
                <w:szCs w:val="16"/>
                <w:lang w:val="es-ES_tradnl" w:eastAsia="es-ES"/>
              </w:rPr>
            </w:pPr>
            <w:r>
              <w:rPr>
                <w:rFonts w:ascii="Verdana" w:eastAsia="Times New Roman" w:hAnsi="Verdana" w:cs="Arial"/>
                <w:sz w:val="16"/>
                <w:szCs w:val="16"/>
                <w:lang w:val="es-ES_tradnl" w:eastAsia="es-ES"/>
              </w:rPr>
              <w:t>Adriana López</w:t>
            </w:r>
          </w:p>
          <w:p w14:paraId="3842CEC6" w14:textId="77777777" w:rsidR="00584C69" w:rsidRPr="00584C69" w:rsidRDefault="00584C69" w:rsidP="00584C69">
            <w:pPr>
              <w:rPr>
                <w:rFonts w:ascii="Verdana" w:eastAsia="Times New Roman" w:hAnsi="Verdana" w:cs="Arial"/>
                <w:sz w:val="14"/>
                <w:szCs w:val="14"/>
                <w:lang w:eastAsia="es-ES"/>
              </w:rPr>
            </w:pPr>
            <w:r w:rsidRPr="00584C69">
              <w:rPr>
                <w:rFonts w:ascii="Verdana" w:eastAsia="Times New Roman" w:hAnsi="Verdana" w:cs="Arial"/>
                <w:sz w:val="16"/>
                <w:szCs w:val="16"/>
                <w:lang w:eastAsia="es-ES"/>
              </w:rPr>
              <w:t>Contratista de la Subdirección de Gestión Contractual</w:t>
            </w:r>
          </w:p>
        </w:tc>
      </w:tr>
      <w:tr w:rsidR="00584C69" w:rsidRPr="00584C69" w14:paraId="27D98200" w14:textId="77777777" w:rsidTr="000118AD">
        <w:trPr>
          <w:trHeight w:val="87"/>
        </w:trPr>
        <w:tc>
          <w:tcPr>
            <w:tcW w:w="893" w:type="dxa"/>
            <w:vAlign w:val="center"/>
            <w:hideMark/>
          </w:tcPr>
          <w:p w14:paraId="79464D59" w14:textId="77777777" w:rsidR="00584C69" w:rsidRPr="00584C69" w:rsidRDefault="00584C69" w:rsidP="00584C69">
            <w:pPr>
              <w:rPr>
                <w:rFonts w:ascii="Verdana" w:eastAsia="Times New Roman" w:hAnsi="Verdana" w:cs="Arial"/>
                <w:sz w:val="14"/>
                <w:szCs w:val="14"/>
                <w:lang w:eastAsia="es-ES"/>
              </w:rPr>
            </w:pPr>
            <w:r w:rsidRPr="00584C69">
              <w:rPr>
                <w:rFonts w:ascii="Verdana" w:eastAsia="Times New Roman" w:hAnsi="Verdana" w:cs="Arial"/>
                <w:sz w:val="16"/>
                <w:szCs w:val="16"/>
                <w:lang w:eastAsia="es-ES"/>
              </w:rPr>
              <w:t>Aprobó:</w:t>
            </w:r>
          </w:p>
        </w:tc>
        <w:tc>
          <w:tcPr>
            <w:tcW w:w="4777" w:type="dxa"/>
            <w:vAlign w:val="center"/>
            <w:hideMark/>
          </w:tcPr>
          <w:p w14:paraId="19124BA4" w14:textId="77777777" w:rsidR="00584C69" w:rsidRPr="00584C69" w:rsidRDefault="00584C69" w:rsidP="00584C69">
            <w:pPr>
              <w:rPr>
                <w:rFonts w:ascii="Verdana" w:eastAsia="Times New Roman" w:hAnsi="Verdana" w:cs="Arial"/>
                <w:sz w:val="16"/>
                <w:szCs w:val="16"/>
                <w:lang w:eastAsia="es-ES"/>
              </w:rPr>
            </w:pPr>
            <w:r w:rsidRPr="00584C69">
              <w:rPr>
                <w:rFonts w:ascii="Verdana" w:eastAsia="Times New Roman" w:hAnsi="Verdana" w:cs="Arial"/>
                <w:sz w:val="16"/>
                <w:szCs w:val="16"/>
                <w:lang w:eastAsia="es-ES"/>
              </w:rPr>
              <w:t>Carolina Quintero Gacharná</w:t>
            </w:r>
          </w:p>
          <w:p w14:paraId="6DEC933D" w14:textId="77777777" w:rsidR="00584C69" w:rsidRPr="00584C69" w:rsidRDefault="00584C69" w:rsidP="00584C69">
            <w:pPr>
              <w:rPr>
                <w:rFonts w:ascii="Verdana" w:eastAsia="Times New Roman" w:hAnsi="Verdana" w:cs="Arial"/>
                <w:sz w:val="14"/>
                <w:szCs w:val="14"/>
                <w:lang w:eastAsia="es-ES"/>
              </w:rPr>
            </w:pPr>
            <w:r w:rsidRPr="00584C69">
              <w:rPr>
                <w:rFonts w:ascii="Verdana" w:eastAsia="Times New Roman" w:hAnsi="Verdana" w:cs="Arial"/>
                <w:sz w:val="16"/>
                <w:szCs w:val="16"/>
                <w:lang w:eastAsia="es-ES"/>
              </w:rPr>
              <w:t>Subdirectora de Gestión Contractual ANCP – CCE</w:t>
            </w:r>
          </w:p>
        </w:tc>
      </w:tr>
      <w:tr w:rsidR="00584C69" w:rsidRPr="00584C69" w14:paraId="4C48E6D5" w14:textId="77777777" w:rsidTr="000118AD">
        <w:trPr>
          <w:trHeight w:val="272"/>
        </w:trPr>
        <w:tc>
          <w:tcPr>
            <w:tcW w:w="893" w:type="dxa"/>
            <w:vAlign w:val="center"/>
          </w:tcPr>
          <w:p w14:paraId="4C30F7E7" w14:textId="77777777" w:rsidR="00584C69" w:rsidRPr="00584C69" w:rsidRDefault="00584C69" w:rsidP="00584C69">
            <w:pPr>
              <w:rPr>
                <w:rFonts w:ascii="Verdana" w:eastAsia="Times New Roman" w:hAnsi="Verdana" w:cs="Arial"/>
                <w:color w:val="EE0000"/>
                <w:sz w:val="16"/>
                <w:szCs w:val="16"/>
                <w:lang w:eastAsia="es-ES"/>
              </w:rPr>
            </w:pPr>
          </w:p>
        </w:tc>
        <w:tc>
          <w:tcPr>
            <w:tcW w:w="4777" w:type="dxa"/>
            <w:vAlign w:val="center"/>
          </w:tcPr>
          <w:p w14:paraId="0DA3498A" w14:textId="77777777" w:rsidR="00584C69" w:rsidRPr="00584C69" w:rsidRDefault="00584C69" w:rsidP="00584C69">
            <w:pPr>
              <w:rPr>
                <w:rFonts w:ascii="Verdana" w:eastAsia="Times New Roman" w:hAnsi="Verdana" w:cs="Arial"/>
                <w:color w:val="EE0000"/>
                <w:sz w:val="16"/>
                <w:szCs w:val="16"/>
                <w:lang w:eastAsia="es-ES"/>
              </w:rPr>
            </w:pPr>
          </w:p>
        </w:tc>
      </w:tr>
    </w:tbl>
    <w:p w14:paraId="23CC5FF5" w14:textId="77777777" w:rsidR="00584C69" w:rsidRPr="00584C69" w:rsidRDefault="00584C69" w:rsidP="00584C69">
      <w:pPr>
        <w:spacing w:after="0" w:line="276" w:lineRule="auto"/>
        <w:jc w:val="both"/>
        <w:rPr>
          <w:rFonts w:ascii="Verdana" w:eastAsia="Times New Roman" w:hAnsi="Verdana" w:cs="Arial"/>
          <w:color w:val="EE0000"/>
          <w:lang w:val="es-ES_tradnl"/>
        </w:rPr>
      </w:pPr>
    </w:p>
    <w:p w14:paraId="728A0707" w14:textId="77777777" w:rsidR="00584C69" w:rsidRPr="00584C69" w:rsidRDefault="00584C69" w:rsidP="00584C69">
      <w:pPr>
        <w:spacing w:after="0" w:line="240" w:lineRule="auto"/>
        <w:rPr>
          <w:rFonts w:ascii="Verdana" w:eastAsia="Times New Roman" w:hAnsi="Verdana" w:cs="Arial"/>
          <w:color w:val="EE0000"/>
          <w:sz w:val="24"/>
          <w:szCs w:val="24"/>
          <w:lang w:eastAsia="es-ES_tradnl"/>
        </w:rPr>
      </w:pPr>
    </w:p>
    <w:p w14:paraId="343C8D42" w14:textId="77777777" w:rsidR="00584C69" w:rsidRPr="00584C69" w:rsidRDefault="00584C69" w:rsidP="00584C69">
      <w:pPr>
        <w:rPr>
          <w:rFonts w:ascii="Verdana" w:hAnsi="Verdana"/>
          <w:color w:val="EE0000"/>
        </w:rPr>
      </w:pPr>
    </w:p>
    <w:p w14:paraId="1203DE3E" w14:textId="77777777" w:rsidR="00584C69" w:rsidRPr="00584C69" w:rsidRDefault="00584C69" w:rsidP="00584C69"/>
    <w:p w14:paraId="3900974D" w14:textId="77777777" w:rsidR="003D5B0D" w:rsidRPr="00584C69" w:rsidRDefault="003D5B0D" w:rsidP="00584C69"/>
    <w:sectPr w:rsidR="003D5B0D" w:rsidRPr="00584C69" w:rsidSect="007C0C0F">
      <w:headerReference w:type="default" r:id="rId16"/>
      <w:footerReference w:type="default" r:id="rId17"/>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B9145D" w14:textId="77777777" w:rsidR="00354EE4" w:rsidRDefault="00354EE4" w:rsidP="004A1847">
      <w:pPr>
        <w:spacing w:after="0" w:line="240" w:lineRule="auto"/>
      </w:pPr>
      <w:r>
        <w:separator/>
      </w:r>
    </w:p>
  </w:endnote>
  <w:endnote w:type="continuationSeparator" w:id="0">
    <w:p w14:paraId="6F93BBBE" w14:textId="77777777" w:rsidR="00354EE4" w:rsidRDefault="00354EE4"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panose1 w:val="00000000000000000000"/>
    <w:charset w:val="00"/>
    <w:family w:val="modern"/>
    <w:notTrueType/>
    <w:pitch w:val="variable"/>
    <w:sig w:usb0="A000002F" w:usb1="1000004A" w:usb2="00000000" w:usb3="00000000" w:csb0="00000193" w:csb1="00000000"/>
  </w:font>
  <w:font w:name="Geomanist">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Arial MT">
    <w:altName w:val="Arial"/>
    <w:charset w:val="01"/>
    <w:family w:val="swiss"/>
    <w:pitch w:val="variable"/>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Arial Nova">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0D520D8" w:rsidP="00D520D8">
    <w:pPr>
      <w:pBdr>
        <w:top w:val="single" w:sz="4" w:space="1" w:color="auto"/>
      </w:pBdr>
      <w:spacing w:after="0"/>
      <w:rPr>
        <w:rFonts w:ascii="Verdana" w:hAnsi="Verdana"/>
        <w:b/>
        <w:bCs/>
        <w:sz w:val="20"/>
        <w:szCs w:val="20"/>
      </w:rPr>
    </w:pPr>
    <w:r>
      <w:rPr>
        <w:rFonts w:ascii="Verdana" w:hAnsi="Verdana"/>
        <w:b/>
        <w:bCs/>
        <w:sz w:val="20"/>
        <w:szCs w:val="20"/>
      </w:rPr>
      <w:t>A</w:t>
    </w:r>
    <w:r w:rsidRPr="008E4D59">
      <w:rPr>
        <w:rFonts w:ascii="Verdana" w:hAnsi="Verdana"/>
        <w:b/>
        <w:bCs/>
        <w:sz w:val="20"/>
        <w:szCs w:val="20"/>
      </w:rPr>
      <w:t>gencia Nacional de Contratación</w:t>
    </w:r>
    <w:r>
      <w:rPr>
        <w:rFonts w:ascii="Verdana" w:hAnsi="Verdana"/>
        <w:b/>
        <w:bCs/>
        <w:sz w:val="20"/>
        <w:szCs w:val="20"/>
      </w:rPr>
      <w:t xml:space="preserve"> </w:t>
    </w:r>
    <w:r w:rsidRPr="008E4D59">
      <w:rPr>
        <w:rFonts w:ascii="Verdana" w:hAnsi="Verdana"/>
        <w:b/>
        <w:bCs/>
        <w:sz w:val="20"/>
        <w:szCs w:val="20"/>
      </w:rPr>
      <w:t>Pública</w:t>
    </w:r>
    <w:r>
      <w:rPr>
        <w:rFonts w:ascii="Verdana" w:hAnsi="Verdana"/>
        <w:b/>
        <w:bCs/>
        <w:sz w:val="20"/>
        <w:szCs w:val="20"/>
      </w:rPr>
      <w:t xml:space="preserve">                                              </w:t>
    </w:r>
    <w:r w:rsidRPr="002E1330">
      <w:rPr>
        <w:rFonts w:ascii="Verdana" w:eastAsiaTheme="majorEastAsia" w:hAnsi="Verdana" w:cstheme="majorBidi"/>
        <w:b/>
        <w:bCs/>
        <w:sz w:val="16"/>
        <w:szCs w:val="16"/>
        <w:lang w:val="es-ES"/>
      </w:rPr>
      <w:t xml:space="preserve">pág. </w:t>
    </w:r>
    <w:r w:rsidRPr="002E1330">
      <w:rPr>
        <w:rFonts w:ascii="Verdana" w:eastAsiaTheme="minorEastAsia" w:hAnsi="Verdana"/>
        <w:b/>
        <w:bCs/>
        <w:sz w:val="16"/>
        <w:szCs w:val="16"/>
      </w:rPr>
      <w:fldChar w:fldCharType="begin"/>
    </w:r>
    <w:r w:rsidRPr="002E1330">
      <w:rPr>
        <w:rFonts w:ascii="Verdana" w:hAnsi="Verdana"/>
        <w:b/>
        <w:bCs/>
        <w:sz w:val="16"/>
        <w:szCs w:val="16"/>
      </w:rPr>
      <w:instrText>PAGE    \* MERGEFORMAT</w:instrText>
    </w:r>
    <w:r w:rsidRPr="002E1330">
      <w:rPr>
        <w:rFonts w:ascii="Verdana" w:eastAsiaTheme="minorEastAsia" w:hAnsi="Verdana"/>
        <w:b/>
        <w:bCs/>
        <w:sz w:val="16"/>
        <w:szCs w:val="16"/>
      </w:rPr>
      <w:fldChar w:fldCharType="separate"/>
    </w:r>
    <w:r>
      <w:rPr>
        <w:rFonts w:ascii="Verdana" w:eastAsiaTheme="minorEastAsia" w:hAnsi="Verdana"/>
        <w:b/>
        <w:bCs/>
        <w:sz w:val="16"/>
        <w:szCs w:val="16"/>
      </w:rPr>
      <w:t>1</w:t>
    </w:r>
    <w:r w:rsidRPr="002E1330">
      <w:rPr>
        <w:rFonts w:ascii="Verdana" w:eastAsiaTheme="majorEastAsia" w:hAnsi="Verdana" w:cstheme="majorBidi"/>
        <w:b/>
        <w:bCs/>
        <w:sz w:val="16"/>
        <w:szCs w:val="16"/>
      </w:rPr>
      <w:fldChar w:fldCharType="end"/>
    </w:r>
    <w:r>
      <w:rPr>
        <w:rFonts w:ascii="Verdana" w:hAnsi="Verdana"/>
        <w:b/>
        <w:bCs/>
        <w:sz w:val="20"/>
        <w:szCs w:val="20"/>
      </w:rPr>
      <w:t xml:space="preserve">              </w:t>
    </w:r>
    <w:r w:rsidRPr="008E4D59">
      <w:rPr>
        <w:rFonts w:ascii="Verdana" w:hAnsi="Verdana"/>
        <w:b/>
        <w:bCs/>
        <w:sz w:val="20"/>
        <w:szCs w:val="20"/>
      </w:rPr>
      <w:t xml:space="preserve">Colombia Compra Eficiente         </w:t>
    </w:r>
    <w:r w:rsidRPr="008E4D59">
      <w:rPr>
        <w:rFonts w:ascii="Verdana" w:hAnsi="Verdana"/>
        <w:b/>
        <w:bCs/>
        <w:sz w:val="20"/>
        <w:szCs w:val="20"/>
        <w:lang w:val="es-ES"/>
      </w:rPr>
      <w:t xml:space="preserve"> </w:t>
    </w:r>
    <w:r>
      <w:rPr>
        <w:rFonts w:ascii="Verdana" w:hAnsi="Verdana"/>
        <w:b/>
        <w:bCs/>
        <w:sz w:val="20"/>
        <w:szCs w:val="20"/>
      </w:rPr>
      <w:t xml:space="preserve">                                                  </w:t>
    </w:r>
  </w:p>
  <w:p w14:paraId="0A735DD5" w14:textId="77777777" w:rsidR="00D520D8" w:rsidRDefault="00D520D8" w:rsidP="00D520D8">
    <w:pPr>
      <w:spacing w:after="0"/>
      <w:jc w:val="both"/>
      <w:rPr>
        <w:rFonts w:ascii="Verdana" w:hAnsi="Verdana"/>
        <w:sz w:val="18"/>
        <w:szCs w:val="18"/>
      </w:rPr>
    </w:pPr>
    <w:r w:rsidRPr="00E41027">
      <w:rPr>
        <w:rFonts w:ascii="Verdana" w:hAnsi="Verdana"/>
        <w:sz w:val="18"/>
        <w:szCs w:val="18"/>
      </w:rPr>
      <w:t>Dirección: Carrera 7 # 26 – 20 - Bogotá, Colombia</w:t>
    </w:r>
  </w:p>
  <w:p w14:paraId="06E36B88" w14:textId="77777777" w:rsidR="00D520D8" w:rsidRPr="00E41027" w:rsidRDefault="00D520D8" w:rsidP="00D520D8">
    <w:pPr>
      <w:spacing w:after="0"/>
      <w:jc w:val="both"/>
      <w:rPr>
        <w:rFonts w:ascii="Verdana" w:hAnsi="Verdana"/>
        <w:sz w:val="18"/>
        <w:szCs w:val="18"/>
      </w:rPr>
    </w:pPr>
    <w:r w:rsidRPr="00E41027">
      <w:rPr>
        <w:rFonts w:ascii="Verdana" w:hAnsi="Verdana"/>
        <w:sz w:val="18"/>
        <w:szCs w:val="18"/>
      </w:rPr>
      <w:t>Mesa de servicio: (+57) 601 7456788</w:t>
    </w:r>
  </w:p>
  <w:p w14:paraId="744661F5" w14:textId="593AA28F" w:rsidR="006219F8" w:rsidRDefault="00D520D8" w:rsidP="0025796E">
    <w:pPr>
      <w:pBdr>
        <w:top w:val="nil"/>
        <w:left w:val="nil"/>
        <w:bottom w:val="nil"/>
        <w:right w:val="nil"/>
        <w:between w:val="nil"/>
      </w:pBdr>
      <w:tabs>
        <w:tab w:val="center" w:pos="4419"/>
        <w:tab w:val="right" w:pos="8838"/>
        <w:tab w:val="center" w:pos="5400"/>
      </w:tabs>
      <w:spacing w:after="0"/>
    </w:pPr>
    <w:r w:rsidRPr="00E41027">
      <w:rPr>
        <w:rFonts w:ascii="Verdana" w:hAnsi="Verdana"/>
        <w:sz w:val="18"/>
        <w:szCs w:val="18"/>
      </w:rPr>
      <w:t>Atención al ciudadano:</w:t>
    </w:r>
    <w:r>
      <w:rPr>
        <w:rFonts w:ascii="Verdana" w:hAnsi="Verdana"/>
        <w:sz w:val="18"/>
        <w:szCs w:val="18"/>
      </w:rPr>
      <w:t xml:space="preserve"> </w:t>
    </w:r>
    <w:r w:rsidRPr="00E41027">
      <w:rPr>
        <w:rFonts w:ascii="Verdana" w:hAnsi="Verdana"/>
        <w:sz w:val="18"/>
        <w:szCs w:val="18"/>
      </w:rPr>
      <w:t>(+57) 601 7956600</w:t>
    </w:r>
    <w:r>
      <w:rPr>
        <w:rFonts w:ascii="Verdana" w:hAnsi="Verdana"/>
        <w:sz w:val="18"/>
        <w:szCs w:val="18"/>
      </w:rPr>
      <w:t xml:space="preserve">          </w:t>
    </w:r>
    <w:r w:rsidR="00FA47C0" w:rsidRPr="004A305D">
      <w:rPr>
        <w:rFonts w:ascii="Century Gothic" w:eastAsia="Geo" w:hAnsi="Century Gothic" w:cs="Geo"/>
        <w:b/>
        <w:color w:val="000000"/>
        <w:sz w:val="16"/>
        <w:szCs w:val="16"/>
        <w:lang w:eastAsia="es-CO"/>
      </w:rPr>
      <w:t xml:space="preserve">Código: </w:t>
    </w:r>
    <w:r w:rsidR="00FA47C0" w:rsidRPr="004A305D">
      <w:rPr>
        <w:rFonts w:ascii="Century Gothic" w:eastAsia="Geo" w:hAnsi="Century Gothic" w:cs="Geo"/>
        <w:bCs/>
        <w:color w:val="000000"/>
        <w:sz w:val="16"/>
        <w:szCs w:val="16"/>
        <w:lang w:eastAsia="es-CO"/>
      </w:rPr>
      <w:t>CCE-</w:t>
    </w:r>
    <w:r w:rsidR="00FA47C0">
      <w:rPr>
        <w:rFonts w:ascii="Century Gothic" w:eastAsia="Geo" w:hAnsi="Century Gothic" w:cs="Geo"/>
        <w:bCs/>
        <w:color w:val="000000"/>
        <w:sz w:val="16"/>
        <w:szCs w:val="16"/>
        <w:lang w:eastAsia="es-CO"/>
      </w:rPr>
      <w:t>REC</w:t>
    </w:r>
    <w:r w:rsidR="00FA47C0" w:rsidRPr="004A305D">
      <w:rPr>
        <w:rFonts w:ascii="Century Gothic" w:eastAsia="Geo" w:hAnsi="Century Gothic" w:cs="Geo"/>
        <w:bCs/>
        <w:color w:val="000000"/>
        <w:sz w:val="16"/>
        <w:szCs w:val="16"/>
        <w:lang w:eastAsia="es-CO"/>
      </w:rPr>
      <w:t>-FM-</w:t>
    </w:r>
    <w:r w:rsidR="00FA47C0">
      <w:rPr>
        <w:rFonts w:ascii="Century Gothic" w:eastAsia="Geo" w:hAnsi="Century Gothic" w:cs="Geo"/>
        <w:bCs/>
        <w:color w:val="000000"/>
        <w:sz w:val="16"/>
        <w:szCs w:val="16"/>
        <w:lang w:eastAsia="es-CO"/>
      </w:rPr>
      <w:t>17</w:t>
    </w:r>
    <w:r w:rsidR="0025796E">
      <w:rPr>
        <w:rFonts w:ascii="Century Gothic" w:eastAsia="Geo" w:hAnsi="Century Gothic" w:cs="Geo"/>
        <w:bCs/>
        <w:color w:val="000000"/>
        <w:sz w:val="16"/>
        <w:szCs w:val="16"/>
        <w:lang w:eastAsia="es-CO"/>
      </w:rPr>
      <w:t xml:space="preserve"> </w:t>
    </w:r>
    <w:r w:rsidR="00FA47C0" w:rsidRPr="004A305D">
      <w:rPr>
        <w:rFonts w:ascii="Century Gothic" w:eastAsia="Geo" w:hAnsi="Century Gothic" w:cs="Geo"/>
        <w:b/>
        <w:color w:val="000000"/>
        <w:sz w:val="16"/>
        <w:szCs w:val="16"/>
        <w:lang w:eastAsia="es-CO"/>
      </w:rPr>
      <w:t>Versión</w:t>
    </w:r>
    <w:r w:rsidR="00FA47C0" w:rsidRPr="004A305D">
      <w:rPr>
        <w:rFonts w:ascii="Century Gothic" w:eastAsia="Arial Nova" w:hAnsi="Century Gothic" w:cs="Arial Nova"/>
        <w:b/>
        <w:color w:val="000000"/>
        <w:sz w:val="16"/>
        <w:szCs w:val="16"/>
        <w:lang w:eastAsia="es-CO"/>
      </w:rPr>
      <w:t xml:space="preserve">: </w:t>
    </w:r>
    <w:r w:rsidR="00FA47C0" w:rsidRPr="004A305D">
      <w:rPr>
        <w:rFonts w:ascii="Century Gothic" w:eastAsia="Geo" w:hAnsi="Century Gothic" w:cs="Geo"/>
        <w:sz w:val="16"/>
        <w:szCs w:val="16"/>
        <w:lang w:eastAsia="es-CO"/>
      </w:rPr>
      <w:t>0</w:t>
    </w:r>
    <w:r w:rsidR="00FA47C0">
      <w:rPr>
        <w:rFonts w:ascii="Century Gothic" w:eastAsia="Geo" w:hAnsi="Century Gothic" w:cs="Geo"/>
        <w:sz w:val="16"/>
        <w:szCs w:val="16"/>
        <w:lang w:eastAsia="es-CO"/>
      </w:rPr>
      <w:t>2</w:t>
    </w:r>
    <w:r w:rsidR="00FA47C0" w:rsidRPr="004A305D">
      <w:rPr>
        <w:rFonts w:ascii="Century Gothic" w:eastAsia="Geo" w:hAnsi="Century Gothic" w:cs="Geo"/>
        <w:sz w:val="16"/>
        <w:szCs w:val="16"/>
        <w:lang w:eastAsia="es-CO"/>
      </w:rPr>
      <w:t xml:space="preserve"> </w:t>
    </w:r>
    <w:r w:rsidR="0025796E">
      <w:rPr>
        <w:rFonts w:ascii="Century Gothic" w:eastAsia="Geo" w:hAnsi="Century Gothic" w:cs="Geo"/>
        <w:sz w:val="16"/>
        <w:szCs w:val="16"/>
        <w:lang w:eastAsia="es-CO"/>
      </w:rPr>
      <w:t>Fecha: 31-08-2023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D3C67A" w14:textId="77777777" w:rsidR="00354EE4" w:rsidRDefault="00354EE4" w:rsidP="004A1847">
      <w:pPr>
        <w:spacing w:after="0" w:line="240" w:lineRule="auto"/>
      </w:pPr>
      <w:r>
        <w:separator/>
      </w:r>
    </w:p>
  </w:footnote>
  <w:footnote w:type="continuationSeparator" w:id="0">
    <w:p w14:paraId="301C9B00" w14:textId="77777777" w:rsidR="00354EE4" w:rsidRDefault="00354EE4" w:rsidP="004A1847">
      <w:pPr>
        <w:spacing w:after="0" w:line="240" w:lineRule="auto"/>
      </w:pPr>
      <w:r>
        <w:continuationSeparator/>
      </w:r>
    </w:p>
  </w:footnote>
  <w:footnote w:id="1">
    <w:p w14:paraId="4990932D" w14:textId="77777777" w:rsidR="00584C69" w:rsidRPr="00ED4C26" w:rsidRDefault="00584C69" w:rsidP="00584C69">
      <w:pPr>
        <w:pStyle w:val="Textonotapie"/>
        <w:ind w:firstLine="709"/>
        <w:jc w:val="both"/>
        <w:rPr>
          <w:rFonts w:ascii="Verdana" w:hAnsi="Verdana" w:cs="Arial"/>
          <w:sz w:val="16"/>
          <w:szCs w:val="16"/>
          <w:lang w:val="es-CO"/>
        </w:rPr>
      </w:pPr>
      <w:r w:rsidRPr="00ED4C26">
        <w:rPr>
          <w:rStyle w:val="Refdenotaalpie"/>
          <w:rFonts w:ascii="Verdana" w:hAnsi="Verdana"/>
          <w:sz w:val="16"/>
          <w:szCs w:val="16"/>
        </w:rPr>
        <w:footnoteRef/>
      </w:r>
      <w:r w:rsidRPr="00ED4C26">
        <w:rPr>
          <w:rFonts w:ascii="Verdana" w:hAnsi="Verdana"/>
          <w:sz w:val="16"/>
          <w:szCs w:val="16"/>
        </w:rPr>
        <w:t xml:space="preserve"> </w:t>
      </w:r>
      <w:r w:rsidRPr="00ED4C26">
        <w:rPr>
          <w:rFonts w:ascii="Verdana" w:hAnsi="Verdana" w:cs="Arial"/>
          <w:sz w:val="16"/>
          <w:szCs w:val="16"/>
        </w:rPr>
        <w:t>Para la Corte Constitucional, el principio de publicidad es la garantía que tienen las personas de conocer las actuaciones judiciales y administrativas y con base en ese conocimiento tener la posibilidad de exigir que se surtan conforme a la ley: «El principio de publicidad se encuentra consagrado en el artículo 209 de la Constitución Política, que señala que la función administrativa está al servicio de los intereses generales y se desarrolla con fundamento entre otros, en el «principio de publicidad», el cual se evidencia en dos dimensiones. La primera de ellas, como el derecho que tienen las personas directamente involucradas, al conocimiento de las actuaciones judiciales y administrativas, la cual se concreta a través de los mecanismos de comunicación y la segunda, como el reconocimiento del derecho que tiene la comunidad de conocer las actuaciones de las autoridades y, a través de ese conocimiento, a exigir que ellas se surtan conforme a la ley». Corte Constitucional. Sentencia C- 341 del 4 de junio de 2014. M. P. Mauricio González Cuervo.</w:t>
      </w:r>
    </w:p>
    <w:p w14:paraId="4A6AF54C" w14:textId="77777777" w:rsidR="00584C69" w:rsidRPr="00ED4C26" w:rsidRDefault="00584C69" w:rsidP="00584C69">
      <w:pPr>
        <w:pStyle w:val="Textonotapie"/>
        <w:rPr>
          <w:rFonts w:ascii="Verdana" w:hAnsi="Verdana"/>
          <w:sz w:val="16"/>
          <w:szCs w:val="16"/>
          <w:lang w:val="es-CO"/>
        </w:rPr>
      </w:pPr>
    </w:p>
  </w:footnote>
  <w:footnote w:id="2">
    <w:p w14:paraId="0451372F" w14:textId="77777777" w:rsidR="00584C69" w:rsidRPr="00ED4C26" w:rsidRDefault="00584C69" w:rsidP="00584C69">
      <w:pPr>
        <w:pStyle w:val="Textonotapie"/>
        <w:ind w:firstLine="709"/>
        <w:jc w:val="both"/>
        <w:rPr>
          <w:rFonts w:ascii="Verdana" w:hAnsi="Verdana"/>
          <w:sz w:val="16"/>
          <w:szCs w:val="16"/>
        </w:rPr>
      </w:pPr>
      <w:r w:rsidRPr="00ED4C26">
        <w:rPr>
          <w:rStyle w:val="Refdenotaalpie"/>
          <w:rFonts w:ascii="Verdana" w:hAnsi="Verdana"/>
          <w:sz w:val="16"/>
          <w:szCs w:val="16"/>
        </w:rPr>
        <w:footnoteRef/>
      </w:r>
      <w:r w:rsidRPr="00ED4C26">
        <w:rPr>
          <w:rFonts w:ascii="Verdana" w:hAnsi="Verdana"/>
          <w:sz w:val="16"/>
          <w:szCs w:val="16"/>
        </w:rPr>
        <w:t xml:space="preserve"> Por medio de la cual se crea la Ley de Transparencia y del Derecho de Acceso a la Información Pública Nacional y se dictan otras disposiciones.</w:t>
      </w:r>
    </w:p>
    <w:p w14:paraId="3ABEBFFF" w14:textId="77777777" w:rsidR="00584C69" w:rsidRPr="00ED4C26" w:rsidRDefault="00584C69" w:rsidP="00584C69">
      <w:pPr>
        <w:pStyle w:val="Textonotapie"/>
        <w:ind w:firstLine="709"/>
        <w:jc w:val="both"/>
        <w:rPr>
          <w:rFonts w:ascii="Verdana" w:hAnsi="Verdana"/>
          <w:sz w:val="16"/>
          <w:szCs w:val="16"/>
          <w:lang w:val="es-ES"/>
        </w:rPr>
      </w:pPr>
    </w:p>
  </w:footnote>
  <w:footnote w:id="3">
    <w:p w14:paraId="42D85CC6" w14:textId="77777777" w:rsidR="00584C69" w:rsidRPr="00ED4C26" w:rsidRDefault="00584C69" w:rsidP="00584C69">
      <w:pPr>
        <w:pStyle w:val="Textonotapie"/>
        <w:ind w:firstLine="709"/>
        <w:jc w:val="both"/>
        <w:rPr>
          <w:rFonts w:ascii="Verdana" w:hAnsi="Verdana" w:cs="Arial"/>
          <w:color w:val="000000" w:themeColor="text1"/>
          <w:sz w:val="16"/>
          <w:szCs w:val="16"/>
        </w:rPr>
      </w:pPr>
      <w:r w:rsidRPr="00ED4C26">
        <w:rPr>
          <w:rStyle w:val="Refdenotaalpie"/>
          <w:rFonts w:ascii="Verdana" w:hAnsi="Verdana"/>
          <w:sz w:val="16"/>
          <w:szCs w:val="16"/>
        </w:rPr>
        <w:footnoteRef/>
      </w:r>
      <w:r w:rsidRPr="00ED4C26">
        <w:rPr>
          <w:rFonts w:ascii="Verdana" w:hAnsi="Verdana"/>
          <w:sz w:val="16"/>
          <w:szCs w:val="16"/>
        </w:rPr>
        <w:t xml:space="preserve"> </w:t>
      </w:r>
      <w:r w:rsidRPr="00ED4C26">
        <w:rPr>
          <w:rFonts w:ascii="Verdana" w:hAnsi="Verdana" w:cs="Arial"/>
          <w:color w:val="000000" w:themeColor="text1"/>
          <w:sz w:val="16"/>
          <w:szCs w:val="16"/>
        </w:rPr>
        <w:t>Ley 1712 de 2014: Artículo 2. Toda información en posesión, bajo control o custodia de un sujeto obligado es pública y no podrá ser reservada o limitada sino por disposición constitucional o legal, de conformidad con la presente ley”.</w:t>
      </w:r>
    </w:p>
    <w:p w14:paraId="016BE82F" w14:textId="77777777" w:rsidR="00584C69" w:rsidRPr="00ED4C26" w:rsidRDefault="00584C69" w:rsidP="00584C69">
      <w:pPr>
        <w:pStyle w:val="Textonotapie"/>
        <w:ind w:firstLine="709"/>
        <w:rPr>
          <w:rFonts w:ascii="Verdana" w:hAnsi="Verdana"/>
          <w:sz w:val="16"/>
          <w:szCs w:val="16"/>
        </w:rPr>
      </w:pPr>
    </w:p>
  </w:footnote>
  <w:footnote w:id="4">
    <w:p w14:paraId="23B6F4CB" w14:textId="77777777" w:rsidR="00584C69" w:rsidRPr="006515D6" w:rsidRDefault="00584C69" w:rsidP="00584C69">
      <w:pPr>
        <w:pStyle w:val="Textonotapie"/>
        <w:ind w:firstLine="707"/>
        <w:contextualSpacing/>
        <w:jc w:val="both"/>
        <w:rPr>
          <w:rFonts w:ascii="Verdana" w:hAnsi="Verdana" w:cs="Arial"/>
          <w:sz w:val="16"/>
          <w:szCs w:val="16"/>
          <w:lang w:val="es-CO"/>
        </w:rPr>
      </w:pPr>
      <w:r w:rsidRPr="006515D6">
        <w:rPr>
          <w:rStyle w:val="Refdenotaalpie"/>
          <w:rFonts w:ascii="Verdana" w:hAnsi="Verdana" w:cs="Arial"/>
          <w:sz w:val="16"/>
          <w:szCs w:val="16"/>
        </w:rPr>
        <w:footnoteRef/>
      </w:r>
      <w:r w:rsidRPr="006515D6">
        <w:rPr>
          <w:rFonts w:ascii="Verdana" w:hAnsi="Verdana" w:cs="Arial"/>
          <w:sz w:val="16"/>
          <w:szCs w:val="16"/>
          <w:vertAlign w:val="superscript"/>
        </w:rPr>
        <w:t xml:space="preserve"> </w:t>
      </w:r>
      <w:r w:rsidRPr="006515D6">
        <w:rPr>
          <w:rFonts w:ascii="Verdana" w:hAnsi="Verdana" w:cs="Arial"/>
          <w:sz w:val="16"/>
          <w:szCs w:val="16"/>
        </w:rPr>
        <w:t xml:space="preserve">Ley 1712 de 2014: “Artículo 3. </w:t>
      </w:r>
      <w:bookmarkStart w:id="1" w:name="3"/>
      <w:r w:rsidRPr="006515D6">
        <w:rPr>
          <w:rFonts w:ascii="Verdana" w:hAnsi="Verdana" w:cs="Arial"/>
          <w:sz w:val="16"/>
          <w:szCs w:val="16"/>
          <w:lang w:val="es-CO"/>
        </w:rPr>
        <w:t>Otros principios de la transparencia y acceso a la información pública.</w:t>
      </w:r>
      <w:bookmarkEnd w:id="1"/>
      <w:r w:rsidRPr="006515D6">
        <w:rPr>
          <w:rFonts w:ascii="Verdana" w:hAnsi="Verdana" w:cs="Arial"/>
          <w:sz w:val="16"/>
          <w:szCs w:val="16"/>
          <w:lang w:val="es-CO"/>
        </w:rPr>
        <w:t> </w:t>
      </w:r>
    </w:p>
    <w:p w14:paraId="3CD9DF8C" w14:textId="77777777" w:rsidR="00584C69" w:rsidRPr="00F0611A" w:rsidRDefault="00584C69" w:rsidP="00584C69">
      <w:pPr>
        <w:pStyle w:val="Textonotapie"/>
        <w:ind w:firstLine="707"/>
        <w:contextualSpacing/>
        <w:jc w:val="both"/>
        <w:rPr>
          <w:rFonts w:ascii="Verdana" w:hAnsi="Verdana" w:cs="Arial"/>
          <w:sz w:val="16"/>
          <w:szCs w:val="16"/>
          <w:lang w:val="es-CO"/>
        </w:rPr>
      </w:pPr>
      <w:r w:rsidRPr="006515D6">
        <w:rPr>
          <w:rFonts w:ascii="Verdana" w:hAnsi="Verdana" w:cs="Arial"/>
          <w:sz w:val="16"/>
          <w:szCs w:val="16"/>
          <w:lang w:val="es-CO"/>
        </w:rPr>
        <w:t>[…]</w:t>
      </w:r>
      <w:r>
        <w:rPr>
          <w:rFonts w:ascii="Verdana" w:hAnsi="Verdana" w:cs="Arial"/>
          <w:sz w:val="16"/>
          <w:szCs w:val="16"/>
          <w:lang w:val="es-CO"/>
        </w:rPr>
        <w:t xml:space="preserve"> </w:t>
      </w:r>
      <w:r w:rsidRPr="006515D6">
        <w:rPr>
          <w:rStyle w:val="baj"/>
          <w:rFonts w:ascii="Verdana" w:hAnsi="Verdana" w:cs="Arial"/>
          <w:sz w:val="16"/>
          <w:szCs w:val="16"/>
        </w:rPr>
        <w:t>Principio de transparencia</w:t>
      </w:r>
      <w:r w:rsidRPr="006515D6">
        <w:rPr>
          <w:rFonts w:ascii="Verdana" w:hAnsi="Verdana" w:cs="Arial"/>
          <w:sz w:val="16"/>
          <w:szCs w:val="16"/>
        </w:rPr>
        <w:t>. Principio conforme al cual toda la información en poder de los sujetos obligados definidos en esta ley se presume pública, en consecuencia, de lo cual dichos sujetos están en el deber de proporcionar y facilitar el acceso a la misma en los términos más amplios posibles y a través de los medios y procedimientos que al efecto establezca la ley, excluyendo solo aquello que esté sujeto a las excepciones constitucionales y legales y bajo el cumplimiento de los requisitos establecidos en esta ley”.</w:t>
      </w:r>
    </w:p>
    <w:p w14:paraId="0D61CE00" w14:textId="77777777" w:rsidR="00584C69" w:rsidRPr="006515D6" w:rsidRDefault="00584C69" w:rsidP="00584C69">
      <w:pPr>
        <w:pStyle w:val="Textonotapie"/>
        <w:contextualSpacing/>
        <w:jc w:val="both"/>
        <w:rPr>
          <w:rFonts w:ascii="Verdana" w:hAnsi="Verdana" w:cs="Arial"/>
          <w:sz w:val="16"/>
          <w:szCs w:val="16"/>
          <w:lang w:val="es-CO"/>
        </w:rPr>
      </w:pPr>
    </w:p>
  </w:footnote>
  <w:footnote w:id="5">
    <w:p w14:paraId="7C288068" w14:textId="77777777" w:rsidR="00584C69" w:rsidRPr="006515D6" w:rsidRDefault="00584C69" w:rsidP="00584C69">
      <w:pPr>
        <w:pStyle w:val="Textonotapie"/>
        <w:ind w:firstLine="707"/>
        <w:contextualSpacing/>
        <w:jc w:val="both"/>
        <w:rPr>
          <w:rFonts w:ascii="Verdana" w:hAnsi="Verdana" w:cs="Arial"/>
          <w:sz w:val="16"/>
          <w:szCs w:val="16"/>
          <w:lang w:val="es-CO"/>
        </w:rPr>
      </w:pPr>
      <w:r w:rsidRPr="006515D6">
        <w:rPr>
          <w:rStyle w:val="Refdenotaalpie"/>
          <w:rFonts w:ascii="Verdana" w:hAnsi="Verdana" w:cs="Arial"/>
          <w:sz w:val="16"/>
          <w:szCs w:val="16"/>
        </w:rPr>
        <w:footnoteRef/>
      </w:r>
      <w:r w:rsidRPr="006515D6">
        <w:rPr>
          <w:rFonts w:ascii="Verdana" w:hAnsi="Verdana" w:cs="Arial"/>
          <w:sz w:val="16"/>
          <w:szCs w:val="16"/>
          <w:vertAlign w:val="superscript"/>
        </w:rPr>
        <w:t xml:space="preserve"> </w:t>
      </w:r>
      <w:r w:rsidRPr="006515D6">
        <w:rPr>
          <w:rFonts w:ascii="Verdana" w:hAnsi="Verdana" w:cs="Arial"/>
          <w:sz w:val="16"/>
          <w:szCs w:val="16"/>
        </w:rPr>
        <w:t xml:space="preserve">Ley 1712 de 2014: “Artículo 3. </w:t>
      </w:r>
      <w:r w:rsidRPr="006515D6">
        <w:rPr>
          <w:rFonts w:ascii="Verdana" w:hAnsi="Verdana" w:cs="Arial"/>
          <w:sz w:val="16"/>
          <w:szCs w:val="16"/>
          <w:lang w:val="es-CO"/>
        </w:rPr>
        <w:t>Otros principios de la transparencia y acceso a la información pública. </w:t>
      </w:r>
    </w:p>
    <w:p w14:paraId="38D30EA4" w14:textId="77777777" w:rsidR="00584C69" w:rsidRPr="006515D6" w:rsidRDefault="00584C69" w:rsidP="00584C69">
      <w:pPr>
        <w:pStyle w:val="Textonotapie"/>
        <w:ind w:firstLine="707"/>
        <w:contextualSpacing/>
        <w:jc w:val="both"/>
        <w:rPr>
          <w:rFonts w:ascii="Verdana" w:hAnsi="Verdana" w:cs="Arial"/>
          <w:sz w:val="16"/>
          <w:szCs w:val="16"/>
          <w:lang w:val="es-ES"/>
        </w:rPr>
      </w:pPr>
      <w:r w:rsidRPr="006515D6">
        <w:rPr>
          <w:rFonts w:ascii="Verdana" w:hAnsi="Verdana" w:cs="Arial"/>
          <w:sz w:val="16"/>
          <w:szCs w:val="16"/>
          <w:lang w:val="es-ES"/>
        </w:rPr>
        <w:t>[…]</w:t>
      </w:r>
      <w:r>
        <w:rPr>
          <w:rFonts w:ascii="Verdana" w:hAnsi="Verdana" w:cs="Arial"/>
          <w:sz w:val="16"/>
          <w:szCs w:val="16"/>
          <w:lang w:val="es-ES"/>
        </w:rPr>
        <w:t xml:space="preserve"> </w:t>
      </w:r>
      <w:r w:rsidRPr="006515D6">
        <w:rPr>
          <w:rStyle w:val="baj"/>
          <w:rFonts w:ascii="Verdana" w:hAnsi="Verdana" w:cs="Arial"/>
          <w:sz w:val="16"/>
          <w:szCs w:val="16"/>
        </w:rPr>
        <w:t>Principio de buena fe</w:t>
      </w:r>
      <w:r w:rsidRPr="006515D6">
        <w:rPr>
          <w:rFonts w:ascii="Verdana" w:hAnsi="Verdana" w:cs="Arial"/>
          <w:sz w:val="16"/>
          <w:szCs w:val="16"/>
        </w:rPr>
        <w:t>. En virtud del cual todo sujeto obligado, al cumplir con las obligaciones derivadas del derecho de acceso a la información pública, lo hará con motivación honesta, leal y desprovista de cualquier intención dolosa o culposa”.</w:t>
      </w:r>
    </w:p>
  </w:footnote>
  <w:footnote w:id="6">
    <w:p w14:paraId="13E582F8" w14:textId="77777777" w:rsidR="00584C69" w:rsidRPr="006515D6" w:rsidRDefault="00584C69" w:rsidP="00584C69">
      <w:pPr>
        <w:pStyle w:val="Textonotapie"/>
        <w:ind w:firstLine="707"/>
        <w:contextualSpacing/>
        <w:jc w:val="both"/>
        <w:rPr>
          <w:rFonts w:ascii="Verdana" w:hAnsi="Verdana" w:cs="Arial"/>
          <w:sz w:val="16"/>
          <w:szCs w:val="16"/>
        </w:rPr>
      </w:pPr>
    </w:p>
    <w:p w14:paraId="66DE3251" w14:textId="77777777" w:rsidR="00584C69" w:rsidRPr="00522572" w:rsidRDefault="00584C69" w:rsidP="00584C69">
      <w:pPr>
        <w:pStyle w:val="Textonotapie"/>
        <w:ind w:firstLine="707"/>
        <w:contextualSpacing/>
        <w:jc w:val="both"/>
        <w:rPr>
          <w:rFonts w:ascii="Verdana" w:hAnsi="Verdana" w:cs="Arial"/>
          <w:sz w:val="16"/>
          <w:szCs w:val="16"/>
          <w:shd w:val="clear" w:color="auto" w:fill="FFFFFF"/>
        </w:rPr>
      </w:pPr>
      <w:r w:rsidRPr="006515D6">
        <w:rPr>
          <w:rStyle w:val="Refdenotaalpie"/>
          <w:rFonts w:ascii="Verdana" w:hAnsi="Verdana" w:cs="Arial"/>
          <w:sz w:val="16"/>
          <w:szCs w:val="16"/>
        </w:rPr>
        <w:footnoteRef/>
      </w:r>
      <w:r w:rsidRPr="006515D6">
        <w:rPr>
          <w:rFonts w:ascii="Verdana" w:hAnsi="Verdana" w:cs="Arial"/>
          <w:sz w:val="16"/>
          <w:szCs w:val="16"/>
        </w:rPr>
        <w:t xml:space="preserve"> Ley 1712 de 2014: “Artículo 9. </w:t>
      </w:r>
      <w:r w:rsidRPr="006515D6">
        <w:rPr>
          <w:rFonts w:ascii="Verdana" w:hAnsi="Verdana" w:cs="Arial"/>
          <w:sz w:val="16"/>
          <w:szCs w:val="16"/>
          <w:shd w:val="clear" w:color="auto" w:fill="FFFFFF"/>
        </w:rPr>
        <w:t> </w:t>
      </w:r>
      <w:r w:rsidRPr="006515D6">
        <w:rPr>
          <w:rStyle w:val="nfasis"/>
          <w:rFonts w:ascii="Verdana" w:hAnsi="Verdana" w:cs="Arial"/>
          <w:sz w:val="16"/>
          <w:szCs w:val="16"/>
          <w:shd w:val="clear" w:color="auto" w:fill="FFFFFF"/>
        </w:rPr>
        <w:t>Información mínima obligatoria respecto a la estructura del sujeto obligado. </w:t>
      </w:r>
      <w:r w:rsidRPr="006515D6">
        <w:rPr>
          <w:rFonts w:ascii="Verdana" w:hAnsi="Verdana" w:cs="Arial"/>
          <w:sz w:val="16"/>
          <w:szCs w:val="16"/>
          <w:shd w:val="clear" w:color="auto" w:fill="FFFFFF"/>
        </w:rPr>
        <w:t>Todo sujeto obligado deberá publicar la siguiente información mínima obligatoria de manera proactiva en los sistemas de información del Estado o herramientas que lo sustituyan</w:t>
      </w:r>
      <w:r>
        <w:rPr>
          <w:rFonts w:ascii="Verdana" w:hAnsi="Verdana" w:cs="Arial"/>
          <w:sz w:val="16"/>
          <w:szCs w:val="16"/>
          <w:shd w:val="clear" w:color="auto" w:fill="FFFFFF"/>
        </w:rPr>
        <w:t xml:space="preserve"> </w:t>
      </w:r>
      <w:r w:rsidRPr="006515D6">
        <w:rPr>
          <w:rFonts w:ascii="Verdana" w:hAnsi="Verdana" w:cs="Arial"/>
          <w:sz w:val="16"/>
          <w:szCs w:val="16"/>
          <w:shd w:val="clear" w:color="auto" w:fill="FFFFFF"/>
        </w:rPr>
        <w:t>[…]</w:t>
      </w:r>
      <w:r>
        <w:rPr>
          <w:rFonts w:ascii="Verdana" w:hAnsi="Verdana" w:cs="Arial"/>
          <w:sz w:val="16"/>
          <w:szCs w:val="16"/>
          <w:shd w:val="clear" w:color="auto" w:fill="FFFFFF"/>
        </w:rPr>
        <w:t xml:space="preserve"> </w:t>
      </w:r>
      <w:r w:rsidRPr="006515D6">
        <w:rPr>
          <w:rFonts w:ascii="Verdana" w:hAnsi="Verdana" w:cs="Arial"/>
          <w:sz w:val="16"/>
          <w:szCs w:val="16"/>
          <w:shd w:val="clear" w:color="auto" w:fill="FFFFFF"/>
        </w:rPr>
        <w:t>e) Su respectivo plan de compras anual, así como las contrataciones adjudicadas para la correspondiente vigencia en lo relacionado con funcionamiento e inversión, las obras públicas, los bienes adquiridos, arrendados y en caso de los servicios de estudios o investigaciones deberá señalarse el tema específico, de conformidad con el artículo 74</w:t>
      </w:r>
      <w:r w:rsidRPr="006515D6">
        <w:rPr>
          <w:rFonts w:ascii="Verdana" w:hAnsi="Verdana" w:cs="Arial"/>
          <w:sz w:val="16"/>
          <w:szCs w:val="16"/>
        </w:rPr>
        <w:t xml:space="preserve"> </w:t>
      </w:r>
      <w:r w:rsidRPr="006515D6">
        <w:rPr>
          <w:rFonts w:ascii="Verdana" w:hAnsi="Verdana" w:cs="Arial"/>
          <w:sz w:val="16"/>
          <w:szCs w:val="16"/>
          <w:shd w:val="clear" w:color="auto" w:fill="FFFFFF"/>
        </w:rPr>
        <w:t>de la Ley 1474 de 2011. En el caso de las personas naturales con contratos de prestación de servicios, deberá publicarse el objeto del contrato, monto de los honorarios y direcciones de correo electrónico, de conformidad con el formato de información de servidores públicos y contratistas;</w:t>
      </w:r>
      <w:r w:rsidRPr="006515D6">
        <w:rPr>
          <w:rFonts w:ascii="Verdana" w:hAnsi="Verdana" w:cs="Arial"/>
          <w:sz w:val="16"/>
          <w:szCs w:val="16"/>
        </w:rPr>
        <w:t>”.</w:t>
      </w:r>
    </w:p>
  </w:footnote>
  <w:footnote w:id="7">
    <w:p w14:paraId="753D3F8A" w14:textId="77777777" w:rsidR="00584C69" w:rsidRPr="006515D6" w:rsidRDefault="00584C69" w:rsidP="00584C69">
      <w:pPr>
        <w:spacing w:after="0" w:line="240" w:lineRule="auto"/>
        <w:ind w:firstLine="707"/>
        <w:contextualSpacing/>
        <w:jc w:val="both"/>
        <w:rPr>
          <w:rFonts w:ascii="Verdana" w:hAnsi="Verdana" w:cs="Arial"/>
          <w:sz w:val="16"/>
          <w:szCs w:val="16"/>
        </w:rPr>
      </w:pPr>
    </w:p>
    <w:p w14:paraId="49BB8379" w14:textId="77777777" w:rsidR="00584C69" w:rsidRPr="006515D6" w:rsidRDefault="00584C69" w:rsidP="00584C69">
      <w:pPr>
        <w:spacing w:after="0" w:line="240" w:lineRule="auto"/>
        <w:ind w:firstLine="707"/>
        <w:contextualSpacing/>
        <w:jc w:val="both"/>
        <w:rPr>
          <w:rFonts w:ascii="Verdana" w:hAnsi="Verdana" w:cs="Arial"/>
          <w:sz w:val="16"/>
          <w:szCs w:val="16"/>
        </w:rPr>
      </w:pPr>
      <w:r w:rsidRPr="006515D6">
        <w:rPr>
          <w:rStyle w:val="Refdenotaalpie"/>
          <w:rFonts w:ascii="Verdana" w:hAnsi="Verdana" w:cs="Arial"/>
          <w:sz w:val="16"/>
          <w:szCs w:val="16"/>
        </w:rPr>
        <w:footnoteRef/>
      </w:r>
      <w:r w:rsidRPr="006515D6">
        <w:rPr>
          <w:rFonts w:ascii="Verdana" w:hAnsi="Verdana" w:cs="Arial"/>
          <w:sz w:val="16"/>
          <w:szCs w:val="16"/>
        </w:rPr>
        <w:t xml:space="preserve"> Ley 1712 de 2014: “Artículo 5. Ámbito de aplicación. Las disposiciones de esta ley serán aplicables a las siguientes personas en calidad de sujetos obligados:</w:t>
      </w:r>
      <w:r>
        <w:rPr>
          <w:rFonts w:ascii="Verdana" w:hAnsi="Verdana" w:cs="Arial"/>
          <w:sz w:val="16"/>
          <w:szCs w:val="16"/>
        </w:rPr>
        <w:t xml:space="preserve"> </w:t>
      </w:r>
      <w:r w:rsidRPr="006515D6">
        <w:rPr>
          <w:rFonts w:ascii="Verdana" w:hAnsi="Verdana" w:cs="Arial"/>
          <w:sz w:val="16"/>
          <w:szCs w:val="16"/>
        </w:rPr>
        <w:t>a) Toda entidad pública, incluyendo las pertenecientes a todas las Ramas del Poder Público, en todos los niveles de la estructura estatal, central o descentralizada por servicios o territorialmente, en los órdenes nacional, departamental, municipal y distrital”.</w:t>
      </w:r>
    </w:p>
    <w:p w14:paraId="39AF99FD" w14:textId="77777777" w:rsidR="00584C69" w:rsidRPr="006515D6" w:rsidRDefault="00584C69" w:rsidP="00584C69">
      <w:pPr>
        <w:pStyle w:val="Textonotapie"/>
        <w:contextualSpacing/>
        <w:jc w:val="both"/>
        <w:rPr>
          <w:rFonts w:ascii="Verdana" w:hAnsi="Verdana" w:cs="Arial"/>
          <w:sz w:val="16"/>
          <w:szCs w:val="16"/>
        </w:rPr>
      </w:pPr>
    </w:p>
  </w:footnote>
  <w:footnote w:id="8">
    <w:p w14:paraId="20B3615E" w14:textId="77777777" w:rsidR="00584C69" w:rsidRDefault="00584C69" w:rsidP="00584C69">
      <w:pPr>
        <w:pStyle w:val="Textonotapie"/>
        <w:ind w:firstLine="709"/>
        <w:jc w:val="both"/>
      </w:pPr>
      <w:r w:rsidRPr="006515D6">
        <w:rPr>
          <w:rStyle w:val="Refdenotaalpie"/>
          <w:rFonts w:ascii="Verdana" w:hAnsi="Verdana"/>
          <w:sz w:val="16"/>
          <w:szCs w:val="16"/>
        </w:rPr>
        <w:footnoteRef/>
      </w:r>
      <w:r w:rsidRPr="006515D6">
        <w:rPr>
          <w:rFonts w:ascii="Verdana" w:hAnsi="Verdana"/>
          <w:sz w:val="16"/>
          <w:szCs w:val="16"/>
        </w:rPr>
        <w:t xml:space="preserve"> </w:t>
      </w:r>
      <w:r w:rsidRPr="006515D6">
        <w:rPr>
          <w:rFonts w:ascii="Verdana" w:hAnsi="Verdana"/>
          <w:sz w:val="16"/>
          <w:szCs w:val="16"/>
          <w:lang w:val="es-ES"/>
        </w:rPr>
        <w:t xml:space="preserve">Actualizada por la Circular Externa Única del 27 de diciembre de 2023. En </w:t>
      </w:r>
      <w:hyperlink r:id="rId1" w:history="1">
        <w:r w:rsidRPr="0054318D">
          <w:rPr>
            <w:rStyle w:val="Hipervnculo"/>
            <w:rFonts w:ascii="Verdana" w:hAnsi="Verdana" w:cs="Arial"/>
            <w:sz w:val="16"/>
            <w:szCs w:val="16"/>
          </w:rPr>
          <w:t>https://www.colombiacompra.gov.co/normativa-y-relatoria/circular-unica-externa</w:t>
        </w:r>
      </w:hyperlink>
    </w:p>
    <w:p w14:paraId="2B15B345" w14:textId="77777777" w:rsidR="00596981" w:rsidRPr="006515D6" w:rsidRDefault="00596981" w:rsidP="00584C69">
      <w:pPr>
        <w:pStyle w:val="Textonotapie"/>
        <w:ind w:firstLine="709"/>
        <w:jc w:val="both"/>
        <w:rPr>
          <w:rFonts w:ascii="Verdana" w:hAnsi="Verdana"/>
          <w:sz w:val="16"/>
          <w:szCs w:val="16"/>
          <w:lang w:val="es-ES"/>
        </w:rPr>
      </w:pPr>
    </w:p>
  </w:footnote>
  <w:footnote w:id="9">
    <w:p w14:paraId="1CAB208D" w14:textId="77777777" w:rsidR="00584C69" w:rsidRPr="006515D6" w:rsidRDefault="00584C69" w:rsidP="00584C69">
      <w:pPr>
        <w:pStyle w:val="Textonotapie"/>
        <w:ind w:firstLine="709"/>
        <w:jc w:val="both"/>
        <w:rPr>
          <w:rFonts w:ascii="Verdana" w:hAnsi="Verdana" w:cs="Arial"/>
          <w:color w:val="000000" w:themeColor="text1"/>
          <w:sz w:val="16"/>
          <w:szCs w:val="16"/>
          <w:lang w:val="es-CO"/>
        </w:rPr>
      </w:pPr>
      <w:r w:rsidRPr="006515D6">
        <w:rPr>
          <w:rStyle w:val="Refdenotaalpie"/>
          <w:rFonts w:ascii="Verdana" w:hAnsi="Verdana" w:cs="Arial"/>
          <w:color w:val="000000" w:themeColor="text1"/>
          <w:sz w:val="16"/>
          <w:szCs w:val="16"/>
        </w:rPr>
        <w:footnoteRef/>
      </w:r>
      <w:r w:rsidRPr="006515D6">
        <w:rPr>
          <w:rFonts w:ascii="Verdana" w:hAnsi="Verdana" w:cs="Arial"/>
          <w:color w:val="000000" w:themeColor="text1"/>
          <w:sz w:val="16"/>
          <w:szCs w:val="16"/>
        </w:rPr>
        <w:t xml:space="preserve"> “Numeral 1.1 […] Las Entidades que contratan con cargo a recursos públicos están obligadas a publicar oportunamente su actividad contractual en el SECOP, sin que sea relevante para la exigencia de esta obligación su régimen jurídico, naturaleza de público o privado o la pertenencia a una u otra rama del poder público.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pPr>
      <w:pStyle w:val="Encabezad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12DD542F">
          <wp:simplePos x="0" y="0"/>
          <wp:positionH relativeFrom="margin">
            <wp:align>center</wp:align>
          </wp:positionH>
          <wp:positionV relativeFrom="paragraph">
            <wp:posOffset>-345440</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3079FC11" w14:textId="77777777" w:rsidR="00DC39FC" w:rsidRDefault="00DC39FC" w:rsidP="004A305D">
    <w:pPr>
      <w:spacing w:after="0"/>
      <w:rPr>
        <w:rFonts w:ascii="Verdana" w:hAnsi="Verdana"/>
        <w:b/>
        <w:bCs/>
      </w:rPr>
    </w:pPr>
  </w:p>
  <w:p w14:paraId="7FE1230C" w14:textId="77E53D9F" w:rsidR="004A305D" w:rsidRPr="00DC39FC" w:rsidRDefault="004A305D" w:rsidP="004A305D">
    <w:pPr>
      <w:spacing w:after="0"/>
      <w:rPr>
        <w:rFonts w:ascii="Verdana" w:hAnsi="Verdana"/>
        <w:b/>
        <w:bCs/>
      </w:rPr>
    </w:pPr>
    <w:r w:rsidRPr="00DC39FC">
      <w:rPr>
        <w:rFonts w:ascii="Verdana" w:hAnsi="Verdana"/>
        <w:b/>
        <w:bCs/>
      </w:rPr>
      <w:t>FORMATO PQRSD</w:t>
    </w: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1FD1C243" w14:textId="6D74A3CF" w:rsidR="008A446D" w:rsidRDefault="008A446D" w:rsidP="00061B2A">
    <w:pPr>
      <w:pStyle w:val="Encabezado"/>
      <w:spacing w:line="12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65pt;height:11.65pt" o:bullet="t">
        <v:imagedata r:id="rId1" o:title="mso1B13"/>
      </v:shape>
    </w:pict>
  </w:numPicBullet>
  <w:abstractNum w:abstractNumId="0"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9D726F5"/>
    <w:multiLevelType w:val="hybridMultilevel"/>
    <w:tmpl w:val="1AE0494A"/>
    <w:lvl w:ilvl="0" w:tplc="08FE3E8E">
      <w:start w:val="1"/>
      <w:numFmt w:val="bullet"/>
      <w:lvlText w:val=""/>
      <w:lvlJc w:val="left"/>
      <w:pPr>
        <w:ind w:left="720" w:hanging="360"/>
      </w:pPr>
      <w:rPr>
        <w:rFonts w:ascii="Symbol" w:hAnsi="Symbol" w:hint="default"/>
        <w:color w:val="auto"/>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 w15:restartNumberingAfterBreak="0">
    <w:nsid w:val="636C03B0"/>
    <w:multiLevelType w:val="hybridMultilevel"/>
    <w:tmpl w:val="87183FAA"/>
    <w:lvl w:ilvl="0" w:tplc="240A0007">
      <w:start w:val="1"/>
      <w:numFmt w:val="bullet"/>
      <w:lvlText w:val=""/>
      <w:lvlPicBulletId w:val="0"/>
      <w:lvlJc w:val="left"/>
      <w:pPr>
        <w:ind w:left="785" w:hanging="360"/>
      </w:pPr>
      <w:rPr>
        <w:rFonts w:ascii="Symbol" w:hAnsi="Symbol" w:hint="default"/>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0"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5"/>
  </w:num>
  <w:num w:numId="2" w16cid:durableId="19822139">
    <w:abstractNumId w:val="1"/>
  </w:num>
  <w:num w:numId="3" w16cid:durableId="876742304">
    <w:abstractNumId w:val="3"/>
  </w:num>
  <w:num w:numId="4" w16cid:durableId="24518640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1"/>
  </w:num>
  <w:num w:numId="6" w16cid:durableId="316692925">
    <w:abstractNumId w:val="12"/>
  </w:num>
  <w:num w:numId="7" w16cid:durableId="1946422806">
    <w:abstractNumId w:val="4"/>
  </w:num>
  <w:num w:numId="8" w16cid:durableId="152644682">
    <w:abstractNumId w:val="11"/>
  </w:num>
  <w:num w:numId="9" w16cid:durableId="1317221377">
    <w:abstractNumId w:val="6"/>
  </w:num>
  <w:num w:numId="10" w16cid:durableId="1471245386">
    <w:abstractNumId w:val="10"/>
  </w:num>
  <w:num w:numId="11" w16cid:durableId="289172385">
    <w:abstractNumId w:val="7"/>
  </w:num>
  <w:num w:numId="12" w16cid:durableId="1470781324">
    <w:abstractNumId w:val="0"/>
  </w:num>
  <w:num w:numId="13" w16cid:durableId="1512908409">
    <w:abstractNumId w:val="2"/>
  </w:num>
  <w:num w:numId="14" w16cid:durableId="895897244">
    <w:abstractNumId w:val="13"/>
  </w:num>
  <w:num w:numId="15" w16cid:durableId="390349800">
    <w:abstractNumId w:val="9"/>
  </w:num>
  <w:num w:numId="16" w16cid:durableId="67908957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4C2E"/>
    <w:rsid w:val="00016D78"/>
    <w:rsid w:val="00016F78"/>
    <w:rsid w:val="00017AD3"/>
    <w:rsid w:val="00046945"/>
    <w:rsid w:val="00057658"/>
    <w:rsid w:val="00057DB5"/>
    <w:rsid w:val="00061B2A"/>
    <w:rsid w:val="00082362"/>
    <w:rsid w:val="0009269C"/>
    <w:rsid w:val="000A3F74"/>
    <w:rsid w:val="000A683E"/>
    <w:rsid w:val="000B19B9"/>
    <w:rsid w:val="000D0334"/>
    <w:rsid w:val="000F2F42"/>
    <w:rsid w:val="000F6486"/>
    <w:rsid w:val="00104B60"/>
    <w:rsid w:val="00125105"/>
    <w:rsid w:val="00127233"/>
    <w:rsid w:val="0012783F"/>
    <w:rsid w:val="001428E1"/>
    <w:rsid w:val="001511A0"/>
    <w:rsid w:val="001577D9"/>
    <w:rsid w:val="00171970"/>
    <w:rsid w:val="0019388B"/>
    <w:rsid w:val="001A295F"/>
    <w:rsid w:val="001E3D98"/>
    <w:rsid w:val="001E4177"/>
    <w:rsid w:val="001F1DE3"/>
    <w:rsid w:val="001F7DC6"/>
    <w:rsid w:val="0022564E"/>
    <w:rsid w:val="002421BB"/>
    <w:rsid w:val="00250B10"/>
    <w:rsid w:val="0025796E"/>
    <w:rsid w:val="002707A2"/>
    <w:rsid w:val="002716FE"/>
    <w:rsid w:val="002951A0"/>
    <w:rsid w:val="002962BC"/>
    <w:rsid w:val="002A093D"/>
    <w:rsid w:val="002A0DD0"/>
    <w:rsid w:val="002A49AC"/>
    <w:rsid w:val="002A64FD"/>
    <w:rsid w:val="002B6209"/>
    <w:rsid w:val="002C7A84"/>
    <w:rsid w:val="002D4E01"/>
    <w:rsid w:val="002E4FD9"/>
    <w:rsid w:val="00315E23"/>
    <w:rsid w:val="00316EC3"/>
    <w:rsid w:val="00322A85"/>
    <w:rsid w:val="00324168"/>
    <w:rsid w:val="003448F4"/>
    <w:rsid w:val="00354EE4"/>
    <w:rsid w:val="00374F5E"/>
    <w:rsid w:val="00377E3E"/>
    <w:rsid w:val="003A779E"/>
    <w:rsid w:val="003D0F4D"/>
    <w:rsid w:val="003D5B0D"/>
    <w:rsid w:val="003E0499"/>
    <w:rsid w:val="003F3941"/>
    <w:rsid w:val="00406575"/>
    <w:rsid w:val="004106A1"/>
    <w:rsid w:val="00414C74"/>
    <w:rsid w:val="00425077"/>
    <w:rsid w:val="0042722E"/>
    <w:rsid w:val="00433DEC"/>
    <w:rsid w:val="0044528D"/>
    <w:rsid w:val="004514EB"/>
    <w:rsid w:val="004809D3"/>
    <w:rsid w:val="00490760"/>
    <w:rsid w:val="00490D76"/>
    <w:rsid w:val="004A1847"/>
    <w:rsid w:val="004A305D"/>
    <w:rsid w:val="004F21C4"/>
    <w:rsid w:val="004F685F"/>
    <w:rsid w:val="00511F23"/>
    <w:rsid w:val="00521E9C"/>
    <w:rsid w:val="00555EC4"/>
    <w:rsid w:val="005566E8"/>
    <w:rsid w:val="005712C9"/>
    <w:rsid w:val="00574867"/>
    <w:rsid w:val="00575FB1"/>
    <w:rsid w:val="00584C69"/>
    <w:rsid w:val="00591460"/>
    <w:rsid w:val="00596981"/>
    <w:rsid w:val="005A5CE5"/>
    <w:rsid w:val="005B3816"/>
    <w:rsid w:val="005C3777"/>
    <w:rsid w:val="005C5CDC"/>
    <w:rsid w:val="005D2616"/>
    <w:rsid w:val="005D476C"/>
    <w:rsid w:val="005E6DD0"/>
    <w:rsid w:val="005F7933"/>
    <w:rsid w:val="006219F8"/>
    <w:rsid w:val="006315C6"/>
    <w:rsid w:val="006372AE"/>
    <w:rsid w:val="00645E00"/>
    <w:rsid w:val="006479A9"/>
    <w:rsid w:val="00665D70"/>
    <w:rsid w:val="00671959"/>
    <w:rsid w:val="006900D9"/>
    <w:rsid w:val="006B7212"/>
    <w:rsid w:val="006D1C22"/>
    <w:rsid w:val="006D4714"/>
    <w:rsid w:val="00706C16"/>
    <w:rsid w:val="007554BC"/>
    <w:rsid w:val="00756841"/>
    <w:rsid w:val="007649AB"/>
    <w:rsid w:val="007662E5"/>
    <w:rsid w:val="00771D0C"/>
    <w:rsid w:val="00774DD8"/>
    <w:rsid w:val="007833AC"/>
    <w:rsid w:val="007838AD"/>
    <w:rsid w:val="007B268C"/>
    <w:rsid w:val="007B7171"/>
    <w:rsid w:val="007C0C0F"/>
    <w:rsid w:val="007C3DC2"/>
    <w:rsid w:val="007D3178"/>
    <w:rsid w:val="007E5497"/>
    <w:rsid w:val="00806F5F"/>
    <w:rsid w:val="00820278"/>
    <w:rsid w:val="0083080D"/>
    <w:rsid w:val="00830D62"/>
    <w:rsid w:val="008408EE"/>
    <w:rsid w:val="00860E88"/>
    <w:rsid w:val="00867F95"/>
    <w:rsid w:val="008843B6"/>
    <w:rsid w:val="00891928"/>
    <w:rsid w:val="008A2F94"/>
    <w:rsid w:val="008A446D"/>
    <w:rsid w:val="008C6D90"/>
    <w:rsid w:val="008D180B"/>
    <w:rsid w:val="008E3AED"/>
    <w:rsid w:val="008F0EA7"/>
    <w:rsid w:val="008F7352"/>
    <w:rsid w:val="00923EEF"/>
    <w:rsid w:val="009310DC"/>
    <w:rsid w:val="009419F9"/>
    <w:rsid w:val="00952468"/>
    <w:rsid w:val="0095685E"/>
    <w:rsid w:val="00957D56"/>
    <w:rsid w:val="00961B09"/>
    <w:rsid w:val="00965334"/>
    <w:rsid w:val="009654F8"/>
    <w:rsid w:val="00966696"/>
    <w:rsid w:val="0097093E"/>
    <w:rsid w:val="00986AC5"/>
    <w:rsid w:val="009A0DFA"/>
    <w:rsid w:val="009B24AE"/>
    <w:rsid w:val="009B2D26"/>
    <w:rsid w:val="009B6CD9"/>
    <w:rsid w:val="009C434A"/>
    <w:rsid w:val="009C71FA"/>
    <w:rsid w:val="009C72E7"/>
    <w:rsid w:val="009D3058"/>
    <w:rsid w:val="009F3A13"/>
    <w:rsid w:val="00A122D3"/>
    <w:rsid w:val="00A17F13"/>
    <w:rsid w:val="00A20739"/>
    <w:rsid w:val="00A33C78"/>
    <w:rsid w:val="00A95D12"/>
    <w:rsid w:val="00AB0ADB"/>
    <w:rsid w:val="00AB6DC2"/>
    <w:rsid w:val="00AB722D"/>
    <w:rsid w:val="00B01B1A"/>
    <w:rsid w:val="00B05D7C"/>
    <w:rsid w:val="00B2415F"/>
    <w:rsid w:val="00B41319"/>
    <w:rsid w:val="00B6349E"/>
    <w:rsid w:val="00B66319"/>
    <w:rsid w:val="00B72CD3"/>
    <w:rsid w:val="00B72FFF"/>
    <w:rsid w:val="00BA3BB6"/>
    <w:rsid w:val="00BC3D36"/>
    <w:rsid w:val="00BD7F72"/>
    <w:rsid w:val="00BE3D71"/>
    <w:rsid w:val="00BE7D7F"/>
    <w:rsid w:val="00C04FB3"/>
    <w:rsid w:val="00C1059A"/>
    <w:rsid w:val="00C1260F"/>
    <w:rsid w:val="00C14B6F"/>
    <w:rsid w:val="00C330EB"/>
    <w:rsid w:val="00C41061"/>
    <w:rsid w:val="00C754BE"/>
    <w:rsid w:val="00C76B1C"/>
    <w:rsid w:val="00C829E3"/>
    <w:rsid w:val="00CA23F7"/>
    <w:rsid w:val="00CB4972"/>
    <w:rsid w:val="00CB6357"/>
    <w:rsid w:val="00CC1B26"/>
    <w:rsid w:val="00CC52A8"/>
    <w:rsid w:val="00CF0C96"/>
    <w:rsid w:val="00D37339"/>
    <w:rsid w:val="00D423A2"/>
    <w:rsid w:val="00D520D8"/>
    <w:rsid w:val="00D63AC2"/>
    <w:rsid w:val="00D662A1"/>
    <w:rsid w:val="00D71B82"/>
    <w:rsid w:val="00D7383B"/>
    <w:rsid w:val="00D7615B"/>
    <w:rsid w:val="00D91A3D"/>
    <w:rsid w:val="00DA231B"/>
    <w:rsid w:val="00DC39FC"/>
    <w:rsid w:val="00DE0DC3"/>
    <w:rsid w:val="00DF5254"/>
    <w:rsid w:val="00E16408"/>
    <w:rsid w:val="00E20894"/>
    <w:rsid w:val="00E245AB"/>
    <w:rsid w:val="00E2764C"/>
    <w:rsid w:val="00E27F2E"/>
    <w:rsid w:val="00E50AFE"/>
    <w:rsid w:val="00E552E7"/>
    <w:rsid w:val="00E55F89"/>
    <w:rsid w:val="00E75C92"/>
    <w:rsid w:val="00E771DC"/>
    <w:rsid w:val="00E8772A"/>
    <w:rsid w:val="00E87F13"/>
    <w:rsid w:val="00E90F6B"/>
    <w:rsid w:val="00E92C27"/>
    <w:rsid w:val="00EA0E3D"/>
    <w:rsid w:val="00EC38A7"/>
    <w:rsid w:val="00ED7384"/>
    <w:rsid w:val="00EE1AA8"/>
    <w:rsid w:val="00F3142B"/>
    <w:rsid w:val="00F31EDC"/>
    <w:rsid w:val="00F462B3"/>
    <w:rsid w:val="00F5664F"/>
    <w:rsid w:val="00F666C4"/>
    <w:rsid w:val="00F76AFC"/>
    <w:rsid w:val="00F908C7"/>
    <w:rsid w:val="00FA47C0"/>
    <w:rsid w:val="00FB5DD1"/>
    <w:rsid w:val="00FB6E72"/>
    <w:rsid w:val="00FC18DA"/>
    <w:rsid w:val="00FC2B5D"/>
    <w:rsid w:val="00FF1449"/>
    <w:rsid w:val="165E9519"/>
    <w:rsid w:val="382536D9"/>
    <w:rsid w:val="6EFDAB80"/>
    <w:rsid w:val="7B6AA7A6"/>
    <w:rsid w:val="7C18393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table" w:customStyle="1" w:styleId="Tablaconcuadrcula1">
    <w:name w:val="Tabla con cuadrícula1"/>
    <w:basedOn w:val="Tablanormal"/>
    <w:next w:val="Tablaconcuadrcula"/>
    <w:uiPriority w:val="59"/>
    <w:rsid w:val="00584C69"/>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lnotedebasde">
    <w:name w:val="Appel note de bas de..."/>
    <w:basedOn w:val="Normal"/>
    <w:link w:val="Refdenotaalpie"/>
    <w:uiPriority w:val="99"/>
    <w:rsid w:val="00584C69"/>
    <w:pPr>
      <w:spacing w:line="240" w:lineRule="exact"/>
    </w:pPr>
    <w:rPr>
      <w:vertAlign w:val="superscript"/>
    </w:rPr>
  </w:style>
  <w:style w:type="character" w:styleId="nfasis">
    <w:name w:val="Emphasis"/>
    <w:basedOn w:val="Fuentedeprrafopredeter"/>
    <w:uiPriority w:val="20"/>
    <w:qFormat/>
    <w:rsid w:val="00584C69"/>
    <w:rPr>
      <w:i/>
      <w:iCs/>
    </w:rPr>
  </w:style>
  <w:style w:type="character" w:customStyle="1" w:styleId="baj">
    <w:name w:val="b_aj"/>
    <w:basedOn w:val="Fuentedeprrafopredeter"/>
    <w:rsid w:val="00584C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formacionvirtual.colombiacompra.gov.co/mod/page/view.php?id=3718"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relatoria.colombiacompra.gov.co"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olombiacompra.gov.co/normativa-y-relatoria/circular-unica-externa" TargetMode="External"/><Relationship Id="rId5" Type="http://schemas.openxmlformats.org/officeDocument/2006/relationships/styles" Target="styles.xml"/><Relationship Id="rId15" Type="http://schemas.openxmlformats.org/officeDocument/2006/relationships/image" Target="media/image3.png"/><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olombiacompra.gov.co/normativa-y-relatoria/documentos-tipo"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colombiacompra.gov.co/normativa-y-relatoria/circular-unica-externa"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6cb9e4b-f1d1-4245-83ec-6cad768d538a" xsi:nil="true"/>
    <lcf76f155ced4ddcb4097134ff3c332f xmlns="9d85dbaf-23eb-4e57-a637-93dcacc8b1a1">
      <Terms xmlns="http://schemas.microsoft.com/office/infopath/2007/PartnerControls"/>
    </lcf76f155ced4ddcb4097134ff3c332f>
    <No xmlns="9d85dbaf-23eb-4e57-a637-93dcacc8b1a1" xsi:nil="true"/>
    <_Flow_SignoffStatus xmlns="9d85dbaf-23eb-4e57-a637-93dcacc8b1a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8ae15d26-076e-464e-81a7-6f76a0fb3917"/>
    <ds:schemaRef ds:uri="d3b1a209-6428-47ff-99e7-c80af9907737"/>
  </ds:schemaRefs>
</ds:datastoreItem>
</file>

<file path=customXml/itemProps2.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3.xml><?xml version="1.0" encoding="utf-8"?>
<ds:datastoreItem xmlns:ds="http://schemas.openxmlformats.org/officeDocument/2006/customXml" ds:itemID="{28662A13-E620-4445-8E5E-9051AAA81E44}"/>
</file>

<file path=docProps/app.xml><?xml version="1.0" encoding="utf-8"?>
<Properties xmlns="http://schemas.openxmlformats.org/officeDocument/2006/extended-properties" xmlns:vt="http://schemas.openxmlformats.org/officeDocument/2006/docPropsVTypes">
  <Template>Normal.dotm</Template>
  <TotalTime>181</TotalTime>
  <Pages>12</Pages>
  <Words>3844</Words>
  <Characters>21142</Characters>
  <Application>Microsoft Office Word</Application>
  <DocSecurity>0</DocSecurity>
  <Lines>176</Lines>
  <Paragraphs>49</Paragraphs>
  <ScaleCrop>false</ScaleCrop>
  <Company/>
  <LinksUpToDate>false</LinksUpToDate>
  <CharactersWithSpaces>24937</CharactersWithSpaces>
  <SharedDoc>false</SharedDoc>
  <HLinks>
    <vt:vector size="30" baseType="variant">
      <vt:variant>
        <vt:i4>3276900</vt:i4>
      </vt:variant>
      <vt:variant>
        <vt:i4>15</vt:i4>
      </vt:variant>
      <vt:variant>
        <vt:i4>0</vt:i4>
      </vt:variant>
      <vt:variant>
        <vt:i4>5</vt:i4>
      </vt:variant>
      <vt:variant>
        <vt:lpwstr>https://nam02.safelinks.protection.outlook.com/?url=https%3A%2F%2Fwww.colombiacompra.gov.co%2Fwp-content%2Fuploads%2F2025%2F05%2FGUIA-DE-LINEAMIENTOS-DE-TRANSPARENCIA-Y-SELECCION-OBJETIVA-1.0.pdf&amp;data=05%7C02%7Cximena.rios%40colombiacompra.gov.co%7C7cfff6dece924643582c08dd97bfed90%7C7b09041e245149d08cb179d5e3d8c1be%7C0%7C0%7C638833572792160509%7CUnknown%7CTWFpbGZsb3d8eyJFbXB0eU1hcGkiOnRydWUsIlYiOiIwLjAuMDAwMCIsIlAiOiJXaW4zMiIsIkFOIjoiTWFpbCIsIldUIjoyfQ%3D%3D%7C0%7C%7C%7C&amp;sdata=c9fXX0l2fbd%2FlYjjmEFFr2nh5svDqag5kY1fYvsSiKY%3D&amp;reserved=0</vt:lpwstr>
      </vt:variant>
      <vt:variant>
        <vt:lpwstr/>
      </vt:variant>
      <vt:variant>
        <vt:i4>1900622</vt:i4>
      </vt:variant>
      <vt:variant>
        <vt:i4>6</vt:i4>
      </vt:variant>
      <vt:variant>
        <vt:i4>0</vt:i4>
      </vt:variant>
      <vt:variant>
        <vt:i4>5</vt:i4>
      </vt:variant>
      <vt:variant>
        <vt:lpwstr>https://relatoria.colombiacompra.gov.co/</vt:lpwstr>
      </vt:variant>
      <vt:variant>
        <vt:lpwstr/>
      </vt:variant>
      <vt:variant>
        <vt:i4>3014713</vt:i4>
      </vt:variant>
      <vt:variant>
        <vt:i4>3</vt:i4>
      </vt:variant>
      <vt:variant>
        <vt:i4>0</vt:i4>
      </vt:variant>
      <vt:variant>
        <vt:i4>5</vt:i4>
      </vt:variant>
      <vt:variant>
        <vt:lpwstr>https://www.colombiacompra.gov.co/normativa-y-relatoria/circular-unica-externa</vt:lpwstr>
      </vt:variant>
      <vt:variant>
        <vt:lpwstr/>
      </vt:variant>
      <vt:variant>
        <vt:i4>1835060</vt:i4>
      </vt:variant>
      <vt:variant>
        <vt:i4>0</vt:i4>
      </vt:variant>
      <vt:variant>
        <vt:i4>0</vt:i4>
      </vt:variant>
      <vt:variant>
        <vt:i4>5</vt:i4>
      </vt:variant>
      <vt:variant>
        <vt:lpwstr>mailto:leidykarollmen@gmail.com</vt:lpwstr>
      </vt:variant>
      <vt:variant>
        <vt:lpwstr/>
      </vt:variant>
      <vt:variant>
        <vt:i4>3014713</vt:i4>
      </vt:variant>
      <vt:variant>
        <vt:i4>0</vt:i4>
      </vt:variant>
      <vt:variant>
        <vt:i4>0</vt:i4>
      </vt:variant>
      <vt:variant>
        <vt:i4>5</vt:i4>
      </vt:variant>
      <vt:variant>
        <vt:lpwstr>https://www.colombiacompra.gov.co/normativa-y-relatoria/circular-unica-externa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Ximena Ríos López</cp:lastModifiedBy>
  <cp:revision>55</cp:revision>
  <cp:lastPrinted>2023-01-10T21:18:00Z</cp:lastPrinted>
  <dcterms:created xsi:type="dcterms:W3CDTF">2026-06-01T20:11:00Z</dcterms:created>
  <dcterms:modified xsi:type="dcterms:W3CDTF">2026-06-24T17:13:00Z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