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CD7BA" w14:textId="77777777" w:rsidR="00195688" w:rsidRPr="00796BAE" w:rsidRDefault="00195688" w:rsidP="00195688">
      <w:pPr>
        <w:spacing w:after="0" w:line="240" w:lineRule="auto"/>
        <w:jc w:val="both"/>
        <w:rPr>
          <w:rFonts w:ascii="Verdana" w:hAnsi="Verdana" w:cs="Arial"/>
          <w:b/>
          <w:bCs/>
          <w:color w:val="000000" w:themeColor="text1"/>
        </w:rPr>
      </w:pPr>
      <w:bookmarkStart w:id="0" w:name="_Hlk143780582"/>
      <w:r w:rsidRPr="00796BAE">
        <w:rPr>
          <w:rFonts w:ascii="Verdana" w:hAnsi="Verdana" w:cs="Arial"/>
          <w:b/>
          <w:bCs/>
          <w:color w:val="000000" w:themeColor="text1"/>
        </w:rPr>
        <w:t>CONTRATOS ESTATALES – Tipologías contractuales – Noción</w:t>
      </w:r>
    </w:p>
    <w:p w14:paraId="6BBCD395" w14:textId="77777777" w:rsidR="00195688" w:rsidRPr="00796BAE" w:rsidRDefault="00195688" w:rsidP="00195688">
      <w:pPr>
        <w:spacing w:after="0" w:line="240" w:lineRule="auto"/>
        <w:jc w:val="both"/>
        <w:rPr>
          <w:rFonts w:ascii="Verdana" w:hAnsi="Verdana" w:cs="Arial"/>
          <w:b/>
          <w:bCs/>
          <w:color w:val="000000" w:themeColor="text1"/>
        </w:rPr>
      </w:pPr>
    </w:p>
    <w:p w14:paraId="460DF33D" w14:textId="77777777" w:rsidR="00195688" w:rsidRPr="00796BAE" w:rsidRDefault="00195688" w:rsidP="00195688">
      <w:pPr>
        <w:spacing w:after="0" w:line="240" w:lineRule="auto"/>
        <w:jc w:val="both"/>
        <w:rPr>
          <w:rFonts w:ascii="Verdana" w:hAnsi="Verdana" w:cs="Arial"/>
          <w:sz w:val="20"/>
          <w:szCs w:val="20"/>
        </w:rPr>
      </w:pPr>
      <w:r>
        <w:rPr>
          <w:rFonts w:ascii="Verdana" w:eastAsia="Calibri" w:hAnsi="Verdana" w:cs="Arial"/>
          <w:sz w:val="20"/>
          <w:szCs w:val="20"/>
          <w:lang w:val="es-ES"/>
        </w:rPr>
        <w:t xml:space="preserve">[…] </w:t>
      </w:r>
      <w:r w:rsidRPr="00796BAE">
        <w:rPr>
          <w:rFonts w:ascii="Verdana" w:eastAsia="Calibri" w:hAnsi="Verdana" w:cs="Arial"/>
          <w:sz w:val="20"/>
          <w:szCs w:val="20"/>
          <w:lang w:val="es-ES"/>
        </w:rPr>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796BAE">
        <w:rPr>
          <w:rFonts w:ascii="Verdana" w:hAnsi="Verdana" w:cs="Arial"/>
          <w:sz w:val="20"/>
          <w:szCs w:val="20"/>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20394B98" w14:textId="77777777" w:rsidR="00195688" w:rsidRDefault="00195688" w:rsidP="00195688">
      <w:pPr>
        <w:spacing w:after="0" w:line="240" w:lineRule="auto"/>
        <w:jc w:val="both"/>
        <w:rPr>
          <w:rFonts w:ascii="Verdana" w:hAnsi="Verdana" w:cs="Arial"/>
          <w:sz w:val="20"/>
          <w:szCs w:val="20"/>
        </w:rPr>
      </w:pPr>
      <w:r w:rsidRPr="00796BAE">
        <w:rPr>
          <w:rFonts w:ascii="Verdana" w:hAnsi="Verdana" w:cs="Arial"/>
          <w:sz w:val="20"/>
          <w:szCs w:val="20"/>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r>
        <w:rPr>
          <w:rFonts w:ascii="Verdana" w:hAnsi="Verdana" w:cs="Arial"/>
          <w:sz w:val="20"/>
          <w:szCs w:val="20"/>
        </w:rPr>
        <w:t>[...]</w:t>
      </w:r>
    </w:p>
    <w:p w14:paraId="5115D74A" w14:textId="77777777" w:rsidR="00195688" w:rsidRDefault="00195688" w:rsidP="00195688">
      <w:pPr>
        <w:spacing w:after="0" w:line="240" w:lineRule="auto"/>
        <w:jc w:val="both"/>
        <w:rPr>
          <w:rFonts w:ascii="Verdana" w:hAnsi="Verdana" w:cs="Arial"/>
          <w:sz w:val="20"/>
          <w:szCs w:val="20"/>
        </w:rPr>
      </w:pPr>
    </w:p>
    <w:p w14:paraId="4DF12040" w14:textId="77777777" w:rsidR="00195688" w:rsidRPr="00BB3BE4" w:rsidRDefault="00195688" w:rsidP="00195688">
      <w:pPr>
        <w:tabs>
          <w:tab w:val="left" w:pos="709"/>
        </w:tabs>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OPERACIÓN LOGÍSTICA</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Contrato atípico mixto</w:t>
      </w:r>
      <w:r w:rsidRPr="00BB3BE4">
        <w:rPr>
          <w:rFonts w:ascii="Verdana" w:eastAsia="Calibri" w:hAnsi="Verdana" w:cs="Arial"/>
          <w:b/>
          <w:lang w:val="es-ES_tradnl" w:eastAsia="es-ES_tradnl"/>
        </w:rPr>
        <w:t xml:space="preserve"> ‒ </w:t>
      </w:r>
      <w:r>
        <w:rPr>
          <w:rFonts w:ascii="Verdana" w:eastAsia="Calibri" w:hAnsi="Verdana" w:cs="Arial"/>
          <w:b/>
          <w:lang w:val="es-ES_tradnl" w:eastAsia="es-ES_tradnl"/>
        </w:rPr>
        <w:t>Actividades</w:t>
      </w:r>
    </w:p>
    <w:p w14:paraId="366F2672" w14:textId="77777777" w:rsidR="00195688" w:rsidRPr="00BB3BE4" w:rsidRDefault="00195688" w:rsidP="00195688">
      <w:pPr>
        <w:tabs>
          <w:tab w:val="left" w:pos="709"/>
        </w:tabs>
        <w:spacing w:after="0" w:line="240" w:lineRule="auto"/>
        <w:jc w:val="both"/>
        <w:rPr>
          <w:rFonts w:ascii="Verdana" w:eastAsia="Calibri" w:hAnsi="Verdana" w:cs="Arial"/>
          <w:bCs/>
          <w:sz w:val="20"/>
          <w:szCs w:val="20"/>
          <w:lang w:val="es-ES_tradnl" w:eastAsia="es-ES_tradnl"/>
        </w:rPr>
      </w:pPr>
    </w:p>
    <w:p w14:paraId="6122AC2B" w14:textId="77777777" w:rsidR="00195688" w:rsidRDefault="00195688" w:rsidP="00195688">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lang w:val="es-ES"/>
        </w:rPr>
        <w:t>[…] E</w:t>
      </w:r>
      <w:r w:rsidRPr="007C66D4">
        <w:rPr>
          <w:rFonts w:ascii="Verdana" w:hAnsi="Verdana" w:cs="Arial"/>
          <w:color w:val="000000" w:themeColor="text1"/>
          <w:sz w:val="20"/>
          <w:szCs w:val="20"/>
          <w:lang w:val="es-ES"/>
        </w:rPr>
        <w:t xml:space="preserve">l </w:t>
      </w:r>
      <w:r w:rsidRPr="007C66D4">
        <w:rPr>
          <w:rFonts w:ascii="Verdana" w:hAnsi="Verdana" w:cs="Arial"/>
          <w:color w:val="000000" w:themeColor="text1"/>
          <w:sz w:val="20"/>
          <w:szCs w:val="20"/>
          <w:lang w:val="es-ES_tradnl"/>
        </w:rPr>
        <w:t xml:space="preserve">artículo 32 de la Ley 80 de 1993 define los contratos estatales como “[…] todos los actos jurídicos generadores de obligaciones […] derivados del ejercicio de la autonomía de la voluntad […]”, por lo que las partes están facultadas para suscribir </w:t>
      </w:r>
      <w:r w:rsidRPr="007C66D4">
        <w:rPr>
          <w:rFonts w:ascii="Verdana" w:hAnsi="Verdana" w:cs="Arial"/>
          <w:i/>
          <w:iCs/>
          <w:color w:val="000000" w:themeColor="text1"/>
          <w:sz w:val="20"/>
          <w:szCs w:val="20"/>
          <w:lang w:val="es-ES_tradnl"/>
        </w:rPr>
        <w:t>contratos mixtos</w:t>
      </w:r>
      <w:r w:rsidRPr="007C66D4">
        <w:rPr>
          <w:rFonts w:ascii="Verdana" w:hAnsi="Verdana" w:cs="Arial"/>
          <w:color w:val="000000" w:themeColor="text1"/>
          <w:sz w:val="20"/>
          <w:szCs w:val="20"/>
          <w:lang w:val="es-ES_tradnl"/>
        </w:rPr>
        <w:t>. Como una forma de contratación atípica, estos se caracterizan por acumular prestaciones de varios contratos nominados para satisfacer una necesidad común. Precisamente, los contratos de operación logística tienen esta naturaleza, porque –sin perjuicio de las demás obligaciones que pacten las partes– es frecuente que en la práctica tengan componentes de compraventa, suministro, arrendamiento de bienes muebles o inmuebles, transporte, etc., de donde se desprende la existencia de prestaciones de una o más tipologías contractuales</w:t>
      </w:r>
      <w:r w:rsidRPr="00BB3BE4">
        <w:rPr>
          <w:rFonts w:ascii="Verdana" w:hAnsi="Verdana" w:cs="Arial"/>
          <w:color w:val="000000" w:themeColor="text1"/>
          <w:sz w:val="20"/>
          <w:szCs w:val="20"/>
        </w:rPr>
        <w:t xml:space="preserve">. </w:t>
      </w:r>
      <w:r>
        <w:rPr>
          <w:rFonts w:ascii="Verdana" w:hAnsi="Verdana" w:cs="Arial"/>
          <w:color w:val="000000" w:themeColor="text1"/>
          <w:sz w:val="20"/>
          <w:szCs w:val="20"/>
        </w:rPr>
        <w:t>[…]</w:t>
      </w:r>
    </w:p>
    <w:p w14:paraId="0A33D5C6" w14:textId="77777777" w:rsidR="00195688" w:rsidRPr="00F66D34" w:rsidRDefault="00195688" w:rsidP="00195688">
      <w:pPr>
        <w:spacing w:after="0" w:line="240" w:lineRule="auto"/>
        <w:jc w:val="both"/>
        <w:rPr>
          <w:rFonts w:ascii="Verdana" w:hAnsi="Verdana" w:cs="Arial"/>
          <w:color w:val="000000" w:themeColor="text1"/>
          <w:sz w:val="20"/>
          <w:szCs w:val="20"/>
          <w:highlight w:val="yellow"/>
        </w:rPr>
      </w:pPr>
    </w:p>
    <w:p w14:paraId="019CD2D8" w14:textId="77777777" w:rsidR="00195688" w:rsidRPr="00B84075" w:rsidRDefault="00195688" w:rsidP="00195688">
      <w:pPr>
        <w:tabs>
          <w:tab w:val="left" w:pos="709"/>
        </w:tabs>
        <w:spacing w:after="0" w:line="240" w:lineRule="auto"/>
        <w:jc w:val="both"/>
        <w:rPr>
          <w:rFonts w:ascii="Verdana" w:eastAsia="Calibri" w:hAnsi="Verdana" w:cs="Arial"/>
          <w:b/>
          <w:color w:val="000000" w:themeColor="text1"/>
        </w:rPr>
      </w:pPr>
      <w:r w:rsidRPr="00B84075">
        <w:rPr>
          <w:rFonts w:ascii="Verdana" w:eastAsia="Calibri" w:hAnsi="Verdana" w:cs="Arial"/>
          <w:b/>
          <w:lang w:val="es-ES_tradnl" w:eastAsia="es-ES_tradnl"/>
        </w:rPr>
        <w:t>CONTRATOS ESTATALES – Capacidad jurídica – Requisitos esenciales</w:t>
      </w:r>
    </w:p>
    <w:p w14:paraId="785147A3" w14:textId="77777777" w:rsidR="00195688" w:rsidRPr="00B84075" w:rsidRDefault="00195688" w:rsidP="00195688">
      <w:pPr>
        <w:spacing w:after="0" w:line="240" w:lineRule="auto"/>
        <w:jc w:val="both"/>
        <w:rPr>
          <w:rFonts w:ascii="Verdana" w:eastAsia="Calibri" w:hAnsi="Verdana" w:cs="Arial"/>
          <w:bCs/>
          <w:sz w:val="20"/>
          <w:szCs w:val="20"/>
          <w:lang w:val="es-ES_tradnl" w:eastAsia="es-ES_tradnl"/>
        </w:rPr>
      </w:pPr>
    </w:p>
    <w:p w14:paraId="613627A2" w14:textId="77777777" w:rsidR="00195688" w:rsidRPr="00B84075" w:rsidRDefault="00195688" w:rsidP="00195688">
      <w:pPr>
        <w:spacing w:after="0" w:line="240" w:lineRule="auto"/>
        <w:jc w:val="both"/>
        <w:rPr>
          <w:rFonts w:ascii="Verdana" w:eastAsia="Calibri" w:hAnsi="Verdana" w:cs="Arial"/>
          <w:bCs/>
          <w:color w:val="000000" w:themeColor="text1"/>
          <w:sz w:val="20"/>
          <w:szCs w:val="20"/>
          <w:lang w:val="es-ES_tradnl"/>
        </w:rPr>
      </w:pPr>
      <w:r>
        <w:rPr>
          <w:rFonts w:ascii="Verdana" w:eastAsia="Calibri" w:hAnsi="Verdana" w:cs="Arial"/>
          <w:bCs/>
          <w:color w:val="000000" w:themeColor="text1"/>
          <w:sz w:val="20"/>
          <w:szCs w:val="20"/>
          <w:lang w:val="es-ES_tradnl"/>
        </w:rPr>
        <w:t xml:space="preserve">[…] </w:t>
      </w:r>
      <w:r w:rsidRPr="00B84075">
        <w:rPr>
          <w:rFonts w:ascii="Verdana" w:eastAsia="Calibri" w:hAnsi="Verdana" w:cs="Arial"/>
          <w:bCs/>
          <w:color w:val="000000" w:themeColor="text1"/>
          <w:sz w:val="20"/>
          <w:szCs w:val="20"/>
          <w:lang w:val="es-ES_tradnl"/>
        </w:rPr>
        <w:t>Mas allá de la tipicidad o no del negocio, es necesario tener en cuenta que la capacidad contractual para celebrar contratos estatales se encuentra regulada en el artículo 6 de la Ley 80 de 1993. De esta manera, los contratos de operación logística pueden celebrarse con cualquier persona que tenga dentro de su misionalidad u objeto la ejecución de esta actividad. Por otra parte, al margen de la tipificación del negocio en el ordenamiento jurídico, la existencia de los contratos estatales, es decir, la producción de efectos jurídicos en los términos del artículo 1501 del Código Civil, depende de los requisitos previstos en el inciso primero de los artículos 39 y 41 del Estatuto General de Contratación de la Administración Pública</w:t>
      </w:r>
      <w:r w:rsidRPr="00B84075">
        <w:rPr>
          <w:rFonts w:ascii="Verdana" w:hAnsi="Verdana" w:cs="Arial"/>
          <w:color w:val="000000" w:themeColor="text1"/>
          <w:sz w:val="20"/>
          <w:szCs w:val="20"/>
        </w:rPr>
        <w:t>.</w:t>
      </w:r>
      <w:r>
        <w:rPr>
          <w:rFonts w:ascii="Verdana" w:hAnsi="Verdana" w:cs="Arial"/>
          <w:color w:val="000000" w:themeColor="text1"/>
          <w:sz w:val="20"/>
          <w:szCs w:val="20"/>
        </w:rPr>
        <w:t xml:space="preserve"> […]</w:t>
      </w:r>
    </w:p>
    <w:p w14:paraId="759B5B1F" w14:textId="77777777" w:rsidR="00195688" w:rsidRPr="00F66D34" w:rsidRDefault="00195688" w:rsidP="00195688">
      <w:pPr>
        <w:spacing w:line="240" w:lineRule="auto"/>
        <w:jc w:val="both"/>
        <w:rPr>
          <w:rFonts w:ascii="Verdana" w:hAnsi="Verdana" w:cs="Arial"/>
          <w:b/>
          <w:color w:val="000000" w:themeColor="text1"/>
          <w:sz w:val="20"/>
          <w:szCs w:val="20"/>
          <w:highlight w:val="yellow"/>
        </w:rPr>
      </w:pPr>
    </w:p>
    <w:p w14:paraId="6403BC54" w14:textId="77777777" w:rsidR="00195688" w:rsidRDefault="00195688" w:rsidP="00195688">
      <w:pPr>
        <w:spacing w:line="240" w:lineRule="auto"/>
        <w:jc w:val="both"/>
        <w:rPr>
          <w:rFonts w:ascii="Verdana" w:eastAsia="Calibri" w:hAnsi="Verdana" w:cs="Arial"/>
          <w:lang w:val="es-ES" w:eastAsia="es-ES"/>
        </w:rPr>
      </w:pPr>
      <w:r w:rsidRPr="00B84075">
        <w:rPr>
          <w:rFonts w:ascii="Verdana" w:eastAsia="Calibri" w:hAnsi="Verdana" w:cs="Arial"/>
          <w:b/>
          <w:bCs/>
          <w:lang w:val="es-ES" w:eastAsia="es-ES"/>
        </w:rPr>
        <w:t>MODALIDADES DE SELECCIÓN – Regla General –</w:t>
      </w:r>
      <w:r w:rsidRPr="00B84075">
        <w:rPr>
          <w:rFonts w:ascii="Verdana" w:eastAsia="Calibri" w:hAnsi="Verdana" w:cs="Arial"/>
          <w:lang w:val="es-ES" w:eastAsia="es-ES"/>
        </w:rPr>
        <w:t xml:space="preserve"> </w:t>
      </w:r>
      <w:r w:rsidRPr="00B84075">
        <w:rPr>
          <w:rFonts w:ascii="Verdana" w:eastAsia="Calibri" w:hAnsi="Verdana" w:cs="Arial"/>
          <w:b/>
          <w:bCs/>
          <w:lang w:val="es-ES" w:eastAsia="es-ES"/>
        </w:rPr>
        <w:t>Excepciones</w:t>
      </w:r>
      <w:r w:rsidRPr="00B84075">
        <w:rPr>
          <w:rFonts w:ascii="Verdana" w:eastAsia="Calibri" w:hAnsi="Verdana" w:cs="Arial"/>
          <w:lang w:val="es-ES" w:eastAsia="es-ES"/>
        </w:rPr>
        <w:t xml:space="preserve"> </w:t>
      </w:r>
    </w:p>
    <w:p w14:paraId="7E5CDD52" w14:textId="77777777" w:rsidR="00195688" w:rsidRPr="00B84075" w:rsidRDefault="00195688" w:rsidP="00195688">
      <w:pPr>
        <w:spacing w:line="240" w:lineRule="auto"/>
        <w:jc w:val="both"/>
        <w:rPr>
          <w:rFonts w:ascii="Verdana" w:hAnsi="Verdana"/>
          <w:sz w:val="20"/>
          <w:szCs w:val="20"/>
          <w:lang w:val="es-ES"/>
        </w:rPr>
      </w:pPr>
      <w:r w:rsidRPr="00B84075">
        <w:rPr>
          <w:rFonts w:ascii="Verdana" w:hAnsi="Verdana"/>
          <w:sz w:val="20"/>
          <w:szCs w:val="20"/>
          <w:lang w:val="es-ES"/>
        </w:rPr>
        <w:lastRenderedPageBreak/>
        <w:t xml:space="preserve">[…] Para las entidades sometidas al Estatuto General de Contratación de la Administración Pública, los procesos de selección se rigen por el artículo 2 de la Ley 1150 de 2007. El numeral uno, inciso primero, de la norma citada dispone que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w:t>
      </w:r>
    </w:p>
    <w:p w14:paraId="4BA387D4" w14:textId="77777777" w:rsidR="00195688" w:rsidRPr="00B84075" w:rsidRDefault="00195688" w:rsidP="00195688">
      <w:pPr>
        <w:spacing w:line="240" w:lineRule="auto"/>
        <w:jc w:val="both"/>
        <w:rPr>
          <w:rFonts w:ascii="Verdana" w:hAnsi="Verdana"/>
          <w:sz w:val="20"/>
          <w:szCs w:val="20"/>
          <w:lang w:val="es-ES"/>
        </w:rPr>
      </w:pPr>
      <w:r w:rsidRPr="00B84075">
        <w:rPr>
          <w:rFonts w:ascii="Verdana" w:hAnsi="Verdana"/>
          <w:sz w:val="20"/>
          <w:szCs w:val="20"/>
          <w:lang w:val="es-ES"/>
        </w:rPr>
        <w:t>De esta manera, salvo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 pero estos solo proceden si se enmarcan en las causales que establece la norma respecto de cada modalidad. […]</w:t>
      </w:r>
    </w:p>
    <w:p w14:paraId="5B9E9F5D" w14:textId="77777777" w:rsidR="00195688" w:rsidRPr="00B84075" w:rsidRDefault="00195688" w:rsidP="00195688">
      <w:pPr>
        <w:spacing w:line="240" w:lineRule="auto"/>
        <w:jc w:val="both"/>
        <w:rPr>
          <w:rFonts w:ascii="Verdana" w:hAnsi="Verdana" w:cs="Arial"/>
          <w:b/>
          <w:color w:val="000000" w:themeColor="text1"/>
          <w:sz w:val="20"/>
          <w:szCs w:val="20"/>
        </w:rPr>
      </w:pPr>
      <w:r w:rsidRPr="00B84075">
        <w:rPr>
          <w:rFonts w:ascii="Verdana" w:eastAsia="Calibri" w:hAnsi="Verdana" w:cs="Arial"/>
          <w:b/>
          <w:bCs/>
          <w:lang w:val="es-ES" w:eastAsia="es-ES"/>
        </w:rPr>
        <w:t>MODALIDADES DE SELECCIÓN – Regla General –</w:t>
      </w:r>
      <w:r w:rsidRPr="00B84075">
        <w:rPr>
          <w:rFonts w:ascii="Verdana" w:eastAsia="Calibri" w:hAnsi="Verdana" w:cs="Arial"/>
          <w:lang w:val="es-ES" w:eastAsia="es-ES"/>
        </w:rPr>
        <w:t xml:space="preserve"> </w:t>
      </w:r>
      <w:r w:rsidRPr="00B84075">
        <w:rPr>
          <w:rFonts w:ascii="Verdana" w:eastAsia="Calibri" w:hAnsi="Verdana" w:cs="Arial"/>
          <w:b/>
          <w:bCs/>
          <w:lang w:val="es-ES" w:eastAsia="es-ES"/>
        </w:rPr>
        <w:t>Operación logística</w:t>
      </w:r>
    </w:p>
    <w:p w14:paraId="6F549A55" w14:textId="77777777" w:rsidR="00195688" w:rsidRPr="00B84075" w:rsidRDefault="00195688" w:rsidP="00195688">
      <w:pPr>
        <w:spacing w:line="240" w:lineRule="auto"/>
        <w:jc w:val="both"/>
        <w:rPr>
          <w:rFonts w:ascii="Verdana" w:hAnsi="Verdana"/>
          <w:bCs/>
          <w:sz w:val="20"/>
          <w:szCs w:val="20"/>
        </w:rPr>
      </w:pPr>
      <w:r>
        <w:rPr>
          <w:rFonts w:ascii="Verdana" w:hAnsi="Verdana"/>
          <w:sz w:val="20"/>
          <w:szCs w:val="20"/>
          <w:lang w:val="es-ES"/>
        </w:rPr>
        <w:t xml:space="preserve">[…] </w:t>
      </w:r>
      <w:r w:rsidRPr="00B84075">
        <w:rPr>
          <w:rFonts w:ascii="Verdana" w:hAnsi="Verdana"/>
          <w:sz w:val="20"/>
          <w:szCs w:val="20"/>
          <w:lang w:val="es-ES"/>
        </w:rPr>
        <w:t xml:space="preserve">En lo que respecta a los contratos de operación logística es importante precisar que, debido a su naturaleza de contratos mixtos, esto es que </w:t>
      </w:r>
      <w:r w:rsidRPr="00B84075">
        <w:rPr>
          <w:rFonts w:ascii="Verdana" w:hAnsi="Verdana"/>
          <w:sz w:val="20"/>
          <w:szCs w:val="20"/>
          <w:lang w:val="es-ES_tradnl"/>
        </w:rPr>
        <w:t>acumula prestaciones de varios contratos nominados para satisfacer una necesidad común</w:t>
      </w:r>
      <w:r w:rsidRPr="00B84075">
        <w:rPr>
          <w:rFonts w:ascii="Verdana" w:hAnsi="Verdana"/>
          <w:bCs/>
          <w:sz w:val="20"/>
          <w:szCs w:val="20"/>
        </w:rPr>
        <w:t xml:space="preserve">, y teniendo en cuenta que no hay procedimiento de selección reservado exclusivamente a este tipo contractual, no es posible establecer un criterio universal y absoluto que determine la procedencia de una modalidad de contratación específica y única para su celebración. </w:t>
      </w:r>
      <w:r>
        <w:rPr>
          <w:rFonts w:ascii="Verdana" w:hAnsi="Verdana"/>
          <w:bCs/>
          <w:sz w:val="20"/>
          <w:szCs w:val="20"/>
        </w:rPr>
        <w:t>[…]</w:t>
      </w:r>
    </w:p>
    <w:p w14:paraId="1BB1B022" w14:textId="77777777" w:rsidR="00195688" w:rsidRDefault="00195688" w:rsidP="00195688">
      <w:pPr>
        <w:spacing w:line="240" w:lineRule="auto"/>
        <w:jc w:val="both"/>
        <w:rPr>
          <w:rFonts w:ascii="Verdana" w:hAnsi="Verdana" w:cs="Arial"/>
          <w:b/>
          <w:color w:val="000000" w:themeColor="text1"/>
          <w:sz w:val="20"/>
          <w:szCs w:val="20"/>
        </w:rPr>
      </w:pPr>
    </w:p>
    <w:p w14:paraId="0ABEC892" w14:textId="77777777" w:rsidR="00195688" w:rsidRDefault="00195688" w:rsidP="00195688">
      <w:pPr>
        <w:spacing w:line="240" w:lineRule="auto"/>
        <w:jc w:val="both"/>
        <w:rPr>
          <w:rFonts w:ascii="Verdana" w:hAnsi="Verdana" w:cs="Arial"/>
          <w:b/>
          <w:color w:val="000000" w:themeColor="text1"/>
          <w:sz w:val="20"/>
          <w:szCs w:val="20"/>
        </w:rPr>
      </w:pPr>
    </w:p>
    <w:p w14:paraId="54212FB3" w14:textId="77777777" w:rsidR="00195688" w:rsidRDefault="00195688" w:rsidP="00195688">
      <w:pPr>
        <w:spacing w:line="240" w:lineRule="auto"/>
        <w:jc w:val="both"/>
        <w:rPr>
          <w:rFonts w:ascii="Verdana" w:hAnsi="Verdana" w:cs="Arial"/>
          <w:b/>
          <w:color w:val="000000" w:themeColor="text1"/>
          <w:sz w:val="20"/>
          <w:szCs w:val="20"/>
        </w:rPr>
      </w:pPr>
    </w:p>
    <w:p w14:paraId="182FDBBE" w14:textId="77777777" w:rsidR="00195688" w:rsidRDefault="00195688" w:rsidP="00195688">
      <w:pPr>
        <w:spacing w:line="240" w:lineRule="auto"/>
        <w:jc w:val="both"/>
        <w:rPr>
          <w:rFonts w:ascii="Verdana" w:hAnsi="Verdana" w:cs="Arial"/>
          <w:b/>
          <w:color w:val="000000" w:themeColor="text1"/>
          <w:sz w:val="20"/>
          <w:szCs w:val="20"/>
        </w:rPr>
      </w:pPr>
    </w:p>
    <w:p w14:paraId="7F0DC935" w14:textId="77777777" w:rsidR="00195688" w:rsidRDefault="00195688" w:rsidP="00195688">
      <w:pPr>
        <w:spacing w:line="240" w:lineRule="auto"/>
        <w:jc w:val="both"/>
        <w:rPr>
          <w:rFonts w:ascii="Verdana" w:hAnsi="Verdana" w:cs="Arial"/>
          <w:b/>
          <w:color w:val="000000" w:themeColor="text1"/>
          <w:sz w:val="20"/>
          <w:szCs w:val="20"/>
        </w:rPr>
      </w:pPr>
    </w:p>
    <w:p w14:paraId="4EECF781" w14:textId="77777777" w:rsidR="00195688" w:rsidRDefault="00195688" w:rsidP="00195688">
      <w:pPr>
        <w:spacing w:line="240" w:lineRule="auto"/>
        <w:jc w:val="both"/>
        <w:rPr>
          <w:rFonts w:ascii="Verdana" w:hAnsi="Verdana" w:cs="Arial"/>
          <w:b/>
          <w:color w:val="000000" w:themeColor="text1"/>
          <w:sz w:val="20"/>
          <w:szCs w:val="20"/>
        </w:rPr>
      </w:pPr>
    </w:p>
    <w:p w14:paraId="73DFF670" w14:textId="77777777" w:rsidR="00195688" w:rsidRDefault="00195688" w:rsidP="00195688">
      <w:pPr>
        <w:spacing w:line="240" w:lineRule="auto"/>
        <w:jc w:val="both"/>
        <w:rPr>
          <w:rFonts w:ascii="Verdana" w:hAnsi="Verdana" w:cs="Arial"/>
          <w:b/>
          <w:color w:val="000000" w:themeColor="text1"/>
          <w:sz w:val="20"/>
          <w:szCs w:val="20"/>
        </w:rPr>
      </w:pPr>
    </w:p>
    <w:p w14:paraId="71FE1A13" w14:textId="77777777" w:rsidR="00195688" w:rsidRDefault="00195688" w:rsidP="00195688">
      <w:pPr>
        <w:spacing w:line="240" w:lineRule="auto"/>
        <w:jc w:val="both"/>
        <w:rPr>
          <w:rFonts w:ascii="Verdana" w:hAnsi="Verdana" w:cs="Arial"/>
          <w:b/>
          <w:color w:val="000000" w:themeColor="text1"/>
          <w:sz w:val="20"/>
          <w:szCs w:val="20"/>
        </w:rPr>
      </w:pPr>
    </w:p>
    <w:p w14:paraId="3C3B409E" w14:textId="77777777" w:rsidR="00195688" w:rsidRDefault="00195688" w:rsidP="00195688">
      <w:pPr>
        <w:spacing w:line="240" w:lineRule="auto"/>
        <w:jc w:val="both"/>
        <w:rPr>
          <w:rFonts w:ascii="Verdana" w:hAnsi="Verdana" w:cs="Arial"/>
          <w:b/>
          <w:color w:val="000000" w:themeColor="text1"/>
          <w:sz w:val="20"/>
          <w:szCs w:val="20"/>
        </w:rPr>
      </w:pPr>
    </w:p>
    <w:p w14:paraId="482AAEA9" w14:textId="77777777" w:rsidR="00195688" w:rsidRDefault="00195688" w:rsidP="00195688">
      <w:pPr>
        <w:spacing w:line="240" w:lineRule="auto"/>
        <w:jc w:val="both"/>
        <w:rPr>
          <w:rFonts w:ascii="Verdana" w:hAnsi="Verdana" w:cs="Arial"/>
          <w:b/>
          <w:color w:val="000000" w:themeColor="text1"/>
          <w:sz w:val="20"/>
          <w:szCs w:val="20"/>
        </w:rPr>
      </w:pPr>
    </w:p>
    <w:p w14:paraId="287B6B41" w14:textId="77777777" w:rsidR="00195688" w:rsidRPr="004E2E2A" w:rsidRDefault="00195688" w:rsidP="00195688">
      <w:pPr>
        <w:spacing w:line="240" w:lineRule="auto"/>
        <w:jc w:val="both"/>
        <w:rPr>
          <w:rFonts w:ascii="Verdana" w:hAnsi="Verdana"/>
          <w:bCs/>
          <w:sz w:val="20"/>
          <w:szCs w:val="20"/>
          <w:lang w:val="es-ES_tradnl"/>
        </w:rPr>
      </w:pPr>
    </w:p>
    <w:p w14:paraId="21CE58A2" w14:textId="77777777" w:rsidR="00195688" w:rsidRPr="004E2E2A" w:rsidRDefault="00195688" w:rsidP="00195688">
      <w:pPr>
        <w:spacing w:line="240" w:lineRule="auto"/>
        <w:jc w:val="both"/>
        <w:rPr>
          <w:rFonts w:ascii="Verdana" w:hAnsi="Verdana"/>
          <w:bCs/>
          <w:sz w:val="20"/>
          <w:szCs w:val="20"/>
          <w:lang w:val="es-ES_tradnl"/>
        </w:rPr>
      </w:pPr>
    </w:p>
    <w:p w14:paraId="042B054A" w14:textId="77777777" w:rsidR="00195688" w:rsidRDefault="00195688" w:rsidP="00195688">
      <w:pPr>
        <w:spacing w:after="0" w:line="240" w:lineRule="auto"/>
        <w:rPr>
          <w:rFonts w:ascii="Verdana" w:hAnsi="Verdana"/>
          <w:sz w:val="20"/>
          <w:szCs w:val="20"/>
        </w:rPr>
      </w:pPr>
    </w:p>
    <w:p w14:paraId="01769179" w14:textId="77777777" w:rsidR="00195688" w:rsidRDefault="00195688" w:rsidP="00195688">
      <w:pPr>
        <w:spacing w:after="0" w:line="240" w:lineRule="auto"/>
        <w:rPr>
          <w:rFonts w:ascii="Verdana" w:hAnsi="Verdana"/>
          <w:sz w:val="20"/>
          <w:szCs w:val="20"/>
        </w:rPr>
      </w:pPr>
    </w:p>
    <w:p w14:paraId="3CB77B2A" w14:textId="77777777" w:rsidR="00195688" w:rsidRDefault="00195688" w:rsidP="00195688">
      <w:pPr>
        <w:spacing w:before="120" w:line="240" w:lineRule="auto"/>
        <w:jc w:val="both"/>
        <w:rPr>
          <w:rFonts w:ascii="Verdana" w:hAnsi="Verdana" w:cs="Arial"/>
          <w:color w:val="EE0000"/>
        </w:rPr>
      </w:pPr>
    </w:p>
    <w:p w14:paraId="65FCDA8A" w14:textId="1525A363" w:rsidR="00195688" w:rsidRPr="00B57968" w:rsidRDefault="00195688" w:rsidP="00195688">
      <w:pPr>
        <w:spacing w:after="0"/>
        <w:rPr>
          <w:rFonts w:ascii="Verdana" w:hAnsi="Verdana"/>
        </w:rPr>
      </w:pPr>
      <w:r w:rsidRPr="00B57968">
        <w:rPr>
          <w:rFonts w:ascii="Verdana" w:hAnsi="Verdana"/>
        </w:rPr>
        <w:lastRenderedPageBreak/>
        <w:t xml:space="preserve">Bogotá D.C., </w:t>
      </w:r>
      <w:r w:rsidR="003C7CCA">
        <w:rPr>
          <w:rFonts w:ascii="Verdana" w:hAnsi="Verdana"/>
        </w:rPr>
        <w:t>25 Junio 2026</w:t>
      </w:r>
    </w:p>
    <w:p w14:paraId="3058D519" w14:textId="5FF9CB4E" w:rsidR="00195688" w:rsidRPr="00B57968" w:rsidRDefault="003C7CCA" w:rsidP="00195688">
      <w:pPr>
        <w:spacing w:after="0"/>
        <w:rPr>
          <w:rFonts w:ascii="Verdana" w:hAnsi="Verdana"/>
          <w:color w:val="EE0000"/>
          <w:lang w:val="es-ES"/>
        </w:rPr>
      </w:pPr>
      <w:r w:rsidRPr="003C7CCA">
        <w:rPr>
          <w:rFonts w:ascii="Verdana" w:hAnsi="Verdana"/>
        </w:rPr>
        <w:drawing>
          <wp:anchor distT="0" distB="0" distL="114300" distR="114300" simplePos="0" relativeHeight="251659264" behindDoc="1" locked="0" layoutInCell="1" allowOverlap="1" wp14:anchorId="05EB6BFD" wp14:editId="16C81105">
            <wp:simplePos x="0" y="0"/>
            <wp:positionH relativeFrom="margin">
              <wp:posOffset>3125470</wp:posOffset>
            </wp:positionH>
            <wp:positionV relativeFrom="paragraph">
              <wp:posOffset>12065</wp:posOffset>
            </wp:positionV>
            <wp:extent cx="2661097" cy="733425"/>
            <wp:effectExtent l="0" t="0" r="6350" b="0"/>
            <wp:wrapNone/>
            <wp:docPr id="19637022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02275" name=""/>
                    <pic:cNvPicPr/>
                  </pic:nvPicPr>
                  <pic:blipFill>
                    <a:blip r:embed="rId10">
                      <a:extLst>
                        <a:ext uri="{28A0092B-C50C-407E-A947-70E740481C1C}">
                          <a14:useLocalDpi xmlns:a14="http://schemas.microsoft.com/office/drawing/2010/main" val="0"/>
                        </a:ext>
                      </a:extLst>
                    </a:blip>
                    <a:stretch>
                      <a:fillRect/>
                    </a:stretch>
                  </pic:blipFill>
                  <pic:spPr>
                    <a:xfrm>
                      <a:off x="0" y="0"/>
                      <a:ext cx="2661097" cy="733425"/>
                    </a:xfrm>
                    <a:prstGeom prst="rect">
                      <a:avLst/>
                    </a:prstGeom>
                  </pic:spPr>
                </pic:pic>
              </a:graphicData>
            </a:graphic>
            <wp14:sizeRelH relativeFrom="margin">
              <wp14:pctWidth>0</wp14:pctWidth>
            </wp14:sizeRelH>
            <wp14:sizeRelV relativeFrom="margin">
              <wp14:pctHeight>0</wp14:pctHeight>
            </wp14:sizeRelV>
          </wp:anchor>
        </w:drawing>
      </w:r>
    </w:p>
    <w:p w14:paraId="5AF3E850" w14:textId="77777777" w:rsidR="00195688" w:rsidRPr="00B57968" w:rsidRDefault="00195688" w:rsidP="00195688">
      <w:pPr>
        <w:spacing w:after="0" w:line="240" w:lineRule="auto"/>
        <w:rPr>
          <w:rFonts w:ascii="Verdana" w:hAnsi="Verdana"/>
          <w:lang w:val="es-ES"/>
        </w:rPr>
      </w:pPr>
      <w:r w:rsidRPr="00B57968">
        <w:rPr>
          <w:rFonts w:ascii="Verdana" w:eastAsia="Calibri" w:hAnsi="Verdana" w:cs="Arial"/>
          <w:lang w:val="es-ES" w:eastAsia="es-ES"/>
        </w:rPr>
        <w:t>Señora</w:t>
      </w:r>
    </w:p>
    <w:p w14:paraId="5A2422CC" w14:textId="77777777" w:rsidR="00195688" w:rsidRPr="00B57968" w:rsidRDefault="00195688" w:rsidP="00195688">
      <w:pPr>
        <w:spacing w:after="0"/>
        <w:rPr>
          <w:rFonts w:ascii="Verdana" w:eastAsia="Calibri" w:hAnsi="Verdana" w:cs="Arial"/>
          <w:b/>
          <w:bCs/>
          <w:lang w:eastAsia="es-ES"/>
        </w:rPr>
      </w:pPr>
      <w:r w:rsidRPr="00B57968">
        <w:rPr>
          <w:rFonts w:ascii="Verdana" w:eastAsia="Calibri" w:hAnsi="Verdana" w:cs="Arial"/>
          <w:b/>
          <w:bCs/>
          <w:lang w:eastAsia="es-ES"/>
        </w:rPr>
        <w:t>Ana Beatriz García Díaz</w:t>
      </w:r>
    </w:p>
    <w:p w14:paraId="3757CEDE" w14:textId="77777777" w:rsidR="00195688" w:rsidRPr="00B57968" w:rsidRDefault="00195688" w:rsidP="00195688">
      <w:pPr>
        <w:spacing w:after="0"/>
        <w:rPr>
          <w:rFonts w:ascii="Verdana" w:eastAsia="Calibri" w:hAnsi="Verdana" w:cs="Arial"/>
          <w:color w:val="000099"/>
          <w:lang w:eastAsia="es-ES"/>
        </w:rPr>
      </w:pPr>
      <w:hyperlink r:id="rId11" w:history="1">
        <w:r w:rsidRPr="00B57968">
          <w:rPr>
            <w:rStyle w:val="Hipervnculo"/>
            <w:rFonts w:ascii="Verdana" w:hAnsi="Verdana"/>
            <w:color w:val="000099"/>
          </w:rPr>
          <w:t>moni7694313@gmail.com</w:t>
        </w:r>
      </w:hyperlink>
      <w:r w:rsidRPr="00B57968">
        <w:rPr>
          <w:rFonts w:ascii="Verdana" w:hAnsi="Verdana"/>
          <w:color w:val="000099"/>
        </w:rPr>
        <w:t xml:space="preserve">  </w:t>
      </w:r>
    </w:p>
    <w:p w14:paraId="3EA7DD8F" w14:textId="77777777" w:rsidR="00195688" w:rsidRPr="00B57968" w:rsidRDefault="00195688" w:rsidP="00195688">
      <w:pPr>
        <w:spacing w:after="0"/>
        <w:rPr>
          <w:rFonts w:ascii="Verdana" w:eastAsia="Calibri" w:hAnsi="Verdana" w:cs="Arial"/>
          <w:lang w:eastAsia="es-ES"/>
        </w:rPr>
      </w:pPr>
      <w:r w:rsidRPr="00B57968">
        <w:rPr>
          <w:rFonts w:ascii="Verdana" w:eastAsia="Calibri" w:hAnsi="Verdana" w:cs="Arial"/>
          <w:lang w:eastAsia="es-ES"/>
        </w:rPr>
        <w:t>Bogotá D</w:t>
      </w:r>
      <w:r>
        <w:rPr>
          <w:rFonts w:ascii="Verdana" w:eastAsia="Calibri" w:hAnsi="Verdana" w:cs="Arial"/>
          <w:lang w:eastAsia="es-ES"/>
        </w:rPr>
        <w:t>.</w:t>
      </w:r>
      <w:r w:rsidRPr="00B57968">
        <w:rPr>
          <w:rFonts w:ascii="Verdana" w:eastAsia="Calibri" w:hAnsi="Verdana" w:cs="Arial"/>
          <w:lang w:eastAsia="es-ES"/>
        </w:rPr>
        <w:t>C</w:t>
      </w:r>
    </w:p>
    <w:p w14:paraId="48EB98A8" w14:textId="77777777" w:rsidR="00195688" w:rsidRPr="00B57968" w:rsidRDefault="00195688" w:rsidP="00195688">
      <w:pPr>
        <w:spacing w:after="0"/>
        <w:rPr>
          <w:rFonts w:ascii="Verdana" w:eastAsia="Calibri" w:hAnsi="Verdana" w:cs="Arial"/>
          <w:color w:val="EE0000"/>
          <w:lang w:val="es-ES" w:eastAsia="es-ES"/>
        </w:rPr>
      </w:pPr>
    </w:p>
    <w:p w14:paraId="114C397B" w14:textId="77777777" w:rsidR="00195688" w:rsidRPr="00B57968" w:rsidRDefault="00195688" w:rsidP="00195688">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195688" w:rsidRPr="00B57968" w14:paraId="4302C930" w14:textId="77777777" w:rsidTr="005B6D11">
        <w:trPr>
          <w:trHeight w:val="300"/>
        </w:trPr>
        <w:tc>
          <w:tcPr>
            <w:tcW w:w="2410" w:type="dxa"/>
          </w:tcPr>
          <w:p w14:paraId="3445CBFF" w14:textId="77777777" w:rsidR="00195688" w:rsidRPr="00B57968" w:rsidRDefault="00195688" w:rsidP="005B6D11">
            <w:pPr>
              <w:ind w:left="-142"/>
              <w:jc w:val="both"/>
              <w:rPr>
                <w:rFonts w:ascii="Verdana" w:eastAsia="Calibri" w:hAnsi="Verdana" w:cs="Arial"/>
                <w:b/>
                <w:bCs/>
                <w:color w:val="EE0000"/>
                <w:lang w:val="es-ES" w:eastAsia="es-ES_tradnl"/>
              </w:rPr>
            </w:pPr>
          </w:p>
        </w:tc>
        <w:tc>
          <w:tcPr>
            <w:tcW w:w="6100" w:type="dxa"/>
          </w:tcPr>
          <w:p w14:paraId="74AFC4D5" w14:textId="77777777" w:rsidR="00195688" w:rsidRPr="00B57968" w:rsidRDefault="00195688" w:rsidP="005B6D11">
            <w:pPr>
              <w:ind w:left="3"/>
              <w:jc w:val="both"/>
              <w:rPr>
                <w:rFonts w:ascii="Verdana" w:eastAsia="Calibri" w:hAnsi="Verdana" w:cs="Arial"/>
                <w:b/>
                <w:bCs/>
                <w:lang w:val="es-ES" w:eastAsia="es-ES"/>
              </w:rPr>
            </w:pPr>
            <w:r w:rsidRPr="00B57968">
              <w:rPr>
                <w:rFonts w:ascii="Verdana" w:eastAsia="Calibri" w:hAnsi="Verdana" w:cs="Arial"/>
                <w:b/>
                <w:bCs/>
                <w:lang w:val="es-ES" w:eastAsia="es-ES"/>
              </w:rPr>
              <w:t>Concepto C-814 de 2026</w:t>
            </w:r>
          </w:p>
          <w:p w14:paraId="161F1F5C" w14:textId="77777777" w:rsidR="00195688" w:rsidRPr="00B57968" w:rsidRDefault="00195688" w:rsidP="005B6D11">
            <w:pPr>
              <w:ind w:left="3"/>
              <w:jc w:val="both"/>
              <w:rPr>
                <w:rFonts w:ascii="Verdana" w:eastAsia="Calibri" w:hAnsi="Verdana" w:cs="Arial"/>
                <w:b/>
                <w:bCs/>
                <w:color w:val="EE0000"/>
                <w:lang w:val="es-ES" w:eastAsia="es-ES"/>
              </w:rPr>
            </w:pPr>
          </w:p>
        </w:tc>
      </w:tr>
      <w:tr w:rsidR="00195688" w:rsidRPr="00B57968" w14:paraId="51B0ED55" w14:textId="77777777" w:rsidTr="005B6D11">
        <w:trPr>
          <w:trHeight w:val="300"/>
        </w:trPr>
        <w:tc>
          <w:tcPr>
            <w:tcW w:w="2410" w:type="dxa"/>
          </w:tcPr>
          <w:p w14:paraId="5CED1C30" w14:textId="77777777" w:rsidR="00195688" w:rsidRPr="00B57968" w:rsidRDefault="00195688" w:rsidP="005B6D11">
            <w:pPr>
              <w:ind w:left="424" w:firstLine="137"/>
              <w:jc w:val="both"/>
              <w:rPr>
                <w:rFonts w:ascii="Verdana" w:eastAsia="Calibri" w:hAnsi="Verdana" w:cs="Arial"/>
                <w:color w:val="EE0000"/>
                <w:lang w:val="es-ES" w:eastAsia="es-ES_tradnl"/>
              </w:rPr>
            </w:pPr>
            <w:r w:rsidRPr="00B57968">
              <w:rPr>
                <w:rFonts w:ascii="Verdana" w:eastAsia="Calibri" w:hAnsi="Verdana" w:cs="Arial"/>
                <w:b/>
                <w:lang w:val="es-ES" w:eastAsia="es-ES_tradnl"/>
              </w:rPr>
              <w:t>Temas:</w:t>
            </w:r>
            <w:r w:rsidRPr="00B57968">
              <w:rPr>
                <w:rFonts w:ascii="Verdana" w:eastAsia="Calibri" w:hAnsi="Verdana" w:cs="Arial"/>
                <w:lang w:val="es-ES" w:eastAsia="es-ES_tradnl"/>
              </w:rPr>
              <w:t xml:space="preserve">  </w:t>
            </w:r>
            <w:r w:rsidRPr="00B57968">
              <w:rPr>
                <w:rFonts w:ascii="Verdana" w:eastAsia="Calibri" w:hAnsi="Verdana" w:cs="Arial"/>
                <w:color w:val="EE0000"/>
                <w:lang w:val="es-ES" w:eastAsia="es-ES_tradnl"/>
              </w:rPr>
              <w:t xml:space="preserve">                </w:t>
            </w:r>
          </w:p>
        </w:tc>
        <w:tc>
          <w:tcPr>
            <w:tcW w:w="6100" w:type="dxa"/>
          </w:tcPr>
          <w:p w14:paraId="0F5F50E8" w14:textId="77777777" w:rsidR="00195688" w:rsidRPr="00B84075" w:rsidRDefault="00195688" w:rsidP="005B6D11">
            <w:pPr>
              <w:tabs>
                <w:tab w:val="left" w:pos="709"/>
              </w:tabs>
              <w:jc w:val="both"/>
              <w:rPr>
                <w:rFonts w:ascii="Verdana" w:eastAsia="Calibri" w:hAnsi="Verdana" w:cs="Arial"/>
                <w:lang w:val="es-ES_tradnl" w:eastAsia="es-ES_tradnl"/>
              </w:rPr>
            </w:pPr>
            <w:r w:rsidRPr="00B84075">
              <w:rPr>
                <w:rFonts w:ascii="Verdana" w:hAnsi="Verdana"/>
                <w:lang w:val="es-ES"/>
              </w:rPr>
              <w:t xml:space="preserve">CONTRATOS ESTATALES – Tipologías contractuales – Noción / </w:t>
            </w:r>
            <w:r w:rsidRPr="00B84075">
              <w:rPr>
                <w:rFonts w:ascii="Verdana" w:eastAsia="Calibri" w:hAnsi="Verdana" w:cs="Arial"/>
                <w:lang w:val="es-ES_tradnl" w:eastAsia="es-ES_tradnl"/>
              </w:rPr>
              <w:t>OPERACIÓN LOGÍSTICA ‒ Contrato atípico mixto ‒ Actividades / CONTRATOS ESTATALES – Capacidad jurídica – Requisitos esenciales</w:t>
            </w:r>
            <w:r>
              <w:rPr>
                <w:rFonts w:ascii="Verdana" w:eastAsia="Calibri" w:hAnsi="Verdana" w:cs="Arial"/>
                <w:lang w:val="es-ES_tradnl" w:eastAsia="es-ES_tradnl"/>
              </w:rPr>
              <w:t xml:space="preserve"> / </w:t>
            </w:r>
            <w:r w:rsidRPr="00B84075">
              <w:rPr>
                <w:rFonts w:ascii="Verdana" w:eastAsia="Calibri" w:hAnsi="Verdana" w:cs="Arial"/>
                <w:lang w:val="es-ES_tradnl" w:eastAsia="es-ES_tradnl"/>
              </w:rPr>
              <w:t>MODALIDADES DE SELECCIÓN – Regla General – Excepciones</w:t>
            </w:r>
            <w:r>
              <w:rPr>
                <w:rFonts w:ascii="Verdana" w:eastAsia="Calibri" w:hAnsi="Verdana" w:cs="Arial"/>
                <w:lang w:val="es-ES_tradnl" w:eastAsia="es-ES_tradnl"/>
              </w:rPr>
              <w:t xml:space="preserve"> /</w:t>
            </w:r>
            <w:r>
              <w:t xml:space="preserve"> </w:t>
            </w:r>
            <w:r w:rsidRPr="00B84075">
              <w:rPr>
                <w:rFonts w:ascii="Verdana" w:eastAsia="Calibri" w:hAnsi="Verdana" w:cs="Arial"/>
                <w:lang w:val="es-ES_tradnl" w:eastAsia="es-ES_tradnl"/>
              </w:rPr>
              <w:t>MODALIDADES DE SELECCIÓN – Regla General – Operación logística</w:t>
            </w:r>
          </w:p>
          <w:p w14:paraId="56AF843C" w14:textId="77777777" w:rsidR="00195688" w:rsidRPr="00BB3BE4" w:rsidRDefault="00195688" w:rsidP="005B6D11">
            <w:pPr>
              <w:tabs>
                <w:tab w:val="left" w:pos="709"/>
              </w:tabs>
              <w:jc w:val="both"/>
              <w:rPr>
                <w:rFonts w:ascii="Verdana" w:eastAsia="Calibri" w:hAnsi="Verdana" w:cs="Arial"/>
                <w:bCs/>
                <w:sz w:val="20"/>
                <w:szCs w:val="20"/>
                <w:lang w:val="es-ES_tradnl" w:eastAsia="es-ES_tradnl"/>
              </w:rPr>
            </w:pPr>
          </w:p>
          <w:p w14:paraId="2670D53B" w14:textId="77777777" w:rsidR="00195688" w:rsidRPr="00B84075" w:rsidRDefault="00195688" w:rsidP="005B6D11">
            <w:pPr>
              <w:jc w:val="both"/>
              <w:rPr>
                <w:rFonts w:ascii="Verdana" w:hAnsi="Verdana"/>
                <w:color w:val="EE0000"/>
                <w:lang w:val="es-ES_tradnl"/>
              </w:rPr>
            </w:pPr>
          </w:p>
        </w:tc>
      </w:tr>
      <w:tr w:rsidR="00195688" w:rsidRPr="00B57968" w14:paraId="42A4D301" w14:textId="77777777" w:rsidTr="005B6D11">
        <w:trPr>
          <w:trHeight w:val="80"/>
        </w:trPr>
        <w:tc>
          <w:tcPr>
            <w:tcW w:w="2410" w:type="dxa"/>
          </w:tcPr>
          <w:p w14:paraId="0B8DB8DD" w14:textId="77777777" w:rsidR="00195688" w:rsidRPr="00B57968" w:rsidRDefault="00195688" w:rsidP="005B6D11">
            <w:pPr>
              <w:ind w:left="561"/>
              <w:jc w:val="both"/>
              <w:rPr>
                <w:rFonts w:ascii="Verdana" w:eastAsia="Calibri" w:hAnsi="Verdana" w:cs="Arial"/>
                <w:b/>
                <w:lang w:val="es-ES" w:eastAsia="es-ES_tradnl"/>
              </w:rPr>
            </w:pPr>
            <w:r w:rsidRPr="00B57968">
              <w:rPr>
                <w:rFonts w:ascii="Verdana" w:eastAsia="Calibri" w:hAnsi="Verdana" w:cs="Arial"/>
                <w:b/>
                <w:lang w:val="es-ES" w:eastAsia="es-ES_tradnl"/>
              </w:rPr>
              <w:t>Radicación:</w:t>
            </w:r>
            <w:r w:rsidRPr="00B57968">
              <w:rPr>
                <w:rFonts w:ascii="Verdana" w:eastAsia="Calibri" w:hAnsi="Verdana" w:cs="Arial"/>
                <w:lang w:val="es-ES" w:eastAsia="es-ES_tradnl"/>
              </w:rPr>
              <w:t xml:space="preserve">              </w:t>
            </w:r>
          </w:p>
        </w:tc>
        <w:tc>
          <w:tcPr>
            <w:tcW w:w="6100" w:type="dxa"/>
          </w:tcPr>
          <w:p w14:paraId="56F9A7BD" w14:textId="1B25C238" w:rsidR="00195688" w:rsidRPr="00B57968" w:rsidRDefault="00195688" w:rsidP="005B6D11">
            <w:pPr>
              <w:ind w:left="3"/>
              <w:jc w:val="both"/>
              <w:rPr>
                <w:rFonts w:ascii="Verdana" w:hAnsi="Verdana"/>
                <w:lang w:val="es-ES"/>
              </w:rPr>
            </w:pPr>
            <w:r w:rsidRPr="00B57968">
              <w:rPr>
                <w:rFonts w:ascii="Verdana" w:eastAsia="Calibri" w:hAnsi="Verdana" w:cs="Arial"/>
                <w:lang w:val="es-ES" w:eastAsia="es-ES"/>
              </w:rPr>
              <w:t>Respuesta a consulta con radicado No. 1_2026_05_15_006612</w:t>
            </w:r>
            <w:r w:rsidR="008414AB">
              <w:rPr>
                <w:rFonts w:ascii="Verdana" w:eastAsia="Calibri" w:hAnsi="Verdana" w:cs="Arial"/>
                <w:lang w:val="es-ES" w:eastAsia="es-ES"/>
              </w:rPr>
              <w:t xml:space="preserve"> acumulada con </w:t>
            </w:r>
            <w:r w:rsidR="008414AB" w:rsidRPr="008414AB">
              <w:rPr>
                <w:rFonts w:ascii="Verdana" w:eastAsia="Calibri" w:hAnsi="Verdana" w:cs="Arial"/>
                <w:lang w:val="es-ES" w:eastAsia="es-ES"/>
              </w:rPr>
              <w:t>1_2026_06_12_008003</w:t>
            </w:r>
          </w:p>
        </w:tc>
      </w:tr>
    </w:tbl>
    <w:p w14:paraId="483FA2EE" w14:textId="77777777" w:rsidR="00195688" w:rsidRPr="00B57968" w:rsidRDefault="00195688" w:rsidP="00195688">
      <w:pPr>
        <w:spacing w:after="0" w:line="276" w:lineRule="auto"/>
        <w:jc w:val="both"/>
        <w:rPr>
          <w:rFonts w:ascii="Verdana" w:eastAsia="Calibri" w:hAnsi="Verdana" w:cs="Arial"/>
          <w:color w:val="EE0000"/>
          <w:lang w:val="es-ES" w:eastAsia="es-ES"/>
        </w:rPr>
      </w:pPr>
    </w:p>
    <w:p w14:paraId="4C5A6EEF" w14:textId="77777777" w:rsidR="00195688" w:rsidRPr="00B57968" w:rsidRDefault="00195688" w:rsidP="00195688">
      <w:pPr>
        <w:spacing w:after="0" w:line="276" w:lineRule="auto"/>
        <w:jc w:val="both"/>
        <w:rPr>
          <w:rFonts w:ascii="Verdana" w:eastAsia="Calibri" w:hAnsi="Verdana" w:cs="Arial"/>
          <w:color w:val="EE0000"/>
          <w:lang w:val="es-ES" w:eastAsia="es-ES"/>
        </w:rPr>
      </w:pPr>
    </w:p>
    <w:p w14:paraId="445EA4EF" w14:textId="77777777" w:rsidR="00195688" w:rsidRPr="00B57968" w:rsidRDefault="00195688" w:rsidP="00195688">
      <w:pPr>
        <w:spacing w:after="0" w:line="276" w:lineRule="auto"/>
        <w:jc w:val="both"/>
        <w:rPr>
          <w:rFonts w:ascii="Verdana" w:eastAsia="Calibri" w:hAnsi="Verdana" w:cs="Arial"/>
          <w:lang w:val="es-ES" w:eastAsia="es-ES"/>
        </w:rPr>
      </w:pPr>
      <w:r w:rsidRPr="00B57968">
        <w:rPr>
          <w:rFonts w:ascii="Verdana" w:eastAsia="Calibri" w:hAnsi="Verdana" w:cs="Arial"/>
          <w:lang w:val="es-ES" w:eastAsia="es-ES"/>
        </w:rPr>
        <w:t>Estimada señora García,</w:t>
      </w:r>
    </w:p>
    <w:p w14:paraId="7DEA440E" w14:textId="77777777" w:rsidR="00195688" w:rsidRPr="00B57968" w:rsidRDefault="00195688" w:rsidP="00195688">
      <w:pPr>
        <w:spacing w:after="0" w:line="276" w:lineRule="auto"/>
        <w:jc w:val="both"/>
        <w:rPr>
          <w:rFonts w:ascii="Verdana" w:eastAsia="Calibri" w:hAnsi="Verdana" w:cs="Arial"/>
          <w:lang w:val="es-ES" w:eastAsia="es-ES"/>
        </w:rPr>
      </w:pPr>
      <w:r w:rsidRPr="00B57968">
        <w:rPr>
          <w:rFonts w:ascii="Verdana" w:eastAsia="Calibri" w:hAnsi="Verdana" w:cs="Arial"/>
          <w:lang w:val="es-ES" w:eastAsia="es-ES"/>
        </w:rPr>
        <w:t xml:space="preserve"> </w:t>
      </w:r>
    </w:p>
    <w:p w14:paraId="1F41C81F" w14:textId="77777777" w:rsidR="00195688" w:rsidRPr="00B57968" w:rsidRDefault="00195688" w:rsidP="00195688">
      <w:pPr>
        <w:tabs>
          <w:tab w:val="left" w:pos="3768"/>
        </w:tabs>
        <w:spacing w:after="0" w:line="276" w:lineRule="auto"/>
        <w:jc w:val="both"/>
        <w:rPr>
          <w:rFonts w:ascii="Verdana" w:eastAsia="Calibri" w:hAnsi="Verdana" w:cs="Arial"/>
          <w:lang w:eastAsia="es-ES"/>
        </w:rPr>
      </w:pPr>
      <w:r w:rsidRPr="00B57968">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15 de mayo de 2026, en la cual manifiesta lo siguiente: </w:t>
      </w:r>
    </w:p>
    <w:p w14:paraId="39A70AA1" w14:textId="77777777" w:rsidR="00195688" w:rsidRPr="00EF1B1C" w:rsidRDefault="00195688" w:rsidP="00195688">
      <w:pPr>
        <w:tabs>
          <w:tab w:val="left" w:pos="142"/>
          <w:tab w:val="left" w:pos="284"/>
        </w:tabs>
        <w:spacing w:after="0" w:line="276" w:lineRule="auto"/>
        <w:contextualSpacing/>
        <w:jc w:val="both"/>
        <w:rPr>
          <w:rFonts w:ascii="Verdana" w:eastAsia="Century Gothic" w:hAnsi="Verdana" w:cs="Century Gothic"/>
          <w:b/>
          <w:bCs/>
        </w:rPr>
      </w:pPr>
    </w:p>
    <w:p w14:paraId="584F9343"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r w:rsidRPr="00EF1B1C">
        <w:rPr>
          <w:rFonts w:ascii="Verdana" w:eastAsia="Century Gothic" w:hAnsi="Verdana" w:cs="Century Gothic"/>
          <w:i/>
          <w:iCs/>
          <w:sz w:val="20"/>
          <w:szCs w:val="20"/>
          <w:lang w:val="es-ES"/>
        </w:rPr>
        <w:t>“</w:t>
      </w:r>
      <w:r w:rsidRPr="00EF1B1C">
        <w:rPr>
          <w:rFonts w:ascii="Verdana" w:eastAsia="Calibri" w:hAnsi="Verdana" w:cs="Arial"/>
          <w:sz w:val="20"/>
          <w:szCs w:val="20"/>
          <w:lang w:eastAsia="es-ES"/>
        </w:rPr>
        <w:t>[…] En la práctica administrativa se presentan diferentes interpretaciones respecto de la modalidad de contratación procedente para este tipo de necesidades, particularmente frente a la posibilidad de adelantar contratos de prestación de servicios de apoyo a la gestión mediante contratación directa, o si por el contrario debe acudirse a mecanismos de selección objetiva mediante procesos competitivos, atendiendo la naturaleza integral y operativa del objeto contractual.</w:t>
      </w:r>
    </w:p>
    <w:p w14:paraId="7FD143D5"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p>
    <w:p w14:paraId="1A24420F"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lastRenderedPageBreak/>
        <w:t>En consideración a lo anterior, respetuosamente solicito a esa Agencia emitir concepto respecto de los siguientes interrogantes:</w:t>
      </w:r>
    </w:p>
    <w:p w14:paraId="7C0700B4"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p>
    <w:p w14:paraId="33B2EFA1" w14:textId="77777777" w:rsidR="00195688" w:rsidRDefault="00195688" w:rsidP="00195688">
      <w:pPr>
        <w:pStyle w:val="Prrafodelista"/>
        <w:numPr>
          <w:ilvl w:val="0"/>
          <w:numId w:val="17"/>
        </w:numPr>
        <w:spacing w:after="0" w:line="240" w:lineRule="auto"/>
        <w:ind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t>¿Cuál es la modalidad de selección procedente para contratar operadores logísticos destinados a la ejecución de planes de bienestar social e incentivos en entidades sometidas a la Ley 80 de 1993?</w:t>
      </w:r>
    </w:p>
    <w:p w14:paraId="729FBF3D" w14:textId="77777777" w:rsidR="00195688" w:rsidRPr="00EF1B1C" w:rsidRDefault="00195688" w:rsidP="00195688">
      <w:pPr>
        <w:pStyle w:val="Prrafodelista"/>
        <w:spacing w:after="0" w:line="240" w:lineRule="auto"/>
        <w:ind w:left="1429" w:right="709"/>
        <w:jc w:val="both"/>
        <w:rPr>
          <w:rFonts w:ascii="Verdana" w:eastAsia="Calibri" w:hAnsi="Verdana" w:cs="Arial"/>
          <w:sz w:val="20"/>
          <w:szCs w:val="20"/>
          <w:lang w:eastAsia="es-ES"/>
        </w:rPr>
      </w:pPr>
    </w:p>
    <w:p w14:paraId="7578797F" w14:textId="77777777" w:rsidR="00195688" w:rsidRDefault="00195688" w:rsidP="00195688">
      <w:pPr>
        <w:pStyle w:val="Prrafodelista"/>
        <w:numPr>
          <w:ilvl w:val="0"/>
          <w:numId w:val="17"/>
        </w:numPr>
        <w:spacing w:after="0" w:line="240" w:lineRule="auto"/>
        <w:ind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t>¿Resulta jurídicamente viable celebrar este tipo de contratos mediante contratación directa bajo la causal de prestación de servicios profesionales y de apoyo a la gestión prevista en el artículo 2 numeral 4 literal h de la Ley 1150 de 2007 y el Decreto 1082 de 2015?</w:t>
      </w:r>
    </w:p>
    <w:p w14:paraId="29DA0489" w14:textId="77777777" w:rsidR="00195688" w:rsidRPr="00EF1B1C" w:rsidRDefault="00195688" w:rsidP="00195688">
      <w:pPr>
        <w:pStyle w:val="Prrafodelista"/>
        <w:spacing w:after="0" w:line="240" w:lineRule="auto"/>
        <w:ind w:left="1429" w:right="709"/>
        <w:jc w:val="both"/>
        <w:rPr>
          <w:rFonts w:ascii="Verdana" w:eastAsia="Calibri" w:hAnsi="Verdana" w:cs="Arial"/>
          <w:sz w:val="20"/>
          <w:szCs w:val="20"/>
          <w:lang w:eastAsia="es-ES"/>
        </w:rPr>
      </w:pPr>
    </w:p>
    <w:p w14:paraId="2BECB7F0" w14:textId="77777777" w:rsidR="00195688" w:rsidRDefault="00195688" w:rsidP="00195688">
      <w:pPr>
        <w:pStyle w:val="Prrafodelista"/>
        <w:numPr>
          <w:ilvl w:val="0"/>
          <w:numId w:val="17"/>
        </w:numPr>
        <w:spacing w:after="0" w:line="240" w:lineRule="auto"/>
        <w:ind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t>¿Cuáles son los criterios jurídicos y técnicos que permiten diferenciar un contrato de apoyo a la gestión de un contrato de operación logística que deba adelantarse mediante un proceso de selección objetiva?</w:t>
      </w:r>
    </w:p>
    <w:p w14:paraId="3359468F" w14:textId="77777777" w:rsidR="00195688" w:rsidRPr="00EF1B1C" w:rsidRDefault="00195688" w:rsidP="00195688">
      <w:pPr>
        <w:pStyle w:val="Prrafodelista"/>
        <w:spacing w:after="0" w:line="240" w:lineRule="auto"/>
        <w:ind w:left="1429" w:right="709"/>
        <w:jc w:val="both"/>
        <w:rPr>
          <w:rFonts w:ascii="Verdana" w:eastAsia="Calibri" w:hAnsi="Verdana" w:cs="Arial"/>
          <w:sz w:val="20"/>
          <w:szCs w:val="20"/>
          <w:lang w:eastAsia="es-ES"/>
        </w:rPr>
      </w:pPr>
    </w:p>
    <w:p w14:paraId="02F4A3A9" w14:textId="77777777" w:rsidR="00195688" w:rsidRPr="00EF1B1C" w:rsidRDefault="00195688" w:rsidP="00195688">
      <w:pPr>
        <w:pStyle w:val="Prrafodelista"/>
        <w:numPr>
          <w:ilvl w:val="0"/>
          <w:numId w:val="17"/>
        </w:numPr>
        <w:spacing w:after="0" w:line="240" w:lineRule="auto"/>
        <w:ind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t>¿La naturaleza integral del servicio de operación logística, que puede incluir suministro de bienes y coordinación de múltiples actividades, desnaturaliza la figura de apoyo a la gestión y obliga a acudir a una modalidad competitiva de selección?</w:t>
      </w:r>
    </w:p>
    <w:p w14:paraId="7E373759" w14:textId="77777777" w:rsidR="00195688" w:rsidRPr="00EF1B1C" w:rsidRDefault="00195688" w:rsidP="00195688">
      <w:pPr>
        <w:pStyle w:val="Prrafodelista"/>
        <w:spacing w:after="0" w:line="240" w:lineRule="auto"/>
        <w:ind w:left="1429" w:right="709"/>
        <w:jc w:val="both"/>
        <w:rPr>
          <w:rFonts w:ascii="Verdana" w:eastAsia="Calibri" w:hAnsi="Verdana" w:cs="Arial"/>
          <w:sz w:val="20"/>
          <w:szCs w:val="20"/>
          <w:lang w:eastAsia="es-ES"/>
        </w:rPr>
      </w:pPr>
    </w:p>
    <w:p w14:paraId="275350F0"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t>En caso de no ser procedente la contratación directa, indicar específicamente la justificación jurídica del porque debe ser un proceso competitivo.</w:t>
      </w:r>
    </w:p>
    <w:p w14:paraId="4254DE7B"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p>
    <w:p w14:paraId="4CE7DF9D" w14:textId="77777777" w:rsidR="00195688" w:rsidRPr="00EF1B1C" w:rsidRDefault="00195688" w:rsidP="00195688">
      <w:pPr>
        <w:spacing w:after="0" w:line="240" w:lineRule="auto"/>
        <w:ind w:left="709" w:right="709"/>
        <w:jc w:val="both"/>
        <w:rPr>
          <w:rFonts w:ascii="Verdana" w:eastAsia="Calibri" w:hAnsi="Verdana" w:cs="Arial"/>
          <w:sz w:val="20"/>
          <w:szCs w:val="20"/>
          <w:lang w:eastAsia="es-ES"/>
        </w:rPr>
      </w:pPr>
      <w:r w:rsidRPr="00EF1B1C">
        <w:rPr>
          <w:rFonts w:ascii="Verdana" w:eastAsia="Calibri" w:hAnsi="Verdana" w:cs="Arial"/>
          <w:sz w:val="20"/>
          <w:szCs w:val="20"/>
          <w:lang w:eastAsia="es-ES"/>
        </w:rPr>
        <w:t>La presente consulta tiene como finalidad garantizar la correcta aplicación de los principios de transparencia, planeación, economía, responsabilidad y selección objetiva previstos en el Estatuto General de Contratación Pública, así como evitar posibles riesgos de indebida utilización de la causal de contratación directa. […]”</w:t>
      </w:r>
    </w:p>
    <w:p w14:paraId="767A5616" w14:textId="77777777" w:rsidR="00195688" w:rsidRPr="00B57968" w:rsidRDefault="00195688" w:rsidP="00195688">
      <w:pPr>
        <w:tabs>
          <w:tab w:val="left" w:pos="1624"/>
        </w:tabs>
        <w:spacing w:after="0" w:line="240" w:lineRule="auto"/>
        <w:ind w:left="709" w:right="709"/>
        <w:jc w:val="both"/>
        <w:rPr>
          <w:rFonts w:ascii="Verdana" w:eastAsia="Calibri" w:hAnsi="Verdana" w:cs="Arial"/>
          <w:color w:val="EE0000"/>
          <w:sz w:val="20"/>
          <w:szCs w:val="20"/>
          <w:lang w:eastAsia="es-ES"/>
        </w:rPr>
      </w:pPr>
    </w:p>
    <w:p w14:paraId="4E4571D8" w14:textId="77777777" w:rsidR="00195688" w:rsidRPr="00EF1B1C" w:rsidRDefault="00195688" w:rsidP="00195688">
      <w:pPr>
        <w:spacing w:after="120" w:line="276" w:lineRule="auto"/>
        <w:ind w:firstLine="708"/>
        <w:jc w:val="both"/>
        <w:rPr>
          <w:rFonts w:ascii="Verdana" w:eastAsia="Calibri" w:hAnsi="Verdana" w:cs="Arial"/>
          <w:lang w:val="es-ES" w:eastAsia="es-ES"/>
        </w:rPr>
      </w:pPr>
      <w:r w:rsidRPr="00EF1B1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EF1B1C">
        <w:rPr>
          <w:rFonts w:ascii="Verdana" w:eastAsia="Calibri" w:hAnsi="Verdana" w:cs="Arial"/>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EF1B1C">
        <w:rPr>
          <w:rFonts w:ascii="Verdana" w:hAnsi="Verdana"/>
          <w:lang w:val="es-ES"/>
        </w:rPr>
        <w:tab/>
      </w:r>
    </w:p>
    <w:p w14:paraId="592D3C04" w14:textId="77777777" w:rsidR="00195688" w:rsidRPr="00EF1B1C" w:rsidRDefault="00195688" w:rsidP="00195688">
      <w:pPr>
        <w:spacing w:after="0" w:line="276" w:lineRule="auto"/>
        <w:ind w:firstLine="709"/>
        <w:jc w:val="both"/>
        <w:rPr>
          <w:rFonts w:ascii="Verdana" w:eastAsia="Calibri" w:hAnsi="Verdana" w:cs="Arial"/>
          <w:lang w:val="es-ES" w:eastAsia="es-ES"/>
        </w:rPr>
      </w:pPr>
      <w:r w:rsidRPr="00EF1B1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w:t>
      </w:r>
      <w:r w:rsidRPr="00EF1B1C">
        <w:rPr>
          <w:rFonts w:ascii="Verdana" w:eastAsia="Calibri" w:hAnsi="Verdana" w:cs="Arial"/>
          <w:lang w:eastAsia="es-ES"/>
        </w:rPr>
        <w:t xml:space="preserve">pero señalando algunas </w:t>
      </w:r>
      <w:r w:rsidRPr="00EF1B1C">
        <w:rPr>
          <w:rFonts w:ascii="Verdana" w:eastAsia="Calibri" w:hAnsi="Verdana" w:cs="Arial"/>
          <w:lang w:val="es-ES" w:eastAsia="es-ES"/>
        </w:rPr>
        <w:t xml:space="preserve">consideraciones sobre las normas generales relacionadas con el problema jurídico de su consulta. </w:t>
      </w:r>
    </w:p>
    <w:p w14:paraId="37644969" w14:textId="77777777" w:rsidR="00195688" w:rsidRPr="00EF1B1C" w:rsidRDefault="00195688" w:rsidP="00195688">
      <w:pPr>
        <w:spacing w:after="0" w:line="276" w:lineRule="auto"/>
        <w:ind w:firstLine="709"/>
        <w:jc w:val="both"/>
        <w:rPr>
          <w:rFonts w:ascii="Verdana" w:eastAsia="Calibri" w:hAnsi="Verdana" w:cs="Arial"/>
          <w:lang w:val="es-ES" w:eastAsia="es-ES"/>
        </w:rPr>
      </w:pPr>
    </w:p>
    <w:p w14:paraId="1D610076" w14:textId="77777777" w:rsidR="00195688" w:rsidRPr="00EF1B1C" w:rsidRDefault="00195688" w:rsidP="00195688">
      <w:pPr>
        <w:tabs>
          <w:tab w:val="left" w:pos="142"/>
          <w:tab w:val="left" w:pos="284"/>
        </w:tabs>
        <w:spacing w:after="0" w:line="276" w:lineRule="auto"/>
        <w:contextualSpacing/>
        <w:jc w:val="both"/>
        <w:rPr>
          <w:rFonts w:ascii="Verdana" w:eastAsia="Century Gothic" w:hAnsi="Verdana" w:cs="Century Gothic"/>
          <w:b/>
          <w:lang w:val="es-ES"/>
        </w:rPr>
      </w:pPr>
      <w:r w:rsidRPr="00EF1B1C">
        <w:rPr>
          <w:rFonts w:ascii="Verdana" w:eastAsia="Century Gothic" w:hAnsi="Verdana" w:cs="Century Gothic"/>
          <w:b/>
          <w:lang w:val="es-ES"/>
        </w:rPr>
        <w:t>1. Problema planteado:</w:t>
      </w:r>
    </w:p>
    <w:p w14:paraId="2D5B7500" w14:textId="77777777" w:rsidR="00195688" w:rsidRPr="00EF1B1C" w:rsidRDefault="00195688" w:rsidP="00195688">
      <w:pPr>
        <w:tabs>
          <w:tab w:val="left" w:pos="426"/>
        </w:tabs>
        <w:spacing w:after="0" w:line="276" w:lineRule="auto"/>
        <w:jc w:val="both"/>
        <w:rPr>
          <w:rFonts w:ascii="Verdana" w:eastAsia="Century Gothic" w:hAnsi="Verdana" w:cs="Century Gothic"/>
          <w:lang w:val="es-ES"/>
        </w:rPr>
      </w:pPr>
    </w:p>
    <w:p w14:paraId="28A45B71" w14:textId="77777777" w:rsidR="00195688" w:rsidRPr="00B57968" w:rsidRDefault="00195688" w:rsidP="00195688">
      <w:pPr>
        <w:spacing w:after="0" w:line="276" w:lineRule="auto"/>
        <w:jc w:val="both"/>
        <w:rPr>
          <w:rFonts w:ascii="Verdana" w:eastAsia="Century Gothic" w:hAnsi="Verdana" w:cs="Century Gothic"/>
          <w:color w:val="EE0000"/>
        </w:rPr>
      </w:pPr>
      <w:r w:rsidRPr="00EF1B1C">
        <w:rPr>
          <w:rFonts w:ascii="Verdana" w:eastAsia="Century Gothic" w:hAnsi="Verdana" w:cs="Century Gothic"/>
          <w:lang w:val="es-ES"/>
        </w:rPr>
        <w:t xml:space="preserve">De acuerdo con el contenido de su solicitud, esta Agencia resolverá el siguiente problema </w:t>
      </w:r>
      <w:r w:rsidRPr="00D20677">
        <w:rPr>
          <w:rFonts w:ascii="Verdana" w:eastAsia="Century Gothic" w:hAnsi="Verdana" w:cs="Century Gothic"/>
          <w:lang w:val="es-ES"/>
        </w:rPr>
        <w:t xml:space="preserve">jurídico: </w:t>
      </w:r>
      <w:r w:rsidRPr="00D20677">
        <w:rPr>
          <w:rFonts w:ascii="Verdana" w:eastAsia="Century Gothic" w:hAnsi="Verdana" w:cs="Century Gothic"/>
        </w:rPr>
        <w:t>¿Cuál es la modalidad de selección procedente para la contratación de servicios de operación logística por parte de las entidades sometidas al Estatuto General de Contratación de la Administración Pública?</w:t>
      </w:r>
    </w:p>
    <w:p w14:paraId="4454BABE" w14:textId="77777777" w:rsidR="00195688" w:rsidRPr="00B57968" w:rsidRDefault="00195688" w:rsidP="00195688">
      <w:pPr>
        <w:spacing w:after="0" w:line="276" w:lineRule="auto"/>
        <w:jc w:val="both"/>
        <w:rPr>
          <w:rFonts w:ascii="Verdana" w:eastAsia="Century Gothic" w:hAnsi="Verdana" w:cs="Century Gothic"/>
          <w:color w:val="EE0000"/>
        </w:rPr>
      </w:pPr>
    </w:p>
    <w:p w14:paraId="018CE9D0" w14:textId="77777777" w:rsidR="00195688" w:rsidRPr="00EF1B1C" w:rsidRDefault="00195688" w:rsidP="00195688">
      <w:pPr>
        <w:tabs>
          <w:tab w:val="left" w:pos="142"/>
          <w:tab w:val="left" w:pos="284"/>
        </w:tabs>
        <w:spacing w:after="0" w:line="276" w:lineRule="auto"/>
        <w:jc w:val="both"/>
        <w:rPr>
          <w:rFonts w:ascii="Verdana" w:eastAsia="Century Gothic" w:hAnsi="Verdana" w:cs="Century Gothic"/>
          <w:b/>
          <w:lang w:val="es-ES"/>
        </w:rPr>
      </w:pPr>
      <w:r w:rsidRPr="00EF1B1C">
        <w:rPr>
          <w:rFonts w:ascii="Verdana" w:eastAsia="Century Gothic" w:hAnsi="Verdana" w:cs="Century Gothic"/>
          <w:b/>
          <w:lang w:val="es-ES"/>
        </w:rPr>
        <w:t>2. Respuesta:</w:t>
      </w:r>
    </w:p>
    <w:p w14:paraId="15F27B6D" w14:textId="77777777" w:rsidR="00195688" w:rsidRPr="00B57968" w:rsidRDefault="00195688" w:rsidP="00195688">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885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52"/>
      </w:tblGrid>
      <w:tr w:rsidR="00195688" w:rsidRPr="00B57968" w14:paraId="56F8A75B" w14:textId="77777777" w:rsidTr="005B6D11">
        <w:tc>
          <w:tcPr>
            <w:tcW w:w="8852" w:type="dxa"/>
          </w:tcPr>
          <w:p w14:paraId="1275B42E" w14:textId="77777777" w:rsidR="00195688" w:rsidRPr="005603C3" w:rsidRDefault="00195688" w:rsidP="005B6D11">
            <w:pPr>
              <w:spacing w:before="120" w:after="120" w:line="276" w:lineRule="auto"/>
              <w:jc w:val="both"/>
              <w:rPr>
                <w:rFonts w:ascii="Verdana" w:eastAsia="Calibri" w:hAnsi="Verdana" w:cs="Arial"/>
              </w:rPr>
            </w:pPr>
            <w:r w:rsidRPr="005603C3">
              <w:rPr>
                <w:rFonts w:ascii="Verdana" w:eastAsia="Calibri" w:hAnsi="Verdana" w:cs="Arial"/>
              </w:rPr>
              <w:t>En primer lugar, es preciso señalar que, de conformidad con la interpretación general del sistema de compras y contratación pública, el artículo 32 de la Ley 80 de 1993 define los contratos estatales como “[…] todos los actos jurídicos generadores de obligaciones […] previstos en el derecho privado o en disposiciones especiales, o derivados del ejercicio de la autonomía de la voluntad […]”. En virtud de ello, las entidades estatales cuentan con la facultad de celebrar contratos atípicos o mixtos, siempre que estos se orienten al cumplimiento de los fines estatales y respeten el ordenamiento jurídico aplicable.</w:t>
            </w:r>
          </w:p>
          <w:p w14:paraId="488E14CD" w14:textId="77777777" w:rsidR="00195688" w:rsidRPr="003073F2" w:rsidRDefault="00195688" w:rsidP="005B6D11">
            <w:pPr>
              <w:spacing w:before="120" w:after="120" w:line="276" w:lineRule="auto"/>
              <w:ind w:firstLine="709"/>
              <w:jc w:val="both"/>
              <w:rPr>
                <w:rFonts w:ascii="Verdana" w:eastAsia="Calibri" w:hAnsi="Verdana" w:cs="Arial"/>
              </w:rPr>
            </w:pPr>
            <w:r w:rsidRPr="005603C3">
              <w:rPr>
                <w:rFonts w:ascii="Verdana" w:eastAsia="Calibri" w:hAnsi="Verdana" w:cs="Arial"/>
              </w:rPr>
              <w:t xml:space="preserve">En ese contexto, los contratos de operación logística constituyen una modalidad contractual atípica, caracterizada por la combinación de prestaciones propias de diferentes contratos nominados para atender una necesidad específica. Así, es común que incorporen obligaciones asociadas a la compraventa, el suministro, el arrendamiento de bienes muebles o inmuebles, el transporte, entre otras, circunstancia que pone de manifiesto su naturaleza compleja y la convergencia de prestaciones correspondientes a diversas </w:t>
            </w:r>
            <w:r w:rsidRPr="003073F2">
              <w:rPr>
                <w:rFonts w:ascii="Verdana" w:eastAsia="Calibri" w:hAnsi="Verdana" w:cs="Arial"/>
              </w:rPr>
              <w:t>tipologías contractuales.</w:t>
            </w:r>
          </w:p>
          <w:p w14:paraId="0DC0D4A1" w14:textId="77777777" w:rsidR="00195688" w:rsidRDefault="00195688" w:rsidP="005B6D11">
            <w:pPr>
              <w:spacing w:before="120" w:after="120" w:line="276" w:lineRule="auto"/>
              <w:ind w:firstLine="709"/>
              <w:jc w:val="both"/>
              <w:rPr>
                <w:rFonts w:ascii="Verdana" w:eastAsia="Arial" w:hAnsi="Verdana" w:cs="Arial"/>
                <w:bCs/>
                <w:lang w:val="es-MX"/>
              </w:rPr>
            </w:pPr>
            <w:r w:rsidRPr="003073F2">
              <w:rPr>
                <w:rFonts w:ascii="Verdana" w:eastAsia="Calibri" w:hAnsi="Verdana" w:cs="Arial"/>
              </w:rPr>
              <w:lastRenderedPageBreak/>
              <w:t>Ahora bien, dada su naturaleza de contratos mixtos y considerando que el ordenamiento jurídico no prevé una modalidad de selección reservada exclusivamente para los contratos de operación logística, no es posible afirmar la existencia de un criterio único, universal y absoluto que determine, en todos los casos, la procedencia de una modalidad específica de selección para su celebración. En consecuencia, la definición del mecanismo de selección aplicable deberá efectuarse en cada caso concreto, atendiendo al objeto contractual, a las prestaciones predominantes y a las circunstancias particulares de la necesidad que se pretende satisfacer.</w:t>
            </w:r>
            <w:r w:rsidRPr="003073F2">
              <w:rPr>
                <w:rFonts w:ascii="Verdana" w:eastAsia="Arial" w:hAnsi="Verdana" w:cs="Arial"/>
                <w:bCs/>
              </w:rPr>
              <w:t xml:space="preserve"> Lo anterior, </w:t>
            </w:r>
            <w:r w:rsidRPr="003073F2">
              <w:rPr>
                <w:rFonts w:ascii="Verdana" w:eastAsia="Arial" w:hAnsi="Verdana" w:cs="Arial"/>
                <w:bCs/>
                <w:lang w:val="es-MX"/>
              </w:rPr>
              <w:t xml:space="preserve">sin perjuicio de lo señalado en </w:t>
            </w:r>
            <w:r>
              <w:rPr>
                <w:rFonts w:ascii="Verdana" w:eastAsia="Arial" w:hAnsi="Verdana" w:cs="Arial"/>
                <w:bCs/>
                <w:lang w:val="es-MX"/>
              </w:rPr>
              <w:t>las consideraciones del este</w:t>
            </w:r>
            <w:r w:rsidRPr="003073F2">
              <w:rPr>
                <w:rFonts w:ascii="Verdana" w:eastAsia="Arial" w:hAnsi="Verdana" w:cs="Arial"/>
                <w:bCs/>
                <w:lang w:val="es-MX"/>
              </w:rPr>
              <w:t xml:space="preserve"> concepto sobre los contratos de prestación de servicios profesionales y de apoyo a la gestión con actividades operativas, logísticas o asistenciales.</w:t>
            </w:r>
          </w:p>
          <w:p w14:paraId="39A9DFAF" w14:textId="77777777" w:rsidR="00195688" w:rsidRDefault="00195688" w:rsidP="005B6D11">
            <w:pPr>
              <w:spacing w:before="120" w:after="120" w:line="276" w:lineRule="auto"/>
              <w:ind w:firstLine="709"/>
              <w:jc w:val="both"/>
              <w:rPr>
                <w:rFonts w:ascii="Verdana" w:eastAsia="Calibri" w:hAnsi="Verdana" w:cs="Arial"/>
              </w:rPr>
            </w:pPr>
            <w:r w:rsidRPr="003073F2">
              <w:rPr>
                <w:rFonts w:ascii="Verdana" w:eastAsia="Calibri" w:hAnsi="Verdana" w:cs="Arial"/>
              </w:rPr>
              <w:t>En este orden de ideas, corresponderá a la entidad determinar, en cada caso concreto, la modalidad de selección aplicable a la contratación de servicios de operación logística, para lo cual deberá considerar el objeto a contratar, la cuantía las obligaciones y demás condiciones específicas del contrato a ejecutar. Esta determinación deberá efectuarse con observancia del régimen jurídico que regula cada modalidad de selección, garantizando el cumplimiento de los principios que orientan la contratación estatal, en particular los de transparencia, economía, responsabilidad y selección objetiva</w:t>
            </w:r>
            <w:r>
              <w:rPr>
                <w:rFonts w:ascii="Verdana" w:eastAsia="Calibri" w:hAnsi="Verdana" w:cs="Arial"/>
              </w:rPr>
              <w:t>.</w:t>
            </w:r>
          </w:p>
          <w:p w14:paraId="44F70315" w14:textId="77777777" w:rsidR="00195688" w:rsidRDefault="00195688" w:rsidP="005B6D11">
            <w:pPr>
              <w:spacing w:before="120" w:after="120" w:line="276" w:lineRule="auto"/>
              <w:ind w:firstLine="709"/>
              <w:jc w:val="both"/>
              <w:rPr>
                <w:rFonts w:ascii="Verdana" w:eastAsia="Calibri" w:hAnsi="Verdana" w:cs="Arial"/>
              </w:rPr>
            </w:pPr>
            <w:r w:rsidRPr="003073F2">
              <w:rPr>
                <w:rFonts w:ascii="Verdana" w:eastAsia="Calibri" w:hAnsi="Verdana" w:cs="Arial"/>
              </w:rPr>
              <w:t xml:space="preserve">Adicionalmente, en aplicación del principio de planeación, corresponde a la entidad definir la forma en que atenderá sus necesidades de operación logística durante la respectiva vigencia fiscal. Para ello, deberá evaluar, entre otros aspectos, la necesidad que se pretende satisfacer, la conveniencia y oportunidad de la contratación, los costos asociados a la celebración y ejecución del negocio jurídico, la disponibilidad presupuestal, la capacidad financiera para asumir las obligaciones derivadas de este, se trata de una decisión discrecional de la administración.  </w:t>
            </w:r>
          </w:p>
          <w:p w14:paraId="533E138B" w14:textId="77777777" w:rsidR="00195688" w:rsidRPr="003073F2" w:rsidRDefault="00195688" w:rsidP="005B6D11">
            <w:pPr>
              <w:spacing w:before="120" w:after="120" w:line="276" w:lineRule="auto"/>
              <w:ind w:firstLine="709"/>
              <w:jc w:val="both"/>
              <w:rPr>
                <w:rFonts w:ascii="Verdana" w:eastAsia="Calibri" w:hAnsi="Verdana" w:cs="Arial"/>
              </w:rPr>
            </w:pPr>
            <w:r w:rsidRPr="003073F2">
              <w:rPr>
                <w:rFonts w:ascii="Verdana" w:hAnsi="Verdana" w:cs="Arial"/>
              </w:rPr>
              <w:t xml:space="preserve">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w:t>
            </w:r>
            <w:r w:rsidRPr="003073F2">
              <w:rPr>
                <w:rFonts w:ascii="Verdana" w:hAnsi="Verdana" w:cs="Arial"/>
              </w:rPr>
              <w:lastRenderedPageBreak/>
              <w:t>situaciones particulares corresponde a los interesados adoptar la decisión correspondiente y, en caso de conflicto, a las autoridades judiciales, fiscales y disciplinarias.</w:t>
            </w:r>
          </w:p>
          <w:p w14:paraId="0F80B050" w14:textId="77777777" w:rsidR="00195688" w:rsidRPr="003073F2" w:rsidRDefault="00195688" w:rsidP="005B6D11">
            <w:pPr>
              <w:spacing w:line="276" w:lineRule="auto"/>
              <w:ind w:firstLine="708"/>
              <w:jc w:val="both"/>
              <w:rPr>
                <w:rFonts w:ascii="Verdana" w:eastAsia="Times New Roman" w:hAnsi="Verdana" w:cs="Times New Roman"/>
                <w:lang w:eastAsia="es-ES"/>
              </w:rPr>
            </w:pPr>
            <w:r w:rsidRPr="00E079C6">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1C39340A" w14:textId="77777777" w:rsidR="00195688" w:rsidRPr="00B57968" w:rsidRDefault="00195688" w:rsidP="00195688">
      <w:pPr>
        <w:tabs>
          <w:tab w:val="left" w:pos="142"/>
          <w:tab w:val="left" w:pos="284"/>
        </w:tabs>
        <w:spacing w:after="0" w:line="276" w:lineRule="auto"/>
        <w:jc w:val="both"/>
        <w:rPr>
          <w:rFonts w:ascii="Verdana" w:eastAsia="Century Gothic" w:hAnsi="Verdana" w:cs="Century Gothic"/>
          <w:b/>
          <w:bCs/>
          <w:color w:val="EE0000"/>
          <w:lang w:val="es-ES"/>
        </w:rPr>
      </w:pPr>
    </w:p>
    <w:p w14:paraId="598E1F46" w14:textId="77777777" w:rsidR="00195688" w:rsidRPr="00EF1B1C" w:rsidRDefault="00195688" w:rsidP="00195688">
      <w:pPr>
        <w:tabs>
          <w:tab w:val="left" w:pos="142"/>
          <w:tab w:val="left" w:pos="284"/>
        </w:tabs>
        <w:spacing w:after="0" w:line="276" w:lineRule="auto"/>
        <w:jc w:val="both"/>
        <w:rPr>
          <w:rFonts w:ascii="Verdana" w:eastAsia="Century Gothic" w:hAnsi="Verdana" w:cs="Century Gothic"/>
          <w:b/>
          <w:lang w:val="es-ES"/>
        </w:rPr>
      </w:pPr>
      <w:r w:rsidRPr="00EF1B1C">
        <w:rPr>
          <w:rFonts w:ascii="Verdana" w:eastAsia="Century Gothic" w:hAnsi="Verdana" w:cs="Century Gothic"/>
          <w:b/>
          <w:lang w:val="es-ES"/>
        </w:rPr>
        <w:t>3. Razones de la respuesta:</w:t>
      </w:r>
    </w:p>
    <w:p w14:paraId="3C52B0BF" w14:textId="77777777" w:rsidR="00195688" w:rsidRPr="00EF1B1C" w:rsidRDefault="00195688" w:rsidP="00195688">
      <w:pPr>
        <w:tabs>
          <w:tab w:val="left" w:pos="142"/>
          <w:tab w:val="left" w:pos="284"/>
        </w:tabs>
        <w:spacing w:after="0" w:line="276" w:lineRule="auto"/>
        <w:jc w:val="both"/>
        <w:rPr>
          <w:rFonts w:ascii="Verdana" w:eastAsia="Century Gothic" w:hAnsi="Verdana" w:cs="Century Gothic"/>
          <w:b/>
          <w:lang w:val="es-ES"/>
        </w:rPr>
      </w:pPr>
    </w:p>
    <w:p w14:paraId="4B5373F1" w14:textId="77777777" w:rsidR="00195688" w:rsidRDefault="00195688" w:rsidP="00195688">
      <w:pPr>
        <w:spacing w:after="0" w:line="276" w:lineRule="auto"/>
        <w:jc w:val="both"/>
        <w:rPr>
          <w:rFonts w:ascii="Verdana" w:eastAsia="Calibri" w:hAnsi="Verdana" w:cs="Arial"/>
          <w:lang w:val="es-ES"/>
        </w:rPr>
      </w:pPr>
      <w:r w:rsidRPr="00EF1B1C">
        <w:rPr>
          <w:rFonts w:ascii="Verdana" w:eastAsia="Calibri" w:hAnsi="Verdana" w:cs="Arial"/>
          <w:lang w:val="es-ES"/>
        </w:rPr>
        <w:t>Lo anterior se sustenta en las siguientes consideraciones:</w:t>
      </w:r>
      <w:bookmarkStart w:id="1" w:name="_Hlk198934308"/>
      <w:bookmarkStart w:id="2" w:name="_Hlk102983874"/>
      <w:bookmarkStart w:id="3" w:name="_Hlk102388095"/>
    </w:p>
    <w:p w14:paraId="5B93B53F" w14:textId="77777777" w:rsidR="00195688" w:rsidRDefault="00195688" w:rsidP="00195688">
      <w:pPr>
        <w:spacing w:after="0" w:line="276" w:lineRule="auto"/>
        <w:jc w:val="both"/>
        <w:rPr>
          <w:rFonts w:ascii="Verdana" w:eastAsia="Calibri" w:hAnsi="Verdana" w:cs="Arial"/>
          <w:lang w:val="es-ES"/>
        </w:rPr>
      </w:pPr>
    </w:p>
    <w:p w14:paraId="4C9D23C7" w14:textId="77777777" w:rsidR="00195688" w:rsidRPr="00B84075" w:rsidRDefault="00195688" w:rsidP="00195688">
      <w:pPr>
        <w:spacing w:after="120" w:line="276" w:lineRule="auto"/>
        <w:jc w:val="both"/>
        <w:rPr>
          <w:rFonts w:ascii="Verdana" w:hAnsi="Verdana" w:cs="Arial"/>
        </w:rPr>
      </w:pPr>
      <w:r w:rsidRPr="0071041F">
        <w:rPr>
          <w:rFonts w:ascii="Verdana" w:eastAsia="Calibri" w:hAnsi="Verdana" w:cs="Arial"/>
          <w:lang w:val="es-ES"/>
        </w:rPr>
        <w:t>i. El</w:t>
      </w:r>
      <w:r w:rsidRPr="00B84075">
        <w:rPr>
          <w:rFonts w:ascii="Verdana" w:eastAsia="Calibri" w:hAnsi="Verdana" w:cs="Arial"/>
          <w:lang w:val="es-ES"/>
        </w:rPr>
        <w:t xml:space="preserve">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B84075">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437266BB" w14:textId="77777777" w:rsidR="00195688" w:rsidRPr="00B84075" w:rsidRDefault="00195688" w:rsidP="00195688">
      <w:pPr>
        <w:spacing w:after="120" w:line="276" w:lineRule="auto"/>
        <w:ind w:firstLine="709"/>
        <w:jc w:val="both"/>
        <w:rPr>
          <w:rFonts w:ascii="Verdana" w:hAnsi="Verdana" w:cs="Arial"/>
        </w:rPr>
      </w:pPr>
      <w:r w:rsidRPr="00B84075">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16DBDAD2" w14:textId="77777777" w:rsidR="00195688" w:rsidRPr="00B84075" w:rsidRDefault="00195688" w:rsidP="00195688">
      <w:pPr>
        <w:spacing w:after="0" w:line="276" w:lineRule="auto"/>
        <w:ind w:firstLine="708"/>
        <w:jc w:val="both"/>
        <w:rPr>
          <w:rFonts w:ascii="Verdana" w:hAnsi="Verdana" w:cs="Arial"/>
        </w:rPr>
      </w:pPr>
      <w:r w:rsidRPr="00B84075">
        <w:rPr>
          <w:rFonts w:ascii="Verdana" w:hAnsi="Verdana" w:cs="Arial"/>
        </w:rPr>
        <w:t xml:space="preserve">De esta manera, los contratos de las entidades sometidas al Estatuto General de Contratación se rigen generalmente por el derecho privado y excepcionalmente por el derecho público, pues las normas civiles y comerciales </w:t>
      </w:r>
      <w:r w:rsidRPr="00B84075">
        <w:rPr>
          <w:rFonts w:ascii="Verdana" w:hAnsi="Verdana" w:cs="Arial"/>
        </w:rPr>
        <w:lastRenderedPageBreak/>
        <w:t>son el derecho común de los contratos estatales</w:t>
      </w:r>
      <w:r w:rsidRPr="00B84075">
        <w:rPr>
          <w:rFonts w:ascii="Verdana" w:hAnsi="Verdana" w:cs="Arial"/>
          <w:vertAlign w:val="superscript"/>
        </w:rPr>
        <w:footnoteReference w:id="1"/>
      </w:r>
      <w:r w:rsidRPr="00B84075">
        <w:rPr>
          <w:rFonts w:ascii="Verdana" w:hAnsi="Verdana" w:cs="Arial"/>
        </w:rPr>
        <w:t>. Para la doctrina, la mixtura del régimen contractual:</w:t>
      </w:r>
    </w:p>
    <w:p w14:paraId="0B665753" w14:textId="77777777" w:rsidR="00195688" w:rsidRPr="00B84075" w:rsidRDefault="00195688" w:rsidP="00195688">
      <w:pPr>
        <w:spacing w:after="0" w:line="276" w:lineRule="auto"/>
        <w:ind w:firstLine="709"/>
        <w:jc w:val="both"/>
        <w:rPr>
          <w:rFonts w:ascii="Verdana" w:hAnsi="Verdana" w:cs="Arial"/>
        </w:rPr>
      </w:pPr>
    </w:p>
    <w:p w14:paraId="7030C4FF" w14:textId="77777777" w:rsidR="00195688" w:rsidRPr="00B84075" w:rsidRDefault="00195688" w:rsidP="00195688">
      <w:pPr>
        <w:spacing w:after="0" w:line="240" w:lineRule="auto"/>
        <w:ind w:left="709" w:right="709"/>
        <w:jc w:val="both"/>
        <w:rPr>
          <w:rFonts w:ascii="Verdana" w:hAnsi="Verdana" w:cs="Arial"/>
          <w:sz w:val="20"/>
          <w:szCs w:val="20"/>
        </w:rPr>
      </w:pPr>
      <w:r w:rsidRPr="00B84075">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A024D2C" w14:textId="77777777" w:rsidR="00195688" w:rsidRPr="00B84075" w:rsidRDefault="00195688" w:rsidP="00195688">
      <w:pPr>
        <w:spacing w:after="0" w:line="240" w:lineRule="auto"/>
        <w:ind w:right="709"/>
        <w:jc w:val="both"/>
        <w:rPr>
          <w:rFonts w:ascii="Verdana" w:hAnsi="Verdana" w:cs="Arial"/>
          <w:sz w:val="10"/>
          <w:szCs w:val="10"/>
        </w:rPr>
      </w:pPr>
      <w:r w:rsidRPr="00B84075">
        <w:rPr>
          <w:rFonts w:ascii="Verdana" w:hAnsi="Verdana" w:cs="Arial"/>
          <w:sz w:val="20"/>
          <w:szCs w:val="20"/>
        </w:rPr>
        <w:tab/>
      </w:r>
    </w:p>
    <w:p w14:paraId="65573F10" w14:textId="77777777" w:rsidR="00195688" w:rsidRPr="00B84075" w:rsidRDefault="00195688" w:rsidP="00195688">
      <w:pPr>
        <w:spacing w:after="0" w:line="240" w:lineRule="auto"/>
        <w:ind w:left="709" w:right="709"/>
        <w:jc w:val="both"/>
        <w:rPr>
          <w:rFonts w:ascii="Verdana" w:hAnsi="Verdana" w:cs="Arial"/>
          <w:sz w:val="20"/>
          <w:szCs w:val="20"/>
        </w:rPr>
      </w:pPr>
      <w:r w:rsidRPr="00B84075">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B84075">
        <w:rPr>
          <w:rFonts w:ascii="Verdana" w:hAnsi="Verdana" w:cs="Arial"/>
          <w:sz w:val="20"/>
          <w:szCs w:val="20"/>
          <w:vertAlign w:val="superscript"/>
        </w:rPr>
        <w:footnoteReference w:id="2"/>
      </w:r>
      <w:r w:rsidRPr="00B84075">
        <w:rPr>
          <w:rFonts w:ascii="Verdana" w:hAnsi="Verdana" w:cs="Arial"/>
          <w:sz w:val="20"/>
          <w:szCs w:val="20"/>
        </w:rPr>
        <w:t xml:space="preserve"> […]. </w:t>
      </w:r>
    </w:p>
    <w:p w14:paraId="5F1B3DD9" w14:textId="77777777" w:rsidR="00195688" w:rsidRPr="00B84075" w:rsidRDefault="00195688" w:rsidP="00195688">
      <w:pPr>
        <w:spacing w:after="0" w:line="276" w:lineRule="auto"/>
        <w:ind w:left="709" w:right="709"/>
        <w:jc w:val="both"/>
        <w:rPr>
          <w:rFonts w:ascii="Verdana" w:hAnsi="Verdana" w:cs="Arial"/>
          <w:sz w:val="20"/>
          <w:szCs w:val="20"/>
        </w:rPr>
      </w:pPr>
      <w:r w:rsidRPr="00B84075">
        <w:rPr>
          <w:rFonts w:ascii="Verdana" w:hAnsi="Verdana" w:cs="Arial"/>
          <w:sz w:val="20"/>
          <w:szCs w:val="20"/>
        </w:rPr>
        <w:t xml:space="preserve"> </w:t>
      </w:r>
    </w:p>
    <w:p w14:paraId="3320A365" w14:textId="77777777" w:rsidR="00195688" w:rsidRPr="00B84075" w:rsidRDefault="00195688" w:rsidP="00195688">
      <w:pPr>
        <w:spacing w:after="0" w:line="276" w:lineRule="auto"/>
        <w:jc w:val="both"/>
        <w:rPr>
          <w:rFonts w:ascii="Verdana" w:hAnsi="Verdana" w:cs="Arial"/>
        </w:rPr>
      </w:pPr>
      <w:r w:rsidRPr="00B84075">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w:t>
      </w:r>
    </w:p>
    <w:p w14:paraId="0629334F" w14:textId="77777777" w:rsidR="00195688" w:rsidRPr="00B84075" w:rsidRDefault="00195688" w:rsidP="00195688">
      <w:pPr>
        <w:spacing w:after="0" w:line="276" w:lineRule="auto"/>
        <w:jc w:val="both"/>
        <w:rPr>
          <w:rFonts w:ascii="Verdana" w:hAnsi="Verdana" w:cs="Arial"/>
        </w:rPr>
      </w:pPr>
    </w:p>
    <w:p w14:paraId="75A21A77" w14:textId="77777777" w:rsidR="00195688" w:rsidRPr="00744B0E" w:rsidRDefault="00195688" w:rsidP="00195688">
      <w:pPr>
        <w:spacing w:after="0" w:line="276" w:lineRule="auto"/>
        <w:jc w:val="both"/>
        <w:rPr>
          <w:rFonts w:ascii="Verdana" w:hAnsi="Verdana" w:cs="Arial"/>
        </w:rPr>
      </w:pPr>
      <w:r w:rsidRPr="00B84075">
        <w:rPr>
          <w:rFonts w:ascii="Verdana" w:hAnsi="Verdana" w:cs="Arial"/>
        </w:rPr>
        <w:t xml:space="preserve">ii. Esta precisión es importante, porque el grueso de los </w:t>
      </w:r>
      <w:r w:rsidRPr="00B84075">
        <w:rPr>
          <w:rFonts w:ascii="Verdana" w:hAnsi="Verdana" w:cs="Arial"/>
          <w:i/>
          <w:iCs/>
        </w:rPr>
        <w:t>contratos típicos</w:t>
      </w:r>
      <w:r w:rsidRPr="00B84075">
        <w:rPr>
          <w:rFonts w:ascii="Verdana" w:hAnsi="Verdana" w:cs="Arial"/>
        </w:rPr>
        <w:t xml:space="preserve"> –v. gr. compraventa, arrendamiento, mutuo, comodato, depósito, suministro, transporte, etc.– se encuentran en el Código Civil y en el Código de Comercio</w:t>
      </w:r>
      <w:r w:rsidRPr="00744B0E">
        <w:rPr>
          <w:rFonts w:ascii="Verdana" w:hAnsi="Verdana" w:cs="Arial"/>
        </w:rPr>
        <w:t xml:space="preserve">, por lo que allí encuentran gran parte de su régimen jurídico. Sin embargo, ello no obsta para la existencia de </w:t>
      </w:r>
      <w:r w:rsidRPr="00744B0E">
        <w:rPr>
          <w:rFonts w:ascii="Verdana" w:hAnsi="Verdana" w:cs="Arial"/>
          <w:i/>
          <w:iCs/>
        </w:rPr>
        <w:t>contratos atípicos</w:t>
      </w:r>
      <w:r w:rsidRPr="00744B0E">
        <w:rPr>
          <w:rFonts w:ascii="Verdana" w:hAnsi="Verdana" w:cs="Arial"/>
        </w:rPr>
        <w:t>, pues –aunque no corresponden a un molde legal predefinido– en ellos obra con mayor alcance la libertad contractual. Como explica la doctrina:</w:t>
      </w:r>
    </w:p>
    <w:p w14:paraId="66DE2CFB" w14:textId="77777777" w:rsidR="00195688" w:rsidRPr="00744B0E" w:rsidRDefault="00195688" w:rsidP="00195688">
      <w:pPr>
        <w:spacing w:after="0" w:line="276" w:lineRule="auto"/>
        <w:jc w:val="both"/>
        <w:rPr>
          <w:rFonts w:ascii="Verdana" w:hAnsi="Verdana" w:cs="Arial"/>
        </w:rPr>
      </w:pPr>
    </w:p>
    <w:p w14:paraId="74708CCC" w14:textId="77777777" w:rsidR="00195688" w:rsidRPr="00BE7E79" w:rsidRDefault="00195688" w:rsidP="00195688">
      <w:pPr>
        <w:spacing w:after="0" w:line="240" w:lineRule="auto"/>
        <w:ind w:left="709" w:right="709"/>
        <w:jc w:val="both"/>
        <w:rPr>
          <w:rFonts w:ascii="Verdana" w:hAnsi="Verdana" w:cs="Arial"/>
          <w:sz w:val="20"/>
          <w:szCs w:val="20"/>
        </w:rPr>
      </w:pPr>
      <w:r w:rsidRPr="00BE7E79">
        <w:rPr>
          <w:rFonts w:ascii="Verdana" w:hAnsi="Verdana" w:cs="Arial"/>
          <w:sz w:val="20"/>
          <w:szCs w:val="20"/>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BE7E79">
        <w:rPr>
          <w:rFonts w:ascii="Verdana" w:hAnsi="Verdana" w:cs="Arial"/>
          <w:sz w:val="20"/>
          <w:szCs w:val="20"/>
          <w:vertAlign w:val="superscript"/>
        </w:rPr>
        <w:footnoteReference w:id="3"/>
      </w:r>
      <w:r w:rsidRPr="00BE7E79">
        <w:rPr>
          <w:rFonts w:ascii="Verdana" w:hAnsi="Verdana" w:cs="Arial"/>
          <w:sz w:val="20"/>
          <w:szCs w:val="20"/>
        </w:rPr>
        <w:t>.</w:t>
      </w:r>
    </w:p>
    <w:p w14:paraId="1CD6525E" w14:textId="77777777" w:rsidR="00195688" w:rsidRPr="00744B0E" w:rsidRDefault="00195688" w:rsidP="00195688">
      <w:pPr>
        <w:spacing w:after="0" w:line="276" w:lineRule="auto"/>
        <w:jc w:val="both"/>
        <w:rPr>
          <w:rFonts w:ascii="Verdana" w:hAnsi="Verdana" w:cs="Arial"/>
        </w:rPr>
      </w:pPr>
    </w:p>
    <w:p w14:paraId="6522951F" w14:textId="77777777" w:rsidR="00195688" w:rsidRPr="00744B0E" w:rsidRDefault="00195688" w:rsidP="00195688">
      <w:pPr>
        <w:spacing w:line="276" w:lineRule="auto"/>
        <w:ind w:firstLine="567"/>
        <w:jc w:val="both"/>
        <w:rPr>
          <w:rFonts w:ascii="Verdana" w:eastAsia="Calibri" w:hAnsi="Verdana"/>
          <w:color w:val="000000" w:themeColor="text1"/>
          <w:lang w:val="es-ES_tradnl"/>
        </w:rPr>
      </w:pPr>
      <w:r w:rsidRPr="00744B0E">
        <w:rPr>
          <w:rFonts w:ascii="Verdana" w:eastAsia="Calibri" w:hAnsi="Verdana"/>
          <w:color w:val="000000" w:themeColor="text1"/>
          <w:lang w:val="es-ES_tradnl"/>
        </w:rPr>
        <w:t xml:space="preserve">El inciso primero del precitado artículo 32 de la Ley 80 de 1993 define los contratos estatales como “[…] todos los actos jurídicos generadores de obligaciones […] derivados del ejercicio de la autonomía de la voluntad […]”, por lo que </w:t>
      </w:r>
      <w:bookmarkStart w:id="4" w:name="_Hlk81430928"/>
      <w:r w:rsidRPr="00744B0E">
        <w:rPr>
          <w:rFonts w:ascii="Verdana" w:eastAsia="Calibri" w:hAnsi="Verdana"/>
          <w:color w:val="000000" w:themeColor="text1"/>
          <w:lang w:val="es-ES_tradnl"/>
        </w:rPr>
        <w:t xml:space="preserve">las partes están facultadas para suscribir </w:t>
      </w:r>
      <w:r w:rsidRPr="00744B0E">
        <w:rPr>
          <w:rFonts w:ascii="Verdana" w:eastAsia="Calibri" w:hAnsi="Verdana"/>
          <w:i/>
          <w:iCs/>
          <w:color w:val="000000" w:themeColor="text1"/>
          <w:lang w:val="es-ES_tradnl"/>
        </w:rPr>
        <w:t>contratos mixtos</w:t>
      </w:r>
      <w:r w:rsidRPr="00744B0E">
        <w:rPr>
          <w:rFonts w:ascii="Verdana" w:eastAsia="Calibri" w:hAnsi="Verdana"/>
          <w:color w:val="000000" w:themeColor="text1"/>
          <w:lang w:val="es-ES_tradnl"/>
        </w:rPr>
        <w:t>. Como una forma de contratación atípica, estos se caracterizan por acumular prestaciones de varios contratos nominados para satisfacer una necesidad común, es decir, “Su finalidad económica es única y condensa el propósito perseguido por los contratantes. Las diversas prestaciones, aunque corresponden a diversos contratos típicos, se subordinan a esa finalidad e intención de las partes</w:t>
      </w:r>
      <w:bookmarkEnd w:id="4"/>
      <w:r w:rsidRPr="00744B0E">
        <w:rPr>
          <w:rFonts w:ascii="Verdana" w:eastAsia="Calibri" w:hAnsi="Verdana"/>
          <w:color w:val="000000" w:themeColor="text1"/>
          <w:lang w:val="es-ES_tradnl"/>
        </w:rPr>
        <w:t>”</w:t>
      </w:r>
      <w:r w:rsidRPr="00744B0E">
        <w:rPr>
          <w:rFonts w:ascii="Verdana" w:eastAsia="Calibri" w:hAnsi="Verdana"/>
          <w:color w:val="000000" w:themeColor="text1"/>
          <w:vertAlign w:val="superscript"/>
          <w:lang w:val="es-ES_tradnl"/>
        </w:rPr>
        <w:footnoteReference w:id="4"/>
      </w:r>
      <w:r w:rsidRPr="00744B0E">
        <w:rPr>
          <w:rFonts w:ascii="Verdana" w:eastAsia="Calibri" w:hAnsi="Verdana"/>
          <w:color w:val="000000" w:themeColor="text1"/>
          <w:lang w:val="es-ES_tradnl"/>
        </w:rPr>
        <w:t xml:space="preserve">. </w:t>
      </w:r>
    </w:p>
    <w:p w14:paraId="7ABFB035" w14:textId="77777777" w:rsidR="00195688" w:rsidRPr="00744B0E" w:rsidRDefault="00195688" w:rsidP="00195688">
      <w:pPr>
        <w:spacing w:before="120" w:line="276" w:lineRule="auto"/>
        <w:ind w:firstLine="708"/>
        <w:jc w:val="both"/>
        <w:rPr>
          <w:rFonts w:ascii="Verdana" w:eastAsia="Calibri" w:hAnsi="Verdana"/>
          <w:color w:val="000000" w:themeColor="text1"/>
          <w:lang w:val="es-ES_tradnl"/>
        </w:rPr>
      </w:pPr>
      <w:r w:rsidRPr="00744B0E">
        <w:rPr>
          <w:rFonts w:ascii="Verdana" w:eastAsia="Calibri" w:hAnsi="Verdana"/>
          <w:color w:val="000000" w:themeColor="text1"/>
        </w:rPr>
        <w:t xml:space="preserve">En este contexto, es importante diferenciar los </w:t>
      </w:r>
      <w:r w:rsidRPr="00744B0E">
        <w:rPr>
          <w:rFonts w:ascii="Verdana" w:eastAsia="Calibri" w:hAnsi="Verdana"/>
          <w:color w:val="000000" w:themeColor="text1"/>
          <w:sz w:val="20"/>
          <w:szCs w:val="20"/>
        </w:rPr>
        <w:t>“</w:t>
      </w:r>
      <w:r w:rsidRPr="00744B0E">
        <w:rPr>
          <w:rFonts w:ascii="Verdana" w:eastAsia="Calibri" w:hAnsi="Verdana"/>
          <w:color w:val="000000" w:themeColor="text1"/>
        </w:rPr>
        <w:t xml:space="preserve">contratos mixtos” de las “uniones de contratos”. En el </w:t>
      </w:r>
      <w:r w:rsidRPr="00744B0E">
        <w:rPr>
          <w:rFonts w:ascii="Verdana" w:eastAsia="Calibri" w:hAnsi="Verdana"/>
          <w:i/>
          <w:iCs/>
          <w:color w:val="000000" w:themeColor="text1"/>
        </w:rPr>
        <w:t>contrato mixto</w:t>
      </w:r>
      <w:r w:rsidRPr="00744B0E">
        <w:rPr>
          <w:rFonts w:ascii="Verdana" w:eastAsia="Calibri" w:hAnsi="Verdana"/>
          <w:color w:val="000000" w:themeColor="text1"/>
        </w:rPr>
        <w:t xml:space="preserve"> existe un solo acuerdo con elementos de diversos tipos de contrato, mientras que en las </w:t>
      </w:r>
      <w:r w:rsidRPr="00744B0E">
        <w:rPr>
          <w:rFonts w:ascii="Verdana" w:eastAsia="Calibri" w:hAnsi="Verdana"/>
          <w:i/>
          <w:iCs/>
          <w:color w:val="000000" w:themeColor="text1"/>
        </w:rPr>
        <w:t>uniones de contrato</w:t>
      </w:r>
      <w:r w:rsidRPr="00744B0E">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sidRPr="00744B0E">
        <w:rPr>
          <w:rFonts w:ascii="Verdana" w:eastAsia="Calibri" w:hAnsi="Verdana"/>
          <w:color w:val="000000" w:themeColor="text1"/>
          <w:sz w:val="20"/>
          <w:szCs w:val="20"/>
        </w:rPr>
        <w:t>“</w:t>
      </w:r>
      <w:r w:rsidRPr="00744B0E">
        <w:rPr>
          <w:rFonts w:ascii="Verdana" w:eastAsia="Calibri" w:hAnsi="Verdana"/>
          <w:color w:val="000000" w:themeColor="text1"/>
        </w:rPr>
        <w:t>contrato mixto”; de lo contrario, es una “unión de contratos”</w:t>
      </w:r>
      <w:r w:rsidRPr="00744B0E">
        <w:rPr>
          <w:rFonts w:ascii="Verdana" w:eastAsia="Calibri" w:hAnsi="Verdana"/>
          <w:color w:val="000000" w:themeColor="text1"/>
          <w:vertAlign w:val="superscript"/>
        </w:rPr>
        <w:footnoteReference w:id="5"/>
      </w:r>
      <w:r w:rsidRPr="00744B0E">
        <w:rPr>
          <w:rFonts w:ascii="Verdana" w:eastAsia="Calibri" w:hAnsi="Verdana"/>
          <w:color w:val="000000" w:themeColor="text1"/>
        </w:rPr>
        <w:t>.</w:t>
      </w:r>
      <w:r w:rsidRPr="00744B0E">
        <w:rPr>
          <w:rFonts w:ascii="Verdana" w:eastAsia="Calibri" w:hAnsi="Verdana"/>
          <w:color w:val="000000" w:themeColor="text1"/>
          <w:lang w:val="es-ES_tradnl"/>
        </w:rPr>
        <w:t xml:space="preserve"> </w:t>
      </w:r>
    </w:p>
    <w:p w14:paraId="26D7DB50" w14:textId="77777777" w:rsidR="00195688" w:rsidRPr="00744B0E" w:rsidRDefault="00195688" w:rsidP="00195688">
      <w:pPr>
        <w:spacing w:before="120" w:line="276" w:lineRule="auto"/>
        <w:ind w:firstLine="708"/>
        <w:jc w:val="both"/>
        <w:rPr>
          <w:rFonts w:ascii="Verdana" w:eastAsia="Calibri" w:hAnsi="Verdana"/>
          <w:color w:val="000000" w:themeColor="text1"/>
          <w:lang w:val="es-ES_tradnl"/>
        </w:rPr>
      </w:pPr>
      <w:r w:rsidRPr="00744B0E">
        <w:rPr>
          <w:rFonts w:ascii="Verdana" w:eastAsia="Calibri" w:hAnsi="Verdana"/>
          <w:color w:val="000000" w:themeColor="text1"/>
          <w:lang w:val="es-ES_tradnl"/>
        </w:rPr>
        <w:lastRenderedPageBreak/>
        <w:t xml:space="preserve">Respecto a los contratos de operación logística, estos corresponden a </w:t>
      </w:r>
      <w:r w:rsidRPr="00744B0E">
        <w:rPr>
          <w:rFonts w:ascii="Verdana" w:eastAsia="Calibri" w:hAnsi="Verdana"/>
          <w:i/>
          <w:iCs/>
          <w:color w:val="000000" w:themeColor="text1"/>
          <w:lang w:val="es-ES_tradnl"/>
        </w:rPr>
        <w:t>contratos mixtos</w:t>
      </w:r>
      <w:r w:rsidRPr="00744B0E">
        <w:rPr>
          <w:rFonts w:ascii="Verdana" w:eastAsia="Calibri" w:hAnsi="Verdana"/>
          <w:color w:val="000000" w:themeColor="text1"/>
          <w:lang w:val="es-ES_tradnl"/>
        </w:rPr>
        <w:t>. De hecho, sin perjuicio de las demás obligaciones que pacten las partes, es frecuente que en la práctica tengan componentes de compraventa, suministro, arrendamiento de bienes muebles o inmuebles, transporte, etc., de donde se desprende la existencia de prestaciones de una o más tipologías contractuales</w:t>
      </w:r>
      <w:r w:rsidRPr="00744B0E">
        <w:rPr>
          <w:rFonts w:ascii="Verdana" w:eastAsia="Calibri" w:hAnsi="Verdana"/>
          <w:color w:val="000000" w:themeColor="text1"/>
          <w:vertAlign w:val="superscript"/>
          <w:lang w:val="es-ES_tradnl"/>
        </w:rPr>
        <w:footnoteReference w:id="6"/>
      </w:r>
      <w:r w:rsidRPr="00744B0E">
        <w:rPr>
          <w:rFonts w:ascii="Verdana" w:eastAsia="Calibri" w:hAnsi="Verdana"/>
          <w:color w:val="000000" w:themeColor="text1"/>
          <w:lang w:val="es-ES_tradnl"/>
        </w:rPr>
        <w:t>. Por ello, como contrato atípico, la doctrina sugiere integrar su contenido teniendo en cuenta los siguientes criterios: “[…] 1°) las leyes imperativas; 2°) las cláusulas libremente redactadas o estipuladas por los agentes; 3°) las reglas generales de los actos jurídicos y de los contratos, según el caso; 4°) las reglas propias del contrato típico más próximo o semejante, y 5°) la doctrina constitucional y los principios generales de derecho”</w:t>
      </w:r>
      <w:r w:rsidRPr="00744B0E">
        <w:rPr>
          <w:rFonts w:ascii="Verdana" w:eastAsia="Calibri" w:hAnsi="Verdana"/>
          <w:color w:val="000000" w:themeColor="text1"/>
          <w:vertAlign w:val="superscript"/>
          <w:lang w:val="es-ES_tradnl"/>
        </w:rPr>
        <w:footnoteReference w:id="7"/>
      </w:r>
      <w:r w:rsidRPr="00744B0E">
        <w:rPr>
          <w:rFonts w:ascii="Verdana" w:eastAsia="Calibri" w:hAnsi="Verdana"/>
          <w:color w:val="000000" w:themeColor="text1"/>
          <w:lang w:val="es-ES_tradnl"/>
        </w:rPr>
        <w:t xml:space="preserve">. </w:t>
      </w:r>
    </w:p>
    <w:p w14:paraId="420561DB" w14:textId="77777777" w:rsidR="00195688" w:rsidRPr="00744B0E" w:rsidRDefault="00195688" w:rsidP="00195688">
      <w:pPr>
        <w:spacing w:before="120" w:line="276" w:lineRule="auto"/>
        <w:ind w:firstLine="708"/>
        <w:jc w:val="both"/>
        <w:rPr>
          <w:rFonts w:ascii="Verdana" w:eastAsia="Calibri" w:hAnsi="Verdana"/>
          <w:color w:val="000000" w:themeColor="text1"/>
          <w:lang w:val="es-ES"/>
        </w:rPr>
      </w:pPr>
      <w:r w:rsidRPr="00744B0E">
        <w:rPr>
          <w:rFonts w:ascii="Verdana" w:eastAsia="Calibri" w:hAnsi="Verdana"/>
          <w:color w:val="000000" w:themeColor="text1"/>
          <w:lang w:val="es-ES"/>
        </w:rPr>
        <w:t>Mas allá de la tipicidad o no del negocio, es necesario tener en cuenta que la capacidad contractual para celebrar contratos estatales se encuentra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De esta manera, los contratos de operación logística pueden celebrarse con cualquier persona que tenga dentro de su misionalidad u objeto la ejecución de esta actividad</w:t>
      </w:r>
      <w:r w:rsidRPr="00744B0E">
        <w:rPr>
          <w:rFonts w:ascii="Verdana" w:eastAsia="Calibri" w:hAnsi="Verdana"/>
          <w:color w:val="000000" w:themeColor="text1"/>
          <w:vertAlign w:val="superscript"/>
          <w:lang w:val="es-ES"/>
        </w:rPr>
        <w:footnoteReference w:id="8"/>
      </w:r>
      <w:r w:rsidRPr="00744B0E">
        <w:rPr>
          <w:rFonts w:ascii="Verdana" w:eastAsia="Calibri" w:hAnsi="Verdana"/>
          <w:color w:val="000000" w:themeColor="text1"/>
          <w:lang w:val="es-ES"/>
        </w:rPr>
        <w:t>.</w:t>
      </w:r>
    </w:p>
    <w:p w14:paraId="6387E792" w14:textId="77777777" w:rsidR="00195688" w:rsidRDefault="00195688" w:rsidP="00195688">
      <w:pPr>
        <w:spacing w:before="120" w:line="276" w:lineRule="auto"/>
        <w:ind w:firstLine="708"/>
        <w:jc w:val="both"/>
        <w:rPr>
          <w:rFonts w:ascii="Verdana" w:eastAsia="Calibri" w:hAnsi="Verdana"/>
          <w:color w:val="000000" w:themeColor="text1"/>
        </w:rPr>
      </w:pPr>
      <w:r w:rsidRPr="00744B0E">
        <w:rPr>
          <w:rFonts w:ascii="Verdana" w:eastAsia="Calibri" w:hAnsi="Verdana"/>
          <w:color w:val="000000" w:themeColor="text1"/>
        </w:rPr>
        <w:lastRenderedPageBreak/>
        <w:t>Asimismo, para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logística es una mezcla de prestaciones de otras tipologías, éste no pierde su calificación por la ausencia de una o varias de ellas.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00744B0E">
        <w:rPr>
          <w:rFonts w:ascii="Verdana" w:eastAsia="Calibri" w:hAnsi="Verdana"/>
          <w:color w:val="000000" w:themeColor="text1"/>
          <w:vertAlign w:val="superscript"/>
        </w:rPr>
        <w:footnoteReference w:id="9"/>
      </w:r>
      <w:r w:rsidRPr="00744B0E">
        <w:rPr>
          <w:rFonts w:ascii="Verdana" w:eastAsia="Calibri" w:hAnsi="Verdana"/>
          <w:color w:val="000000" w:themeColor="text1"/>
        </w:rPr>
        <w:t xml:space="preserve">. </w:t>
      </w:r>
    </w:p>
    <w:p w14:paraId="6FCBC426" w14:textId="77777777" w:rsidR="00195688" w:rsidRPr="00B84075" w:rsidRDefault="00195688" w:rsidP="00195688">
      <w:pPr>
        <w:spacing w:before="120" w:line="276" w:lineRule="auto"/>
        <w:ind w:firstLine="708"/>
        <w:jc w:val="both"/>
        <w:rPr>
          <w:rFonts w:ascii="Verdana" w:eastAsia="Calibri" w:hAnsi="Verdana"/>
          <w:color w:val="000000" w:themeColor="text1"/>
        </w:rPr>
      </w:pPr>
      <w:r w:rsidRPr="00744B0E">
        <w:rPr>
          <w:rFonts w:ascii="Verdana" w:eastAsia="Calibri" w:hAnsi="Verdana"/>
          <w:color w:val="000000" w:themeColor="text1"/>
          <w:lang w:val="es-ES"/>
        </w:rPr>
        <w:t xml:space="preserve">Al margen de la tipicidad o no del negocio, la existencia de los contratos estatales, es decir, la producción de efectos jurídicos en los términos del artículo 1501 </w:t>
      </w:r>
      <w:r w:rsidRPr="00744B0E">
        <w:rPr>
          <w:rFonts w:ascii="Verdana" w:eastAsia="Calibri" w:hAnsi="Verdana"/>
          <w:i/>
          <w:color w:val="000000" w:themeColor="text1"/>
          <w:lang w:val="es-ES"/>
        </w:rPr>
        <w:t>ibidem</w:t>
      </w:r>
      <w:r w:rsidRPr="00744B0E">
        <w:rPr>
          <w:rFonts w:ascii="Verdana" w:eastAsia="Calibri" w:hAnsi="Verdana"/>
          <w:color w:val="000000" w:themeColor="text1"/>
          <w:lang w:val="es-ES"/>
        </w:rPr>
        <w:t xml:space="preserve">,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w:t>
      </w:r>
      <w:r w:rsidRPr="00B84075">
        <w:rPr>
          <w:rFonts w:ascii="Verdana" w:eastAsia="Calibri" w:hAnsi="Verdana"/>
          <w:color w:val="000000" w:themeColor="text1"/>
          <w:lang w:val="es-ES"/>
        </w:rPr>
        <w:t xml:space="preserve">contraprestación y éste se eleve a escrito”. </w:t>
      </w:r>
    </w:p>
    <w:p w14:paraId="7730C629" w14:textId="77777777" w:rsidR="00195688" w:rsidRDefault="00195688" w:rsidP="00195688">
      <w:pPr>
        <w:spacing w:after="120" w:line="276" w:lineRule="auto"/>
        <w:jc w:val="both"/>
        <w:rPr>
          <w:rFonts w:ascii="Verdana" w:eastAsia="Calibri" w:hAnsi="Verdana"/>
          <w:color w:val="000000" w:themeColor="text1"/>
          <w:lang w:val="es-ES"/>
        </w:rPr>
      </w:pPr>
      <w:r w:rsidRPr="00B84075">
        <w:rPr>
          <w:rFonts w:ascii="Verdana" w:eastAsia="Calibri" w:hAnsi="Verdana"/>
          <w:color w:val="000000" w:themeColor="text1"/>
          <w:lang w:val="es-ES"/>
        </w:rPr>
        <w:t>iii. Para las entidades sometidas al Estatuto General de Contratación de la Administración Pública, los procesos de selección se rigen por el artículo 2 de la Ley 1150 de 2007. El numeral uno, inciso primero, de la norma citada dispone que “La escogencia del contratista se efectuará por regla general a través de</w:t>
      </w:r>
      <w:r w:rsidRPr="00C80524">
        <w:rPr>
          <w:rFonts w:ascii="Verdana" w:eastAsia="Calibri" w:hAnsi="Verdana"/>
          <w:color w:val="000000" w:themeColor="text1"/>
          <w:lang w:val="es-ES"/>
        </w:rPr>
        <w:t xml:space="preserve"> licitación pública, con las excepciones que se señalan en los numerales 2, 3 y 4 del presente artículo”, norma que sustituye el derogado numeral 1 del artículo 24 de la Ley 80 de 1993 sobre el principio de transparencia. </w:t>
      </w:r>
    </w:p>
    <w:p w14:paraId="252F0384" w14:textId="77777777" w:rsidR="00195688" w:rsidRDefault="00195688" w:rsidP="00195688">
      <w:pPr>
        <w:spacing w:after="12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lastRenderedPageBreak/>
        <w:t>De esta manera, s</w:t>
      </w:r>
      <w:r w:rsidRPr="00C80524">
        <w:rPr>
          <w:rFonts w:ascii="Verdana" w:eastAsia="Calibri" w:hAnsi="Verdana"/>
          <w:color w:val="000000" w:themeColor="text1"/>
          <w:lang w:val="es-ES"/>
        </w:rPr>
        <w:t>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w:t>
      </w:r>
      <w:r>
        <w:rPr>
          <w:rFonts w:ascii="Verdana" w:eastAsia="Calibri" w:hAnsi="Verdana"/>
          <w:color w:val="000000" w:themeColor="text1"/>
          <w:lang w:val="es-ES"/>
        </w:rPr>
        <w:t>, pero estos solo proceden si se enmarcan en las causales que establece la norma respecto de cada modalidad.</w:t>
      </w:r>
    </w:p>
    <w:p w14:paraId="17A692BB" w14:textId="77777777" w:rsidR="00195688" w:rsidRPr="00345647" w:rsidRDefault="00195688" w:rsidP="00195688">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lang w:val="es-ES"/>
        </w:rPr>
        <w:t xml:space="preserve">En efecto, el numeral 2 de la Ley 1150 de 2007 se refiere la modalidad de contratación de selección abreviada </w:t>
      </w:r>
      <w:r w:rsidRPr="000B688A">
        <w:rPr>
          <w:rFonts w:ascii="Verdana" w:eastAsia="Calibri" w:hAnsi="Verdana"/>
          <w:color w:val="000000" w:themeColor="text1"/>
        </w:rPr>
        <w:t>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olor w:val="000000" w:themeColor="text1"/>
        </w:rPr>
        <w:t xml:space="preserve"> y establece unas causales específicas para la aplicación de este procedimiento. Por su parte, el numeral 3 establece el concurso de méritos que corresponde a l</w:t>
      </w:r>
      <w:r w:rsidRPr="00036E27">
        <w:rPr>
          <w:rFonts w:ascii="Verdana" w:eastAsia="Calibri" w:hAnsi="Verdana"/>
          <w:color w:val="000000" w:themeColor="text1"/>
        </w:rPr>
        <w:t xml:space="preserve">a modalidad prevista para </w:t>
      </w:r>
      <w:r>
        <w:rPr>
          <w:rFonts w:ascii="Verdana" w:eastAsia="Calibri" w:hAnsi="Verdana"/>
          <w:color w:val="000000" w:themeColor="text1"/>
        </w:rPr>
        <w:t>l</w:t>
      </w:r>
      <w:r w:rsidRPr="00036E27">
        <w:rPr>
          <w:rFonts w:ascii="Verdana" w:eastAsia="Calibri" w:hAnsi="Verdana"/>
          <w:color w:val="000000" w:themeColor="text1"/>
        </w:rPr>
        <w:t xml:space="preserve">a selección de consultores o proyectos, en </w:t>
      </w:r>
      <w:r>
        <w:rPr>
          <w:rFonts w:ascii="Verdana" w:eastAsia="Calibri" w:hAnsi="Verdana"/>
          <w:color w:val="000000" w:themeColor="text1"/>
        </w:rPr>
        <w:t>l</w:t>
      </w:r>
      <w:r w:rsidRPr="00036E27">
        <w:rPr>
          <w:rFonts w:ascii="Verdana" w:eastAsia="Calibri" w:hAnsi="Verdana"/>
          <w:color w:val="000000" w:themeColor="text1"/>
        </w:rPr>
        <w:t>a que se podrán utilizar sistemas de concurso abierto o de precalificación</w:t>
      </w:r>
      <w:r>
        <w:rPr>
          <w:rFonts w:ascii="Verdana" w:eastAsia="Calibri" w:hAnsi="Verdana"/>
          <w:color w:val="000000" w:themeColor="text1"/>
        </w:rPr>
        <w:t>. El numeral 4 regula la contratación directa que procede de manera excepcional solo en los casos que allí se determinan y el numeral 5 se refiere a l</w:t>
      </w:r>
      <w:r w:rsidRPr="00345647">
        <w:rPr>
          <w:rFonts w:ascii="Verdana" w:eastAsia="Calibri" w:hAnsi="Verdana"/>
          <w:color w:val="000000" w:themeColor="text1"/>
        </w:rPr>
        <w:t>a contratación</w:t>
      </w:r>
      <w:r>
        <w:rPr>
          <w:rFonts w:ascii="Verdana" w:eastAsia="Calibri" w:hAnsi="Verdana"/>
          <w:color w:val="000000" w:themeColor="text1"/>
        </w:rPr>
        <w:t xml:space="preserve"> de mínima cuantía,</w:t>
      </w:r>
      <w:r w:rsidRPr="00345647">
        <w:rPr>
          <w:rFonts w:ascii="Verdana" w:eastAsia="Calibri" w:hAnsi="Verdana"/>
          <w:color w:val="000000" w:themeColor="text1"/>
        </w:rPr>
        <w:t xml:space="preserve"> cuyo valor no excede del </w:t>
      </w:r>
      <w:r>
        <w:rPr>
          <w:rFonts w:ascii="Verdana" w:eastAsia="Calibri" w:hAnsi="Verdana"/>
          <w:color w:val="000000" w:themeColor="text1"/>
        </w:rPr>
        <w:t>diez</w:t>
      </w:r>
      <w:r w:rsidRPr="00345647">
        <w:rPr>
          <w:rFonts w:ascii="Verdana" w:eastAsia="Calibri" w:hAnsi="Verdana"/>
          <w:color w:val="000000" w:themeColor="text1"/>
        </w:rPr>
        <w:t xml:space="preserve"> por ciento de la menor cuantía de la entidad independientemente de su objeto</w:t>
      </w:r>
      <w:r>
        <w:rPr>
          <w:rFonts w:ascii="Verdana" w:eastAsia="Calibri" w:hAnsi="Verdana"/>
          <w:color w:val="000000" w:themeColor="text1"/>
        </w:rPr>
        <w:t>.</w:t>
      </w:r>
    </w:p>
    <w:p w14:paraId="6C57D71D" w14:textId="77777777" w:rsidR="00195688" w:rsidRDefault="00195688" w:rsidP="00195688">
      <w:pPr>
        <w:spacing w:after="12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t>Sobre las modalidades de selección de contratista establecidas en la Ley 1150 de 2007, el Consejo de Estado precisó:</w:t>
      </w:r>
    </w:p>
    <w:p w14:paraId="00E462CF" w14:textId="77777777" w:rsidR="00195688" w:rsidRPr="00E079C6" w:rsidRDefault="00195688" w:rsidP="00195688">
      <w:pPr>
        <w:spacing w:after="0" w:line="240" w:lineRule="auto"/>
        <w:ind w:left="709" w:right="618"/>
        <w:jc w:val="both"/>
        <w:rPr>
          <w:rFonts w:ascii="Verdana" w:hAnsi="Verdana" w:cs="Arial"/>
          <w:sz w:val="20"/>
          <w:szCs w:val="20"/>
        </w:rPr>
      </w:pPr>
      <w:r w:rsidRPr="00E079C6">
        <w:rPr>
          <w:rFonts w:ascii="Verdana" w:hAnsi="Verdana" w:cs="Arial"/>
          <w:sz w:val="20"/>
          <w:szCs w:val="20"/>
        </w:rPr>
        <w:t>“</w:t>
      </w:r>
      <w:r w:rsidRPr="00E079C6">
        <w:rPr>
          <w:rFonts w:ascii="Verdana" w:eastAsia="Calibri" w:hAnsi="Verdana"/>
          <w:color w:val="000000" w:themeColor="text1"/>
          <w:sz w:val="20"/>
          <w:szCs w:val="20"/>
          <w:lang w:val="es-ES"/>
        </w:rPr>
        <w:t>[…]</w:t>
      </w:r>
      <w:r>
        <w:rPr>
          <w:rFonts w:ascii="Verdana" w:eastAsia="Calibri" w:hAnsi="Verdana"/>
          <w:color w:val="000000" w:themeColor="text1"/>
          <w:sz w:val="20"/>
          <w:szCs w:val="20"/>
          <w:lang w:val="es-ES"/>
        </w:rPr>
        <w:t xml:space="preserve"> </w:t>
      </w:r>
      <w:r w:rsidRPr="00E079C6">
        <w:rPr>
          <w:rFonts w:ascii="Verdana" w:hAnsi="Verdana" w:cs="Arial"/>
          <w:sz w:val="20"/>
          <w:szCs w:val="20"/>
        </w:rPr>
        <w:t>el estatuto de contratación pública tiene establecidas unas modalidades de selección de contratistas que permiten determinar la ruta de escogencia de la propuesta más favorable a los intereses del Estado que, en términos generales, se define según (i) las características del objeto, (ii) la función y el fin perseguido con la futura contratación, o (iii) por la cuantía, constituyéndose estos mecanismos en una forma o procedimiento que admite múltiples contenidos, según la necesidad que se pretende suplir. Al lado de lo anterior, se resalta el carácter inmodificable que reviste cada una de tales modalidades, pues según lo preceptúa el numeral 8 del artículo 24 de la Ley 80 de 1993, está “prohibido eludir los procedimientos de selección objetiva”; mandato que afirma la relación de medio a fin, indisoluble, entre el proceso de selección y el respectivo contrato”</w:t>
      </w:r>
      <w:r w:rsidRPr="00E079C6">
        <w:rPr>
          <w:rStyle w:val="Refdenotaalpie"/>
          <w:rFonts w:ascii="Verdana" w:hAnsi="Verdana" w:cs="Arial"/>
          <w:sz w:val="20"/>
          <w:szCs w:val="20"/>
        </w:rPr>
        <w:footnoteReference w:id="10"/>
      </w:r>
      <w:r w:rsidRPr="00E079C6">
        <w:rPr>
          <w:rFonts w:ascii="Verdana" w:hAnsi="Verdana" w:cs="Arial"/>
          <w:sz w:val="20"/>
          <w:szCs w:val="20"/>
        </w:rPr>
        <w:t>.</w:t>
      </w:r>
      <w:r>
        <w:rPr>
          <w:rFonts w:ascii="Verdana" w:hAnsi="Verdana" w:cs="Arial"/>
          <w:sz w:val="20"/>
          <w:szCs w:val="20"/>
        </w:rPr>
        <w:t>[…]</w:t>
      </w:r>
    </w:p>
    <w:p w14:paraId="54AF48A2" w14:textId="77777777" w:rsidR="00195688" w:rsidRPr="00BA1E78" w:rsidRDefault="00195688" w:rsidP="00195688">
      <w:pPr>
        <w:spacing w:after="0" w:line="276" w:lineRule="auto"/>
        <w:ind w:left="709" w:right="618"/>
        <w:jc w:val="both"/>
        <w:rPr>
          <w:rFonts w:ascii="Verdana" w:hAnsi="Verdana" w:cs="Arial"/>
          <w:sz w:val="21"/>
          <w:szCs w:val="21"/>
        </w:rPr>
      </w:pPr>
    </w:p>
    <w:p w14:paraId="638259D9" w14:textId="77777777" w:rsidR="00195688" w:rsidRDefault="00195688" w:rsidP="00195688">
      <w:pPr>
        <w:spacing w:after="12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lastRenderedPageBreak/>
        <w:t>En este contexto, l</w:t>
      </w:r>
      <w:r w:rsidRPr="001C20B3">
        <w:rPr>
          <w:rFonts w:ascii="Verdana" w:eastAsia="Calibri" w:hAnsi="Verdana"/>
          <w:color w:val="000000" w:themeColor="text1"/>
          <w:lang w:val="es-ES"/>
        </w:rPr>
        <w:t xml:space="preserve">a </w:t>
      </w:r>
      <w:r>
        <w:rPr>
          <w:rFonts w:ascii="Verdana" w:eastAsia="Calibri" w:hAnsi="Verdana"/>
          <w:color w:val="000000" w:themeColor="text1"/>
          <w:lang w:val="es-ES"/>
        </w:rPr>
        <w:t>e</w:t>
      </w:r>
      <w:r w:rsidRPr="001C20B3">
        <w:rPr>
          <w:rFonts w:ascii="Verdana" w:eastAsia="Calibri" w:hAnsi="Verdana"/>
          <w:color w:val="000000" w:themeColor="text1"/>
          <w:lang w:val="es-ES"/>
        </w:rPr>
        <w:t xml:space="preserve">ntidad </w:t>
      </w:r>
      <w:r>
        <w:rPr>
          <w:rFonts w:ascii="Verdana" w:eastAsia="Calibri" w:hAnsi="Verdana"/>
          <w:color w:val="000000" w:themeColor="text1"/>
          <w:lang w:val="es-ES"/>
        </w:rPr>
        <w:t>e</w:t>
      </w:r>
      <w:r w:rsidRPr="001C20B3">
        <w:rPr>
          <w:rFonts w:ascii="Verdana" w:eastAsia="Calibri" w:hAnsi="Verdana"/>
          <w:color w:val="000000" w:themeColor="text1"/>
          <w:lang w:val="es-ES"/>
        </w:rPr>
        <w:t xml:space="preserve">statal es responsable de </w:t>
      </w:r>
      <w:r>
        <w:rPr>
          <w:rFonts w:ascii="Verdana" w:eastAsia="Calibri" w:hAnsi="Verdana"/>
          <w:color w:val="000000" w:themeColor="text1"/>
          <w:lang w:val="es-ES"/>
        </w:rPr>
        <w:t>determinar</w:t>
      </w:r>
      <w:r w:rsidRPr="001C20B3">
        <w:rPr>
          <w:rFonts w:ascii="Verdana" w:eastAsia="Calibri" w:hAnsi="Verdana"/>
          <w:color w:val="000000" w:themeColor="text1"/>
          <w:lang w:val="es-ES"/>
        </w:rPr>
        <w:t xml:space="preserve"> la modalidad de selección </w:t>
      </w:r>
      <w:r>
        <w:rPr>
          <w:rFonts w:ascii="Verdana" w:eastAsia="Calibri" w:hAnsi="Verdana"/>
          <w:color w:val="000000" w:themeColor="text1"/>
          <w:lang w:val="es-ES"/>
        </w:rPr>
        <w:t>aplicable a la contratación que desarrollará</w:t>
      </w:r>
      <w:r w:rsidRPr="001C20B3">
        <w:rPr>
          <w:rFonts w:ascii="Verdana" w:eastAsia="Calibri" w:hAnsi="Verdana"/>
          <w:color w:val="000000" w:themeColor="text1"/>
          <w:lang w:val="es-ES"/>
        </w:rPr>
        <w:t xml:space="preserve">, con base en </w:t>
      </w:r>
      <w:r>
        <w:rPr>
          <w:rFonts w:ascii="Verdana" w:eastAsia="Calibri" w:hAnsi="Verdana"/>
          <w:color w:val="000000" w:themeColor="text1"/>
          <w:lang w:val="es-ES"/>
        </w:rPr>
        <w:t xml:space="preserve">los parámetros del artículo 2 de la Ley 1150 de 2007, teniendo en cuenta la </w:t>
      </w:r>
      <w:r w:rsidRPr="001C20B3">
        <w:rPr>
          <w:rFonts w:ascii="Verdana" w:eastAsia="Calibri" w:hAnsi="Verdana"/>
          <w:color w:val="000000" w:themeColor="text1"/>
          <w:lang w:val="es-ES"/>
        </w:rPr>
        <w:t>necesidad</w:t>
      </w:r>
      <w:r>
        <w:rPr>
          <w:rFonts w:ascii="Verdana" w:eastAsia="Calibri" w:hAnsi="Verdana"/>
          <w:color w:val="000000" w:themeColor="text1"/>
          <w:lang w:val="es-ES"/>
        </w:rPr>
        <w:t xml:space="preserve"> a satisfacer, el </w:t>
      </w:r>
      <w:r w:rsidRPr="001C20B3">
        <w:rPr>
          <w:rFonts w:ascii="Verdana" w:eastAsia="Calibri" w:hAnsi="Verdana"/>
          <w:color w:val="000000" w:themeColor="text1"/>
          <w:lang w:val="es-ES"/>
        </w:rPr>
        <w:t>objeto contractual</w:t>
      </w:r>
      <w:r>
        <w:rPr>
          <w:rFonts w:ascii="Verdana" w:eastAsia="Calibri" w:hAnsi="Verdana"/>
          <w:color w:val="000000" w:themeColor="text1"/>
          <w:lang w:val="es-ES"/>
        </w:rPr>
        <w:t xml:space="preserve">, la cuantía y demás aspectos fundamentales que permitan establecer la procedencia de la licitación pública, como regla general, o de alguna de las excepciones señaladas. </w:t>
      </w:r>
      <w:r w:rsidRPr="00860D70">
        <w:rPr>
          <w:rFonts w:ascii="Verdana" w:eastAsia="Calibri" w:hAnsi="Verdana"/>
          <w:color w:val="000000" w:themeColor="text1"/>
          <w:lang w:val="es-ES"/>
        </w:rPr>
        <w:t>Esta decisión debe garantiza</w:t>
      </w:r>
      <w:r>
        <w:rPr>
          <w:rFonts w:ascii="Verdana" w:eastAsia="Calibri" w:hAnsi="Verdana"/>
          <w:color w:val="000000" w:themeColor="text1"/>
          <w:lang w:val="es-ES"/>
        </w:rPr>
        <w:t>r</w:t>
      </w:r>
      <w:r w:rsidRPr="00860D70">
        <w:rPr>
          <w:rFonts w:ascii="Verdana" w:eastAsia="Calibri" w:hAnsi="Verdana"/>
          <w:color w:val="000000" w:themeColor="text1"/>
          <w:lang w:val="es-ES"/>
        </w:rPr>
        <w:t xml:space="preserve"> que se elija la modalidad </w:t>
      </w:r>
      <w:r>
        <w:rPr>
          <w:rFonts w:ascii="Verdana" w:eastAsia="Calibri" w:hAnsi="Verdana"/>
          <w:color w:val="000000" w:themeColor="text1"/>
          <w:lang w:val="es-ES"/>
        </w:rPr>
        <w:t xml:space="preserve">de contratación </w:t>
      </w:r>
      <w:r w:rsidRPr="00860D70">
        <w:rPr>
          <w:rFonts w:ascii="Verdana" w:eastAsia="Calibri" w:hAnsi="Verdana"/>
          <w:color w:val="000000" w:themeColor="text1"/>
          <w:lang w:val="es-ES"/>
        </w:rPr>
        <w:t xml:space="preserve">adecuada para asegurar </w:t>
      </w:r>
      <w:r>
        <w:rPr>
          <w:rFonts w:ascii="Verdana" w:eastAsia="Calibri" w:hAnsi="Verdana"/>
          <w:color w:val="000000" w:themeColor="text1"/>
          <w:lang w:val="es-ES"/>
        </w:rPr>
        <w:t xml:space="preserve">una selección objetiva en cumplimiento de los procedimientos legales aplicables en cada caso. </w:t>
      </w:r>
    </w:p>
    <w:p w14:paraId="1ABDCDD3" w14:textId="77777777" w:rsidR="00195688" w:rsidRDefault="00195688" w:rsidP="00195688">
      <w:pPr>
        <w:spacing w:after="120" w:line="276" w:lineRule="auto"/>
        <w:ind w:right="79" w:firstLine="743"/>
        <w:jc w:val="both"/>
        <w:rPr>
          <w:rFonts w:ascii="Verdana" w:eastAsia="Arial" w:hAnsi="Verdana" w:cs="Arial"/>
          <w:bCs/>
        </w:rPr>
      </w:pPr>
      <w:r>
        <w:rPr>
          <w:rFonts w:ascii="Verdana" w:eastAsia="Calibri" w:hAnsi="Verdana"/>
          <w:color w:val="000000" w:themeColor="text1"/>
          <w:lang w:val="es-ES"/>
        </w:rPr>
        <w:t xml:space="preserve">En lo que respecta a los contratos de operación logística es importante precisar que, debido a su naturaleza de contratos mixtos, esto es que </w:t>
      </w:r>
      <w:r w:rsidRPr="005F70F5">
        <w:rPr>
          <w:rFonts w:ascii="Verdana" w:eastAsia="Calibri" w:hAnsi="Verdana"/>
          <w:color w:val="000000" w:themeColor="text1"/>
          <w:lang w:val="es-ES_tradnl"/>
        </w:rPr>
        <w:t>acumula prestaciones de varios contratos nominados para satisfacer una necesidad común</w:t>
      </w:r>
      <w:r>
        <w:rPr>
          <w:rFonts w:ascii="Verdana" w:eastAsia="Arial" w:hAnsi="Verdana" w:cs="Arial"/>
          <w:bCs/>
        </w:rPr>
        <w:t xml:space="preserve">, y teniendo en cuenta que no hay procedimiento de selección reservado exclusivamente a este tipo contractual, no es posible establecer un criterio universal y absoluto que determine la procedencia de una modalidad de contratación específica y única para su celebración. </w:t>
      </w:r>
    </w:p>
    <w:p w14:paraId="7E8DD205" w14:textId="77777777" w:rsidR="00195688" w:rsidRDefault="00195688" w:rsidP="00195688">
      <w:pPr>
        <w:spacing w:after="120" w:line="276" w:lineRule="auto"/>
        <w:ind w:right="79" w:firstLine="743"/>
        <w:jc w:val="both"/>
        <w:rPr>
          <w:rFonts w:ascii="Verdana" w:eastAsia="Arial" w:hAnsi="Verdana" w:cs="Arial"/>
          <w:bCs/>
        </w:rPr>
      </w:pPr>
      <w:r>
        <w:rPr>
          <w:rFonts w:ascii="Verdana" w:eastAsia="Arial" w:hAnsi="Verdana" w:cs="Arial"/>
          <w:bCs/>
        </w:rPr>
        <w:t xml:space="preserve">En esta medida, previo análisis que realice la entidad del objeto y su alcance, las obligaciones, la cuantía, la necesidad a satisfacer y demás aspectos esenciales, es posible que la escogencia del contratista para la celebración del contrato de operación logística se efectúe mediante la licitación pública, como regla general, así como también es viable su celebración a través de la selección abreviada por menor cuantía o la mínima cuantía, siempre que se cumplan con las condiciones para su desarrollo por estas modalidades. Lo anterior, dado que estos procedimientos no tienen asociado un objeto contractual en particular pues su determinación está ligada a la cuantía del proceso, por lo que nada obsta para que se puedan emplear estas modalidades en los contratos de operación logística.  </w:t>
      </w:r>
    </w:p>
    <w:p w14:paraId="21BEF6C4" w14:textId="77777777" w:rsidR="00195688" w:rsidRPr="00A940B1" w:rsidRDefault="00195688" w:rsidP="00195688">
      <w:pPr>
        <w:tabs>
          <w:tab w:val="left" w:pos="0"/>
        </w:tabs>
        <w:spacing w:before="120" w:line="276" w:lineRule="auto"/>
        <w:ind w:firstLine="709"/>
        <w:jc w:val="both"/>
        <w:rPr>
          <w:rFonts w:ascii="Verdana" w:hAnsi="Verdana" w:cs="Arial"/>
          <w:color w:val="000000" w:themeColor="text1"/>
        </w:rPr>
      </w:pPr>
      <w:r>
        <w:rPr>
          <w:rFonts w:ascii="Verdana" w:eastAsia="Arial" w:hAnsi="Verdana" w:cs="Arial"/>
          <w:bCs/>
        </w:rPr>
        <w:t>En relación con la modalidad de contratación directa es pertinente señalar que conforme</w:t>
      </w:r>
      <w:r w:rsidRPr="00FC6761">
        <w:rPr>
          <w:rFonts w:ascii="Verdana" w:eastAsia="Arial" w:hAnsi="Verdana" w:cs="Arial"/>
          <w:bCs/>
          <w:lang w:val="es-MX"/>
        </w:rPr>
        <w:t xml:space="preserve"> lo dispone el artículo 2, numeral 4º, literal h), de la Ley 1150 de 2007, la prestación de servicios profesionales y de apoyo a la </w:t>
      </w:r>
      <w:r w:rsidRPr="00A940B1">
        <w:rPr>
          <w:rFonts w:ascii="Verdana" w:eastAsia="Arial" w:hAnsi="Verdana" w:cs="Arial"/>
          <w:bCs/>
          <w:lang w:val="es-MX"/>
        </w:rPr>
        <w:t>gestión o la ejecución de trabajos artísticos que solo puedan encomendarse a determinadas personas naturales</w:t>
      </w:r>
      <w:r>
        <w:rPr>
          <w:rFonts w:ascii="Verdana" w:eastAsia="Arial" w:hAnsi="Verdana" w:cs="Arial"/>
          <w:bCs/>
          <w:lang w:val="es-MX"/>
        </w:rPr>
        <w:t xml:space="preserve"> se efectuar mediante esta modalidad de selección</w:t>
      </w:r>
      <w:r w:rsidRPr="00A940B1">
        <w:rPr>
          <w:rFonts w:ascii="Verdana" w:eastAsia="Arial" w:hAnsi="Verdana" w:cs="Arial"/>
          <w:bCs/>
          <w:lang w:val="es-MX"/>
        </w:rPr>
        <w:t xml:space="preserve">. El </w:t>
      </w:r>
      <w:r>
        <w:rPr>
          <w:rFonts w:ascii="Verdana" w:eastAsia="Arial" w:hAnsi="Verdana" w:cs="Arial"/>
          <w:bCs/>
          <w:lang w:val="es-MX"/>
        </w:rPr>
        <w:t xml:space="preserve">artículo </w:t>
      </w:r>
      <w:r w:rsidRPr="00A940B1">
        <w:rPr>
          <w:rFonts w:ascii="Verdana" w:eastAsia="Arial" w:hAnsi="Verdana" w:cs="Arial"/>
          <w:bCs/>
          <w:lang w:val="es-MX"/>
        </w:rPr>
        <w:t xml:space="preserve">2.2.1.2.1.4.9 del Decreto 1082 de 2015 regula esta causal y </w:t>
      </w:r>
      <w:r w:rsidRPr="00A940B1">
        <w:rPr>
          <w:rFonts w:ascii="Verdana" w:hAnsi="Verdana" w:cs="Arial"/>
          <w:color w:val="000000" w:themeColor="text1"/>
        </w:rPr>
        <w:t xml:space="preserve">desarrolla los conceptos de prestación de servicios profesionales y de apoyo a la gestión. Esta norma señala: </w:t>
      </w:r>
    </w:p>
    <w:p w14:paraId="360D74E0" w14:textId="77777777" w:rsidR="00195688" w:rsidRPr="00E079C6" w:rsidRDefault="00195688" w:rsidP="00195688">
      <w:pPr>
        <w:ind w:left="708" w:right="709"/>
        <w:jc w:val="both"/>
        <w:rPr>
          <w:rFonts w:ascii="Verdana" w:hAnsi="Verdana" w:cs="Arial"/>
          <w:color w:val="000000" w:themeColor="text1"/>
          <w:sz w:val="20"/>
          <w:szCs w:val="20"/>
        </w:rPr>
      </w:pPr>
      <w:r w:rsidRPr="00E079C6">
        <w:rPr>
          <w:rFonts w:ascii="Verdana" w:hAnsi="Verdana" w:cs="Arial"/>
          <w:color w:val="000000" w:themeColor="text1"/>
          <w:sz w:val="20"/>
          <w:szCs w:val="20"/>
        </w:rPr>
        <w:lastRenderedPageBreak/>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3D498DA4" w14:textId="77777777" w:rsidR="00195688" w:rsidRPr="00E079C6" w:rsidRDefault="00195688" w:rsidP="00195688">
      <w:pPr>
        <w:ind w:left="708" w:right="709"/>
        <w:jc w:val="both"/>
        <w:rPr>
          <w:rFonts w:ascii="Verdana" w:hAnsi="Verdana" w:cs="Arial"/>
          <w:i/>
          <w:iCs/>
          <w:color w:val="000000" w:themeColor="text1"/>
          <w:sz w:val="20"/>
          <w:szCs w:val="20"/>
        </w:rPr>
      </w:pPr>
      <w:r w:rsidRPr="00E079C6">
        <w:rPr>
          <w:rFonts w:ascii="Verdana" w:hAnsi="Verdana" w:cs="Arial"/>
          <w:color w:val="000000" w:themeColor="text1"/>
          <w:sz w:val="20"/>
          <w:szCs w:val="20"/>
        </w:rPr>
        <w:t xml:space="preserve">Los servicios profesionales y de apoyo a la gestión corresponden a aquellos de naturaleza intelectual diferentes a los de consultoría que se derivan del cumplimiento de las funciones de la Entidad Estatal, </w:t>
      </w:r>
      <w:r w:rsidRPr="00E079C6">
        <w:rPr>
          <w:rFonts w:ascii="Verdana" w:hAnsi="Verdana" w:cs="Arial"/>
          <w:i/>
          <w:iCs/>
          <w:color w:val="000000" w:themeColor="text1"/>
          <w:sz w:val="20"/>
          <w:szCs w:val="20"/>
        </w:rPr>
        <w:t>así como los relacionados con actividades operativas, logísticas, o asistenciales.</w:t>
      </w:r>
    </w:p>
    <w:p w14:paraId="49CBA55E" w14:textId="77777777" w:rsidR="00195688" w:rsidRDefault="00195688" w:rsidP="00195688">
      <w:pPr>
        <w:ind w:left="708" w:right="709"/>
        <w:jc w:val="both"/>
        <w:rPr>
          <w:rFonts w:ascii="Verdana" w:hAnsi="Verdana" w:cs="Arial"/>
        </w:rPr>
      </w:pPr>
      <w:r w:rsidRPr="00E079C6">
        <w:rPr>
          <w:rFonts w:ascii="Verdana" w:hAnsi="Verdana" w:cs="Arial"/>
          <w:color w:val="000000" w:themeColor="text1"/>
          <w:sz w:val="20"/>
          <w:szCs w:val="20"/>
        </w:rPr>
        <w:t>La Entidad Estatal, para la contratación de trabajos artísticos que solamente puedan en</w:t>
      </w:r>
      <w:r w:rsidRPr="00E079C6">
        <w:rPr>
          <w:rFonts w:ascii="Verdana" w:hAnsi="Verdana" w:cs="Arial"/>
          <w:color w:val="000000" w:themeColor="text1"/>
          <w:sz w:val="20"/>
          <w:szCs w:val="20"/>
        </w:rPr>
        <w:softHyphen/>
        <w:t>comendarse a determinadas personas naturales, debe justificar esta situación en los estudios y documentos previos”. (Énfasis por fuera de texto)</w:t>
      </w:r>
    </w:p>
    <w:p w14:paraId="2493EA5B" w14:textId="77777777" w:rsidR="00195688" w:rsidRDefault="00195688" w:rsidP="00195688">
      <w:pPr>
        <w:spacing w:after="120" w:line="276" w:lineRule="auto"/>
        <w:ind w:right="79" w:firstLine="743"/>
        <w:jc w:val="both"/>
        <w:rPr>
          <w:rFonts w:ascii="Verdana" w:eastAsia="Arial" w:hAnsi="Verdana" w:cs="Arial"/>
          <w:bCs/>
        </w:rPr>
      </w:pPr>
      <w:r>
        <w:rPr>
          <w:rFonts w:ascii="Verdana" w:eastAsia="Arial" w:hAnsi="Verdana" w:cs="Arial"/>
          <w:bCs/>
        </w:rPr>
        <w:t>En este sentido, es importante precisar que c</w:t>
      </w:r>
      <w:r w:rsidRPr="00500958">
        <w:rPr>
          <w:rFonts w:ascii="Verdana" w:eastAsia="Arial" w:hAnsi="Verdana" w:cs="Arial"/>
          <w:bCs/>
        </w:rPr>
        <w:t>omo especies del género prestación de servicios, la jurisprudencia se ha encargado de definir los contratos de prestación de servicios profesionales y los de apoyo a la gestión. El primero, denominado contrato propiamente dicho de prestación de servicios profesionales se caracteriza por desarrollar actividades identificables e intangibles que demandan competencias y habilidades profesionales y especializadas, tendientes a satisfacer las necesidades relacionadas con la gestión administrativa o funcionamiento de la entidad. Por su parte, el contrato de prestación de servicios de simple apoyo a la gestión es aquel tendiente a desarrollar actividades en las cuales no se requiere personal profesional. Se involucra un saber técnico e implica el desempeño de un esfuerzo o actividad de apoyo, acompañamiento o soporte de carácter, entre otros, técnico, operacional, logístico, etc.</w:t>
      </w:r>
    </w:p>
    <w:p w14:paraId="59926B6A" w14:textId="77777777" w:rsidR="00195688" w:rsidRPr="0071041F" w:rsidRDefault="00195688" w:rsidP="00195688">
      <w:pPr>
        <w:spacing w:after="120" w:line="276" w:lineRule="auto"/>
        <w:ind w:right="79" w:firstLine="743"/>
        <w:jc w:val="both"/>
        <w:rPr>
          <w:rFonts w:ascii="Verdana" w:eastAsia="Arial" w:hAnsi="Verdana" w:cs="Arial"/>
          <w:bCs/>
          <w:lang w:val="es-MX"/>
        </w:rPr>
      </w:pPr>
      <w:r w:rsidRPr="00500958">
        <w:rPr>
          <w:rFonts w:ascii="Verdana" w:eastAsia="Arial" w:hAnsi="Verdana" w:cs="Arial"/>
          <w:bCs/>
          <w:lang w:val="es-MX"/>
        </w:rPr>
        <w:t xml:space="preserve">Dentro del objeto contractual de los contratos de prestación de servicios profesionales y de los de simple apoyo a la gestión, pueden tener lugar las actividades operativas, logísticas o asistenciales, siempre que en cada caso se cumplan los requisitos del tipo de contrato y exista correspondencia con las necesidades de la administración y el principio de planeación. De cualquier forma, si se desarrollan estas actividades en el contexto de las especies de contratos de prestación de servicios ya citadas, debe tenerse en cuenta que el </w:t>
      </w:r>
      <w:r w:rsidRPr="00500958">
        <w:rPr>
          <w:rFonts w:ascii="Verdana" w:eastAsia="Arial" w:hAnsi="Verdana" w:cs="Arial"/>
          <w:bCs/>
          <w:lang w:val="es-MX"/>
        </w:rPr>
        <w:lastRenderedPageBreak/>
        <w:t>objeto siempre debe estar relacionado con la necesidad de satisfacer la gestión administrativa o funcionamiento de la entidad, para suplir las falencias de esta.</w:t>
      </w:r>
    </w:p>
    <w:p w14:paraId="612FB0D9" w14:textId="77777777" w:rsidR="00195688" w:rsidRDefault="00195688" w:rsidP="00195688">
      <w:pPr>
        <w:spacing w:after="120" w:line="276" w:lineRule="auto"/>
        <w:ind w:right="79" w:firstLine="743"/>
        <w:jc w:val="both"/>
        <w:rPr>
          <w:rFonts w:ascii="Verdana" w:eastAsia="Arial" w:hAnsi="Verdana" w:cs="Arial"/>
          <w:bCs/>
          <w:lang w:val="es-MX"/>
        </w:rPr>
      </w:pPr>
      <w:r>
        <w:rPr>
          <w:rFonts w:ascii="Verdana" w:eastAsia="Arial" w:hAnsi="Verdana" w:cs="Arial"/>
          <w:bCs/>
          <w:lang w:val="es-MX"/>
        </w:rPr>
        <w:t>De esta manera,</w:t>
      </w:r>
      <w:r w:rsidRPr="00500958">
        <w:rPr>
          <w:rFonts w:ascii="Verdana" w:eastAsia="Arial" w:hAnsi="Verdana" w:cs="Arial"/>
          <w:bCs/>
          <w:lang w:val="es-MX"/>
        </w:rPr>
        <w:t xml:space="preserve"> </w:t>
      </w:r>
      <w:r>
        <w:rPr>
          <w:rFonts w:ascii="Verdana" w:eastAsia="Arial" w:hAnsi="Verdana" w:cs="Arial"/>
          <w:bCs/>
          <w:lang w:val="es-MX"/>
        </w:rPr>
        <w:t xml:space="preserve">si bien </w:t>
      </w:r>
      <w:r w:rsidRPr="00500958">
        <w:rPr>
          <w:rFonts w:ascii="Verdana" w:eastAsia="Arial" w:hAnsi="Verdana" w:cs="Arial"/>
          <w:bCs/>
          <w:lang w:val="es-MX"/>
        </w:rPr>
        <w:t>las actividades operativas, logísticas o asistenciales de las que trata el artículo 2.2.1.2.1.4.9 del Decreto 1082 de 2015</w:t>
      </w:r>
      <w:r>
        <w:rPr>
          <w:rFonts w:ascii="Verdana" w:eastAsia="Arial" w:hAnsi="Verdana" w:cs="Arial"/>
          <w:bCs/>
          <w:lang w:val="es-MX"/>
        </w:rPr>
        <w:t xml:space="preserve"> se pueden contratar por la vía de </w:t>
      </w:r>
      <w:r w:rsidRPr="00500958">
        <w:rPr>
          <w:rFonts w:ascii="Verdana" w:eastAsia="Arial" w:hAnsi="Verdana" w:cs="Arial"/>
          <w:bCs/>
          <w:lang w:val="es-MX"/>
        </w:rPr>
        <w:t>los contratos de prestación de servicios profesionales o de apoyo a la gestió</w:t>
      </w:r>
      <w:r>
        <w:rPr>
          <w:rFonts w:ascii="Verdana" w:eastAsia="Arial" w:hAnsi="Verdana" w:cs="Arial"/>
          <w:bCs/>
          <w:lang w:val="es-MX"/>
        </w:rPr>
        <w:t>n, esta no es una causal exclusiva para las actividades de logística. Además, s</w:t>
      </w:r>
      <w:r w:rsidRPr="00731224">
        <w:rPr>
          <w:rFonts w:ascii="Verdana" w:eastAsia="Arial" w:hAnsi="Verdana" w:cs="Arial"/>
          <w:bCs/>
          <w:lang w:val="es-MX"/>
        </w:rPr>
        <w:t>e hace énfasis en que estas actividades, en el marco de los contratos de prestación de servicios, serán destinadas al apoyo, acompañamiento y soporte relacionadas con la administración o funcionamiento de la entidad, es decir, que hagan parte de su giro ordinario o quehacer cotidiano.</w:t>
      </w:r>
      <w:r>
        <w:rPr>
          <w:rFonts w:ascii="Verdana" w:eastAsia="Arial" w:hAnsi="Verdana" w:cs="Arial"/>
          <w:bCs/>
          <w:lang w:val="es-MX"/>
        </w:rPr>
        <w:t xml:space="preserve"> De este modo, c</w:t>
      </w:r>
      <w:r w:rsidRPr="006E0B61">
        <w:rPr>
          <w:rFonts w:ascii="Verdana" w:eastAsia="Arial" w:hAnsi="Verdana" w:cs="Arial"/>
          <w:bCs/>
          <w:lang w:val="es-MX"/>
        </w:rPr>
        <w:t>orresponde a cada entidad estatal determinar</w:t>
      </w:r>
      <w:r>
        <w:rPr>
          <w:rFonts w:ascii="Verdana" w:eastAsia="Arial" w:hAnsi="Verdana" w:cs="Arial"/>
          <w:bCs/>
          <w:lang w:val="es-MX"/>
        </w:rPr>
        <w:t xml:space="preserve"> si</w:t>
      </w:r>
      <w:r w:rsidRPr="006E0B61">
        <w:rPr>
          <w:rFonts w:ascii="Verdana" w:eastAsia="Arial" w:hAnsi="Verdana" w:cs="Arial"/>
          <w:bCs/>
          <w:lang w:val="es-MX"/>
        </w:rPr>
        <w:t xml:space="preserve"> </w:t>
      </w:r>
      <w:r>
        <w:rPr>
          <w:rFonts w:ascii="Verdana" w:eastAsia="Arial" w:hAnsi="Verdana" w:cs="Arial"/>
          <w:bCs/>
          <w:lang w:val="es-MX"/>
        </w:rPr>
        <w:t xml:space="preserve">las </w:t>
      </w:r>
      <w:r w:rsidRPr="006E0B61">
        <w:rPr>
          <w:rFonts w:ascii="Verdana" w:eastAsia="Arial" w:hAnsi="Verdana" w:cs="Arial"/>
          <w:bCs/>
          <w:lang w:val="es-MX"/>
        </w:rPr>
        <w:t>actividades</w:t>
      </w:r>
      <w:r>
        <w:rPr>
          <w:rFonts w:ascii="Verdana" w:eastAsia="Arial" w:hAnsi="Verdana" w:cs="Arial"/>
          <w:bCs/>
          <w:lang w:val="es-MX"/>
        </w:rPr>
        <w:t xml:space="preserve"> a contratar se enmarcan en esta causal de contratación, </w:t>
      </w:r>
      <w:r w:rsidRPr="006E0B61">
        <w:rPr>
          <w:rFonts w:ascii="Verdana" w:eastAsia="Arial" w:hAnsi="Verdana" w:cs="Arial"/>
          <w:bCs/>
          <w:lang w:val="es-MX"/>
        </w:rPr>
        <w:t xml:space="preserve">de acuerdo con sus necesidades, el objeto contractual particular, las obligaciones a desarrollar, las normas del sistema de compras públicas y el marco jurisprudencial desarrollado en torno a los contratos de prestación de servicios. </w:t>
      </w:r>
    </w:p>
    <w:p w14:paraId="7DA071E2" w14:textId="77777777" w:rsidR="00195688" w:rsidRDefault="00195688" w:rsidP="00195688">
      <w:pPr>
        <w:spacing w:after="120" w:line="276" w:lineRule="auto"/>
        <w:ind w:right="79" w:firstLine="743"/>
        <w:jc w:val="both"/>
        <w:rPr>
          <w:rFonts w:ascii="Verdana" w:eastAsia="Arial" w:hAnsi="Verdana" w:cs="Arial"/>
          <w:bCs/>
          <w:lang w:val="es-MX"/>
        </w:rPr>
      </w:pPr>
      <w:r>
        <w:rPr>
          <w:rFonts w:ascii="Verdana" w:eastAsia="Arial" w:hAnsi="Verdana" w:cs="Arial"/>
          <w:bCs/>
          <w:lang w:val="es-MX"/>
        </w:rPr>
        <w:t xml:space="preserve">Por otro lado, resulta pertinente anotar que </w:t>
      </w:r>
      <w:r>
        <w:rPr>
          <w:rFonts w:ascii="Verdana" w:eastAsia="Calibri" w:hAnsi="Verdana"/>
          <w:color w:val="000000" w:themeColor="text1"/>
          <w:lang w:val="es-ES"/>
        </w:rPr>
        <w:t xml:space="preserve">los contratos de operación logística también podrían ser celebrados en el marco de un contrato interadministrativo. En efecto, </w:t>
      </w:r>
      <w:r>
        <w:rPr>
          <w:rFonts w:ascii="Verdana" w:eastAsia="Arial" w:hAnsi="Verdana" w:cs="Arial"/>
          <w:bCs/>
          <w:lang w:val="es-MX"/>
        </w:rPr>
        <w:t>a</w:t>
      </w:r>
      <w:r w:rsidRPr="00731224">
        <w:rPr>
          <w:rFonts w:ascii="Verdana" w:eastAsia="Arial" w:hAnsi="Verdana" w:cs="Arial"/>
          <w:bCs/>
          <w:lang w:val="es-MX"/>
        </w:rPr>
        <w:t xml:space="preserve">unque la ley no la definió ni desarrolló, el Decreto 1082 de 2015 califica a los contratos interadministrativos como aquella contratación entre entidades estatales. De acuerdo con lo anterior, es el acuerdo donde concurre la voluntad de dos o más personas jurídicas de derecho público con la finalidad de cumplir, en el marco de sus objetivos misionales y sus competencias, con los fines del Estado. Es decir, están determinados por un criterio orgánico, pues es necesario que los extremos de la relación contractual sean entidades estatales. Por ello, los mismos pueden contener obligaciones de diversas tipologías contractuales o de una la combinación entre las mismas, como en contratos atípicos mixtos. Lo anterior en la medida que son las partes, no el objeto de las obligaciones, lo que define la existencia de este tipo de negocios. </w:t>
      </w:r>
    </w:p>
    <w:p w14:paraId="0F3DF160" w14:textId="77777777" w:rsidR="00195688" w:rsidRPr="009E105D" w:rsidRDefault="00195688" w:rsidP="00195688">
      <w:pPr>
        <w:widowControl w:val="0"/>
        <w:autoSpaceDE w:val="0"/>
        <w:autoSpaceDN w:val="0"/>
        <w:spacing w:after="12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 xml:space="preserve">En ese sentido, los contratos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w:t>
      </w:r>
      <w:r w:rsidRPr="009E105D">
        <w:rPr>
          <w:rFonts w:ascii="Verdana" w:eastAsia="Arial" w:hAnsi="Verdana" w:cs="Arial"/>
          <w:lang w:val="es-ES" w:eastAsia="es-ES" w:bidi="es-ES"/>
        </w:rPr>
        <w:lastRenderedPageBreak/>
        <w:t>directa como la modalidad de selección aplicable, por regla general, a la celebración de los contratos interadministrativos.</w:t>
      </w:r>
    </w:p>
    <w:p w14:paraId="5661B688" w14:textId="77777777" w:rsidR="00195688" w:rsidRPr="0096429B" w:rsidRDefault="00195688" w:rsidP="00195688">
      <w:pPr>
        <w:widowControl w:val="0"/>
        <w:autoSpaceDE w:val="0"/>
        <w:autoSpaceDN w:val="0"/>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Sin embargo</w:t>
      </w:r>
      <w:r w:rsidRPr="009E105D">
        <w:rPr>
          <w:rFonts w:ascii="Verdana" w:eastAsia="Arial" w:hAnsi="Verdana" w:cs="Arial"/>
          <w:lang w:val="es-ES" w:eastAsia="es-ES" w:bidi="es-ES"/>
        </w:rPr>
        <w:t>,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o convenios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w:t>
      </w:r>
      <w:r>
        <w:rPr>
          <w:rFonts w:ascii="Verdana" w:eastAsia="Arial" w:hAnsi="Verdana" w:cs="Arial"/>
          <w:lang w:val="es-ES" w:eastAsia="es-ES" w:bidi="es-ES"/>
        </w:rPr>
        <w:t>,</w:t>
      </w:r>
      <w:r w:rsidRPr="009E105D">
        <w:rPr>
          <w:rFonts w:ascii="Verdana" w:eastAsia="Arial" w:hAnsi="Verdana" w:cs="Arial"/>
          <w:lang w:val="es-ES" w:eastAsia="es-ES" w:bidi="es-ES"/>
        </w:rPr>
        <w:t xml:space="preserve"> sino</w:t>
      </w:r>
      <w:r>
        <w:rPr>
          <w:rFonts w:ascii="Verdana" w:eastAsia="Arial" w:hAnsi="Verdana" w:cs="Arial"/>
          <w:lang w:val="es-ES" w:eastAsia="es-ES" w:bidi="es-ES"/>
        </w:rPr>
        <w:t xml:space="preserve"> por</w:t>
      </w:r>
      <w:r w:rsidRPr="009E105D">
        <w:rPr>
          <w:rFonts w:ascii="Verdana" w:eastAsia="Arial" w:hAnsi="Verdana" w:cs="Arial"/>
          <w:lang w:val="es-ES" w:eastAsia="es-ES" w:bidi="es-ES"/>
        </w:rPr>
        <w:t xml:space="preserve"> la calidad de las partes que lo suscriben, es decir, debe tratarse de entidades</w:t>
      </w:r>
      <w:r w:rsidRPr="009E105D">
        <w:rPr>
          <w:rFonts w:ascii="Verdana" w:eastAsia="Arial" w:hAnsi="Verdana" w:cs="Arial"/>
          <w:spacing w:val="-3"/>
          <w:lang w:val="es-ES" w:eastAsia="es-ES" w:bidi="es-ES"/>
        </w:rPr>
        <w:t xml:space="preserve"> </w:t>
      </w:r>
      <w:r w:rsidRPr="009E105D">
        <w:rPr>
          <w:rFonts w:ascii="Verdana" w:eastAsia="Arial" w:hAnsi="Verdana" w:cs="Arial"/>
          <w:lang w:val="es-ES" w:eastAsia="es-ES" w:bidi="es-ES"/>
        </w:rPr>
        <w:t>estatales.</w:t>
      </w:r>
    </w:p>
    <w:p w14:paraId="7DA46442" w14:textId="77777777" w:rsidR="00195688" w:rsidRDefault="00195688" w:rsidP="00195688">
      <w:pPr>
        <w:spacing w:after="120" w:line="276" w:lineRule="auto"/>
        <w:ind w:right="79" w:firstLine="743"/>
        <w:jc w:val="both"/>
        <w:rPr>
          <w:rFonts w:ascii="Verdana" w:eastAsia="Arial" w:hAnsi="Verdana" w:cs="Arial"/>
          <w:bCs/>
          <w:lang w:val="es-MX"/>
        </w:rPr>
      </w:pPr>
      <w:r>
        <w:rPr>
          <w:rFonts w:ascii="Verdana" w:eastAsia="Arial" w:hAnsi="Verdana" w:cs="Arial"/>
          <w:bCs/>
          <w:lang w:val="es-MX"/>
        </w:rPr>
        <w:t xml:space="preserve">En este orden de ideas, </w:t>
      </w:r>
      <w:r>
        <w:rPr>
          <w:rFonts w:ascii="Verdana" w:eastAsia="Arial" w:hAnsi="Verdana" w:cs="Arial"/>
          <w:bCs/>
        </w:rPr>
        <w:t>l</w:t>
      </w:r>
      <w:r w:rsidRPr="005F56DB">
        <w:rPr>
          <w:rFonts w:ascii="Verdana" w:eastAsia="Arial" w:hAnsi="Verdana" w:cs="Arial"/>
          <w:bCs/>
        </w:rPr>
        <w:t>a entidad será responsable de establecer la modalidad de selección aplicable</w:t>
      </w:r>
      <w:r>
        <w:rPr>
          <w:rFonts w:ascii="Verdana" w:eastAsia="Arial" w:hAnsi="Verdana" w:cs="Arial"/>
          <w:bCs/>
        </w:rPr>
        <w:t xml:space="preserve"> a los contratos de operación logística</w:t>
      </w:r>
      <w:r w:rsidRPr="005F56DB">
        <w:rPr>
          <w:rFonts w:ascii="Verdana" w:eastAsia="Arial" w:hAnsi="Verdana" w:cs="Arial"/>
          <w:bCs/>
        </w:rPr>
        <w:t xml:space="preserve"> de acuerdo con </w:t>
      </w:r>
      <w:r>
        <w:rPr>
          <w:rFonts w:ascii="Verdana" w:eastAsia="Arial" w:hAnsi="Verdana" w:cs="Arial"/>
          <w:bCs/>
        </w:rPr>
        <w:t>el objeto, la cuantía, las obligaciones y demás</w:t>
      </w:r>
      <w:r w:rsidRPr="005F56DB">
        <w:rPr>
          <w:rFonts w:ascii="Verdana" w:eastAsia="Arial" w:hAnsi="Verdana" w:cs="Arial"/>
          <w:bCs/>
        </w:rPr>
        <w:t xml:space="preserve"> condiciones específicas del contrato a ejecutar. Esta determinación se realizará considerando el marco regulatorio vigente para cada una de las modalidades de selección </w:t>
      </w:r>
      <w:r>
        <w:rPr>
          <w:rFonts w:ascii="Verdana" w:eastAsia="Arial" w:hAnsi="Verdana" w:cs="Arial"/>
          <w:bCs/>
        </w:rPr>
        <w:t>establecidas</w:t>
      </w:r>
      <w:r w:rsidRPr="005F56DB">
        <w:rPr>
          <w:rFonts w:ascii="Verdana" w:eastAsia="Arial" w:hAnsi="Verdana" w:cs="Arial"/>
          <w:bCs/>
        </w:rPr>
        <w:t>, garantizando la transparencia, eficiencia y legalidad en el proceso de contratación</w:t>
      </w:r>
      <w:r>
        <w:rPr>
          <w:rFonts w:ascii="Verdana" w:eastAsia="Arial" w:hAnsi="Verdana" w:cs="Arial"/>
          <w:bCs/>
          <w:lang w:val="es-MX"/>
        </w:rPr>
        <w:t xml:space="preserve">. </w:t>
      </w:r>
    </w:p>
    <w:p w14:paraId="26A7248D" w14:textId="77777777" w:rsidR="00195688" w:rsidRDefault="00195688" w:rsidP="00195688">
      <w:pPr>
        <w:spacing w:after="120" w:line="276" w:lineRule="auto"/>
        <w:ind w:right="79" w:firstLine="743"/>
        <w:jc w:val="both"/>
        <w:rPr>
          <w:rFonts w:ascii="Verdana" w:hAnsi="Verdana" w:cs="Arial"/>
        </w:rPr>
      </w:pPr>
      <w:r>
        <w:rPr>
          <w:rFonts w:ascii="Verdana" w:eastAsia="Arial" w:hAnsi="Verdana" w:cs="Arial"/>
          <w:bCs/>
          <w:lang w:val="es-MX"/>
        </w:rPr>
        <w:t>Además, conforme al principio de planeación la entidad deberá determinar la forma en la que se contratará las actividades de operación logística durante la vigencia fiscal, atendiendo a la necesidad a satisfacer,</w:t>
      </w:r>
      <w:r w:rsidRPr="00C24533">
        <w:rPr>
          <w:rFonts w:ascii="Verdana" w:hAnsi="Verdana" w:cs="Arial"/>
        </w:rPr>
        <w:t xml:space="preserve"> </w:t>
      </w:r>
      <w:r>
        <w:rPr>
          <w:rFonts w:ascii="Verdana" w:hAnsi="Verdana" w:cs="Arial"/>
        </w:rPr>
        <w:t xml:space="preserve">a la conveniencia o inconveniencia del objeto a contratar, a </w:t>
      </w:r>
      <w:r w:rsidRPr="00087B05">
        <w:rPr>
          <w:rFonts w:ascii="Verdana" w:hAnsi="Verdana" w:cs="Arial"/>
        </w:rPr>
        <w:t xml:space="preserve">los costos </w:t>
      </w:r>
      <w:r>
        <w:rPr>
          <w:rFonts w:ascii="Verdana" w:hAnsi="Verdana" w:cs="Arial"/>
        </w:rPr>
        <w:t xml:space="preserve">que </w:t>
      </w:r>
      <w:r w:rsidRPr="00087B05">
        <w:rPr>
          <w:rFonts w:ascii="Verdana" w:hAnsi="Verdana" w:cs="Arial"/>
        </w:rPr>
        <w:t>podría</w:t>
      </w:r>
      <w:r>
        <w:rPr>
          <w:rFonts w:ascii="Verdana" w:hAnsi="Verdana" w:cs="Arial"/>
        </w:rPr>
        <w:t>n</w:t>
      </w:r>
      <w:r w:rsidRPr="00087B05">
        <w:rPr>
          <w:rFonts w:ascii="Verdana" w:hAnsi="Verdana" w:cs="Arial"/>
        </w:rPr>
        <w:t xml:space="preserve"> demandar la celebración y ejecución del contrato,</w:t>
      </w:r>
      <w:r w:rsidRPr="00C24533">
        <w:rPr>
          <w:rFonts w:ascii="Verdana" w:hAnsi="Verdana" w:cs="Arial"/>
        </w:rPr>
        <w:t xml:space="preserve"> </w:t>
      </w:r>
      <w:r w:rsidRPr="00087B05">
        <w:rPr>
          <w:rFonts w:ascii="Verdana" w:hAnsi="Verdana" w:cs="Arial"/>
        </w:rPr>
        <w:t>la disponibilidad de recursos o la capacidad financiera de la entidad contratante</w:t>
      </w:r>
      <w:r>
        <w:rPr>
          <w:rFonts w:ascii="Verdana" w:hAnsi="Verdana" w:cs="Arial"/>
        </w:rPr>
        <w:t xml:space="preserve"> </w:t>
      </w:r>
      <w:r w:rsidRPr="00087B05">
        <w:rPr>
          <w:rFonts w:ascii="Verdana" w:hAnsi="Verdana" w:cs="Arial"/>
        </w:rPr>
        <w:t xml:space="preserve">para asumir las obligaciones de pago producto </w:t>
      </w:r>
      <w:r>
        <w:rPr>
          <w:rFonts w:ascii="Verdana" w:hAnsi="Verdana" w:cs="Arial"/>
        </w:rPr>
        <w:t xml:space="preserve">y demás condiciones. De este modo, se trata de una decisión discrecional de la administración.  </w:t>
      </w:r>
    </w:p>
    <w:p w14:paraId="7531F057" w14:textId="77777777" w:rsidR="00195688" w:rsidRPr="00577FF1" w:rsidRDefault="00195688" w:rsidP="00195688">
      <w:pPr>
        <w:spacing w:after="120" w:line="276" w:lineRule="auto"/>
        <w:ind w:right="79" w:firstLine="743"/>
        <w:jc w:val="both"/>
        <w:rPr>
          <w:rFonts w:ascii="Verdana" w:hAnsi="Verdana" w:cs="Arial"/>
          <w:lang w:val="es-ES"/>
        </w:rPr>
      </w:pPr>
      <w:r w:rsidRPr="00577FF1">
        <w:rPr>
          <w:rFonts w:ascii="Verdana" w:hAnsi="Verdana" w:cs="Arial"/>
        </w:rPr>
        <w:t>Para</w:t>
      </w:r>
      <w:r>
        <w:rPr>
          <w:rFonts w:ascii="Verdana" w:hAnsi="Verdana" w:cs="Arial"/>
        </w:rPr>
        <w:t xml:space="preserve"> una debida planeación, </w:t>
      </w:r>
      <w:r w:rsidRPr="00577FF1">
        <w:rPr>
          <w:rFonts w:ascii="Verdana" w:hAnsi="Verdana" w:cs="Arial"/>
        </w:rPr>
        <w:t xml:space="preserve">la entidad </w:t>
      </w:r>
      <w:r>
        <w:rPr>
          <w:rFonts w:ascii="Verdana" w:hAnsi="Verdana" w:cs="Arial"/>
        </w:rPr>
        <w:t xml:space="preserve">tiene la obligación de </w:t>
      </w:r>
      <w:r w:rsidRPr="00577FF1">
        <w:rPr>
          <w:rFonts w:ascii="Verdana" w:hAnsi="Verdana" w:cs="Arial"/>
        </w:rPr>
        <w:t>elaborar un Plan Anual de Adquisiciones</w:t>
      </w:r>
      <w:r>
        <w:rPr>
          <w:rFonts w:ascii="Verdana" w:hAnsi="Verdana" w:cs="Arial"/>
        </w:rPr>
        <w:t xml:space="preserve"> - PAA</w:t>
      </w:r>
      <w:r w:rsidRPr="00577FF1">
        <w:rPr>
          <w:rFonts w:ascii="Verdana" w:hAnsi="Verdana" w:cs="Arial"/>
        </w:rPr>
        <w:t xml:space="preserve">, que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w:t>
      </w:r>
      <w:r w:rsidRPr="00577FF1">
        <w:rPr>
          <w:rFonts w:ascii="Verdana" w:hAnsi="Verdana" w:cs="Arial"/>
        </w:rPr>
        <w:lastRenderedPageBreak/>
        <w:t>contratación que habrán de adoptarse dentro de la anualidad respectiva</w:t>
      </w:r>
      <w:r>
        <w:rPr>
          <w:rStyle w:val="Refdenotaalpie"/>
          <w:rFonts w:ascii="Verdana" w:hAnsi="Verdana" w:cs="Arial"/>
        </w:rPr>
        <w:footnoteReference w:id="11"/>
      </w:r>
      <w:r w:rsidRPr="00577FF1">
        <w:rPr>
          <w:rFonts w:ascii="Verdana" w:hAnsi="Verdana" w:cs="Arial"/>
        </w:rPr>
        <w:t>.</w:t>
      </w:r>
      <w:r w:rsidRPr="00577FF1">
        <w:rPr>
          <w:rFonts w:ascii="Arial" w:eastAsia="Calibri" w:hAnsi="Arial" w:cs="Arial"/>
          <w:color w:val="000000"/>
          <w:lang w:val="es-ES"/>
        </w:rPr>
        <w:t xml:space="preserve"> </w:t>
      </w:r>
      <w:r w:rsidRPr="00577FF1">
        <w:rPr>
          <w:rFonts w:ascii="Verdana" w:hAnsi="Verdana" w:cs="Arial"/>
          <w:lang w:val="es-ES"/>
        </w:rPr>
        <w:t>De este modo, e</w:t>
      </w:r>
      <w:r w:rsidRPr="00577FF1">
        <w:rPr>
          <w:rFonts w:ascii="Verdana" w:hAnsi="Verdana" w:cs="Arial"/>
        </w:rPr>
        <w:t xml:space="preserve">l PAA se considera </w:t>
      </w:r>
      <w:r w:rsidRPr="00577FF1">
        <w:rPr>
          <w:rFonts w:ascii="Verdana" w:hAnsi="Verdana" w:cs="Arial"/>
          <w:lang w:val="es-ES"/>
        </w:rPr>
        <w:t>un documento de carácter estimativo que tiene entre otras finalidades, la de “servir como referente inicial para evaluar la ejecución de presupuesto y pronosticar la demanda de bienes y servicios de la entidad durante el año referido del plan”</w:t>
      </w:r>
      <w:r w:rsidRPr="00577FF1">
        <w:rPr>
          <w:rFonts w:ascii="Verdana" w:hAnsi="Verdana" w:cs="Arial"/>
          <w:vertAlign w:val="superscript"/>
        </w:rPr>
        <w:footnoteReference w:id="12"/>
      </w:r>
      <w:r w:rsidRPr="00577FF1">
        <w:rPr>
          <w:rFonts w:ascii="Verdana" w:hAnsi="Verdana" w:cs="Arial"/>
          <w:lang w:val="es-ES"/>
        </w:rPr>
        <w:t xml:space="preserve">. </w:t>
      </w:r>
    </w:p>
    <w:p w14:paraId="17DE1F83" w14:textId="77777777" w:rsidR="00195688" w:rsidRPr="00E079C6" w:rsidRDefault="00195688" w:rsidP="00195688">
      <w:pPr>
        <w:spacing w:after="120" w:line="276" w:lineRule="auto"/>
        <w:ind w:right="79" w:firstLine="743"/>
        <w:jc w:val="both"/>
        <w:rPr>
          <w:rFonts w:ascii="Verdana" w:hAnsi="Verdana" w:cs="Arial"/>
        </w:rPr>
      </w:pPr>
      <w:r>
        <w:rPr>
          <w:rFonts w:ascii="Verdana" w:hAnsi="Verdana" w:cs="Arial"/>
        </w:rPr>
        <w:t xml:space="preserve">Así las cosas, aunque es una decisión autónoma de la entidad la contratación que se llevará a cabo durante la vigencia fiscal, esta determinación se deberá realizar </w:t>
      </w:r>
      <w:r w:rsidRPr="00FF4DF7">
        <w:rPr>
          <w:rFonts w:ascii="Verdana" w:hAnsi="Verdana" w:cs="Arial"/>
        </w:rPr>
        <w:t>respetando los principios de planeación, economía y eficiencia administrativa</w:t>
      </w:r>
      <w:r>
        <w:rPr>
          <w:rFonts w:ascii="Verdana" w:hAnsi="Verdana" w:cs="Arial"/>
        </w:rPr>
        <w:t xml:space="preserve">, procurando que los </w:t>
      </w:r>
      <w:r w:rsidRPr="00577FF1">
        <w:rPr>
          <w:rFonts w:ascii="Verdana" w:hAnsi="Verdana" w:cs="Arial"/>
        </w:rPr>
        <w:t>trámites se adelant</w:t>
      </w:r>
      <w:r>
        <w:rPr>
          <w:rFonts w:ascii="Verdana" w:hAnsi="Verdana" w:cs="Arial"/>
        </w:rPr>
        <w:t>en</w:t>
      </w:r>
      <w:r w:rsidRPr="00577FF1">
        <w:rPr>
          <w:rFonts w:ascii="Verdana" w:hAnsi="Verdana" w:cs="Arial"/>
        </w:rPr>
        <w:t xml:space="preserve"> con austeridad de tiempo, medios y gastos </w:t>
      </w:r>
      <w:r>
        <w:rPr>
          <w:rFonts w:ascii="Verdana" w:hAnsi="Verdana" w:cs="Arial"/>
        </w:rPr>
        <w:t xml:space="preserve">y que </w:t>
      </w:r>
      <w:r w:rsidRPr="00FF4DF7">
        <w:rPr>
          <w:rFonts w:ascii="Verdana" w:hAnsi="Verdana" w:cs="Arial"/>
        </w:rPr>
        <w:t xml:space="preserve">no </w:t>
      </w:r>
      <w:r>
        <w:rPr>
          <w:rFonts w:ascii="Verdana" w:hAnsi="Verdana" w:cs="Arial"/>
        </w:rPr>
        <w:t xml:space="preserve">se </w:t>
      </w:r>
      <w:r w:rsidRPr="00FF4DF7">
        <w:rPr>
          <w:rFonts w:ascii="Verdana" w:hAnsi="Verdana" w:cs="Arial"/>
        </w:rPr>
        <w:t xml:space="preserve">generen </w:t>
      </w:r>
      <w:r>
        <w:rPr>
          <w:rFonts w:ascii="Verdana" w:hAnsi="Verdana" w:cs="Arial"/>
        </w:rPr>
        <w:t>mayores sobre</w:t>
      </w:r>
      <w:r w:rsidRPr="00FF4DF7">
        <w:rPr>
          <w:rFonts w:ascii="Verdana" w:hAnsi="Verdana" w:cs="Arial"/>
        </w:rPr>
        <w:t>costos</w:t>
      </w:r>
      <w:r>
        <w:rPr>
          <w:rFonts w:ascii="Verdana" w:hAnsi="Verdana" w:cs="Arial"/>
        </w:rPr>
        <w:t xml:space="preserve">. Por tanto, </w:t>
      </w:r>
      <w:r w:rsidRPr="00FF4DF7">
        <w:rPr>
          <w:rFonts w:ascii="Verdana" w:hAnsi="Verdana" w:cs="Arial"/>
        </w:rPr>
        <w:t xml:space="preserve">se hace un llamado a todas las </w:t>
      </w:r>
      <w:r>
        <w:rPr>
          <w:rFonts w:ascii="Verdana" w:hAnsi="Verdana" w:cs="Arial"/>
        </w:rPr>
        <w:t xml:space="preserve">entidades estatales </w:t>
      </w:r>
      <w:r w:rsidRPr="00FF4DF7">
        <w:rPr>
          <w:rFonts w:ascii="Verdana" w:hAnsi="Verdana" w:cs="Arial"/>
        </w:rPr>
        <w:t>a atender debidamente el principio de planeación, asegurando que las decisiones sean oportunas, bien fundamentadas y que contribuyan a la optimización de los recursos disponibles</w:t>
      </w:r>
      <w:r>
        <w:rPr>
          <w:rFonts w:ascii="Verdana" w:hAnsi="Verdana" w:cs="Arial"/>
        </w:rPr>
        <w:t xml:space="preserve">. </w:t>
      </w:r>
    </w:p>
    <w:p w14:paraId="3F6B9944" w14:textId="77777777" w:rsidR="00195688" w:rsidRPr="00E079C6" w:rsidRDefault="00195688" w:rsidP="00195688">
      <w:pPr>
        <w:spacing w:line="276" w:lineRule="auto"/>
        <w:jc w:val="both"/>
        <w:rPr>
          <w:rFonts w:ascii="Verdana" w:eastAsia="Times New Roman" w:hAnsi="Verdana" w:cs="Arial"/>
        </w:rPr>
      </w:pPr>
      <w:r w:rsidRPr="0071041F">
        <w:rPr>
          <w:rFonts w:ascii="Verdana" w:hAnsi="Verdana" w:cs="Arial"/>
        </w:rPr>
        <w:t>iv. Al margen de la explicación precedente debe advertirse que el análisis</w:t>
      </w:r>
      <w:r w:rsidRPr="00E079C6">
        <w:rPr>
          <w:rFonts w:ascii="Verdana" w:hAnsi="Verdana" w:cs="Arial"/>
        </w:rPr>
        <w:t xml:space="preserve">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bookmarkEnd w:id="1"/>
    </w:p>
    <w:p w14:paraId="1DE393C8" w14:textId="77777777" w:rsidR="00195688" w:rsidRPr="00E079C6" w:rsidRDefault="00195688" w:rsidP="00195688">
      <w:pPr>
        <w:spacing w:after="0" w:line="276" w:lineRule="auto"/>
        <w:ind w:firstLine="708"/>
        <w:jc w:val="both"/>
        <w:rPr>
          <w:rFonts w:ascii="Verdana" w:eastAsia="Times New Roman" w:hAnsi="Verdana" w:cs="Times New Roman"/>
          <w:lang w:eastAsia="es-ES"/>
        </w:rPr>
      </w:pPr>
      <w:r w:rsidRPr="00E079C6">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2"/>
      <w:bookmarkEnd w:id="3"/>
    </w:p>
    <w:p w14:paraId="3EA91D79" w14:textId="77777777" w:rsidR="00195688" w:rsidRPr="00BE7E79" w:rsidRDefault="00195688" w:rsidP="00195688">
      <w:pPr>
        <w:spacing w:after="0" w:line="276" w:lineRule="auto"/>
        <w:ind w:firstLine="709"/>
        <w:jc w:val="both"/>
        <w:rPr>
          <w:rFonts w:ascii="Verdana" w:eastAsia="Times New Roman" w:hAnsi="Verdana" w:cs="Times New Roman"/>
          <w:strike/>
          <w:lang w:eastAsia="es-ES"/>
        </w:rPr>
      </w:pPr>
    </w:p>
    <w:p w14:paraId="78DC7F2C" w14:textId="77777777" w:rsidR="00195688" w:rsidRPr="00BE7E79" w:rsidRDefault="00195688" w:rsidP="00195688">
      <w:pPr>
        <w:spacing w:after="0" w:line="276" w:lineRule="auto"/>
        <w:jc w:val="both"/>
        <w:rPr>
          <w:rFonts w:ascii="Verdana" w:eastAsia="Century Gothic" w:hAnsi="Verdana" w:cs="Century Gothic"/>
          <w:b/>
          <w:lang w:val="es-ES"/>
        </w:rPr>
      </w:pPr>
      <w:r w:rsidRPr="00BE7E79">
        <w:rPr>
          <w:rFonts w:ascii="Verdana" w:eastAsia="Century Gothic" w:hAnsi="Verdana" w:cs="Century Gothic"/>
          <w:b/>
          <w:lang w:val="es-ES"/>
        </w:rPr>
        <w:lastRenderedPageBreak/>
        <w:t>4. Referencias normativas, jurisprudenciales y otras fuentes:</w:t>
      </w:r>
    </w:p>
    <w:p w14:paraId="3E07C17B" w14:textId="77777777" w:rsidR="00195688" w:rsidRPr="00B57968" w:rsidRDefault="00195688" w:rsidP="00195688">
      <w:pPr>
        <w:spacing w:after="0" w:line="276" w:lineRule="auto"/>
        <w:jc w:val="both"/>
        <w:rPr>
          <w:rFonts w:ascii="Verdana" w:eastAsia="Century Gothic" w:hAnsi="Verdana" w:cs="Century Gothic"/>
          <w:b/>
          <w:color w:val="EE000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95688" w:rsidRPr="00B57968" w14:paraId="378FD60A" w14:textId="77777777" w:rsidTr="005B6D11">
        <w:trPr>
          <w:trHeight w:val="1689"/>
        </w:trPr>
        <w:tc>
          <w:tcPr>
            <w:tcW w:w="8647" w:type="dxa"/>
          </w:tcPr>
          <w:p w14:paraId="4A966752" w14:textId="77777777" w:rsidR="00195688" w:rsidRPr="0071041F" w:rsidRDefault="00195688" w:rsidP="00195688">
            <w:pPr>
              <w:pStyle w:val="Prrafodelista"/>
              <w:widowControl w:val="0"/>
              <w:numPr>
                <w:ilvl w:val="0"/>
                <w:numId w:val="19"/>
              </w:numPr>
              <w:autoSpaceDE w:val="0"/>
              <w:autoSpaceDN w:val="0"/>
              <w:spacing w:line="276" w:lineRule="auto"/>
              <w:jc w:val="both"/>
              <w:rPr>
                <w:rFonts w:ascii="Verdana" w:hAnsi="Verdana" w:cs="Arial"/>
              </w:rPr>
            </w:pPr>
            <w:r w:rsidRPr="0071041F">
              <w:rPr>
                <w:rFonts w:ascii="Verdana" w:hAnsi="Verdana" w:cs="Arial"/>
                <w:lang w:val="es-CO"/>
              </w:rPr>
              <w:t>Ley 57 de 1887. Artículo 1501.</w:t>
            </w:r>
          </w:p>
          <w:p w14:paraId="07069440" w14:textId="77777777" w:rsidR="00195688" w:rsidRPr="0071041F" w:rsidRDefault="00195688" w:rsidP="00195688">
            <w:pPr>
              <w:pStyle w:val="Prrafodelista"/>
              <w:widowControl w:val="0"/>
              <w:numPr>
                <w:ilvl w:val="0"/>
                <w:numId w:val="19"/>
              </w:numPr>
              <w:autoSpaceDE w:val="0"/>
              <w:autoSpaceDN w:val="0"/>
              <w:spacing w:line="276" w:lineRule="auto"/>
              <w:jc w:val="both"/>
              <w:rPr>
                <w:rFonts w:ascii="Verdana" w:hAnsi="Verdana" w:cs="Arial"/>
              </w:rPr>
            </w:pPr>
            <w:r w:rsidRPr="0071041F">
              <w:rPr>
                <w:rFonts w:ascii="Verdana" w:hAnsi="Verdana" w:cs="Arial"/>
              </w:rPr>
              <w:t xml:space="preserve">Ley 80 de 1993. Artículos 6, 13, 32, 39, 40 y 41. </w:t>
            </w:r>
          </w:p>
          <w:p w14:paraId="22721E76" w14:textId="77777777" w:rsidR="00195688" w:rsidRPr="0071041F" w:rsidRDefault="00195688" w:rsidP="00195688">
            <w:pPr>
              <w:pStyle w:val="Prrafodelista"/>
              <w:widowControl w:val="0"/>
              <w:numPr>
                <w:ilvl w:val="0"/>
                <w:numId w:val="18"/>
              </w:numPr>
              <w:autoSpaceDE w:val="0"/>
              <w:autoSpaceDN w:val="0"/>
              <w:spacing w:line="276" w:lineRule="auto"/>
              <w:jc w:val="both"/>
              <w:rPr>
                <w:rFonts w:ascii="Verdana" w:hAnsi="Verdana" w:cs="Arial"/>
              </w:rPr>
            </w:pPr>
            <w:r w:rsidRPr="0071041F">
              <w:rPr>
                <w:rFonts w:ascii="Verdana" w:hAnsi="Verdana" w:cs="Arial"/>
              </w:rPr>
              <w:t xml:space="preserve">Ley 1150 de 2007. Artículo 2. </w:t>
            </w:r>
          </w:p>
          <w:p w14:paraId="0F076C16" w14:textId="77777777" w:rsidR="00195688" w:rsidRPr="0071041F" w:rsidRDefault="00195688" w:rsidP="00195688">
            <w:pPr>
              <w:pStyle w:val="Prrafodelista"/>
              <w:widowControl w:val="0"/>
              <w:numPr>
                <w:ilvl w:val="0"/>
                <w:numId w:val="18"/>
              </w:numPr>
              <w:autoSpaceDE w:val="0"/>
              <w:autoSpaceDN w:val="0"/>
              <w:spacing w:line="276" w:lineRule="auto"/>
              <w:jc w:val="both"/>
              <w:rPr>
                <w:rFonts w:ascii="Verdana" w:hAnsi="Verdana" w:cs="Arial"/>
              </w:rPr>
            </w:pPr>
            <w:r w:rsidRPr="0071041F">
              <w:rPr>
                <w:rFonts w:ascii="Verdana" w:hAnsi="Verdana" w:cs="Arial"/>
              </w:rPr>
              <w:t xml:space="preserve">Decreto 1082 de 2015. Artículo </w:t>
            </w:r>
            <w:r w:rsidRPr="0071041F">
              <w:rPr>
                <w:rFonts w:ascii="Verdana" w:eastAsia="Arial" w:hAnsi="Verdana" w:cs="Arial"/>
                <w:bCs/>
              </w:rPr>
              <w:t>2.2.1.2.1.4.9.</w:t>
            </w:r>
          </w:p>
          <w:p w14:paraId="2ACA4BF4" w14:textId="77777777" w:rsidR="00195688" w:rsidRPr="0071041F" w:rsidRDefault="00195688" w:rsidP="00195688">
            <w:pPr>
              <w:pStyle w:val="Prrafodelista"/>
              <w:widowControl w:val="0"/>
              <w:numPr>
                <w:ilvl w:val="0"/>
                <w:numId w:val="18"/>
              </w:numPr>
              <w:autoSpaceDE w:val="0"/>
              <w:autoSpaceDN w:val="0"/>
              <w:spacing w:line="276" w:lineRule="auto"/>
              <w:jc w:val="both"/>
              <w:rPr>
                <w:rFonts w:ascii="Verdana" w:hAnsi="Verdana" w:cs="Arial"/>
              </w:rPr>
            </w:pPr>
            <w:r w:rsidRPr="0071041F">
              <w:rPr>
                <w:rFonts w:ascii="Verdana" w:hAnsi="Verdana"/>
                <w:color w:val="000000" w:themeColor="text1"/>
              </w:rPr>
              <w:t>Consejo De Estado. Sala de Consulta y Servicio Civil. Concepto del 5 de septiembre de 2018. Rad. 2.386. C.P. Edgar González López.</w:t>
            </w:r>
          </w:p>
          <w:p w14:paraId="2DD09FD1" w14:textId="77777777" w:rsidR="00195688" w:rsidRPr="00B57968" w:rsidRDefault="00195688" w:rsidP="005B6D11">
            <w:pPr>
              <w:widowControl w:val="0"/>
              <w:numPr>
                <w:ilvl w:val="0"/>
                <w:numId w:val="16"/>
              </w:numPr>
              <w:autoSpaceDE w:val="0"/>
              <w:autoSpaceDN w:val="0"/>
              <w:spacing w:line="276" w:lineRule="auto"/>
              <w:jc w:val="both"/>
              <w:rPr>
                <w:rFonts w:ascii="Verdana" w:eastAsia="Arial MT" w:hAnsi="Verdana" w:cs="Arial"/>
                <w:bCs/>
                <w:color w:val="EE0000"/>
                <w:lang w:eastAsia="es-ES" w:bidi="es-ES"/>
              </w:rPr>
            </w:pPr>
            <w:r w:rsidRPr="0071041F">
              <w:rPr>
                <w:rFonts w:ascii="Verdana" w:hAnsi="Verdana"/>
                <w:color w:val="000000" w:themeColor="text1"/>
              </w:rPr>
              <w:t>Consejo De Estado. Sección tercera. Sentencia del 16 de julio de 2021. Rad. 61.463. C.P. José Roberto Sáchica Méndez.</w:t>
            </w:r>
          </w:p>
        </w:tc>
      </w:tr>
    </w:tbl>
    <w:p w14:paraId="2413118E" w14:textId="77777777" w:rsidR="00195688" w:rsidRPr="00B57968" w:rsidRDefault="00195688" w:rsidP="00195688">
      <w:pPr>
        <w:widowControl w:val="0"/>
        <w:autoSpaceDE w:val="0"/>
        <w:autoSpaceDN w:val="0"/>
        <w:spacing w:after="0" w:line="276" w:lineRule="auto"/>
        <w:jc w:val="both"/>
        <w:rPr>
          <w:rFonts w:ascii="Verdana" w:hAnsi="Verdana" w:cs="Arial"/>
          <w:color w:val="EE0000"/>
          <w:lang w:val="es-ES"/>
        </w:rPr>
      </w:pPr>
    </w:p>
    <w:p w14:paraId="0A9538D9" w14:textId="77777777" w:rsidR="00195688" w:rsidRPr="00E079C6" w:rsidRDefault="00195688" w:rsidP="00195688">
      <w:pPr>
        <w:tabs>
          <w:tab w:val="left" w:pos="142"/>
          <w:tab w:val="left" w:pos="284"/>
        </w:tabs>
        <w:spacing w:after="0" w:line="276" w:lineRule="auto"/>
        <w:jc w:val="both"/>
        <w:rPr>
          <w:rFonts w:ascii="Verdana" w:eastAsia="Century Gothic" w:hAnsi="Verdana" w:cs="Century Gothic"/>
          <w:b/>
          <w:lang w:val="es-ES"/>
        </w:rPr>
      </w:pPr>
      <w:r w:rsidRPr="00E079C6">
        <w:rPr>
          <w:rFonts w:ascii="Verdana" w:eastAsia="Century Gothic" w:hAnsi="Verdana" w:cs="Century Gothic"/>
          <w:b/>
          <w:lang w:val="es-ES"/>
        </w:rPr>
        <w:t>5. Doctrina de la Agencia Nacional de Contratación Pública:</w:t>
      </w:r>
    </w:p>
    <w:p w14:paraId="19B2A285" w14:textId="77777777" w:rsidR="00195688" w:rsidRPr="00E079C6" w:rsidRDefault="00195688" w:rsidP="00195688">
      <w:pPr>
        <w:widowControl w:val="0"/>
        <w:autoSpaceDE w:val="0"/>
        <w:autoSpaceDN w:val="0"/>
        <w:spacing w:after="0" w:line="276" w:lineRule="auto"/>
        <w:jc w:val="both"/>
        <w:rPr>
          <w:rFonts w:ascii="Verdana" w:hAnsi="Verdana" w:cs="Arial"/>
          <w:lang w:val="es-ES"/>
        </w:rPr>
      </w:pPr>
    </w:p>
    <w:p w14:paraId="751178F1" w14:textId="77777777" w:rsidR="00195688" w:rsidRPr="00201904" w:rsidRDefault="00195688" w:rsidP="00195688">
      <w:pPr>
        <w:spacing w:after="0" w:line="276" w:lineRule="auto"/>
        <w:jc w:val="both"/>
        <w:rPr>
          <w:rFonts w:ascii="Verdana" w:hAnsi="Verdana" w:cs="Arial"/>
          <w:bCs/>
          <w:shd w:val="clear" w:color="auto" w:fill="FFFFFF"/>
          <w:lang w:val="es-ES"/>
        </w:rPr>
      </w:pPr>
      <w:r w:rsidRPr="00201904">
        <w:rPr>
          <w:rFonts w:ascii="Verdana" w:eastAsia="Calibri" w:hAnsi="Verdana" w:cs="Arial"/>
          <w:lang w:val="es-ES"/>
        </w:rPr>
        <w:t xml:space="preserve">La Agencia Nacional de Contratación Pública – Colombia Compra Eficiente se ha referido </w:t>
      </w:r>
      <w:r w:rsidRPr="00201904">
        <w:rPr>
          <w:rFonts w:ascii="Verdana" w:hAnsi="Verdana" w:cs="Arial"/>
          <w:shd w:val="clear" w:color="auto" w:fill="FFFFFF"/>
          <w:lang w:val="es-ES"/>
        </w:rPr>
        <w:t>sobre el contrato de operación logística en los conceptos</w:t>
      </w:r>
      <w:r w:rsidRPr="00201904">
        <w:rPr>
          <w:rFonts w:ascii="Verdana" w:hAnsi="Verdana" w:cs="Arial"/>
          <w:bCs/>
          <w:shd w:val="clear" w:color="auto" w:fill="FFFFFF"/>
          <w:lang w:val="es-ES_tradnl"/>
        </w:rPr>
        <w:t xml:space="preserve"> C-249 del </w:t>
      </w:r>
      <w:r w:rsidRPr="00201904">
        <w:rPr>
          <w:rFonts w:ascii="Verdana" w:hAnsi="Verdana" w:cs="Arial"/>
          <w:bCs/>
          <w:shd w:val="clear" w:color="auto" w:fill="FFFFFF"/>
        </w:rPr>
        <w:t>26 de agosto de 2024</w:t>
      </w:r>
      <w:r w:rsidRPr="00201904">
        <w:rPr>
          <w:rFonts w:ascii="Verdana" w:hAnsi="Verdana" w:cs="Arial"/>
          <w:bCs/>
          <w:shd w:val="clear" w:color="auto" w:fill="FFFFFF"/>
          <w:lang w:val="es-ES_tradnl"/>
        </w:rPr>
        <w:t>,</w:t>
      </w:r>
      <w:r w:rsidRPr="00201904">
        <w:rPr>
          <w:rFonts w:ascii="Verdana" w:eastAsia="Calibri" w:hAnsi="Verdana" w:cs="Arial"/>
          <w:lang w:val="es-ES" w:eastAsia="es-ES"/>
        </w:rPr>
        <w:t xml:space="preserve"> C-803 del 19 de noviembre de 2024,</w:t>
      </w:r>
      <w:r w:rsidRPr="00201904">
        <w:rPr>
          <w:rFonts w:ascii="Verdana" w:hAnsi="Verdana" w:cs="Arial"/>
          <w:bCs/>
          <w:shd w:val="clear" w:color="auto" w:fill="FFFFFF"/>
          <w:lang w:val="es-ES_tradnl"/>
        </w:rPr>
        <w:t xml:space="preserve"> C-806 del 19 de noviembre de 2024, C-070 del </w:t>
      </w:r>
      <w:r w:rsidRPr="00201904">
        <w:rPr>
          <w:rFonts w:ascii="Verdana" w:hAnsi="Verdana" w:cs="Arial"/>
          <w:bCs/>
          <w:shd w:val="clear" w:color="auto" w:fill="FFFFFF"/>
        </w:rPr>
        <w:t xml:space="preserve">26 de febrero de 2025, C-260 del 04 de abril de 2025 y 2025 </w:t>
      </w:r>
      <w:r w:rsidRPr="00201904">
        <w:rPr>
          <w:rFonts w:ascii="Verdana" w:hAnsi="Verdana" w:cs="Arial"/>
          <w:bCs/>
          <w:shd w:val="clear" w:color="auto" w:fill="FFFFFF"/>
          <w:lang w:val="es-ES_tradnl"/>
        </w:rPr>
        <w:t>C-855 del 17 de diciembre de 2025, entre otros.</w:t>
      </w:r>
    </w:p>
    <w:p w14:paraId="3A59B155" w14:textId="77777777" w:rsidR="00195688" w:rsidRPr="008D0DFC" w:rsidRDefault="00195688" w:rsidP="00195688">
      <w:pPr>
        <w:spacing w:after="0" w:line="276" w:lineRule="auto"/>
        <w:jc w:val="both"/>
        <w:rPr>
          <w:rStyle w:val="normaltextrun"/>
          <w:rFonts w:ascii="Verdana" w:hAnsi="Verdana" w:cs="Arial"/>
          <w:color w:val="7030A0"/>
          <w:shd w:val="clear" w:color="auto" w:fill="FFFFFF"/>
          <w:lang w:val="es-ES"/>
        </w:rPr>
      </w:pPr>
    </w:p>
    <w:p w14:paraId="1DF4E66B" w14:textId="77777777" w:rsidR="00195688" w:rsidRPr="0076466E" w:rsidRDefault="00195688" w:rsidP="00195688">
      <w:pPr>
        <w:spacing w:after="0" w:line="276" w:lineRule="auto"/>
        <w:jc w:val="both"/>
        <w:rPr>
          <w:rFonts w:ascii="Verdana" w:hAnsi="Verdana"/>
          <w:color w:val="EE0000"/>
        </w:rPr>
      </w:pPr>
      <w:r w:rsidRPr="00FD551E">
        <w:rPr>
          <w:rFonts w:ascii="Verdana" w:hAnsi="Verdana" w:cs="Arial"/>
          <w:shd w:val="clear" w:color="auto" w:fill="FFFFFF"/>
          <w:lang w:val="es-ES"/>
        </w:rPr>
        <w:t>Estos</w:t>
      </w:r>
      <w:r w:rsidRPr="00FD551E">
        <w:rPr>
          <w:rFonts w:ascii="Verdana" w:hAnsi="Verdana"/>
          <w:lang w:val="es-ES"/>
        </w:rPr>
        <w:t xml:space="preserve"> y otros se encuentran disponibles para consulta en el Sistema de relatoría de la Agencia, al cual se puede acceder a través del siguiente enlace:</w:t>
      </w:r>
      <w:r w:rsidRPr="00FD551E">
        <w:rPr>
          <w:rFonts w:ascii="Verdana" w:hAnsi="Verdana" w:cs="Arial"/>
          <w:shd w:val="clear" w:color="auto" w:fill="FFFFFF"/>
          <w:lang w:val="es-ES"/>
        </w:rPr>
        <w:t xml:space="preserve"> </w:t>
      </w:r>
      <w:hyperlink r:id="rId12" w:history="1">
        <w:r w:rsidRPr="00FD551E">
          <w:rPr>
            <w:rStyle w:val="Hipervnculo"/>
            <w:rFonts w:ascii="Verdana" w:hAnsi="Verdana" w:cs="Arial"/>
            <w:shd w:val="clear" w:color="auto" w:fill="FFFFFF"/>
            <w:lang w:val="es-ES"/>
          </w:rPr>
          <w:t>https://relatoria.colombiacompra.gov.co/busqueda/conceptos</w:t>
        </w:r>
      </w:hyperlink>
    </w:p>
    <w:p w14:paraId="573856DC" w14:textId="77777777" w:rsidR="00195688" w:rsidRPr="0076466E" w:rsidRDefault="00195688" w:rsidP="00195688">
      <w:pPr>
        <w:spacing w:after="0" w:line="276" w:lineRule="auto"/>
        <w:jc w:val="both"/>
        <w:rPr>
          <w:rStyle w:val="normaltextrun"/>
          <w:rFonts w:ascii="Verdana" w:hAnsi="Verdana" w:cs="Arial"/>
          <w:color w:val="EE0000"/>
          <w:shd w:val="clear" w:color="auto" w:fill="FFFFFF"/>
        </w:rPr>
      </w:pPr>
    </w:p>
    <w:p w14:paraId="27691469" w14:textId="77777777" w:rsidR="00195688" w:rsidRPr="0076466E" w:rsidRDefault="00195688" w:rsidP="00195688">
      <w:pPr>
        <w:spacing w:after="0" w:line="276" w:lineRule="auto"/>
        <w:jc w:val="both"/>
        <w:rPr>
          <w:rFonts w:ascii="Verdana" w:hAnsi="Verdana"/>
          <w:color w:val="EE0000"/>
        </w:rPr>
      </w:pPr>
      <w:r w:rsidRPr="00FD551E">
        <w:rPr>
          <w:rFonts w:ascii="Verdana" w:hAnsi="Verdana"/>
        </w:rPr>
        <w:t xml:space="preserve">La sostenibilidad no es una opción, es una obligación. Por ello, la Agencia Nacional de Contratación Pública –Colombia Compra Eficiente– te invita a realizar el </w:t>
      </w:r>
      <w:r w:rsidRPr="00FD551E">
        <w:rPr>
          <w:rFonts w:ascii="Verdana" w:hAnsi="Verdana"/>
          <w:b/>
          <w:bCs/>
        </w:rPr>
        <w:t>Curso de Contratación Pública Sostenible y Socialmente Responsable</w:t>
      </w:r>
      <w:r w:rsidRPr="00FD551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6466E">
        <w:rPr>
          <w:rFonts w:ascii="Verdana" w:hAnsi="Verdana"/>
          <w:color w:val="EE0000"/>
        </w:rPr>
        <w:br/>
      </w:r>
      <w:hyperlink r:id="rId13" w:tgtFrame="_new" w:history="1">
        <w:r w:rsidRPr="00FD551E">
          <w:rPr>
            <w:rStyle w:val="Hipervnculo"/>
            <w:rFonts w:ascii="Verdana" w:hAnsi="Verdana"/>
          </w:rPr>
          <w:t>https://formacionvirtual.colombiacompra.gov.co/mod/page/view.php?id=3718</w:t>
        </w:r>
      </w:hyperlink>
    </w:p>
    <w:p w14:paraId="0540B57F" w14:textId="77777777" w:rsidR="00195688" w:rsidRPr="0076466E" w:rsidRDefault="00195688" w:rsidP="00195688">
      <w:pPr>
        <w:spacing w:after="0" w:line="276" w:lineRule="auto"/>
        <w:jc w:val="both"/>
        <w:rPr>
          <w:rFonts w:ascii="Verdana" w:hAnsi="Verdana"/>
          <w:color w:val="EE0000"/>
        </w:rPr>
      </w:pPr>
    </w:p>
    <w:p w14:paraId="1E7F8934" w14:textId="77777777" w:rsidR="00195688" w:rsidRPr="0076466E" w:rsidRDefault="00195688" w:rsidP="00195688">
      <w:pPr>
        <w:spacing w:after="0" w:line="276" w:lineRule="auto"/>
        <w:jc w:val="both"/>
        <w:rPr>
          <w:rFonts w:ascii="Verdana" w:hAnsi="Verdana"/>
          <w:color w:val="EE0000"/>
        </w:rPr>
      </w:pPr>
      <w:r w:rsidRPr="00FD551E">
        <w:rPr>
          <w:rFonts w:ascii="Verdana" w:hAnsi="Verdana"/>
        </w:rPr>
        <w:t xml:space="preserve">De otro lado, te contamos que esta Agencia ha da un paso decisivo en la estandarización y modernización del </w:t>
      </w:r>
      <w:r w:rsidRPr="00FD551E">
        <w:rPr>
          <w:rFonts w:ascii="Verdana" w:hAnsi="Verdana"/>
          <w:b/>
          <w:bCs/>
        </w:rPr>
        <w:t>sector  social</w:t>
      </w:r>
      <w:r w:rsidRPr="00FD551E">
        <w:rPr>
          <w:rFonts w:ascii="Verdana" w:hAnsi="Verdana"/>
        </w:rPr>
        <w:t xml:space="preserve"> con la expedición de las </w:t>
      </w:r>
      <w:r w:rsidRPr="00FD551E">
        <w:rPr>
          <w:rFonts w:ascii="Verdana" w:hAnsi="Verdana"/>
          <w:b/>
          <w:bCs/>
        </w:rPr>
        <w:t>Resoluciones 539, 540, 541, 952 y 953 de 2025</w:t>
      </w:r>
      <w:r w:rsidRPr="00FD551E">
        <w:rPr>
          <w:rFonts w:ascii="Verdana" w:hAnsi="Verdana"/>
        </w:rPr>
        <w:t xml:space="preserve">, </w:t>
      </w:r>
      <w:r w:rsidRPr="00FD551E">
        <w:rPr>
          <w:rFonts w:ascii="Verdana" w:hAnsi="Verdana"/>
          <w:b/>
          <w:bCs/>
        </w:rPr>
        <w:t>mediante las cuales adoptó Documentos Tipo</w:t>
      </w:r>
      <w:r w:rsidRPr="00FD551E">
        <w:rPr>
          <w:rFonts w:ascii="Verdana" w:hAnsi="Verdana"/>
        </w:rPr>
        <w:t xml:space="preserve"> para las modalidades de selección de</w:t>
      </w:r>
      <w:r w:rsidRPr="00FD551E">
        <w:rPr>
          <w:rFonts w:ascii="Verdana" w:hAnsi="Verdana"/>
          <w:b/>
          <w:bCs/>
        </w:rPr>
        <w:t xml:space="preserve"> licitación </w:t>
      </w:r>
      <w:r w:rsidRPr="00FD551E">
        <w:rPr>
          <w:rFonts w:ascii="Verdana" w:hAnsi="Verdana"/>
          <w:b/>
          <w:bCs/>
        </w:rPr>
        <w:lastRenderedPageBreak/>
        <w:t>pública (versión 2), selección abreviada de menor cuantía, mínima cuantía, consultoría e interventoría</w:t>
      </w:r>
      <w:r w:rsidRPr="00FD551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D551E">
          <w:rPr>
            <w:rStyle w:val="Hipervnculo"/>
            <w:rFonts w:ascii="Verdana" w:hAnsi="Verdana"/>
          </w:rPr>
          <w:t>https://www.colombiacompra.gov.co/normativa-y-relatoria/documentos-tipo</w:t>
        </w:r>
      </w:hyperlink>
    </w:p>
    <w:p w14:paraId="1DBF4EFC" w14:textId="77777777" w:rsidR="00195688" w:rsidRPr="0076466E" w:rsidRDefault="00195688" w:rsidP="00195688">
      <w:pPr>
        <w:spacing w:after="0" w:line="276" w:lineRule="auto"/>
        <w:jc w:val="both"/>
        <w:rPr>
          <w:rFonts w:ascii="Verdana" w:hAnsi="Verdana"/>
          <w:color w:val="EE0000"/>
        </w:rPr>
      </w:pPr>
    </w:p>
    <w:p w14:paraId="4F45CAC6" w14:textId="77777777" w:rsidR="00195688" w:rsidRPr="0076466E" w:rsidRDefault="00195688" w:rsidP="00195688">
      <w:pPr>
        <w:spacing w:after="0" w:line="276" w:lineRule="auto"/>
        <w:jc w:val="both"/>
        <w:rPr>
          <w:rFonts w:ascii="Verdana" w:hAnsi="Verdana"/>
          <w:color w:val="EE0000"/>
        </w:rPr>
      </w:pPr>
      <w:r w:rsidRPr="00FD551E">
        <w:rPr>
          <w:rFonts w:ascii="Verdana" w:hAnsi="Verdana"/>
        </w:rPr>
        <w:t xml:space="preserve">Si quieres conocer más sobre la aplicación de Documentos Tipo puedes consultar la última versión de la </w:t>
      </w:r>
      <w:r w:rsidRPr="00FD551E">
        <w:rPr>
          <w:rFonts w:ascii="Verdana" w:hAnsi="Verdana"/>
          <w:b/>
          <w:bCs/>
        </w:rPr>
        <w:t>Guía para la comprensión e implementación de los Documentos Tipo de obra pública de infraestructura de transporte</w:t>
      </w:r>
      <w:r w:rsidRPr="00FD551E">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6466E">
        <w:rPr>
          <w:rFonts w:ascii="Verdana" w:hAnsi="Verdana"/>
          <w:color w:val="EE0000"/>
        </w:rPr>
        <w:br/>
      </w:r>
      <w:hyperlink r:id="rId15" w:tgtFrame="_new" w:history="1">
        <w:r w:rsidRPr="00FD551E">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380F4BB" w14:textId="77777777" w:rsidR="00195688" w:rsidRPr="0076466E" w:rsidRDefault="00195688" w:rsidP="00195688">
      <w:pPr>
        <w:spacing w:after="0" w:line="276" w:lineRule="auto"/>
        <w:jc w:val="both"/>
        <w:rPr>
          <w:rFonts w:ascii="Verdana" w:hAnsi="Verdana" w:cs="Arial"/>
          <w:color w:val="EE0000"/>
          <w:shd w:val="clear" w:color="auto" w:fill="FFFFFF"/>
        </w:rPr>
      </w:pPr>
    </w:p>
    <w:p w14:paraId="45398BDD" w14:textId="77777777" w:rsidR="00195688" w:rsidRPr="00116940" w:rsidRDefault="00195688" w:rsidP="0019568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BB786A2" w14:textId="77777777" w:rsidR="00195688" w:rsidRPr="00116940" w:rsidRDefault="00195688" w:rsidP="00195688">
      <w:pPr>
        <w:spacing w:after="0"/>
        <w:jc w:val="both"/>
        <w:rPr>
          <w:rFonts w:ascii="Verdana" w:hAnsi="Verdana"/>
        </w:rPr>
      </w:pPr>
    </w:p>
    <w:p w14:paraId="5AB4DD86" w14:textId="77777777" w:rsidR="00195688" w:rsidRPr="00116940" w:rsidRDefault="00195688" w:rsidP="0019568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7A3545D" w14:textId="77777777" w:rsidR="00195688" w:rsidRPr="00116940" w:rsidRDefault="00195688" w:rsidP="0019568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FE86932" w14:textId="77777777" w:rsidR="00195688" w:rsidRPr="00116940" w:rsidRDefault="00195688" w:rsidP="0019568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12189535" w14:textId="77777777" w:rsidR="00195688" w:rsidRPr="00116940" w:rsidRDefault="00195688" w:rsidP="0019568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5420D769" w14:textId="77777777" w:rsidR="00195688" w:rsidRPr="00116940" w:rsidRDefault="00195688" w:rsidP="00195688">
      <w:pPr>
        <w:spacing w:after="0" w:line="240" w:lineRule="auto"/>
        <w:ind w:left="720"/>
        <w:jc w:val="both"/>
        <w:rPr>
          <w:rFonts w:ascii="Verdana" w:hAnsi="Verdana"/>
        </w:rPr>
      </w:pPr>
    </w:p>
    <w:p w14:paraId="0AF4CA17" w14:textId="77777777" w:rsidR="00195688" w:rsidRPr="00116940" w:rsidRDefault="00195688" w:rsidP="00195688">
      <w:pPr>
        <w:spacing w:after="0" w:line="240" w:lineRule="auto"/>
        <w:jc w:val="both"/>
        <w:rPr>
          <w:rFonts w:ascii="Verdana" w:hAnsi="Verdana"/>
        </w:rPr>
      </w:pPr>
      <w:r w:rsidRPr="00116940">
        <w:rPr>
          <w:rFonts w:ascii="Verdana" w:hAnsi="Verdana"/>
        </w:rPr>
        <w:lastRenderedPageBreak/>
        <w:t>Evalúa el servicio que ofrece la Agencia por el canal de atención de PQRSD en el siguiente enlace:</w:t>
      </w:r>
      <w:r>
        <w:rPr>
          <w:rFonts w:ascii="Verdana" w:hAnsi="Verdana"/>
        </w:rPr>
        <w:t xml:space="preserve"> </w:t>
      </w:r>
      <w:hyperlink r:id="rId18" w:history="1">
        <w:r w:rsidRPr="00FB4AC0">
          <w:rPr>
            <w:rStyle w:val="Hipervnculo"/>
            <w:rFonts w:ascii="Verdana" w:hAnsi="Verdana"/>
          </w:rPr>
          <w:t>https://forms.office.com/r/pPHyWVs2SZ</w:t>
        </w:r>
      </w:hyperlink>
      <w:r w:rsidRPr="00116940">
        <w:rPr>
          <w:rFonts w:ascii="Verdana" w:hAnsi="Verdana"/>
        </w:rPr>
        <w:t xml:space="preserve"> .¡Ayúdanos a</w:t>
      </w:r>
      <w:r>
        <w:rPr>
          <w:rFonts w:ascii="Verdana" w:hAnsi="Verdana"/>
        </w:rPr>
        <w:t xml:space="preserve"> </w:t>
      </w:r>
      <w:r w:rsidRPr="00116940">
        <w:rPr>
          <w:rFonts w:ascii="Verdana" w:hAnsi="Verdana"/>
        </w:rPr>
        <w:t>mejorar porque el compromiso es de todos!</w:t>
      </w:r>
    </w:p>
    <w:p w14:paraId="6BF979E4" w14:textId="77777777" w:rsidR="00195688" w:rsidRPr="00116940" w:rsidRDefault="00195688" w:rsidP="00195688">
      <w:pPr>
        <w:spacing w:after="0" w:line="240" w:lineRule="auto"/>
        <w:rPr>
          <w:rFonts w:ascii="Verdana" w:hAnsi="Verdana"/>
        </w:rPr>
      </w:pPr>
    </w:p>
    <w:p w14:paraId="5CC6201B" w14:textId="77777777" w:rsidR="00195688" w:rsidRPr="00116940" w:rsidRDefault="00195688" w:rsidP="0019568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7CA8473" w14:textId="77777777" w:rsidR="00195688" w:rsidRPr="00116940" w:rsidRDefault="00195688" w:rsidP="00195688">
      <w:pPr>
        <w:spacing w:after="0" w:line="240" w:lineRule="auto"/>
        <w:jc w:val="both"/>
        <w:rPr>
          <w:rFonts w:ascii="Verdana" w:hAnsi="Verdana"/>
        </w:rPr>
      </w:pPr>
    </w:p>
    <w:p w14:paraId="6F48050B" w14:textId="77777777" w:rsidR="00195688" w:rsidRPr="00116940" w:rsidRDefault="00195688" w:rsidP="0019568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8F66BF6" w14:textId="77777777" w:rsidR="00195688" w:rsidRPr="00116940" w:rsidRDefault="00195688" w:rsidP="00195688">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609884AC" w14:textId="77777777" w:rsidR="00195688" w:rsidRPr="00116940" w:rsidRDefault="00195688" w:rsidP="0019568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6269F30" w14:textId="77777777" w:rsidR="00195688" w:rsidRPr="00CC060C" w:rsidRDefault="00195688" w:rsidP="00195688">
      <w:pPr>
        <w:widowControl w:val="0"/>
        <w:autoSpaceDE w:val="0"/>
        <w:autoSpaceDN w:val="0"/>
        <w:spacing w:after="0" w:line="276" w:lineRule="auto"/>
        <w:jc w:val="both"/>
        <w:rPr>
          <w:rFonts w:ascii="Verdana" w:hAnsi="Verdana" w:cs="Arial"/>
        </w:rPr>
      </w:pPr>
    </w:p>
    <w:p w14:paraId="22B5D313" w14:textId="77777777" w:rsidR="00195688" w:rsidRPr="00FD551E" w:rsidRDefault="00195688" w:rsidP="00195688">
      <w:pPr>
        <w:widowControl w:val="0"/>
        <w:autoSpaceDE w:val="0"/>
        <w:autoSpaceDN w:val="0"/>
        <w:spacing w:after="0" w:line="276" w:lineRule="auto"/>
        <w:jc w:val="both"/>
        <w:rPr>
          <w:rFonts w:ascii="Verdana" w:hAnsi="Verdana" w:cs="Arial"/>
          <w:lang w:val="es-ES"/>
        </w:rPr>
      </w:pPr>
      <w:r w:rsidRPr="00FD551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46F4330" w14:textId="77777777" w:rsidR="00195688" w:rsidRPr="00FD551E" w:rsidRDefault="00195688" w:rsidP="00195688">
      <w:pPr>
        <w:widowControl w:val="0"/>
        <w:autoSpaceDE w:val="0"/>
        <w:autoSpaceDN w:val="0"/>
        <w:spacing w:after="0" w:line="276" w:lineRule="auto"/>
        <w:jc w:val="both"/>
        <w:rPr>
          <w:rFonts w:ascii="Verdana" w:hAnsi="Verdana" w:cs="Arial"/>
          <w:lang w:val="es-ES"/>
        </w:rPr>
      </w:pPr>
    </w:p>
    <w:p w14:paraId="57FACABF" w14:textId="00009AC5" w:rsidR="00195688" w:rsidRPr="003C7CCA" w:rsidRDefault="00195688" w:rsidP="003C7CCA">
      <w:pPr>
        <w:spacing w:after="0" w:line="276" w:lineRule="auto"/>
        <w:rPr>
          <w:rFonts w:ascii="Verdana" w:hAnsi="Verdana" w:cs="Arial"/>
          <w:lang w:val="es-ES" w:eastAsia="es-CO"/>
        </w:rPr>
      </w:pPr>
      <w:r w:rsidRPr="00FD551E">
        <w:rPr>
          <w:rFonts w:ascii="Verdana" w:eastAsia="Times New Roman" w:hAnsi="Verdana" w:cs="Arial"/>
          <w:lang w:val="es-ES" w:eastAsia="es-CO"/>
        </w:rPr>
        <w:t>Atentamente,</w:t>
      </w:r>
      <w:r w:rsidRPr="00FD551E">
        <w:rPr>
          <w:rFonts w:ascii="Verdana" w:hAnsi="Verdana" w:cs="Arial"/>
          <w:lang w:val="es-ES" w:eastAsia="es-CO"/>
        </w:rPr>
        <w:t xml:space="preserve"> </w:t>
      </w:r>
    </w:p>
    <w:p w14:paraId="34008B5A" w14:textId="323E1F34" w:rsidR="00195688" w:rsidRDefault="003C7CCA" w:rsidP="003C7CCA">
      <w:pPr>
        <w:spacing w:after="0" w:line="276" w:lineRule="auto"/>
        <w:jc w:val="center"/>
        <w:rPr>
          <w:rFonts w:ascii="Verdana" w:hAnsi="Verdana"/>
          <w:noProof/>
          <w:color w:val="EE0000"/>
        </w:rPr>
      </w:pPr>
      <w:r w:rsidRPr="003C7CCA">
        <w:rPr>
          <w:rFonts w:ascii="Verdana" w:hAnsi="Verdana"/>
          <w:noProof/>
          <w:color w:val="EE0000"/>
        </w:rPr>
        <w:drawing>
          <wp:inline distT="0" distB="0" distL="0" distR="0" wp14:anchorId="56B1372A" wp14:editId="64AE7BED">
            <wp:extent cx="2800350" cy="1122162"/>
            <wp:effectExtent l="0" t="0" r="0" b="1905"/>
            <wp:docPr id="15823699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369957" name=""/>
                    <pic:cNvPicPr/>
                  </pic:nvPicPr>
                  <pic:blipFill>
                    <a:blip r:embed="rId19"/>
                    <a:stretch>
                      <a:fillRect/>
                    </a:stretch>
                  </pic:blipFill>
                  <pic:spPr>
                    <a:xfrm>
                      <a:off x="0" y="0"/>
                      <a:ext cx="2801997" cy="1122822"/>
                    </a:xfrm>
                    <a:prstGeom prst="rect">
                      <a:avLst/>
                    </a:prstGeom>
                  </pic:spPr>
                </pic:pic>
              </a:graphicData>
            </a:graphic>
          </wp:inline>
        </w:drawing>
      </w:r>
    </w:p>
    <w:p w14:paraId="4E694D52" w14:textId="77777777" w:rsidR="003C7CCA" w:rsidRPr="003C7CCA" w:rsidRDefault="003C7CCA" w:rsidP="003C7CCA">
      <w:pPr>
        <w:spacing w:after="0" w:line="276" w:lineRule="auto"/>
        <w:jc w:val="center"/>
        <w:rPr>
          <w:rFonts w:ascii="Verdana" w:hAnsi="Verdana"/>
          <w:noProof/>
          <w:color w:val="EE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95688" w:rsidRPr="0076466E" w14:paraId="4499B829" w14:textId="77777777" w:rsidTr="005B6D11">
        <w:trPr>
          <w:trHeight w:val="315"/>
        </w:trPr>
        <w:tc>
          <w:tcPr>
            <w:tcW w:w="893" w:type="dxa"/>
            <w:vAlign w:val="center"/>
            <w:hideMark/>
          </w:tcPr>
          <w:p w14:paraId="13EECCFF" w14:textId="77777777" w:rsidR="00195688" w:rsidRPr="00FD551E" w:rsidRDefault="00195688" w:rsidP="005B6D11">
            <w:pPr>
              <w:contextualSpacing/>
              <w:rPr>
                <w:rFonts w:ascii="Verdana" w:hAnsi="Verdana" w:cs="Arial"/>
                <w:sz w:val="16"/>
                <w:szCs w:val="16"/>
                <w:lang w:val="es-ES" w:eastAsia="es-ES"/>
              </w:rPr>
            </w:pPr>
            <w:r w:rsidRPr="00FD551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B3B092F" w14:textId="77777777" w:rsidR="00195688" w:rsidRPr="00FD551E" w:rsidRDefault="00195688" w:rsidP="005B6D11">
            <w:pPr>
              <w:rPr>
                <w:rFonts w:ascii="Verdana" w:eastAsia="Times New Roman" w:hAnsi="Verdana" w:cs="Arial"/>
                <w:sz w:val="16"/>
                <w:szCs w:val="16"/>
                <w:lang w:eastAsia="es-ES"/>
              </w:rPr>
            </w:pPr>
            <w:r w:rsidRPr="00FD551E">
              <w:rPr>
                <w:rFonts w:ascii="Verdana" w:eastAsia="Times New Roman" w:hAnsi="Verdana" w:cs="Arial"/>
                <w:sz w:val="16"/>
                <w:szCs w:val="16"/>
                <w:lang w:eastAsia="es-ES"/>
              </w:rPr>
              <w:t>Camila Alejandra Naranjo Gómez</w:t>
            </w:r>
          </w:p>
          <w:p w14:paraId="32DC32E8" w14:textId="77777777" w:rsidR="00195688" w:rsidRPr="00FD551E" w:rsidRDefault="00195688" w:rsidP="005B6D11">
            <w:pPr>
              <w:contextualSpacing/>
              <w:rPr>
                <w:rFonts w:ascii="Verdana" w:eastAsia="Arial" w:hAnsi="Verdana" w:cs="Arial"/>
                <w:sz w:val="16"/>
                <w:szCs w:val="16"/>
                <w:lang w:val="es-ES"/>
              </w:rPr>
            </w:pPr>
            <w:r w:rsidRPr="00FD551E">
              <w:rPr>
                <w:rFonts w:ascii="Verdana" w:eastAsia="Times New Roman" w:hAnsi="Verdana" w:cs="Arial"/>
                <w:sz w:val="16"/>
                <w:szCs w:val="16"/>
                <w:lang w:eastAsia="es-ES"/>
              </w:rPr>
              <w:t>Analista T2-02 de la Subdirección de Gestión Contractual</w:t>
            </w:r>
          </w:p>
        </w:tc>
      </w:tr>
      <w:tr w:rsidR="00195688" w:rsidRPr="0076466E" w14:paraId="78F1F768" w14:textId="77777777" w:rsidTr="005B6D11">
        <w:trPr>
          <w:trHeight w:val="330"/>
        </w:trPr>
        <w:tc>
          <w:tcPr>
            <w:tcW w:w="893" w:type="dxa"/>
            <w:vAlign w:val="center"/>
            <w:hideMark/>
          </w:tcPr>
          <w:p w14:paraId="583ADA7B" w14:textId="77777777" w:rsidR="00195688" w:rsidRPr="00FD551E" w:rsidRDefault="00195688" w:rsidP="005B6D11">
            <w:pPr>
              <w:contextualSpacing/>
              <w:rPr>
                <w:rFonts w:ascii="Verdana" w:hAnsi="Verdana" w:cs="Arial"/>
                <w:sz w:val="16"/>
                <w:szCs w:val="16"/>
                <w:lang w:val="es-ES" w:eastAsia="es-ES"/>
              </w:rPr>
            </w:pPr>
            <w:r w:rsidRPr="00FD551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DC7580" w14:textId="77777777" w:rsidR="00195688" w:rsidRPr="00FD551E" w:rsidRDefault="00195688" w:rsidP="005B6D11">
            <w:pPr>
              <w:rPr>
                <w:rFonts w:ascii="Verdana" w:eastAsia="Times New Roman" w:hAnsi="Verdana" w:cs="Arial"/>
                <w:sz w:val="16"/>
                <w:szCs w:val="16"/>
                <w:lang w:eastAsia="es-ES"/>
              </w:rPr>
            </w:pPr>
            <w:r>
              <w:rPr>
                <w:rFonts w:ascii="Verdana" w:eastAsia="Times New Roman" w:hAnsi="Verdana" w:cs="Arial"/>
                <w:sz w:val="16"/>
                <w:szCs w:val="16"/>
                <w:lang w:eastAsia="es-ES"/>
              </w:rPr>
              <w:t>Juan David Cárdenas Cabeza</w:t>
            </w:r>
          </w:p>
          <w:p w14:paraId="7894A103" w14:textId="77777777" w:rsidR="00195688" w:rsidRPr="00FD551E" w:rsidRDefault="00195688" w:rsidP="005B6D11">
            <w:pPr>
              <w:pStyle w:val="paragraph"/>
              <w:spacing w:before="0" w:beforeAutospacing="0" w:after="0" w:afterAutospacing="0"/>
              <w:contextualSpacing/>
              <w:textAlignment w:val="baseline"/>
              <w:rPr>
                <w:rFonts w:ascii="Verdana" w:hAnsi="Verdana" w:cs="Segoe UI"/>
                <w:sz w:val="16"/>
                <w:szCs w:val="16"/>
                <w:lang w:val="es-ES"/>
              </w:rPr>
            </w:pPr>
            <w:r w:rsidRPr="00FD551E">
              <w:rPr>
                <w:rFonts w:ascii="Verdana" w:hAnsi="Verdana" w:cs="Arial"/>
                <w:sz w:val="16"/>
                <w:szCs w:val="16"/>
                <w:lang w:eastAsia="es-ES"/>
              </w:rPr>
              <w:t>Contratista de la Subdirección de Gestión Contractual</w:t>
            </w:r>
          </w:p>
        </w:tc>
      </w:tr>
      <w:tr w:rsidR="00195688" w:rsidRPr="0076466E" w14:paraId="56F97F26" w14:textId="77777777" w:rsidTr="005B6D11">
        <w:trPr>
          <w:trHeight w:val="300"/>
        </w:trPr>
        <w:tc>
          <w:tcPr>
            <w:tcW w:w="893" w:type="dxa"/>
            <w:vAlign w:val="center"/>
          </w:tcPr>
          <w:p w14:paraId="75AD52C7" w14:textId="77777777" w:rsidR="00195688" w:rsidRPr="00FD551E" w:rsidRDefault="00195688" w:rsidP="005B6D11">
            <w:pPr>
              <w:contextualSpacing/>
              <w:rPr>
                <w:rFonts w:ascii="Verdana" w:hAnsi="Verdana" w:cs="Arial"/>
                <w:sz w:val="16"/>
                <w:szCs w:val="16"/>
                <w:lang w:val="es-ES" w:eastAsia="es-ES"/>
              </w:rPr>
            </w:pPr>
            <w:r w:rsidRPr="00FD551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4DA231" w14:textId="77777777" w:rsidR="00195688" w:rsidRPr="00FD551E" w:rsidRDefault="00195688" w:rsidP="005B6D11">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Carolina Quintero Gacharná</w:t>
            </w:r>
          </w:p>
          <w:p w14:paraId="5E53FC0E" w14:textId="77777777" w:rsidR="00195688" w:rsidRPr="00FD551E" w:rsidRDefault="00195688" w:rsidP="005B6D11">
            <w:pPr>
              <w:contextualSpacing/>
              <w:rPr>
                <w:rFonts w:ascii="Verdana" w:eastAsia="Calibri" w:hAnsi="Verdana" w:cs="Arial"/>
                <w:sz w:val="16"/>
                <w:szCs w:val="16"/>
                <w:lang w:val="es-ES" w:eastAsia="es-ES"/>
              </w:rPr>
            </w:pPr>
            <w:r w:rsidRPr="00FD551E">
              <w:rPr>
                <w:rFonts w:ascii="Verdana" w:eastAsia="Calibri" w:hAnsi="Verdana" w:cs="Arial"/>
                <w:sz w:val="16"/>
                <w:szCs w:val="16"/>
                <w:lang w:val="es-ES" w:eastAsia="es-ES"/>
              </w:rPr>
              <w:t>Subdirectora de Gestión Contractual ANCP – CCE</w:t>
            </w:r>
          </w:p>
        </w:tc>
      </w:tr>
    </w:tbl>
    <w:p w14:paraId="3C8FBB62" w14:textId="77777777" w:rsidR="00195688" w:rsidRPr="0076466E" w:rsidRDefault="00195688" w:rsidP="00195688">
      <w:pPr>
        <w:spacing w:after="0" w:line="240" w:lineRule="auto"/>
        <w:jc w:val="both"/>
        <w:textAlignment w:val="baseline"/>
        <w:rPr>
          <w:rFonts w:ascii="Verdana" w:eastAsia="Verdana" w:hAnsi="Verdana" w:cs="Verdana"/>
          <w:color w:val="EE0000"/>
          <w:lang w:eastAsia="es-CO"/>
        </w:rPr>
      </w:pPr>
    </w:p>
    <w:p w14:paraId="71146BA0" w14:textId="1441A730" w:rsidR="00195688" w:rsidRPr="0084775B" w:rsidRDefault="00195688" w:rsidP="00195688">
      <w:pPr>
        <w:spacing w:after="0" w:line="240" w:lineRule="auto"/>
        <w:textAlignment w:val="baseline"/>
        <w:rPr>
          <w:rFonts w:ascii="Verdana" w:eastAsia="Verdana" w:hAnsi="Verdana" w:cs="Verdana"/>
          <w:color w:val="EE0000"/>
          <w:lang w:eastAsia="es-CO"/>
        </w:rPr>
      </w:pPr>
      <w:r w:rsidRPr="0076466E">
        <w:rPr>
          <w:rFonts w:ascii="Verdana" w:eastAsia="Verdana" w:hAnsi="Verdana" w:cs="Verdana"/>
          <w:color w:val="EE0000"/>
          <w:lang w:eastAsia="es-CO"/>
        </w:rPr>
        <w:t> </w:t>
      </w:r>
      <w:bookmarkEnd w:id="0"/>
    </w:p>
    <w:p w14:paraId="0F293BF4" w14:textId="35BFEB8C" w:rsidR="00127233" w:rsidRPr="00195688" w:rsidRDefault="00127233" w:rsidP="00195688"/>
    <w:sectPr w:rsidR="00127233" w:rsidRPr="0019568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FFF82" w14:textId="77777777" w:rsidR="00A57D01" w:rsidRDefault="00A57D01" w:rsidP="004A1847">
      <w:pPr>
        <w:spacing w:after="0" w:line="240" w:lineRule="auto"/>
      </w:pPr>
      <w:r>
        <w:separator/>
      </w:r>
    </w:p>
  </w:endnote>
  <w:endnote w:type="continuationSeparator" w:id="0">
    <w:p w14:paraId="07E59C13" w14:textId="77777777" w:rsidR="00A57D01" w:rsidRDefault="00A57D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7E3F7" w14:textId="77777777" w:rsidR="00A57D01" w:rsidRDefault="00A57D01" w:rsidP="004A1847">
      <w:pPr>
        <w:spacing w:after="0" w:line="240" w:lineRule="auto"/>
      </w:pPr>
      <w:r>
        <w:separator/>
      </w:r>
    </w:p>
  </w:footnote>
  <w:footnote w:type="continuationSeparator" w:id="0">
    <w:p w14:paraId="6EEE2E6E" w14:textId="77777777" w:rsidR="00A57D01" w:rsidRDefault="00A57D01" w:rsidP="004A1847">
      <w:pPr>
        <w:spacing w:after="0" w:line="240" w:lineRule="auto"/>
      </w:pPr>
      <w:r>
        <w:continuationSeparator/>
      </w:r>
    </w:p>
  </w:footnote>
  <w:footnote w:id="1">
    <w:p w14:paraId="4A8E10D2" w14:textId="77777777" w:rsidR="00195688" w:rsidRDefault="00195688" w:rsidP="00195688">
      <w:pPr>
        <w:pStyle w:val="Textonotapie"/>
        <w:ind w:firstLine="708"/>
        <w:jc w:val="both"/>
        <w:rPr>
          <w:rFonts w:ascii="Verdana" w:hAnsi="Verdana" w:cs="Arial"/>
          <w:sz w:val="16"/>
          <w:szCs w:val="16"/>
        </w:rPr>
      </w:pPr>
      <w:r w:rsidRPr="004A0B15">
        <w:rPr>
          <w:rStyle w:val="Refdenotaalpie"/>
          <w:rFonts w:ascii="Verdana" w:hAnsi="Verdana" w:cs="Arial"/>
          <w:sz w:val="16"/>
          <w:szCs w:val="16"/>
        </w:rPr>
        <w:footnoteRef/>
      </w:r>
      <w:r w:rsidRPr="004A0B15">
        <w:rPr>
          <w:rFonts w:ascii="Verdana" w:hAnsi="Verdana" w:cs="Arial"/>
          <w:sz w:val="16"/>
          <w:szCs w:val="16"/>
        </w:rPr>
        <w:t xml:space="preserve"> Cfr. Benavides, José Luis. El contrato estatal: entre el derecho público y el derecho privado. Segunda edición. Bogotá: Universidad Externado de Colombia, 2009. pp. 78-79.</w:t>
      </w:r>
    </w:p>
    <w:p w14:paraId="4728183D" w14:textId="77777777" w:rsidR="00195688" w:rsidRPr="004A0B15" w:rsidRDefault="00195688" w:rsidP="00195688">
      <w:pPr>
        <w:pStyle w:val="Textonotapie"/>
        <w:ind w:firstLine="708"/>
        <w:jc w:val="both"/>
        <w:rPr>
          <w:rFonts w:ascii="Verdana" w:hAnsi="Verdana" w:cs="Arial"/>
          <w:sz w:val="16"/>
          <w:szCs w:val="16"/>
          <w:lang w:val="es-ES"/>
        </w:rPr>
      </w:pPr>
      <w:r w:rsidRPr="004A0B15">
        <w:rPr>
          <w:rFonts w:ascii="Verdana" w:hAnsi="Verdana" w:cs="Arial"/>
          <w:sz w:val="16"/>
          <w:szCs w:val="16"/>
        </w:rPr>
        <w:t xml:space="preserve">      </w:t>
      </w:r>
    </w:p>
  </w:footnote>
  <w:footnote w:id="2">
    <w:p w14:paraId="6836AEBB" w14:textId="77777777" w:rsidR="00195688" w:rsidRPr="004A0B15" w:rsidRDefault="00195688" w:rsidP="00195688">
      <w:pPr>
        <w:pStyle w:val="Textonotapie"/>
        <w:ind w:firstLine="708"/>
        <w:jc w:val="both"/>
        <w:rPr>
          <w:rFonts w:ascii="Verdana" w:hAnsi="Verdana" w:cs="Arial"/>
          <w:sz w:val="16"/>
          <w:szCs w:val="16"/>
          <w:lang w:val="es-ES"/>
        </w:rPr>
      </w:pPr>
      <w:r w:rsidRPr="004A0B15">
        <w:rPr>
          <w:rStyle w:val="Refdenotaalpie"/>
          <w:rFonts w:ascii="Verdana" w:hAnsi="Verdana" w:cs="Arial"/>
          <w:sz w:val="16"/>
          <w:szCs w:val="16"/>
        </w:rPr>
        <w:footnoteRef/>
      </w:r>
      <w:r w:rsidRPr="004A0B15">
        <w:rPr>
          <w:rFonts w:ascii="Verdana" w:hAnsi="Verdana" w:cs="Arial"/>
          <w:sz w:val="16"/>
          <w:szCs w:val="16"/>
        </w:rPr>
        <w:t xml:space="preserve"> Betancur Jaramillo, Carlos. Derecho procesal administrativo. Octava edición. Medellín: Señal Editora, 2013. p. 627. </w:t>
      </w:r>
    </w:p>
  </w:footnote>
  <w:footnote w:id="3">
    <w:p w14:paraId="14DA1C38" w14:textId="77777777" w:rsidR="00195688" w:rsidRDefault="00195688" w:rsidP="00195688">
      <w:pPr>
        <w:pStyle w:val="Textonotapie"/>
        <w:ind w:firstLine="708"/>
        <w:jc w:val="both"/>
        <w:rPr>
          <w:rFonts w:ascii="Verdana" w:hAnsi="Verdana"/>
          <w:sz w:val="16"/>
          <w:szCs w:val="16"/>
        </w:rPr>
      </w:pPr>
      <w:r w:rsidRPr="004A0B15">
        <w:rPr>
          <w:rStyle w:val="Refdenotaalpie"/>
          <w:rFonts w:ascii="Verdana" w:hAnsi="Verdana"/>
          <w:sz w:val="16"/>
          <w:szCs w:val="16"/>
        </w:rPr>
        <w:footnoteRef/>
      </w:r>
      <w:r w:rsidRPr="004A0B15">
        <w:rPr>
          <w:rFonts w:ascii="Verdana" w:hAnsi="Verdana"/>
          <w:sz w:val="16"/>
          <w:szCs w:val="16"/>
        </w:rPr>
        <w:t xml:space="preserve"> Ospina Fernández, Guillermo &amp; OSPINA ACOSTA, Eduardo. Teoría General del Contrato y del Negocio Jurídico. Séptima edición. Bogotá: Temis, 2021. p. 50.</w:t>
      </w:r>
    </w:p>
    <w:p w14:paraId="0E79537C" w14:textId="77777777" w:rsidR="00195688" w:rsidRPr="004A0B15" w:rsidRDefault="00195688" w:rsidP="00195688">
      <w:pPr>
        <w:pStyle w:val="Textonotapie"/>
        <w:ind w:firstLine="708"/>
        <w:jc w:val="both"/>
        <w:rPr>
          <w:rFonts w:ascii="Verdana" w:hAnsi="Verdana"/>
          <w:sz w:val="16"/>
          <w:szCs w:val="16"/>
          <w:lang w:val="es-CO"/>
        </w:rPr>
      </w:pPr>
    </w:p>
  </w:footnote>
  <w:footnote w:id="4">
    <w:p w14:paraId="5F8465EE" w14:textId="77777777" w:rsidR="00195688" w:rsidRPr="00BE7E79" w:rsidRDefault="00195688" w:rsidP="00195688">
      <w:pPr>
        <w:pStyle w:val="Textonotapie"/>
        <w:ind w:firstLine="708"/>
        <w:jc w:val="both"/>
        <w:rPr>
          <w:rFonts w:ascii="Verdana" w:hAnsi="Verdana"/>
          <w:sz w:val="16"/>
          <w:szCs w:val="16"/>
        </w:rPr>
      </w:pPr>
      <w:r w:rsidRPr="00BE7E79">
        <w:rPr>
          <w:rStyle w:val="Refdenotaalpie"/>
          <w:rFonts w:ascii="Verdana" w:hAnsi="Verdana"/>
          <w:sz w:val="16"/>
          <w:szCs w:val="16"/>
        </w:rPr>
        <w:footnoteRef/>
      </w:r>
      <w:r w:rsidRPr="00BE7E79">
        <w:rPr>
          <w:rFonts w:ascii="Verdana" w:hAnsi="Verdana"/>
          <w:sz w:val="16"/>
          <w:szCs w:val="16"/>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5">
    <w:p w14:paraId="754749E7" w14:textId="77777777" w:rsidR="00195688" w:rsidRPr="00BE7E79" w:rsidRDefault="00195688" w:rsidP="00195688">
      <w:pPr>
        <w:pStyle w:val="Textonotapie"/>
        <w:ind w:firstLine="708"/>
        <w:jc w:val="both"/>
        <w:rPr>
          <w:rFonts w:ascii="Verdana" w:hAnsi="Verdana"/>
          <w:color w:val="000000" w:themeColor="text1"/>
          <w:sz w:val="16"/>
          <w:szCs w:val="16"/>
        </w:rPr>
      </w:pPr>
      <w:r w:rsidRPr="00BE7E79">
        <w:rPr>
          <w:rStyle w:val="Refdenotaalpie"/>
          <w:rFonts w:ascii="Verdana" w:hAnsi="Verdana"/>
          <w:sz w:val="16"/>
          <w:szCs w:val="16"/>
        </w:rPr>
        <w:footnoteRef/>
      </w:r>
      <w:r w:rsidRPr="00BE7E79">
        <w:rPr>
          <w:rFonts w:ascii="Verdana" w:hAnsi="Verdana"/>
          <w:sz w:val="16"/>
          <w:szCs w:val="16"/>
        </w:rPr>
        <w:t xml:space="preserve"> </w:t>
      </w:r>
      <w:r w:rsidRPr="00BE7E79">
        <w:rPr>
          <w:rFonts w:ascii="Verdana" w:hAnsi="Verdana"/>
          <w:color w:val="000000" w:themeColor="text1"/>
          <w:sz w:val="16"/>
          <w:szCs w:val="16"/>
        </w:rPr>
        <w:t>Consejo De Estado. Sala de Consulta y Servicio Civil. Concepto del 5 de septiembre de 2018. Rad. 2.386. C.P. Edgar González López.</w:t>
      </w:r>
    </w:p>
    <w:p w14:paraId="4AEB1914" w14:textId="77777777" w:rsidR="00195688" w:rsidRPr="00BE7E79" w:rsidRDefault="00195688" w:rsidP="00195688">
      <w:pPr>
        <w:pStyle w:val="Textonotapie"/>
        <w:ind w:firstLine="708"/>
        <w:jc w:val="both"/>
        <w:rPr>
          <w:rFonts w:ascii="Verdana" w:hAnsi="Verdana"/>
          <w:color w:val="000000" w:themeColor="text1"/>
          <w:sz w:val="16"/>
          <w:szCs w:val="16"/>
        </w:rPr>
      </w:pPr>
    </w:p>
  </w:footnote>
  <w:footnote w:id="6">
    <w:p w14:paraId="382DFF57" w14:textId="77777777" w:rsidR="00195688" w:rsidRPr="00BE7E79" w:rsidRDefault="00195688" w:rsidP="00195688">
      <w:pPr>
        <w:pStyle w:val="Textonotapie"/>
        <w:ind w:firstLine="708"/>
        <w:jc w:val="both"/>
        <w:rPr>
          <w:rFonts w:ascii="Verdana" w:hAnsi="Verdana"/>
          <w:sz w:val="16"/>
          <w:szCs w:val="16"/>
        </w:rPr>
      </w:pPr>
      <w:r w:rsidRPr="00BE7E79">
        <w:rPr>
          <w:rStyle w:val="Refdenotaalpie"/>
          <w:rFonts w:ascii="Verdana" w:hAnsi="Verdana"/>
          <w:sz w:val="16"/>
          <w:szCs w:val="16"/>
        </w:rPr>
        <w:footnoteRef/>
      </w:r>
      <w:r w:rsidRPr="00BE7E79">
        <w:rPr>
          <w:rFonts w:ascii="Verdana" w:hAnsi="Verdana"/>
          <w:sz w:val="16"/>
          <w:szCs w:val="16"/>
        </w:rPr>
        <w:t xml:space="preserve"> Reyes Garcés, Henry Mauricio &amp; Rodríguez Burbano, Aura Yolima. Una apuesta por el concepto de persona razonable: análisis a partir del contrato atípico de servicios logísticos. Consultado el 11 de noviembre en la página web </w:t>
      </w:r>
      <w:hyperlink r:id="rId1" w:anchor="toc" w:history="1">
        <w:r w:rsidRPr="00BE7E79">
          <w:rPr>
            <w:rStyle w:val="Hipervnculo"/>
            <w:rFonts w:ascii="Verdana" w:hAnsi="Verdana"/>
            <w:sz w:val="16"/>
            <w:szCs w:val="16"/>
          </w:rPr>
          <w:t>https://revistas.uexternado.edu.co/index.php/derpri/article/view/7201/10297#toc</w:t>
        </w:r>
      </w:hyperlink>
      <w:r w:rsidRPr="00BE7E79">
        <w:rPr>
          <w:rFonts w:ascii="Verdana" w:hAnsi="Verdana"/>
          <w:sz w:val="16"/>
          <w:szCs w:val="16"/>
        </w:rPr>
        <w:t xml:space="preserve">. </w:t>
      </w:r>
    </w:p>
    <w:p w14:paraId="57A975BC" w14:textId="77777777" w:rsidR="00195688" w:rsidRPr="00BE7E79" w:rsidRDefault="00195688" w:rsidP="00195688">
      <w:pPr>
        <w:pStyle w:val="Textonotapie"/>
        <w:ind w:firstLine="708"/>
        <w:jc w:val="both"/>
        <w:rPr>
          <w:rFonts w:ascii="Verdana" w:hAnsi="Verdana"/>
          <w:sz w:val="16"/>
          <w:szCs w:val="16"/>
        </w:rPr>
      </w:pPr>
    </w:p>
  </w:footnote>
  <w:footnote w:id="7">
    <w:p w14:paraId="1B1691EE" w14:textId="77777777" w:rsidR="00195688" w:rsidRDefault="00195688" w:rsidP="00195688">
      <w:pPr>
        <w:pStyle w:val="Textonotapie"/>
        <w:ind w:firstLine="708"/>
        <w:jc w:val="both"/>
        <w:rPr>
          <w:rFonts w:ascii="Verdana" w:hAnsi="Verdana"/>
          <w:sz w:val="16"/>
          <w:szCs w:val="16"/>
          <w:lang w:val="pt-BR"/>
        </w:rPr>
      </w:pPr>
      <w:r w:rsidRPr="00BE7E79">
        <w:rPr>
          <w:rStyle w:val="Refdenotaalpie"/>
          <w:rFonts w:ascii="Verdana" w:hAnsi="Verdana"/>
          <w:sz w:val="16"/>
          <w:szCs w:val="16"/>
        </w:rPr>
        <w:footnoteRef/>
      </w:r>
      <w:r w:rsidRPr="00BE7E79">
        <w:rPr>
          <w:rFonts w:ascii="Verdana" w:hAnsi="Verdana"/>
          <w:sz w:val="16"/>
          <w:szCs w:val="16"/>
          <w:lang w:val="pt-BR"/>
        </w:rPr>
        <w:t xml:space="preserve"> Ospina Fernández &amp; Ospina Acosta, Op. cit., p. 51.</w:t>
      </w:r>
    </w:p>
    <w:p w14:paraId="4BE908C3" w14:textId="77777777" w:rsidR="00195688" w:rsidRPr="004A0B15" w:rsidRDefault="00195688" w:rsidP="00195688">
      <w:pPr>
        <w:pStyle w:val="Textonotapie"/>
        <w:ind w:firstLine="708"/>
        <w:jc w:val="both"/>
        <w:rPr>
          <w:rFonts w:ascii="Verdana" w:hAnsi="Verdana"/>
          <w:sz w:val="16"/>
          <w:szCs w:val="16"/>
          <w:lang w:val="pt-BR"/>
        </w:rPr>
      </w:pPr>
    </w:p>
  </w:footnote>
  <w:footnote w:id="8">
    <w:p w14:paraId="46020E9C" w14:textId="77777777" w:rsidR="00195688" w:rsidRDefault="00195688" w:rsidP="00195688">
      <w:pPr>
        <w:pStyle w:val="Textonotapie"/>
        <w:ind w:firstLine="708"/>
        <w:jc w:val="both"/>
        <w:rPr>
          <w:rFonts w:ascii="Verdana" w:hAnsi="Verdana"/>
          <w:sz w:val="16"/>
          <w:szCs w:val="16"/>
        </w:rPr>
      </w:pPr>
      <w:r w:rsidRPr="004A0B15">
        <w:rPr>
          <w:rStyle w:val="Refdenotaalpie"/>
          <w:rFonts w:ascii="Verdana" w:hAnsi="Verdana"/>
          <w:sz w:val="16"/>
          <w:szCs w:val="16"/>
        </w:rPr>
        <w:footnoteRef/>
      </w:r>
      <w:r w:rsidRPr="004A0B15">
        <w:rPr>
          <w:rFonts w:ascii="Verdana" w:hAnsi="Verdana"/>
          <w:sz w:val="16"/>
          <w:szCs w:val="16"/>
        </w:rPr>
        <w:t xml:space="preserve"> Como señala la doctrina, “Las partes del contrato de servicios logísticos serán, de un lado, el empresario, sea este una persona natural o jurídica, que en todo caso requiere la prestación de los servicios de valor agregado ofrecidos por el operador. </w:t>
      </w:r>
      <w:r w:rsidRPr="004A0B15">
        <w:rPr>
          <w:rFonts w:ascii="Verdana" w:hAnsi="Verdana"/>
          <w:i/>
          <w:iCs/>
          <w:sz w:val="16"/>
          <w:szCs w:val="16"/>
        </w:rPr>
        <w:t>De otro, se encuentra el operador logístico, esto es, la persona natural o jurídica que dispone de infraestructura y capacidad operacional adecuadas para ofrecer en el mercado servicios que suponen dotar de ‘valor agregado’ la cadena de abastecimiento, producción o distribución del bien respectivo, mediante la prestación de servicios logísticos durante las fases que van desde la consecución de las materias primas hasta la entrega del producto elaborado al consumidor final</w:t>
      </w:r>
      <w:r w:rsidRPr="004A0B15">
        <w:rPr>
          <w:rFonts w:ascii="Verdana" w:hAnsi="Verdana"/>
          <w:sz w:val="16"/>
          <w:szCs w:val="16"/>
        </w:rPr>
        <w:t xml:space="preserve">” (Cfr. FRANCO ZÁRATE, Javier Andrés. Aspectos legales de la logística comercial y los contratos de servicios logísticos. Bogotá: Universidad Externado de Colombia, 2014. p. 159). </w:t>
      </w:r>
    </w:p>
    <w:p w14:paraId="57F7547B" w14:textId="77777777" w:rsidR="00195688" w:rsidRPr="004A0B15" w:rsidRDefault="00195688" w:rsidP="00195688">
      <w:pPr>
        <w:pStyle w:val="Textonotapie"/>
        <w:ind w:firstLine="708"/>
        <w:jc w:val="both"/>
        <w:rPr>
          <w:rFonts w:ascii="Verdana" w:hAnsi="Verdana"/>
          <w:sz w:val="16"/>
          <w:szCs w:val="16"/>
          <w:lang w:val="es-CO"/>
        </w:rPr>
      </w:pPr>
    </w:p>
  </w:footnote>
  <w:footnote w:id="9">
    <w:p w14:paraId="4670DC68" w14:textId="77777777" w:rsidR="00195688" w:rsidRPr="004A0B15" w:rsidRDefault="00195688" w:rsidP="00195688">
      <w:pPr>
        <w:pStyle w:val="Textonotapie"/>
        <w:ind w:firstLine="709"/>
        <w:jc w:val="both"/>
        <w:rPr>
          <w:rFonts w:ascii="Verdana" w:hAnsi="Verdana"/>
          <w:sz w:val="16"/>
          <w:szCs w:val="16"/>
          <w:lang w:val="es-CO"/>
        </w:rPr>
      </w:pPr>
      <w:r w:rsidRPr="004A0B15">
        <w:rPr>
          <w:rStyle w:val="Refdenotaalpie"/>
          <w:rFonts w:ascii="Verdana" w:hAnsi="Verdana"/>
          <w:sz w:val="16"/>
          <w:szCs w:val="16"/>
        </w:rPr>
        <w:footnoteRef/>
      </w:r>
      <w:r w:rsidRPr="004A0B15">
        <w:rPr>
          <w:rFonts w:ascii="Verdana" w:hAnsi="Verdana"/>
          <w:sz w:val="16"/>
          <w:szCs w:val="16"/>
        </w:rPr>
        <w:t xml:space="preserve"> Sánchez Trujillo, Juan Pablo. Completitud de la oferta del contrato atípico: elementos esenciales del contrato atípico como requisito de delimitación del objeto de la oferta mercantil. Consultado el 11 de noviembre de 2024 en la página web </w:t>
      </w:r>
      <w:hyperlink r:id="rId2" w:history="1">
        <w:r w:rsidRPr="004A0B15">
          <w:rPr>
            <w:rStyle w:val="Hipervnculo"/>
            <w:rFonts w:ascii="Verdana" w:hAnsi="Verdana"/>
            <w:sz w:val="16"/>
            <w:szCs w:val="16"/>
          </w:rPr>
          <w:t>https://revistas.udea.edu.co/index.php/derypol/article/view/331285/20790715</w:t>
        </w:r>
      </w:hyperlink>
      <w:r w:rsidRPr="004A0B15">
        <w:rPr>
          <w:rFonts w:ascii="Verdana" w:hAnsi="Verdana"/>
          <w:sz w:val="16"/>
          <w:szCs w:val="16"/>
        </w:rPr>
        <w:t xml:space="preserve">. </w:t>
      </w:r>
    </w:p>
  </w:footnote>
  <w:footnote w:id="10">
    <w:p w14:paraId="72C466EF" w14:textId="77777777" w:rsidR="00195688" w:rsidRPr="004A0B15" w:rsidRDefault="00195688" w:rsidP="00195688">
      <w:pPr>
        <w:pStyle w:val="Textonotapie"/>
        <w:ind w:firstLine="709"/>
        <w:rPr>
          <w:rFonts w:ascii="Verdana" w:hAnsi="Verdana"/>
          <w:sz w:val="16"/>
          <w:szCs w:val="16"/>
          <w:lang w:val="es-CO"/>
        </w:rPr>
      </w:pPr>
      <w:r w:rsidRPr="004A0B15">
        <w:rPr>
          <w:rStyle w:val="Refdenotaalpie"/>
          <w:rFonts w:ascii="Verdana" w:hAnsi="Verdana"/>
          <w:sz w:val="16"/>
          <w:szCs w:val="16"/>
        </w:rPr>
        <w:footnoteRef/>
      </w:r>
      <w:r w:rsidRPr="004A0B15">
        <w:rPr>
          <w:rFonts w:ascii="Verdana" w:hAnsi="Verdana"/>
          <w:sz w:val="16"/>
          <w:szCs w:val="16"/>
        </w:rPr>
        <w:t xml:space="preserve"> </w:t>
      </w:r>
      <w:r w:rsidRPr="004A0B15">
        <w:rPr>
          <w:rFonts w:ascii="Verdana" w:hAnsi="Verdana"/>
          <w:color w:val="000000" w:themeColor="text1"/>
          <w:sz w:val="16"/>
          <w:szCs w:val="16"/>
        </w:rPr>
        <w:t>Consejo De Estado. Sección tercera. Sentencia del 16 de julio de 2021. Rad. 61.463. C.P. José Roberto Sáchica Méndez.</w:t>
      </w:r>
    </w:p>
  </w:footnote>
  <w:footnote w:id="11">
    <w:p w14:paraId="73ADC0E7" w14:textId="77777777" w:rsidR="00195688" w:rsidRDefault="00195688" w:rsidP="00195688">
      <w:pPr>
        <w:pStyle w:val="Textonotapie"/>
        <w:ind w:firstLine="709"/>
        <w:jc w:val="both"/>
        <w:rPr>
          <w:rFonts w:ascii="Verdana" w:hAnsi="Verdana"/>
          <w:sz w:val="16"/>
          <w:szCs w:val="16"/>
        </w:rPr>
      </w:pPr>
      <w:r w:rsidRPr="004A0B15">
        <w:rPr>
          <w:rStyle w:val="Refdenotaalpie"/>
          <w:rFonts w:ascii="Verdana" w:hAnsi="Verdana"/>
          <w:sz w:val="16"/>
          <w:szCs w:val="16"/>
        </w:rPr>
        <w:footnoteRef/>
      </w:r>
      <w:r w:rsidRPr="004A0B15">
        <w:rPr>
          <w:rFonts w:ascii="Verdana" w:hAnsi="Verdana"/>
          <w:sz w:val="16"/>
          <w:szCs w:val="16"/>
        </w:rPr>
        <w:t xml:space="preserve"> Los artículos 2.2.1.1.1.4.1, 2.2.1.1.1.4.3 y 2.2.1.1.1.4.4 del Decreto 1082 de 2015 establecen el deber de las entidades de “elaborar el Plan Anual de Adquisiciones, el cual debe contener la lista de bienes, obras y servicios que pretenden adquirir durante el año”.</w:t>
      </w:r>
    </w:p>
    <w:p w14:paraId="6BCE5547" w14:textId="77777777" w:rsidR="00195688" w:rsidRPr="004A0B15" w:rsidRDefault="00195688" w:rsidP="00195688">
      <w:pPr>
        <w:pStyle w:val="Textonotapie"/>
        <w:ind w:firstLine="709"/>
        <w:jc w:val="both"/>
        <w:rPr>
          <w:rFonts w:ascii="Verdana" w:hAnsi="Verdana"/>
          <w:sz w:val="16"/>
          <w:szCs w:val="16"/>
          <w:lang w:val="es-CO"/>
        </w:rPr>
      </w:pPr>
    </w:p>
  </w:footnote>
  <w:footnote w:id="12">
    <w:p w14:paraId="65AA6C44" w14:textId="77777777" w:rsidR="00195688" w:rsidRPr="004A0B15" w:rsidRDefault="00195688" w:rsidP="00195688">
      <w:pPr>
        <w:pStyle w:val="Textonotapie"/>
        <w:ind w:firstLine="708"/>
        <w:jc w:val="both"/>
        <w:rPr>
          <w:rFonts w:ascii="Verdana" w:hAnsi="Verdana" w:cs="Arial"/>
          <w:sz w:val="16"/>
          <w:szCs w:val="16"/>
          <w:lang w:val="es-CO"/>
        </w:rPr>
      </w:pPr>
      <w:r w:rsidRPr="004A0B15">
        <w:rPr>
          <w:rStyle w:val="Refdenotaalpie"/>
          <w:rFonts w:ascii="Verdana" w:hAnsi="Verdana" w:cs="Arial"/>
          <w:sz w:val="16"/>
          <w:szCs w:val="16"/>
        </w:rPr>
        <w:footnoteRef/>
      </w:r>
      <w:r w:rsidRPr="004A0B15">
        <w:rPr>
          <w:rFonts w:ascii="Verdana" w:eastAsia="Calibri" w:hAnsi="Verdana" w:cs="Arial"/>
          <w:sz w:val="16"/>
          <w:szCs w:val="16"/>
        </w:rPr>
        <w:t xml:space="preserve"> Agencia Nacional de Contratación Pública </w:t>
      </w:r>
      <w:r w:rsidRPr="004A0B15">
        <w:rPr>
          <w:rFonts w:ascii="Verdana" w:eastAsia="Calibri" w:hAnsi="Verdana" w:cs="Arial"/>
          <w:bCs/>
          <w:sz w:val="16"/>
          <w:szCs w:val="16"/>
        </w:rPr>
        <w:t xml:space="preserve">– </w:t>
      </w:r>
      <w:r w:rsidRPr="004A0B15">
        <w:rPr>
          <w:rFonts w:ascii="Verdana" w:eastAsia="Calibri" w:hAnsi="Verdana" w:cs="Arial"/>
          <w:sz w:val="16"/>
          <w:szCs w:val="16"/>
        </w:rPr>
        <w:t>Colombia Compra Eficiente</w:t>
      </w:r>
      <w:r w:rsidRPr="004A0B15">
        <w:rPr>
          <w:rFonts w:ascii="Verdana" w:hAnsi="Verdana" w:cs="Arial"/>
          <w:sz w:val="16"/>
          <w:szCs w:val="16"/>
          <w:lang w:val="es-CO"/>
        </w:rPr>
        <w:t xml:space="preserve"> Guía para elaborar el Plan Anual de Adquisiciones. Página 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88A1F6E"/>
    <w:multiLevelType w:val="hybridMultilevel"/>
    <w:tmpl w:val="FDC4DBCE"/>
    <w:lvl w:ilvl="0" w:tplc="240A000F">
      <w:start w:val="1"/>
      <w:numFmt w:val="decimal"/>
      <w:lvlText w:val="%1."/>
      <w:lvlJc w:val="left"/>
      <w:pPr>
        <w:ind w:left="1429" w:hanging="360"/>
      </w:p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9"/>
  </w:num>
  <w:num w:numId="17" w16cid:durableId="2031643554">
    <w:abstractNumId w:val="16"/>
  </w:num>
  <w:num w:numId="18" w16cid:durableId="679089576">
    <w:abstractNumId w:val="8"/>
  </w:num>
  <w:num w:numId="19" w16cid:durableId="26254151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5688"/>
    <w:rsid w:val="001A33BF"/>
    <w:rsid w:val="001C5090"/>
    <w:rsid w:val="001E4177"/>
    <w:rsid w:val="001F0B24"/>
    <w:rsid w:val="001F7DC6"/>
    <w:rsid w:val="0022400B"/>
    <w:rsid w:val="002421BB"/>
    <w:rsid w:val="0025796E"/>
    <w:rsid w:val="00270787"/>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7CCA"/>
    <w:rsid w:val="003D0F4D"/>
    <w:rsid w:val="003D5B0D"/>
    <w:rsid w:val="003E0499"/>
    <w:rsid w:val="003E4F80"/>
    <w:rsid w:val="003E6439"/>
    <w:rsid w:val="003F3941"/>
    <w:rsid w:val="00406575"/>
    <w:rsid w:val="00414C74"/>
    <w:rsid w:val="0042722E"/>
    <w:rsid w:val="0044528D"/>
    <w:rsid w:val="00466E39"/>
    <w:rsid w:val="00494204"/>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0443"/>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14AB"/>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2CF7"/>
    <w:rsid w:val="009F3A13"/>
    <w:rsid w:val="00A122D3"/>
    <w:rsid w:val="00A14468"/>
    <w:rsid w:val="00A17F13"/>
    <w:rsid w:val="00A20739"/>
    <w:rsid w:val="00A23AF9"/>
    <w:rsid w:val="00A33C78"/>
    <w:rsid w:val="00A57D01"/>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4BFD"/>
    <w:rsid w:val="00D361FD"/>
    <w:rsid w:val="00D423A2"/>
    <w:rsid w:val="00D44E26"/>
    <w:rsid w:val="00D520D8"/>
    <w:rsid w:val="00D63AC2"/>
    <w:rsid w:val="00D7383B"/>
    <w:rsid w:val="00D7788A"/>
    <w:rsid w:val="00DA231B"/>
    <w:rsid w:val="00DB167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3D5C"/>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091596E"/>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9568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9568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oni7694313@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revistas.udea.edu.co/index.php/derypol/article/view/331285/20790715" TargetMode="External"/><Relationship Id="rId1" Type="http://schemas.openxmlformats.org/officeDocument/2006/relationships/hyperlink" Target="https://revistas.uexternado.edu.co/index.php/derpri/article/view/7201/1029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AC35E13-FE25-450F-8609-E8E06D5EA5F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20</Pages>
  <Words>6710</Words>
  <Characters>36907</Characters>
  <Application>Microsoft Office Word</Application>
  <DocSecurity>0</DocSecurity>
  <Lines>307</Lines>
  <Paragraphs>87</Paragraphs>
  <ScaleCrop>false</ScaleCrop>
  <Company/>
  <LinksUpToDate>false</LinksUpToDate>
  <CharactersWithSpaces>43530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3</cp:revision>
  <cp:lastPrinted>2023-01-10T21:18:00Z</cp:lastPrinted>
  <dcterms:created xsi:type="dcterms:W3CDTF">2026-06-24T22:11:00Z</dcterms:created>
  <dcterms:modified xsi:type="dcterms:W3CDTF">2026-06-25T18:45:00Z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