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620AC" w14:textId="77777777" w:rsidR="004E0ADB" w:rsidRPr="004C046B" w:rsidRDefault="004E0ADB" w:rsidP="004E0ADB">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Sistema Integral de Preferencias ‒ Contratación pública inclusiva ‒ Personas con discapacidad</w:t>
      </w:r>
    </w:p>
    <w:p w14:paraId="5CA037A1"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098310D4" w14:textId="77777777" w:rsidR="004E0ADB" w:rsidRDefault="004E0ADB" w:rsidP="004E0ADB">
      <w:pPr>
        <w:spacing w:after="0" w:line="240" w:lineRule="auto"/>
        <w:contextualSpacing/>
        <w:jc w:val="both"/>
        <w:rPr>
          <w:rFonts w:ascii="Verdana" w:eastAsia="Calibri" w:hAnsi="Verdana" w:cs="Arial"/>
          <w:sz w:val="20"/>
          <w:szCs w:val="20"/>
          <w:lang w:eastAsia="es-ES"/>
        </w:rPr>
      </w:pPr>
      <w:r>
        <w:rPr>
          <w:rFonts w:ascii="Verdana" w:eastAsia="Calibri" w:hAnsi="Verdana" w:cs="Arial"/>
          <w:sz w:val="20"/>
          <w:szCs w:val="20"/>
          <w:lang w:eastAsia="es-ES"/>
        </w:rPr>
        <w:t>(…) R</w:t>
      </w:r>
      <w:r w:rsidRPr="000A5E13">
        <w:rPr>
          <w:rFonts w:ascii="Verdana" w:eastAsia="Calibri" w:hAnsi="Verdana" w:cs="Arial"/>
          <w:sz w:val="20"/>
          <w:szCs w:val="20"/>
          <w:lang w:eastAsia="es-ES"/>
        </w:rPr>
        <w:t xml:space="preserve">especto al alcance del Decreto 0287 de 2026, es necesario indicar que este reglamenta los numerales 1, 7 y 8 del artículo 13 de la Ley 1618 de 2013, acción que fue ordenada por el Consejo de Estado, Sección Quinta de la Sala de lo Contencioso Administrativo, mediante sentencia de acción de cumplimiento del 12 de diciembre de 2024, radicación </w:t>
      </w:r>
      <w:proofErr w:type="spellStart"/>
      <w:r w:rsidRPr="000A5E13">
        <w:rPr>
          <w:rFonts w:ascii="Verdana" w:eastAsia="Calibri" w:hAnsi="Verdana" w:cs="Arial"/>
          <w:sz w:val="20"/>
          <w:szCs w:val="20"/>
          <w:lang w:eastAsia="es-ES"/>
        </w:rPr>
        <w:t>N.°</w:t>
      </w:r>
      <w:proofErr w:type="spellEnd"/>
      <w:r w:rsidRPr="000A5E13">
        <w:rPr>
          <w:rFonts w:ascii="Verdana" w:eastAsia="Calibri" w:hAnsi="Verdana" w:cs="Arial"/>
          <w:sz w:val="20"/>
          <w:szCs w:val="20"/>
          <w:lang w:eastAsia="es-ES"/>
        </w:rPr>
        <w:t xml:space="preserve"> 05001-23-33-000-2024-00847-01, con ponencia del magistrado Omar Joaquín Barreto Suárez,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A5E13">
        <w:rPr>
          <w:rFonts w:ascii="Verdana" w:eastAsia="Calibri" w:hAnsi="Verdana" w:cs="Arial"/>
          <w:sz w:val="20"/>
          <w:szCs w:val="20"/>
          <w:lang w:eastAsia="es-ES"/>
        </w:rPr>
        <w:t>PcD</w:t>
      </w:r>
      <w:proofErr w:type="spellEnd"/>
      <w:r w:rsidRPr="000A5E13">
        <w:rPr>
          <w:rFonts w:ascii="Verdana" w:eastAsia="Calibri" w:hAnsi="Verdana" w:cs="Arial"/>
          <w:sz w:val="20"/>
          <w:szCs w:val="20"/>
          <w:lang w:eastAsia="es-ES"/>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 irradiando la fase de planeación ya que es allí donde la compra debe plantearse con criterios de accesibilidad.</w:t>
      </w:r>
    </w:p>
    <w:p w14:paraId="042959BB" w14:textId="77777777" w:rsidR="004E0ADB" w:rsidRPr="007B5AD4" w:rsidRDefault="004E0ADB" w:rsidP="004E0ADB">
      <w:pPr>
        <w:spacing w:after="0" w:line="240" w:lineRule="auto"/>
        <w:contextualSpacing/>
        <w:jc w:val="both"/>
        <w:rPr>
          <w:rFonts w:ascii="Verdana" w:eastAsia="Calibri" w:hAnsi="Verdana" w:cs="Arial"/>
          <w:sz w:val="20"/>
          <w:szCs w:val="20"/>
          <w:lang w:eastAsia="es-ES"/>
        </w:rPr>
      </w:pPr>
    </w:p>
    <w:p w14:paraId="4163FDB3" w14:textId="77777777" w:rsidR="004E0ADB" w:rsidRPr="004C046B" w:rsidRDefault="004E0ADB" w:rsidP="004E0ADB">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3408A0A8" w14:textId="77777777" w:rsidR="004E0ADB" w:rsidRPr="007B5AD4" w:rsidRDefault="004E0ADB" w:rsidP="004E0ADB">
      <w:pPr>
        <w:spacing w:after="0" w:line="240" w:lineRule="auto"/>
        <w:contextualSpacing/>
        <w:jc w:val="both"/>
        <w:rPr>
          <w:rFonts w:ascii="Verdana" w:eastAsia="Calibri" w:hAnsi="Verdana" w:cs="Arial"/>
          <w:b/>
          <w:bCs/>
          <w:sz w:val="20"/>
          <w:szCs w:val="20"/>
          <w:lang w:eastAsia="es-ES"/>
        </w:rPr>
      </w:pPr>
    </w:p>
    <w:p w14:paraId="4A0824B2" w14:textId="77777777" w:rsidR="004E0ADB" w:rsidRDefault="004E0ADB" w:rsidP="004E0ADB">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574AE6F"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5854B622" w14:textId="77777777" w:rsidR="004E0ADB" w:rsidRPr="004C046B" w:rsidRDefault="004E0ADB" w:rsidP="004E0ADB">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Sujetos del sistema ‒ Emprendimientos y empresas de personas con discapacidad ‒ Empleadores de personas con discapacidad ‒ Definición y diferenciación</w:t>
      </w:r>
    </w:p>
    <w:p w14:paraId="44DC2013" w14:textId="77777777" w:rsidR="004E0ADB" w:rsidRPr="007B5AD4" w:rsidRDefault="004E0ADB" w:rsidP="004E0ADB">
      <w:pPr>
        <w:spacing w:after="0" w:line="240" w:lineRule="auto"/>
        <w:contextualSpacing/>
        <w:jc w:val="both"/>
        <w:rPr>
          <w:rFonts w:ascii="Verdana" w:eastAsia="Calibri" w:hAnsi="Verdana" w:cs="Arial"/>
          <w:b/>
          <w:bCs/>
          <w:sz w:val="20"/>
          <w:szCs w:val="20"/>
          <w:lang w:eastAsia="es-ES"/>
        </w:rPr>
      </w:pPr>
    </w:p>
    <w:p w14:paraId="4BC75E0E" w14:textId="77777777" w:rsidR="004E0ADB" w:rsidRDefault="004E0ADB" w:rsidP="004E0ADB">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El sistema beneficia a dos sujetos diferenciados cuyas medidas no son idénticas ni intercambiables. El primer sujeto son los emprendimientos y empresas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definidos en el artículo 2.2.1.2.4.2.6. del Decreto 1082 de 2015 (modificado) según cuatro categorías: personas naturales con discapacidad que ejerzan una profesión liberal; </w:t>
      </w:r>
      <w:r w:rsidRPr="007C6F9B">
        <w:rPr>
          <w:rFonts w:ascii="Verdana" w:eastAsia="Calibri" w:hAnsi="Verdana" w:cs="Arial"/>
          <w:sz w:val="20"/>
          <w:szCs w:val="20"/>
          <w:lang w:eastAsia="es-ES"/>
        </w:rPr>
        <w:lastRenderedPageBreak/>
        <w:t xml:space="preserve">personas naturales con discapacidad que realicen actividades comerciales a través de establecimiento de comercio con al menos un año de antigüedad; personas jurídicas en las que más del 50% de las acciones o cuotas pertenezcan 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por al menos un año; y personas jurídicas con al menos una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vinculada laboralmente en un cargo de nivel directivo por al menos un año. El segundo sujeto son los empleadores de </w:t>
      </w:r>
      <w:proofErr w:type="spellStart"/>
      <w:r w:rsidRPr="007C6F9B">
        <w:rPr>
          <w:rFonts w:ascii="Verdana" w:eastAsia="Calibri" w:hAnsi="Verdana" w:cs="Arial"/>
          <w:sz w:val="20"/>
          <w:szCs w:val="20"/>
          <w:lang w:eastAsia="es-ES"/>
        </w:rPr>
        <w:t>PcD</w:t>
      </w:r>
      <w:proofErr w:type="spellEnd"/>
      <w:r w:rsidRPr="007C6F9B">
        <w:rPr>
          <w:rFonts w:ascii="Verdana" w:eastAsia="Calibri" w:hAnsi="Verdana" w:cs="Arial"/>
          <w:sz w:val="20"/>
          <w:szCs w:val="20"/>
          <w:lang w:eastAsia="es-ES"/>
        </w:rPr>
        <w:t xml:space="preserve">, esto es, cualquier empresa que tenga en su planta de personal trabajadores con discapacidad contratados laboralmente con dedicación exclusiva, superando los mínimos que exige la Ley 2466 de 2025 (Reforma Laboral). </w:t>
      </w:r>
      <w:r w:rsidRPr="00FA1AEB">
        <w:rPr>
          <w:rFonts w:ascii="Verdana" w:eastAsia="Calibri" w:hAnsi="Verdana" w:cs="Arial"/>
          <w:sz w:val="20"/>
          <w:szCs w:val="20"/>
          <w:lang w:eastAsia="es-ES"/>
        </w:rPr>
        <w:t xml:space="preserve">Estos sujetos no tienen en cuenta el género, es decir si son </w:t>
      </w:r>
      <w:proofErr w:type="spellStart"/>
      <w:r w:rsidRPr="00FA1AEB">
        <w:rPr>
          <w:rFonts w:ascii="Verdana" w:eastAsia="Calibri" w:hAnsi="Verdana" w:cs="Arial"/>
          <w:sz w:val="20"/>
          <w:szCs w:val="20"/>
          <w:lang w:eastAsia="es-ES"/>
        </w:rPr>
        <w:t>PcD</w:t>
      </w:r>
      <w:proofErr w:type="spellEnd"/>
      <w:r w:rsidRPr="00FA1AEB">
        <w:rPr>
          <w:rFonts w:ascii="Verdana" w:eastAsia="Calibri" w:hAnsi="Verdana" w:cs="Arial"/>
          <w:sz w:val="20"/>
          <w:szCs w:val="20"/>
          <w:lang w:eastAsia="es-ES"/>
        </w:rPr>
        <w:t xml:space="preserve"> hombres o mujeres, por lo que la definición es aplicable independientemente del género de la </w:t>
      </w:r>
      <w:proofErr w:type="spellStart"/>
      <w:r w:rsidRPr="00FA1AEB">
        <w:rPr>
          <w:rFonts w:ascii="Verdana" w:eastAsia="Calibri" w:hAnsi="Verdana" w:cs="Arial"/>
          <w:sz w:val="20"/>
          <w:szCs w:val="20"/>
          <w:lang w:eastAsia="es-ES"/>
        </w:rPr>
        <w:t>PcD</w:t>
      </w:r>
      <w:proofErr w:type="spellEnd"/>
      <w:r w:rsidRPr="00FA1AEB">
        <w:rPr>
          <w:rFonts w:ascii="Verdana" w:eastAsia="Calibri" w:hAnsi="Verdana" w:cs="Arial"/>
          <w:sz w:val="20"/>
          <w:szCs w:val="20"/>
          <w:lang w:eastAsia="es-ES"/>
        </w:rPr>
        <w:t xml:space="preserve"> y no afecta las medidas afirmativas a aplicar. Por otra parte, confundir los dos sujetos genera aplicaciones incorrectas del sistema, razón por la cual resulta esencial que las entidades contratantes identifiquen en cada caso qué sujeto está acreditando el proponente y qué documentación y medidas corresponden a ese sujeto específico.</w:t>
      </w:r>
    </w:p>
    <w:p w14:paraId="3A70212B"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7AB53F8A" w14:textId="77777777" w:rsidR="004E0ADB" w:rsidRPr="004C046B" w:rsidRDefault="004E0ADB" w:rsidP="004E0ADB">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 xml:space="preserve">DECRETO 0287 DE 2026 ‒ Puntaje adicional del 2% ‒ </w:t>
      </w:r>
      <w:r>
        <w:rPr>
          <w:rFonts w:ascii="Verdana" w:eastAsia="Calibri" w:hAnsi="Verdana" w:cs="Arial"/>
          <w:b/>
          <w:bCs/>
          <w:lang w:eastAsia="es-ES"/>
        </w:rPr>
        <w:t>Proponentes plurales</w:t>
      </w:r>
    </w:p>
    <w:p w14:paraId="165397EF" w14:textId="77777777" w:rsidR="004E0ADB" w:rsidRPr="007B5AD4" w:rsidRDefault="004E0ADB" w:rsidP="004E0ADB">
      <w:pPr>
        <w:spacing w:after="0" w:line="240" w:lineRule="auto"/>
        <w:contextualSpacing/>
        <w:jc w:val="both"/>
        <w:rPr>
          <w:rFonts w:ascii="Verdana" w:eastAsia="Calibri" w:hAnsi="Verdana" w:cs="Arial"/>
          <w:b/>
          <w:bCs/>
          <w:sz w:val="20"/>
          <w:szCs w:val="20"/>
          <w:lang w:eastAsia="es-ES"/>
        </w:rPr>
      </w:pPr>
    </w:p>
    <w:p w14:paraId="1FF8569C" w14:textId="77777777" w:rsidR="004E0ADB" w:rsidRDefault="004E0ADB" w:rsidP="004E0ADB">
      <w:pPr>
        <w:spacing w:after="0" w:line="240" w:lineRule="auto"/>
        <w:contextualSpacing/>
        <w:jc w:val="both"/>
        <w:rPr>
          <w:rFonts w:ascii="Verdana" w:eastAsia="Calibri" w:hAnsi="Verdana" w:cs="Arial"/>
          <w:sz w:val="20"/>
          <w:szCs w:val="20"/>
          <w:lang w:eastAsia="es-ES"/>
        </w:rPr>
      </w:pPr>
      <w:r w:rsidRPr="006C6035">
        <w:rPr>
          <w:rFonts w:ascii="Verdana" w:eastAsia="Calibri" w:hAnsi="Verdana" w:cs="Arial"/>
          <w:sz w:val="20"/>
          <w:szCs w:val="20"/>
          <w:lang w:eastAsia="es-ES"/>
        </w:rPr>
        <w:t xml:space="preserve">El puntaje no se otorga por cumplir la ley sino por superarla: solo el proponente que acredite un número de </w:t>
      </w:r>
      <w:proofErr w:type="spellStart"/>
      <w:r w:rsidRPr="006C6035">
        <w:rPr>
          <w:rFonts w:ascii="Verdana" w:eastAsia="Calibri" w:hAnsi="Verdana" w:cs="Arial"/>
          <w:sz w:val="20"/>
          <w:szCs w:val="20"/>
          <w:lang w:eastAsia="es-ES"/>
        </w:rPr>
        <w:t>PcD</w:t>
      </w:r>
      <w:proofErr w:type="spellEnd"/>
      <w:r w:rsidRPr="006C6035">
        <w:rPr>
          <w:rFonts w:ascii="Verdana" w:eastAsia="Calibri" w:hAnsi="Verdana" w:cs="Arial"/>
          <w:sz w:val="20"/>
          <w:szCs w:val="20"/>
          <w:lang w:eastAsia="es-ES"/>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p>
    <w:p w14:paraId="151F6DA6"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71BE3E03" w14:textId="77777777" w:rsidR="004E0ADB" w:rsidRPr="00206556" w:rsidRDefault="004E0ADB" w:rsidP="004E0ADB">
      <w:pPr>
        <w:spacing w:after="0" w:line="240" w:lineRule="auto"/>
        <w:contextualSpacing/>
        <w:jc w:val="both"/>
        <w:rPr>
          <w:rFonts w:ascii="Verdana" w:eastAsia="Calibri" w:hAnsi="Verdana" w:cs="Arial"/>
          <w:sz w:val="20"/>
          <w:szCs w:val="20"/>
          <w:lang w:eastAsia="es-ES"/>
        </w:rPr>
      </w:pPr>
      <w:r w:rsidRPr="004C0ABC">
        <w:rPr>
          <w:rFonts w:ascii="Verdana" w:eastAsia="Calibri" w:hAnsi="Verdana" w:cs="Arial"/>
          <w:sz w:val="20"/>
          <w:szCs w:val="20"/>
          <w:lang w:eastAsia="es-ES"/>
        </w:rPr>
        <w:t>De esta forma, si un proponente, de acuerdo con su planta de personal y la tabla establecida por la norma, acreditará dos (2) trabajadores con discapacidad para la obtención del puntaje, en caso de ser un proponente plural, se revisará la planta de personal del miembro que tenga mayor participación en el proponente plural, sin que sea posible que se revisen varias plantas de personal de los miembros del proponente plural, sino que solo se revisará la planta del miembro con mayor participación quien deberá contar con las personas con discapacidad que exige la norma en caso de que quiera acceder al puntaje, y no es posible que cada miembro aporte la vinculación de las personas con discapacidad que exige el Decreto 287 de 2026 para otorgar los puntos allí señalados.</w:t>
      </w:r>
    </w:p>
    <w:p w14:paraId="2A5DE896" w14:textId="77777777" w:rsidR="004E0ADB" w:rsidRPr="007B5AD4" w:rsidRDefault="004E0ADB" w:rsidP="004E0ADB">
      <w:pPr>
        <w:spacing w:after="0" w:line="240" w:lineRule="auto"/>
        <w:contextualSpacing/>
        <w:jc w:val="both"/>
        <w:rPr>
          <w:rFonts w:ascii="Verdana" w:eastAsia="Calibri" w:hAnsi="Verdana" w:cs="Arial"/>
          <w:sz w:val="20"/>
          <w:szCs w:val="20"/>
          <w:lang w:eastAsia="es-ES"/>
        </w:rPr>
      </w:pPr>
    </w:p>
    <w:p w14:paraId="6FB080C1" w14:textId="77777777" w:rsidR="004E0ADB" w:rsidRPr="004C046B" w:rsidRDefault="004E0ADB" w:rsidP="004E0ADB">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Vigencia ‒ Derogatoria ‒ Decreto 392 de 2018 ‒ Régimen de transición ‒ Resolución de apertura</w:t>
      </w:r>
    </w:p>
    <w:p w14:paraId="61486A24"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321CD500" w14:textId="77777777" w:rsidR="004E0ADB" w:rsidRDefault="004E0ADB" w:rsidP="004E0ADB">
      <w:pPr>
        <w:spacing w:after="0" w:line="240" w:lineRule="auto"/>
        <w:contextualSpacing/>
        <w:jc w:val="both"/>
        <w:rPr>
          <w:rFonts w:ascii="Verdana" w:eastAsia="Calibri" w:hAnsi="Verdana" w:cs="Arial"/>
          <w:sz w:val="20"/>
          <w:szCs w:val="20"/>
          <w:lang w:eastAsia="es-ES"/>
        </w:rPr>
      </w:pPr>
      <w:r w:rsidRPr="00A54668">
        <w:rPr>
          <w:rFonts w:ascii="Verdana" w:eastAsia="Calibri" w:hAnsi="Verdana" w:cs="Arial"/>
          <w:sz w:val="20"/>
          <w:szCs w:val="20"/>
          <w:lang w:eastAsia="es-ES"/>
        </w:rPr>
        <w:t xml:space="preserve">(…) </w:t>
      </w:r>
      <w:r w:rsidRPr="004C046B">
        <w:rPr>
          <w:rFonts w:ascii="Verdana" w:eastAsia="Calibri" w:hAnsi="Verdana" w:cs="Arial"/>
          <w:sz w:val="20"/>
          <w:szCs w:val="20"/>
          <w:lang w:eastAsia="es-ES"/>
        </w:rPr>
        <w:t xml:space="preserve">para la aplicación del Decreto 287 de 2026, se debe tener en cuenta que se expidió el 19 de marzo de 2026, y rige a partir del día siguiente a su publicación en el Diario Oficial, derogando todas las disposiciones contrarias, incluidas las versiones anteriores de los artículos 2.2.1.2.4.2.6., 2.2.1.2.4.2.7. y 2.2.1.2.4.2.8. del Decreto 1082 de 2015. Se aclara que la numeración del Decreto 392 de 2018 se mantuvo, pero su contenido </w:t>
      </w:r>
      <w:r w:rsidRPr="004C046B">
        <w:rPr>
          <w:rFonts w:ascii="Verdana" w:eastAsia="Calibri" w:hAnsi="Verdana" w:cs="Arial"/>
          <w:sz w:val="20"/>
          <w:szCs w:val="20"/>
          <w:lang w:eastAsia="es-ES"/>
        </w:rPr>
        <w:lastRenderedPageBreak/>
        <w:t>fue modificado en su integridad, por lo que no hubo derogatoria sino modificación total para conservar la numeración del mencionado decreto, pero lo señalado en este concepto debe entenderse de acuerdo con la nueva redacción de los artículos enlistados, y no recurrir a la antigua redacción.</w:t>
      </w:r>
    </w:p>
    <w:p w14:paraId="17242663" w14:textId="77777777" w:rsidR="004E0ADB" w:rsidRPr="004C046B" w:rsidRDefault="004E0ADB" w:rsidP="004E0ADB">
      <w:pPr>
        <w:spacing w:after="0" w:line="240" w:lineRule="auto"/>
        <w:contextualSpacing/>
        <w:jc w:val="both"/>
        <w:rPr>
          <w:rFonts w:ascii="Verdana" w:eastAsia="Calibri" w:hAnsi="Verdana" w:cs="Arial"/>
          <w:sz w:val="20"/>
          <w:szCs w:val="20"/>
          <w:lang w:eastAsia="es-ES"/>
        </w:rPr>
      </w:pPr>
    </w:p>
    <w:p w14:paraId="60E15F15" w14:textId="77777777" w:rsidR="004E0ADB" w:rsidRDefault="004E0ADB" w:rsidP="004E0ADB">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La aplicación del Decreto 287 de 2026 en los procesos de contratación que estén en curso depende de si estos contaban o no con resolución de apertura antes del 20 de marzo de 2026: i) La resolución de apertura fue expedida el 19 de marzo de 2026 o antes de esta fecha, en este caso el proceso continúa con las reglas originales sin aplicar el Decreto 287 de 2026; y </w:t>
      </w:r>
      <w:proofErr w:type="spellStart"/>
      <w:r w:rsidRPr="004C046B">
        <w:rPr>
          <w:rFonts w:ascii="Verdana" w:eastAsia="Calibri" w:hAnsi="Verdana" w:cs="Arial"/>
          <w:sz w:val="20"/>
          <w:szCs w:val="20"/>
          <w:lang w:eastAsia="es-ES"/>
        </w:rPr>
        <w:t>ii</w:t>
      </w:r>
      <w:proofErr w:type="spellEnd"/>
      <w:r w:rsidRPr="004C046B">
        <w:rPr>
          <w:rFonts w:ascii="Verdana" w:eastAsia="Calibri" w:hAnsi="Verdana" w:cs="Arial"/>
          <w:sz w:val="20"/>
          <w:szCs w:val="20"/>
          <w:lang w:eastAsia="es-ES"/>
        </w:rPr>
        <w:t>) La resolución de apertura no existe, o fue expedida el 20 de marzo de 2026 o en fecha posterior, por lo que se debe incorporar el Decreto 287 de 2026 al proceso contractual y la entidad debe ajustar sus estudios previos y pliegos de condiciones, incluido el proyecto de pliego, para dar pleno cumplimiento al decreto antes de expedir el acto administrativo de apertura.</w:t>
      </w:r>
    </w:p>
    <w:p w14:paraId="41098E88" w14:textId="77777777" w:rsidR="004E0ADB" w:rsidRPr="004C046B" w:rsidRDefault="004E0ADB" w:rsidP="004E0ADB">
      <w:pPr>
        <w:spacing w:after="0" w:line="240" w:lineRule="auto"/>
        <w:contextualSpacing/>
        <w:jc w:val="both"/>
        <w:rPr>
          <w:rFonts w:ascii="Verdana" w:eastAsia="Calibri" w:hAnsi="Verdana" w:cs="Arial"/>
          <w:sz w:val="20"/>
          <w:szCs w:val="20"/>
          <w:lang w:eastAsia="es-ES"/>
        </w:rPr>
      </w:pPr>
    </w:p>
    <w:p w14:paraId="26ADD272" w14:textId="77777777" w:rsidR="004E0ADB" w:rsidRDefault="004E0ADB" w:rsidP="004E0ADB">
      <w:pPr>
        <w:spacing w:after="0" w:line="240" w:lineRule="auto"/>
        <w:contextualSpacing/>
        <w:jc w:val="both"/>
        <w:rPr>
          <w:rFonts w:ascii="Verdana" w:eastAsia="Calibri" w:hAnsi="Verdana" w:cs="Arial"/>
          <w:sz w:val="20"/>
          <w:szCs w:val="20"/>
          <w:lang w:eastAsia="es-ES"/>
        </w:rPr>
      </w:pPr>
      <w:r w:rsidRPr="004C046B">
        <w:rPr>
          <w:rFonts w:ascii="Verdana" w:eastAsia="Calibri" w:hAnsi="Verdana" w:cs="Arial"/>
          <w:sz w:val="20"/>
          <w:szCs w:val="20"/>
          <w:lang w:eastAsia="es-ES"/>
        </w:rPr>
        <w:t xml:space="preserve">Para los procesos de contratación con proyecto de pliego </w:t>
      </w:r>
      <w:proofErr w:type="gramStart"/>
      <w:r w:rsidRPr="004C046B">
        <w:rPr>
          <w:rFonts w:ascii="Verdana" w:eastAsia="Calibri" w:hAnsi="Verdana" w:cs="Arial"/>
          <w:sz w:val="20"/>
          <w:szCs w:val="20"/>
          <w:lang w:eastAsia="es-ES"/>
        </w:rPr>
        <w:t>publicado</w:t>
      </w:r>
      <w:proofErr w:type="gramEnd"/>
      <w:r w:rsidRPr="004C046B">
        <w:rPr>
          <w:rFonts w:ascii="Verdana" w:eastAsia="Calibri" w:hAnsi="Verdana" w:cs="Arial"/>
          <w:sz w:val="20"/>
          <w:szCs w:val="20"/>
          <w:lang w:eastAsia="es-ES"/>
        </w:rPr>
        <w:t xml:space="preserve"> pero sin apertura al 19 de marzo de 2026, se recomienda que se incorporen las medidas del Decreto 287 de 2026 antes de publicar los pliegos definitivos. En esa etapa aún es posible realizar ajustes sin afectar derechos adquiridos de los proponentes.</w:t>
      </w:r>
    </w:p>
    <w:p w14:paraId="756F2D7D"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4530F897"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02BD8D27"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3CDCD1E8"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7E6D88B9"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4B231113"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1B52E716"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56780105"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54CC0856"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3268BE2F"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7754DCF9"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0DAE3CBD" w14:textId="77777777" w:rsidR="004E0ADB" w:rsidRDefault="004E0ADB" w:rsidP="004E0ADB">
      <w:pPr>
        <w:spacing w:after="0" w:line="240" w:lineRule="auto"/>
        <w:contextualSpacing/>
        <w:jc w:val="both"/>
        <w:rPr>
          <w:rFonts w:ascii="Verdana" w:eastAsia="Calibri" w:hAnsi="Verdana" w:cs="Arial"/>
          <w:sz w:val="20"/>
          <w:szCs w:val="20"/>
          <w:lang w:eastAsia="es-ES"/>
        </w:rPr>
      </w:pPr>
    </w:p>
    <w:p w14:paraId="705CD0EF" w14:textId="77777777" w:rsidR="004E0ADB" w:rsidRDefault="004E0ADB" w:rsidP="004E0ADB">
      <w:pPr>
        <w:spacing w:after="0"/>
        <w:rPr>
          <w:rFonts w:ascii="Verdana" w:hAnsi="Verdana"/>
          <w:lang w:val="es-ES_tradnl"/>
        </w:rPr>
      </w:pPr>
    </w:p>
    <w:p w14:paraId="33C85C75" w14:textId="77777777" w:rsidR="004E0ADB" w:rsidRDefault="004E0ADB" w:rsidP="004E0ADB">
      <w:pPr>
        <w:spacing w:after="0"/>
        <w:rPr>
          <w:rFonts w:ascii="Verdana" w:hAnsi="Verdana"/>
          <w:lang w:val="es-ES_tradnl"/>
        </w:rPr>
      </w:pPr>
    </w:p>
    <w:p w14:paraId="288FC341" w14:textId="77777777" w:rsidR="004E0ADB" w:rsidRDefault="004E0ADB" w:rsidP="004E0ADB">
      <w:pPr>
        <w:spacing w:after="0"/>
        <w:rPr>
          <w:rFonts w:ascii="Verdana" w:hAnsi="Verdana"/>
          <w:lang w:val="es-ES_tradnl"/>
        </w:rPr>
      </w:pPr>
    </w:p>
    <w:p w14:paraId="2E426AC8" w14:textId="77777777" w:rsidR="004E0ADB" w:rsidRDefault="004E0ADB" w:rsidP="004E0ADB">
      <w:pPr>
        <w:spacing w:after="0"/>
        <w:rPr>
          <w:rFonts w:ascii="Verdana" w:hAnsi="Verdana"/>
          <w:lang w:val="es-ES_tradnl"/>
        </w:rPr>
      </w:pPr>
    </w:p>
    <w:p w14:paraId="45075026" w14:textId="77777777" w:rsidR="004E0ADB" w:rsidRDefault="004E0ADB" w:rsidP="004E0ADB">
      <w:pPr>
        <w:spacing w:after="0"/>
        <w:rPr>
          <w:rFonts w:ascii="Verdana" w:hAnsi="Verdana"/>
          <w:lang w:val="es-ES_tradnl"/>
        </w:rPr>
      </w:pPr>
    </w:p>
    <w:p w14:paraId="449AA54F" w14:textId="77777777" w:rsidR="004E0ADB" w:rsidRDefault="004E0ADB" w:rsidP="004E0ADB">
      <w:pPr>
        <w:spacing w:after="0"/>
        <w:rPr>
          <w:rFonts w:ascii="Verdana" w:hAnsi="Verdana"/>
          <w:lang w:val="es-ES_tradnl"/>
        </w:rPr>
      </w:pPr>
    </w:p>
    <w:p w14:paraId="7BC4A9ED" w14:textId="77777777" w:rsidR="004E0ADB" w:rsidRDefault="004E0ADB" w:rsidP="004E0ADB">
      <w:pPr>
        <w:spacing w:after="0"/>
        <w:rPr>
          <w:rFonts w:ascii="Verdana" w:hAnsi="Verdana"/>
          <w:lang w:val="es-ES_tradnl"/>
        </w:rPr>
      </w:pPr>
    </w:p>
    <w:p w14:paraId="42B7EE52" w14:textId="77777777" w:rsidR="004E0ADB" w:rsidRDefault="004E0ADB" w:rsidP="004E0ADB">
      <w:pPr>
        <w:spacing w:after="0"/>
        <w:rPr>
          <w:rFonts w:ascii="Verdana" w:hAnsi="Verdana"/>
          <w:lang w:val="es-ES_tradnl"/>
        </w:rPr>
      </w:pPr>
    </w:p>
    <w:p w14:paraId="253E9822" w14:textId="77777777" w:rsidR="004E0ADB" w:rsidRDefault="004E0ADB" w:rsidP="004E0ADB">
      <w:pPr>
        <w:spacing w:after="0"/>
        <w:rPr>
          <w:rFonts w:ascii="Verdana" w:hAnsi="Verdana"/>
          <w:lang w:val="es-ES_tradnl"/>
        </w:rPr>
      </w:pPr>
    </w:p>
    <w:p w14:paraId="6D5F09BF" w14:textId="77777777" w:rsidR="004E0ADB" w:rsidRDefault="004E0ADB" w:rsidP="004E0ADB">
      <w:pPr>
        <w:spacing w:after="0"/>
        <w:rPr>
          <w:rFonts w:ascii="Verdana" w:hAnsi="Verdana"/>
          <w:lang w:val="es-ES_tradnl"/>
        </w:rPr>
      </w:pPr>
    </w:p>
    <w:p w14:paraId="7205C378" w14:textId="77777777" w:rsidR="004E0ADB" w:rsidRDefault="004E0ADB" w:rsidP="004E0ADB">
      <w:pPr>
        <w:spacing w:after="0"/>
        <w:rPr>
          <w:rFonts w:ascii="Verdana" w:hAnsi="Verdana"/>
          <w:lang w:val="es-ES_tradnl"/>
        </w:rPr>
      </w:pPr>
    </w:p>
    <w:p w14:paraId="6228BFC3" w14:textId="77777777" w:rsidR="004E0ADB" w:rsidRDefault="004E0ADB" w:rsidP="004E0ADB">
      <w:pPr>
        <w:spacing w:after="0"/>
        <w:rPr>
          <w:rFonts w:ascii="Verdana" w:hAnsi="Verdana"/>
          <w:lang w:val="es-ES_tradnl"/>
        </w:rPr>
      </w:pPr>
    </w:p>
    <w:p w14:paraId="50518EB4" w14:textId="77777777" w:rsidR="004E0ADB" w:rsidRDefault="004E0ADB" w:rsidP="004E0ADB">
      <w:pPr>
        <w:spacing w:after="0"/>
        <w:rPr>
          <w:rFonts w:ascii="Verdana" w:hAnsi="Verdana"/>
          <w:lang w:val="es-ES_tradnl"/>
        </w:rPr>
      </w:pPr>
    </w:p>
    <w:p w14:paraId="63DC7AB0" w14:textId="17A1872A" w:rsidR="004E0ADB" w:rsidRPr="00777292" w:rsidRDefault="004E0ADB" w:rsidP="004E0ADB">
      <w:pPr>
        <w:spacing w:after="0"/>
        <w:rPr>
          <w:rFonts w:ascii="Verdana" w:hAnsi="Verdana"/>
          <w:lang w:val="es-ES_tradnl"/>
        </w:rPr>
      </w:pPr>
      <w:r w:rsidRPr="00777292">
        <w:rPr>
          <w:rFonts w:ascii="Verdana" w:hAnsi="Verdana"/>
          <w:lang w:val="es-ES_tradnl"/>
        </w:rPr>
        <w:lastRenderedPageBreak/>
        <w:t xml:space="preserve">Bogotá D.C., </w:t>
      </w:r>
      <w:r w:rsidR="007656F9">
        <w:rPr>
          <w:rFonts w:ascii="Verdana" w:hAnsi="Verdana"/>
        </w:rPr>
        <w:t>01 julio 2026</w:t>
      </w:r>
    </w:p>
    <w:p w14:paraId="1C5B8FFA" w14:textId="77777777" w:rsidR="004E0ADB" w:rsidRDefault="004E0ADB" w:rsidP="004E0ADB">
      <w:pPr>
        <w:spacing w:after="0"/>
        <w:jc w:val="right"/>
        <w:rPr>
          <w:rFonts w:ascii="Verdana" w:hAnsi="Verdana"/>
          <w:lang w:val="es-ES_tradnl"/>
        </w:rPr>
      </w:pPr>
    </w:p>
    <w:p w14:paraId="7FAF1BB8" w14:textId="00357D95" w:rsidR="004E0ADB" w:rsidRPr="00777292" w:rsidRDefault="00D253FD" w:rsidP="004E0ADB">
      <w:pPr>
        <w:spacing w:after="0"/>
        <w:rPr>
          <w:rFonts w:ascii="Verdana" w:hAnsi="Verdana"/>
          <w:lang w:val="es-ES_tradnl"/>
        </w:rPr>
      </w:pPr>
      <w:r w:rsidRPr="00F06E9E">
        <w:rPr>
          <w:rFonts w:ascii="Verdana" w:eastAsia="Calibri" w:hAnsi="Verdana" w:cs="Arial"/>
          <w:noProof/>
          <w:lang w:val="en-US" w:eastAsia="es-ES"/>
        </w:rPr>
        <w:drawing>
          <wp:anchor distT="0" distB="0" distL="114300" distR="114300" simplePos="0" relativeHeight="251658240" behindDoc="1" locked="0" layoutInCell="1" allowOverlap="1" wp14:anchorId="408994F7" wp14:editId="1F1F7900">
            <wp:simplePos x="0" y="0"/>
            <wp:positionH relativeFrom="margin">
              <wp:align>right</wp:align>
            </wp:positionH>
            <wp:positionV relativeFrom="paragraph">
              <wp:posOffset>95308</wp:posOffset>
            </wp:positionV>
            <wp:extent cx="2458085" cy="681355"/>
            <wp:effectExtent l="0" t="0" r="0" b="4445"/>
            <wp:wrapTight wrapText="bothSides">
              <wp:wrapPolygon edited="0">
                <wp:start x="0" y="0"/>
                <wp:lineTo x="0" y="21137"/>
                <wp:lineTo x="21427" y="21137"/>
                <wp:lineTo x="21427" y="0"/>
                <wp:lineTo x="0" y="0"/>
              </wp:wrapPolygon>
            </wp:wrapTight>
            <wp:docPr id="4573658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58085" cy="681355"/>
                    </a:xfrm>
                    <a:prstGeom prst="rect">
                      <a:avLst/>
                    </a:prstGeom>
                    <a:noFill/>
                    <a:ln>
                      <a:noFill/>
                    </a:ln>
                  </pic:spPr>
                </pic:pic>
              </a:graphicData>
            </a:graphic>
          </wp:anchor>
        </w:drawing>
      </w:r>
    </w:p>
    <w:p w14:paraId="7BC760FE" w14:textId="7090DB2F" w:rsidR="004E0ADB" w:rsidRPr="00AA186C" w:rsidRDefault="004E0ADB" w:rsidP="004E0ADB">
      <w:pPr>
        <w:spacing w:after="0" w:line="240" w:lineRule="auto"/>
        <w:rPr>
          <w:rFonts w:ascii="Verdana" w:hAnsi="Verdana"/>
          <w:lang w:val="en-US"/>
        </w:rPr>
      </w:pPr>
      <w:bookmarkStart w:id="0" w:name="_Hlk143780582"/>
      <w:proofErr w:type="spellStart"/>
      <w:r w:rsidRPr="00AA186C">
        <w:rPr>
          <w:rFonts w:ascii="Verdana" w:eastAsia="Calibri" w:hAnsi="Verdana" w:cs="Arial"/>
          <w:lang w:val="en-US" w:eastAsia="es-ES"/>
        </w:rPr>
        <w:t>Señor</w:t>
      </w:r>
      <w:proofErr w:type="spellEnd"/>
    </w:p>
    <w:p w14:paraId="2AE0F9EB" w14:textId="77777777" w:rsidR="004E0ADB" w:rsidRPr="005874E1" w:rsidRDefault="004E0ADB" w:rsidP="004E0ADB">
      <w:pPr>
        <w:spacing w:after="0"/>
        <w:rPr>
          <w:rFonts w:ascii="Verdana" w:eastAsia="Calibri" w:hAnsi="Verdana" w:cs="Arial"/>
          <w:b/>
          <w:bCs/>
          <w:lang w:val="en-US" w:eastAsia="es-ES"/>
        </w:rPr>
      </w:pPr>
      <w:r>
        <w:rPr>
          <w:rFonts w:ascii="Verdana" w:eastAsia="Calibri" w:hAnsi="Verdana" w:cs="Arial"/>
          <w:b/>
          <w:bCs/>
          <w:lang w:val="en-US" w:eastAsia="es-ES"/>
        </w:rPr>
        <w:t xml:space="preserve">Darwin Mejia </w:t>
      </w:r>
      <w:proofErr w:type="spellStart"/>
      <w:r>
        <w:rPr>
          <w:rFonts w:ascii="Verdana" w:eastAsia="Calibri" w:hAnsi="Verdana" w:cs="Arial"/>
          <w:b/>
          <w:bCs/>
          <w:lang w:val="en-US" w:eastAsia="es-ES"/>
        </w:rPr>
        <w:t>Quintana</w:t>
      </w:r>
      <w:proofErr w:type="spellEnd"/>
    </w:p>
    <w:p w14:paraId="13E079C6" w14:textId="77777777" w:rsidR="004E0ADB" w:rsidRPr="007F1B1F" w:rsidRDefault="004E0ADB" w:rsidP="004E0ADB">
      <w:pPr>
        <w:spacing w:after="0"/>
        <w:rPr>
          <w:rFonts w:ascii="Verdana" w:hAnsi="Verdana"/>
        </w:rPr>
      </w:pPr>
      <w:hyperlink r:id="rId8" w:history="1">
        <w:r w:rsidRPr="007F1B1F">
          <w:rPr>
            <w:rStyle w:val="Hipervnculo"/>
            <w:rFonts w:ascii="Verdana" w:hAnsi="Verdana"/>
          </w:rPr>
          <w:t>djmejiaq@gmail.com</w:t>
        </w:r>
      </w:hyperlink>
    </w:p>
    <w:p w14:paraId="25AC6CC2" w14:textId="77777777" w:rsidR="004E0ADB" w:rsidRDefault="004E0ADB" w:rsidP="004E0ADB">
      <w:pPr>
        <w:spacing w:after="0"/>
        <w:rPr>
          <w:rFonts w:ascii="Verdana" w:eastAsia="Calibri" w:hAnsi="Verdana" w:cs="Arial"/>
          <w:lang w:eastAsia="es-ES"/>
        </w:rPr>
      </w:pPr>
      <w:r w:rsidRPr="006A7B59">
        <w:rPr>
          <w:rFonts w:ascii="Verdana" w:eastAsia="Calibri" w:hAnsi="Verdana" w:cs="Arial"/>
          <w:lang w:eastAsia="es-ES"/>
        </w:rPr>
        <w:t>Ciudad</w:t>
      </w:r>
    </w:p>
    <w:p w14:paraId="62D5216C" w14:textId="77777777" w:rsidR="004E0ADB" w:rsidRPr="00777292" w:rsidRDefault="004E0ADB" w:rsidP="004E0ADB">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E0ADB" w:rsidRPr="00777292" w14:paraId="599BB899" w14:textId="77777777" w:rsidTr="009B177F">
        <w:trPr>
          <w:trHeight w:val="190"/>
        </w:trPr>
        <w:tc>
          <w:tcPr>
            <w:tcW w:w="2689" w:type="dxa"/>
          </w:tcPr>
          <w:p w14:paraId="257008FF" w14:textId="77777777" w:rsidR="004E0ADB" w:rsidRDefault="004E0ADB" w:rsidP="009B177F">
            <w:pPr>
              <w:jc w:val="both"/>
              <w:rPr>
                <w:rFonts w:ascii="Verdana" w:eastAsia="Calibri" w:hAnsi="Verdana" w:cs="Arial"/>
                <w:b/>
                <w:bCs/>
                <w:lang w:eastAsia="es-ES_tradnl"/>
              </w:rPr>
            </w:pPr>
          </w:p>
          <w:p w14:paraId="5615F388" w14:textId="77777777" w:rsidR="004E0ADB" w:rsidRPr="00777292" w:rsidRDefault="004E0ADB" w:rsidP="009B177F">
            <w:pPr>
              <w:jc w:val="both"/>
              <w:rPr>
                <w:rFonts w:ascii="Verdana" w:eastAsia="Calibri" w:hAnsi="Verdana" w:cs="Arial"/>
                <w:b/>
                <w:bCs/>
                <w:lang w:eastAsia="es-ES_tradnl"/>
              </w:rPr>
            </w:pPr>
          </w:p>
        </w:tc>
        <w:tc>
          <w:tcPr>
            <w:tcW w:w="6100" w:type="dxa"/>
          </w:tcPr>
          <w:p w14:paraId="232C7A88" w14:textId="77777777" w:rsidR="004E0ADB" w:rsidRPr="00777292" w:rsidRDefault="004E0ADB" w:rsidP="009B177F">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Pr>
                <w:rFonts w:ascii="Verdana" w:eastAsia="Calibri" w:hAnsi="Verdana" w:cs="Arial"/>
                <w:b/>
                <w:bCs/>
                <w:lang w:eastAsia="es-ES"/>
              </w:rPr>
              <w:t>818</w:t>
            </w:r>
            <w:r w:rsidRPr="00777292">
              <w:rPr>
                <w:rFonts w:ascii="Verdana" w:eastAsia="Calibri" w:hAnsi="Verdana" w:cs="Arial"/>
                <w:b/>
                <w:bCs/>
                <w:lang w:eastAsia="es-ES"/>
              </w:rPr>
              <w:t xml:space="preserve"> de 2026</w:t>
            </w:r>
          </w:p>
          <w:p w14:paraId="7C6569E0" w14:textId="77777777" w:rsidR="004E0ADB" w:rsidRPr="00777292" w:rsidRDefault="004E0ADB" w:rsidP="009B177F">
            <w:pPr>
              <w:jc w:val="both"/>
              <w:rPr>
                <w:rFonts w:ascii="Verdana" w:eastAsia="Calibri" w:hAnsi="Verdana" w:cs="Arial"/>
                <w:b/>
                <w:bCs/>
                <w:lang w:eastAsia="es-ES"/>
              </w:rPr>
            </w:pPr>
          </w:p>
        </w:tc>
      </w:tr>
      <w:tr w:rsidR="004E0ADB" w:rsidRPr="00777292" w14:paraId="5E70B5BF" w14:textId="77777777" w:rsidTr="009B177F">
        <w:trPr>
          <w:trHeight w:val="884"/>
        </w:trPr>
        <w:tc>
          <w:tcPr>
            <w:tcW w:w="2689" w:type="dxa"/>
          </w:tcPr>
          <w:p w14:paraId="4605BA18" w14:textId="77777777" w:rsidR="004E0ADB" w:rsidRPr="00777292" w:rsidRDefault="004E0ADB" w:rsidP="009B177F">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40005419" w14:textId="77777777" w:rsidR="004E0ADB" w:rsidRDefault="004E0ADB" w:rsidP="009B177F">
            <w:pPr>
              <w:contextualSpacing/>
              <w:jc w:val="both"/>
              <w:rPr>
                <w:rFonts w:ascii="Verdana" w:eastAsia="Calibri" w:hAnsi="Verdana" w:cs="Arial"/>
                <w:lang w:eastAsia="es-ES"/>
              </w:rPr>
            </w:pPr>
            <w:r w:rsidRPr="00777292">
              <w:rPr>
                <w:rFonts w:ascii="Verdana" w:eastAsia="Calibri" w:hAnsi="Verdana" w:cs="Arial"/>
                <w:lang w:eastAsia="es-ES"/>
              </w:rPr>
              <w:t>DECRETO 0287 DE 2026 ‒ Sistema Integral de Preferencias ‒ Contratación pública inclusiva ‒ Personas con discapacidad</w:t>
            </w:r>
            <w:r>
              <w:rPr>
                <w:rFonts w:ascii="Verdana" w:eastAsia="Calibri" w:hAnsi="Verdana" w:cs="Arial"/>
                <w:lang w:eastAsia="es-ES"/>
              </w:rPr>
              <w:t xml:space="preserve"> / </w:t>
            </w: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 </w:t>
            </w:r>
            <w:r w:rsidRPr="00777292">
              <w:rPr>
                <w:rFonts w:ascii="Verdana" w:eastAsia="Calibri" w:hAnsi="Verdana" w:cs="Arial"/>
                <w:lang w:eastAsia="es-ES"/>
              </w:rPr>
              <w:t>DECRETO 0287 DE 2026 ‒ Sujetos del sistema ‒ Emprendimientos y empresas de personas con discapacidad ‒ Empleadores de personas con discapacidad ‒ Definición y diferenciación</w:t>
            </w:r>
            <w:r>
              <w:rPr>
                <w:rFonts w:ascii="Verdana" w:eastAsia="Calibri" w:hAnsi="Verdana" w:cs="Arial"/>
                <w:lang w:eastAsia="es-ES"/>
              </w:rPr>
              <w:t xml:space="preserve"> / </w:t>
            </w:r>
            <w:r w:rsidRPr="00A000AE">
              <w:rPr>
                <w:rFonts w:ascii="Verdana" w:eastAsia="Calibri" w:hAnsi="Verdana" w:cs="Arial"/>
                <w:lang w:eastAsia="es-ES"/>
              </w:rPr>
              <w:t>DECRETO 0287 DE 2026 ‒ Puntaje adicional del 2% ‒ Proponentes plurales</w:t>
            </w:r>
            <w:r>
              <w:rPr>
                <w:rFonts w:ascii="Verdana" w:eastAsia="Calibri" w:hAnsi="Verdana" w:cs="Arial"/>
                <w:lang w:eastAsia="es-ES"/>
              </w:rPr>
              <w:t xml:space="preserve"> / </w:t>
            </w:r>
            <w:r w:rsidRPr="00777292">
              <w:rPr>
                <w:rFonts w:ascii="Verdana" w:eastAsia="Calibri" w:hAnsi="Verdana" w:cs="Arial"/>
                <w:lang w:eastAsia="es-ES"/>
              </w:rPr>
              <w:t>DECRETO 0287 DE 2026 ‒ Vigencia ‒ Derogatoria ‒ Decreto 392 de 2018 ‒ Régimen de transición ‒ Resolución de apertura</w:t>
            </w:r>
          </w:p>
          <w:p w14:paraId="64C115DD" w14:textId="77777777" w:rsidR="002E26CE" w:rsidRPr="00777292" w:rsidRDefault="002E26CE" w:rsidP="009B177F">
            <w:pPr>
              <w:contextualSpacing/>
              <w:jc w:val="both"/>
              <w:rPr>
                <w:rFonts w:ascii="Verdana" w:eastAsia="Calibri" w:hAnsi="Verdana" w:cs="Arial"/>
                <w:lang w:eastAsia="es-ES"/>
              </w:rPr>
            </w:pPr>
          </w:p>
        </w:tc>
      </w:tr>
      <w:tr w:rsidR="004E0ADB" w:rsidRPr="00777292" w14:paraId="4740E6AF" w14:textId="77777777" w:rsidTr="009B177F">
        <w:tc>
          <w:tcPr>
            <w:tcW w:w="2689" w:type="dxa"/>
          </w:tcPr>
          <w:p w14:paraId="24F940E5" w14:textId="77777777" w:rsidR="004E0ADB" w:rsidRPr="00777292" w:rsidRDefault="004E0ADB" w:rsidP="009B177F">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093B693C" w14:textId="77777777" w:rsidR="004E0ADB" w:rsidRPr="007F1B1F" w:rsidRDefault="004E0ADB" w:rsidP="009B177F">
            <w:pPr>
              <w:jc w:val="both"/>
              <w:rPr>
                <w:rFonts w:ascii="Verdana" w:eastAsia="Calibri" w:hAnsi="Verdana" w:cs="Arial"/>
                <w:lang w:eastAsia="es-ES_tradnl"/>
              </w:rPr>
            </w:pPr>
            <w:r w:rsidRPr="007F1B1F">
              <w:rPr>
                <w:rFonts w:ascii="Verdana" w:eastAsia="Calibri" w:hAnsi="Verdana" w:cs="Arial"/>
                <w:lang w:eastAsia="es-ES_tradnl"/>
              </w:rPr>
              <w:t>Respuesta a consulta con radicado No.</w:t>
            </w:r>
            <w:r w:rsidRPr="007F1B1F">
              <w:rPr>
                <w:rFonts w:ascii="Verdana" w:hAnsi="Verdana" w:cs="Segoe UI"/>
                <w:shd w:val="clear" w:color="auto" w:fill="FFFFFF"/>
              </w:rPr>
              <w:t xml:space="preserve"> 1_2026_05_15_006630</w:t>
            </w:r>
          </w:p>
        </w:tc>
      </w:tr>
    </w:tbl>
    <w:p w14:paraId="1FDE90C8" w14:textId="77777777" w:rsidR="004E0ADB" w:rsidRPr="00206556" w:rsidRDefault="004E0ADB" w:rsidP="004E0ADB">
      <w:pPr>
        <w:tabs>
          <w:tab w:val="left" w:pos="1520"/>
        </w:tabs>
        <w:spacing w:after="0" w:line="276" w:lineRule="auto"/>
        <w:jc w:val="both"/>
        <w:rPr>
          <w:rFonts w:ascii="Verdana" w:eastAsia="Calibri" w:hAnsi="Verdana" w:cs="Arial"/>
          <w:color w:val="E97132" w:themeColor="accent2"/>
          <w:sz w:val="20"/>
          <w:szCs w:val="20"/>
          <w:lang w:val="es-ES" w:eastAsia="es-ES"/>
        </w:rPr>
      </w:pPr>
    </w:p>
    <w:p w14:paraId="38650DE4" w14:textId="77777777" w:rsidR="004E0ADB" w:rsidRPr="00206556" w:rsidRDefault="004E0ADB" w:rsidP="004E0ADB">
      <w:pPr>
        <w:spacing w:after="0" w:line="276" w:lineRule="auto"/>
        <w:jc w:val="both"/>
        <w:rPr>
          <w:rFonts w:ascii="Verdana" w:eastAsia="Calibri" w:hAnsi="Verdana" w:cs="Arial"/>
          <w:color w:val="E97132" w:themeColor="accent2"/>
          <w:lang w:val="es-ES" w:eastAsia="es-ES"/>
        </w:rPr>
      </w:pPr>
    </w:p>
    <w:p w14:paraId="17D2B760" w14:textId="77777777" w:rsidR="004E0ADB" w:rsidRPr="00206556" w:rsidRDefault="004E0ADB" w:rsidP="004E0ADB">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Pr>
          <w:rFonts w:ascii="Verdana" w:eastAsia="Calibri" w:hAnsi="Verdana" w:cs="Arial"/>
          <w:lang w:val="es-ES" w:eastAsia="es-ES"/>
        </w:rPr>
        <w:t>o</w:t>
      </w:r>
      <w:r w:rsidRPr="006A7B59">
        <w:rPr>
          <w:rFonts w:ascii="Verdana" w:eastAsia="Calibri" w:hAnsi="Verdana" w:cs="Arial"/>
          <w:lang w:val="es-ES" w:eastAsia="es-ES"/>
        </w:rPr>
        <w:t xml:space="preserve"> Señor </w:t>
      </w:r>
      <w:r>
        <w:rPr>
          <w:rFonts w:ascii="Verdana" w:eastAsia="Calibri" w:hAnsi="Verdana" w:cs="Arial"/>
          <w:lang w:val="es-ES" w:eastAsia="es-ES"/>
        </w:rPr>
        <w:t>Mejia</w:t>
      </w:r>
      <w:r w:rsidRPr="006A7B59">
        <w:rPr>
          <w:rFonts w:ascii="Verdana" w:eastAsia="Calibri" w:hAnsi="Verdana" w:cs="Arial"/>
          <w:lang w:val="es-ES" w:eastAsia="es-ES"/>
        </w:rPr>
        <w:t>,</w:t>
      </w:r>
    </w:p>
    <w:p w14:paraId="09D1A5A9" w14:textId="77777777" w:rsidR="004E0ADB" w:rsidRPr="00206556" w:rsidRDefault="004E0ADB" w:rsidP="004E0ADB">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4ACCF852" w14:textId="77777777" w:rsidR="004E0ADB" w:rsidRPr="00206556" w:rsidRDefault="004E0ADB" w:rsidP="004E0ADB">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 xml:space="preserve">consulta de fecha </w:t>
      </w:r>
      <w:r>
        <w:rPr>
          <w:rFonts w:ascii="Verdana" w:eastAsia="Calibri" w:hAnsi="Verdana" w:cs="Arial"/>
          <w:lang w:val="es-ES" w:eastAsia="es-ES"/>
        </w:rPr>
        <w:t>15 de mayo</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345F36E9" w14:textId="77777777" w:rsidR="004E0ADB" w:rsidRDefault="004E0ADB" w:rsidP="004E0ADB">
      <w:pPr>
        <w:spacing w:before="120" w:after="120" w:line="240" w:lineRule="auto"/>
        <w:ind w:right="709"/>
        <w:contextualSpacing/>
        <w:jc w:val="both"/>
        <w:rPr>
          <w:rFonts w:ascii="Verdana" w:eastAsia="Century Gothic" w:hAnsi="Verdana" w:cs="Century Gothic"/>
          <w:i/>
          <w:iCs/>
          <w:sz w:val="20"/>
          <w:szCs w:val="20"/>
          <w:lang w:val="es-ES"/>
        </w:rPr>
      </w:pPr>
    </w:p>
    <w:p w14:paraId="43CA494F" w14:textId="77777777" w:rsidR="004E0ADB" w:rsidRPr="00C074AB" w:rsidRDefault="004E0ADB" w:rsidP="004E0ADB">
      <w:pPr>
        <w:spacing w:before="120" w:after="120" w:line="240" w:lineRule="auto"/>
        <w:ind w:left="709" w:right="709"/>
        <w:contextualSpacing/>
        <w:jc w:val="both"/>
        <w:rPr>
          <w:rFonts w:ascii="Verdana" w:eastAsia="Century Gothic" w:hAnsi="Verdana" w:cs="Century Gothic"/>
          <w:i/>
          <w:iCs/>
          <w:sz w:val="21"/>
          <w:szCs w:val="21"/>
        </w:rPr>
      </w:pPr>
      <w:r>
        <w:rPr>
          <w:rFonts w:ascii="Verdana" w:eastAsia="Century Gothic" w:hAnsi="Verdana" w:cs="Century Gothic"/>
          <w:i/>
          <w:iCs/>
          <w:sz w:val="21"/>
          <w:szCs w:val="21"/>
          <w:lang w:val="es-ES"/>
        </w:rPr>
        <w:t xml:space="preserve">(…) </w:t>
      </w:r>
      <w:r w:rsidRPr="00C074AB">
        <w:rPr>
          <w:rFonts w:ascii="Verdana" w:eastAsia="Century Gothic" w:hAnsi="Verdana" w:cs="Century Gothic"/>
          <w:i/>
          <w:iCs/>
          <w:sz w:val="21"/>
          <w:szCs w:val="21"/>
        </w:rPr>
        <w:t>La finalidad de la presente solicitud es obtener claridad jurídica y técnica</w:t>
      </w:r>
      <w:r>
        <w:rPr>
          <w:rFonts w:ascii="Verdana" w:eastAsia="Century Gothic" w:hAnsi="Verdana" w:cs="Century Gothic"/>
          <w:i/>
          <w:iCs/>
          <w:sz w:val="21"/>
          <w:szCs w:val="21"/>
        </w:rPr>
        <w:t xml:space="preserve"> </w:t>
      </w:r>
      <w:r w:rsidRPr="00C074AB">
        <w:rPr>
          <w:rFonts w:ascii="Verdana" w:eastAsia="Century Gothic" w:hAnsi="Verdana" w:cs="Century Gothic"/>
          <w:i/>
          <w:iCs/>
          <w:sz w:val="21"/>
          <w:szCs w:val="21"/>
        </w:rPr>
        <w:t xml:space="preserve">respecto de la correcta forma de acreditación y aplicación de </w:t>
      </w:r>
      <w:r w:rsidRPr="00C074AB">
        <w:rPr>
          <w:rFonts w:ascii="Verdana" w:eastAsia="Century Gothic" w:hAnsi="Verdana" w:cs="Century Gothic"/>
          <w:i/>
          <w:iCs/>
          <w:sz w:val="21"/>
          <w:szCs w:val="21"/>
        </w:rPr>
        <w:lastRenderedPageBreak/>
        <w:t>las</w:t>
      </w:r>
      <w:r>
        <w:rPr>
          <w:rFonts w:ascii="Verdana" w:eastAsia="Century Gothic" w:hAnsi="Verdana" w:cs="Century Gothic"/>
          <w:i/>
          <w:iCs/>
          <w:sz w:val="21"/>
          <w:szCs w:val="21"/>
        </w:rPr>
        <w:t xml:space="preserve"> </w:t>
      </w:r>
      <w:r w:rsidRPr="00C074AB">
        <w:rPr>
          <w:rFonts w:ascii="Verdana" w:eastAsia="Century Gothic" w:hAnsi="Verdana" w:cs="Century Gothic"/>
          <w:i/>
          <w:iCs/>
          <w:sz w:val="21"/>
          <w:szCs w:val="21"/>
        </w:rPr>
        <w:t>condiciones previstas en el Decreto 287 de 2026 para el caso de</w:t>
      </w:r>
      <w:r>
        <w:rPr>
          <w:rFonts w:ascii="Verdana" w:eastAsia="Century Gothic" w:hAnsi="Verdana" w:cs="Century Gothic"/>
          <w:i/>
          <w:iCs/>
          <w:sz w:val="21"/>
          <w:szCs w:val="21"/>
        </w:rPr>
        <w:t xml:space="preserve"> </w:t>
      </w:r>
      <w:r w:rsidRPr="00C074AB">
        <w:rPr>
          <w:rFonts w:ascii="Verdana" w:eastAsia="Century Gothic" w:hAnsi="Verdana" w:cs="Century Gothic"/>
          <w:i/>
          <w:iCs/>
          <w:sz w:val="21"/>
          <w:szCs w:val="21"/>
        </w:rPr>
        <w:t>estructuras plurales, particularmente frente a cada una de las opciones</w:t>
      </w:r>
    </w:p>
    <w:p w14:paraId="426B2C2C" w14:textId="77777777" w:rsidR="004E0ADB" w:rsidRDefault="004E0ADB" w:rsidP="004E0ADB">
      <w:pPr>
        <w:spacing w:before="120" w:after="120" w:line="240" w:lineRule="auto"/>
        <w:ind w:left="709" w:right="709"/>
        <w:contextualSpacing/>
        <w:jc w:val="both"/>
        <w:rPr>
          <w:rFonts w:ascii="Verdana" w:eastAsia="Century Gothic" w:hAnsi="Verdana" w:cs="Century Gothic"/>
          <w:i/>
          <w:iCs/>
          <w:sz w:val="21"/>
          <w:szCs w:val="21"/>
        </w:rPr>
      </w:pPr>
      <w:r w:rsidRPr="00C074AB">
        <w:rPr>
          <w:rFonts w:ascii="Verdana" w:eastAsia="Century Gothic" w:hAnsi="Verdana" w:cs="Century Gothic"/>
          <w:i/>
          <w:iCs/>
          <w:sz w:val="21"/>
          <w:szCs w:val="21"/>
        </w:rPr>
        <w:t>contempladas para el otorgamiento del puntaje adicional en favor de</w:t>
      </w:r>
      <w:r>
        <w:rPr>
          <w:rFonts w:ascii="Verdana" w:eastAsia="Century Gothic" w:hAnsi="Verdana" w:cs="Century Gothic"/>
          <w:i/>
          <w:iCs/>
          <w:sz w:val="21"/>
          <w:szCs w:val="21"/>
        </w:rPr>
        <w:t xml:space="preserve"> </w:t>
      </w:r>
      <w:r w:rsidRPr="00C074AB">
        <w:rPr>
          <w:rFonts w:ascii="Verdana" w:eastAsia="Century Gothic" w:hAnsi="Verdana" w:cs="Century Gothic"/>
          <w:i/>
          <w:iCs/>
          <w:sz w:val="21"/>
          <w:szCs w:val="21"/>
        </w:rPr>
        <w:t>personas con discapacidad (1. emprendimientos y empresas de personas</w:t>
      </w:r>
      <w:r>
        <w:rPr>
          <w:rFonts w:ascii="Verdana" w:eastAsia="Century Gothic" w:hAnsi="Verdana" w:cs="Century Gothic"/>
          <w:i/>
          <w:iCs/>
          <w:sz w:val="21"/>
          <w:szCs w:val="21"/>
        </w:rPr>
        <w:t xml:space="preserve"> </w:t>
      </w:r>
      <w:r w:rsidRPr="00C074AB">
        <w:rPr>
          <w:rFonts w:ascii="Verdana" w:eastAsia="Century Gothic" w:hAnsi="Verdana" w:cs="Century Gothic"/>
          <w:i/>
          <w:iCs/>
          <w:sz w:val="21"/>
          <w:szCs w:val="21"/>
        </w:rPr>
        <w:t>con discapacidad y 2. vinculación de personas en condición de</w:t>
      </w:r>
      <w:r>
        <w:rPr>
          <w:rFonts w:ascii="Verdana" w:eastAsia="Century Gothic" w:hAnsi="Verdana" w:cs="Century Gothic"/>
          <w:i/>
          <w:iCs/>
          <w:sz w:val="21"/>
          <w:szCs w:val="21"/>
        </w:rPr>
        <w:t xml:space="preserve"> </w:t>
      </w:r>
      <w:r w:rsidRPr="00C074AB">
        <w:rPr>
          <w:rFonts w:ascii="Verdana" w:eastAsia="Century Gothic" w:hAnsi="Verdana" w:cs="Century Gothic"/>
          <w:i/>
          <w:iCs/>
          <w:sz w:val="21"/>
          <w:szCs w:val="21"/>
        </w:rPr>
        <w:t>discapacidad).:</w:t>
      </w:r>
      <w:r>
        <w:rPr>
          <w:rFonts w:ascii="Verdana" w:eastAsia="Century Gothic" w:hAnsi="Verdana" w:cs="Century Gothic"/>
          <w:i/>
          <w:iCs/>
          <w:sz w:val="21"/>
          <w:szCs w:val="21"/>
        </w:rPr>
        <w:t xml:space="preserve"> (…)”</w:t>
      </w:r>
    </w:p>
    <w:p w14:paraId="248A70F9" w14:textId="77777777" w:rsidR="004E0ADB" w:rsidRPr="00206556" w:rsidRDefault="004E0ADB" w:rsidP="004E0ADB">
      <w:pPr>
        <w:spacing w:before="120" w:after="120" w:line="240" w:lineRule="auto"/>
        <w:ind w:left="709" w:right="709"/>
        <w:contextualSpacing/>
        <w:jc w:val="both"/>
        <w:rPr>
          <w:rFonts w:ascii="Verdana" w:eastAsia="Century Gothic" w:hAnsi="Verdana" w:cs="Century Gothic"/>
          <w:i/>
          <w:iCs/>
          <w:sz w:val="20"/>
          <w:szCs w:val="20"/>
          <w:lang w:val="es-ES"/>
        </w:rPr>
      </w:pPr>
    </w:p>
    <w:p w14:paraId="6E1CC3E4" w14:textId="77777777" w:rsidR="004E0ADB" w:rsidRPr="00206556" w:rsidRDefault="004E0ADB" w:rsidP="004E0ADB">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6093EDF3" w14:textId="77777777" w:rsidR="004E0ADB" w:rsidRPr="00206556" w:rsidRDefault="004E0ADB" w:rsidP="004E0ADB">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el </w:t>
      </w:r>
      <w:r w:rsidRPr="00206556">
        <w:rPr>
          <w:rFonts w:ascii="Verdana" w:eastAsia="Calibri" w:hAnsi="Verdana" w:cs="Arial"/>
          <w:lang w:val="es-ES" w:eastAsia="es-ES"/>
        </w:rPr>
        <w:t xml:space="preserve">problema jurídico de su consulta. </w:t>
      </w:r>
    </w:p>
    <w:p w14:paraId="261C6150" w14:textId="77777777" w:rsidR="004E0ADB" w:rsidRPr="00206556" w:rsidRDefault="004E0ADB" w:rsidP="004E0ADB">
      <w:pPr>
        <w:spacing w:after="0" w:line="276" w:lineRule="auto"/>
        <w:ind w:firstLine="709"/>
        <w:jc w:val="both"/>
        <w:rPr>
          <w:rFonts w:ascii="Verdana" w:eastAsia="Calibri" w:hAnsi="Verdana" w:cs="Arial"/>
          <w:lang w:val="es-ES" w:eastAsia="es-ES"/>
        </w:rPr>
      </w:pPr>
    </w:p>
    <w:p w14:paraId="29CE1254" w14:textId="77777777" w:rsidR="004E0ADB" w:rsidRPr="00206556" w:rsidRDefault="004E0ADB" w:rsidP="004E0ADB">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61A1F94E" w14:textId="77777777" w:rsidR="004E0ADB" w:rsidRPr="00206556" w:rsidRDefault="004E0ADB" w:rsidP="004E0ADB">
      <w:pPr>
        <w:tabs>
          <w:tab w:val="left" w:pos="426"/>
        </w:tabs>
        <w:spacing w:after="0" w:line="276" w:lineRule="auto"/>
        <w:jc w:val="both"/>
        <w:rPr>
          <w:rFonts w:ascii="Verdana" w:eastAsia="Century Gothic" w:hAnsi="Verdana" w:cs="Century Gothic"/>
          <w:color w:val="E97132" w:themeColor="accent2"/>
          <w:lang w:val="es-ES"/>
        </w:rPr>
      </w:pPr>
    </w:p>
    <w:p w14:paraId="1DE6088B" w14:textId="77777777" w:rsidR="004E0ADB" w:rsidRDefault="004E0ADB" w:rsidP="004E0ADB">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Pr="00206556">
        <w:rPr>
          <w:rFonts w:ascii="Verdana" w:eastAsia="Century Gothic" w:hAnsi="Verdana" w:cs="Century Gothic"/>
        </w:rPr>
        <w:t>¿</w:t>
      </w:r>
      <w:r>
        <w:rPr>
          <w:rFonts w:ascii="Verdana" w:eastAsia="Century Gothic" w:hAnsi="Verdana" w:cs="Century Gothic"/>
        </w:rPr>
        <w:t>Cómo se aplica el puntaje para empleadores de personas con discapacidad respecto de los proponentes plurales</w:t>
      </w:r>
      <w:r w:rsidRPr="00206556">
        <w:rPr>
          <w:rFonts w:ascii="Verdana" w:eastAsia="Century Gothic" w:hAnsi="Verdana" w:cs="Century Gothic"/>
        </w:rPr>
        <w:t>?</w:t>
      </w:r>
    </w:p>
    <w:p w14:paraId="1CE282DB" w14:textId="77777777" w:rsidR="004E0ADB" w:rsidRPr="00206556" w:rsidRDefault="004E0ADB" w:rsidP="004E0ADB">
      <w:pPr>
        <w:spacing w:after="0" w:line="276" w:lineRule="auto"/>
        <w:jc w:val="both"/>
        <w:rPr>
          <w:rFonts w:ascii="Verdana" w:eastAsia="Century Gothic" w:hAnsi="Verdana" w:cs="Century Gothic"/>
          <w:color w:val="E97132" w:themeColor="accent2"/>
        </w:rPr>
      </w:pPr>
    </w:p>
    <w:p w14:paraId="38C2D48A" w14:textId="77777777" w:rsidR="004E0ADB" w:rsidRPr="00206556" w:rsidRDefault="004E0ADB" w:rsidP="004E0ADB">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256088D4" w14:textId="77777777" w:rsidR="004E0ADB" w:rsidRPr="00206556" w:rsidRDefault="004E0ADB" w:rsidP="004E0ADB">
      <w:pPr>
        <w:tabs>
          <w:tab w:val="left" w:pos="142"/>
          <w:tab w:val="left" w:pos="284"/>
        </w:tabs>
        <w:spacing w:after="0" w:line="276" w:lineRule="auto"/>
        <w:jc w:val="both"/>
        <w:rPr>
          <w:rFonts w:ascii="Verdana" w:eastAsia="Century Gothic" w:hAnsi="Verdana" w:cs="Century Gothic"/>
          <w:b/>
          <w:bCs/>
          <w:color w:val="E97132"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E0ADB" w:rsidRPr="00206556" w14:paraId="31418AF4" w14:textId="77777777" w:rsidTr="009B177F">
        <w:tc>
          <w:tcPr>
            <w:tcW w:w="8828" w:type="dxa"/>
          </w:tcPr>
          <w:p w14:paraId="036DE691" w14:textId="77777777" w:rsidR="004E0ADB" w:rsidRDefault="004E0ADB" w:rsidP="009B177F">
            <w:pPr>
              <w:spacing w:before="120" w:after="120" w:line="276" w:lineRule="auto"/>
              <w:jc w:val="both"/>
              <w:rPr>
                <w:rFonts w:ascii="Verdana" w:eastAsia="Calibri" w:hAnsi="Verdana" w:cs="Arial"/>
              </w:rPr>
            </w:pPr>
            <w:r>
              <w:rPr>
                <w:rFonts w:ascii="Verdana" w:eastAsia="Calibri" w:hAnsi="Verdana" w:cs="Arial"/>
              </w:rPr>
              <w:t>i) En atención al problema jurídico planteado y respecto al</w:t>
            </w:r>
            <w:r w:rsidRPr="00E54F30">
              <w:rPr>
                <w:rFonts w:ascii="Verdana" w:eastAsia="Calibri" w:hAnsi="Verdana" w:cs="Arial"/>
              </w:rPr>
              <w:t xml:space="preserve"> Decreto 0287 de 2026</w:t>
            </w:r>
            <w:r>
              <w:rPr>
                <w:rFonts w:ascii="Verdana" w:eastAsia="Calibri" w:hAnsi="Verdana" w:cs="Arial"/>
              </w:rPr>
              <w:t>, es necesario indicar que este</w:t>
            </w:r>
            <w:r w:rsidRPr="00E54F30">
              <w:rPr>
                <w:rFonts w:ascii="Verdana" w:eastAsia="Calibri" w:hAnsi="Verdana" w:cs="Arial"/>
              </w:rPr>
              <w:t xml:space="preserve"> reglamenta </w:t>
            </w:r>
            <w:r>
              <w:rPr>
                <w:rFonts w:ascii="Verdana" w:eastAsia="Calibri" w:hAnsi="Verdana" w:cs="Arial"/>
              </w:rPr>
              <w:t>los numerales 1, 7 y 8</w:t>
            </w:r>
            <w:r w:rsidRPr="00E54F30">
              <w:rPr>
                <w:rFonts w:ascii="Verdana" w:eastAsia="Calibri" w:hAnsi="Verdana" w:cs="Arial"/>
              </w:rPr>
              <w:t xml:space="preserve"> </w:t>
            </w:r>
            <w:r>
              <w:rPr>
                <w:rFonts w:ascii="Verdana" w:eastAsia="Calibri" w:hAnsi="Verdana" w:cs="Arial"/>
              </w:rPr>
              <w:t>d</w:t>
            </w:r>
            <w:r w:rsidRPr="00E54F30">
              <w:rPr>
                <w:rFonts w:ascii="Verdana" w:eastAsia="Calibri" w:hAnsi="Verdana" w:cs="Arial"/>
              </w:rPr>
              <w:t xml:space="preserve">el artículo 13 de la Ley 1618 de 2013, acción que fue ordenada por el Consejo </w:t>
            </w:r>
            <w:r w:rsidRPr="00E54F30">
              <w:rPr>
                <w:rFonts w:ascii="Verdana" w:eastAsia="Calibri" w:hAnsi="Verdana" w:cs="Arial"/>
              </w:rPr>
              <w:lastRenderedPageBreak/>
              <w:t xml:space="preserve">de Estado, Sección Quinta de la Sala de lo Contencioso Administrativo, mediante sentencia de acción de cumplimiento del 12 de diciembre de 2024, radicación </w:t>
            </w:r>
            <w:proofErr w:type="spellStart"/>
            <w:r>
              <w:rPr>
                <w:rFonts w:ascii="Verdana" w:eastAsia="Calibri" w:hAnsi="Verdana" w:cs="Arial"/>
              </w:rPr>
              <w:t>N</w:t>
            </w:r>
            <w:r w:rsidRPr="00E54F30">
              <w:rPr>
                <w:rFonts w:ascii="Verdana" w:eastAsia="Calibri" w:hAnsi="Verdana" w:cs="Arial"/>
              </w:rPr>
              <w:t>.°</w:t>
            </w:r>
            <w:proofErr w:type="spellEnd"/>
            <w:r>
              <w:rPr>
                <w:rFonts w:ascii="Verdana" w:eastAsia="Calibri" w:hAnsi="Verdana" w:cs="Arial"/>
              </w:rPr>
              <w:t xml:space="preserve"> </w:t>
            </w:r>
            <w:r w:rsidRPr="00E54F30">
              <w:rPr>
                <w:rFonts w:ascii="Verdana" w:eastAsia="Calibri" w:hAnsi="Verdana" w:cs="Arial"/>
              </w:rPr>
              <w:t>05001-23-33-000-2024-00847-01, con ponencia del magistrado Omar Joaquín Barreto Suárez</w:t>
            </w:r>
            <w:r w:rsidRPr="00206556">
              <w:rPr>
                <w:rFonts w:ascii="Verdana" w:eastAsia="Calibri" w:hAnsi="Verdana" w:cs="Arial"/>
              </w:rPr>
              <w:t>,</w:t>
            </w:r>
            <w:r w:rsidRPr="00073658">
              <w:rPr>
                <w:rFonts w:ascii="Verdana" w:eastAsia="Calibri" w:hAnsi="Verdana" w:cs="Arial"/>
              </w:rPr>
              <w:t xml:space="preserve"> y establece un Sistema Integral de Preferencias en favor de las personas con discapacidad en la contratación pública, entendido como el conjunto estructurado de medidas afirmativas, de naturaleza jurídica, técnica y procedimental, que las entidades estatales deben adoptar en todas las fases del proceso contractual: planeación, selección, adjudicación y ejecución. Este sistema está compuesto por cinco medidas: herramientas de planeación para procesos inclusivos, criterios habilitantes diferenciales, puntaje adicional del 2%, condiciones especiales de ejecución e inclusión de personas con discapacidad (en adelante, </w:t>
            </w:r>
            <w:proofErr w:type="spellStart"/>
            <w:r w:rsidRPr="00073658">
              <w:rPr>
                <w:rFonts w:ascii="Verdana" w:eastAsia="Calibri" w:hAnsi="Verdana" w:cs="Arial"/>
              </w:rPr>
              <w:t>PcD</w:t>
            </w:r>
            <w:proofErr w:type="spellEnd"/>
            <w:r w:rsidRPr="00073658">
              <w:rPr>
                <w:rFonts w:ascii="Verdana" w:eastAsia="Calibri" w:hAnsi="Verdana" w:cs="Arial"/>
              </w:rPr>
              <w:t>) en contratos de prestación de servicios. A estas medidas se suma, de manera transversal e independiente de las anteriores, la obligación de compras públicas accesibles, cuya aplicación recae sobre todos los entes del Estado con independencia de su régimen de contratación y en todas las modalidades de selección, incluida la contratación directa</w:t>
            </w:r>
            <w:r>
              <w:rPr>
                <w:rFonts w:ascii="Verdana" w:eastAsia="Calibri" w:hAnsi="Verdana" w:cs="Arial"/>
              </w:rPr>
              <w:t>, irradiando la fase de planeación ya que es allí donde la compra debe plantearse con criterios de accesibilidad</w:t>
            </w:r>
            <w:r w:rsidRPr="00073658">
              <w:rPr>
                <w:rFonts w:ascii="Verdana" w:eastAsia="Calibri" w:hAnsi="Verdana" w:cs="Arial"/>
              </w:rPr>
              <w:t>.</w:t>
            </w:r>
          </w:p>
          <w:p w14:paraId="2A32E8F9" w14:textId="77777777" w:rsidR="004E0ADB" w:rsidRDefault="004E0ADB" w:rsidP="009B177F">
            <w:pPr>
              <w:spacing w:before="120" w:after="120" w:line="276" w:lineRule="auto"/>
              <w:ind w:firstLine="709"/>
              <w:jc w:val="both"/>
              <w:rPr>
                <w:rFonts w:ascii="Verdana" w:eastAsia="Calibri" w:hAnsi="Verdana" w:cs="Arial"/>
              </w:rPr>
            </w:pPr>
            <w:r w:rsidRPr="00073658">
              <w:rPr>
                <w:rFonts w:ascii="Verdana" w:eastAsia="Calibri" w:hAnsi="Verdana" w:cs="Arial"/>
              </w:rPr>
              <w:t xml:space="preserve">El sistema beneficia a dos sujetos diferenciados cuyas medidas no son idénticas ni intercambiables. El primer sujeto son los emprendimientos y empresas de </w:t>
            </w:r>
            <w:proofErr w:type="spellStart"/>
            <w:r w:rsidRPr="00073658">
              <w:rPr>
                <w:rFonts w:ascii="Verdana" w:eastAsia="Calibri" w:hAnsi="Verdana" w:cs="Arial"/>
              </w:rPr>
              <w:t>PcD</w:t>
            </w:r>
            <w:proofErr w:type="spellEnd"/>
            <w:r w:rsidRPr="00073658">
              <w:rPr>
                <w:rFonts w:ascii="Verdana" w:eastAsia="Calibri" w:hAnsi="Verdana" w:cs="Arial"/>
              </w:rPr>
              <w:t xml:space="preserve">, definidos en el artículo 2.2.1.2.4.2.6. del Decreto 1082 de 2015 (modificado) según cuatro categorías: personas naturales con discapacidad que ejerzan una profesión liberal; personas naturales con discapacidad que realicen actividades comerciales a través de establecimiento de comercio con al menos un año de antigüedad; personas jurídicas en las que más del 50% de las acciones o cuotas pertenezcan a </w:t>
            </w:r>
            <w:proofErr w:type="spellStart"/>
            <w:r w:rsidRPr="00073658">
              <w:rPr>
                <w:rFonts w:ascii="Verdana" w:eastAsia="Calibri" w:hAnsi="Verdana" w:cs="Arial"/>
              </w:rPr>
              <w:t>PcD</w:t>
            </w:r>
            <w:proofErr w:type="spellEnd"/>
            <w:r w:rsidRPr="00073658">
              <w:rPr>
                <w:rFonts w:ascii="Verdana" w:eastAsia="Calibri" w:hAnsi="Verdana" w:cs="Arial"/>
              </w:rPr>
              <w:t xml:space="preserve"> por al menos un año; y personas jurídicas con al menos una </w:t>
            </w:r>
            <w:proofErr w:type="spellStart"/>
            <w:r w:rsidRPr="00073658">
              <w:rPr>
                <w:rFonts w:ascii="Verdana" w:eastAsia="Calibri" w:hAnsi="Verdana" w:cs="Arial"/>
              </w:rPr>
              <w:t>PcD</w:t>
            </w:r>
            <w:proofErr w:type="spellEnd"/>
            <w:r w:rsidRPr="00073658">
              <w:rPr>
                <w:rFonts w:ascii="Verdana" w:eastAsia="Calibri" w:hAnsi="Verdana" w:cs="Arial"/>
              </w:rPr>
              <w:t xml:space="preserve"> vinculada laboralmente en un cargo de nivel directivo por al menos un año. El segundo sujeto son los empleadores de </w:t>
            </w:r>
            <w:proofErr w:type="spellStart"/>
            <w:r w:rsidRPr="00073658">
              <w:rPr>
                <w:rFonts w:ascii="Verdana" w:eastAsia="Calibri" w:hAnsi="Verdana" w:cs="Arial"/>
              </w:rPr>
              <w:t>PcD</w:t>
            </w:r>
            <w:proofErr w:type="spellEnd"/>
            <w:r w:rsidRPr="00073658">
              <w:rPr>
                <w:rFonts w:ascii="Verdana" w:eastAsia="Calibri" w:hAnsi="Verdana" w:cs="Arial"/>
              </w:rPr>
              <w:t xml:space="preserve">, esto es, cualquier empresa que tenga en su planta de personal trabajadores con discapacidad contratados laboralmente con dedicación exclusiva, superando los mínimos que exige la Ley 2466 de 2025 (Reforma Laboral). </w:t>
            </w:r>
            <w:r>
              <w:rPr>
                <w:rFonts w:ascii="Verdana" w:eastAsia="Calibri" w:hAnsi="Verdana" w:cs="Arial"/>
              </w:rPr>
              <w:t xml:space="preserve">Estos sujetos no tienen en cuenta el género, es decir si son </w:t>
            </w:r>
            <w:proofErr w:type="spellStart"/>
            <w:r>
              <w:rPr>
                <w:rFonts w:ascii="Verdana" w:eastAsia="Calibri" w:hAnsi="Verdana" w:cs="Arial"/>
              </w:rPr>
              <w:t>PcD</w:t>
            </w:r>
            <w:proofErr w:type="spellEnd"/>
            <w:r>
              <w:rPr>
                <w:rFonts w:ascii="Verdana" w:eastAsia="Calibri" w:hAnsi="Verdana" w:cs="Arial"/>
              </w:rPr>
              <w:t xml:space="preserve"> hombres o mujeres, por lo que la definición es aplicable independientemente del género de la </w:t>
            </w:r>
            <w:proofErr w:type="spellStart"/>
            <w:r>
              <w:rPr>
                <w:rFonts w:ascii="Verdana" w:eastAsia="Calibri" w:hAnsi="Verdana" w:cs="Arial"/>
              </w:rPr>
              <w:t>PcD</w:t>
            </w:r>
            <w:proofErr w:type="spellEnd"/>
            <w:r>
              <w:rPr>
                <w:rFonts w:ascii="Verdana" w:eastAsia="Calibri" w:hAnsi="Verdana" w:cs="Arial"/>
              </w:rPr>
              <w:t xml:space="preserve"> y no afecta las medidas afirmativas a aplicar. Por otra parte, c</w:t>
            </w:r>
            <w:r w:rsidRPr="00073658">
              <w:rPr>
                <w:rFonts w:ascii="Verdana" w:eastAsia="Calibri" w:hAnsi="Verdana" w:cs="Arial"/>
              </w:rPr>
              <w:t xml:space="preserve">onfundir los dos sujetos genera aplicaciones incorrectas del sistema, razón por la cual resulta esencial que las entidades contratantes identifiquen </w:t>
            </w:r>
            <w:r w:rsidRPr="00073658">
              <w:rPr>
                <w:rFonts w:ascii="Verdana" w:eastAsia="Calibri" w:hAnsi="Verdana" w:cs="Arial"/>
              </w:rPr>
              <w:lastRenderedPageBreak/>
              <w:t>en cada caso qué sujeto está acreditando el proponente y qué documentación y medidas corresponden a ese sujeto específico.</w:t>
            </w:r>
          </w:p>
          <w:p w14:paraId="7E2056F2" w14:textId="77777777" w:rsidR="004E0ADB" w:rsidRDefault="004E0ADB" w:rsidP="009B177F">
            <w:pPr>
              <w:spacing w:before="120" w:after="120" w:line="276" w:lineRule="auto"/>
              <w:ind w:firstLine="709"/>
              <w:jc w:val="both"/>
              <w:rPr>
                <w:rFonts w:ascii="Verdana" w:eastAsia="Calibri" w:hAnsi="Verdana" w:cs="Arial"/>
              </w:rPr>
            </w:pPr>
            <w:r>
              <w:rPr>
                <w:rFonts w:ascii="Verdana" w:eastAsia="Calibri" w:hAnsi="Verdana" w:cs="Arial"/>
              </w:rPr>
              <w:t>Respecto de las medidas del sistema, una de estas es e</w:t>
            </w:r>
            <w:r w:rsidRPr="00073658">
              <w:rPr>
                <w:rFonts w:ascii="Verdana" w:eastAsia="Calibri" w:hAnsi="Verdana" w:cs="Arial"/>
              </w:rPr>
              <w:t>l puntaje adicional del dos por ciento (2%)</w:t>
            </w:r>
            <w:r>
              <w:rPr>
                <w:rFonts w:ascii="Verdana" w:eastAsia="Calibri" w:hAnsi="Verdana" w:cs="Arial"/>
              </w:rPr>
              <w:t>, el cual</w:t>
            </w:r>
            <w:r w:rsidRPr="00073658">
              <w:rPr>
                <w:rFonts w:ascii="Verdana" w:eastAsia="Calibri" w:hAnsi="Verdana" w:cs="Arial"/>
              </w:rPr>
              <w:t xml:space="preserve"> es único, total </w:t>
            </w:r>
            <w:r w:rsidRPr="00206556">
              <w:rPr>
                <w:rFonts w:ascii="Verdana" w:eastAsia="Calibri" w:hAnsi="Verdana" w:cs="Arial"/>
              </w:rPr>
              <w:t>y no acumulable</w:t>
            </w:r>
            <w:r w:rsidRPr="00073658">
              <w:rPr>
                <w:rFonts w:ascii="Verdana" w:eastAsia="Calibri" w:hAnsi="Verdana" w:cs="Arial"/>
              </w:rPr>
              <w:t xml:space="preserve">. El artículo 2.2.1.2.4.2.7.4. del Decreto 0287 de 2026 es explícito al disponer que, aunque el proponente acredite simultáneamente ser emprendimiento o empresa de </w:t>
            </w:r>
            <w:proofErr w:type="spellStart"/>
            <w:r w:rsidRPr="00073658">
              <w:rPr>
                <w:rFonts w:ascii="Verdana" w:eastAsia="Calibri" w:hAnsi="Verdana" w:cs="Arial"/>
              </w:rPr>
              <w:t>PcD</w:t>
            </w:r>
            <w:proofErr w:type="spellEnd"/>
            <w:r w:rsidRPr="00073658">
              <w:rPr>
                <w:rFonts w:ascii="Verdana" w:eastAsia="Calibri" w:hAnsi="Verdana" w:cs="Arial"/>
              </w:rPr>
              <w:t xml:space="preserve"> y ser empleador de </w:t>
            </w:r>
            <w:proofErr w:type="spellStart"/>
            <w:r w:rsidRPr="00073658">
              <w:rPr>
                <w:rFonts w:ascii="Verdana" w:eastAsia="Calibri" w:hAnsi="Verdana" w:cs="Arial"/>
              </w:rPr>
              <w:t>PcD</w:t>
            </w:r>
            <w:proofErr w:type="spellEnd"/>
            <w:r w:rsidRPr="00073658">
              <w:rPr>
                <w:rFonts w:ascii="Verdana" w:eastAsia="Calibri" w:hAnsi="Verdana" w:cs="Arial"/>
              </w:rPr>
              <w:t>, el puntaje máximo a otorgar por este criterio es siempre el 2% del total de los puntos del pliego, sin que las condiciones acreditadas sean sumables para efectos de la evaluación de la oferta</w:t>
            </w:r>
            <w:r>
              <w:rPr>
                <w:rFonts w:ascii="Verdana" w:eastAsia="Calibri" w:hAnsi="Verdana" w:cs="Arial"/>
              </w:rPr>
              <w:t>, y tampoco es posible disminuir ese porcentaje de puntos ya que siempre será el 2% como lo establece el decreto</w:t>
            </w:r>
            <w:r w:rsidRPr="00073658">
              <w:rPr>
                <w:rFonts w:ascii="Verdana" w:eastAsia="Calibri" w:hAnsi="Verdana" w:cs="Arial"/>
              </w:rPr>
              <w:t xml:space="preserve">. Este puntaje aplica únicamente en entidades regidas por </w:t>
            </w:r>
            <w:r>
              <w:rPr>
                <w:rFonts w:ascii="Verdana" w:eastAsia="Calibri" w:hAnsi="Verdana" w:cs="Arial"/>
              </w:rPr>
              <w:t xml:space="preserve">el </w:t>
            </w:r>
            <w:r>
              <w:rPr>
                <w:rFonts w:ascii="Verdana" w:hAnsi="Verdana"/>
              </w:rPr>
              <w:t>Estatuto General de Contratación Pública</w:t>
            </w:r>
            <w:r w:rsidRPr="00073658">
              <w:rPr>
                <w:rFonts w:ascii="Verdana" w:eastAsia="Calibri" w:hAnsi="Verdana" w:cs="Arial"/>
              </w:rPr>
              <w:t>, en las modalidades de licitación pública y concurso de méritos; no aplica en régimen especial, ni en selección abreviada, mínima cuantía ni contratación directa</w:t>
            </w:r>
            <w:r>
              <w:rPr>
                <w:rFonts w:ascii="Verdana" w:eastAsia="Calibri" w:hAnsi="Verdana" w:cs="Arial"/>
              </w:rPr>
              <w:t>.</w:t>
            </w:r>
          </w:p>
          <w:p w14:paraId="39B46E7C" w14:textId="77777777" w:rsidR="004E0ADB" w:rsidRDefault="004E0ADB" w:rsidP="009B177F">
            <w:pPr>
              <w:spacing w:before="120" w:after="120" w:line="276" w:lineRule="auto"/>
              <w:ind w:firstLine="709"/>
              <w:jc w:val="both"/>
              <w:rPr>
                <w:rFonts w:ascii="Verdana" w:eastAsia="Times New Roman" w:hAnsi="Verdana" w:cs="Times New Roman"/>
              </w:rPr>
            </w:pPr>
            <w:r w:rsidRPr="00502309">
              <w:rPr>
                <w:rFonts w:ascii="Verdana" w:eastAsia="Times New Roman" w:hAnsi="Verdana" w:cs="Times New Roman"/>
              </w:rPr>
              <w:t xml:space="preserve">Para efectos de determinar el número mínimo de </w:t>
            </w:r>
            <w:proofErr w:type="spellStart"/>
            <w:r w:rsidRPr="00502309">
              <w:rPr>
                <w:rFonts w:ascii="Verdana" w:eastAsia="Times New Roman" w:hAnsi="Verdana" w:cs="Times New Roman"/>
              </w:rPr>
              <w:t>PcD</w:t>
            </w:r>
            <w:proofErr w:type="spellEnd"/>
            <w:r w:rsidRPr="00502309">
              <w:rPr>
                <w:rFonts w:ascii="Verdana" w:eastAsia="Times New Roman" w:hAnsi="Verdana" w:cs="Times New Roman"/>
              </w:rPr>
              <w:t xml:space="preserve"> que el proponente debe tener vinculadas en su planta de personal para acceder al puntaje, el artículo 2.2.1.2.4.2.7.4. del Decreto 0287 de 2026 establece </w:t>
            </w:r>
            <w:r>
              <w:rPr>
                <w:rFonts w:ascii="Verdana" w:eastAsia="Times New Roman" w:hAnsi="Verdana" w:cs="Times New Roman"/>
              </w:rPr>
              <w:t>una</w:t>
            </w:r>
            <w:r w:rsidRPr="00502309">
              <w:rPr>
                <w:rFonts w:ascii="Verdana" w:eastAsia="Times New Roman" w:hAnsi="Verdana" w:cs="Times New Roman"/>
              </w:rPr>
              <w:t xml:space="preserve"> tabla, que ya incorpora los mínimos exigidos por la Ley 2466 de 2025 (Reforma Laboral), de modo que el puntaje solo se otorga a quien </w:t>
            </w:r>
            <w:r>
              <w:rPr>
                <w:rFonts w:ascii="Verdana" w:eastAsia="Times New Roman" w:hAnsi="Verdana" w:cs="Times New Roman"/>
              </w:rPr>
              <w:t xml:space="preserve">cumpla lo indicado en la tabla. </w:t>
            </w:r>
            <w:r w:rsidRPr="0011290B">
              <w:rPr>
                <w:rFonts w:ascii="Verdana" w:eastAsia="Times New Roman" w:hAnsi="Verdana" w:cs="Times New Roman"/>
              </w:rPr>
              <w:t xml:space="preserve">El puntaje no se otorga por cumplir la ley sino por superarla: solo el proponente que acredite un número de </w:t>
            </w:r>
            <w:proofErr w:type="spellStart"/>
            <w:r w:rsidRPr="0011290B">
              <w:rPr>
                <w:rFonts w:ascii="Verdana" w:eastAsia="Times New Roman" w:hAnsi="Verdana" w:cs="Times New Roman"/>
              </w:rPr>
              <w:t>PcD</w:t>
            </w:r>
            <w:proofErr w:type="spellEnd"/>
            <w:r w:rsidRPr="0011290B">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 sin que se exija el aporte de experiencia</w:t>
            </w:r>
            <w:r w:rsidRPr="00502309">
              <w:rPr>
                <w:rFonts w:ascii="Verdana" w:eastAsia="Times New Roman" w:hAnsi="Verdana" w:cs="Times New Roman"/>
              </w:rPr>
              <w:t xml:space="preserve">. </w:t>
            </w:r>
            <w:r>
              <w:rPr>
                <w:rFonts w:ascii="Verdana" w:eastAsia="Times New Roman" w:hAnsi="Verdana" w:cs="Times New Roman"/>
              </w:rPr>
              <w:t xml:space="preserve"> </w:t>
            </w:r>
          </w:p>
          <w:p w14:paraId="59FF6C87" w14:textId="77777777" w:rsidR="004E0ADB" w:rsidRDefault="004E0ADB" w:rsidP="009B177F">
            <w:pPr>
              <w:spacing w:before="120" w:after="120" w:line="276" w:lineRule="auto"/>
              <w:ind w:firstLine="709"/>
              <w:jc w:val="both"/>
              <w:rPr>
                <w:rFonts w:ascii="Verdana" w:eastAsia="Calibri" w:hAnsi="Verdana" w:cs="Arial"/>
              </w:rPr>
            </w:pPr>
            <w:r>
              <w:rPr>
                <w:rFonts w:ascii="Verdana" w:eastAsia="Calibri" w:hAnsi="Verdana" w:cs="Arial"/>
              </w:rPr>
              <w:t xml:space="preserve">De esta forma, si un proponente, de acuerdo con su planta de personal y la tabla establecida por la norma, acreditará dos (2) trabajadores con discapacidad para la obtención del puntaje, en caso de ser un proponente plural, se revisará la planta de personal del miembro que tenga mayor participación en el proponente plural, sin que sea posible que se revisen varias plantas de personal de los miembros del proponente plural, sino que solo se revisará la planta del miembro con mayor participación quien deberá contar </w:t>
            </w:r>
            <w:r>
              <w:rPr>
                <w:rFonts w:ascii="Verdana" w:eastAsia="Calibri" w:hAnsi="Verdana" w:cs="Arial"/>
              </w:rPr>
              <w:lastRenderedPageBreak/>
              <w:t>con las personas con discapacidad que exige la norma en caso de que quiera acceder al puntaje, y no es posible que cada miembro aporte la vinculación de las personas con discapacidad que exige el Decreto 287 de 2026 para otorgar los puntos allí señalados.</w:t>
            </w:r>
          </w:p>
          <w:p w14:paraId="36F35CF2" w14:textId="77777777" w:rsidR="004E0ADB" w:rsidRPr="00670CFB" w:rsidRDefault="004E0ADB" w:rsidP="009B177F">
            <w:pPr>
              <w:spacing w:before="120" w:after="120" w:line="276" w:lineRule="auto"/>
              <w:ind w:firstLine="709"/>
              <w:jc w:val="both"/>
              <w:rPr>
                <w:rFonts w:ascii="Verdana" w:eastAsia="Calibri" w:hAnsi="Verdana" w:cs="Arial"/>
              </w:rPr>
            </w:pPr>
            <w:r>
              <w:rPr>
                <w:rFonts w:ascii="Verdana" w:eastAsia="Calibri" w:hAnsi="Verdana" w:cs="Arial"/>
              </w:rPr>
              <w:t xml:space="preserve">Finalmente, </w:t>
            </w:r>
            <w:r w:rsidRPr="00206556">
              <w:rPr>
                <w:rFonts w:ascii="Verdana" w:eastAsia="Calibri" w:hAnsi="Verdana" w:cs="Arial"/>
                <w:lang w:val="es-ES" w:eastAsia="es-ES"/>
              </w:rPr>
              <w:t>la Agencia Nacional de Contratación Pública – Colombia Compra Eficiente–</w:t>
            </w:r>
            <w:r>
              <w:rPr>
                <w:rFonts w:ascii="Verdana" w:eastAsia="Calibri" w:hAnsi="Verdana" w:cs="Arial"/>
                <w:lang w:val="es-ES" w:eastAsia="es-ES"/>
              </w:rPr>
              <w:t xml:space="preserve"> como ente rector y en su función de brindar lineamientos para los partícipes del sistema de compras y contratación pública, ha expedido el ABC del Decreto 287 de 2026 disponible en: </w:t>
            </w:r>
            <w:hyperlink r:id="rId9" w:history="1">
              <w:r w:rsidRPr="00FB7E8D">
                <w:rPr>
                  <w:rStyle w:val="Hipervnculo"/>
                  <w:rFonts w:ascii="Verdana" w:eastAsia="Calibri" w:hAnsi="Verdana" w:cs="Arial"/>
                  <w:lang w:val="es-ES" w:eastAsia="es-ES"/>
                </w:rPr>
                <w:t>https://www.colombiacompra.gov.co/archivos/infografia/abc-del-decreto-0287-de-2026-contratacion-publica-inclusiva-para-personas-con-discapacidad</w:t>
              </w:r>
            </w:hyperlink>
            <w:r>
              <w:rPr>
                <w:rFonts w:ascii="Verdana" w:eastAsia="Calibri" w:hAnsi="Verdana" w:cs="Arial"/>
                <w:lang w:val="es-ES" w:eastAsia="es-ES"/>
              </w:rPr>
              <w:t xml:space="preserve"> con el fin de apoyar su implementación, y de la misma manera próximamente se expedirá un boletín, una circular externa y se trabajará en las directrices para cumplir las funciones que el decreto le asigna a la Agencia. También, el día 30 de abril de 2026 se desarrolló el 2° foro virtual de compra pública inclusiva para personas con discapacidad “hacia un mercado público sin barreras” con el fin de explicar las medidas adoptadas por la nueva regulación, disponible en: </w:t>
            </w:r>
            <w:hyperlink r:id="rId10" w:history="1">
              <w:r w:rsidRPr="00FB7E8D">
                <w:rPr>
                  <w:rStyle w:val="Hipervnculo"/>
                  <w:rFonts w:ascii="Verdana" w:eastAsia="Calibri" w:hAnsi="Verdana" w:cs="Arial"/>
                  <w:lang w:val="es-ES" w:eastAsia="es-ES"/>
                </w:rPr>
                <w:t>https://www.youtube.com/live/vpxD3PlXqPI?si=49f8ghb7Iiit6Ja9</w:t>
              </w:r>
            </w:hyperlink>
            <w:r>
              <w:rPr>
                <w:rFonts w:ascii="Verdana" w:eastAsia="Calibri" w:hAnsi="Verdana" w:cs="Arial"/>
                <w:lang w:val="es-ES" w:eastAsia="es-ES"/>
              </w:rPr>
              <w:t xml:space="preserve"> </w:t>
            </w:r>
          </w:p>
        </w:tc>
      </w:tr>
    </w:tbl>
    <w:p w14:paraId="3A7C80B7" w14:textId="77777777" w:rsidR="004E0ADB" w:rsidRPr="00206556" w:rsidRDefault="004E0ADB" w:rsidP="004E0ADB">
      <w:pPr>
        <w:tabs>
          <w:tab w:val="left" w:pos="142"/>
          <w:tab w:val="left" w:pos="284"/>
        </w:tabs>
        <w:spacing w:after="0" w:line="276" w:lineRule="auto"/>
        <w:jc w:val="both"/>
        <w:rPr>
          <w:rFonts w:ascii="Verdana" w:eastAsia="Century Gothic" w:hAnsi="Verdana" w:cs="Century Gothic"/>
          <w:b/>
          <w:bCs/>
          <w:color w:val="E97132" w:themeColor="accent2"/>
          <w:lang w:val="es-ES"/>
        </w:rPr>
      </w:pPr>
    </w:p>
    <w:p w14:paraId="5562D0A9" w14:textId="77777777" w:rsidR="004E0ADB" w:rsidRPr="00206556" w:rsidRDefault="004E0ADB" w:rsidP="004E0ADB">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4AEBB79D" w14:textId="77777777" w:rsidR="004E0ADB" w:rsidRPr="00206556" w:rsidRDefault="004E0ADB" w:rsidP="004E0ADB">
      <w:pPr>
        <w:tabs>
          <w:tab w:val="left" w:pos="142"/>
          <w:tab w:val="left" w:pos="284"/>
        </w:tabs>
        <w:spacing w:after="0" w:line="276" w:lineRule="auto"/>
        <w:jc w:val="both"/>
        <w:rPr>
          <w:rFonts w:ascii="Verdana" w:eastAsia="Century Gothic" w:hAnsi="Verdana" w:cs="Century Gothic"/>
          <w:b/>
          <w:color w:val="E97132" w:themeColor="accent2"/>
          <w:lang w:val="es-ES"/>
        </w:rPr>
      </w:pPr>
    </w:p>
    <w:p w14:paraId="4FEFE22B" w14:textId="77777777" w:rsidR="004E0ADB" w:rsidRPr="00206556" w:rsidRDefault="004E0ADB" w:rsidP="004E0ADB">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40C4672F" w14:textId="77777777" w:rsidR="004E0ADB" w:rsidRPr="00206556" w:rsidRDefault="004E0ADB" w:rsidP="004E0ADB">
      <w:pPr>
        <w:spacing w:after="0" w:line="276" w:lineRule="auto"/>
        <w:jc w:val="both"/>
        <w:rPr>
          <w:rFonts w:ascii="Verdana" w:eastAsia="Calibri" w:hAnsi="Verdana" w:cs="Arial"/>
          <w:lang w:val="es-ES"/>
        </w:rPr>
      </w:pPr>
    </w:p>
    <w:p w14:paraId="49B74E90" w14:textId="77777777" w:rsidR="004E0ADB" w:rsidRPr="000C6B53" w:rsidRDefault="004E0ADB" w:rsidP="004E0ADB">
      <w:pPr>
        <w:spacing w:after="120" w:line="276" w:lineRule="auto"/>
        <w:jc w:val="both"/>
        <w:rPr>
          <w:rFonts w:ascii="Verdana" w:eastAsia="Calibri" w:hAnsi="Verdana" w:cs="Arial"/>
        </w:rPr>
      </w:pPr>
      <w:r w:rsidRPr="000C6B53">
        <w:rPr>
          <w:rFonts w:ascii="Verdana" w:eastAsia="Calibri" w:hAnsi="Verdana" w:cs="Arial"/>
          <w:lang w:val="es-ES"/>
        </w:rPr>
        <w:t xml:space="preserve">(i) </w:t>
      </w:r>
      <w:r w:rsidRPr="000C6B53">
        <w:rPr>
          <w:rFonts w:ascii="Verdana" w:eastAsia="Calibri" w:hAnsi="Verdana" w:cs="Arial"/>
        </w:rPr>
        <w:t xml:space="preserve">Para resolver el problema jurídico planteado, esta Agencia considera necesario partir del análisis de los antecedentes normativos que explican el origen, la finalidad y el alcance del Sistema Integral de Preferencias establecido por el Decreto 0287 de 2026, en la medida en que solo a partir de ese contexto es posible comprender las obligaciones concretas que dicho decreto impone a las entidades estatales y a los demás partícipes de la contratación pública. </w:t>
      </w:r>
    </w:p>
    <w:p w14:paraId="184DD803" w14:textId="77777777" w:rsidR="004E0ADB" w:rsidRPr="000C6B53" w:rsidRDefault="004E0ADB" w:rsidP="004E0ADB">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 xml:space="preserve">El fundamento constitucional del Sistema de Preferencias en favor de las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en la contratación pública se encuentra en el principio de igualdad material o real y efectiva consagrado en el artículo 13 de la Constitución Política de 1991</w:t>
      </w:r>
      <w:r w:rsidRPr="000C6B53">
        <w:rPr>
          <w:rStyle w:val="Refdenotaalpie"/>
          <w:rFonts w:ascii="Verdana" w:eastAsia="Times New Roman" w:hAnsi="Verdana" w:cs="Times New Roman"/>
        </w:rPr>
        <w:footnoteReference w:id="1"/>
      </w:r>
      <w:r w:rsidRPr="000C6B53">
        <w:rPr>
          <w:rFonts w:ascii="Verdana" w:eastAsia="Times New Roman" w:hAnsi="Verdana" w:cs="Times New Roman"/>
        </w:rPr>
        <w:t xml:space="preserve">, el cual le impone al Estado el deber positivo de adoptar </w:t>
      </w:r>
      <w:r w:rsidRPr="000C6B53">
        <w:rPr>
          <w:rFonts w:ascii="Verdana" w:eastAsia="Times New Roman" w:hAnsi="Verdana" w:cs="Times New Roman"/>
          <w:i/>
          <w:iCs/>
        </w:rPr>
        <w:t>acciones afirmativas</w:t>
      </w:r>
      <w:r w:rsidRPr="000C6B53">
        <w:rPr>
          <w:rFonts w:ascii="Verdana" w:eastAsia="Times New Roman" w:hAnsi="Verdana" w:cs="Times New Roman"/>
        </w:rPr>
        <w:t xml:space="preserve"> en </w:t>
      </w:r>
      <w:r w:rsidRPr="000C6B53">
        <w:rPr>
          <w:rFonts w:ascii="Verdana" w:eastAsia="Times New Roman" w:hAnsi="Verdana" w:cs="Times New Roman"/>
        </w:rPr>
        <w:lastRenderedPageBreak/>
        <w:t xml:space="preserve">favor de grupos históricamente excluidos, dirigidas a corregir situaciones de discriminación estructural que los afectan. En desarrollo de este mandato, la Corte Constitucional ha sostenido que tales medidas buscan contrarrestar los efectos de la discriminación y que el Estado puede establecer tratamientos diferenciales a favor de estos grupos en aras de lograr una igualdad real y efectiva. </w:t>
      </w:r>
    </w:p>
    <w:p w14:paraId="7D649B91" w14:textId="77777777" w:rsidR="004E0ADB" w:rsidRPr="000C6B53" w:rsidRDefault="004E0ADB" w:rsidP="004E0ADB">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 xml:space="preserve">A su vez, los artículos 47 y 54 de la Carta Política refuerzan este mandato al ordenar políticas de integración social y ubicación laboral para las </w:t>
      </w:r>
      <w:proofErr w:type="spellStart"/>
      <w:r w:rsidRPr="000C6B53">
        <w:rPr>
          <w:rFonts w:ascii="Verdana" w:eastAsia="Times New Roman" w:hAnsi="Verdana" w:cs="Times New Roman"/>
        </w:rPr>
        <w:t>PcD</w:t>
      </w:r>
      <w:proofErr w:type="spellEnd"/>
      <w:r w:rsidRPr="000C6B53">
        <w:rPr>
          <w:rStyle w:val="Refdenotaalpie"/>
          <w:rFonts w:ascii="Verdana" w:eastAsia="Times New Roman" w:hAnsi="Verdana" w:cs="Times New Roman"/>
        </w:rPr>
        <w:footnoteReference w:id="2"/>
      </w:r>
      <w:r w:rsidRPr="000C6B53">
        <w:rPr>
          <w:rFonts w:ascii="Verdana" w:eastAsia="Times New Roman" w:hAnsi="Verdana" w:cs="Times New Roman"/>
        </w:rPr>
        <w:t>.</w:t>
      </w:r>
    </w:p>
    <w:p w14:paraId="17B0F786" w14:textId="77777777" w:rsidR="004E0ADB" w:rsidRPr="000C6B53" w:rsidRDefault="004E0ADB" w:rsidP="004E0ADB">
      <w:pPr>
        <w:spacing w:after="120" w:line="276" w:lineRule="auto"/>
        <w:ind w:firstLine="708"/>
        <w:jc w:val="both"/>
        <w:rPr>
          <w:rFonts w:ascii="Verdana" w:hAnsi="Verdana"/>
        </w:rPr>
      </w:pPr>
      <w:r w:rsidRPr="000C6B53">
        <w:rPr>
          <w:rFonts w:ascii="Verdana" w:eastAsia="Times New Roman" w:hAnsi="Verdana" w:cs="Times New Roman"/>
        </w:rPr>
        <w:t>En el plano internacional, Colombia es Estado Parte de diversos instrumentos que conforman el Bloque de Constitucionalidad en los términos del artículo 93 superior. En particular, la Convención sobre los Derechos de las Personas con Discapacidad de la ONU</w:t>
      </w:r>
      <w:r w:rsidRPr="000C6B53">
        <w:rPr>
          <w:rStyle w:val="Refdenotaalpie"/>
          <w:rFonts w:ascii="Verdana" w:eastAsia="Times New Roman" w:hAnsi="Verdana" w:cs="Times New Roman"/>
        </w:rPr>
        <w:footnoteReference w:id="3"/>
      </w:r>
      <w:r w:rsidRPr="000C6B53">
        <w:rPr>
          <w:rFonts w:ascii="Verdana" w:eastAsia="Times New Roman" w:hAnsi="Verdana" w:cs="Times New Roman"/>
        </w:rPr>
        <w:t xml:space="preserve"> reconoce el derecho de las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a trabajar en igualdad de condiciones y exige programas de acción afirmativa. De igual forma, la Convención Interamericana para la Eliminación de todas las Formas de Discriminación</w:t>
      </w:r>
      <w:r w:rsidRPr="000C6B53">
        <w:rPr>
          <w:rStyle w:val="Refdenotaalpie"/>
          <w:rFonts w:ascii="Verdana" w:eastAsia="Times New Roman" w:hAnsi="Verdana" w:cs="Times New Roman"/>
        </w:rPr>
        <w:footnoteReference w:id="4"/>
      </w:r>
      <w:r w:rsidRPr="000C6B53">
        <w:rPr>
          <w:rFonts w:ascii="Verdana" w:eastAsia="Times New Roman" w:hAnsi="Verdana" w:cs="Times New Roman"/>
        </w:rPr>
        <w:t xml:space="preserve"> ordena eliminar progresivamente la discriminación en la prestación de servicios, incluido el empleo. Finalmente, el Convenio 159 de la OIT</w:t>
      </w:r>
      <w:r w:rsidRPr="000C6B53">
        <w:rPr>
          <w:rStyle w:val="Refdenotaalpie"/>
          <w:rFonts w:ascii="Verdana" w:eastAsia="Times New Roman" w:hAnsi="Verdana" w:cs="Times New Roman"/>
        </w:rPr>
        <w:footnoteReference w:id="5"/>
      </w:r>
      <w:r w:rsidRPr="000C6B53">
        <w:rPr>
          <w:rFonts w:ascii="Verdana" w:eastAsia="Times New Roman" w:hAnsi="Verdana" w:cs="Times New Roman"/>
        </w:rPr>
        <w:t xml:space="preserve"> exige medidas orientadas a garantizar la igualdad de oportunidades de todas las categorías de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en materia de empleo.</w:t>
      </w:r>
    </w:p>
    <w:p w14:paraId="7B148E3E" w14:textId="77777777" w:rsidR="004E0ADB" w:rsidRPr="000C6B53" w:rsidRDefault="004E0ADB" w:rsidP="004E0ADB">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En desarrollo de estos mandatos, con rango constitucional,</w:t>
      </w:r>
      <w:r w:rsidRPr="000C6B53">
        <w:rPr>
          <w:rFonts w:ascii="Verdana" w:eastAsia="Times New Roman" w:hAnsi="Verdana" w:cs="Times New Roman"/>
          <w:b/>
          <w:bCs/>
        </w:rPr>
        <w:t xml:space="preserve"> </w:t>
      </w:r>
      <w:r w:rsidRPr="000C6B53">
        <w:rPr>
          <w:rFonts w:ascii="Verdana" w:eastAsia="Times New Roman" w:hAnsi="Verdana" w:cs="Times New Roman"/>
        </w:rPr>
        <w:t xml:space="preserve">la Ley 361 de 1997 estableció los primeros mecanismos de integración social de las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Su artículo 24 introdujo una preferencia en igualdad de condiciones en licitaciones y adjudicaciones de contratos estatales para aquellos empleadores que tuvieran al menos el diez por ciento (10%) de su nómina compuesta por </w:t>
      </w:r>
      <w:proofErr w:type="spellStart"/>
      <w:r w:rsidRPr="000C6B53">
        <w:rPr>
          <w:rFonts w:ascii="Verdana" w:eastAsia="Times New Roman" w:hAnsi="Verdana" w:cs="Times New Roman"/>
        </w:rPr>
        <w:t>PcD</w:t>
      </w:r>
      <w:proofErr w:type="spellEnd"/>
      <w:r w:rsidRPr="000C6B53">
        <w:rPr>
          <w:rStyle w:val="Refdenotaalpie"/>
          <w:rFonts w:ascii="Verdana" w:eastAsia="Times New Roman" w:hAnsi="Verdana" w:cs="Times New Roman"/>
        </w:rPr>
        <w:footnoteReference w:id="6"/>
      </w:r>
      <w:r w:rsidRPr="000C6B53">
        <w:rPr>
          <w:rFonts w:ascii="Verdana" w:eastAsia="Times New Roman" w:hAnsi="Verdana" w:cs="Times New Roman"/>
        </w:rPr>
        <w:t xml:space="preserve">. Esta norma vinculó por primera vez la contratación pública con la inclusión laboral de las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pero su alcance era limitado en la medida que se trataba de una preferencia </w:t>
      </w:r>
      <w:r w:rsidRPr="000C6B53">
        <w:rPr>
          <w:rFonts w:ascii="Verdana" w:eastAsia="Times New Roman" w:hAnsi="Verdana" w:cs="Times New Roman"/>
        </w:rPr>
        <w:lastRenderedPageBreak/>
        <w:t xml:space="preserve">residual aplicable solo en caso de empate y que beneficiaba únicamente a los empleadores de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sin considerar a las propias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como proponentes o contratistas directos.</w:t>
      </w:r>
    </w:p>
    <w:p w14:paraId="5EA1D410" w14:textId="77777777" w:rsidR="004E0ADB" w:rsidRPr="000C6B53" w:rsidRDefault="004E0ADB" w:rsidP="004E0ADB">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 xml:space="preserve">Posteriormente, la Ley Estatutaria 1618 de 2013 representó un avance sustancial en el marco jurídico de protección de las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al definirlas como </w:t>
      </w:r>
      <w:r w:rsidRPr="000C6B53">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0C6B53">
        <w:rPr>
          <w:rStyle w:val="Refdenotaalpie"/>
          <w:rFonts w:ascii="Verdana" w:eastAsia="Times New Roman" w:hAnsi="Verdana" w:cs="Times New Roman"/>
          <w:i/>
          <w:iCs/>
        </w:rPr>
        <w:footnoteReference w:id="7"/>
      </w:r>
      <w:r w:rsidRPr="000C6B53">
        <w:rPr>
          <w:rFonts w:ascii="Verdana" w:eastAsia="Times New Roman" w:hAnsi="Verdana" w:cs="Times New Roman"/>
          <w:i/>
          <w:iCs/>
        </w:rPr>
        <w:t>.</w:t>
      </w:r>
      <w:r w:rsidRPr="000C6B53">
        <w:rPr>
          <w:rFonts w:ascii="Verdana" w:eastAsia="Times New Roman" w:hAnsi="Verdana" w:cs="Times New Roman"/>
        </w:rPr>
        <w:t xml:space="preserve"> En su artículo 13, numerales 1, 7 y 8, ordenó al Gobierno Nacional reglamentar: i) una puntuación adicional en licitación pública, concurso de méritos y contratación directa para empresas que vinculen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y para empresas de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w:t>
      </w:r>
      <w:proofErr w:type="spellStart"/>
      <w:r w:rsidRPr="000C6B53">
        <w:rPr>
          <w:rFonts w:ascii="Verdana" w:eastAsia="Times New Roman" w:hAnsi="Verdana" w:cs="Times New Roman"/>
        </w:rPr>
        <w:t>ii</w:t>
      </w:r>
      <w:proofErr w:type="spellEnd"/>
      <w:r w:rsidRPr="000C6B53">
        <w:rPr>
          <w:rFonts w:ascii="Verdana" w:eastAsia="Times New Roman" w:hAnsi="Verdana" w:cs="Times New Roman"/>
        </w:rPr>
        <w:t xml:space="preserve">) un sistema de preferencias para empleadores de </w:t>
      </w:r>
      <w:proofErr w:type="spellStart"/>
      <w:r w:rsidRPr="000C6B53">
        <w:rPr>
          <w:rFonts w:ascii="Verdana" w:eastAsia="Times New Roman" w:hAnsi="Verdana" w:cs="Times New Roman"/>
        </w:rPr>
        <w:t>PcD</w:t>
      </w:r>
      <w:proofErr w:type="spellEnd"/>
      <w:r w:rsidRPr="000C6B53">
        <w:rPr>
          <w:rFonts w:ascii="Verdana" w:eastAsia="Times New Roman" w:hAnsi="Verdana" w:cs="Times New Roman"/>
        </w:rPr>
        <w:t xml:space="preserve"> en la adjudicación; y </w:t>
      </w:r>
      <w:proofErr w:type="spellStart"/>
      <w:r w:rsidRPr="000C6B53">
        <w:rPr>
          <w:rFonts w:ascii="Verdana" w:eastAsia="Times New Roman" w:hAnsi="Verdana" w:cs="Times New Roman"/>
        </w:rPr>
        <w:t>iii</w:t>
      </w:r>
      <w:proofErr w:type="spellEnd"/>
      <w:r w:rsidRPr="000C6B53">
        <w:rPr>
          <w:rFonts w:ascii="Verdana" w:eastAsia="Times New Roman" w:hAnsi="Verdana" w:cs="Times New Roman"/>
        </w:rPr>
        <w:t xml:space="preserve">) </w:t>
      </w:r>
      <w:r w:rsidRPr="000C6B53">
        <w:rPr>
          <w:rFonts w:ascii="Verdana" w:eastAsia="Times New Roman" w:hAnsi="Verdana" w:cs="Times New Roman"/>
          <w:i/>
        </w:rPr>
        <w:t xml:space="preserve">un sistema de preferencias en favor de las propias </w:t>
      </w:r>
      <w:proofErr w:type="spellStart"/>
      <w:r w:rsidRPr="000C6B53">
        <w:rPr>
          <w:rFonts w:ascii="Verdana" w:eastAsia="Times New Roman" w:hAnsi="Verdana" w:cs="Times New Roman"/>
          <w:i/>
        </w:rPr>
        <w:t>PcD</w:t>
      </w:r>
      <w:proofErr w:type="spellEnd"/>
      <w:r w:rsidRPr="000C6B53">
        <w:rPr>
          <w:rFonts w:ascii="Verdana" w:eastAsia="Times New Roman" w:hAnsi="Verdana" w:cs="Times New Roman"/>
          <w:i/>
        </w:rPr>
        <w:t xml:space="preserve"> como contratistas</w:t>
      </w:r>
      <w:r w:rsidRPr="000C6B53">
        <w:rPr>
          <w:rStyle w:val="Refdenotaalpie"/>
          <w:rFonts w:ascii="Verdana" w:eastAsia="Times New Roman" w:hAnsi="Verdana" w:cs="Times New Roman"/>
        </w:rPr>
        <w:footnoteReference w:id="8"/>
      </w:r>
      <w:r w:rsidRPr="000C6B53">
        <w:rPr>
          <w:rFonts w:ascii="Verdana" w:eastAsia="Times New Roman" w:hAnsi="Verdana" w:cs="Times New Roman"/>
        </w:rPr>
        <w:t xml:space="preserve">. Este último mandato fue especialmente significativo porque introdujo el concepto de </w:t>
      </w:r>
      <w:r w:rsidRPr="000C6B53">
        <w:rPr>
          <w:rFonts w:ascii="Verdana" w:eastAsia="Times New Roman" w:hAnsi="Verdana" w:cs="Times New Roman"/>
          <w:i/>
          <w:iCs/>
        </w:rPr>
        <w:t>"sistema de preferencias"</w:t>
      </w:r>
      <w:r w:rsidRPr="000C6B53">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01514741" w14:textId="77777777" w:rsidR="004E0ADB" w:rsidRPr="000C6B53" w:rsidRDefault="004E0ADB" w:rsidP="004E0ADB">
      <w:pPr>
        <w:spacing w:after="120" w:line="276" w:lineRule="auto"/>
        <w:ind w:firstLine="709"/>
        <w:jc w:val="both"/>
        <w:rPr>
          <w:rFonts w:ascii="Verdana" w:hAnsi="Verdana"/>
        </w:rPr>
      </w:pPr>
      <w:r w:rsidRPr="000C6B53">
        <w:rPr>
          <w:rFonts w:ascii="Verdana" w:hAnsi="Verdana"/>
        </w:rPr>
        <w:t xml:space="preserve">En cumplimiento parcial de los numerales 1 y 8 del artículo 13 de la Ley 1618 de 2013, se expidió el Decreto 392 de 2018. Sin embargo, tal y como se reconoce en los considerandos del Decreto 0287 de 2026, dicha regulación presentó omisiones estructurales que frustraron la finalidad de la Ley Estatutaria. En efecto, el Decreto 392 de 2018 solo contempló el uno por ciento (1%) del puntaje para empleadores de </w:t>
      </w:r>
      <w:proofErr w:type="spellStart"/>
      <w:r w:rsidRPr="000C6B53">
        <w:rPr>
          <w:rFonts w:ascii="Verdana" w:hAnsi="Verdana"/>
        </w:rPr>
        <w:t>PcD</w:t>
      </w:r>
      <w:proofErr w:type="spellEnd"/>
      <w:r w:rsidRPr="000C6B53">
        <w:rPr>
          <w:rFonts w:ascii="Verdana" w:hAnsi="Verdana"/>
        </w:rPr>
        <w:t xml:space="preserve">, sin incluir a las empresas de </w:t>
      </w:r>
      <w:proofErr w:type="spellStart"/>
      <w:r w:rsidRPr="000C6B53">
        <w:rPr>
          <w:rFonts w:ascii="Verdana" w:hAnsi="Verdana"/>
        </w:rPr>
        <w:t>PcD</w:t>
      </w:r>
      <w:proofErr w:type="spellEnd"/>
      <w:r w:rsidRPr="000C6B53">
        <w:rPr>
          <w:rFonts w:ascii="Verdana" w:hAnsi="Verdana"/>
        </w:rPr>
        <w:t xml:space="preserve">;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w:t>
      </w:r>
      <w:proofErr w:type="spellStart"/>
      <w:r w:rsidRPr="000C6B53">
        <w:rPr>
          <w:rFonts w:ascii="Verdana" w:hAnsi="Verdana"/>
        </w:rPr>
        <w:t>PcD</w:t>
      </w:r>
      <w:proofErr w:type="spellEnd"/>
      <w:r w:rsidRPr="000C6B53">
        <w:rPr>
          <w:rFonts w:ascii="Verdana" w:hAnsi="Verdana"/>
        </w:rPr>
        <w:t xml:space="preserve"> como contratistas.</w:t>
      </w:r>
    </w:p>
    <w:p w14:paraId="26272922" w14:textId="77777777" w:rsidR="004E0ADB" w:rsidRPr="000C6B53" w:rsidRDefault="004E0ADB" w:rsidP="004E0ADB">
      <w:pPr>
        <w:spacing w:after="120" w:line="276" w:lineRule="auto"/>
        <w:ind w:firstLine="709"/>
        <w:jc w:val="both"/>
        <w:rPr>
          <w:rFonts w:ascii="Verdana" w:hAnsi="Verdana"/>
        </w:rPr>
      </w:pPr>
      <w:r w:rsidRPr="000C6B53">
        <w:rPr>
          <w:rFonts w:ascii="Verdana" w:hAnsi="Verdana"/>
        </w:rPr>
        <w:lastRenderedPageBreak/>
        <w:t xml:space="preserve">La insuficiencia del Decreto 392 de 2018 fue constatada judicialmente. La Sección Quinta del Consejo de Estado, mediante sentencia proferida dentro de una acción de cumplimiento del 12 de diciembre de 2024, radicación </w:t>
      </w:r>
      <w:proofErr w:type="spellStart"/>
      <w:r w:rsidRPr="000C6B53">
        <w:rPr>
          <w:rFonts w:ascii="Verdana" w:hAnsi="Verdana"/>
        </w:rPr>
        <w:t>n.°</w:t>
      </w:r>
      <w:proofErr w:type="spellEnd"/>
      <w:r w:rsidRPr="000C6B53">
        <w:rPr>
          <w:rFonts w:ascii="Verdana" w:hAnsi="Verdana"/>
        </w:rPr>
        <w:t xml:space="preserve"> 05001-23-33-000-2024-00847-01, M.P. Omar Joaquín Barreto Suárez, declaró el incumplimiento por parte del Gobierno Nacional del artículo 62 de la Ley 1996 de 2019, norma que ordenaba reglamentar las medidas del artículo 13 de la Ley 1618 de 2013. En dicha providencia, la Sala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4761D0BF" w14:textId="77777777" w:rsidR="004E0ADB" w:rsidRDefault="004E0ADB" w:rsidP="004E0ADB">
      <w:pPr>
        <w:spacing w:after="120" w:line="276" w:lineRule="auto"/>
        <w:ind w:firstLine="709"/>
        <w:jc w:val="both"/>
        <w:rPr>
          <w:rFonts w:ascii="Verdana" w:hAnsi="Verdana"/>
        </w:rPr>
      </w:pPr>
      <w:r w:rsidRPr="000C6B53">
        <w:rPr>
          <w:rFonts w:ascii="Verdana" w:hAnsi="Verdana"/>
        </w:rPr>
        <w:t xml:space="preserve">En cumplimiento de esa decisión, fue expedido el Decreto 0287 de 2026, el cual, como se indicó en la respuesta del presente concepto, establece un Sistema Integral de Preferencias compuesto por cinco medidas afirmativas que actúan en todas las fases del proceso contractual: planeación, selección, adjudicación y ejecución. Dicho sistema se orienta a beneficiar a dos sujetos diferenciados: los emprendimientos y empresas de </w:t>
      </w:r>
      <w:proofErr w:type="spellStart"/>
      <w:r w:rsidRPr="000C6B53">
        <w:rPr>
          <w:rFonts w:ascii="Verdana" w:hAnsi="Verdana"/>
        </w:rPr>
        <w:t>PcD</w:t>
      </w:r>
      <w:proofErr w:type="spellEnd"/>
      <w:r w:rsidRPr="000C6B53">
        <w:rPr>
          <w:rFonts w:ascii="Verdana" w:hAnsi="Verdana"/>
        </w:rPr>
        <w:t xml:space="preserve"> y los empleadores de </w:t>
      </w:r>
      <w:proofErr w:type="spellStart"/>
      <w:r w:rsidRPr="000C6B53">
        <w:rPr>
          <w:rFonts w:ascii="Verdana" w:hAnsi="Verdana"/>
        </w:rPr>
        <w:t>PcD</w:t>
      </w:r>
      <w:proofErr w:type="spellEnd"/>
      <w:r w:rsidRPr="000C6B53">
        <w:rPr>
          <w:rFonts w:ascii="Verdana" w:hAnsi="Verdana"/>
        </w:rPr>
        <w:t>. A continuación, se desarrolla el alcance de cada aspecto del sistema planteado en los problemas jurídicos.</w:t>
      </w:r>
      <w:r w:rsidRPr="00E727F0">
        <w:rPr>
          <w:rFonts w:ascii="Verdana" w:hAnsi="Verdana"/>
        </w:rPr>
        <w:t xml:space="preserve"> </w:t>
      </w:r>
    </w:p>
    <w:p w14:paraId="0E921B19" w14:textId="77777777" w:rsidR="004E0ADB" w:rsidRPr="00E727F0" w:rsidRDefault="004E0ADB" w:rsidP="004E0ADB">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 xml:space="preserve">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conforme a las categorías del artículo 2.2.1.2.4.2.6., o ser empleador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xml:space="preserve">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162658DD" w14:textId="77777777" w:rsidR="004E0ADB" w:rsidRPr="00E727F0" w:rsidRDefault="004E0ADB" w:rsidP="004E0ADB">
      <w:pPr>
        <w:spacing w:before="100" w:after="180"/>
        <w:ind w:left="720" w:right="720"/>
        <w:jc w:val="both"/>
        <w:rPr>
          <w:rFonts w:ascii="Verdana" w:hAnsi="Verdana"/>
          <w:sz w:val="20"/>
          <w:szCs w:val="20"/>
        </w:rPr>
      </w:pPr>
      <w:r w:rsidRPr="00E727F0">
        <w:rPr>
          <w:rFonts w:ascii="Verdana" w:eastAsia="Times New Roman" w:hAnsi="Verdana" w:cs="Times New Roman"/>
          <w:i/>
          <w:iCs/>
          <w:sz w:val="20"/>
          <w:szCs w:val="20"/>
        </w:rPr>
        <w:t>"El proponente podrá acreditar alguna de las situaciones mencionadas, y en todo caso el puntaje adicional total y único a otorgar por este criterio será del dos por ciento (2%), sin que sean acumulables a efecto de la evaluación de la oferta."</w:t>
      </w:r>
    </w:p>
    <w:p w14:paraId="582BD466" w14:textId="77777777" w:rsidR="004E0ADB" w:rsidRPr="00206556" w:rsidRDefault="004E0ADB" w:rsidP="004E0ADB">
      <w:pPr>
        <w:spacing w:after="120" w:line="276" w:lineRule="auto"/>
        <w:ind w:firstLine="709"/>
        <w:jc w:val="both"/>
        <w:rPr>
          <w:rFonts w:ascii="Verdana" w:hAnsi="Verdana"/>
        </w:rPr>
      </w:pPr>
      <w:r w:rsidRPr="00E727F0">
        <w:rPr>
          <w:rFonts w:ascii="Verdana" w:eastAsia="Times New Roman" w:hAnsi="Verdana" w:cs="Times New Roman"/>
        </w:rPr>
        <w:lastRenderedPageBreak/>
        <w:t xml:space="preserve">Esta decisión normativa responde a una razón de diseño del sistema: el 2% ya incorpora el estímulo suficiente para promover la inclusión de </w:t>
      </w:r>
      <w:proofErr w:type="spellStart"/>
      <w:r w:rsidRPr="00E727F0">
        <w:rPr>
          <w:rFonts w:ascii="Verdana" w:eastAsia="Times New Roman" w:hAnsi="Verdana" w:cs="Times New Roman"/>
        </w:rPr>
        <w:t>PcD</w:t>
      </w:r>
      <w:proofErr w:type="spellEnd"/>
      <w:r w:rsidRPr="00E727F0">
        <w:rPr>
          <w:rFonts w:ascii="Verdana" w:eastAsia="Times New Roman" w:hAnsi="Verdana" w:cs="Times New Roman"/>
        </w:rPr>
        <w:t>,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24803D26" w14:textId="77777777" w:rsidR="004E0ADB" w:rsidRPr="00D22B7C" w:rsidRDefault="004E0ADB" w:rsidP="004E0ADB">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a la exigencia del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y la acreditación mediante planillas de seguridad social</w:t>
      </w:r>
      <w:r>
        <w:rPr>
          <w:rFonts w:ascii="Verdana" w:eastAsia="Times New Roman" w:hAnsi="Verdana" w:cs="Times New Roman"/>
        </w:rPr>
        <w:t>, e</w:t>
      </w:r>
      <w:r w:rsidRPr="006E7113">
        <w:rPr>
          <w:rFonts w:ascii="Verdana" w:eastAsia="Times New Roman" w:hAnsi="Verdana" w:cs="Times New Roman"/>
        </w:rPr>
        <w:t>l artículo 2.2.1.2.4.2.7.4. del Decreto 0287 de 2026 establece que para acceder al</w:t>
      </w:r>
      <w:r w:rsidRPr="00D22B7C">
        <w:rPr>
          <w:rFonts w:ascii="Verdana" w:eastAsia="Times New Roman" w:hAnsi="Verdana" w:cs="Times New Roman"/>
        </w:rPr>
        <w:t xml:space="preserve"> puntaje adicional en la condición de empleador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requerido varía según el tamaño de la planta de personal del proponente, conforme a la siguiente tabla:</w:t>
      </w:r>
    </w:p>
    <w:p w14:paraId="66B6AA74" w14:textId="77777777" w:rsidR="004E0ADB" w:rsidRPr="00D22B7C" w:rsidRDefault="004E0ADB" w:rsidP="004E0ADB">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4E0ADB" w:rsidRPr="00D22B7C" w14:paraId="74540F3E"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8B60135" w14:textId="77777777" w:rsidR="004E0ADB" w:rsidRPr="00D22B7C" w:rsidRDefault="004E0ADB" w:rsidP="009B177F">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4958F24B" w14:textId="77777777" w:rsidR="004E0ADB" w:rsidRPr="00D22B7C" w:rsidRDefault="004E0ADB" w:rsidP="009B177F">
            <w:pPr>
              <w:jc w:val="center"/>
              <w:rPr>
                <w:rFonts w:ascii="Verdana" w:hAnsi="Verdana"/>
              </w:rPr>
            </w:pPr>
            <w:r w:rsidRPr="00D22B7C">
              <w:rPr>
                <w:rFonts w:ascii="Verdana" w:eastAsia="Times New Roman" w:hAnsi="Verdana" w:cs="Times New Roman"/>
                <w:b/>
                <w:bCs/>
              </w:rPr>
              <w:t>Número mínimo de trabajadores con discapacidad requerido</w:t>
            </w:r>
          </w:p>
        </w:tc>
      </w:tr>
      <w:tr w:rsidR="004E0ADB" w:rsidRPr="00D22B7C" w14:paraId="1926873A"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7D9C238" w14:textId="77777777" w:rsidR="004E0ADB" w:rsidRPr="00D22B7C" w:rsidRDefault="004E0ADB" w:rsidP="009B177F">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7FCD28E" w14:textId="77777777" w:rsidR="004E0ADB" w:rsidRPr="00D22B7C" w:rsidRDefault="004E0ADB" w:rsidP="009B177F">
            <w:pPr>
              <w:jc w:val="center"/>
              <w:rPr>
                <w:rFonts w:ascii="Verdana" w:hAnsi="Verdana"/>
              </w:rPr>
            </w:pPr>
            <w:r w:rsidRPr="00D22B7C">
              <w:rPr>
                <w:rFonts w:ascii="Verdana" w:eastAsia="Times New Roman" w:hAnsi="Verdana" w:cs="Times New Roman"/>
              </w:rPr>
              <w:t>2</w:t>
            </w:r>
          </w:p>
        </w:tc>
      </w:tr>
      <w:tr w:rsidR="004E0ADB" w:rsidRPr="00D22B7C" w14:paraId="4649B7F5"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61E7649" w14:textId="77777777" w:rsidR="004E0ADB" w:rsidRPr="00D22B7C" w:rsidRDefault="004E0ADB" w:rsidP="009B177F">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9ACD3E5" w14:textId="77777777" w:rsidR="004E0ADB" w:rsidRPr="00D22B7C" w:rsidRDefault="004E0ADB" w:rsidP="009B177F">
            <w:pPr>
              <w:jc w:val="center"/>
              <w:rPr>
                <w:rFonts w:ascii="Verdana" w:hAnsi="Verdana"/>
              </w:rPr>
            </w:pPr>
            <w:r w:rsidRPr="00D22B7C">
              <w:rPr>
                <w:rFonts w:ascii="Verdana" w:eastAsia="Times New Roman" w:hAnsi="Verdana" w:cs="Times New Roman"/>
              </w:rPr>
              <w:t>3</w:t>
            </w:r>
          </w:p>
        </w:tc>
      </w:tr>
      <w:tr w:rsidR="004E0ADB" w:rsidRPr="00D22B7C" w14:paraId="628F8F31"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522FB96" w14:textId="77777777" w:rsidR="004E0ADB" w:rsidRPr="00D22B7C" w:rsidRDefault="004E0ADB" w:rsidP="009B177F">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A1A6B33" w14:textId="77777777" w:rsidR="004E0ADB" w:rsidRPr="00D22B7C" w:rsidRDefault="004E0ADB" w:rsidP="009B177F">
            <w:pPr>
              <w:jc w:val="center"/>
              <w:rPr>
                <w:rFonts w:ascii="Verdana" w:hAnsi="Verdana"/>
              </w:rPr>
            </w:pPr>
            <w:r w:rsidRPr="00D22B7C">
              <w:rPr>
                <w:rFonts w:ascii="Verdana" w:eastAsia="Times New Roman" w:hAnsi="Verdana" w:cs="Times New Roman"/>
              </w:rPr>
              <w:t>4</w:t>
            </w:r>
          </w:p>
        </w:tc>
      </w:tr>
      <w:tr w:rsidR="004E0ADB" w:rsidRPr="00D22B7C" w14:paraId="31A1D547"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8753AD2" w14:textId="77777777" w:rsidR="004E0ADB" w:rsidRPr="00D22B7C" w:rsidRDefault="004E0ADB" w:rsidP="009B177F">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45E52F9" w14:textId="77777777" w:rsidR="004E0ADB" w:rsidRPr="00D22B7C" w:rsidRDefault="004E0ADB" w:rsidP="009B177F">
            <w:pPr>
              <w:jc w:val="center"/>
              <w:rPr>
                <w:rFonts w:ascii="Verdana" w:hAnsi="Verdana"/>
              </w:rPr>
            </w:pPr>
            <w:r w:rsidRPr="00D22B7C">
              <w:rPr>
                <w:rFonts w:ascii="Verdana" w:eastAsia="Times New Roman" w:hAnsi="Verdana" w:cs="Times New Roman"/>
              </w:rPr>
              <w:t>5</w:t>
            </w:r>
          </w:p>
        </w:tc>
      </w:tr>
      <w:tr w:rsidR="004E0ADB" w:rsidRPr="00D22B7C" w14:paraId="6A6CAD23"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7FCED3" w14:textId="77777777" w:rsidR="004E0ADB" w:rsidRPr="00D22B7C" w:rsidRDefault="004E0ADB" w:rsidP="009B177F">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2E39D0" w14:textId="77777777" w:rsidR="004E0ADB" w:rsidRPr="00D22B7C" w:rsidRDefault="004E0ADB" w:rsidP="009B177F">
            <w:pPr>
              <w:jc w:val="center"/>
              <w:rPr>
                <w:rFonts w:ascii="Verdana" w:hAnsi="Verdana"/>
              </w:rPr>
            </w:pPr>
            <w:r w:rsidRPr="00D22B7C">
              <w:rPr>
                <w:rFonts w:ascii="Verdana" w:eastAsia="Times New Roman" w:hAnsi="Verdana" w:cs="Times New Roman"/>
              </w:rPr>
              <w:t>7</w:t>
            </w:r>
          </w:p>
        </w:tc>
      </w:tr>
      <w:tr w:rsidR="004E0ADB" w:rsidRPr="00D22B7C" w14:paraId="0B0EE3BA"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63B09FA" w14:textId="77777777" w:rsidR="004E0ADB" w:rsidRPr="00D22B7C" w:rsidRDefault="004E0ADB" w:rsidP="009B177F">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1FABC1A" w14:textId="77777777" w:rsidR="004E0ADB" w:rsidRPr="00D22B7C" w:rsidRDefault="004E0ADB" w:rsidP="009B177F">
            <w:pPr>
              <w:jc w:val="center"/>
              <w:rPr>
                <w:rFonts w:ascii="Verdana" w:hAnsi="Verdana"/>
              </w:rPr>
            </w:pPr>
            <w:r w:rsidRPr="00D22B7C">
              <w:rPr>
                <w:rFonts w:ascii="Verdana" w:eastAsia="Times New Roman" w:hAnsi="Verdana" w:cs="Times New Roman"/>
              </w:rPr>
              <w:t>10</w:t>
            </w:r>
          </w:p>
        </w:tc>
      </w:tr>
      <w:tr w:rsidR="004E0ADB" w:rsidRPr="00D22B7C" w14:paraId="3D812D40"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543057A" w14:textId="77777777" w:rsidR="004E0ADB" w:rsidRPr="00D22B7C" w:rsidRDefault="004E0ADB" w:rsidP="009B177F">
            <w:pPr>
              <w:jc w:val="center"/>
              <w:rPr>
                <w:rFonts w:ascii="Verdana" w:hAnsi="Verdana"/>
              </w:rPr>
            </w:pPr>
            <w:r w:rsidRPr="00D22B7C">
              <w:rPr>
                <w:rFonts w:ascii="Verdana" w:eastAsia="Times New Roman" w:hAnsi="Verdana" w:cs="Times New Roman"/>
              </w:rPr>
              <w:lastRenderedPageBreak/>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735FEEB" w14:textId="77777777" w:rsidR="004E0ADB" w:rsidRPr="00D22B7C" w:rsidRDefault="004E0ADB" w:rsidP="009B177F">
            <w:pPr>
              <w:jc w:val="center"/>
              <w:rPr>
                <w:rFonts w:ascii="Verdana" w:hAnsi="Verdana"/>
              </w:rPr>
            </w:pPr>
            <w:r w:rsidRPr="00D22B7C">
              <w:rPr>
                <w:rFonts w:ascii="Verdana" w:eastAsia="Times New Roman" w:hAnsi="Verdana" w:cs="Times New Roman"/>
              </w:rPr>
              <w:t>12</w:t>
            </w:r>
          </w:p>
        </w:tc>
      </w:tr>
      <w:tr w:rsidR="004E0ADB" w:rsidRPr="00D22B7C" w14:paraId="4868AE1B"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FB1CCB7" w14:textId="77777777" w:rsidR="004E0ADB" w:rsidRPr="00D22B7C" w:rsidRDefault="004E0ADB" w:rsidP="009B177F">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3074181" w14:textId="77777777" w:rsidR="004E0ADB" w:rsidRPr="00D22B7C" w:rsidRDefault="004E0ADB" w:rsidP="009B177F">
            <w:pPr>
              <w:jc w:val="center"/>
              <w:rPr>
                <w:rFonts w:ascii="Verdana" w:hAnsi="Verdana"/>
              </w:rPr>
            </w:pPr>
            <w:r w:rsidRPr="00D22B7C">
              <w:rPr>
                <w:rFonts w:ascii="Verdana" w:eastAsia="Times New Roman" w:hAnsi="Verdana" w:cs="Times New Roman"/>
              </w:rPr>
              <w:t>14</w:t>
            </w:r>
          </w:p>
        </w:tc>
      </w:tr>
      <w:tr w:rsidR="004E0ADB" w:rsidRPr="00D22B7C" w14:paraId="616C8E65"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2EC1D25" w14:textId="77777777" w:rsidR="004E0ADB" w:rsidRPr="00D22B7C" w:rsidRDefault="004E0ADB" w:rsidP="009B177F">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7271564" w14:textId="77777777" w:rsidR="004E0ADB" w:rsidRPr="00D22B7C" w:rsidRDefault="004E0ADB" w:rsidP="009B177F">
            <w:pPr>
              <w:jc w:val="center"/>
              <w:rPr>
                <w:rFonts w:ascii="Verdana" w:hAnsi="Verdana"/>
              </w:rPr>
            </w:pPr>
            <w:r w:rsidRPr="00D22B7C">
              <w:rPr>
                <w:rFonts w:ascii="Verdana" w:eastAsia="Times New Roman" w:hAnsi="Verdana" w:cs="Times New Roman"/>
              </w:rPr>
              <w:t>16</w:t>
            </w:r>
          </w:p>
        </w:tc>
      </w:tr>
      <w:tr w:rsidR="004E0ADB" w:rsidRPr="00D22B7C" w14:paraId="353F464C" w14:textId="77777777" w:rsidTr="009B177F">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C9F9634" w14:textId="77777777" w:rsidR="004E0ADB" w:rsidRPr="00D22B7C" w:rsidRDefault="004E0ADB" w:rsidP="009B177F">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15216BE" w14:textId="77777777" w:rsidR="004E0ADB" w:rsidRPr="00D22B7C" w:rsidRDefault="004E0ADB" w:rsidP="009B177F">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5778B231" w14:textId="77777777" w:rsidR="004E0ADB" w:rsidRPr="00D22B7C" w:rsidRDefault="004E0ADB" w:rsidP="004E0ADB">
      <w:pPr>
        <w:spacing w:after="0" w:line="276" w:lineRule="auto"/>
        <w:rPr>
          <w:rFonts w:ascii="Verdana" w:hAnsi="Verdana"/>
        </w:rPr>
      </w:pPr>
    </w:p>
    <w:p w14:paraId="4C58E0CF" w14:textId="77777777" w:rsidR="004E0ADB" w:rsidRPr="00D22B7C" w:rsidRDefault="004E0ADB" w:rsidP="004E0ADB">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08B54B55" w14:textId="77777777" w:rsidR="004E0ADB" w:rsidRPr="00D22B7C" w:rsidRDefault="004E0ADB" w:rsidP="004E0ADB">
      <w:pPr>
        <w:spacing w:after="120" w:line="276" w:lineRule="auto"/>
        <w:ind w:firstLine="709"/>
        <w:jc w:val="both"/>
        <w:rPr>
          <w:rFonts w:ascii="Verdana" w:hAnsi="Verdana"/>
        </w:rPr>
      </w:pPr>
      <w:r w:rsidRPr="00D22B7C">
        <w:rPr>
          <w:rFonts w:ascii="Verdana" w:eastAsia="Times New Roman" w:hAnsi="Verdana" w:cs="Times New Roman"/>
        </w:rPr>
        <w:t xml:space="preserve">Acreditada esa vinculación, el decreto exige adicionalmente los certificados de aportes a seguridad social de los tres (3) meses anteriores a la presentación de la oferta respecto de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el cómputo, sin distinción entre vinculaciones iniciales e incrementos posteriores, junto con el certificado que expide el Ministerio de</w:t>
      </w:r>
      <w:r>
        <w:rPr>
          <w:rFonts w:ascii="Verdana" w:eastAsia="Times New Roman" w:hAnsi="Verdana" w:cs="Times New Roman"/>
        </w:rPr>
        <w:t>l</w:t>
      </w:r>
      <w:r w:rsidRPr="00D22B7C">
        <w:rPr>
          <w:rFonts w:ascii="Verdana" w:eastAsia="Times New Roman" w:hAnsi="Verdana" w:cs="Times New Roman"/>
        </w:rPr>
        <w:t xml:space="preserve"> Trabajo</w:t>
      </w:r>
      <w:r>
        <w:rPr>
          <w:rFonts w:ascii="Verdana" w:eastAsia="Times New Roman" w:hAnsi="Verdana" w:cs="Times New Roman"/>
        </w:rPr>
        <w:t>, entre otros documentos</w:t>
      </w:r>
      <w:r w:rsidRPr="00D22B7C">
        <w:rPr>
          <w:rFonts w:ascii="Verdana" w:eastAsia="Times New Roman" w:hAnsi="Verdana" w:cs="Times New Roman"/>
        </w:rPr>
        <w:t>. La razón de este requisito es garantizar que la vinculación sea real, estable y verificable, y no meramente instrumental para un proceso contractual específico. La Circular Externa de Colombia Compra Eficiente sobre la aplicación del Decreto 287 de 2026 aclara que:</w:t>
      </w:r>
    </w:p>
    <w:p w14:paraId="2E179F19" w14:textId="77777777" w:rsidR="004E0ADB" w:rsidRPr="003C3B8B" w:rsidRDefault="004E0ADB" w:rsidP="004E0ADB">
      <w:pPr>
        <w:spacing w:before="100" w:after="180" w:line="240" w:lineRule="auto"/>
        <w:ind w:left="720" w:right="720"/>
        <w:jc w:val="both"/>
        <w:rPr>
          <w:rFonts w:ascii="Verdana" w:hAnsi="Verdana"/>
          <w:sz w:val="21"/>
          <w:szCs w:val="21"/>
        </w:rPr>
      </w:pPr>
      <w:r w:rsidRPr="003C3B8B">
        <w:rPr>
          <w:rFonts w:ascii="Verdana" w:eastAsia="Times New Roman" w:hAnsi="Verdana" w:cs="Times New Roman"/>
          <w:i/>
          <w:iCs/>
          <w:sz w:val="21"/>
          <w:szCs w:val="21"/>
        </w:rPr>
        <w:t xml:space="preserve">"no se exige vinculación de las </w:t>
      </w:r>
      <w:proofErr w:type="spellStart"/>
      <w:r w:rsidRPr="003C3B8B">
        <w:rPr>
          <w:rFonts w:ascii="Verdana" w:eastAsia="Times New Roman" w:hAnsi="Verdana" w:cs="Times New Roman"/>
          <w:i/>
          <w:iCs/>
          <w:sz w:val="21"/>
          <w:szCs w:val="21"/>
        </w:rPr>
        <w:t>PcD</w:t>
      </w:r>
      <w:proofErr w:type="spellEnd"/>
      <w:r w:rsidRPr="003C3B8B">
        <w:rPr>
          <w:rFonts w:ascii="Verdana" w:eastAsia="Times New Roman" w:hAnsi="Verdana" w:cs="Times New Roman"/>
          <w:i/>
          <w:iCs/>
          <w:sz w:val="21"/>
          <w:szCs w:val="21"/>
        </w:rPr>
        <w:t xml:space="preserve"> durante un (1) año antes del proceso contractual, ya que el Decreto 392 de 2018 no lo exigía así, y la nueva regulación exige solo tres (3) meses anteriores a la celebración del proceso"</w:t>
      </w:r>
      <w:r>
        <w:rPr>
          <w:rFonts w:ascii="Verdana" w:eastAsia="Times New Roman" w:hAnsi="Verdana" w:cs="Times New Roman"/>
          <w:i/>
          <w:iCs/>
          <w:sz w:val="21"/>
          <w:szCs w:val="21"/>
        </w:rPr>
        <w:t>.</w:t>
      </w:r>
    </w:p>
    <w:p w14:paraId="5B3F43CB" w14:textId="77777777" w:rsidR="004E0ADB" w:rsidRDefault="004E0ADB" w:rsidP="004E0ADB">
      <w:pPr>
        <w:spacing w:after="120" w:line="276" w:lineRule="auto"/>
        <w:ind w:firstLine="708"/>
        <w:jc w:val="both"/>
        <w:rPr>
          <w:rFonts w:ascii="Verdana" w:eastAsia="Times New Roman" w:hAnsi="Verdana" w:cs="Times New Roman"/>
        </w:rPr>
      </w:pPr>
      <w:r w:rsidRPr="00D22B7C">
        <w:rPr>
          <w:rFonts w:ascii="Verdana" w:eastAsia="Times New Roman" w:hAnsi="Verdana" w:cs="Times New Roman"/>
        </w:rPr>
        <w:t xml:space="preserve">El período de tres meses es el umbral mínimo de estabilidad laboral que diferencia un compromiso genuino con la inclusión de una vinculación </w:t>
      </w:r>
      <w:r w:rsidRPr="00D22B7C">
        <w:rPr>
          <w:rFonts w:ascii="Verdana" w:eastAsia="Times New Roman" w:hAnsi="Verdana" w:cs="Times New Roman"/>
        </w:rPr>
        <w:lastRenderedPageBreak/>
        <w:t xml:space="preserve">oportunista. La norma aplica este requisito para cada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incluida en la acreditación, independientemente de si es una vinculación original o una nueva incorporación. Si una empresa ha incrementado recientemente su planta de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y alguna de estas vinculaciones no alcanza el período requerido, el proponente puede participar en el proceso utilizando únicamente las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que sí cumplan el requisito temporal. La consecuencia de no alcanzar el período no es la exclusión del proceso sino la imposibilidad de obtener el puntaje adicional respecto de esas </w:t>
      </w:r>
      <w:proofErr w:type="spellStart"/>
      <w:r w:rsidRPr="00D22B7C">
        <w:rPr>
          <w:rFonts w:ascii="Verdana" w:eastAsia="Times New Roman" w:hAnsi="Verdana" w:cs="Times New Roman"/>
        </w:rPr>
        <w:t>PcD</w:t>
      </w:r>
      <w:proofErr w:type="spellEnd"/>
      <w:r w:rsidRPr="00D22B7C">
        <w:rPr>
          <w:rFonts w:ascii="Verdana" w:eastAsia="Times New Roman" w:hAnsi="Verdana" w:cs="Times New Roman"/>
        </w:rPr>
        <w:t xml:space="preserve"> específicas, lo que es coherente con los principios de participación y pluralidad de oferentes.</w:t>
      </w:r>
    </w:p>
    <w:p w14:paraId="2518A80D" w14:textId="77777777" w:rsidR="004E0ADB" w:rsidRDefault="004E0ADB" w:rsidP="004E0ADB">
      <w:pPr>
        <w:spacing w:after="120" w:line="276" w:lineRule="auto"/>
        <w:ind w:firstLine="708"/>
        <w:jc w:val="both"/>
        <w:rPr>
          <w:rFonts w:ascii="Verdana" w:eastAsia="Times New Roman" w:hAnsi="Verdana" w:cs="Times New Roman"/>
        </w:rPr>
      </w:pPr>
      <w:r w:rsidRPr="007B01BA">
        <w:rPr>
          <w:rFonts w:ascii="Verdana" w:eastAsia="Times New Roman" w:hAnsi="Verdana" w:cs="Times New Roman"/>
        </w:rPr>
        <w:t xml:space="preserve">Es importante precisar que la vinculación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a las plantas de personal debe realizarse mediante contrato laboral con dedicación exclusiva, cuya definición le corresponde al Ministerio del Trabajo. Adicionalmente, debe destacarse la diferencia entre los documentos exigidos según el sujeto que acredita el puntaje: cuando se trata de un empleador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los documentos requeridos son los establecidos en el artículo 2.2.1.2.4.2.7.4., que incluye las planillas de seguridad social de los últimos tres (3) meses y el certificado del Ministerio del Trabajo</w:t>
      </w:r>
      <w:r>
        <w:rPr>
          <w:rFonts w:ascii="Verdana" w:eastAsia="Times New Roman" w:hAnsi="Verdana" w:cs="Times New Roman"/>
        </w:rPr>
        <w:t>, entre otros</w:t>
      </w:r>
      <w:r w:rsidRPr="007B01BA">
        <w:rPr>
          <w:rFonts w:ascii="Verdana" w:eastAsia="Times New Roman" w:hAnsi="Verdana" w:cs="Times New Roman"/>
        </w:rPr>
        <w:t xml:space="preserve">; cuando se trata de un emprendimiento o empresa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los documentos requeridos son los establecidos en el artículo 2.2.1.2.4.2.6., que varían según la categoría que se acredite. En ningún caso los documentos del artículo 2.2.1.2.4.2.7.4. son exigibles a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xml:space="preserve">, ni viceversa. El término de tres (3) </w:t>
      </w:r>
      <w:proofErr w:type="gramStart"/>
      <w:r w:rsidRPr="007B01BA">
        <w:rPr>
          <w:rFonts w:ascii="Verdana" w:eastAsia="Times New Roman" w:hAnsi="Verdana" w:cs="Times New Roman"/>
        </w:rPr>
        <w:t>meses aquí mencionado</w:t>
      </w:r>
      <w:proofErr w:type="gramEnd"/>
      <w:r w:rsidRPr="007B01BA">
        <w:rPr>
          <w:rFonts w:ascii="Verdana" w:eastAsia="Times New Roman" w:hAnsi="Verdana" w:cs="Times New Roman"/>
        </w:rPr>
        <w:t xml:space="preserve"> es diferente al término de un (1) año exigido en el artículo 2.2.1.2.4.2.6. para la acreditación de las condiciones de los emprendimientos y empresas de </w:t>
      </w:r>
      <w:proofErr w:type="spellStart"/>
      <w:r w:rsidRPr="007B01BA">
        <w:rPr>
          <w:rFonts w:ascii="Verdana" w:eastAsia="Times New Roman" w:hAnsi="Verdana" w:cs="Times New Roman"/>
        </w:rPr>
        <w:t>PcD</w:t>
      </w:r>
      <w:proofErr w:type="spellEnd"/>
      <w:r w:rsidRPr="007B01BA">
        <w:rPr>
          <w:rFonts w:ascii="Verdana" w:eastAsia="Times New Roman" w:hAnsi="Verdana" w:cs="Times New Roman"/>
        </w:rPr>
        <w:t>, por lo que no deben confundirse.</w:t>
      </w:r>
    </w:p>
    <w:p w14:paraId="3DF3C461" w14:textId="77777777" w:rsidR="004E0ADB" w:rsidRPr="00D22B7C" w:rsidRDefault="004E0ADB" w:rsidP="004E0ADB">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w:t>
      </w:r>
      <w:r w:rsidRPr="00206556">
        <w:rPr>
          <w:rFonts w:ascii="Verdana" w:hAnsi="Verdana"/>
        </w:rPr>
        <w:lastRenderedPageBreak/>
        <w:t xml:space="preserve">modalidades </w:t>
      </w:r>
      <w:r>
        <w:rPr>
          <w:rFonts w:ascii="Verdana" w:hAnsi="Verdana"/>
        </w:rPr>
        <w:t>de selección</w:t>
      </w:r>
      <w:r w:rsidRPr="00206556">
        <w:rPr>
          <w:rFonts w:ascii="Verdana" w:hAnsi="Verdana"/>
        </w:rPr>
        <w:t xml:space="preserve">; y la contratación directa tiene su propia medida afirmativa a través de los contratos de prestación de servicios con </w:t>
      </w:r>
      <w:proofErr w:type="spellStart"/>
      <w:r w:rsidRPr="00206556">
        <w:rPr>
          <w:rFonts w:ascii="Verdana" w:hAnsi="Verdana"/>
        </w:rPr>
        <w:t>PcD</w:t>
      </w:r>
      <w:proofErr w:type="spellEnd"/>
      <w:r w:rsidRPr="00206556">
        <w:rPr>
          <w:rFonts w:ascii="Verdana" w:hAnsi="Verdana"/>
        </w:rPr>
        <w:t>.</w:t>
      </w:r>
    </w:p>
    <w:p w14:paraId="4BC185EB" w14:textId="77777777" w:rsidR="004E0ADB" w:rsidRPr="00670CFB" w:rsidRDefault="004E0ADB" w:rsidP="004E0ADB">
      <w:pPr>
        <w:spacing w:after="120" w:line="276" w:lineRule="auto"/>
        <w:ind w:firstLine="709"/>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 xml:space="preserve">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w:t>
      </w:r>
      <w:proofErr w:type="spellStart"/>
      <w:r w:rsidRPr="00670CFB">
        <w:rPr>
          <w:rFonts w:ascii="Verdana" w:hAnsi="Verdana"/>
        </w:rPr>
        <w:t>PcD</w:t>
      </w:r>
      <w:proofErr w:type="spellEnd"/>
      <w:r w:rsidRPr="00670CFB">
        <w:rPr>
          <w:rFonts w:ascii="Verdana" w:hAnsi="Verdana"/>
        </w:rPr>
        <w:t xml:space="preserve">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5A3B698D"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w:t>
      </w:r>
      <w:proofErr w:type="spellStart"/>
      <w:r w:rsidRPr="00670CFB">
        <w:rPr>
          <w:rFonts w:ascii="Verdana" w:hAnsi="Verdana"/>
        </w:rPr>
        <w:t>PcD</w:t>
      </w:r>
      <w:proofErr w:type="spellEnd"/>
      <w:r w:rsidRPr="00670CFB">
        <w:rPr>
          <w:rFonts w:ascii="Verdana" w:hAnsi="Verdana"/>
        </w:rPr>
        <w:t xml:space="preserve">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w:t>
      </w:r>
      <w:proofErr w:type="spellStart"/>
      <w:r w:rsidRPr="00670CFB">
        <w:rPr>
          <w:rFonts w:ascii="Verdana" w:hAnsi="Verdana"/>
        </w:rPr>
        <w:t>PcD</w:t>
      </w:r>
      <w:proofErr w:type="spellEnd"/>
      <w:r w:rsidRPr="00670CFB">
        <w:rPr>
          <w:rFonts w:ascii="Verdana" w:hAnsi="Verdana"/>
        </w:rPr>
        <w:t xml:space="preserve">,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344D369E"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lastRenderedPageBreak/>
        <w:t xml:space="preserve">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w:t>
      </w:r>
      <w:proofErr w:type="spellStart"/>
      <w:r w:rsidRPr="00670CFB">
        <w:rPr>
          <w:rFonts w:ascii="Verdana" w:hAnsi="Verdana"/>
        </w:rPr>
        <w:t>PcD</w:t>
      </w:r>
      <w:proofErr w:type="spellEnd"/>
      <w:r w:rsidRPr="00670CFB">
        <w:rPr>
          <w:rFonts w:ascii="Verdana" w:hAnsi="Verdana"/>
        </w:rPr>
        <w:t xml:space="preserve">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w:t>
      </w:r>
      <w:proofErr w:type="spellStart"/>
      <w:r w:rsidRPr="00670CFB">
        <w:rPr>
          <w:rFonts w:ascii="Verdana" w:hAnsi="Verdana"/>
        </w:rPr>
        <w:t>PcD</w:t>
      </w:r>
      <w:proofErr w:type="spellEnd"/>
      <w:r w:rsidRPr="00670CFB">
        <w:rPr>
          <w:rFonts w:ascii="Verdana" w:hAnsi="Verdana"/>
        </w:rPr>
        <w:t xml:space="preserve"> y no para los empleadores de </w:t>
      </w:r>
      <w:proofErr w:type="spellStart"/>
      <w:r w:rsidRPr="00670CFB">
        <w:rPr>
          <w:rFonts w:ascii="Verdana" w:hAnsi="Verdana"/>
        </w:rPr>
        <w:t>PcD</w:t>
      </w:r>
      <w:proofErr w:type="spellEnd"/>
      <w:r w:rsidRPr="00670CFB">
        <w:rPr>
          <w:rFonts w:ascii="Verdana" w:hAnsi="Verdana"/>
        </w:rPr>
        <w:t>.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1135108F"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w:t>
      </w:r>
      <w:proofErr w:type="spellStart"/>
      <w:r w:rsidRPr="00670CFB">
        <w:rPr>
          <w:rFonts w:ascii="Verdana" w:hAnsi="Verdana"/>
        </w:rPr>
        <w:t>PcD</w:t>
      </w:r>
      <w:proofErr w:type="spellEnd"/>
      <w:r w:rsidRPr="00670CFB">
        <w:rPr>
          <w:rFonts w:ascii="Verdana" w:hAnsi="Verdana"/>
        </w:rPr>
        <w:t xml:space="preserve"> o ser empleadores de </w:t>
      </w:r>
      <w:proofErr w:type="spellStart"/>
      <w:r w:rsidRPr="00670CFB">
        <w:rPr>
          <w:rFonts w:ascii="Verdana" w:hAnsi="Verdana"/>
        </w:rPr>
        <w:t>PcD</w:t>
      </w:r>
      <w:proofErr w:type="spellEnd"/>
      <w:r w:rsidRPr="00670CFB">
        <w:rPr>
          <w:rFonts w:ascii="Verdana" w:hAnsi="Verdana"/>
        </w:rPr>
        <w:t xml:space="preserve">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xml:space="preserve">, en licitación pública y concurso de méritos. La acreditación exige, entre otros documentos, los certificados de aportes a seguridad social de los tres (3) meses anteriores a la presentación de la oferta para cada </w:t>
      </w:r>
      <w:proofErr w:type="spellStart"/>
      <w:r w:rsidRPr="00670CFB">
        <w:rPr>
          <w:rFonts w:ascii="Verdana" w:hAnsi="Verdana"/>
        </w:rPr>
        <w:t>PcD</w:t>
      </w:r>
      <w:proofErr w:type="spellEnd"/>
      <w:r w:rsidRPr="00670CFB">
        <w:rPr>
          <w:rFonts w:ascii="Verdana" w:hAnsi="Verdana"/>
        </w:rPr>
        <w:t xml:space="preserve"> incluida en el cómputo, junto con el certificado del Ministerio de Trabajo. La no inclusión de este puntaje </w:t>
      </w:r>
      <w:r w:rsidRPr="00670CFB">
        <w:rPr>
          <w:rFonts w:ascii="Verdana" w:hAnsi="Verdana"/>
        </w:rPr>
        <w:lastRenderedPageBreak/>
        <w:t xml:space="preserve">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w:t>
      </w:r>
      <w:proofErr w:type="spellStart"/>
      <w:r w:rsidRPr="00670CFB">
        <w:rPr>
          <w:rFonts w:ascii="Verdana" w:hAnsi="Verdana"/>
        </w:rPr>
        <w:t>PcD</w:t>
      </w:r>
      <w:proofErr w:type="spellEnd"/>
      <w:r w:rsidRPr="00670CFB">
        <w:rPr>
          <w:rFonts w:ascii="Verdana" w:hAnsi="Verdana"/>
        </w:rPr>
        <w:t xml:space="preserve"> vinculadas puede constituir causal de incumplimiento contractual, salvo que se demuestre fuerza mayor o caso fortuito, y en todo caso respetando el derecho a la estabilidad laboral reforzada de las </w:t>
      </w:r>
      <w:proofErr w:type="spellStart"/>
      <w:r w:rsidRPr="00670CFB">
        <w:rPr>
          <w:rFonts w:ascii="Verdana" w:hAnsi="Verdana"/>
        </w:rPr>
        <w:t>PcD</w:t>
      </w:r>
      <w:proofErr w:type="spellEnd"/>
      <w:r w:rsidRPr="00670CFB">
        <w:rPr>
          <w:rFonts w:ascii="Verdana" w:hAnsi="Verdana"/>
        </w:rPr>
        <w:t>.</w:t>
      </w:r>
    </w:p>
    <w:p w14:paraId="3BC90A87"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w:t>
      </w:r>
      <w:proofErr w:type="spellStart"/>
      <w:r w:rsidRPr="00670CFB">
        <w:rPr>
          <w:rFonts w:ascii="Verdana" w:hAnsi="Verdana"/>
        </w:rPr>
        <w:t>PcD</w:t>
      </w:r>
      <w:proofErr w:type="spellEnd"/>
      <w:r w:rsidRPr="00670CFB">
        <w:rPr>
          <w:rFonts w:ascii="Verdana" w:hAnsi="Verdana"/>
        </w:rPr>
        <w:t xml:space="preserve"> y a emprendimientos y empresas de </w:t>
      </w:r>
      <w:proofErr w:type="spellStart"/>
      <w:r w:rsidRPr="00670CFB">
        <w:rPr>
          <w:rFonts w:ascii="Verdana" w:hAnsi="Verdana"/>
        </w:rPr>
        <w:t>PcD</w:t>
      </w:r>
      <w:proofErr w:type="spellEnd"/>
      <w:r w:rsidRPr="00670CFB">
        <w:rPr>
          <w:rFonts w:ascii="Verdana" w:hAnsi="Verdana"/>
        </w:rPr>
        <w:t xml:space="preserve"> cuando requiera subcontratar bienes, 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w:t>
      </w:r>
      <w:proofErr w:type="spellStart"/>
      <w:r w:rsidRPr="00670CFB">
        <w:rPr>
          <w:rFonts w:ascii="Verdana" w:hAnsi="Verdana"/>
        </w:rPr>
        <w:t>PcD</w:t>
      </w:r>
      <w:proofErr w:type="spellEnd"/>
      <w:r w:rsidRPr="00670CFB">
        <w:rPr>
          <w:rFonts w:ascii="Verdana" w:hAnsi="Verdana"/>
        </w:rPr>
        <w:t xml:space="preserve">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AA5A8F2"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t xml:space="preserve">La quinta medida es la inclusión de </w:t>
      </w:r>
      <w:proofErr w:type="spellStart"/>
      <w:r w:rsidRPr="00670CFB">
        <w:rPr>
          <w:rFonts w:ascii="Verdana" w:hAnsi="Verdana"/>
        </w:rPr>
        <w:t>PcD</w:t>
      </w:r>
      <w:proofErr w:type="spellEnd"/>
      <w:r w:rsidRPr="00670CFB">
        <w:rPr>
          <w:rFonts w:ascii="Verdana" w:hAnsi="Verdana"/>
        </w:rPr>
        <w:t xml:space="preserve">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w:t>
      </w:r>
      <w:proofErr w:type="spellStart"/>
      <w:r w:rsidRPr="00670CFB">
        <w:rPr>
          <w:rFonts w:ascii="Verdana" w:hAnsi="Verdana"/>
        </w:rPr>
        <w:t>PcD</w:t>
      </w:r>
      <w:proofErr w:type="spellEnd"/>
      <w:r w:rsidRPr="00670CFB">
        <w:rPr>
          <w:rFonts w:ascii="Verdana" w:hAnsi="Verdana"/>
        </w:rPr>
        <w:t xml:space="preserve"> para cumplir el objeto contractual, acordar </w:t>
      </w:r>
      <w:r w:rsidRPr="00670CFB">
        <w:rPr>
          <w:rFonts w:ascii="Verdana" w:hAnsi="Verdana"/>
        </w:rPr>
        <w:lastRenderedPageBreak/>
        <w:t>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304F25D4"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criterios que garanticen la accesibilidad de las </w:t>
      </w:r>
      <w:proofErr w:type="spellStart"/>
      <w:r w:rsidRPr="00670CFB">
        <w:rPr>
          <w:rFonts w:ascii="Verdana" w:hAnsi="Verdana"/>
        </w:rPr>
        <w:t>PcD</w:t>
      </w:r>
      <w:proofErr w:type="spellEnd"/>
      <w:r w:rsidRPr="00670CFB">
        <w:rPr>
          <w:rFonts w:ascii="Verdana" w:hAnsi="Verdana"/>
        </w:rPr>
        <w:t>,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676B0EA7" w14:textId="77777777" w:rsidR="004E0ADB" w:rsidRPr="00670CFB" w:rsidRDefault="004E0ADB" w:rsidP="004E0ADB">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11E184E" w14:textId="77777777" w:rsidR="004E0ADB" w:rsidRPr="00206556" w:rsidRDefault="004E0ADB" w:rsidP="004E0ADB">
      <w:pPr>
        <w:spacing w:after="0" w:line="276" w:lineRule="auto"/>
        <w:jc w:val="both"/>
        <w:rPr>
          <w:rFonts w:ascii="Verdana" w:eastAsia="Calibri" w:hAnsi="Verdana" w:cs="Arial"/>
          <w:lang w:val="es-ES"/>
        </w:rPr>
      </w:pPr>
    </w:p>
    <w:p w14:paraId="4A971092" w14:textId="77777777" w:rsidR="004E0ADB" w:rsidRPr="00206556" w:rsidRDefault="004E0ADB" w:rsidP="004E0ADB">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E0ADB" w:rsidRPr="00206556" w14:paraId="4B506DAC" w14:textId="77777777" w:rsidTr="009B177F">
        <w:trPr>
          <w:trHeight w:val="297"/>
        </w:trPr>
        <w:tc>
          <w:tcPr>
            <w:tcW w:w="8647" w:type="dxa"/>
          </w:tcPr>
          <w:p w14:paraId="20639FA3" w14:textId="77777777" w:rsidR="004E0ADB" w:rsidRPr="00670CFB"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lastRenderedPageBreak/>
              <w:t>Constitución Política de Colombia. Artículos 13, 47, 54 y 93.</w:t>
            </w:r>
          </w:p>
          <w:p w14:paraId="28EFE797"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16944840"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1A48229"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F22409A"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50152864"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56BB5300"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6B6C1C8F"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2D9099EE"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1F6DFC3B"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597222D2"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0AAEC5C2"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6DE5536E"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11BE8665"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553685AA"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27B2B4B5"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0DCB5774"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4CE6AC7F"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4874562F"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321B1EF1"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Agencia Nacional de Contratación Pública – Colombia Compra </w:t>
            </w:r>
            <w:r w:rsidRPr="00206556">
              <w:rPr>
                <w:rFonts w:ascii="Verdana" w:eastAsia="Arial MT" w:hAnsi="Verdana" w:cs="Arial"/>
                <w:lang w:eastAsia="es-ES" w:bidi="es-ES"/>
              </w:rPr>
              <w:lastRenderedPageBreak/>
              <w:t>Eficiente. Circular Externa sobre orientaciones para la aplicación del Decreto 287 de 2026. Bogotá, 2026.</w:t>
            </w:r>
          </w:p>
          <w:p w14:paraId="557EE388"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7FEBCC64"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40D1F6D"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567B5F41"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56022577"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2B6432CE" w14:textId="77777777" w:rsidR="004E0ADB" w:rsidRPr="00206556" w:rsidRDefault="004E0ADB" w:rsidP="004E0ADB">
            <w:pPr>
              <w:pStyle w:val="Prrafodelista"/>
              <w:widowControl w:val="0"/>
              <w:numPr>
                <w:ilvl w:val="0"/>
                <w:numId w:val="1"/>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3DFDC3E1" w14:textId="77777777" w:rsidR="004E0ADB" w:rsidRPr="00206556" w:rsidRDefault="004E0ADB" w:rsidP="009B177F">
            <w:pPr>
              <w:widowControl w:val="0"/>
              <w:autoSpaceDE w:val="0"/>
              <w:autoSpaceDN w:val="0"/>
              <w:spacing w:line="276" w:lineRule="auto"/>
              <w:jc w:val="both"/>
              <w:rPr>
                <w:rFonts w:ascii="Verdana" w:eastAsia="Arial MT" w:hAnsi="Verdana" w:cs="Arial"/>
                <w:lang w:val="es-ES" w:eastAsia="es-ES" w:bidi="es-ES"/>
              </w:rPr>
            </w:pPr>
          </w:p>
        </w:tc>
      </w:tr>
    </w:tbl>
    <w:p w14:paraId="678C3EA4" w14:textId="77777777" w:rsidR="004E0ADB" w:rsidRPr="00206556" w:rsidRDefault="004E0ADB" w:rsidP="004E0ADB">
      <w:pPr>
        <w:widowControl w:val="0"/>
        <w:autoSpaceDE w:val="0"/>
        <w:autoSpaceDN w:val="0"/>
        <w:spacing w:after="0" w:line="276" w:lineRule="auto"/>
        <w:jc w:val="both"/>
        <w:rPr>
          <w:rFonts w:ascii="Verdana" w:hAnsi="Verdana" w:cs="Arial"/>
          <w:color w:val="E97132" w:themeColor="accent2"/>
          <w:lang w:val="es-ES"/>
        </w:rPr>
      </w:pPr>
    </w:p>
    <w:p w14:paraId="0A4C0DA5" w14:textId="77777777" w:rsidR="004E0ADB" w:rsidRDefault="004E0ADB" w:rsidP="004E0ADB">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22B43448" w14:textId="77777777" w:rsidR="004E0ADB" w:rsidRPr="00670CFB" w:rsidRDefault="004E0ADB" w:rsidP="004E0ADB">
      <w:pPr>
        <w:tabs>
          <w:tab w:val="left" w:pos="142"/>
          <w:tab w:val="left" w:pos="284"/>
        </w:tabs>
        <w:spacing w:after="0" w:line="276" w:lineRule="auto"/>
        <w:jc w:val="both"/>
        <w:rPr>
          <w:rFonts w:ascii="Verdana" w:eastAsia="Century Gothic" w:hAnsi="Verdana" w:cs="Century Gothic"/>
          <w:b/>
          <w:lang w:val="es-ES"/>
        </w:rPr>
      </w:pPr>
    </w:p>
    <w:p w14:paraId="7646709D" w14:textId="77777777" w:rsidR="004E0ADB" w:rsidRPr="00206556" w:rsidRDefault="004E0ADB" w:rsidP="004E0ADB">
      <w:pPr>
        <w:spacing w:after="0" w:line="276" w:lineRule="auto"/>
        <w:jc w:val="both"/>
        <w:rPr>
          <w:rFonts w:ascii="Verdana" w:hAnsi="Verdana"/>
          <w:color w:val="E97132" w:themeColor="accent2"/>
          <w:lang w:val="es-ES"/>
        </w:rPr>
      </w:pPr>
      <w:r w:rsidRPr="00206556">
        <w:rPr>
          <w:rFonts w:ascii="Verdana" w:eastAsia="Calibri" w:hAnsi="Verdana" w:cs="Arial"/>
          <w:lang w:val="es-ES"/>
        </w:rPr>
        <w:t xml:space="preserve">La Agencia Nacional de Contratación Pública – Colombia Compra Eficiente se ha referido </w:t>
      </w:r>
      <w:r w:rsidRPr="00206556">
        <w:rPr>
          <w:rFonts w:ascii="Verdana" w:hAnsi="Verdana" w:cs="Arial"/>
          <w:shd w:val="clear" w:color="auto" w:fill="FFFFFF"/>
          <w:lang w:val="es-ES"/>
        </w:rPr>
        <w:t xml:space="preserve">sobre el alcance del Decreto 0287 de 2026 en </w:t>
      </w:r>
      <w:r>
        <w:rPr>
          <w:rFonts w:ascii="Verdana" w:hAnsi="Verdana" w:cs="Arial"/>
          <w:shd w:val="clear" w:color="auto" w:fill="FFFFFF"/>
          <w:lang w:val="es-ES"/>
        </w:rPr>
        <w:t>el concepto C-473 del 7 de mayo de 2026 y C-572 del 19 de mayo de 2025</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e</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1" w:history="1">
        <w:r w:rsidRPr="00206556">
          <w:rPr>
            <w:rStyle w:val="Hipervnculo"/>
            <w:rFonts w:ascii="Verdana" w:hAnsi="Verdana" w:cs="Arial"/>
            <w:shd w:val="clear" w:color="auto" w:fill="FFFFFF"/>
            <w:lang w:val="es-ES"/>
          </w:rPr>
          <w:t>https://relatoria.colombiacompra.gov.co/busqueda/conceptos</w:t>
        </w:r>
      </w:hyperlink>
    </w:p>
    <w:p w14:paraId="075B3BA9" w14:textId="77777777" w:rsidR="004E0ADB" w:rsidRPr="00206556" w:rsidRDefault="004E0ADB" w:rsidP="004E0ADB">
      <w:pPr>
        <w:spacing w:after="0" w:line="276" w:lineRule="auto"/>
        <w:jc w:val="both"/>
        <w:rPr>
          <w:rFonts w:ascii="Verdana" w:hAnsi="Verdana" w:cs="Arial"/>
          <w:color w:val="E97132" w:themeColor="accent2"/>
          <w:shd w:val="clear" w:color="auto" w:fill="FFFFFF"/>
          <w:lang w:val="es-ES"/>
        </w:rPr>
      </w:pPr>
    </w:p>
    <w:p w14:paraId="520C895A" w14:textId="77777777" w:rsidR="004E0ADB" w:rsidRPr="00206556" w:rsidRDefault="004E0ADB" w:rsidP="004E0AD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2"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45FE1C0F" w14:textId="77777777" w:rsidR="004E0ADB" w:rsidRPr="00206556" w:rsidRDefault="004E0ADB" w:rsidP="004E0ADB">
      <w:pPr>
        <w:spacing w:after="0" w:line="276" w:lineRule="auto"/>
        <w:jc w:val="both"/>
        <w:rPr>
          <w:rFonts w:ascii="Verdana" w:hAnsi="Verdana" w:cs="Arial"/>
          <w:shd w:val="clear" w:color="auto" w:fill="FFFFFF"/>
        </w:rPr>
      </w:pPr>
    </w:p>
    <w:p w14:paraId="40874789" w14:textId="77777777" w:rsidR="004E0ADB" w:rsidRPr="00206556" w:rsidRDefault="004E0ADB" w:rsidP="004E0ADB">
      <w:pPr>
        <w:spacing w:after="0" w:line="276" w:lineRule="auto"/>
        <w:jc w:val="both"/>
        <w:rPr>
          <w:rFonts w:ascii="Verdana" w:hAnsi="Verdana" w:cs="Arial"/>
          <w:shd w:val="clear" w:color="auto" w:fill="FFFFFF"/>
        </w:rPr>
      </w:pPr>
      <w:r w:rsidRPr="00206556">
        <w:rPr>
          <w:rFonts w:ascii="Verdana" w:hAnsi="Verdana" w:cs="Arial"/>
          <w:shd w:val="clear" w:color="auto" w:fill="FFFFFF"/>
        </w:rPr>
        <w:lastRenderedPageBreak/>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3" w:history="1">
        <w:r w:rsidRPr="00206556">
          <w:rPr>
            <w:rStyle w:val="Hipervnculo"/>
            <w:rFonts w:ascii="Verdana" w:hAnsi="Verdana" w:cs="Arial"/>
            <w:shd w:val="clear" w:color="auto" w:fill="FFFFFF"/>
          </w:rPr>
          <w:t>https://www.colombiacompra.gov.co/normativa-y-relatoria/documentos-tipo</w:t>
        </w:r>
      </w:hyperlink>
    </w:p>
    <w:p w14:paraId="20D035AD" w14:textId="77777777" w:rsidR="004E0ADB" w:rsidRPr="00206556" w:rsidRDefault="004E0ADB" w:rsidP="004E0ADB">
      <w:pPr>
        <w:spacing w:after="0" w:line="276" w:lineRule="auto"/>
        <w:jc w:val="both"/>
        <w:rPr>
          <w:rFonts w:ascii="Verdana" w:hAnsi="Verdana" w:cs="Arial"/>
          <w:shd w:val="clear" w:color="auto" w:fill="FFFFFF"/>
        </w:rPr>
      </w:pPr>
    </w:p>
    <w:p w14:paraId="6EA7FEB1" w14:textId="77777777" w:rsidR="004E0ADB" w:rsidRPr="00206556" w:rsidRDefault="004E0ADB" w:rsidP="004E0ADB">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206556">
        <w:rPr>
          <w:rFonts w:ascii="Verdana" w:hAnsi="Verdana" w:cs="Arial"/>
          <w:shd w:val="clear" w:color="auto" w:fill="FFFFFF"/>
        </w:rPr>
        <w:t>Además</w:t>
      </w:r>
      <w:proofErr w:type="gramEnd"/>
      <w:r w:rsidRPr="00206556">
        <w:rPr>
          <w:rFonts w:ascii="Verdana" w:hAnsi="Verdana" w:cs="Arial"/>
          <w:shd w:val="clear" w:color="auto" w:fill="FFFFFF"/>
        </w:rPr>
        <w:t xml:space="preserve">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3DE2CC21" w14:textId="77777777" w:rsidR="004E0ADB" w:rsidRPr="00206556" w:rsidRDefault="004E0ADB" w:rsidP="004E0ADB">
      <w:pPr>
        <w:spacing w:after="0" w:line="276" w:lineRule="auto"/>
        <w:jc w:val="both"/>
        <w:rPr>
          <w:rFonts w:ascii="Verdana" w:hAnsi="Verdana" w:cs="Arial"/>
          <w:color w:val="E97132" w:themeColor="accent2"/>
          <w:shd w:val="clear" w:color="auto" w:fill="FFFFFF"/>
        </w:rPr>
      </w:pPr>
    </w:p>
    <w:p w14:paraId="40BDE355" w14:textId="77777777" w:rsidR="004E0ADB" w:rsidRPr="00206556" w:rsidRDefault="004E0ADB" w:rsidP="004E0ADB">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4FC70972" w14:textId="77777777" w:rsidR="004E0ADB" w:rsidRPr="00206556" w:rsidRDefault="004E0ADB" w:rsidP="004E0ADB">
      <w:pPr>
        <w:spacing w:after="0"/>
        <w:jc w:val="both"/>
        <w:rPr>
          <w:rFonts w:ascii="Verdana" w:hAnsi="Verdana" w:cs="Arial"/>
          <w:shd w:val="clear" w:color="auto" w:fill="FFFFFF"/>
        </w:rPr>
      </w:pPr>
    </w:p>
    <w:p w14:paraId="21C244E4" w14:textId="77777777" w:rsidR="004E0ADB" w:rsidRPr="00206556" w:rsidRDefault="004E0ADB" w:rsidP="004E0ADB">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34D99693" w14:textId="77777777" w:rsidR="004E0ADB" w:rsidRPr="00206556" w:rsidRDefault="004E0ADB" w:rsidP="004E0ADB">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1A7264A4" w14:textId="77777777" w:rsidR="004E0ADB" w:rsidRPr="00206556" w:rsidRDefault="004E0ADB" w:rsidP="004E0ADB">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318B95E3" w14:textId="77777777" w:rsidR="004E0ADB" w:rsidRPr="00206556" w:rsidRDefault="004E0ADB" w:rsidP="004E0ADB">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5301E2AE" w14:textId="77777777" w:rsidR="004E0ADB" w:rsidRPr="00206556" w:rsidRDefault="004E0ADB" w:rsidP="004E0ADB">
      <w:pPr>
        <w:widowControl w:val="0"/>
        <w:autoSpaceDE w:val="0"/>
        <w:autoSpaceDN w:val="0"/>
        <w:spacing w:after="0" w:line="276" w:lineRule="auto"/>
        <w:jc w:val="both"/>
        <w:rPr>
          <w:rFonts w:ascii="Verdana" w:hAnsi="Verdana" w:cs="Arial"/>
          <w:color w:val="E97132" w:themeColor="accent2"/>
          <w:lang w:val="es-ES"/>
        </w:rPr>
      </w:pPr>
    </w:p>
    <w:p w14:paraId="0A62166A" w14:textId="77777777" w:rsidR="004E0ADB" w:rsidRPr="00206556" w:rsidRDefault="004E0ADB" w:rsidP="004E0ADB">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00294E1" w14:textId="77777777" w:rsidR="004E0ADB" w:rsidRPr="00206556" w:rsidRDefault="004E0ADB" w:rsidP="004E0ADB">
      <w:pPr>
        <w:widowControl w:val="0"/>
        <w:autoSpaceDE w:val="0"/>
        <w:autoSpaceDN w:val="0"/>
        <w:spacing w:after="0" w:line="276" w:lineRule="auto"/>
        <w:jc w:val="both"/>
        <w:rPr>
          <w:rFonts w:ascii="Verdana" w:hAnsi="Verdana" w:cs="Arial"/>
          <w:lang w:val="es-ES"/>
        </w:rPr>
      </w:pPr>
    </w:p>
    <w:p w14:paraId="2E167AAB" w14:textId="77777777" w:rsidR="004E0ADB" w:rsidRPr="00206556" w:rsidRDefault="004E0ADB" w:rsidP="004E0ADB">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2F6CC093" w14:textId="77777777" w:rsidR="004E0ADB" w:rsidRPr="00206556" w:rsidRDefault="004E0ADB" w:rsidP="004E0ADB">
      <w:pPr>
        <w:autoSpaceDE w:val="0"/>
        <w:autoSpaceDN w:val="0"/>
        <w:adjustRightInd w:val="0"/>
        <w:spacing w:after="0" w:line="276" w:lineRule="auto"/>
        <w:rPr>
          <w:rFonts w:ascii="Verdana" w:eastAsia="Calibri" w:hAnsi="Verdana" w:cs="Arial"/>
          <w:noProof/>
          <w:sz w:val="20"/>
          <w:szCs w:val="20"/>
        </w:rPr>
      </w:pPr>
    </w:p>
    <w:p w14:paraId="75F6DC26" w14:textId="5D38531E" w:rsidR="0086702D" w:rsidRPr="0086702D" w:rsidRDefault="0086702D" w:rsidP="0086702D">
      <w:pPr>
        <w:spacing w:after="0" w:line="256" w:lineRule="auto"/>
        <w:jc w:val="center"/>
        <w:rPr>
          <w:rFonts w:ascii="Verdana" w:eastAsia="Times New Roman" w:hAnsi="Verdana" w:cs="Arial"/>
          <w:lang w:eastAsia="es-ES"/>
        </w:rPr>
      </w:pPr>
      <w:r w:rsidRPr="0086702D">
        <w:rPr>
          <w:rFonts w:ascii="Verdana" w:eastAsia="Times New Roman" w:hAnsi="Verdana" w:cs="Arial"/>
          <w:lang w:eastAsia="es-ES"/>
        </w:rPr>
        <w:drawing>
          <wp:inline distT="0" distB="0" distL="0" distR="0" wp14:anchorId="2CA2A092" wp14:editId="0AF467A1">
            <wp:extent cx="3771900" cy="1400175"/>
            <wp:effectExtent l="0" t="0" r="0" b="9525"/>
            <wp:docPr id="76608699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71900" cy="1400175"/>
                    </a:xfrm>
                    <a:prstGeom prst="rect">
                      <a:avLst/>
                    </a:prstGeom>
                    <a:noFill/>
                    <a:ln>
                      <a:noFill/>
                    </a:ln>
                  </pic:spPr>
                </pic:pic>
              </a:graphicData>
            </a:graphic>
          </wp:inline>
        </w:drawing>
      </w:r>
    </w:p>
    <w:p w14:paraId="65906FA4" w14:textId="77777777" w:rsidR="004E0ADB" w:rsidRPr="00206556" w:rsidRDefault="004E0ADB" w:rsidP="004E0ADB">
      <w:pPr>
        <w:spacing w:after="0" w:line="256" w:lineRule="auto"/>
        <w:jc w:val="center"/>
        <w:rPr>
          <w:rFonts w:ascii="Verdana" w:eastAsia="Times New Roman" w:hAnsi="Verdana" w:cs="Arial"/>
          <w:lang w:eastAsia="es-ES"/>
        </w:rPr>
      </w:pPr>
    </w:p>
    <w:p w14:paraId="7117C8A8" w14:textId="77777777" w:rsidR="004E0ADB" w:rsidRPr="00206556" w:rsidRDefault="004E0ADB" w:rsidP="004E0ADB">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4E0ADB" w:rsidRPr="00206556" w14:paraId="271FFDA5" w14:textId="77777777" w:rsidTr="009B177F">
        <w:trPr>
          <w:trHeight w:val="322"/>
        </w:trPr>
        <w:tc>
          <w:tcPr>
            <w:tcW w:w="733" w:type="dxa"/>
            <w:tcBorders>
              <w:top w:val="nil"/>
              <w:left w:val="nil"/>
              <w:bottom w:val="nil"/>
              <w:right w:val="nil"/>
            </w:tcBorders>
            <w:vAlign w:val="center"/>
            <w:hideMark/>
          </w:tcPr>
          <w:p w14:paraId="3879CC51" w14:textId="77777777" w:rsidR="004E0ADB" w:rsidRPr="00206556" w:rsidRDefault="004E0ADB" w:rsidP="009B177F">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33A01FDC" w14:textId="77777777" w:rsidR="004E0ADB" w:rsidRPr="00206556" w:rsidRDefault="004E0ADB" w:rsidP="009B177F">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Natalia Montoya Jiménez</w:t>
            </w:r>
          </w:p>
          <w:p w14:paraId="20F30BFF" w14:textId="77777777" w:rsidR="004E0ADB" w:rsidRPr="00A5703A" w:rsidRDefault="004E0ADB" w:rsidP="009B177F">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w:t>
            </w:r>
            <w:r>
              <w:rPr>
                <w:rFonts w:ascii="Verdana" w:eastAsia="Times New Roman" w:hAnsi="Verdana" w:cs="Arial"/>
                <w:sz w:val="16"/>
                <w:szCs w:val="16"/>
                <w:lang w:eastAsia="es-ES"/>
              </w:rPr>
              <w:t>5</w:t>
            </w:r>
            <w:r w:rsidRPr="00206556">
              <w:rPr>
                <w:rFonts w:ascii="Verdana" w:eastAsia="Times New Roman" w:hAnsi="Verdana" w:cs="Arial"/>
                <w:sz w:val="16"/>
                <w:szCs w:val="16"/>
                <w:lang w:eastAsia="es-ES"/>
              </w:rPr>
              <w:t xml:space="preserve"> de la Subdirección de Gestión Contractual</w:t>
            </w:r>
          </w:p>
        </w:tc>
      </w:tr>
      <w:tr w:rsidR="004E0ADB" w:rsidRPr="00206556" w14:paraId="6A72CD7A" w14:textId="77777777" w:rsidTr="009B177F">
        <w:trPr>
          <w:trHeight w:val="322"/>
        </w:trPr>
        <w:tc>
          <w:tcPr>
            <w:tcW w:w="733" w:type="dxa"/>
            <w:tcBorders>
              <w:top w:val="nil"/>
              <w:left w:val="nil"/>
              <w:bottom w:val="nil"/>
              <w:right w:val="nil"/>
            </w:tcBorders>
            <w:vAlign w:val="center"/>
            <w:hideMark/>
          </w:tcPr>
          <w:p w14:paraId="11526BC6" w14:textId="77777777" w:rsidR="004E0ADB" w:rsidRPr="00206556" w:rsidRDefault="004E0ADB" w:rsidP="009B177F">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21FD53B0" w14:textId="77777777" w:rsidR="004E0ADB" w:rsidRPr="00206556" w:rsidRDefault="004E0ADB" w:rsidP="009B177F">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Juan David Cárdenas Cabeza</w:t>
            </w:r>
          </w:p>
          <w:p w14:paraId="0E8048BA" w14:textId="77777777" w:rsidR="004E0ADB" w:rsidRPr="00A5703A" w:rsidRDefault="004E0ADB" w:rsidP="009B177F">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Pr="00206556">
              <w:rPr>
                <w:rFonts w:ascii="Verdana" w:eastAsia="Times New Roman" w:hAnsi="Verdana" w:cs="Arial"/>
                <w:sz w:val="16"/>
                <w:szCs w:val="16"/>
                <w:lang w:eastAsia="es-ES"/>
              </w:rPr>
              <w:t xml:space="preserve"> de la Subdirección de Gestión Contractual</w:t>
            </w:r>
          </w:p>
        </w:tc>
      </w:tr>
      <w:tr w:rsidR="004E0ADB" w:rsidRPr="00206556" w14:paraId="174FCC45" w14:textId="77777777" w:rsidTr="009B177F">
        <w:trPr>
          <w:trHeight w:val="307"/>
        </w:trPr>
        <w:tc>
          <w:tcPr>
            <w:tcW w:w="733" w:type="dxa"/>
            <w:tcBorders>
              <w:top w:val="nil"/>
              <w:left w:val="nil"/>
              <w:bottom w:val="nil"/>
              <w:right w:val="nil"/>
            </w:tcBorders>
            <w:vAlign w:val="center"/>
            <w:hideMark/>
          </w:tcPr>
          <w:p w14:paraId="5141AD37" w14:textId="77777777" w:rsidR="004E0ADB" w:rsidRPr="00206556" w:rsidRDefault="004E0ADB" w:rsidP="009B177F">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F9F0666" w14:textId="77777777" w:rsidR="004E0ADB" w:rsidRPr="00206556" w:rsidRDefault="004E0ADB" w:rsidP="009B177F">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72C554B6" w14:textId="77777777" w:rsidR="004E0ADB" w:rsidRPr="00206556" w:rsidRDefault="004E0ADB" w:rsidP="009B177F">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6B5C3A2C" w14:textId="77777777" w:rsidR="004E0ADB" w:rsidRDefault="004E0ADB" w:rsidP="004E0ADB">
      <w:pPr>
        <w:autoSpaceDE w:val="0"/>
        <w:autoSpaceDN w:val="0"/>
        <w:adjustRightInd w:val="0"/>
        <w:spacing w:after="0" w:line="276" w:lineRule="auto"/>
        <w:jc w:val="center"/>
        <w:rPr>
          <w:rFonts w:ascii="Verdana" w:eastAsia="Calibri" w:hAnsi="Verdana" w:cs="Arial"/>
        </w:rPr>
      </w:pPr>
    </w:p>
    <w:p w14:paraId="4C309249" w14:textId="2ACB1F2A" w:rsidR="004E0ADB" w:rsidRDefault="004E0ADB" w:rsidP="004E0ADB"/>
    <w:p w14:paraId="7E68CE5C" w14:textId="77777777" w:rsidR="004E0ADB" w:rsidRPr="00A26AB5" w:rsidRDefault="004E0ADB" w:rsidP="004E0ADB"/>
    <w:p w14:paraId="2782957E" w14:textId="77777777" w:rsidR="002D6822" w:rsidRDefault="002D6822"/>
    <w:sectPr w:rsidR="002D6822" w:rsidSect="004E0ADB">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1CB41C" w14:textId="77777777" w:rsidR="00050E67" w:rsidRDefault="00050E67" w:rsidP="004E0ADB">
      <w:pPr>
        <w:spacing w:after="0" w:line="240" w:lineRule="auto"/>
      </w:pPr>
      <w:r>
        <w:separator/>
      </w:r>
    </w:p>
  </w:endnote>
  <w:endnote w:type="continuationSeparator" w:id="0">
    <w:p w14:paraId="268E5621" w14:textId="77777777" w:rsidR="00050E67" w:rsidRDefault="00050E67" w:rsidP="004E0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5BE79" w14:textId="77777777" w:rsidR="004E0ADB" w:rsidRDefault="004E0ADB">
    <w:pPr>
      <w:pStyle w:val="Piedepgina"/>
    </w:pPr>
  </w:p>
  <w:p w14:paraId="7D191473" w14:textId="77777777" w:rsidR="004E0ADB" w:rsidRPr="00174B77" w:rsidRDefault="004E0ADB"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Pr="07C73DD1">
      <w:rPr>
        <w:rFonts w:ascii="Verdana" w:eastAsia="Verdana" w:hAnsi="Verdana" w:cs="Verdana"/>
        <w:b/>
        <w:bCs/>
        <w:sz w:val="18"/>
        <w:szCs w:val="18"/>
      </w:rPr>
      <w:fldChar w:fldCharType="begin"/>
    </w:r>
    <w:r w:rsidRPr="07C73DD1">
      <w:rPr>
        <w:rFonts w:ascii="Verdana" w:hAnsi="Verdana"/>
        <w:b/>
        <w:bCs/>
        <w:sz w:val="16"/>
        <w:szCs w:val="16"/>
      </w:rPr>
      <w:instrText>PAGE    \* MERGEFORMAT</w:instrText>
    </w:r>
    <w:r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46328094" w14:textId="77777777" w:rsidR="004E0ADB" w:rsidRDefault="004E0ADB"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1A7B90E6" w14:textId="77777777" w:rsidR="004E0ADB" w:rsidRPr="00E41027" w:rsidRDefault="004E0ADB"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117286F2" w14:textId="77777777" w:rsidR="004E0ADB" w:rsidRDefault="004E0ADB"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7A906" w14:textId="77777777" w:rsidR="00050E67" w:rsidRDefault="00050E67" w:rsidP="004E0ADB">
      <w:pPr>
        <w:spacing w:after="0" w:line="240" w:lineRule="auto"/>
      </w:pPr>
      <w:r>
        <w:separator/>
      </w:r>
    </w:p>
  </w:footnote>
  <w:footnote w:type="continuationSeparator" w:id="0">
    <w:p w14:paraId="0E4FF0CA" w14:textId="77777777" w:rsidR="00050E67" w:rsidRDefault="00050E67" w:rsidP="004E0ADB">
      <w:pPr>
        <w:spacing w:after="0" w:line="240" w:lineRule="auto"/>
      </w:pPr>
      <w:r>
        <w:continuationSeparator/>
      </w:r>
    </w:p>
  </w:footnote>
  <w:footnote w:id="1">
    <w:p w14:paraId="7987D610" w14:textId="77777777" w:rsidR="004E0ADB" w:rsidRPr="00206556" w:rsidRDefault="004E0ADB" w:rsidP="004E0ADB">
      <w:pPr>
        <w:spacing w:after="0" w:line="240" w:lineRule="auto"/>
        <w:ind w:firstLine="709"/>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6B2C279C" w14:textId="77777777" w:rsidR="004E0ADB" w:rsidRPr="00206556" w:rsidRDefault="004E0ADB" w:rsidP="004E0ADB">
      <w:pPr>
        <w:spacing w:after="0" w:line="240" w:lineRule="auto"/>
        <w:ind w:firstLine="709"/>
        <w:jc w:val="both"/>
        <w:rPr>
          <w:rFonts w:ascii="Verdana" w:hAnsi="Verdana"/>
          <w:sz w:val="16"/>
          <w:szCs w:val="16"/>
        </w:rPr>
      </w:pPr>
    </w:p>
  </w:footnote>
  <w:footnote w:id="2">
    <w:p w14:paraId="17F878FF" w14:textId="77777777" w:rsidR="004E0ADB" w:rsidRPr="00206556" w:rsidRDefault="004E0ADB" w:rsidP="004E0ADB">
      <w:pPr>
        <w:pStyle w:val="Textonotapie"/>
        <w:ind w:firstLine="709"/>
        <w:jc w:val="both"/>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footnote>
  <w:footnote w:id="3">
    <w:p w14:paraId="324682B7" w14:textId="77777777" w:rsidR="004E0ADB" w:rsidRPr="00206556" w:rsidRDefault="004E0ADB" w:rsidP="004E0ADB">
      <w:pPr>
        <w:spacing w:after="0" w:line="240" w:lineRule="auto"/>
        <w:ind w:firstLine="709"/>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footnote>
  <w:footnote w:id="4">
    <w:p w14:paraId="5611632C" w14:textId="77777777" w:rsidR="004E0ADB" w:rsidRPr="00206556" w:rsidRDefault="004E0ADB" w:rsidP="004E0ADB">
      <w:pPr>
        <w:pStyle w:val="Textonotapie"/>
        <w:ind w:firstLine="709"/>
        <w:jc w:val="both"/>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footnote>
  <w:footnote w:id="5">
    <w:p w14:paraId="74166DC4" w14:textId="77777777" w:rsidR="004E0ADB" w:rsidRPr="00206556" w:rsidRDefault="004E0ADB" w:rsidP="004E0ADB">
      <w:pPr>
        <w:pStyle w:val="Textonotapie"/>
        <w:ind w:firstLine="709"/>
        <w:jc w:val="both"/>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footnote>
  <w:footnote w:id="6">
    <w:p w14:paraId="1B7DEFCB" w14:textId="77777777" w:rsidR="004E0ADB" w:rsidRPr="00206556" w:rsidRDefault="004E0ADB" w:rsidP="004E0ADB">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footnote>
  <w:footnote w:id="7">
    <w:p w14:paraId="4964EE53" w14:textId="77777777" w:rsidR="004E0ADB" w:rsidRPr="00206556" w:rsidRDefault="004E0ADB" w:rsidP="004E0ADB">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footnote>
  <w:footnote w:id="8">
    <w:p w14:paraId="4017CD1B" w14:textId="77777777" w:rsidR="004E0ADB" w:rsidRPr="00206556" w:rsidRDefault="004E0ADB" w:rsidP="004E0ADB">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44E50" w14:textId="77777777" w:rsidR="004E0ADB" w:rsidRDefault="004E0ADB"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6FC7E9C9" wp14:editId="6360AB0B">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0E8EBBE9" wp14:editId="14CB973D">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7DD342B" w14:textId="77777777" w:rsidR="004E0ADB" w:rsidRDefault="004E0ADB">
    <w:pPr>
      <w:pStyle w:val="Encabezado"/>
    </w:pPr>
  </w:p>
  <w:p w14:paraId="0C273F0C" w14:textId="77777777" w:rsidR="004E0ADB" w:rsidRPr="004A305D" w:rsidRDefault="004E0ADB" w:rsidP="00B01B1A">
    <w:pPr>
      <w:spacing w:after="0" w:line="120" w:lineRule="auto"/>
      <w:rPr>
        <w:rFonts w:ascii="Century Gothic" w:eastAsia="Geo" w:hAnsi="Century Gothic" w:cs="Geo"/>
        <w:sz w:val="16"/>
        <w:szCs w:val="16"/>
        <w:lang w:eastAsia="es-CO"/>
      </w:rPr>
    </w:pPr>
  </w:p>
  <w:p w14:paraId="58AA78A3" w14:textId="77777777" w:rsidR="004E0ADB" w:rsidRDefault="004E0ADB" w:rsidP="00844AE9">
    <w:pPr>
      <w:spacing w:after="0" w:line="240" w:lineRule="auto"/>
      <w:rPr>
        <w:rFonts w:ascii="Verdana" w:hAnsi="Verdana"/>
        <w:sz w:val="24"/>
        <w:szCs w:val="24"/>
      </w:rPr>
    </w:pPr>
  </w:p>
  <w:p w14:paraId="1EE2F7C8" w14:textId="77777777" w:rsidR="004E0ADB" w:rsidRPr="00C925AC" w:rsidRDefault="004E0ADB" w:rsidP="00844AE9">
    <w:pPr>
      <w:spacing w:after="0" w:line="240" w:lineRule="auto"/>
      <w:rPr>
        <w:rFonts w:ascii="Verdana" w:hAnsi="Verdana"/>
        <w:sz w:val="24"/>
        <w:szCs w:val="24"/>
      </w:rPr>
    </w:pPr>
  </w:p>
  <w:p w14:paraId="04488316" w14:textId="77777777" w:rsidR="004E0ADB" w:rsidRPr="00C925AC" w:rsidRDefault="004E0AD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2456498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0ADB"/>
    <w:rsid w:val="00050E67"/>
    <w:rsid w:val="002D6822"/>
    <w:rsid w:val="002E26CE"/>
    <w:rsid w:val="004E0ADB"/>
    <w:rsid w:val="00642FA3"/>
    <w:rsid w:val="007656F9"/>
    <w:rsid w:val="00792533"/>
    <w:rsid w:val="007A436C"/>
    <w:rsid w:val="007D74CB"/>
    <w:rsid w:val="0086702D"/>
    <w:rsid w:val="009B4EF6"/>
    <w:rsid w:val="00D253FD"/>
    <w:rsid w:val="00F06E9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57B7B"/>
  <w15:chartTrackingRefBased/>
  <w15:docId w15:val="{34DEA495-9E52-4105-BDFF-95F57FED0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ADB"/>
    <w:pPr>
      <w:spacing w:line="259" w:lineRule="auto"/>
    </w:pPr>
    <w:rPr>
      <w:kern w:val="0"/>
      <w:sz w:val="22"/>
      <w:szCs w:val="22"/>
      <w14:ligatures w14:val="none"/>
    </w:rPr>
  </w:style>
  <w:style w:type="paragraph" w:styleId="Ttulo1">
    <w:name w:val="heading 1"/>
    <w:basedOn w:val="Normal"/>
    <w:next w:val="Normal"/>
    <w:link w:val="Ttulo1Car"/>
    <w:uiPriority w:val="9"/>
    <w:qFormat/>
    <w:rsid w:val="004E0A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4E0A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4E0AD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4E0AD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4E0AD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4E0AD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E0AD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E0AD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E0AD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E0AD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E0AD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E0AD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E0AD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E0AD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E0AD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E0AD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E0AD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E0ADB"/>
    <w:rPr>
      <w:rFonts w:eastAsiaTheme="majorEastAsia" w:cstheme="majorBidi"/>
      <w:color w:val="272727" w:themeColor="text1" w:themeTint="D8"/>
    </w:rPr>
  </w:style>
  <w:style w:type="paragraph" w:styleId="Ttulo">
    <w:name w:val="Title"/>
    <w:basedOn w:val="Normal"/>
    <w:next w:val="Normal"/>
    <w:link w:val="TtuloCar"/>
    <w:uiPriority w:val="10"/>
    <w:qFormat/>
    <w:rsid w:val="004E0A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E0AD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E0A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E0AD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E0ADB"/>
    <w:pPr>
      <w:spacing w:before="160"/>
      <w:jc w:val="center"/>
    </w:pPr>
    <w:rPr>
      <w:i/>
      <w:iCs/>
      <w:color w:val="404040" w:themeColor="text1" w:themeTint="BF"/>
    </w:rPr>
  </w:style>
  <w:style w:type="character" w:customStyle="1" w:styleId="CitaCar">
    <w:name w:val="Cita Car"/>
    <w:basedOn w:val="Fuentedeprrafopredeter"/>
    <w:link w:val="Cita"/>
    <w:uiPriority w:val="29"/>
    <w:rsid w:val="004E0ADB"/>
    <w:rPr>
      <w:i/>
      <w:iCs/>
      <w:color w:val="404040" w:themeColor="text1" w:themeTint="BF"/>
    </w:rPr>
  </w:style>
  <w:style w:type="paragraph" w:styleId="Prrafodelista">
    <w:name w:val="List Paragraph"/>
    <w:basedOn w:val="Normal"/>
    <w:uiPriority w:val="34"/>
    <w:qFormat/>
    <w:rsid w:val="004E0ADB"/>
    <w:pPr>
      <w:ind w:left="720"/>
      <w:contextualSpacing/>
    </w:pPr>
  </w:style>
  <w:style w:type="character" w:styleId="nfasisintenso">
    <w:name w:val="Intense Emphasis"/>
    <w:basedOn w:val="Fuentedeprrafopredeter"/>
    <w:uiPriority w:val="21"/>
    <w:qFormat/>
    <w:rsid w:val="004E0ADB"/>
    <w:rPr>
      <w:i/>
      <w:iCs/>
      <w:color w:val="0F4761" w:themeColor="accent1" w:themeShade="BF"/>
    </w:rPr>
  </w:style>
  <w:style w:type="paragraph" w:styleId="Citadestacada">
    <w:name w:val="Intense Quote"/>
    <w:basedOn w:val="Normal"/>
    <w:next w:val="Normal"/>
    <w:link w:val="CitadestacadaCar"/>
    <w:uiPriority w:val="30"/>
    <w:qFormat/>
    <w:rsid w:val="004E0A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4E0ADB"/>
    <w:rPr>
      <w:i/>
      <w:iCs/>
      <w:color w:val="0F4761" w:themeColor="accent1" w:themeShade="BF"/>
    </w:rPr>
  </w:style>
  <w:style w:type="character" w:styleId="Referenciaintensa">
    <w:name w:val="Intense Reference"/>
    <w:basedOn w:val="Fuentedeprrafopredeter"/>
    <w:uiPriority w:val="32"/>
    <w:qFormat/>
    <w:rsid w:val="004E0ADB"/>
    <w:rPr>
      <w:b/>
      <w:bCs/>
      <w:smallCaps/>
      <w:color w:val="0F4761" w:themeColor="accent1" w:themeShade="BF"/>
      <w:spacing w:val="5"/>
    </w:rPr>
  </w:style>
  <w:style w:type="paragraph" w:styleId="Encabezado">
    <w:name w:val="header"/>
    <w:basedOn w:val="Normal"/>
    <w:link w:val="EncabezadoCar"/>
    <w:uiPriority w:val="99"/>
    <w:unhideWhenUsed/>
    <w:rsid w:val="004E0AD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E0ADB"/>
    <w:rPr>
      <w:kern w:val="0"/>
      <w:sz w:val="22"/>
      <w:szCs w:val="22"/>
      <w14:ligatures w14:val="none"/>
    </w:rPr>
  </w:style>
  <w:style w:type="paragraph" w:styleId="Piedepgina">
    <w:name w:val="footer"/>
    <w:basedOn w:val="Normal"/>
    <w:link w:val="PiedepginaCar"/>
    <w:uiPriority w:val="99"/>
    <w:unhideWhenUsed/>
    <w:rsid w:val="004E0AD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E0ADB"/>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E0ADB"/>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E0ADB"/>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E0ADB"/>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E0ADB"/>
    <w:rPr>
      <w:vertAlign w:val="superscript"/>
    </w:rPr>
  </w:style>
  <w:style w:type="table" w:styleId="Tablaconcuadrcula">
    <w:name w:val="Table Grid"/>
    <w:basedOn w:val="Tablanormal"/>
    <w:uiPriority w:val="39"/>
    <w:qFormat/>
    <w:rsid w:val="004E0ADB"/>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E0ADB"/>
    <w:rPr>
      <w:color w:val="0000FF"/>
      <w:u w:val="single"/>
    </w:rPr>
  </w:style>
  <w:style w:type="paragraph" w:customStyle="1" w:styleId="Appelnotedebasde">
    <w:name w:val="Appel note de bas de..."/>
    <w:basedOn w:val="Normal"/>
    <w:link w:val="Refdenotaalpie"/>
    <w:uiPriority w:val="99"/>
    <w:rsid w:val="004E0ADB"/>
    <w:pPr>
      <w:spacing w:line="240" w:lineRule="exact"/>
    </w:pPr>
    <w:rPr>
      <w:kern w:val="2"/>
      <w:sz w:val="24"/>
      <w:szCs w:val="24"/>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jmejiaq@gmail.com" TargetMode="External"/><Relationship Id="rId13" Type="http://schemas.openxmlformats.org/officeDocument/2006/relationships/hyperlink" Target="https://www.colombiacompra.gov.co/normativa-y-relatoria/documentos-tipo"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emf"/><Relationship Id="rId12" Type="http://schemas.openxmlformats.org/officeDocument/2006/relationships/hyperlink" Target="https://formacionvirtual.colombiacompra.gov.co/mod/page/view.php?id=3718"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elatoria.colombiacompra.gov.co/busqueda/conceptos"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youtube.com/live/vpxD3PlXqPI?si=49f8ghb7Iiit6Ja9"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colombiacompra.gov.co/archivos/infografia/abc-del-decreto-0287-de-2026-contratacion-publica-inclusiva-para-personas-con-discapacidad" TargetMode="Externa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9A3DE1-AD17-47A8-A6F3-D7AF51BF32FD}"/>
</file>

<file path=customXml/itemProps2.xml><?xml version="1.0" encoding="utf-8"?>
<ds:datastoreItem xmlns:ds="http://schemas.openxmlformats.org/officeDocument/2006/customXml" ds:itemID="{953DCFCF-A7FA-4A4C-A4D6-AFA6379891DA}"/>
</file>

<file path=customXml/itemProps3.xml><?xml version="1.0" encoding="utf-8"?>
<ds:datastoreItem xmlns:ds="http://schemas.openxmlformats.org/officeDocument/2006/customXml" ds:itemID="{83456F87-AEDE-4F24-9639-C9F36C8BD2B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22</Pages>
  <Words>7392</Words>
  <Characters>40658</Characters>
  <Application>Microsoft Office Word</Application>
  <DocSecurity>0</DocSecurity>
  <Lines>338</Lines>
  <Paragraphs>95</Paragraphs>
  <ScaleCrop>false</ScaleCrop>
  <Company/>
  <LinksUpToDate>false</LinksUpToDate>
  <CharactersWithSpaces>47955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Montoya Jiménez</dc:creator>
  <cp:keywords/>
  <dc:description/>
  <cp:lastModifiedBy>Natalia Montoya Jiménez</cp:lastModifiedBy>
  <cp:revision>8</cp:revision>
  <dcterms:created xsi:type="dcterms:W3CDTF">2026-06-30T17:03:00Z</dcterms:created>
  <dcterms:modified xsi:type="dcterms:W3CDTF">2026-07-01T15:36:00Z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