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4005A" w14:textId="77777777" w:rsidR="0038366B" w:rsidRPr="00D76EBB" w:rsidRDefault="0038366B" w:rsidP="0038366B">
      <w:pPr>
        <w:spacing w:after="0" w:line="240" w:lineRule="auto"/>
        <w:jc w:val="both"/>
        <w:rPr>
          <w:rFonts w:ascii="Verdana" w:eastAsia="Calibri" w:hAnsi="Verdana" w:cs="Arial"/>
          <w:b/>
        </w:rPr>
      </w:pPr>
      <w:r w:rsidRPr="00D76EBB">
        <w:rPr>
          <w:rFonts w:ascii="Verdana" w:eastAsia="Calibri" w:hAnsi="Verdana" w:cs="Arial"/>
          <w:b/>
        </w:rPr>
        <w:t>CONTRATO ESTATAL – Ejercicio – Funciones de control y vigilancia</w:t>
      </w:r>
    </w:p>
    <w:p w14:paraId="529E48AC" w14:textId="77777777" w:rsidR="0038366B" w:rsidRPr="00D76EBB" w:rsidRDefault="0038366B" w:rsidP="0038366B">
      <w:pPr>
        <w:spacing w:after="0" w:line="240" w:lineRule="auto"/>
        <w:jc w:val="both"/>
        <w:rPr>
          <w:rFonts w:ascii="Verdana" w:eastAsia="Calibri" w:hAnsi="Verdana" w:cs="Arial"/>
          <w:b/>
          <w:sz w:val="20"/>
          <w:szCs w:val="20"/>
        </w:rPr>
      </w:pPr>
    </w:p>
    <w:p w14:paraId="1D56CF5E" w14:textId="77777777" w:rsidR="0038366B" w:rsidRPr="00D76EBB" w:rsidRDefault="0038366B" w:rsidP="0038366B">
      <w:pPr>
        <w:spacing w:after="0" w:line="240" w:lineRule="auto"/>
        <w:jc w:val="both"/>
        <w:rPr>
          <w:rFonts w:ascii="Verdana" w:hAnsi="Verdana" w:cs="Arial"/>
          <w:bCs/>
          <w:sz w:val="20"/>
          <w:szCs w:val="20"/>
          <w:lang w:eastAsia="es-MX"/>
        </w:rPr>
      </w:pPr>
      <w:r w:rsidRPr="00D76EBB">
        <w:rPr>
          <w:rFonts w:ascii="Verdana" w:hAnsi="Verdana" w:cs="Arial"/>
          <w:bCs/>
          <w:sz w:val="20"/>
          <w:szCs w:val="20"/>
          <w:lang w:eastAsia="es-MX"/>
        </w:rPr>
        <w:t>[…] los artículos 4, 5, 12, 14 y 26 de la Ley 80 de 1993 consagran normas relacionadas con el control y vigilancia de la ejecución de los contratos estatales. Estas disposiciones establecen, entre otros aspectos, la obligación de las Entidades Estatales de velar por el correcto y oportuno cumplimiento de las prestaciones del contrato, las especificaciones de los bienes, obras y servicios objeto de este, y las condiciones de calidad ofrecidas, etc. Esta obligación se predica, en principio, del jefe o representante legal de la entidad, por tener la responsabilidad de la dirección y manejo de la actividad contractual, pero también de los servidores públicos que intervienen en ella. En ese sentido, las Entidades Estatales deben ejercer el control de la ejecución del contrato y, de ser el caso, tomar medidas para exigir el adecuado cumplimiento</w:t>
      </w:r>
      <w:r>
        <w:rPr>
          <w:rFonts w:ascii="Verdana" w:hAnsi="Verdana" w:cs="Arial"/>
          <w:bCs/>
          <w:sz w:val="20"/>
          <w:szCs w:val="20"/>
          <w:lang w:eastAsia="es-MX"/>
        </w:rPr>
        <w:t xml:space="preserve"> […]</w:t>
      </w:r>
    </w:p>
    <w:p w14:paraId="265E1DAB" w14:textId="77777777" w:rsidR="0038366B" w:rsidRPr="00BA4DA1" w:rsidRDefault="0038366B" w:rsidP="0038366B">
      <w:pPr>
        <w:spacing w:line="276" w:lineRule="auto"/>
        <w:jc w:val="both"/>
        <w:rPr>
          <w:rFonts w:ascii="Verdana" w:eastAsia="Calibri" w:hAnsi="Verdana" w:cs="Arial"/>
          <w:b/>
          <w:bCs/>
          <w:color w:val="4472C4" w:themeColor="accent1"/>
          <w:lang w:eastAsia="es-ES"/>
        </w:rPr>
      </w:pPr>
    </w:p>
    <w:p w14:paraId="03A4FEC5" w14:textId="77777777" w:rsidR="0038366B" w:rsidRPr="008A780B" w:rsidRDefault="0038366B" w:rsidP="0038366B">
      <w:pPr>
        <w:spacing w:line="276" w:lineRule="auto"/>
        <w:jc w:val="both"/>
        <w:rPr>
          <w:rFonts w:ascii="Verdana" w:eastAsia="Calibri" w:hAnsi="Verdana" w:cs="Arial"/>
          <w:b/>
          <w:bCs/>
          <w:lang w:eastAsia="es-ES"/>
        </w:rPr>
      </w:pPr>
      <w:r w:rsidRPr="008A780B">
        <w:rPr>
          <w:rFonts w:ascii="Verdana" w:eastAsia="Calibri" w:hAnsi="Verdana" w:cs="Arial"/>
          <w:b/>
          <w:bCs/>
          <w:lang w:eastAsia="es-ES"/>
        </w:rPr>
        <w:t xml:space="preserve">LEY 1474 DE 2011 – </w:t>
      </w:r>
      <w:r w:rsidRPr="008A780B">
        <w:rPr>
          <w:rFonts w:ascii="Verdana" w:eastAsia="Calibri" w:hAnsi="Verdana" w:cs="Arial"/>
          <w:b/>
          <w:bCs/>
          <w:lang w:val="es-ES" w:eastAsia="es-ES"/>
        </w:rPr>
        <w:t>Supervisión</w:t>
      </w:r>
      <w:r w:rsidRPr="008A780B">
        <w:rPr>
          <w:rFonts w:ascii="Verdana" w:eastAsia="Calibri" w:hAnsi="Verdana" w:cs="Arial"/>
          <w:b/>
          <w:bCs/>
          <w:lang w:eastAsia="es-ES"/>
        </w:rPr>
        <w:t xml:space="preserve"> e interventoría contractual</w:t>
      </w:r>
    </w:p>
    <w:p w14:paraId="6BCE7047" w14:textId="77777777" w:rsidR="0038366B" w:rsidRPr="004D6D2E" w:rsidRDefault="0038366B" w:rsidP="0038366B">
      <w:pPr>
        <w:spacing w:after="0" w:line="240" w:lineRule="auto"/>
        <w:jc w:val="both"/>
        <w:rPr>
          <w:rFonts w:ascii="Calibri" w:eastAsia="Calibri" w:hAnsi="Calibri" w:cs="Times New Roman"/>
        </w:rPr>
      </w:pPr>
      <w:r w:rsidRPr="008A780B">
        <w:rPr>
          <w:rFonts w:ascii="Verdana" w:eastAsia="Geomanist Light" w:hAnsi="Verdana" w:cs="Arial"/>
          <w:sz w:val="20"/>
          <w:szCs w:val="20"/>
        </w:rPr>
        <w:t xml:space="preserve">[…] la Ley 1474 de 2011 enmarcó el seguimiento, control y vigilancia de la ejecución del contrato estatal dentro del principio de moralidad administrativa. El artículo 83 de la referida ley, establece que “con el fin de proteger la moralidad administrativa, de prevenir la ocurrencia de actos de corrupción y tutelar la transparencia de la actividad contractual, las entidades públicas están obligadas a vigilar permanentemente la correcta ejecución del objeto contratado a través de un supervisor o un interventor, </w:t>
      </w:r>
      <w:r w:rsidRPr="004D6D2E">
        <w:rPr>
          <w:rFonts w:ascii="Verdana" w:eastAsia="Geomanist Light" w:hAnsi="Verdana" w:cs="Arial"/>
          <w:sz w:val="20"/>
          <w:szCs w:val="20"/>
        </w:rPr>
        <w:t>según corresponda […]</w:t>
      </w:r>
    </w:p>
    <w:p w14:paraId="69B65425" w14:textId="77777777" w:rsidR="0038366B" w:rsidRPr="004D6D2E" w:rsidRDefault="0038366B" w:rsidP="0038366B">
      <w:pPr>
        <w:spacing w:after="0" w:line="240" w:lineRule="auto"/>
        <w:jc w:val="both"/>
        <w:rPr>
          <w:rFonts w:ascii="Calibri" w:eastAsia="Calibri" w:hAnsi="Calibri" w:cs="Times New Roman"/>
        </w:rPr>
      </w:pPr>
    </w:p>
    <w:p w14:paraId="12C6EF21" w14:textId="77777777" w:rsidR="0038366B" w:rsidRPr="004D6D2E" w:rsidRDefault="0038366B" w:rsidP="0038366B">
      <w:pPr>
        <w:spacing w:after="0" w:line="240" w:lineRule="auto"/>
        <w:jc w:val="both"/>
        <w:rPr>
          <w:rFonts w:ascii="Calibri" w:eastAsia="Calibri" w:hAnsi="Calibri" w:cs="Times New Roman"/>
        </w:rPr>
      </w:pPr>
      <w:r w:rsidRPr="004D6D2E">
        <w:rPr>
          <w:rFonts w:ascii="Verdana" w:eastAsia="Geomanist Light" w:hAnsi="Verdana" w:cs="Arial"/>
          <w:b/>
          <w:bCs/>
        </w:rPr>
        <w:t>SUPERVISIÓN DEL CONTRATO – Definición</w:t>
      </w:r>
    </w:p>
    <w:p w14:paraId="74D076BD" w14:textId="77777777" w:rsidR="0038366B" w:rsidRPr="004D6D2E" w:rsidRDefault="0038366B" w:rsidP="0038366B">
      <w:pPr>
        <w:spacing w:after="0" w:line="240" w:lineRule="auto"/>
        <w:jc w:val="both"/>
        <w:rPr>
          <w:rFonts w:ascii="Calibri" w:eastAsia="Calibri" w:hAnsi="Calibri" w:cs="Times New Roman"/>
          <w:sz w:val="20"/>
          <w:szCs w:val="20"/>
        </w:rPr>
      </w:pPr>
    </w:p>
    <w:p w14:paraId="7C6821E0" w14:textId="77777777" w:rsidR="0038366B" w:rsidRPr="004D6D2E" w:rsidRDefault="0038366B" w:rsidP="0038366B">
      <w:pPr>
        <w:spacing w:after="0" w:line="240" w:lineRule="auto"/>
        <w:jc w:val="both"/>
        <w:rPr>
          <w:rFonts w:ascii="Verdana" w:eastAsia="Times New Roman" w:hAnsi="Verdana" w:cs="Arial"/>
          <w:sz w:val="20"/>
          <w:szCs w:val="20"/>
          <w:lang w:val="es-ES" w:eastAsia="es-MX"/>
        </w:rPr>
      </w:pPr>
      <w:r w:rsidRPr="004D6D2E">
        <w:rPr>
          <w:rFonts w:ascii="Verdana" w:eastAsia="Times New Roman" w:hAnsi="Verdana" w:cs="Arial"/>
          <w:sz w:val="20"/>
          <w:szCs w:val="20"/>
          <w:lang w:val="es-ES" w:eastAsia="es-MX"/>
        </w:rPr>
        <w:t xml:space="preserve">[…] De esta forma, la Ley 1474 de 2011 enmarcó el seguimiento, control y vigilancia de la ejecución del contrato estatal dentro del principio de moralidad administrativa. El artículo 83 de la referida ley, establece que “con el fin de proteger la moralidad administrativa, de prevenir la ocurrencia de actos de corrupción y tutelar la transparencia de la actividad contractual, las entidades públicas están obligadas a vigilar permanentemente la correcta ejecución del objeto contratado a través de un supervisor o un interventor, según corresponda”. El legislador además definió las nociones de supervisión e interventoría, como mecanismos que pueden usar las Entidades Estatales para vigilar el contrato, en estos términos: </w:t>
      </w:r>
    </w:p>
    <w:p w14:paraId="41E879E6" w14:textId="77777777" w:rsidR="0038366B" w:rsidRPr="004D6D2E" w:rsidRDefault="0038366B" w:rsidP="0038366B">
      <w:pPr>
        <w:spacing w:after="0" w:line="240" w:lineRule="auto"/>
        <w:jc w:val="both"/>
        <w:rPr>
          <w:rFonts w:ascii="Verdana" w:eastAsia="Geomanist Light" w:hAnsi="Verdana" w:cs="Arial"/>
          <w:sz w:val="20"/>
          <w:szCs w:val="20"/>
          <w:lang w:val="es-ES"/>
        </w:rPr>
      </w:pPr>
    </w:p>
    <w:p w14:paraId="0E993936" w14:textId="77777777" w:rsidR="0038366B" w:rsidRPr="004D6D2E" w:rsidRDefault="0038366B" w:rsidP="0038366B">
      <w:pPr>
        <w:spacing w:after="0" w:line="240" w:lineRule="auto"/>
        <w:jc w:val="both"/>
        <w:rPr>
          <w:rFonts w:ascii="Verdana" w:eastAsia="Geomanist Light" w:hAnsi="Verdana" w:cs="Arial"/>
          <w:sz w:val="20"/>
          <w:szCs w:val="20"/>
        </w:rPr>
      </w:pPr>
      <w:r w:rsidRPr="004D6D2E">
        <w:rPr>
          <w:rFonts w:ascii="Verdana" w:eastAsia="Geomanist Light" w:hAnsi="Verdana" w:cs="Arial"/>
          <w:sz w:val="20"/>
          <w:szCs w:val="20"/>
        </w:rPr>
        <w:t>“La supervisión consistirá en el seguimiento técnico, administrativo, financiero, contable, y jurídico que, sobre el cumplimiento del objeto del contrato, es ejercida por la misma entidad estatal cuando no requieren conocimientos especializados. Para la supervisión, la Entidad estatal podrá contratar personal de apoyo, a través de los contratos de prestación de servicios que sean requeridos”. […]</w:t>
      </w:r>
    </w:p>
    <w:p w14:paraId="27347920" w14:textId="77777777" w:rsidR="0038366B" w:rsidRPr="004D6D2E" w:rsidRDefault="0038366B" w:rsidP="0038366B">
      <w:pPr>
        <w:spacing w:after="0" w:line="240" w:lineRule="auto"/>
        <w:jc w:val="both"/>
        <w:rPr>
          <w:rFonts w:ascii="Verdana" w:eastAsia="Geomanist Light" w:hAnsi="Verdana" w:cs="Arial"/>
          <w:b/>
          <w:bCs/>
        </w:rPr>
      </w:pPr>
    </w:p>
    <w:p w14:paraId="2317966C" w14:textId="77777777" w:rsidR="0038366B" w:rsidRPr="004D6D2E" w:rsidRDefault="0038366B" w:rsidP="0038366B">
      <w:pPr>
        <w:spacing w:after="0" w:line="240" w:lineRule="auto"/>
        <w:jc w:val="both"/>
        <w:rPr>
          <w:rFonts w:ascii="Verdana" w:eastAsia="Geomanist Light" w:hAnsi="Verdana" w:cs="Arial"/>
          <w:b/>
          <w:bCs/>
        </w:rPr>
      </w:pPr>
      <w:r w:rsidRPr="004D6D2E">
        <w:rPr>
          <w:rFonts w:ascii="Verdana" w:eastAsia="Geomanist Light" w:hAnsi="Verdana" w:cs="Arial"/>
          <w:b/>
          <w:bCs/>
        </w:rPr>
        <w:t xml:space="preserve">SUPERVISIÓN DEL CONTRATO </w:t>
      </w:r>
      <w:r w:rsidRPr="004D6D2E">
        <w:rPr>
          <w:rFonts w:ascii="Verdana" w:eastAsia="Calibri" w:hAnsi="Verdana" w:cs="Arial"/>
          <w:b/>
          <w:bCs/>
          <w:lang w:val="es-ES" w:eastAsia="es-ES"/>
        </w:rPr>
        <w:t xml:space="preserve">– Características </w:t>
      </w:r>
    </w:p>
    <w:p w14:paraId="5AF25FE2" w14:textId="77777777" w:rsidR="0038366B" w:rsidRPr="004D6D2E" w:rsidRDefault="0038366B" w:rsidP="0038366B">
      <w:pPr>
        <w:spacing w:after="0" w:line="240" w:lineRule="auto"/>
        <w:jc w:val="both"/>
        <w:rPr>
          <w:rFonts w:ascii="Verdana" w:eastAsia="Geomanist Light" w:hAnsi="Verdana" w:cs="Arial"/>
        </w:rPr>
      </w:pPr>
      <w:r w:rsidRPr="004D6D2E">
        <w:rPr>
          <w:rFonts w:ascii="Verdana" w:eastAsia="Geomanist Light" w:hAnsi="Verdana" w:cs="Arial"/>
          <w:b/>
          <w:bCs/>
        </w:rPr>
        <w:t> </w:t>
      </w:r>
    </w:p>
    <w:p w14:paraId="1F555937" w14:textId="77777777" w:rsidR="0038366B" w:rsidRPr="004D6D2E" w:rsidRDefault="0038366B" w:rsidP="0038366B">
      <w:pPr>
        <w:spacing w:after="0" w:line="240" w:lineRule="auto"/>
        <w:jc w:val="both"/>
        <w:rPr>
          <w:rFonts w:ascii="Verdana" w:eastAsia="Geomanist Light" w:hAnsi="Verdana" w:cs="Arial"/>
          <w:sz w:val="20"/>
          <w:szCs w:val="20"/>
        </w:rPr>
      </w:pPr>
      <w:r w:rsidRPr="004D6D2E">
        <w:rPr>
          <w:rFonts w:ascii="Verdana" w:eastAsia="Geomanist Light" w:hAnsi="Verdana" w:cs="Arial"/>
          <w:sz w:val="20"/>
          <w:szCs w:val="20"/>
        </w:rPr>
        <w:lastRenderedPageBreak/>
        <w:t>[…] de las disposiciones contenidas en los artículos 83 y 84 de la Ley 1474 de 2011, se infieren las siguientes características de la supervisión: i) la labor de supervisión siempre existirá en relación con cualquier contrato estatal, incluidos los contratos de prestación de servicios –a diferencia de la interventoría que depende del análisis de su necesidad y extensión –; ii) no requiere conocimientos tan especializados como la interventoría; iii) se ejerce por la Entidad Estatal por conducto de la designación de servidores públicos idóneos para cumplir la función; iv) puede recibir apoyo de personal contratado para tal fin mediante contratos de prestación de servicios; y v) le es inseparable el seguimiento técnico, administrativo, financiero, contable y jurídico del contrato vigilado […]</w:t>
      </w:r>
    </w:p>
    <w:p w14:paraId="284C4CFA" w14:textId="77777777" w:rsidR="0038366B" w:rsidRPr="00BA4DA1" w:rsidRDefault="0038366B" w:rsidP="0038366B">
      <w:pPr>
        <w:spacing w:after="0" w:line="240" w:lineRule="auto"/>
        <w:jc w:val="both"/>
        <w:rPr>
          <w:rFonts w:ascii="Verdana" w:eastAsia="Geomanist Light" w:hAnsi="Verdana" w:cs="Arial"/>
          <w:color w:val="4472C4" w:themeColor="accent1"/>
          <w:sz w:val="20"/>
          <w:szCs w:val="20"/>
        </w:rPr>
      </w:pPr>
    </w:p>
    <w:p w14:paraId="1231DCED" w14:textId="77777777" w:rsidR="0038366B" w:rsidRDefault="0038366B" w:rsidP="0038366B">
      <w:pPr>
        <w:spacing w:after="0" w:line="240" w:lineRule="auto"/>
        <w:jc w:val="both"/>
        <w:rPr>
          <w:rFonts w:ascii="Verdana" w:eastAsia="Calibri" w:hAnsi="Verdana" w:cs="Arial"/>
          <w:b/>
          <w:color w:val="4472C4" w:themeColor="accent1"/>
        </w:rPr>
      </w:pPr>
    </w:p>
    <w:p w14:paraId="1DF53C3A" w14:textId="77777777" w:rsidR="0038366B" w:rsidRDefault="0038366B" w:rsidP="0038366B">
      <w:pPr>
        <w:spacing w:after="0" w:line="240" w:lineRule="auto"/>
        <w:jc w:val="both"/>
        <w:rPr>
          <w:rFonts w:ascii="Verdana" w:eastAsia="Calibri" w:hAnsi="Verdana" w:cs="Arial"/>
          <w:b/>
          <w:color w:val="4472C4" w:themeColor="accent1"/>
        </w:rPr>
      </w:pPr>
    </w:p>
    <w:p w14:paraId="64144586" w14:textId="77777777" w:rsidR="0038366B" w:rsidRDefault="0038366B" w:rsidP="0038366B">
      <w:pPr>
        <w:spacing w:after="0" w:line="240" w:lineRule="auto"/>
        <w:jc w:val="both"/>
        <w:rPr>
          <w:rFonts w:ascii="Verdana" w:eastAsia="Calibri" w:hAnsi="Verdana" w:cs="Arial"/>
          <w:b/>
          <w:color w:val="4472C4" w:themeColor="accent1"/>
        </w:rPr>
      </w:pPr>
    </w:p>
    <w:p w14:paraId="78BC1851" w14:textId="77777777" w:rsidR="0038366B" w:rsidRDefault="0038366B" w:rsidP="0038366B">
      <w:pPr>
        <w:spacing w:after="0" w:line="240" w:lineRule="auto"/>
        <w:jc w:val="both"/>
        <w:rPr>
          <w:rFonts w:ascii="Verdana" w:eastAsia="Calibri" w:hAnsi="Verdana" w:cs="Arial"/>
          <w:b/>
          <w:color w:val="4472C4" w:themeColor="accent1"/>
        </w:rPr>
      </w:pPr>
    </w:p>
    <w:p w14:paraId="62FDD82E" w14:textId="77777777" w:rsidR="0038366B" w:rsidRDefault="0038366B" w:rsidP="0038366B">
      <w:pPr>
        <w:spacing w:after="0" w:line="240" w:lineRule="auto"/>
        <w:jc w:val="both"/>
        <w:rPr>
          <w:rFonts w:ascii="Verdana" w:eastAsia="Calibri" w:hAnsi="Verdana" w:cs="Arial"/>
          <w:b/>
          <w:color w:val="4472C4" w:themeColor="accent1"/>
        </w:rPr>
      </w:pPr>
    </w:p>
    <w:p w14:paraId="3F5B472F" w14:textId="77777777" w:rsidR="0038366B" w:rsidRPr="00BA4DA1" w:rsidRDefault="0038366B" w:rsidP="0038366B">
      <w:pPr>
        <w:spacing w:after="0" w:line="240" w:lineRule="auto"/>
        <w:jc w:val="both"/>
        <w:rPr>
          <w:rFonts w:ascii="Verdana" w:eastAsia="Geomanist Light" w:hAnsi="Verdana" w:cs="Arial"/>
          <w:color w:val="4472C4" w:themeColor="accent1"/>
          <w:sz w:val="20"/>
          <w:szCs w:val="20"/>
          <w:lang w:val="es-MX"/>
        </w:rPr>
      </w:pPr>
    </w:p>
    <w:p w14:paraId="2BC6B430" w14:textId="77777777" w:rsidR="0038366B" w:rsidRPr="00BA4DA1" w:rsidRDefault="0038366B" w:rsidP="0038366B">
      <w:pPr>
        <w:spacing w:after="0" w:line="240" w:lineRule="auto"/>
        <w:jc w:val="both"/>
        <w:rPr>
          <w:rFonts w:ascii="Verdana" w:eastAsia="Geomanist Light" w:hAnsi="Verdana" w:cs="Arial"/>
          <w:color w:val="4472C4" w:themeColor="accent1"/>
          <w:sz w:val="20"/>
          <w:szCs w:val="20"/>
          <w:lang w:val="es-MX"/>
        </w:rPr>
      </w:pPr>
    </w:p>
    <w:p w14:paraId="00FB4E50" w14:textId="77777777" w:rsidR="0038366B" w:rsidRPr="00BA4DA1" w:rsidRDefault="0038366B" w:rsidP="0038366B">
      <w:pPr>
        <w:spacing w:after="0" w:line="240" w:lineRule="auto"/>
        <w:jc w:val="both"/>
        <w:rPr>
          <w:rFonts w:ascii="Verdana" w:eastAsia="Geomanist Light" w:hAnsi="Verdana" w:cs="Arial"/>
          <w:color w:val="4472C4" w:themeColor="accent1"/>
          <w:sz w:val="20"/>
          <w:szCs w:val="20"/>
          <w:lang w:val="es-MX"/>
        </w:rPr>
      </w:pPr>
    </w:p>
    <w:p w14:paraId="43F8015E"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1C5956BB"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2A61123C"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69055A84"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0D6E682D"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5F9F413D"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7B96B885"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6031ADB7"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6CE238CB"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3DA9B27E"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3231513C"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29062CE3"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6CF4BBE1"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03D8A885"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29C59A82"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1CC53CCE"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55BA5A90"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69313B33"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20B8FB28"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7387E906"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40036D90"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5E8EF3D2"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2D2C9635"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228B3DB5"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52CB030C" w14:textId="77777777" w:rsidR="0038366B" w:rsidRDefault="0038366B" w:rsidP="0038366B">
      <w:pPr>
        <w:spacing w:after="0" w:line="240" w:lineRule="auto"/>
        <w:jc w:val="both"/>
        <w:rPr>
          <w:rFonts w:ascii="Verdana" w:eastAsia="Geomanist Light" w:hAnsi="Verdana" w:cs="Arial"/>
          <w:color w:val="4472C4" w:themeColor="accent1"/>
          <w:sz w:val="20"/>
          <w:szCs w:val="20"/>
          <w:lang w:val="es-MX"/>
        </w:rPr>
      </w:pPr>
    </w:p>
    <w:p w14:paraId="5140C956" w14:textId="77777777" w:rsidR="0038366B" w:rsidRPr="00BA4DA1" w:rsidRDefault="0038366B" w:rsidP="0038366B">
      <w:pPr>
        <w:spacing w:after="0" w:line="240" w:lineRule="auto"/>
        <w:jc w:val="both"/>
        <w:rPr>
          <w:rFonts w:ascii="Verdana" w:eastAsia="Geomanist Light" w:hAnsi="Verdana" w:cs="Arial"/>
          <w:color w:val="4472C4" w:themeColor="accent1"/>
          <w:sz w:val="20"/>
          <w:szCs w:val="20"/>
          <w:lang w:val="es-MX"/>
        </w:rPr>
      </w:pPr>
    </w:p>
    <w:p w14:paraId="3D78CA40" w14:textId="77777777" w:rsidR="0038366B" w:rsidRPr="00BA4DA1" w:rsidRDefault="0038366B" w:rsidP="0038366B">
      <w:pPr>
        <w:spacing w:after="0" w:line="240" w:lineRule="auto"/>
        <w:jc w:val="both"/>
        <w:rPr>
          <w:rFonts w:ascii="Verdana" w:hAnsi="Verdana"/>
          <w:color w:val="4472C4" w:themeColor="accent1"/>
          <w:sz w:val="20"/>
          <w:szCs w:val="20"/>
        </w:rPr>
      </w:pPr>
    </w:p>
    <w:p w14:paraId="5DF3C334" w14:textId="4918C608" w:rsidR="0038366B" w:rsidRPr="006069EA" w:rsidRDefault="0038366B" w:rsidP="0038366B">
      <w:pPr>
        <w:spacing w:after="0"/>
        <w:rPr>
          <w:rFonts w:ascii="Verdana" w:hAnsi="Verdana"/>
        </w:rPr>
      </w:pPr>
      <w:bookmarkStart w:id="0" w:name="_Hlk143780582"/>
      <w:r w:rsidRPr="006069EA">
        <w:rPr>
          <w:rFonts w:ascii="Verdana" w:hAnsi="Verdana"/>
        </w:rPr>
        <w:lastRenderedPageBreak/>
        <w:t xml:space="preserve">Bogotá D.C., </w:t>
      </w:r>
      <w:r w:rsidR="001867A2">
        <w:rPr>
          <w:rFonts w:ascii="Verdana" w:hAnsi="Verdana"/>
        </w:rPr>
        <w:t>23 Junio 2026</w:t>
      </w:r>
    </w:p>
    <w:p w14:paraId="6B948671" w14:textId="5AC74B77" w:rsidR="0038366B" w:rsidRPr="006069EA" w:rsidRDefault="002B6D8A" w:rsidP="0038366B">
      <w:pPr>
        <w:spacing w:after="0"/>
        <w:rPr>
          <w:rFonts w:ascii="Verdana" w:hAnsi="Verdana"/>
          <w:lang w:val="es-ES"/>
        </w:rPr>
      </w:pPr>
      <w:r w:rsidRPr="002B6D8A">
        <w:rPr>
          <w:rFonts w:ascii="Verdana" w:hAnsi="Verdana"/>
          <w:lang w:val="es-ES"/>
        </w:rPr>
        <w:drawing>
          <wp:anchor distT="0" distB="0" distL="114300" distR="114300" simplePos="0" relativeHeight="251659264" behindDoc="1" locked="0" layoutInCell="1" allowOverlap="1" wp14:anchorId="2AA6ED79" wp14:editId="28305745">
            <wp:simplePos x="0" y="0"/>
            <wp:positionH relativeFrom="column">
              <wp:posOffset>3006090</wp:posOffset>
            </wp:positionH>
            <wp:positionV relativeFrom="paragraph">
              <wp:posOffset>12700</wp:posOffset>
            </wp:positionV>
            <wp:extent cx="2810267" cy="781159"/>
            <wp:effectExtent l="0" t="0" r="9525" b="0"/>
            <wp:wrapNone/>
            <wp:docPr id="2560047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04780" name=""/>
                    <pic:cNvPicPr/>
                  </pic:nvPicPr>
                  <pic:blipFill>
                    <a:blip r:embed="rId10">
                      <a:extLst>
                        <a:ext uri="{28A0092B-C50C-407E-A947-70E740481C1C}">
                          <a14:useLocalDpi xmlns:a14="http://schemas.microsoft.com/office/drawing/2010/main" val="0"/>
                        </a:ext>
                      </a:extLst>
                    </a:blip>
                    <a:stretch>
                      <a:fillRect/>
                    </a:stretch>
                  </pic:blipFill>
                  <pic:spPr>
                    <a:xfrm>
                      <a:off x="0" y="0"/>
                      <a:ext cx="2810267" cy="781159"/>
                    </a:xfrm>
                    <a:prstGeom prst="rect">
                      <a:avLst/>
                    </a:prstGeom>
                  </pic:spPr>
                </pic:pic>
              </a:graphicData>
            </a:graphic>
          </wp:anchor>
        </w:drawing>
      </w:r>
    </w:p>
    <w:p w14:paraId="3BF6941D" w14:textId="77777777" w:rsidR="0038366B" w:rsidRPr="006069EA" w:rsidRDefault="0038366B" w:rsidP="0038366B">
      <w:pPr>
        <w:spacing w:after="0" w:line="240" w:lineRule="auto"/>
        <w:rPr>
          <w:rFonts w:ascii="Verdana" w:hAnsi="Verdana"/>
          <w:lang w:val="es-ES"/>
        </w:rPr>
      </w:pPr>
      <w:r w:rsidRPr="006069EA">
        <w:rPr>
          <w:rFonts w:ascii="Verdana" w:eastAsia="Calibri" w:hAnsi="Verdana" w:cs="Arial"/>
          <w:lang w:val="es-ES" w:eastAsia="es-ES"/>
        </w:rPr>
        <w:t>Señor</w:t>
      </w:r>
    </w:p>
    <w:p w14:paraId="7D9CE822" w14:textId="77777777" w:rsidR="0038366B" w:rsidRPr="006069EA" w:rsidRDefault="0038366B" w:rsidP="0038366B">
      <w:pPr>
        <w:spacing w:after="0"/>
        <w:rPr>
          <w:rFonts w:ascii="Verdana" w:eastAsia="Calibri" w:hAnsi="Verdana" w:cs="Arial"/>
          <w:b/>
          <w:bCs/>
          <w:lang w:eastAsia="es-ES"/>
        </w:rPr>
      </w:pPr>
      <w:r w:rsidRPr="006069EA">
        <w:rPr>
          <w:rFonts w:ascii="Verdana" w:eastAsia="Calibri" w:hAnsi="Verdana" w:cs="Arial"/>
          <w:b/>
          <w:bCs/>
          <w:lang w:eastAsia="es-ES"/>
        </w:rPr>
        <w:t>Cristian Fernando Salcedo Rueda</w:t>
      </w:r>
    </w:p>
    <w:p w14:paraId="07826B1F" w14:textId="77777777" w:rsidR="0038366B" w:rsidRPr="00BA4DA1" w:rsidRDefault="0038366B" w:rsidP="0038366B">
      <w:pPr>
        <w:spacing w:after="0"/>
        <w:rPr>
          <w:rFonts w:ascii="Verdana" w:eastAsia="Calibri" w:hAnsi="Verdana" w:cs="Arial"/>
          <w:color w:val="4472C4" w:themeColor="accent1"/>
          <w:lang w:eastAsia="es-ES"/>
        </w:rPr>
      </w:pPr>
      <w:hyperlink r:id="rId11" w:history="1">
        <w:r w:rsidRPr="003A0C13">
          <w:rPr>
            <w:rStyle w:val="Hipervnculo"/>
            <w:rFonts w:ascii="Verdana" w:hAnsi="Verdana"/>
          </w:rPr>
          <w:t>cfsalcedor@gmail.com</w:t>
        </w:r>
      </w:hyperlink>
      <w:r>
        <w:rPr>
          <w:rFonts w:ascii="Verdana" w:hAnsi="Verdana"/>
          <w:color w:val="4472C4" w:themeColor="accent1"/>
        </w:rPr>
        <w:t xml:space="preserve"> </w:t>
      </w:r>
    </w:p>
    <w:p w14:paraId="31544706" w14:textId="77777777" w:rsidR="0038366B" w:rsidRPr="00940F04" w:rsidRDefault="0038366B" w:rsidP="0038366B">
      <w:pPr>
        <w:spacing w:after="0"/>
        <w:rPr>
          <w:rFonts w:ascii="Verdana" w:eastAsia="Calibri" w:hAnsi="Verdana" w:cs="Arial"/>
          <w:lang w:eastAsia="es-ES"/>
        </w:rPr>
      </w:pPr>
      <w:r w:rsidRPr="00940F04">
        <w:rPr>
          <w:rFonts w:ascii="Verdana" w:eastAsia="Calibri" w:hAnsi="Verdana" w:cs="Arial"/>
          <w:lang w:eastAsia="es-ES"/>
        </w:rPr>
        <w:t>Rionegro, Antioquia</w:t>
      </w:r>
    </w:p>
    <w:p w14:paraId="093584F4" w14:textId="77777777" w:rsidR="0038366B" w:rsidRPr="00BA4DA1" w:rsidRDefault="0038366B" w:rsidP="0038366B">
      <w:pPr>
        <w:spacing w:after="0"/>
        <w:rPr>
          <w:rFonts w:ascii="Verdana" w:eastAsia="Calibri" w:hAnsi="Verdana" w:cs="Arial"/>
          <w:color w:val="4472C4" w:themeColor="accent1"/>
          <w:lang w:val="es-ES" w:eastAsia="es-ES"/>
        </w:rPr>
      </w:pPr>
    </w:p>
    <w:p w14:paraId="653A3AF6" w14:textId="77777777" w:rsidR="0038366B" w:rsidRPr="00BA4DA1" w:rsidRDefault="0038366B" w:rsidP="0038366B">
      <w:pPr>
        <w:spacing w:after="0" w:line="240" w:lineRule="auto"/>
        <w:rPr>
          <w:rFonts w:ascii="Verdana" w:eastAsia="Calibri" w:hAnsi="Verdana" w:cs="Arial"/>
          <w:b/>
          <w:bCs/>
          <w:color w:val="4472C4" w:themeColor="accent1"/>
          <w:lang w:val="es-ES" w:eastAsia="es-ES"/>
        </w:rPr>
      </w:pPr>
    </w:p>
    <w:tbl>
      <w:tblPr>
        <w:tblStyle w:val="Tablaconcuadrcula"/>
        <w:tblW w:w="85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100"/>
      </w:tblGrid>
      <w:tr w:rsidR="0038366B" w:rsidRPr="00BA4DA1" w14:paraId="10102937" w14:textId="77777777" w:rsidTr="00684EE8">
        <w:trPr>
          <w:trHeight w:val="300"/>
        </w:trPr>
        <w:tc>
          <w:tcPr>
            <w:tcW w:w="2410" w:type="dxa"/>
          </w:tcPr>
          <w:p w14:paraId="05F4E3A9" w14:textId="77777777" w:rsidR="0038366B" w:rsidRPr="00BA4DA1" w:rsidRDefault="0038366B" w:rsidP="00684EE8">
            <w:pPr>
              <w:ind w:left="-142"/>
              <w:jc w:val="both"/>
              <w:rPr>
                <w:rFonts w:ascii="Verdana" w:eastAsia="Calibri" w:hAnsi="Verdana" w:cs="Arial"/>
                <w:b/>
                <w:bCs/>
                <w:color w:val="4472C4" w:themeColor="accent1"/>
                <w:lang w:val="es-ES" w:eastAsia="es-ES_tradnl"/>
              </w:rPr>
            </w:pPr>
          </w:p>
        </w:tc>
        <w:tc>
          <w:tcPr>
            <w:tcW w:w="6100" w:type="dxa"/>
          </w:tcPr>
          <w:p w14:paraId="1ECE7A47" w14:textId="77777777" w:rsidR="0038366B" w:rsidRPr="00896B3C" w:rsidRDefault="0038366B" w:rsidP="00684EE8">
            <w:pPr>
              <w:ind w:left="3"/>
              <w:jc w:val="both"/>
              <w:rPr>
                <w:rFonts w:ascii="Verdana" w:eastAsia="Calibri" w:hAnsi="Verdana" w:cs="Arial"/>
                <w:b/>
                <w:bCs/>
                <w:lang w:val="es-ES" w:eastAsia="es-ES"/>
              </w:rPr>
            </w:pPr>
            <w:r w:rsidRPr="00896B3C">
              <w:rPr>
                <w:rFonts w:ascii="Verdana" w:eastAsia="Calibri" w:hAnsi="Verdana" w:cs="Arial"/>
                <w:b/>
                <w:bCs/>
                <w:lang w:val="es-ES" w:eastAsia="es-ES"/>
              </w:rPr>
              <w:t>Concepto C-820 de 2026</w:t>
            </w:r>
          </w:p>
          <w:p w14:paraId="7235ABE3" w14:textId="77777777" w:rsidR="0038366B" w:rsidRPr="00BA4DA1" w:rsidRDefault="0038366B" w:rsidP="00684EE8">
            <w:pPr>
              <w:ind w:left="3"/>
              <w:jc w:val="both"/>
              <w:rPr>
                <w:rFonts w:ascii="Verdana" w:eastAsia="Calibri" w:hAnsi="Verdana" w:cs="Arial"/>
                <w:b/>
                <w:bCs/>
                <w:color w:val="4472C4" w:themeColor="accent1"/>
                <w:lang w:val="es-ES" w:eastAsia="es-ES"/>
              </w:rPr>
            </w:pPr>
          </w:p>
        </w:tc>
      </w:tr>
      <w:tr w:rsidR="0038366B" w:rsidRPr="00BA4DA1" w14:paraId="7C85CBCF" w14:textId="77777777" w:rsidTr="00684EE8">
        <w:trPr>
          <w:trHeight w:val="300"/>
        </w:trPr>
        <w:tc>
          <w:tcPr>
            <w:tcW w:w="2410" w:type="dxa"/>
          </w:tcPr>
          <w:p w14:paraId="5709DF4C" w14:textId="77777777" w:rsidR="0038366B" w:rsidRPr="00BA4DA1" w:rsidRDefault="0038366B" w:rsidP="00684EE8">
            <w:pPr>
              <w:ind w:left="424" w:firstLine="137"/>
              <w:jc w:val="both"/>
              <w:rPr>
                <w:rFonts w:ascii="Verdana" w:eastAsia="Calibri" w:hAnsi="Verdana" w:cs="Arial"/>
                <w:color w:val="4472C4" w:themeColor="accent1"/>
                <w:lang w:val="es-ES" w:eastAsia="es-ES_tradnl"/>
              </w:rPr>
            </w:pPr>
            <w:r w:rsidRPr="00896B3C">
              <w:rPr>
                <w:rFonts w:ascii="Verdana" w:eastAsia="Calibri" w:hAnsi="Verdana" w:cs="Arial"/>
                <w:b/>
                <w:lang w:val="es-ES" w:eastAsia="es-ES_tradnl"/>
              </w:rPr>
              <w:t>Temas:</w:t>
            </w:r>
            <w:r w:rsidRPr="00896B3C">
              <w:rPr>
                <w:rFonts w:ascii="Verdana" w:eastAsia="Calibri" w:hAnsi="Verdana" w:cs="Arial"/>
                <w:lang w:val="es-ES" w:eastAsia="es-ES_tradnl"/>
              </w:rPr>
              <w:t xml:space="preserve"> </w:t>
            </w:r>
            <w:r w:rsidRPr="00BA4DA1">
              <w:rPr>
                <w:rFonts w:ascii="Verdana" w:eastAsia="Calibri" w:hAnsi="Verdana" w:cs="Arial"/>
                <w:color w:val="4472C4" w:themeColor="accent1"/>
                <w:lang w:val="es-ES" w:eastAsia="es-ES_tradnl"/>
              </w:rPr>
              <w:t xml:space="preserve">                 </w:t>
            </w:r>
          </w:p>
        </w:tc>
        <w:tc>
          <w:tcPr>
            <w:tcW w:w="6100" w:type="dxa"/>
          </w:tcPr>
          <w:p w14:paraId="30C848EB" w14:textId="77777777" w:rsidR="0038366B" w:rsidRPr="004D6D2E" w:rsidRDefault="0038366B" w:rsidP="00684EE8">
            <w:pPr>
              <w:jc w:val="both"/>
              <w:rPr>
                <w:rFonts w:ascii="Verdana" w:eastAsia="Geomanist Light" w:hAnsi="Verdana" w:cs="Arial"/>
                <w:b/>
                <w:bCs/>
              </w:rPr>
            </w:pPr>
            <w:r w:rsidRPr="008A780B">
              <w:rPr>
                <w:rFonts w:ascii="Verdana" w:eastAsia="Calibri" w:hAnsi="Verdana" w:cs="Arial"/>
                <w:bCs/>
              </w:rPr>
              <w:t xml:space="preserve">CONTRATO ESTATAL – Ejercicio – Funciones de control y vigilancia </w:t>
            </w:r>
            <w:r w:rsidRPr="008A780B">
              <w:rPr>
                <w:rFonts w:ascii="Verdana" w:hAnsi="Verdana"/>
                <w:bCs/>
                <w:lang w:val="es-ES"/>
              </w:rPr>
              <w:t xml:space="preserve">/ </w:t>
            </w:r>
            <w:r w:rsidRPr="008A780B">
              <w:rPr>
                <w:rFonts w:ascii="Verdana" w:eastAsia="Calibri" w:hAnsi="Verdana" w:cs="Arial"/>
                <w:bCs/>
                <w:lang w:eastAsia="es-ES"/>
              </w:rPr>
              <w:t xml:space="preserve">LEY 1474 DE 2011 – </w:t>
            </w:r>
            <w:r w:rsidRPr="008A780B">
              <w:rPr>
                <w:rFonts w:ascii="Verdana" w:eastAsia="Calibri" w:hAnsi="Verdana" w:cs="Arial"/>
                <w:bCs/>
                <w:lang w:val="es-ES" w:eastAsia="es-ES"/>
              </w:rPr>
              <w:t>Supervisión</w:t>
            </w:r>
            <w:r w:rsidRPr="008A780B">
              <w:rPr>
                <w:rFonts w:ascii="Verdana" w:eastAsia="Calibri" w:hAnsi="Verdana" w:cs="Arial"/>
                <w:bCs/>
                <w:lang w:eastAsia="es-ES"/>
              </w:rPr>
              <w:t xml:space="preserve"> e</w:t>
            </w:r>
            <w:r>
              <w:rPr>
                <w:rFonts w:ascii="Verdana" w:eastAsia="Calibri" w:hAnsi="Verdana" w:cs="Arial"/>
                <w:bCs/>
                <w:lang w:eastAsia="es-ES"/>
              </w:rPr>
              <w:t xml:space="preserve"> </w:t>
            </w:r>
            <w:r w:rsidRPr="004D6D2E">
              <w:rPr>
                <w:rFonts w:ascii="Verdana" w:eastAsia="Calibri" w:hAnsi="Verdana" w:cs="Arial"/>
                <w:bCs/>
                <w:lang w:eastAsia="es-ES"/>
              </w:rPr>
              <w:t xml:space="preserve">interventoría contractual / SUPERVISIÓN DEL CONTRATO – Definición / </w:t>
            </w:r>
            <w:r w:rsidRPr="004D6D2E">
              <w:rPr>
                <w:rFonts w:ascii="Verdana" w:eastAsia="Geomanist Light" w:hAnsi="Verdana" w:cs="Arial"/>
                <w:bCs/>
              </w:rPr>
              <w:t xml:space="preserve">SUPERVISIÓN DEL CONTRATO </w:t>
            </w:r>
            <w:r w:rsidRPr="004D6D2E">
              <w:rPr>
                <w:rFonts w:ascii="Verdana" w:eastAsia="Calibri" w:hAnsi="Verdana" w:cs="Arial"/>
                <w:bCs/>
                <w:lang w:val="es-ES" w:eastAsia="es-ES"/>
              </w:rPr>
              <w:t>– Características</w:t>
            </w:r>
            <w:r w:rsidRPr="004D6D2E">
              <w:rPr>
                <w:rFonts w:ascii="Verdana" w:eastAsia="Calibri" w:hAnsi="Verdana" w:cs="Arial"/>
                <w:b/>
                <w:bCs/>
                <w:lang w:val="es-ES" w:eastAsia="es-ES"/>
              </w:rPr>
              <w:t xml:space="preserve"> </w:t>
            </w:r>
          </w:p>
          <w:p w14:paraId="0EA21ED7" w14:textId="77777777" w:rsidR="0038366B" w:rsidRPr="00BA4DA1" w:rsidRDefault="0038366B" w:rsidP="00684EE8">
            <w:pPr>
              <w:jc w:val="both"/>
              <w:rPr>
                <w:rFonts w:ascii="Verdana" w:hAnsi="Verdana"/>
                <w:color w:val="4472C4" w:themeColor="accent1"/>
                <w:lang w:val="es-ES_tradnl"/>
              </w:rPr>
            </w:pPr>
          </w:p>
        </w:tc>
      </w:tr>
      <w:tr w:rsidR="0038366B" w:rsidRPr="00BA4DA1" w14:paraId="0C647BC5" w14:textId="77777777" w:rsidTr="00684EE8">
        <w:trPr>
          <w:trHeight w:val="80"/>
        </w:trPr>
        <w:tc>
          <w:tcPr>
            <w:tcW w:w="2410" w:type="dxa"/>
          </w:tcPr>
          <w:p w14:paraId="33E8BCC3" w14:textId="77777777" w:rsidR="0038366B" w:rsidRPr="00896B3C" w:rsidRDefault="0038366B" w:rsidP="00684EE8">
            <w:pPr>
              <w:ind w:left="561"/>
              <w:jc w:val="both"/>
              <w:rPr>
                <w:rFonts w:ascii="Verdana" w:eastAsia="Calibri" w:hAnsi="Verdana" w:cs="Arial"/>
                <w:b/>
                <w:lang w:val="es-ES" w:eastAsia="es-ES_tradnl"/>
              </w:rPr>
            </w:pPr>
            <w:r w:rsidRPr="00896B3C">
              <w:rPr>
                <w:rFonts w:ascii="Verdana" w:eastAsia="Calibri" w:hAnsi="Verdana" w:cs="Arial"/>
                <w:b/>
                <w:lang w:val="es-ES" w:eastAsia="es-ES_tradnl"/>
              </w:rPr>
              <w:t>Radicación:</w:t>
            </w:r>
            <w:r w:rsidRPr="00896B3C">
              <w:rPr>
                <w:rFonts w:ascii="Verdana" w:eastAsia="Calibri" w:hAnsi="Verdana" w:cs="Arial"/>
                <w:lang w:val="es-ES" w:eastAsia="es-ES_tradnl"/>
              </w:rPr>
              <w:t xml:space="preserve">              </w:t>
            </w:r>
          </w:p>
        </w:tc>
        <w:tc>
          <w:tcPr>
            <w:tcW w:w="6100" w:type="dxa"/>
          </w:tcPr>
          <w:p w14:paraId="029E425C" w14:textId="77777777" w:rsidR="0038366B" w:rsidRPr="00896B3C" w:rsidRDefault="0038366B" w:rsidP="00684EE8">
            <w:pPr>
              <w:ind w:left="3"/>
              <w:jc w:val="both"/>
              <w:rPr>
                <w:rFonts w:ascii="Verdana" w:hAnsi="Verdana"/>
                <w:lang w:val="es-ES"/>
              </w:rPr>
            </w:pPr>
            <w:r w:rsidRPr="00896B3C">
              <w:rPr>
                <w:rFonts w:ascii="Verdana" w:eastAsia="Calibri" w:hAnsi="Verdana" w:cs="Arial"/>
                <w:lang w:val="es-ES" w:eastAsia="es-ES"/>
              </w:rPr>
              <w:t>Respuesta a consulta con radicado No. 1_2026_05_15_006647</w:t>
            </w:r>
          </w:p>
        </w:tc>
      </w:tr>
    </w:tbl>
    <w:p w14:paraId="05ECFED4" w14:textId="77777777" w:rsidR="0038366B" w:rsidRPr="00BA4DA1" w:rsidRDefault="0038366B" w:rsidP="0038366B">
      <w:pPr>
        <w:spacing w:after="0" w:line="276" w:lineRule="auto"/>
        <w:jc w:val="both"/>
        <w:rPr>
          <w:rFonts w:ascii="Verdana" w:eastAsia="Calibri" w:hAnsi="Verdana" w:cs="Arial"/>
          <w:color w:val="4472C4" w:themeColor="accent1"/>
          <w:lang w:eastAsia="es-ES"/>
        </w:rPr>
      </w:pPr>
    </w:p>
    <w:p w14:paraId="6FF8AF58" w14:textId="77777777" w:rsidR="0038366B" w:rsidRPr="00BA4DA1" w:rsidRDefault="0038366B" w:rsidP="0038366B">
      <w:pPr>
        <w:spacing w:after="0" w:line="276" w:lineRule="auto"/>
        <w:jc w:val="both"/>
        <w:rPr>
          <w:rFonts w:ascii="Verdana" w:eastAsia="Calibri" w:hAnsi="Verdana" w:cs="Arial"/>
          <w:color w:val="4472C4" w:themeColor="accent1"/>
          <w:lang w:val="es-ES" w:eastAsia="es-ES"/>
        </w:rPr>
      </w:pPr>
    </w:p>
    <w:p w14:paraId="326BB796" w14:textId="77777777" w:rsidR="0038366B" w:rsidRPr="00896B3C" w:rsidRDefault="0038366B" w:rsidP="0038366B">
      <w:pPr>
        <w:spacing w:after="0" w:line="276" w:lineRule="auto"/>
        <w:jc w:val="both"/>
        <w:rPr>
          <w:rFonts w:ascii="Verdana" w:eastAsia="Calibri" w:hAnsi="Verdana" w:cs="Arial"/>
          <w:lang w:val="es-ES" w:eastAsia="es-ES"/>
        </w:rPr>
      </w:pPr>
      <w:r w:rsidRPr="00896B3C">
        <w:rPr>
          <w:rFonts w:ascii="Verdana" w:eastAsia="Calibri" w:hAnsi="Verdana" w:cs="Arial"/>
          <w:lang w:val="es-ES" w:eastAsia="es-ES"/>
        </w:rPr>
        <w:t>Estimado Señor Salcedo,</w:t>
      </w:r>
    </w:p>
    <w:p w14:paraId="696EC8BC" w14:textId="77777777" w:rsidR="0038366B" w:rsidRPr="00896B3C" w:rsidRDefault="0038366B" w:rsidP="0038366B">
      <w:pPr>
        <w:tabs>
          <w:tab w:val="left" w:pos="3768"/>
        </w:tabs>
        <w:spacing w:after="0" w:line="276" w:lineRule="auto"/>
        <w:jc w:val="both"/>
        <w:rPr>
          <w:rFonts w:ascii="Verdana" w:eastAsia="Calibri" w:hAnsi="Verdana" w:cs="Arial"/>
          <w:lang w:val="es-ES" w:eastAsia="es-ES"/>
        </w:rPr>
      </w:pPr>
      <w:r w:rsidRPr="00896B3C">
        <w:rPr>
          <w:rFonts w:ascii="Verdana" w:eastAsia="Calibri" w:hAnsi="Verdana" w:cs="Arial"/>
          <w:lang w:val="es-ES" w:eastAsia="es-ES"/>
        </w:rPr>
        <w:tab/>
      </w:r>
    </w:p>
    <w:p w14:paraId="5A17CCEE" w14:textId="77777777" w:rsidR="0038366B" w:rsidRPr="00E902FF" w:rsidRDefault="0038366B" w:rsidP="0038366B">
      <w:pPr>
        <w:tabs>
          <w:tab w:val="left" w:pos="3768"/>
        </w:tabs>
        <w:spacing w:after="0" w:line="276" w:lineRule="auto"/>
        <w:jc w:val="both"/>
        <w:rPr>
          <w:rFonts w:ascii="Verdana" w:eastAsia="Calibri" w:hAnsi="Verdana" w:cs="Arial"/>
          <w:lang w:eastAsia="es-ES"/>
        </w:rPr>
      </w:pPr>
      <w:r w:rsidRPr="00E902FF">
        <w:rPr>
          <w:rFonts w:ascii="Verdana" w:eastAsia="Calibri" w:hAnsi="Verdana" w:cs="Arial"/>
          <w:lang w:eastAsia="es-ES"/>
        </w:rPr>
        <w:t xml:space="preserve">En ejercicio de la competencia otorgada por los artículos 3, numeral 5º, y 11, numeral 8º, del Decreto Ley 4170 de 2011, así como lo establecido por la Resolución 469 de 2025 expedida por esta Entidad, la Agencia Nacional de Contratación Pública – Colombia Compra Eficiente– responde su solicitud de consulta de fecha 15 de mayo de 2026, en la cual manifiesta lo siguiente: </w:t>
      </w:r>
    </w:p>
    <w:p w14:paraId="5E1DB13B" w14:textId="77777777" w:rsidR="0038366B" w:rsidRPr="0000532F" w:rsidRDefault="0038366B" w:rsidP="0038366B">
      <w:pPr>
        <w:tabs>
          <w:tab w:val="left" w:pos="142"/>
          <w:tab w:val="left" w:pos="284"/>
        </w:tabs>
        <w:spacing w:after="0" w:line="276" w:lineRule="auto"/>
        <w:contextualSpacing/>
        <w:jc w:val="both"/>
        <w:rPr>
          <w:rFonts w:ascii="Verdana" w:eastAsia="Century Gothic" w:hAnsi="Verdana" w:cs="Century Gothic"/>
          <w:b/>
          <w:bCs/>
          <w:color w:val="4472C4" w:themeColor="accent1"/>
        </w:rPr>
      </w:pPr>
    </w:p>
    <w:p w14:paraId="34251E6B" w14:textId="77777777" w:rsidR="0038366B" w:rsidRPr="00847561" w:rsidRDefault="0038366B" w:rsidP="0038366B">
      <w:pPr>
        <w:spacing w:before="120" w:after="120"/>
        <w:ind w:left="709" w:right="709"/>
        <w:contextualSpacing/>
        <w:jc w:val="both"/>
        <w:rPr>
          <w:rFonts w:ascii="Verdana" w:eastAsia="Century Gothic" w:hAnsi="Verdana" w:cs="Century Gothic"/>
          <w:i/>
          <w:iCs/>
          <w:sz w:val="20"/>
          <w:szCs w:val="20"/>
          <w:lang w:val="es-ES"/>
        </w:rPr>
      </w:pPr>
      <w:r w:rsidRPr="00847561">
        <w:rPr>
          <w:rFonts w:ascii="Verdana" w:eastAsia="Century Gothic" w:hAnsi="Verdana" w:cs="Century Gothic"/>
          <w:i/>
          <w:iCs/>
          <w:sz w:val="20"/>
          <w:szCs w:val="20"/>
          <w:lang w:val="es-ES"/>
        </w:rPr>
        <w:t>“[…] Solicito a Colombia Compra Eficiente, en su calidad de ente rector de la contratación pública en el país, emitir concepto jurídico sobre los lineamientos para la designación de la supervisión de los contratos estatales, resolviendo específicamente los siguientes interrogantes:</w:t>
      </w:r>
    </w:p>
    <w:p w14:paraId="0F0CBDA0" w14:textId="77777777" w:rsidR="0038366B" w:rsidRPr="00847561" w:rsidRDefault="0038366B" w:rsidP="0038366B">
      <w:pPr>
        <w:pStyle w:val="Prrafodelista"/>
        <w:numPr>
          <w:ilvl w:val="0"/>
          <w:numId w:val="17"/>
        </w:numPr>
        <w:spacing w:before="120" w:after="120"/>
        <w:ind w:left="993" w:right="709" w:hanging="284"/>
        <w:jc w:val="both"/>
        <w:rPr>
          <w:rFonts w:ascii="Verdana" w:eastAsia="Century Gothic" w:hAnsi="Verdana" w:cs="Century Gothic"/>
          <w:i/>
          <w:iCs/>
          <w:sz w:val="20"/>
          <w:szCs w:val="20"/>
        </w:rPr>
      </w:pPr>
      <w:r w:rsidRPr="00847561">
        <w:rPr>
          <w:rFonts w:ascii="Verdana" w:eastAsia="Century Gothic" w:hAnsi="Verdana" w:cs="Century Gothic"/>
          <w:i/>
          <w:iCs/>
          <w:sz w:val="20"/>
          <w:szCs w:val="20"/>
        </w:rPr>
        <w:t>¿Es jurídicamente viable delegar o designar la supervisión de un contrato estatal en varias personas de manera conjunta o colegiada?</w:t>
      </w:r>
    </w:p>
    <w:p w14:paraId="76D352ED" w14:textId="77777777" w:rsidR="0038366B" w:rsidRPr="00847561" w:rsidRDefault="0038366B" w:rsidP="0038366B">
      <w:pPr>
        <w:pStyle w:val="Prrafodelista"/>
        <w:spacing w:before="120" w:after="120"/>
        <w:ind w:left="993" w:right="709"/>
        <w:jc w:val="both"/>
        <w:rPr>
          <w:rFonts w:ascii="Verdana" w:eastAsia="Century Gothic" w:hAnsi="Verdana" w:cs="Century Gothic"/>
          <w:i/>
          <w:iCs/>
          <w:sz w:val="20"/>
          <w:szCs w:val="20"/>
        </w:rPr>
      </w:pPr>
    </w:p>
    <w:p w14:paraId="242149F5" w14:textId="77777777" w:rsidR="0038366B" w:rsidRPr="00847561" w:rsidRDefault="0038366B" w:rsidP="0038366B">
      <w:pPr>
        <w:pStyle w:val="Prrafodelista"/>
        <w:numPr>
          <w:ilvl w:val="0"/>
          <w:numId w:val="17"/>
        </w:numPr>
        <w:spacing w:before="120" w:after="120"/>
        <w:ind w:left="993" w:right="709" w:hanging="284"/>
        <w:jc w:val="both"/>
        <w:rPr>
          <w:rFonts w:ascii="Verdana" w:eastAsia="Century Gothic" w:hAnsi="Verdana" w:cs="Century Gothic"/>
          <w:i/>
          <w:iCs/>
          <w:sz w:val="20"/>
          <w:szCs w:val="20"/>
        </w:rPr>
      </w:pPr>
      <w:r w:rsidRPr="00847561">
        <w:rPr>
          <w:rFonts w:ascii="Verdana" w:eastAsia="Century Gothic" w:hAnsi="Verdana" w:cs="Century Gothic"/>
          <w:i/>
          <w:iCs/>
          <w:sz w:val="20"/>
          <w:szCs w:val="20"/>
        </w:rPr>
        <w:t xml:space="preserve"> ¿Es posible dividir la supervisión de un contrato por áreas o componentes (por ejemplo, asignar a un funcionario la supervisión técnica, a otro la financiera y a otro la jurídica) recayendo la responsabilidad en distintas personas para un mismo contrato?</w:t>
      </w:r>
    </w:p>
    <w:p w14:paraId="2C1EF939" w14:textId="77777777" w:rsidR="0038366B" w:rsidRPr="00847561" w:rsidRDefault="0038366B" w:rsidP="0038366B">
      <w:pPr>
        <w:pStyle w:val="Prrafodelista"/>
        <w:spacing w:before="120" w:after="120"/>
        <w:ind w:left="993" w:right="709"/>
        <w:jc w:val="both"/>
        <w:rPr>
          <w:rFonts w:ascii="Verdana" w:eastAsia="Century Gothic" w:hAnsi="Verdana" w:cs="Century Gothic"/>
          <w:i/>
          <w:iCs/>
          <w:sz w:val="20"/>
          <w:szCs w:val="20"/>
        </w:rPr>
      </w:pPr>
    </w:p>
    <w:p w14:paraId="3B4BC28B" w14:textId="77777777" w:rsidR="0038366B" w:rsidRPr="00847561" w:rsidRDefault="0038366B" w:rsidP="0038366B">
      <w:pPr>
        <w:pStyle w:val="Prrafodelista"/>
        <w:numPr>
          <w:ilvl w:val="0"/>
          <w:numId w:val="17"/>
        </w:numPr>
        <w:spacing w:before="120" w:after="120"/>
        <w:ind w:left="993" w:right="709" w:hanging="284"/>
        <w:jc w:val="both"/>
        <w:rPr>
          <w:rFonts w:ascii="Verdana" w:eastAsia="Century Gothic" w:hAnsi="Verdana" w:cs="Century Gothic"/>
          <w:i/>
          <w:iCs/>
          <w:sz w:val="20"/>
          <w:szCs w:val="20"/>
        </w:rPr>
      </w:pPr>
      <w:r w:rsidRPr="00847561">
        <w:rPr>
          <w:rFonts w:ascii="Verdana" w:eastAsia="Century Gothic" w:hAnsi="Verdana" w:cs="Century Gothic"/>
          <w:i/>
          <w:iCs/>
          <w:sz w:val="20"/>
          <w:szCs w:val="20"/>
        </w:rPr>
        <w:lastRenderedPageBreak/>
        <w:t>¿O, por el contrario, la normativa vigente exige que la figura del supervisor recaiga de manera exclusiva y centralizada en un solo funcionario público (independientemente de que cuente con un comité de apoyo)? […]”</w:t>
      </w:r>
    </w:p>
    <w:p w14:paraId="6473293B" w14:textId="77777777" w:rsidR="0038366B" w:rsidRPr="00E635A0" w:rsidRDefault="0038366B" w:rsidP="0038366B">
      <w:pPr>
        <w:spacing w:before="120" w:after="120"/>
        <w:ind w:left="709" w:right="709"/>
        <w:contextualSpacing/>
        <w:jc w:val="both"/>
        <w:rPr>
          <w:rFonts w:ascii="Verdana" w:hAnsi="Verdana"/>
          <w:i/>
          <w:iCs/>
          <w:color w:val="4472C4" w:themeColor="accent1"/>
          <w:sz w:val="20"/>
          <w:szCs w:val="20"/>
          <w:lang w:val="es-ES"/>
        </w:rPr>
      </w:pPr>
    </w:p>
    <w:p w14:paraId="3101BB5D" w14:textId="77777777" w:rsidR="0038366B" w:rsidRPr="00E902FF" w:rsidRDefault="0038366B" w:rsidP="0038366B">
      <w:pPr>
        <w:spacing w:after="120" w:line="276" w:lineRule="auto"/>
        <w:ind w:firstLine="708"/>
        <w:jc w:val="both"/>
        <w:rPr>
          <w:rFonts w:ascii="Verdana" w:eastAsia="Calibri" w:hAnsi="Verdana" w:cs="Arial"/>
          <w:lang w:val="es-ES" w:eastAsia="es-ES"/>
        </w:rPr>
      </w:pPr>
      <w:r w:rsidRPr="00E902FF">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E902FF">
        <w:rPr>
          <w:rFonts w:ascii="Verdana" w:hAnsi="Verdana"/>
          <w:lang w:val="es-ES"/>
        </w:rPr>
        <w:tab/>
      </w:r>
    </w:p>
    <w:p w14:paraId="2A7DAD16" w14:textId="77777777" w:rsidR="0038366B" w:rsidRPr="00E902FF" w:rsidRDefault="0038366B" w:rsidP="0038366B">
      <w:pPr>
        <w:spacing w:after="0" w:line="276" w:lineRule="auto"/>
        <w:ind w:firstLine="709"/>
        <w:jc w:val="both"/>
        <w:rPr>
          <w:rFonts w:ascii="Verdana" w:eastAsia="Calibri" w:hAnsi="Verdana" w:cs="Arial"/>
          <w:lang w:val="es-ES" w:eastAsia="es-ES"/>
        </w:rPr>
      </w:pPr>
      <w:r w:rsidRPr="00E902FF">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w:t>
      </w:r>
      <w:r w:rsidRPr="00E902FF">
        <w:rPr>
          <w:rFonts w:ascii="Verdana" w:eastAsia="Calibri" w:hAnsi="Verdana" w:cs="Arial"/>
          <w:lang w:eastAsia="es-ES"/>
        </w:rPr>
        <w:t xml:space="preserve">pero señalando algunas </w:t>
      </w:r>
      <w:r w:rsidRPr="00E902FF">
        <w:rPr>
          <w:rFonts w:ascii="Verdana" w:eastAsia="Calibri" w:hAnsi="Verdana" w:cs="Arial"/>
          <w:lang w:val="es-ES" w:eastAsia="es-ES"/>
        </w:rPr>
        <w:t xml:space="preserve">consideraciones sobre las normas generales relacionadas con el problema jurídico de su consulta. </w:t>
      </w:r>
    </w:p>
    <w:p w14:paraId="3265F7B7" w14:textId="77777777" w:rsidR="0038366B" w:rsidRPr="00BA4DA1" w:rsidRDefault="0038366B" w:rsidP="0038366B">
      <w:pPr>
        <w:spacing w:after="0" w:line="276" w:lineRule="auto"/>
        <w:ind w:firstLine="709"/>
        <w:jc w:val="both"/>
        <w:rPr>
          <w:rFonts w:ascii="Verdana" w:eastAsia="Calibri" w:hAnsi="Verdana" w:cs="Arial"/>
          <w:color w:val="4472C4" w:themeColor="accent1"/>
          <w:lang w:val="es-ES" w:eastAsia="es-ES"/>
        </w:rPr>
      </w:pPr>
    </w:p>
    <w:p w14:paraId="0CDCEF57" w14:textId="77777777" w:rsidR="0038366B" w:rsidRPr="00E635A0" w:rsidRDefault="0038366B" w:rsidP="0038366B">
      <w:pPr>
        <w:tabs>
          <w:tab w:val="left" w:pos="142"/>
          <w:tab w:val="left" w:pos="284"/>
        </w:tabs>
        <w:spacing w:after="0" w:line="276" w:lineRule="auto"/>
        <w:contextualSpacing/>
        <w:jc w:val="both"/>
        <w:rPr>
          <w:rFonts w:ascii="Verdana" w:eastAsia="Century Gothic" w:hAnsi="Verdana" w:cs="Century Gothic"/>
          <w:b/>
          <w:lang w:val="es-ES"/>
        </w:rPr>
      </w:pPr>
      <w:r w:rsidRPr="00E635A0">
        <w:rPr>
          <w:rFonts w:ascii="Verdana" w:eastAsia="Century Gothic" w:hAnsi="Verdana" w:cs="Century Gothic"/>
          <w:b/>
          <w:lang w:val="es-ES"/>
        </w:rPr>
        <w:t>1. Problema planteado:</w:t>
      </w:r>
    </w:p>
    <w:p w14:paraId="12D69781" w14:textId="77777777" w:rsidR="0038366B" w:rsidRPr="00E635A0" w:rsidRDefault="0038366B" w:rsidP="0038366B">
      <w:pPr>
        <w:tabs>
          <w:tab w:val="left" w:pos="426"/>
        </w:tabs>
        <w:spacing w:after="0" w:line="276" w:lineRule="auto"/>
        <w:jc w:val="both"/>
        <w:rPr>
          <w:rFonts w:ascii="Verdana" w:eastAsia="Century Gothic" w:hAnsi="Verdana" w:cs="Century Gothic"/>
          <w:lang w:val="es-ES"/>
        </w:rPr>
      </w:pPr>
    </w:p>
    <w:p w14:paraId="4D7EDA7F" w14:textId="77777777" w:rsidR="0038366B" w:rsidRPr="00BA4DA1" w:rsidRDefault="0038366B" w:rsidP="0038366B">
      <w:pPr>
        <w:spacing w:after="0" w:line="276" w:lineRule="auto"/>
        <w:jc w:val="both"/>
        <w:rPr>
          <w:rFonts w:ascii="Verdana" w:eastAsia="Century Gothic" w:hAnsi="Verdana" w:cs="Century Gothic"/>
          <w:color w:val="4472C4" w:themeColor="accent1"/>
        </w:rPr>
      </w:pPr>
      <w:r w:rsidRPr="00E635A0">
        <w:rPr>
          <w:rFonts w:ascii="Verdana" w:eastAsia="Century Gothic" w:hAnsi="Verdana" w:cs="Century Gothic"/>
          <w:lang w:val="es-ES"/>
        </w:rPr>
        <w:t xml:space="preserve">De acuerdo con el contenido de su solicitud, esta Agencia resolverá </w:t>
      </w:r>
      <w:r>
        <w:rPr>
          <w:rFonts w:ascii="Verdana" w:eastAsia="Century Gothic" w:hAnsi="Verdana" w:cs="Century Gothic"/>
          <w:lang w:val="es-ES"/>
        </w:rPr>
        <w:t>el</w:t>
      </w:r>
      <w:r w:rsidRPr="00E635A0">
        <w:rPr>
          <w:rFonts w:ascii="Verdana" w:eastAsia="Century Gothic" w:hAnsi="Verdana" w:cs="Century Gothic"/>
          <w:lang w:val="es-ES"/>
        </w:rPr>
        <w:t xml:space="preserve"> siguiente problema jurídico:</w:t>
      </w:r>
      <w:r>
        <w:rPr>
          <w:rFonts w:ascii="Verdana" w:eastAsia="Century Gothic" w:hAnsi="Verdana" w:cs="Century Gothic"/>
          <w:lang w:val="es-ES"/>
        </w:rPr>
        <w:t xml:space="preserve"> </w:t>
      </w:r>
      <w:r w:rsidRPr="007261B0">
        <w:rPr>
          <w:rFonts w:ascii="Verdana" w:eastAsia="Century Gothic" w:hAnsi="Verdana" w:cs="Century Gothic"/>
        </w:rPr>
        <w:t>¿Es jurídicamente procedente que la supervisión de un contrato estatal sea ejercida por varios servidores públicos?</w:t>
      </w:r>
    </w:p>
    <w:p w14:paraId="1691218A" w14:textId="77777777" w:rsidR="0038366B" w:rsidRPr="00BA4DA1" w:rsidRDefault="0038366B" w:rsidP="0038366B">
      <w:pPr>
        <w:spacing w:after="0" w:line="276" w:lineRule="auto"/>
        <w:jc w:val="both"/>
        <w:rPr>
          <w:rFonts w:ascii="Verdana" w:eastAsia="Century Gothic" w:hAnsi="Verdana" w:cs="Century Gothic"/>
          <w:color w:val="4472C4" w:themeColor="accent1"/>
        </w:rPr>
      </w:pPr>
    </w:p>
    <w:p w14:paraId="58C07815" w14:textId="77777777" w:rsidR="0038366B" w:rsidRPr="008F6E0D" w:rsidRDefault="0038366B" w:rsidP="0038366B">
      <w:pPr>
        <w:tabs>
          <w:tab w:val="left" w:pos="142"/>
          <w:tab w:val="left" w:pos="284"/>
        </w:tabs>
        <w:spacing w:after="0" w:line="276" w:lineRule="auto"/>
        <w:jc w:val="both"/>
        <w:rPr>
          <w:rFonts w:ascii="Verdana" w:eastAsia="Century Gothic" w:hAnsi="Verdana" w:cs="Century Gothic"/>
          <w:b/>
          <w:lang w:val="es-ES"/>
        </w:rPr>
      </w:pPr>
      <w:r w:rsidRPr="008F6E0D">
        <w:rPr>
          <w:rFonts w:ascii="Verdana" w:eastAsia="Century Gothic" w:hAnsi="Verdana" w:cs="Century Gothic"/>
          <w:b/>
          <w:lang w:val="es-ES"/>
        </w:rPr>
        <w:t>2. Respuesta:</w:t>
      </w:r>
    </w:p>
    <w:p w14:paraId="6ACBAC5F" w14:textId="77777777" w:rsidR="0038366B" w:rsidRPr="00BA4DA1" w:rsidRDefault="0038366B" w:rsidP="0038366B">
      <w:pPr>
        <w:tabs>
          <w:tab w:val="left" w:pos="142"/>
          <w:tab w:val="left" w:pos="284"/>
        </w:tabs>
        <w:spacing w:after="0" w:line="276" w:lineRule="auto"/>
        <w:jc w:val="both"/>
        <w:rPr>
          <w:rFonts w:ascii="Verdana" w:eastAsia="Century Gothic" w:hAnsi="Verdana" w:cs="Century Gothic"/>
          <w:b/>
          <w:bCs/>
          <w:color w:val="4472C4" w:themeColor="accen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38366B" w:rsidRPr="00BA4DA1" w14:paraId="7ADD5AB3" w14:textId="77777777" w:rsidTr="00684EE8">
        <w:tc>
          <w:tcPr>
            <w:tcW w:w="8828" w:type="dxa"/>
          </w:tcPr>
          <w:p w14:paraId="22A0A430" w14:textId="77777777" w:rsidR="0038366B" w:rsidRDefault="0038366B" w:rsidP="00684EE8">
            <w:pPr>
              <w:spacing w:after="120" w:line="276" w:lineRule="auto"/>
              <w:jc w:val="both"/>
              <w:rPr>
                <w:rFonts w:ascii="Verdana" w:hAnsi="Verdana" w:cs="Arial"/>
              </w:rPr>
            </w:pPr>
            <w:r w:rsidRPr="00D51339">
              <w:rPr>
                <w:rFonts w:ascii="Verdana" w:hAnsi="Verdana" w:cs="Arial"/>
              </w:rPr>
              <w:t>Para resolver el problema jurídico,</w:t>
            </w:r>
            <w:r>
              <w:rPr>
                <w:rFonts w:ascii="Verdana" w:hAnsi="Verdana" w:cs="Arial"/>
              </w:rPr>
              <w:t xml:space="preserve"> es importante precisar que, d</w:t>
            </w:r>
            <w:r w:rsidRPr="00967AA7">
              <w:rPr>
                <w:rFonts w:ascii="Verdana" w:hAnsi="Verdana" w:cs="Arial"/>
              </w:rPr>
              <w:t xml:space="preserve">e conformidad con la Ley 80 de 1993, </w:t>
            </w:r>
            <w:r>
              <w:rPr>
                <w:rFonts w:ascii="Verdana" w:hAnsi="Verdana" w:cs="Arial"/>
              </w:rPr>
              <w:t>la</w:t>
            </w:r>
            <w:r w:rsidRPr="00967AA7">
              <w:rPr>
                <w:rFonts w:ascii="Verdana" w:hAnsi="Verdana" w:cs="Arial"/>
              </w:rPr>
              <w:t xml:space="preserve"> Ley 1150 de 2007 y 1474 de 2011, corresponde a las entidades estatales ejercer la dirección, control y vigilancia de la ejecución de los contratos estatales, con el propósito de garantizar el cumplimiento oportuno e integral de las obligaciones pactadas y la satisfacción de los fines </w:t>
            </w:r>
            <w:r w:rsidRPr="00967AA7">
              <w:rPr>
                <w:rFonts w:ascii="Verdana" w:hAnsi="Verdana" w:cs="Arial"/>
              </w:rPr>
              <w:lastRenderedPageBreak/>
              <w:t>que motivaron su celebración. En ese sentido, la supervisión constituye uno de los mecanismos a través de los cuales las entidades materializan dicho deber de vigilancia permanente sobre la ejecución contractual.</w:t>
            </w:r>
          </w:p>
          <w:p w14:paraId="07C779AB" w14:textId="77777777" w:rsidR="0038366B" w:rsidRDefault="0038366B" w:rsidP="00684EE8">
            <w:pPr>
              <w:spacing w:after="120" w:line="276" w:lineRule="auto"/>
              <w:ind w:firstLine="709"/>
              <w:jc w:val="both"/>
              <w:rPr>
                <w:rFonts w:ascii="Verdana" w:eastAsia="Calibri" w:hAnsi="Verdana" w:cs="Arial"/>
              </w:rPr>
            </w:pPr>
            <w:r w:rsidRPr="00B22C92">
              <w:rPr>
                <w:rFonts w:ascii="Verdana" w:eastAsia="Calibri" w:hAnsi="Verdana" w:cs="Arial"/>
              </w:rPr>
              <w:t>Por su parte, el artículo 83 de la Ley 1474 de 2011 define la supervisión como el seguimiento técnico, administrativo, financiero, contable y jurídico que ejerce la entidad estatal sobre el cumplimiento del objeto contractual. Asimismo, la jurisprudencia y la doctrina administrativa han precisado que dicha función corresponde a la entidad estatal y debe ser ejercida por servidores públicos designados para tal fin, sin perjuicio de que puedan recibir apoyo de contratistas mediante contratos de prestación de servicios para el desarrollo de actividades de apoyo a la supervisión</w:t>
            </w:r>
            <w:r>
              <w:rPr>
                <w:rFonts w:ascii="Verdana" w:eastAsia="Calibri" w:hAnsi="Verdana" w:cs="Arial"/>
              </w:rPr>
              <w:t xml:space="preserve"> como se desarrolla en las consideraciones de este concepto.</w:t>
            </w:r>
          </w:p>
          <w:p w14:paraId="0A933964" w14:textId="77777777" w:rsidR="0038366B" w:rsidRDefault="0038366B" w:rsidP="00684EE8">
            <w:pPr>
              <w:spacing w:after="120" w:line="276" w:lineRule="auto"/>
              <w:ind w:firstLine="709"/>
              <w:jc w:val="both"/>
              <w:rPr>
                <w:rFonts w:ascii="Verdana" w:hAnsi="Verdana" w:cs="Arial"/>
              </w:rPr>
            </w:pPr>
            <w:r w:rsidRPr="007C736E">
              <w:rPr>
                <w:rFonts w:ascii="Verdana" w:hAnsi="Verdana" w:cs="Arial"/>
              </w:rPr>
              <w:t>Ahora bien, si bien el ordenamiento jurídico establece que la supervisión debe ser ejercida por la entidad estatal a través de sus servidores públicos, no contiene una disposición que exija de manera expresa que dicha función recaiga exclusivamente en un único funcionario. Por el contrario, al atribuir el deber de vigilancia a la entidad estatal y no a un servidor público en particular, la normativa permite que las entidades, en ejercicio de su autonomía organizacional y atendiendo a la complejidad, naturaleza y alcance de cada contrato, distribuyan las actividades de seguimiento y control entre varios servidores públicos.</w:t>
            </w:r>
          </w:p>
          <w:p w14:paraId="4D0D6182" w14:textId="77777777" w:rsidR="0038366B" w:rsidRPr="00B22C92" w:rsidRDefault="0038366B" w:rsidP="00684EE8">
            <w:pPr>
              <w:spacing w:after="120" w:line="276" w:lineRule="auto"/>
              <w:ind w:firstLine="709"/>
              <w:jc w:val="both"/>
              <w:rPr>
                <w:rFonts w:ascii="Verdana" w:hAnsi="Verdana" w:cs="Arial"/>
              </w:rPr>
            </w:pPr>
            <w:r w:rsidRPr="00FC1198">
              <w:rPr>
                <w:rFonts w:ascii="Verdana" w:hAnsi="Verdana" w:cs="Arial"/>
              </w:rPr>
              <w:t>En consecuencia, la supervisión de un mismo contrato estatal sea ejercida por varios servidores públicos, siempre que la entidad defina de manera clara y expresa las funciones, competencias y responsabilidades asignadas a cada uno de ellos. Lo anterior permite que el seguimiento contractual pueda distribuirse por componentes técnicos, administrativos, financieros, contables o jurídicos, según las necesidades del contrato, sin que ello implique el desconocimiento de la función de supervisión prevista en la ley.</w:t>
            </w:r>
          </w:p>
          <w:p w14:paraId="15628A33" w14:textId="77777777" w:rsidR="0038366B" w:rsidRPr="00D51339" w:rsidRDefault="0038366B" w:rsidP="00684EE8">
            <w:pPr>
              <w:spacing w:after="120" w:line="276" w:lineRule="auto"/>
              <w:ind w:firstLine="709"/>
              <w:jc w:val="both"/>
              <w:rPr>
                <w:rFonts w:ascii="Verdana" w:hAnsi="Verdana" w:cs="Arial"/>
                <w:lang w:val="es-ES_tradnl" w:eastAsia="es-ES"/>
              </w:rPr>
            </w:pPr>
            <w:r w:rsidRPr="00CF2920">
              <w:rPr>
                <w:rFonts w:ascii="Verdana" w:eastAsia="Calibri" w:hAnsi="Verdana" w:cs="Arial"/>
              </w:rPr>
              <w:t xml:space="preserve">Finalmente, debe advertirse que el análisis requerido para resolver problemas específicos en torno a la designación de los supervisores de los contratos que suscriban las Entidades Estatales debe ser realizado por quienes tengan interés en ello. De esta manera, las afirmaciones aquí realizadas no pueden ser interpretadas como juicios de valor sobre circunstancias concretas relacionadas con los hechos que motivan la consulta. Por lo anterior, previo </w:t>
            </w:r>
            <w:r w:rsidRPr="00CF2920">
              <w:rPr>
                <w:rFonts w:ascii="Verdana" w:eastAsia="Calibri" w:hAnsi="Verdana" w:cs="Arial"/>
              </w:rPr>
              <w:lastRenderedPageBreak/>
              <w:t xml:space="preserve">concepto de sus asesores, la solución de situaciones particulares corresponde a los interesados de adoptar la decisión y, en caso de conflicto, a las autoridades judiciales, fiscales y disciplinarias.  </w:t>
            </w:r>
          </w:p>
          <w:p w14:paraId="005C956E" w14:textId="77777777" w:rsidR="0038366B" w:rsidRPr="00B275B9" w:rsidRDefault="0038366B" w:rsidP="00684EE8">
            <w:pPr>
              <w:spacing w:after="120" w:line="276" w:lineRule="auto"/>
              <w:ind w:firstLine="709"/>
              <w:jc w:val="both"/>
              <w:rPr>
                <w:rFonts w:ascii="Verdana" w:eastAsia="Calibri" w:hAnsi="Verdana" w:cs="Arial"/>
              </w:rPr>
            </w:pPr>
            <w:r w:rsidRPr="00CF2920">
              <w:rPr>
                <w:rFonts w:ascii="Verdana" w:eastAsia="Calibri" w:hAnsi="Verdana" w:cs="Arial"/>
              </w:rPr>
              <w:t xml:space="preserve">Dentro de este marco, la entidad contratante definirá en cada caso concreto lo relacionado con el tema objeto de consulta. Al tratarse de un análisis que debe realizarse a un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  </w:t>
            </w:r>
          </w:p>
        </w:tc>
      </w:tr>
    </w:tbl>
    <w:p w14:paraId="18ED78A5" w14:textId="77777777" w:rsidR="0038366B" w:rsidRPr="00BA4DA1" w:rsidRDefault="0038366B" w:rsidP="0038366B">
      <w:pPr>
        <w:tabs>
          <w:tab w:val="left" w:pos="142"/>
          <w:tab w:val="left" w:pos="284"/>
        </w:tabs>
        <w:spacing w:after="0" w:line="276" w:lineRule="auto"/>
        <w:jc w:val="both"/>
        <w:rPr>
          <w:rFonts w:ascii="Verdana" w:eastAsia="Century Gothic" w:hAnsi="Verdana" w:cs="Century Gothic"/>
          <w:b/>
          <w:bCs/>
          <w:color w:val="4472C4" w:themeColor="accent1"/>
          <w:lang w:val="es-ES"/>
        </w:rPr>
      </w:pPr>
    </w:p>
    <w:p w14:paraId="693A1E4B" w14:textId="77777777" w:rsidR="0038366B" w:rsidRPr="000E3896" w:rsidRDefault="0038366B" w:rsidP="0038366B">
      <w:pPr>
        <w:tabs>
          <w:tab w:val="left" w:pos="142"/>
          <w:tab w:val="left" w:pos="284"/>
        </w:tabs>
        <w:spacing w:after="0" w:line="276" w:lineRule="auto"/>
        <w:jc w:val="both"/>
        <w:rPr>
          <w:rFonts w:ascii="Verdana" w:eastAsia="Century Gothic" w:hAnsi="Verdana" w:cs="Century Gothic"/>
          <w:b/>
          <w:lang w:val="es-ES"/>
        </w:rPr>
      </w:pPr>
      <w:r w:rsidRPr="000E3896">
        <w:rPr>
          <w:rFonts w:ascii="Verdana" w:eastAsia="Century Gothic" w:hAnsi="Verdana" w:cs="Century Gothic"/>
          <w:b/>
          <w:lang w:val="es-ES"/>
        </w:rPr>
        <w:t>3. Razones de la respuesta:</w:t>
      </w:r>
    </w:p>
    <w:p w14:paraId="75A9009B" w14:textId="77777777" w:rsidR="0038366B" w:rsidRPr="000E3896" w:rsidRDefault="0038366B" w:rsidP="0038366B">
      <w:pPr>
        <w:tabs>
          <w:tab w:val="left" w:pos="142"/>
          <w:tab w:val="left" w:pos="284"/>
        </w:tabs>
        <w:spacing w:after="0" w:line="276" w:lineRule="auto"/>
        <w:jc w:val="both"/>
        <w:rPr>
          <w:rFonts w:ascii="Verdana" w:eastAsia="Century Gothic" w:hAnsi="Verdana" w:cs="Century Gothic"/>
          <w:b/>
          <w:lang w:val="es-ES"/>
        </w:rPr>
      </w:pPr>
    </w:p>
    <w:p w14:paraId="6F892095" w14:textId="77777777" w:rsidR="0038366B" w:rsidRPr="000E3896" w:rsidRDefault="0038366B" w:rsidP="0038366B">
      <w:pPr>
        <w:tabs>
          <w:tab w:val="left" w:pos="426"/>
        </w:tabs>
        <w:spacing w:after="120" w:line="276" w:lineRule="auto"/>
        <w:jc w:val="both"/>
        <w:rPr>
          <w:rFonts w:ascii="Verdana" w:eastAsia="Verdana" w:hAnsi="Verdana" w:cs="Verdana"/>
          <w:lang w:val="es-ES"/>
        </w:rPr>
      </w:pPr>
      <w:bookmarkStart w:id="1" w:name="_Hlk102983874"/>
      <w:bookmarkStart w:id="2" w:name="_Hlk102388095"/>
      <w:r w:rsidRPr="000E3896">
        <w:rPr>
          <w:rFonts w:ascii="Verdana" w:eastAsia="Calibri" w:hAnsi="Verdana" w:cs="Arial"/>
          <w:lang w:val="es-ES"/>
        </w:rPr>
        <w:t>i)</w:t>
      </w:r>
      <w:r w:rsidRPr="000E3896">
        <w:rPr>
          <w:rFonts w:ascii="Verdana" w:eastAsia="Verdana" w:hAnsi="Verdana" w:cs="Verdana"/>
          <w:lang w:val="es-ES"/>
        </w:rPr>
        <w:t xml:space="preserve"> </w:t>
      </w:r>
      <w:r w:rsidRPr="000E3896">
        <w:rPr>
          <w:rFonts w:ascii="Verdana" w:eastAsia="Times New Roman" w:hAnsi="Verdana" w:cs="Arial"/>
          <w:shd w:val="clear" w:color="auto" w:fill="FFFFFF"/>
          <w:lang w:val="es-ES"/>
        </w:rPr>
        <w:t>La Ley 80 de 1993 establece en sus artículos 4, 5, 12, 14 y 26, entre otros aspectos, la obligación de las Entidades Estatales de velar por el correcto y oportuno cumplimiento de las prestaciones del contrato, las especificaciones de los bienes, obras y servicios de este, las condiciones de calidad ofrecidas, etc. Esta obligación se predica, en principio, del jefe o representante legal de la entidad, por tener la responsabilidad de la dirección y manejo de la actividad contractual, pero también de los servidores públicos que intervienen en ella. En ese sentido, las Entidades Estatales deben ejercer el control de la ejecución del contrato y, de ser el caso, tomar medidas para exigir su adecuado cumplimiento</w:t>
      </w:r>
      <w:r>
        <w:rPr>
          <w:rFonts w:ascii="Verdana" w:eastAsia="Times New Roman" w:hAnsi="Verdana" w:cs="Arial"/>
          <w:shd w:val="clear" w:color="auto" w:fill="FFFFFF"/>
          <w:lang w:val="es-ES"/>
        </w:rPr>
        <w:t>.</w:t>
      </w:r>
    </w:p>
    <w:p w14:paraId="7AB3F215" w14:textId="77777777" w:rsidR="0038366B" w:rsidRPr="00F76F0B" w:rsidRDefault="0038366B" w:rsidP="0038366B">
      <w:pPr>
        <w:spacing w:after="120" w:line="276" w:lineRule="auto"/>
        <w:ind w:firstLine="709"/>
        <w:jc w:val="both"/>
        <w:rPr>
          <w:rFonts w:ascii="Verdana" w:eastAsia="Times New Roman" w:hAnsi="Verdana" w:cs="Arial"/>
          <w:lang w:val="es-ES" w:eastAsia="es-MX"/>
        </w:rPr>
      </w:pPr>
      <w:r w:rsidRPr="00FC6AAD">
        <w:rPr>
          <w:rFonts w:ascii="Verdana" w:eastAsia="Times New Roman" w:hAnsi="Verdana" w:cs="Arial"/>
          <w:lang w:val="es-ES" w:eastAsia="es-MX"/>
        </w:rPr>
        <w:t>ii) Las Leyes 1150 de 2007 y 1474 de 2011, complementan el régimen jurídico de la obligación de vigilar la correcta ejecución de los contratos estatales. En dichas normas se impone el debido proceso como principio rector en materia sancionatoria contractual, entre otros, para la imposición de multas y la decisión de hacer efectiva la cláusula penal, principio que se debe respetar en el ejercicio del control y vigilancia de la ejecución contractual</w:t>
      </w:r>
      <w:r w:rsidRPr="00FC6AAD">
        <w:rPr>
          <w:rFonts w:ascii="Verdana" w:eastAsia="Times New Roman" w:hAnsi="Verdana" w:cs="Arial"/>
          <w:vertAlign w:val="superscript"/>
          <w:lang w:val="es-ES" w:eastAsia="es-MX"/>
        </w:rPr>
        <w:footnoteReference w:id="1"/>
      </w:r>
      <w:r w:rsidRPr="00FC6AAD">
        <w:rPr>
          <w:rFonts w:ascii="Verdana" w:eastAsia="Times New Roman" w:hAnsi="Verdana" w:cs="Arial"/>
          <w:lang w:val="es-ES" w:eastAsia="es-MX"/>
        </w:rPr>
        <w:t xml:space="preserve">. También se establecen los límites de la responsabilidad del representante legal ante la delegación de sus </w:t>
      </w:r>
      <w:r w:rsidRPr="00FC6AAD">
        <w:rPr>
          <w:rFonts w:ascii="Verdana" w:eastAsia="Times New Roman" w:hAnsi="Verdana" w:cs="Arial"/>
          <w:lang w:val="es-ES" w:eastAsia="es-MX"/>
        </w:rPr>
        <w:lastRenderedPageBreak/>
        <w:t>funciones en materia contractual</w:t>
      </w:r>
      <w:r w:rsidRPr="00FC6AAD">
        <w:rPr>
          <w:rFonts w:ascii="Verdana" w:eastAsia="Times New Roman" w:hAnsi="Verdana" w:cs="Arial"/>
          <w:vertAlign w:val="superscript"/>
          <w:lang w:val="es-ES" w:eastAsia="es-MX"/>
        </w:rPr>
        <w:footnoteReference w:id="2"/>
      </w:r>
      <w:r w:rsidRPr="00FC6AAD">
        <w:rPr>
          <w:rFonts w:ascii="Verdana" w:eastAsia="Times New Roman" w:hAnsi="Verdana" w:cs="Arial"/>
          <w:lang w:val="es-ES" w:eastAsia="es-MX"/>
        </w:rPr>
        <w:t xml:space="preserve"> y se regula la supervisión y la interventoría de los </w:t>
      </w:r>
      <w:r w:rsidRPr="00F76F0B">
        <w:rPr>
          <w:rFonts w:ascii="Verdana" w:eastAsia="Times New Roman" w:hAnsi="Verdana" w:cs="Arial"/>
          <w:lang w:val="es-ES" w:eastAsia="es-MX"/>
        </w:rPr>
        <w:t>contratos estatales</w:t>
      </w:r>
      <w:r w:rsidRPr="00F76F0B">
        <w:rPr>
          <w:rFonts w:ascii="Verdana" w:eastAsia="Times New Roman" w:hAnsi="Verdana" w:cs="Arial"/>
          <w:vertAlign w:val="superscript"/>
          <w:lang w:val="es-ES" w:eastAsia="es-MX"/>
        </w:rPr>
        <w:footnoteReference w:id="3"/>
      </w:r>
      <w:r w:rsidRPr="00F76F0B">
        <w:rPr>
          <w:rFonts w:ascii="Verdana" w:eastAsia="Times New Roman" w:hAnsi="Verdana" w:cs="Arial"/>
          <w:lang w:val="es-ES" w:eastAsia="es-MX"/>
        </w:rPr>
        <w:t>.</w:t>
      </w:r>
    </w:p>
    <w:p w14:paraId="645AF681" w14:textId="77777777" w:rsidR="0038366B" w:rsidRPr="00F76F0B" w:rsidRDefault="0038366B" w:rsidP="0038366B">
      <w:pPr>
        <w:spacing w:after="0" w:line="276" w:lineRule="auto"/>
        <w:ind w:firstLine="709"/>
        <w:jc w:val="both"/>
        <w:rPr>
          <w:rFonts w:ascii="Verdana" w:eastAsia="Times New Roman" w:hAnsi="Verdana" w:cs="Arial"/>
          <w:lang w:val="es-ES" w:eastAsia="es-MX"/>
        </w:rPr>
      </w:pPr>
      <w:r w:rsidRPr="00F76F0B">
        <w:rPr>
          <w:rFonts w:ascii="Verdana" w:eastAsia="Times New Roman" w:hAnsi="Verdana" w:cs="Arial"/>
          <w:lang w:val="es-ES" w:eastAsia="es-MX"/>
        </w:rPr>
        <w:t xml:space="preserve">iii) En consecuencia, se tiene que, la jurisprudencia contencioso-administrativa, por su parte, ha considerado que la obligación de vigilar la correcta ejecución del objeto contractual es una función de la entidad contratante, en los siguientes términos: </w:t>
      </w:r>
    </w:p>
    <w:p w14:paraId="10AF9BD7" w14:textId="77777777" w:rsidR="0038366B" w:rsidRPr="00F76F0B" w:rsidRDefault="0038366B" w:rsidP="0038366B">
      <w:pPr>
        <w:spacing w:after="0" w:line="256" w:lineRule="auto"/>
        <w:ind w:left="709"/>
        <w:contextualSpacing/>
        <w:jc w:val="both"/>
        <w:rPr>
          <w:rFonts w:ascii="Verdana" w:eastAsia="Times New Roman" w:hAnsi="Verdana" w:cs="Arial"/>
          <w:lang w:val="es-ES_tradnl" w:eastAsia="es-MX"/>
        </w:rPr>
      </w:pPr>
    </w:p>
    <w:p w14:paraId="3BFA4CF0" w14:textId="77777777" w:rsidR="0038366B" w:rsidRPr="00F76F0B" w:rsidRDefault="0038366B" w:rsidP="0038366B">
      <w:pPr>
        <w:spacing w:after="0" w:line="240" w:lineRule="auto"/>
        <w:ind w:left="709" w:right="709"/>
        <w:contextualSpacing/>
        <w:jc w:val="both"/>
        <w:rPr>
          <w:rFonts w:ascii="Verdana" w:eastAsia="Times New Roman" w:hAnsi="Verdana" w:cs="Arial"/>
          <w:sz w:val="20"/>
          <w:szCs w:val="20"/>
          <w:lang w:val="es-ES_tradnl" w:eastAsia="es-MX"/>
        </w:rPr>
      </w:pPr>
      <w:bookmarkStart w:id="3" w:name="_Hlk178671999"/>
      <w:r w:rsidRPr="00F76F0B">
        <w:rPr>
          <w:rFonts w:ascii="Verdana" w:eastAsia="Times New Roman" w:hAnsi="Verdana" w:cs="Arial"/>
          <w:sz w:val="20"/>
          <w:szCs w:val="20"/>
          <w:lang w:val="es-ES_tradnl" w:eastAsia="es-MX"/>
        </w:rPr>
        <w:t>“La función de vigilancia y control del contrato estatal supone el cuidado y la supervisión, de forma tal que en ejercicio de esa función</w:t>
      </w:r>
      <w:bookmarkEnd w:id="3"/>
      <w:r w:rsidRPr="00F76F0B">
        <w:rPr>
          <w:rFonts w:ascii="Verdana" w:eastAsia="Times New Roman" w:hAnsi="Verdana" w:cs="Arial"/>
          <w:sz w:val="20"/>
          <w:szCs w:val="20"/>
          <w:lang w:val="es-ES_tradnl" w:eastAsia="es-MX"/>
        </w:rPr>
        <w:t>, quien administra la adecuada y oportuna ejecución del contrato no sólo debe velar por que las partes den cumplimiento a las obligaciones contractuales, sino que el contrato se ejecute en el tiempo y la forma convenidos, para esta forma garantizar la satisfacción de las necesidades que la administración buscaba alcanzar con la celebración del respectivo contrato”</w:t>
      </w:r>
      <w:r w:rsidRPr="00F76F0B">
        <w:rPr>
          <w:rFonts w:ascii="Verdana" w:eastAsia="Times New Roman" w:hAnsi="Verdana" w:cs="Arial"/>
          <w:sz w:val="20"/>
          <w:szCs w:val="20"/>
          <w:vertAlign w:val="superscript"/>
          <w:lang w:val="es-ES_tradnl" w:eastAsia="es-MX"/>
        </w:rPr>
        <w:footnoteReference w:id="4"/>
      </w:r>
      <w:r w:rsidRPr="00F76F0B">
        <w:rPr>
          <w:rFonts w:ascii="Verdana" w:eastAsia="Times New Roman" w:hAnsi="Verdana" w:cs="Arial"/>
          <w:sz w:val="20"/>
          <w:szCs w:val="20"/>
          <w:lang w:val="es-ES_tradnl" w:eastAsia="es-MX"/>
        </w:rPr>
        <w:t>.</w:t>
      </w:r>
    </w:p>
    <w:p w14:paraId="0C66781F" w14:textId="77777777" w:rsidR="0038366B" w:rsidRPr="00F76F0B" w:rsidRDefault="0038366B" w:rsidP="0038366B">
      <w:pPr>
        <w:spacing w:after="0" w:line="240" w:lineRule="auto"/>
        <w:ind w:left="709" w:right="709"/>
        <w:contextualSpacing/>
        <w:jc w:val="both"/>
        <w:rPr>
          <w:rFonts w:ascii="Verdana" w:eastAsia="Times New Roman" w:hAnsi="Verdana" w:cs="Arial"/>
          <w:sz w:val="20"/>
          <w:szCs w:val="20"/>
          <w:lang w:val="es-ES_tradnl" w:eastAsia="es-MX"/>
        </w:rPr>
      </w:pPr>
    </w:p>
    <w:p w14:paraId="521AE413" w14:textId="77777777" w:rsidR="0038366B" w:rsidRPr="00F76F0B" w:rsidRDefault="0038366B" w:rsidP="0038366B">
      <w:pPr>
        <w:spacing w:after="0" w:line="276" w:lineRule="auto"/>
        <w:ind w:firstLine="709"/>
        <w:jc w:val="both"/>
        <w:rPr>
          <w:rFonts w:ascii="Verdana" w:eastAsia="Times New Roman" w:hAnsi="Verdana" w:cs="Arial"/>
          <w:lang w:val="es-ES" w:eastAsia="es-MX"/>
        </w:rPr>
      </w:pPr>
      <w:r w:rsidRPr="00F76F0B">
        <w:rPr>
          <w:rFonts w:ascii="Verdana" w:eastAsia="Times New Roman" w:hAnsi="Verdana" w:cs="Arial"/>
          <w:lang w:val="es-ES" w:eastAsia="es-MX"/>
        </w:rPr>
        <w:t xml:space="preserve">iv) De esta forma, la Ley 1474 de 2011 enmarcó el seguimiento, control y vigilancia de la ejecución del contrato estatal dentro del principio de moralidad administrativa. El artículo 83 de la referida ley, establece que “con el fin de proteger la moralidad administrativa, de prevenir la ocurrencia de actos de corrupción y tutelar la transparencia de la actividad contractual, las entidades públicas están obligadas a vigilar permanentemente la correcta ejecución del objeto contratado a través de un supervisor o un interventor, según corresponda”. El legislador además definió las nociones de supervisión e interventoría, como mecanismos que pueden usar las Entidades Estatales para vigilar el contrato, en estos términos: </w:t>
      </w:r>
    </w:p>
    <w:p w14:paraId="6CAC8A30" w14:textId="77777777" w:rsidR="0038366B" w:rsidRPr="00F76F0B" w:rsidRDefault="0038366B" w:rsidP="0038366B">
      <w:pPr>
        <w:spacing w:after="0" w:line="276" w:lineRule="auto"/>
        <w:ind w:left="720"/>
        <w:contextualSpacing/>
        <w:jc w:val="both"/>
        <w:textAlignment w:val="baseline"/>
        <w:rPr>
          <w:rFonts w:ascii="Verdana" w:eastAsia="Times New Roman" w:hAnsi="Verdana" w:cs="Arial"/>
          <w:sz w:val="20"/>
          <w:szCs w:val="20"/>
          <w:lang w:val="es-ES_tradnl" w:eastAsia="es-MX"/>
        </w:rPr>
      </w:pPr>
    </w:p>
    <w:p w14:paraId="323E32BF" w14:textId="77777777" w:rsidR="0038366B" w:rsidRPr="00F76F0B" w:rsidRDefault="0038366B" w:rsidP="0038366B">
      <w:pPr>
        <w:spacing w:after="0" w:line="240" w:lineRule="auto"/>
        <w:ind w:left="709" w:right="709"/>
        <w:jc w:val="both"/>
        <w:textAlignment w:val="baseline"/>
        <w:rPr>
          <w:rFonts w:ascii="Verdana" w:eastAsia="Times New Roman" w:hAnsi="Verdana" w:cs="Arial"/>
          <w:sz w:val="20"/>
          <w:szCs w:val="20"/>
          <w:lang w:val="es-ES" w:eastAsia="es-MX"/>
        </w:rPr>
      </w:pPr>
      <w:r w:rsidRPr="00F76F0B">
        <w:rPr>
          <w:rFonts w:ascii="Verdana" w:eastAsia="Times New Roman" w:hAnsi="Verdana" w:cs="Arial"/>
          <w:sz w:val="20"/>
          <w:szCs w:val="20"/>
          <w:lang w:val="es-ES" w:eastAsia="es-MX"/>
        </w:rPr>
        <w:t>“La supervisión consistirá en el seguimiento técnico, administrativo, financiero, contable, y jurídico que, sobre el cumplimiento del objeto del contrato, es ejercida por la misma entidad estatal cuando no requieran conocimientos especializadas. Para la supervisión, la entidad estatal podrá contratar personal de apoyo, a través de los contratos de prestación de servicio que sean requeridos.</w:t>
      </w:r>
    </w:p>
    <w:p w14:paraId="172DA507" w14:textId="77777777" w:rsidR="0038366B" w:rsidRPr="00CF2920" w:rsidRDefault="0038366B" w:rsidP="0038366B">
      <w:pPr>
        <w:spacing w:before="120" w:after="0" w:line="240" w:lineRule="auto"/>
        <w:ind w:left="709" w:right="709" w:firstLine="709"/>
        <w:jc w:val="both"/>
        <w:textAlignment w:val="baseline"/>
        <w:rPr>
          <w:rFonts w:ascii="Verdana" w:eastAsia="Times New Roman" w:hAnsi="Verdana" w:cs="Arial"/>
          <w:sz w:val="20"/>
          <w:szCs w:val="20"/>
          <w:lang w:val="es-ES" w:eastAsia="es-MX"/>
        </w:rPr>
      </w:pPr>
      <w:r w:rsidRPr="00F76F0B">
        <w:rPr>
          <w:rFonts w:ascii="Verdana" w:eastAsia="Times New Roman" w:hAnsi="Verdana" w:cs="Arial"/>
          <w:sz w:val="20"/>
          <w:szCs w:val="20"/>
          <w:lang w:val="es-ES" w:eastAsia="es-MX"/>
        </w:rPr>
        <w:lastRenderedPageBreak/>
        <w:t xml:space="preserve">La interventoría consistirá en el seguimiento técnico que sobre el cumplimiento del contrato realice una persona natural o jurídica contratada para tal fin por la entidad estatal, cuando el seguimiento del contrato suponga conocimiento especializado en la materia, o cuando la complejidad o la extensión </w:t>
      </w:r>
      <w:proofErr w:type="gramStart"/>
      <w:r w:rsidRPr="00F76F0B">
        <w:rPr>
          <w:rFonts w:ascii="Verdana" w:eastAsia="Times New Roman" w:hAnsi="Verdana" w:cs="Arial"/>
          <w:sz w:val="20"/>
          <w:szCs w:val="20"/>
          <w:lang w:val="es-ES" w:eastAsia="es-MX"/>
        </w:rPr>
        <w:t>del mismo</w:t>
      </w:r>
      <w:proofErr w:type="gramEnd"/>
      <w:r w:rsidRPr="00F76F0B">
        <w:rPr>
          <w:rFonts w:ascii="Verdana" w:eastAsia="Times New Roman" w:hAnsi="Verdana" w:cs="Arial"/>
          <w:sz w:val="20"/>
          <w:szCs w:val="20"/>
          <w:lang w:val="es-ES" w:eastAsia="es-MX"/>
        </w:rPr>
        <w:t xml:space="preserve"> lo justifiquen. No obstante, lo anterior cuando la entidad lo encuentre justificado y acorde a la naturaleza </w:t>
      </w:r>
      <w:r w:rsidRPr="00CF2920">
        <w:rPr>
          <w:rFonts w:ascii="Verdana" w:eastAsia="Times New Roman" w:hAnsi="Verdana" w:cs="Arial"/>
          <w:sz w:val="20"/>
          <w:szCs w:val="20"/>
          <w:lang w:val="es-ES" w:eastAsia="es-MX"/>
        </w:rPr>
        <w:t>del contrato principal, podrá contratar el seguimiento administrativo, técnico, financiero, contable, jurídico del objeto o contrato dentro de la interventoría”</w:t>
      </w:r>
      <w:r w:rsidRPr="00CF2920">
        <w:rPr>
          <w:rFonts w:ascii="Verdana" w:eastAsia="Times New Roman" w:hAnsi="Verdana" w:cs="Arial"/>
          <w:sz w:val="20"/>
          <w:szCs w:val="20"/>
          <w:vertAlign w:val="superscript"/>
          <w:lang w:val="es-ES" w:eastAsia="es-MX"/>
        </w:rPr>
        <w:footnoteReference w:id="5"/>
      </w:r>
      <w:r w:rsidRPr="00CF2920">
        <w:rPr>
          <w:rFonts w:ascii="Verdana" w:eastAsia="Times New Roman" w:hAnsi="Verdana" w:cs="Arial"/>
          <w:sz w:val="20"/>
          <w:szCs w:val="20"/>
          <w:lang w:val="es-ES" w:eastAsia="es-MX"/>
        </w:rPr>
        <w:t>.</w:t>
      </w:r>
    </w:p>
    <w:p w14:paraId="4D20B6A3" w14:textId="77777777" w:rsidR="0038366B" w:rsidRPr="00CF2920" w:rsidRDefault="0038366B" w:rsidP="0038366B">
      <w:pPr>
        <w:spacing w:before="120" w:after="0" w:line="240" w:lineRule="auto"/>
        <w:ind w:left="709" w:right="709" w:firstLine="709"/>
        <w:jc w:val="both"/>
        <w:textAlignment w:val="baseline"/>
        <w:rPr>
          <w:rFonts w:ascii="Verdana" w:eastAsia="Times New Roman" w:hAnsi="Verdana" w:cs="Arial"/>
          <w:sz w:val="20"/>
          <w:szCs w:val="20"/>
          <w:lang w:val="es-ES" w:eastAsia="es-MX"/>
        </w:rPr>
      </w:pPr>
    </w:p>
    <w:p w14:paraId="7B0B74C9" w14:textId="77777777" w:rsidR="0038366B" w:rsidRPr="00CF2920" w:rsidRDefault="0038366B" w:rsidP="0038366B">
      <w:pPr>
        <w:spacing w:after="120" w:line="276" w:lineRule="auto"/>
        <w:ind w:firstLine="709"/>
        <w:jc w:val="both"/>
        <w:rPr>
          <w:rFonts w:ascii="Verdana" w:eastAsia="Times New Roman" w:hAnsi="Verdana" w:cs="Arial"/>
          <w:bCs/>
          <w:lang w:val="es-ES"/>
        </w:rPr>
      </w:pPr>
      <w:r w:rsidRPr="00CF2920">
        <w:rPr>
          <w:rFonts w:ascii="Verdana" w:eastAsia="Times New Roman" w:hAnsi="Verdana" w:cs="Arial"/>
          <w:bCs/>
          <w:lang w:val="es-ES"/>
        </w:rPr>
        <w:t>Sin perjuicio de lo anterior, según lo expresado por esta Agencia en el concepto C-972 de 2024, de las disposiciones contenidas en los artículos 83 y 84 de la Ley 1474 de 2011, se infieren las siguientes características de la supervisión: i) la labor de supervisión siempre existirá en relación con cualquier contrato estatal, incluidos los contratos de prestación de servicios –a diferencia de la interventoría que depende del análisis de su necesidad y extensión</w:t>
      </w:r>
      <w:r w:rsidRPr="00CF2920">
        <w:rPr>
          <w:rFonts w:ascii="Verdana" w:eastAsia="Times New Roman" w:hAnsi="Verdana" w:cs="Arial"/>
          <w:bCs/>
          <w:vertAlign w:val="superscript"/>
          <w:lang w:val="es-ES"/>
        </w:rPr>
        <w:footnoteReference w:id="6"/>
      </w:r>
      <w:r w:rsidRPr="00CF2920">
        <w:rPr>
          <w:rFonts w:ascii="Verdana" w:eastAsia="Times New Roman" w:hAnsi="Verdana" w:cs="Arial"/>
          <w:bCs/>
          <w:lang w:val="es-ES"/>
        </w:rPr>
        <w:t>–; ii) no requiere conocimientos tan especializados como la interventoría; iii) se ejerce por la Entidad Estatal por conducto de la designación de servidores públicos idóneos para cumplir la función; iv) puede recibir apoyo de personal contratado para tal fin mediante contratos de prestación de servicios; y v) le es inseparable el seguimiento técnico, administrativo, financiero, contable y jurídico del contrato vigilado.</w:t>
      </w:r>
    </w:p>
    <w:p w14:paraId="018C409A" w14:textId="77777777" w:rsidR="0038366B" w:rsidRPr="00CF2920" w:rsidRDefault="0038366B" w:rsidP="0038366B">
      <w:pPr>
        <w:spacing w:after="120" w:line="276" w:lineRule="auto"/>
        <w:ind w:firstLine="709"/>
        <w:jc w:val="both"/>
        <w:rPr>
          <w:rFonts w:ascii="Verdana" w:eastAsia="Times New Roman" w:hAnsi="Verdana" w:cs="Arial"/>
          <w:bCs/>
          <w:lang w:val="es-ES"/>
        </w:rPr>
      </w:pPr>
      <w:r w:rsidRPr="00CF2920">
        <w:rPr>
          <w:rFonts w:ascii="Verdana" w:eastAsia="Times New Roman" w:hAnsi="Verdana" w:cs="Arial"/>
          <w:bCs/>
          <w:lang w:val="es-ES"/>
        </w:rPr>
        <w:t xml:space="preserve">v) Por otro lado, es pertinente señalar que esta Agencia ha considerado que del texto del artículo 83 de la Ley 1474 es posible inferir que la ley dispuso que la supervisión debe ser ejercida por la misma Entidad Estatal en cumplimiento de su deber de vigilancia de la ejecución idónea y oportuna del objeto contratado y puede llevarse a cabo con el apoyo de contratistas, pero no prevé que dicha actividad sea realizada directamente por el contratista, y que sea este último el único responsable del seguimiento contractual. </w:t>
      </w:r>
    </w:p>
    <w:p w14:paraId="7C9717E7" w14:textId="77777777" w:rsidR="0038366B" w:rsidRPr="00CF2920" w:rsidRDefault="0038366B" w:rsidP="0038366B">
      <w:pPr>
        <w:spacing w:after="120" w:line="276" w:lineRule="auto"/>
        <w:ind w:firstLine="709"/>
        <w:jc w:val="both"/>
        <w:rPr>
          <w:rFonts w:ascii="Verdana" w:eastAsia="Times New Roman" w:hAnsi="Verdana" w:cs="Arial"/>
          <w:shd w:val="clear" w:color="auto" w:fill="FFFFFF"/>
          <w:lang w:val="es-ES"/>
        </w:rPr>
      </w:pPr>
      <w:r w:rsidRPr="00CF2920">
        <w:rPr>
          <w:rFonts w:ascii="Verdana" w:eastAsia="Times New Roman" w:hAnsi="Verdana" w:cs="Arial"/>
          <w:bCs/>
          <w:lang w:val="es-ES"/>
        </w:rPr>
        <w:t>Lo anterior postura se soporta en el trámite del proyecto de ley que se convirtió en la Ley 1474 de 2011, que inicialmente establecía que “la supervisión de los contratos sería ejercida por un funcionario de la misma entidad estatal, o por un contratista de prestación de servicios profesionales (…)”</w:t>
      </w:r>
      <w:r w:rsidRPr="00CF2920">
        <w:rPr>
          <w:rFonts w:ascii="Verdana" w:eastAsia="Times New Roman" w:hAnsi="Verdana" w:cs="Arial"/>
          <w:vertAlign w:val="superscript"/>
          <w:lang w:val="es-ES"/>
        </w:rPr>
        <w:footnoteReference w:id="7"/>
      </w:r>
      <w:r w:rsidRPr="00CF2920">
        <w:rPr>
          <w:rFonts w:ascii="Verdana" w:eastAsia="Times New Roman" w:hAnsi="Verdana" w:cs="Arial"/>
          <w:bCs/>
          <w:lang w:val="es-ES"/>
        </w:rPr>
        <w:t xml:space="preserve">. Sin embargo, </w:t>
      </w:r>
      <w:r w:rsidRPr="00CF2920">
        <w:rPr>
          <w:rFonts w:ascii="Verdana" w:eastAsia="Times New Roman" w:hAnsi="Verdana" w:cs="Arial"/>
          <w:bCs/>
          <w:lang w:val="es-ES"/>
        </w:rPr>
        <w:lastRenderedPageBreak/>
        <w:t>también lo es que esa postura fue modificada para el segundo debate legislativo</w:t>
      </w:r>
      <w:r w:rsidRPr="00CF2920">
        <w:rPr>
          <w:rFonts w:ascii="Verdana" w:eastAsia="Times New Roman" w:hAnsi="Verdana" w:cs="Arial"/>
          <w:vertAlign w:val="superscript"/>
          <w:lang w:val="es-ES"/>
        </w:rPr>
        <w:footnoteReference w:id="8"/>
      </w:r>
      <w:r w:rsidRPr="00CF2920">
        <w:rPr>
          <w:rFonts w:ascii="Verdana" w:eastAsia="Times New Roman" w:hAnsi="Verdana" w:cs="Arial"/>
          <w:bCs/>
          <w:lang w:val="es-ES"/>
        </w:rPr>
        <w:t xml:space="preserve"> y en la ponencia registrada para tercer debate</w:t>
      </w:r>
      <w:r w:rsidRPr="00CF2920">
        <w:rPr>
          <w:rFonts w:ascii="Verdana" w:eastAsia="Times New Roman" w:hAnsi="Verdana" w:cs="Arial"/>
          <w:vertAlign w:val="superscript"/>
          <w:lang w:val="es-ES"/>
        </w:rPr>
        <w:footnoteReference w:id="9"/>
      </w:r>
      <w:r w:rsidRPr="00CF2920">
        <w:rPr>
          <w:rFonts w:ascii="Verdana" w:eastAsia="Times New Roman" w:hAnsi="Verdana" w:cs="Arial"/>
          <w:bCs/>
          <w:lang w:val="es-ES"/>
        </w:rPr>
        <w:t>, en donde se estableció que “la supervisión de los contratos sería ejercida por un funcionario de la misma entidad estatal”. Incluso, la versión que finalmente se aprobó en cuarto debate</w:t>
      </w:r>
      <w:r w:rsidRPr="00CF2920">
        <w:rPr>
          <w:rFonts w:ascii="Verdana" w:eastAsia="Times New Roman" w:hAnsi="Verdana" w:cs="Arial"/>
          <w:vertAlign w:val="superscript"/>
          <w:lang w:val="es-ES"/>
        </w:rPr>
        <w:footnoteReference w:id="10"/>
      </w:r>
      <w:r w:rsidRPr="00CF2920">
        <w:rPr>
          <w:rFonts w:ascii="Verdana" w:eastAsia="Times New Roman" w:hAnsi="Verdana" w:cs="Arial"/>
          <w:bCs/>
          <w:lang w:val="es-ES"/>
        </w:rPr>
        <w:t>, que fue acogida por ambas cámaras legislativas</w:t>
      </w:r>
      <w:r w:rsidRPr="00CF2920">
        <w:rPr>
          <w:rFonts w:ascii="Verdana" w:eastAsia="Times New Roman" w:hAnsi="Verdana" w:cs="Arial"/>
          <w:vertAlign w:val="superscript"/>
          <w:lang w:val="es-ES"/>
        </w:rPr>
        <w:footnoteReference w:id="11"/>
      </w:r>
      <w:r w:rsidRPr="00CF2920">
        <w:rPr>
          <w:rFonts w:ascii="Verdana" w:eastAsia="Times New Roman" w:hAnsi="Verdana" w:cs="Arial"/>
          <w:bCs/>
          <w:lang w:val="es-ES"/>
        </w:rPr>
        <w:t xml:space="preserve"> luego del correspondiente trámite de conciliación</w:t>
      </w:r>
      <w:r w:rsidRPr="00CF2920">
        <w:rPr>
          <w:rFonts w:ascii="Verdana" w:eastAsia="Times New Roman" w:hAnsi="Verdana" w:cs="Arial"/>
          <w:vertAlign w:val="superscript"/>
          <w:lang w:val="es-ES"/>
        </w:rPr>
        <w:footnoteReference w:id="12"/>
      </w:r>
      <w:r w:rsidRPr="00CF2920">
        <w:rPr>
          <w:rFonts w:ascii="Verdana" w:eastAsia="Times New Roman" w:hAnsi="Verdana" w:cs="Arial"/>
          <w:bCs/>
          <w:lang w:val="es-ES"/>
        </w:rPr>
        <w:t>, era del siguiente tenor: “la supervisión consistirá en el seguimiento administrativo, técnico, financiero, contable, y jurídico que sobre el cumplimiento del objeto del contrato es ejercida por la misma entidad estatal (…)”. Nótese que el legislador acogió, finalmente, la noción “entidad estatal”, sin hacer referencia a los funcionarios de la entidad o a los contratistas.</w:t>
      </w:r>
    </w:p>
    <w:p w14:paraId="4B7CEF75" w14:textId="77777777" w:rsidR="0038366B" w:rsidRPr="00CF2920" w:rsidRDefault="0038366B" w:rsidP="0038366B">
      <w:pPr>
        <w:spacing w:after="120" w:line="276" w:lineRule="auto"/>
        <w:ind w:firstLine="709"/>
        <w:jc w:val="both"/>
        <w:rPr>
          <w:rFonts w:ascii="Verdana" w:eastAsia="Times New Roman" w:hAnsi="Verdana" w:cs="Arial"/>
          <w:bCs/>
          <w:lang w:val="es-ES"/>
        </w:rPr>
      </w:pPr>
      <w:r w:rsidRPr="00CF2920">
        <w:rPr>
          <w:rFonts w:ascii="Verdana" w:eastAsia="Times New Roman" w:hAnsi="Verdana" w:cs="Arial"/>
          <w:bCs/>
          <w:lang w:val="es-ES"/>
        </w:rPr>
        <w:t>La expresión “entidad estatal” podría dar a entender que la supervisión puede ser ejercida por funcionarios y contratistas, como inicialmente se presentó en la iniciativa legislativa, en el entendido de que las entidades, por regla general, se apoyan en los unos y los otros para el cumplimiento de sus funciones. Sin embargo, la Sección Tercera del Consejo de Estado</w:t>
      </w:r>
      <w:r w:rsidRPr="00CF2920">
        <w:rPr>
          <w:rFonts w:ascii="Verdana" w:eastAsia="Times New Roman" w:hAnsi="Verdana" w:cs="Arial"/>
          <w:bCs/>
          <w:vertAlign w:val="superscript"/>
          <w:lang w:val="es-ES"/>
        </w:rPr>
        <w:footnoteReference w:id="13"/>
      </w:r>
      <w:r w:rsidRPr="00CF2920">
        <w:rPr>
          <w:rFonts w:ascii="Verdana" w:eastAsia="Times New Roman" w:hAnsi="Verdana" w:cs="Arial"/>
          <w:bCs/>
          <w:lang w:val="es-ES"/>
        </w:rPr>
        <w:t>, en providencia del 12 de diciembre de 2014, consideró que la calidad de supervisor la tienen los funcionarios de la entidad estatal y no los contratistas. Esto, en los siguientes términos:</w:t>
      </w:r>
    </w:p>
    <w:p w14:paraId="12FB2829" w14:textId="77777777" w:rsidR="0038366B" w:rsidRPr="00CF2920" w:rsidRDefault="0038366B" w:rsidP="0038366B">
      <w:pPr>
        <w:spacing w:after="0" w:line="240" w:lineRule="auto"/>
        <w:ind w:left="709" w:right="709"/>
        <w:jc w:val="both"/>
        <w:textAlignment w:val="baseline"/>
        <w:rPr>
          <w:rFonts w:ascii="Verdana" w:eastAsia="Times New Roman" w:hAnsi="Verdana" w:cs="Arial"/>
          <w:sz w:val="20"/>
          <w:szCs w:val="20"/>
          <w:lang w:val="es-ES" w:eastAsia="es-MX"/>
        </w:rPr>
      </w:pPr>
      <w:r w:rsidRPr="00CF2920">
        <w:rPr>
          <w:rFonts w:ascii="Verdana" w:eastAsia="Times New Roman" w:hAnsi="Verdana" w:cs="Arial"/>
          <w:sz w:val="20"/>
          <w:szCs w:val="20"/>
          <w:lang w:val="es-MX"/>
        </w:rPr>
        <w:t>“</w:t>
      </w:r>
      <w:r w:rsidRPr="00CF2920">
        <w:rPr>
          <w:rFonts w:ascii="Verdana" w:eastAsia="Times New Roman" w:hAnsi="Verdana" w:cs="Arial"/>
          <w:sz w:val="20"/>
          <w:szCs w:val="20"/>
          <w:lang w:val="es-ES" w:eastAsia="es-MX"/>
        </w:rPr>
        <w:t xml:space="preserve">De entrada, debe advertirse que la supervisión de los contratos es un deber de las entidades públicas (artículo 4 de la Ley 80 de 1993), que bien pueden realizarla a través de supervisores o interventores para que verifiquen la ejecución y cumplimiento de los trabajos y actividades del contratista de la entidad pública. Esa labor es principalmente de intermediación entre la entidad contratante y el contratista, dirigida a cumplir el control y vigilancia de la correcta ejecución de las obligaciones surgidas del contrato y no la de sustituir o reemplazar a la entidad en la toma de las decisiones, quien conserva dicha potestad y la ejerce a través de su propio representante legal, que adelanta las actuaciones que le </w:t>
      </w:r>
      <w:r w:rsidRPr="00CF2920">
        <w:rPr>
          <w:rFonts w:ascii="Verdana" w:eastAsia="Times New Roman" w:hAnsi="Verdana" w:cs="Arial"/>
          <w:sz w:val="20"/>
          <w:szCs w:val="20"/>
          <w:lang w:val="es-ES" w:eastAsia="es-MX"/>
        </w:rPr>
        <w:lastRenderedPageBreak/>
        <w:t xml:space="preserve">corresponden en virtud de su posición de parte dentro de la relación negocial. </w:t>
      </w:r>
    </w:p>
    <w:p w14:paraId="48405967" w14:textId="77777777" w:rsidR="0038366B" w:rsidRPr="00CF2920" w:rsidRDefault="0038366B" w:rsidP="0038366B">
      <w:pPr>
        <w:spacing w:after="0" w:line="240" w:lineRule="auto"/>
        <w:ind w:left="709" w:right="709"/>
        <w:jc w:val="both"/>
        <w:textAlignment w:val="baseline"/>
        <w:rPr>
          <w:rFonts w:ascii="Verdana" w:eastAsia="Times New Roman" w:hAnsi="Verdana" w:cs="Arial"/>
          <w:sz w:val="20"/>
          <w:szCs w:val="20"/>
          <w:lang w:val="es-ES" w:eastAsia="es-MX"/>
        </w:rPr>
      </w:pPr>
    </w:p>
    <w:p w14:paraId="67B29A35" w14:textId="77777777" w:rsidR="0038366B" w:rsidRPr="00CF2920" w:rsidRDefault="0038366B" w:rsidP="0038366B">
      <w:pPr>
        <w:spacing w:after="0" w:line="240" w:lineRule="auto"/>
        <w:ind w:left="709" w:right="709"/>
        <w:jc w:val="both"/>
        <w:textAlignment w:val="baseline"/>
        <w:rPr>
          <w:rFonts w:ascii="Verdana" w:eastAsia="Times New Roman" w:hAnsi="Verdana" w:cs="Arial"/>
          <w:sz w:val="20"/>
          <w:szCs w:val="20"/>
          <w:lang w:val="es-ES" w:eastAsia="es-MX"/>
        </w:rPr>
      </w:pPr>
      <w:r w:rsidRPr="00CF2920">
        <w:rPr>
          <w:rFonts w:ascii="Verdana" w:eastAsia="Times New Roman" w:hAnsi="Verdana" w:cs="Arial"/>
          <w:sz w:val="20"/>
          <w:szCs w:val="20"/>
          <w:lang w:val="es-ES" w:eastAsia="es-MX"/>
        </w:rPr>
        <w:t>[…]</w:t>
      </w:r>
    </w:p>
    <w:p w14:paraId="49D2E2A2" w14:textId="77777777" w:rsidR="0038366B" w:rsidRPr="00CF2920" w:rsidRDefault="0038366B" w:rsidP="0038366B">
      <w:pPr>
        <w:spacing w:after="0" w:line="240" w:lineRule="auto"/>
        <w:ind w:left="709" w:right="709"/>
        <w:jc w:val="both"/>
        <w:textAlignment w:val="baseline"/>
        <w:rPr>
          <w:rFonts w:ascii="Verdana" w:eastAsia="Times New Roman" w:hAnsi="Verdana" w:cs="Arial"/>
          <w:sz w:val="20"/>
          <w:szCs w:val="20"/>
          <w:lang w:val="es-ES" w:eastAsia="es-MX"/>
        </w:rPr>
      </w:pPr>
    </w:p>
    <w:p w14:paraId="3A4D3299" w14:textId="77777777" w:rsidR="0038366B" w:rsidRPr="00CF2920" w:rsidRDefault="0038366B" w:rsidP="0038366B">
      <w:pPr>
        <w:spacing w:after="0" w:line="240" w:lineRule="auto"/>
        <w:ind w:left="709" w:right="709"/>
        <w:jc w:val="both"/>
        <w:textAlignment w:val="baseline"/>
        <w:rPr>
          <w:rFonts w:ascii="Verdana" w:eastAsia="Times New Roman" w:hAnsi="Verdana" w:cs="Arial"/>
          <w:sz w:val="20"/>
          <w:szCs w:val="20"/>
          <w:lang w:val="es-ES" w:eastAsia="es-MX"/>
        </w:rPr>
      </w:pPr>
      <w:r w:rsidRPr="00CF2920">
        <w:rPr>
          <w:rFonts w:ascii="Verdana" w:eastAsia="Times New Roman" w:hAnsi="Verdana" w:cs="Arial"/>
          <w:sz w:val="20"/>
          <w:szCs w:val="20"/>
          <w:lang w:val="es-ES" w:eastAsia="es-MX"/>
        </w:rPr>
        <w:t>El ordenamiento jurídico admite que este tipo de funciones puedan ser encargadas a los funcionarios públicos de la entidad demandada, sin que se enmarquen en el régimen de inhabilidades e incompatibilidades. Efectivamente, de vieja data, el artículo 120 del Decreto Ley 222 de 198312, al definir las calidades del interventor, señaló que las entidades públicas verificarían la ejecución y cumplimiento de los trabajos y actividades de sus contratistas por medio de un interventor. Este podía ser funcionario suyo o ser contratado externamente. Lo anterior significaba que en vigencia del mencionado decreto la denominación de interventor se utilizaba indistintamente de la vinculación que este tuviera con la entidad pública. Actualmente, la cuestión se mantiene en similares condiciones, sólo que se considera supervisor al funcionario de la entidad pública que desarrolle la vigilancia de los contratos de esta última, sin perjuicio de que esa labor se pueda apoyar a través de contratos de prestación de servicios, pero no para asumir la supervisión, so pena de variar de una consultoría a otra tipología diferente y, por consiguiente, de eludir procesos de selección. Por su parte, se hablará de interventor cuando se trate de una vigilancia externa o contratada</w:t>
      </w:r>
      <w:r w:rsidRPr="00CF2920">
        <w:rPr>
          <w:rFonts w:ascii="Verdana" w:eastAsia="Times New Roman" w:hAnsi="Verdana" w:cs="Arial"/>
          <w:sz w:val="20"/>
          <w:szCs w:val="20"/>
          <w:vertAlign w:val="superscript"/>
          <w:lang w:val="es-ES" w:eastAsia="es-MX"/>
        </w:rPr>
        <w:footnoteReference w:id="14"/>
      </w:r>
      <w:r w:rsidRPr="00CF2920">
        <w:rPr>
          <w:rFonts w:ascii="Verdana" w:eastAsia="Times New Roman" w:hAnsi="Verdana" w:cs="Arial"/>
          <w:sz w:val="20"/>
          <w:szCs w:val="20"/>
          <w:lang w:val="es-ES" w:eastAsia="es-MX"/>
        </w:rPr>
        <w:t>.”</w:t>
      </w:r>
    </w:p>
    <w:p w14:paraId="3E9AF7F1" w14:textId="77777777" w:rsidR="0038366B" w:rsidRPr="00CF2920" w:rsidRDefault="0038366B" w:rsidP="0038366B">
      <w:pPr>
        <w:spacing w:after="120" w:line="276" w:lineRule="auto"/>
        <w:ind w:firstLine="709"/>
        <w:jc w:val="both"/>
        <w:rPr>
          <w:rFonts w:ascii="Verdana" w:eastAsia="Times New Roman" w:hAnsi="Verdana" w:cs="Arial"/>
          <w:shd w:val="clear" w:color="auto" w:fill="FFFFFF"/>
          <w:lang w:val="es-ES"/>
        </w:rPr>
      </w:pPr>
      <w:r w:rsidRPr="00CF2920">
        <w:rPr>
          <w:rFonts w:ascii="Verdana" w:eastAsia="Times New Roman" w:hAnsi="Verdana" w:cs="Arial"/>
          <w:shd w:val="clear" w:color="auto" w:fill="FFFFFF"/>
          <w:lang w:val="es-ES"/>
        </w:rPr>
        <w:t xml:space="preserve">vi) En ese mismo sentido, como se expuso previamente, la “Guía para el ejercicio de las funciones de supervisión e interventoría de los contratos suscritos por las Entidades Estatales” de Colombia Compra Eficiente consagró que la supervisión del contrato estatal corresponde al funcionario público de la entidad. Sin embargo, dicha guía reiteró que las Entidades Estatales puedan celebrar contratos de prestación de servicios para apoyar las actividades de supervisión, consignando en ellos las actividades propias del apoyo a la supervisión. Con todo, el alcance de dicho apoyo dependerá del objeto y las obligaciones </w:t>
      </w:r>
      <w:r w:rsidRPr="00CF2920">
        <w:rPr>
          <w:rFonts w:ascii="Verdana" w:eastAsia="Times New Roman" w:hAnsi="Verdana" w:cs="Arial"/>
          <w:shd w:val="clear" w:color="auto" w:fill="FFFFFF"/>
          <w:lang w:val="es-ES"/>
        </w:rPr>
        <w:lastRenderedPageBreak/>
        <w:t>determinadas en el contrato de prestación de servicios, marco dentro del cual el contratista desarrollará las actividades tendientes a soportar el seguimiento del contrato y apoyar la verificación del cumplimiento, en las condiciones establecidas en el contrato vigilado, sin que ello implique que asuma directamente la supervisión. Así, por ejemplo, el contratista de prestación de servicios podrá revisar los entregables, productos, en general, los requisitos para el pago y darle su concepto al supervisor. De todos modos, quien autorizará el pago ante la Entidad Estatal será el funcionario sobre quien recae la supervisión y el respectivo ordenador del gasto de la entidad. Además, la mencionada guía señala que tanto supervisores e interventores tienen la función general de ejercer el control y vigilancia sobre la ejecución contractual de los contratos respecto de los cuales ejercen sus correspondientes obligaciones. Dicha labor debe ir dirigida a verificar el cumplimiento de las condiciones pactadas, por lo que están facultados para solicitar informes, aclaraciones y explicaciones sobre el desarrollo de la ejecución contractual, impartir instrucciones al contratista y hacer recomendaciones encaminadas a lograr la correcta ejecución del objeto contratado.</w:t>
      </w:r>
    </w:p>
    <w:p w14:paraId="5A26A2A7" w14:textId="77777777" w:rsidR="0038366B" w:rsidRPr="00CF2920" w:rsidRDefault="0038366B" w:rsidP="0038366B">
      <w:pPr>
        <w:spacing w:after="120" w:line="276" w:lineRule="auto"/>
        <w:ind w:firstLine="709"/>
        <w:jc w:val="both"/>
        <w:rPr>
          <w:rFonts w:ascii="Verdana" w:eastAsia="Times New Roman" w:hAnsi="Verdana" w:cs="Arial"/>
          <w:shd w:val="clear" w:color="auto" w:fill="FFFFFF"/>
          <w:lang w:val="es-ES"/>
        </w:rPr>
      </w:pPr>
      <w:r w:rsidRPr="00CF2920">
        <w:rPr>
          <w:rFonts w:ascii="Verdana" w:eastAsia="Times New Roman" w:hAnsi="Verdana" w:cs="Arial"/>
          <w:shd w:val="clear" w:color="auto" w:fill="FFFFFF"/>
          <w:lang w:val="es-ES"/>
        </w:rPr>
        <w:t>Por tanto, el ejercicio de la vigilancia de la ejecución del contrato estatal conlleva la tarea de velar por el cumplimiento de los plazos, calidades, cantidades y adecuada ejecución de los recursos del contrato. Debido a esto, es a los supervisores y/o interventores a quienes corresponde, en primera medida, verificar las entregas de bienes, obras o servicios realizadas por el contratista, determinando si las mismas se ajustan a las condiciones pactadas. Tales actividades propias de la custodia a la debida ejecución de los contratos estatales también implican el deber de supervisores e interventores de concurrir a la suscripción de documentos como actas parciales de avance, actas parciales de recibo y actas de recibo final.</w:t>
      </w:r>
    </w:p>
    <w:p w14:paraId="173AD329" w14:textId="77777777" w:rsidR="0038366B" w:rsidRPr="00CF2920" w:rsidRDefault="0038366B" w:rsidP="0038366B">
      <w:pPr>
        <w:spacing w:after="120" w:line="276" w:lineRule="auto"/>
        <w:ind w:firstLine="709"/>
        <w:jc w:val="both"/>
        <w:rPr>
          <w:rFonts w:ascii="Verdana" w:eastAsia="Times New Roman" w:hAnsi="Verdana" w:cs="Arial"/>
          <w:shd w:val="clear" w:color="auto" w:fill="FFFFFF"/>
          <w:lang w:val="es-ES"/>
        </w:rPr>
      </w:pPr>
      <w:r w:rsidRPr="00CF2920">
        <w:rPr>
          <w:rFonts w:ascii="Verdana" w:eastAsia="Times New Roman" w:hAnsi="Verdana" w:cs="Arial"/>
          <w:shd w:val="clear" w:color="auto" w:fill="FFFFFF"/>
          <w:lang w:val="es-ES"/>
        </w:rPr>
        <w:t>vii) En ese sentido, puede colegirse que la supervisión es uno de los medios para que las entidades ejerzan la dirección, control y vigilancia de sus contratos, con el fin de lograr el objeto contractual. Por consiguiente, el supervisor, de acuerdo con lo señalado en la Ley 80 de 1993, tiene la obligación de desarrollar las actividades que impliquen la vigilancia y seguimiento del cumplimiento de los contratos, función que puede ser asignada a un empleado público siempre que se ajusten a las fijadas para el cargo.</w:t>
      </w:r>
    </w:p>
    <w:p w14:paraId="46C3945A" w14:textId="77777777" w:rsidR="0038366B" w:rsidRPr="00CF2920" w:rsidRDefault="0038366B" w:rsidP="0038366B">
      <w:pPr>
        <w:spacing w:after="120" w:line="276" w:lineRule="auto"/>
        <w:ind w:firstLine="709"/>
        <w:jc w:val="both"/>
        <w:rPr>
          <w:rFonts w:ascii="Verdana" w:eastAsia="Calibri" w:hAnsi="Verdana" w:cs="Arial"/>
        </w:rPr>
      </w:pPr>
      <w:r w:rsidRPr="00CF2920">
        <w:rPr>
          <w:rFonts w:ascii="Verdana" w:eastAsia="Calibri" w:hAnsi="Verdana" w:cs="Arial"/>
        </w:rPr>
        <w:lastRenderedPageBreak/>
        <w:t>Con sustento en lo anterior, es importante precisar que, la normativa colombiana, particularmente la Ley 80 de 1993, las Leyes 1150 de 2007 y 1474 de 2011, establece que las entidades estatales son responsables de garantizar el cumplimiento de los contratos públicos, ejerciendo una vigilancia continua sobre su ejecución. Esta supervisión debe ser realizada por funcionarios públicos de la entidad, quienes pueden recibir apoyo de contratistas o personal especializado para tareas técnicas, pero siempre bajo su dirección y control.</w:t>
      </w:r>
    </w:p>
    <w:p w14:paraId="581F0CF9" w14:textId="77777777" w:rsidR="0038366B" w:rsidRPr="00CF2920" w:rsidRDefault="0038366B" w:rsidP="0038366B">
      <w:pPr>
        <w:spacing w:after="120" w:line="276" w:lineRule="auto"/>
        <w:ind w:firstLine="708"/>
        <w:jc w:val="both"/>
        <w:rPr>
          <w:rFonts w:ascii="Verdana" w:eastAsia="Calibri" w:hAnsi="Verdana" w:cs="Arial"/>
        </w:rPr>
      </w:pPr>
      <w:r w:rsidRPr="00CF2920">
        <w:rPr>
          <w:rFonts w:ascii="Verdana" w:eastAsia="Calibri" w:hAnsi="Verdana" w:cs="Arial"/>
        </w:rPr>
        <w:t xml:space="preserve">Finalmente, debe advertirse que el análisis requerido para resolver problemas específicos en torno a la designación de los supervisores de los contratos que suscriban las Entidades Estatales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de adoptar la decisión y, en caso de conflicto, a las autoridades judiciales, fiscales y disciplinarias.  </w:t>
      </w:r>
    </w:p>
    <w:p w14:paraId="3A4182DA" w14:textId="77777777" w:rsidR="0038366B" w:rsidRPr="00CF2920" w:rsidRDefault="0038366B" w:rsidP="0038366B">
      <w:pPr>
        <w:spacing w:after="120" w:line="276" w:lineRule="auto"/>
        <w:ind w:firstLine="709"/>
        <w:jc w:val="both"/>
        <w:rPr>
          <w:rFonts w:ascii="Verdana" w:eastAsia="Calibri" w:hAnsi="Verdana" w:cs="Arial"/>
        </w:rPr>
      </w:pPr>
      <w:r w:rsidRPr="00CF2920">
        <w:rPr>
          <w:rFonts w:ascii="Verdana" w:eastAsia="Calibri" w:hAnsi="Verdana" w:cs="Arial"/>
        </w:rPr>
        <w:t xml:space="preserve">Dentro de este marco, la entidad contratante definirá en cada caso concreto lo relacionado con el tema objeto de consulta. Al tratarse de un análisis que debe realizarse a un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  </w:t>
      </w:r>
      <w:bookmarkEnd w:id="1"/>
      <w:bookmarkEnd w:id="2"/>
    </w:p>
    <w:p w14:paraId="7E45A93A" w14:textId="77777777" w:rsidR="0038366B" w:rsidRPr="002B6F39" w:rsidRDefault="0038366B" w:rsidP="0038366B">
      <w:pPr>
        <w:spacing w:after="120" w:line="276" w:lineRule="auto"/>
        <w:jc w:val="both"/>
        <w:rPr>
          <w:rFonts w:ascii="Verdana" w:eastAsia="Century Gothic" w:hAnsi="Verdana" w:cs="Century Gothic"/>
          <w:b/>
          <w:lang w:val="es-ES"/>
        </w:rPr>
      </w:pPr>
      <w:r w:rsidRPr="002B6F39">
        <w:rPr>
          <w:rFonts w:ascii="Verdana" w:eastAsia="Century Gothic" w:hAnsi="Verdana" w:cs="Century Gothic"/>
          <w:b/>
          <w:lang w:val="es-ES"/>
        </w:rPr>
        <w:t>4. Referencias normativas, jurisprudenciales y otras fuentes:</w:t>
      </w: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38366B" w:rsidRPr="00BA4DA1" w14:paraId="7F005A45" w14:textId="77777777" w:rsidTr="00684EE8">
        <w:trPr>
          <w:trHeight w:val="870"/>
        </w:trPr>
        <w:tc>
          <w:tcPr>
            <w:tcW w:w="8647" w:type="dxa"/>
          </w:tcPr>
          <w:p w14:paraId="517A1393" w14:textId="77777777" w:rsidR="0038366B" w:rsidRPr="00D4740A" w:rsidRDefault="0038366B" w:rsidP="00684EE8">
            <w:pPr>
              <w:widowControl w:val="0"/>
              <w:numPr>
                <w:ilvl w:val="0"/>
                <w:numId w:val="16"/>
              </w:numPr>
              <w:autoSpaceDE w:val="0"/>
              <w:autoSpaceDN w:val="0"/>
              <w:spacing w:line="276" w:lineRule="auto"/>
              <w:jc w:val="both"/>
              <w:rPr>
                <w:rFonts w:ascii="Verdana" w:hAnsi="Verdana" w:cs="Arial"/>
              </w:rPr>
            </w:pPr>
            <w:r w:rsidRPr="00D4740A">
              <w:rPr>
                <w:rFonts w:ascii="Verdana" w:hAnsi="Verdana" w:cs="Arial"/>
              </w:rPr>
              <w:t>Ley 80 de 1993. Artículos 4, 5, 12, 14 y 26.</w:t>
            </w:r>
          </w:p>
          <w:p w14:paraId="534DD1D5" w14:textId="77777777" w:rsidR="0038366B" w:rsidRPr="00D4740A" w:rsidRDefault="0038366B" w:rsidP="00684EE8">
            <w:pPr>
              <w:widowControl w:val="0"/>
              <w:numPr>
                <w:ilvl w:val="0"/>
                <w:numId w:val="16"/>
              </w:numPr>
              <w:autoSpaceDE w:val="0"/>
              <w:autoSpaceDN w:val="0"/>
              <w:spacing w:line="276" w:lineRule="auto"/>
              <w:jc w:val="both"/>
              <w:rPr>
                <w:rFonts w:ascii="Verdana" w:hAnsi="Verdana" w:cs="Arial"/>
              </w:rPr>
            </w:pPr>
            <w:r w:rsidRPr="00D4740A">
              <w:rPr>
                <w:rFonts w:ascii="Verdana" w:hAnsi="Verdana" w:cs="Arial"/>
              </w:rPr>
              <w:t>Ley 1150 de 2007. Artículos 17 y 21.</w:t>
            </w:r>
          </w:p>
          <w:p w14:paraId="6B77B3A4" w14:textId="77777777" w:rsidR="0038366B" w:rsidRPr="00D4740A" w:rsidRDefault="0038366B" w:rsidP="00684EE8">
            <w:pPr>
              <w:widowControl w:val="0"/>
              <w:numPr>
                <w:ilvl w:val="0"/>
                <w:numId w:val="16"/>
              </w:numPr>
              <w:autoSpaceDE w:val="0"/>
              <w:autoSpaceDN w:val="0"/>
              <w:spacing w:line="276" w:lineRule="auto"/>
              <w:jc w:val="both"/>
              <w:rPr>
                <w:rFonts w:ascii="Verdana" w:hAnsi="Verdana" w:cs="Arial"/>
              </w:rPr>
            </w:pPr>
            <w:r w:rsidRPr="00D4740A">
              <w:rPr>
                <w:rFonts w:ascii="Verdana" w:hAnsi="Verdana" w:cs="Arial"/>
              </w:rPr>
              <w:t>Ley 1474 de 2011. Artículos 83 al 86.</w:t>
            </w:r>
          </w:p>
          <w:p w14:paraId="6A337D8E" w14:textId="77777777" w:rsidR="0038366B" w:rsidRPr="00D4740A" w:rsidRDefault="0038366B" w:rsidP="00684EE8">
            <w:pPr>
              <w:widowControl w:val="0"/>
              <w:numPr>
                <w:ilvl w:val="0"/>
                <w:numId w:val="16"/>
              </w:numPr>
              <w:autoSpaceDE w:val="0"/>
              <w:autoSpaceDN w:val="0"/>
              <w:spacing w:line="276" w:lineRule="auto"/>
              <w:jc w:val="both"/>
              <w:rPr>
                <w:rFonts w:ascii="Verdana" w:hAnsi="Verdana" w:cs="Arial"/>
              </w:rPr>
            </w:pPr>
            <w:r w:rsidRPr="00D4740A">
              <w:rPr>
                <w:rFonts w:ascii="Verdana" w:hAnsi="Verdana" w:cs="Arial"/>
              </w:rPr>
              <w:t>Consejo de Estado. Sección Tercera. Sentencia del 27 de noviembre de 2017. M.P. Jaime Orlando Santofimio. Exp. 51.802.</w:t>
            </w:r>
          </w:p>
          <w:p w14:paraId="5464AED7" w14:textId="77777777" w:rsidR="0038366B" w:rsidRPr="00D4740A" w:rsidRDefault="0038366B" w:rsidP="00684EE8">
            <w:pPr>
              <w:widowControl w:val="0"/>
              <w:numPr>
                <w:ilvl w:val="0"/>
                <w:numId w:val="16"/>
              </w:numPr>
              <w:autoSpaceDE w:val="0"/>
              <w:autoSpaceDN w:val="0"/>
              <w:spacing w:line="276" w:lineRule="auto"/>
              <w:jc w:val="both"/>
              <w:rPr>
                <w:rFonts w:ascii="Verdana" w:hAnsi="Verdana" w:cs="Arial"/>
              </w:rPr>
            </w:pPr>
            <w:r w:rsidRPr="00D4740A">
              <w:rPr>
                <w:rFonts w:ascii="Verdana" w:hAnsi="Verdana" w:cs="Arial"/>
              </w:rPr>
              <w:t>Consejo de Estado. Sección Tercera. Sentencia del 12 de diciembre de 2014. C.P. Ramiro Pazos Guerrero. Exp. 27426.</w:t>
            </w:r>
          </w:p>
          <w:p w14:paraId="35944A6B" w14:textId="77777777" w:rsidR="0038366B" w:rsidRPr="00D4740A" w:rsidRDefault="0038366B" w:rsidP="00684EE8">
            <w:pPr>
              <w:widowControl w:val="0"/>
              <w:numPr>
                <w:ilvl w:val="0"/>
                <w:numId w:val="16"/>
              </w:numPr>
              <w:autoSpaceDE w:val="0"/>
              <w:autoSpaceDN w:val="0"/>
              <w:spacing w:line="276" w:lineRule="auto"/>
              <w:jc w:val="both"/>
              <w:rPr>
                <w:rFonts w:ascii="Verdana" w:hAnsi="Verdana" w:cs="Arial"/>
              </w:rPr>
            </w:pPr>
            <w:r w:rsidRPr="00D4740A">
              <w:rPr>
                <w:rFonts w:ascii="Verdana" w:eastAsia="Aptos" w:hAnsi="Verdana" w:cs="Arial"/>
                <w:lang w:val="es-ES_tradnl"/>
              </w:rPr>
              <w:t xml:space="preserve">Agencia Nacional de Contratación Pública – Colombia Compra Eficiente. Guía Para El Ejercicio De Las Funciones De Supervisión E </w:t>
            </w:r>
            <w:r w:rsidRPr="00D4740A">
              <w:rPr>
                <w:rFonts w:ascii="Verdana" w:eastAsia="Aptos" w:hAnsi="Verdana" w:cs="Arial"/>
                <w:lang w:val="es-ES_tradnl"/>
              </w:rPr>
              <w:lastRenderedPageBreak/>
              <w:t xml:space="preserve">Interventoría De Los Contratos Suscritos Por Las Entidades Estatales. Disponible En: </w:t>
            </w:r>
            <w:hyperlink r:id="rId12" w:tooltip="Manual para el ejercicio de las funciones de supervisión e interventoría de los contratos suscritos por las Entidades Estatales" w:history="1">
              <w:r w:rsidRPr="00D4740A">
                <w:rPr>
                  <w:rStyle w:val="Hipervnculo"/>
                  <w:rFonts w:ascii="Verdana" w:eastAsia="Aptos" w:hAnsi="Verdana" w:cs="Arial"/>
                  <w:lang w:val="es-ES_tradnl"/>
                </w:rPr>
                <w:t>Manual para para el ejercicio de las funciones de supervisión e interventoría de los contratos suscritos por las Entidades Estatales - ANCP Colombia Compra Eficiente</w:t>
              </w:r>
            </w:hyperlink>
            <w:r w:rsidRPr="00D4740A">
              <w:rPr>
                <w:rFonts w:ascii="Verdana" w:eastAsia="Aptos" w:hAnsi="Verdana" w:cs="Arial"/>
                <w:color w:val="0000FF"/>
                <w:lang w:val="es-ES_tradnl"/>
              </w:rPr>
              <w:t>.</w:t>
            </w:r>
          </w:p>
          <w:p w14:paraId="14F7BC52" w14:textId="77777777" w:rsidR="0038366B" w:rsidRPr="00BA4DA1" w:rsidRDefault="0038366B" w:rsidP="00684EE8">
            <w:pPr>
              <w:widowControl w:val="0"/>
              <w:autoSpaceDE w:val="0"/>
              <w:autoSpaceDN w:val="0"/>
              <w:spacing w:line="276" w:lineRule="auto"/>
              <w:jc w:val="both"/>
              <w:rPr>
                <w:rFonts w:ascii="Verdana" w:hAnsi="Verdana" w:cs="Arial"/>
                <w:color w:val="4472C4" w:themeColor="accent1"/>
              </w:rPr>
            </w:pPr>
          </w:p>
        </w:tc>
      </w:tr>
    </w:tbl>
    <w:p w14:paraId="4B940A05" w14:textId="77777777" w:rsidR="0038366B" w:rsidRPr="00BA4DA1" w:rsidRDefault="0038366B" w:rsidP="0038366B">
      <w:pPr>
        <w:widowControl w:val="0"/>
        <w:autoSpaceDE w:val="0"/>
        <w:autoSpaceDN w:val="0"/>
        <w:spacing w:after="0" w:line="276" w:lineRule="auto"/>
        <w:jc w:val="both"/>
        <w:rPr>
          <w:rFonts w:ascii="Verdana" w:hAnsi="Verdana" w:cs="Arial"/>
          <w:color w:val="4472C4" w:themeColor="accent1"/>
          <w:lang w:val="es-ES"/>
        </w:rPr>
      </w:pPr>
    </w:p>
    <w:p w14:paraId="09512C86" w14:textId="77777777" w:rsidR="0038366B" w:rsidRPr="002B6F39" w:rsidRDefault="0038366B" w:rsidP="0038366B">
      <w:pPr>
        <w:tabs>
          <w:tab w:val="left" w:pos="142"/>
          <w:tab w:val="left" w:pos="284"/>
        </w:tabs>
        <w:spacing w:after="0" w:line="276" w:lineRule="auto"/>
        <w:jc w:val="both"/>
        <w:rPr>
          <w:rFonts w:ascii="Verdana" w:eastAsia="Century Gothic" w:hAnsi="Verdana" w:cs="Century Gothic"/>
          <w:b/>
          <w:lang w:val="es-ES"/>
        </w:rPr>
      </w:pPr>
      <w:r w:rsidRPr="002B6F39">
        <w:rPr>
          <w:rFonts w:ascii="Verdana" w:eastAsia="Century Gothic" w:hAnsi="Verdana" w:cs="Century Gothic"/>
          <w:b/>
          <w:lang w:val="es-ES"/>
        </w:rPr>
        <w:t>5. Doctrina de la Agencia Nacional de Contratación Pública:</w:t>
      </w:r>
    </w:p>
    <w:p w14:paraId="0A25C7D5" w14:textId="77777777" w:rsidR="0038366B" w:rsidRPr="00BA4DA1" w:rsidRDefault="0038366B" w:rsidP="0038366B">
      <w:pPr>
        <w:widowControl w:val="0"/>
        <w:autoSpaceDE w:val="0"/>
        <w:autoSpaceDN w:val="0"/>
        <w:spacing w:after="0" w:line="276" w:lineRule="auto"/>
        <w:jc w:val="both"/>
        <w:rPr>
          <w:rFonts w:ascii="Verdana" w:hAnsi="Verdana" w:cs="Arial"/>
          <w:color w:val="4472C4" w:themeColor="accent1"/>
          <w:lang w:val="es-ES"/>
        </w:rPr>
      </w:pPr>
    </w:p>
    <w:p w14:paraId="666FDDDD" w14:textId="77777777" w:rsidR="0038366B" w:rsidRPr="00F803D1" w:rsidRDefault="0038366B" w:rsidP="0038366B">
      <w:pPr>
        <w:spacing w:after="0"/>
        <w:jc w:val="both"/>
        <w:rPr>
          <w:rFonts w:ascii="Verdana" w:eastAsia="Calibri" w:hAnsi="Verdana" w:cs="Arial"/>
          <w:lang w:eastAsia="es-ES_tradnl"/>
        </w:rPr>
      </w:pPr>
      <w:r w:rsidRPr="00CA03A7">
        <w:rPr>
          <w:rFonts w:ascii="Verdana" w:eastAsia="Calibri" w:hAnsi="Verdana" w:cs="Arial"/>
          <w:lang w:val="es-ES"/>
        </w:rPr>
        <w:t xml:space="preserve">La Agencia Nacional de Contratación Pública – Colombia Compra Eficiente se ha referido </w:t>
      </w:r>
      <w:r w:rsidRPr="00CA03A7">
        <w:rPr>
          <w:rFonts w:ascii="Verdana" w:hAnsi="Verdana" w:cs="Arial"/>
          <w:shd w:val="clear" w:color="auto" w:fill="FFFFFF"/>
          <w:lang w:val="es-ES"/>
        </w:rPr>
        <w:t>sobre la supervisión e interventoría contractual en los conceptos con radicado</w:t>
      </w:r>
      <w:r w:rsidRPr="00CA03A7">
        <w:rPr>
          <w:rFonts w:ascii="Verdana" w:eastAsia="Calibri" w:hAnsi="Verdana" w:cs="Arial"/>
          <w:lang w:val="es-ES_tradnl" w:eastAsia="es-ES_tradnl"/>
        </w:rPr>
        <w:t xml:space="preserve"> C-620 del 27 de septiembre de 2022, C-650 del 27 de septiembre de 2022, C-679 de 24 de octubre de 2022, C-818 del 28 de noviembre de 2022, C-830 de 28 de noviembre de 2022, C-800 de 29 de noviembre de 2022, C-930 de 30 de diciembre de 2022, C-932 de 30 de diciembre de 2022, C-975 de 8 de marzo de 2032, C-191 de 27 de abril de 2023, C-089 de 2024 de 17 de julio de 2024, C-255 de 14 de agosto de 2024,C-600 del 7 de octubre de 2024, C-972 de 22 de enero de 2025, C-091 del 13 de febrero de 2025, C-459 del 14 de mayo de 2025</w:t>
      </w:r>
      <w:r>
        <w:rPr>
          <w:rFonts w:ascii="Verdana" w:eastAsia="Calibri" w:hAnsi="Verdana" w:cs="Arial"/>
          <w:lang w:val="es-ES_tradnl" w:eastAsia="es-ES_tradnl"/>
        </w:rPr>
        <w:t xml:space="preserve">, </w:t>
      </w:r>
      <w:r w:rsidRPr="009A45D4">
        <w:rPr>
          <w:rFonts w:ascii="Verdana" w:eastAsia="Calibri" w:hAnsi="Verdana" w:cs="Arial"/>
          <w:lang w:eastAsia="es-ES_tradnl"/>
        </w:rPr>
        <w:t>C-1791 de</w:t>
      </w:r>
      <w:r>
        <w:rPr>
          <w:rFonts w:ascii="Verdana" w:eastAsia="Calibri" w:hAnsi="Verdana" w:cs="Arial"/>
          <w:lang w:eastAsia="es-ES_tradnl"/>
        </w:rPr>
        <w:t>l 29 de diciembre de</w:t>
      </w:r>
      <w:r w:rsidRPr="009A45D4">
        <w:rPr>
          <w:rFonts w:ascii="Verdana" w:eastAsia="Calibri" w:hAnsi="Verdana" w:cs="Arial"/>
          <w:lang w:eastAsia="es-ES_tradnl"/>
        </w:rPr>
        <w:t xml:space="preserve"> 2025</w:t>
      </w:r>
      <w:r>
        <w:rPr>
          <w:rFonts w:ascii="Verdana" w:eastAsia="Calibri" w:hAnsi="Verdana" w:cs="Arial"/>
          <w:lang w:eastAsia="es-ES_tradnl"/>
        </w:rPr>
        <w:t xml:space="preserve">, </w:t>
      </w:r>
      <w:r w:rsidRPr="00F803D1">
        <w:rPr>
          <w:rFonts w:ascii="Verdana" w:eastAsia="Calibri" w:hAnsi="Verdana" w:cs="Arial"/>
          <w:lang w:eastAsia="es-ES_tradnl"/>
        </w:rPr>
        <w:t>C-455 de</w:t>
      </w:r>
      <w:r>
        <w:rPr>
          <w:rFonts w:ascii="Verdana" w:eastAsia="Calibri" w:hAnsi="Verdana" w:cs="Arial"/>
          <w:lang w:eastAsia="es-ES_tradnl"/>
        </w:rPr>
        <w:t>l 04 de mayo de</w:t>
      </w:r>
      <w:r w:rsidRPr="00F803D1">
        <w:rPr>
          <w:rFonts w:ascii="Verdana" w:eastAsia="Calibri" w:hAnsi="Verdana" w:cs="Arial"/>
          <w:lang w:eastAsia="es-ES_tradnl"/>
        </w:rPr>
        <w:t xml:space="preserve"> 2026</w:t>
      </w:r>
      <w:r>
        <w:rPr>
          <w:rFonts w:ascii="Verdana" w:eastAsia="Calibri" w:hAnsi="Verdana" w:cs="Arial"/>
          <w:lang w:eastAsia="es-ES_tradnl"/>
        </w:rPr>
        <w:t xml:space="preserve"> y C-628 del 27 de mayo de 2026, entre otros.</w:t>
      </w:r>
    </w:p>
    <w:p w14:paraId="6C9F5CEC" w14:textId="77777777" w:rsidR="0038366B" w:rsidRPr="00F803D1" w:rsidRDefault="0038366B" w:rsidP="0038366B">
      <w:pPr>
        <w:spacing w:after="0"/>
        <w:jc w:val="both"/>
        <w:rPr>
          <w:rFonts w:ascii="Verdana" w:hAnsi="Verdana" w:cs="Arial"/>
          <w:color w:val="4472C4" w:themeColor="accent1"/>
          <w:shd w:val="clear" w:color="auto" w:fill="FFFFFF"/>
        </w:rPr>
      </w:pPr>
    </w:p>
    <w:bookmarkEnd w:id="0"/>
    <w:p w14:paraId="38BCAA51" w14:textId="77777777" w:rsidR="0038366B" w:rsidRPr="00E902FF" w:rsidRDefault="0038366B" w:rsidP="0038366B">
      <w:pPr>
        <w:spacing w:after="0" w:line="276" w:lineRule="auto"/>
        <w:jc w:val="both"/>
        <w:rPr>
          <w:rFonts w:ascii="Verdana" w:hAnsi="Verdana"/>
          <w:color w:val="EE0000"/>
        </w:rPr>
      </w:pPr>
      <w:r w:rsidRPr="00E902FF">
        <w:rPr>
          <w:rFonts w:ascii="Verdana" w:hAnsi="Verdana" w:cs="Arial"/>
          <w:shd w:val="clear" w:color="auto" w:fill="FFFFFF"/>
          <w:lang w:val="es-ES"/>
        </w:rPr>
        <w:t>Estos</w:t>
      </w:r>
      <w:r w:rsidRPr="00E902FF">
        <w:rPr>
          <w:rFonts w:ascii="Verdana" w:hAnsi="Verdana"/>
          <w:lang w:val="es-ES"/>
        </w:rPr>
        <w:t xml:space="preserve"> y otros se encuentran disponibles para consulta en el Sistema de relatoría de la Agencia, al cual se puede acceder a través del siguiente enlace:</w:t>
      </w:r>
      <w:r w:rsidRPr="00E902FF">
        <w:rPr>
          <w:rFonts w:ascii="Verdana" w:hAnsi="Verdana" w:cs="Arial"/>
          <w:shd w:val="clear" w:color="auto" w:fill="FFFFFF"/>
          <w:lang w:val="es-ES"/>
        </w:rPr>
        <w:t xml:space="preserve"> </w:t>
      </w:r>
      <w:hyperlink r:id="rId13" w:history="1">
        <w:r w:rsidRPr="00E902FF">
          <w:rPr>
            <w:rStyle w:val="Hipervnculo"/>
            <w:rFonts w:ascii="Verdana" w:hAnsi="Verdana" w:cs="Arial"/>
            <w:shd w:val="clear" w:color="auto" w:fill="FFFFFF"/>
            <w:lang w:val="es-ES"/>
          </w:rPr>
          <w:t>https://relatoria.colombiacompra.gov.co/busqueda/conceptos</w:t>
        </w:r>
      </w:hyperlink>
    </w:p>
    <w:p w14:paraId="38DEC483" w14:textId="77777777" w:rsidR="0038366B" w:rsidRPr="00E902FF" w:rsidRDefault="0038366B" w:rsidP="0038366B">
      <w:pPr>
        <w:spacing w:after="0" w:line="276" w:lineRule="auto"/>
        <w:jc w:val="both"/>
        <w:rPr>
          <w:rStyle w:val="normaltextrun"/>
          <w:rFonts w:ascii="Verdana" w:hAnsi="Verdana" w:cs="Arial"/>
          <w:color w:val="EE0000"/>
          <w:shd w:val="clear" w:color="auto" w:fill="FFFFFF"/>
        </w:rPr>
      </w:pPr>
    </w:p>
    <w:p w14:paraId="55259C52" w14:textId="77777777" w:rsidR="0038366B" w:rsidRPr="00E902FF" w:rsidRDefault="0038366B" w:rsidP="0038366B">
      <w:pPr>
        <w:spacing w:after="0" w:line="276" w:lineRule="auto"/>
        <w:jc w:val="both"/>
        <w:rPr>
          <w:rFonts w:ascii="Verdana" w:hAnsi="Verdana"/>
          <w:color w:val="EE0000"/>
        </w:rPr>
      </w:pPr>
      <w:r w:rsidRPr="00E902FF">
        <w:rPr>
          <w:rFonts w:ascii="Verdana" w:hAnsi="Verdana"/>
        </w:rPr>
        <w:t xml:space="preserve">La sostenibilidad no es una opción, es una obligación. Por ello, la Agencia Nacional de Contratación Pública –Colombia Compra Eficiente– te invita a realizar el </w:t>
      </w:r>
      <w:r w:rsidRPr="00E902FF">
        <w:rPr>
          <w:rFonts w:ascii="Verdana" w:hAnsi="Verdana"/>
          <w:b/>
          <w:bCs/>
        </w:rPr>
        <w:t>Curso de Contratación Pública Sostenible y Socialmente Responsable</w:t>
      </w:r>
      <w:r w:rsidRPr="00E902FF">
        <w:rPr>
          <w:rFonts w:ascii="Verdana" w:hAnsi="Verdana"/>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E902FF">
        <w:rPr>
          <w:rFonts w:ascii="Verdana" w:hAnsi="Verdana"/>
          <w:color w:val="EE0000"/>
        </w:rPr>
        <w:br/>
      </w:r>
      <w:hyperlink r:id="rId14" w:tgtFrame="_new" w:history="1">
        <w:r w:rsidRPr="00E902FF">
          <w:rPr>
            <w:rStyle w:val="Hipervnculo"/>
            <w:rFonts w:ascii="Verdana" w:hAnsi="Verdana"/>
          </w:rPr>
          <w:t>https://formacionvirtual.colombiacompra.gov.co/mod/page/view.php?id=3718</w:t>
        </w:r>
      </w:hyperlink>
    </w:p>
    <w:p w14:paraId="1EEAE19D" w14:textId="77777777" w:rsidR="0038366B" w:rsidRPr="00E902FF" w:rsidRDefault="0038366B" w:rsidP="0038366B">
      <w:pPr>
        <w:spacing w:after="0" w:line="276" w:lineRule="auto"/>
        <w:jc w:val="both"/>
        <w:rPr>
          <w:rFonts w:ascii="Verdana" w:hAnsi="Verdana"/>
          <w:color w:val="EE0000"/>
        </w:rPr>
      </w:pPr>
    </w:p>
    <w:p w14:paraId="33DE061F" w14:textId="77777777" w:rsidR="0038366B" w:rsidRPr="00E902FF" w:rsidRDefault="0038366B" w:rsidP="0038366B">
      <w:pPr>
        <w:spacing w:after="0" w:line="276" w:lineRule="auto"/>
        <w:jc w:val="both"/>
        <w:rPr>
          <w:rFonts w:ascii="Verdana" w:hAnsi="Verdana"/>
          <w:color w:val="EE0000"/>
        </w:rPr>
      </w:pPr>
      <w:r w:rsidRPr="00E902FF">
        <w:rPr>
          <w:rFonts w:ascii="Verdana" w:hAnsi="Verdana"/>
        </w:rPr>
        <w:t xml:space="preserve">De otro lado, te contamos que esta Agencia ha da un paso decisivo en la estandarización y modernización del </w:t>
      </w:r>
      <w:r w:rsidRPr="00E902FF">
        <w:rPr>
          <w:rFonts w:ascii="Verdana" w:hAnsi="Verdana"/>
          <w:b/>
          <w:bCs/>
        </w:rPr>
        <w:t>sector  social</w:t>
      </w:r>
      <w:r w:rsidRPr="00E902FF">
        <w:rPr>
          <w:rFonts w:ascii="Verdana" w:hAnsi="Verdana"/>
        </w:rPr>
        <w:t xml:space="preserve"> con la expedición de las </w:t>
      </w:r>
      <w:r w:rsidRPr="00E902FF">
        <w:rPr>
          <w:rFonts w:ascii="Verdana" w:hAnsi="Verdana"/>
          <w:b/>
          <w:bCs/>
        </w:rPr>
        <w:t>Resoluciones 539, 540, 541, 952 y 953 de 2025</w:t>
      </w:r>
      <w:r w:rsidRPr="00E902FF">
        <w:rPr>
          <w:rFonts w:ascii="Verdana" w:hAnsi="Verdana"/>
        </w:rPr>
        <w:t xml:space="preserve">, </w:t>
      </w:r>
      <w:r w:rsidRPr="00E902FF">
        <w:rPr>
          <w:rFonts w:ascii="Verdana" w:hAnsi="Verdana"/>
          <w:b/>
          <w:bCs/>
        </w:rPr>
        <w:t>mediante las cuales adoptó Documentos Tipo</w:t>
      </w:r>
      <w:r w:rsidRPr="00E902FF">
        <w:rPr>
          <w:rFonts w:ascii="Verdana" w:hAnsi="Verdana"/>
        </w:rPr>
        <w:t xml:space="preserve"> para las modalidades de selección de</w:t>
      </w:r>
      <w:r w:rsidRPr="00E902FF">
        <w:rPr>
          <w:rFonts w:ascii="Verdana" w:hAnsi="Verdana"/>
          <w:b/>
          <w:bCs/>
        </w:rPr>
        <w:t xml:space="preserve"> licitación </w:t>
      </w:r>
      <w:r w:rsidRPr="00E902FF">
        <w:rPr>
          <w:rFonts w:ascii="Verdana" w:hAnsi="Verdana"/>
          <w:b/>
          <w:bCs/>
        </w:rPr>
        <w:lastRenderedPageBreak/>
        <w:t>pública (versión 2), selección abreviada de menor cuantía, mínima cuantía, consultoría e interventoría</w:t>
      </w:r>
      <w:r w:rsidRPr="00E902FF">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5" w:tgtFrame="_new" w:history="1">
        <w:r w:rsidRPr="00E902FF">
          <w:rPr>
            <w:rStyle w:val="Hipervnculo"/>
            <w:rFonts w:ascii="Verdana" w:hAnsi="Verdana"/>
          </w:rPr>
          <w:t>https://www.colombiacompra.gov.co/normativa-y-relatoria/documentos-tipo</w:t>
        </w:r>
      </w:hyperlink>
    </w:p>
    <w:p w14:paraId="679DB50B" w14:textId="77777777" w:rsidR="0038366B" w:rsidRPr="00E902FF" w:rsidRDefault="0038366B" w:rsidP="0038366B">
      <w:pPr>
        <w:spacing w:after="0" w:line="276" w:lineRule="auto"/>
        <w:jc w:val="both"/>
        <w:rPr>
          <w:rFonts w:ascii="Verdana" w:hAnsi="Verdana"/>
          <w:color w:val="EE0000"/>
        </w:rPr>
      </w:pPr>
    </w:p>
    <w:p w14:paraId="28374269" w14:textId="77777777" w:rsidR="0038366B" w:rsidRPr="00E902FF" w:rsidRDefault="0038366B" w:rsidP="0038366B">
      <w:pPr>
        <w:spacing w:after="0" w:line="276" w:lineRule="auto"/>
        <w:jc w:val="both"/>
        <w:rPr>
          <w:rFonts w:ascii="Verdana" w:hAnsi="Verdana"/>
          <w:color w:val="EE0000"/>
        </w:rPr>
      </w:pPr>
      <w:r w:rsidRPr="00E902FF">
        <w:rPr>
          <w:rFonts w:ascii="Verdana" w:hAnsi="Verdana"/>
        </w:rPr>
        <w:t xml:space="preserve">Si quieres conocer más sobre la aplicación de Documentos Tipo puedes consultar la última versión de la </w:t>
      </w:r>
      <w:r w:rsidRPr="00E902FF">
        <w:rPr>
          <w:rFonts w:ascii="Verdana" w:hAnsi="Verdana"/>
          <w:b/>
          <w:bCs/>
        </w:rPr>
        <w:t>Guía para la comprensión e implementación de los Documentos Tipo de obra pública de infraestructura de transporte</w:t>
      </w:r>
      <w:r w:rsidRPr="00E902FF">
        <w:rPr>
          <w:rFonts w:ascii="Verdana" w:hAnsi="Verdana"/>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E902FF">
        <w:rPr>
          <w:rFonts w:ascii="Verdana" w:hAnsi="Verdana"/>
          <w:color w:val="EE0000"/>
        </w:rPr>
        <w:br/>
      </w:r>
      <w:hyperlink r:id="rId16" w:tgtFrame="_new" w:history="1">
        <w:r w:rsidRPr="00E902FF">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6AFB80B2" w14:textId="77777777" w:rsidR="0038366B" w:rsidRPr="00E902FF" w:rsidRDefault="0038366B" w:rsidP="0038366B">
      <w:pPr>
        <w:spacing w:after="0" w:line="276" w:lineRule="auto"/>
        <w:jc w:val="both"/>
        <w:rPr>
          <w:rFonts w:ascii="Verdana" w:hAnsi="Verdana" w:cs="Arial"/>
          <w:color w:val="EE0000"/>
          <w:shd w:val="clear" w:color="auto" w:fill="FFFFFF"/>
        </w:rPr>
      </w:pPr>
    </w:p>
    <w:p w14:paraId="4D85229A" w14:textId="77777777" w:rsidR="0038366B" w:rsidRPr="00E902FF" w:rsidRDefault="0038366B" w:rsidP="0038366B">
      <w:pPr>
        <w:spacing w:after="0"/>
        <w:jc w:val="both"/>
        <w:rPr>
          <w:rFonts w:ascii="Verdana" w:hAnsi="Verdana"/>
        </w:rPr>
      </w:pPr>
      <w:r w:rsidRPr="00E902FF">
        <w:rPr>
          <w:rFonts w:ascii="Verdana" w:hAnsi="Verdana"/>
        </w:rPr>
        <w:t xml:space="preserve">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078D4431" w14:textId="77777777" w:rsidR="0038366B" w:rsidRPr="00E902FF" w:rsidRDefault="0038366B" w:rsidP="0038366B">
      <w:pPr>
        <w:spacing w:after="0"/>
        <w:jc w:val="both"/>
        <w:rPr>
          <w:rFonts w:ascii="Verdana" w:hAnsi="Verdana"/>
        </w:rPr>
      </w:pPr>
    </w:p>
    <w:p w14:paraId="517DC1E6" w14:textId="77777777" w:rsidR="0038366B" w:rsidRPr="00E902FF" w:rsidRDefault="0038366B" w:rsidP="0038366B">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E902FF">
        <w:rPr>
          <w:rFonts w:ascii="Verdana" w:eastAsia="Verdana" w:hAnsi="Verdana" w:cs="Verdana"/>
          <w:lang w:val="es-MX"/>
        </w:rPr>
        <w:t xml:space="preserve">Línea nacional gratuita o servicio a la ciudadanía (Mesa de servicio): </w:t>
      </w:r>
      <w:r w:rsidRPr="00E902FF">
        <w:rPr>
          <w:rStyle w:val="Hipervnculo"/>
          <w:rFonts w:ascii="Verdana" w:hAnsi="Verdana"/>
        </w:rPr>
        <w:t>01800 0520808</w:t>
      </w:r>
    </w:p>
    <w:p w14:paraId="608473F0" w14:textId="77777777" w:rsidR="0038366B" w:rsidRPr="00E902FF" w:rsidRDefault="0038366B" w:rsidP="0038366B">
      <w:pPr>
        <w:pStyle w:val="Prrafodelista"/>
        <w:numPr>
          <w:ilvl w:val="0"/>
          <w:numId w:val="15"/>
        </w:numPr>
        <w:spacing w:after="0"/>
        <w:rPr>
          <w:rFonts w:ascii="Verdana" w:eastAsia="Verdana" w:hAnsi="Verdana" w:cs="Verdana"/>
          <w:color w:val="4472C4" w:themeColor="accent1"/>
          <w:u w:val="single"/>
          <w:lang w:val="es-MX"/>
        </w:rPr>
      </w:pPr>
      <w:r w:rsidRPr="00E902FF">
        <w:rPr>
          <w:rFonts w:ascii="Verdana" w:eastAsia="Verdana" w:hAnsi="Verdana" w:cs="Verdana"/>
          <w:lang w:val="es-MX"/>
        </w:rPr>
        <w:t>Línea en Bogotá (Mesa de servicio</w:t>
      </w:r>
      <w:proofErr w:type="gramStart"/>
      <w:r w:rsidRPr="00E902FF">
        <w:rPr>
          <w:rFonts w:ascii="Verdana" w:eastAsia="Verdana" w:hAnsi="Verdana" w:cs="Verdana"/>
          <w:lang w:val="es-MX"/>
        </w:rPr>
        <w:t>):</w:t>
      </w:r>
      <w:r w:rsidRPr="00E902FF">
        <w:rPr>
          <w:rStyle w:val="Hipervnculo"/>
          <w:rFonts w:ascii="Verdana" w:hAnsi="Verdana"/>
        </w:rPr>
        <w:t>+</w:t>
      </w:r>
      <w:proofErr w:type="gramEnd"/>
      <w:r w:rsidRPr="00E902FF">
        <w:rPr>
          <w:rStyle w:val="Hipervnculo"/>
          <w:rFonts w:ascii="Verdana" w:hAnsi="Verdana"/>
        </w:rPr>
        <w:t>57 601 7456788</w:t>
      </w:r>
    </w:p>
    <w:p w14:paraId="5460A0CB" w14:textId="77777777" w:rsidR="0038366B" w:rsidRPr="00E902FF" w:rsidRDefault="0038366B" w:rsidP="0038366B">
      <w:pPr>
        <w:pStyle w:val="Prrafodelista"/>
        <w:numPr>
          <w:ilvl w:val="0"/>
          <w:numId w:val="15"/>
        </w:numPr>
        <w:spacing w:after="0"/>
        <w:rPr>
          <w:rFonts w:ascii="Verdana" w:eastAsia="Verdana" w:hAnsi="Verdana" w:cs="Verdana"/>
          <w:color w:val="0000FF"/>
          <w:u w:val="single"/>
          <w:lang w:val="es-MX"/>
        </w:rPr>
      </w:pPr>
      <w:r w:rsidRPr="00E902FF">
        <w:rPr>
          <w:rFonts w:ascii="Verdana" w:eastAsia="Verdana" w:hAnsi="Verdana" w:cs="Verdana"/>
          <w:lang w:val="es-MX"/>
        </w:rPr>
        <w:t xml:space="preserve">Correo de radicación de correspondencia: </w:t>
      </w:r>
      <w:hyperlink r:id="rId17">
        <w:r w:rsidRPr="00E902FF">
          <w:rPr>
            <w:rStyle w:val="Hipervnculo"/>
            <w:rFonts w:ascii="Verdana" w:eastAsia="Verdana" w:hAnsi="Verdana" w:cs="Verdana"/>
            <w:lang w:val="es-MX"/>
          </w:rPr>
          <w:t>ventanilladeradicacion@colombiacompra.gov.co</w:t>
        </w:r>
      </w:hyperlink>
    </w:p>
    <w:p w14:paraId="1A056716" w14:textId="77777777" w:rsidR="0038366B" w:rsidRPr="00E902FF" w:rsidRDefault="0038366B" w:rsidP="0038366B">
      <w:pPr>
        <w:pStyle w:val="Prrafodelista"/>
        <w:numPr>
          <w:ilvl w:val="0"/>
          <w:numId w:val="15"/>
        </w:numPr>
        <w:spacing w:after="0"/>
        <w:rPr>
          <w:rFonts w:ascii="Verdana" w:eastAsia="Verdana" w:hAnsi="Verdana" w:cs="Verdana"/>
          <w:color w:val="0000FF"/>
          <w:u w:val="single"/>
          <w:lang w:val="es-MX"/>
        </w:rPr>
      </w:pPr>
      <w:r w:rsidRPr="00E902FF">
        <w:rPr>
          <w:rFonts w:ascii="Verdana" w:eastAsia="Verdana" w:hAnsi="Verdana" w:cs="Verdana"/>
        </w:rPr>
        <w:t>Formulario web para</w:t>
      </w:r>
      <w:r w:rsidRPr="00E902FF">
        <w:rPr>
          <w:rFonts w:ascii="Verdana" w:eastAsia="Verdana" w:hAnsi="Verdana" w:cs="Verdana"/>
          <w:lang w:val="es"/>
        </w:rPr>
        <w:t xml:space="preserve"> PQRSD: </w:t>
      </w:r>
      <w:hyperlink r:id="rId18">
        <w:r w:rsidRPr="00E902FF">
          <w:rPr>
            <w:rStyle w:val="Hipervnculo"/>
            <w:rFonts w:ascii="Verdana" w:eastAsia="Verdana" w:hAnsi="Verdana" w:cs="Verdana"/>
            <w:lang w:val="es-MX"/>
          </w:rPr>
          <w:t>https://www.colombiacompra.gov.co/pqrsd/informacion-importante-antes-de-formular-una-pqrsd</w:t>
        </w:r>
      </w:hyperlink>
    </w:p>
    <w:p w14:paraId="5C507A93" w14:textId="77777777" w:rsidR="0038366B" w:rsidRPr="00E902FF" w:rsidRDefault="0038366B" w:rsidP="0038366B">
      <w:pPr>
        <w:spacing w:after="0" w:line="240" w:lineRule="auto"/>
        <w:ind w:left="720"/>
        <w:jc w:val="both"/>
        <w:rPr>
          <w:rFonts w:ascii="Verdana" w:hAnsi="Verdana"/>
        </w:rPr>
      </w:pPr>
    </w:p>
    <w:p w14:paraId="167B5377" w14:textId="77777777" w:rsidR="0038366B" w:rsidRPr="00E902FF" w:rsidRDefault="0038366B" w:rsidP="0038366B">
      <w:pPr>
        <w:spacing w:after="0" w:line="240" w:lineRule="auto"/>
        <w:jc w:val="both"/>
        <w:rPr>
          <w:rFonts w:ascii="Verdana" w:hAnsi="Verdana"/>
        </w:rPr>
      </w:pPr>
      <w:r w:rsidRPr="00E902FF">
        <w:rPr>
          <w:rFonts w:ascii="Verdana" w:hAnsi="Verdana"/>
        </w:rPr>
        <w:lastRenderedPageBreak/>
        <w:t xml:space="preserve">Evalúa el servicio que ofrece la Agencia por el canal de atención de PQRSD en el siguiente enlace: </w:t>
      </w:r>
      <w:hyperlink r:id="rId19" w:history="1">
        <w:r w:rsidRPr="00E902FF">
          <w:rPr>
            <w:rStyle w:val="Hipervnculo"/>
            <w:rFonts w:ascii="Verdana" w:hAnsi="Verdana"/>
          </w:rPr>
          <w:t>https://forms.office.com/r/pPHyWVs2SZ</w:t>
        </w:r>
      </w:hyperlink>
      <w:r w:rsidRPr="00E902FF">
        <w:rPr>
          <w:rFonts w:ascii="Verdana" w:hAnsi="Verdana"/>
        </w:rPr>
        <w:t xml:space="preserve"> .¡Ayúdanos a mejorar porque el compromiso es de todos!</w:t>
      </w:r>
    </w:p>
    <w:p w14:paraId="143DAB97" w14:textId="77777777" w:rsidR="0038366B" w:rsidRPr="00E902FF" w:rsidRDefault="0038366B" w:rsidP="0038366B">
      <w:pPr>
        <w:spacing w:after="0" w:line="240" w:lineRule="auto"/>
        <w:rPr>
          <w:rFonts w:ascii="Verdana" w:hAnsi="Verdana"/>
        </w:rPr>
      </w:pPr>
    </w:p>
    <w:p w14:paraId="1CEC6B8B" w14:textId="77777777" w:rsidR="0038366B" w:rsidRPr="00E902FF" w:rsidRDefault="0038366B" w:rsidP="0038366B">
      <w:pPr>
        <w:spacing w:after="0" w:line="240" w:lineRule="auto"/>
        <w:jc w:val="both"/>
        <w:rPr>
          <w:rFonts w:ascii="Verdana" w:hAnsi="Verdana"/>
        </w:rPr>
      </w:pPr>
      <w:r w:rsidRPr="00E902FF">
        <w:rPr>
          <w:rFonts w:ascii="Verdana" w:hAnsi="Verdana"/>
        </w:rPr>
        <w:t xml:space="preserve">Por último, lo invitamos a seguirnos en las redes sociales en las cuales se difunde información institucional: </w:t>
      </w:r>
    </w:p>
    <w:p w14:paraId="34E66300" w14:textId="77777777" w:rsidR="0038366B" w:rsidRPr="00E902FF" w:rsidRDefault="0038366B" w:rsidP="0038366B">
      <w:pPr>
        <w:spacing w:after="0" w:line="240" w:lineRule="auto"/>
        <w:jc w:val="both"/>
        <w:rPr>
          <w:rFonts w:ascii="Verdana" w:hAnsi="Verdana"/>
        </w:rPr>
      </w:pPr>
    </w:p>
    <w:p w14:paraId="0570D6FD" w14:textId="77777777" w:rsidR="0038366B" w:rsidRPr="00E902FF" w:rsidRDefault="0038366B" w:rsidP="0038366B">
      <w:pPr>
        <w:spacing w:after="0" w:line="240" w:lineRule="auto"/>
        <w:jc w:val="both"/>
        <w:rPr>
          <w:rFonts w:ascii="Verdana" w:hAnsi="Verdana"/>
        </w:rPr>
      </w:pPr>
      <w:r w:rsidRPr="00E902FF">
        <w:rPr>
          <w:rFonts w:ascii="Verdana" w:hAnsi="Verdana"/>
        </w:rPr>
        <w:t xml:space="preserve">Twitter: </w:t>
      </w:r>
      <w:r w:rsidRPr="00E902FF">
        <w:rPr>
          <w:rStyle w:val="Hipervnculo"/>
          <w:rFonts w:ascii="Verdana" w:hAnsi="Verdana"/>
        </w:rPr>
        <w:t>@colombiacompra</w:t>
      </w:r>
      <w:r w:rsidRPr="00E902FF">
        <w:rPr>
          <w:rFonts w:ascii="Verdana" w:hAnsi="Verdana"/>
        </w:rPr>
        <w:t xml:space="preserve"> </w:t>
      </w:r>
    </w:p>
    <w:p w14:paraId="54F44F2C" w14:textId="77777777" w:rsidR="0038366B" w:rsidRPr="00E902FF" w:rsidRDefault="0038366B" w:rsidP="0038366B">
      <w:pPr>
        <w:spacing w:after="0" w:line="240" w:lineRule="auto"/>
        <w:jc w:val="both"/>
        <w:rPr>
          <w:rFonts w:ascii="Verdana" w:hAnsi="Verdana"/>
        </w:rPr>
      </w:pPr>
      <w:r w:rsidRPr="00E902FF">
        <w:rPr>
          <w:rFonts w:ascii="Verdana" w:hAnsi="Verdana"/>
        </w:rPr>
        <w:t xml:space="preserve">Facebook: </w:t>
      </w:r>
      <w:r w:rsidRPr="00E902FF">
        <w:rPr>
          <w:rStyle w:val="Hipervnculo"/>
          <w:rFonts w:ascii="Verdana" w:hAnsi="Verdana"/>
        </w:rPr>
        <w:t>ColombiaCompraEficiente</w:t>
      </w:r>
    </w:p>
    <w:p w14:paraId="3B8E2BB8" w14:textId="77777777" w:rsidR="0038366B" w:rsidRPr="00E902FF" w:rsidRDefault="0038366B" w:rsidP="0038366B">
      <w:pPr>
        <w:spacing w:after="0" w:line="240" w:lineRule="auto"/>
        <w:jc w:val="both"/>
        <w:rPr>
          <w:rFonts w:ascii="Verdana" w:hAnsi="Verdana"/>
        </w:rPr>
      </w:pPr>
      <w:r w:rsidRPr="00E902FF">
        <w:rPr>
          <w:rFonts w:ascii="Verdana" w:hAnsi="Verdana"/>
        </w:rPr>
        <w:t xml:space="preserve">LinkedIn: </w:t>
      </w:r>
      <w:r w:rsidRPr="00E902FF">
        <w:rPr>
          <w:rStyle w:val="Hipervnculo"/>
          <w:rFonts w:ascii="Verdana" w:hAnsi="Verdana"/>
        </w:rPr>
        <w:t>Agencia Nacional de Contratación Pública - Colombia Compra Eficiente</w:t>
      </w:r>
      <w:r w:rsidRPr="00E902FF">
        <w:rPr>
          <w:rFonts w:ascii="Verdana" w:hAnsi="Verdana"/>
        </w:rPr>
        <w:t xml:space="preserve"> Instagram: </w:t>
      </w:r>
      <w:r w:rsidRPr="00E902FF">
        <w:rPr>
          <w:rStyle w:val="Hipervnculo"/>
          <w:rFonts w:ascii="Verdana" w:hAnsi="Verdana"/>
        </w:rPr>
        <w:t>@colombiacompraeficiente_cce</w:t>
      </w:r>
    </w:p>
    <w:p w14:paraId="582FF86D" w14:textId="77777777" w:rsidR="0038366B" w:rsidRPr="00E902FF" w:rsidRDefault="0038366B" w:rsidP="0038366B">
      <w:pPr>
        <w:widowControl w:val="0"/>
        <w:autoSpaceDE w:val="0"/>
        <w:autoSpaceDN w:val="0"/>
        <w:spacing w:after="0" w:line="276" w:lineRule="auto"/>
        <w:jc w:val="both"/>
        <w:rPr>
          <w:rFonts w:ascii="Verdana" w:hAnsi="Verdana" w:cs="Arial"/>
        </w:rPr>
      </w:pPr>
    </w:p>
    <w:p w14:paraId="435A4B7C" w14:textId="77777777" w:rsidR="0038366B" w:rsidRPr="00E902FF" w:rsidRDefault="0038366B" w:rsidP="0038366B">
      <w:pPr>
        <w:widowControl w:val="0"/>
        <w:autoSpaceDE w:val="0"/>
        <w:autoSpaceDN w:val="0"/>
        <w:spacing w:after="0" w:line="276" w:lineRule="auto"/>
        <w:jc w:val="both"/>
        <w:rPr>
          <w:rFonts w:ascii="Verdana" w:hAnsi="Verdana" w:cs="Arial"/>
          <w:lang w:val="es-ES"/>
        </w:rPr>
      </w:pPr>
      <w:r w:rsidRPr="00E902FF">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7A0E9E5F" w14:textId="77777777" w:rsidR="0038366B" w:rsidRPr="00E902FF" w:rsidRDefault="0038366B" w:rsidP="0038366B">
      <w:pPr>
        <w:widowControl w:val="0"/>
        <w:autoSpaceDE w:val="0"/>
        <w:autoSpaceDN w:val="0"/>
        <w:spacing w:after="0" w:line="276" w:lineRule="auto"/>
        <w:jc w:val="both"/>
        <w:rPr>
          <w:rFonts w:ascii="Verdana" w:hAnsi="Verdana" w:cs="Arial"/>
          <w:lang w:val="es-ES"/>
        </w:rPr>
      </w:pPr>
    </w:p>
    <w:p w14:paraId="708BF1BA" w14:textId="1753786A" w:rsidR="0038366B" w:rsidRPr="002B6D8A" w:rsidRDefault="0038366B" w:rsidP="002B6D8A">
      <w:pPr>
        <w:spacing w:after="0" w:line="276" w:lineRule="auto"/>
        <w:rPr>
          <w:rFonts w:ascii="Verdana" w:hAnsi="Verdana" w:cs="Arial"/>
          <w:lang w:val="es-ES" w:eastAsia="es-CO"/>
        </w:rPr>
      </w:pPr>
      <w:r w:rsidRPr="00E902FF">
        <w:rPr>
          <w:rFonts w:ascii="Verdana" w:eastAsia="Times New Roman" w:hAnsi="Verdana" w:cs="Arial"/>
          <w:lang w:val="es-ES" w:eastAsia="es-CO"/>
        </w:rPr>
        <w:t>Atentamente,</w:t>
      </w:r>
      <w:r w:rsidRPr="00E902FF">
        <w:rPr>
          <w:rFonts w:ascii="Verdana" w:hAnsi="Verdana" w:cs="Arial"/>
          <w:lang w:val="es-ES" w:eastAsia="es-CO"/>
        </w:rPr>
        <w:t xml:space="preserve"> </w:t>
      </w:r>
    </w:p>
    <w:p w14:paraId="4169862E" w14:textId="783F3001" w:rsidR="0038366B" w:rsidRPr="00E902FF" w:rsidRDefault="002B6D8A" w:rsidP="002B6D8A">
      <w:pPr>
        <w:spacing w:after="0" w:line="276" w:lineRule="auto"/>
        <w:jc w:val="center"/>
        <w:rPr>
          <w:rFonts w:ascii="Verdana" w:hAnsi="Verdana" w:cs="Arial"/>
          <w:color w:val="EE0000"/>
          <w:lang w:val="es-ES" w:eastAsia="es-CO"/>
        </w:rPr>
      </w:pPr>
      <w:r w:rsidRPr="002B6D8A">
        <w:rPr>
          <w:rFonts w:ascii="Verdana" w:hAnsi="Verdana" w:cs="Arial"/>
          <w:color w:val="EE0000"/>
          <w:lang w:val="es-ES" w:eastAsia="es-CO"/>
        </w:rPr>
        <w:drawing>
          <wp:inline distT="0" distB="0" distL="0" distR="0" wp14:anchorId="717C4FF1" wp14:editId="4913CAAF">
            <wp:extent cx="2695951" cy="1076475"/>
            <wp:effectExtent l="0" t="0" r="9525" b="9525"/>
            <wp:docPr id="3542832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283202" name=""/>
                    <pic:cNvPicPr/>
                  </pic:nvPicPr>
                  <pic:blipFill>
                    <a:blip r:embed="rId20"/>
                    <a:stretch>
                      <a:fillRect/>
                    </a:stretch>
                  </pic:blipFill>
                  <pic:spPr>
                    <a:xfrm>
                      <a:off x="0" y="0"/>
                      <a:ext cx="2695951" cy="1076475"/>
                    </a:xfrm>
                    <a:prstGeom prst="rect">
                      <a:avLst/>
                    </a:prstGeom>
                  </pic:spPr>
                </pic:pic>
              </a:graphicData>
            </a:graphic>
          </wp:inline>
        </w:drawing>
      </w:r>
    </w:p>
    <w:p w14:paraId="084D7518" w14:textId="77777777" w:rsidR="0038366B" w:rsidRPr="00E902FF" w:rsidRDefault="0038366B" w:rsidP="0038366B">
      <w:pPr>
        <w:spacing w:after="0" w:line="276" w:lineRule="auto"/>
        <w:rPr>
          <w:rFonts w:ascii="Verdana" w:hAnsi="Verdana" w:cs="Arial"/>
          <w:color w:val="EE0000"/>
          <w:lang w:val="es-ES"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38366B" w:rsidRPr="00E902FF" w14:paraId="11F690E1" w14:textId="77777777" w:rsidTr="00684EE8">
        <w:trPr>
          <w:trHeight w:val="315"/>
        </w:trPr>
        <w:tc>
          <w:tcPr>
            <w:tcW w:w="893" w:type="dxa"/>
            <w:vAlign w:val="center"/>
            <w:hideMark/>
          </w:tcPr>
          <w:p w14:paraId="1E91E027" w14:textId="77777777" w:rsidR="0038366B" w:rsidRPr="00E902FF" w:rsidRDefault="0038366B" w:rsidP="00684EE8">
            <w:pPr>
              <w:contextualSpacing/>
              <w:rPr>
                <w:rFonts w:ascii="Verdana" w:hAnsi="Verdana" w:cs="Arial"/>
                <w:sz w:val="16"/>
                <w:szCs w:val="16"/>
                <w:lang w:val="es-ES" w:eastAsia="es-ES"/>
              </w:rPr>
            </w:pPr>
            <w:r w:rsidRPr="00E902FF">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D51081D" w14:textId="77777777" w:rsidR="0038366B" w:rsidRPr="00E902FF" w:rsidRDefault="0038366B" w:rsidP="00684EE8">
            <w:pPr>
              <w:rPr>
                <w:rFonts w:ascii="Verdana" w:eastAsia="Times New Roman" w:hAnsi="Verdana" w:cs="Arial"/>
                <w:sz w:val="16"/>
                <w:szCs w:val="16"/>
                <w:lang w:eastAsia="es-ES"/>
              </w:rPr>
            </w:pPr>
            <w:r w:rsidRPr="00E902FF">
              <w:rPr>
                <w:rFonts w:ascii="Verdana" w:eastAsia="Times New Roman" w:hAnsi="Verdana" w:cs="Arial"/>
                <w:sz w:val="16"/>
                <w:szCs w:val="16"/>
                <w:lang w:eastAsia="es-ES"/>
              </w:rPr>
              <w:t>Camila Alejandra Naranjo Gómez</w:t>
            </w:r>
          </w:p>
          <w:p w14:paraId="08B13979" w14:textId="77777777" w:rsidR="0038366B" w:rsidRPr="00E902FF" w:rsidRDefault="0038366B" w:rsidP="00684EE8">
            <w:pPr>
              <w:contextualSpacing/>
              <w:rPr>
                <w:rFonts w:ascii="Verdana" w:eastAsia="Arial" w:hAnsi="Verdana" w:cs="Arial"/>
                <w:sz w:val="16"/>
                <w:szCs w:val="16"/>
                <w:lang w:val="es-ES"/>
              </w:rPr>
            </w:pPr>
            <w:r w:rsidRPr="00E902FF">
              <w:rPr>
                <w:rFonts w:ascii="Verdana" w:eastAsia="Times New Roman" w:hAnsi="Verdana" w:cs="Arial"/>
                <w:sz w:val="16"/>
                <w:szCs w:val="16"/>
                <w:lang w:eastAsia="es-ES"/>
              </w:rPr>
              <w:t>Analista T2-02 de la Subdirección de Gestión Contractual</w:t>
            </w:r>
          </w:p>
        </w:tc>
      </w:tr>
      <w:tr w:rsidR="0038366B" w:rsidRPr="00E902FF" w14:paraId="23B65634" w14:textId="77777777" w:rsidTr="00684EE8">
        <w:trPr>
          <w:trHeight w:val="330"/>
        </w:trPr>
        <w:tc>
          <w:tcPr>
            <w:tcW w:w="893" w:type="dxa"/>
            <w:vAlign w:val="center"/>
            <w:hideMark/>
          </w:tcPr>
          <w:p w14:paraId="3B20CAE0" w14:textId="77777777" w:rsidR="0038366B" w:rsidRPr="00E902FF" w:rsidRDefault="0038366B" w:rsidP="00684EE8">
            <w:pPr>
              <w:contextualSpacing/>
              <w:rPr>
                <w:rFonts w:ascii="Verdana" w:hAnsi="Verdana" w:cs="Arial"/>
                <w:sz w:val="16"/>
                <w:szCs w:val="16"/>
                <w:lang w:val="es-ES" w:eastAsia="es-ES"/>
              </w:rPr>
            </w:pPr>
            <w:r w:rsidRPr="00E902FF">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7413C39F" w14:textId="77777777" w:rsidR="0038366B" w:rsidRPr="00E902FF" w:rsidRDefault="0038366B" w:rsidP="00684EE8">
            <w:pPr>
              <w:rPr>
                <w:rFonts w:ascii="Verdana" w:eastAsia="Times New Roman" w:hAnsi="Verdana" w:cs="Arial"/>
                <w:sz w:val="16"/>
                <w:szCs w:val="16"/>
                <w:lang w:eastAsia="es-ES"/>
              </w:rPr>
            </w:pPr>
            <w:r>
              <w:rPr>
                <w:rFonts w:ascii="Verdana" w:eastAsia="Times New Roman" w:hAnsi="Verdana" w:cs="Arial"/>
                <w:sz w:val="16"/>
                <w:szCs w:val="16"/>
                <w:lang w:eastAsia="es-ES"/>
              </w:rPr>
              <w:t>Adriana Katerine López Rodríguez</w:t>
            </w:r>
          </w:p>
          <w:p w14:paraId="35449935" w14:textId="77777777" w:rsidR="0038366B" w:rsidRPr="00E902FF" w:rsidRDefault="0038366B" w:rsidP="00684EE8">
            <w:pPr>
              <w:pStyle w:val="paragraph"/>
              <w:spacing w:before="0" w:beforeAutospacing="0" w:after="0" w:afterAutospacing="0"/>
              <w:contextualSpacing/>
              <w:textAlignment w:val="baseline"/>
              <w:rPr>
                <w:rFonts w:ascii="Verdana" w:hAnsi="Verdana" w:cs="Segoe UI"/>
                <w:sz w:val="16"/>
                <w:szCs w:val="16"/>
                <w:lang w:val="es-ES"/>
              </w:rPr>
            </w:pPr>
            <w:r w:rsidRPr="00E902FF">
              <w:rPr>
                <w:rFonts w:ascii="Verdana" w:hAnsi="Verdana" w:cs="Arial"/>
                <w:sz w:val="16"/>
                <w:szCs w:val="16"/>
                <w:lang w:eastAsia="es-ES"/>
              </w:rPr>
              <w:t>Contratista de la Subdirección de Gestión Contractual</w:t>
            </w:r>
          </w:p>
        </w:tc>
      </w:tr>
      <w:tr w:rsidR="0038366B" w:rsidRPr="00E902FF" w14:paraId="0CF35D96" w14:textId="77777777" w:rsidTr="00684EE8">
        <w:trPr>
          <w:trHeight w:val="300"/>
        </w:trPr>
        <w:tc>
          <w:tcPr>
            <w:tcW w:w="893" w:type="dxa"/>
            <w:vAlign w:val="center"/>
          </w:tcPr>
          <w:p w14:paraId="2515DB77" w14:textId="77777777" w:rsidR="0038366B" w:rsidRPr="00E902FF" w:rsidRDefault="0038366B" w:rsidP="00684EE8">
            <w:pPr>
              <w:contextualSpacing/>
              <w:rPr>
                <w:rFonts w:ascii="Verdana" w:hAnsi="Verdana" w:cs="Arial"/>
                <w:sz w:val="16"/>
                <w:szCs w:val="16"/>
                <w:lang w:val="es-ES" w:eastAsia="es-ES"/>
              </w:rPr>
            </w:pPr>
            <w:r w:rsidRPr="00E902FF">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52911E26" w14:textId="77777777" w:rsidR="0038366B" w:rsidRPr="00E902FF" w:rsidRDefault="0038366B" w:rsidP="00684EE8">
            <w:pPr>
              <w:contextualSpacing/>
              <w:rPr>
                <w:rFonts w:ascii="Verdana" w:eastAsia="Calibri" w:hAnsi="Verdana" w:cs="Arial"/>
                <w:sz w:val="16"/>
                <w:szCs w:val="16"/>
                <w:lang w:val="es-ES" w:eastAsia="es-ES"/>
              </w:rPr>
            </w:pPr>
            <w:r w:rsidRPr="00E902FF">
              <w:rPr>
                <w:rFonts w:ascii="Verdana" w:eastAsia="Calibri" w:hAnsi="Verdana" w:cs="Arial"/>
                <w:sz w:val="16"/>
                <w:szCs w:val="16"/>
                <w:lang w:val="es-ES" w:eastAsia="es-ES"/>
              </w:rPr>
              <w:t>Carolina Quintero Gacharná</w:t>
            </w:r>
          </w:p>
          <w:p w14:paraId="243E814E" w14:textId="77777777" w:rsidR="0038366B" w:rsidRPr="00E902FF" w:rsidRDefault="0038366B" w:rsidP="00684EE8">
            <w:pPr>
              <w:contextualSpacing/>
              <w:rPr>
                <w:rFonts w:ascii="Verdana" w:eastAsia="Calibri" w:hAnsi="Verdana" w:cs="Arial"/>
                <w:sz w:val="16"/>
                <w:szCs w:val="16"/>
                <w:lang w:val="es-ES" w:eastAsia="es-ES"/>
              </w:rPr>
            </w:pPr>
            <w:r w:rsidRPr="00E902FF">
              <w:rPr>
                <w:rFonts w:ascii="Verdana" w:eastAsia="Calibri" w:hAnsi="Verdana" w:cs="Arial"/>
                <w:sz w:val="16"/>
                <w:szCs w:val="16"/>
                <w:lang w:val="es-ES" w:eastAsia="es-ES"/>
              </w:rPr>
              <w:t>Subdirectora de Gestión Contractual ANCP – CCE</w:t>
            </w:r>
          </w:p>
        </w:tc>
      </w:tr>
    </w:tbl>
    <w:p w14:paraId="6F5A0B92" w14:textId="77777777" w:rsidR="0038366B" w:rsidRPr="00E902FF" w:rsidRDefault="0038366B" w:rsidP="0038366B">
      <w:pPr>
        <w:spacing w:after="0" w:line="240" w:lineRule="auto"/>
        <w:jc w:val="both"/>
        <w:textAlignment w:val="baseline"/>
        <w:rPr>
          <w:rFonts w:ascii="Verdana" w:eastAsia="Verdana" w:hAnsi="Verdana" w:cs="Verdana"/>
          <w:color w:val="EE0000"/>
          <w:lang w:eastAsia="es-CO"/>
        </w:rPr>
      </w:pPr>
    </w:p>
    <w:p w14:paraId="6C7AD633" w14:textId="6190B5BA" w:rsidR="0038366B" w:rsidRPr="0084775B" w:rsidRDefault="0038366B" w:rsidP="0038366B">
      <w:pPr>
        <w:spacing w:after="0" w:line="240" w:lineRule="auto"/>
        <w:textAlignment w:val="baseline"/>
        <w:rPr>
          <w:rFonts w:ascii="Verdana" w:eastAsia="Verdana" w:hAnsi="Verdana" w:cs="Verdana"/>
          <w:color w:val="EE0000"/>
          <w:lang w:eastAsia="es-CO"/>
        </w:rPr>
      </w:pPr>
      <w:r w:rsidRPr="0076466E">
        <w:rPr>
          <w:rFonts w:ascii="Verdana" w:eastAsia="Verdana" w:hAnsi="Verdana" w:cs="Verdana"/>
          <w:color w:val="EE0000"/>
          <w:lang w:eastAsia="es-CO"/>
        </w:rPr>
        <w:t> </w:t>
      </w:r>
    </w:p>
    <w:p w14:paraId="3F784D9A" w14:textId="77777777" w:rsidR="0038366B" w:rsidRPr="00557F31" w:rsidRDefault="0038366B" w:rsidP="0038366B">
      <w:pPr>
        <w:spacing w:after="0"/>
        <w:jc w:val="both"/>
        <w:rPr>
          <w:lang w:val="es-ES"/>
        </w:rPr>
      </w:pPr>
    </w:p>
    <w:p w14:paraId="0F293BF4" w14:textId="084B0DD6" w:rsidR="00127233" w:rsidRPr="00D74944" w:rsidRDefault="00127233" w:rsidP="00D74944"/>
    <w:sectPr w:rsidR="00127233" w:rsidRPr="00D74944"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0025C" w14:textId="77777777" w:rsidR="00C16D89" w:rsidRDefault="00C16D89" w:rsidP="004A1847">
      <w:pPr>
        <w:spacing w:after="0" w:line="240" w:lineRule="auto"/>
      </w:pPr>
      <w:r>
        <w:separator/>
      </w:r>
    </w:p>
  </w:endnote>
  <w:endnote w:type="continuationSeparator" w:id="0">
    <w:p w14:paraId="1CACE86F" w14:textId="77777777" w:rsidR="00C16D89" w:rsidRDefault="00C16D89"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48CCB" w14:textId="77777777" w:rsidR="00C16D89" w:rsidRDefault="00C16D89" w:rsidP="004A1847">
      <w:pPr>
        <w:spacing w:after="0" w:line="240" w:lineRule="auto"/>
      </w:pPr>
      <w:r>
        <w:separator/>
      </w:r>
    </w:p>
  </w:footnote>
  <w:footnote w:type="continuationSeparator" w:id="0">
    <w:p w14:paraId="1A689D45" w14:textId="77777777" w:rsidR="00C16D89" w:rsidRDefault="00C16D89" w:rsidP="004A1847">
      <w:pPr>
        <w:spacing w:after="0" w:line="240" w:lineRule="auto"/>
      </w:pPr>
      <w:r>
        <w:continuationSeparator/>
      </w:r>
    </w:p>
  </w:footnote>
  <w:footnote w:id="1">
    <w:p w14:paraId="6465D3E0" w14:textId="77777777" w:rsidR="0038366B" w:rsidRDefault="0038366B" w:rsidP="0038366B">
      <w:pPr>
        <w:pStyle w:val="Textonotapie"/>
        <w:ind w:firstLine="709"/>
        <w:jc w:val="both"/>
        <w:rPr>
          <w:rFonts w:ascii="Verdana" w:hAnsi="Verdana"/>
          <w:sz w:val="16"/>
          <w:szCs w:val="16"/>
        </w:rPr>
      </w:pPr>
      <w:r>
        <w:rPr>
          <w:rFonts w:ascii="Verdana" w:hAnsi="Verdana"/>
          <w:sz w:val="16"/>
          <w:szCs w:val="16"/>
          <w:vertAlign w:val="superscript"/>
        </w:rPr>
        <w:footnoteRef/>
      </w:r>
      <w:r>
        <w:rPr>
          <w:rFonts w:ascii="Verdana" w:hAnsi="Verdana"/>
          <w:sz w:val="16"/>
          <w:szCs w:val="16"/>
        </w:rPr>
        <w:t xml:space="preserve"> Artículo 17 de la Ley 1150 de 2007.</w:t>
      </w:r>
    </w:p>
    <w:p w14:paraId="317E33DC" w14:textId="77777777" w:rsidR="0038366B" w:rsidRDefault="0038366B" w:rsidP="0038366B">
      <w:pPr>
        <w:pStyle w:val="Textonotapie"/>
        <w:ind w:firstLine="709"/>
        <w:jc w:val="both"/>
        <w:rPr>
          <w:rFonts w:ascii="Verdana" w:hAnsi="Verdana"/>
          <w:sz w:val="16"/>
          <w:szCs w:val="16"/>
        </w:rPr>
      </w:pPr>
    </w:p>
  </w:footnote>
  <w:footnote w:id="2">
    <w:p w14:paraId="51983F96" w14:textId="77777777" w:rsidR="0038366B" w:rsidRDefault="0038366B" w:rsidP="0038366B">
      <w:pPr>
        <w:pStyle w:val="Textonotapie"/>
        <w:ind w:firstLine="709"/>
        <w:jc w:val="both"/>
        <w:rPr>
          <w:rFonts w:ascii="Verdana" w:hAnsi="Verdana"/>
          <w:sz w:val="16"/>
          <w:szCs w:val="16"/>
        </w:rPr>
      </w:pPr>
      <w:r>
        <w:rPr>
          <w:rFonts w:ascii="Verdana" w:hAnsi="Verdana"/>
          <w:sz w:val="16"/>
          <w:szCs w:val="16"/>
          <w:vertAlign w:val="superscript"/>
        </w:rPr>
        <w:footnoteRef/>
      </w:r>
      <w:r>
        <w:rPr>
          <w:rFonts w:ascii="Verdana" w:hAnsi="Verdana"/>
          <w:sz w:val="16"/>
          <w:szCs w:val="16"/>
        </w:rPr>
        <w:t xml:space="preserve"> Artículo 21 de la Ley 1150 de 2007.</w:t>
      </w:r>
    </w:p>
    <w:p w14:paraId="58CC2DF7" w14:textId="77777777" w:rsidR="0038366B" w:rsidRDefault="0038366B" w:rsidP="0038366B">
      <w:pPr>
        <w:pStyle w:val="Textonotapie"/>
        <w:ind w:firstLine="709"/>
        <w:jc w:val="both"/>
        <w:rPr>
          <w:rFonts w:ascii="Verdana" w:hAnsi="Verdana"/>
          <w:sz w:val="16"/>
          <w:szCs w:val="16"/>
        </w:rPr>
      </w:pPr>
    </w:p>
  </w:footnote>
  <w:footnote w:id="3">
    <w:p w14:paraId="2C0C39B8" w14:textId="77777777" w:rsidR="0038366B" w:rsidRDefault="0038366B" w:rsidP="0038366B">
      <w:pPr>
        <w:pStyle w:val="Textonotapie"/>
        <w:ind w:firstLine="709"/>
        <w:jc w:val="both"/>
        <w:rPr>
          <w:rFonts w:ascii="Verdana" w:hAnsi="Verdana"/>
          <w:sz w:val="16"/>
          <w:szCs w:val="16"/>
        </w:rPr>
      </w:pPr>
      <w:r>
        <w:rPr>
          <w:rFonts w:ascii="Verdana" w:hAnsi="Verdana"/>
          <w:sz w:val="16"/>
          <w:szCs w:val="16"/>
          <w:vertAlign w:val="superscript"/>
        </w:rPr>
        <w:footnoteRef/>
      </w:r>
      <w:r>
        <w:rPr>
          <w:rFonts w:ascii="Verdana" w:hAnsi="Verdana"/>
          <w:sz w:val="16"/>
          <w:szCs w:val="16"/>
        </w:rPr>
        <w:t xml:space="preserve"> Artículos 83 a 86 de la Ley 1474 de 2011.</w:t>
      </w:r>
    </w:p>
    <w:p w14:paraId="6C0F0B47" w14:textId="77777777" w:rsidR="0038366B" w:rsidRDefault="0038366B" w:rsidP="0038366B">
      <w:pPr>
        <w:pStyle w:val="Textonotapie"/>
        <w:ind w:firstLine="709"/>
        <w:jc w:val="both"/>
        <w:rPr>
          <w:rFonts w:ascii="Verdana" w:hAnsi="Verdana"/>
          <w:sz w:val="16"/>
          <w:szCs w:val="16"/>
        </w:rPr>
      </w:pPr>
    </w:p>
  </w:footnote>
  <w:footnote w:id="4">
    <w:p w14:paraId="18308EEB" w14:textId="77777777" w:rsidR="0038366B" w:rsidRPr="006C010B" w:rsidRDefault="0038366B" w:rsidP="0038366B">
      <w:pPr>
        <w:pStyle w:val="Textonotapie"/>
        <w:ind w:firstLine="709"/>
        <w:jc w:val="both"/>
        <w:rPr>
          <w:rFonts w:ascii="Verdana" w:hAnsi="Verdana"/>
          <w:sz w:val="16"/>
          <w:szCs w:val="16"/>
        </w:rPr>
      </w:pPr>
      <w:r w:rsidRPr="006C010B">
        <w:rPr>
          <w:rFonts w:ascii="Verdana" w:hAnsi="Verdana"/>
          <w:sz w:val="16"/>
          <w:szCs w:val="16"/>
          <w:vertAlign w:val="superscript"/>
        </w:rPr>
        <w:footnoteRef/>
      </w:r>
      <w:r w:rsidRPr="006C010B">
        <w:rPr>
          <w:rFonts w:ascii="Verdana" w:hAnsi="Verdana"/>
          <w:sz w:val="16"/>
          <w:szCs w:val="16"/>
        </w:rPr>
        <w:t xml:space="preserve"> Consejo de Estado. Sección 3ª. Sentencia del 27 de noviembre de 2017. M.P. Jaime Orlando Santofimio. Exp. 51.802.</w:t>
      </w:r>
    </w:p>
  </w:footnote>
  <w:footnote w:id="5">
    <w:p w14:paraId="19E7850C" w14:textId="77777777" w:rsidR="0038366B" w:rsidRDefault="0038366B" w:rsidP="0038366B">
      <w:pPr>
        <w:pStyle w:val="Textonotapie"/>
        <w:ind w:firstLine="709"/>
        <w:jc w:val="both"/>
        <w:rPr>
          <w:rFonts w:ascii="Verdana" w:hAnsi="Verdana"/>
          <w:sz w:val="16"/>
          <w:szCs w:val="16"/>
        </w:rPr>
      </w:pPr>
      <w:r w:rsidRPr="006C010B">
        <w:rPr>
          <w:rFonts w:ascii="Verdana" w:hAnsi="Verdana"/>
          <w:sz w:val="16"/>
          <w:szCs w:val="16"/>
          <w:vertAlign w:val="superscript"/>
        </w:rPr>
        <w:footnoteRef/>
      </w:r>
      <w:r w:rsidRPr="006C010B">
        <w:rPr>
          <w:rFonts w:ascii="Verdana" w:hAnsi="Verdana"/>
          <w:sz w:val="16"/>
          <w:szCs w:val="16"/>
        </w:rPr>
        <w:t xml:space="preserve"> Artículo 83 de la Ley 1474 de 2011.</w:t>
      </w:r>
    </w:p>
    <w:p w14:paraId="61E7CF43" w14:textId="77777777" w:rsidR="0038366B" w:rsidRDefault="0038366B" w:rsidP="0038366B">
      <w:pPr>
        <w:pStyle w:val="Textonotapie"/>
        <w:ind w:firstLine="709"/>
        <w:jc w:val="both"/>
        <w:rPr>
          <w:rFonts w:ascii="Verdana" w:hAnsi="Verdana"/>
          <w:sz w:val="16"/>
          <w:szCs w:val="16"/>
        </w:rPr>
      </w:pPr>
    </w:p>
  </w:footnote>
  <w:footnote w:id="6">
    <w:p w14:paraId="15071622" w14:textId="77777777" w:rsidR="0038366B" w:rsidRDefault="0038366B" w:rsidP="0038366B">
      <w:pPr>
        <w:pStyle w:val="Textonotapie"/>
        <w:ind w:firstLine="709"/>
        <w:jc w:val="both"/>
        <w:rPr>
          <w:rFonts w:ascii="Verdana" w:hAnsi="Verdana"/>
          <w:sz w:val="16"/>
          <w:szCs w:val="16"/>
        </w:rPr>
      </w:pPr>
      <w:r>
        <w:rPr>
          <w:rFonts w:ascii="Verdana" w:hAnsi="Verdana"/>
          <w:sz w:val="16"/>
          <w:szCs w:val="16"/>
          <w:vertAlign w:val="superscript"/>
        </w:rPr>
        <w:footnoteRef/>
      </w:r>
      <w:r>
        <w:rPr>
          <w:rFonts w:ascii="Verdana" w:hAnsi="Verdana"/>
          <w:sz w:val="16"/>
          <w:szCs w:val="16"/>
        </w:rPr>
        <w:t xml:space="preserve"> A excepción de la interventoría del contrato de obra adjudicado por licitación pública que es obligatoria según el numeral 1° del artículo 32 de la Ley 80 de 1993.</w:t>
      </w:r>
    </w:p>
  </w:footnote>
  <w:footnote w:id="7">
    <w:p w14:paraId="4BE8D331" w14:textId="77777777" w:rsidR="0038366B" w:rsidRDefault="0038366B" w:rsidP="0038366B">
      <w:pPr>
        <w:pStyle w:val="Textonotapie"/>
        <w:ind w:left="851" w:hanging="142"/>
        <w:jc w:val="both"/>
        <w:rPr>
          <w:rFonts w:ascii="Verdana" w:hAnsi="Verdana" w:cs="Arial"/>
          <w:color w:val="000000"/>
          <w:sz w:val="16"/>
          <w:szCs w:val="16"/>
        </w:rPr>
      </w:pPr>
      <w:r>
        <w:rPr>
          <w:rFonts w:ascii="Verdana" w:hAnsi="Verdana" w:cs="Arial"/>
          <w:color w:val="000000"/>
          <w:sz w:val="16"/>
          <w:szCs w:val="16"/>
          <w:vertAlign w:val="superscript"/>
        </w:rPr>
        <w:footnoteRef/>
      </w:r>
      <w:r>
        <w:rPr>
          <w:rFonts w:ascii="Verdana" w:hAnsi="Verdana" w:cs="Arial"/>
          <w:color w:val="000000"/>
          <w:sz w:val="16"/>
          <w:szCs w:val="16"/>
        </w:rPr>
        <w:t xml:space="preserve"> En las Gacetas Nos. 607 y 784 de 2010, en las páginas 12 y 24.</w:t>
      </w:r>
    </w:p>
    <w:p w14:paraId="3DFAEB86" w14:textId="77777777" w:rsidR="0038366B" w:rsidRDefault="0038366B" w:rsidP="0038366B">
      <w:pPr>
        <w:pStyle w:val="Textonotapie"/>
        <w:ind w:left="851" w:hanging="142"/>
        <w:jc w:val="both"/>
        <w:rPr>
          <w:rFonts w:ascii="Verdana" w:hAnsi="Verdana" w:cs="Arial"/>
          <w:color w:val="000000"/>
          <w:sz w:val="16"/>
          <w:szCs w:val="16"/>
        </w:rPr>
      </w:pPr>
    </w:p>
  </w:footnote>
  <w:footnote w:id="8">
    <w:p w14:paraId="5E2A3CA9" w14:textId="77777777" w:rsidR="0038366B" w:rsidRDefault="0038366B" w:rsidP="0038366B">
      <w:pPr>
        <w:pStyle w:val="Textonotapie"/>
        <w:ind w:firstLine="709"/>
        <w:jc w:val="both"/>
        <w:rPr>
          <w:rFonts w:ascii="Verdana" w:hAnsi="Verdana" w:cs="Arial"/>
          <w:color w:val="000000"/>
          <w:sz w:val="16"/>
          <w:szCs w:val="16"/>
        </w:rPr>
      </w:pPr>
      <w:r>
        <w:rPr>
          <w:rFonts w:ascii="Verdana" w:hAnsi="Verdana" w:cs="Arial"/>
          <w:color w:val="000000"/>
          <w:sz w:val="16"/>
          <w:szCs w:val="16"/>
          <w:vertAlign w:val="superscript"/>
        </w:rPr>
        <w:footnoteRef/>
      </w:r>
      <w:r>
        <w:rPr>
          <w:rFonts w:ascii="Verdana" w:hAnsi="Verdana" w:cs="Arial"/>
          <w:color w:val="000000"/>
          <w:sz w:val="16"/>
          <w:szCs w:val="16"/>
        </w:rPr>
        <w:t xml:space="preserve"> En las Gacetas Nos. 1002 y 1117 de 2010, en las páginas 44 y 13, respectivamente.</w:t>
      </w:r>
    </w:p>
    <w:p w14:paraId="1565F617" w14:textId="77777777" w:rsidR="0038366B" w:rsidRDefault="0038366B" w:rsidP="0038366B">
      <w:pPr>
        <w:pStyle w:val="Textonotapie"/>
        <w:ind w:firstLine="709"/>
        <w:jc w:val="both"/>
        <w:rPr>
          <w:rFonts w:ascii="Verdana" w:hAnsi="Verdana" w:cs="Arial"/>
          <w:color w:val="000000"/>
          <w:sz w:val="16"/>
          <w:szCs w:val="16"/>
        </w:rPr>
      </w:pPr>
    </w:p>
  </w:footnote>
  <w:footnote w:id="9">
    <w:p w14:paraId="039E89E8" w14:textId="77777777" w:rsidR="0038366B" w:rsidRDefault="0038366B" w:rsidP="0038366B">
      <w:pPr>
        <w:pStyle w:val="Textonotapie"/>
        <w:ind w:firstLine="709"/>
        <w:jc w:val="both"/>
        <w:rPr>
          <w:rFonts w:ascii="Verdana" w:hAnsi="Verdana" w:cs="Arial"/>
          <w:color w:val="000000"/>
          <w:sz w:val="16"/>
          <w:szCs w:val="16"/>
        </w:rPr>
      </w:pPr>
      <w:r>
        <w:rPr>
          <w:rFonts w:ascii="Verdana" w:hAnsi="Verdana" w:cs="Arial"/>
          <w:color w:val="000000"/>
          <w:sz w:val="16"/>
          <w:szCs w:val="16"/>
          <w:vertAlign w:val="superscript"/>
        </w:rPr>
        <w:footnoteRef/>
      </w:r>
      <w:r>
        <w:rPr>
          <w:rFonts w:ascii="Verdana" w:hAnsi="Verdana" w:cs="Arial"/>
          <w:color w:val="000000"/>
          <w:sz w:val="16"/>
          <w:szCs w:val="16"/>
        </w:rPr>
        <w:t xml:space="preserve"> En la Gaceta No. 019 de 2011, en la página 17.</w:t>
      </w:r>
    </w:p>
    <w:p w14:paraId="741D2993" w14:textId="77777777" w:rsidR="0038366B" w:rsidRDefault="0038366B" w:rsidP="0038366B">
      <w:pPr>
        <w:pStyle w:val="Textonotapie"/>
        <w:ind w:firstLine="709"/>
        <w:jc w:val="both"/>
        <w:rPr>
          <w:rFonts w:ascii="Verdana" w:hAnsi="Verdana" w:cs="Arial"/>
          <w:color w:val="000000"/>
          <w:sz w:val="16"/>
          <w:szCs w:val="16"/>
        </w:rPr>
      </w:pPr>
    </w:p>
  </w:footnote>
  <w:footnote w:id="10">
    <w:p w14:paraId="1DD0D142" w14:textId="77777777" w:rsidR="0038366B" w:rsidRDefault="0038366B" w:rsidP="0038366B">
      <w:pPr>
        <w:pStyle w:val="Textonotapie"/>
        <w:ind w:firstLine="709"/>
        <w:jc w:val="both"/>
        <w:rPr>
          <w:rFonts w:ascii="Verdana" w:hAnsi="Verdana" w:cs="Arial"/>
          <w:color w:val="000000"/>
          <w:sz w:val="16"/>
          <w:szCs w:val="16"/>
        </w:rPr>
      </w:pPr>
      <w:r>
        <w:rPr>
          <w:rFonts w:ascii="Verdana" w:hAnsi="Verdana" w:cs="Arial"/>
          <w:color w:val="000000"/>
          <w:sz w:val="16"/>
          <w:szCs w:val="16"/>
          <w:vertAlign w:val="superscript"/>
        </w:rPr>
        <w:footnoteRef/>
      </w:r>
      <w:r>
        <w:rPr>
          <w:rFonts w:ascii="Verdana" w:hAnsi="Verdana" w:cs="Arial"/>
          <w:color w:val="000000"/>
          <w:sz w:val="16"/>
          <w:szCs w:val="16"/>
        </w:rPr>
        <w:t xml:space="preserve"> En la Gaceta No. 128 de 2011, en la página 20.</w:t>
      </w:r>
    </w:p>
    <w:p w14:paraId="6EF89755" w14:textId="77777777" w:rsidR="0038366B" w:rsidRDefault="0038366B" w:rsidP="0038366B">
      <w:pPr>
        <w:pStyle w:val="Textonotapie"/>
        <w:ind w:firstLine="709"/>
        <w:jc w:val="both"/>
        <w:rPr>
          <w:rFonts w:ascii="Verdana" w:hAnsi="Verdana" w:cs="Arial"/>
          <w:color w:val="000000"/>
          <w:sz w:val="16"/>
          <w:szCs w:val="16"/>
        </w:rPr>
      </w:pPr>
    </w:p>
  </w:footnote>
  <w:footnote w:id="11">
    <w:p w14:paraId="51D28739" w14:textId="77777777" w:rsidR="0038366B" w:rsidRDefault="0038366B" w:rsidP="0038366B">
      <w:pPr>
        <w:pStyle w:val="Textonotapie"/>
        <w:ind w:firstLine="709"/>
        <w:jc w:val="both"/>
        <w:rPr>
          <w:rFonts w:ascii="Verdana" w:hAnsi="Verdana" w:cs="Arial"/>
          <w:color w:val="000000"/>
          <w:sz w:val="16"/>
          <w:szCs w:val="16"/>
        </w:rPr>
      </w:pPr>
      <w:r>
        <w:rPr>
          <w:rFonts w:ascii="Verdana" w:hAnsi="Verdana" w:cs="Arial"/>
          <w:color w:val="000000"/>
          <w:sz w:val="16"/>
          <w:szCs w:val="16"/>
          <w:vertAlign w:val="superscript"/>
        </w:rPr>
        <w:footnoteRef/>
      </w:r>
      <w:r>
        <w:rPr>
          <w:rFonts w:ascii="Verdana" w:hAnsi="Verdana" w:cs="Arial"/>
          <w:color w:val="000000"/>
          <w:sz w:val="16"/>
          <w:szCs w:val="16"/>
        </w:rPr>
        <w:t xml:space="preserve"> En la Gaceta No. 258 de 2011, en la página 16.</w:t>
      </w:r>
    </w:p>
    <w:p w14:paraId="149A6C8D" w14:textId="77777777" w:rsidR="0038366B" w:rsidRDefault="0038366B" w:rsidP="0038366B">
      <w:pPr>
        <w:pStyle w:val="Textonotapie"/>
        <w:ind w:firstLine="709"/>
        <w:jc w:val="both"/>
        <w:rPr>
          <w:rFonts w:ascii="Verdana" w:hAnsi="Verdana" w:cs="Arial"/>
          <w:color w:val="000000"/>
          <w:sz w:val="16"/>
          <w:szCs w:val="16"/>
        </w:rPr>
      </w:pPr>
    </w:p>
  </w:footnote>
  <w:footnote w:id="12">
    <w:p w14:paraId="034324B5" w14:textId="77777777" w:rsidR="0038366B" w:rsidRDefault="0038366B" w:rsidP="0038366B">
      <w:pPr>
        <w:pStyle w:val="Textonotapie"/>
        <w:ind w:firstLine="709"/>
        <w:jc w:val="both"/>
        <w:rPr>
          <w:rFonts w:ascii="Verdana" w:hAnsi="Verdana" w:cs="Arial"/>
          <w:color w:val="000000"/>
          <w:sz w:val="16"/>
          <w:szCs w:val="16"/>
        </w:rPr>
      </w:pPr>
      <w:r>
        <w:rPr>
          <w:rFonts w:ascii="Verdana" w:hAnsi="Verdana" w:cs="Arial"/>
          <w:color w:val="000000"/>
          <w:sz w:val="16"/>
          <w:szCs w:val="16"/>
          <w:vertAlign w:val="superscript"/>
        </w:rPr>
        <w:footnoteRef/>
      </w:r>
      <w:r>
        <w:rPr>
          <w:rFonts w:ascii="Verdana" w:hAnsi="Verdana" w:cs="Arial"/>
          <w:color w:val="000000"/>
          <w:sz w:val="16"/>
          <w:szCs w:val="16"/>
        </w:rPr>
        <w:t xml:space="preserve"> En las Gacetas Nos. 1002 y 1117 de 2010.</w:t>
      </w:r>
    </w:p>
    <w:p w14:paraId="41E3F22B" w14:textId="77777777" w:rsidR="0038366B" w:rsidRDefault="0038366B" w:rsidP="0038366B">
      <w:pPr>
        <w:pStyle w:val="Textonotapie"/>
        <w:ind w:firstLine="709"/>
        <w:jc w:val="both"/>
        <w:rPr>
          <w:rFonts w:ascii="Verdana" w:hAnsi="Verdana" w:cs="Arial"/>
          <w:color w:val="000000"/>
          <w:sz w:val="16"/>
          <w:szCs w:val="16"/>
        </w:rPr>
      </w:pPr>
    </w:p>
  </w:footnote>
  <w:footnote w:id="13">
    <w:p w14:paraId="60CE4139" w14:textId="77777777" w:rsidR="0038366B" w:rsidRDefault="0038366B" w:rsidP="0038366B">
      <w:pPr>
        <w:pStyle w:val="Textonotapie"/>
        <w:ind w:firstLine="709"/>
        <w:jc w:val="both"/>
        <w:rPr>
          <w:rFonts w:ascii="Verdana" w:hAnsi="Verdana" w:cs="Arial"/>
          <w:color w:val="000000"/>
          <w:sz w:val="16"/>
          <w:szCs w:val="16"/>
        </w:rPr>
      </w:pPr>
      <w:r>
        <w:rPr>
          <w:rFonts w:ascii="Verdana" w:hAnsi="Verdana" w:cs="Arial"/>
          <w:color w:val="000000"/>
          <w:sz w:val="16"/>
          <w:szCs w:val="16"/>
          <w:vertAlign w:val="superscript"/>
        </w:rPr>
        <w:footnoteRef/>
      </w:r>
      <w:r>
        <w:rPr>
          <w:rFonts w:ascii="Verdana" w:hAnsi="Verdana" w:cs="Arial"/>
          <w:color w:val="000000"/>
          <w:sz w:val="16"/>
          <w:szCs w:val="16"/>
        </w:rPr>
        <w:t xml:space="preserve"> </w:t>
      </w:r>
      <w:r w:rsidRPr="002C731A">
        <w:rPr>
          <w:rFonts w:ascii="Verdana" w:hAnsi="Verdana" w:cs="Arial"/>
          <w:color w:val="000000"/>
          <w:sz w:val="16"/>
          <w:szCs w:val="16"/>
        </w:rPr>
        <w:t>Consejo de Estado. Sección Tercera. Sentencia del 12 de diciembre de 2014. C.P. Ramiro Pazos Guerrero. Exp. 27426.</w:t>
      </w:r>
    </w:p>
  </w:footnote>
  <w:footnote w:id="14">
    <w:p w14:paraId="63A9243C" w14:textId="77777777" w:rsidR="0038366B" w:rsidRDefault="0038366B" w:rsidP="0038366B">
      <w:pPr>
        <w:pStyle w:val="Textonotapie"/>
        <w:ind w:firstLine="709"/>
        <w:jc w:val="both"/>
        <w:rPr>
          <w:rFonts w:ascii="Verdana" w:hAnsi="Verdana" w:cs="Arial"/>
          <w:color w:val="000000"/>
          <w:sz w:val="16"/>
          <w:szCs w:val="16"/>
        </w:rPr>
      </w:pPr>
      <w:r>
        <w:rPr>
          <w:rFonts w:ascii="Verdana" w:hAnsi="Verdana" w:cs="Arial"/>
          <w:color w:val="000000"/>
          <w:sz w:val="16"/>
          <w:szCs w:val="16"/>
          <w:vertAlign w:val="superscript"/>
        </w:rPr>
        <w:footnoteRef/>
      </w:r>
      <w:r>
        <w:rPr>
          <w:rFonts w:ascii="Verdana" w:hAnsi="Verdana" w:cs="Arial"/>
          <w:color w:val="000000"/>
          <w:sz w:val="16"/>
          <w:szCs w:val="16"/>
        </w:rPr>
        <w:t xml:space="preserve"> Cita tomada del texto original: “Efectivamente, el artículo 83 de la Ley 1474 de 2011 prescribió: “Supervisión e interventoría contractual. Con el fin de proteger la moralidad administrativa, de prevenir la ocurrencia de actos de corrupción y de tutelar la transparencia de la actividad contractual, las entidades públicas están obligadas a vigilar permanentemente la correcta ejecución del objeto contratado a través de un supervisor o un interventor, según corresponda. // La supervisión consistirá en el seguimiento técnico, administrativo, financiero, contable, y jurídico que, sobre el cumplimiento del objeto del contrato, es ejercida por la misma entidad estatal cuando no requieren conocimientos especializados. Para la supervisión, la Entidad estatal podrá contratar personal de apoyo, a través de los contratos de prestación de servicios que sean requeridos. // La interventoría consistirá en el seguimiento técnico que sobre el cumplimiento del contrato realice una persona natural o jurídica contratada para tal fin por la Entidad Estatal, cuando el seguimiento del contrato suponga conocimiento especializado en la materia, o cuando la complejidad o la extensión del mismo lo justifiquen. No obstante, lo anterior cuando la entidad lo encuentre justificado y acorde a la naturaleza del contrato principal, podrá contratar el seguimiento administrativo, técnico, financiero, contable, jurídico del objeto o contrato dentro de la interventoría.”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8679D0"/>
    <w:multiLevelType w:val="hybridMultilevel"/>
    <w:tmpl w:val="00200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F095DC8"/>
    <w:multiLevelType w:val="hybridMultilevel"/>
    <w:tmpl w:val="0DDC2B08"/>
    <w:lvl w:ilvl="0" w:tplc="240A000F">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3"/>
  </w:num>
  <w:num w:numId="7" w16cid:durableId="1946422806">
    <w:abstractNumId w:val="4"/>
  </w:num>
  <w:num w:numId="8" w16cid:durableId="152644682">
    <w:abstractNumId w:val="12"/>
  </w:num>
  <w:num w:numId="9" w16cid:durableId="1317221377">
    <w:abstractNumId w:val="6"/>
  </w:num>
  <w:num w:numId="10" w16cid:durableId="1471245386">
    <w:abstractNumId w:val="11"/>
  </w:num>
  <w:num w:numId="11" w16cid:durableId="289172385">
    <w:abstractNumId w:val="7"/>
  </w:num>
  <w:num w:numId="12" w16cid:durableId="1470781324">
    <w:abstractNumId w:val="0"/>
  </w:num>
  <w:num w:numId="13" w16cid:durableId="1512908409">
    <w:abstractNumId w:val="2"/>
  </w:num>
  <w:num w:numId="14" w16cid:durableId="895897244">
    <w:abstractNumId w:val="14"/>
  </w:num>
  <w:num w:numId="15" w16cid:durableId="390349800">
    <w:abstractNumId w:val="10"/>
  </w:num>
  <w:num w:numId="16" w16cid:durableId="153255849">
    <w:abstractNumId w:val="8"/>
  </w:num>
  <w:num w:numId="17" w16cid:durableId="14886708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771DE"/>
    <w:rsid w:val="00082362"/>
    <w:rsid w:val="000A683E"/>
    <w:rsid w:val="000B19B9"/>
    <w:rsid w:val="000D0334"/>
    <w:rsid w:val="000D3AE6"/>
    <w:rsid w:val="000D5DA7"/>
    <w:rsid w:val="000F6486"/>
    <w:rsid w:val="00116940"/>
    <w:rsid w:val="00125105"/>
    <w:rsid w:val="00127233"/>
    <w:rsid w:val="0015699B"/>
    <w:rsid w:val="001867A2"/>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B6D8A"/>
    <w:rsid w:val="002C7A84"/>
    <w:rsid w:val="002E2BF8"/>
    <w:rsid w:val="002E4FD9"/>
    <w:rsid w:val="0030657A"/>
    <w:rsid w:val="00322A85"/>
    <w:rsid w:val="00324168"/>
    <w:rsid w:val="00330834"/>
    <w:rsid w:val="003430BD"/>
    <w:rsid w:val="003448F4"/>
    <w:rsid w:val="00374F5E"/>
    <w:rsid w:val="00377E3E"/>
    <w:rsid w:val="0038366B"/>
    <w:rsid w:val="00387D11"/>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74867"/>
    <w:rsid w:val="00591460"/>
    <w:rsid w:val="005A65E0"/>
    <w:rsid w:val="005C3777"/>
    <w:rsid w:val="005C5CDC"/>
    <w:rsid w:val="005D476C"/>
    <w:rsid w:val="005D5D00"/>
    <w:rsid w:val="006200BF"/>
    <w:rsid w:val="006219F8"/>
    <w:rsid w:val="006302F7"/>
    <w:rsid w:val="00646B9F"/>
    <w:rsid w:val="00665D70"/>
    <w:rsid w:val="00672B28"/>
    <w:rsid w:val="0067716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60A1"/>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16D8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4944"/>
    <w:rsid w:val="00D7788A"/>
    <w:rsid w:val="00DA231B"/>
    <w:rsid w:val="00DC39FC"/>
    <w:rsid w:val="00DE52AA"/>
    <w:rsid w:val="00DF5254"/>
    <w:rsid w:val="00E02524"/>
    <w:rsid w:val="00E16408"/>
    <w:rsid w:val="00E20894"/>
    <w:rsid w:val="00E245AB"/>
    <w:rsid w:val="00E2764C"/>
    <w:rsid w:val="00E27F2E"/>
    <w:rsid w:val="00E37828"/>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932DC"/>
    <w:rsid w:val="00FA47C0"/>
    <w:rsid w:val="00FB5DD1"/>
    <w:rsid w:val="00FC2B5D"/>
    <w:rsid w:val="00FF1449"/>
    <w:rsid w:val="00FF7963"/>
    <w:rsid w:val="071B8F93"/>
    <w:rsid w:val="07C73DD1"/>
    <w:rsid w:val="09555396"/>
    <w:rsid w:val="09908A09"/>
    <w:rsid w:val="0DC37E9B"/>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0D2C3DF"/>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
    <w:basedOn w:val="Fuentedeprrafopredeter"/>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38366B"/>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colombiacompra.gov.co/archivos/manual/guia-para-el-ejercicio-de-las-funciones-de-supervision-e-interventoria-de-los-contratos-suscritos-por-las-entidades-estatales"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fsalcedor@gmail.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colombiacompra.gov.co/normativa-y-relatoria/documentos-tipo"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forms.office.com/r/pPHyWVs2S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acionvirtual.colombiacompra.gov.co/mod/page/view.php?id=3718"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745B31-F650-4983-A99E-1BD1791BB9F5}"/>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122</TotalTime>
  <Pages>15</Pages>
  <Words>4860</Words>
  <Characters>26733</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Camila Alejandra Naranjo Gómez</cp:lastModifiedBy>
  <cp:revision>3</cp:revision>
  <cp:lastPrinted>2023-01-10T21:18:00Z</cp:lastPrinted>
  <dcterms:created xsi:type="dcterms:W3CDTF">2026-06-23T17:38:00Z</dcterms:created>
  <dcterms:modified xsi:type="dcterms:W3CDTF">2026-06-23T20:31:00Z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