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1D354" w14:textId="77777777" w:rsidR="003F33D1" w:rsidRPr="000C125F" w:rsidRDefault="003F33D1" w:rsidP="000C125F">
      <w:pPr>
        <w:spacing w:line="240" w:lineRule="auto"/>
        <w:jc w:val="both"/>
        <w:rPr>
          <w:rFonts w:ascii="Verdana" w:eastAsia="Calibri" w:hAnsi="Verdana" w:cs="Arial"/>
          <w:b/>
          <w:bCs/>
          <w:color w:val="000000" w:themeColor="text1"/>
          <w:lang w:val="es-ES" w:eastAsia="es-ES"/>
        </w:rPr>
      </w:pPr>
      <w:bookmarkStart w:id="0" w:name="_Hlk143780582"/>
      <w:r w:rsidRPr="000C125F">
        <w:rPr>
          <w:rFonts w:ascii="Verdana" w:eastAsia="Calibri" w:hAnsi="Verdana" w:cs="Arial"/>
          <w:b/>
          <w:bCs/>
          <w:color w:val="000000" w:themeColor="text1"/>
          <w:lang w:val="es-ES" w:eastAsia="es-ES"/>
        </w:rPr>
        <w:t>ORGANISMOS INTERNACIONALES – Concepto</w:t>
      </w:r>
    </w:p>
    <w:p w14:paraId="5ADF8715" w14:textId="59AFB96A" w:rsidR="003F33D1" w:rsidRPr="000C125F" w:rsidRDefault="003F33D1" w:rsidP="000C125F">
      <w:pPr>
        <w:spacing w:line="240" w:lineRule="auto"/>
        <w:jc w:val="both"/>
        <w:rPr>
          <w:rFonts w:ascii="Verdana" w:eastAsia="Calibri" w:hAnsi="Verdana" w:cs="Arial"/>
          <w:color w:val="000000" w:themeColor="text1"/>
          <w:sz w:val="20"/>
          <w:szCs w:val="20"/>
          <w:lang w:val="es-ES" w:eastAsia="es-ES"/>
        </w:rPr>
      </w:pPr>
      <w:r w:rsidRPr="000C125F">
        <w:rPr>
          <w:rFonts w:ascii="Verdana" w:eastAsia="Calibri" w:hAnsi="Verdana" w:cs="Arial"/>
          <w:color w:val="000000" w:themeColor="text1"/>
          <w:sz w:val="20"/>
          <w:szCs w:val="20"/>
          <w:lang w:eastAsia="es-ES"/>
        </w:rPr>
        <w:t>[…] por organismo internacional se entiende aquella organización, grupo o asociación que se extiende más allá de las fronteras de un Estado y cuenta con órganos gubernamentales permanentes distintos e independientes de los Estados miembros de la organización que garantizan su vigencia y operatividad, con el propósito de cumplir objetivos comunes entre los Estados miembros.</w:t>
      </w:r>
    </w:p>
    <w:p w14:paraId="5F8C1F19" w14:textId="10881622" w:rsidR="003F33D1" w:rsidRPr="000C125F" w:rsidRDefault="003F33D1" w:rsidP="000C125F">
      <w:pPr>
        <w:spacing w:line="240" w:lineRule="auto"/>
        <w:jc w:val="both"/>
        <w:rPr>
          <w:rFonts w:ascii="Verdana" w:eastAsia="Calibri" w:hAnsi="Verdana" w:cs="Arial"/>
          <w:b/>
          <w:bCs/>
          <w:color w:val="000000" w:themeColor="text1"/>
          <w:lang w:val="es-ES" w:eastAsia="es-ES"/>
        </w:rPr>
      </w:pPr>
      <w:r w:rsidRPr="000C125F">
        <w:rPr>
          <w:rFonts w:ascii="Verdana" w:eastAsia="Calibri" w:hAnsi="Verdana" w:cs="Arial"/>
          <w:b/>
          <w:bCs/>
          <w:color w:val="000000" w:themeColor="text1"/>
          <w:lang w:val="es-ES" w:eastAsia="es-ES"/>
        </w:rPr>
        <w:t>RÉGIMEN CONTRACTUAL – Ley 1150 de 2007 – Artículo 20</w:t>
      </w:r>
    </w:p>
    <w:p w14:paraId="3DF607B7" w14:textId="77777777" w:rsidR="003F33D1" w:rsidRPr="000C125F" w:rsidRDefault="003F33D1" w:rsidP="000C125F">
      <w:pPr>
        <w:spacing w:before="120" w:line="240" w:lineRule="auto"/>
        <w:jc w:val="both"/>
        <w:rPr>
          <w:rFonts w:ascii="Verdana" w:hAnsi="Verdana" w:cs="Arial"/>
          <w:color w:val="000000" w:themeColor="text1"/>
          <w:sz w:val="20"/>
          <w:szCs w:val="20"/>
          <w:lang w:val="es-ES"/>
        </w:rPr>
      </w:pPr>
      <w:r w:rsidRPr="000C125F">
        <w:rPr>
          <w:rFonts w:ascii="Verdana" w:hAnsi="Verdana" w:cs="Arial"/>
          <w:color w:val="000000" w:themeColor="text1"/>
          <w:sz w:val="20"/>
          <w:szCs w:val="20"/>
          <w:lang w:val="es-ES"/>
        </w:rPr>
        <w:t>El artículo 20 de la Ley 1150 de 2007 estableció el régimen aplicable a los contratos que celebren las entidades estatales con organismos internacionales, previendo tres supuestos. El inciso primero dispone que cuando los organismos de cooperación, asistencia o ayudas internacionales financien los contratos o convenios en su totalidad o en sumas iguales o superiores al cincuenta por ciento (50%), la contratación podrá someterse a los reglamentos de tales entidades; cuando los aportes sean inferiores a dicho porcentaje, el contrato o convenio debe someterse al EGCAP. El último supuesto del inciso segundo establece que los contratos o convenios financiados con fondos de los organismos multilaterales de crédito y entes gubernamentales extranjeros podrán regirse por sus reglamentos, con independencia del porcentaje que financien o aporten. Finalmente, el parágrafo primero dispone que los contratos o acuerdos celebrados con personas extranjeras de derecho público podrán someterse a las reglas de tales organismos, sin que sea relevante el monto de los aportes ni el objeto convenido.</w:t>
      </w:r>
    </w:p>
    <w:p w14:paraId="031E56D6" w14:textId="576F077F" w:rsidR="003F33D1" w:rsidRPr="000C125F" w:rsidRDefault="003F33D1" w:rsidP="000C125F">
      <w:pPr>
        <w:spacing w:before="120" w:line="240" w:lineRule="auto"/>
        <w:jc w:val="both"/>
        <w:rPr>
          <w:rFonts w:ascii="Verdana" w:hAnsi="Verdana" w:cs="Arial"/>
          <w:color w:val="000000" w:themeColor="text1"/>
          <w:sz w:val="20"/>
          <w:szCs w:val="20"/>
          <w:lang w:val="es-ES"/>
        </w:rPr>
      </w:pPr>
      <w:r w:rsidRPr="000C125F">
        <w:rPr>
          <w:rFonts w:ascii="Verdana" w:hAnsi="Verdana" w:cs="Arial"/>
          <w:color w:val="000000" w:themeColor="text1"/>
          <w:sz w:val="20"/>
          <w:szCs w:val="20"/>
          <w:lang w:val="es-ES"/>
        </w:rPr>
        <w:t>En cuanto a la identificación de los sujetos del inciso primero, el ordenamiento colombiano comprende como organismos de cooperación, asistencia o ayudas internacionales a todos aquellos socios de carácter internacional que brinden asistencia técnica y/o transferencia de conocimientos para crear y fortalecer las capacidades nacionales y locales, en los términos del Decreto 603 de 2022. Los organismos del Sistema de Naciones Unidas que actúen en este ámbito quedan comprendidos en ese supuesto, de modo que, para definir el régimen contractual aplicable, será determinante establecer el porcentaje de los fondos que aporten al convenio. En todo caso, el concepto excluyente entre sujetos implica que, aunque un organismo del Sistema ONU pudiera también calificar como ente gubernamental extranjero o persona extranjera de derecho público, la entidad estatal debe aplicar de manera prioritaria la regla del inciso primero cuando el organismo corresponda materialmente al ámbito de cooperación, asistencia o ayuda.</w:t>
      </w:r>
    </w:p>
    <w:p w14:paraId="03C266FB" w14:textId="77777777" w:rsidR="003F33D1" w:rsidRPr="000C125F" w:rsidRDefault="003F33D1" w:rsidP="000C125F">
      <w:pPr>
        <w:spacing w:line="240" w:lineRule="auto"/>
        <w:jc w:val="both"/>
        <w:rPr>
          <w:rFonts w:ascii="Verdana" w:eastAsia="Calibri" w:hAnsi="Verdana" w:cs="Arial"/>
          <w:b/>
          <w:bCs/>
          <w:color w:val="000000" w:themeColor="text1"/>
          <w:lang w:eastAsia="es-ES"/>
        </w:rPr>
      </w:pPr>
      <w:r w:rsidRPr="000C125F">
        <w:rPr>
          <w:rFonts w:ascii="Verdana" w:eastAsia="Calibri" w:hAnsi="Verdana" w:cs="Arial"/>
          <w:b/>
          <w:bCs/>
          <w:color w:val="000000" w:themeColor="text1"/>
          <w:lang w:val="es-ES" w:eastAsia="es-ES"/>
        </w:rPr>
        <w:t>P</w:t>
      </w:r>
      <w:r w:rsidRPr="000C125F">
        <w:rPr>
          <w:rFonts w:ascii="Verdana" w:eastAsia="Calibri" w:hAnsi="Verdana" w:cs="Arial"/>
          <w:b/>
          <w:bCs/>
          <w:color w:val="000000" w:themeColor="text1"/>
          <w:lang w:eastAsia="es-ES"/>
        </w:rPr>
        <w:t>RINCIPIO DE PLANEACIÓN ‒ Contratación con organismos internacionales ‒ Alcance</w:t>
      </w:r>
    </w:p>
    <w:p w14:paraId="5D6E8C24" w14:textId="77777777" w:rsidR="003F33D1" w:rsidRPr="000C125F" w:rsidRDefault="003F33D1" w:rsidP="000C125F">
      <w:pPr>
        <w:spacing w:before="120" w:line="240" w:lineRule="auto"/>
        <w:jc w:val="both"/>
        <w:rPr>
          <w:rFonts w:ascii="Verdana" w:hAnsi="Verdana" w:cs="Arial"/>
          <w:color w:val="000000" w:themeColor="text1"/>
          <w:sz w:val="20"/>
          <w:szCs w:val="20"/>
          <w:lang w:val="es-ES"/>
        </w:rPr>
      </w:pPr>
      <w:r w:rsidRPr="000C125F">
        <w:rPr>
          <w:rFonts w:ascii="Verdana" w:hAnsi="Verdana" w:cs="Arial"/>
          <w:color w:val="000000" w:themeColor="text1"/>
          <w:sz w:val="20"/>
          <w:szCs w:val="20"/>
          <w:lang w:val="es-ES"/>
        </w:rPr>
        <w:t xml:space="preserve">El principio de planeación, en el marco de los principios de economía y responsabilidad, es aplicable a los contratos y convenios que las entidades estatales suscriban con organismos internacionales, incluso cuando, en cumplimiento de lo dispuesto en el artículo 20 de la Ley 1150 de 2007, decidan someterse a sus normas y no al EGCAP. Esto se sustenta en que, de acuerdo con el Consejo de Estado, la remisión integral a los reglamentos o normas de los organismos internacionales no incluye la etapa de planeación del procedimiento contractual. En consecuencia, las entidades deben cumplir </w:t>
      </w:r>
      <w:r w:rsidRPr="000C125F">
        <w:rPr>
          <w:rFonts w:ascii="Verdana" w:hAnsi="Verdana" w:cs="Arial"/>
          <w:color w:val="000000" w:themeColor="text1"/>
          <w:sz w:val="20"/>
          <w:szCs w:val="20"/>
          <w:lang w:val="es-ES"/>
        </w:rPr>
        <w:lastRenderedPageBreak/>
        <w:t>con el principio de planeación, lo que implica, por ejemplo, que en estos procedimientos la entidad conozca el mercado de los bienes, servicios u obras que contratará con el organismo, así como que cumpla con los permisos, licencias, diseños o estudios que resulten necesarios según el objeto del contrato o convenio que se pretende ejecutar en el territorio nacional.</w:t>
      </w:r>
    </w:p>
    <w:p w14:paraId="06AAB1AA" w14:textId="48616B16" w:rsidR="003F33D1" w:rsidRPr="000C125F" w:rsidRDefault="003F33D1" w:rsidP="000C125F">
      <w:pPr>
        <w:spacing w:before="120" w:line="240" w:lineRule="auto"/>
        <w:jc w:val="both"/>
        <w:rPr>
          <w:rFonts w:ascii="Verdana" w:hAnsi="Verdana" w:cs="Arial"/>
          <w:color w:val="000000" w:themeColor="text1"/>
          <w:sz w:val="20"/>
          <w:szCs w:val="20"/>
          <w:lang w:val="es-ES"/>
        </w:rPr>
      </w:pPr>
      <w:r w:rsidRPr="000C125F">
        <w:rPr>
          <w:rFonts w:ascii="Verdana" w:hAnsi="Verdana" w:cs="Arial"/>
          <w:color w:val="000000" w:themeColor="text1"/>
          <w:sz w:val="20"/>
          <w:szCs w:val="20"/>
          <w:lang w:val="es-ES"/>
        </w:rPr>
        <w:t>Sin embargo, la planeación contractual deberá ser armónica con el régimen del contrato o convenio, de modo que no serán exigibles todos los aspectos, requisitos o documentos que son propios de un contrato o convenio sometido al Estatuto. En consecuencia, aunque la entidad deba cumplir con el principio de planeación, su aplicación debe ser concordante con el contrato o convenio cuyo régimen será el propio de dichos organismos. Esto supone que la entidad adelantará acciones como determinar su necesidad, apropiar los recursos procedentes, incluir la suscripción del convenio o contrato en su Plan Anual de Adquisiciones y adelantar el análisis del sector y los estudios previos con el fin de definir las condiciones del contrato o convenio, adecuándolos según el régimen jurídico al cual se someterá el negocio jurídico, sin perjuicio de lo establecido por el Consejo de Estado sobre la aplicabilidad de las normas presupuestales a este tipo de negocios jurídicos.</w:t>
      </w:r>
    </w:p>
    <w:p w14:paraId="3B980716" w14:textId="77777777" w:rsidR="003F33D1" w:rsidRPr="000C125F" w:rsidRDefault="003F33D1" w:rsidP="000C125F">
      <w:pPr>
        <w:spacing w:line="240" w:lineRule="auto"/>
        <w:jc w:val="both"/>
        <w:rPr>
          <w:rFonts w:ascii="Verdana" w:eastAsia="Calibri" w:hAnsi="Verdana" w:cs="Arial"/>
          <w:b/>
          <w:bCs/>
          <w:color w:val="000000" w:themeColor="text1"/>
          <w:lang w:val="es-ES" w:eastAsia="es-ES"/>
        </w:rPr>
      </w:pPr>
      <w:r w:rsidRPr="000C125F">
        <w:rPr>
          <w:rFonts w:ascii="Verdana" w:eastAsia="Calibri" w:hAnsi="Verdana" w:cs="Arial"/>
          <w:b/>
          <w:bCs/>
          <w:color w:val="000000" w:themeColor="text1"/>
          <w:lang w:eastAsia="es-ES"/>
        </w:rPr>
        <w:t xml:space="preserve">RÉGIMEN CONTRACTUAL </w:t>
      </w:r>
      <w:r w:rsidRPr="000C125F">
        <w:rPr>
          <w:rFonts w:ascii="Verdana" w:eastAsia="Calibri" w:hAnsi="Verdana" w:cs="Arial"/>
          <w:b/>
          <w:bCs/>
          <w:color w:val="000000" w:themeColor="text1"/>
          <w:lang w:val="es-ES" w:eastAsia="es-ES"/>
        </w:rPr>
        <w:t xml:space="preserve">‒ </w:t>
      </w:r>
      <w:r w:rsidRPr="000C125F">
        <w:rPr>
          <w:rFonts w:ascii="Verdana" w:eastAsia="Calibri" w:hAnsi="Verdana" w:cs="Arial"/>
          <w:b/>
          <w:bCs/>
          <w:color w:val="000000" w:themeColor="text1"/>
          <w:lang w:eastAsia="es-ES"/>
        </w:rPr>
        <w:t xml:space="preserve">Contratación con organismos internacionales </w:t>
      </w:r>
      <w:r w:rsidRPr="000C125F">
        <w:rPr>
          <w:rFonts w:ascii="Verdana" w:eastAsia="Calibri" w:hAnsi="Verdana" w:cs="Arial"/>
          <w:b/>
          <w:bCs/>
          <w:color w:val="000000" w:themeColor="text1"/>
          <w:lang w:val="es-ES" w:eastAsia="es-ES"/>
        </w:rPr>
        <w:t>‒ Remisión integral ‒ Selección y ejecución</w:t>
      </w:r>
    </w:p>
    <w:p w14:paraId="06DE3B4A" w14:textId="77777777" w:rsidR="003F33D1" w:rsidRPr="000C125F" w:rsidRDefault="003F33D1" w:rsidP="000C125F">
      <w:pPr>
        <w:spacing w:before="120" w:after="120" w:line="240" w:lineRule="auto"/>
        <w:jc w:val="both"/>
        <w:rPr>
          <w:rFonts w:ascii="Verdana" w:hAnsi="Verdana" w:cs="Arial"/>
          <w:color w:val="000000" w:themeColor="text1"/>
          <w:sz w:val="20"/>
          <w:szCs w:val="20"/>
          <w:lang w:val="es-ES"/>
        </w:rPr>
      </w:pPr>
      <w:r w:rsidRPr="000C125F">
        <w:rPr>
          <w:rFonts w:ascii="Verdana" w:hAnsi="Verdana" w:cs="Arial"/>
          <w:color w:val="000000" w:themeColor="text1"/>
          <w:sz w:val="20"/>
          <w:szCs w:val="20"/>
          <w:lang w:val="es-ES"/>
        </w:rPr>
        <w:t xml:space="preserve">De conformidad con lo expuesto, se concluye que los contratos o convenios celebrados con los sujetos y que cumplan los supuestos del artículo 20 pueden someterse a los reglamentos de tales organismos y en consecuencia sustraerse de la aplicación del EGCAP. Esto implica que cuando se sometan a sus reglamentos, convenciones o tratados se regirá por este marco jurídico </w:t>
      </w:r>
      <w:r w:rsidRPr="000C125F">
        <w:rPr>
          <w:rFonts w:ascii="Verdana" w:hAnsi="Verdana" w:cs="Arial"/>
          <w:i/>
          <w:iCs/>
          <w:color w:val="000000" w:themeColor="text1"/>
          <w:sz w:val="20"/>
          <w:szCs w:val="20"/>
          <w:u w:val="single"/>
          <w:lang w:val="es-ES"/>
        </w:rPr>
        <w:t xml:space="preserve">todo </w:t>
      </w:r>
      <w:r w:rsidRPr="000C125F">
        <w:rPr>
          <w:rFonts w:ascii="Verdana" w:hAnsi="Verdana" w:cs="Arial"/>
          <w:color w:val="000000" w:themeColor="text1"/>
          <w:sz w:val="20"/>
          <w:szCs w:val="20"/>
          <w:lang w:val="es-ES"/>
        </w:rPr>
        <w:t xml:space="preserve">lo referente a: </w:t>
      </w:r>
    </w:p>
    <w:p w14:paraId="169539A9" w14:textId="77777777" w:rsidR="003F33D1" w:rsidRPr="000C125F" w:rsidRDefault="003F33D1" w:rsidP="000C125F">
      <w:pPr>
        <w:spacing w:before="120" w:after="120" w:line="240" w:lineRule="auto"/>
        <w:jc w:val="both"/>
        <w:rPr>
          <w:rFonts w:ascii="Verdana" w:hAnsi="Verdana" w:cs="Arial"/>
          <w:color w:val="000000" w:themeColor="text1"/>
          <w:sz w:val="20"/>
          <w:szCs w:val="20"/>
          <w:lang w:val="es-ES"/>
        </w:rPr>
      </w:pPr>
      <w:r w:rsidRPr="000C125F">
        <w:rPr>
          <w:rFonts w:ascii="Verdana" w:hAnsi="Verdana" w:cs="Arial"/>
          <w:color w:val="000000" w:themeColor="text1"/>
          <w:sz w:val="20"/>
          <w:szCs w:val="20"/>
          <w:lang w:val="es-ES"/>
        </w:rPr>
        <w:t xml:space="preserve">1) El procedimiento de selección, </w:t>
      </w:r>
    </w:p>
    <w:p w14:paraId="75D1CF93" w14:textId="77777777" w:rsidR="003F33D1" w:rsidRPr="000C125F" w:rsidRDefault="003F33D1" w:rsidP="000C125F">
      <w:pPr>
        <w:spacing w:before="120" w:after="120" w:line="240" w:lineRule="auto"/>
        <w:jc w:val="both"/>
        <w:rPr>
          <w:rFonts w:ascii="Verdana" w:hAnsi="Verdana" w:cs="Arial"/>
          <w:color w:val="000000" w:themeColor="text1"/>
          <w:sz w:val="20"/>
          <w:szCs w:val="20"/>
          <w:lang w:val="es-ES"/>
        </w:rPr>
      </w:pPr>
      <w:r w:rsidRPr="000C125F">
        <w:rPr>
          <w:rFonts w:ascii="Verdana" w:hAnsi="Verdana" w:cs="Arial"/>
          <w:color w:val="000000" w:themeColor="text1"/>
          <w:sz w:val="20"/>
          <w:szCs w:val="20"/>
          <w:lang w:val="es-ES"/>
        </w:rPr>
        <w:t xml:space="preserve">2) La celebración del contrato y </w:t>
      </w:r>
    </w:p>
    <w:p w14:paraId="0D1529AD" w14:textId="77777777" w:rsidR="003F33D1" w:rsidRPr="000C125F" w:rsidRDefault="003F33D1" w:rsidP="000C125F">
      <w:pPr>
        <w:spacing w:before="120" w:after="120" w:line="240" w:lineRule="auto"/>
        <w:jc w:val="both"/>
        <w:rPr>
          <w:rFonts w:ascii="Verdana" w:hAnsi="Verdana" w:cs="Arial"/>
          <w:color w:val="000000" w:themeColor="text1"/>
          <w:sz w:val="20"/>
          <w:szCs w:val="20"/>
          <w:lang w:val="es-ES"/>
        </w:rPr>
      </w:pPr>
      <w:r w:rsidRPr="000C125F">
        <w:rPr>
          <w:rFonts w:ascii="Verdana" w:hAnsi="Verdana" w:cs="Arial"/>
          <w:color w:val="000000" w:themeColor="text1"/>
          <w:sz w:val="20"/>
          <w:szCs w:val="20"/>
          <w:lang w:val="es-ES"/>
        </w:rPr>
        <w:t>3) La ejecución contractual, lo cual incluye los procedimientos, sanciones o recursos aplicables ante posibles incumplimientos por alguna de las partes, en la medida en que la remisión es integral a menos que se disponga lo contrario.</w:t>
      </w:r>
    </w:p>
    <w:p w14:paraId="7FEC7B48" w14:textId="77777777" w:rsidR="003F33D1" w:rsidRPr="000C125F" w:rsidRDefault="003F33D1" w:rsidP="000C125F">
      <w:pPr>
        <w:spacing w:before="120" w:after="120" w:line="240" w:lineRule="auto"/>
        <w:jc w:val="both"/>
        <w:rPr>
          <w:rFonts w:ascii="Verdana" w:hAnsi="Verdana" w:cs="Arial"/>
          <w:color w:val="000000" w:themeColor="text1"/>
          <w:sz w:val="20"/>
          <w:szCs w:val="20"/>
          <w:lang w:val="es-ES"/>
        </w:rPr>
      </w:pPr>
      <w:r w:rsidRPr="000C125F">
        <w:rPr>
          <w:rFonts w:ascii="Verdana" w:hAnsi="Verdana" w:cs="Arial"/>
          <w:color w:val="000000" w:themeColor="text1"/>
          <w:sz w:val="20"/>
          <w:szCs w:val="20"/>
          <w:lang w:val="es-ES"/>
        </w:rPr>
        <w:t>Por otra parte, también se deriva de lo anterior que incluso en los supuestos en los que el contrato se someta a los reglamentos o normativa del organismo internacional, se aplicará la normativa nacional en materia de contratación pública –es decir</w:t>
      </w:r>
      <w:proofErr w:type="gramStart"/>
      <w:r w:rsidRPr="000C125F">
        <w:rPr>
          <w:rFonts w:ascii="Verdana" w:hAnsi="Verdana" w:cs="Arial"/>
          <w:color w:val="000000" w:themeColor="text1"/>
          <w:sz w:val="20"/>
          <w:szCs w:val="20"/>
          <w:lang w:val="es-ES"/>
        </w:rPr>
        <w:t>, :</w:t>
      </w:r>
      <w:proofErr w:type="gramEnd"/>
    </w:p>
    <w:p w14:paraId="2E426428" w14:textId="77777777" w:rsidR="003F33D1" w:rsidRPr="000C125F" w:rsidRDefault="003F33D1" w:rsidP="000C125F">
      <w:pPr>
        <w:spacing w:before="120" w:after="120" w:line="240" w:lineRule="auto"/>
        <w:jc w:val="both"/>
        <w:rPr>
          <w:rFonts w:ascii="Verdana" w:hAnsi="Verdana" w:cs="Arial"/>
          <w:color w:val="000000" w:themeColor="text1"/>
          <w:sz w:val="20"/>
          <w:szCs w:val="20"/>
          <w:lang w:val="es-ES"/>
        </w:rPr>
      </w:pPr>
      <w:r w:rsidRPr="000C125F">
        <w:rPr>
          <w:rFonts w:ascii="Verdana" w:hAnsi="Verdana" w:cs="Arial"/>
          <w:color w:val="000000" w:themeColor="text1"/>
          <w:sz w:val="20"/>
          <w:szCs w:val="20"/>
          <w:lang w:val="es-ES"/>
        </w:rPr>
        <w:t>1) Con respecto a la etapa de planeación del contrato o convenio estatal</w:t>
      </w:r>
    </w:p>
    <w:p w14:paraId="440914B1" w14:textId="77777777" w:rsidR="003F33D1" w:rsidRPr="000C125F" w:rsidRDefault="003F33D1" w:rsidP="000C125F">
      <w:pPr>
        <w:spacing w:before="120" w:after="120" w:line="240" w:lineRule="auto"/>
        <w:jc w:val="both"/>
        <w:rPr>
          <w:rFonts w:ascii="Verdana" w:hAnsi="Verdana" w:cs="Arial"/>
          <w:color w:val="000000" w:themeColor="text1"/>
          <w:sz w:val="20"/>
          <w:szCs w:val="20"/>
          <w:lang w:val="es-ES"/>
        </w:rPr>
      </w:pPr>
      <w:r w:rsidRPr="000C125F">
        <w:rPr>
          <w:rFonts w:ascii="Verdana" w:hAnsi="Verdana" w:cs="Arial"/>
          <w:color w:val="000000" w:themeColor="text1"/>
          <w:sz w:val="20"/>
          <w:szCs w:val="20"/>
          <w:lang w:val="es-ES"/>
        </w:rPr>
        <w:t xml:space="preserve">2) Cuando el contrato, convenio o los reglamentos del organismo internacional lo permita porque, por ejemplo, realiza una remisión o autoriza la aplicación del régimen nacional frente a determinadas materias. </w:t>
      </w:r>
    </w:p>
    <w:p w14:paraId="2B6BB30D" w14:textId="77777777" w:rsidR="003F33D1" w:rsidRPr="000C125F" w:rsidRDefault="003F33D1" w:rsidP="000C125F">
      <w:pPr>
        <w:spacing w:before="120" w:after="0" w:line="240" w:lineRule="auto"/>
        <w:jc w:val="both"/>
        <w:rPr>
          <w:rFonts w:ascii="Verdana" w:hAnsi="Verdana" w:cs="Arial"/>
          <w:color w:val="000000" w:themeColor="text1"/>
          <w:sz w:val="20"/>
          <w:szCs w:val="20"/>
          <w:lang w:val="es-ES"/>
        </w:rPr>
      </w:pPr>
      <w:r w:rsidRPr="000C125F">
        <w:rPr>
          <w:rFonts w:ascii="Verdana" w:hAnsi="Verdana" w:cs="Arial"/>
          <w:color w:val="000000" w:themeColor="text1"/>
          <w:sz w:val="20"/>
          <w:szCs w:val="20"/>
          <w:lang w:val="es-ES"/>
        </w:rPr>
        <w:t xml:space="preserve">3) De manera supletiva cuando el convenio, contrato o los reglamentos del organismo internacional guarden silencio respecto a determinados aspectos del proceso contractual o de su ejecución.   </w:t>
      </w:r>
    </w:p>
    <w:p w14:paraId="6E0D14A7" w14:textId="77777777" w:rsidR="003F33D1" w:rsidRPr="000C125F" w:rsidRDefault="003F33D1" w:rsidP="000C125F">
      <w:pPr>
        <w:spacing w:line="240" w:lineRule="auto"/>
        <w:jc w:val="both"/>
        <w:rPr>
          <w:rFonts w:ascii="Verdana" w:eastAsia="Calibri" w:hAnsi="Verdana" w:cs="Arial"/>
          <w:color w:val="000000" w:themeColor="text1"/>
          <w:sz w:val="20"/>
          <w:szCs w:val="20"/>
          <w:lang w:val="es-ES" w:eastAsia="es-ES"/>
        </w:rPr>
      </w:pPr>
    </w:p>
    <w:p w14:paraId="6473DCD9" w14:textId="447E47DF" w:rsidR="003F33D1" w:rsidRPr="000C125F" w:rsidRDefault="003F33D1" w:rsidP="000C125F">
      <w:pPr>
        <w:spacing w:line="240" w:lineRule="auto"/>
        <w:jc w:val="both"/>
        <w:rPr>
          <w:rFonts w:ascii="Verdana" w:eastAsia="Calibri" w:hAnsi="Verdana" w:cs="Arial"/>
          <w:b/>
          <w:bCs/>
          <w:color w:val="000000" w:themeColor="text1"/>
          <w:lang w:eastAsia="es-ES"/>
        </w:rPr>
      </w:pPr>
      <w:r w:rsidRPr="000C125F">
        <w:rPr>
          <w:rFonts w:ascii="Verdana" w:eastAsia="Calibri" w:hAnsi="Verdana" w:cs="Arial"/>
          <w:b/>
          <w:bCs/>
          <w:color w:val="000000" w:themeColor="text1"/>
          <w:lang w:val="es-ES" w:eastAsia="es-ES"/>
        </w:rPr>
        <w:lastRenderedPageBreak/>
        <w:t>I</w:t>
      </w:r>
      <w:r w:rsidRPr="000C125F">
        <w:rPr>
          <w:rFonts w:ascii="Verdana" w:eastAsia="Calibri" w:hAnsi="Verdana" w:cs="Arial"/>
          <w:b/>
          <w:bCs/>
          <w:color w:val="000000" w:themeColor="text1"/>
          <w:lang w:eastAsia="es-ES"/>
        </w:rPr>
        <w:t xml:space="preserve">NCUMPLIMIENTO CONTRACTUAL ‒ Declaratoria ‒ Multas ‒ Sanciones ‒ Cláusula penal pecuniaria ‒ Contratación con organismos internacionales ‒ Régimen aplicable </w:t>
      </w:r>
    </w:p>
    <w:p w14:paraId="638918B7" w14:textId="15FB22C0" w:rsidR="003F33D1" w:rsidRPr="000C125F" w:rsidRDefault="003F33D1" w:rsidP="000C125F">
      <w:pPr>
        <w:spacing w:before="120" w:line="240" w:lineRule="auto"/>
        <w:jc w:val="both"/>
        <w:rPr>
          <w:rFonts w:ascii="Verdana" w:hAnsi="Verdana" w:cs="Arial"/>
          <w:color w:val="000000" w:themeColor="text1"/>
          <w:sz w:val="20"/>
          <w:szCs w:val="20"/>
          <w:lang w:val="es-ES"/>
        </w:rPr>
      </w:pPr>
      <w:r w:rsidRPr="000C125F">
        <w:rPr>
          <w:rFonts w:ascii="Verdana" w:hAnsi="Verdana" w:cs="Arial"/>
          <w:color w:val="000000" w:themeColor="text1"/>
          <w:sz w:val="20"/>
          <w:szCs w:val="20"/>
          <w:lang w:val="es-ES"/>
        </w:rPr>
        <w:t xml:space="preserve">En consecuencia, los procedimientos, sanciones o recursos aplicables ante posibles incumplimientos, así como los mecanismos de resolución de controversias, serán, en principio, los dispuestos en el contrato o convenio y los reglamentos y la normativa del organismo. Esto incluye la declaratoria de incumplimientos, la posible imposición de multas, sanciones, figuras jurídicas similares a la cláusula penal pecuniaria u otras consecuencias asociadas al incumplimiento contractual, así como el procedimiento y las reglas para su declaratoria o imposición. Por su parte, al estar fuera del régimen contractual nacional, se excluye el uso de potestades o facultades exorbitantes. En términos generales, la normativa nacional solo será aplicable cuando exista una remisión o autorización en el marco del convenio o contrato, o cuando sea aplicable de manera supletiva ante el silencio del régimen del organismo internacional, de conformidad con lo señalado por el Consejo de Estado. </w:t>
      </w:r>
    </w:p>
    <w:p w14:paraId="48791D05" w14:textId="1D8A79EB" w:rsidR="003F33D1" w:rsidRPr="000C125F" w:rsidRDefault="003F33D1" w:rsidP="000C125F">
      <w:pPr>
        <w:spacing w:line="240" w:lineRule="auto"/>
        <w:jc w:val="both"/>
        <w:rPr>
          <w:rFonts w:ascii="Verdana" w:eastAsia="Calibri" w:hAnsi="Verdana" w:cs="Arial"/>
          <w:b/>
          <w:bCs/>
          <w:color w:val="000000" w:themeColor="text1"/>
          <w:lang w:eastAsia="es-ES"/>
        </w:rPr>
      </w:pPr>
      <w:r w:rsidRPr="000C125F">
        <w:rPr>
          <w:rFonts w:ascii="Verdana" w:eastAsia="Calibri" w:hAnsi="Verdana" w:cs="Arial"/>
          <w:b/>
          <w:bCs/>
          <w:color w:val="000000" w:themeColor="text1"/>
          <w:lang w:eastAsia="es-ES"/>
        </w:rPr>
        <w:t xml:space="preserve">MECANISMOS DE RESOLUCIÓN DE CONTROVERSIAS ‒ Contratos con organismos internacionales </w:t>
      </w:r>
    </w:p>
    <w:p w14:paraId="693ECDD6" w14:textId="4D6EF203" w:rsidR="003F33D1" w:rsidRPr="000C125F" w:rsidRDefault="003F33D1" w:rsidP="000C125F">
      <w:pPr>
        <w:spacing w:line="240" w:lineRule="auto"/>
        <w:jc w:val="both"/>
        <w:rPr>
          <w:rFonts w:ascii="Verdana" w:hAnsi="Verdana" w:cs="Arial"/>
          <w:color w:val="000000" w:themeColor="text1"/>
          <w:sz w:val="20"/>
          <w:szCs w:val="20"/>
        </w:rPr>
      </w:pPr>
      <w:r w:rsidRPr="000C125F">
        <w:rPr>
          <w:rFonts w:ascii="Verdana" w:hAnsi="Verdana" w:cs="Arial"/>
          <w:color w:val="000000" w:themeColor="text1"/>
          <w:sz w:val="20"/>
          <w:szCs w:val="20"/>
        </w:rPr>
        <w:t xml:space="preserve">En este sentido, el desplazamiento del EGCAP al optar por someter el convenio o contrato a la normativa del organismo internacional supone que se rija por lo que esta disponga sobre la declaratoria de incumplimientos, la posible imposición de multas, sanciones y figuras jurídicas similares a la cláusula penal pecuniaria, u otras consecuencias asociadas al incumplimiento contractual, así como el procedimiento y las reglas para la declaratoria o imposición. Lo mismo será procedente en la determinación de los mecanismos de resolución de controversias disponibles en cada caso. Como fue referido previamente, la normativa nacional solo será aplicable frente a estos aspectos cuando: i) exista una remisión o autorización en el marco del convenio o contrato, o cuando la normativa del organismo internacional así lo permita; o </w:t>
      </w:r>
      <w:proofErr w:type="spellStart"/>
      <w:r w:rsidRPr="000C125F">
        <w:rPr>
          <w:rFonts w:ascii="Verdana" w:hAnsi="Verdana" w:cs="Arial"/>
          <w:color w:val="000000" w:themeColor="text1"/>
          <w:sz w:val="20"/>
          <w:szCs w:val="20"/>
        </w:rPr>
        <w:t>ii</w:t>
      </w:r>
      <w:proofErr w:type="spellEnd"/>
      <w:r w:rsidRPr="000C125F">
        <w:rPr>
          <w:rFonts w:ascii="Verdana" w:hAnsi="Verdana" w:cs="Arial"/>
          <w:color w:val="000000" w:themeColor="text1"/>
          <w:sz w:val="20"/>
          <w:szCs w:val="20"/>
        </w:rPr>
        <w:t>) cuando sea aplicable de manera supletiva ante el silencio del régimen del organismo internacional y del convenio o contrato.</w:t>
      </w:r>
    </w:p>
    <w:p w14:paraId="0FECF283" w14:textId="6548F3FA" w:rsidR="003F33D1" w:rsidRPr="000C125F" w:rsidRDefault="003F33D1" w:rsidP="000C125F">
      <w:pPr>
        <w:spacing w:before="120" w:after="0" w:line="240" w:lineRule="auto"/>
        <w:jc w:val="both"/>
        <w:rPr>
          <w:rFonts w:ascii="Verdana" w:eastAsia="Verdana" w:hAnsi="Verdana" w:cs="Verdana"/>
          <w:sz w:val="20"/>
          <w:szCs w:val="20"/>
          <w:lang w:val="es-ES"/>
        </w:rPr>
      </w:pPr>
      <w:r w:rsidRPr="000C125F">
        <w:rPr>
          <w:rFonts w:ascii="Verdana" w:hAnsi="Verdana" w:cs="Arial"/>
          <w:color w:val="000000" w:themeColor="text1"/>
          <w:sz w:val="20"/>
          <w:szCs w:val="20"/>
        </w:rPr>
        <w:t xml:space="preserve">[…] </w:t>
      </w:r>
      <w:r w:rsidRPr="000C125F">
        <w:rPr>
          <w:rFonts w:ascii="Verdana" w:eastAsia="Verdana" w:hAnsi="Verdana" w:cs="Verdana"/>
          <w:sz w:val="20"/>
          <w:szCs w:val="20"/>
        </w:rPr>
        <w:t>Sin perjuicio de lo anterior, la determinación del procedimiento de declaratoria de incumplimientos, los mecanismos de resolución de controversias aplicables o la posible imposición de sanciones, multas o figuras similares deberá determinarse en cada caso concreto, atendiendo la naturaleza de la entidad que ejerce la potestad sancionatoria, el contenido del contrato o convenio, sus disposiciones y las reglas especiales que resulten aplicables según la normativa o los reglamentos específicos del organismo internacional.</w:t>
      </w:r>
      <w:r w:rsidRPr="000C125F">
        <w:rPr>
          <w:rFonts w:ascii="Verdana" w:eastAsia="Verdana" w:hAnsi="Verdana" w:cs="Verdana"/>
          <w:sz w:val="20"/>
          <w:szCs w:val="20"/>
          <w:lang w:val="es-ES"/>
        </w:rPr>
        <w:t xml:space="preserve"> </w:t>
      </w:r>
    </w:p>
    <w:p w14:paraId="46978780" w14:textId="77777777" w:rsidR="003F33D1" w:rsidRPr="000C125F" w:rsidRDefault="003F33D1" w:rsidP="000C125F">
      <w:pPr>
        <w:spacing w:line="240" w:lineRule="auto"/>
        <w:jc w:val="both"/>
        <w:rPr>
          <w:rFonts w:ascii="Verdana" w:eastAsia="Calibri" w:hAnsi="Verdana" w:cs="Arial"/>
          <w:color w:val="000000" w:themeColor="text1"/>
          <w:sz w:val="20"/>
          <w:szCs w:val="20"/>
          <w:lang w:eastAsia="es-ES"/>
        </w:rPr>
      </w:pPr>
    </w:p>
    <w:p w14:paraId="7C61A62D" w14:textId="77777777" w:rsidR="003F33D1" w:rsidRPr="000C125F" w:rsidRDefault="003F33D1" w:rsidP="000C125F">
      <w:pPr>
        <w:spacing w:line="240" w:lineRule="auto"/>
        <w:jc w:val="both"/>
        <w:rPr>
          <w:rFonts w:ascii="Verdana" w:eastAsia="Calibri" w:hAnsi="Verdana" w:cs="Arial"/>
          <w:b/>
          <w:bCs/>
          <w:color w:val="000000" w:themeColor="text1"/>
          <w:lang w:eastAsia="es-ES"/>
        </w:rPr>
      </w:pPr>
      <w:r w:rsidRPr="000C125F">
        <w:rPr>
          <w:rFonts w:ascii="Verdana" w:eastAsia="Calibri" w:hAnsi="Verdana" w:cs="Arial"/>
          <w:b/>
          <w:bCs/>
          <w:color w:val="000000" w:themeColor="text1"/>
          <w:lang w:eastAsia="es-ES"/>
        </w:rPr>
        <w:t>CONTRATOS DERIVADOS ‒ Régimen sancionatorio ‒ Artículo 86 Ley 1474 de 2011</w:t>
      </w:r>
    </w:p>
    <w:p w14:paraId="54F8219C" w14:textId="3E44C686" w:rsidR="003F33D1" w:rsidRPr="000C125F" w:rsidRDefault="003F33D1" w:rsidP="000C125F">
      <w:pPr>
        <w:spacing w:before="120" w:line="240" w:lineRule="auto"/>
        <w:jc w:val="both"/>
        <w:rPr>
          <w:rFonts w:ascii="Verdana" w:hAnsi="Verdana" w:cs="Arial"/>
          <w:color w:val="000000" w:themeColor="text1"/>
          <w:sz w:val="20"/>
          <w:szCs w:val="20"/>
          <w:lang w:val="es-ES"/>
        </w:rPr>
      </w:pPr>
      <w:r w:rsidRPr="000C125F">
        <w:rPr>
          <w:rFonts w:ascii="Verdana" w:hAnsi="Verdana" w:cs="Arial"/>
          <w:color w:val="000000" w:themeColor="text1"/>
          <w:sz w:val="20"/>
          <w:szCs w:val="20"/>
          <w:lang w:val="es-ES"/>
        </w:rPr>
        <w:t xml:space="preserve">No obstante, cuando se trate de contratos derivados que celebren las entidades estatales en desarrollo de los convenios o contratos sometidos a la normativa de organismos internacionales, las partes podrán pactar cláusulas relativas a la declaratoria de incumplimiento, multas, cláusula penal pecuniaria u otras consecuencias asociadas al </w:t>
      </w:r>
      <w:r w:rsidRPr="000C125F">
        <w:rPr>
          <w:rFonts w:ascii="Verdana" w:hAnsi="Verdana" w:cs="Arial"/>
          <w:color w:val="000000" w:themeColor="text1"/>
          <w:sz w:val="20"/>
          <w:szCs w:val="20"/>
          <w:lang w:val="es-ES"/>
        </w:rPr>
        <w:lastRenderedPageBreak/>
        <w:t>incumplimiento contractual, siempre que ello resulte compatible con el régimen jurídico aplicable al negocio correspondiente. En esos supuestos específicos, cuando una entidad estatal sometida al EGCAP pretenda declarar un incumplimiento, imponer multas, hacer efectiva una cláusula penal pecuniaria o adoptar decisiones unilaterales con efectos sancionatorios respecto de un contrato derivado, deberá analizar la aplicación del procedimiento previsto en el artículo 86 de la Ley 1474 de 2011 como garantía mínima de debido proceso administrativo, salvo que exista una disposición expresa en contrario derivada de un tratado internacional, una norma legal especial o un régimen exceptivo debidamente acreditado.</w:t>
      </w:r>
    </w:p>
    <w:p w14:paraId="1F39E5F2" w14:textId="3323B849" w:rsidR="003F33D1" w:rsidRPr="000C125F" w:rsidRDefault="003F33D1" w:rsidP="000C125F">
      <w:pPr>
        <w:spacing w:line="240" w:lineRule="auto"/>
        <w:jc w:val="both"/>
        <w:rPr>
          <w:rFonts w:ascii="Verdana" w:eastAsia="Calibri" w:hAnsi="Verdana" w:cs="Arial"/>
          <w:b/>
          <w:bCs/>
          <w:color w:val="000000" w:themeColor="text1"/>
          <w:lang w:eastAsia="es-ES"/>
        </w:rPr>
      </w:pPr>
      <w:r w:rsidRPr="000C125F">
        <w:rPr>
          <w:rFonts w:ascii="Verdana" w:eastAsia="Calibri" w:hAnsi="Verdana" w:cs="Arial"/>
          <w:b/>
          <w:bCs/>
          <w:color w:val="000000" w:themeColor="text1"/>
          <w:lang w:eastAsia="es-ES"/>
        </w:rPr>
        <w:t xml:space="preserve">CONTRATACIÓN CON ORGANISMOS INTERNACIONALES ‒ Seguimiento del cumplimiento ‒ Facultades de la entidad estatal ‒ Buena fe contractual ‒ Suministro de información </w:t>
      </w:r>
    </w:p>
    <w:p w14:paraId="0CFEA4C5" w14:textId="77777777" w:rsidR="003F33D1" w:rsidRPr="000C125F" w:rsidRDefault="003F33D1" w:rsidP="000C125F">
      <w:pPr>
        <w:spacing w:before="120" w:line="240" w:lineRule="auto"/>
        <w:jc w:val="both"/>
        <w:rPr>
          <w:rFonts w:ascii="Verdana" w:hAnsi="Verdana" w:cs="Arial"/>
          <w:color w:val="000000" w:themeColor="text1"/>
          <w:sz w:val="20"/>
          <w:szCs w:val="20"/>
          <w:lang w:val="es-ES"/>
        </w:rPr>
      </w:pPr>
      <w:r w:rsidRPr="000C125F">
        <w:rPr>
          <w:rFonts w:ascii="Verdana" w:hAnsi="Verdana" w:cs="Arial"/>
          <w:color w:val="000000" w:themeColor="text1"/>
          <w:sz w:val="20"/>
          <w:szCs w:val="20"/>
          <w:lang w:val="es-ES"/>
        </w:rPr>
        <w:t>Cuando el convenio o contrato se rige por los reglamentos del organismo internacional, la figura de la supervisión en el sentido estricto del artículo 83 de la Ley 1474 de 2011 no resulta aplicable, pues las potestades propias de esa figura son trasladables únicamente a los negocios jurídicos regidos por el EGCAP. Sin embargo, ello no significa que la entidad carezca de mecanismos de seguimiento para establecer el nivel de cumplimiento. Como parte del convenio o contrato, y en el marco de su carácter convencional, la entidad estatal conserva la facultad, y la obligación institucional derivada de su deber de gestión de los recursos públicos comprometidos, de hacer seguimiento a la ejecución del instrumento; seguimiento que se ejerce como expresión natural del vínculo convencional conforme a los mecanismos previstos en el propio convenio o contrato y los reglamentos del organismo, gozando de mayor autonomía para definir cómo lo ejerce. El suministro de información para verificar el grado de cumplimiento es una obligación que se desprende directamente del principio de buena fe en la ejecución de los contratos, de modo que la parte obligada a ejecutar las prestaciones convenidas no puede sustraerse razonablemente de proporcionar a su contraparte la información necesaria para verificar el estado de esa ejecución, salvo que se trate de información sensible, confidencial o sujeta a reserva en virtud de los reglamentos propios del organismo.</w:t>
      </w:r>
    </w:p>
    <w:p w14:paraId="2003D7D6" w14:textId="77777777" w:rsidR="003F33D1" w:rsidRPr="000C125F" w:rsidRDefault="003F33D1" w:rsidP="000C125F">
      <w:pPr>
        <w:spacing w:before="120" w:line="240" w:lineRule="auto"/>
        <w:jc w:val="both"/>
        <w:rPr>
          <w:rFonts w:ascii="Verdana" w:hAnsi="Verdana" w:cs="Arial"/>
          <w:color w:val="000000" w:themeColor="text1"/>
          <w:sz w:val="20"/>
          <w:szCs w:val="20"/>
          <w:lang w:val="es-ES"/>
        </w:rPr>
      </w:pPr>
      <w:r w:rsidRPr="000C125F">
        <w:rPr>
          <w:rFonts w:ascii="Verdana" w:hAnsi="Verdana" w:cs="Arial"/>
          <w:color w:val="000000" w:themeColor="text1"/>
          <w:sz w:val="20"/>
          <w:szCs w:val="20"/>
          <w:lang w:val="es-ES"/>
        </w:rPr>
        <w:t>Las inmunidades reconocidas a los organismos internacionales no eliminan per se el contenido obligacional del convenio ni pueden entenderse como una habilitación que ampare conductas arbitrarias lesivas de derechos consagrados en el ordenamiento interno, conforme lo estableció la Corte Constitucional en la Sentencia T-883 de 2005. No obstante, es importante aclarar que el hecho de que el incumplimiento de la obligación de suministrar información o del principio de buena fe contractual pueda ser evidenciado fácticamente no implica que la inmunidad de jurisdicción no sea aplicable según el caso concreto, de modo que esta última puede llegar a impedir la determinación de responsabilidad en el contexto judicial nacional. En consecuencia, será fundamental pactar mecanismos de resolución de controversias y obligaciones claras frente al suministro de información, su alcance y las potenciales consecuencias de su incumplimiento, desde la negociación del convenio o contrato, con el fin de prevenir que la entidad quede en una posición de debilidad jurídica ante el incumplimiento del organismo internacional.</w:t>
      </w:r>
    </w:p>
    <w:p w14:paraId="189649E3" w14:textId="7D1B4272" w:rsidR="00226C73" w:rsidRPr="00A30FDD" w:rsidRDefault="00A30FDD" w:rsidP="00226C73">
      <w:pPr>
        <w:spacing w:after="0"/>
        <w:rPr>
          <w:rFonts w:ascii="Verdana" w:hAnsi="Verdana"/>
          <w:lang w:val="es-ES"/>
        </w:rPr>
      </w:pPr>
      <w:r w:rsidRPr="00F53971">
        <w:rPr>
          <w:rFonts w:ascii="Verdana" w:hAnsi="Verdana"/>
          <w:lang w:val="es-ES"/>
        </w:rPr>
        <w:lastRenderedPageBreak/>
        <w:t xml:space="preserve">Bogotá D.C., </w:t>
      </w:r>
      <w:r w:rsidR="00B10A54">
        <w:rPr>
          <w:rFonts w:ascii="Verdana" w:hAnsi="Verdana"/>
          <w:lang w:val="es-ES"/>
        </w:rPr>
        <w:t xml:space="preserve">25 de </w:t>
      </w:r>
      <w:r w:rsidR="008C23D5">
        <w:rPr>
          <w:rFonts w:ascii="Verdana" w:hAnsi="Verdana"/>
          <w:lang w:val="es-ES"/>
        </w:rPr>
        <w:t>junio</w:t>
      </w:r>
      <w:r w:rsidR="00B10A54">
        <w:rPr>
          <w:rFonts w:ascii="Verdana" w:hAnsi="Verdana"/>
          <w:lang w:val="es-ES"/>
        </w:rPr>
        <w:t xml:space="preserve"> de 2026</w:t>
      </w:r>
      <w:r w:rsidRPr="00F53971">
        <w:rPr>
          <w:rFonts w:ascii="Verdana" w:hAnsi="Verdana"/>
          <w:lang w:val="es-ES"/>
        </w:rPr>
        <w:tab/>
      </w:r>
      <w:r w:rsidR="00226C73" w:rsidRPr="00A30FDD">
        <w:rPr>
          <w:rFonts w:ascii="Verdana" w:hAnsi="Verdana"/>
          <w:lang w:val="es-ES"/>
        </w:rPr>
        <w:tab/>
      </w:r>
    </w:p>
    <w:p w14:paraId="589D5238" w14:textId="29CA915C" w:rsidR="00226C73" w:rsidRPr="00A30FDD" w:rsidRDefault="003F33D1" w:rsidP="00226C73">
      <w:pPr>
        <w:spacing w:after="0"/>
        <w:rPr>
          <w:rFonts w:ascii="Verdana" w:hAnsi="Verdana"/>
          <w:lang w:val="es-ES"/>
        </w:rPr>
      </w:pPr>
      <w:r>
        <w:rPr>
          <w:rFonts w:ascii="Verdana" w:eastAsia="Calibri" w:hAnsi="Verdana" w:cs="Arial"/>
          <w:b/>
          <w:bCs/>
          <w:noProof/>
          <w:color w:val="000000" w:themeColor="text1"/>
          <w:lang w:val="es-ES" w:eastAsia="es-ES_tradnl"/>
        </w:rPr>
        <w:drawing>
          <wp:anchor distT="0" distB="0" distL="114300" distR="114300" simplePos="0" relativeHeight="251658240" behindDoc="0" locked="0" layoutInCell="1" allowOverlap="1" wp14:anchorId="4EDF5A50" wp14:editId="4ED71148">
            <wp:simplePos x="0" y="0"/>
            <wp:positionH relativeFrom="column">
              <wp:posOffset>3108517</wp:posOffset>
            </wp:positionH>
            <wp:positionV relativeFrom="paragraph">
              <wp:posOffset>84130</wp:posOffset>
            </wp:positionV>
            <wp:extent cx="2201545" cy="594995"/>
            <wp:effectExtent l="0" t="0" r="0" b="1905"/>
            <wp:wrapSquare wrapText="bothSides"/>
            <wp:docPr id="635023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023605" name="Picture 635023605"/>
                    <pic:cNvPicPr/>
                  </pic:nvPicPr>
                  <pic:blipFill>
                    <a:blip r:embed="rId11">
                      <a:extLst>
                        <a:ext uri="{28A0092B-C50C-407E-A947-70E740481C1C}">
                          <a14:useLocalDpi xmlns:a14="http://schemas.microsoft.com/office/drawing/2010/main" val="0"/>
                        </a:ext>
                      </a:extLst>
                    </a:blip>
                    <a:stretch>
                      <a:fillRect/>
                    </a:stretch>
                  </pic:blipFill>
                  <pic:spPr>
                    <a:xfrm>
                      <a:off x="0" y="0"/>
                      <a:ext cx="2201545" cy="594995"/>
                    </a:xfrm>
                    <a:prstGeom prst="rect">
                      <a:avLst/>
                    </a:prstGeom>
                  </pic:spPr>
                </pic:pic>
              </a:graphicData>
            </a:graphic>
            <wp14:sizeRelH relativeFrom="page">
              <wp14:pctWidth>0</wp14:pctWidth>
            </wp14:sizeRelH>
            <wp14:sizeRelV relativeFrom="page">
              <wp14:pctHeight>0</wp14:pctHeight>
            </wp14:sizeRelV>
          </wp:anchor>
        </w:drawing>
      </w:r>
    </w:p>
    <w:p w14:paraId="2668167F" w14:textId="0A4DEB7B" w:rsidR="00226C73" w:rsidRPr="00A30FDD" w:rsidRDefault="0047144A" w:rsidP="00226C73">
      <w:pPr>
        <w:spacing w:after="0" w:line="240" w:lineRule="auto"/>
        <w:jc w:val="both"/>
        <w:rPr>
          <w:rFonts w:ascii="Verdana" w:eastAsia="Calibri" w:hAnsi="Verdana" w:cs="Arial"/>
          <w:color w:val="000000" w:themeColor="text1"/>
          <w:lang w:val="es-ES" w:eastAsia="es-ES"/>
        </w:rPr>
      </w:pPr>
      <w:r w:rsidRPr="00A30FDD">
        <w:rPr>
          <w:rFonts w:ascii="Verdana" w:eastAsia="Calibri" w:hAnsi="Verdana" w:cs="Arial"/>
          <w:color w:val="000000" w:themeColor="text1"/>
          <w:lang w:val="es-ES" w:eastAsia="es-ES"/>
        </w:rPr>
        <w:t>Señor</w:t>
      </w:r>
    </w:p>
    <w:p w14:paraId="2DC8557E" w14:textId="7831CE77" w:rsidR="00287620" w:rsidRPr="00A30FDD" w:rsidRDefault="0047144A" w:rsidP="00287620">
      <w:pPr>
        <w:spacing w:after="0" w:line="240" w:lineRule="auto"/>
        <w:rPr>
          <w:rFonts w:ascii="Verdana" w:eastAsia="Calibri" w:hAnsi="Verdana" w:cs="Arial"/>
          <w:b/>
          <w:bCs/>
          <w:color w:val="000000" w:themeColor="text1"/>
          <w:lang w:val="es-ES" w:eastAsia="es-ES_tradnl"/>
        </w:rPr>
      </w:pPr>
      <w:r w:rsidRPr="00A30FDD">
        <w:rPr>
          <w:rFonts w:ascii="Verdana" w:eastAsia="Calibri" w:hAnsi="Verdana" w:cs="Arial"/>
          <w:b/>
          <w:bCs/>
          <w:color w:val="000000" w:themeColor="text1"/>
          <w:lang w:val="es-ES" w:eastAsia="es-ES_tradnl"/>
        </w:rPr>
        <w:t>Chara Elías Sotter Paternina</w:t>
      </w:r>
    </w:p>
    <w:p w14:paraId="4DEEAC8D" w14:textId="1CAAA355" w:rsidR="00226C73" w:rsidRPr="00A30FDD" w:rsidRDefault="00287620" w:rsidP="00226C73">
      <w:pPr>
        <w:spacing w:after="0" w:line="240" w:lineRule="auto"/>
        <w:rPr>
          <w:rFonts w:ascii="Verdana" w:eastAsia="Calibri" w:hAnsi="Verdana" w:cs="Arial"/>
          <w:b/>
          <w:bCs/>
          <w:color w:val="000000" w:themeColor="text1"/>
          <w:lang w:val="es-ES" w:eastAsia="es-ES_tradnl"/>
        </w:rPr>
      </w:pPr>
      <w:r w:rsidRPr="00A30FDD">
        <w:rPr>
          <w:rFonts w:ascii="Verdana" w:eastAsia="Calibri" w:hAnsi="Verdana" w:cs="Arial"/>
          <w:bCs/>
          <w:color w:val="000000" w:themeColor="text1"/>
          <w:lang w:val="es-ES" w:eastAsia="es-ES_tradnl"/>
        </w:rPr>
        <w:t>Ciudad</w:t>
      </w:r>
    </w:p>
    <w:p w14:paraId="585E6FF1" w14:textId="77777777" w:rsidR="00226C73" w:rsidRPr="00A30FDD" w:rsidRDefault="00226C73" w:rsidP="00226C73">
      <w:pPr>
        <w:spacing w:after="0" w:line="240" w:lineRule="auto"/>
        <w:rPr>
          <w:rFonts w:ascii="Verdana" w:eastAsia="Calibri" w:hAnsi="Verdana" w:cs="Arial"/>
          <w:b/>
          <w:bCs/>
          <w:color w:val="000000" w:themeColor="text1"/>
          <w:lang w:val="es-ES"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226C73" w:rsidRPr="00A30FDD" w14:paraId="3BAB06B5" w14:textId="77777777" w:rsidTr="005C2659">
        <w:trPr>
          <w:trHeight w:val="304"/>
        </w:trPr>
        <w:tc>
          <w:tcPr>
            <w:tcW w:w="2689" w:type="dxa"/>
          </w:tcPr>
          <w:p w14:paraId="39F95EC5" w14:textId="77777777" w:rsidR="00226C73" w:rsidRPr="00A30FDD" w:rsidRDefault="00226C73" w:rsidP="005C2659">
            <w:pPr>
              <w:jc w:val="both"/>
              <w:rPr>
                <w:rFonts w:ascii="Verdana" w:eastAsia="Calibri" w:hAnsi="Verdana" w:cs="Arial"/>
                <w:b/>
                <w:bCs/>
                <w:color w:val="000000" w:themeColor="text1"/>
                <w:lang w:val="es-ES" w:eastAsia="es-ES_tradnl"/>
              </w:rPr>
            </w:pPr>
          </w:p>
        </w:tc>
        <w:tc>
          <w:tcPr>
            <w:tcW w:w="6100" w:type="dxa"/>
          </w:tcPr>
          <w:p w14:paraId="04D4F946" w14:textId="77777777" w:rsidR="00836AE2" w:rsidRPr="00A30FDD" w:rsidRDefault="00836AE2" w:rsidP="005C2659">
            <w:pPr>
              <w:jc w:val="both"/>
              <w:rPr>
                <w:rFonts w:ascii="Verdana" w:eastAsia="Calibri" w:hAnsi="Verdana" w:cs="Arial"/>
                <w:b/>
                <w:bCs/>
                <w:color w:val="000000" w:themeColor="text1"/>
                <w:lang w:val="es-ES" w:eastAsia="es-ES"/>
              </w:rPr>
            </w:pPr>
          </w:p>
          <w:p w14:paraId="2EB58CD3" w14:textId="45304B7B" w:rsidR="00226C73" w:rsidRPr="00A30FDD" w:rsidRDefault="00226C73" w:rsidP="005C2659">
            <w:pPr>
              <w:jc w:val="both"/>
              <w:rPr>
                <w:rFonts w:ascii="Verdana" w:eastAsia="Calibri" w:hAnsi="Verdana" w:cs="Arial"/>
                <w:b/>
                <w:bCs/>
                <w:color w:val="000000" w:themeColor="text1"/>
                <w:lang w:val="es-ES" w:eastAsia="es-ES"/>
              </w:rPr>
            </w:pPr>
            <w:r w:rsidRPr="00A30FDD">
              <w:rPr>
                <w:rFonts w:ascii="Verdana" w:eastAsia="Calibri" w:hAnsi="Verdana" w:cs="Arial"/>
                <w:b/>
                <w:bCs/>
                <w:color w:val="000000" w:themeColor="text1"/>
                <w:lang w:val="es-ES" w:eastAsia="es-ES"/>
              </w:rPr>
              <w:t>Concepto C-</w:t>
            </w:r>
            <w:r w:rsidR="00267673">
              <w:rPr>
                <w:rFonts w:ascii="Verdana" w:eastAsia="Calibri" w:hAnsi="Verdana" w:cs="Arial"/>
                <w:b/>
                <w:bCs/>
                <w:color w:val="000000" w:themeColor="text1"/>
                <w:lang w:val="es-ES" w:eastAsia="es-ES"/>
              </w:rPr>
              <w:t>822</w:t>
            </w:r>
            <w:r w:rsidRPr="00A30FDD">
              <w:rPr>
                <w:rFonts w:ascii="Verdana" w:eastAsia="Calibri" w:hAnsi="Verdana" w:cs="Arial"/>
                <w:b/>
                <w:bCs/>
                <w:color w:val="000000" w:themeColor="text1"/>
                <w:lang w:val="es-ES" w:eastAsia="es-ES"/>
              </w:rPr>
              <w:t xml:space="preserve"> de 202</w:t>
            </w:r>
            <w:r w:rsidR="003828E6" w:rsidRPr="00A30FDD">
              <w:rPr>
                <w:rFonts w:ascii="Verdana" w:eastAsia="Calibri" w:hAnsi="Verdana" w:cs="Arial"/>
                <w:b/>
                <w:bCs/>
                <w:color w:val="000000" w:themeColor="text1"/>
                <w:lang w:val="es-ES" w:eastAsia="es-ES"/>
              </w:rPr>
              <w:t>6</w:t>
            </w:r>
          </w:p>
          <w:p w14:paraId="05E84BA7" w14:textId="77777777" w:rsidR="00226C73" w:rsidRPr="00A30FDD" w:rsidRDefault="00226C73" w:rsidP="005C2659">
            <w:pPr>
              <w:jc w:val="both"/>
              <w:rPr>
                <w:rFonts w:ascii="Verdana" w:eastAsia="Calibri" w:hAnsi="Verdana" w:cs="Arial"/>
                <w:b/>
                <w:bCs/>
                <w:color w:val="000000" w:themeColor="text1"/>
                <w:lang w:val="es-ES" w:eastAsia="es-ES"/>
              </w:rPr>
            </w:pPr>
          </w:p>
        </w:tc>
      </w:tr>
      <w:tr w:rsidR="00226C73" w:rsidRPr="00A30FDD" w14:paraId="7FFFDEC4" w14:textId="77777777" w:rsidTr="005C2659">
        <w:trPr>
          <w:trHeight w:val="884"/>
        </w:trPr>
        <w:tc>
          <w:tcPr>
            <w:tcW w:w="2689" w:type="dxa"/>
          </w:tcPr>
          <w:p w14:paraId="2B2D1AB5" w14:textId="77777777" w:rsidR="00226C73" w:rsidRPr="00A30FDD" w:rsidRDefault="00226C73" w:rsidP="005C2659">
            <w:pPr>
              <w:jc w:val="both"/>
              <w:rPr>
                <w:rFonts w:ascii="Verdana" w:eastAsia="Calibri" w:hAnsi="Verdana" w:cs="Arial"/>
                <w:color w:val="000000" w:themeColor="text1"/>
                <w:lang w:val="es-ES" w:eastAsia="es-ES_tradnl"/>
              </w:rPr>
            </w:pPr>
            <w:r w:rsidRPr="00A30FDD">
              <w:rPr>
                <w:rFonts w:ascii="Verdana" w:eastAsia="Calibri" w:hAnsi="Verdana" w:cs="Arial"/>
                <w:b/>
                <w:color w:val="000000" w:themeColor="text1"/>
                <w:lang w:val="es-ES" w:eastAsia="es-ES_tradnl"/>
              </w:rPr>
              <w:t>Temas:</w:t>
            </w:r>
            <w:r w:rsidRPr="00A30FDD">
              <w:rPr>
                <w:rFonts w:ascii="Verdana" w:eastAsia="Calibri" w:hAnsi="Verdana" w:cs="Arial"/>
                <w:color w:val="000000" w:themeColor="text1"/>
                <w:lang w:val="es-ES" w:eastAsia="es-ES_tradnl"/>
              </w:rPr>
              <w:t xml:space="preserve">                   </w:t>
            </w:r>
          </w:p>
        </w:tc>
        <w:tc>
          <w:tcPr>
            <w:tcW w:w="6100" w:type="dxa"/>
          </w:tcPr>
          <w:p w14:paraId="2B155383" w14:textId="0623B1F0" w:rsidR="00803033" w:rsidRPr="00A30FDD" w:rsidRDefault="003828E6" w:rsidP="00803033">
            <w:pPr>
              <w:spacing w:line="276" w:lineRule="auto"/>
              <w:jc w:val="both"/>
              <w:rPr>
                <w:rFonts w:ascii="Verdana" w:eastAsia="Calibri" w:hAnsi="Verdana" w:cs="Arial"/>
                <w:color w:val="000000" w:themeColor="text1"/>
                <w:lang w:val="es-ES" w:eastAsia="es-ES"/>
              </w:rPr>
            </w:pPr>
            <w:r w:rsidRPr="00A30FDD">
              <w:rPr>
                <w:rFonts w:ascii="Verdana" w:eastAsia="Calibri" w:hAnsi="Verdana" w:cs="Arial"/>
                <w:color w:val="000000" w:themeColor="text1"/>
                <w:lang w:val="es-ES" w:eastAsia="es-ES"/>
              </w:rPr>
              <w:t>O</w:t>
            </w:r>
            <w:r w:rsidR="00803033" w:rsidRPr="00A30FDD">
              <w:rPr>
                <w:rFonts w:ascii="Verdana" w:eastAsia="Calibri" w:hAnsi="Verdana" w:cs="Arial"/>
                <w:color w:val="000000" w:themeColor="text1"/>
                <w:lang w:val="es-ES" w:eastAsia="es-ES"/>
              </w:rPr>
              <w:t>RGANISMOS INTERNACIONALES – Concepto / RÉGIMEN CONTRACTUAL – Ley 1150 de 2007 – Artículo 20 /</w:t>
            </w:r>
            <w:r w:rsidR="00277062" w:rsidRPr="00A30FDD">
              <w:rPr>
                <w:rFonts w:ascii="Verdana" w:eastAsia="Calibri" w:hAnsi="Verdana" w:cs="Arial"/>
                <w:color w:val="000000" w:themeColor="text1"/>
                <w:lang w:val="es-ES" w:eastAsia="es-ES"/>
              </w:rPr>
              <w:t xml:space="preserve"> </w:t>
            </w:r>
            <w:r w:rsidR="00F20C15">
              <w:rPr>
                <w:rFonts w:ascii="Verdana" w:eastAsia="Calibri" w:hAnsi="Verdana" w:cs="Arial"/>
                <w:color w:val="000000" w:themeColor="text1"/>
                <w:lang w:val="es-ES" w:eastAsia="es-ES"/>
              </w:rPr>
              <w:t>P</w:t>
            </w:r>
            <w:r w:rsidR="00A2137A" w:rsidRPr="00A2137A">
              <w:rPr>
                <w:rFonts w:ascii="Verdana" w:eastAsia="Calibri" w:hAnsi="Verdana" w:cs="Arial"/>
                <w:color w:val="000000" w:themeColor="text1"/>
                <w:lang w:eastAsia="es-ES"/>
              </w:rPr>
              <w:t xml:space="preserve">RINCIPIO DE PLANEACIÓN ‒ </w:t>
            </w:r>
            <w:r w:rsidR="00A2137A">
              <w:rPr>
                <w:rFonts w:ascii="Verdana" w:eastAsia="Calibri" w:hAnsi="Verdana" w:cs="Arial"/>
                <w:color w:val="000000" w:themeColor="text1"/>
                <w:lang w:eastAsia="es-ES"/>
              </w:rPr>
              <w:t xml:space="preserve">Contratación </w:t>
            </w:r>
            <w:r w:rsidR="00A2137A" w:rsidRPr="00A2137A">
              <w:rPr>
                <w:rFonts w:ascii="Verdana" w:eastAsia="Calibri" w:hAnsi="Verdana" w:cs="Arial"/>
                <w:color w:val="000000" w:themeColor="text1"/>
                <w:lang w:eastAsia="es-ES"/>
              </w:rPr>
              <w:t>con organismos internacionales ‒ Alcance</w:t>
            </w:r>
            <w:r w:rsidR="00A2137A">
              <w:rPr>
                <w:rFonts w:ascii="Verdana" w:eastAsia="Calibri" w:hAnsi="Verdana" w:cs="Arial"/>
                <w:color w:val="000000" w:themeColor="text1"/>
                <w:lang w:eastAsia="es-ES"/>
              </w:rPr>
              <w:t xml:space="preserve"> / RÉGIMEN CONTRACTUAL </w:t>
            </w:r>
            <w:r w:rsidR="00A2137A" w:rsidRPr="00A30FDD">
              <w:rPr>
                <w:rFonts w:ascii="Verdana" w:eastAsia="Calibri" w:hAnsi="Verdana" w:cs="Arial"/>
                <w:color w:val="000000" w:themeColor="text1"/>
                <w:lang w:val="es-ES" w:eastAsia="es-ES"/>
              </w:rPr>
              <w:t>‒</w:t>
            </w:r>
            <w:r w:rsidR="00A2137A">
              <w:rPr>
                <w:rFonts w:ascii="Verdana" w:eastAsia="Calibri" w:hAnsi="Verdana" w:cs="Arial"/>
                <w:color w:val="000000" w:themeColor="text1"/>
                <w:lang w:val="es-ES" w:eastAsia="es-ES"/>
              </w:rPr>
              <w:t xml:space="preserve"> </w:t>
            </w:r>
            <w:r w:rsidR="00A2137A">
              <w:rPr>
                <w:rFonts w:ascii="Verdana" w:eastAsia="Calibri" w:hAnsi="Verdana" w:cs="Arial"/>
                <w:color w:val="000000" w:themeColor="text1"/>
                <w:lang w:eastAsia="es-ES"/>
              </w:rPr>
              <w:t xml:space="preserve">Contratación </w:t>
            </w:r>
            <w:r w:rsidR="00A2137A" w:rsidRPr="00A2137A">
              <w:rPr>
                <w:rFonts w:ascii="Verdana" w:eastAsia="Calibri" w:hAnsi="Verdana" w:cs="Arial"/>
                <w:color w:val="000000" w:themeColor="text1"/>
                <w:lang w:eastAsia="es-ES"/>
              </w:rPr>
              <w:t>con organismos internacionales</w:t>
            </w:r>
            <w:r w:rsidR="00A2137A">
              <w:rPr>
                <w:rFonts w:ascii="Verdana" w:eastAsia="Calibri" w:hAnsi="Verdana" w:cs="Arial"/>
                <w:color w:val="000000" w:themeColor="text1"/>
                <w:lang w:eastAsia="es-ES"/>
              </w:rPr>
              <w:t xml:space="preserve"> </w:t>
            </w:r>
            <w:r w:rsidR="00A2137A" w:rsidRPr="00A30FDD">
              <w:rPr>
                <w:rFonts w:ascii="Verdana" w:eastAsia="Calibri" w:hAnsi="Verdana" w:cs="Arial"/>
                <w:color w:val="000000" w:themeColor="text1"/>
                <w:lang w:val="es-ES" w:eastAsia="es-ES"/>
              </w:rPr>
              <w:t>‒</w:t>
            </w:r>
            <w:r w:rsidR="00F20C15">
              <w:rPr>
                <w:rFonts w:ascii="Verdana" w:eastAsia="Calibri" w:hAnsi="Verdana" w:cs="Arial"/>
                <w:color w:val="000000" w:themeColor="text1"/>
                <w:lang w:val="es-ES" w:eastAsia="es-ES"/>
              </w:rPr>
              <w:t xml:space="preserve"> Remisión integral </w:t>
            </w:r>
            <w:r w:rsidR="00F20C15" w:rsidRPr="00A30FDD">
              <w:rPr>
                <w:rFonts w:ascii="Verdana" w:eastAsia="Calibri" w:hAnsi="Verdana" w:cs="Arial"/>
                <w:color w:val="000000" w:themeColor="text1"/>
                <w:lang w:val="es-ES" w:eastAsia="es-ES"/>
              </w:rPr>
              <w:t>‒</w:t>
            </w:r>
            <w:r w:rsidR="00F20C15">
              <w:rPr>
                <w:rFonts w:ascii="Verdana" w:eastAsia="Calibri" w:hAnsi="Verdana" w:cs="Arial"/>
                <w:color w:val="000000" w:themeColor="text1"/>
                <w:lang w:val="es-ES" w:eastAsia="es-ES"/>
              </w:rPr>
              <w:t xml:space="preserve"> Selección y ejecución / I</w:t>
            </w:r>
            <w:r w:rsidR="00F20C15" w:rsidRPr="00F20C15">
              <w:rPr>
                <w:rFonts w:ascii="Verdana" w:eastAsia="Calibri" w:hAnsi="Verdana" w:cs="Arial"/>
                <w:color w:val="000000" w:themeColor="text1"/>
                <w:lang w:eastAsia="es-ES"/>
              </w:rPr>
              <w:t>NCUMPLIMIENTO CONTRACTUAL ‒ Declaratoria ‒ Multas ‒ Sanciones ‒ Cláusula penal pecuniaria ‒</w:t>
            </w:r>
            <w:r w:rsidR="00F20C15">
              <w:rPr>
                <w:rFonts w:ascii="Verdana" w:eastAsia="Calibri" w:hAnsi="Verdana" w:cs="Arial"/>
                <w:color w:val="000000" w:themeColor="text1"/>
                <w:lang w:eastAsia="es-ES"/>
              </w:rPr>
              <w:t xml:space="preserve"> Contratación con </w:t>
            </w:r>
            <w:r w:rsidR="00F20C15" w:rsidRPr="00F20C15">
              <w:rPr>
                <w:rFonts w:ascii="Verdana" w:eastAsia="Calibri" w:hAnsi="Verdana" w:cs="Arial"/>
                <w:color w:val="000000" w:themeColor="text1"/>
                <w:lang w:eastAsia="es-ES"/>
              </w:rPr>
              <w:t>organismos internacionales</w:t>
            </w:r>
            <w:r w:rsidR="00F20C15">
              <w:rPr>
                <w:rFonts w:ascii="Verdana" w:eastAsia="Calibri" w:hAnsi="Verdana" w:cs="Arial"/>
                <w:color w:val="000000" w:themeColor="text1"/>
                <w:lang w:eastAsia="es-ES"/>
              </w:rPr>
              <w:t xml:space="preserve"> </w:t>
            </w:r>
            <w:r w:rsidR="00F20C15" w:rsidRPr="00F20C15">
              <w:rPr>
                <w:rFonts w:ascii="Verdana" w:eastAsia="Calibri" w:hAnsi="Verdana" w:cs="Arial"/>
                <w:color w:val="000000" w:themeColor="text1"/>
                <w:lang w:eastAsia="es-ES"/>
              </w:rPr>
              <w:t xml:space="preserve">‒ Régimen aplicable  / MECANISMOS DE RESOLUCIÓN DE CONTROVERSIAS ‒ Contratos con organismos internacionales / CONTRATOS DERIVADOS ‒ Régimen sancionatorio ‒ Artículo 86 Ley 1474 de 2011/ </w:t>
            </w:r>
            <w:r w:rsidR="00F20C15">
              <w:rPr>
                <w:rFonts w:ascii="Verdana" w:eastAsia="Calibri" w:hAnsi="Verdana" w:cs="Arial"/>
                <w:color w:val="000000" w:themeColor="text1"/>
                <w:lang w:eastAsia="es-ES"/>
              </w:rPr>
              <w:t xml:space="preserve">CONTRATACIÓN CON ORGANISMOS INTERNACIONALES </w:t>
            </w:r>
            <w:r w:rsidR="00F20C15" w:rsidRPr="00F20C15">
              <w:rPr>
                <w:rFonts w:ascii="Verdana" w:eastAsia="Calibri" w:hAnsi="Verdana" w:cs="Arial"/>
                <w:color w:val="000000" w:themeColor="text1"/>
                <w:lang w:eastAsia="es-ES"/>
              </w:rPr>
              <w:t>‒</w:t>
            </w:r>
            <w:r w:rsidR="00F20C15">
              <w:rPr>
                <w:rFonts w:ascii="Verdana" w:eastAsia="Calibri" w:hAnsi="Verdana" w:cs="Arial"/>
                <w:color w:val="000000" w:themeColor="text1"/>
                <w:lang w:eastAsia="es-ES"/>
              </w:rPr>
              <w:t xml:space="preserve"> S</w:t>
            </w:r>
            <w:r w:rsidR="00F20C15" w:rsidRPr="00F20C15">
              <w:rPr>
                <w:rFonts w:ascii="Verdana" w:eastAsia="Calibri" w:hAnsi="Verdana" w:cs="Arial"/>
                <w:color w:val="000000" w:themeColor="text1"/>
                <w:lang w:eastAsia="es-ES"/>
              </w:rPr>
              <w:t xml:space="preserve">eguimiento del cumplimiento ‒ Facultades de la entidad estatal ‒ Buena fe contractual ‒ Suministro de información </w:t>
            </w:r>
          </w:p>
          <w:p w14:paraId="7D9CB605" w14:textId="0F936839" w:rsidR="00226C73" w:rsidRPr="00A30FDD" w:rsidRDefault="00226C73" w:rsidP="00193DC1">
            <w:pPr>
              <w:spacing w:line="276" w:lineRule="auto"/>
              <w:jc w:val="both"/>
              <w:rPr>
                <w:rFonts w:ascii="Verdana" w:eastAsia="Calibri" w:hAnsi="Verdana" w:cs="Arial"/>
                <w:color w:val="000000" w:themeColor="text1"/>
                <w:lang w:val="es-ES" w:eastAsia="es-ES"/>
              </w:rPr>
            </w:pPr>
          </w:p>
        </w:tc>
      </w:tr>
      <w:tr w:rsidR="00226C73" w:rsidRPr="00A30FDD" w14:paraId="0503E57E" w14:textId="77777777" w:rsidTr="005C2659">
        <w:tc>
          <w:tcPr>
            <w:tcW w:w="2689" w:type="dxa"/>
          </w:tcPr>
          <w:p w14:paraId="1611F646" w14:textId="77777777" w:rsidR="00226C73" w:rsidRPr="00A30FDD" w:rsidRDefault="00226C73" w:rsidP="005C2659">
            <w:pPr>
              <w:jc w:val="both"/>
              <w:rPr>
                <w:rFonts w:ascii="Verdana" w:eastAsia="Calibri" w:hAnsi="Verdana" w:cs="Arial"/>
                <w:b/>
                <w:color w:val="000000" w:themeColor="text1"/>
                <w:lang w:val="es-ES" w:eastAsia="es-ES_tradnl"/>
              </w:rPr>
            </w:pPr>
            <w:r w:rsidRPr="00A30FDD">
              <w:rPr>
                <w:rFonts w:ascii="Verdana" w:eastAsia="Calibri" w:hAnsi="Verdana" w:cs="Arial"/>
                <w:b/>
                <w:color w:val="000000" w:themeColor="text1"/>
                <w:lang w:val="es-ES" w:eastAsia="es-ES_tradnl"/>
              </w:rPr>
              <w:t>Radicación:</w:t>
            </w:r>
            <w:r w:rsidRPr="00A30FDD">
              <w:rPr>
                <w:rFonts w:ascii="Verdana" w:eastAsia="Calibri" w:hAnsi="Verdana" w:cs="Arial"/>
                <w:color w:val="000000" w:themeColor="text1"/>
                <w:lang w:val="es-ES" w:eastAsia="es-ES_tradnl"/>
              </w:rPr>
              <w:t xml:space="preserve">               </w:t>
            </w:r>
          </w:p>
        </w:tc>
        <w:tc>
          <w:tcPr>
            <w:tcW w:w="6100" w:type="dxa"/>
          </w:tcPr>
          <w:p w14:paraId="4A2192A7" w14:textId="04E792E7" w:rsidR="00226C73" w:rsidRPr="00A30FDD" w:rsidRDefault="00226C73" w:rsidP="005C2659">
            <w:pPr>
              <w:jc w:val="both"/>
              <w:rPr>
                <w:rFonts w:ascii="Verdana" w:eastAsia="Calibri" w:hAnsi="Verdana" w:cs="Arial"/>
                <w:color w:val="000000" w:themeColor="text1"/>
                <w:lang w:val="es-ES" w:eastAsia="es-ES_tradnl"/>
              </w:rPr>
            </w:pPr>
            <w:r w:rsidRPr="00A30FDD">
              <w:rPr>
                <w:rFonts w:ascii="Verdana" w:eastAsia="Calibri" w:hAnsi="Verdana" w:cs="Arial"/>
                <w:color w:val="000000" w:themeColor="text1"/>
                <w:lang w:val="es-ES" w:eastAsia="es-ES_tradnl"/>
              </w:rPr>
              <w:t xml:space="preserve">Respuesta a consulta con radicado No. </w:t>
            </w:r>
            <w:r w:rsidR="00A402DC" w:rsidRPr="00A30FDD">
              <w:rPr>
                <w:rFonts w:ascii="Verdana" w:eastAsia="Calibri" w:hAnsi="Verdana" w:cs="Arial"/>
                <w:color w:val="000000" w:themeColor="text1"/>
                <w:lang w:val="es-ES" w:eastAsia="es-ES_tradnl"/>
              </w:rPr>
              <w:t>1_2026_05_18_006657</w:t>
            </w:r>
          </w:p>
        </w:tc>
      </w:tr>
    </w:tbl>
    <w:p w14:paraId="0187B791" w14:textId="77777777" w:rsidR="00226C73" w:rsidRPr="00A30FDD" w:rsidRDefault="00226C73" w:rsidP="00226C73">
      <w:pPr>
        <w:spacing w:after="0" w:line="276" w:lineRule="auto"/>
        <w:jc w:val="both"/>
        <w:rPr>
          <w:rFonts w:ascii="Verdana" w:eastAsia="Calibri" w:hAnsi="Verdana" w:cs="Arial"/>
          <w:color w:val="000000" w:themeColor="text1"/>
          <w:lang w:val="es-ES" w:eastAsia="es-ES_tradnl"/>
        </w:rPr>
      </w:pPr>
    </w:p>
    <w:p w14:paraId="4E99F045" w14:textId="77777777" w:rsidR="00226C73" w:rsidRPr="00A30FDD" w:rsidRDefault="00226C73" w:rsidP="00226C73">
      <w:pPr>
        <w:spacing w:after="0" w:line="276" w:lineRule="auto"/>
        <w:jc w:val="both"/>
        <w:rPr>
          <w:rFonts w:ascii="Verdana" w:eastAsia="Calibri" w:hAnsi="Verdana" w:cs="Arial"/>
          <w:color w:val="000000" w:themeColor="text1"/>
          <w:lang w:val="es-ES" w:eastAsia="es-ES_tradnl"/>
        </w:rPr>
      </w:pPr>
    </w:p>
    <w:p w14:paraId="02A3628F" w14:textId="60B822EE" w:rsidR="00226C73" w:rsidRPr="00A30FDD" w:rsidRDefault="00226C73" w:rsidP="00226C73">
      <w:pPr>
        <w:spacing w:after="0" w:line="276" w:lineRule="auto"/>
        <w:jc w:val="both"/>
        <w:rPr>
          <w:rFonts w:ascii="Verdana" w:eastAsia="Calibri" w:hAnsi="Verdana" w:cs="Arial"/>
          <w:color w:val="000000" w:themeColor="text1"/>
          <w:lang w:val="es-ES" w:eastAsia="es-ES"/>
        </w:rPr>
      </w:pPr>
      <w:r w:rsidRPr="00A30FDD">
        <w:rPr>
          <w:rFonts w:ascii="Verdana" w:eastAsia="Calibri" w:hAnsi="Verdana" w:cs="Arial"/>
          <w:color w:val="000000" w:themeColor="text1"/>
          <w:lang w:val="es-ES" w:eastAsia="es-ES"/>
        </w:rPr>
        <w:t>Estimad</w:t>
      </w:r>
      <w:r w:rsidR="0047144A" w:rsidRPr="00A30FDD">
        <w:rPr>
          <w:rFonts w:ascii="Verdana" w:eastAsia="Calibri" w:hAnsi="Verdana" w:cs="Arial"/>
          <w:color w:val="000000" w:themeColor="text1"/>
          <w:lang w:val="es-ES" w:eastAsia="es-ES"/>
        </w:rPr>
        <w:t>o señor Sotter</w:t>
      </w:r>
      <w:r w:rsidRPr="00A30FDD">
        <w:rPr>
          <w:rFonts w:ascii="Verdana" w:eastAsia="Calibri" w:hAnsi="Verdana" w:cs="Arial"/>
          <w:color w:val="000000" w:themeColor="text1"/>
          <w:lang w:val="es-ES" w:eastAsia="es-ES"/>
        </w:rPr>
        <w:t xml:space="preserve">: </w:t>
      </w:r>
    </w:p>
    <w:p w14:paraId="5108BE92" w14:textId="77777777" w:rsidR="00226C73" w:rsidRPr="00A30FDD" w:rsidRDefault="00226C73" w:rsidP="00226C73">
      <w:pPr>
        <w:tabs>
          <w:tab w:val="left" w:pos="3768"/>
        </w:tabs>
        <w:spacing w:after="0" w:line="276" w:lineRule="auto"/>
        <w:jc w:val="both"/>
        <w:rPr>
          <w:rFonts w:ascii="Verdana" w:eastAsia="Calibri" w:hAnsi="Verdana" w:cs="Arial"/>
          <w:color w:val="000000" w:themeColor="text1"/>
          <w:lang w:val="es-ES" w:eastAsia="es-ES"/>
        </w:rPr>
      </w:pPr>
      <w:r w:rsidRPr="00A30FDD">
        <w:rPr>
          <w:rFonts w:ascii="Verdana" w:eastAsia="Calibri" w:hAnsi="Verdana" w:cs="Arial"/>
          <w:color w:val="000000" w:themeColor="text1"/>
          <w:lang w:val="es-ES" w:eastAsia="es-ES"/>
        </w:rPr>
        <w:tab/>
      </w:r>
    </w:p>
    <w:p w14:paraId="5783D0D7" w14:textId="2D452620" w:rsidR="00226C73" w:rsidRPr="00A30FDD" w:rsidRDefault="00226C73" w:rsidP="00226C73">
      <w:pPr>
        <w:spacing w:after="0" w:line="276" w:lineRule="auto"/>
        <w:jc w:val="both"/>
        <w:rPr>
          <w:rFonts w:ascii="Verdana" w:eastAsia="Calibri" w:hAnsi="Verdana" w:cs="Arial"/>
          <w:color w:val="000000" w:themeColor="text1"/>
          <w:lang w:val="es-ES" w:eastAsia="es-ES"/>
        </w:rPr>
      </w:pPr>
      <w:r w:rsidRPr="00A30FDD">
        <w:rPr>
          <w:rFonts w:ascii="Verdana" w:eastAsia="Calibri" w:hAnsi="Verdana" w:cs="Arial"/>
          <w:color w:val="000000" w:themeColor="text1"/>
          <w:lang w:val="es-ES" w:eastAsia="es-ES"/>
        </w:rPr>
        <w:t>En ejercicio de la competencia otorgada por los artículos 3, numeral 5º, y 11, numeral 8º, del Decreto Ley 4170 de 2011,</w:t>
      </w:r>
      <w:r w:rsidRPr="00A30FDD">
        <w:rPr>
          <w:rFonts w:ascii="Verdana" w:eastAsia="Arial MT" w:hAnsi="Verdana" w:cs="Arial MT"/>
          <w:color w:val="000000" w:themeColor="text1"/>
          <w:lang w:val="es-ES" w:eastAsia="es-ES"/>
        </w:rPr>
        <w:t xml:space="preserve"> </w:t>
      </w:r>
      <w:r w:rsidRPr="00A30FDD">
        <w:rPr>
          <w:rFonts w:ascii="Verdana" w:hAnsi="Verdana" w:cs="Arial"/>
          <w:color w:val="000000" w:themeColor="text1"/>
          <w:lang w:val="es-ES"/>
        </w:rPr>
        <w:t xml:space="preserve">así como lo establecido en el artículo 4 de la Resolución 1707 de 2018 expedida por esta Entidad, la Agencia Nacional de Contratación Pública – Colombia Compra Eficiente– responde su solicitud de consulta del </w:t>
      </w:r>
      <w:r w:rsidR="0047144A" w:rsidRPr="00A30FDD">
        <w:rPr>
          <w:rFonts w:ascii="Verdana" w:hAnsi="Verdana" w:cs="Arial"/>
          <w:color w:val="000000" w:themeColor="text1"/>
          <w:lang w:val="es-ES"/>
        </w:rPr>
        <w:t xml:space="preserve">18 de mayo </w:t>
      </w:r>
      <w:r w:rsidRPr="00A30FDD">
        <w:rPr>
          <w:rFonts w:ascii="Verdana" w:hAnsi="Verdana" w:cs="Arial"/>
          <w:color w:val="000000" w:themeColor="text1"/>
          <w:lang w:val="es-ES"/>
        </w:rPr>
        <w:t>de 202</w:t>
      </w:r>
      <w:r w:rsidR="003828E6" w:rsidRPr="00A30FDD">
        <w:rPr>
          <w:rFonts w:ascii="Verdana" w:hAnsi="Verdana" w:cs="Arial"/>
          <w:color w:val="000000" w:themeColor="text1"/>
          <w:lang w:val="es-ES"/>
        </w:rPr>
        <w:t>6</w:t>
      </w:r>
      <w:r w:rsidRPr="00A30FDD">
        <w:rPr>
          <w:rFonts w:ascii="Verdana" w:hAnsi="Verdana" w:cs="Arial"/>
          <w:color w:val="000000" w:themeColor="text1"/>
          <w:lang w:val="es-ES"/>
        </w:rPr>
        <w:t>, en la cual manifiesta lo siguiente:</w:t>
      </w:r>
      <w:r w:rsidRPr="00A30FDD">
        <w:rPr>
          <w:rFonts w:ascii="Verdana" w:eastAsia="Calibri" w:hAnsi="Verdana" w:cs="Arial"/>
          <w:color w:val="000000" w:themeColor="text1"/>
          <w:lang w:val="es-ES" w:eastAsia="es-ES"/>
        </w:rPr>
        <w:t xml:space="preserve"> </w:t>
      </w:r>
    </w:p>
    <w:p w14:paraId="76EFA4DD" w14:textId="77777777" w:rsidR="00226C73" w:rsidRPr="00A30FDD" w:rsidRDefault="00226C73" w:rsidP="00226C73">
      <w:pPr>
        <w:spacing w:after="0" w:line="276" w:lineRule="auto"/>
        <w:jc w:val="both"/>
        <w:rPr>
          <w:rFonts w:ascii="Verdana" w:eastAsia="Calibri" w:hAnsi="Verdana" w:cs="Arial"/>
          <w:color w:val="000000" w:themeColor="text1"/>
          <w:lang w:val="es-ES" w:eastAsia="es-ES"/>
        </w:rPr>
      </w:pPr>
    </w:p>
    <w:p w14:paraId="0D483A8E" w14:textId="6367A51C" w:rsidR="0047144A" w:rsidRPr="00A30FDD" w:rsidRDefault="0047144A" w:rsidP="0047144A">
      <w:pPr>
        <w:pStyle w:val="NormalWeb"/>
        <w:ind w:firstLine="708"/>
        <w:jc w:val="both"/>
        <w:rPr>
          <w:rFonts w:ascii="Verdana" w:hAnsi="Verdana"/>
          <w:i/>
          <w:iCs/>
          <w:sz w:val="20"/>
          <w:szCs w:val="20"/>
          <w:lang w:val="es-ES"/>
        </w:rPr>
      </w:pPr>
      <w:bookmarkStart w:id="1" w:name="_Hlk95313578"/>
      <w:r w:rsidRPr="00A30FDD">
        <w:rPr>
          <w:rFonts w:ascii="Verdana" w:hAnsi="Verdana"/>
          <w:i/>
          <w:iCs/>
          <w:sz w:val="20"/>
          <w:szCs w:val="20"/>
          <w:lang w:val="es-ES"/>
        </w:rPr>
        <w:t>“[…] INTERROGANTES</w:t>
      </w:r>
    </w:p>
    <w:p w14:paraId="26FB0FB0" w14:textId="77777777" w:rsidR="0047144A" w:rsidRPr="00A30FDD" w:rsidRDefault="0047144A" w:rsidP="0047144A">
      <w:pPr>
        <w:pStyle w:val="NormalWeb"/>
        <w:numPr>
          <w:ilvl w:val="0"/>
          <w:numId w:val="34"/>
        </w:numPr>
        <w:jc w:val="both"/>
        <w:rPr>
          <w:rFonts w:ascii="Verdana" w:hAnsi="Verdana"/>
          <w:i/>
          <w:iCs/>
          <w:sz w:val="20"/>
          <w:szCs w:val="20"/>
          <w:lang w:val="es-ES"/>
        </w:rPr>
      </w:pPr>
      <w:r w:rsidRPr="00A30FDD">
        <w:rPr>
          <w:rFonts w:ascii="Verdana" w:hAnsi="Verdana"/>
          <w:i/>
          <w:iCs/>
          <w:sz w:val="20"/>
          <w:szCs w:val="20"/>
          <w:lang w:val="es-ES"/>
        </w:rPr>
        <w:t>¿Cuál es el procedimiento jurídicamente aplicable para adelantar actuaciones por presuntos incumplimientos en convenios de cooperación internacional suscritos con organismos internacionales intergubernamentales?</w:t>
      </w:r>
    </w:p>
    <w:p w14:paraId="08958BF6" w14:textId="77777777" w:rsidR="0047144A" w:rsidRPr="00A30FDD" w:rsidRDefault="0047144A" w:rsidP="0047144A">
      <w:pPr>
        <w:pStyle w:val="NormalWeb"/>
        <w:numPr>
          <w:ilvl w:val="0"/>
          <w:numId w:val="34"/>
        </w:numPr>
        <w:jc w:val="both"/>
        <w:rPr>
          <w:rFonts w:ascii="Verdana" w:hAnsi="Verdana"/>
          <w:i/>
          <w:iCs/>
          <w:sz w:val="20"/>
          <w:szCs w:val="20"/>
          <w:lang w:val="es-ES"/>
        </w:rPr>
      </w:pPr>
      <w:r w:rsidRPr="00A30FDD">
        <w:rPr>
          <w:rFonts w:ascii="Verdana" w:hAnsi="Verdana"/>
          <w:i/>
          <w:iCs/>
          <w:sz w:val="20"/>
          <w:szCs w:val="20"/>
          <w:lang w:val="es-ES"/>
        </w:rPr>
        <w:t>En caso de presentarse incumplimientos contractuales, técnicos, financieros o administrativos por parte del organismo cooperante internacional, ¿qué facultades tienen las entidades estatales colombianas para requerir, exigir o conminar el cumplimiento de las obligaciones pactadas?</w:t>
      </w:r>
    </w:p>
    <w:p w14:paraId="6C27189B" w14:textId="77777777" w:rsidR="0047144A" w:rsidRPr="00A30FDD" w:rsidRDefault="0047144A" w:rsidP="0047144A">
      <w:pPr>
        <w:pStyle w:val="NormalWeb"/>
        <w:numPr>
          <w:ilvl w:val="0"/>
          <w:numId w:val="34"/>
        </w:numPr>
        <w:jc w:val="both"/>
        <w:rPr>
          <w:rFonts w:ascii="Verdana" w:hAnsi="Verdana"/>
          <w:i/>
          <w:iCs/>
          <w:sz w:val="20"/>
          <w:szCs w:val="20"/>
          <w:lang w:val="es-ES"/>
        </w:rPr>
      </w:pPr>
      <w:r w:rsidRPr="00A30FDD">
        <w:rPr>
          <w:rFonts w:ascii="Verdana" w:hAnsi="Verdana"/>
          <w:i/>
          <w:iCs/>
          <w:sz w:val="20"/>
          <w:szCs w:val="20"/>
          <w:lang w:val="es-ES"/>
        </w:rPr>
        <w:t>¿Resulta procedente aplicar cláusulas excepcionales, multas, declaratorias de incumplimiento o mecanismos sancionatorios propios del Estatuto General de Contratación Pública frente a organismos internacionales?</w:t>
      </w:r>
    </w:p>
    <w:p w14:paraId="32E7F403" w14:textId="77777777" w:rsidR="0047144A" w:rsidRPr="00A30FDD" w:rsidRDefault="0047144A" w:rsidP="0047144A">
      <w:pPr>
        <w:pStyle w:val="NormalWeb"/>
        <w:numPr>
          <w:ilvl w:val="0"/>
          <w:numId w:val="34"/>
        </w:numPr>
        <w:jc w:val="both"/>
        <w:rPr>
          <w:rFonts w:ascii="Verdana" w:hAnsi="Verdana"/>
          <w:i/>
          <w:iCs/>
          <w:sz w:val="20"/>
          <w:szCs w:val="20"/>
          <w:lang w:val="es-ES"/>
        </w:rPr>
      </w:pPr>
      <w:r w:rsidRPr="00A30FDD">
        <w:rPr>
          <w:rFonts w:ascii="Verdana" w:hAnsi="Verdana"/>
          <w:i/>
          <w:iCs/>
          <w:sz w:val="20"/>
          <w:szCs w:val="20"/>
          <w:lang w:val="es-ES"/>
        </w:rPr>
        <w:t>¿Cómo ejercen vigilancia y control los entes de control del Estado colombiano —</w:t>
      </w:r>
      <w:proofErr w:type="gramStart"/>
      <w:r w:rsidRPr="00A30FDD">
        <w:rPr>
          <w:rFonts w:ascii="Verdana" w:hAnsi="Verdana"/>
          <w:i/>
          <w:iCs/>
          <w:sz w:val="20"/>
          <w:szCs w:val="20"/>
          <w:lang w:val="es-ES"/>
        </w:rPr>
        <w:t>Contraloría General de la República, Procuraduría General de la Nación y demás organismos competentes— sobre los recursos públicos ejecutados mediante convenios de cooperación internacional?</w:t>
      </w:r>
      <w:proofErr w:type="gramEnd"/>
    </w:p>
    <w:p w14:paraId="0788DAC1" w14:textId="77777777" w:rsidR="0047144A" w:rsidRPr="00A30FDD" w:rsidRDefault="0047144A" w:rsidP="0047144A">
      <w:pPr>
        <w:pStyle w:val="NormalWeb"/>
        <w:numPr>
          <w:ilvl w:val="0"/>
          <w:numId w:val="34"/>
        </w:numPr>
        <w:jc w:val="both"/>
        <w:rPr>
          <w:rFonts w:ascii="Verdana" w:hAnsi="Verdana"/>
          <w:i/>
          <w:iCs/>
          <w:sz w:val="20"/>
          <w:szCs w:val="20"/>
          <w:lang w:val="es-ES"/>
        </w:rPr>
      </w:pPr>
      <w:r w:rsidRPr="00A30FDD">
        <w:rPr>
          <w:rFonts w:ascii="Verdana" w:hAnsi="Verdana"/>
          <w:i/>
          <w:iCs/>
          <w:sz w:val="20"/>
          <w:szCs w:val="20"/>
          <w:lang w:val="es-ES"/>
        </w:rPr>
        <w:t>En desarrollo de auditorías, visitas administrativas o requerimientos efectuados por entes de control, ¿cuál es el procedimiento adecuado para el suministro de información relacionada con la ejecución del convenio?</w:t>
      </w:r>
    </w:p>
    <w:p w14:paraId="283CD26A" w14:textId="77777777" w:rsidR="0047144A" w:rsidRPr="00A30FDD" w:rsidRDefault="0047144A" w:rsidP="0047144A">
      <w:pPr>
        <w:pStyle w:val="NormalWeb"/>
        <w:numPr>
          <w:ilvl w:val="0"/>
          <w:numId w:val="34"/>
        </w:numPr>
        <w:jc w:val="both"/>
        <w:rPr>
          <w:rFonts w:ascii="Verdana" w:hAnsi="Verdana"/>
          <w:i/>
          <w:iCs/>
          <w:sz w:val="20"/>
          <w:szCs w:val="20"/>
          <w:lang w:val="es-ES"/>
        </w:rPr>
      </w:pPr>
      <w:r w:rsidRPr="00A30FDD">
        <w:rPr>
          <w:rFonts w:ascii="Verdana" w:hAnsi="Verdana"/>
          <w:i/>
          <w:iCs/>
          <w:sz w:val="20"/>
          <w:szCs w:val="20"/>
          <w:lang w:val="es-ES"/>
        </w:rPr>
        <w:t>En caso de que el organismo cooperante internacional manifieste que determinada información no puede ser remitida o entregada, argumentando inmunidades, privilegios, confidencialidad o aplicación exclusiva de sus reglamentos internos, ¿qué mecanismos jurídicos tienen las entidades estatales para garantizar el acceso a dicha información?</w:t>
      </w:r>
    </w:p>
    <w:p w14:paraId="4060FE1B" w14:textId="77777777" w:rsidR="0047144A" w:rsidRPr="00A30FDD" w:rsidRDefault="0047144A" w:rsidP="0047144A">
      <w:pPr>
        <w:pStyle w:val="NormalWeb"/>
        <w:numPr>
          <w:ilvl w:val="0"/>
          <w:numId w:val="34"/>
        </w:numPr>
        <w:jc w:val="both"/>
        <w:rPr>
          <w:rFonts w:ascii="Verdana" w:hAnsi="Verdana"/>
          <w:i/>
          <w:iCs/>
          <w:sz w:val="20"/>
          <w:szCs w:val="20"/>
          <w:lang w:val="es-ES"/>
        </w:rPr>
      </w:pPr>
      <w:r w:rsidRPr="00A30FDD">
        <w:rPr>
          <w:rFonts w:ascii="Verdana" w:hAnsi="Verdana"/>
          <w:i/>
          <w:iCs/>
          <w:sz w:val="20"/>
          <w:szCs w:val="20"/>
          <w:lang w:val="es-ES"/>
        </w:rPr>
        <w:t>¿Las inmunidades y privilegios reconocidos a organismos internacionales limitan total o parcialmente las facultades de inspección, vigilancia y control de las autoridades colombianas?</w:t>
      </w:r>
    </w:p>
    <w:p w14:paraId="6401243A" w14:textId="77777777" w:rsidR="0047144A" w:rsidRPr="00A30FDD" w:rsidRDefault="0047144A" w:rsidP="0047144A">
      <w:pPr>
        <w:pStyle w:val="NormalWeb"/>
        <w:numPr>
          <w:ilvl w:val="0"/>
          <w:numId w:val="34"/>
        </w:numPr>
        <w:jc w:val="both"/>
        <w:rPr>
          <w:rFonts w:ascii="Verdana" w:hAnsi="Verdana"/>
          <w:i/>
          <w:iCs/>
          <w:sz w:val="20"/>
          <w:szCs w:val="20"/>
          <w:lang w:val="es-ES"/>
        </w:rPr>
      </w:pPr>
      <w:r w:rsidRPr="00A30FDD">
        <w:rPr>
          <w:rFonts w:ascii="Verdana" w:hAnsi="Verdana"/>
          <w:i/>
          <w:iCs/>
          <w:sz w:val="20"/>
          <w:szCs w:val="20"/>
          <w:lang w:val="es-ES"/>
        </w:rPr>
        <w:t>¿Cuál es el alcance de las obligaciones de reporte, seguimiento y trazabilidad financiera respecto de recursos públicos administrados por organismos internacionales?</w:t>
      </w:r>
    </w:p>
    <w:p w14:paraId="1AD7BDC8" w14:textId="77777777" w:rsidR="0047144A" w:rsidRPr="00A30FDD" w:rsidRDefault="0047144A" w:rsidP="0047144A">
      <w:pPr>
        <w:pStyle w:val="NormalWeb"/>
        <w:numPr>
          <w:ilvl w:val="0"/>
          <w:numId w:val="34"/>
        </w:numPr>
        <w:jc w:val="both"/>
        <w:rPr>
          <w:rFonts w:ascii="Verdana" w:hAnsi="Verdana"/>
          <w:i/>
          <w:iCs/>
          <w:sz w:val="20"/>
          <w:szCs w:val="20"/>
          <w:lang w:val="es-ES"/>
        </w:rPr>
      </w:pPr>
      <w:r w:rsidRPr="00A30FDD">
        <w:rPr>
          <w:rFonts w:ascii="Verdana" w:hAnsi="Verdana"/>
          <w:i/>
          <w:iCs/>
          <w:sz w:val="20"/>
          <w:szCs w:val="20"/>
          <w:lang w:val="es-ES"/>
        </w:rPr>
        <w:t>¿Qué responsabilidad podría recaer sobre los supervisores, ordenadores del gasto o funcionarios públicos de la entidad estatal cuando el cooperante internacional no suministra información suficiente para atender requerimientos de auditoría o control?</w:t>
      </w:r>
    </w:p>
    <w:p w14:paraId="61986D08" w14:textId="77777777" w:rsidR="0047144A" w:rsidRPr="00A30FDD" w:rsidRDefault="0047144A" w:rsidP="0047144A">
      <w:pPr>
        <w:pStyle w:val="NormalWeb"/>
        <w:numPr>
          <w:ilvl w:val="0"/>
          <w:numId w:val="34"/>
        </w:numPr>
        <w:jc w:val="both"/>
        <w:rPr>
          <w:rFonts w:ascii="Verdana" w:hAnsi="Verdana"/>
          <w:i/>
          <w:iCs/>
          <w:sz w:val="20"/>
          <w:szCs w:val="20"/>
          <w:lang w:val="es-ES"/>
        </w:rPr>
      </w:pPr>
      <w:r w:rsidRPr="00A30FDD">
        <w:rPr>
          <w:rFonts w:ascii="Verdana" w:hAnsi="Verdana"/>
          <w:i/>
          <w:iCs/>
          <w:sz w:val="20"/>
          <w:szCs w:val="20"/>
          <w:lang w:val="es-ES"/>
        </w:rPr>
        <w:t>¿Qué mecanismos de solución de controversias resultan procedentes frente a diferencias surgidas entre entidades estatales y organismos internacionales en el marco de convenios de cooperación internacional?</w:t>
      </w:r>
    </w:p>
    <w:p w14:paraId="2F9BC1C5" w14:textId="77777777" w:rsidR="0047144A" w:rsidRPr="00A30FDD" w:rsidRDefault="0047144A" w:rsidP="0047144A">
      <w:pPr>
        <w:pStyle w:val="NormalWeb"/>
        <w:numPr>
          <w:ilvl w:val="0"/>
          <w:numId w:val="34"/>
        </w:numPr>
        <w:jc w:val="both"/>
        <w:rPr>
          <w:rFonts w:ascii="Verdana" w:hAnsi="Verdana"/>
          <w:i/>
          <w:iCs/>
          <w:sz w:val="20"/>
          <w:szCs w:val="20"/>
          <w:lang w:val="es-ES"/>
        </w:rPr>
      </w:pPr>
      <w:r w:rsidRPr="00A30FDD">
        <w:rPr>
          <w:rFonts w:ascii="Verdana" w:hAnsi="Verdana"/>
          <w:i/>
          <w:iCs/>
          <w:sz w:val="20"/>
          <w:szCs w:val="20"/>
          <w:lang w:val="es-ES"/>
        </w:rPr>
        <w:t>¿Cuál es el alcance de la aplicación del artículo 20 de la Ley 1150 de 2007 frente a convenios suscritos con organismos internacionales pertenecientes al Sistema de Naciones Unidas?</w:t>
      </w:r>
    </w:p>
    <w:p w14:paraId="056571B2" w14:textId="77777777" w:rsidR="0047144A" w:rsidRPr="00A30FDD" w:rsidRDefault="0047144A" w:rsidP="0047144A">
      <w:pPr>
        <w:pStyle w:val="NormalWeb"/>
        <w:numPr>
          <w:ilvl w:val="0"/>
          <w:numId w:val="34"/>
        </w:numPr>
        <w:jc w:val="both"/>
        <w:rPr>
          <w:rFonts w:ascii="Verdana" w:hAnsi="Verdana"/>
          <w:i/>
          <w:iCs/>
          <w:sz w:val="20"/>
          <w:szCs w:val="20"/>
          <w:lang w:val="es-ES"/>
        </w:rPr>
      </w:pPr>
      <w:r w:rsidRPr="00A30FDD">
        <w:rPr>
          <w:rFonts w:ascii="Verdana" w:hAnsi="Verdana"/>
          <w:i/>
          <w:iCs/>
          <w:sz w:val="20"/>
          <w:szCs w:val="20"/>
          <w:lang w:val="es-ES"/>
        </w:rPr>
        <w:t xml:space="preserve">¿Existe jurisprudencia, doctrina o lineamientos emitidos por esa entidad respecto a la naturaleza jurídica de los convenios de cooperación internacional y las </w:t>
      </w:r>
      <w:r w:rsidRPr="00A30FDD">
        <w:rPr>
          <w:rFonts w:ascii="Verdana" w:hAnsi="Verdana"/>
          <w:i/>
          <w:iCs/>
          <w:sz w:val="20"/>
          <w:szCs w:val="20"/>
          <w:lang w:val="es-ES"/>
        </w:rPr>
        <w:lastRenderedPageBreak/>
        <w:t>limitaciones de aplicación del régimen de contratación estatal colombiano frente a organismos internacionales?</w:t>
      </w:r>
    </w:p>
    <w:p w14:paraId="1FC765F3" w14:textId="77777777" w:rsidR="0047144A" w:rsidRPr="00A30FDD" w:rsidRDefault="0047144A" w:rsidP="0047144A">
      <w:pPr>
        <w:pStyle w:val="NormalWeb"/>
        <w:numPr>
          <w:ilvl w:val="0"/>
          <w:numId w:val="34"/>
        </w:numPr>
        <w:jc w:val="both"/>
        <w:rPr>
          <w:rFonts w:ascii="Verdana" w:hAnsi="Verdana"/>
          <w:i/>
          <w:iCs/>
          <w:sz w:val="20"/>
          <w:szCs w:val="20"/>
          <w:lang w:val="es-ES"/>
        </w:rPr>
      </w:pPr>
      <w:r w:rsidRPr="00A30FDD">
        <w:rPr>
          <w:rFonts w:ascii="Verdana" w:hAnsi="Verdana"/>
          <w:i/>
          <w:iCs/>
          <w:sz w:val="20"/>
          <w:szCs w:val="20"/>
          <w:lang w:val="es-ES"/>
        </w:rPr>
        <w:t>¿Cómo deben proceder las entidades estatales cuando las disposiciones internas del cooperante internacional entren en tensión o conflicto con principios de transparencia, acceso a la información pública, control fiscal o responsabilidad administrativa previstos en la legislación colombiana?</w:t>
      </w:r>
    </w:p>
    <w:p w14:paraId="3F9EDC2A" w14:textId="77777777" w:rsidR="0047144A" w:rsidRPr="00A30FDD" w:rsidRDefault="0047144A" w:rsidP="0047144A">
      <w:pPr>
        <w:pStyle w:val="NormalWeb"/>
        <w:numPr>
          <w:ilvl w:val="0"/>
          <w:numId w:val="34"/>
        </w:numPr>
        <w:jc w:val="both"/>
        <w:rPr>
          <w:rFonts w:ascii="Verdana" w:hAnsi="Verdana"/>
          <w:i/>
          <w:iCs/>
          <w:sz w:val="20"/>
          <w:szCs w:val="20"/>
          <w:lang w:val="es-ES"/>
        </w:rPr>
      </w:pPr>
      <w:r w:rsidRPr="00A30FDD">
        <w:rPr>
          <w:rFonts w:ascii="Verdana" w:hAnsi="Verdana"/>
          <w:i/>
          <w:iCs/>
          <w:sz w:val="20"/>
          <w:szCs w:val="20"/>
          <w:lang w:val="es-ES"/>
        </w:rPr>
        <w:t>¿Qué mecanismos preventivos o cláusulas recomienda incorporar en futuros convenios de cooperación internacional con el fin de garantizar acceso a información, trazabilidad de recursos y atención adecuada de auditorías y órganos de control?</w:t>
      </w:r>
    </w:p>
    <w:p w14:paraId="4C711CA3" w14:textId="77777777" w:rsidR="0047144A" w:rsidRPr="00A30FDD" w:rsidRDefault="0047144A" w:rsidP="0047144A">
      <w:pPr>
        <w:pStyle w:val="NormalWeb"/>
        <w:numPr>
          <w:ilvl w:val="0"/>
          <w:numId w:val="34"/>
        </w:numPr>
        <w:jc w:val="both"/>
        <w:rPr>
          <w:rFonts w:ascii="Verdana" w:hAnsi="Verdana"/>
          <w:i/>
          <w:iCs/>
          <w:sz w:val="20"/>
          <w:szCs w:val="20"/>
          <w:lang w:val="es-ES"/>
        </w:rPr>
      </w:pPr>
      <w:r w:rsidRPr="00A30FDD">
        <w:rPr>
          <w:rFonts w:ascii="Verdana" w:hAnsi="Verdana"/>
          <w:i/>
          <w:iCs/>
          <w:sz w:val="20"/>
          <w:szCs w:val="20"/>
          <w:lang w:val="es-ES"/>
        </w:rPr>
        <w:t>¿Resulta jurídicamente obligatorio que las entidades estatales elaboren estudios previos, análisis del sector, estudios de mercado y demás documentos propios del régimen de contratación estatal en los convenios de cooperación internacional suscritos con organismos internacionales intergubernamentales, aun cuando dichos documentos no hagan parte integral del convenio ni tengan efectos vinculantes para el cooperante internacional?</w:t>
      </w:r>
    </w:p>
    <w:p w14:paraId="2A6469D7" w14:textId="77777777" w:rsidR="0047144A" w:rsidRPr="00A30FDD" w:rsidRDefault="0047144A" w:rsidP="0047144A">
      <w:pPr>
        <w:pStyle w:val="NormalWeb"/>
        <w:numPr>
          <w:ilvl w:val="0"/>
          <w:numId w:val="34"/>
        </w:numPr>
        <w:jc w:val="both"/>
        <w:rPr>
          <w:rFonts w:ascii="Verdana" w:hAnsi="Verdana"/>
          <w:i/>
          <w:iCs/>
          <w:sz w:val="20"/>
          <w:szCs w:val="20"/>
          <w:lang w:val="es-ES"/>
        </w:rPr>
      </w:pPr>
      <w:r w:rsidRPr="00A30FDD">
        <w:rPr>
          <w:rFonts w:ascii="Verdana" w:hAnsi="Verdana"/>
          <w:i/>
          <w:iCs/>
          <w:sz w:val="20"/>
          <w:szCs w:val="20"/>
          <w:lang w:val="es-ES"/>
        </w:rPr>
        <w:t>Teniendo en cuenta que este tipo de convenios suele regirse por los reglamentos, manuales, documentos de proyecto, enmiendas y procedimientos propios del organismo internacional cooperante, ¿cuál es el alcance y finalidad jurídica de los estudios previos y análisis del sector elaborados por la entidad estatal colombiana?</w:t>
      </w:r>
    </w:p>
    <w:p w14:paraId="693D21AA" w14:textId="77777777" w:rsidR="0047144A" w:rsidRPr="00A30FDD" w:rsidRDefault="0047144A" w:rsidP="0047144A">
      <w:pPr>
        <w:pStyle w:val="NormalWeb"/>
        <w:numPr>
          <w:ilvl w:val="0"/>
          <w:numId w:val="34"/>
        </w:numPr>
        <w:jc w:val="both"/>
        <w:rPr>
          <w:rFonts w:ascii="Verdana" w:hAnsi="Verdana"/>
          <w:i/>
          <w:iCs/>
          <w:sz w:val="20"/>
          <w:szCs w:val="20"/>
          <w:lang w:val="es-ES"/>
        </w:rPr>
      </w:pPr>
      <w:r w:rsidRPr="00A30FDD">
        <w:rPr>
          <w:rFonts w:ascii="Verdana" w:hAnsi="Verdana"/>
          <w:i/>
          <w:iCs/>
          <w:sz w:val="20"/>
          <w:szCs w:val="20"/>
          <w:lang w:val="es-ES"/>
        </w:rPr>
        <w:t>¿La ausencia, insuficiencia o diferencias entre los estudios previos elaborados por la entidad estatal y los documentos técnicos o financieros del organismo cooperante podrían generar responsabilidades administrativas, fiscales o disciplinarias para los funcionarios públicos de la entidad estatal?</w:t>
      </w:r>
    </w:p>
    <w:p w14:paraId="69415850" w14:textId="77777777" w:rsidR="0047144A" w:rsidRPr="00A30FDD" w:rsidRDefault="0047144A" w:rsidP="0047144A">
      <w:pPr>
        <w:pStyle w:val="NormalWeb"/>
        <w:numPr>
          <w:ilvl w:val="0"/>
          <w:numId w:val="34"/>
        </w:numPr>
        <w:jc w:val="both"/>
        <w:rPr>
          <w:rFonts w:ascii="Verdana" w:hAnsi="Verdana"/>
          <w:i/>
          <w:iCs/>
          <w:sz w:val="20"/>
          <w:szCs w:val="20"/>
          <w:lang w:val="es-ES"/>
        </w:rPr>
      </w:pPr>
      <w:r w:rsidRPr="00A30FDD">
        <w:rPr>
          <w:rFonts w:ascii="Verdana" w:hAnsi="Verdana"/>
          <w:i/>
          <w:iCs/>
          <w:sz w:val="20"/>
          <w:szCs w:val="20"/>
          <w:lang w:val="es-ES"/>
        </w:rPr>
        <w:t>¿Qué documentos deben considerarse como soporte principal de la estructuración y ejecución del convenio de cooperación internacional: los estudios previos de la entidad estatal o los documentos técnicos, ¿reglamentos, enmiendas y procedimientos internos del cooperante internacional?</w:t>
      </w:r>
    </w:p>
    <w:p w14:paraId="5D65B013" w14:textId="63F7D9EE" w:rsidR="00226C73" w:rsidRPr="00A30FDD" w:rsidRDefault="0047144A" w:rsidP="0047144A">
      <w:pPr>
        <w:pStyle w:val="NormalWeb"/>
        <w:numPr>
          <w:ilvl w:val="0"/>
          <w:numId w:val="34"/>
        </w:numPr>
        <w:jc w:val="both"/>
        <w:rPr>
          <w:rFonts w:ascii="Verdana" w:hAnsi="Verdana"/>
          <w:i/>
          <w:iCs/>
          <w:sz w:val="20"/>
          <w:szCs w:val="20"/>
          <w:lang w:val="es-ES"/>
        </w:rPr>
      </w:pPr>
      <w:r w:rsidRPr="00A30FDD">
        <w:rPr>
          <w:rFonts w:ascii="Verdana" w:hAnsi="Verdana"/>
          <w:i/>
          <w:iCs/>
          <w:sz w:val="20"/>
          <w:szCs w:val="20"/>
          <w:lang w:val="es-ES"/>
        </w:rPr>
        <w:t>¿Cómo deben armonizarse las obligaciones derivadas del principio de planeación previsto en la contratación estatal colombiana con la autonomía normativa y operativa de los organismos internacionales cooperantes?</w:t>
      </w:r>
      <w:r w:rsidR="00193DC1" w:rsidRPr="00A30FDD">
        <w:rPr>
          <w:rFonts w:ascii="Verdana" w:eastAsia="Century Gothic" w:hAnsi="Verdana" w:cs="Century Gothic"/>
          <w:i/>
          <w:iCs/>
          <w:color w:val="000000" w:themeColor="text1"/>
          <w:sz w:val="20"/>
          <w:szCs w:val="20"/>
          <w:lang w:val="es-ES"/>
        </w:rPr>
        <w:t xml:space="preserve"> </w:t>
      </w:r>
      <w:r w:rsidR="00226C73" w:rsidRPr="00A30FDD">
        <w:rPr>
          <w:rFonts w:ascii="Verdana" w:eastAsia="Century Gothic" w:hAnsi="Verdana" w:cs="Century Gothic"/>
          <w:i/>
          <w:iCs/>
          <w:color w:val="000000" w:themeColor="text1"/>
          <w:sz w:val="20"/>
          <w:szCs w:val="20"/>
          <w:lang w:val="es-ES"/>
        </w:rPr>
        <w:t>[…]”</w:t>
      </w:r>
      <w:bookmarkEnd w:id="1"/>
    </w:p>
    <w:p w14:paraId="2120ACEF" w14:textId="77777777" w:rsidR="00226C73" w:rsidRPr="00A30FDD" w:rsidRDefault="00226C73" w:rsidP="00226C73">
      <w:pPr>
        <w:spacing w:after="0" w:line="276" w:lineRule="auto"/>
        <w:ind w:firstLine="709"/>
        <w:contextualSpacing/>
        <w:jc w:val="both"/>
        <w:rPr>
          <w:rFonts w:ascii="Verdana" w:eastAsia="Calibri" w:hAnsi="Verdana" w:cs="Arial"/>
          <w:color w:val="000000" w:themeColor="text1"/>
          <w:szCs w:val="24"/>
          <w:lang w:val="es-ES" w:eastAsia="es-ES_tradnl"/>
        </w:rPr>
      </w:pPr>
      <w:r w:rsidRPr="00A30FDD">
        <w:rPr>
          <w:rFonts w:ascii="Verdana" w:eastAsia="Calibri" w:hAnsi="Verdana" w:cs="Arial"/>
          <w:color w:val="000000" w:themeColor="text1"/>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w:t>
      </w:r>
      <w:r w:rsidRPr="00A30FDD">
        <w:rPr>
          <w:rFonts w:ascii="Verdana" w:eastAsia="Calibri" w:hAnsi="Verdana" w:cs="Arial"/>
          <w:color w:val="000000" w:themeColor="text1"/>
          <w:lang w:val="es-ES" w:eastAsia="es-ES"/>
        </w:rPr>
        <w:lastRenderedPageBreak/>
        <w:t xml:space="preserve">interpretación de normas generales, por definición, no puede extenderse a la resolución de controversias, ni a brindar asesorías sobre casos puntuales. </w:t>
      </w:r>
      <w:r w:rsidRPr="00A30FDD">
        <w:rPr>
          <w:rFonts w:ascii="Verdana" w:eastAsia="Calibri" w:hAnsi="Verdana" w:cs="Arial"/>
          <w:color w:val="000000" w:themeColor="text1"/>
          <w:szCs w:val="24"/>
          <w:lang w:val="es-ES" w:eastAsia="es-ES_tradnl"/>
        </w:rPr>
        <w:tab/>
      </w:r>
    </w:p>
    <w:p w14:paraId="7D97131B" w14:textId="18252E7C" w:rsidR="00226C73" w:rsidRPr="00A30FDD" w:rsidRDefault="00226C73" w:rsidP="00226C73">
      <w:pPr>
        <w:spacing w:before="120" w:after="0" w:line="276" w:lineRule="auto"/>
        <w:ind w:firstLine="709"/>
        <w:jc w:val="both"/>
        <w:rPr>
          <w:rFonts w:ascii="Verdana" w:eastAsia="Calibri" w:hAnsi="Verdana" w:cs="Arial"/>
          <w:color w:val="000000" w:themeColor="text1"/>
          <w:lang w:val="es-ES" w:eastAsia="es-ES"/>
        </w:rPr>
      </w:pPr>
      <w:r w:rsidRPr="00A30FDD">
        <w:rPr>
          <w:rFonts w:ascii="Verdana" w:eastAsia="Calibri" w:hAnsi="Verdana" w:cs="Arial"/>
          <w:color w:val="000000" w:themeColor="text1"/>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w:t>
      </w:r>
      <w:r w:rsidR="00F71533" w:rsidRPr="00A30FDD">
        <w:rPr>
          <w:rFonts w:ascii="Verdana" w:eastAsia="Calibri" w:hAnsi="Verdana" w:cs="Arial"/>
          <w:color w:val="000000" w:themeColor="text1"/>
          <w:lang w:val="es-ES" w:eastAsia="es-ES"/>
        </w:rPr>
        <w:t>señalando algunas</w:t>
      </w:r>
      <w:r w:rsidRPr="00A30FDD">
        <w:rPr>
          <w:rFonts w:ascii="Verdana" w:eastAsia="Calibri" w:hAnsi="Verdana" w:cs="Arial"/>
          <w:color w:val="000000" w:themeColor="text1"/>
          <w:lang w:val="es-ES" w:eastAsia="es-ES"/>
        </w:rPr>
        <w:t xml:space="preserve"> consideraciones sobre las normas generales relacionadas con los problemas jurídicos de su consulta. </w:t>
      </w:r>
    </w:p>
    <w:p w14:paraId="27C4DB2F" w14:textId="77777777" w:rsidR="00226C73" w:rsidRPr="00A30FDD" w:rsidRDefault="00226C73" w:rsidP="00226C73">
      <w:pPr>
        <w:spacing w:after="0" w:line="276" w:lineRule="auto"/>
        <w:ind w:firstLine="709"/>
        <w:jc w:val="both"/>
        <w:rPr>
          <w:rFonts w:ascii="Verdana" w:eastAsia="Calibri" w:hAnsi="Verdana" w:cs="Arial"/>
          <w:color w:val="000000" w:themeColor="text1"/>
          <w:lang w:val="es-ES" w:eastAsia="es-ES"/>
        </w:rPr>
      </w:pPr>
    </w:p>
    <w:p w14:paraId="461974F6" w14:textId="77777777" w:rsidR="00226C73" w:rsidRPr="00A30FDD" w:rsidRDefault="00226C73" w:rsidP="00226C73">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color w:val="000000" w:themeColor="text1"/>
        </w:rPr>
      </w:pPr>
      <w:r w:rsidRPr="00A30FDD">
        <w:rPr>
          <w:rFonts w:ascii="Verdana" w:eastAsia="Century Gothic" w:hAnsi="Verdana" w:cs="Century Gothic"/>
          <w:b/>
          <w:bCs/>
          <w:color w:val="000000" w:themeColor="text1"/>
        </w:rPr>
        <w:t>Problema planteado:</w:t>
      </w:r>
    </w:p>
    <w:p w14:paraId="59A8E7DE" w14:textId="77777777" w:rsidR="00226C73" w:rsidRPr="00A30FDD" w:rsidRDefault="00226C73" w:rsidP="00226C73">
      <w:pPr>
        <w:tabs>
          <w:tab w:val="left" w:pos="426"/>
        </w:tabs>
        <w:spacing w:after="0" w:line="276" w:lineRule="auto"/>
        <w:jc w:val="both"/>
        <w:rPr>
          <w:rFonts w:ascii="Verdana" w:eastAsia="Century Gothic" w:hAnsi="Verdana" w:cs="Century Gothic"/>
          <w:color w:val="000000" w:themeColor="text1"/>
          <w:lang w:val="es-ES"/>
        </w:rPr>
      </w:pPr>
    </w:p>
    <w:p w14:paraId="3FD41C12" w14:textId="7DB88D71" w:rsidR="00226C73" w:rsidRPr="00A30FDD" w:rsidRDefault="00226C73" w:rsidP="00226C73">
      <w:pPr>
        <w:spacing w:after="0" w:line="276" w:lineRule="auto"/>
        <w:jc w:val="both"/>
        <w:rPr>
          <w:rFonts w:ascii="Verdana" w:eastAsia="Century Gothic" w:hAnsi="Verdana" w:cs="Century Gothic"/>
          <w:color w:val="000000" w:themeColor="text1"/>
          <w:lang w:val="es-ES"/>
        </w:rPr>
      </w:pPr>
      <w:r w:rsidRPr="00A30FDD">
        <w:rPr>
          <w:rFonts w:ascii="Verdana" w:eastAsia="Century Gothic" w:hAnsi="Verdana" w:cs="Century Gothic"/>
          <w:color w:val="000000" w:themeColor="text1"/>
          <w:lang w:val="es-ES"/>
        </w:rPr>
        <w:t xml:space="preserve">De acuerdo con el contenido de su solicitud, esta Agencia resolverá </w:t>
      </w:r>
      <w:r w:rsidR="0047144A" w:rsidRPr="00A30FDD">
        <w:rPr>
          <w:rFonts w:ascii="Verdana" w:eastAsia="Century Gothic" w:hAnsi="Verdana" w:cs="Century Gothic"/>
          <w:color w:val="000000" w:themeColor="text1"/>
          <w:lang w:val="es-ES"/>
        </w:rPr>
        <w:t>los</w:t>
      </w:r>
      <w:r w:rsidRPr="00A30FDD">
        <w:rPr>
          <w:rFonts w:ascii="Verdana" w:eastAsia="Century Gothic" w:hAnsi="Verdana" w:cs="Century Gothic"/>
          <w:color w:val="000000" w:themeColor="text1"/>
          <w:lang w:val="es-ES"/>
        </w:rPr>
        <w:t xml:space="preserve"> siguiente</w:t>
      </w:r>
      <w:r w:rsidR="0047144A" w:rsidRPr="00A30FDD">
        <w:rPr>
          <w:rFonts w:ascii="Verdana" w:eastAsia="Century Gothic" w:hAnsi="Verdana" w:cs="Century Gothic"/>
          <w:color w:val="000000" w:themeColor="text1"/>
          <w:lang w:val="es-ES"/>
        </w:rPr>
        <w:t>s</w:t>
      </w:r>
      <w:r w:rsidRPr="00A30FDD">
        <w:rPr>
          <w:rFonts w:ascii="Verdana" w:eastAsia="Century Gothic" w:hAnsi="Verdana" w:cs="Century Gothic"/>
          <w:color w:val="000000" w:themeColor="text1"/>
          <w:lang w:val="es-ES"/>
        </w:rPr>
        <w:t xml:space="preserve"> problema</w:t>
      </w:r>
      <w:r w:rsidR="0047144A" w:rsidRPr="00A30FDD">
        <w:rPr>
          <w:rFonts w:ascii="Verdana" w:eastAsia="Century Gothic" w:hAnsi="Verdana" w:cs="Century Gothic"/>
          <w:color w:val="000000" w:themeColor="text1"/>
          <w:lang w:val="es-ES"/>
        </w:rPr>
        <w:t>s</w:t>
      </w:r>
      <w:r w:rsidRPr="00A30FDD">
        <w:rPr>
          <w:rFonts w:ascii="Verdana" w:eastAsia="Century Gothic" w:hAnsi="Verdana" w:cs="Century Gothic"/>
          <w:color w:val="000000" w:themeColor="text1"/>
          <w:lang w:val="es-ES"/>
        </w:rPr>
        <w:t xml:space="preserve"> jurídico</w:t>
      </w:r>
      <w:r w:rsidR="0047144A" w:rsidRPr="00A30FDD">
        <w:rPr>
          <w:rFonts w:ascii="Verdana" w:eastAsia="Century Gothic" w:hAnsi="Verdana" w:cs="Century Gothic"/>
          <w:color w:val="000000" w:themeColor="text1"/>
          <w:lang w:val="es-ES"/>
        </w:rPr>
        <w:t>s</w:t>
      </w:r>
      <w:r w:rsidRPr="00A30FDD">
        <w:rPr>
          <w:rFonts w:ascii="Verdana" w:eastAsia="Century Gothic" w:hAnsi="Verdana" w:cs="Century Gothic"/>
          <w:color w:val="000000" w:themeColor="text1"/>
          <w:lang w:val="es-ES"/>
        </w:rPr>
        <w:t xml:space="preserve">: </w:t>
      </w:r>
    </w:p>
    <w:p w14:paraId="7A4B5FB3" w14:textId="6426137D" w:rsidR="00A84D8C" w:rsidRPr="00A30FDD" w:rsidRDefault="00A84D8C" w:rsidP="00A84D8C">
      <w:pPr>
        <w:pStyle w:val="Prrafodelista"/>
        <w:numPr>
          <w:ilvl w:val="0"/>
          <w:numId w:val="35"/>
        </w:numPr>
        <w:spacing w:after="0" w:line="276" w:lineRule="auto"/>
        <w:ind w:left="709" w:hanging="371"/>
        <w:jc w:val="both"/>
        <w:rPr>
          <w:rFonts w:ascii="Verdana" w:eastAsia="Century Gothic" w:hAnsi="Verdana" w:cs="Century Gothic"/>
          <w:color w:val="000000" w:themeColor="text1"/>
        </w:rPr>
      </w:pPr>
      <w:r w:rsidRPr="00A30FDD">
        <w:rPr>
          <w:rFonts w:ascii="Verdana" w:eastAsia="Century Gothic" w:hAnsi="Verdana" w:cs="Century Gothic"/>
          <w:color w:val="000000" w:themeColor="text1"/>
        </w:rPr>
        <w:t>¿Cuál es el alcance del artículo 20 de la Ley 1150 de 2007 frente a convenios suscritos con organismos internacionales pertenecientes al Sistema de Naciones Unidas?</w:t>
      </w:r>
    </w:p>
    <w:p w14:paraId="695617EE" w14:textId="27BAB28E" w:rsidR="004A70A7" w:rsidRPr="00A30FDD" w:rsidRDefault="00A84D8C" w:rsidP="004A70A7">
      <w:pPr>
        <w:pStyle w:val="Prrafodelista"/>
        <w:numPr>
          <w:ilvl w:val="0"/>
          <w:numId w:val="35"/>
        </w:numPr>
        <w:spacing w:after="0" w:line="276" w:lineRule="auto"/>
        <w:ind w:left="709" w:hanging="371"/>
        <w:jc w:val="both"/>
        <w:rPr>
          <w:rFonts w:ascii="Verdana" w:eastAsia="Century Gothic" w:hAnsi="Verdana" w:cs="Century Gothic"/>
          <w:color w:val="000000" w:themeColor="text1"/>
        </w:rPr>
      </w:pPr>
      <w:r w:rsidRPr="00A30FDD">
        <w:rPr>
          <w:rFonts w:ascii="Verdana" w:eastAsia="Century Gothic" w:hAnsi="Verdana" w:cs="Century Gothic"/>
          <w:color w:val="000000" w:themeColor="text1"/>
        </w:rPr>
        <w:t>¿Cuál es el alcance de las obligaciones derivadas del principio de planeación previsto en la contratación estatal colombiana con la autonomía normativa y operativa de los organismos internacionales cooperantes?</w:t>
      </w:r>
    </w:p>
    <w:p w14:paraId="20A8E684" w14:textId="792F9897" w:rsidR="00A84D8C" w:rsidRPr="00A30FDD" w:rsidRDefault="0047144A" w:rsidP="00A84D8C">
      <w:pPr>
        <w:pStyle w:val="Prrafodelista"/>
        <w:numPr>
          <w:ilvl w:val="0"/>
          <w:numId w:val="35"/>
        </w:numPr>
        <w:spacing w:after="0" w:line="276" w:lineRule="auto"/>
        <w:ind w:left="709" w:hanging="371"/>
        <w:jc w:val="both"/>
        <w:rPr>
          <w:rFonts w:ascii="Verdana" w:eastAsia="Century Gothic" w:hAnsi="Verdana" w:cs="Century Gothic"/>
          <w:color w:val="000000" w:themeColor="text1"/>
        </w:rPr>
      </w:pPr>
      <w:r w:rsidRPr="00A30FDD">
        <w:rPr>
          <w:rFonts w:ascii="Verdana" w:eastAsia="Century Gothic" w:hAnsi="Verdana" w:cs="Century Gothic"/>
          <w:color w:val="000000" w:themeColor="text1"/>
        </w:rPr>
        <w:t xml:space="preserve">¿Cuál es el </w:t>
      </w:r>
      <w:r w:rsidR="00EC5E83" w:rsidRPr="00A30FDD">
        <w:rPr>
          <w:rFonts w:ascii="Verdana" w:eastAsia="Century Gothic" w:hAnsi="Verdana" w:cs="Century Gothic"/>
          <w:color w:val="000000" w:themeColor="text1"/>
        </w:rPr>
        <w:t xml:space="preserve">alcance del procedimiento para la declaratoria de </w:t>
      </w:r>
      <w:r w:rsidRPr="00A30FDD">
        <w:rPr>
          <w:rFonts w:ascii="Verdana" w:eastAsia="Century Gothic" w:hAnsi="Verdana" w:cs="Century Gothic"/>
          <w:color w:val="000000" w:themeColor="text1"/>
        </w:rPr>
        <w:t>incumplimientos</w:t>
      </w:r>
      <w:r w:rsidR="00EC5E83" w:rsidRPr="00A30FDD">
        <w:rPr>
          <w:rFonts w:ascii="Verdana" w:eastAsia="Century Gothic" w:hAnsi="Verdana" w:cs="Century Gothic"/>
          <w:color w:val="000000" w:themeColor="text1"/>
        </w:rPr>
        <w:t xml:space="preserve">, el ejercicio de facultades para conminar al cumplimiento de lo pactado, la imposición de multas, sanciones, el ejercicio de cláusulas excepcionales y los mecanismos de resolución de </w:t>
      </w:r>
      <w:proofErr w:type="gramStart"/>
      <w:r w:rsidR="00EC5E83" w:rsidRPr="00A30FDD">
        <w:rPr>
          <w:rFonts w:ascii="Verdana" w:eastAsia="Century Gothic" w:hAnsi="Verdana" w:cs="Century Gothic"/>
          <w:color w:val="000000" w:themeColor="text1"/>
        </w:rPr>
        <w:t>controversias  en</w:t>
      </w:r>
      <w:proofErr w:type="gramEnd"/>
      <w:r w:rsidR="00EC5E83" w:rsidRPr="00A30FDD">
        <w:rPr>
          <w:rFonts w:ascii="Verdana" w:eastAsia="Century Gothic" w:hAnsi="Verdana" w:cs="Century Gothic"/>
          <w:color w:val="000000" w:themeColor="text1"/>
        </w:rPr>
        <w:t xml:space="preserve"> el marco de convenios o contratos sometidos a la normativa de organismos internacionales?</w:t>
      </w:r>
    </w:p>
    <w:p w14:paraId="20F7DC11" w14:textId="6D4EF031" w:rsidR="00A84D8C" w:rsidRPr="00A30FDD" w:rsidRDefault="00165C56" w:rsidP="00A84D8C">
      <w:pPr>
        <w:pStyle w:val="Prrafodelista"/>
        <w:numPr>
          <w:ilvl w:val="0"/>
          <w:numId w:val="35"/>
        </w:numPr>
        <w:spacing w:after="0" w:line="276" w:lineRule="auto"/>
        <w:ind w:left="709" w:hanging="371"/>
        <w:jc w:val="both"/>
        <w:rPr>
          <w:rFonts w:ascii="Verdana" w:eastAsia="Century Gothic" w:hAnsi="Verdana" w:cs="Century Gothic"/>
          <w:color w:val="000000" w:themeColor="text1"/>
        </w:rPr>
      </w:pPr>
      <w:r w:rsidRPr="00A30FDD">
        <w:rPr>
          <w:rFonts w:ascii="Verdana" w:eastAsia="Century Gothic" w:hAnsi="Verdana" w:cs="Century Gothic"/>
          <w:color w:val="000000" w:themeColor="text1"/>
        </w:rPr>
        <w:t>¿Cuál es el alcance de</w:t>
      </w:r>
      <w:r w:rsidR="00EC5E83" w:rsidRPr="00A30FDD">
        <w:rPr>
          <w:rFonts w:ascii="Verdana" w:eastAsia="Century Gothic" w:hAnsi="Verdana" w:cs="Century Gothic"/>
          <w:color w:val="000000" w:themeColor="text1"/>
        </w:rPr>
        <w:t xml:space="preserve"> las posibles responsabilidades derivadas de la ejecución de dichos convenios o contratos? ¿Cuál es el marco jurídico aplicable al </w:t>
      </w:r>
      <w:r w:rsidRPr="00A30FDD">
        <w:rPr>
          <w:rFonts w:ascii="Verdana" w:eastAsia="Century Gothic" w:hAnsi="Verdana" w:cs="Century Gothic"/>
          <w:color w:val="000000" w:themeColor="text1"/>
        </w:rPr>
        <w:t xml:space="preserve">seguimiento sobre los recursos públicos ejecutados? </w:t>
      </w:r>
    </w:p>
    <w:p w14:paraId="5431B691" w14:textId="59B8A582" w:rsidR="00F209AA" w:rsidRPr="00A30FDD" w:rsidRDefault="00165C56" w:rsidP="008E720F">
      <w:pPr>
        <w:pStyle w:val="Prrafodelista"/>
        <w:numPr>
          <w:ilvl w:val="0"/>
          <w:numId w:val="35"/>
        </w:numPr>
        <w:spacing w:after="0" w:line="276" w:lineRule="auto"/>
        <w:ind w:left="709" w:hanging="371"/>
        <w:jc w:val="both"/>
        <w:rPr>
          <w:rFonts w:ascii="Verdana" w:eastAsia="Century Gothic" w:hAnsi="Verdana" w:cs="Century Gothic"/>
          <w:color w:val="000000" w:themeColor="text1"/>
        </w:rPr>
      </w:pPr>
      <w:r w:rsidRPr="00A30FDD">
        <w:rPr>
          <w:rFonts w:ascii="Verdana" w:eastAsia="Century Gothic" w:hAnsi="Verdana" w:cs="Century Gothic"/>
          <w:color w:val="000000" w:themeColor="text1"/>
        </w:rPr>
        <w:t>¿</w:t>
      </w:r>
      <w:r w:rsidR="00A84D8C" w:rsidRPr="00A30FDD">
        <w:rPr>
          <w:rFonts w:ascii="Verdana" w:eastAsia="Century Gothic" w:hAnsi="Verdana" w:cs="Century Gothic"/>
          <w:color w:val="000000" w:themeColor="text1"/>
        </w:rPr>
        <w:t>Cuál</w:t>
      </w:r>
      <w:r w:rsidRPr="00A30FDD">
        <w:rPr>
          <w:rFonts w:ascii="Verdana" w:eastAsia="Century Gothic" w:hAnsi="Verdana" w:cs="Century Gothic"/>
          <w:color w:val="000000" w:themeColor="text1"/>
        </w:rPr>
        <w:t xml:space="preserve"> es el alcance de las inmunidades y privilegios reconocidos a organismos internacionales frente a las facultades de seguimiento </w:t>
      </w:r>
      <w:r w:rsidR="00A84D8C" w:rsidRPr="00A30FDD">
        <w:rPr>
          <w:rFonts w:ascii="Verdana" w:eastAsia="Century Gothic" w:hAnsi="Verdana" w:cs="Century Gothic"/>
          <w:color w:val="000000" w:themeColor="text1"/>
        </w:rPr>
        <w:t xml:space="preserve">y solicitud de información </w:t>
      </w:r>
      <w:r w:rsidRPr="00A30FDD">
        <w:rPr>
          <w:rFonts w:ascii="Verdana" w:eastAsia="Century Gothic" w:hAnsi="Verdana" w:cs="Century Gothic"/>
          <w:color w:val="000000" w:themeColor="text1"/>
        </w:rPr>
        <w:t>de las entidades estatales?</w:t>
      </w:r>
      <w:r w:rsidR="008E720F" w:rsidRPr="00A30FDD">
        <w:rPr>
          <w:rFonts w:ascii="Verdana" w:eastAsia="Century Gothic" w:hAnsi="Verdana" w:cs="Century Gothic"/>
          <w:color w:val="000000" w:themeColor="text1"/>
        </w:rPr>
        <w:t xml:space="preserve"> </w:t>
      </w:r>
    </w:p>
    <w:p w14:paraId="432EE952" w14:textId="4B940C4F" w:rsidR="00A84D8C" w:rsidRPr="00A30FDD" w:rsidRDefault="00A84D8C" w:rsidP="00A84D8C">
      <w:pPr>
        <w:pStyle w:val="Prrafodelista"/>
        <w:numPr>
          <w:ilvl w:val="0"/>
          <w:numId w:val="35"/>
        </w:numPr>
        <w:spacing w:after="0" w:line="276" w:lineRule="auto"/>
        <w:ind w:left="709" w:hanging="371"/>
        <w:jc w:val="both"/>
        <w:rPr>
          <w:rFonts w:ascii="Verdana" w:eastAsia="Century Gothic" w:hAnsi="Verdana" w:cs="Century Gothic"/>
          <w:color w:val="000000" w:themeColor="text1"/>
        </w:rPr>
      </w:pPr>
      <w:r w:rsidRPr="00A30FDD">
        <w:rPr>
          <w:rFonts w:ascii="Verdana" w:eastAsia="Century Gothic" w:hAnsi="Verdana" w:cs="Century Gothic"/>
          <w:color w:val="000000" w:themeColor="text1"/>
        </w:rPr>
        <w:t>¿Existe jurisprudencia, doctrina o lineamientos emitidos por esa entidad respecto a la naturaleza jurídica de los convenios de cooperación internacional y las limitaciones de aplicación del régimen de contratación estatal colombiano frente a organismos internacionales?</w:t>
      </w:r>
    </w:p>
    <w:p w14:paraId="4745B202" w14:textId="77777777" w:rsidR="00226C73" w:rsidRPr="00A30FDD" w:rsidRDefault="00226C73" w:rsidP="00226C73">
      <w:pPr>
        <w:spacing w:after="0" w:line="276" w:lineRule="auto"/>
        <w:jc w:val="both"/>
        <w:rPr>
          <w:rFonts w:ascii="Verdana" w:eastAsia="Calibri" w:hAnsi="Verdana" w:cs="Arial"/>
          <w:color w:val="000000" w:themeColor="text1"/>
          <w:lang w:val="es-ES"/>
        </w:rPr>
      </w:pPr>
    </w:p>
    <w:p w14:paraId="57CADDE7" w14:textId="77777777" w:rsidR="00226C73" w:rsidRPr="00A30FDD" w:rsidRDefault="00226C73" w:rsidP="00226C73">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A30FDD">
        <w:rPr>
          <w:rFonts w:ascii="Verdana" w:eastAsia="Century Gothic" w:hAnsi="Verdana" w:cs="Century Gothic"/>
          <w:b/>
          <w:bCs/>
          <w:color w:val="000000" w:themeColor="text1"/>
        </w:rPr>
        <w:t>Respuesta:</w:t>
      </w:r>
    </w:p>
    <w:p w14:paraId="1CAFC555" w14:textId="77777777" w:rsidR="00226C73" w:rsidRPr="00A30FDD" w:rsidRDefault="00226C73" w:rsidP="00226C73">
      <w:pPr>
        <w:tabs>
          <w:tab w:val="left" w:pos="142"/>
          <w:tab w:val="left" w:pos="284"/>
        </w:tabs>
        <w:spacing w:after="0" w:line="276" w:lineRule="auto"/>
        <w:jc w:val="both"/>
        <w:rPr>
          <w:rFonts w:ascii="Verdana" w:eastAsia="Century Gothic" w:hAnsi="Verdana" w:cs="Century Gothic"/>
          <w:b/>
          <w:bCs/>
          <w:color w:val="000000" w:themeColor="text1"/>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226C73" w:rsidRPr="00A30FDD" w14:paraId="37E116A6" w14:textId="77777777" w:rsidTr="005C2659">
        <w:tc>
          <w:tcPr>
            <w:tcW w:w="8828" w:type="dxa"/>
          </w:tcPr>
          <w:p w14:paraId="1D3BB784" w14:textId="77777777" w:rsidR="00226C73" w:rsidRPr="00A30FDD" w:rsidRDefault="00AE688E" w:rsidP="00AE688E">
            <w:pPr>
              <w:spacing w:before="120" w:line="276" w:lineRule="auto"/>
              <w:jc w:val="both"/>
              <w:rPr>
                <w:rFonts w:ascii="Verdana" w:hAnsi="Verdana" w:cs="Arial"/>
                <w:color w:val="000000" w:themeColor="text1"/>
                <w:lang w:val="es-ES"/>
              </w:rPr>
            </w:pPr>
            <w:r w:rsidRPr="00A30FDD">
              <w:rPr>
                <w:rFonts w:ascii="Verdana" w:hAnsi="Verdana" w:cs="Arial"/>
                <w:color w:val="000000" w:themeColor="text1"/>
                <w:lang w:val="es-ES"/>
              </w:rPr>
              <w:t>i) El artículo 20 de la Ley 1150 de 2007 estableció el régimen aplicable a los contratos que celebren las entidades estatales con organismos internacionales, previendo tres supuestos. El inciso primero dispone que cuando los organismos de cooperación, asistencia o ayudas internacionales financien los contratos o convenios en su totalidad o en sumas iguales o superiores al cincuenta por ciento (50%), la contratación podrá someterse a los reglamentos de tales entidades; cuando los aportes sean inferiores a dicho porcentaje, el contrato o convenio debe someterse al EGCAP. El último supuesto del inciso segundo establece que los contratos o convenios financiados con fondos de los organismos multilaterales de crédito y entes gubernamentales extranjeros podrán regirse por sus reglamentos, con independencia del porcentaje que financien o aporten. Finalmente, el parágrafo primero dispone que los contratos o acuerdos celebrados con personas extranjeras de derecho público podrán someterse a las reglas de tales organismos, sin que sea relevante el monto de los aportes ni el objeto convenido.</w:t>
            </w:r>
          </w:p>
          <w:p w14:paraId="2F02101D" w14:textId="77777777" w:rsidR="00AE688E" w:rsidRPr="00A30FDD" w:rsidRDefault="00AE688E" w:rsidP="00A8055E">
            <w:pPr>
              <w:spacing w:before="120" w:line="276" w:lineRule="auto"/>
              <w:ind w:firstLine="738"/>
              <w:jc w:val="both"/>
              <w:rPr>
                <w:rFonts w:ascii="Verdana" w:hAnsi="Verdana" w:cs="Arial"/>
                <w:color w:val="000000" w:themeColor="text1"/>
                <w:lang w:val="es-ES"/>
              </w:rPr>
            </w:pPr>
            <w:r w:rsidRPr="00A30FDD">
              <w:rPr>
                <w:rFonts w:ascii="Verdana" w:hAnsi="Verdana" w:cs="Arial"/>
                <w:color w:val="000000" w:themeColor="text1"/>
                <w:lang w:val="es-ES"/>
              </w:rPr>
              <w:t>En cuanto a la identificación de los sujetos del inciso primero, el ordenamiento colombiano comprende como organismos de cooperación, asistencia o ayudas internacionales a todos aquellos socios de carácter internacional que brinden asistencia técnica y/o transferencia de conocimientos para crear y fortalecer las capacidades nacionales y locales, en los términos del Decreto 603 de 2022. Los organismos del Sistema de Naciones Unidas que actúen en este ámbito quedan comprendidos en ese supuesto, de modo que, para definir el régimen contractual aplicable, será determinante establecer el porcentaje de los fondos que aporten al convenio. En todo caso, el concepto excluyente entre sujetos implica que, aunque un organismo del Sistema ONU pudiera también calificar como ente gubernamental extranjero o persona extranjera de derecho público, la entidad estatal debe aplicar de manera prioritaria la regla del inciso primero cuando el organismo corresponda materialmente al ámbito de cooperación, asistencia o ayuda.</w:t>
            </w:r>
          </w:p>
          <w:p w14:paraId="1AAA9ABD" w14:textId="77777777" w:rsidR="00AE688E" w:rsidRPr="00A30FDD" w:rsidRDefault="00AE688E" w:rsidP="00AE688E">
            <w:pPr>
              <w:spacing w:before="120" w:line="276" w:lineRule="auto"/>
              <w:jc w:val="both"/>
              <w:rPr>
                <w:rFonts w:ascii="Verdana" w:hAnsi="Verdana" w:cs="Arial"/>
                <w:color w:val="000000" w:themeColor="text1"/>
                <w:lang w:val="es-ES"/>
              </w:rPr>
            </w:pPr>
            <w:proofErr w:type="spellStart"/>
            <w:r w:rsidRPr="00A30FDD">
              <w:rPr>
                <w:rFonts w:ascii="Verdana" w:hAnsi="Verdana" w:cs="Arial"/>
                <w:color w:val="000000" w:themeColor="text1"/>
                <w:lang w:val="es-ES"/>
              </w:rPr>
              <w:lastRenderedPageBreak/>
              <w:t>ii</w:t>
            </w:r>
            <w:proofErr w:type="spellEnd"/>
            <w:r w:rsidRPr="00A30FDD">
              <w:rPr>
                <w:rFonts w:ascii="Verdana" w:hAnsi="Verdana" w:cs="Arial"/>
                <w:color w:val="000000" w:themeColor="text1"/>
                <w:lang w:val="es-ES"/>
              </w:rPr>
              <w:t>) El principio de planeación, en el marco de los principios de economía y responsabilidad, es aplicable a los contratos y convenios que las entidades estatales suscriban con organismos internacionales, incluso cuando, en cumplimiento de lo dispuesto en el artículo 20 de la Ley 1150 de 2007, decidan someterse a sus normas y no al EGCAP. Esto se sustenta en que, de acuerdo con el Consejo de Estado, la remisión integral a los reglamentos o normas de los organismos internacionales no incluye la etapa de planeación del procedimiento contractual. En consecuencia, las entidades deben cumplir con el principio de planeación, lo que implica, por ejemplo, que en estos procedimientos la entidad conozca el mercado de los bienes, servicios u obras que contratará con el organismo, así como que cumpla con los permisos, licencias, diseños o estudios que resulten necesarios según el objeto del contrato o convenio que se pretende ejecutar en el territorio nacional.</w:t>
            </w:r>
          </w:p>
          <w:p w14:paraId="54FC027A" w14:textId="02112FFD" w:rsidR="00715C87" w:rsidRPr="00A30FDD" w:rsidRDefault="00715C87" w:rsidP="00A8055E">
            <w:pPr>
              <w:spacing w:before="120" w:line="276" w:lineRule="auto"/>
              <w:ind w:firstLine="738"/>
              <w:jc w:val="both"/>
              <w:rPr>
                <w:rFonts w:ascii="Verdana" w:hAnsi="Verdana" w:cs="Arial"/>
                <w:color w:val="000000" w:themeColor="text1"/>
                <w:lang w:val="es-ES"/>
              </w:rPr>
            </w:pPr>
            <w:r w:rsidRPr="00A30FDD">
              <w:rPr>
                <w:rFonts w:ascii="Verdana" w:hAnsi="Verdana" w:cs="Arial"/>
                <w:color w:val="000000" w:themeColor="text1"/>
                <w:lang w:val="es-ES"/>
              </w:rPr>
              <w:t>Sin embargo, la planeación contractual deberá ser armónica con el régimen del contrato o convenio, de modo que no serán exigibles todos los aspectos, requisitos o documentos que son propios de un contrato o convenio sometido al Estatuto. En consecuencia, aunque la entidad deba cumplir con el principio de planeación, su aplicación debe ser concordante con el contrato o convenio cuyo régimen será el propio de dichos organismos. Esto supone que la entidad adelantará acciones como determinar su necesidad, apropiar los recursos procedentes, incluir la suscripción del convenio o contrato en su Plan Anual de Adquisiciones y adelantar el análisis del sector y los estudios previos con el fin de definir las condiciones del contrato o convenio, adecuándolos según el régimen jurídico al cual se someterá el negocio jurídico, sin perjuicio de lo establecido por el Consejo de Estado sobre la aplicabilidad de las normas presupuestales a este tipo de negocios jurídicos.</w:t>
            </w:r>
          </w:p>
          <w:p w14:paraId="592D0D13" w14:textId="30D896C4" w:rsidR="00715C87" w:rsidRPr="00A30FDD" w:rsidRDefault="00715C87" w:rsidP="00AE688E">
            <w:pPr>
              <w:spacing w:before="120" w:line="276" w:lineRule="auto"/>
              <w:jc w:val="both"/>
              <w:rPr>
                <w:rFonts w:ascii="Verdana" w:hAnsi="Verdana" w:cs="Arial"/>
                <w:color w:val="000000" w:themeColor="text1"/>
                <w:lang w:val="es-ES"/>
              </w:rPr>
            </w:pPr>
            <w:proofErr w:type="spellStart"/>
            <w:r w:rsidRPr="00A30FDD">
              <w:rPr>
                <w:rFonts w:ascii="Verdana" w:hAnsi="Verdana" w:cs="Arial"/>
                <w:color w:val="000000" w:themeColor="text1"/>
                <w:lang w:val="es-ES"/>
              </w:rPr>
              <w:t>iii</w:t>
            </w:r>
            <w:proofErr w:type="spellEnd"/>
            <w:r w:rsidRPr="00A30FDD">
              <w:rPr>
                <w:rFonts w:ascii="Verdana" w:hAnsi="Verdana" w:cs="Arial"/>
                <w:color w:val="000000" w:themeColor="text1"/>
                <w:lang w:val="es-ES"/>
              </w:rPr>
              <w:t xml:space="preserve">) Cuando las entidades optan por someter el convenio o contrato al régimen del organismo internacional, este aplica de forma integral en todo lo relacionado con la celebración y la ejecución contractual. En consecuencia, los procedimientos, sanciones o recursos aplicables ante posibles incumplimientos, así como los mecanismos de resolución de controversias, serán, en principio, los dispuestos en el contrato o convenio y los reglamentos y la normativa del organismo. Esto incluye la declaratoria de incumplimientos, la posible imposición de multas, sanciones, figuras jurídicas similares a la cláusula penal pecuniaria u otras consecuencias asociadas al incumplimiento </w:t>
            </w:r>
            <w:r w:rsidRPr="00A30FDD">
              <w:rPr>
                <w:rFonts w:ascii="Verdana" w:hAnsi="Verdana" w:cs="Arial"/>
                <w:color w:val="000000" w:themeColor="text1"/>
                <w:lang w:val="es-ES"/>
              </w:rPr>
              <w:lastRenderedPageBreak/>
              <w:t xml:space="preserve">contractual, así como el procedimiento y las reglas para su declaratoria o imposición. Por su parte, al estar fuera del régimen contractual nacional, se excluye el uso de potestades o facultades exorbitantes. En términos generales, la normativa nacional solo será aplicable cuando exista una remisión o autorización en el marco del convenio o contrato, o cuando sea aplicable de manera supletiva ante el silencio del régimen del organismo internacional, de conformidad con lo señalado por el Consejo de Estado. </w:t>
            </w:r>
          </w:p>
          <w:p w14:paraId="2CFA2C06" w14:textId="57164774" w:rsidR="00715C87" w:rsidRPr="00A30FDD" w:rsidRDefault="00715C87" w:rsidP="00A8055E">
            <w:pPr>
              <w:spacing w:before="120" w:line="276" w:lineRule="auto"/>
              <w:ind w:firstLine="738"/>
              <w:jc w:val="both"/>
              <w:rPr>
                <w:rFonts w:ascii="Verdana" w:hAnsi="Verdana" w:cs="Arial"/>
                <w:color w:val="000000" w:themeColor="text1"/>
                <w:lang w:val="es-ES"/>
              </w:rPr>
            </w:pPr>
            <w:r w:rsidRPr="00A30FDD">
              <w:rPr>
                <w:rFonts w:ascii="Verdana" w:hAnsi="Verdana" w:cs="Arial"/>
                <w:color w:val="000000" w:themeColor="text1"/>
                <w:lang w:val="es-ES"/>
              </w:rPr>
              <w:t>No obstante, cuando se trate de contratos derivados que celebren las entidades estatales en desarrollo de los convenios o contratos sometidos a la normativa de organismos internacionales, las partes podrán pactar cláusulas relativas a la declaratoria de incumplimiento, multas, cláusula penal pecuniaria u otras consecuencias asociadas al incumplimiento contractual, siempre que ello resulte compatible con el régimen jurídico aplicable al negocio correspondiente. En esos supuestos específicos, cuando una entidad estatal sometida al EGCAP pretenda declarar un incumplimiento, imponer multas, hacer efectiva una cláusula penal pecuniaria o adoptar decisiones unilaterales con efectos sancionatorios respecto de un contrato derivado, deberá analizar la aplicación del procedimiento previsto en el artículo 86 de la Ley 1474 de 2011 como garantía mínima de debido proceso administrativo, salvo que exista una disposición expresa en contrario derivada de un tratado internacional, una norma legal especial o un régimen exceptivo debidamente acreditado.</w:t>
            </w:r>
          </w:p>
          <w:p w14:paraId="4ADB035F" w14:textId="2C12B0C1" w:rsidR="00715C87" w:rsidRPr="00A30FDD" w:rsidRDefault="00715C87" w:rsidP="00AE688E">
            <w:pPr>
              <w:spacing w:before="120" w:line="276" w:lineRule="auto"/>
              <w:jc w:val="both"/>
              <w:rPr>
                <w:rFonts w:ascii="Verdana" w:hAnsi="Verdana" w:cs="Arial"/>
                <w:color w:val="000000" w:themeColor="text1"/>
                <w:lang w:val="es-ES"/>
              </w:rPr>
            </w:pPr>
            <w:proofErr w:type="spellStart"/>
            <w:r w:rsidRPr="00A30FDD">
              <w:rPr>
                <w:rFonts w:ascii="Verdana" w:hAnsi="Verdana" w:cs="Arial"/>
                <w:color w:val="000000" w:themeColor="text1"/>
                <w:lang w:val="es-ES"/>
              </w:rPr>
              <w:t>iv</w:t>
            </w:r>
            <w:proofErr w:type="spellEnd"/>
            <w:r w:rsidRPr="00A30FDD">
              <w:rPr>
                <w:rFonts w:ascii="Verdana" w:hAnsi="Verdana" w:cs="Arial"/>
                <w:color w:val="000000" w:themeColor="text1"/>
                <w:lang w:val="es-ES"/>
              </w:rPr>
              <w:t>)</w:t>
            </w:r>
            <w:r w:rsidRPr="00A30FDD">
              <w:rPr>
                <w:lang w:val="es-ES"/>
              </w:rPr>
              <w:t xml:space="preserve"> </w:t>
            </w:r>
            <w:r w:rsidRPr="00A30FDD">
              <w:rPr>
                <w:rFonts w:ascii="Verdana" w:hAnsi="Verdana" w:cs="Arial"/>
                <w:color w:val="000000" w:themeColor="text1"/>
                <w:lang w:val="es-ES"/>
              </w:rPr>
              <w:t xml:space="preserve">Las posibles responsabilidades fiscales, disciplinarias o </w:t>
            </w:r>
            <w:proofErr w:type="gramStart"/>
            <w:r w:rsidRPr="00A30FDD">
              <w:rPr>
                <w:rFonts w:ascii="Verdana" w:hAnsi="Verdana" w:cs="Arial"/>
                <w:color w:val="000000" w:themeColor="text1"/>
                <w:lang w:val="es-ES"/>
              </w:rPr>
              <w:t>penales derivadas</w:t>
            </w:r>
            <w:proofErr w:type="gramEnd"/>
            <w:r w:rsidRPr="00A30FDD">
              <w:rPr>
                <w:rFonts w:ascii="Verdana" w:hAnsi="Verdana" w:cs="Arial"/>
                <w:color w:val="000000" w:themeColor="text1"/>
                <w:lang w:val="es-ES"/>
              </w:rPr>
              <w:t xml:space="preserve"> de la ejecución de estos contratos o convenios deben analizarse en el caso concreto. Las disparidades existentes entre la planeación adelantada por la entidad y el convenio o contrato suscrito, así como las potenciales consecuencias derivadas de estas, deben examinarse en el marco del negocio o acuerdo concreto, con el fin de determinar si generan una controversia sobre la ejecución del instrumento o si dan lugar a responsabilidad a la luz del régimen de control fiscal o disciplinario. Frente al primer supuesto, serán aplicables los mecanismos que al respecto estipulen el convenio, el contrato o la normativa del organismo; frente al segundo, la aplicación de la normativa del organismo internacional se refiere exclusivamente al régimen contractual, de modo que no excluye el ejercicio de las funciones que tienen los entes de control del Estado colombiano.</w:t>
            </w:r>
          </w:p>
          <w:p w14:paraId="79981043" w14:textId="7E52A024" w:rsidR="00715C87" w:rsidRPr="00A30FDD" w:rsidRDefault="00715C87" w:rsidP="00A8055E">
            <w:pPr>
              <w:spacing w:before="120" w:line="276" w:lineRule="auto"/>
              <w:ind w:firstLine="738"/>
              <w:jc w:val="both"/>
              <w:rPr>
                <w:rFonts w:ascii="Verdana" w:hAnsi="Verdana" w:cs="Arial"/>
                <w:color w:val="000000" w:themeColor="text1"/>
                <w:lang w:val="es-ES"/>
              </w:rPr>
            </w:pPr>
            <w:r w:rsidRPr="00A30FDD">
              <w:rPr>
                <w:rFonts w:ascii="Verdana" w:hAnsi="Verdana" w:cs="Arial"/>
                <w:color w:val="000000" w:themeColor="text1"/>
                <w:lang w:val="es-ES"/>
              </w:rPr>
              <w:lastRenderedPageBreak/>
              <w:t>En efecto, el parágrafo 3 del artículo 20 de la Ley 1150 de 2007 prevé expresamente que las contralorías ejercerán el control fiscal sobre los proyectos y contratos celebrados con organismos multilaterales, y que las entidades estatales tendrán la obligación de reportar la información a los organismos de control y al SECOP relativa a la ejecución de los contratos a los que se refiere dicho artículo. A su vez, el artículo 267 de la Constitución Política, modificado por el Acto Legislativo 04 de 2019, establece que la vigilancia y el control fiscal incluyen el seguimiento permanente al recurso público, sin oponibilidad de reserva legal para el acceso a la información por parte de los órganos de control fiscal. El elemento que activa el control fiscal es la naturaleza pública de los recursos, no la naturaleza jurídica del sujeto que los administra; de igual forma, la Procuraduría General de la Nación conserva íntegramente su potestad disciplinaria sobre los funcionarios de la entidad estatal colombiana, quienes responden por el cumplimiento de sus deberes funcionales con independencia del régimen jurídico que rija el instrumento que suscriben o supervisan.</w:t>
            </w:r>
          </w:p>
          <w:p w14:paraId="7E849530" w14:textId="77777777" w:rsidR="00715C87" w:rsidRPr="00A30FDD" w:rsidRDefault="00715C87" w:rsidP="00715C87">
            <w:pPr>
              <w:spacing w:before="120" w:line="276" w:lineRule="auto"/>
              <w:jc w:val="both"/>
              <w:rPr>
                <w:rFonts w:ascii="Verdana" w:hAnsi="Verdana" w:cs="Arial"/>
                <w:color w:val="000000" w:themeColor="text1"/>
                <w:lang w:val="es-ES"/>
              </w:rPr>
            </w:pPr>
            <w:r w:rsidRPr="00A30FDD">
              <w:rPr>
                <w:rFonts w:ascii="Verdana" w:hAnsi="Verdana" w:cs="Arial"/>
                <w:color w:val="000000" w:themeColor="text1"/>
                <w:lang w:val="es-ES"/>
              </w:rPr>
              <w:t xml:space="preserve">v) Cuando el convenio o contrato se rige por los reglamentos del organismo internacional, la figura de la supervisión en el sentido estricto del artículo 83 de la Ley 1474 de 2011 no resulta aplicable, pues las potestades propias de esa figura son trasladables únicamente a los negocios jurídicos regidos por el EGCAP. Sin embargo, ello no significa que la entidad carezca de mecanismos de seguimiento para establecer el nivel de cumplimiento. Como parte del convenio o contrato, y en el marco de su carácter convencional, la entidad estatal conserva la facultad, y la obligación institucional derivada de su deber de gestión de los recursos públicos comprometidos, de hacer seguimiento a la ejecución del instrumento; seguimiento que se ejerce como expresión natural del vínculo convencional conforme a los mecanismos previstos en el propio convenio o contrato y los reglamentos del organismo, gozando de mayor autonomía para definir cómo lo ejerce. El suministro de información para verificar el grado de cumplimiento es una obligación que se desprende directamente del principio de buena fe en la ejecución de los contratos, de modo que la parte obligada a ejecutar las prestaciones convenidas no puede sustraerse razonablemente de proporcionar a su contraparte la información necesaria para verificar el estado de esa ejecución, salvo que se trate de </w:t>
            </w:r>
            <w:r w:rsidRPr="00A30FDD">
              <w:rPr>
                <w:rFonts w:ascii="Verdana" w:hAnsi="Verdana" w:cs="Arial"/>
                <w:color w:val="000000" w:themeColor="text1"/>
                <w:lang w:val="es-ES"/>
              </w:rPr>
              <w:lastRenderedPageBreak/>
              <w:t>información sensible, confidencial o sujeta a reserva en virtud de los reglamentos propios del organismo.</w:t>
            </w:r>
          </w:p>
          <w:p w14:paraId="3F5C61A0" w14:textId="25A59BD2" w:rsidR="00715C87" w:rsidRPr="00715C87" w:rsidRDefault="00715C87" w:rsidP="00A8055E">
            <w:pPr>
              <w:spacing w:before="120" w:line="276" w:lineRule="auto"/>
              <w:ind w:firstLine="738"/>
              <w:jc w:val="both"/>
              <w:rPr>
                <w:rFonts w:ascii="Verdana" w:hAnsi="Verdana" w:cs="Arial"/>
                <w:color w:val="000000" w:themeColor="text1"/>
                <w:lang w:val="es-ES"/>
              </w:rPr>
            </w:pPr>
            <w:r w:rsidRPr="00715C87">
              <w:rPr>
                <w:rFonts w:ascii="Verdana" w:hAnsi="Verdana" w:cs="Arial"/>
                <w:color w:val="000000" w:themeColor="text1"/>
                <w:lang w:val="es-ES"/>
              </w:rPr>
              <w:t>Las inmunidades reconocidas a los organismos internacionales no eliminan per se el contenido obligacional del convenio ni pueden entenderse como una habilitación que ampare conductas arbitrarias lesivas de derechos consagrados en el ordenamiento interno, conforme lo estableció la Corte Constitucional en la Sentencia T-883 de 2005. No obstante, es importante aclarar que el hecho de que el incumplimiento de la obligación de suministrar información o del principio de buena fe contractual pueda ser evidenciado fácticamente no implica que la inmunidad de jurisdicción no sea aplicable según el caso concreto, de modo que esta última puede llegar a impedir la determinación de responsabilidad en el contexto judicial nacional. En consecuencia, será fundamental pactar mecanismos de resolución de controversias y obligaciones claras frente al suministro de información, su alcance y las potenciales consecuencias de su incumplimiento, desde la negociación del convenio o contrato, con el fin de prevenir que la entidad quede en una posición de debilidad jurídica ante el incumplimiento del organismo internacional.</w:t>
            </w:r>
          </w:p>
          <w:p w14:paraId="7F15BD16" w14:textId="0A96C51F" w:rsidR="00715C87" w:rsidRDefault="00D951BD" w:rsidP="00715C87">
            <w:pPr>
              <w:spacing w:before="120" w:line="276" w:lineRule="auto"/>
              <w:jc w:val="both"/>
              <w:rPr>
                <w:rFonts w:ascii="Verdana" w:hAnsi="Verdana" w:cs="Arial"/>
                <w:color w:val="000000" w:themeColor="text1"/>
                <w:lang w:val="es-ES"/>
              </w:rPr>
            </w:pPr>
            <w:r>
              <w:rPr>
                <w:rFonts w:ascii="Verdana" w:hAnsi="Verdana" w:cs="Arial"/>
                <w:color w:val="000000" w:themeColor="text1"/>
                <w:lang w:val="es-ES"/>
              </w:rPr>
              <w:t xml:space="preserve">vi) </w:t>
            </w:r>
            <w:r w:rsidR="00715C87" w:rsidRPr="00A30FDD">
              <w:rPr>
                <w:rFonts w:ascii="Verdana" w:hAnsi="Verdana" w:cs="Arial"/>
                <w:color w:val="000000" w:themeColor="text1"/>
                <w:lang w:val="es-ES"/>
              </w:rPr>
              <w:t>La Agencia Nacional de Contratación Pública – Colombia Compra Eficiente se ha pronunciado sobre la contratación con organismos internacionales en diversos conceptos que se enuncian al final de este oficio y los cuales se encuentran disponibles para consulta en el Sistema de Relatoría de la Agencia. De igual forma, este concepto resalta el pronunciamiento del Consejo de Estado sobre el alcance del régimen aplicable a estos instrumentos en la sentencia del 12 de junio de 2014, Exp. 28.279, la sentencia del 26 de noviembre de 2015, Exp. 54.069, y el concepto de la Sala de Consulta y Servicio Civil del 25 de septiembre de 2018, radicado 11001-03-06-000-2018-00129-00 (2389), en los cuales precisó que cuando las partes optan por los reglamentos del organismo internacional, la remisión es integral y abarca todo lo referente al procedimiento de selección, la celebración y la ejecución contractual, aunque la normativa presupuestal colombiana permanece vigente.</w:t>
            </w:r>
          </w:p>
          <w:p w14:paraId="514FEF0E" w14:textId="77777777" w:rsidR="00FD73F3" w:rsidRPr="00A30FDD" w:rsidRDefault="00FD73F3" w:rsidP="00FD73F3">
            <w:pPr>
              <w:spacing w:before="120" w:after="120" w:line="276" w:lineRule="auto"/>
              <w:ind w:firstLine="708"/>
              <w:jc w:val="both"/>
              <w:rPr>
                <w:rFonts w:ascii="Verdana" w:hAnsi="Verdana" w:cs="Arial"/>
                <w:color w:val="000000" w:themeColor="text1"/>
                <w:lang w:val="es-ES"/>
              </w:rPr>
            </w:pPr>
            <w:r w:rsidRPr="00A30FDD">
              <w:rPr>
                <w:rFonts w:ascii="Verdana" w:hAnsi="Verdana" w:cs="Arial"/>
                <w:color w:val="000000" w:themeColor="text1"/>
                <w:lang w:val="es-ES"/>
              </w:rPr>
              <w:t xml:space="preserve">Al margen de la </w:t>
            </w:r>
            <w:proofErr w:type="spellStart"/>
            <w:r w:rsidRPr="00A30FDD">
              <w:rPr>
                <w:rFonts w:ascii="Verdana" w:hAnsi="Verdana" w:cs="Arial"/>
                <w:color w:val="000000" w:themeColor="text1"/>
                <w:lang w:val="es-ES"/>
              </w:rPr>
              <w:t>explicación</w:t>
            </w:r>
            <w:proofErr w:type="spellEnd"/>
            <w:r w:rsidRPr="00A30FDD">
              <w:rPr>
                <w:rFonts w:ascii="Verdana" w:hAnsi="Verdana" w:cs="Arial"/>
                <w:color w:val="000000" w:themeColor="text1"/>
                <w:lang w:val="es-ES"/>
              </w:rPr>
              <w:t xml:space="preserve"> precedente debe advertirse que el análisis requerido para resolver problemas </w:t>
            </w:r>
            <w:proofErr w:type="spellStart"/>
            <w:r w:rsidRPr="00A30FDD">
              <w:rPr>
                <w:rFonts w:ascii="Verdana" w:hAnsi="Verdana" w:cs="Arial"/>
                <w:color w:val="000000" w:themeColor="text1"/>
                <w:lang w:val="es-ES"/>
              </w:rPr>
              <w:t>específicos</w:t>
            </w:r>
            <w:proofErr w:type="spellEnd"/>
            <w:r w:rsidRPr="00A30FDD">
              <w:rPr>
                <w:rFonts w:ascii="Verdana" w:hAnsi="Verdana" w:cs="Arial"/>
                <w:color w:val="000000" w:themeColor="text1"/>
                <w:lang w:val="es-ES"/>
              </w:rPr>
              <w:t xml:space="preserve"> en torno a la </w:t>
            </w:r>
            <w:proofErr w:type="spellStart"/>
            <w:r w:rsidRPr="00A30FDD">
              <w:rPr>
                <w:rFonts w:ascii="Verdana" w:hAnsi="Verdana" w:cs="Arial"/>
                <w:color w:val="000000" w:themeColor="text1"/>
                <w:lang w:val="es-ES"/>
              </w:rPr>
              <w:t>gestión</w:t>
            </w:r>
            <w:proofErr w:type="spellEnd"/>
            <w:r w:rsidRPr="00A30FDD">
              <w:rPr>
                <w:rFonts w:ascii="Verdana" w:hAnsi="Verdana" w:cs="Arial"/>
                <w:color w:val="000000" w:themeColor="text1"/>
                <w:lang w:val="es-ES"/>
              </w:rPr>
              <w:t xml:space="preserve"> contractual debe ser realizado por quienes tengan </w:t>
            </w:r>
            <w:proofErr w:type="spellStart"/>
            <w:r w:rsidRPr="00A30FDD">
              <w:rPr>
                <w:rFonts w:ascii="Verdana" w:hAnsi="Verdana" w:cs="Arial"/>
                <w:color w:val="000000" w:themeColor="text1"/>
                <w:lang w:val="es-ES"/>
              </w:rPr>
              <w:t>interés</w:t>
            </w:r>
            <w:proofErr w:type="spellEnd"/>
            <w:r w:rsidRPr="00A30FDD">
              <w:rPr>
                <w:rFonts w:ascii="Verdana" w:hAnsi="Verdana" w:cs="Arial"/>
                <w:color w:val="000000" w:themeColor="text1"/>
                <w:lang w:val="es-ES"/>
              </w:rPr>
              <w:t xml:space="preserve"> en ello, de acuerdo con lo </w:t>
            </w:r>
            <w:r w:rsidRPr="00A30FDD">
              <w:rPr>
                <w:rFonts w:ascii="Verdana" w:hAnsi="Verdana" w:cs="Arial"/>
                <w:color w:val="000000" w:themeColor="text1"/>
                <w:lang w:val="es-ES"/>
              </w:rPr>
              <w:lastRenderedPageBreak/>
              <w:t xml:space="preserve">explicado la aclaración preliminar del presente oficio. De esta manera, las afirmaciones aquí realizadas no pueden ser interpretadas como juicios de valor sobre circunstancias concretas relacionadas con los hechos que motivan la consulta. Por lo anterior, previo concepto de sus asesores, la solución de situaciones particulares corresponde a los interesados </w:t>
            </w:r>
            <w:r>
              <w:rPr>
                <w:rFonts w:ascii="Verdana" w:hAnsi="Verdana" w:cs="Arial"/>
                <w:color w:val="000000" w:themeColor="text1"/>
                <w:lang w:val="es-ES"/>
              </w:rPr>
              <w:t xml:space="preserve">en </w:t>
            </w:r>
            <w:r w:rsidRPr="00A30FDD">
              <w:rPr>
                <w:rFonts w:ascii="Verdana" w:hAnsi="Verdana" w:cs="Arial"/>
                <w:color w:val="000000" w:themeColor="text1"/>
                <w:lang w:val="es-ES"/>
              </w:rPr>
              <w:t xml:space="preserve">adoptar la decisión correspondiente y, en caso de conflicto, a las autoridades judiciales, fiscales y disciplinarias. </w:t>
            </w:r>
          </w:p>
          <w:p w14:paraId="37685065" w14:textId="02A2CD84" w:rsidR="00AE688E" w:rsidRPr="00714522" w:rsidRDefault="00714522" w:rsidP="00714522">
            <w:pPr>
              <w:spacing w:before="120" w:after="120" w:line="276" w:lineRule="auto"/>
              <w:ind w:firstLine="709"/>
              <w:jc w:val="both"/>
              <w:rPr>
                <w:rFonts w:ascii="Verdana" w:eastAsia="Calibri" w:hAnsi="Verdana" w:cs="Arial"/>
                <w:color w:val="000000"/>
                <w:lang w:val="es-ES" w:eastAsia="es-ES"/>
              </w:rPr>
            </w:pPr>
            <w:r w:rsidRPr="00A30FDD">
              <w:rPr>
                <w:rFonts w:ascii="Verdana" w:eastAsia="Calibri" w:hAnsi="Verdana" w:cs="Arial"/>
                <w:color w:val="000000"/>
                <w:lang w:val="es-ES" w:eastAsia="es-ES"/>
              </w:rPr>
              <w:t xml:space="preserve">En cualquier caso, se resalta que esta Agencia no es competente para pronunciarse sobre el alcance o aplicación de las facultades que ejercen los entes de control, de modo que las preguntas que surgen sobre este tema, como es el caso de aquellas sobre el desarrollo de auditorías, visitas administrativas o requerimientos efectuados por estas entidades, así como el alcance de las inmunidades con respecto a las facultades de inspección, vigilancia y control, y las consecuencias del incumplimiento a los requerimientos que realicen, deberán ser </w:t>
            </w:r>
            <w:r>
              <w:rPr>
                <w:rFonts w:ascii="Verdana" w:eastAsia="Calibri" w:hAnsi="Verdana" w:cs="Arial"/>
                <w:color w:val="000000"/>
                <w:lang w:val="es-ES" w:eastAsia="es-ES"/>
              </w:rPr>
              <w:t xml:space="preserve">dirigidas </w:t>
            </w:r>
            <w:r w:rsidRPr="00A30FDD">
              <w:rPr>
                <w:rFonts w:ascii="Verdana" w:eastAsia="Calibri" w:hAnsi="Verdana" w:cs="Arial"/>
                <w:color w:val="000000"/>
                <w:lang w:val="es-ES" w:eastAsia="es-ES"/>
              </w:rPr>
              <w:t xml:space="preserve">a las entidades competentes para ello. </w:t>
            </w:r>
          </w:p>
        </w:tc>
      </w:tr>
    </w:tbl>
    <w:p w14:paraId="512E9D9E" w14:textId="77777777" w:rsidR="00226C73" w:rsidRPr="00A30FDD" w:rsidRDefault="00226C73" w:rsidP="00226C73">
      <w:pPr>
        <w:tabs>
          <w:tab w:val="left" w:pos="142"/>
          <w:tab w:val="left" w:pos="284"/>
        </w:tabs>
        <w:spacing w:after="0" w:line="276" w:lineRule="auto"/>
        <w:jc w:val="both"/>
        <w:rPr>
          <w:rFonts w:ascii="Verdana" w:eastAsia="Century Gothic" w:hAnsi="Verdana" w:cs="Century Gothic"/>
          <w:b/>
          <w:bCs/>
          <w:color w:val="000000" w:themeColor="text1"/>
          <w:lang w:val="es-ES"/>
        </w:rPr>
      </w:pPr>
    </w:p>
    <w:p w14:paraId="0461A2E6" w14:textId="77777777" w:rsidR="00226C73" w:rsidRPr="00A30FDD" w:rsidRDefault="00226C73" w:rsidP="00226C73">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A30FDD">
        <w:rPr>
          <w:rFonts w:ascii="Verdana" w:eastAsia="Century Gothic" w:hAnsi="Verdana" w:cs="Century Gothic"/>
          <w:b/>
          <w:bCs/>
          <w:color w:val="000000" w:themeColor="text1"/>
        </w:rPr>
        <w:t>Razones de la respuesta:</w:t>
      </w:r>
    </w:p>
    <w:p w14:paraId="30B305A2" w14:textId="77777777" w:rsidR="00226C73" w:rsidRPr="00A30FDD" w:rsidRDefault="00226C73" w:rsidP="00226C73">
      <w:pPr>
        <w:spacing w:after="0" w:line="276" w:lineRule="auto"/>
        <w:jc w:val="both"/>
        <w:rPr>
          <w:rFonts w:ascii="Verdana" w:eastAsia="Calibri" w:hAnsi="Verdana" w:cs="Arial"/>
          <w:color w:val="000000" w:themeColor="text1"/>
          <w:lang w:val="es-ES"/>
        </w:rPr>
      </w:pPr>
    </w:p>
    <w:p w14:paraId="5EEBD48B" w14:textId="77777777" w:rsidR="00226C73" w:rsidRPr="00A30FDD" w:rsidRDefault="00226C73" w:rsidP="00226C73">
      <w:pPr>
        <w:spacing w:after="0" w:line="276" w:lineRule="auto"/>
        <w:jc w:val="both"/>
        <w:rPr>
          <w:rFonts w:ascii="Verdana" w:eastAsia="Calibri" w:hAnsi="Verdana" w:cs="Arial"/>
          <w:color w:val="000000" w:themeColor="text1"/>
          <w:lang w:val="es-ES"/>
        </w:rPr>
      </w:pPr>
      <w:r w:rsidRPr="00A30FDD">
        <w:rPr>
          <w:rFonts w:ascii="Verdana" w:eastAsia="Calibri" w:hAnsi="Verdana" w:cs="Arial"/>
          <w:color w:val="000000" w:themeColor="text1"/>
          <w:lang w:val="es-ES"/>
        </w:rPr>
        <w:t xml:space="preserve">Lo anterior se sustenta en las siguientes consideraciones: </w:t>
      </w:r>
    </w:p>
    <w:p w14:paraId="70427B1D" w14:textId="77777777" w:rsidR="000C1FAA" w:rsidRPr="00A30FDD" w:rsidRDefault="000C1FAA" w:rsidP="00226C73">
      <w:pPr>
        <w:spacing w:after="0" w:line="276" w:lineRule="auto"/>
        <w:jc w:val="both"/>
        <w:rPr>
          <w:rFonts w:ascii="Verdana" w:eastAsia="Calibri" w:hAnsi="Verdana" w:cs="Arial"/>
          <w:color w:val="000000" w:themeColor="text1"/>
          <w:lang w:val="es-ES"/>
        </w:rPr>
      </w:pPr>
    </w:p>
    <w:p w14:paraId="2C4C3C27" w14:textId="26925663" w:rsidR="003F2740" w:rsidRPr="00A30FDD" w:rsidRDefault="00A84D8C" w:rsidP="00E030A2">
      <w:pPr>
        <w:spacing w:after="120" w:line="276" w:lineRule="auto"/>
        <w:jc w:val="both"/>
        <w:rPr>
          <w:rFonts w:ascii="Verdana" w:hAnsi="Verdana" w:cs="Arial"/>
          <w:lang w:val="es-ES"/>
        </w:rPr>
      </w:pPr>
      <w:bookmarkStart w:id="2" w:name="_Hlk99449041"/>
      <w:bookmarkStart w:id="3" w:name="_Hlk99449078"/>
      <w:r w:rsidRPr="00A30FDD">
        <w:rPr>
          <w:rFonts w:ascii="Verdana" w:eastAsia="Calibri" w:hAnsi="Verdana" w:cs="Arial"/>
          <w:lang w:val="es-ES"/>
        </w:rPr>
        <w:t xml:space="preserve">i) </w:t>
      </w:r>
      <w:r w:rsidR="00854880" w:rsidRPr="00A30FDD">
        <w:rPr>
          <w:rFonts w:ascii="Verdana" w:eastAsia="Calibri" w:hAnsi="Verdana" w:cs="Arial"/>
          <w:lang w:val="es-ES"/>
        </w:rPr>
        <w:t xml:space="preserve">El artículo 13 de la Ley 80 de 1993 </w:t>
      </w:r>
      <w:r w:rsidR="002378CD" w:rsidRPr="00A30FDD">
        <w:rPr>
          <w:rFonts w:ascii="Verdana" w:eastAsia="Calibri" w:hAnsi="Verdana" w:cs="Arial"/>
          <w:lang w:val="es-ES"/>
        </w:rPr>
        <w:t xml:space="preserve">establece la normatividad </w:t>
      </w:r>
      <w:r w:rsidR="00854880" w:rsidRPr="00A30FDD">
        <w:rPr>
          <w:rFonts w:ascii="Verdana" w:eastAsia="Calibri" w:hAnsi="Verdana" w:cs="Arial"/>
          <w:lang w:val="es-ES"/>
        </w:rPr>
        <w:t>aplicable a los contratos que celebren las entidades referidas en el artículo segundo del estatuto</w:t>
      </w:r>
      <w:r w:rsidR="002378CD" w:rsidRPr="00A30FDD">
        <w:rPr>
          <w:rFonts w:ascii="Verdana" w:eastAsia="Calibri" w:hAnsi="Verdana" w:cs="Arial"/>
          <w:lang w:val="es-ES"/>
        </w:rPr>
        <w:t>. C</w:t>
      </w:r>
      <w:r w:rsidR="00854880" w:rsidRPr="00A30FDD">
        <w:rPr>
          <w:rFonts w:ascii="Verdana" w:eastAsia="Calibri" w:hAnsi="Verdana" w:cs="Arial"/>
          <w:lang w:val="es-ES"/>
        </w:rPr>
        <w:t xml:space="preserve">omo primer criterio, </w:t>
      </w:r>
      <w:r w:rsidR="002378CD" w:rsidRPr="00A30FDD">
        <w:rPr>
          <w:rFonts w:ascii="Verdana" w:eastAsia="Calibri" w:hAnsi="Verdana" w:cs="Arial"/>
          <w:lang w:val="es-ES"/>
        </w:rPr>
        <w:t xml:space="preserve">determina que los contratos que celebren se regirán por las </w:t>
      </w:r>
      <w:r w:rsidR="00854880" w:rsidRPr="00A30FDD">
        <w:rPr>
          <w:rFonts w:ascii="Verdana" w:eastAsia="Calibri" w:hAnsi="Verdana" w:cs="Arial"/>
          <w:lang w:val="es-ES"/>
        </w:rPr>
        <w:t>disposiciones civiles y comerciales nacionales, sin perjuicio de la aplicación prevalente de las contenidas en el Estatuto General de Contratación de la Administración Pública</w:t>
      </w:r>
      <w:r w:rsidR="003F2740" w:rsidRPr="00A30FDD">
        <w:rPr>
          <w:rFonts w:ascii="Verdana" w:eastAsia="Calibri" w:hAnsi="Verdana" w:cs="Arial"/>
          <w:lang w:val="es-ES"/>
        </w:rPr>
        <w:t xml:space="preserve"> –en adelante EGCAP–</w:t>
      </w:r>
      <w:r w:rsidR="00854880" w:rsidRPr="00A30FDD">
        <w:rPr>
          <w:rFonts w:ascii="Verdana" w:hAnsi="Verdana" w:cs="Arial"/>
          <w:vertAlign w:val="superscript"/>
          <w:lang w:val="es-ES"/>
        </w:rPr>
        <w:footnoteReference w:id="2"/>
      </w:r>
      <w:r w:rsidR="00854880" w:rsidRPr="00A30FDD">
        <w:rPr>
          <w:rFonts w:ascii="Verdana" w:eastAsia="Calibri" w:hAnsi="Verdana" w:cs="Arial"/>
          <w:lang w:val="es-ES"/>
        </w:rPr>
        <w:t xml:space="preserve">. Sin embargo, </w:t>
      </w:r>
      <w:r w:rsidR="002378CD" w:rsidRPr="00A30FDD">
        <w:rPr>
          <w:rFonts w:ascii="Verdana" w:eastAsia="Calibri" w:hAnsi="Verdana" w:cs="Arial"/>
          <w:lang w:val="es-ES"/>
        </w:rPr>
        <w:t xml:space="preserve">el segundo inciso permite que los </w:t>
      </w:r>
      <w:r w:rsidR="00854880" w:rsidRPr="00A30FDD">
        <w:rPr>
          <w:rFonts w:ascii="Verdana" w:eastAsia="Calibri" w:hAnsi="Verdana" w:cs="Arial"/>
          <w:lang w:val="es-ES"/>
        </w:rPr>
        <w:t>contratos celebrados en el exterior</w:t>
      </w:r>
      <w:r w:rsidR="002378CD" w:rsidRPr="00A30FDD">
        <w:rPr>
          <w:rFonts w:ascii="Verdana" w:eastAsia="Calibri" w:hAnsi="Verdana" w:cs="Arial"/>
          <w:lang w:val="es-ES"/>
        </w:rPr>
        <w:t xml:space="preserve"> se ejecuten </w:t>
      </w:r>
      <w:r w:rsidR="00854880" w:rsidRPr="00A30FDD">
        <w:rPr>
          <w:rFonts w:ascii="Verdana" w:eastAsia="Calibri" w:hAnsi="Verdana" w:cs="Arial"/>
          <w:lang w:val="es-ES"/>
        </w:rPr>
        <w:t xml:space="preserve">de conformidad con las normas del país donde se hayan suscrito, salvo que deban </w:t>
      </w:r>
      <w:r w:rsidR="00854880" w:rsidRPr="00A30FDD">
        <w:rPr>
          <w:rFonts w:ascii="Verdana" w:hAnsi="Verdana" w:cs="Arial"/>
          <w:lang w:val="es-ES"/>
        </w:rPr>
        <w:t>cumplirse en Colombia, caso en el que</w:t>
      </w:r>
      <w:r w:rsidR="002378CD" w:rsidRPr="00A30FDD">
        <w:rPr>
          <w:rFonts w:ascii="Verdana" w:hAnsi="Verdana" w:cs="Arial"/>
          <w:lang w:val="es-ES"/>
        </w:rPr>
        <w:t xml:space="preserve"> se regirán por lo </w:t>
      </w:r>
      <w:r w:rsidR="00854880" w:rsidRPr="00A30FDD">
        <w:rPr>
          <w:rFonts w:ascii="Verdana" w:hAnsi="Verdana" w:cs="Arial"/>
          <w:lang w:val="es-ES"/>
        </w:rPr>
        <w:t xml:space="preserve">señalado respecto al inciso primero. Por último, el inciso tercero permite que los contratos que se </w:t>
      </w:r>
      <w:r w:rsidR="00854880" w:rsidRPr="00A30FDD">
        <w:rPr>
          <w:rFonts w:ascii="Verdana" w:hAnsi="Verdana" w:cs="Arial"/>
          <w:lang w:val="es-ES"/>
        </w:rPr>
        <w:lastRenderedPageBreak/>
        <w:t xml:space="preserve">celebren en Colombia, pero deban ejecutarse o cumplirse en el extranjero, se sometan a la ley extranjera. </w:t>
      </w:r>
      <w:bookmarkEnd w:id="2"/>
      <w:bookmarkEnd w:id="3"/>
      <w:r w:rsidR="002378CD" w:rsidRPr="00A30FDD">
        <w:rPr>
          <w:rFonts w:ascii="Verdana" w:hAnsi="Verdana" w:cs="Arial"/>
          <w:lang w:val="es-ES"/>
        </w:rPr>
        <w:t xml:space="preserve">De esta manera, </w:t>
      </w:r>
      <w:r w:rsidR="00854880" w:rsidRPr="00A30FDD">
        <w:rPr>
          <w:rFonts w:ascii="Verdana" w:hAnsi="Verdana" w:cs="Arial"/>
          <w:lang w:val="es-ES"/>
        </w:rPr>
        <w:t>el artículo</w:t>
      </w:r>
      <w:r w:rsidR="002378CD" w:rsidRPr="00A30FDD">
        <w:rPr>
          <w:rFonts w:ascii="Verdana" w:hAnsi="Verdana" w:cs="Arial"/>
          <w:lang w:val="es-ES"/>
        </w:rPr>
        <w:t xml:space="preserve"> 13 </w:t>
      </w:r>
      <w:r w:rsidR="00854880" w:rsidRPr="00A30FDD">
        <w:rPr>
          <w:rFonts w:ascii="Verdana" w:hAnsi="Verdana" w:cs="Arial"/>
          <w:lang w:val="es-ES"/>
        </w:rPr>
        <w:t>permite que la</w:t>
      </w:r>
      <w:r w:rsidR="002378CD" w:rsidRPr="00A30FDD">
        <w:rPr>
          <w:rFonts w:ascii="Verdana" w:hAnsi="Verdana" w:cs="Arial"/>
          <w:lang w:val="es-ES"/>
        </w:rPr>
        <w:t>s</w:t>
      </w:r>
      <w:r w:rsidR="00854880" w:rsidRPr="00A30FDD">
        <w:rPr>
          <w:rFonts w:ascii="Verdana" w:hAnsi="Verdana" w:cs="Arial"/>
          <w:lang w:val="es-ES"/>
        </w:rPr>
        <w:t xml:space="preserve"> </w:t>
      </w:r>
      <w:r w:rsidR="002378CD" w:rsidRPr="00A30FDD">
        <w:rPr>
          <w:rFonts w:ascii="Verdana" w:hAnsi="Verdana" w:cs="Arial"/>
          <w:lang w:val="es-ES"/>
        </w:rPr>
        <w:t>E</w:t>
      </w:r>
      <w:r w:rsidR="00854880" w:rsidRPr="00A30FDD">
        <w:rPr>
          <w:rFonts w:ascii="Verdana" w:hAnsi="Verdana" w:cs="Arial"/>
          <w:lang w:val="es-ES"/>
        </w:rPr>
        <w:t xml:space="preserve">ntidades </w:t>
      </w:r>
      <w:r w:rsidR="002378CD" w:rsidRPr="00A30FDD">
        <w:rPr>
          <w:rFonts w:ascii="Verdana" w:hAnsi="Verdana" w:cs="Arial"/>
          <w:lang w:val="es-ES"/>
        </w:rPr>
        <w:t>E</w:t>
      </w:r>
      <w:r w:rsidR="00854880" w:rsidRPr="00A30FDD">
        <w:rPr>
          <w:rFonts w:ascii="Verdana" w:hAnsi="Verdana" w:cs="Arial"/>
          <w:lang w:val="es-ES"/>
        </w:rPr>
        <w:t>statales no se rijan siempre por la</w:t>
      </w:r>
      <w:r w:rsidR="00854880" w:rsidRPr="00A30FDD">
        <w:rPr>
          <w:rFonts w:ascii="Verdana" w:eastAsia="Calibri" w:hAnsi="Verdana" w:cs="Arial"/>
          <w:lang w:val="es-ES"/>
        </w:rPr>
        <w:t xml:space="preserve"> normativa colombiana</w:t>
      </w:r>
      <w:r w:rsidR="00E3767E" w:rsidRPr="00A30FDD">
        <w:rPr>
          <w:rFonts w:ascii="Verdana" w:eastAsia="Calibri" w:hAnsi="Verdana" w:cs="Arial"/>
          <w:lang w:val="es-ES"/>
        </w:rPr>
        <w:t xml:space="preserve"> y</w:t>
      </w:r>
      <w:r w:rsidR="00854880" w:rsidRPr="00A30FDD">
        <w:rPr>
          <w:rFonts w:ascii="Verdana" w:eastAsia="Calibri" w:hAnsi="Verdana" w:cs="Arial"/>
          <w:lang w:val="es-ES"/>
        </w:rPr>
        <w:t xml:space="preserve"> </w:t>
      </w:r>
      <w:r w:rsidR="002378CD" w:rsidRPr="00A30FDD">
        <w:rPr>
          <w:rFonts w:ascii="Verdana" w:eastAsia="Calibri" w:hAnsi="Verdana" w:cs="Arial"/>
          <w:lang w:val="es-ES"/>
        </w:rPr>
        <w:t>que puedan aplicar la ley extranjera en algunos casos</w:t>
      </w:r>
      <w:r w:rsidR="00854880" w:rsidRPr="00A30FDD">
        <w:rPr>
          <w:rFonts w:ascii="Verdana" w:eastAsia="Calibri" w:hAnsi="Verdana" w:cs="Arial"/>
          <w:lang w:val="es-ES"/>
        </w:rPr>
        <w:t xml:space="preserve">. </w:t>
      </w:r>
    </w:p>
    <w:p w14:paraId="37251DF2" w14:textId="1D3CB638" w:rsidR="00854880" w:rsidRPr="00A30FDD" w:rsidRDefault="00854880" w:rsidP="003F2740">
      <w:pPr>
        <w:spacing w:after="0" w:line="276" w:lineRule="auto"/>
        <w:ind w:firstLine="709"/>
        <w:jc w:val="both"/>
        <w:rPr>
          <w:rFonts w:ascii="Verdana" w:eastAsia="Calibri" w:hAnsi="Verdana" w:cs="Arial"/>
          <w:lang w:val="es-ES"/>
        </w:rPr>
      </w:pPr>
      <w:r w:rsidRPr="00A30FDD">
        <w:rPr>
          <w:rFonts w:ascii="Verdana" w:eastAsia="Calibri" w:hAnsi="Verdana" w:cs="Arial"/>
          <w:lang w:val="es-ES"/>
        </w:rPr>
        <w:t>Además de los supuestos anteriores, el Consejo de Estado explica los siguientes escenarios, en los cuales el régimen jurídico puede ser</w:t>
      </w:r>
      <w:r w:rsidR="003F2740" w:rsidRPr="00A30FDD">
        <w:rPr>
          <w:rFonts w:ascii="Verdana" w:eastAsia="Calibri" w:hAnsi="Verdana" w:cs="Arial"/>
          <w:lang w:val="es-ES"/>
        </w:rPr>
        <w:t xml:space="preserve"> diferente </w:t>
      </w:r>
      <w:r w:rsidRPr="00A30FDD">
        <w:rPr>
          <w:rFonts w:ascii="Verdana" w:eastAsia="Calibri" w:hAnsi="Verdana" w:cs="Arial"/>
          <w:lang w:val="es-ES"/>
        </w:rPr>
        <w:t>al derecho nacional, pese a tratarse de contratos sometidos, en principio, a la Ley 80 de 1993:</w:t>
      </w:r>
    </w:p>
    <w:p w14:paraId="25FAA329" w14:textId="77777777" w:rsidR="00854880" w:rsidRPr="00A30FDD" w:rsidRDefault="00854880" w:rsidP="00854880">
      <w:pPr>
        <w:snapToGrid w:val="0"/>
        <w:ind w:firstLine="709"/>
        <w:contextualSpacing/>
        <w:jc w:val="both"/>
        <w:rPr>
          <w:rFonts w:ascii="Verdana" w:eastAsia="Calibri" w:hAnsi="Verdana" w:cs="Arial"/>
          <w:lang w:val="es-ES"/>
        </w:rPr>
      </w:pPr>
    </w:p>
    <w:p w14:paraId="1B5211FF" w14:textId="77777777" w:rsidR="00854880" w:rsidRPr="00A30FDD" w:rsidRDefault="00854880" w:rsidP="00854880">
      <w:pPr>
        <w:spacing w:after="0" w:line="240" w:lineRule="auto"/>
        <w:ind w:left="709" w:right="709"/>
        <w:contextualSpacing/>
        <w:jc w:val="both"/>
        <w:rPr>
          <w:rFonts w:ascii="Verdana" w:eastAsia="MS Mincho" w:hAnsi="Verdana" w:cs="Arial"/>
          <w:sz w:val="21"/>
          <w:szCs w:val="21"/>
          <w:lang w:val="es-ES" w:eastAsia="es-ES"/>
        </w:rPr>
      </w:pPr>
      <w:r w:rsidRPr="00A30FDD">
        <w:rPr>
          <w:rFonts w:ascii="Verdana" w:eastAsia="MS Mincho" w:hAnsi="Verdana" w:cs="Arial"/>
          <w:sz w:val="21"/>
          <w:szCs w:val="21"/>
          <w:lang w:val="es-ES" w:eastAsia="es-ES"/>
        </w:rPr>
        <w:t xml:space="preserve">“i) Contratos celebrados en el exterior, los cuales se podrán regir en su ejecución por las reglas del país donde se ha suscrito, salvo cuando su cumplimiento deba hacerse en Colombia, caso en el cual se aplicará la legislación nacional, </w:t>
      </w:r>
      <w:proofErr w:type="spellStart"/>
      <w:r w:rsidRPr="00A30FDD">
        <w:rPr>
          <w:rFonts w:ascii="Verdana" w:eastAsia="MS Mincho" w:hAnsi="Verdana" w:cs="Arial"/>
          <w:sz w:val="21"/>
          <w:szCs w:val="21"/>
          <w:lang w:val="es-ES" w:eastAsia="es-ES"/>
        </w:rPr>
        <w:t>ii</w:t>
      </w:r>
      <w:proofErr w:type="spellEnd"/>
      <w:r w:rsidRPr="00A30FDD">
        <w:rPr>
          <w:rFonts w:ascii="Verdana" w:eastAsia="MS Mincho" w:hAnsi="Verdana" w:cs="Arial"/>
          <w:sz w:val="21"/>
          <w:szCs w:val="21"/>
          <w:lang w:val="es-ES" w:eastAsia="es-ES"/>
        </w:rPr>
        <w:t xml:space="preserve">) Contratos celebrados en territorio colombiano que deben ejecutarse o cumplirse en el extranjero, en tal caso podrá regirse bajo legislación foránea, salvo aquella parte que deba ejecutarse o cumplirse en Colombia, la cual se regirá por el derecho nacional, </w:t>
      </w:r>
      <w:proofErr w:type="spellStart"/>
      <w:r w:rsidRPr="00A30FDD">
        <w:rPr>
          <w:rFonts w:ascii="Verdana" w:eastAsia="MS Mincho" w:hAnsi="Verdana" w:cs="Arial"/>
          <w:sz w:val="21"/>
          <w:szCs w:val="21"/>
          <w:lang w:val="es-ES" w:eastAsia="es-ES"/>
        </w:rPr>
        <w:t>iii</w:t>
      </w:r>
      <w:proofErr w:type="spellEnd"/>
      <w:r w:rsidRPr="00A30FDD">
        <w:rPr>
          <w:rFonts w:ascii="Verdana" w:eastAsia="MS Mincho" w:hAnsi="Verdana" w:cs="Arial"/>
          <w:sz w:val="21"/>
          <w:szCs w:val="21"/>
          <w:lang w:val="es-ES" w:eastAsia="es-ES"/>
        </w:rPr>
        <w:t>) a) los contratos financiados con fondos de organismos multilaterales de crédito y b) aquellos celebrados con personas extranjeras de derecho público u organismos de cooperación, asistencia o ayudas internacionales, los cuales ‘podrán someterse a los reglamentos de tales entidades en todo lo relacionado con procedimientos de formación y adjudicación y cláusulas especiales de ejecución, cumplimiento, pagos y ajustes’”</w:t>
      </w:r>
      <w:r w:rsidRPr="00A30FDD">
        <w:rPr>
          <w:rFonts w:ascii="Verdana" w:hAnsi="Verdana" w:cs="Arial"/>
          <w:sz w:val="21"/>
          <w:szCs w:val="21"/>
          <w:vertAlign w:val="superscript"/>
          <w:lang w:val="es-ES"/>
        </w:rPr>
        <w:footnoteReference w:id="3"/>
      </w:r>
      <w:r w:rsidRPr="00A30FDD">
        <w:rPr>
          <w:rFonts w:ascii="Verdana" w:eastAsia="MS Mincho" w:hAnsi="Verdana" w:cs="Arial"/>
          <w:sz w:val="21"/>
          <w:szCs w:val="21"/>
          <w:lang w:val="es-ES" w:eastAsia="es-ES"/>
        </w:rPr>
        <w:t xml:space="preserve">. </w:t>
      </w:r>
    </w:p>
    <w:p w14:paraId="36891CA8" w14:textId="77777777" w:rsidR="00854880" w:rsidRPr="00A30FDD" w:rsidRDefault="00854880" w:rsidP="00854880">
      <w:pPr>
        <w:spacing w:before="120" w:after="0" w:line="240" w:lineRule="auto"/>
        <w:ind w:left="851" w:right="709"/>
        <w:contextualSpacing/>
        <w:rPr>
          <w:rFonts w:ascii="Verdana" w:eastAsia="Calibri" w:hAnsi="Verdana" w:cs="Arial"/>
          <w:lang w:val="es-ES"/>
        </w:rPr>
      </w:pPr>
    </w:p>
    <w:p w14:paraId="4D8DBDB4" w14:textId="7A305228" w:rsidR="00A94D0F" w:rsidRPr="00A30FDD" w:rsidRDefault="00854880" w:rsidP="00854880">
      <w:pPr>
        <w:spacing w:line="276" w:lineRule="auto"/>
        <w:ind w:firstLine="709"/>
        <w:jc w:val="both"/>
        <w:rPr>
          <w:rFonts w:ascii="Verdana" w:eastAsia="Calibri" w:hAnsi="Verdana" w:cs="Arial"/>
          <w:lang w:val="es-ES"/>
        </w:rPr>
      </w:pPr>
      <w:r w:rsidRPr="00A30FDD">
        <w:rPr>
          <w:rFonts w:ascii="Verdana" w:eastAsia="Calibri" w:hAnsi="Verdana" w:cs="Arial"/>
          <w:lang w:val="es-ES"/>
        </w:rPr>
        <w:t>La redacción original del artículo 13 de la Ley 80 de 1993 incluía un inciso cuarto en el que se regulaba el régimen aplicable a los contratos suscritos con organismos internacionales, estableciendo otros supuestos donde era posible aplicar un régimen distinto al</w:t>
      </w:r>
      <w:r w:rsidR="00E3767E" w:rsidRPr="00A30FDD">
        <w:rPr>
          <w:rFonts w:ascii="Verdana" w:eastAsia="Calibri" w:hAnsi="Verdana" w:cs="Arial"/>
          <w:lang w:val="es-ES"/>
        </w:rPr>
        <w:t xml:space="preserve"> del EGCAP</w:t>
      </w:r>
      <w:r w:rsidRPr="00A30FDD">
        <w:rPr>
          <w:rFonts w:ascii="Verdana" w:eastAsia="Calibri" w:hAnsi="Verdana" w:cs="Arial"/>
          <w:vertAlign w:val="superscript"/>
          <w:lang w:val="es-ES"/>
        </w:rPr>
        <w:footnoteReference w:id="4"/>
      </w:r>
      <w:r w:rsidRPr="00A30FDD">
        <w:rPr>
          <w:rFonts w:ascii="Verdana" w:eastAsia="Calibri" w:hAnsi="Verdana" w:cs="Arial"/>
          <w:lang w:val="es-ES"/>
        </w:rPr>
        <w:t xml:space="preserve">. Sin embargo, el artículo 20 de la Ley 1150 de 2007 modificó </w:t>
      </w:r>
      <w:r w:rsidR="00035253" w:rsidRPr="00A30FDD">
        <w:rPr>
          <w:rFonts w:ascii="Verdana" w:eastAsia="Calibri" w:hAnsi="Verdana" w:cs="Arial"/>
          <w:lang w:val="es-ES"/>
        </w:rPr>
        <w:t>dicho inciso y</w:t>
      </w:r>
      <w:r w:rsidR="00224B5D" w:rsidRPr="00A30FDD">
        <w:rPr>
          <w:rFonts w:ascii="Verdana" w:eastAsia="Calibri" w:hAnsi="Verdana" w:cs="Arial"/>
          <w:lang w:val="es-ES"/>
        </w:rPr>
        <w:t xml:space="preserve"> estableció las reglas que actualmente rigen </w:t>
      </w:r>
      <w:r w:rsidRPr="00A30FDD">
        <w:rPr>
          <w:rFonts w:ascii="Verdana" w:eastAsia="Calibri" w:hAnsi="Verdana" w:cs="Arial"/>
          <w:lang w:val="es-ES"/>
        </w:rPr>
        <w:t xml:space="preserve">los contratos o convenios suscritos con </w:t>
      </w:r>
      <w:r w:rsidRPr="00A30FDD">
        <w:rPr>
          <w:rFonts w:ascii="Verdana" w:eastAsia="Calibri" w:hAnsi="Verdana" w:cs="Arial"/>
          <w:i/>
          <w:iCs/>
          <w:lang w:val="es-ES"/>
        </w:rPr>
        <w:t>organismos internacionales</w:t>
      </w:r>
      <w:r w:rsidR="00A94D0F" w:rsidRPr="00A30FDD">
        <w:rPr>
          <w:rFonts w:ascii="Verdana" w:eastAsia="Calibri" w:hAnsi="Verdana" w:cs="Arial"/>
          <w:lang w:val="es-ES"/>
        </w:rPr>
        <w:t>.</w:t>
      </w:r>
    </w:p>
    <w:p w14:paraId="203EEEF5" w14:textId="05192C70" w:rsidR="00224B5D" w:rsidRPr="00A30FDD" w:rsidRDefault="00224B5D" w:rsidP="00E3767E">
      <w:pPr>
        <w:spacing w:before="120" w:after="120" w:line="276" w:lineRule="auto"/>
        <w:ind w:firstLine="709"/>
        <w:jc w:val="both"/>
        <w:rPr>
          <w:rFonts w:ascii="Verdana" w:hAnsi="Verdana" w:cs="Arial"/>
          <w:lang w:val="es-ES"/>
        </w:rPr>
      </w:pPr>
      <w:r w:rsidRPr="00A30FDD">
        <w:rPr>
          <w:rFonts w:ascii="Verdana" w:hAnsi="Verdana" w:cs="Arial"/>
          <w:lang w:val="es-ES"/>
        </w:rPr>
        <w:t xml:space="preserve">Frente al alcance de dicha disposición, es necesario aclarar que por </w:t>
      </w:r>
      <w:r w:rsidRPr="00A30FDD">
        <w:rPr>
          <w:rFonts w:ascii="Verdana" w:hAnsi="Verdana" w:cs="Arial"/>
          <w:i/>
          <w:iCs/>
          <w:lang w:val="es-ES"/>
        </w:rPr>
        <w:t>organismo internacional</w:t>
      </w:r>
      <w:r w:rsidRPr="00A30FDD">
        <w:rPr>
          <w:rFonts w:ascii="Verdana" w:hAnsi="Verdana" w:cs="Arial"/>
          <w:lang w:val="es-ES"/>
        </w:rPr>
        <w:t xml:space="preserve"> se entiende aquella organización, grupo o asociación que se extiende más allá de las fronteras de un Estado y cuenta con órganos gubernamentales permanentes distintos e independientes de los Estados </w:t>
      </w:r>
      <w:r w:rsidRPr="00A30FDD">
        <w:rPr>
          <w:rFonts w:ascii="Verdana" w:hAnsi="Verdana" w:cs="Arial"/>
          <w:lang w:val="es-ES"/>
        </w:rPr>
        <w:lastRenderedPageBreak/>
        <w:t>miembros de la organización que garantizan su vigencia y operatividad, con el propósito de cumplir objetivos comunes entre los Estados miembros</w:t>
      </w:r>
      <w:r w:rsidRPr="00A30FDD">
        <w:rPr>
          <w:rFonts w:ascii="Verdana" w:hAnsi="Verdana" w:cs="Arial"/>
          <w:vertAlign w:val="superscript"/>
          <w:lang w:val="es-ES"/>
        </w:rPr>
        <w:footnoteReference w:id="5"/>
      </w:r>
      <w:r w:rsidRPr="00A30FDD">
        <w:rPr>
          <w:rFonts w:ascii="Verdana" w:hAnsi="Verdana" w:cs="Arial"/>
          <w:lang w:val="es-ES"/>
        </w:rPr>
        <w:t xml:space="preserve">. Conforme a su naturaleza, los organismos internacionales están facultados para suscribir contratos o convenios con los Estados, lo que supone un incidente frente a la aplicabilidad de los regímenes tanto de los Estados contratantes como de los organismos en su celebración. </w:t>
      </w:r>
    </w:p>
    <w:p w14:paraId="0D1B2799" w14:textId="7869CC46" w:rsidR="00035253" w:rsidRPr="00A30FDD" w:rsidRDefault="00035253" w:rsidP="00035253">
      <w:pPr>
        <w:spacing w:before="120" w:after="120" w:line="276" w:lineRule="auto"/>
        <w:ind w:firstLine="709"/>
        <w:jc w:val="both"/>
        <w:rPr>
          <w:rFonts w:ascii="Verdana" w:hAnsi="Verdana" w:cs="Arial"/>
          <w:lang w:val="es-ES"/>
        </w:rPr>
      </w:pPr>
      <w:r w:rsidRPr="00A30FDD">
        <w:rPr>
          <w:rFonts w:ascii="Verdana" w:hAnsi="Verdana" w:cs="Arial"/>
          <w:lang w:val="es-ES"/>
        </w:rPr>
        <w:t xml:space="preserve">De esta manera, el artículo 20 de la Ley 1150 de 2007 </w:t>
      </w:r>
      <w:r w:rsidR="00690CB8" w:rsidRPr="00A30FDD">
        <w:rPr>
          <w:rFonts w:ascii="Verdana" w:hAnsi="Verdana" w:cs="Arial"/>
          <w:lang w:val="es-ES"/>
        </w:rPr>
        <w:t>estableció</w:t>
      </w:r>
      <w:r w:rsidRPr="00A30FDD">
        <w:rPr>
          <w:rFonts w:ascii="Verdana" w:hAnsi="Verdana" w:cs="Arial"/>
          <w:lang w:val="es-ES"/>
        </w:rPr>
        <w:t xml:space="preserve">́ el régimen aplicable a los contratos que celebren las Entidades Estatales con este tipo de organismos. En el </w:t>
      </w:r>
      <w:r w:rsidRPr="00A30FDD">
        <w:rPr>
          <w:rFonts w:ascii="Verdana" w:hAnsi="Verdana" w:cs="Arial"/>
          <w:i/>
          <w:iCs/>
          <w:lang w:val="es-ES"/>
        </w:rPr>
        <w:t>inciso primero</w:t>
      </w:r>
      <w:r w:rsidRPr="00A30FDD">
        <w:rPr>
          <w:rFonts w:ascii="Verdana" w:hAnsi="Verdana" w:cs="Arial"/>
          <w:lang w:val="es-ES"/>
        </w:rPr>
        <w:t xml:space="preserve">, el artículo dispone que el régimen aplicable podrá depender del porcentaje de </w:t>
      </w:r>
      <w:r w:rsidR="00690CB8" w:rsidRPr="00A30FDD">
        <w:rPr>
          <w:rFonts w:ascii="Verdana" w:hAnsi="Verdana" w:cs="Arial"/>
          <w:lang w:val="es-ES"/>
        </w:rPr>
        <w:t>participación</w:t>
      </w:r>
      <w:r w:rsidRPr="00A30FDD">
        <w:rPr>
          <w:rFonts w:ascii="Verdana" w:hAnsi="Verdana" w:cs="Arial"/>
          <w:lang w:val="es-ES"/>
        </w:rPr>
        <w:t xml:space="preserve"> que el organismo internacional tenga frente a la </w:t>
      </w:r>
      <w:r w:rsidR="00690CB8" w:rsidRPr="00A30FDD">
        <w:rPr>
          <w:rFonts w:ascii="Verdana" w:hAnsi="Verdana" w:cs="Arial"/>
          <w:i/>
          <w:iCs/>
          <w:lang w:val="es-ES"/>
        </w:rPr>
        <w:t>financiación</w:t>
      </w:r>
      <w:r w:rsidRPr="00A30FDD">
        <w:rPr>
          <w:rFonts w:ascii="Verdana" w:hAnsi="Verdana" w:cs="Arial"/>
          <w:i/>
          <w:iCs/>
          <w:lang w:val="es-ES"/>
        </w:rPr>
        <w:t xml:space="preserve"> </w:t>
      </w:r>
      <w:r w:rsidRPr="00A30FDD">
        <w:rPr>
          <w:rFonts w:ascii="Verdana" w:hAnsi="Verdana" w:cs="Arial"/>
          <w:lang w:val="es-ES"/>
        </w:rPr>
        <w:t xml:space="preserve">de los contratos. Así, el artículo 20 de la citada norma señala que cuando los </w:t>
      </w:r>
      <w:r w:rsidRPr="00A30FDD">
        <w:rPr>
          <w:rFonts w:ascii="Verdana" w:hAnsi="Verdana" w:cs="Arial"/>
          <w:i/>
          <w:iCs/>
          <w:lang w:val="es-ES"/>
        </w:rPr>
        <w:t xml:space="preserve">organismos de cooperación, asistencia o ayudas internacionales </w:t>
      </w:r>
      <w:r w:rsidRPr="00A30FDD">
        <w:rPr>
          <w:rFonts w:ascii="Verdana" w:hAnsi="Verdana" w:cs="Arial"/>
          <w:lang w:val="es-ES"/>
        </w:rPr>
        <w:t xml:space="preserve">financien los contratos o convenios en su totalidad o en sumas iguales o superiores al cincuenta por ciento (50%), la contratación </w:t>
      </w:r>
      <w:r w:rsidRPr="00A30FDD">
        <w:rPr>
          <w:rFonts w:ascii="Verdana" w:hAnsi="Verdana" w:cs="Arial"/>
          <w:i/>
          <w:iCs/>
          <w:lang w:val="es-ES"/>
        </w:rPr>
        <w:t xml:space="preserve">podrá </w:t>
      </w:r>
      <w:r w:rsidRPr="00A30FDD">
        <w:rPr>
          <w:rFonts w:ascii="Verdana" w:hAnsi="Verdana" w:cs="Arial"/>
          <w:lang w:val="es-ES"/>
        </w:rPr>
        <w:t xml:space="preserve">someterse a los reglamentos de tales entidades. En estos supuestos, la norma establece la potestad discrecional de elegir el régimen contractual aplicable, pues la literalidad del inciso señala que “podrán” someterse a los reglamentos de tales entidades. En caso contrario, cuando la entidad contratante determine o establezca que los aportes del organismo internacional son inferiores al porcentaje señalado, el contrato o convenio </w:t>
      </w:r>
      <w:r w:rsidRPr="00A30FDD">
        <w:rPr>
          <w:rFonts w:ascii="Verdana" w:hAnsi="Verdana" w:cs="Arial"/>
          <w:i/>
          <w:iCs/>
          <w:lang w:val="es-ES"/>
        </w:rPr>
        <w:t xml:space="preserve">debe </w:t>
      </w:r>
      <w:r w:rsidRPr="00A30FDD">
        <w:rPr>
          <w:rFonts w:ascii="Verdana" w:hAnsi="Verdana" w:cs="Arial"/>
          <w:lang w:val="es-ES"/>
        </w:rPr>
        <w:t xml:space="preserve">someterse al EGCAP. </w:t>
      </w:r>
    </w:p>
    <w:p w14:paraId="5DDF862B" w14:textId="46E65042" w:rsidR="00854880" w:rsidRPr="00A30FDD" w:rsidRDefault="00035253" w:rsidP="00035253">
      <w:pPr>
        <w:spacing w:after="120" w:line="276" w:lineRule="auto"/>
        <w:ind w:firstLine="709"/>
        <w:jc w:val="both"/>
        <w:rPr>
          <w:rFonts w:ascii="Verdana" w:eastAsia="Calibri" w:hAnsi="Verdana" w:cs="Arial"/>
          <w:lang w:val="es-ES"/>
        </w:rPr>
      </w:pPr>
      <w:r w:rsidRPr="00A30FDD">
        <w:rPr>
          <w:rFonts w:ascii="Verdana" w:eastAsia="Calibri" w:hAnsi="Verdana" w:cs="Arial"/>
          <w:lang w:val="es-ES"/>
        </w:rPr>
        <w:t xml:space="preserve">Conviene mencionar que dentro de la ejecución del contrato o convenio pueden presentarse situaciones en las que el porcentaje de los aportes sea modificado en virtud de una </w:t>
      </w:r>
      <w:r w:rsidR="00690CB8" w:rsidRPr="00A30FDD">
        <w:rPr>
          <w:rFonts w:ascii="Verdana" w:eastAsia="Calibri" w:hAnsi="Verdana" w:cs="Arial"/>
          <w:lang w:val="es-ES"/>
        </w:rPr>
        <w:t>adición</w:t>
      </w:r>
      <w:r w:rsidRPr="00A30FDD">
        <w:rPr>
          <w:rFonts w:ascii="Verdana" w:eastAsia="Calibri" w:hAnsi="Verdana" w:cs="Arial"/>
          <w:lang w:val="es-ES"/>
        </w:rPr>
        <w:t xml:space="preserve"> o por la no ejecución en los términos pactados. Previendo este escenario, el artículo 2.2.1.2.4.4.1 del Decreto 1082 de 2015 dispuso que se deberán modificar los contratos o convenios para que se rijan por las normas del sistema de compras y contratación pública si el aporte de recursos públicos es superior al cincuenta por ciento (50%) del total, por las normas internas del organismo de cooperación si el aporte es inferior </w:t>
      </w:r>
      <w:r w:rsidR="00854880" w:rsidRPr="00A30FDD">
        <w:rPr>
          <w:rFonts w:ascii="Verdana" w:eastAsia="Calibri" w:hAnsi="Verdana" w:cs="Arial"/>
          <w:vertAlign w:val="superscript"/>
          <w:lang w:val="es-ES"/>
        </w:rPr>
        <w:footnoteReference w:id="6"/>
      </w:r>
      <w:r w:rsidR="00854880" w:rsidRPr="00A30FDD">
        <w:rPr>
          <w:rFonts w:ascii="Verdana" w:eastAsia="Calibri" w:hAnsi="Verdana" w:cs="Arial"/>
          <w:lang w:val="es-ES"/>
        </w:rPr>
        <w:t xml:space="preserve">. Así las </w:t>
      </w:r>
      <w:r w:rsidR="00854880" w:rsidRPr="00A30FDD">
        <w:rPr>
          <w:rFonts w:ascii="Verdana" w:eastAsia="Calibri" w:hAnsi="Verdana" w:cs="Arial"/>
          <w:lang w:val="es-ES"/>
        </w:rPr>
        <w:lastRenderedPageBreak/>
        <w:t>cosas, la entidad contratante debe realizar un constante monitoreo respecto de los aportes de cada una de las partes para determinar si se debe realizar un ajuste frente al régimen aplicable, esto es, en relación con los contratos regulados en el inciso primero del artículo 20 de la Ley 1150 de 2007</w:t>
      </w:r>
      <w:r w:rsidR="00854880" w:rsidRPr="00A30FDD">
        <w:rPr>
          <w:rFonts w:ascii="Verdana" w:hAnsi="Verdana" w:cs="Arial"/>
          <w:lang w:val="es-ES"/>
        </w:rPr>
        <w:t xml:space="preserve">. </w:t>
      </w:r>
    </w:p>
    <w:p w14:paraId="632B19AD" w14:textId="519F592C" w:rsidR="00854880" w:rsidRPr="00A30FDD" w:rsidRDefault="005F4891" w:rsidP="00854880">
      <w:pPr>
        <w:spacing w:after="120" w:line="276" w:lineRule="auto"/>
        <w:ind w:firstLine="709"/>
        <w:jc w:val="both"/>
        <w:rPr>
          <w:rFonts w:ascii="Verdana" w:hAnsi="Verdana" w:cs="Arial"/>
          <w:lang w:val="es-ES"/>
        </w:rPr>
      </w:pPr>
      <w:r w:rsidRPr="00A30FDD">
        <w:rPr>
          <w:rFonts w:ascii="Verdana" w:hAnsi="Verdana" w:cs="Arial"/>
          <w:color w:val="000000"/>
          <w:shd w:val="clear" w:color="auto" w:fill="FFFFFF"/>
          <w:lang w:val="es-ES"/>
        </w:rPr>
        <w:t>Adicionalmente</w:t>
      </w:r>
      <w:r w:rsidR="00854880" w:rsidRPr="00A30FDD">
        <w:rPr>
          <w:rFonts w:ascii="Verdana" w:hAnsi="Verdana" w:cs="Arial"/>
          <w:color w:val="000000"/>
          <w:shd w:val="clear" w:color="auto" w:fill="FFFFFF"/>
          <w:lang w:val="es-ES"/>
        </w:rPr>
        <w:t xml:space="preserve">, los contratos o convenios suscritos con </w:t>
      </w:r>
      <w:r w:rsidR="00854880" w:rsidRPr="00A30FDD">
        <w:rPr>
          <w:rFonts w:ascii="Verdana" w:hAnsi="Verdana" w:cs="Arial"/>
          <w:i/>
          <w:iCs/>
          <w:color w:val="000000"/>
          <w:shd w:val="clear" w:color="auto" w:fill="FFFFFF"/>
          <w:lang w:val="es-ES"/>
        </w:rPr>
        <w:t>organismos de cooperación, asistencia o ayudas internacionales</w:t>
      </w:r>
      <w:r w:rsidR="00854880" w:rsidRPr="00A30FDD">
        <w:rPr>
          <w:rFonts w:ascii="Verdana" w:hAnsi="Verdana" w:cs="Arial"/>
          <w:color w:val="000000"/>
          <w:shd w:val="clear" w:color="auto" w:fill="FFFFFF"/>
          <w:lang w:val="es-ES"/>
        </w:rPr>
        <w:t xml:space="preserve"> pueden financiarse con aportes en sumas liquidas de dinero o en especie</w:t>
      </w:r>
      <w:r w:rsidR="00BB145E" w:rsidRPr="00A30FDD">
        <w:rPr>
          <w:rFonts w:ascii="Verdana" w:hAnsi="Verdana" w:cs="Arial"/>
          <w:color w:val="000000"/>
          <w:shd w:val="clear" w:color="auto" w:fill="FFFFFF"/>
          <w:lang w:val="es-ES"/>
        </w:rPr>
        <w:t>.</w:t>
      </w:r>
      <w:r w:rsidR="00854880" w:rsidRPr="00A30FDD">
        <w:rPr>
          <w:rFonts w:ascii="Verdana" w:hAnsi="Verdana" w:cs="Arial"/>
          <w:color w:val="000000"/>
          <w:shd w:val="clear" w:color="auto" w:fill="FFFFFF"/>
          <w:lang w:val="es-ES"/>
        </w:rPr>
        <w:t xml:space="preserve"> </w:t>
      </w:r>
      <w:r w:rsidR="00BB145E" w:rsidRPr="00A30FDD">
        <w:rPr>
          <w:rFonts w:ascii="Verdana" w:hAnsi="Verdana" w:cs="Arial"/>
          <w:color w:val="000000"/>
          <w:shd w:val="clear" w:color="auto" w:fill="FFFFFF"/>
          <w:lang w:val="es-ES"/>
        </w:rPr>
        <w:t xml:space="preserve">Esto, según lo establecido en </w:t>
      </w:r>
      <w:r w:rsidR="00854880" w:rsidRPr="00A30FDD">
        <w:rPr>
          <w:rFonts w:ascii="Verdana" w:hAnsi="Verdana" w:cs="Arial"/>
          <w:color w:val="000000"/>
          <w:shd w:val="clear" w:color="auto" w:fill="FFFFFF"/>
          <w:lang w:val="es-ES"/>
        </w:rPr>
        <w:t>el parágrafo 3 de la misma disposición</w:t>
      </w:r>
      <w:r w:rsidR="00BB145E" w:rsidRPr="00A30FDD">
        <w:rPr>
          <w:rFonts w:ascii="Verdana" w:hAnsi="Verdana" w:cs="Arial"/>
          <w:color w:val="000000"/>
          <w:shd w:val="clear" w:color="auto" w:fill="FFFFFF"/>
          <w:lang w:val="es-ES"/>
        </w:rPr>
        <w:t xml:space="preserve">, la cual </w:t>
      </w:r>
      <w:r w:rsidR="00854880" w:rsidRPr="00A30FDD">
        <w:rPr>
          <w:rFonts w:ascii="Verdana" w:hAnsi="Verdana" w:cs="Arial"/>
          <w:color w:val="000000"/>
          <w:shd w:val="clear" w:color="auto" w:fill="FFFFFF"/>
          <w:lang w:val="es-ES"/>
        </w:rPr>
        <w:t xml:space="preserve">establece la obligación de cuantificar en moneda colombiana los aportes en especie realizados por estos organismos. </w:t>
      </w:r>
    </w:p>
    <w:p w14:paraId="0784FDEF" w14:textId="472040F3" w:rsidR="00854880" w:rsidRPr="00A30FDD" w:rsidRDefault="00854880" w:rsidP="00854880">
      <w:pPr>
        <w:spacing w:before="120" w:after="0" w:line="276" w:lineRule="auto"/>
        <w:ind w:firstLine="709"/>
        <w:jc w:val="both"/>
        <w:rPr>
          <w:rFonts w:ascii="Verdana" w:eastAsia="Calibri" w:hAnsi="Verdana" w:cs="Arial"/>
          <w:lang w:val="es-ES"/>
        </w:rPr>
      </w:pPr>
      <w:r w:rsidRPr="00A30FDD">
        <w:rPr>
          <w:rFonts w:ascii="Verdana" w:eastAsia="Calibri" w:hAnsi="Verdana" w:cs="Arial"/>
          <w:lang w:val="es-ES"/>
        </w:rPr>
        <w:t>Por otro lado, la norma establece</w:t>
      </w:r>
      <w:r w:rsidR="00A337F0" w:rsidRPr="00A30FDD">
        <w:rPr>
          <w:rFonts w:ascii="Verdana" w:eastAsia="Calibri" w:hAnsi="Verdana" w:cs="Arial"/>
          <w:lang w:val="es-ES"/>
        </w:rPr>
        <w:t xml:space="preserve"> </w:t>
      </w:r>
      <w:r w:rsidR="00C9059A" w:rsidRPr="00A30FDD">
        <w:rPr>
          <w:rFonts w:ascii="Verdana" w:eastAsia="Calibri" w:hAnsi="Verdana" w:cs="Arial"/>
          <w:lang w:val="es-ES"/>
        </w:rPr>
        <w:t xml:space="preserve">criterios </w:t>
      </w:r>
      <w:r w:rsidRPr="00A30FDD">
        <w:rPr>
          <w:rFonts w:ascii="Verdana" w:eastAsia="Calibri" w:hAnsi="Verdana" w:cs="Arial"/>
          <w:lang w:val="es-ES"/>
        </w:rPr>
        <w:t>adicional</w:t>
      </w:r>
      <w:r w:rsidR="00C9059A" w:rsidRPr="00A30FDD">
        <w:rPr>
          <w:rFonts w:ascii="Verdana" w:eastAsia="Calibri" w:hAnsi="Verdana" w:cs="Arial"/>
          <w:lang w:val="es-ES"/>
        </w:rPr>
        <w:t>es</w:t>
      </w:r>
      <w:r w:rsidRPr="00A30FDD">
        <w:rPr>
          <w:rFonts w:ascii="Verdana" w:eastAsia="Calibri" w:hAnsi="Verdana" w:cs="Arial"/>
          <w:lang w:val="es-ES"/>
        </w:rPr>
        <w:t xml:space="preserve"> para determinar la posible aplicación de los reglamentos de los organismos internacionale</w:t>
      </w:r>
      <w:r w:rsidR="00C9059A" w:rsidRPr="00A30FDD">
        <w:rPr>
          <w:rFonts w:ascii="Verdana" w:eastAsia="Calibri" w:hAnsi="Verdana" w:cs="Arial"/>
          <w:lang w:val="es-ES"/>
        </w:rPr>
        <w:t xml:space="preserve">s. </w:t>
      </w:r>
      <w:r w:rsidR="00526C77" w:rsidRPr="00A30FDD">
        <w:rPr>
          <w:rFonts w:ascii="Verdana" w:eastAsia="Calibri" w:hAnsi="Verdana" w:cs="Arial"/>
          <w:lang w:val="es-ES"/>
        </w:rPr>
        <w:t xml:space="preserve">El </w:t>
      </w:r>
      <w:r w:rsidR="00526C77" w:rsidRPr="00A30FDD">
        <w:rPr>
          <w:rFonts w:ascii="Verdana" w:eastAsia="Calibri" w:hAnsi="Verdana" w:cs="Arial"/>
          <w:i/>
          <w:iCs/>
          <w:lang w:val="es-ES"/>
        </w:rPr>
        <w:t>inciso</w:t>
      </w:r>
      <w:r w:rsidR="00D35C51" w:rsidRPr="00A30FDD">
        <w:rPr>
          <w:rFonts w:ascii="Verdana" w:eastAsia="Calibri" w:hAnsi="Verdana" w:cs="Arial"/>
          <w:i/>
          <w:iCs/>
          <w:lang w:val="es-ES"/>
        </w:rPr>
        <w:t xml:space="preserve"> segundo</w:t>
      </w:r>
      <w:r w:rsidR="00526C77" w:rsidRPr="00A30FDD">
        <w:rPr>
          <w:rFonts w:ascii="Verdana" w:eastAsia="Calibri" w:hAnsi="Verdana" w:cs="Arial"/>
          <w:lang w:val="es-ES"/>
        </w:rPr>
        <w:t xml:space="preserve"> </w:t>
      </w:r>
      <w:r w:rsidR="00D35C51" w:rsidRPr="00A30FDD">
        <w:rPr>
          <w:rFonts w:ascii="Verdana" w:eastAsia="Calibri" w:hAnsi="Verdana" w:cs="Arial"/>
          <w:lang w:val="es-ES"/>
        </w:rPr>
        <w:t xml:space="preserve">determinó </w:t>
      </w:r>
      <w:r w:rsidR="00526C77" w:rsidRPr="00A30FDD">
        <w:rPr>
          <w:rFonts w:ascii="Verdana" w:eastAsia="Calibri" w:hAnsi="Verdana" w:cs="Arial"/>
          <w:lang w:val="es-ES"/>
        </w:rPr>
        <w:t xml:space="preserve">supuestos específicos que proceden </w:t>
      </w:r>
      <w:r w:rsidRPr="00A30FDD">
        <w:rPr>
          <w:rFonts w:ascii="Verdana" w:eastAsia="Calibri" w:hAnsi="Verdana" w:cs="Arial"/>
          <w:lang w:val="es-ES"/>
        </w:rPr>
        <w:t>depend</w:t>
      </w:r>
      <w:r w:rsidR="00526C77" w:rsidRPr="00A30FDD">
        <w:rPr>
          <w:rFonts w:ascii="Verdana" w:eastAsia="Calibri" w:hAnsi="Verdana" w:cs="Arial"/>
          <w:lang w:val="es-ES"/>
        </w:rPr>
        <w:t>iendo</w:t>
      </w:r>
      <w:r w:rsidRPr="00A30FDD">
        <w:rPr>
          <w:rFonts w:ascii="Verdana" w:eastAsia="Calibri" w:hAnsi="Verdana" w:cs="Arial"/>
          <w:lang w:val="es-ES"/>
        </w:rPr>
        <w:t xml:space="preserve"> del objeto del convenio o contrato a celebrar</w:t>
      </w:r>
      <w:r w:rsidR="00526C77" w:rsidRPr="00A30FDD">
        <w:rPr>
          <w:rFonts w:ascii="Verdana" w:eastAsia="Calibri" w:hAnsi="Verdana" w:cs="Arial"/>
          <w:lang w:val="es-ES"/>
        </w:rPr>
        <w:t>.</w:t>
      </w:r>
      <w:r w:rsidR="006F5DD0" w:rsidRPr="00A30FDD">
        <w:rPr>
          <w:rFonts w:ascii="Verdana" w:eastAsia="Calibri" w:hAnsi="Verdana" w:cs="Arial"/>
          <w:lang w:val="es-ES"/>
        </w:rPr>
        <w:t xml:space="preserve"> Aunado a estos</w:t>
      </w:r>
      <w:r w:rsidR="00526C77" w:rsidRPr="00A30FDD">
        <w:rPr>
          <w:rFonts w:ascii="Verdana" w:eastAsia="Calibri" w:hAnsi="Verdana" w:cs="Arial"/>
          <w:lang w:val="es-ES"/>
        </w:rPr>
        <w:t xml:space="preserve">, incluye </w:t>
      </w:r>
      <w:r w:rsidR="006F5DD0" w:rsidRPr="00A30FDD">
        <w:rPr>
          <w:rFonts w:ascii="Verdana" w:eastAsia="Calibri" w:hAnsi="Verdana" w:cs="Arial"/>
          <w:lang w:val="es-ES"/>
        </w:rPr>
        <w:t xml:space="preserve">otro relacionado con los </w:t>
      </w:r>
      <w:r w:rsidR="00526C77" w:rsidRPr="00A30FDD">
        <w:rPr>
          <w:rFonts w:ascii="Verdana" w:eastAsia="Calibri" w:hAnsi="Verdana" w:cs="Arial"/>
          <w:lang w:val="es-ES"/>
        </w:rPr>
        <w:t xml:space="preserve">organismos internacionales cuyos fondos financien los convenios o contratos. Cuando se configure cualquiera de estos casos, las entidades y los organismos </w:t>
      </w:r>
      <w:r w:rsidRPr="00A30FDD">
        <w:rPr>
          <w:rFonts w:ascii="Verdana" w:eastAsia="Calibri" w:hAnsi="Verdana" w:cs="Arial"/>
          <w:i/>
          <w:iCs/>
          <w:lang w:val="es-ES"/>
        </w:rPr>
        <w:t>puede</w:t>
      </w:r>
      <w:r w:rsidR="003C7A6C" w:rsidRPr="00A30FDD">
        <w:rPr>
          <w:rFonts w:ascii="Verdana" w:eastAsia="Calibri" w:hAnsi="Verdana" w:cs="Arial"/>
          <w:i/>
          <w:iCs/>
          <w:lang w:val="es-ES"/>
        </w:rPr>
        <w:t>n</w:t>
      </w:r>
      <w:r w:rsidRPr="00A30FDD">
        <w:rPr>
          <w:rFonts w:ascii="Verdana" w:eastAsia="Calibri" w:hAnsi="Verdana" w:cs="Arial"/>
          <w:lang w:val="es-ES"/>
        </w:rPr>
        <w:t xml:space="preserve"> </w:t>
      </w:r>
      <w:r w:rsidR="00526C77" w:rsidRPr="00A30FDD">
        <w:rPr>
          <w:rFonts w:ascii="Verdana" w:eastAsia="Calibri" w:hAnsi="Verdana" w:cs="Arial"/>
          <w:lang w:val="es-ES"/>
        </w:rPr>
        <w:t>optar por</w:t>
      </w:r>
      <w:r w:rsidR="003C7A6C" w:rsidRPr="00A30FDD">
        <w:rPr>
          <w:rFonts w:ascii="Verdana" w:eastAsia="Calibri" w:hAnsi="Verdana" w:cs="Arial"/>
          <w:lang w:val="es-ES"/>
        </w:rPr>
        <w:t>que el acuerdo se someta a</w:t>
      </w:r>
      <w:r w:rsidRPr="00A30FDD">
        <w:rPr>
          <w:rFonts w:ascii="Verdana" w:eastAsia="Calibri" w:hAnsi="Verdana" w:cs="Arial"/>
          <w:lang w:val="es-ES"/>
        </w:rPr>
        <w:t xml:space="preserve"> </w:t>
      </w:r>
      <w:r w:rsidR="00526C77" w:rsidRPr="00A30FDD">
        <w:rPr>
          <w:rFonts w:ascii="Verdana" w:eastAsia="Calibri" w:hAnsi="Verdana" w:cs="Arial"/>
          <w:lang w:val="es-ES"/>
        </w:rPr>
        <w:t>sus</w:t>
      </w:r>
      <w:r w:rsidRPr="00A30FDD">
        <w:rPr>
          <w:rFonts w:ascii="Verdana" w:eastAsia="Calibri" w:hAnsi="Verdana" w:cs="Arial"/>
          <w:lang w:val="es-ES"/>
        </w:rPr>
        <w:t xml:space="preserve"> reglamentos: </w:t>
      </w:r>
    </w:p>
    <w:p w14:paraId="140E6583" w14:textId="77777777" w:rsidR="00854880" w:rsidRPr="00A30FDD" w:rsidRDefault="00854880" w:rsidP="00854880">
      <w:pPr>
        <w:spacing w:after="0" w:line="276" w:lineRule="auto"/>
        <w:ind w:firstLine="709"/>
        <w:jc w:val="both"/>
        <w:rPr>
          <w:rFonts w:ascii="Verdana" w:eastAsia="Calibri" w:hAnsi="Verdana" w:cs="Arial"/>
          <w:lang w:val="es-ES"/>
        </w:rPr>
      </w:pPr>
    </w:p>
    <w:p w14:paraId="28BB3096" w14:textId="16568377" w:rsidR="000A7C3A" w:rsidRPr="00A30FDD" w:rsidRDefault="00866D79" w:rsidP="00085E71">
      <w:pPr>
        <w:numPr>
          <w:ilvl w:val="0"/>
          <w:numId w:val="32"/>
        </w:numPr>
        <w:spacing w:after="0" w:line="276" w:lineRule="auto"/>
        <w:ind w:right="709"/>
        <w:contextualSpacing/>
        <w:jc w:val="both"/>
        <w:rPr>
          <w:rFonts w:ascii="Verdana" w:hAnsi="Verdana" w:cs="Arial"/>
          <w:lang w:val="es-ES"/>
        </w:rPr>
      </w:pPr>
      <w:r w:rsidRPr="00A30FDD">
        <w:rPr>
          <w:rFonts w:ascii="Verdana" w:hAnsi="Verdana" w:cs="Arial"/>
          <w:lang w:val="es-ES"/>
        </w:rPr>
        <w:t>C</w:t>
      </w:r>
      <w:r w:rsidR="00D35C51" w:rsidRPr="00A30FDD">
        <w:rPr>
          <w:rFonts w:ascii="Verdana" w:hAnsi="Verdana" w:cs="Arial"/>
          <w:lang w:val="es-ES"/>
        </w:rPr>
        <w:t>ontratos o convenios c</w:t>
      </w:r>
      <w:r w:rsidR="000A7C3A" w:rsidRPr="00A30FDD">
        <w:rPr>
          <w:rFonts w:ascii="Verdana" w:hAnsi="Verdana" w:cs="Arial"/>
          <w:lang w:val="es-ES"/>
        </w:rPr>
        <w:t xml:space="preserve">elebrados con personas extranjeras de derecho público u organismos de derecho internacional cuyo objeto sea el desarrollo de programas de promoción, prevención y atención en salud </w:t>
      </w:r>
    </w:p>
    <w:p w14:paraId="3780CF69" w14:textId="77777777" w:rsidR="00085E71" w:rsidRPr="00A30FDD" w:rsidRDefault="00854880" w:rsidP="00085E71">
      <w:pPr>
        <w:numPr>
          <w:ilvl w:val="0"/>
          <w:numId w:val="32"/>
        </w:numPr>
        <w:spacing w:after="0" w:line="276" w:lineRule="auto"/>
        <w:ind w:right="709"/>
        <w:contextualSpacing/>
        <w:jc w:val="both"/>
        <w:rPr>
          <w:rFonts w:ascii="Verdana" w:hAnsi="Verdana" w:cs="Arial"/>
          <w:lang w:val="es-ES"/>
        </w:rPr>
      </w:pPr>
      <w:r w:rsidRPr="00A30FDD">
        <w:rPr>
          <w:rFonts w:ascii="Verdana" w:hAnsi="Verdana" w:cs="Arial"/>
          <w:lang w:val="es-ES"/>
        </w:rPr>
        <w:t>Contratos y convenios necesarios para la operación de la O</w:t>
      </w:r>
      <w:r w:rsidR="000A7C3A" w:rsidRPr="00A30FDD">
        <w:rPr>
          <w:rFonts w:ascii="Verdana" w:hAnsi="Verdana" w:cs="Arial"/>
          <w:lang w:val="es-ES"/>
        </w:rPr>
        <w:t xml:space="preserve">rganización </w:t>
      </w:r>
      <w:r w:rsidRPr="00A30FDD">
        <w:rPr>
          <w:rFonts w:ascii="Verdana" w:hAnsi="Verdana" w:cs="Arial"/>
          <w:lang w:val="es-ES"/>
        </w:rPr>
        <w:t>I</w:t>
      </w:r>
      <w:r w:rsidR="000A7C3A" w:rsidRPr="00A30FDD">
        <w:rPr>
          <w:rFonts w:ascii="Verdana" w:hAnsi="Verdana" w:cs="Arial"/>
          <w:lang w:val="es-ES"/>
        </w:rPr>
        <w:t xml:space="preserve">nternacional del </w:t>
      </w:r>
      <w:r w:rsidRPr="00A30FDD">
        <w:rPr>
          <w:rFonts w:ascii="Verdana" w:hAnsi="Verdana" w:cs="Arial"/>
          <w:lang w:val="es-ES"/>
        </w:rPr>
        <w:t>T</w:t>
      </w:r>
      <w:r w:rsidR="000A7C3A" w:rsidRPr="00A30FDD">
        <w:rPr>
          <w:rFonts w:ascii="Verdana" w:hAnsi="Verdana" w:cs="Arial"/>
          <w:lang w:val="es-ES"/>
        </w:rPr>
        <w:t>rabajo</w:t>
      </w:r>
      <w:r w:rsidRPr="00A30FDD">
        <w:rPr>
          <w:rFonts w:ascii="Verdana" w:hAnsi="Verdana" w:cs="Arial"/>
          <w:lang w:val="es-ES"/>
        </w:rPr>
        <w:t>.</w:t>
      </w:r>
    </w:p>
    <w:p w14:paraId="5B4FF104" w14:textId="69853CF7" w:rsidR="00854880" w:rsidRPr="00A30FDD" w:rsidRDefault="00854880" w:rsidP="00085E71">
      <w:pPr>
        <w:numPr>
          <w:ilvl w:val="0"/>
          <w:numId w:val="32"/>
        </w:numPr>
        <w:spacing w:after="0" w:line="276" w:lineRule="auto"/>
        <w:ind w:right="709"/>
        <w:contextualSpacing/>
        <w:jc w:val="both"/>
        <w:rPr>
          <w:rFonts w:ascii="Verdana" w:hAnsi="Verdana" w:cs="Arial"/>
          <w:lang w:val="es-ES"/>
        </w:rPr>
      </w:pPr>
      <w:r w:rsidRPr="00A30FDD">
        <w:rPr>
          <w:rFonts w:ascii="Verdana" w:hAnsi="Verdana" w:cs="Arial"/>
          <w:lang w:val="es-ES"/>
        </w:rPr>
        <w:lastRenderedPageBreak/>
        <w:t>Contratos y convenios que se ejecuten en desarrollo del sistema integrado de monitoreo de cultivos ilícitos.</w:t>
      </w:r>
    </w:p>
    <w:p w14:paraId="24DE0730" w14:textId="77777777" w:rsidR="00854880" w:rsidRPr="00A30FDD" w:rsidRDefault="00854880" w:rsidP="00085E71">
      <w:pPr>
        <w:numPr>
          <w:ilvl w:val="0"/>
          <w:numId w:val="32"/>
        </w:numPr>
        <w:spacing w:after="0" w:line="276" w:lineRule="auto"/>
        <w:ind w:right="709"/>
        <w:contextualSpacing/>
        <w:jc w:val="both"/>
        <w:rPr>
          <w:rFonts w:ascii="Verdana" w:hAnsi="Verdana" w:cs="Arial"/>
          <w:lang w:val="es-ES"/>
        </w:rPr>
      </w:pPr>
      <w:r w:rsidRPr="00A30FDD">
        <w:rPr>
          <w:rFonts w:ascii="Verdana" w:hAnsi="Verdana" w:cs="Arial"/>
          <w:lang w:val="es-ES"/>
        </w:rPr>
        <w:t>Contratos y convenios para la operación del programa mundial de alimentos.</w:t>
      </w:r>
    </w:p>
    <w:p w14:paraId="74C68304" w14:textId="77777777" w:rsidR="00854880" w:rsidRPr="00A30FDD" w:rsidRDefault="00854880" w:rsidP="00085E71">
      <w:pPr>
        <w:numPr>
          <w:ilvl w:val="0"/>
          <w:numId w:val="32"/>
        </w:numPr>
        <w:spacing w:after="0" w:line="276" w:lineRule="auto"/>
        <w:ind w:right="709"/>
        <w:contextualSpacing/>
        <w:jc w:val="both"/>
        <w:rPr>
          <w:rFonts w:ascii="Verdana" w:hAnsi="Verdana" w:cs="Arial"/>
          <w:lang w:val="es-ES"/>
        </w:rPr>
      </w:pPr>
      <w:r w:rsidRPr="00A30FDD">
        <w:rPr>
          <w:rFonts w:ascii="Verdana" w:hAnsi="Verdana" w:cs="Arial"/>
          <w:lang w:val="es-ES"/>
        </w:rPr>
        <w:t>Contratos y convenios para el desarrollo de programas de apoyo educativo a población desplazada y vulnerable adelantados por la Unesco y la OIM.</w:t>
      </w:r>
    </w:p>
    <w:p w14:paraId="7E9D34B3" w14:textId="77777777" w:rsidR="00854880" w:rsidRPr="00A30FDD" w:rsidRDefault="00854880" w:rsidP="00085E71">
      <w:pPr>
        <w:numPr>
          <w:ilvl w:val="0"/>
          <w:numId w:val="32"/>
        </w:numPr>
        <w:spacing w:after="0" w:line="276" w:lineRule="auto"/>
        <w:ind w:right="709"/>
        <w:contextualSpacing/>
        <w:jc w:val="both"/>
        <w:rPr>
          <w:rFonts w:ascii="Verdana" w:hAnsi="Verdana" w:cs="Arial"/>
          <w:lang w:val="es-ES"/>
        </w:rPr>
      </w:pPr>
      <w:r w:rsidRPr="00A30FDD">
        <w:rPr>
          <w:rFonts w:ascii="Verdana" w:hAnsi="Verdana" w:cs="Arial"/>
          <w:lang w:val="es-ES"/>
        </w:rPr>
        <w:t xml:space="preserve">Los contratos o convenios financiados con fondos de los organismos multilaterales de crédito y entes gubernamentales extranjeros. </w:t>
      </w:r>
    </w:p>
    <w:p w14:paraId="6FFBA7CB" w14:textId="77777777" w:rsidR="00854880" w:rsidRPr="00A30FDD" w:rsidRDefault="00854880" w:rsidP="00854880">
      <w:pPr>
        <w:spacing w:after="0"/>
        <w:ind w:left="1429"/>
        <w:contextualSpacing/>
        <w:rPr>
          <w:rFonts w:ascii="Verdana" w:hAnsi="Verdana" w:cs="Arial"/>
          <w:lang w:val="es-ES"/>
        </w:rPr>
      </w:pPr>
    </w:p>
    <w:p w14:paraId="381CA3AB" w14:textId="0CA1CC3F" w:rsidR="00854880" w:rsidRPr="00A30FDD" w:rsidRDefault="00854880" w:rsidP="00690CB8">
      <w:pPr>
        <w:spacing w:after="0" w:line="276" w:lineRule="auto"/>
        <w:ind w:firstLine="709"/>
        <w:jc w:val="both"/>
        <w:rPr>
          <w:rFonts w:ascii="Verdana" w:eastAsia="Calibri" w:hAnsi="Verdana" w:cs="Arial"/>
          <w:lang w:val="es-ES"/>
        </w:rPr>
      </w:pPr>
      <w:bookmarkStart w:id="4" w:name="_Hlk148447946"/>
      <w:r w:rsidRPr="00A30FDD">
        <w:rPr>
          <w:rFonts w:ascii="Verdana" w:eastAsia="Calibri" w:hAnsi="Verdana" w:cs="Arial"/>
          <w:lang w:val="es-ES"/>
        </w:rPr>
        <w:t>En los supuestos anteriores, independientemente del monto</w:t>
      </w:r>
      <w:r w:rsidR="006F5DD0" w:rsidRPr="00A30FDD">
        <w:rPr>
          <w:rFonts w:ascii="Verdana" w:eastAsia="Calibri" w:hAnsi="Verdana" w:cs="Arial"/>
          <w:lang w:val="es-ES"/>
        </w:rPr>
        <w:t xml:space="preserve"> o porcentaje</w:t>
      </w:r>
      <w:r w:rsidRPr="00A30FDD">
        <w:rPr>
          <w:rFonts w:ascii="Verdana" w:eastAsia="Calibri" w:hAnsi="Verdana" w:cs="Arial"/>
          <w:lang w:val="es-ES"/>
        </w:rPr>
        <w:t xml:space="preserve"> de los aportes de cada una de las partes, es posible optar por someter el contrato </w:t>
      </w:r>
      <w:r w:rsidR="00085E71" w:rsidRPr="00A30FDD">
        <w:rPr>
          <w:rFonts w:ascii="Verdana" w:eastAsia="Calibri" w:hAnsi="Verdana" w:cs="Arial"/>
          <w:lang w:val="es-ES"/>
        </w:rPr>
        <w:t>o convenio a</w:t>
      </w:r>
      <w:r w:rsidRPr="00A30FDD">
        <w:rPr>
          <w:rFonts w:ascii="Verdana" w:eastAsia="Calibri" w:hAnsi="Verdana" w:cs="Arial"/>
          <w:lang w:val="es-ES"/>
        </w:rPr>
        <w:t xml:space="preserve"> los reglamentos de </w:t>
      </w:r>
      <w:r w:rsidR="006F5DD0" w:rsidRPr="00A30FDD">
        <w:rPr>
          <w:rFonts w:ascii="Verdana" w:eastAsia="Calibri" w:hAnsi="Verdana" w:cs="Arial"/>
          <w:lang w:val="es-ES"/>
        </w:rPr>
        <w:t xml:space="preserve">los </w:t>
      </w:r>
      <w:r w:rsidRPr="00A30FDD">
        <w:rPr>
          <w:rFonts w:ascii="Verdana" w:eastAsia="Calibri" w:hAnsi="Verdana" w:cs="Arial"/>
          <w:lang w:val="es-ES"/>
        </w:rPr>
        <w:t>organismos o al EGCAP</w:t>
      </w:r>
      <w:r w:rsidR="00085E71" w:rsidRPr="00A30FDD">
        <w:rPr>
          <w:rFonts w:ascii="Verdana" w:eastAsia="Calibri" w:hAnsi="Verdana" w:cs="Arial"/>
          <w:lang w:val="es-ES"/>
        </w:rPr>
        <w:t>.</w:t>
      </w:r>
      <w:r w:rsidRPr="00A30FDD">
        <w:rPr>
          <w:rFonts w:ascii="Verdana" w:eastAsia="Calibri" w:hAnsi="Verdana" w:cs="Arial"/>
          <w:lang w:val="es-ES"/>
        </w:rPr>
        <w:t xml:space="preserve"> </w:t>
      </w:r>
      <w:r w:rsidR="00085E71" w:rsidRPr="00A30FDD">
        <w:rPr>
          <w:rFonts w:ascii="Verdana" w:eastAsia="Calibri" w:hAnsi="Verdana" w:cs="Arial"/>
          <w:lang w:val="es-ES"/>
        </w:rPr>
        <w:t>E</w:t>
      </w:r>
      <w:r w:rsidRPr="00A30FDD">
        <w:rPr>
          <w:rFonts w:ascii="Verdana" w:eastAsia="Calibri" w:hAnsi="Verdana" w:cs="Arial"/>
          <w:lang w:val="es-ES"/>
        </w:rPr>
        <w:t xml:space="preserve">s decir, </w:t>
      </w:r>
      <w:r w:rsidR="00085E71" w:rsidRPr="00A30FDD">
        <w:rPr>
          <w:rFonts w:ascii="Verdana" w:eastAsia="Calibri" w:hAnsi="Verdana" w:cs="Arial"/>
          <w:lang w:val="es-ES"/>
        </w:rPr>
        <w:t>cuando se configure cualquiera de los supuestos será posible</w:t>
      </w:r>
      <w:bookmarkEnd w:id="4"/>
      <w:r w:rsidR="00085E71" w:rsidRPr="00A30FDD">
        <w:rPr>
          <w:rFonts w:ascii="Verdana" w:eastAsia="Calibri" w:hAnsi="Verdana" w:cs="Arial"/>
          <w:lang w:val="es-ES"/>
        </w:rPr>
        <w:t xml:space="preserve"> elegir </w:t>
      </w:r>
      <w:r w:rsidR="009D0F65" w:rsidRPr="00A30FDD">
        <w:rPr>
          <w:rFonts w:ascii="Verdana" w:eastAsia="Calibri" w:hAnsi="Verdana" w:cs="Arial"/>
          <w:lang w:val="es-ES"/>
        </w:rPr>
        <w:t xml:space="preserve">uno de </w:t>
      </w:r>
      <w:r w:rsidR="003E2452" w:rsidRPr="00A30FDD">
        <w:rPr>
          <w:rFonts w:ascii="Verdana" w:eastAsia="Calibri" w:hAnsi="Verdana" w:cs="Arial"/>
          <w:lang w:val="es-ES"/>
        </w:rPr>
        <w:t>estos regímenes</w:t>
      </w:r>
      <w:r w:rsidRPr="00A30FDD">
        <w:rPr>
          <w:rFonts w:ascii="Verdana" w:eastAsia="Calibri" w:hAnsi="Verdana" w:cs="Arial"/>
          <w:lang w:val="es-ES"/>
        </w:rPr>
        <w:t>. Al respecto, en el Concepto C-374 del 27 de julio de 2020, esta Agencia –después de analizar el artículo 20 de la Ley 1150 de 2007– concluyó que:</w:t>
      </w:r>
    </w:p>
    <w:p w14:paraId="3DBFA7BF" w14:textId="700A767D" w:rsidR="00854880" w:rsidRPr="00A30FDD" w:rsidRDefault="00854880" w:rsidP="00854880">
      <w:pPr>
        <w:spacing w:after="0" w:line="240" w:lineRule="auto"/>
        <w:ind w:left="709" w:right="709"/>
        <w:jc w:val="both"/>
        <w:rPr>
          <w:rFonts w:ascii="Verdana" w:eastAsia="Calibri" w:hAnsi="Verdana" w:cs="Arial"/>
          <w:sz w:val="20"/>
          <w:szCs w:val="20"/>
          <w:lang w:val="es-ES"/>
        </w:rPr>
      </w:pPr>
      <w:r w:rsidRPr="00A30FDD">
        <w:rPr>
          <w:rFonts w:ascii="Verdana" w:eastAsia="Calibri" w:hAnsi="Verdana" w:cs="Arial"/>
          <w:sz w:val="20"/>
          <w:szCs w:val="20"/>
          <w:lang w:val="es-ES"/>
        </w:rPr>
        <w:t>“[…] existen dos grupos de supuestos en el artículo 20 de la Ley 1150 de 2007, bajo los cuales es posible someter el régimen contractual aplicable a los reglamentos de los organismos internacionales: el primer grupo, regulado en el inciso primero, donde dicha posibilidad se condiciona a que los contratos o convenios se financien en el 50% o más con fondos de dichos organismos de cooperación, asistencia o ayudas internacionales y, el segundo grupo, regulado en el inciso segundo, donde dicha posibilidad se condiciona a que se configure alguno de los 6 supuestos enlistados atrás, sin que resulte exigible algún porcentaje de incorporación de recursos. En todo caso, frente a ambos grupos, la aplicación de los reglamentos de tales entidades internacionales es una posibilidad por la que pueden optar o no las partes; es decir, configurados los requisitos indicados, las partes pueden decidir si someten los contratos a los reglamentos de las entidades internacionales o si se rigen por el Estatuto General de Contratación de la Administración Pública”.</w:t>
      </w:r>
    </w:p>
    <w:p w14:paraId="7C930EF1" w14:textId="77777777" w:rsidR="00854880" w:rsidRPr="00A30FDD" w:rsidRDefault="00854880" w:rsidP="00396A47">
      <w:pPr>
        <w:spacing w:after="0" w:line="276" w:lineRule="auto"/>
        <w:ind w:left="709" w:right="709"/>
        <w:jc w:val="both"/>
        <w:rPr>
          <w:rFonts w:ascii="Verdana" w:eastAsia="Calibri" w:hAnsi="Verdana" w:cs="Arial"/>
          <w:lang w:val="es-ES"/>
        </w:rPr>
      </w:pPr>
    </w:p>
    <w:p w14:paraId="33A73E6D" w14:textId="0AB580B5" w:rsidR="00606E68" w:rsidRPr="00A30FDD" w:rsidRDefault="00606E68" w:rsidP="00606E68">
      <w:pPr>
        <w:spacing w:after="120" w:line="276" w:lineRule="auto"/>
        <w:ind w:firstLine="709"/>
        <w:jc w:val="both"/>
        <w:rPr>
          <w:rFonts w:ascii="Verdana" w:eastAsia="Calibri" w:hAnsi="Verdana" w:cs="Arial"/>
          <w:lang w:val="es-ES"/>
        </w:rPr>
      </w:pPr>
      <w:r w:rsidRPr="00A30FDD">
        <w:rPr>
          <w:rFonts w:ascii="Verdana" w:eastAsia="Calibri" w:hAnsi="Verdana" w:cs="Arial"/>
          <w:lang w:val="es-ES"/>
        </w:rPr>
        <w:t xml:space="preserve">Ahora bien, tanto el inciso primero como el último supuesto del segundo inciso se refieren a la financiación del contrato o convenio con fondos de organismos internacionales. Sin embargo, en el primero, la regla </w:t>
      </w:r>
      <w:r w:rsidR="00D35C51" w:rsidRPr="00A30FDD">
        <w:rPr>
          <w:rFonts w:ascii="Verdana" w:eastAsia="Calibri" w:hAnsi="Verdana" w:cs="Arial"/>
          <w:lang w:val="es-ES"/>
        </w:rPr>
        <w:t xml:space="preserve">alude </w:t>
      </w:r>
      <w:r w:rsidRPr="00A30FDD">
        <w:rPr>
          <w:rFonts w:ascii="Verdana" w:eastAsia="Calibri" w:hAnsi="Verdana" w:cs="Arial"/>
          <w:lang w:val="es-ES"/>
        </w:rPr>
        <w:t xml:space="preserve">a los contratos o convenios financiados con fondos de </w:t>
      </w:r>
      <w:r w:rsidRPr="00A30FDD">
        <w:rPr>
          <w:rFonts w:ascii="Verdana" w:eastAsia="Calibri" w:hAnsi="Verdana" w:cs="Arial"/>
          <w:i/>
          <w:iCs/>
          <w:lang w:val="es-ES"/>
        </w:rPr>
        <w:t>los organismos de cooperación, asistencia o ayudas internacionales</w:t>
      </w:r>
      <w:r w:rsidRPr="00A30FDD">
        <w:rPr>
          <w:rFonts w:ascii="Verdana" w:eastAsia="Calibri" w:hAnsi="Verdana" w:cs="Arial"/>
          <w:lang w:val="es-ES"/>
        </w:rPr>
        <w:t>. En contraste, la causal sexta</w:t>
      </w:r>
      <w:r w:rsidR="00751B1F" w:rsidRPr="00A30FDD">
        <w:rPr>
          <w:rFonts w:ascii="Verdana" w:eastAsia="Calibri" w:hAnsi="Verdana" w:cs="Arial"/>
          <w:lang w:val="es-ES"/>
        </w:rPr>
        <w:t xml:space="preserve"> o último supuesto</w:t>
      </w:r>
      <w:r w:rsidRPr="00A30FDD">
        <w:rPr>
          <w:rFonts w:ascii="Verdana" w:eastAsia="Calibri" w:hAnsi="Verdana" w:cs="Arial"/>
          <w:lang w:val="es-ES"/>
        </w:rPr>
        <w:t xml:space="preserve"> del segundo inciso</w:t>
      </w:r>
      <w:r w:rsidR="00751B1F" w:rsidRPr="00A30FDD">
        <w:rPr>
          <w:rFonts w:ascii="Verdana" w:eastAsia="Calibri" w:hAnsi="Verdana" w:cs="Arial"/>
          <w:lang w:val="es-ES"/>
        </w:rPr>
        <w:t xml:space="preserve"> del artículo 20</w:t>
      </w:r>
      <w:r w:rsidRPr="00A30FDD">
        <w:rPr>
          <w:rFonts w:ascii="Verdana" w:eastAsia="Calibri" w:hAnsi="Verdana" w:cs="Arial"/>
          <w:lang w:val="es-ES"/>
        </w:rPr>
        <w:t xml:space="preserve"> alude a los contratos o convenios </w:t>
      </w:r>
      <w:r w:rsidRPr="00A30FDD">
        <w:rPr>
          <w:rFonts w:ascii="Verdana" w:eastAsia="Calibri" w:hAnsi="Verdana" w:cs="Arial"/>
          <w:lang w:val="es-ES"/>
        </w:rPr>
        <w:lastRenderedPageBreak/>
        <w:t xml:space="preserve">financiados con fondos de los </w:t>
      </w:r>
      <w:r w:rsidRPr="00A30FDD">
        <w:rPr>
          <w:rFonts w:ascii="Verdana" w:eastAsia="Calibri" w:hAnsi="Verdana" w:cs="Arial"/>
          <w:i/>
          <w:iCs/>
          <w:lang w:val="es-ES"/>
        </w:rPr>
        <w:t>organismos multilaterales de crédito y entes gubernamentales extranjeros</w:t>
      </w:r>
      <w:r w:rsidRPr="00A30FDD">
        <w:rPr>
          <w:rFonts w:ascii="Verdana" w:eastAsia="Calibri" w:hAnsi="Verdana" w:cs="Arial"/>
          <w:lang w:val="es-ES"/>
        </w:rPr>
        <w:t>. Como se observa, ambos supuestos se refieren a contratos o convenios que se financian con fondos de organismos internacionales, pero la regla para determinar el régimen de contratación aplicable será distinta dependiendo del sujeto que intervenga.</w:t>
      </w:r>
    </w:p>
    <w:p w14:paraId="5F16022E" w14:textId="77777777" w:rsidR="004C515D" w:rsidRPr="00A30FDD" w:rsidRDefault="004C515D" w:rsidP="004C515D">
      <w:pPr>
        <w:spacing w:after="120" w:line="276" w:lineRule="auto"/>
        <w:ind w:firstLine="709"/>
        <w:jc w:val="both"/>
        <w:rPr>
          <w:rFonts w:ascii="Verdana" w:eastAsia="Calibri" w:hAnsi="Verdana" w:cs="Arial"/>
          <w:lang w:val="es-ES"/>
        </w:rPr>
      </w:pPr>
      <w:r w:rsidRPr="00A30FDD">
        <w:rPr>
          <w:rFonts w:ascii="Verdana" w:eastAsia="Calibri" w:hAnsi="Verdana" w:cs="Arial"/>
          <w:lang w:val="es-ES"/>
        </w:rPr>
        <w:t xml:space="preserve">Cuando los fondos provienen de los </w:t>
      </w:r>
      <w:r w:rsidRPr="00A30FDD">
        <w:rPr>
          <w:rFonts w:ascii="Verdana" w:eastAsia="Calibri" w:hAnsi="Verdana" w:cs="Arial"/>
          <w:i/>
          <w:iCs/>
          <w:lang w:val="es-ES"/>
        </w:rPr>
        <w:t>organismos de cooperación, asistencia o ayudas internacionales</w:t>
      </w:r>
      <w:r w:rsidRPr="00A30FDD">
        <w:rPr>
          <w:rFonts w:ascii="Verdana" w:eastAsia="Calibri" w:hAnsi="Verdana" w:cs="Arial"/>
          <w:lang w:val="es-ES"/>
        </w:rPr>
        <w:t xml:space="preserve">, será importante determinar el porcentaje que financian o aportan, pues si sus aportes son inferiores al cincuenta por ciento (50%) el acuerdo se regirá necesariamente por EGCAP. Por el contrario, cuando se trate de los fondos de </w:t>
      </w:r>
      <w:r w:rsidRPr="00A30FDD">
        <w:rPr>
          <w:rFonts w:ascii="Verdana" w:eastAsia="Calibri" w:hAnsi="Verdana" w:cs="Arial"/>
          <w:i/>
          <w:iCs/>
          <w:lang w:val="es-ES"/>
        </w:rPr>
        <w:t>organismos multilaterales de crédito y entes gubernamentales extranjeros</w:t>
      </w:r>
      <w:r w:rsidRPr="00A30FDD">
        <w:rPr>
          <w:rFonts w:ascii="Verdana" w:eastAsia="Calibri" w:hAnsi="Verdana" w:cs="Arial"/>
          <w:lang w:val="es-ES"/>
        </w:rPr>
        <w:t xml:space="preserve">, las Entidades Estatales podrán elegir si aplican el EGCAP o los reglamentos de estos organismos, independientemente del porcentaje que financien o aporten. </w:t>
      </w:r>
    </w:p>
    <w:p w14:paraId="142F81A3" w14:textId="0CC99897" w:rsidR="00C55EF3" w:rsidRPr="00A30FDD" w:rsidRDefault="004C515D" w:rsidP="004C515D">
      <w:pPr>
        <w:spacing w:after="120" w:line="276" w:lineRule="auto"/>
        <w:ind w:firstLine="709"/>
        <w:jc w:val="both"/>
        <w:rPr>
          <w:rFonts w:ascii="Verdana" w:eastAsia="Calibri" w:hAnsi="Verdana" w:cs="Arial"/>
          <w:lang w:val="es-ES"/>
        </w:rPr>
      </w:pPr>
      <w:r w:rsidRPr="00A30FDD">
        <w:rPr>
          <w:rFonts w:ascii="Verdana" w:eastAsia="Calibri" w:hAnsi="Verdana" w:cs="Arial"/>
          <w:lang w:val="es-ES"/>
        </w:rPr>
        <w:t xml:space="preserve">Esta distinción frente a los ámbitos de aplicación del inciso primero y el último supuesto del inciso segundo se reitera en el artículo 2.2.1.2.4.4.1 Decreto 1082 de 2015, el cual dispuso que: </w:t>
      </w:r>
    </w:p>
    <w:p w14:paraId="02E8436F" w14:textId="087F3C0D" w:rsidR="00775141" w:rsidRPr="00A30FDD" w:rsidRDefault="00775141" w:rsidP="00775141">
      <w:pPr>
        <w:spacing w:after="120" w:line="240" w:lineRule="auto"/>
        <w:ind w:left="709" w:right="709"/>
        <w:jc w:val="both"/>
        <w:rPr>
          <w:rFonts w:ascii="Verdana" w:eastAsia="Calibri" w:hAnsi="Verdana" w:cs="Arial"/>
          <w:sz w:val="21"/>
          <w:szCs w:val="21"/>
          <w:lang w:val="es-ES"/>
        </w:rPr>
      </w:pPr>
      <w:r w:rsidRPr="00A30FDD">
        <w:rPr>
          <w:rFonts w:ascii="Verdana" w:eastAsia="Calibri" w:hAnsi="Verdana" w:cs="Arial"/>
          <w:sz w:val="21"/>
          <w:szCs w:val="21"/>
          <w:lang w:val="es-ES"/>
        </w:rPr>
        <w:t xml:space="preserve">“[…] Los contratos o convenios financiados con fondos de los </w:t>
      </w:r>
      <w:r w:rsidRPr="00A30FDD">
        <w:rPr>
          <w:rFonts w:ascii="Verdana" w:eastAsia="Calibri" w:hAnsi="Verdana" w:cs="Arial"/>
          <w:i/>
          <w:iCs/>
          <w:sz w:val="21"/>
          <w:szCs w:val="21"/>
          <w:lang w:val="es-ES"/>
        </w:rPr>
        <w:t>organismos multilaterales de crédito</w:t>
      </w:r>
      <w:r w:rsidRPr="00A30FDD">
        <w:rPr>
          <w:rFonts w:ascii="Verdana" w:eastAsia="Calibri" w:hAnsi="Verdana" w:cs="Arial"/>
          <w:sz w:val="21"/>
          <w:szCs w:val="21"/>
          <w:lang w:val="es-ES"/>
        </w:rPr>
        <w:t xml:space="preserve">, </w:t>
      </w:r>
      <w:r w:rsidRPr="00A30FDD">
        <w:rPr>
          <w:rFonts w:ascii="Verdana" w:eastAsia="Calibri" w:hAnsi="Verdana" w:cs="Arial"/>
          <w:i/>
          <w:iCs/>
          <w:sz w:val="21"/>
          <w:szCs w:val="21"/>
          <w:lang w:val="es-ES"/>
        </w:rPr>
        <w:t>entes gubernamentales extranjeros o personas extranjeras de derecho público</w:t>
      </w:r>
      <w:r w:rsidRPr="00A30FDD">
        <w:rPr>
          <w:rFonts w:ascii="Verdana" w:eastAsia="Calibri" w:hAnsi="Verdana" w:cs="Arial"/>
          <w:sz w:val="21"/>
          <w:szCs w:val="21"/>
          <w:lang w:val="es-ES"/>
        </w:rPr>
        <w:t xml:space="preserve">, así como aquellos a los que se refiere el inciso 2 del artículo 20 de la Ley 1150 de 2007, se ejecutarán de conformidad con lo establecido en los tratados internacionales marco y complementarios, y en los convenios celebrados, o sus reglamentos, según sea el caso, incluidos los recursos de aporte de fuente nacional o sus equivalentes vinculados a tales operaciones en dichos documentos, </w:t>
      </w:r>
      <w:r w:rsidRPr="00A30FDD">
        <w:rPr>
          <w:rFonts w:ascii="Verdana" w:eastAsia="Calibri" w:hAnsi="Verdana" w:cs="Arial"/>
          <w:i/>
          <w:iCs/>
          <w:sz w:val="21"/>
          <w:szCs w:val="21"/>
          <w:u w:val="single"/>
          <w:lang w:val="es-ES"/>
        </w:rPr>
        <w:t>sin que a ellos le sea aplicable el porcentaje señalado en el inciso primero del artículo 20 de la Ley 1150 de 2007</w:t>
      </w:r>
      <w:r w:rsidR="004532BE" w:rsidRPr="00A30FDD">
        <w:rPr>
          <w:rFonts w:ascii="Verdana" w:eastAsia="Calibri" w:hAnsi="Verdana" w:cs="Arial"/>
          <w:sz w:val="21"/>
          <w:szCs w:val="21"/>
          <w:lang w:val="es-ES"/>
        </w:rPr>
        <w:t xml:space="preserve">. </w:t>
      </w:r>
    </w:p>
    <w:p w14:paraId="236FB558" w14:textId="7041A3D1" w:rsidR="00775141" w:rsidRPr="00A30FDD" w:rsidRDefault="00775141" w:rsidP="00C55EF3">
      <w:pPr>
        <w:spacing w:after="0" w:line="240" w:lineRule="auto"/>
        <w:ind w:left="709" w:right="709"/>
        <w:jc w:val="both"/>
        <w:rPr>
          <w:rFonts w:ascii="Verdana" w:eastAsia="Calibri" w:hAnsi="Verdana" w:cs="Arial"/>
          <w:sz w:val="21"/>
          <w:szCs w:val="21"/>
          <w:lang w:val="es-ES"/>
        </w:rPr>
      </w:pPr>
      <w:r w:rsidRPr="00A30FDD">
        <w:rPr>
          <w:rFonts w:ascii="Verdana" w:eastAsia="Calibri" w:hAnsi="Verdana" w:cs="Arial"/>
          <w:sz w:val="21"/>
          <w:szCs w:val="21"/>
          <w:lang w:val="es-ES"/>
        </w:rPr>
        <w:t>Los contratos con personas extranjeras de derecho público se deben celebrar y ejecutar según se acuerde entre las partes</w:t>
      </w:r>
      <w:r w:rsidR="004532BE" w:rsidRPr="00A30FDD">
        <w:rPr>
          <w:rFonts w:ascii="Verdana" w:eastAsia="Calibri" w:hAnsi="Verdana" w:cs="Arial"/>
          <w:sz w:val="21"/>
          <w:szCs w:val="21"/>
          <w:lang w:val="es-ES"/>
        </w:rPr>
        <w:t>”</w:t>
      </w:r>
      <w:r w:rsidRPr="00A30FDD">
        <w:rPr>
          <w:rFonts w:ascii="Verdana" w:eastAsia="Calibri" w:hAnsi="Verdana" w:cs="Arial"/>
          <w:sz w:val="21"/>
          <w:szCs w:val="21"/>
          <w:lang w:val="es-ES"/>
        </w:rPr>
        <w:t>. [Énfasis fuera del texto original</w:t>
      </w:r>
      <w:r w:rsidR="00751B1F" w:rsidRPr="00A30FDD">
        <w:rPr>
          <w:rFonts w:ascii="Verdana" w:eastAsia="Calibri" w:hAnsi="Verdana" w:cs="Arial"/>
          <w:sz w:val="21"/>
          <w:szCs w:val="21"/>
          <w:lang w:val="es-ES"/>
        </w:rPr>
        <w:t>]</w:t>
      </w:r>
      <w:r w:rsidRPr="00A30FDD">
        <w:rPr>
          <w:rFonts w:ascii="Verdana" w:eastAsia="Calibri" w:hAnsi="Verdana" w:cs="Arial"/>
          <w:sz w:val="21"/>
          <w:szCs w:val="21"/>
          <w:lang w:val="es-ES"/>
        </w:rPr>
        <w:t xml:space="preserve">. </w:t>
      </w:r>
    </w:p>
    <w:p w14:paraId="417033C7" w14:textId="77777777" w:rsidR="00C55EF3" w:rsidRPr="00A30FDD" w:rsidRDefault="00C55EF3" w:rsidP="00C55EF3">
      <w:pPr>
        <w:spacing w:after="0" w:line="276" w:lineRule="auto"/>
        <w:ind w:firstLine="709"/>
        <w:jc w:val="both"/>
        <w:rPr>
          <w:rFonts w:ascii="Verdana" w:eastAsia="Calibri" w:hAnsi="Verdana" w:cs="Arial"/>
          <w:lang w:val="es-ES"/>
        </w:rPr>
      </w:pPr>
    </w:p>
    <w:p w14:paraId="1919D902" w14:textId="76F6F0B7" w:rsidR="004532BE" w:rsidRPr="00A30FDD" w:rsidRDefault="004532BE" w:rsidP="00C55EF3">
      <w:pPr>
        <w:spacing w:after="0" w:line="276" w:lineRule="auto"/>
        <w:ind w:firstLine="709"/>
        <w:jc w:val="both"/>
        <w:rPr>
          <w:rFonts w:ascii="Verdana" w:eastAsia="Calibri" w:hAnsi="Verdana" w:cs="Arial"/>
          <w:lang w:val="es-ES"/>
        </w:rPr>
      </w:pPr>
      <w:r w:rsidRPr="00A30FDD">
        <w:rPr>
          <w:rFonts w:ascii="Verdana" w:eastAsia="Calibri" w:hAnsi="Verdana" w:cs="Arial"/>
          <w:lang w:val="es-ES"/>
        </w:rPr>
        <w:t>Sobre la delimitación entre los sujetos del inciso primero</w:t>
      </w:r>
      <w:r w:rsidR="00A21491" w:rsidRPr="00A30FDD">
        <w:rPr>
          <w:rFonts w:ascii="Verdana" w:eastAsia="Calibri" w:hAnsi="Verdana" w:cs="Arial"/>
          <w:lang w:val="es-ES"/>
        </w:rPr>
        <w:t xml:space="preserve"> </w:t>
      </w:r>
      <w:r w:rsidRPr="00A30FDD">
        <w:rPr>
          <w:rFonts w:ascii="Verdana" w:eastAsia="Calibri" w:hAnsi="Verdana" w:cs="Arial"/>
          <w:lang w:val="es-ES"/>
        </w:rPr>
        <w:t>y el último supuesto del inciso segundo, es importante resaltar que el derogado inciso cuarto del artículo 13 de la Ley 80 de 1993</w:t>
      </w:r>
      <w:r w:rsidRPr="00A30FDD">
        <w:rPr>
          <w:rStyle w:val="Refdenotaalpie"/>
          <w:rFonts w:ascii="Verdana" w:eastAsia="Calibri" w:hAnsi="Verdana" w:cs="Arial"/>
          <w:lang w:val="es-ES"/>
        </w:rPr>
        <w:footnoteReference w:id="7"/>
      </w:r>
      <w:r w:rsidRPr="00A30FDD">
        <w:rPr>
          <w:rFonts w:ascii="Verdana" w:eastAsia="Calibri" w:hAnsi="Verdana" w:cs="Arial"/>
          <w:lang w:val="es-ES"/>
        </w:rPr>
        <w:t xml:space="preserve"> se refería a los contratos </w:t>
      </w:r>
      <w:r w:rsidR="00751B1F" w:rsidRPr="00A30FDD">
        <w:rPr>
          <w:rFonts w:ascii="Verdana" w:eastAsia="Calibri" w:hAnsi="Verdana" w:cs="Arial"/>
          <w:lang w:val="es-ES"/>
        </w:rPr>
        <w:t xml:space="preserve">financiados </w:t>
      </w:r>
      <w:r w:rsidRPr="00A30FDD">
        <w:rPr>
          <w:rFonts w:ascii="Verdana" w:eastAsia="Calibri" w:hAnsi="Verdana" w:cs="Arial"/>
          <w:lang w:val="es-ES"/>
        </w:rPr>
        <w:lastRenderedPageBreak/>
        <w:t xml:space="preserve">con fondos de los organismos multilaterales de crédito, y a aquellos celebrados con personas extranjeras de derecho público u organismos de </w:t>
      </w:r>
      <w:r w:rsidR="00751B1F" w:rsidRPr="00A30FDD">
        <w:rPr>
          <w:rFonts w:ascii="Verdana" w:eastAsia="Calibri" w:hAnsi="Verdana" w:cs="Arial"/>
          <w:lang w:val="es-ES"/>
        </w:rPr>
        <w:t>cooperación</w:t>
      </w:r>
      <w:r w:rsidRPr="00A30FDD">
        <w:rPr>
          <w:rFonts w:ascii="Verdana" w:eastAsia="Calibri" w:hAnsi="Verdana" w:cs="Arial"/>
          <w:lang w:val="es-ES"/>
        </w:rPr>
        <w:t xml:space="preserve">, asistencia o ayudas internacionales. Al analizar su constitucionalidad, la Corte señaló que: </w:t>
      </w:r>
    </w:p>
    <w:p w14:paraId="79723FBB" w14:textId="77777777" w:rsidR="00C55EF3" w:rsidRPr="00A30FDD" w:rsidRDefault="00C55EF3" w:rsidP="00C55EF3">
      <w:pPr>
        <w:spacing w:after="0" w:line="240" w:lineRule="auto"/>
        <w:ind w:left="709" w:right="709"/>
        <w:contextualSpacing/>
        <w:jc w:val="both"/>
        <w:rPr>
          <w:rFonts w:ascii="Verdana" w:eastAsia="Calibri" w:hAnsi="Verdana" w:cs="Arial"/>
          <w:sz w:val="21"/>
          <w:szCs w:val="21"/>
          <w:lang w:val="es-ES"/>
        </w:rPr>
      </w:pPr>
    </w:p>
    <w:p w14:paraId="0FA6DFB2" w14:textId="5BFA0A8B" w:rsidR="004532BE" w:rsidRPr="00A30FDD" w:rsidRDefault="004532BE" w:rsidP="00C55EF3">
      <w:pPr>
        <w:spacing w:after="0" w:line="240" w:lineRule="auto"/>
        <w:ind w:left="709" w:right="709"/>
        <w:contextualSpacing/>
        <w:jc w:val="both"/>
        <w:rPr>
          <w:rFonts w:ascii="Verdana" w:eastAsia="Calibri" w:hAnsi="Verdana" w:cs="Arial"/>
          <w:sz w:val="21"/>
          <w:szCs w:val="21"/>
          <w:lang w:val="es-ES"/>
        </w:rPr>
      </w:pPr>
      <w:r w:rsidRPr="00A30FDD">
        <w:rPr>
          <w:rFonts w:ascii="Verdana" w:eastAsia="Calibri" w:hAnsi="Verdana" w:cs="Arial"/>
          <w:sz w:val="21"/>
          <w:szCs w:val="21"/>
          <w:lang w:val="es-ES"/>
        </w:rPr>
        <w:t xml:space="preserve">"[...] como acertadamente lo expresa la Vista Fiscal, el inciso cuarto del artículo impugnado </w:t>
      </w:r>
      <w:r w:rsidR="00843E58" w:rsidRPr="00A30FDD">
        <w:rPr>
          <w:rFonts w:ascii="Verdana" w:eastAsia="Calibri" w:hAnsi="Verdana" w:cs="Arial"/>
          <w:sz w:val="21"/>
          <w:szCs w:val="21"/>
          <w:lang w:val="es-ES"/>
        </w:rPr>
        <w:t>entraña</w:t>
      </w:r>
      <w:r w:rsidRPr="00A30FDD">
        <w:rPr>
          <w:rFonts w:ascii="Verdana" w:eastAsia="Calibri" w:hAnsi="Verdana" w:cs="Arial"/>
          <w:sz w:val="21"/>
          <w:szCs w:val="21"/>
          <w:lang w:val="es-ES"/>
        </w:rPr>
        <w:t xml:space="preserve"> un precepto especial de contratación, que por virtud de la misma ley 80 de 1993 permite la </w:t>
      </w:r>
      <w:r w:rsidR="00843E58" w:rsidRPr="00A30FDD">
        <w:rPr>
          <w:rFonts w:ascii="Verdana" w:eastAsia="Calibri" w:hAnsi="Verdana" w:cs="Arial"/>
          <w:sz w:val="21"/>
          <w:szCs w:val="21"/>
          <w:lang w:val="es-ES"/>
        </w:rPr>
        <w:t>inaplicación</w:t>
      </w:r>
      <w:r w:rsidRPr="00A30FDD">
        <w:rPr>
          <w:rFonts w:ascii="Verdana" w:eastAsia="Calibri" w:hAnsi="Verdana" w:cs="Arial"/>
          <w:sz w:val="21"/>
          <w:szCs w:val="21"/>
          <w:lang w:val="es-ES"/>
        </w:rPr>
        <w:t xml:space="preserve"> del Estatuto de Contratación Pública en la </w:t>
      </w:r>
      <w:r w:rsidR="00843E58" w:rsidRPr="00A30FDD">
        <w:rPr>
          <w:rFonts w:ascii="Verdana" w:eastAsia="Calibri" w:hAnsi="Verdana" w:cs="Arial"/>
          <w:sz w:val="21"/>
          <w:szCs w:val="21"/>
          <w:lang w:val="es-ES"/>
        </w:rPr>
        <w:t>hipótesis</w:t>
      </w:r>
      <w:r w:rsidRPr="00A30FDD">
        <w:rPr>
          <w:rFonts w:ascii="Verdana" w:eastAsia="Calibri" w:hAnsi="Verdana" w:cs="Arial"/>
          <w:sz w:val="21"/>
          <w:szCs w:val="21"/>
          <w:lang w:val="es-ES"/>
        </w:rPr>
        <w:t xml:space="preserve"> de los contratos relativos a fondos percibidos de los </w:t>
      </w:r>
      <w:r w:rsidRPr="00A30FDD">
        <w:rPr>
          <w:rFonts w:ascii="Verdana" w:eastAsia="Calibri" w:hAnsi="Verdana" w:cs="Arial"/>
          <w:i/>
          <w:iCs/>
          <w:sz w:val="21"/>
          <w:szCs w:val="21"/>
          <w:lang w:val="es-ES"/>
        </w:rPr>
        <w:t>organismos multilaterales de crédito</w:t>
      </w:r>
      <w:r w:rsidRPr="00A30FDD">
        <w:rPr>
          <w:rFonts w:ascii="Verdana" w:eastAsia="Calibri" w:hAnsi="Verdana" w:cs="Arial"/>
          <w:sz w:val="21"/>
          <w:szCs w:val="21"/>
          <w:lang w:val="es-ES"/>
        </w:rPr>
        <w:t xml:space="preserve"> o celebrados con personas extranjeras de derecho público u </w:t>
      </w:r>
      <w:r w:rsidRPr="00A30FDD">
        <w:rPr>
          <w:rFonts w:ascii="Verdana" w:eastAsia="Calibri" w:hAnsi="Verdana" w:cs="Arial"/>
          <w:i/>
          <w:iCs/>
          <w:sz w:val="21"/>
          <w:szCs w:val="21"/>
          <w:lang w:val="es-ES"/>
        </w:rPr>
        <w:t>organismos de cooperación, asistencia o ayuda internacionales</w:t>
      </w:r>
      <w:r w:rsidRPr="00A30FDD">
        <w:rPr>
          <w:rFonts w:ascii="Verdana" w:eastAsia="Calibri" w:hAnsi="Verdana" w:cs="Arial"/>
          <w:sz w:val="21"/>
          <w:szCs w:val="21"/>
          <w:lang w:val="es-ES"/>
        </w:rPr>
        <w:t xml:space="preserve">. Lo cual encuentra </w:t>
      </w:r>
      <w:r w:rsidR="00843E58" w:rsidRPr="00A30FDD">
        <w:rPr>
          <w:rFonts w:ascii="Verdana" w:eastAsia="Calibri" w:hAnsi="Verdana" w:cs="Arial"/>
          <w:sz w:val="21"/>
          <w:szCs w:val="21"/>
          <w:lang w:val="es-ES"/>
        </w:rPr>
        <w:t>justificación</w:t>
      </w:r>
      <w:r w:rsidRPr="00A30FDD">
        <w:rPr>
          <w:rFonts w:ascii="Verdana" w:eastAsia="Calibri" w:hAnsi="Verdana" w:cs="Arial"/>
          <w:sz w:val="21"/>
          <w:szCs w:val="21"/>
          <w:lang w:val="es-ES"/>
        </w:rPr>
        <w:t xml:space="preserve"> en el hecho de que Colombia hace parte de esos organismos internacionales, como por ejemplo el FMI o el BID, y al hacer parte de ellos puede aceptar sus estatutos y régimen de contratación en cumplimiento de convenios, tratados y resoluciones de entidades supranacionales en los que el </w:t>
      </w:r>
      <w:r w:rsidR="00843E58" w:rsidRPr="00A30FDD">
        <w:rPr>
          <w:rFonts w:ascii="Verdana" w:eastAsia="Calibri" w:hAnsi="Verdana" w:cs="Arial"/>
          <w:sz w:val="21"/>
          <w:szCs w:val="21"/>
          <w:lang w:val="es-ES"/>
        </w:rPr>
        <w:t>país</w:t>
      </w:r>
      <w:r w:rsidRPr="00A30FDD">
        <w:rPr>
          <w:rFonts w:ascii="Verdana" w:eastAsia="Calibri" w:hAnsi="Verdana" w:cs="Arial"/>
          <w:sz w:val="21"/>
          <w:szCs w:val="21"/>
          <w:lang w:val="es-ES"/>
        </w:rPr>
        <w:t xml:space="preserve"> ha participado activamente, </w:t>
      </w:r>
      <w:r w:rsidRPr="00A30FDD">
        <w:rPr>
          <w:rFonts w:ascii="Verdana" w:eastAsia="Calibri" w:hAnsi="Verdana" w:cs="Arial"/>
          <w:i/>
          <w:iCs/>
          <w:sz w:val="21"/>
          <w:szCs w:val="21"/>
          <w:u w:val="single"/>
          <w:lang w:val="es-ES"/>
        </w:rPr>
        <w:t>como la ONU y la OEA, con sus filiales</w:t>
      </w:r>
      <w:r w:rsidRPr="00A30FDD">
        <w:rPr>
          <w:rFonts w:ascii="Verdana" w:eastAsia="Calibri" w:hAnsi="Verdana" w:cs="Arial"/>
          <w:sz w:val="21"/>
          <w:szCs w:val="21"/>
          <w:lang w:val="es-ES"/>
        </w:rPr>
        <w:t xml:space="preserve"> […] o es razonable desconocer la voluntad de los donantes, la cual se puede plasmar en la decisión de que la entidad receptora acoja sus reglamentos, mediante los cuales pueda intervenir en la formación, adjudicación y ejecución de los contratos financiados con sus recursos"</w:t>
      </w:r>
      <w:r w:rsidRPr="00A30FDD">
        <w:rPr>
          <w:rStyle w:val="Refdenotaalpie"/>
          <w:rFonts w:ascii="Verdana" w:eastAsia="Calibri" w:hAnsi="Verdana" w:cs="Arial"/>
          <w:sz w:val="21"/>
          <w:szCs w:val="21"/>
          <w:lang w:val="es-ES"/>
        </w:rPr>
        <w:footnoteReference w:id="8"/>
      </w:r>
      <w:r w:rsidRPr="00A30FDD">
        <w:rPr>
          <w:rFonts w:ascii="Verdana" w:eastAsia="Calibri" w:hAnsi="Verdana" w:cs="Arial"/>
          <w:sz w:val="21"/>
          <w:szCs w:val="21"/>
          <w:lang w:val="es-ES"/>
        </w:rPr>
        <w:t xml:space="preserve">. </w:t>
      </w:r>
      <w:r w:rsidR="00843E58" w:rsidRPr="00A30FDD">
        <w:rPr>
          <w:rFonts w:ascii="Verdana" w:eastAsia="Calibri" w:hAnsi="Verdana" w:cs="Arial"/>
          <w:sz w:val="21"/>
          <w:szCs w:val="21"/>
          <w:lang w:val="es-ES"/>
        </w:rPr>
        <w:t>[Énfasis propio]</w:t>
      </w:r>
    </w:p>
    <w:p w14:paraId="50A9701E" w14:textId="77777777" w:rsidR="00C55EF3" w:rsidRPr="00A30FDD" w:rsidRDefault="00C55EF3" w:rsidP="00C55EF3">
      <w:pPr>
        <w:spacing w:after="0" w:line="276" w:lineRule="auto"/>
        <w:ind w:firstLine="709"/>
        <w:contextualSpacing/>
        <w:jc w:val="both"/>
        <w:rPr>
          <w:rFonts w:ascii="Verdana" w:eastAsia="Calibri" w:hAnsi="Verdana" w:cs="Arial"/>
          <w:sz w:val="21"/>
          <w:szCs w:val="21"/>
          <w:lang w:val="es-ES"/>
        </w:rPr>
      </w:pPr>
    </w:p>
    <w:p w14:paraId="2F873F65" w14:textId="4DFAC344" w:rsidR="004532BE" w:rsidRPr="00A30FDD" w:rsidRDefault="004C515D" w:rsidP="004C515D">
      <w:pPr>
        <w:spacing w:before="120" w:after="120" w:line="276" w:lineRule="auto"/>
        <w:ind w:firstLine="709"/>
        <w:jc w:val="both"/>
        <w:rPr>
          <w:rFonts w:ascii="Verdana" w:eastAsia="Calibri" w:hAnsi="Verdana" w:cs="Arial"/>
          <w:sz w:val="21"/>
          <w:szCs w:val="21"/>
          <w:lang w:val="es-ES"/>
        </w:rPr>
      </w:pPr>
      <w:r w:rsidRPr="00A30FDD">
        <w:rPr>
          <w:rFonts w:ascii="Verdana" w:eastAsia="Calibri" w:hAnsi="Verdana" w:cs="Arial"/>
          <w:sz w:val="21"/>
          <w:szCs w:val="21"/>
          <w:lang w:val="es-ES"/>
        </w:rPr>
        <w:t xml:space="preserve">En este sentido, el inciso cuarto del artículo 13 de la Ley 80 de 1993 perseguía que los contratos financiados con recursos provenientes del extranjero no se sometieran necesariamente al EGCAP, debido a la naturaleza de dichos entes y “a las barreras y obstáculos que pueden presentarse para obtener esos recursos, es decir, que en la </w:t>
      </w:r>
      <w:r w:rsidR="00690CB8" w:rsidRPr="00A30FDD">
        <w:rPr>
          <w:rFonts w:ascii="Verdana" w:eastAsia="Calibri" w:hAnsi="Verdana" w:cs="Arial"/>
          <w:sz w:val="21"/>
          <w:szCs w:val="21"/>
          <w:lang w:val="es-ES"/>
        </w:rPr>
        <w:t>práctica</w:t>
      </w:r>
      <w:r w:rsidRPr="00A30FDD">
        <w:rPr>
          <w:rFonts w:ascii="Verdana" w:eastAsia="Calibri" w:hAnsi="Verdana" w:cs="Arial"/>
          <w:sz w:val="21"/>
          <w:szCs w:val="21"/>
          <w:lang w:val="es-ES"/>
        </w:rPr>
        <w:t xml:space="preserve"> difcilmente se podrá acceder a esos fondos si unilateralmente las Entidades Públicas quieren imponer la aplicación del estatuto contractual”</w:t>
      </w:r>
      <w:r w:rsidR="004532BE" w:rsidRPr="00A30FDD">
        <w:rPr>
          <w:rStyle w:val="Refdenotaalpie"/>
          <w:rFonts w:ascii="Verdana" w:eastAsia="Calibri" w:hAnsi="Verdana" w:cs="Arial"/>
          <w:sz w:val="21"/>
          <w:szCs w:val="21"/>
          <w:lang w:val="es-ES"/>
        </w:rPr>
        <w:footnoteReference w:id="9"/>
      </w:r>
      <w:r w:rsidR="004532BE" w:rsidRPr="00A30FDD">
        <w:rPr>
          <w:rFonts w:ascii="Verdana" w:eastAsia="Calibri" w:hAnsi="Verdana" w:cs="Arial"/>
          <w:sz w:val="21"/>
          <w:szCs w:val="21"/>
          <w:lang w:val="es-ES"/>
        </w:rPr>
        <w:t xml:space="preserve">. </w:t>
      </w:r>
    </w:p>
    <w:p w14:paraId="3F9CD158" w14:textId="0AF05F2B" w:rsidR="004C515D" w:rsidRPr="00A30FDD" w:rsidRDefault="004C515D" w:rsidP="004C515D">
      <w:pPr>
        <w:spacing w:after="120" w:line="276" w:lineRule="auto"/>
        <w:ind w:firstLine="708"/>
        <w:jc w:val="both"/>
        <w:rPr>
          <w:rFonts w:ascii="Verdana" w:hAnsi="Verdana" w:cs="Arial"/>
          <w:lang w:val="es-ES"/>
        </w:rPr>
      </w:pPr>
      <w:r w:rsidRPr="00A30FDD">
        <w:rPr>
          <w:rFonts w:ascii="Verdana" w:hAnsi="Verdana" w:cs="Arial"/>
          <w:lang w:val="es-ES"/>
        </w:rPr>
        <w:t>Por lo anterior, la Corte consideró apenas obvia la aplicación de sus reglamentos internos, que “corresponden a pol</w:t>
      </w:r>
      <w:r w:rsidR="00843E58" w:rsidRPr="00A30FDD">
        <w:rPr>
          <w:rFonts w:ascii="Verdana" w:hAnsi="Verdana" w:cs="Arial"/>
          <w:lang w:val="es-ES"/>
        </w:rPr>
        <w:t>í</w:t>
      </w:r>
      <w:r w:rsidRPr="00A30FDD">
        <w:rPr>
          <w:rFonts w:ascii="Verdana" w:hAnsi="Verdana" w:cs="Arial"/>
          <w:lang w:val="es-ES"/>
        </w:rPr>
        <w:t xml:space="preserve">ticas adoptadas en el marco del derecho internacional, en cumplimiento de convenios, tratados y resoluciones de entidades supranacionales en los que el </w:t>
      </w:r>
      <w:r w:rsidR="00690CB8" w:rsidRPr="00A30FDD">
        <w:rPr>
          <w:rFonts w:ascii="Verdana" w:hAnsi="Verdana" w:cs="Arial"/>
          <w:lang w:val="es-ES"/>
        </w:rPr>
        <w:t>país</w:t>
      </w:r>
      <w:r w:rsidRPr="00A30FDD">
        <w:rPr>
          <w:rFonts w:ascii="Verdana" w:hAnsi="Verdana" w:cs="Arial"/>
          <w:lang w:val="es-ES"/>
        </w:rPr>
        <w:t xml:space="preserve"> ha participado activamente, </w:t>
      </w:r>
      <w:r w:rsidRPr="00A30FDD">
        <w:rPr>
          <w:rFonts w:ascii="Verdana" w:hAnsi="Verdana" w:cs="Arial"/>
          <w:lang w:val="es-ES"/>
        </w:rPr>
        <w:lastRenderedPageBreak/>
        <w:t>como la ONU y la OEA, con sus filiales”. Adicionalmente, consideró que no es razonable desconocer la voluntad de un donante de los recursos de que la entidad receptora acoja sus reglamentos, con lo que puede determinar</w:t>
      </w:r>
      <w:r w:rsidR="00843E58" w:rsidRPr="00A30FDD">
        <w:rPr>
          <w:rFonts w:ascii="Verdana" w:hAnsi="Verdana" w:cs="Arial"/>
          <w:lang w:val="es-ES"/>
        </w:rPr>
        <w:t xml:space="preserve"> </w:t>
      </w:r>
      <w:r w:rsidRPr="00A30FDD">
        <w:rPr>
          <w:rFonts w:ascii="Verdana" w:hAnsi="Verdana" w:cs="Arial"/>
          <w:i/>
          <w:iCs/>
          <w:lang w:val="es-ES"/>
        </w:rPr>
        <w:t>la formación, adjudicación y ejecución de los contratos que está financiando</w:t>
      </w:r>
      <w:r w:rsidRPr="00A30FDD">
        <w:rPr>
          <w:rFonts w:ascii="Verdana" w:hAnsi="Verdana" w:cs="Arial"/>
          <w:lang w:val="es-ES"/>
        </w:rPr>
        <w:t xml:space="preserve">. </w:t>
      </w:r>
    </w:p>
    <w:p w14:paraId="7E17EC9D" w14:textId="66F77E75" w:rsidR="004C515D" w:rsidRPr="00A30FDD" w:rsidRDefault="004C515D" w:rsidP="004C515D">
      <w:pPr>
        <w:spacing w:after="120" w:line="276" w:lineRule="auto"/>
        <w:ind w:firstLine="708"/>
        <w:jc w:val="both"/>
        <w:rPr>
          <w:rFonts w:ascii="Verdana" w:hAnsi="Verdana" w:cs="Arial"/>
          <w:lang w:val="es-ES"/>
        </w:rPr>
      </w:pPr>
      <w:r w:rsidRPr="00A30FDD">
        <w:rPr>
          <w:rFonts w:ascii="Verdana" w:hAnsi="Verdana" w:cs="Arial"/>
          <w:lang w:val="es-ES"/>
        </w:rPr>
        <w:t>Aunque el inciso cuarto del artículo 13 de la L</w:t>
      </w:r>
      <w:r w:rsidR="000001C8" w:rsidRPr="00A30FDD">
        <w:rPr>
          <w:rFonts w:ascii="Verdana" w:hAnsi="Verdana" w:cs="Arial"/>
          <w:lang w:val="es-ES"/>
        </w:rPr>
        <w:t>ey</w:t>
      </w:r>
      <w:r w:rsidRPr="00A30FDD">
        <w:rPr>
          <w:rFonts w:ascii="Verdana" w:hAnsi="Verdana" w:cs="Arial"/>
          <w:lang w:val="es-ES"/>
        </w:rPr>
        <w:t xml:space="preserve"> 80 de 1993 no se refirió concretamente a los “entes gubernamentales extranjeros”, el análisis de la Corte Constitucional permite dilucidar aspectos importantes sobre otros sujetos. Un aspecto relevante es que identifica expresamente como “</w:t>
      </w:r>
      <w:r w:rsidRPr="00A30FDD">
        <w:rPr>
          <w:rFonts w:ascii="Verdana" w:hAnsi="Verdana" w:cs="Arial"/>
          <w:i/>
          <w:iCs/>
          <w:lang w:val="es-ES"/>
        </w:rPr>
        <w:t>organismos multilaterales de crédito</w:t>
      </w:r>
      <w:r w:rsidRPr="00A30FDD">
        <w:rPr>
          <w:rFonts w:ascii="Verdana" w:hAnsi="Verdana" w:cs="Arial"/>
          <w:lang w:val="es-ES"/>
        </w:rPr>
        <w:t>” al FMI y al BID, as</w:t>
      </w:r>
      <w:r w:rsidR="00843E58" w:rsidRPr="00A30FDD">
        <w:rPr>
          <w:rFonts w:ascii="Verdana" w:hAnsi="Verdana" w:cs="Arial"/>
          <w:lang w:val="es-ES"/>
        </w:rPr>
        <w:t>í</w:t>
      </w:r>
      <w:r w:rsidRPr="00A30FDD">
        <w:rPr>
          <w:rFonts w:ascii="Verdana" w:hAnsi="Verdana" w:cs="Arial"/>
          <w:lang w:val="es-ES"/>
        </w:rPr>
        <w:t xml:space="preserve"> como las razones que fundamentan la aplicación de sus reglamentos. Esta descripción permite delimitar y caracterizar los primeros sujetos a los cuales se refiere el último supuesto del inciso segundo del artículo 20 de la Ley 1150 de 2007. </w:t>
      </w:r>
    </w:p>
    <w:p w14:paraId="00A2173C" w14:textId="380725BE" w:rsidR="007F7E4B" w:rsidRPr="00A30FDD" w:rsidRDefault="004C515D" w:rsidP="004C515D">
      <w:pPr>
        <w:spacing w:after="120" w:line="276" w:lineRule="auto"/>
        <w:ind w:firstLine="708"/>
        <w:jc w:val="both"/>
        <w:rPr>
          <w:rFonts w:ascii="Verdana" w:hAnsi="Verdana" w:cs="Arial"/>
          <w:lang w:val="es-ES"/>
        </w:rPr>
      </w:pPr>
      <w:r w:rsidRPr="00A30FDD">
        <w:rPr>
          <w:rFonts w:ascii="Verdana" w:hAnsi="Verdana" w:cs="Arial"/>
          <w:lang w:val="es-ES"/>
        </w:rPr>
        <w:t xml:space="preserve">El FMI y el Banco Mundial fueron creados en el marco de la conferencia realizada en Bretton Woods, </w:t>
      </w:r>
      <w:proofErr w:type="gramStart"/>
      <w:r w:rsidRPr="00A30FDD">
        <w:rPr>
          <w:rFonts w:ascii="Verdana" w:hAnsi="Verdana" w:cs="Arial"/>
          <w:lang w:val="es-ES"/>
        </w:rPr>
        <w:t>New Hampshire</w:t>
      </w:r>
      <w:proofErr w:type="gramEnd"/>
      <w:r w:rsidRPr="00A30FDD">
        <w:rPr>
          <w:rFonts w:ascii="Verdana" w:hAnsi="Verdana" w:cs="Arial"/>
          <w:lang w:val="es-ES"/>
        </w:rPr>
        <w:t xml:space="preserve">, en 1944 con el objetivo de reconstruir la economía de la posguerra y promover la cooperación económica internacional. Además de las señaladas, las instituciones creadas posteriormente como resultado de la conferencia incluyen a la Organización Mundial del Comercio (OMC), así como a los bancos regionales multilaterales de desarrollo, como es el caso del BID, el Banco Africano de Desarrollo, el Banco Asiático de Desarrollo, y el Banco Europeo para la </w:t>
      </w:r>
      <w:r w:rsidR="00690CB8" w:rsidRPr="00A30FDD">
        <w:rPr>
          <w:rFonts w:ascii="Verdana" w:hAnsi="Verdana" w:cs="Arial"/>
          <w:lang w:val="es-ES"/>
        </w:rPr>
        <w:t>Reconstrucción</w:t>
      </w:r>
      <w:r w:rsidRPr="00A30FDD">
        <w:rPr>
          <w:rFonts w:ascii="Verdana" w:hAnsi="Verdana" w:cs="Arial"/>
          <w:lang w:val="es-ES"/>
        </w:rPr>
        <w:t xml:space="preserve"> y el Desarrollo</w:t>
      </w:r>
      <w:r w:rsidR="007F7E4B" w:rsidRPr="00A30FDD">
        <w:rPr>
          <w:rStyle w:val="Refdenotaalpie"/>
          <w:rFonts w:ascii="Verdana" w:hAnsi="Verdana" w:cs="Arial"/>
          <w:lang w:val="es-ES"/>
        </w:rPr>
        <w:footnoteReference w:id="10"/>
      </w:r>
      <w:r w:rsidR="007F7E4B" w:rsidRPr="00A30FDD">
        <w:rPr>
          <w:rFonts w:ascii="Verdana" w:hAnsi="Verdana" w:cs="Arial"/>
          <w:lang w:val="es-ES"/>
        </w:rPr>
        <w:t xml:space="preserve">. En términos generales, estos organismos se caracterizan porque </w:t>
      </w:r>
      <w:r w:rsidR="007F7E4B" w:rsidRPr="00A30FDD">
        <w:rPr>
          <w:rFonts w:ascii="Verdana" w:hAnsi="Verdana" w:cs="Arial"/>
          <w:i/>
          <w:iCs/>
          <w:lang w:val="es-ES"/>
        </w:rPr>
        <w:t xml:space="preserve">buscan proveer asistencia financiera y técnica </w:t>
      </w:r>
      <w:r w:rsidR="002C048F" w:rsidRPr="00A30FDD">
        <w:rPr>
          <w:rFonts w:ascii="Verdana" w:hAnsi="Verdana" w:cs="Arial"/>
          <w:i/>
          <w:iCs/>
          <w:lang w:val="es-ES"/>
        </w:rPr>
        <w:t>para</w:t>
      </w:r>
      <w:r w:rsidR="007F7E4B" w:rsidRPr="00A30FDD">
        <w:rPr>
          <w:rFonts w:ascii="Verdana" w:hAnsi="Verdana" w:cs="Arial"/>
          <w:i/>
          <w:iCs/>
          <w:lang w:val="es-ES"/>
        </w:rPr>
        <w:t xml:space="preserve"> proyectos de desarrollo en el sector privado y/o público, en</w:t>
      </w:r>
      <w:r w:rsidR="0042771B" w:rsidRPr="00A30FDD">
        <w:rPr>
          <w:rFonts w:ascii="Verdana" w:hAnsi="Verdana" w:cs="Arial"/>
          <w:i/>
          <w:iCs/>
          <w:lang w:val="es-ES"/>
        </w:rPr>
        <w:t xml:space="preserve"> territorios o regiones </w:t>
      </w:r>
      <w:r w:rsidR="000B7517" w:rsidRPr="00A30FDD">
        <w:rPr>
          <w:rFonts w:ascii="Verdana" w:hAnsi="Verdana" w:cs="Arial"/>
          <w:i/>
          <w:iCs/>
          <w:lang w:val="es-ES"/>
        </w:rPr>
        <w:t>específicas</w:t>
      </w:r>
      <w:r w:rsidR="007F7E4B" w:rsidRPr="00A30FDD">
        <w:rPr>
          <w:rFonts w:ascii="Verdana" w:hAnsi="Verdana" w:cs="Arial"/>
          <w:lang w:val="es-ES"/>
        </w:rPr>
        <w:t>.</w:t>
      </w:r>
    </w:p>
    <w:p w14:paraId="17B26A56" w14:textId="24B518B7" w:rsidR="004C515D" w:rsidRPr="00A30FDD" w:rsidRDefault="004C515D" w:rsidP="004C515D">
      <w:pPr>
        <w:spacing w:after="120" w:line="276" w:lineRule="auto"/>
        <w:ind w:firstLine="708"/>
        <w:jc w:val="both"/>
        <w:rPr>
          <w:rFonts w:ascii="Verdana" w:hAnsi="Verdana" w:cs="Arial"/>
          <w:lang w:val="es-ES"/>
        </w:rPr>
      </w:pPr>
      <w:r w:rsidRPr="00A30FDD">
        <w:rPr>
          <w:rFonts w:ascii="Verdana" w:hAnsi="Verdana" w:cs="Arial"/>
          <w:lang w:val="es-ES"/>
        </w:rPr>
        <w:t>Se trata entonces de organizaciones o instituciones financieras internacionales (</w:t>
      </w:r>
      <w:proofErr w:type="spellStart"/>
      <w:r w:rsidRPr="00A30FDD">
        <w:rPr>
          <w:rFonts w:ascii="Verdana" w:hAnsi="Verdana" w:cs="Arial"/>
          <w:lang w:val="es-ES"/>
        </w:rPr>
        <w:t>IFIs</w:t>
      </w:r>
      <w:proofErr w:type="spellEnd"/>
      <w:r w:rsidRPr="00A30FDD">
        <w:rPr>
          <w:rFonts w:ascii="Verdana" w:hAnsi="Verdana" w:cs="Arial"/>
          <w:lang w:val="es-ES"/>
        </w:rPr>
        <w:t xml:space="preserve">) que se encuentran conformados por varios Estados que participan como accionistas y cuyos aportes constituyen el capital social. Además, una fuente de sus fondos son las agencias de cooperación de algunos Estados que los otorgan como no reembolsables o préstamos de tasas bajas. Con </w:t>
      </w:r>
      <w:proofErr w:type="spellStart"/>
      <w:r w:rsidRPr="00A30FDD">
        <w:rPr>
          <w:rFonts w:ascii="Verdana" w:hAnsi="Verdana" w:cs="Arial"/>
          <w:lang w:val="es-ES"/>
        </w:rPr>
        <w:t>éstos</w:t>
      </w:r>
      <w:proofErr w:type="spellEnd"/>
      <w:r w:rsidRPr="00A30FDD">
        <w:rPr>
          <w:rFonts w:ascii="Verdana" w:hAnsi="Verdana" w:cs="Arial"/>
          <w:lang w:val="es-ES"/>
        </w:rPr>
        <w:t xml:space="preserve"> fondos, las </w:t>
      </w:r>
      <w:proofErr w:type="spellStart"/>
      <w:r w:rsidRPr="00A30FDD">
        <w:rPr>
          <w:rFonts w:ascii="Verdana" w:hAnsi="Verdana" w:cs="Arial"/>
          <w:lang w:val="es-ES"/>
        </w:rPr>
        <w:t>IFIs</w:t>
      </w:r>
      <w:proofErr w:type="spellEnd"/>
      <w:r w:rsidRPr="00A30FDD">
        <w:rPr>
          <w:rFonts w:ascii="Verdana" w:hAnsi="Verdana" w:cs="Arial"/>
          <w:lang w:val="es-ES"/>
        </w:rPr>
        <w:t xml:space="preserve"> brindan financiamiento a los estados a través de mecanismos de inyección de capital, como la emisión de bonos u otorgando préstamos a los estados miembro, bajo el cumplimiento de ciertas condiciones. Estos sujetos también incluyen, por ejemplo, a los bancos regionales o subregionales de desarrollo, como el Banco de Desarrollo del Caribe (BDC), el </w:t>
      </w:r>
      <w:r w:rsidRPr="00A30FDD">
        <w:rPr>
          <w:rFonts w:ascii="Verdana" w:hAnsi="Verdana" w:cs="Arial"/>
          <w:lang w:val="es-ES"/>
        </w:rPr>
        <w:lastRenderedPageBreak/>
        <w:t xml:space="preserve">Banco de Desarrollo de América Latina (CAF) o el Banco Centroamericano de Integración Económica (BCIE). </w:t>
      </w:r>
    </w:p>
    <w:p w14:paraId="67AD3152" w14:textId="77777777" w:rsidR="004C515D" w:rsidRPr="00A30FDD" w:rsidRDefault="004C515D" w:rsidP="004C515D">
      <w:pPr>
        <w:spacing w:after="120" w:line="276" w:lineRule="auto"/>
        <w:ind w:firstLine="708"/>
        <w:jc w:val="both"/>
        <w:rPr>
          <w:rFonts w:ascii="Verdana" w:hAnsi="Verdana" w:cs="Arial"/>
          <w:color w:val="000000" w:themeColor="text1"/>
          <w:lang w:val="es-ES"/>
        </w:rPr>
      </w:pPr>
      <w:r w:rsidRPr="00A30FDD">
        <w:rPr>
          <w:rFonts w:ascii="Verdana" w:hAnsi="Verdana" w:cs="Arial"/>
          <w:color w:val="000000" w:themeColor="text1"/>
          <w:lang w:val="es-ES"/>
        </w:rPr>
        <w:t xml:space="preserve">En efecto, cuando las Entidades Estatales celebren contratos o acuerdos con fondos de organizaciones o Instituciones Financieras Internacionales, será aplicable el último supuesto del inciso segundo del artículo 20 de la ley 1150 de 2007. De este modo, al tratarse de convenios o acuerdos que cuentan con fondos de </w:t>
      </w:r>
      <w:r w:rsidRPr="00A30FDD">
        <w:rPr>
          <w:rFonts w:ascii="Verdana" w:hAnsi="Verdana" w:cs="Arial"/>
          <w:i/>
          <w:iCs/>
          <w:color w:val="000000" w:themeColor="text1"/>
          <w:lang w:val="es-ES"/>
        </w:rPr>
        <w:t>organismos multilaterales de crédito</w:t>
      </w:r>
      <w:r w:rsidRPr="00A30FDD">
        <w:rPr>
          <w:rFonts w:ascii="Verdana" w:hAnsi="Verdana" w:cs="Arial"/>
          <w:color w:val="000000" w:themeColor="text1"/>
          <w:lang w:val="es-ES"/>
        </w:rPr>
        <w:t xml:space="preserve">, podrán optar por regirse por sus reglamentos, con independencia del porcentaje de financiamiento o aportes que otorguen éstos organismos. </w:t>
      </w:r>
    </w:p>
    <w:p w14:paraId="53FBECE5" w14:textId="5F3C3F84" w:rsidR="00A21491" w:rsidRPr="00A30FDD" w:rsidRDefault="004C515D" w:rsidP="004C515D">
      <w:pPr>
        <w:spacing w:after="120" w:line="276" w:lineRule="auto"/>
        <w:ind w:firstLine="708"/>
        <w:jc w:val="both"/>
        <w:rPr>
          <w:rFonts w:ascii="Verdana" w:hAnsi="Verdana" w:cs="Arial"/>
          <w:color w:val="000000" w:themeColor="text1"/>
          <w:lang w:val="es-ES"/>
        </w:rPr>
      </w:pPr>
      <w:r w:rsidRPr="00A30FDD">
        <w:rPr>
          <w:rFonts w:ascii="Verdana" w:hAnsi="Verdana" w:cs="Arial"/>
          <w:color w:val="000000" w:themeColor="text1"/>
          <w:lang w:val="es-ES"/>
        </w:rPr>
        <w:t>De esta forma, el segundo inciso del artículo 20 de la Ley 1150 de 2007 permite que las Entidades Estatales sometidas al EGCAP se rijan por los reglamentos de los organismos multilaterales de crédito. En tal sentido, señalan que “La excepción bajo análisis abarca la contratación que haga una entidad regida por las Leyes 80 de 1993 y 1150 de 2007 [...], que va a pagar los contratos que celebre con recursos que haya obtenido de un crédito con un organismo multilateral de crédito”</w:t>
      </w:r>
      <w:r w:rsidR="00A21491" w:rsidRPr="00A30FDD">
        <w:rPr>
          <w:rStyle w:val="Refdenotaalpie"/>
          <w:rFonts w:ascii="Verdana" w:hAnsi="Verdana" w:cs="Arial"/>
          <w:color w:val="000000" w:themeColor="text1"/>
          <w:lang w:val="es-ES"/>
        </w:rPr>
        <w:footnoteReference w:id="11"/>
      </w:r>
      <w:r w:rsidR="00A21491" w:rsidRPr="00A30FDD">
        <w:rPr>
          <w:rFonts w:ascii="Verdana" w:hAnsi="Verdana" w:cs="Arial"/>
          <w:color w:val="000000" w:themeColor="text1"/>
          <w:lang w:val="es-ES"/>
        </w:rPr>
        <w:t xml:space="preserve">. </w:t>
      </w:r>
    </w:p>
    <w:p w14:paraId="39896FB9" w14:textId="2025CDE3" w:rsidR="00CB3D08" w:rsidRPr="00A30FDD" w:rsidRDefault="002662B6" w:rsidP="004C515D">
      <w:pPr>
        <w:spacing w:after="120" w:line="276" w:lineRule="auto"/>
        <w:ind w:firstLine="708"/>
        <w:jc w:val="both"/>
        <w:rPr>
          <w:rFonts w:ascii="Verdana" w:hAnsi="Verdana" w:cs="Arial"/>
          <w:lang w:val="es-ES"/>
        </w:rPr>
      </w:pPr>
      <w:r w:rsidRPr="00A30FDD">
        <w:rPr>
          <w:rFonts w:ascii="Verdana" w:hAnsi="Verdana" w:cs="Arial"/>
          <w:lang w:val="es-ES"/>
        </w:rPr>
        <w:t>Ahora bien,</w:t>
      </w:r>
      <w:r w:rsidR="003B3265" w:rsidRPr="00A30FDD">
        <w:rPr>
          <w:rFonts w:ascii="Verdana" w:hAnsi="Verdana" w:cs="Arial"/>
          <w:lang w:val="es-ES"/>
        </w:rPr>
        <w:t xml:space="preserve"> con respecto </w:t>
      </w:r>
      <w:r w:rsidR="00F857E2" w:rsidRPr="00A30FDD">
        <w:rPr>
          <w:rFonts w:ascii="Verdana" w:hAnsi="Verdana" w:cs="Arial"/>
          <w:lang w:val="es-ES"/>
        </w:rPr>
        <w:t>a la aplicación del inciso primero</w:t>
      </w:r>
      <w:r w:rsidR="003B3265" w:rsidRPr="00A30FDD">
        <w:rPr>
          <w:rFonts w:ascii="Verdana" w:hAnsi="Verdana" w:cs="Arial"/>
          <w:lang w:val="es-ES"/>
        </w:rPr>
        <w:t xml:space="preserve"> para los </w:t>
      </w:r>
      <w:r w:rsidR="003B3265" w:rsidRPr="00A30FDD">
        <w:rPr>
          <w:rFonts w:ascii="Verdana" w:hAnsi="Verdana" w:cs="Arial"/>
          <w:i/>
          <w:iCs/>
          <w:lang w:val="es-ES"/>
        </w:rPr>
        <w:t>organismos de cooperación, asistencia o ayudas internacionales</w:t>
      </w:r>
      <w:r w:rsidR="00F857E2" w:rsidRPr="00A30FDD">
        <w:rPr>
          <w:rFonts w:ascii="Verdana" w:hAnsi="Verdana" w:cs="Arial"/>
          <w:lang w:val="es-ES"/>
        </w:rPr>
        <w:t>, es</w:t>
      </w:r>
      <w:r w:rsidR="00AF65D4" w:rsidRPr="00A30FDD">
        <w:rPr>
          <w:rFonts w:ascii="Verdana" w:hAnsi="Verdana" w:cs="Arial"/>
          <w:lang w:val="es-ES"/>
        </w:rPr>
        <w:t xml:space="preserve"> </w:t>
      </w:r>
      <w:r w:rsidR="00F857E2" w:rsidRPr="00A30FDD">
        <w:rPr>
          <w:rFonts w:ascii="Verdana" w:hAnsi="Verdana" w:cs="Arial"/>
          <w:lang w:val="es-ES"/>
        </w:rPr>
        <w:t xml:space="preserve">importante </w:t>
      </w:r>
      <w:r w:rsidR="00244A3C" w:rsidRPr="00A30FDD">
        <w:rPr>
          <w:rFonts w:ascii="Verdana" w:hAnsi="Verdana" w:cs="Arial"/>
          <w:lang w:val="es-ES"/>
        </w:rPr>
        <w:t xml:space="preserve">aclarar que el </w:t>
      </w:r>
      <w:r w:rsidR="003D5B3E" w:rsidRPr="00A30FDD">
        <w:rPr>
          <w:rFonts w:ascii="Verdana" w:hAnsi="Verdana" w:cs="Arial"/>
          <w:lang w:val="es-ES"/>
        </w:rPr>
        <w:t xml:space="preserve">ordenamiento jurídico </w:t>
      </w:r>
      <w:r w:rsidR="00244A3C" w:rsidRPr="00A30FDD">
        <w:rPr>
          <w:rFonts w:ascii="Verdana" w:hAnsi="Verdana" w:cs="Arial"/>
          <w:lang w:val="es-ES"/>
        </w:rPr>
        <w:t>colombiano no regula expresamente la cooperación internacional no reembolsable, por lo que ha sido entendida como una figura convencional atípica</w:t>
      </w:r>
      <w:r w:rsidR="00244A3C" w:rsidRPr="00A30FDD">
        <w:rPr>
          <w:rStyle w:val="Refdenotaalpie"/>
          <w:rFonts w:ascii="Verdana" w:hAnsi="Verdana" w:cs="Arial"/>
          <w:lang w:val="es-ES"/>
        </w:rPr>
        <w:footnoteReference w:id="12"/>
      </w:r>
      <w:r w:rsidR="00244A3C" w:rsidRPr="00A30FDD">
        <w:rPr>
          <w:rFonts w:ascii="Verdana" w:hAnsi="Verdana" w:cs="Arial"/>
          <w:lang w:val="es-ES"/>
        </w:rPr>
        <w:t>. Sin embargo, las disposiciones relativas al</w:t>
      </w:r>
      <w:r w:rsidR="00F857E2" w:rsidRPr="00A30FDD">
        <w:rPr>
          <w:rFonts w:ascii="Verdana" w:hAnsi="Verdana" w:cs="Arial"/>
          <w:lang w:val="es-ES"/>
        </w:rPr>
        <w:t xml:space="preserve"> </w:t>
      </w:r>
      <w:bookmarkStart w:id="5" w:name="_Hlk148442847"/>
      <w:r w:rsidR="00F857E2" w:rsidRPr="00A30FDD">
        <w:rPr>
          <w:rFonts w:ascii="Verdana" w:hAnsi="Verdana" w:cs="Arial"/>
          <w:lang w:val="es-ES"/>
        </w:rPr>
        <w:t>Sistema Nacional de Cooperación Internacional</w:t>
      </w:r>
      <w:bookmarkEnd w:id="5"/>
      <w:r w:rsidR="00244A3C" w:rsidRPr="00A30FDD">
        <w:rPr>
          <w:rFonts w:ascii="Verdana" w:hAnsi="Verdana" w:cs="Arial"/>
          <w:lang w:val="es-ES"/>
        </w:rPr>
        <w:t xml:space="preserve"> ofrecen indicaciones importantes sobre el ámbito de aplicación de estos sujetos</w:t>
      </w:r>
      <w:r w:rsidR="00AF65D4" w:rsidRPr="00A30FDD">
        <w:rPr>
          <w:rFonts w:ascii="Verdana" w:hAnsi="Verdana" w:cs="Arial"/>
          <w:lang w:val="es-ES"/>
        </w:rPr>
        <w:t>. El Decreto 603 de 2022</w:t>
      </w:r>
      <w:r w:rsidR="00111CA1" w:rsidRPr="00A30FDD">
        <w:rPr>
          <w:rFonts w:ascii="Verdana" w:hAnsi="Verdana" w:cs="Arial"/>
          <w:lang w:val="es-ES"/>
        </w:rPr>
        <w:t xml:space="preserve"> adicionó el</w:t>
      </w:r>
      <w:r w:rsidR="00077603" w:rsidRPr="00A30FDD">
        <w:rPr>
          <w:rFonts w:ascii="Verdana" w:hAnsi="Verdana" w:cs="Arial"/>
          <w:lang w:val="es-ES"/>
        </w:rPr>
        <w:t xml:space="preserve"> Decreto</w:t>
      </w:r>
      <w:r w:rsidR="00111CA1" w:rsidRPr="00A30FDD">
        <w:rPr>
          <w:rFonts w:ascii="Verdana" w:hAnsi="Verdana" w:cs="Arial"/>
          <w:lang w:val="es-ES"/>
        </w:rPr>
        <w:t xml:space="preserve"> </w:t>
      </w:r>
      <w:r w:rsidR="00AF65D4" w:rsidRPr="00A30FDD">
        <w:rPr>
          <w:rFonts w:ascii="Verdana" w:hAnsi="Verdana" w:cs="Arial"/>
          <w:lang w:val="es-ES"/>
        </w:rPr>
        <w:t>Único Reglamentario del Sector Administrativo de Relaciones Exteriores</w:t>
      </w:r>
      <w:r w:rsidR="00111CA1" w:rsidRPr="00A30FDD">
        <w:rPr>
          <w:rFonts w:ascii="Verdana" w:hAnsi="Verdana" w:cs="Arial"/>
          <w:lang w:val="es-ES"/>
        </w:rPr>
        <w:t xml:space="preserve"> y creó dicho sistema. Con esto, </w:t>
      </w:r>
      <w:r w:rsidR="00AF65D4" w:rsidRPr="00A30FDD">
        <w:rPr>
          <w:rFonts w:ascii="Verdana" w:hAnsi="Verdana" w:cs="Arial"/>
          <w:lang w:val="es-ES"/>
        </w:rPr>
        <w:t xml:space="preserve">estableció algunos lineamientos para la cooperación internacional en Colombia, determinando </w:t>
      </w:r>
      <w:proofErr w:type="gramStart"/>
      <w:r w:rsidR="00AF65D4" w:rsidRPr="00A30FDD">
        <w:rPr>
          <w:rFonts w:ascii="Verdana" w:hAnsi="Verdana" w:cs="Arial"/>
          <w:lang w:val="es-ES"/>
        </w:rPr>
        <w:t>su  objetivo</w:t>
      </w:r>
      <w:proofErr w:type="gramEnd"/>
      <w:r w:rsidR="00AF65D4" w:rsidRPr="00A30FDD">
        <w:rPr>
          <w:rFonts w:ascii="Verdana" w:hAnsi="Verdana" w:cs="Arial"/>
          <w:lang w:val="es-ES"/>
        </w:rPr>
        <w:t xml:space="preserve"> –art. 2.2.8.3.1–, naturaleza –art. 2.2.8.3.2–, efectividad –art. 2.2.8.3.3–, participación de socios –art. 2.2.8.3.4– y destinación –art.  2.2.8.3.5–.</w:t>
      </w:r>
    </w:p>
    <w:p w14:paraId="17F192EB" w14:textId="4D1DA481" w:rsidR="004C515D" w:rsidRPr="00A30FDD" w:rsidRDefault="004C515D" w:rsidP="004C515D">
      <w:pPr>
        <w:spacing w:after="0" w:line="276" w:lineRule="auto"/>
        <w:ind w:firstLine="708"/>
        <w:jc w:val="both"/>
        <w:rPr>
          <w:rFonts w:ascii="Verdana" w:hAnsi="Verdana"/>
          <w:lang w:val="es-ES"/>
        </w:rPr>
      </w:pPr>
      <w:r w:rsidRPr="00A30FDD">
        <w:rPr>
          <w:rFonts w:ascii="Verdana" w:hAnsi="Verdana"/>
          <w:lang w:val="es-ES"/>
        </w:rPr>
        <w:t xml:space="preserve">La norma fijó los lineamientos para la ejecución de proyectos, programas o iniciativas de cooperación internacional en los que se involucren recursos del Presupuesto General de la </w:t>
      </w:r>
      <w:r w:rsidR="00690CB8" w:rsidRPr="00A30FDD">
        <w:rPr>
          <w:rFonts w:ascii="Verdana" w:hAnsi="Verdana"/>
          <w:lang w:val="es-ES"/>
        </w:rPr>
        <w:t>Nación</w:t>
      </w:r>
      <w:r w:rsidRPr="00A30FDD">
        <w:rPr>
          <w:rFonts w:ascii="Verdana" w:hAnsi="Verdana"/>
          <w:lang w:val="es-ES"/>
        </w:rPr>
        <w:t xml:space="preserve">. Con respecto al campo de aplicación, el Decreto señala que rige para “las entidades del orden nacional, a las entidades </w:t>
      </w:r>
      <w:r w:rsidRPr="00A30FDD">
        <w:rPr>
          <w:rFonts w:ascii="Verdana" w:hAnsi="Verdana"/>
          <w:lang w:val="es-ES"/>
        </w:rPr>
        <w:lastRenderedPageBreak/>
        <w:t>territoriales del orden departamental, distrital y municipal [...] as</w:t>
      </w:r>
      <w:r w:rsidR="000001C8" w:rsidRPr="00A30FDD">
        <w:rPr>
          <w:rFonts w:ascii="Verdana" w:hAnsi="Verdana"/>
          <w:lang w:val="es-ES"/>
        </w:rPr>
        <w:t>í</w:t>
      </w:r>
      <w:r w:rsidRPr="00A30FDD">
        <w:rPr>
          <w:rFonts w:ascii="Verdana" w:hAnsi="Verdana"/>
          <w:lang w:val="es-ES"/>
        </w:rPr>
        <w:t xml:space="preserve"> como a los socios de cooperación y otros actores que lleven a cabo actividades de cooperación en conjunto con entidades públicas”. Por su parte, el artículo 2.2.8.3.1 del Decreto señala que el objetivo de la cooperación internacional “es la asistencia </w:t>
      </w:r>
      <w:r w:rsidR="00690CB8" w:rsidRPr="00A30FDD">
        <w:rPr>
          <w:rFonts w:ascii="Verdana" w:hAnsi="Verdana"/>
          <w:lang w:val="es-ES"/>
        </w:rPr>
        <w:t>técnica</w:t>
      </w:r>
      <w:r w:rsidRPr="00A30FDD">
        <w:rPr>
          <w:rFonts w:ascii="Verdana" w:hAnsi="Verdana"/>
          <w:lang w:val="es-ES"/>
        </w:rPr>
        <w:t xml:space="preserve"> y/o transferencia de conocimientos para crear y fortalecer las capacidades nacionales y locales”. </w:t>
      </w:r>
    </w:p>
    <w:p w14:paraId="0D7978E2" w14:textId="09002E4E" w:rsidR="004C515D" w:rsidRPr="00A30FDD" w:rsidRDefault="004C515D" w:rsidP="004C515D">
      <w:pPr>
        <w:spacing w:before="120" w:after="120" w:line="276" w:lineRule="auto"/>
        <w:ind w:firstLine="709"/>
        <w:jc w:val="both"/>
        <w:rPr>
          <w:rFonts w:ascii="Verdana" w:hAnsi="Verdana"/>
          <w:lang w:val="es-ES"/>
        </w:rPr>
      </w:pPr>
      <w:r w:rsidRPr="00A30FDD">
        <w:rPr>
          <w:rFonts w:ascii="Verdana" w:hAnsi="Verdana"/>
          <w:lang w:val="es-ES"/>
        </w:rPr>
        <w:t xml:space="preserve">En este sentido, el ordenamiento colombiano incluye en el concepto de organismos de cooperación, asistencia o ayudas internacionales aquellos proyectos, programas y/o iniciativas de cooperación internacional cuyos fondos provengan de un “socio de cooperación internacional”. Aunque el decreto no establece una </w:t>
      </w:r>
      <w:r w:rsidR="00690CB8" w:rsidRPr="00A30FDD">
        <w:rPr>
          <w:rFonts w:ascii="Verdana" w:hAnsi="Verdana"/>
          <w:lang w:val="es-ES"/>
        </w:rPr>
        <w:t>definición</w:t>
      </w:r>
      <w:r w:rsidRPr="00A30FDD">
        <w:rPr>
          <w:rFonts w:ascii="Verdana" w:hAnsi="Verdana"/>
          <w:lang w:val="es-ES"/>
        </w:rPr>
        <w:t xml:space="preserve"> para éstos sujetos, si establece un concepto amplio frente al alcance de su </w:t>
      </w:r>
      <w:proofErr w:type="spellStart"/>
      <w:r w:rsidRPr="00A30FDD">
        <w:rPr>
          <w:rFonts w:ascii="Verdana" w:hAnsi="Verdana"/>
          <w:lang w:val="es-ES"/>
        </w:rPr>
        <w:t>actuación</w:t>
      </w:r>
      <w:proofErr w:type="spellEnd"/>
      <w:r w:rsidRPr="00A30FDD">
        <w:rPr>
          <w:rFonts w:ascii="Verdana" w:hAnsi="Verdana"/>
          <w:lang w:val="es-ES"/>
        </w:rPr>
        <w:t xml:space="preserve">. De esta forma, comprende a </w:t>
      </w:r>
      <w:r w:rsidRPr="00A30FDD">
        <w:rPr>
          <w:rFonts w:ascii="Verdana" w:hAnsi="Verdana"/>
          <w:i/>
          <w:iCs/>
          <w:lang w:val="es-ES"/>
        </w:rPr>
        <w:t xml:space="preserve">todos aquellos socios de carácter internacional que brinden asistencia </w:t>
      </w:r>
      <w:proofErr w:type="spellStart"/>
      <w:r w:rsidRPr="00A30FDD">
        <w:rPr>
          <w:rFonts w:ascii="Verdana" w:hAnsi="Verdana"/>
          <w:i/>
          <w:iCs/>
          <w:lang w:val="es-ES"/>
        </w:rPr>
        <w:t>técnica</w:t>
      </w:r>
      <w:proofErr w:type="spellEnd"/>
      <w:r w:rsidRPr="00A30FDD">
        <w:rPr>
          <w:rFonts w:ascii="Verdana" w:hAnsi="Verdana"/>
          <w:i/>
          <w:iCs/>
          <w:lang w:val="es-ES"/>
        </w:rPr>
        <w:t xml:space="preserve"> y/o transferencia de conocimientos para crear y fortalecer las capacidades nacionales y locales</w:t>
      </w:r>
      <w:r w:rsidRPr="00A30FDD">
        <w:rPr>
          <w:rFonts w:ascii="Verdana" w:hAnsi="Verdana"/>
          <w:lang w:val="es-ES"/>
        </w:rPr>
        <w:t xml:space="preserve">. De esta forma, los cooperantes pueden ser: </w:t>
      </w:r>
    </w:p>
    <w:p w14:paraId="0751D6F5" w14:textId="7F03D4CF" w:rsidR="004C515D" w:rsidRPr="00A30FDD" w:rsidRDefault="004C515D" w:rsidP="004C515D">
      <w:pPr>
        <w:spacing w:after="0" w:line="240" w:lineRule="auto"/>
        <w:ind w:left="709" w:right="709"/>
        <w:jc w:val="both"/>
        <w:rPr>
          <w:rFonts w:ascii="Verdana" w:hAnsi="Verdana"/>
          <w:sz w:val="21"/>
          <w:szCs w:val="21"/>
          <w:lang w:val="es-ES"/>
        </w:rPr>
      </w:pPr>
      <w:r w:rsidRPr="00A30FDD">
        <w:rPr>
          <w:rFonts w:ascii="Verdana" w:hAnsi="Verdana"/>
          <w:sz w:val="21"/>
          <w:szCs w:val="21"/>
          <w:lang w:val="es-ES"/>
        </w:rPr>
        <w:t>“los Estados que actúan a través de alguna de sus agencias gubernamentales (Ej. Suiza a través de SECO, Alemania a través de KFW, España a través de AECID), o a través de organizaciones que cumplen un rol de administrador de los recursos como la banca multilateral (BID o Banco Mundial), o una ONG. También puede ser la banca multilateral actuando directamente, cuando otorga créditos.”</w:t>
      </w:r>
      <w:r w:rsidRPr="00A30FDD">
        <w:rPr>
          <w:rFonts w:ascii="Verdana" w:hAnsi="Verdana"/>
          <w:sz w:val="21"/>
          <w:szCs w:val="21"/>
          <w:vertAlign w:val="superscript"/>
          <w:lang w:val="es-ES"/>
        </w:rPr>
        <w:footnoteReference w:id="13"/>
      </w:r>
    </w:p>
    <w:p w14:paraId="566A30F5" w14:textId="4B3A0FB5" w:rsidR="00C55EF3" w:rsidRPr="00A30FDD" w:rsidRDefault="003B3265" w:rsidP="004C515D">
      <w:pPr>
        <w:spacing w:before="120" w:after="120" w:line="276" w:lineRule="auto"/>
        <w:ind w:firstLine="709"/>
        <w:jc w:val="both"/>
        <w:rPr>
          <w:rFonts w:ascii="Verdana" w:hAnsi="Verdana"/>
          <w:sz w:val="21"/>
          <w:szCs w:val="21"/>
          <w:lang w:val="es-ES"/>
        </w:rPr>
      </w:pPr>
      <w:r w:rsidRPr="00A30FDD">
        <w:rPr>
          <w:rFonts w:ascii="Verdana" w:hAnsi="Verdana"/>
          <w:lang w:val="es-ES"/>
        </w:rPr>
        <w:t>Como se observa, la definición de organismos o socios de cooperación internacional puede incluir en estricto sentido a</w:t>
      </w:r>
      <w:r w:rsidR="00267B35" w:rsidRPr="00A30FDD">
        <w:rPr>
          <w:rFonts w:ascii="Verdana" w:hAnsi="Verdana"/>
          <w:lang w:val="es-ES"/>
        </w:rPr>
        <w:t xml:space="preserve"> las instituciones financieras</w:t>
      </w:r>
      <w:r w:rsidR="00077603" w:rsidRPr="00A30FDD">
        <w:rPr>
          <w:rFonts w:ascii="Verdana" w:hAnsi="Verdana"/>
          <w:lang w:val="es-ES"/>
        </w:rPr>
        <w:t xml:space="preserve"> internacionales</w:t>
      </w:r>
      <w:r w:rsidR="00267B35" w:rsidRPr="00A30FDD">
        <w:rPr>
          <w:rFonts w:ascii="Verdana" w:hAnsi="Verdana"/>
          <w:lang w:val="es-ES"/>
        </w:rPr>
        <w:t>. Sin embargo, el parágrafo 2 del artículo</w:t>
      </w:r>
      <w:r w:rsidR="00AF65D4" w:rsidRPr="00A30FDD">
        <w:rPr>
          <w:rFonts w:ascii="Verdana" w:hAnsi="Verdana"/>
          <w:lang w:val="es-ES"/>
        </w:rPr>
        <w:t xml:space="preserve"> 2.2.8.1.1.</w:t>
      </w:r>
      <w:r w:rsidR="00267B35" w:rsidRPr="00A30FDD">
        <w:rPr>
          <w:rFonts w:ascii="Verdana" w:hAnsi="Verdana"/>
          <w:lang w:val="es-ES"/>
        </w:rPr>
        <w:t xml:space="preserve"> aclara que “</w:t>
      </w:r>
      <w:r w:rsidR="00AF65D4" w:rsidRPr="00A30FDD">
        <w:rPr>
          <w:rFonts w:ascii="Verdana" w:hAnsi="Verdana"/>
          <w:lang w:val="es-ES"/>
        </w:rPr>
        <w:t>la expresión cooperación internacional no incluye las operaciones de crédito público externo con la banca multilateral y bilateral</w:t>
      </w:r>
      <w:r w:rsidR="00267B35" w:rsidRPr="00A30FDD">
        <w:rPr>
          <w:rFonts w:ascii="Verdana" w:hAnsi="Verdana"/>
          <w:lang w:val="es-ES"/>
        </w:rPr>
        <w:t>”</w:t>
      </w:r>
      <w:r w:rsidR="00AF65D4" w:rsidRPr="00A30FDD">
        <w:rPr>
          <w:rFonts w:ascii="Verdana" w:hAnsi="Verdana"/>
          <w:lang w:val="es-ES"/>
        </w:rPr>
        <w:t>.</w:t>
      </w:r>
      <w:r w:rsidR="00DA3EF6" w:rsidRPr="00A30FDD">
        <w:rPr>
          <w:rFonts w:ascii="Verdana" w:hAnsi="Verdana"/>
          <w:lang w:val="es-ES"/>
        </w:rPr>
        <w:t xml:space="preserve"> </w:t>
      </w:r>
      <w:r w:rsidR="00267B35" w:rsidRPr="00A30FDD">
        <w:rPr>
          <w:rFonts w:ascii="Verdana" w:hAnsi="Verdana"/>
          <w:lang w:val="es-ES"/>
        </w:rPr>
        <w:t xml:space="preserve">Esta distinción es concordante con la diferenciación que realiza el artículo 20 de la Ley 1150 de 2007, de modo que la regla para determinar el régimen contractual de los acuerdos suscritos con </w:t>
      </w:r>
      <w:r w:rsidR="00267B35" w:rsidRPr="00A30FDD">
        <w:rPr>
          <w:rFonts w:ascii="Verdana" w:hAnsi="Verdana" w:cs="Arial"/>
          <w:i/>
          <w:iCs/>
          <w:lang w:val="es-ES"/>
        </w:rPr>
        <w:t>organismos de cooperación, asistencia o ayudas internacionales</w:t>
      </w:r>
      <w:r w:rsidR="00841132" w:rsidRPr="00A30FDD">
        <w:rPr>
          <w:rFonts w:ascii="Verdana" w:hAnsi="Verdana" w:cs="Arial"/>
          <w:i/>
          <w:iCs/>
          <w:lang w:val="es-ES"/>
        </w:rPr>
        <w:t xml:space="preserve"> </w:t>
      </w:r>
      <w:r w:rsidR="00841132" w:rsidRPr="00A30FDD">
        <w:rPr>
          <w:rFonts w:ascii="Verdana" w:hAnsi="Verdana" w:cs="Arial"/>
          <w:lang w:val="es-ES"/>
        </w:rPr>
        <w:t xml:space="preserve">(inciso primero) excluye a los </w:t>
      </w:r>
      <w:r w:rsidR="00841132" w:rsidRPr="00A30FDD">
        <w:rPr>
          <w:rFonts w:ascii="Verdana" w:hAnsi="Verdana" w:cs="Arial"/>
          <w:i/>
          <w:iCs/>
          <w:lang w:val="es-ES"/>
        </w:rPr>
        <w:t xml:space="preserve">organismos multilaterales de crédito, </w:t>
      </w:r>
      <w:r w:rsidR="00841132" w:rsidRPr="00A30FDD">
        <w:rPr>
          <w:rFonts w:ascii="Verdana" w:hAnsi="Verdana" w:cs="Arial"/>
          <w:lang w:val="es-ES"/>
        </w:rPr>
        <w:t>a los cuales será aplicable la regla señalada en el último supuesto del inciso segundo.</w:t>
      </w:r>
    </w:p>
    <w:p w14:paraId="35D8C4CB" w14:textId="77777777" w:rsidR="004C515D" w:rsidRPr="00A30FDD" w:rsidRDefault="004C515D" w:rsidP="004C515D">
      <w:pPr>
        <w:spacing w:before="120" w:line="276" w:lineRule="auto"/>
        <w:ind w:firstLine="709"/>
        <w:jc w:val="both"/>
        <w:rPr>
          <w:rFonts w:ascii="Verdana" w:eastAsia="Calibri" w:hAnsi="Verdana" w:cs="Arial"/>
          <w:lang w:val="es-ES"/>
        </w:rPr>
      </w:pPr>
      <w:bookmarkStart w:id="6" w:name="_Hlk109120820"/>
      <w:r w:rsidRPr="00A30FDD">
        <w:rPr>
          <w:rFonts w:ascii="Verdana" w:eastAsia="Calibri" w:hAnsi="Verdana" w:cs="Arial"/>
          <w:lang w:val="es-ES"/>
        </w:rPr>
        <w:lastRenderedPageBreak/>
        <w:t xml:space="preserve">La anterior </w:t>
      </w:r>
      <w:proofErr w:type="spellStart"/>
      <w:r w:rsidRPr="00A30FDD">
        <w:rPr>
          <w:rFonts w:ascii="Verdana" w:eastAsia="Calibri" w:hAnsi="Verdana" w:cs="Arial"/>
          <w:lang w:val="es-ES"/>
        </w:rPr>
        <w:t>delimitación</w:t>
      </w:r>
      <w:proofErr w:type="spellEnd"/>
      <w:r w:rsidRPr="00A30FDD">
        <w:rPr>
          <w:rFonts w:ascii="Verdana" w:eastAsia="Calibri" w:hAnsi="Verdana" w:cs="Arial"/>
          <w:lang w:val="es-ES"/>
        </w:rPr>
        <w:t xml:space="preserve"> es extensible en el caso de los “</w:t>
      </w:r>
      <w:r w:rsidRPr="00A30FDD">
        <w:rPr>
          <w:rFonts w:ascii="Verdana" w:eastAsia="Calibri" w:hAnsi="Verdana" w:cs="Arial"/>
          <w:i/>
          <w:iCs/>
          <w:lang w:val="es-ES"/>
        </w:rPr>
        <w:t xml:space="preserve">entes gubernamentales extranjeros”, </w:t>
      </w:r>
      <w:r w:rsidRPr="00A30FDD">
        <w:rPr>
          <w:rFonts w:ascii="Verdana" w:eastAsia="Calibri" w:hAnsi="Verdana" w:cs="Arial"/>
          <w:lang w:val="es-ES"/>
        </w:rPr>
        <w:t>a los que también hace referencia el último supuesto del inciso segundo del artículo 20 referido. En este sentido, la distinción de sujetos y de reglas dispuestas en los incisos objeto de análisis suponen que, para efectos de la aplicación de esta norma, el concepto de “</w:t>
      </w:r>
      <w:r w:rsidRPr="00A30FDD">
        <w:rPr>
          <w:rFonts w:ascii="Verdana" w:eastAsia="Calibri" w:hAnsi="Verdana" w:cs="Arial"/>
          <w:i/>
          <w:iCs/>
          <w:lang w:val="es-ES"/>
        </w:rPr>
        <w:t xml:space="preserve">entes gubernamentales extranjeros” </w:t>
      </w:r>
      <w:r w:rsidRPr="00A30FDD">
        <w:rPr>
          <w:rFonts w:ascii="Verdana" w:eastAsia="Calibri" w:hAnsi="Verdana" w:cs="Arial"/>
          <w:lang w:val="es-ES"/>
        </w:rPr>
        <w:t>necesariamente excluya a los sujetos definidos como “</w:t>
      </w:r>
      <w:r w:rsidRPr="00A30FDD">
        <w:rPr>
          <w:rFonts w:ascii="Verdana" w:eastAsia="Calibri" w:hAnsi="Verdana" w:cs="Arial"/>
          <w:i/>
          <w:iCs/>
          <w:lang w:val="es-ES"/>
        </w:rPr>
        <w:t>organismos de cooperación, asistencia o ayudas internacionales”</w:t>
      </w:r>
      <w:r w:rsidRPr="00A30FDD">
        <w:rPr>
          <w:rFonts w:ascii="Verdana" w:eastAsia="Calibri" w:hAnsi="Verdana" w:cs="Arial"/>
          <w:lang w:val="es-ES"/>
        </w:rPr>
        <w:t xml:space="preserve">. El artículo dispuso una regla más estricta para estos </w:t>
      </w:r>
      <w:proofErr w:type="spellStart"/>
      <w:r w:rsidRPr="00A30FDD">
        <w:rPr>
          <w:rFonts w:ascii="Verdana" w:eastAsia="Calibri" w:hAnsi="Verdana" w:cs="Arial"/>
          <w:lang w:val="es-ES"/>
        </w:rPr>
        <w:t>últimos</w:t>
      </w:r>
      <w:proofErr w:type="spellEnd"/>
      <w:r w:rsidRPr="00A30FDD">
        <w:rPr>
          <w:rFonts w:ascii="Verdana" w:eastAsia="Calibri" w:hAnsi="Verdana" w:cs="Arial"/>
          <w:lang w:val="es-ES"/>
        </w:rPr>
        <w:t xml:space="preserve">, pues </w:t>
      </w:r>
      <w:proofErr w:type="spellStart"/>
      <w:r w:rsidRPr="00A30FDD">
        <w:rPr>
          <w:rFonts w:ascii="Verdana" w:eastAsia="Calibri" w:hAnsi="Verdana" w:cs="Arial"/>
          <w:lang w:val="es-ES"/>
        </w:rPr>
        <w:t>sera</w:t>
      </w:r>
      <w:proofErr w:type="spellEnd"/>
      <w:r w:rsidRPr="00A30FDD">
        <w:rPr>
          <w:rFonts w:ascii="Verdana" w:eastAsia="Calibri" w:hAnsi="Verdana" w:cs="Arial"/>
          <w:lang w:val="es-ES"/>
        </w:rPr>
        <w:t xml:space="preserve">́ necesario considerar el porcentaje de los fondos que financian o aportan para definir el régimen aplicable, de modo que si representan un porcentaje inferior al cincuenta por ciento (50%) la Entidad Estatal no podrá aplicar los reglamentos de los organismos y deberá regirse por lo establecido en el EGCAP. En contraste, en el inciso segundo bastará que la contraparte tenga el carácter de </w:t>
      </w:r>
      <w:r w:rsidRPr="00A30FDD">
        <w:rPr>
          <w:rFonts w:ascii="Verdana" w:eastAsia="Calibri" w:hAnsi="Verdana" w:cs="Arial"/>
          <w:i/>
          <w:iCs/>
          <w:lang w:val="es-ES"/>
        </w:rPr>
        <w:t xml:space="preserve">ente gubernamental extranjero </w:t>
      </w:r>
      <w:r w:rsidRPr="00A30FDD">
        <w:rPr>
          <w:rFonts w:ascii="Verdana" w:eastAsia="Calibri" w:hAnsi="Verdana" w:cs="Arial"/>
          <w:lang w:val="es-ES"/>
        </w:rPr>
        <w:t xml:space="preserve">para que la entidad pueda optar por el régimen contractual de estos organismos. Esta diferencia impone que las entidades no deban incluir dentro de la definición de </w:t>
      </w:r>
      <w:r w:rsidRPr="00A30FDD">
        <w:rPr>
          <w:rFonts w:ascii="Verdana" w:eastAsia="Calibri" w:hAnsi="Verdana" w:cs="Arial"/>
          <w:i/>
          <w:iCs/>
          <w:lang w:val="es-ES"/>
        </w:rPr>
        <w:t xml:space="preserve">ente gubernamental extranjero </w:t>
      </w:r>
      <w:r w:rsidRPr="00A30FDD">
        <w:rPr>
          <w:rFonts w:ascii="Verdana" w:eastAsia="Calibri" w:hAnsi="Verdana" w:cs="Arial"/>
          <w:lang w:val="es-ES"/>
        </w:rPr>
        <w:t xml:space="preserve">a organismos que correspondan materialmente al </w:t>
      </w:r>
      <w:proofErr w:type="spellStart"/>
      <w:r w:rsidRPr="00A30FDD">
        <w:rPr>
          <w:rFonts w:ascii="Verdana" w:eastAsia="Calibri" w:hAnsi="Verdana" w:cs="Arial"/>
          <w:lang w:val="es-ES"/>
        </w:rPr>
        <w:t>ámbito</w:t>
      </w:r>
      <w:proofErr w:type="spellEnd"/>
      <w:r w:rsidRPr="00A30FDD">
        <w:rPr>
          <w:rFonts w:ascii="Verdana" w:eastAsia="Calibri" w:hAnsi="Verdana" w:cs="Arial"/>
          <w:lang w:val="es-ES"/>
        </w:rPr>
        <w:t xml:space="preserve"> de </w:t>
      </w:r>
      <w:proofErr w:type="spellStart"/>
      <w:r w:rsidRPr="00A30FDD">
        <w:rPr>
          <w:rFonts w:ascii="Verdana" w:eastAsia="Calibri" w:hAnsi="Verdana" w:cs="Arial"/>
          <w:lang w:val="es-ES"/>
        </w:rPr>
        <w:t>cooperación</w:t>
      </w:r>
      <w:proofErr w:type="spellEnd"/>
      <w:r w:rsidRPr="00A30FDD">
        <w:rPr>
          <w:rFonts w:ascii="Verdana" w:eastAsia="Calibri" w:hAnsi="Verdana" w:cs="Arial"/>
          <w:lang w:val="es-ES"/>
        </w:rPr>
        <w:t xml:space="preserve">, asistencia o ayudas internacionales, pues ello </w:t>
      </w:r>
      <w:proofErr w:type="spellStart"/>
      <w:r w:rsidRPr="00A30FDD">
        <w:rPr>
          <w:rFonts w:ascii="Verdana" w:eastAsia="Calibri" w:hAnsi="Verdana" w:cs="Arial"/>
          <w:lang w:val="es-ES"/>
        </w:rPr>
        <w:t>implicaría</w:t>
      </w:r>
      <w:proofErr w:type="spellEnd"/>
      <w:r w:rsidRPr="00A30FDD">
        <w:rPr>
          <w:rFonts w:ascii="Verdana" w:eastAsia="Calibri" w:hAnsi="Verdana" w:cs="Arial"/>
          <w:lang w:val="es-ES"/>
        </w:rPr>
        <w:t xml:space="preserve"> evitar el </w:t>
      </w:r>
      <w:proofErr w:type="spellStart"/>
      <w:r w:rsidRPr="00A30FDD">
        <w:rPr>
          <w:rFonts w:ascii="Verdana" w:eastAsia="Calibri" w:hAnsi="Verdana" w:cs="Arial"/>
          <w:lang w:val="es-ES"/>
        </w:rPr>
        <w:t>límite</w:t>
      </w:r>
      <w:proofErr w:type="spellEnd"/>
      <w:r w:rsidRPr="00A30FDD">
        <w:rPr>
          <w:rFonts w:ascii="Verdana" w:eastAsia="Calibri" w:hAnsi="Verdana" w:cs="Arial"/>
          <w:lang w:val="es-ES"/>
        </w:rPr>
        <w:t xml:space="preserve"> impuesto por el legislador a través de la regla del primer inciso. </w:t>
      </w:r>
    </w:p>
    <w:p w14:paraId="3946C2E8" w14:textId="7361B39F" w:rsidR="006C22F0" w:rsidRPr="00A30FDD" w:rsidRDefault="004C515D" w:rsidP="004C515D">
      <w:pPr>
        <w:spacing w:before="120" w:line="276" w:lineRule="auto"/>
        <w:ind w:firstLine="709"/>
        <w:jc w:val="both"/>
        <w:rPr>
          <w:rFonts w:ascii="Verdana" w:eastAsia="Calibri" w:hAnsi="Verdana" w:cs="Arial"/>
          <w:lang w:val="es-ES"/>
        </w:rPr>
      </w:pPr>
      <w:r w:rsidRPr="00A30FDD">
        <w:rPr>
          <w:rFonts w:ascii="Verdana" w:eastAsia="Calibri" w:hAnsi="Verdana" w:cs="Arial"/>
          <w:lang w:val="es-ES"/>
        </w:rPr>
        <w:t>Además de lo anterior, es necesario aclarar que el ordenamiento jurídico no establece una definición de “</w:t>
      </w:r>
      <w:r w:rsidRPr="00A30FDD">
        <w:rPr>
          <w:rFonts w:ascii="Verdana" w:eastAsia="Calibri" w:hAnsi="Verdana" w:cs="Arial"/>
          <w:i/>
          <w:iCs/>
          <w:lang w:val="es-ES"/>
        </w:rPr>
        <w:t xml:space="preserve">entes gubernamentales extranjeros”. </w:t>
      </w:r>
      <w:r w:rsidRPr="00A30FDD">
        <w:rPr>
          <w:rFonts w:ascii="Verdana" w:eastAsia="Calibri" w:hAnsi="Verdana" w:cs="Arial"/>
          <w:lang w:val="es-ES"/>
        </w:rPr>
        <w:t xml:space="preserve">Ni el artículo 20 de la Ley 1150 de 2007, ni en el artículo 2.2.1.2.4.4.1 del Decreto 1082 de 2015 definen de forma clara </w:t>
      </w:r>
      <w:proofErr w:type="spellStart"/>
      <w:r w:rsidRPr="00A30FDD">
        <w:rPr>
          <w:rFonts w:ascii="Verdana" w:eastAsia="Calibri" w:hAnsi="Verdana" w:cs="Arial"/>
          <w:lang w:val="es-ES"/>
        </w:rPr>
        <w:t>quiénes</w:t>
      </w:r>
      <w:proofErr w:type="spellEnd"/>
      <w:r w:rsidRPr="00A30FDD">
        <w:rPr>
          <w:rFonts w:ascii="Verdana" w:eastAsia="Calibri" w:hAnsi="Verdana" w:cs="Arial"/>
          <w:lang w:val="es-ES"/>
        </w:rPr>
        <w:t xml:space="preserve"> son estos sujetos o el alcance de la </w:t>
      </w:r>
      <w:proofErr w:type="spellStart"/>
      <w:r w:rsidRPr="00A30FDD">
        <w:rPr>
          <w:rFonts w:ascii="Verdana" w:eastAsia="Calibri" w:hAnsi="Verdana" w:cs="Arial"/>
          <w:lang w:val="es-ES"/>
        </w:rPr>
        <w:t>expresión</w:t>
      </w:r>
      <w:proofErr w:type="spellEnd"/>
      <w:r w:rsidRPr="00A30FDD">
        <w:rPr>
          <w:rFonts w:ascii="Verdana" w:eastAsia="Calibri" w:hAnsi="Verdana" w:cs="Arial"/>
          <w:lang w:val="es-ES"/>
        </w:rPr>
        <w:t xml:space="preserve">. Teniendo en cuenta lo anterior, es procedente aplicar el </w:t>
      </w:r>
      <w:proofErr w:type="spellStart"/>
      <w:r w:rsidRPr="00A30FDD">
        <w:rPr>
          <w:rFonts w:ascii="Verdana" w:eastAsia="Calibri" w:hAnsi="Verdana" w:cs="Arial"/>
          <w:lang w:val="es-ES"/>
        </w:rPr>
        <w:t>artículo</w:t>
      </w:r>
      <w:proofErr w:type="spellEnd"/>
      <w:r w:rsidRPr="00A30FDD">
        <w:rPr>
          <w:rFonts w:ascii="Verdana" w:eastAsia="Calibri" w:hAnsi="Verdana" w:cs="Arial"/>
          <w:lang w:val="es-ES"/>
        </w:rPr>
        <w:t xml:space="preserve"> 27 del </w:t>
      </w:r>
      <w:proofErr w:type="spellStart"/>
      <w:r w:rsidRPr="00A30FDD">
        <w:rPr>
          <w:rFonts w:ascii="Verdana" w:eastAsia="Calibri" w:hAnsi="Verdana" w:cs="Arial"/>
          <w:lang w:val="es-ES"/>
        </w:rPr>
        <w:t>Código</w:t>
      </w:r>
      <w:proofErr w:type="spellEnd"/>
      <w:r w:rsidRPr="00A30FDD">
        <w:rPr>
          <w:rFonts w:ascii="Verdana" w:eastAsia="Calibri" w:hAnsi="Verdana" w:cs="Arial"/>
          <w:lang w:val="es-ES"/>
        </w:rPr>
        <w:t xml:space="preserve"> Civil</w:t>
      </w:r>
      <w:r w:rsidR="00DA1D20" w:rsidRPr="00A30FDD">
        <w:rPr>
          <w:rFonts w:ascii="Verdana" w:hAnsi="Verdana"/>
          <w:vertAlign w:val="superscript"/>
          <w:lang w:val="es-ES"/>
        </w:rPr>
        <w:footnoteReference w:id="14"/>
      </w:r>
      <w:r w:rsidR="00DA1D20" w:rsidRPr="00A30FDD">
        <w:rPr>
          <w:rFonts w:ascii="Verdana" w:eastAsia="Calibri" w:hAnsi="Verdana" w:cs="Arial"/>
          <w:lang w:val="es-ES"/>
        </w:rPr>
        <w:t xml:space="preserve"> que establece la interpretación gramatical como uno de los criterios de interpretación de la ley, en virtud del cual </w:t>
      </w:r>
      <w:r w:rsidR="00CE4BAD" w:rsidRPr="00A30FDD">
        <w:rPr>
          <w:rFonts w:ascii="Verdana" w:eastAsia="Calibri" w:hAnsi="Verdana" w:cs="Arial"/>
          <w:lang w:val="es-ES"/>
        </w:rPr>
        <w:t>“</w:t>
      </w:r>
      <w:r w:rsidR="00DA1D20" w:rsidRPr="00A30FDD">
        <w:rPr>
          <w:rFonts w:ascii="Verdana" w:eastAsia="Calibri" w:hAnsi="Verdana" w:cs="Arial"/>
          <w:lang w:val="es-ES"/>
        </w:rPr>
        <w:t>cuando el sentido de la ley no sea claro, no se desatenderá su tenor literal a pretexto de consultar su espíritu</w:t>
      </w:r>
      <w:r w:rsidR="00CE4BAD" w:rsidRPr="00A30FDD">
        <w:rPr>
          <w:rFonts w:ascii="Verdana" w:eastAsia="Calibri" w:hAnsi="Verdana" w:cs="Arial"/>
          <w:lang w:val="es-ES"/>
        </w:rPr>
        <w:t>”.</w:t>
      </w:r>
      <w:r w:rsidR="00DA1D20" w:rsidRPr="00A30FDD">
        <w:rPr>
          <w:rFonts w:ascii="Verdana" w:eastAsia="Calibri" w:hAnsi="Verdana" w:cs="Arial"/>
          <w:lang w:val="es-ES"/>
        </w:rPr>
        <w:t xml:space="preserve"> </w:t>
      </w:r>
    </w:p>
    <w:bookmarkEnd w:id="6"/>
    <w:p w14:paraId="6ED8A8B6" w14:textId="263E652E" w:rsidR="00EA7122" w:rsidRPr="00A30FDD" w:rsidRDefault="00EA7122" w:rsidP="00EA7122">
      <w:pPr>
        <w:spacing w:before="120" w:line="276" w:lineRule="auto"/>
        <w:ind w:firstLine="709"/>
        <w:jc w:val="both"/>
        <w:rPr>
          <w:rFonts w:ascii="Verdana" w:eastAsia="Calibri" w:hAnsi="Verdana" w:cs="Arial"/>
          <w:lang w:val="es-ES"/>
        </w:rPr>
      </w:pPr>
      <w:r w:rsidRPr="00A30FDD">
        <w:rPr>
          <w:rFonts w:ascii="Verdana" w:eastAsia="Calibri" w:hAnsi="Verdana" w:cs="Arial"/>
          <w:lang w:val="es-ES"/>
        </w:rPr>
        <w:t xml:space="preserve">El Diccionario de la Lengua </w:t>
      </w:r>
      <w:proofErr w:type="spellStart"/>
      <w:r w:rsidRPr="00A30FDD">
        <w:rPr>
          <w:rFonts w:ascii="Verdana" w:eastAsia="Calibri" w:hAnsi="Verdana" w:cs="Arial"/>
          <w:lang w:val="es-ES"/>
        </w:rPr>
        <w:t>Española</w:t>
      </w:r>
      <w:proofErr w:type="spellEnd"/>
      <w:r w:rsidRPr="00A30FDD">
        <w:rPr>
          <w:rFonts w:ascii="Verdana" w:eastAsia="Calibri" w:hAnsi="Verdana" w:cs="Arial"/>
          <w:lang w:val="es-ES"/>
        </w:rPr>
        <w:t xml:space="preserve"> define “</w:t>
      </w:r>
      <w:r w:rsidRPr="00A30FDD">
        <w:rPr>
          <w:rFonts w:ascii="Verdana" w:eastAsia="Calibri" w:hAnsi="Verdana" w:cs="Arial"/>
          <w:i/>
          <w:iCs/>
          <w:lang w:val="es-ES"/>
        </w:rPr>
        <w:t>ente</w:t>
      </w:r>
      <w:r w:rsidRPr="00A30FDD">
        <w:rPr>
          <w:rFonts w:ascii="Verdana" w:eastAsia="Calibri" w:hAnsi="Verdana" w:cs="Arial"/>
          <w:lang w:val="es-ES"/>
        </w:rPr>
        <w:t xml:space="preserve">” como “colectividad considerada como unidad”, cuyos </w:t>
      </w:r>
      <w:proofErr w:type="spellStart"/>
      <w:r w:rsidRPr="00A30FDD">
        <w:rPr>
          <w:rFonts w:ascii="Verdana" w:eastAsia="Calibri" w:hAnsi="Verdana" w:cs="Arial"/>
          <w:lang w:val="es-ES"/>
        </w:rPr>
        <w:t>sinónimos</w:t>
      </w:r>
      <w:proofErr w:type="spellEnd"/>
      <w:r w:rsidRPr="00A30FDD">
        <w:rPr>
          <w:rFonts w:ascii="Verdana" w:eastAsia="Calibri" w:hAnsi="Verdana" w:cs="Arial"/>
          <w:lang w:val="es-ES"/>
        </w:rPr>
        <w:t xml:space="preserve"> pueden ser entidad, colectividad, sociedad u organismo. Por otra parte, define “</w:t>
      </w:r>
      <w:r w:rsidRPr="00A30FDD">
        <w:rPr>
          <w:rFonts w:ascii="Verdana" w:eastAsia="Calibri" w:hAnsi="Verdana" w:cs="Arial"/>
          <w:i/>
          <w:iCs/>
          <w:lang w:val="es-ES"/>
        </w:rPr>
        <w:t>gubernamental</w:t>
      </w:r>
      <w:r w:rsidRPr="00A30FDD">
        <w:rPr>
          <w:rFonts w:ascii="Verdana" w:eastAsia="Calibri" w:hAnsi="Verdana" w:cs="Arial"/>
          <w:lang w:val="es-ES"/>
        </w:rPr>
        <w:t xml:space="preserve">” como </w:t>
      </w:r>
      <w:r w:rsidRPr="00A30FDD">
        <w:rPr>
          <w:rFonts w:ascii="Verdana" w:eastAsia="Calibri" w:hAnsi="Verdana" w:cs="Arial"/>
          <w:lang w:val="es-ES"/>
        </w:rPr>
        <w:lastRenderedPageBreak/>
        <w:t>“perteneciente o relativo al Gobierno del Estado”, haciendo referencia aquello que es estatal, público, oficial o ministerial; y “</w:t>
      </w:r>
      <w:r w:rsidRPr="00A30FDD">
        <w:rPr>
          <w:rFonts w:ascii="Verdana" w:eastAsia="Calibri" w:hAnsi="Verdana" w:cs="Arial"/>
          <w:i/>
          <w:iCs/>
          <w:lang w:val="es-ES"/>
        </w:rPr>
        <w:t>extranjero</w:t>
      </w:r>
      <w:r w:rsidRPr="00A30FDD">
        <w:rPr>
          <w:rFonts w:ascii="Verdana" w:eastAsia="Calibri" w:hAnsi="Verdana" w:cs="Arial"/>
          <w:lang w:val="es-ES"/>
        </w:rPr>
        <w:t xml:space="preserve">” como lo referente a un país que no es el propio. Conforme con lo anterior, para los fines de la consulta, la </w:t>
      </w:r>
      <w:r w:rsidR="00690CB8" w:rsidRPr="00A30FDD">
        <w:rPr>
          <w:rFonts w:ascii="Verdana" w:eastAsia="Calibri" w:hAnsi="Verdana" w:cs="Arial"/>
          <w:lang w:val="es-ES"/>
        </w:rPr>
        <w:t>expresión</w:t>
      </w:r>
      <w:r w:rsidRPr="00A30FDD">
        <w:rPr>
          <w:rFonts w:ascii="Verdana" w:eastAsia="Calibri" w:hAnsi="Verdana" w:cs="Arial"/>
          <w:lang w:val="es-ES"/>
        </w:rPr>
        <w:t xml:space="preserve"> </w:t>
      </w:r>
      <w:r w:rsidR="00161A2B" w:rsidRPr="00A30FDD">
        <w:rPr>
          <w:rFonts w:ascii="Verdana" w:eastAsia="Calibri" w:hAnsi="Verdana" w:cs="Arial"/>
          <w:lang w:val="es-ES"/>
        </w:rPr>
        <w:t>“</w:t>
      </w:r>
      <w:r w:rsidRPr="00A30FDD">
        <w:rPr>
          <w:rFonts w:ascii="Verdana" w:eastAsia="Calibri" w:hAnsi="Verdana" w:cs="Arial"/>
          <w:i/>
          <w:iCs/>
          <w:lang w:val="es-ES"/>
        </w:rPr>
        <w:t>ente gubernamental extranjero</w:t>
      </w:r>
      <w:r w:rsidR="00161A2B" w:rsidRPr="00A30FDD">
        <w:rPr>
          <w:rFonts w:ascii="Verdana" w:eastAsia="Calibri" w:hAnsi="Verdana" w:cs="Arial"/>
          <w:i/>
          <w:iCs/>
          <w:lang w:val="es-ES"/>
        </w:rPr>
        <w:t>”</w:t>
      </w:r>
      <w:r w:rsidRPr="00A30FDD">
        <w:rPr>
          <w:rFonts w:ascii="Verdana" w:eastAsia="Calibri" w:hAnsi="Verdana" w:cs="Arial"/>
          <w:i/>
          <w:iCs/>
          <w:lang w:val="es-ES"/>
        </w:rPr>
        <w:t xml:space="preserve"> </w:t>
      </w:r>
      <w:r w:rsidRPr="00A30FDD">
        <w:rPr>
          <w:rFonts w:ascii="Verdana" w:eastAsia="Calibri" w:hAnsi="Verdana" w:cs="Arial"/>
          <w:lang w:val="es-ES"/>
        </w:rPr>
        <w:t>se refiere a</w:t>
      </w:r>
      <w:r w:rsidRPr="00A30FDD">
        <w:rPr>
          <w:rFonts w:ascii="Verdana" w:eastAsia="Calibri" w:hAnsi="Verdana" w:cs="Arial"/>
          <w:i/>
          <w:iCs/>
          <w:lang w:val="es-ES"/>
        </w:rPr>
        <w:t xml:space="preserve"> sujetos que tengan el carácter de entidades u organismos que pertenecen al gobierno de uno o varios Estados distintos a Colombia</w:t>
      </w:r>
      <w:r w:rsidRPr="00A30FDD">
        <w:rPr>
          <w:rFonts w:ascii="Verdana" w:eastAsia="Calibri" w:hAnsi="Verdana" w:cs="Arial"/>
          <w:lang w:val="es-ES"/>
        </w:rPr>
        <w:t xml:space="preserve">. </w:t>
      </w:r>
    </w:p>
    <w:p w14:paraId="08CD3513" w14:textId="50CE5461" w:rsidR="00EA7122" w:rsidRPr="00A30FDD" w:rsidRDefault="00EA7122" w:rsidP="00EA7122">
      <w:pPr>
        <w:spacing w:before="120" w:line="276" w:lineRule="auto"/>
        <w:ind w:firstLine="709"/>
        <w:jc w:val="both"/>
        <w:rPr>
          <w:rFonts w:ascii="Verdana" w:eastAsia="Calibri" w:hAnsi="Verdana" w:cs="Arial"/>
          <w:lang w:val="es-ES"/>
        </w:rPr>
      </w:pPr>
      <w:r w:rsidRPr="00A30FDD">
        <w:rPr>
          <w:rFonts w:ascii="Verdana" w:eastAsia="Calibri" w:hAnsi="Verdana" w:cs="Arial"/>
          <w:lang w:val="es-ES"/>
        </w:rPr>
        <w:t xml:space="preserve">Los sujetos que </w:t>
      </w:r>
      <w:r w:rsidR="00690CB8" w:rsidRPr="00A30FDD">
        <w:rPr>
          <w:rFonts w:ascii="Verdana" w:eastAsia="Calibri" w:hAnsi="Verdana" w:cs="Arial"/>
          <w:lang w:val="es-ES"/>
        </w:rPr>
        <w:t>reúnan</w:t>
      </w:r>
      <w:r w:rsidRPr="00A30FDD">
        <w:rPr>
          <w:rFonts w:ascii="Verdana" w:eastAsia="Calibri" w:hAnsi="Verdana" w:cs="Arial"/>
          <w:lang w:val="es-ES"/>
        </w:rPr>
        <w:t xml:space="preserve"> estas características y </w:t>
      </w:r>
      <w:r w:rsidRPr="00A30FDD">
        <w:rPr>
          <w:rFonts w:ascii="Verdana" w:eastAsia="Calibri" w:hAnsi="Verdana" w:cs="Arial"/>
          <w:i/>
          <w:iCs/>
          <w:lang w:val="es-ES"/>
        </w:rPr>
        <w:t xml:space="preserve">no </w:t>
      </w:r>
      <w:r w:rsidRPr="00A30FDD">
        <w:rPr>
          <w:rFonts w:ascii="Verdana" w:eastAsia="Calibri" w:hAnsi="Verdana" w:cs="Arial"/>
          <w:lang w:val="es-ES"/>
        </w:rPr>
        <w:t>puedan ser catalogados como “</w:t>
      </w:r>
      <w:r w:rsidRPr="00A30FDD">
        <w:rPr>
          <w:rFonts w:ascii="Verdana" w:eastAsia="Calibri" w:hAnsi="Verdana" w:cs="Arial"/>
          <w:i/>
          <w:iCs/>
          <w:lang w:val="es-ES"/>
        </w:rPr>
        <w:t xml:space="preserve">organismos de cooperación, asistencia o ayudas internacionales” </w:t>
      </w:r>
      <w:r w:rsidR="00690CB8" w:rsidRPr="00A30FDD">
        <w:rPr>
          <w:rFonts w:ascii="Verdana" w:eastAsia="Calibri" w:hAnsi="Verdana" w:cs="Arial"/>
          <w:lang w:val="es-ES"/>
        </w:rPr>
        <w:t>estarán</w:t>
      </w:r>
      <w:r w:rsidRPr="00A30FDD">
        <w:rPr>
          <w:rFonts w:ascii="Verdana" w:eastAsia="Calibri" w:hAnsi="Verdana" w:cs="Arial"/>
          <w:lang w:val="es-ES"/>
        </w:rPr>
        <w:t xml:space="preserve"> inmersos en el último supuesto del inciso segundo del artículo 20 de la Ley 1150 de 2007, de modo que, en los contratos o convenios que financien, las Entidades Estatales podrán optar por someterse a sus reglamentos en vez de regirse por el EGCAP. Como se observa, aunque un organismo de cooperación cumpla también con la definición de “ente gubernamental extranjero”, la entidad deberá aplicar de manera prioritaria la regla del inciso primero del artículo 20, según la cual será relevante el porcentaje de los fondos que financien o aporten los </w:t>
      </w:r>
      <w:r w:rsidRPr="00A30FDD">
        <w:rPr>
          <w:rFonts w:ascii="Verdana" w:eastAsia="Calibri" w:hAnsi="Verdana" w:cs="Arial"/>
          <w:i/>
          <w:iCs/>
          <w:lang w:val="es-ES"/>
        </w:rPr>
        <w:t xml:space="preserve">organismos de cooperación, asistencia o ayudas internacionales </w:t>
      </w:r>
      <w:r w:rsidRPr="00A30FDD">
        <w:rPr>
          <w:rFonts w:ascii="Verdana" w:eastAsia="Calibri" w:hAnsi="Verdana" w:cs="Arial"/>
          <w:lang w:val="es-ES"/>
        </w:rPr>
        <w:t xml:space="preserve">para determinar el régimen contractual aplicable. Así, la distinción de los sujetos frente a la aplicación del inciso primero y el segundo es de carácter excluyente, y en la identificación de los </w:t>
      </w:r>
      <w:r w:rsidRPr="00A30FDD">
        <w:rPr>
          <w:rFonts w:ascii="Verdana" w:eastAsia="Calibri" w:hAnsi="Verdana" w:cs="Arial"/>
          <w:i/>
          <w:iCs/>
          <w:lang w:val="es-ES"/>
        </w:rPr>
        <w:t xml:space="preserve">entes gubernamentales extranjeros </w:t>
      </w:r>
      <w:r w:rsidRPr="00A30FDD">
        <w:rPr>
          <w:rFonts w:ascii="Verdana" w:eastAsia="Calibri" w:hAnsi="Verdana" w:cs="Arial"/>
          <w:lang w:val="es-ES"/>
        </w:rPr>
        <w:t xml:space="preserve">se deberá excluir a los sujetos de cooperación, asistencia o ayuda. </w:t>
      </w:r>
    </w:p>
    <w:p w14:paraId="3ECBFCC7" w14:textId="46C6ECB8" w:rsidR="00A21491" w:rsidRPr="00A30FDD" w:rsidRDefault="00EA7122" w:rsidP="00EA7122">
      <w:pPr>
        <w:spacing w:before="120" w:line="276" w:lineRule="auto"/>
        <w:ind w:firstLine="709"/>
        <w:jc w:val="both"/>
        <w:rPr>
          <w:rFonts w:ascii="Verdana" w:eastAsia="Calibri" w:hAnsi="Verdana" w:cs="Arial"/>
          <w:lang w:val="es-ES"/>
        </w:rPr>
      </w:pPr>
      <w:r w:rsidRPr="00A30FDD">
        <w:rPr>
          <w:rFonts w:ascii="Verdana" w:eastAsia="Calibri" w:hAnsi="Verdana" w:cs="Arial"/>
          <w:lang w:val="es-ES"/>
        </w:rPr>
        <w:t xml:space="preserve">Por otra parte, el parágrafo primero del artículo 20 de la Ley 1150 de 2007 establece un tercer criterio para determinar el régimen contractual aplicable. De acuerdo con la norma, “los contratos o acuerdos celebrados con </w:t>
      </w:r>
      <w:r w:rsidRPr="00A30FDD">
        <w:rPr>
          <w:rFonts w:ascii="Verdana" w:eastAsia="Calibri" w:hAnsi="Verdana" w:cs="Arial"/>
          <w:i/>
          <w:iCs/>
          <w:lang w:val="es-ES"/>
        </w:rPr>
        <w:t>personas extranjeras de derecho público</w:t>
      </w:r>
      <w:r w:rsidRPr="00A30FDD">
        <w:rPr>
          <w:rFonts w:ascii="Verdana" w:eastAsia="Calibri" w:hAnsi="Verdana" w:cs="Arial"/>
          <w:lang w:val="es-ES"/>
        </w:rPr>
        <w:t>, podrán someterse a las reglas de tales organismos”. Estos negocios jur</w:t>
      </w:r>
      <w:r w:rsidR="00161A2B" w:rsidRPr="00A30FDD">
        <w:rPr>
          <w:rFonts w:ascii="Verdana" w:eastAsia="Calibri" w:hAnsi="Verdana" w:cs="Arial"/>
          <w:lang w:val="es-ES"/>
        </w:rPr>
        <w:t>í</w:t>
      </w:r>
      <w:r w:rsidRPr="00A30FDD">
        <w:rPr>
          <w:rFonts w:ascii="Verdana" w:eastAsia="Calibri" w:hAnsi="Verdana" w:cs="Arial"/>
          <w:lang w:val="es-ES"/>
        </w:rPr>
        <w:t xml:space="preserve">dicos, a diferencia de los contratos del inciso primero del artículo 20, son independientes del monto de los aportes realizados por el organismo. También se diferencian del último supuesto del inciso segundo, pues las entidades pueden optar por las reglas de estos organismos, independientemente de si sus fondos financian el acuerdo o convenio, en este caso, la única condición será celebrar el acuerdo con éstos sujetos. </w:t>
      </w:r>
      <w:r w:rsidR="00854880" w:rsidRPr="00A30FDD">
        <w:rPr>
          <w:rFonts w:ascii="Verdana" w:eastAsia="Calibri" w:hAnsi="Verdana" w:cs="Arial"/>
          <w:lang w:val="es-ES"/>
        </w:rPr>
        <w:t xml:space="preserve">Igualmente, en contraste con los </w:t>
      </w:r>
      <w:r w:rsidR="0063514F" w:rsidRPr="00A30FDD">
        <w:rPr>
          <w:rFonts w:ascii="Verdana" w:eastAsia="Calibri" w:hAnsi="Verdana" w:cs="Arial"/>
          <w:lang w:val="es-ES"/>
        </w:rPr>
        <w:t xml:space="preserve">demás supuestos </w:t>
      </w:r>
      <w:r w:rsidR="00854880" w:rsidRPr="00A30FDD">
        <w:rPr>
          <w:rFonts w:ascii="Verdana" w:eastAsia="Calibri" w:hAnsi="Verdana" w:cs="Arial"/>
          <w:lang w:val="es-ES"/>
        </w:rPr>
        <w:t xml:space="preserve">del inciso segundo, son negocios jurídicos </w:t>
      </w:r>
      <w:r w:rsidR="0063514F" w:rsidRPr="00A30FDD">
        <w:rPr>
          <w:rFonts w:ascii="Verdana" w:eastAsia="Calibri" w:hAnsi="Verdana" w:cs="Arial"/>
          <w:lang w:val="es-ES"/>
        </w:rPr>
        <w:t xml:space="preserve">en los que la regla se aplica independientemente del </w:t>
      </w:r>
      <w:r w:rsidR="00854880" w:rsidRPr="00A30FDD">
        <w:rPr>
          <w:rFonts w:ascii="Verdana" w:eastAsia="Calibri" w:hAnsi="Verdana" w:cs="Arial"/>
          <w:lang w:val="es-ES"/>
        </w:rPr>
        <w:t xml:space="preserve">objeto convenido. </w:t>
      </w:r>
    </w:p>
    <w:p w14:paraId="17E5DA37" w14:textId="3EF71063" w:rsidR="0063514F" w:rsidRPr="00A30FDD" w:rsidRDefault="005B26C2" w:rsidP="005B26C2">
      <w:pPr>
        <w:spacing w:before="120" w:line="276" w:lineRule="auto"/>
        <w:ind w:firstLine="709"/>
        <w:jc w:val="both"/>
        <w:rPr>
          <w:rFonts w:ascii="Verdana" w:eastAsia="Calibri" w:hAnsi="Verdana" w:cs="Arial"/>
          <w:lang w:val="es-ES"/>
        </w:rPr>
      </w:pPr>
      <w:r w:rsidRPr="00A30FDD">
        <w:rPr>
          <w:rFonts w:ascii="Verdana" w:eastAsia="Calibri" w:hAnsi="Verdana" w:cs="Arial"/>
          <w:lang w:val="es-ES"/>
        </w:rPr>
        <w:t xml:space="preserve">De acuerdo con el derecho internacional, la regla del parágrafo primero sería procedente, entonces, en el caso de los convenios o contratos celebrados con </w:t>
      </w:r>
      <w:r w:rsidRPr="00A30FDD">
        <w:rPr>
          <w:rFonts w:ascii="Verdana" w:eastAsia="Calibri" w:hAnsi="Verdana" w:cs="Arial"/>
          <w:i/>
          <w:iCs/>
          <w:lang w:val="es-ES"/>
        </w:rPr>
        <w:t>sujetos del derecho internacional público</w:t>
      </w:r>
      <w:r w:rsidRPr="00A30FDD">
        <w:rPr>
          <w:rFonts w:ascii="Verdana" w:eastAsia="Calibri" w:hAnsi="Verdana" w:cs="Arial"/>
          <w:lang w:val="es-ES"/>
        </w:rPr>
        <w:t xml:space="preserve">, es decir aquellos que, según dicho </w:t>
      </w:r>
      <w:r w:rsidRPr="00A30FDD">
        <w:rPr>
          <w:rFonts w:ascii="Verdana" w:eastAsia="Calibri" w:hAnsi="Verdana" w:cs="Arial"/>
          <w:lang w:val="es-ES"/>
        </w:rPr>
        <w:lastRenderedPageBreak/>
        <w:t>ordenamiento jurídico, tienen capacidad jurídica para contraer obligaciones y ser titulares de derechos, como es el caso de los Estados y las Organizaciones Internacionales. Lo anterior, de acuerdo con los elementos que definen estos sujetos en el derecho internacional público</w:t>
      </w:r>
      <w:r w:rsidR="002C7AC4" w:rsidRPr="00A30FDD">
        <w:rPr>
          <w:rStyle w:val="Refdenotaalpie"/>
          <w:rFonts w:ascii="Verdana" w:eastAsia="Calibri" w:hAnsi="Verdana" w:cs="Arial"/>
          <w:lang w:val="es-ES"/>
        </w:rPr>
        <w:footnoteReference w:id="15"/>
      </w:r>
      <w:r w:rsidR="002C7AC4" w:rsidRPr="00A30FDD">
        <w:rPr>
          <w:rFonts w:ascii="Verdana" w:eastAsia="Calibri" w:hAnsi="Verdana" w:cs="Arial"/>
          <w:lang w:val="es-ES"/>
        </w:rPr>
        <w:t>.</w:t>
      </w:r>
    </w:p>
    <w:p w14:paraId="5B9362E8" w14:textId="77777777" w:rsidR="00690CB8" w:rsidRDefault="005B26C2" w:rsidP="00690CB8">
      <w:pPr>
        <w:spacing w:before="120" w:after="0" w:line="276" w:lineRule="auto"/>
        <w:ind w:firstLine="708"/>
        <w:jc w:val="both"/>
        <w:rPr>
          <w:rFonts w:ascii="Verdana" w:hAnsi="Verdana" w:cs="Arial"/>
          <w:color w:val="000000" w:themeColor="text1"/>
          <w:lang w:val="es-ES"/>
        </w:rPr>
      </w:pPr>
      <w:r w:rsidRPr="00A30FDD">
        <w:rPr>
          <w:rFonts w:ascii="Verdana" w:hAnsi="Verdana" w:cs="Arial"/>
          <w:color w:val="000000" w:themeColor="text1"/>
          <w:lang w:val="es-ES"/>
        </w:rPr>
        <w:t xml:space="preserve">En suma, el </w:t>
      </w:r>
      <w:r w:rsidRPr="00A30FDD">
        <w:rPr>
          <w:rFonts w:ascii="Verdana" w:hAnsi="Verdana" w:cs="Arial"/>
          <w:i/>
          <w:iCs/>
          <w:color w:val="000000" w:themeColor="text1"/>
          <w:lang w:val="es-ES"/>
        </w:rPr>
        <w:t xml:space="preserve">inciso primero </w:t>
      </w:r>
      <w:r w:rsidRPr="00A30FDD">
        <w:rPr>
          <w:rFonts w:ascii="Verdana" w:hAnsi="Verdana" w:cs="Arial"/>
          <w:color w:val="000000" w:themeColor="text1"/>
          <w:lang w:val="es-ES"/>
        </w:rPr>
        <w:t xml:space="preserve">del artículo 20 de la Ley 1150 de 2007 permite la aplicación de los reglamentos de los (i) organismos de cooperación, asistencia o ayudas internacionales cuando su aporte es superior al cincuenta por ciento (50%) del total. Adicionalmente, conforme al último supuesto del </w:t>
      </w:r>
      <w:r w:rsidRPr="00A30FDD">
        <w:rPr>
          <w:rFonts w:ascii="Verdana" w:hAnsi="Verdana" w:cs="Arial"/>
          <w:i/>
          <w:iCs/>
          <w:color w:val="000000" w:themeColor="text1"/>
          <w:lang w:val="es-ES"/>
        </w:rPr>
        <w:t>inciso segundo</w:t>
      </w:r>
      <w:r w:rsidRPr="00A30FDD">
        <w:rPr>
          <w:rFonts w:ascii="Verdana" w:hAnsi="Verdana" w:cs="Arial"/>
          <w:color w:val="000000" w:themeColor="text1"/>
          <w:lang w:val="es-ES"/>
        </w:rPr>
        <w:t>, las Entidades Estatales podrán aplicar los reglamentos de los (</w:t>
      </w:r>
      <w:proofErr w:type="spellStart"/>
      <w:r w:rsidRPr="00A30FDD">
        <w:rPr>
          <w:rFonts w:ascii="Verdana" w:hAnsi="Verdana" w:cs="Arial"/>
          <w:color w:val="000000" w:themeColor="text1"/>
          <w:lang w:val="es-ES"/>
        </w:rPr>
        <w:t>ii</w:t>
      </w:r>
      <w:proofErr w:type="spellEnd"/>
      <w:r w:rsidRPr="00A30FDD">
        <w:rPr>
          <w:rFonts w:ascii="Verdana" w:hAnsi="Verdana" w:cs="Arial"/>
          <w:color w:val="000000" w:themeColor="text1"/>
          <w:lang w:val="es-ES"/>
        </w:rPr>
        <w:t xml:space="preserve">) organismos multilaterales de crédito o de los entes gubernamentales extranjeros cuando sus fondos financien los acuerdos que suscriban, con independencia del porcentaje que representen. Finalmente, según lo dispuesto en el </w:t>
      </w:r>
      <w:r w:rsidRPr="00A30FDD">
        <w:rPr>
          <w:rFonts w:ascii="Verdana" w:hAnsi="Verdana" w:cs="Arial"/>
          <w:i/>
          <w:iCs/>
          <w:color w:val="000000" w:themeColor="text1"/>
          <w:lang w:val="es-ES"/>
        </w:rPr>
        <w:t>parágrafo primero</w:t>
      </w:r>
      <w:r w:rsidRPr="00A30FDD">
        <w:rPr>
          <w:rFonts w:ascii="Verdana" w:hAnsi="Verdana" w:cs="Arial"/>
          <w:color w:val="000000" w:themeColor="text1"/>
          <w:lang w:val="es-ES"/>
        </w:rPr>
        <w:t>, cuando las entidades celebren convenios o contratos con (</w:t>
      </w:r>
      <w:proofErr w:type="spellStart"/>
      <w:r w:rsidRPr="00A30FDD">
        <w:rPr>
          <w:rFonts w:ascii="Verdana" w:hAnsi="Verdana" w:cs="Arial"/>
          <w:color w:val="000000" w:themeColor="text1"/>
          <w:lang w:val="es-ES"/>
        </w:rPr>
        <w:t>iii</w:t>
      </w:r>
      <w:proofErr w:type="spellEnd"/>
      <w:r w:rsidRPr="00A30FDD">
        <w:rPr>
          <w:rFonts w:ascii="Verdana" w:hAnsi="Verdana" w:cs="Arial"/>
          <w:color w:val="000000" w:themeColor="text1"/>
          <w:lang w:val="es-ES"/>
        </w:rPr>
        <w:t xml:space="preserve">) personas extranjeras de derecho público, podrán someterse a sus reglas, aunque no aporten recursos en el marco del acuerdo. </w:t>
      </w:r>
    </w:p>
    <w:p w14:paraId="54AC5000" w14:textId="1D944121" w:rsidR="00161A2B" w:rsidRPr="00A30FDD" w:rsidRDefault="00161A2B" w:rsidP="00690CB8">
      <w:pPr>
        <w:spacing w:before="120" w:after="0" w:line="276" w:lineRule="auto"/>
        <w:ind w:firstLine="708"/>
        <w:jc w:val="both"/>
        <w:rPr>
          <w:rFonts w:ascii="Verdana" w:hAnsi="Verdana" w:cs="Arial"/>
          <w:color w:val="000000" w:themeColor="text1"/>
          <w:lang w:val="es-ES"/>
        </w:rPr>
      </w:pPr>
      <w:r w:rsidRPr="00A30FDD">
        <w:rPr>
          <w:rFonts w:ascii="Verdana" w:hAnsi="Verdana" w:cs="Arial"/>
          <w:color w:val="000000" w:themeColor="text1"/>
          <w:lang w:val="es-ES"/>
        </w:rPr>
        <w:t xml:space="preserve">Con respecto a la aplicación del régimen jurídico de los organismos internacionales, cuando las entidades optan por someter el convenio o contrato a este, es importante resaltar </w:t>
      </w:r>
      <w:r w:rsidR="005B26C2" w:rsidRPr="00A30FDD">
        <w:rPr>
          <w:rFonts w:ascii="Verdana" w:hAnsi="Verdana" w:cs="Arial"/>
          <w:color w:val="000000" w:themeColor="text1"/>
          <w:lang w:val="es-ES"/>
        </w:rPr>
        <w:t xml:space="preserve">el legislador no distinguió los aspectos sobre los cuales es factible aplicar los reglamentos de </w:t>
      </w:r>
      <w:r w:rsidRPr="00A30FDD">
        <w:rPr>
          <w:rFonts w:ascii="Verdana" w:hAnsi="Verdana" w:cs="Arial"/>
          <w:color w:val="000000" w:themeColor="text1"/>
          <w:lang w:val="es-ES"/>
        </w:rPr>
        <w:t xml:space="preserve">dichos </w:t>
      </w:r>
      <w:r w:rsidR="005B26C2" w:rsidRPr="00A30FDD">
        <w:rPr>
          <w:rFonts w:ascii="Verdana" w:hAnsi="Verdana" w:cs="Arial"/>
          <w:color w:val="000000" w:themeColor="text1"/>
          <w:lang w:val="es-ES"/>
        </w:rPr>
        <w:t>organismos</w:t>
      </w:r>
      <w:r w:rsidRPr="00A30FDD">
        <w:rPr>
          <w:rFonts w:ascii="Verdana" w:hAnsi="Verdana" w:cs="Arial"/>
          <w:color w:val="000000" w:themeColor="text1"/>
          <w:lang w:val="es-ES"/>
        </w:rPr>
        <w:t>; en consecuencia,</w:t>
      </w:r>
      <w:r w:rsidR="005B26C2" w:rsidRPr="00A30FDD">
        <w:rPr>
          <w:rFonts w:ascii="Verdana" w:hAnsi="Verdana" w:cs="Arial"/>
          <w:color w:val="000000" w:themeColor="text1"/>
          <w:lang w:val="es-ES"/>
        </w:rPr>
        <w:t xml:space="preserve"> debe entenderse que dentro de la remisión cabe el procedimiento de celebración y todo lo relacionado con la ejecución del contrato o convenio. Esto significa que las Entidades Estatales pueden contratar siguiendo los procedimientos establecidos en los reglamentos de los organismos internacionales a los que alude el </w:t>
      </w:r>
      <w:r w:rsidR="000E2FDC" w:rsidRPr="00A30FDD">
        <w:rPr>
          <w:rFonts w:ascii="Verdana" w:hAnsi="Verdana" w:cs="Arial"/>
          <w:color w:val="000000" w:themeColor="text1"/>
          <w:lang w:val="es-ES"/>
        </w:rPr>
        <w:t xml:space="preserve">citado </w:t>
      </w:r>
      <w:r w:rsidR="005B26C2" w:rsidRPr="00A30FDD">
        <w:rPr>
          <w:rFonts w:ascii="Verdana" w:hAnsi="Verdana" w:cs="Arial"/>
          <w:color w:val="000000" w:themeColor="text1"/>
          <w:lang w:val="es-ES"/>
        </w:rPr>
        <w:t>artículo 20</w:t>
      </w:r>
      <w:r w:rsidRPr="00A30FDD">
        <w:rPr>
          <w:rFonts w:ascii="Verdana" w:hAnsi="Verdana" w:cs="Arial"/>
          <w:color w:val="000000" w:themeColor="text1"/>
          <w:lang w:val="es-ES"/>
        </w:rPr>
        <w:t xml:space="preserve"> </w:t>
      </w:r>
      <w:r w:rsidR="005B26C2" w:rsidRPr="00A30FDD">
        <w:rPr>
          <w:rFonts w:ascii="Verdana" w:hAnsi="Verdana" w:cs="Arial"/>
          <w:color w:val="000000" w:themeColor="text1"/>
          <w:lang w:val="es-ES"/>
        </w:rPr>
        <w:t xml:space="preserve">y no los previstos en el EGCAP. </w:t>
      </w:r>
      <w:r w:rsidRPr="00A30FDD">
        <w:rPr>
          <w:rFonts w:ascii="Verdana" w:hAnsi="Verdana" w:cs="Arial"/>
          <w:color w:val="000000" w:themeColor="text1"/>
          <w:lang w:val="es-ES"/>
        </w:rPr>
        <w:t xml:space="preserve">En este sentido, esta Agencia ha sostenido que la remisión efectuada por la Ley 1150 de 2007 a los reglamentos de dichos organismos </w:t>
      </w:r>
      <w:r w:rsidRPr="00A30FDD">
        <w:rPr>
          <w:rFonts w:ascii="Verdana" w:hAnsi="Verdana" w:cs="Arial"/>
          <w:i/>
          <w:iCs/>
          <w:color w:val="000000" w:themeColor="text1"/>
          <w:u w:val="single"/>
          <w:lang w:val="es-ES"/>
        </w:rPr>
        <w:t>es integral</w:t>
      </w:r>
      <w:r w:rsidRPr="00A30FDD">
        <w:rPr>
          <w:rFonts w:ascii="Verdana" w:hAnsi="Verdana" w:cs="Arial"/>
          <w:color w:val="000000" w:themeColor="text1"/>
          <w:lang w:val="es-ES"/>
        </w:rPr>
        <w:t xml:space="preserve">, en el sentido de que cuando las partes del contrato se someten a </w:t>
      </w:r>
      <w:r w:rsidR="000174F9" w:rsidRPr="00A30FDD">
        <w:rPr>
          <w:rFonts w:ascii="Verdana" w:hAnsi="Verdana" w:cs="Arial"/>
          <w:color w:val="000000" w:themeColor="text1"/>
          <w:lang w:val="es-ES"/>
        </w:rPr>
        <w:t xml:space="preserve">su </w:t>
      </w:r>
      <w:r w:rsidRPr="00A30FDD">
        <w:rPr>
          <w:rFonts w:ascii="Verdana" w:hAnsi="Verdana" w:cs="Arial"/>
          <w:color w:val="000000" w:themeColor="text1"/>
          <w:lang w:val="es-ES"/>
        </w:rPr>
        <w:t xml:space="preserve">normativa, </w:t>
      </w:r>
      <w:r w:rsidRPr="00A30FDD">
        <w:rPr>
          <w:rFonts w:ascii="Verdana" w:hAnsi="Verdana" w:cs="Arial"/>
          <w:i/>
          <w:iCs/>
          <w:color w:val="000000" w:themeColor="text1"/>
          <w:lang w:val="es-ES"/>
        </w:rPr>
        <w:t>las disposiciones reguladas en los reglamentos prevalecen sobre las del EGCAP</w:t>
      </w:r>
      <w:r w:rsidRPr="00A30FDD">
        <w:rPr>
          <w:rStyle w:val="Refdenotaalpie"/>
          <w:rFonts w:ascii="Verdana" w:hAnsi="Verdana" w:cs="Arial"/>
          <w:color w:val="000000" w:themeColor="text1"/>
          <w:lang w:val="es-ES"/>
        </w:rPr>
        <w:footnoteReference w:id="16"/>
      </w:r>
      <w:r w:rsidRPr="00A30FDD">
        <w:rPr>
          <w:rFonts w:ascii="Verdana" w:hAnsi="Verdana" w:cs="Arial"/>
          <w:color w:val="000000" w:themeColor="text1"/>
          <w:lang w:val="es-ES"/>
        </w:rPr>
        <w:t>.</w:t>
      </w:r>
    </w:p>
    <w:p w14:paraId="6E4DB450" w14:textId="77777777" w:rsidR="00AE20C0" w:rsidRPr="00A30FDD" w:rsidRDefault="00E23CE5" w:rsidP="00E23CE5">
      <w:pPr>
        <w:spacing w:before="120" w:after="120" w:line="276" w:lineRule="auto"/>
        <w:ind w:firstLine="708"/>
        <w:jc w:val="both"/>
        <w:rPr>
          <w:rFonts w:ascii="Verdana" w:hAnsi="Verdana" w:cs="Arial"/>
          <w:color w:val="000000" w:themeColor="text1"/>
          <w:lang w:val="es-ES"/>
        </w:rPr>
      </w:pPr>
      <w:r w:rsidRPr="00A30FDD">
        <w:rPr>
          <w:rFonts w:ascii="Verdana" w:hAnsi="Verdana" w:cs="Arial"/>
          <w:color w:val="000000" w:themeColor="text1"/>
          <w:lang w:val="es-ES"/>
        </w:rPr>
        <w:t>Al respecto, sobre la aplicación de los reglamentos de los organismos internacionales en el marco del artículo 20 de la Ley 1150 de 2007, el Consejo de Estado en sentencia del 12 de junio de 2014 señaló que</w:t>
      </w:r>
      <w:r w:rsidR="00AE20C0" w:rsidRPr="00A30FDD">
        <w:rPr>
          <w:rFonts w:ascii="Verdana" w:hAnsi="Verdana" w:cs="Arial"/>
          <w:color w:val="000000" w:themeColor="text1"/>
          <w:lang w:val="es-ES"/>
        </w:rPr>
        <w:t>:</w:t>
      </w:r>
      <w:r w:rsidRPr="00A30FDD">
        <w:rPr>
          <w:rFonts w:ascii="Verdana" w:hAnsi="Verdana" w:cs="Arial"/>
          <w:color w:val="000000" w:themeColor="text1"/>
          <w:lang w:val="es-ES"/>
        </w:rPr>
        <w:t xml:space="preserve"> </w:t>
      </w:r>
    </w:p>
    <w:p w14:paraId="5C718B13" w14:textId="31854EE3" w:rsidR="00E23CE5" w:rsidRPr="00690CB8" w:rsidRDefault="00E23CE5" w:rsidP="00AE20C0">
      <w:pPr>
        <w:spacing w:before="120" w:after="120" w:line="240" w:lineRule="auto"/>
        <w:ind w:left="709" w:right="709"/>
        <w:jc w:val="both"/>
        <w:rPr>
          <w:rFonts w:ascii="Verdana" w:eastAsia="Calibri" w:hAnsi="Verdana" w:cs="Arial"/>
          <w:sz w:val="20"/>
          <w:szCs w:val="20"/>
          <w:lang w:val="es-ES"/>
        </w:rPr>
      </w:pPr>
      <w:r w:rsidRPr="00690CB8">
        <w:rPr>
          <w:rFonts w:ascii="Verdana" w:hAnsi="Verdana" w:cs="Arial"/>
          <w:color w:val="000000" w:themeColor="text1"/>
          <w:sz w:val="20"/>
          <w:szCs w:val="20"/>
          <w:lang w:val="es-ES"/>
        </w:rPr>
        <w:lastRenderedPageBreak/>
        <w:t xml:space="preserve">“se produjo un cambio importante frente a la normativa preexistente, porque según el art. 20 lo que se rige por los estatutos internos de esos organismos es </w:t>
      </w:r>
      <w:r w:rsidRPr="00690CB8">
        <w:rPr>
          <w:rFonts w:ascii="Verdana" w:hAnsi="Verdana" w:cs="Arial"/>
          <w:i/>
          <w:iCs/>
          <w:color w:val="000000" w:themeColor="text1"/>
          <w:sz w:val="20"/>
          <w:szCs w:val="20"/>
          <w:u w:val="single"/>
          <w:lang w:val="es-ES"/>
        </w:rPr>
        <w:t>todo el proceso selección y el contrato</w:t>
      </w:r>
      <w:r w:rsidRPr="00690CB8">
        <w:rPr>
          <w:rFonts w:ascii="Verdana" w:hAnsi="Verdana" w:cs="Arial"/>
          <w:color w:val="000000" w:themeColor="text1"/>
          <w:sz w:val="20"/>
          <w:szCs w:val="20"/>
          <w:lang w:val="es-ES"/>
        </w:rPr>
        <w:t xml:space="preserve">; mientras que en el inciso cuarto del art. 13 de la Ley 80 eran dos aspectos: i) el procedimiento de selección del contratista, que incluye la adjudicación, y </w:t>
      </w:r>
      <w:proofErr w:type="spellStart"/>
      <w:r w:rsidRPr="00690CB8">
        <w:rPr>
          <w:rFonts w:ascii="Verdana" w:hAnsi="Verdana" w:cs="Arial"/>
          <w:color w:val="000000" w:themeColor="text1"/>
          <w:sz w:val="20"/>
          <w:szCs w:val="20"/>
          <w:lang w:val="es-ES"/>
        </w:rPr>
        <w:t>ii</w:t>
      </w:r>
      <w:proofErr w:type="spellEnd"/>
      <w:r w:rsidRPr="00690CB8">
        <w:rPr>
          <w:rFonts w:ascii="Verdana" w:hAnsi="Verdana" w:cs="Arial"/>
          <w:color w:val="000000" w:themeColor="text1"/>
          <w:sz w:val="20"/>
          <w:szCs w:val="20"/>
          <w:lang w:val="es-ES"/>
        </w:rPr>
        <w:t xml:space="preserve">) algunas cláusulas especiales del contrato, relacionadas con la ejecución, el cumplimiento, el pago y los ajustes. </w:t>
      </w:r>
      <w:r w:rsidRPr="00690CB8">
        <w:rPr>
          <w:rFonts w:ascii="Verdana" w:hAnsi="Verdana" w:cs="Arial"/>
          <w:i/>
          <w:iCs/>
          <w:color w:val="000000" w:themeColor="text1"/>
          <w:sz w:val="20"/>
          <w:szCs w:val="20"/>
          <w:u w:val="single"/>
          <w:lang w:val="es-ES"/>
        </w:rPr>
        <w:t>El cambio es sustancial, porque pasó de tener limitaciones a no tenerlas</w:t>
      </w:r>
      <w:r w:rsidRPr="00690CB8">
        <w:rPr>
          <w:rStyle w:val="Refdenotaalpie"/>
          <w:rFonts w:ascii="Verdana" w:hAnsi="Verdana" w:cs="Arial"/>
          <w:color w:val="000000" w:themeColor="text1"/>
          <w:sz w:val="20"/>
          <w:szCs w:val="20"/>
          <w:lang w:val="es-ES"/>
        </w:rPr>
        <w:footnoteReference w:id="17"/>
      </w:r>
      <w:r w:rsidRPr="00690CB8">
        <w:rPr>
          <w:rFonts w:ascii="Verdana" w:hAnsi="Verdana" w:cs="Arial"/>
          <w:color w:val="000000" w:themeColor="text1"/>
          <w:sz w:val="20"/>
          <w:szCs w:val="20"/>
          <w:lang w:val="es-ES"/>
        </w:rPr>
        <w:t>”.</w:t>
      </w:r>
      <w:r w:rsidR="000174F9" w:rsidRPr="00690CB8">
        <w:rPr>
          <w:rFonts w:ascii="Verdana" w:hAnsi="Verdana" w:cs="Arial"/>
          <w:color w:val="000000" w:themeColor="text1"/>
          <w:sz w:val="20"/>
          <w:szCs w:val="20"/>
          <w:lang w:val="es-ES"/>
        </w:rPr>
        <w:t xml:space="preserve"> […]</w:t>
      </w:r>
    </w:p>
    <w:p w14:paraId="0AF1406E" w14:textId="77777777" w:rsidR="00E23CE5" w:rsidRPr="00A30FDD" w:rsidRDefault="00E23CE5" w:rsidP="00E23CE5">
      <w:pPr>
        <w:widowControl w:val="0"/>
        <w:spacing w:before="120" w:after="120" w:line="276" w:lineRule="auto"/>
        <w:ind w:firstLine="488"/>
        <w:jc w:val="both"/>
        <w:rPr>
          <w:rFonts w:ascii="Verdana" w:hAnsi="Verdana" w:cs="Arial"/>
          <w:color w:val="000000" w:themeColor="text1"/>
          <w:lang w:val="es-ES"/>
        </w:rPr>
      </w:pPr>
      <w:r w:rsidRPr="00A30FDD">
        <w:rPr>
          <w:rFonts w:ascii="Verdana" w:hAnsi="Verdana" w:cs="Arial"/>
          <w:color w:val="000000" w:themeColor="text1"/>
          <w:lang w:val="es-ES"/>
        </w:rPr>
        <w:t>Asimismo, la Sala de Consulta y Servicio Civil, en concepto del 25 de septiembre de 2018, explicó el alcance de la remisión a los reglamentos de los organismos multilaterales de crédito, en los siguientes términos:</w:t>
      </w:r>
    </w:p>
    <w:p w14:paraId="64417E58" w14:textId="77777777" w:rsidR="00E23CE5" w:rsidRPr="00690CB8" w:rsidRDefault="00E23CE5" w:rsidP="00E23CE5">
      <w:pPr>
        <w:autoSpaceDE w:val="0"/>
        <w:autoSpaceDN w:val="0"/>
        <w:adjustRightInd w:val="0"/>
        <w:spacing w:after="0" w:line="240" w:lineRule="auto"/>
        <w:ind w:left="708" w:right="709"/>
        <w:jc w:val="both"/>
        <w:rPr>
          <w:rFonts w:ascii="Verdana" w:hAnsi="Verdana" w:cs="Arial"/>
          <w:bCs/>
          <w:color w:val="000000" w:themeColor="text1"/>
          <w:sz w:val="20"/>
          <w:szCs w:val="20"/>
          <w:lang w:val="es-ES"/>
        </w:rPr>
      </w:pPr>
      <w:r w:rsidRPr="00A30FDD">
        <w:rPr>
          <w:rFonts w:ascii="Verdana" w:hAnsi="Verdana" w:cs="Arial"/>
          <w:bCs/>
          <w:color w:val="000000" w:themeColor="text1"/>
          <w:sz w:val="21"/>
          <w:szCs w:val="21"/>
          <w:lang w:val="es-ES"/>
        </w:rPr>
        <w:t>“</w:t>
      </w:r>
      <w:r w:rsidRPr="00690CB8">
        <w:rPr>
          <w:rFonts w:ascii="Verdana" w:hAnsi="Verdana" w:cs="Arial"/>
          <w:bCs/>
          <w:color w:val="000000" w:themeColor="text1"/>
          <w:sz w:val="20"/>
          <w:szCs w:val="20"/>
          <w:lang w:val="es-ES"/>
        </w:rPr>
        <w:t xml:space="preserve">i) De acuerdo con lo previsto en el art. 20 de la Ley 1150 de 2007, los contratos financiados con recursos provenientes de organismos multilaterales de crédito pueden someterse a los reglamentos de tales organismos. </w:t>
      </w:r>
    </w:p>
    <w:p w14:paraId="3F98F3A0" w14:textId="77777777" w:rsidR="00E23CE5" w:rsidRPr="00690CB8" w:rsidRDefault="00E23CE5" w:rsidP="00E23CE5">
      <w:pPr>
        <w:autoSpaceDE w:val="0"/>
        <w:autoSpaceDN w:val="0"/>
        <w:adjustRightInd w:val="0"/>
        <w:spacing w:after="0" w:line="240" w:lineRule="auto"/>
        <w:ind w:left="708" w:right="709"/>
        <w:jc w:val="both"/>
        <w:rPr>
          <w:rFonts w:ascii="Verdana" w:hAnsi="Verdana" w:cs="Arial"/>
          <w:bCs/>
          <w:color w:val="000000" w:themeColor="text1"/>
          <w:sz w:val="20"/>
          <w:szCs w:val="20"/>
          <w:lang w:val="es-ES"/>
        </w:rPr>
      </w:pPr>
    </w:p>
    <w:p w14:paraId="69C70C0D" w14:textId="77777777" w:rsidR="00E23CE5" w:rsidRPr="00690CB8" w:rsidRDefault="00E23CE5" w:rsidP="00E23CE5">
      <w:pPr>
        <w:autoSpaceDE w:val="0"/>
        <w:autoSpaceDN w:val="0"/>
        <w:adjustRightInd w:val="0"/>
        <w:spacing w:after="0" w:line="240" w:lineRule="auto"/>
        <w:ind w:left="708" w:right="709"/>
        <w:jc w:val="both"/>
        <w:rPr>
          <w:rFonts w:ascii="Verdana" w:hAnsi="Verdana" w:cs="Arial"/>
          <w:bCs/>
          <w:color w:val="000000" w:themeColor="text1"/>
          <w:sz w:val="20"/>
          <w:szCs w:val="20"/>
          <w:lang w:val="es-ES"/>
        </w:rPr>
      </w:pPr>
      <w:r w:rsidRPr="00690CB8">
        <w:rPr>
          <w:rFonts w:ascii="Verdana" w:hAnsi="Verdana" w:cs="Arial"/>
          <w:bCs/>
          <w:color w:val="000000" w:themeColor="text1"/>
          <w:sz w:val="20"/>
          <w:szCs w:val="20"/>
          <w:lang w:val="es-ES"/>
        </w:rPr>
        <w:t xml:space="preserve">De ser así, el </w:t>
      </w:r>
      <w:r w:rsidRPr="00690CB8">
        <w:rPr>
          <w:rFonts w:ascii="Verdana" w:hAnsi="Verdana" w:cs="Arial"/>
          <w:bCs/>
          <w:color w:val="000000" w:themeColor="text1"/>
          <w:sz w:val="20"/>
          <w:szCs w:val="20"/>
          <w:shd w:val="clear" w:color="auto" w:fill="FFFFFF"/>
          <w:lang w:val="es-ES"/>
        </w:rPr>
        <w:t xml:space="preserve">Estatuto de Contratación Pública no será aplicable a </w:t>
      </w:r>
      <w:r w:rsidRPr="00690CB8">
        <w:rPr>
          <w:rFonts w:ascii="Verdana" w:hAnsi="Verdana" w:cs="Arial"/>
          <w:bCs/>
          <w:i/>
          <w:iCs/>
          <w:color w:val="000000" w:themeColor="text1"/>
          <w:sz w:val="20"/>
          <w:szCs w:val="20"/>
          <w:u w:val="single"/>
          <w:shd w:val="clear" w:color="auto" w:fill="FFFFFF"/>
          <w:lang w:val="es-ES"/>
        </w:rPr>
        <w:t xml:space="preserve">los procesos de selección, a la celebración y a la ejecución de estos contratos, </w:t>
      </w:r>
      <w:r w:rsidRPr="00690CB8">
        <w:rPr>
          <w:rFonts w:ascii="Verdana" w:hAnsi="Verdana" w:cs="Arial"/>
          <w:bCs/>
          <w:i/>
          <w:iCs/>
          <w:color w:val="000000" w:themeColor="text1"/>
          <w:sz w:val="20"/>
          <w:szCs w:val="20"/>
          <w:u w:val="single"/>
          <w:lang w:val="es-ES"/>
        </w:rPr>
        <w:t>a menos que los reglamentos de tales organismos se remitan a las normas de contratación pública nacional, o guarden silencio respecto a determinados aspectos del proceso contractual o de su ejecución.</w:t>
      </w:r>
      <w:r w:rsidRPr="00690CB8">
        <w:rPr>
          <w:rFonts w:ascii="Verdana" w:hAnsi="Verdana" w:cs="Arial"/>
          <w:bCs/>
          <w:color w:val="000000" w:themeColor="text1"/>
          <w:sz w:val="20"/>
          <w:szCs w:val="20"/>
          <w:lang w:val="es-ES"/>
        </w:rPr>
        <w:t xml:space="preserve"> En este último caso, el Estatuto General de Contratación Pública será aplicable de manera supletiva.    </w:t>
      </w:r>
    </w:p>
    <w:p w14:paraId="14264124" w14:textId="77777777" w:rsidR="00E23CE5" w:rsidRPr="00690CB8" w:rsidRDefault="00E23CE5" w:rsidP="00E23CE5">
      <w:pPr>
        <w:autoSpaceDE w:val="0"/>
        <w:autoSpaceDN w:val="0"/>
        <w:adjustRightInd w:val="0"/>
        <w:spacing w:after="0" w:line="240" w:lineRule="auto"/>
        <w:ind w:left="708" w:right="709"/>
        <w:jc w:val="both"/>
        <w:rPr>
          <w:rFonts w:ascii="Verdana" w:hAnsi="Verdana" w:cs="Arial"/>
          <w:bCs/>
          <w:color w:val="000000" w:themeColor="text1"/>
          <w:sz w:val="20"/>
          <w:szCs w:val="20"/>
          <w:lang w:val="es-ES"/>
        </w:rPr>
      </w:pPr>
    </w:p>
    <w:p w14:paraId="1A9DC391" w14:textId="77777777" w:rsidR="00E23CE5" w:rsidRPr="00690CB8" w:rsidRDefault="00E23CE5" w:rsidP="00E23CE5">
      <w:pPr>
        <w:autoSpaceDE w:val="0"/>
        <w:autoSpaceDN w:val="0"/>
        <w:adjustRightInd w:val="0"/>
        <w:spacing w:after="0" w:line="240" w:lineRule="auto"/>
        <w:ind w:left="708" w:right="709"/>
        <w:jc w:val="both"/>
        <w:rPr>
          <w:rFonts w:ascii="Verdana" w:hAnsi="Verdana" w:cs="Arial"/>
          <w:bCs/>
          <w:color w:val="000000" w:themeColor="text1"/>
          <w:sz w:val="20"/>
          <w:szCs w:val="20"/>
          <w:lang w:val="es-ES"/>
        </w:rPr>
      </w:pPr>
      <w:proofErr w:type="spellStart"/>
      <w:r w:rsidRPr="00690CB8">
        <w:rPr>
          <w:rFonts w:ascii="Verdana" w:hAnsi="Verdana" w:cs="Arial"/>
          <w:bCs/>
          <w:color w:val="000000" w:themeColor="text1"/>
          <w:sz w:val="20"/>
          <w:szCs w:val="20"/>
          <w:lang w:val="es-ES"/>
        </w:rPr>
        <w:t>ii</w:t>
      </w:r>
      <w:proofErr w:type="spellEnd"/>
      <w:r w:rsidRPr="00690CB8">
        <w:rPr>
          <w:rFonts w:ascii="Verdana" w:hAnsi="Verdana" w:cs="Arial"/>
          <w:bCs/>
          <w:color w:val="000000" w:themeColor="text1"/>
          <w:sz w:val="20"/>
          <w:szCs w:val="20"/>
          <w:lang w:val="es-ES"/>
        </w:rPr>
        <w:t>) Es importante destacar que la posibilidad de inaplicar las normas nacionales de contratación pública a los contratos financiados con recursos provenientes de organismos multilaterales de crédito es de naturaleza excepcional y, por lo tanto, de aplicación restrictiva.</w:t>
      </w:r>
    </w:p>
    <w:p w14:paraId="31646213" w14:textId="77777777" w:rsidR="00E23CE5" w:rsidRPr="00690CB8" w:rsidRDefault="00E23CE5" w:rsidP="00E23CE5">
      <w:pPr>
        <w:autoSpaceDE w:val="0"/>
        <w:autoSpaceDN w:val="0"/>
        <w:adjustRightInd w:val="0"/>
        <w:spacing w:after="0" w:line="240" w:lineRule="auto"/>
        <w:ind w:left="708" w:right="709"/>
        <w:jc w:val="both"/>
        <w:rPr>
          <w:rFonts w:ascii="Verdana" w:hAnsi="Verdana" w:cs="Arial"/>
          <w:bCs/>
          <w:color w:val="000000" w:themeColor="text1"/>
          <w:sz w:val="20"/>
          <w:szCs w:val="20"/>
          <w:lang w:val="es-ES"/>
        </w:rPr>
      </w:pPr>
    </w:p>
    <w:p w14:paraId="731348EB" w14:textId="77777777" w:rsidR="00E23CE5" w:rsidRPr="00690CB8" w:rsidRDefault="00E23CE5" w:rsidP="00E23CE5">
      <w:pPr>
        <w:autoSpaceDE w:val="0"/>
        <w:autoSpaceDN w:val="0"/>
        <w:adjustRightInd w:val="0"/>
        <w:spacing w:after="0" w:line="240" w:lineRule="auto"/>
        <w:ind w:left="708" w:right="709"/>
        <w:jc w:val="both"/>
        <w:rPr>
          <w:rFonts w:ascii="Verdana" w:hAnsi="Verdana" w:cs="Arial"/>
          <w:bCs/>
          <w:color w:val="000000" w:themeColor="text1"/>
          <w:sz w:val="20"/>
          <w:szCs w:val="20"/>
          <w:lang w:val="es-ES"/>
        </w:rPr>
      </w:pPr>
      <w:r w:rsidRPr="00690CB8">
        <w:rPr>
          <w:rFonts w:ascii="Verdana" w:hAnsi="Verdana" w:cs="Arial"/>
          <w:bCs/>
          <w:color w:val="000000" w:themeColor="text1"/>
          <w:sz w:val="20"/>
          <w:szCs w:val="20"/>
          <w:lang w:val="es-ES"/>
        </w:rPr>
        <w:t xml:space="preserve">Además, dicha posibilidad </w:t>
      </w:r>
      <w:r w:rsidRPr="00690CB8">
        <w:rPr>
          <w:rFonts w:ascii="Verdana" w:hAnsi="Verdana" w:cs="Arial"/>
          <w:bCs/>
          <w:i/>
          <w:iCs/>
          <w:color w:val="000000" w:themeColor="text1"/>
          <w:sz w:val="20"/>
          <w:szCs w:val="20"/>
          <w:u w:val="single"/>
          <w:lang w:val="es-ES"/>
        </w:rPr>
        <w:t>no se extiende a las normas del régimen presupuestal contenido en la Constitución Política, en el Estatuto Orgánico del Presupuesto y en sus demás normas reglamentarias.</w:t>
      </w:r>
      <w:r w:rsidRPr="00690CB8">
        <w:rPr>
          <w:rFonts w:ascii="Verdana" w:hAnsi="Verdana" w:cs="Arial"/>
          <w:bCs/>
          <w:color w:val="000000" w:themeColor="text1"/>
          <w:sz w:val="20"/>
          <w:szCs w:val="20"/>
          <w:lang w:val="es-ES"/>
        </w:rPr>
        <w:t xml:space="preserve"> Este régimen es diferente del consagrado para los contratos estatales regulados por la Ley 80 de 1993 o por los reglamentos de los organismos multilaterales de crédito, aunque se encuentren relacionados e incluso en condición de complementariedad.</w:t>
      </w:r>
    </w:p>
    <w:p w14:paraId="45E14D4A" w14:textId="77777777" w:rsidR="00E23CE5" w:rsidRPr="00690CB8" w:rsidRDefault="00E23CE5" w:rsidP="00E23CE5">
      <w:pPr>
        <w:autoSpaceDE w:val="0"/>
        <w:autoSpaceDN w:val="0"/>
        <w:adjustRightInd w:val="0"/>
        <w:spacing w:after="0" w:line="240" w:lineRule="auto"/>
        <w:ind w:left="708" w:right="709"/>
        <w:jc w:val="both"/>
        <w:rPr>
          <w:rFonts w:ascii="Verdana" w:hAnsi="Verdana" w:cs="Arial"/>
          <w:bCs/>
          <w:color w:val="000000" w:themeColor="text1"/>
          <w:sz w:val="20"/>
          <w:szCs w:val="20"/>
          <w:lang w:val="es-ES"/>
        </w:rPr>
      </w:pPr>
    </w:p>
    <w:p w14:paraId="6F5EFBB4" w14:textId="77777777" w:rsidR="00E23CE5" w:rsidRPr="00690CB8" w:rsidRDefault="00E23CE5" w:rsidP="00E23CE5">
      <w:pPr>
        <w:autoSpaceDE w:val="0"/>
        <w:autoSpaceDN w:val="0"/>
        <w:adjustRightInd w:val="0"/>
        <w:spacing w:line="240" w:lineRule="auto"/>
        <w:ind w:left="709" w:right="709"/>
        <w:jc w:val="both"/>
        <w:rPr>
          <w:rFonts w:ascii="Verdana" w:hAnsi="Verdana" w:cs="Arial"/>
          <w:bCs/>
          <w:color w:val="000000" w:themeColor="text1"/>
          <w:sz w:val="20"/>
          <w:szCs w:val="20"/>
          <w:lang w:val="es-ES"/>
        </w:rPr>
      </w:pPr>
      <w:r w:rsidRPr="00690CB8">
        <w:rPr>
          <w:rFonts w:ascii="Verdana" w:hAnsi="Verdana" w:cs="Arial"/>
          <w:bCs/>
          <w:color w:val="000000" w:themeColor="text1"/>
          <w:sz w:val="20"/>
          <w:szCs w:val="20"/>
          <w:lang w:val="es-ES"/>
        </w:rPr>
        <w:t xml:space="preserve">Por lo tanto, si bien los contratos financiados con recursos provenientes de organismos multilaterales de crédito pueden someterse a los reglamentos de tales entidades, </w:t>
      </w:r>
      <w:r w:rsidRPr="00690CB8">
        <w:rPr>
          <w:rFonts w:ascii="Verdana" w:hAnsi="Verdana" w:cs="Arial"/>
          <w:bCs/>
          <w:i/>
          <w:iCs/>
          <w:color w:val="000000" w:themeColor="text1"/>
          <w:sz w:val="20"/>
          <w:szCs w:val="20"/>
          <w:u w:val="single"/>
          <w:lang w:val="es-ES"/>
        </w:rPr>
        <w:t>permanecen sujetos a los principios y reglas del régimen presupuestal colombiano</w:t>
      </w:r>
      <w:r w:rsidRPr="00690CB8">
        <w:rPr>
          <w:rFonts w:ascii="Verdana" w:hAnsi="Verdana" w:cs="Arial"/>
          <w:bCs/>
          <w:color w:val="000000" w:themeColor="text1"/>
          <w:sz w:val="20"/>
          <w:szCs w:val="20"/>
          <w:lang w:val="es-ES"/>
        </w:rPr>
        <w:t xml:space="preserve">.  </w:t>
      </w:r>
    </w:p>
    <w:p w14:paraId="29EB10D8" w14:textId="77777777" w:rsidR="00E23CE5" w:rsidRPr="00690CB8" w:rsidRDefault="00E23CE5" w:rsidP="00E23CE5">
      <w:pPr>
        <w:autoSpaceDE w:val="0"/>
        <w:autoSpaceDN w:val="0"/>
        <w:adjustRightInd w:val="0"/>
        <w:spacing w:line="240" w:lineRule="auto"/>
        <w:ind w:left="709" w:right="709"/>
        <w:jc w:val="both"/>
        <w:rPr>
          <w:rFonts w:ascii="Verdana" w:hAnsi="Verdana" w:cs="Arial"/>
          <w:bCs/>
          <w:color w:val="000000" w:themeColor="text1"/>
          <w:sz w:val="20"/>
          <w:szCs w:val="20"/>
          <w:lang w:val="es-ES"/>
        </w:rPr>
      </w:pPr>
      <w:proofErr w:type="spellStart"/>
      <w:r w:rsidRPr="00690CB8">
        <w:rPr>
          <w:rFonts w:ascii="Verdana" w:hAnsi="Verdana" w:cs="Arial"/>
          <w:bCs/>
          <w:color w:val="000000" w:themeColor="text1"/>
          <w:sz w:val="20"/>
          <w:szCs w:val="20"/>
          <w:lang w:val="es-ES"/>
        </w:rPr>
        <w:lastRenderedPageBreak/>
        <w:t>iii</w:t>
      </w:r>
      <w:proofErr w:type="spellEnd"/>
      <w:r w:rsidRPr="00690CB8">
        <w:rPr>
          <w:rFonts w:ascii="Verdana" w:hAnsi="Verdana" w:cs="Arial"/>
          <w:bCs/>
          <w:color w:val="000000" w:themeColor="text1"/>
          <w:sz w:val="20"/>
          <w:szCs w:val="20"/>
          <w:lang w:val="es-ES"/>
        </w:rPr>
        <w:t xml:space="preserve">) De conformidad con lo expuesto, </w:t>
      </w:r>
      <w:r w:rsidRPr="00690CB8">
        <w:rPr>
          <w:rFonts w:ascii="Verdana" w:hAnsi="Verdana" w:cs="Arial"/>
          <w:bCs/>
          <w:i/>
          <w:iCs/>
          <w:color w:val="000000" w:themeColor="text1"/>
          <w:sz w:val="20"/>
          <w:szCs w:val="20"/>
          <w:u w:val="single"/>
          <w:lang w:val="es-ES"/>
        </w:rPr>
        <w:t>al procedimiento administrativo contractual y al respectivo contrato</w:t>
      </w:r>
      <w:r w:rsidRPr="00690CB8">
        <w:rPr>
          <w:rFonts w:ascii="Verdana" w:hAnsi="Verdana" w:cs="Arial"/>
          <w:bCs/>
          <w:color w:val="000000" w:themeColor="text1"/>
          <w:sz w:val="20"/>
          <w:szCs w:val="20"/>
          <w:lang w:val="es-ES"/>
        </w:rPr>
        <w:t xml:space="preserve"> financiado con recursos provenientes de organismos multilaterales de crédito, y sometidos a los reglamentos de tales organismos, les resulta inaplicable por regla general el Estatuto General de la Contratación Pública. Sin embargo, estarán sometidos al Estatuto Orgánico del presupuesto y, entre otras obligaciones, a la obtener </w:t>
      </w:r>
      <w:r w:rsidRPr="00690CB8">
        <w:rPr>
          <w:rFonts w:ascii="Verdana" w:hAnsi="Verdana" w:cs="Arial"/>
          <w:bCs/>
          <w:color w:val="000000" w:themeColor="text1"/>
          <w:sz w:val="20"/>
          <w:szCs w:val="20"/>
          <w:lang w:val="es-ES" w:eastAsia="es-ES"/>
        </w:rPr>
        <w:t>el certificado de disponibilidad presupuestal, en cumplimiento del régimen presupuestal analizado en este concepto</w:t>
      </w:r>
      <w:r w:rsidRPr="00690CB8">
        <w:rPr>
          <w:rFonts w:ascii="Verdana" w:hAnsi="Verdana" w:cs="Arial"/>
          <w:bCs/>
          <w:color w:val="000000" w:themeColor="text1"/>
          <w:sz w:val="20"/>
          <w:szCs w:val="20"/>
          <w:lang w:val="es-ES"/>
        </w:rPr>
        <w:t>”</w:t>
      </w:r>
      <w:r w:rsidRPr="00690CB8">
        <w:rPr>
          <w:rStyle w:val="Refdenotaalpie"/>
          <w:rFonts w:ascii="Verdana" w:hAnsi="Verdana" w:cs="Arial"/>
          <w:bCs/>
          <w:color w:val="000000" w:themeColor="text1"/>
          <w:sz w:val="20"/>
          <w:szCs w:val="20"/>
          <w:lang w:val="es-ES"/>
        </w:rPr>
        <w:footnoteReference w:id="18"/>
      </w:r>
      <w:r w:rsidRPr="00690CB8">
        <w:rPr>
          <w:rFonts w:ascii="Verdana" w:hAnsi="Verdana" w:cs="Arial"/>
          <w:bCs/>
          <w:color w:val="000000" w:themeColor="text1"/>
          <w:sz w:val="20"/>
          <w:szCs w:val="20"/>
          <w:lang w:val="es-ES"/>
        </w:rPr>
        <w:t>.</w:t>
      </w:r>
    </w:p>
    <w:p w14:paraId="7C80ABE4" w14:textId="77777777" w:rsidR="00CF1831" w:rsidRPr="00A30FDD" w:rsidRDefault="005B26C2" w:rsidP="005B26C2">
      <w:pPr>
        <w:spacing w:before="120" w:after="120" w:line="276" w:lineRule="auto"/>
        <w:ind w:firstLine="709"/>
        <w:jc w:val="both"/>
        <w:rPr>
          <w:rFonts w:ascii="Verdana" w:hAnsi="Verdana" w:cs="Arial"/>
          <w:color w:val="000000" w:themeColor="text1"/>
          <w:lang w:val="es-ES"/>
        </w:rPr>
      </w:pPr>
      <w:r w:rsidRPr="00A30FDD">
        <w:rPr>
          <w:rFonts w:ascii="Verdana" w:hAnsi="Verdana" w:cs="Arial"/>
          <w:color w:val="000000" w:themeColor="text1"/>
          <w:lang w:val="es-ES"/>
        </w:rPr>
        <w:t xml:space="preserve">De conformidad con lo expuesto, se concluye que los contratos o convenios celebrados con los sujetos y que cumplan los supuestos del artículo 20 pueden someterse a los reglamentos de tales organismos y en consecuencia sustraerse de la aplicación del EGCAP. Esto implica </w:t>
      </w:r>
      <w:r w:rsidR="00D91885" w:rsidRPr="00A30FDD">
        <w:rPr>
          <w:rFonts w:ascii="Verdana" w:hAnsi="Verdana" w:cs="Arial"/>
          <w:color w:val="000000" w:themeColor="text1"/>
          <w:lang w:val="es-ES"/>
        </w:rPr>
        <w:t xml:space="preserve">que cuando se sometan a </w:t>
      </w:r>
      <w:r w:rsidRPr="00A30FDD">
        <w:rPr>
          <w:rFonts w:ascii="Verdana" w:hAnsi="Verdana" w:cs="Arial"/>
          <w:color w:val="000000" w:themeColor="text1"/>
          <w:lang w:val="es-ES"/>
        </w:rPr>
        <w:t xml:space="preserve">sus reglamentos, convenciones o tratados </w:t>
      </w:r>
      <w:r w:rsidR="00D91885" w:rsidRPr="00A30FDD">
        <w:rPr>
          <w:rFonts w:ascii="Verdana" w:hAnsi="Verdana" w:cs="Arial"/>
          <w:color w:val="000000" w:themeColor="text1"/>
          <w:lang w:val="es-ES"/>
        </w:rPr>
        <w:t xml:space="preserve">se </w:t>
      </w:r>
      <w:r w:rsidR="00CF1831" w:rsidRPr="00A30FDD">
        <w:rPr>
          <w:rFonts w:ascii="Verdana" w:hAnsi="Verdana" w:cs="Arial"/>
          <w:color w:val="000000" w:themeColor="text1"/>
          <w:lang w:val="es-ES"/>
        </w:rPr>
        <w:t>regirá</w:t>
      </w:r>
      <w:r w:rsidR="00D91885" w:rsidRPr="00A30FDD">
        <w:rPr>
          <w:rFonts w:ascii="Verdana" w:hAnsi="Verdana" w:cs="Arial"/>
          <w:color w:val="000000" w:themeColor="text1"/>
          <w:lang w:val="es-ES"/>
        </w:rPr>
        <w:t xml:space="preserve"> por este marco jurídico </w:t>
      </w:r>
      <w:r w:rsidRPr="00A30FDD">
        <w:rPr>
          <w:rFonts w:ascii="Verdana" w:hAnsi="Verdana" w:cs="Arial"/>
          <w:i/>
          <w:iCs/>
          <w:color w:val="000000" w:themeColor="text1"/>
          <w:u w:val="single"/>
          <w:lang w:val="es-ES"/>
        </w:rPr>
        <w:t xml:space="preserve">todo </w:t>
      </w:r>
      <w:r w:rsidRPr="00A30FDD">
        <w:rPr>
          <w:rFonts w:ascii="Verdana" w:hAnsi="Verdana" w:cs="Arial"/>
          <w:color w:val="000000" w:themeColor="text1"/>
          <w:lang w:val="es-ES"/>
        </w:rPr>
        <w:t>lo referente a</w:t>
      </w:r>
      <w:r w:rsidR="00D91885" w:rsidRPr="00A30FDD">
        <w:rPr>
          <w:rFonts w:ascii="Verdana" w:hAnsi="Verdana" w:cs="Arial"/>
          <w:color w:val="000000" w:themeColor="text1"/>
          <w:lang w:val="es-ES"/>
        </w:rPr>
        <w:t>:</w:t>
      </w:r>
      <w:r w:rsidRPr="00A30FDD">
        <w:rPr>
          <w:rFonts w:ascii="Verdana" w:hAnsi="Verdana" w:cs="Arial"/>
          <w:color w:val="000000" w:themeColor="text1"/>
          <w:lang w:val="es-ES"/>
        </w:rPr>
        <w:t xml:space="preserve"> </w:t>
      </w:r>
    </w:p>
    <w:p w14:paraId="508CFE94" w14:textId="39EC3AE3" w:rsidR="00CF1831" w:rsidRPr="00A30FDD" w:rsidRDefault="00AB35A3" w:rsidP="005B26C2">
      <w:pPr>
        <w:spacing w:before="120" w:after="120" w:line="276" w:lineRule="auto"/>
        <w:ind w:firstLine="709"/>
        <w:jc w:val="both"/>
        <w:rPr>
          <w:rFonts w:ascii="Verdana" w:hAnsi="Verdana" w:cs="Arial"/>
          <w:color w:val="000000" w:themeColor="text1"/>
          <w:lang w:val="es-ES"/>
        </w:rPr>
      </w:pPr>
      <w:r w:rsidRPr="00A30FDD">
        <w:rPr>
          <w:rFonts w:ascii="Verdana" w:hAnsi="Verdana" w:cs="Arial"/>
          <w:color w:val="000000" w:themeColor="text1"/>
          <w:lang w:val="es-ES"/>
        </w:rPr>
        <w:t>1</w:t>
      </w:r>
      <w:r w:rsidR="00D91885" w:rsidRPr="00A30FDD">
        <w:rPr>
          <w:rFonts w:ascii="Verdana" w:hAnsi="Verdana" w:cs="Arial"/>
          <w:color w:val="000000" w:themeColor="text1"/>
          <w:lang w:val="es-ES"/>
        </w:rPr>
        <w:t xml:space="preserve">) </w:t>
      </w:r>
      <w:r w:rsidR="00CF1831" w:rsidRPr="00A30FDD">
        <w:rPr>
          <w:rFonts w:ascii="Verdana" w:hAnsi="Verdana" w:cs="Arial"/>
          <w:color w:val="000000" w:themeColor="text1"/>
          <w:lang w:val="es-ES"/>
        </w:rPr>
        <w:t>E</w:t>
      </w:r>
      <w:r w:rsidR="00D91885" w:rsidRPr="00A30FDD">
        <w:rPr>
          <w:rFonts w:ascii="Verdana" w:hAnsi="Verdana" w:cs="Arial"/>
          <w:color w:val="000000" w:themeColor="text1"/>
          <w:lang w:val="es-ES"/>
        </w:rPr>
        <w:t xml:space="preserve">l procedimiento de selección, </w:t>
      </w:r>
    </w:p>
    <w:p w14:paraId="33F1D4D0" w14:textId="014785A0" w:rsidR="00CF1831" w:rsidRPr="00A30FDD" w:rsidRDefault="00AB35A3" w:rsidP="005B26C2">
      <w:pPr>
        <w:spacing w:before="120" w:after="120" w:line="276" w:lineRule="auto"/>
        <w:ind w:firstLine="709"/>
        <w:jc w:val="both"/>
        <w:rPr>
          <w:rFonts w:ascii="Verdana" w:hAnsi="Verdana" w:cs="Arial"/>
          <w:color w:val="000000" w:themeColor="text1"/>
          <w:lang w:val="es-ES"/>
        </w:rPr>
      </w:pPr>
      <w:r w:rsidRPr="00A30FDD">
        <w:rPr>
          <w:rFonts w:ascii="Verdana" w:hAnsi="Verdana" w:cs="Arial"/>
          <w:color w:val="000000" w:themeColor="text1"/>
          <w:lang w:val="es-ES"/>
        </w:rPr>
        <w:t>2</w:t>
      </w:r>
      <w:r w:rsidR="00D91885" w:rsidRPr="00A30FDD">
        <w:rPr>
          <w:rFonts w:ascii="Verdana" w:hAnsi="Verdana" w:cs="Arial"/>
          <w:color w:val="000000" w:themeColor="text1"/>
          <w:lang w:val="es-ES"/>
        </w:rPr>
        <w:t xml:space="preserve">) </w:t>
      </w:r>
      <w:r w:rsidR="00CF1831" w:rsidRPr="00A30FDD">
        <w:rPr>
          <w:rFonts w:ascii="Verdana" w:hAnsi="Verdana" w:cs="Arial"/>
          <w:color w:val="000000" w:themeColor="text1"/>
          <w:lang w:val="es-ES"/>
        </w:rPr>
        <w:t>L</w:t>
      </w:r>
      <w:r w:rsidR="005B26C2" w:rsidRPr="00A30FDD">
        <w:rPr>
          <w:rFonts w:ascii="Verdana" w:hAnsi="Verdana" w:cs="Arial"/>
          <w:color w:val="000000" w:themeColor="text1"/>
          <w:lang w:val="es-ES"/>
        </w:rPr>
        <w:t>a celebración</w:t>
      </w:r>
      <w:r w:rsidR="00D91885" w:rsidRPr="00A30FDD">
        <w:rPr>
          <w:rFonts w:ascii="Verdana" w:hAnsi="Verdana" w:cs="Arial"/>
          <w:color w:val="000000" w:themeColor="text1"/>
          <w:lang w:val="es-ES"/>
        </w:rPr>
        <w:t xml:space="preserve"> del contrato y </w:t>
      </w:r>
    </w:p>
    <w:p w14:paraId="1B8E1FCA" w14:textId="5E542AE0" w:rsidR="00D91885" w:rsidRPr="00A30FDD" w:rsidRDefault="00AB35A3" w:rsidP="005B26C2">
      <w:pPr>
        <w:spacing w:before="120" w:after="120" w:line="276" w:lineRule="auto"/>
        <w:ind w:firstLine="709"/>
        <w:jc w:val="both"/>
        <w:rPr>
          <w:rFonts w:ascii="Verdana" w:hAnsi="Verdana" w:cs="Arial"/>
          <w:color w:val="000000" w:themeColor="text1"/>
          <w:lang w:val="es-ES"/>
        </w:rPr>
      </w:pPr>
      <w:r w:rsidRPr="00A30FDD">
        <w:rPr>
          <w:rFonts w:ascii="Verdana" w:hAnsi="Verdana" w:cs="Arial"/>
          <w:color w:val="000000" w:themeColor="text1"/>
          <w:lang w:val="es-ES"/>
        </w:rPr>
        <w:t>3</w:t>
      </w:r>
      <w:r w:rsidR="00D91885" w:rsidRPr="00A30FDD">
        <w:rPr>
          <w:rFonts w:ascii="Verdana" w:hAnsi="Verdana" w:cs="Arial"/>
          <w:color w:val="000000" w:themeColor="text1"/>
          <w:lang w:val="es-ES"/>
        </w:rPr>
        <w:t xml:space="preserve">) </w:t>
      </w:r>
      <w:r w:rsidR="00CF1831" w:rsidRPr="00A30FDD">
        <w:rPr>
          <w:rFonts w:ascii="Verdana" w:hAnsi="Verdana" w:cs="Arial"/>
          <w:color w:val="000000" w:themeColor="text1"/>
          <w:lang w:val="es-ES"/>
        </w:rPr>
        <w:t>L</w:t>
      </w:r>
      <w:r w:rsidR="00D91885" w:rsidRPr="00A30FDD">
        <w:rPr>
          <w:rFonts w:ascii="Verdana" w:hAnsi="Verdana" w:cs="Arial"/>
          <w:color w:val="000000" w:themeColor="text1"/>
          <w:lang w:val="es-ES"/>
        </w:rPr>
        <w:t>a</w:t>
      </w:r>
      <w:r w:rsidR="005B26C2" w:rsidRPr="00A30FDD">
        <w:rPr>
          <w:rFonts w:ascii="Verdana" w:hAnsi="Verdana" w:cs="Arial"/>
          <w:color w:val="000000" w:themeColor="text1"/>
          <w:lang w:val="es-ES"/>
        </w:rPr>
        <w:t xml:space="preserve"> </w:t>
      </w:r>
      <w:r w:rsidR="00CF1831" w:rsidRPr="00A30FDD">
        <w:rPr>
          <w:rFonts w:ascii="Verdana" w:hAnsi="Verdana" w:cs="Arial"/>
          <w:color w:val="000000" w:themeColor="text1"/>
          <w:lang w:val="es-ES"/>
        </w:rPr>
        <w:t>ejecución</w:t>
      </w:r>
      <w:r w:rsidR="00D91885" w:rsidRPr="00A30FDD">
        <w:rPr>
          <w:rFonts w:ascii="Verdana" w:hAnsi="Verdana" w:cs="Arial"/>
          <w:color w:val="000000" w:themeColor="text1"/>
          <w:lang w:val="es-ES"/>
        </w:rPr>
        <w:t xml:space="preserve"> contractual, lo cual incluye los </w:t>
      </w:r>
      <w:r w:rsidR="00CF1831" w:rsidRPr="00A30FDD">
        <w:rPr>
          <w:rFonts w:ascii="Verdana" w:hAnsi="Verdana" w:cs="Arial"/>
          <w:color w:val="000000" w:themeColor="text1"/>
          <w:lang w:val="es-ES"/>
        </w:rPr>
        <w:t>procedimientos</w:t>
      </w:r>
      <w:r w:rsidR="00D91885" w:rsidRPr="00A30FDD">
        <w:rPr>
          <w:rFonts w:ascii="Verdana" w:hAnsi="Verdana" w:cs="Arial"/>
          <w:color w:val="000000" w:themeColor="text1"/>
          <w:lang w:val="es-ES"/>
        </w:rPr>
        <w:t xml:space="preserve">, sanciones o </w:t>
      </w:r>
      <w:r w:rsidR="00CF1831" w:rsidRPr="00A30FDD">
        <w:rPr>
          <w:rFonts w:ascii="Verdana" w:hAnsi="Verdana" w:cs="Arial"/>
          <w:color w:val="000000" w:themeColor="text1"/>
          <w:lang w:val="es-ES"/>
        </w:rPr>
        <w:t>recursos</w:t>
      </w:r>
      <w:r w:rsidR="00D91885" w:rsidRPr="00A30FDD">
        <w:rPr>
          <w:rFonts w:ascii="Verdana" w:hAnsi="Verdana" w:cs="Arial"/>
          <w:color w:val="000000" w:themeColor="text1"/>
          <w:lang w:val="es-ES"/>
        </w:rPr>
        <w:t xml:space="preserve"> aplicables ante </w:t>
      </w:r>
      <w:r w:rsidR="005B26C2" w:rsidRPr="00A30FDD">
        <w:rPr>
          <w:rFonts w:ascii="Verdana" w:hAnsi="Verdana" w:cs="Arial"/>
          <w:color w:val="000000" w:themeColor="text1"/>
          <w:lang w:val="es-ES"/>
        </w:rPr>
        <w:t>posibles incumplimientos</w:t>
      </w:r>
      <w:r w:rsidR="00D91885" w:rsidRPr="00A30FDD">
        <w:rPr>
          <w:rFonts w:ascii="Verdana" w:hAnsi="Verdana" w:cs="Arial"/>
          <w:color w:val="000000" w:themeColor="text1"/>
          <w:lang w:val="es-ES"/>
        </w:rPr>
        <w:t xml:space="preserve"> por alguna de las </w:t>
      </w:r>
      <w:r w:rsidR="00CF1831" w:rsidRPr="00A30FDD">
        <w:rPr>
          <w:rFonts w:ascii="Verdana" w:hAnsi="Verdana" w:cs="Arial"/>
          <w:color w:val="000000" w:themeColor="text1"/>
          <w:lang w:val="es-ES"/>
        </w:rPr>
        <w:t>partes</w:t>
      </w:r>
      <w:r w:rsidR="005B26C2" w:rsidRPr="00A30FDD">
        <w:rPr>
          <w:rFonts w:ascii="Verdana" w:hAnsi="Verdana" w:cs="Arial"/>
          <w:color w:val="000000" w:themeColor="text1"/>
          <w:lang w:val="es-ES"/>
        </w:rPr>
        <w:t xml:space="preserve">, en la medida en que la </w:t>
      </w:r>
      <w:r w:rsidR="00CF1831" w:rsidRPr="00A30FDD">
        <w:rPr>
          <w:rFonts w:ascii="Verdana" w:hAnsi="Verdana" w:cs="Arial"/>
          <w:color w:val="000000" w:themeColor="text1"/>
          <w:lang w:val="es-ES"/>
        </w:rPr>
        <w:t>remisión</w:t>
      </w:r>
      <w:r w:rsidR="005B26C2" w:rsidRPr="00A30FDD">
        <w:rPr>
          <w:rFonts w:ascii="Verdana" w:hAnsi="Verdana" w:cs="Arial"/>
          <w:color w:val="000000" w:themeColor="text1"/>
          <w:lang w:val="es-ES"/>
        </w:rPr>
        <w:t xml:space="preserve"> es integral a menos que se disponga lo contrario.</w:t>
      </w:r>
    </w:p>
    <w:p w14:paraId="2AC0A90D" w14:textId="21C9AFF6" w:rsidR="00CF1831" w:rsidRPr="00A30FDD" w:rsidRDefault="00CF1831" w:rsidP="00CF1831">
      <w:pPr>
        <w:spacing w:before="120" w:after="120" w:line="276" w:lineRule="auto"/>
        <w:ind w:firstLine="709"/>
        <w:jc w:val="both"/>
        <w:rPr>
          <w:rFonts w:ascii="Verdana" w:hAnsi="Verdana" w:cs="Arial"/>
          <w:color w:val="000000" w:themeColor="text1"/>
          <w:lang w:val="es-ES"/>
        </w:rPr>
      </w:pPr>
      <w:r w:rsidRPr="00A30FDD">
        <w:rPr>
          <w:rFonts w:ascii="Verdana" w:hAnsi="Verdana" w:cs="Arial"/>
          <w:color w:val="000000" w:themeColor="text1"/>
          <w:lang w:val="es-ES"/>
        </w:rPr>
        <w:t>Por otra parte, también se deriva de lo anterior que incluso en los supuestos en los que el contrato se someta a los reglamentos o normativa del organismo internacional, se aplicará la normativa nacional en materia de contratación pública –es decir</w:t>
      </w:r>
      <w:proofErr w:type="gramStart"/>
      <w:r w:rsidRPr="00A30FDD">
        <w:rPr>
          <w:rFonts w:ascii="Verdana" w:hAnsi="Verdana" w:cs="Arial"/>
          <w:color w:val="000000" w:themeColor="text1"/>
          <w:lang w:val="es-ES"/>
        </w:rPr>
        <w:t>, :</w:t>
      </w:r>
      <w:proofErr w:type="gramEnd"/>
    </w:p>
    <w:p w14:paraId="559F0836" w14:textId="6A382E23" w:rsidR="00CF1831" w:rsidRPr="00A30FDD" w:rsidRDefault="00AB35A3" w:rsidP="005B26C2">
      <w:pPr>
        <w:spacing w:before="120" w:after="120" w:line="276" w:lineRule="auto"/>
        <w:ind w:firstLine="709"/>
        <w:jc w:val="both"/>
        <w:rPr>
          <w:rFonts w:ascii="Verdana" w:hAnsi="Verdana" w:cs="Arial"/>
          <w:color w:val="000000" w:themeColor="text1"/>
          <w:lang w:val="es-ES"/>
        </w:rPr>
      </w:pPr>
      <w:r w:rsidRPr="00A30FDD">
        <w:rPr>
          <w:rFonts w:ascii="Verdana" w:hAnsi="Verdana" w:cs="Arial"/>
          <w:color w:val="000000" w:themeColor="text1"/>
          <w:lang w:val="es-ES"/>
        </w:rPr>
        <w:t>1</w:t>
      </w:r>
      <w:r w:rsidR="00CF1831" w:rsidRPr="00A30FDD">
        <w:rPr>
          <w:rFonts w:ascii="Verdana" w:hAnsi="Verdana" w:cs="Arial"/>
          <w:color w:val="000000" w:themeColor="text1"/>
          <w:lang w:val="es-ES"/>
        </w:rPr>
        <w:t>) Con respecto a la etapa de planeación del contrato o convenio estatal</w:t>
      </w:r>
    </w:p>
    <w:p w14:paraId="46AB4E90" w14:textId="264C503F" w:rsidR="00CF1831" w:rsidRPr="00A30FDD" w:rsidRDefault="00AB35A3" w:rsidP="00CF1831">
      <w:pPr>
        <w:spacing w:before="120" w:after="120" w:line="276" w:lineRule="auto"/>
        <w:ind w:firstLine="709"/>
        <w:jc w:val="both"/>
        <w:rPr>
          <w:rFonts w:ascii="Verdana" w:hAnsi="Verdana" w:cs="Arial"/>
          <w:color w:val="000000" w:themeColor="text1"/>
          <w:lang w:val="es-ES"/>
        </w:rPr>
      </w:pPr>
      <w:r w:rsidRPr="00A30FDD">
        <w:rPr>
          <w:rFonts w:ascii="Verdana" w:hAnsi="Verdana" w:cs="Arial"/>
          <w:color w:val="000000" w:themeColor="text1"/>
          <w:lang w:val="es-ES"/>
        </w:rPr>
        <w:t>2</w:t>
      </w:r>
      <w:r w:rsidR="00CF1831" w:rsidRPr="00A30FDD">
        <w:rPr>
          <w:rFonts w:ascii="Verdana" w:hAnsi="Verdana" w:cs="Arial"/>
          <w:color w:val="000000" w:themeColor="text1"/>
          <w:lang w:val="es-ES"/>
        </w:rPr>
        <w:t xml:space="preserve">) Cuando el contrato, convenio o los reglamentos del organismo internacional lo permita porque, por ejemplo, realiza una remisión o autoriza la aplicación del régimen nacional frente a determinadas materias. </w:t>
      </w:r>
    </w:p>
    <w:p w14:paraId="284AD6A2" w14:textId="783E2091" w:rsidR="00AB35A3" w:rsidRDefault="00AB35A3" w:rsidP="00690CB8">
      <w:pPr>
        <w:spacing w:before="120" w:after="0" w:line="276" w:lineRule="auto"/>
        <w:ind w:firstLine="709"/>
        <w:jc w:val="both"/>
        <w:rPr>
          <w:rFonts w:ascii="Verdana" w:hAnsi="Verdana" w:cs="Arial"/>
          <w:color w:val="000000" w:themeColor="text1"/>
          <w:lang w:val="es-ES"/>
        </w:rPr>
      </w:pPr>
      <w:r w:rsidRPr="00A30FDD">
        <w:rPr>
          <w:rFonts w:ascii="Verdana" w:hAnsi="Verdana" w:cs="Arial"/>
          <w:color w:val="000000" w:themeColor="text1"/>
          <w:lang w:val="es-ES"/>
        </w:rPr>
        <w:t>3</w:t>
      </w:r>
      <w:r w:rsidR="00CF1831" w:rsidRPr="00A30FDD">
        <w:rPr>
          <w:rFonts w:ascii="Verdana" w:hAnsi="Verdana" w:cs="Arial"/>
          <w:color w:val="000000" w:themeColor="text1"/>
          <w:lang w:val="es-ES"/>
        </w:rPr>
        <w:t xml:space="preserve">) De manera supletiva cuando el convenio, contrato o los reglamentos del organismo internacional guarden silencio respecto a determinados aspectos del proceso contractual o de su ejecución.   </w:t>
      </w:r>
    </w:p>
    <w:p w14:paraId="1C2327BA" w14:textId="77777777" w:rsidR="00690CB8" w:rsidRPr="00A30FDD" w:rsidRDefault="00690CB8" w:rsidP="00690CB8">
      <w:pPr>
        <w:spacing w:after="0" w:line="276" w:lineRule="auto"/>
        <w:ind w:firstLine="709"/>
        <w:jc w:val="both"/>
        <w:rPr>
          <w:rFonts w:ascii="Verdana" w:hAnsi="Verdana" w:cs="Arial"/>
          <w:color w:val="000000" w:themeColor="text1"/>
          <w:lang w:val="es-ES"/>
        </w:rPr>
      </w:pPr>
    </w:p>
    <w:p w14:paraId="6A69543F" w14:textId="404648E8" w:rsidR="00AA0202" w:rsidRPr="00A30FDD" w:rsidRDefault="00AB35A3" w:rsidP="00690CB8">
      <w:pPr>
        <w:spacing w:after="120" w:line="276" w:lineRule="auto"/>
        <w:jc w:val="both"/>
        <w:rPr>
          <w:rFonts w:ascii="Verdana" w:hAnsi="Verdana" w:cs="Arial"/>
          <w:color w:val="000000" w:themeColor="text1"/>
          <w:lang w:val="es-ES"/>
        </w:rPr>
      </w:pPr>
      <w:proofErr w:type="spellStart"/>
      <w:r w:rsidRPr="00A30FDD">
        <w:rPr>
          <w:rFonts w:ascii="Verdana" w:hAnsi="Verdana" w:cs="Arial"/>
          <w:color w:val="000000" w:themeColor="text1"/>
          <w:lang w:val="es-ES"/>
        </w:rPr>
        <w:lastRenderedPageBreak/>
        <w:t>ii</w:t>
      </w:r>
      <w:proofErr w:type="spellEnd"/>
      <w:r w:rsidRPr="00A30FDD">
        <w:rPr>
          <w:rFonts w:ascii="Verdana" w:hAnsi="Verdana" w:cs="Arial"/>
          <w:color w:val="000000" w:themeColor="text1"/>
          <w:lang w:val="es-ES"/>
        </w:rPr>
        <w:t xml:space="preserve">) </w:t>
      </w:r>
      <w:r w:rsidR="00AA0202" w:rsidRPr="00A30FDD">
        <w:rPr>
          <w:rFonts w:ascii="Verdana" w:hAnsi="Verdana" w:cs="Arial"/>
          <w:color w:val="000000" w:themeColor="text1"/>
          <w:lang w:val="es-ES"/>
        </w:rPr>
        <w:t xml:space="preserve">Lo anterior tiene dos consecuencias con respecto a los interrogantes planteados en su consulta. En primer lugar, es claro que de acuerdo con lo dicho por el Consejo de Estado la remisión integral a los reglamentos o normas que rigen a los organismos internacionales </w:t>
      </w:r>
      <w:r w:rsidRPr="00A30FDD">
        <w:rPr>
          <w:rFonts w:ascii="Verdana" w:hAnsi="Verdana" w:cs="Arial"/>
          <w:color w:val="000000" w:themeColor="text1"/>
          <w:lang w:val="es-ES"/>
        </w:rPr>
        <w:t xml:space="preserve">no incluye </w:t>
      </w:r>
      <w:r w:rsidR="00AA0202" w:rsidRPr="00A30FDD">
        <w:rPr>
          <w:rFonts w:ascii="Verdana" w:hAnsi="Verdana" w:cs="Arial"/>
          <w:color w:val="000000" w:themeColor="text1"/>
          <w:lang w:val="es-ES"/>
        </w:rPr>
        <w:t xml:space="preserve">la </w:t>
      </w:r>
      <w:r w:rsidR="00AA0202" w:rsidRPr="00A30FDD">
        <w:rPr>
          <w:rFonts w:ascii="Verdana" w:hAnsi="Verdana" w:cs="Arial"/>
          <w:i/>
          <w:iCs/>
          <w:color w:val="000000" w:themeColor="text1"/>
          <w:lang w:val="es-ES"/>
        </w:rPr>
        <w:t>etapa de planeación</w:t>
      </w:r>
      <w:r w:rsidR="00AA0202" w:rsidRPr="00A30FDD">
        <w:rPr>
          <w:rFonts w:ascii="Verdana" w:hAnsi="Verdana" w:cs="Arial"/>
          <w:color w:val="000000" w:themeColor="text1"/>
          <w:lang w:val="es-ES"/>
        </w:rPr>
        <w:t xml:space="preserve"> del procedimiento contractual. Esto implica que las entidades deben dar cumplimiento al principio de planeación en el marco de los contratos o convenios que pretendan suscribir con dichos organismos, incluso cuando, en cumplimiento de lo dispuesto en el artículo 20 de la Ley 1150 de 2007, decidan someterlos a sus normas y no al EGCAP. </w:t>
      </w:r>
    </w:p>
    <w:p w14:paraId="432EBCCA" w14:textId="77777777" w:rsidR="00AB35A3" w:rsidRPr="00A30FDD" w:rsidRDefault="00AB35A3" w:rsidP="00AB35A3">
      <w:pPr>
        <w:spacing w:after="120" w:line="276" w:lineRule="auto"/>
        <w:ind w:firstLine="708"/>
        <w:jc w:val="both"/>
        <w:rPr>
          <w:rFonts w:ascii="Verdana" w:eastAsia="Times New Roman" w:hAnsi="Verdana" w:cs="Arial"/>
          <w:lang w:val="es-ES" w:eastAsia="es-MX"/>
        </w:rPr>
      </w:pPr>
      <w:r w:rsidRPr="00A30FDD">
        <w:rPr>
          <w:rFonts w:ascii="Verdana" w:eastAsia="Calibri" w:hAnsi="Verdana" w:cs="Arial"/>
          <w:bCs/>
          <w:lang w:val="es-ES" w:eastAsia="es-MX"/>
        </w:rPr>
        <w:t>La planeación contractual es una herramienta de gerencia pública, que exige estructurar el proceso contractual dedicando tiempo y esfuerzos para elaborar estudios previos, con el fin de determinar la necesidad que pretende satisfacer la Entidad Estatal y cuál es la mejor manera de hacerlo, consultando el tipo de bienes y servicios que ofrece el mercado y sus características, especificaciones, precios, costos, riesgos, garantías, disponibilidad, oferentes, etc. Lo anterior con la finalidad de realizar la escogencia diligente de la mejor oferta, para beneficiar los intereses y fines públicos inmersos en la contratación de las Entidades Estatales.</w:t>
      </w:r>
    </w:p>
    <w:p w14:paraId="730D775C" w14:textId="77777777" w:rsidR="00AB35A3" w:rsidRPr="00A30FDD" w:rsidRDefault="00AB35A3" w:rsidP="00AB35A3">
      <w:pPr>
        <w:spacing w:after="0" w:line="276" w:lineRule="auto"/>
        <w:ind w:firstLine="708"/>
        <w:jc w:val="both"/>
        <w:rPr>
          <w:rFonts w:ascii="Verdana" w:eastAsia="Times New Roman" w:hAnsi="Verdana" w:cs="Arial"/>
          <w:lang w:val="es-ES" w:eastAsia="es-MX"/>
        </w:rPr>
      </w:pPr>
      <w:r w:rsidRPr="00A30FDD">
        <w:rPr>
          <w:rFonts w:ascii="Verdana" w:eastAsia="Calibri" w:hAnsi="Verdana" w:cs="Arial"/>
          <w:bCs/>
          <w:lang w:val="es-ES" w:eastAsia="es-ES_tradnl"/>
        </w:rPr>
        <w:t xml:space="preserve">El Estatuto General de Contratación de la Administración Pública – EGCAP – contiene disposiciones que exigen a las Entidades Estatales el deber de realizar planeación en la etapa precontractual, para que los procesos de contratación satisfagan las necesidades de la Administración, cumplan sus fines, logren la continua y eficiente prestación de los servicios públicos y permitan la efectividad de los derechos e intereses de los administrados que colaboran en la consecución. </w:t>
      </w:r>
    </w:p>
    <w:p w14:paraId="468A8C97" w14:textId="0BB7B9A1" w:rsidR="003C7CE1" w:rsidRPr="00690CB8" w:rsidRDefault="003C7CE1" w:rsidP="00690CB8">
      <w:pPr>
        <w:spacing w:after="120" w:line="276" w:lineRule="auto"/>
        <w:ind w:firstLine="708"/>
        <w:jc w:val="both"/>
        <w:rPr>
          <w:rFonts w:ascii="Verdana" w:eastAsia="Times New Roman" w:hAnsi="Verdana" w:cs="Arial"/>
          <w:bCs/>
          <w:lang w:val="es-ES" w:eastAsia="es-ES_tradnl"/>
        </w:rPr>
      </w:pPr>
      <w:r w:rsidRPr="00A30FDD">
        <w:rPr>
          <w:rFonts w:ascii="Verdana" w:eastAsia="Times New Roman" w:hAnsi="Verdana" w:cs="Arial"/>
          <w:bCs/>
          <w:lang w:val="es-ES" w:eastAsia="es-ES_tradnl"/>
        </w:rPr>
        <w:t xml:space="preserve">En relación con el principio de economía, se tienen las siguientes reglas derivadas de su aplicación, lo cual está previsto en el artículo 25 de la Ley 80 de 1993: </w:t>
      </w:r>
    </w:p>
    <w:p w14:paraId="4C404DED" w14:textId="2A386FC2" w:rsidR="003C7CE1" w:rsidRPr="00690CB8" w:rsidRDefault="00690CB8" w:rsidP="003C7CE1">
      <w:pPr>
        <w:spacing w:after="0" w:line="240" w:lineRule="auto"/>
        <w:ind w:left="709" w:right="709"/>
        <w:jc w:val="both"/>
        <w:rPr>
          <w:rFonts w:ascii="Verdana" w:eastAsia="Calibri" w:hAnsi="Verdana" w:cs="Arial"/>
          <w:sz w:val="20"/>
          <w:szCs w:val="20"/>
          <w:lang w:val="es-ES"/>
        </w:rPr>
      </w:pPr>
      <w:r>
        <w:rPr>
          <w:rFonts w:ascii="Verdana" w:eastAsia="Calibri" w:hAnsi="Verdana" w:cs="Arial"/>
          <w:sz w:val="20"/>
          <w:szCs w:val="20"/>
          <w:lang w:val="es-ES"/>
        </w:rPr>
        <w:t>“</w:t>
      </w:r>
      <w:r w:rsidR="003C7CE1" w:rsidRPr="00690CB8">
        <w:rPr>
          <w:rFonts w:ascii="Verdana" w:eastAsia="Calibri" w:hAnsi="Verdana" w:cs="Arial"/>
          <w:sz w:val="20"/>
          <w:szCs w:val="20"/>
          <w:lang w:val="es-ES"/>
        </w:rPr>
        <w:t>7o. La conveniencia o inconveniencia del objeto a contratar y las autorizaciones y aprobaciones para ello, se analizarán o impartirán con antelación al inicio del proceso de selección del contratista o al de la firma del contrato, según el caso.</w:t>
      </w:r>
    </w:p>
    <w:p w14:paraId="59FA6B77" w14:textId="77777777" w:rsidR="003C7CE1" w:rsidRPr="00690CB8" w:rsidRDefault="003C7CE1" w:rsidP="003C7CE1">
      <w:pPr>
        <w:spacing w:after="0" w:line="240" w:lineRule="auto"/>
        <w:ind w:left="709" w:right="709"/>
        <w:jc w:val="both"/>
        <w:rPr>
          <w:rFonts w:ascii="Verdana" w:eastAsia="Calibri" w:hAnsi="Verdana" w:cs="Arial"/>
          <w:sz w:val="20"/>
          <w:szCs w:val="20"/>
          <w:lang w:val="es-ES"/>
        </w:rPr>
      </w:pPr>
      <w:r w:rsidRPr="00690CB8">
        <w:rPr>
          <w:rFonts w:ascii="Verdana" w:eastAsia="Calibri" w:hAnsi="Verdana" w:cs="Arial"/>
          <w:sz w:val="20"/>
          <w:szCs w:val="20"/>
          <w:lang w:val="es-ES"/>
        </w:rPr>
        <w:t>[…]</w:t>
      </w:r>
    </w:p>
    <w:p w14:paraId="76F9A36C" w14:textId="77777777" w:rsidR="003C7CE1" w:rsidRPr="00690CB8" w:rsidRDefault="003C7CE1" w:rsidP="003C7CE1">
      <w:pPr>
        <w:spacing w:after="0" w:line="240" w:lineRule="auto"/>
        <w:ind w:left="709" w:right="709"/>
        <w:jc w:val="both"/>
        <w:rPr>
          <w:rFonts w:ascii="Verdana" w:eastAsia="Calibri" w:hAnsi="Verdana" w:cs="Arial"/>
          <w:sz w:val="20"/>
          <w:szCs w:val="20"/>
          <w:lang w:val="es-ES"/>
        </w:rPr>
      </w:pPr>
    </w:p>
    <w:p w14:paraId="61FF555A" w14:textId="77777777" w:rsidR="003C7CE1" w:rsidRPr="00690CB8" w:rsidRDefault="003C7CE1" w:rsidP="003C7CE1">
      <w:pPr>
        <w:spacing w:after="0" w:line="240" w:lineRule="auto"/>
        <w:ind w:left="709" w:right="709"/>
        <w:jc w:val="both"/>
        <w:rPr>
          <w:rFonts w:ascii="Verdana" w:eastAsia="Calibri" w:hAnsi="Verdana" w:cs="Arial"/>
          <w:sz w:val="20"/>
          <w:szCs w:val="20"/>
          <w:lang w:val="es-ES"/>
        </w:rPr>
      </w:pPr>
      <w:r w:rsidRPr="00690CB8">
        <w:rPr>
          <w:rFonts w:ascii="Verdana" w:eastAsia="Calibri" w:hAnsi="Verdana" w:cs="Arial"/>
          <w:sz w:val="20"/>
          <w:szCs w:val="20"/>
          <w:lang w:val="es-ES"/>
        </w:rPr>
        <w:t xml:space="preserve">12. Previo a la apertura de un proceso de selección, o a la firma del contrato en el caso en que la </w:t>
      </w:r>
      <w:r w:rsidRPr="00690CB8">
        <w:rPr>
          <w:rFonts w:ascii="Verdana" w:eastAsia="Calibri" w:hAnsi="Verdana" w:cs="Arial"/>
          <w:i/>
          <w:iCs/>
          <w:sz w:val="20"/>
          <w:szCs w:val="20"/>
          <w:lang w:val="es-ES"/>
        </w:rPr>
        <w:t xml:space="preserve">modalidad de selección sea contratación </w:t>
      </w:r>
      <w:r w:rsidRPr="00690CB8">
        <w:rPr>
          <w:rFonts w:ascii="Verdana" w:eastAsia="Calibri" w:hAnsi="Verdana" w:cs="Arial"/>
          <w:i/>
          <w:iCs/>
          <w:sz w:val="20"/>
          <w:szCs w:val="20"/>
          <w:lang w:val="es-ES"/>
        </w:rPr>
        <w:lastRenderedPageBreak/>
        <w:t>directa</w:t>
      </w:r>
      <w:r w:rsidRPr="00690CB8">
        <w:rPr>
          <w:rFonts w:ascii="Verdana" w:eastAsia="Calibri" w:hAnsi="Verdana" w:cs="Arial"/>
          <w:sz w:val="20"/>
          <w:szCs w:val="20"/>
          <w:lang w:val="es-ES"/>
        </w:rPr>
        <w:t>, deberán elaborarse los estudios, diseños y proyectos requeridos, y los pliegos de condiciones, según corresponda.</w:t>
      </w:r>
    </w:p>
    <w:p w14:paraId="1B7A45EC" w14:textId="77777777" w:rsidR="003C7CE1" w:rsidRPr="00690CB8" w:rsidRDefault="003C7CE1" w:rsidP="003C7CE1">
      <w:pPr>
        <w:spacing w:after="0" w:line="240" w:lineRule="auto"/>
        <w:ind w:left="709" w:right="709"/>
        <w:jc w:val="both"/>
        <w:rPr>
          <w:rFonts w:ascii="Verdana" w:eastAsia="Times New Roman" w:hAnsi="Verdana" w:cs="Arial"/>
          <w:sz w:val="20"/>
          <w:szCs w:val="20"/>
          <w:lang w:val="es-ES" w:eastAsia="es-ES_tradnl"/>
        </w:rPr>
      </w:pPr>
    </w:p>
    <w:p w14:paraId="3CD93B9C" w14:textId="5652080E" w:rsidR="003C7CE1" w:rsidRPr="00690CB8" w:rsidRDefault="003C7CE1" w:rsidP="003C7CE1">
      <w:pPr>
        <w:spacing w:after="0" w:line="240" w:lineRule="auto"/>
        <w:ind w:left="709" w:right="709"/>
        <w:jc w:val="both"/>
        <w:rPr>
          <w:rFonts w:ascii="Verdana" w:eastAsia="Times New Roman" w:hAnsi="Verdana" w:cs="Arial"/>
          <w:sz w:val="20"/>
          <w:szCs w:val="20"/>
          <w:lang w:val="es-ES" w:eastAsia="es-ES_tradnl"/>
        </w:rPr>
      </w:pPr>
      <w:r w:rsidRPr="00690CB8">
        <w:rPr>
          <w:rFonts w:ascii="Verdana" w:eastAsia="Times New Roman" w:hAnsi="Verdana" w:cs="Arial"/>
          <w:sz w:val="20"/>
          <w:szCs w:val="20"/>
          <w:lang w:val="es-ES" w:eastAsia="es-ES_tradnl"/>
        </w:rPr>
        <w:t>[…]</w:t>
      </w:r>
      <w:r w:rsidR="00690CB8">
        <w:rPr>
          <w:rFonts w:ascii="Verdana" w:eastAsia="Times New Roman" w:hAnsi="Verdana" w:cs="Arial"/>
          <w:sz w:val="20"/>
          <w:szCs w:val="20"/>
          <w:lang w:val="es-ES" w:eastAsia="es-ES_tradnl"/>
        </w:rPr>
        <w:t>”</w:t>
      </w:r>
      <w:r w:rsidRPr="00690CB8">
        <w:rPr>
          <w:rFonts w:ascii="Verdana" w:eastAsia="Times New Roman" w:hAnsi="Verdana" w:cs="Arial"/>
          <w:sz w:val="20"/>
          <w:szCs w:val="20"/>
          <w:lang w:val="es-ES" w:eastAsia="es-ES_tradnl"/>
        </w:rPr>
        <w:t xml:space="preserve"> (Cursivas propias)</w:t>
      </w:r>
    </w:p>
    <w:p w14:paraId="74D0B772" w14:textId="77777777" w:rsidR="003C7CE1" w:rsidRPr="00A30FDD" w:rsidRDefault="003C7CE1" w:rsidP="003C7CE1">
      <w:pPr>
        <w:spacing w:after="0" w:line="240" w:lineRule="auto"/>
        <w:ind w:left="709" w:right="709"/>
        <w:jc w:val="both"/>
        <w:rPr>
          <w:rFonts w:ascii="Verdana" w:eastAsia="Times New Roman" w:hAnsi="Verdana" w:cs="Arial"/>
          <w:lang w:val="es-ES" w:eastAsia="es-ES_tradnl"/>
        </w:rPr>
      </w:pPr>
    </w:p>
    <w:p w14:paraId="061A8036" w14:textId="77777777" w:rsidR="003C7CE1" w:rsidRPr="00A30FDD" w:rsidRDefault="003C7CE1" w:rsidP="003C7CE1">
      <w:pPr>
        <w:spacing w:after="120" w:line="276" w:lineRule="auto"/>
        <w:ind w:firstLine="709"/>
        <w:jc w:val="both"/>
        <w:rPr>
          <w:rFonts w:ascii="Verdana" w:eastAsia="Calibri" w:hAnsi="Verdana" w:cs="Arial"/>
          <w:lang w:val="es-ES"/>
        </w:rPr>
      </w:pPr>
      <w:r w:rsidRPr="00A30FDD">
        <w:rPr>
          <w:rFonts w:ascii="Verdana" w:eastAsia="Calibri" w:hAnsi="Verdana" w:cs="Arial"/>
          <w:lang w:val="es-ES"/>
        </w:rPr>
        <w:t xml:space="preserve">De las normas precitadas se resalta que, en virtud del principio de economía, para iniciar un proceso de contratación, </w:t>
      </w:r>
      <w:r w:rsidRPr="00A30FDD">
        <w:rPr>
          <w:rFonts w:ascii="Verdana" w:eastAsia="Calibri" w:hAnsi="Verdana" w:cs="Arial"/>
          <w:i/>
          <w:iCs/>
          <w:lang w:val="es-ES"/>
        </w:rPr>
        <w:t>inclusive de contratación directa</w:t>
      </w:r>
      <w:r w:rsidRPr="00A30FDD">
        <w:rPr>
          <w:rFonts w:ascii="Verdana" w:eastAsia="Calibri" w:hAnsi="Verdana" w:cs="Arial"/>
          <w:lang w:val="es-ES"/>
        </w:rPr>
        <w:t xml:space="preserve">, se requieren unos estudios previos.  Con ellos, se estructuran, concretan y viabilizan los aspectos esenciales del futuro contrato, dentro de los cuales se encuentran su objeto y valor estimado, entre otros elementos. </w:t>
      </w:r>
    </w:p>
    <w:p w14:paraId="41B54B65" w14:textId="77777777" w:rsidR="003C7CE1" w:rsidRPr="00A30FDD" w:rsidRDefault="003C7CE1" w:rsidP="003C7CE1">
      <w:pPr>
        <w:spacing w:after="0" w:line="276" w:lineRule="auto"/>
        <w:ind w:firstLine="708"/>
        <w:jc w:val="both"/>
        <w:rPr>
          <w:rFonts w:ascii="Verdana" w:eastAsia="Calibri" w:hAnsi="Verdana" w:cs="Arial"/>
          <w:lang w:val="es-ES"/>
        </w:rPr>
      </w:pPr>
      <w:r w:rsidRPr="00A30FDD">
        <w:rPr>
          <w:rFonts w:ascii="Verdana" w:eastAsia="Calibri" w:hAnsi="Verdana" w:cs="Arial"/>
          <w:lang w:val="es-ES"/>
        </w:rPr>
        <w:t xml:space="preserve">Los componentes de los estudios previos que sirven de soporte para elaborar el proyecto de pliego, los pliegos de condiciones y el contrato, están previstos en el artículo 2.2.1.1.2.1.1 del Decreto 1082 de 2015. La norma exige que se determine la necesidad, el objeto a contratar con sus especificaciones y se estime el costo que implica la celebración del contrato de la siguiente manera: </w:t>
      </w:r>
    </w:p>
    <w:p w14:paraId="631A28DF" w14:textId="77777777" w:rsidR="003C7CE1" w:rsidRPr="00A30FDD" w:rsidRDefault="003C7CE1" w:rsidP="003C7CE1">
      <w:pPr>
        <w:spacing w:after="0" w:line="240" w:lineRule="auto"/>
        <w:jc w:val="both"/>
        <w:rPr>
          <w:rFonts w:ascii="Verdana" w:eastAsia="Calibri" w:hAnsi="Verdana" w:cs="Arial"/>
          <w:lang w:val="es-ES"/>
        </w:rPr>
      </w:pPr>
    </w:p>
    <w:p w14:paraId="7D9EE247" w14:textId="21274866" w:rsidR="003C7CE1" w:rsidRPr="00690CB8" w:rsidRDefault="00690CB8" w:rsidP="003C7CE1">
      <w:pPr>
        <w:spacing w:after="0" w:line="240" w:lineRule="auto"/>
        <w:ind w:left="709" w:right="709"/>
        <w:jc w:val="both"/>
        <w:rPr>
          <w:rFonts w:ascii="Verdana" w:eastAsia="Calibri" w:hAnsi="Verdana" w:cs="Arial"/>
          <w:sz w:val="20"/>
          <w:szCs w:val="20"/>
          <w:lang w:val="es-ES"/>
        </w:rPr>
      </w:pPr>
      <w:r w:rsidRPr="00690CB8">
        <w:rPr>
          <w:rFonts w:ascii="Verdana" w:eastAsia="Calibri" w:hAnsi="Verdana" w:cs="Arial"/>
          <w:sz w:val="20"/>
          <w:szCs w:val="20"/>
          <w:lang w:val="es-ES"/>
        </w:rPr>
        <w:t>“</w:t>
      </w:r>
      <w:r w:rsidR="003C7CE1" w:rsidRPr="00690CB8">
        <w:rPr>
          <w:rFonts w:ascii="Verdana" w:eastAsia="Calibri" w:hAnsi="Verdana" w:cs="Arial"/>
          <w:sz w:val="20"/>
          <w:szCs w:val="20"/>
          <w:lang w:val="es-ES"/>
        </w:rPr>
        <w:t xml:space="preserve">1.    La descripción de la necesidad que la Entidad Estatal pretende satisfacer con el Proceso de Contratación. </w:t>
      </w:r>
    </w:p>
    <w:p w14:paraId="535BB3E1" w14:textId="77777777" w:rsidR="003C7CE1" w:rsidRPr="00690CB8" w:rsidRDefault="003C7CE1" w:rsidP="003C7CE1">
      <w:pPr>
        <w:spacing w:after="0" w:line="240" w:lineRule="auto"/>
        <w:ind w:left="709" w:right="709"/>
        <w:jc w:val="both"/>
        <w:rPr>
          <w:rFonts w:ascii="Verdana" w:eastAsia="Calibri" w:hAnsi="Verdana" w:cs="Arial"/>
          <w:sz w:val="20"/>
          <w:szCs w:val="20"/>
          <w:lang w:val="es-ES"/>
        </w:rPr>
      </w:pPr>
    </w:p>
    <w:p w14:paraId="0010A2C6" w14:textId="77777777" w:rsidR="003C7CE1" w:rsidRPr="00690CB8" w:rsidRDefault="003C7CE1" w:rsidP="003C7CE1">
      <w:pPr>
        <w:spacing w:after="0" w:line="240" w:lineRule="auto"/>
        <w:ind w:left="709" w:right="709"/>
        <w:jc w:val="both"/>
        <w:rPr>
          <w:rFonts w:ascii="Verdana" w:eastAsia="Calibri" w:hAnsi="Verdana" w:cs="Arial"/>
          <w:sz w:val="20"/>
          <w:szCs w:val="20"/>
          <w:lang w:val="es-ES"/>
        </w:rPr>
      </w:pPr>
      <w:r w:rsidRPr="00690CB8">
        <w:rPr>
          <w:rFonts w:ascii="Verdana" w:eastAsia="Calibri" w:hAnsi="Verdana" w:cs="Arial"/>
          <w:sz w:val="20"/>
          <w:szCs w:val="20"/>
          <w:lang w:val="es-ES"/>
        </w:rPr>
        <w:t>2. El objeto a contratar, con sus especificaciones, las autorizaciones, permisos y licencias requeridos para su ejecución, y cuando el contrato incluye diseño y construcción, los documentos técnicos para el desarrollo del proyecto.</w:t>
      </w:r>
    </w:p>
    <w:p w14:paraId="194125DA" w14:textId="0CD3BE64" w:rsidR="003C7CE1" w:rsidRPr="00690CB8" w:rsidRDefault="003C7CE1" w:rsidP="003C7CE1">
      <w:pPr>
        <w:spacing w:after="0" w:line="240" w:lineRule="auto"/>
        <w:jc w:val="both"/>
        <w:rPr>
          <w:rFonts w:ascii="Verdana" w:eastAsia="Times New Roman" w:hAnsi="Verdana" w:cs="Arial"/>
          <w:bCs/>
          <w:sz w:val="20"/>
          <w:szCs w:val="20"/>
          <w:lang w:val="es-ES" w:eastAsia="es-ES_tradnl"/>
        </w:rPr>
      </w:pPr>
      <w:r w:rsidRPr="00690CB8">
        <w:rPr>
          <w:rFonts w:ascii="Verdana" w:eastAsia="Times New Roman" w:hAnsi="Verdana" w:cs="Arial"/>
          <w:bCs/>
          <w:sz w:val="20"/>
          <w:szCs w:val="20"/>
          <w:lang w:val="es-ES" w:eastAsia="es-ES_tradnl"/>
        </w:rPr>
        <w:tab/>
        <w:t>[…]</w:t>
      </w:r>
      <w:r w:rsidR="00690CB8" w:rsidRPr="00690CB8">
        <w:rPr>
          <w:rFonts w:ascii="Verdana" w:eastAsia="Times New Roman" w:hAnsi="Verdana" w:cs="Arial"/>
          <w:bCs/>
          <w:sz w:val="20"/>
          <w:szCs w:val="20"/>
          <w:lang w:val="es-ES" w:eastAsia="es-ES_tradnl"/>
        </w:rPr>
        <w:t>”</w:t>
      </w:r>
    </w:p>
    <w:p w14:paraId="7355DE35" w14:textId="77777777" w:rsidR="003C7CE1" w:rsidRPr="00A30FDD" w:rsidRDefault="003C7CE1" w:rsidP="003C7CE1">
      <w:pPr>
        <w:spacing w:after="0" w:line="276" w:lineRule="auto"/>
        <w:jc w:val="both"/>
        <w:rPr>
          <w:rFonts w:ascii="Verdana" w:eastAsia="Times New Roman" w:hAnsi="Verdana" w:cs="Arial"/>
          <w:bCs/>
          <w:lang w:val="es-ES" w:eastAsia="es-ES_tradnl"/>
        </w:rPr>
      </w:pPr>
    </w:p>
    <w:p w14:paraId="403A7FB9" w14:textId="77777777" w:rsidR="003C7CE1" w:rsidRPr="00A30FDD" w:rsidRDefault="003C7CE1" w:rsidP="003C7CE1">
      <w:pPr>
        <w:spacing w:after="120" w:line="276" w:lineRule="auto"/>
        <w:ind w:firstLine="709"/>
        <w:jc w:val="both"/>
        <w:rPr>
          <w:rFonts w:ascii="Verdana" w:eastAsia="Times New Roman" w:hAnsi="Verdana" w:cs="Arial"/>
          <w:color w:val="000000"/>
          <w:bdr w:val="none" w:sz="0" w:space="0" w:color="auto" w:frame="1"/>
          <w:lang w:val="es-ES" w:eastAsia="es-ES_tradnl"/>
        </w:rPr>
      </w:pPr>
      <w:r w:rsidRPr="00A30FDD">
        <w:rPr>
          <w:rFonts w:ascii="Verdana" w:eastAsia="Times New Roman" w:hAnsi="Verdana" w:cs="Arial"/>
          <w:bCs/>
          <w:lang w:val="es-ES" w:eastAsia="es-ES_tradnl"/>
        </w:rPr>
        <w:t xml:space="preserve">Para cumplir este objetivo es necesario el estudio del mercado y el análisis del sector económico y de los oferentes, actividad de planeación previa que sirve para identificar aspectos concretos del mercado. De esta manera, lo que se identifique en dicho análisis puede afectar el proceso de selección o las condiciones del negocio a realizar a través del proceso de contratación de bienes, obras o servicios. </w:t>
      </w:r>
      <w:r w:rsidRPr="00A30FDD">
        <w:rPr>
          <w:rFonts w:ascii="Verdana" w:eastAsia="Times New Roman" w:hAnsi="Verdana" w:cs="Arial"/>
          <w:color w:val="000000"/>
          <w:bdr w:val="none" w:sz="0" w:space="0" w:color="auto" w:frame="1"/>
          <w:lang w:val="es-ES" w:eastAsia="es-ES_tradnl"/>
        </w:rPr>
        <w:t> </w:t>
      </w:r>
    </w:p>
    <w:p w14:paraId="43DE534E" w14:textId="46C27DFA" w:rsidR="00AB35A3" w:rsidRPr="00A30FDD" w:rsidRDefault="00AA4D8E" w:rsidP="00AA4D8E">
      <w:pPr>
        <w:spacing w:before="120" w:after="120" w:line="276" w:lineRule="auto"/>
        <w:ind w:firstLine="709"/>
        <w:jc w:val="both"/>
        <w:rPr>
          <w:rFonts w:ascii="Verdana" w:eastAsia="Calibri" w:hAnsi="Verdana" w:cs="Arial"/>
          <w:color w:val="000000"/>
          <w:lang w:val="es-ES" w:eastAsia="es-ES"/>
        </w:rPr>
      </w:pPr>
      <w:r w:rsidRPr="00A30FDD">
        <w:rPr>
          <w:rFonts w:ascii="Verdana" w:eastAsia="Times New Roman" w:hAnsi="Verdana" w:cs="Arial"/>
          <w:color w:val="000000"/>
          <w:bdr w:val="none" w:sz="0" w:space="0" w:color="auto" w:frame="1"/>
          <w:lang w:val="es-ES" w:eastAsia="es-CO"/>
        </w:rPr>
        <w:t>Un análisis de los principios de planeación y de economía busca comprobar que su aplicación se extiende también a los procesos en los cuales las entidades contraten con organismos internacionales, en la medida en que la entidad debe tener seguridad sobre el mercado en el cual contratará el bien o servicio y, hecha esa verificación, podría seleccionar la mejor opción para cumplir con la necesidad de la entidad pública.</w:t>
      </w:r>
      <w:r w:rsidRPr="00A30FDD">
        <w:rPr>
          <w:rFonts w:ascii="Verdana" w:eastAsia="Calibri" w:hAnsi="Verdana" w:cs="Arial"/>
          <w:color w:val="000000"/>
          <w:lang w:val="es-ES" w:eastAsia="es-ES"/>
        </w:rPr>
        <w:t xml:space="preserve"> El principio de planeación, en el marco del de economía y responsabilidad, implica, por ejemplo, que en estos procedimientos la entidad </w:t>
      </w:r>
      <w:r w:rsidRPr="00A30FDD">
        <w:rPr>
          <w:rFonts w:ascii="Verdana" w:eastAsia="Calibri" w:hAnsi="Verdana" w:cs="Arial"/>
          <w:color w:val="000000"/>
          <w:lang w:val="es-ES" w:eastAsia="es-ES"/>
        </w:rPr>
        <w:lastRenderedPageBreak/>
        <w:t>conozca el mercado de los bienes, servicios u obras que contratará con el organismo, así como que cumpla con los permisos, licencias, diseños o estudios que resulten necesarios según el objeto del contrato o convenio que se pretende ejecutar en el territorio nacional. Esto permite a la entidad determinar adecuadamente el objeto del proceso y sus condiciones con el fin de satisfacer de la mejor forma la necesidad pública identificada. Por ejemplo, es precisamente producto de esta etapa, que la entidad podrá determinar el porcentaje de financiación que puede aportar o si se cumplen los requisitos y resulta conveniente someter el negocio jurídico a la normativa del organismo internacional.</w:t>
      </w:r>
      <w:r w:rsidR="00A675E7" w:rsidRPr="00A30FDD">
        <w:rPr>
          <w:rFonts w:ascii="Verdana" w:eastAsia="Calibri" w:hAnsi="Verdana" w:cs="Arial"/>
          <w:color w:val="000000"/>
          <w:lang w:val="es-ES" w:eastAsia="es-ES"/>
        </w:rPr>
        <w:t xml:space="preserve"> </w:t>
      </w:r>
    </w:p>
    <w:p w14:paraId="56AB23A2" w14:textId="7B76AAB4" w:rsidR="00AA4D8E" w:rsidRPr="00A30FDD" w:rsidRDefault="00AA4D8E" w:rsidP="00AA4D8E">
      <w:pPr>
        <w:spacing w:before="120" w:after="120" w:line="276" w:lineRule="auto"/>
        <w:ind w:firstLine="709"/>
        <w:jc w:val="both"/>
        <w:rPr>
          <w:rFonts w:ascii="Verdana" w:eastAsia="Calibri" w:hAnsi="Verdana" w:cs="Arial"/>
          <w:color w:val="000000"/>
          <w:lang w:val="es-ES" w:eastAsia="es-ES"/>
        </w:rPr>
      </w:pPr>
      <w:r w:rsidRPr="00A30FDD">
        <w:rPr>
          <w:rFonts w:ascii="Verdana" w:eastAsia="Calibri" w:hAnsi="Verdana" w:cs="Arial"/>
          <w:color w:val="000000"/>
          <w:lang w:val="es-ES" w:eastAsia="es-ES"/>
        </w:rPr>
        <w:t>Sin perjuicio de lo anterior, es necesario resaltar que, al adelantar la planeación de los contratos o convenios que suscriba</w:t>
      </w:r>
      <w:r w:rsidR="00690CB8">
        <w:rPr>
          <w:rFonts w:ascii="Verdana" w:eastAsia="Calibri" w:hAnsi="Verdana" w:cs="Arial"/>
          <w:color w:val="000000"/>
          <w:lang w:val="es-ES" w:eastAsia="es-ES"/>
        </w:rPr>
        <w:t>n</w:t>
      </w:r>
      <w:r w:rsidRPr="00A30FDD">
        <w:rPr>
          <w:rFonts w:ascii="Verdana" w:eastAsia="Calibri" w:hAnsi="Verdana" w:cs="Arial"/>
          <w:color w:val="000000"/>
          <w:lang w:val="es-ES" w:eastAsia="es-ES"/>
        </w:rPr>
        <w:t xml:space="preserve"> con organismos internacionales, las </w:t>
      </w:r>
      <w:r w:rsidR="00690CB8">
        <w:rPr>
          <w:rFonts w:ascii="Verdana" w:eastAsia="Calibri" w:hAnsi="Verdana" w:cs="Arial"/>
          <w:color w:val="000000"/>
          <w:lang w:val="es-ES" w:eastAsia="es-ES"/>
        </w:rPr>
        <w:t>E</w:t>
      </w:r>
      <w:r w:rsidRPr="00A30FDD">
        <w:rPr>
          <w:rFonts w:ascii="Verdana" w:eastAsia="Calibri" w:hAnsi="Verdana" w:cs="Arial"/>
          <w:color w:val="000000"/>
          <w:lang w:val="es-ES" w:eastAsia="es-ES"/>
        </w:rPr>
        <w:t>ntidades</w:t>
      </w:r>
      <w:r w:rsidR="00690CB8">
        <w:rPr>
          <w:rFonts w:ascii="Verdana" w:eastAsia="Calibri" w:hAnsi="Verdana" w:cs="Arial"/>
          <w:color w:val="000000"/>
          <w:lang w:val="es-ES" w:eastAsia="es-ES"/>
        </w:rPr>
        <w:t xml:space="preserve"> Estatales</w:t>
      </w:r>
      <w:r w:rsidRPr="00A30FDD">
        <w:rPr>
          <w:rFonts w:ascii="Verdana" w:eastAsia="Calibri" w:hAnsi="Verdana" w:cs="Arial"/>
          <w:color w:val="000000"/>
          <w:lang w:val="es-ES" w:eastAsia="es-ES"/>
        </w:rPr>
        <w:t xml:space="preserve"> deben tener cuenta que se trata de acuerdos o negocios jurídicos cuyo régimen para la selección, contratación y ejecución será distinto al del EGCAP. Lo anterior supone que la planeación contractual deberá ser armónica con el régimen del contrato o convenio, de modo que no serán exigibles todos los aspectos, requisitos o documentos que son propios de </w:t>
      </w:r>
      <w:r w:rsidR="00690CB8">
        <w:rPr>
          <w:rFonts w:ascii="Verdana" w:eastAsia="Calibri" w:hAnsi="Verdana" w:cs="Arial"/>
          <w:color w:val="000000"/>
          <w:lang w:val="es-ES" w:eastAsia="es-ES"/>
        </w:rPr>
        <w:t xml:space="preserve">aquellos </w:t>
      </w:r>
      <w:r w:rsidRPr="00A30FDD">
        <w:rPr>
          <w:rFonts w:ascii="Verdana" w:eastAsia="Calibri" w:hAnsi="Verdana" w:cs="Arial"/>
          <w:color w:val="000000"/>
          <w:lang w:val="es-ES" w:eastAsia="es-ES"/>
        </w:rPr>
        <w:t>sometido</w:t>
      </w:r>
      <w:r w:rsidR="00690CB8">
        <w:rPr>
          <w:rFonts w:ascii="Verdana" w:eastAsia="Calibri" w:hAnsi="Verdana" w:cs="Arial"/>
          <w:color w:val="000000"/>
          <w:lang w:val="es-ES" w:eastAsia="es-ES"/>
        </w:rPr>
        <w:t>s</w:t>
      </w:r>
      <w:r w:rsidRPr="00A30FDD">
        <w:rPr>
          <w:rFonts w:ascii="Verdana" w:eastAsia="Calibri" w:hAnsi="Verdana" w:cs="Arial"/>
          <w:color w:val="000000"/>
          <w:lang w:val="es-ES" w:eastAsia="es-ES"/>
        </w:rPr>
        <w:t xml:space="preserve"> al Estatuto. En consecuencia, aunque la entidad deba cumplir con el principio de planeación, su aplicación debe ser concordante con el </w:t>
      </w:r>
      <w:r w:rsidR="00690CB8">
        <w:rPr>
          <w:rFonts w:ascii="Verdana" w:eastAsia="Calibri" w:hAnsi="Verdana" w:cs="Arial"/>
          <w:color w:val="000000"/>
          <w:lang w:val="es-ES" w:eastAsia="es-ES"/>
        </w:rPr>
        <w:t xml:space="preserve">régimen del </w:t>
      </w:r>
      <w:r w:rsidRPr="00A30FDD">
        <w:rPr>
          <w:rFonts w:ascii="Verdana" w:eastAsia="Calibri" w:hAnsi="Verdana" w:cs="Arial"/>
          <w:color w:val="000000"/>
          <w:lang w:val="es-ES" w:eastAsia="es-ES"/>
        </w:rPr>
        <w:t xml:space="preserve">convenio o contrato. Esto, sin perjuicio de lo establecido por el Consejo de Estado sobre la aplicabilidad de las normas presupuestales a este tipo de negocios jurídicos. </w:t>
      </w:r>
    </w:p>
    <w:p w14:paraId="6324D186" w14:textId="4060B28D" w:rsidR="00A675E7" w:rsidRDefault="00A675E7" w:rsidP="00690CB8">
      <w:pPr>
        <w:spacing w:before="120" w:after="0" w:line="276" w:lineRule="auto"/>
        <w:ind w:firstLine="709"/>
        <w:jc w:val="both"/>
        <w:rPr>
          <w:rFonts w:ascii="Verdana" w:eastAsia="Calibri" w:hAnsi="Verdana" w:cs="Arial"/>
          <w:color w:val="000000"/>
          <w:lang w:val="es-ES" w:eastAsia="es-ES"/>
        </w:rPr>
      </w:pPr>
      <w:r w:rsidRPr="00A30FDD">
        <w:rPr>
          <w:rFonts w:ascii="Verdana" w:eastAsia="Calibri" w:hAnsi="Verdana" w:cs="Arial"/>
          <w:color w:val="000000"/>
          <w:lang w:val="es-ES" w:eastAsia="es-ES"/>
        </w:rPr>
        <w:t xml:space="preserve">En este contexto, la entidad adelantará acciones como: determinar su necesidad, apropiar los recursos que resulten procedentes, incluir la suscripción del convenio o contrato en su Plan Anual de Adquisiciones, adelantar el análisis del sector y los estudios previos con el fin de definir las condiciones del contrato o convenio, adecuándolos según el régimen jurídico al cual se someterá el negocio jurídico. </w:t>
      </w:r>
    </w:p>
    <w:p w14:paraId="5E38ED80" w14:textId="77777777" w:rsidR="00690CB8" w:rsidRPr="00A30FDD" w:rsidRDefault="00690CB8" w:rsidP="00690CB8">
      <w:pPr>
        <w:spacing w:after="0" w:line="276" w:lineRule="auto"/>
        <w:ind w:firstLine="709"/>
        <w:jc w:val="both"/>
        <w:rPr>
          <w:rFonts w:ascii="Verdana" w:eastAsia="Calibri" w:hAnsi="Verdana" w:cs="Arial"/>
          <w:color w:val="000000"/>
          <w:lang w:val="es-ES" w:eastAsia="es-ES"/>
        </w:rPr>
      </w:pPr>
    </w:p>
    <w:p w14:paraId="22452446" w14:textId="0CE7C25C" w:rsidR="00AA70B6" w:rsidRPr="00A30FDD" w:rsidRDefault="00AA70B6" w:rsidP="00690CB8">
      <w:pPr>
        <w:spacing w:after="120" w:line="276" w:lineRule="auto"/>
        <w:jc w:val="both"/>
        <w:rPr>
          <w:rFonts w:ascii="Verdana" w:hAnsi="Verdana" w:cs="Arial"/>
          <w:color w:val="000000" w:themeColor="text1"/>
          <w:lang w:val="es-ES"/>
        </w:rPr>
      </w:pPr>
      <w:proofErr w:type="spellStart"/>
      <w:r w:rsidRPr="00A30FDD">
        <w:rPr>
          <w:rFonts w:ascii="Verdana" w:eastAsia="Calibri" w:hAnsi="Verdana" w:cs="Arial"/>
          <w:color w:val="000000"/>
          <w:lang w:val="es-ES" w:eastAsia="es-ES"/>
        </w:rPr>
        <w:t>i</w:t>
      </w:r>
      <w:r w:rsidR="00690CB8">
        <w:rPr>
          <w:rFonts w:ascii="Verdana" w:eastAsia="Calibri" w:hAnsi="Verdana" w:cs="Arial"/>
          <w:color w:val="000000"/>
          <w:lang w:val="es-ES" w:eastAsia="es-ES"/>
        </w:rPr>
        <w:t>ii</w:t>
      </w:r>
      <w:proofErr w:type="spellEnd"/>
      <w:r w:rsidRPr="00A30FDD">
        <w:rPr>
          <w:rFonts w:ascii="Verdana" w:eastAsia="Calibri" w:hAnsi="Verdana" w:cs="Arial"/>
          <w:color w:val="000000"/>
          <w:lang w:val="es-ES" w:eastAsia="es-ES"/>
        </w:rPr>
        <w:t xml:space="preserve">) </w:t>
      </w:r>
      <w:r w:rsidR="00E6734D" w:rsidRPr="00E6734D">
        <w:rPr>
          <w:rFonts w:ascii="Verdana" w:eastAsia="Calibri" w:hAnsi="Verdana" w:cs="Arial"/>
          <w:color w:val="000000"/>
          <w:lang w:eastAsia="es-ES"/>
        </w:rPr>
        <w:t xml:space="preserve">En segundo lugar, la delimitación establecida por el Consejo de Estado implica que cuando las Entidades Estatales opten por someter el convenio o contrato al régimen del organismo internacional, este aplicará de forma integral en todo lo relacionado con la celebración y la ejecución contractual. Al respecto, esta Agencia ha reiterado que ello incluye los procedimientos, sanciones o recursos aplicables ante posibles incumplimientos, así como los mecanismos de resolución de controversias, que serán, en principio, los dispuestos en el contrato o </w:t>
      </w:r>
      <w:r w:rsidR="00E6734D" w:rsidRPr="00E6734D">
        <w:rPr>
          <w:rFonts w:ascii="Verdana" w:eastAsia="Calibri" w:hAnsi="Verdana" w:cs="Arial"/>
          <w:color w:val="000000"/>
          <w:lang w:eastAsia="es-ES"/>
        </w:rPr>
        <w:lastRenderedPageBreak/>
        <w:t>convenio y en los reglamentos y la normativa del organismo, en la medida en que la remisión es integral, a menos que se disponga lo contrario.</w:t>
      </w:r>
    </w:p>
    <w:p w14:paraId="236236BB" w14:textId="4E7BDE0B" w:rsidR="009D0669" w:rsidRPr="00A30FDD" w:rsidRDefault="0019283B" w:rsidP="009D0669">
      <w:pPr>
        <w:spacing w:before="120" w:after="120" w:line="276" w:lineRule="auto"/>
        <w:jc w:val="both"/>
        <w:rPr>
          <w:rFonts w:ascii="Verdana" w:hAnsi="Verdana" w:cs="Arial"/>
          <w:color w:val="000000" w:themeColor="text1"/>
          <w:lang w:val="es-ES"/>
        </w:rPr>
      </w:pPr>
      <w:r w:rsidRPr="00A30FDD">
        <w:rPr>
          <w:rFonts w:ascii="Verdana" w:hAnsi="Verdana" w:cs="Arial"/>
          <w:color w:val="000000" w:themeColor="text1"/>
          <w:lang w:val="es-ES"/>
        </w:rPr>
        <w:tab/>
      </w:r>
      <w:r w:rsidR="00E6734D" w:rsidRPr="00E6734D">
        <w:rPr>
          <w:rFonts w:ascii="Verdana" w:hAnsi="Verdana" w:cs="Arial"/>
          <w:color w:val="000000" w:themeColor="text1"/>
        </w:rPr>
        <w:t>En este sentido, el desplazamiento del EGCAP al optar por someter el convenio o contrato a la normativa del organismo internacional supone que se rija por lo que esta disponga sobre la declaratoria de incumplimientos</w:t>
      </w:r>
      <w:r w:rsidR="00DB303C">
        <w:rPr>
          <w:rFonts w:ascii="Verdana" w:hAnsi="Verdana" w:cs="Arial"/>
          <w:color w:val="000000" w:themeColor="text1"/>
        </w:rPr>
        <w:t xml:space="preserve">, </w:t>
      </w:r>
      <w:r w:rsidR="00E6734D" w:rsidRPr="00E6734D">
        <w:rPr>
          <w:rFonts w:ascii="Verdana" w:hAnsi="Verdana" w:cs="Arial"/>
          <w:color w:val="000000" w:themeColor="text1"/>
        </w:rPr>
        <w:t xml:space="preserve">la posible imposición de multas, sanciones y figuras jurídicas similares a la cláusula penal pecuniaria, u otras consecuencias asociadas al incumplimiento contractual, así como el procedimiento y las reglas para </w:t>
      </w:r>
      <w:r w:rsidR="00DB303C">
        <w:rPr>
          <w:rFonts w:ascii="Verdana" w:hAnsi="Verdana" w:cs="Arial"/>
          <w:color w:val="000000" w:themeColor="text1"/>
        </w:rPr>
        <w:t>la</w:t>
      </w:r>
      <w:r w:rsidR="00E6734D" w:rsidRPr="00E6734D">
        <w:rPr>
          <w:rFonts w:ascii="Verdana" w:hAnsi="Verdana" w:cs="Arial"/>
          <w:color w:val="000000" w:themeColor="text1"/>
        </w:rPr>
        <w:t xml:space="preserve"> declaratoria o imposición. Lo mismo será procedente en la determinación de los mecanismos de resolución de controversias disponibles en cada caso. Como fue referido previamente, la normativa nacional solo será aplicable frente a estos aspectos cuando: i) exista una remisión o autorización en el marco del convenio o contrato, o cuando la normativa del organismo internacional así lo permita; o </w:t>
      </w:r>
      <w:proofErr w:type="spellStart"/>
      <w:r w:rsidR="00E6734D" w:rsidRPr="00E6734D">
        <w:rPr>
          <w:rFonts w:ascii="Verdana" w:hAnsi="Verdana" w:cs="Arial"/>
          <w:color w:val="000000" w:themeColor="text1"/>
        </w:rPr>
        <w:t>ii</w:t>
      </w:r>
      <w:proofErr w:type="spellEnd"/>
      <w:r w:rsidR="00E6734D" w:rsidRPr="00E6734D">
        <w:rPr>
          <w:rFonts w:ascii="Verdana" w:hAnsi="Verdana" w:cs="Arial"/>
          <w:color w:val="000000" w:themeColor="text1"/>
        </w:rPr>
        <w:t xml:space="preserve">) </w:t>
      </w:r>
      <w:r w:rsidR="00DB303C">
        <w:rPr>
          <w:rFonts w:ascii="Verdana" w:hAnsi="Verdana" w:cs="Arial"/>
          <w:color w:val="000000" w:themeColor="text1"/>
        </w:rPr>
        <w:t xml:space="preserve">cuando </w:t>
      </w:r>
      <w:r w:rsidR="003F33D1">
        <w:rPr>
          <w:rFonts w:ascii="Verdana" w:hAnsi="Verdana" w:cs="Arial"/>
          <w:color w:val="000000" w:themeColor="text1"/>
        </w:rPr>
        <w:t>s</w:t>
      </w:r>
      <w:r w:rsidR="00E6734D" w:rsidRPr="00E6734D">
        <w:rPr>
          <w:rFonts w:ascii="Verdana" w:hAnsi="Verdana" w:cs="Arial"/>
          <w:color w:val="000000" w:themeColor="text1"/>
        </w:rPr>
        <w:t>ea aplicable de manera supletiva ante el silencio del régimen del organismo internacional y del convenio o contrato.</w:t>
      </w:r>
      <w:r w:rsidR="00EB308A" w:rsidRPr="00A30FDD">
        <w:rPr>
          <w:rFonts w:ascii="Verdana" w:hAnsi="Verdana" w:cs="Arial"/>
          <w:color w:val="000000" w:themeColor="text1"/>
          <w:lang w:val="es-ES"/>
        </w:rPr>
        <w:t xml:space="preserve"> </w:t>
      </w:r>
    </w:p>
    <w:p w14:paraId="4D8BDC1C" w14:textId="77777777" w:rsidR="009D0669" w:rsidRPr="00A30FDD" w:rsidRDefault="009D0669" w:rsidP="009D0669">
      <w:pPr>
        <w:spacing w:before="120" w:after="120" w:line="276" w:lineRule="auto"/>
        <w:ind w:firstLine="709"/>
        <w:jc w:val="both"/>
        <w:rPr>
          <w:rFonts w:ascii="Verdana" w:eastAsia="Verdana" w:hAnsi="Verdana" w:cs="Verdana"/>
          <w:lang w:val="es-ES"/>
        </w:rPr>
      </w:pPr>
      <w:r w:rsidRPr="00A30FDD">
        <w:rPr>
          <w:rFonts w:ascii="Verdana" w:hAnsi="Verdana" w:cs="Arial"/>
          <w:color w:val="000000" w:themeColor="text1"/>
          <w:lang w:val="es-ES"/>
        </w:rPr>
        <w:t xml:space="preserve">Por otra parte, cuando se trate de </w:t>
      </w:r>
      <w:r w:rsidR="0019283B" w:rsidRPr="00A30FDD">
        <w:rPr>
          <w:rFonts w:ascii="Verdana" w:eastAsia="Verdana" w:hAnsi="Verdana" w:cs="Verdana"/>
          <w:lang w:val="es-ES"/>
        </w:rPr>
        <w:t>contratos derivados que celebren las Entidades Estatales en desarrollo de</w:t>
      </w:r>
      <w:r w:rsidRPr="00A30FDD">
        <w:rPr>
          <w:rFonts w:ascii="Verdana" w:eastAsia="Verdana" w:hAnsi="Verdana" w:cs="Verdana"/>
          <w:lang w:val="es-ES"/>
        </w:rPr>
        <w:t xml:space="preserve"> los</w:t>
      </w:r>
      <w:r w:rsidR="0019283B" w:rsidRPr="00A30FDD">
        <w:rPr>
          <w:rFonts w:ascii="Verdana" w:eastAsia="Verdana" w:hAnsi="Verdana" w:cs="Verdana"/>
          <w:lang w:val="es-ES"/>
        </w:rPr>
        <w:t xml:space="preserve"> convenios o </w:t>
      </w:r>
      <w:r w:rsidRPr="00A30FDD">
        <w:rPr>
          <w:rFonts w:ascii="Verdana" w:eastAsia="Verdana" w:hAnsi="Verdana" w:cs="Verdana"/>
          <w:lang w:val="es-ES"/>
        </w:rPr>
        <w:t xml:space="preserve">contratos </w:t>
      </w:r>
      <w:r w:rsidR="0019283B" w:rsidRPr="00A30FDD">
        <w:rPr>
          <w:rFonts w:ascii="Verdana" w:eastAsia="Verdana" w:hAnsi="Verdana" w:cs="Verdana"/>
          <w:lang w:val="es-ES"/>
        </w:rPr>
        <w:t>sometidos a</w:t>
      </w:r>
      <w:r w:rsidRPr="00A30FDD">
        <w:rPr>
          <w:rFonts w:ascii="Verdana" w:eastAsia="Verdana" w:hAnsi="Verdana" w:cs="Verdana"/>
          <w:lang w:val="es-ES"/>
        </w:rPr>
        <w:t xml:space="preserve"> la normativa de organismos internacionales en cumplimiento del </w:t>
      </w:r>
      <w:r w:rsidR="0019283B" w:rsidRPr="00A30FDD">
        <w:rPr>
          <w:rFonts w:ascii="Verdana" w:eastAsia="Verdana" w:hAnsi="Verdana" w:cs="Verdana"/>
          <w:lang w:val="es-ES"/>
        </w:rPr>
        <w:t>artículo 20 de la Ley 1150 de 2007, las partes podrán pactar cláusulas relativas a la declaratoria de incumplimiento, multas, cláusula penal pecuniaria u otras consecuencias asociadas al incumplimiento contractual, siempre que ello resulte compatible con el régimen jurídico aplicable al negocio correspondiente.</w:t>
      </w:r>
      <w:r w:rsidRPr="00A30FDD">
        <w:rPr>
          <w:rFonts w:ascii="Verdana" w:eastAsia="Verdana" w:hAnsi="Verdana" w:cs="Verdana"/>
          <w:lang w:val="es-ES"/>
        </w:rPr>
        <w:t xml:space="preserve"> En estos supuestos específicos, la circunstancia de que el </w:t>
      </w:r>
      <w:r w:rsidRPr="00A30FDD">
        <w:rPr>
          <w:rFonts w:ascii="Verdana" w:eastAsia="Verdana" w:hAnsi="Verdana" w:cs="Verdana"/>
          <w:i/>
          <w:iCs/>
          <w:lang w:val="es-ES"/>
        </w:rPr>
        <w:t>contrato derivado</w:t>
      </w:r>
      <w:r w:rsidRPr="00A30FDD">
        <w:rPr>
          <w:rFonts w:ascii="Verdana" w:eastAsia="Verdana" w:hAnsi="Verdana" w:cs="Verdana"/>
          <w:lang w:val="es-ES"/>
        </w:rPr>
        <w:t xml:space="preserve"> se encuentre sometido a reglamentos de organismos internacionales no implica, por sí sola, la exclusión de las garantías propias del derecho contractual colombiano en materia sancionatoria. </w:t>
      </w:r>
    </w:p>
    <w:p w14:paraId="303E24E0" w14:textId="77777777" w:rsidR="00527472" w:rsidRPr="00A30FDD" w:rsidRDefault="009D0669" w:rsidP="00527472">
      <w:pPr>
        <w:spacing w:before="120" w:after="120" w:line="276" w:lineRule="auto"/>
        <w:ind w:firstLine="709"/>
        <w:jc w:val="both"/>
        <w:rPr>
          <w:rFonts w:ascii="Verdana" w:eastAsia="Verdana" w:hAnsi="Verdana" w:cs="Verdana"/>
          <w:lang w:val="es-ES"/>
        </w:rPr>
      </w:pPr>
      <w:r w:rsidRPr="00A30FDD">
        <w:rPr>
          <w:rFonts w:ascii="Verdana" w:eastAsia="Verdana" w:hAnsi="Verdana" w:cs="Verdana"/>
          <w:lang w:val="es-ES"/>
        </w:rPr>
        <w:t>Bajo ese entendido, cuando una Entidad Estatal sometida al Estatuto General de Contratación de la Administración Pública pretenda declarar un incumplimiento, imponer multas, hacer efectiva una cláusula penal pecuniaria o adoptar decisiones unilaterales con efectos sancionatorios respecto de un contrato derivado celebrado en el marco de</w:t>
      </w:r>
      <w:r w:rsidR="004465A8" w:rsidRPr="00A30FDD">
        <w:rPr>
          <w:rFonts w:ascii="Verdana" w:eastAsia="Verdana" w:hAnsi="Verdana" w:cs="Verdana"/>
          <w:lang w:val="es-ES"/>
        </w:rPr>
        <w:t>l c</w:t>
      </w:r>
      <w:r w:rsidRPr="00A30FDD">
        <w:rPr>
          <w:rFonts w:ascii="Verdana" w:eastAsia="Verdana" w:hAnsi="Verdana" w:cs="Verdana"/>
          <w:lang w:val="es-ES"/>
        </w:rPr>
        <w:t>onvenio</w:t>
      </w:r>
      <w:r w:rsidR="004465A8" w:rsidRPr="00A30FDD">
        <w:rPr>
          <w:rFonts w:ascii="Verdana" w:eastAsia="Verdana" w:hAnsi="Verdana" w:cs="Verdana"/>
          <w:lang w:val="es-ES"/>
        </w:rPr>
        <w:t xml:space="preserve"> o contrato sometido a la normativa de un organismo internacional</w:t>
      </w:r>
      <w:r w:rsidRPr="00A30FDD">
        <w:rPr>
          <w:rFonts w:ascii="Verdana" w:eastAsia="Verdana" w:hAnsi="Verdana" w:cs="Verdana"/>
          <w:lang w:val="es-ES"/>
        </w:rPr>
        <w:t xml:space="preserve">, deberá analizar la aplicación del procedimiento previsto en el artículo 86 de la Ley 1474 de 2011 como garantía mínima de debido proceso administrativo, salvo que exista una disposición </w:t>
      </w:r>
      <w:r w:rsidRPr="00A30FDD">
        <w:rPr>
          <w:rFonts w:ascii="Verdana" w:eastAsia="Verdana" w:hAnsi="Verdana" w:cs="Verdana"/>
          <w:lang w:val="es-ES"/>
        </w:rPr>
        <w:lastRenderedPageBreak/>
        <w:t>expresa en contrario derivada de un tratado internacional, una norma legal especial o un régimen exceptivo debidamente acreditado.</w:t>
      </w:r>
    </w:p>
    <w:p w14:paraId="42314FBF" w14:textId="616AAF04" w:rsidR="00527472" w:rsidRPr="00A30FDD" w:rsidRDefault="001D2D35" w:rsidP="00527472">
      <w:pPr>
        <w:spacing w:before="120" w:after="120" w:line="276" w:lineRule="auto"/>
        <w:ind w:firstLine="709"/>
        <w:jc w:val="both"/>
        <w:rPr>
          <w:rFonts w:ascii="Verdana" w:eastAsia="Verdana" w:hAnsi="Verdana" w:cs="Verdana"/>
          <w:lang w:val="es-ES"/>
        </w:rPr>
      </w:pPr>
      <w:r w:rsidRPr="001D2D35">
        <w:rPr>
          <w:rFonts w:ascii="Verdana" w:eastAsia="Verdana" w:hAnsi="Verdana" w:cs="Verdana"/>
        </w:rPr>
        <w:t>Lo anterior obedece a que los reglamentos de los organismos internacionales suelen regular principalmente aspectos relacionados con la selección, contratación y gestión de los recursos de cooperación, sin que ello implique necesariamente la exclusión de las reglas que gobiernan el ejercicio de las potestades sancionatorias por parte de las Entidades Estatales colombianas. En consecuencia, no puede concluirse que la sola aplicación de reglamentos internacionales excluya integralmente el régimen administrativo sancionatorio colombiano respecto de las entidades contratantes en el marco de los negocios jurídicos derivados, pues tal efecto no se deriva automáticamente del artículo 20 de la Ley 1150 de 2007 ni de su desarrollo normativo. En este sentido, cuando la actuación sea adelantada por una Entidad Estatal sometida al Estatuto General de Contratación de la Administración Pública y no exista una regulación especial que disponga otra cosa, resultará procedente acudir al procedimiento establecido en el artículo 86 de la Ley 1474 de 2011</w:t>
      </w:r>
      <w:r w:rsidR="00527472" w:rsidRPr="00A30FDD">
        <w:rPr>
          <w:rStyle w:val="Refdenotaalpie"/>
          <w:rFonts w:ascii="Verdana" w:eastAsia="Verdana" w:hAnsi="Verdana" w:cs="Verdana"/>
          <w:lang w:val="es-ES"/>
        </w:rPr>
        <w:footnoteReference w:id="19"/>
      </w:r>
      <w:r w:rsidR="00527472" w:rsidRPr="00A30FDD">
        <w:rPr>
          <w:rFonts w:ascii="Verdana" w:eastAsia="Verdana" w:hAnsi="Verdana" w:cs="Verdana"/>
          <w:lang w:val="es-ES"/>
        </w:rPr>
        <w:t>.</w:t>
      </w:r>
    </w:p>
    <w:p w14:paraId="41FB51B4" w14:textId="20221400" w:rsidR="009D0669" w:rsidRDefault="001D2D35" w:rsidP="008C4A99">
      <w:pPr>
        <w:spacing w:before="120" w:after="0" w:line="276" w:lineRule="auto"/>
        <w:ind w:firstLine="709"/>
        <w:jc w:val="both"/>
        <w:rPr>
          <w:rFonts w:ascii="Verdana" w:eastAsia="Verdana" w:hAnsi="Verdana" w:cs="Verdana"/>
          <w:lang w:val="es-ES"/>
        </w:rPr>
      </w:pPr>
      <w:r w:rsidRPr="001D2D35">
        <w:rPr>
          <w:rFonts w:ascii="Verdana" w:eastAsia="Verdana" w:hAnsi="Verdana" w:cs="Verdana"/>
        </w:rPr>
        <w:t xml:space="preserve">Sin perjuicio de lo anterior, la determinación del procedimiento de declaratoria de incumplimientos, los mecanismos de resolución de controversias aplicables o la posible imposición de sanciones, multas o figuras similares deberá </w:t>
      </w:r>
      <w:r>
        <w:rPr>
          <w:rFonts w:ascii="Verdana" w:eastAsia="Verdana" w:hAnsi="Verdana" w:cs="Verdana"/>
        </w:rPr>
        <w:t xml:space="preserve">determinarse </w:t>
      </w:r>
      <w:r w:rsidRPr="001D2D35">
        <w:rPr>
          <w:rFonts w:ascii="Verdana" w:eastAsia="Verdana" w:hAnsi="Verdana" w:cs="Verdana"/>
        </w:rPr>
        <w:t>en cada caso concreto, atendiendo la naturaleza de la entidad que ejerce la potestad sancionatoria, el contenido del contrato o convenio, sus disposiciones y las reglas especiales que resulten aplicables según la normativa o los reglamentos específicos del organismo internacional.</w:t>
      </w:r>
      <w:r w:rsidR="009D0669" w:rsidRPr="00A30FDD">
        <w:rPr>
          <w:rFonts w:ascii="Verdana" w:eastAsia="Verdana" w:hAnsi="Verdana" w:cs="Verdana"/>
          <w:lang w:val="es-ES"/>
        </w:rPr>
        <w:t xml:space="preserve"> </w:t>
      </w:r>
    </w:p>
    <w:p w14:paraId="652A6853" w14:textId="77777777" w:rsidR="008C4A99" w:rsidRPr="00A30FDD" w:rsidRDefault="008C4A99" w:rsidP="008C4A99">
      <w:pPr>
        <w:spacing w:after="0" w:line="276" w:lineRule="auto"/>
        <w:ind w:firstLine="709"/>
        <w:jc w:val="both"/>
        <w:rPr>
          <w:rFonts w:ascii="Verdana" w:eastAsia="Verdana" w:hAnsi="Verdana" w:cs="Verdana"/>
          <w:lang w:val="es-ES"/>
        </w:rPr>
      </w:pPr>
    </w:p>
    <w:p w14:paraId="4B611C8C" w14:textId="2C9E3D5E" w:rsidR="00514540" w:rsidRPr="00A30FDD" w:rsidRDefault="008C4A99" w:rsidP="008C4A99">
      <w:pPr>
        <w:spacing w:after="120" w:line="276" w:lineRule="auto"/>
        <w:jc w:val="both"/>
        <w:rPr>
          <w:rFonts w:ascii="Verdana" w:eastAsia="Calibri" w:hAnsi="Verdana" w:cs="Arial"/>
          <w:color w:val="000000"/>
          <w:lang w:val="es-ES" w:eastAsia="es-ES"/>
        </w:rPr>
      </w:pPr>
      <w:proofErr w:type="spellStart"/>
      <w:r>
        <w:rPr>
          <w:rFonts w:ascii="Verdana" w:eastAsia="Verdana" w:hAnsi="Verdana" w:cs="Verdana"/>
          <w:lang w:val="es-ES"/>
        </w:rPr>
        <w:t>i</w:t>
      </w:r>
      <w:r w:rsidR="00514540" w:rsidRPr="00A30FDD">
        <w:rPr>
          <w:rFonts w:ascii="Verdana" w:eastAsia="Verdana" w:hAnsi="Verdana" w:cs="Verdana"/>
          <w:lang w:val="es-ES"/>
        </w:rPr>
        <w:t>v</w:t>
      </w:r>
      <w:proofErr w:type="spellEnd"/>
      <w:r w:rsidR="00514540" w:rsidRPr="00A30FDD">
        <w:rPr>
          <w:rFonts w:ascii="Verdana" w:eastAsia="Verdana" w:hAnsi="Verdana" w:cs="Verdana"/>
          <w:lang w:val="es-ES"/>
        </w:rPr>
        <w:t xml:space="preserve">) </w:t>
      </w:r>
      <w:r w:rsidR="009E3EB3" w:rsidRPr="00A30FDD">
        <w:rPr>
          <w:rFonts w:ascii="Verdana" w:eastAsia="Calibri" w:hAnsi="Verdana" w:cs="Arial"/>
          <w:color w:val="000000"/>
          <w:lang w:val="es-ES" w:eastAsia="es-ES"/>
        </w:rPr>
        <w:t xml:space="preserve">Es </w:t>
      </w:r>
      <w:r w:rsidR="00514540" w:rsidRPr="00A30FDD">
        <w:rPr>
          <w:rFonts w:ascii="Verdana" w:eastAsia="Calibri" w:hAnsi="Verdana" w:cs="Arial"/>
          <w:color w:val="000000"/>
          <w:lang w:val="es-ES" w:eastAsia="es-ES"/>
        </w:rPr>
        <w:t xml:space="preserve">preciso resaltar que las posibles responsabilidades </w:t>
      </w:r>
      <w:r w:rsidR="009E3EB3" w:rsidRPr="00A30FDD">
        <w:rPr>
          <w:rFonts w:ascii="Verdana" w:eastAsia="Calibri" w:hAnsi="Verdana" w:cs="Arial"/>
          <w:color w:val="000000"/>
          <w:lang w:val="es-ES" w:eastAsia="es-ES"/>
        </w:rPr>
        <w:t xml:space="preserve">fiscales, disciplinarias o </w:t>
      </w:r>
      <w:proofErr w:type="gramStart"/>
      <w:r w:rsidR="009E3EB3" w:rsidRPr="00A30FDD">
        <w:rPr>
          <w:rFonts w:ascii="Verdana" w:eastAsia="Calibri" w:hAnsi="Verdana" w:cs="Arial"/>
          <w:color w:val="000000"/>
          <w:lang w:val="es-ES" w:eastAsia="es-ES"/>
        </w:rPr>
        <w:t xml:space="preserve">penales </w:t>
      </w:r>
      <w:r w:rsidR="00514540" w:rsidRPr="00A30FDD">
        <w:rPr>
          <w:rFonts w:ascii="Verdana" w:eastAsia="Calibri" w:hAnsi="Verdana" w:cs="Arial"/>
          <w:color w:val="000000"/>
          <w:lang w:val="es-ES" w:eastAsia="es-ES"/>
        </w:rPr>
        <w:t>derivadas</w:t>
      </w:r>
      <w:proofErr w:type="gramEnd"/>
      <w:r w:rsidR="009E3EB3" w:rsidRPr="00A30FDD">
        <w:rPr>
          <w:rFonts w:ascii="Verdana" w:eastAsia="Calibri" w:hAnsi="Verdana" w:cs="Arial"/>
          <w:color w:val="000000"/>
          <w:lang w:val="es-ES" w:eastAsia="es-ES"/>
        </w:rPr>
        <w:t xml:space="preserve"> de la ejecución de estos contratos o convenios</w:t>
      </w:r>
      <w:r w:rsidR="00514540" w:rsidRPr="00A30FDD">
        <w:rPr>
          <w:rFonts w:ascii="Verdana" w:eastAsia="Calibri" w:hAnsi="Verdana" w:cs="Arial"/>
          <w:color w:val="000000"/>
          <w:lang w:val="es-ES" w:eastAsia="es-ES"/>
        </w:rPr>
        <w:t xml:space="preserve"> deben analizarse en </w:t>
      </w:r>
      <w:r w:rsidR="000B3E20">
        <w:rPr>
          <w:rFonts w:ascii="Verdana" w:eastAsia="Calibri" w:hAnsi="Verdana" w:cs="Arial"/>
          <w:color w:val="000000"/>
          <w:lang w:val="es-ES" w:eastAsia="es-ES"/>
        </w:rPr>
        <w:t>cada</w:t>
      </w:r>
      <w:r w:rsidR="00514540" w:rsidRPr="00A30FDD">
        <w:rPr>
          <w:rFonts w:ascii="Verdana" w:eastAsia="Calibri" w:hAnsi="Verdana" w:cs="Arial"/>
          <w:color w:val="000000"/>
          <w:lang w:val="es-ES" w:eastAsia="es-ES"/>
        </w:rPr>
        <w:t xml:space="preserve"> caso concreto. </w:t>
      </w:r>
      <w:r w:rsidR="009E3EB3" w:rsidRPr="00A30FDD">
        <w:rPr>
          <w:rFonts w:ascii="Verdana" w:eastAsia="Calibri" w:hAnsi="Verdana" w:cs="Arial"/>
          <w:color w:val="000000"/>
          <w:lang w:val="es-ES" w:eastAsia="es-ES"/>
        </w:rPr>
        <w:t>Así, por ejemplo, l</w:t>
      </w:r>
      <w:r w:rsidR="00514540" w:rsidRPr="00A30FDD">
        <w:rPr>
          <w:rFonts w:ascii="Verdana" w:eastAsia="Calibri" w:hAnsi="Verdana" w:cs="Arial"/>
          <w:color w:val="000000"/>
          <w:lang w:val="es-ES" w:eastAsia="es-ES"/>
        </w:rPr>
        <w:t>as disparidades existentes entre la planeación adelantada por la entidad y el convenio o contrato suscrito</w:t>
      </w:r>
      <w:r w:rsidR="007C669D">
        <w:rPr>
          <w:rFonts w:ascii="Verdana" w:eastAsia="Calibri" w:hAnsi="Verdana" w:cs="Arial"/>
          <w:color w:val="000000"/>
          <w:lang w:val="es-ES" w:eastAsia="es-ES"/>
        </w:rPr>
        <w:t xml:space="preserve"> (a las cuales se refiere en su consulta)</w:t>
      </w:r>
      <w:r w:rsidR="00514540" w:rsidRPr="00A30FDD">
        <w:rPr>
          <w:rFonts w:ascii="Verdana" w:eastAsia="Calibri" w:hAnsi="Verdana" w:cs="Arial"/>
          <w:color w:val="000000"/>
          <w:lang w:val="es-ES" w:eastAsia="es-ES"/>
        </w:rPr>
        <w:t>, así como las potenciales consecuencias derivadas de estas, deben examinarse en el marco del negocio o acuerdo concreto, con el fin de determinar si generan una controversia sobre la ejecución del instrumento o si dan lugar a responsabilidad a la luz del régimen de control fiscal o disciplinario.</w:t>
      </w:r>
    </w:p>
    <w:p w14:paraId="6791044B" w14:textId="50685E60" w:rsidR="00514540" w:rsidRPr="00A30FDD" w:rsidRDefault="00514540" w:rsidP="00514540">
      <w:pPr>
        <w:spacing w:before="120" w:after="120" w:line="276" w:lineRule="auto"/>
        <w:ind w:firstLine="709"/>
        <w:jc w:val="both"/>
        <w:rPr>
          <w:rFonts w:ascii="Verdana" w:eastAsia="Calibri" w:hAnsi="Verdana" w:cs="Arial"/>
          <w:color w:val="000000"/>
          <w:lang w:val="es-ES" w:eastAsia="es-ES"/>
        </w:rPr>
      </w:pPr>
      <w:r w:rsidRPr="00A30FDD">
        <w:rPr>
          <w:rFonts w:ascii="Verdana" w:eastAsia="Calibri" w:hAnsi="Verdana" w:cs="Arial"/>
          <w:color w:val="000000"/>
          <w:lang w:val="es-ES" w:eastAsia="es-ES"/>
        </w:rPr>
        <w:lastRenderedPageBreak/>
        <w:t xml:space="preserve">Frente al primer supuesto —controversias sobre la ejecución—, serán aplicables los mecanismos que al respecto estipulen el convenio, el contrato o la normativa del organismo. Frente al segundo —responsabilidad de los servidores públicos de la entidad estatal—, es </w:t>
      </w:r>
      <w:r w:rsidR="007C669D">
        <w:rPr>
          <w:rFonts w:ascii="Verdana" w:eastAsia="Calibri" w:hAnsi="Verdana" w:cs="Arial"/>
          <w:color w:val="000000"/>
          <w:lang w:val="es-ES" w:eastAsia="es-ES"/>
        </w:rPr>
        <w:t xml:space="preserve">necesario </w:t>
      </w:r>
      <w:r w:rsidRPr="00A30FDD">
        <w:rPr>
          <w:rFonts w:ascii="Verdana" w:eastAsia="Calibri" w:hAnsi="Verdana" w:cs="Arial"/>
          <w:color w:val="000000"/>
          <w:lang w:val="es-ES" w:eastAsia="es-ES"/>
        </w:rPr>
        <w:t xml:space="preserve">precisar que la aplicación de la normativa del organismo internacional se refiere exclusivamente al régimen contractual, de modo que no </w:t>
      </w:r>
      <w:r w:rsidR="007C669D">
        <w:rPr>
          <w:rFonts w:ascii="Verdana" w:eastAsia="Calibri" w:hAnsi="Verdana" w:cs="Arial"/>
          <w:color w:val="000000"/>
          <w:lang w:val="es-ES" w:eastAsia="es-ES"/>
        </w:rPr>
        <w:t xml:space="preserve">impide </w:t>
      </w:r>
      <w:r w:rsidRPr="00A30FDD">
        <w:rPr>
          <w:rFonts w:ascii="Verdana" w:eastAsia="Calibri" w:hAnsi="Verdana" w:cs="Arial"/>
          <w:color w:val="000000"/>
          <w:lang w:val="es-ES" w:eastAsia="es-ES"/>
        </w:rPr>
        <w:t>el ejercicio de las funciones que tienen los entes de control del Estado colombiano.</w:t>
      </w:r>
    </w:p>
    <w:p w14:paraId="415E9E7E" w14:textId="5FAADF3E" w:rsidR="00514540" w:rsidRPr="00A30FDD" w:rsidRDefault="00514540" w:rsidP="00514540">
      <w:pPr>
        <w:spacing w:before="120" w:after="120" w:line="276" w:lineRule="auto"/>
        <w:ind w:firstLine="709"/>
        <w:jc w:val="both"/>
        <w:rPr>
          <w:rFonts w:ascii="Verdana" w:eastAsia="Calibri" w:hAnsi="Verdana" w:cs="Arial"/>
          <w:color w:val="000000"/>
          <w:lang w:val="es-ES" w:eastAsia="es-ES"/>
        </w:rPr>
      </w:pPr>
      <w:r w:rsidRPr="00A30FDD">
        <w:rPr>
          <w:rFonts w:ascii="Verdana" w:eastAsia="Calibri" w:hAnsi="Verdana" w:cs="Arial"/>
          <w:color w:val="000000"/>
          <w:lang w:val="es-ES" w:eastAsia="es-ES"/>
        </w:rPr>
        <w:t xml:space="preserve">En efecto, el artículo 20 de la Ley 1150 de 2007 prevé de manera expresa, en su parágrafo 3, que las contralorías ejercerán el control fiscal sobre los proyectos y contratos celebrados con organismos multilaterales, </w:t>
      </w:r>
      <w:r w:rsidR="007C669D">
        <w:rPr>
          <w:rFonts w:ascii="Verdana" w:eastAsia="Calibri" w:hAnsi="Verdana" w:cs="Arial"/>
          <w:color w:val="000000"/>
          <w:lang w:val="es-ES" w:eastAsia="es-ES"/>
        </w:rPr>
        <w:t xml:space="preserve">por lo cual </w:t>
      </w:r>
      <w:r w:rsidRPr="00A30FDD">
        <w:rPr>
          <w:rFonts w:ascii="Verdana" w:eastAsia="Calibri" w:hAnsi="Verdana" w:cs="Arial"/>
          <w:color w:val="000000"/>
          <w:lang w:val="es-ES" w:eastAsia="es-ES"/>
        </w:rPr>
        <w:t xml:space="preserve">las </w:t>
      </w:r>
      <w:r w:rsidR="007C669D">
        <w:rPr>
          <w:rFonts w:ascii="Verdana" w:eastAsia="Calibri" w:hAnsi="Verdana" w:cs="Arial"/>
          <w:color w:val="000000"/>
          <w:lang w:val="es-ES" w:eastAsia="es-ES"/>
        </w:rPr>
        <w:t>E</w:t>
      </w:r>
      <w:r w:rsidRPr="00A30FDD">
        <w:rPr>
          <w:rFonts w:ascii="Verdana" w:eastAsia="Calibri" w:hAnsi="Verdana" w:cs="Arial"/>
          <w:color w:val="000000"/>
          <w:lang w:val="es-ES" w:eastAsia="es-ES"/>
        </w:rPr>
        <w:t xml:space="preserve">ntidades </w:t>
      </w:r>
      <w:r w:rsidR="007C669D">
        <w:rPr>
          <w:rFonts w:ascii="Verdana" w:eastAsia="Calibri" w:hAnsi="Verdana" w:cs="Arial"/>
          <w:color w:val="000000"/>
          <w:lang w:val="es-ES" w:eastAsia="es-ES"/>
        </w:rPr>
        <w:t>E</w:t>
      </w:r>
      <w:r w:rsidRPr="00A30FDD">
        <w:rPr>
          <w:rFonts w:ascii="Verdana" w:eastAsia="Calibri" w:hAnsi="Verdana" w:cs="Arial"/>
          <w:color w:val="000000"/>
          <w:lang w:val="es-ES" w:eastAsia="es-ES"/>
        </w:rPr>
        <w:t xml:space="preserve">statales tendrán la obligación de reportar la información </w:t>
      </w:r>
      <w:r w:rsidR="007C669D">
        <w:rPr>
          <w:rFonts w:ascii="Verdana" w:eastAsia="Calibri" w:hAnsi="Verdana" w:cs="Arial"/>
          <w:color w:val="000000"/>
          <w:lang w:val="es-ES" w:eastAsia="es-ES"/>
        </w:rPr>
        <w:t xml:space="preserve">pertinente </w:t>
      </w:r>
      <w:r w:rsidRPr="00A30FDD">
        <w:rPr>
          <w:rFonts w:ascii="Verdana" w:eastAsia="Calibri" w:hAnsi="Verdana" w:cs="Arial"/>
          <w:color w:val="000000"/>
          <w:lang w:val="es-ES" w:eastAsia="es-ES"/>
        </w:rPr>
        <w:t xml:space="preserve">a los organismos de control </w:t>
      </w:r>
      <w:r w:rsidR="007C669D">
        <w:rPr>
          <w:rFonts w:ascii="Verdana" w:eastAsia="Calibri" w:hAnsi="Verdana" w:cs="Arial"/>
          <w:color w:val="000000"/>
          <w:lang w:val="es-ES" w:eastAsia="es-ES"/>
        </w:rPr>
        <w:t xml:space="preserve">sobre </w:t>
      </w:r>
      <w:r w:rsidRPr="00A30FDD">
        <w:rPr>
          <w:rFonts w:ascii="Verdana" w:eastAsia="Calibri" w:hAnsi="Verdana" w:cs="Arial"/>
          <w:color w:val="000000"/>
          <w:lang w:val="es-ES" w:eastAsia="es-ES"/>
        </w:rPr>
        <w:t>la ejecución de los contratos a los que se refiere dicho artículo. Esta disposición reconoce que la posibilidad de sujetar el régimen contractual a las normas del organismo internacional no desplaza el control fiscal que ejercen las contralorías sobre los recursos públicos comprometidos.</w:t>
      </w:r>
    </w:p>
    <w:p w14:paraId="65F31B2B" w14:textId="41AC9329" w:rsidR="00514540" w:rsidRPr="00A30FDD" w:rsidRDefault="00DA4F2B" w:rsidP="00514540">
      <w:pPr>
        <w:spacing w:before="120" w:after="120" w:line="276" w:lineRule="auto"/>
        <w:ind w:firstLine="709"/>
        <w:jc w:val="both"/>
        <w:rPr>
          <w:rFonts w:ascii="Verdana" w:eastAsia="Calibri" w:hAnsi="Verdana" w:cs="Arial"/>
          <w:color w:val="000000"/>
          <w:lang w:val="es-ES" w:eastAsia="es-ES"/>
        </w:rPr>
      </w:pPr>
      <w:r>
        <w:rPr>
          <w:rFonts w:ascii="Verdana" w:eastAsia="Calibri" w:hAnsi="Verdana" w:cs="Arial"/>
          <w:color w:val="000000"/>
          <w:lang w:val="es-ES" w:eastAsia="es-ES"/>
        </w:rPr>
        <w:t>Adicionalmente, e</w:t>
      </w:r>
      <w:r w:rsidR="00514540" w:rsidRPr="00A30FDD">
        <w:rPr>
          <w:rFonts w:ascii="Verdana" w:eastAsia="Calibri" w:hAnsi="Verdana" w:cs="Arial"/>
          <w:color w:val="000000"/>
          <w:lang w:val="es-ES" w:eastAsia="es-ES"/>
        </w:rPr>
        <w:t>l artículo 267 de la Constitución Política</w:t>
      </w:r>
      <w:r>
        <w:rPr>
          <w:rFonts w:ascii="Verdana" w:eastAsia="Calibri" w:hAnsi="Verdana" w:cs="Arial"/>
          <w:color w:val="000000"/>
          <w:lang w:val="es-ES" w:eastAsia="es-ES"/>
        </w:rPr>
        <w:t xml:space="preserve"> </w:t>
      </w:r>
      <w:r w:rsidR="00514540" w:rsidRPr="00A30FDD">
        <w:rPr>
          <w:rFonts w:ascii="Verdana" w:eastAsia="Calibri" w:hAnsi="Verdana" w:cs="Arial"/>
          <w:color w:val="000000"/>
          <w:lang w:val="es-ES" w:eastAsia="es-ES"/>
        </w:rPr>
        <w:t>establece que la vigilancia y el control fiscal incluyen el seguimiento permanente a</w:t>
      </w:r>
      <w:r>
        <w:rPr>
          <w:rFonts w:ascii="Verdana" w:eastAsia="Calibri" w:hAnsi="Verdana" w:cs="Arial"/>
          <w:color w:val="000000"/>
          <w:lang w:val="es-ES" w:eastAsia="es-ES"/>
        </w:rPr>
        <w:t xml:space="preserve"> los</w:t>
      </w:r>
      <w:r w:rsidR="00514540" w:rsidRPr="00A30FDD">
        <w:rPr>
          <w:rFonts w:ascii="Verdana" w:eastAsia="Calibri" w:hAnsi="Verdana" w:cs="Arial"/>
          <w:color w:val="000000"/>
          <w:lang w:val="es-ES" w:eastAsia="es-ES"/>
        </w:rPr>
        <w:t xml:space="preserve"> recurso</w:t>
      </w:r>
      <w:r>
        <w:rPr>
          <w:rFonts w:ascii="Verdana" w:eastAsia="Calibri" w:hAnsi="Verdana" w:cs="Arial"/>
          <w:color w:val="000000"/>
          <w:lang w:val="es-ES" w:eastAsia="es-ES"/>
        </w:rPr>
        <w:t>s</w:t>
      </w:r>
      <w:r w:rsidR="00514540" w:rsidRPr="00A30FDD">
        <w:rPr>
          <w:rFonts w:ascii="Verdana" w:eastAsia="Calibri" w:hAnsi="Verdana" w:cs="Arial"/>
          <w:color w:val="000000"/>
          <w:lang w:val="es-ES" w:eastAsia="es-ES"/>
        </w:rPr>
        <w:t xml:space="preserve"> público, sin oponibilidad de reserva legal para el acceso a la información por parte de los órganos de control fiscal, y el control financiero, de gestión y de resultados. En desarrollo de esta disposición, el Decreto Ley 267 de 2000, define que son sujetos de vigilancia y control fiscal los particulares, las personas jurídicas y cualquier otro tipo de organización o sociedad que a cualquier título recauden, administren, manejen, dispongan o inviertan fondos, recursos del Estado y/o bienes o recursos públicos en lo relacionado con estos. El elemento que activa el control fiscal es, por tanto, la naturaleza pública de los recursos, no la naturaleza jurídica del sujeto que los administra.</w:t>
      </w:r>
    </w:p>
    <w:p w14:paraId="6226D095" w14:textId="47F3B6E5" w:rsidR="008B07D8" w:rsidRPr="00A30FDD" w:rsidRDefault="008B07D8" w:rsidP="00514540">
      <w:pPr>
        <w:spacing w:before="120" w:after="120" w:line="276" w:lineRule="auto"/>
        <w:ind w:firstLine="709"/>
        <w:jc w:val="both"/>
        <w:rPr>
          <w:rFonts w:ascii="Verdana" w:eastAsia="Calibri" w:hAnsi="Verdana" w:cs="Arial"/>
          <w:color w:val="000000"/>
          <w:lang w:val="es-ES" w:eastAsia="es-ES"/>
        </w:rPr>
      </w:pPr>
      <w:r w:rsidRPr="00A30FDD">
        <w:rPr>
          <w:rFonts w:ascii="Verdana" w:eastAsia="Calibri" w:hAnsi="Verdana" w:cs="Arial"/>
          <w:color w:val="000000"/>
          <w:lang w:val="es-ES" w:eastAsia="es-ES"/>
        </w:rPr>
        <w:t xml:space="preserve">En lo que se refiere específicamente al control sobre los servidores públicos, la Procuraduría General de la Nación conserva su potestad disciplinaria sobre los funcionarios de la </w:t>
      </w:r>
      <w:r w:rsidR="00DA4F2B">
        <w:rPr>
          <w:rFonts w:ascii="Verdana" w:eastAsia="Calibri" w:hAnsi="Verdana" w:cs="Arial"/>
          <w:color w:val="000000"/>
          <w:lang w:val="es-ES" w:eastAsia="es-ES"/>
        </w:rPr>
        <w:t>E</w:t>
      </w:r>
      <w:r w:rsidRPr="00A30FDD">
        <w:rPr>
          <w:rFonts w:ascii="Verdana" w:eastAsia="Calibri" w:hAnsi="Verdana" w:cs="Arial"/>
          <w:color w:val="000000"/>
          <w:lang w:val="es-ES" w:eastAsia="es-ES"/>
        </w:rPr>
        <w:t xml:space="preserve">ntidad </w:t>
      </w:r>
      <w:r w:rsidR="00DA4F2B">
        <w:rPr>
          <w:rFonts w:ascii="Verdana" w:eastAsia="Calibri" w:hAnsi="Verdana" w:cs="Arial"/>
          <w:color w:val="000000"/>
          <w:lang w:val="es-ES" w:eastAsia="es-ES"/>
        </w:rPr>
        <w:t>E</w:t>
      </w:r>
      <w:r w:rsidRPr="00A30FDD">
        <w:rPr>
          <w:rFonts w:ascii="Verdana" w:eastAsia="Calibri" w:hAnsi="Verdana" w:cs="Arial"/>
          <w:color w:val="000000"/>
          <w:lang w:val="es-ES" w:eastAsia="es-ES"/>
        </w:rPr>
        <w:t xml:space="preserve">statal colombiana, quienes responden por el cumplimiento de sus deberes funcionales conforme a la normativa aplicable a esta materia, independientemente del régimen jurídico que rija </w:t>
      </w:r>
      <w:r w:rsidR="00DA4F2B">
        <w:rPr>
          <w:rFonts w:ascii="Verdana" w:eastAsia="Calibri" w:hAnsi="Verdana" w:cs="Arial"/>
          <w:color w:val="000000"/>
          <w:lang w:val="es-ES" w:eastAsia="es-ES"/>
        </w:rPr>
        <w:t>al contrato o convenio</w:t>
      </w:r>
      <w:r w:rsidRPr="00A30FDD">
        <w:rPr>
          <w:rFonts w:ascii="Verdana" w:eastAsia="Calibri" w:hAnsi="Verdana" w:cs="Arial"/>
          <w:color w:val="000000"/>
          <w:lang w:val="es-ES" w:eastAsia="es-ES"/>
        </w:rPr>
        <w:t>.</w:t>
      </w:r>
    </w:p>
    <w:p w14:paraId="173F052B" w14:textId="77777777" w:rsidR="00DA4F2B" w:rsidRDefault="008B07D8" w:rsidP="00DA4F2B">
      <w:pPr>
        <w:spacing w:before="120" w:after="120" w:line="276" w:lineRule="auto"/>
        <w:ind w:firstLine="709"/>
        <w:jc w:val="both"/>
        <w:rPr>
          <w:rFonts w:ascii="Verdana" w:eastAsia="Calibri" w:hAnsi="Verdana" w:cs="Arial"/>
          <w:color w:val="000000"/>
          <w:lang w:val="es-ES" w:eastAsia="es-ES"/>
        </w:rPr>
      </w:pPr>
      <w:r w:rsidRPr="008B07D8">
        <w:rPr>
          <w:rFonts w:ascii="Verdana" w:eastAsia="Calibri" w:hAnsi="Verdana" w:cs="Arial"/>
          <w:color w:val="000000"/>
          <w:lang w:val="es-ES" w:eastAsia="es-ES"/>
        </w:rPr>
        <w:t xml:space="preserve">Con todo, </w:t>
      </w:r>
      <w:r w:rsidR="006B17F9" w:rsidRPr="00A30FDD">
        <w:rPr>
          <w:rFonts w:ascii="Verdana" w:eastAsia="Calibri" w:hAnsi="Verdana" w:cs="Arial"/>
          <w:color w:val="000000"/>
          <w:lang w:val="es-ES" w:eastAsia="es-ES"/>
        </w:rPr>
        <w:t xml:space="preserve">es importante considerar que </w:t>
      </w:r>
      <w:r w:rsidRPr="008B07D8">
        <w:rPr>
          <w:rFonts w:ascii="Verdana" w:eastAsia="Calibri" w:hAnsi="Verdana" w:cs="Arial"/>
          <w:color w:val="000000"/>
          <w:lang w:val="es-ES" w:eastAsia="es-ES"/>
        </w:rPr>
        <w:t xml:space="preserve">las inmunidades y privilegios reconocidos a los organismos internacionales tienen incidencia en la forma en </w:t>
      </w:r>
      <w:r w:rsidRPr="008B07D8">
        <w:rPr>
          <w:rFonts w:ascii="Verdana" w:eastAsia="Calibri" w:hAnsi="Verdana" w:cs="Arial"/>
          <w:color w:val="000000"/>
          <w:lang w:val="es-ES" w:eastAsia="es-ES"/>
        </w:rPr>
        <w:lastRenderedPageBreak/>
        <w:t xml:space="preserve">que se ejerce el control, </w:t>
      </w:r>
      <w:r w:rsidR="00DA4F2B">
        <w:rPr>
          <w:rFonts w:ascii="Verdana" w:eastAsia="Calibri" w:hAnsi="Verdana" w:cs="Arial"/>
          <w:color w:val="000000"/>
          <w:lang w:val="es-ES" w:eastAsia="es-ES"/>
        </w:rPr>
        <w:t xml:space="preserve">y </w:t>
      </w:r>
      <w:r w:rsidRPr="008B07D8">
        <w:rPr>
          <w:rFonts w:ascii="Verdana" w:eastAsia="Calibri" w:hAnsi="Verdana" w:cs="Arial"/>
          <w:color w:val="000000"/>
          <w:lang w:val="es-ES" w:eastAsia="es-ES"/>
        </w:rPr>
        <w:t>no en su existencia. La Corte Constitucional, en la Sentencia C-137 de 1996</w:t>
      </w:r>
      <w:r w:rsidR="00DA4F2B">
        <w:rPr>
          <w:rStyle w:val="Refdenotaalpie"/>
          <w:rFonts w:ascii="Verdana" w:eastAsia="Calibri" w:hAnsi="Verdana" w:cs="Arial"/>
          <w:color w:val="000000"/>
          <w:lang w:val="es-ES" w:eastAsia="es-ES"/>
        </w:rPr>
        <w:footnoteReference w:id="20"/>
      </w:r>
      <w:r w:rsidRPr="008B07D8">
        <w:rPr>
          <w:rFonts w:ascii="Verdana" w:eastAsia="Calibri" w:hAnsi="Verdana" w:cs="Arial"/>
          <w:color w:val="000000"/>
          <w:lang w:val="es-ES" w:eastAsia="es-ES"/>
        </w:rPr>
        <w:t>, estableció que las prerrogativas e inmunidades otorgadas no son, ni pueden ser, totales o absolutas. Ningún Estado constitucional estaría en capacidad jurídica de otorgar plena inmunidad a todo agente de un gobierno extranjero o representante de un organismo de derecho internacional, respecto de cualquier actividad que cumpla en su territorio, pues ello implicaría sacrificar las atribuciones que le competen como estado libre y soberano para asegurar la defensa de los derechos de las personas sometidas a su jurisdicción. Igualmente, en la Sentencia C-788 de 2011</w:t>
      </w:r>
      <w:r w:rsidR="00DA4F2B">
        <w:rPr>
          <w:rStyle w:val="Refdenotaalpie"/>
          <w:rFonts w:ascii="Verdana" w:eastAsia="Calibri" w:hAnsi="Verdana" w:cs="Arial"/>
          <w:color w:val="000000"/>
          <w:lang w:val="es-ES" w:eastAsia="es-ES"/>
        </w:rPr>
        <w:footnoteReference w:id="21"/>
      </w:r>
      <w:r w:rsidRPr="008B07D8">
        <w:rPr>
          <w:rFonts w:ascii="Verdana" w:eastAsia="Calibri" w:hAnsi="Verdana" w:cs="Arial"/>
          <w:color w:val="000000"/>
          <w:lang w:val="es-ES" w:eastAsia="es-ES"/>
        </w:rPr>
        <w:t xml:space="preserve">, la Corte precisó que el principio de inmunidad de jurisdicción debe ser entendido en concordancia con el artículo 9 de la Constitución Política, con la soberanía, independencia e igualdad de los Estados, y con la necesidad de que los organismos y agencias internacionales gocen de independencia para el cumplimiento de su mandato. Esto implica que las inmunidades no operan de manera incondicional, sino en la medida en que sean necesarias para garantizar la independencia funcional del organismo. </w:t>
      </w:r>
    </w:p>
    <w:p w14:paraId="0ACB9E40" w14:textId="30872435" w:rsidR="00CD68C1" w:rsidRPr="00A30FDD" w:rsidRDefault="00DA4F2B" w:rsidP="00DA4F2B">
      <w:pPr>
        <w:spacing w:before="120" w:after="120" w:line="276" w:lineRule="auto"/>
        <w:ind w:firstLine="709"/>
        <w:jc w:val="both"/>
        <w:rPr>
          <w:rFonts w:ascii="Verdana" w:eastAsia="Calibri" w:hAnsi="Verdana" w:cs="Arial"/>
          <w:color w:val="000000"/>
          <w:lang w:val="es-ES" w:eastAsia="es-ES"/>
        </w:rPr>
      </w:pPr>
      <w:r>
        <w:rPr>
          <w:rFonts w:ascii="Verdana" w:eastAsia="Calibri" w:hAnsi="Verdana" w:cs="Arial"/>
          <w:color w:val="000000"/>
          <w:lang w:val="es-ES" w:eastAsia="es-ES"/>
        </w:rPr>
        <w:t>E</w:t>
      </w:r>
      <w:r w:rsidR="008B07D8" w:rsidRPr="008B07D8">
        <w:rPr>
          <w:rFonts w:ascii="Verdana" w:eastAsia="Calibri" w:hAnsi="Verdana" w:cs="Arial"/>
          <w:color w:val="000000"/>
          <w:lang w:val="es-ES" w:eastAsia="es-ES"/>
        </w:rPr>
        <w:t>l control de los ente</w:t>
      </w:r>
      <w:r>
        <w:rPr>
          <w:rFonts w:ascii="Verdana" w:eastAsia="Calibri" w:hAnsi="Verdana" w:cs="Arial"/>
          <w:color w:val="000000"/>
          <w:lang w:val="es-ES" w:eastAsia="es-ES"/>
        </w:rPr>
        <w:t>s</w:t>
      </w:r>
      <w:r w:rsidR="008B07D8" w:rsidRPr="008B07D8">
        <w:rPr>
          <w:rFonts w:ascii="Verdana" w:eastAsia="Calibri" w:hAnsi="Verdana" w:cs="Arial"/>
          <w:color w:val="000000"/>
          <w:lang w:val="es-ES" w:eastAsia="es-ES"/>
        </w:rPr>
        <w:t xml:space="preserve"> colombianos en este ámbito se ejerce primariamente sobre la </w:t>
      </w:r>
      <w:r w:rsidR="00C04760">
        <w:rPr>
          <w:rFonts w:ascii="Verdana" w:eastAsia="Calibri" w:hAnsi="Verdana" w:cs="Arial"/>
          <w:color w:val="000000"/>
          <w:lang w:val="es-ES" w:eastAsia="es-ES"/>
        </w:rPr>
        <w:t>E</w:t>
      </w:r>
      <w:r w:rsidR="008B07D8" w:rsidRPr="008B07D8">
        <w:rPr>
          <w:rFonts w:ascii="Verdana" w:eastAsia="Calibri" w:hAnsi="Verdana" w:cs="Arial"/>
          <w:color w:val="000000"/>
          <w:lang w:val="es-ES" w:eastAsia="es-ES"/>
        </w:rPr>
        <w:t xml:space="preserve">ntidad </w:t>
      </w:r>
      <w:r w:rsidR="00C04760">
        <w:rPr>
          <w:rFonts w:ascii="Verdana" w:eastAsia="Calibri" w:hAnsi="Verdana" w:cs="Arial"/>
          <w:color w:val="000000"/>
          <w:lang w:val="es-ES" w:eastAsia="es-ES"/>
        </w:rPr>
        <w:t>E</w:t>
      </w:r>
      <w:r w:rsidR="008B07D8" w:rsidRPr="008B07D8">
        <w:rPr>
          <w:rFonts w:ascii="Verdana" w:eastAsia="Calibri" w:hAnsi="Verdana" w:cs="Arial"/>
          <w:color w:val="000000"/>
          <w:lang w:val="es-ES" w:eastAsia="es-ES"/>
        </w:rPr>
        <w:t>statal colombiana y sus servidores públicos: el seguimiento fiscal recae sobre los recursos públicos aportados por Colombia con independencia de la entidad que los ejecute, mientras que el control disciplinario recae sobre los funcionarios</w:t>
      </w:r>
      <w:r w:rsidR="006B17F9" w:rsidRPr="00A30FDD">
        <w:rPr>
          <w:rFonts w:ascii="Verdana" w:eastAsia="Calibri" w:hAnsi="Verdana" w:cs="Arial"/>
          <w:color w:val="000000"/>
          <w:lang w:val="es-ES" w:eastAsia="es-ES"/>
        </w:rPr>
        <w:t xml:space="preserve"> involucrados en la estructuración y ejecución del convenio o contrato</w:t>
      </w:r>
      <w:r w:rsidR="008B07D8" w:rsidRPr="008B07D8">
        <w:rPr>
          <w:rFonts w:ascii="Verdana" w:eastAsia="Calibri" w:hAnsi="Verdana" w:cs="Arial"/>
          <w:color w:val="000000"/>
          <w:lang w:val="es-ES" w:eastAsia="es-ES"/>
        </w:rPr>
        <w:t xml:space="preserve">. </w:t>
      </w:r>
      <w:r w:rsidR="006B17F9" w:rsidRPr="00A30FDD">
        <w:rPr>
          <w:rFonts w:ascii="Verdana" w:eastAsia="Calibri" w:hAnsi="Verdana" w:cs="Arial"/>
          <w:color w:val="000000"/>
          <w:lang w:val="es-ES" w:eastAsia="es-ES"/>
        </w:rPr>
        <w:t>En consecuencia, l</w:t>
      </w:r>
      <w:r w:rsidR="008B07D8" w:rsidRPr="008B07D8">
        <w:rPr>
          <w:rFonts w:ascii="Verdana" w:eastAsia="Calibri" w:hAnsi="Verdana" w:cs="Arial"/>
          <w:color w:val="000000"/>
          <w:lang w:val="es-ES" w:eastAsia="es-ES"/>
        </w:rPr>
        <w:t>a vigilancia</w:t>
      </w:r>
      <w:r w:rsidR="006B17F9" w:rsidRPr="00A30FDD">
        <w:rPr>
          <w:rFonts w:ascii="Verdana" w:eastAsia="Calibri" w:hAnsi="Verdana" w:cs="Arial"/>
          <w:color w:val="000000"/>
          <w:lang w:val="es-ES" w:eastAsia="es-ES"/>
        </w:rPr>
        <w:t xml:space="preserve"> o seguimiento que realice la entidad</w:t>
      </w:r>
      <w:r w:rsidR="008B07D8" w:rsidRPr="008B07D8">
        <w:rPr>
          <w:rFonts w:ascii="Verdana" w:eastAsia="Calibri" w:hAnsi="Verdana" w:cs="Arial"/>
          <w:color w:val="000000"/>
          <w:lang w:val="es-ES" w:eastAsia="es-ES"/>
        </w:rPr>
        <w:t xml:space="preserve"> sobre el organismo cooperante en cuanto a los recursos públicos que este administre deberá ejercerse a través de los mecanismos de información y reporte previstos en el propio convenio</w:t>
      </w:r>
      <w:r w:rsidR="006B17F9" w:rsidRPr="00A30FDD">
        <w:rPr>
          <w:rFonts w:ascii="Verdana" w:eastAsia="Calibri" w:hAnsi="Verdana" w:cs="Arial"/>
          <w:color w:val="000000"/>
          <w:lang w:val="es-ES" w:eastAsia="es-ES"/>
        </w:rPr>
        <w:t xml:space="preserve"> o contrato</w:t>
      </w:r>
      <w:r w:rsidR="008B07D8" w:rsidRPr="008B07D8">
        <w:rPr>
          <w:rFonts w:ascii="Verdana" w:eastAsia="Calibri" w:hAnsi="Verdana" w:cs="Arial"/>
          <w:color w:val="000000"/>
          <w:lang w:val="es-ES" w:eastAsia="es-ES"/>
        </w:rPr>
        <w:t xml:space="preserve"> y</w:t>
      </w:r>
      <w:r w:rsidR="006B17F9" w:rsidRPr="00A30FDD">
        <w:rPr>
          <w:rFonts w:ascii="Verdana" w:eastAsia="Calibri" w:hAnsi="Verdana" w:cs="Arial"/>
          <w:color w:val="000000"/>
          <w:lang w:val="es-ES" w:eastAsia="es-ES"/>
        </w:rPr>
        <w:t>, con respecto a los entes de control,</w:t>
      </w:r>
      <w:r w:rsidR="008B07D8" w:rsidRPr="008B07D8">
        <w:rPr>
          <w:rFonts w:ascii="Verdana" w:eastAsia="Calibri" w:hAnsi="Verdana" w:cs="Arial"/>
          <w:color w:val="000000"/>
          <w:lang w:val="es-ES" w:eastAsia="es-ES"/>
        </w:rPr>
        <w:t xml:space="preserve"> en el </w:t>
      </w:r>
      <w:r w:rsidR="006B17F9" w:rsidRPr="00A30FDD">
        <w:rPr>
          <w:rFonts w:ascii="Verdana" w:eastAsia="Calibri" w:hAnsi="Verdana" w:cs="Arial"/>
          <w:color w:val="000000"/>
          <w:lang w:val="es-ES" w:eastAsia="es-ES"/>
        </w:rPr>
        <w:t xml:space="preserve">marco de lo dispuesto </w:t>
      </w:r>
      <w:r w:rsidR="008B07D8" w:rsidRPr="008B07D8">
        <w:rPr>
          <w:rFonts w:ascii="Verdana" w:eastAsia="Calibri" w:hAnsi="Verdana" w:cs="Arial"/>
          <w:color w:val="000000"/>
          <w:lang w:val="es-ES" w:eastAsia="es-ES"/>
        </w:rPr>
        <w:t>parágrafo 3 del artículo 20 de la Ley 1150 de 2007</w:t>
      </w:r>
      <w:r w:rsidR="006B17F9" w:rsidRPr="00A30FDD">
        <w:rPr>
          <w:rFonts w:ascii="Verdana" w:eastAsia="Calibri" w:hAnsi="Verdana" w:cs="Arial"/>
          <w:color w:val="000000"/>
          <w:lang w:val="es-ES" w:eastAsia="es-ES"/>
        </w:rPr>
        <w:t>.</w:t>
      </w:r>
      <w:r w:rsidR="008A4274" w:rsidRPr="00A30FDD">
        <w:rPr>
          <w:rFonts w:ascii="Verdana" w:eastAsia="Calibri" w:hAnsi="Verdana" w:cs="Arial"/>
          <w:color w:val="000000"/>
          <w:lang w:val="es-ES" w:eastAsia="es-ES"/>
        </w:rPr>
        <w:t xml:space="preserve"> </w:t>
      </w:r>
    </w:p>
    <w:p w14:paraId="1F81F4B4" w14:textId="7C58812E" w:rsidR="006B17F9" w:rsidRDefault="008A4274" w:rsidP="00173A5D">
      <w:pPr>
        <w:spacing w:before="120" w:after="0" w:line="276" w:lineRule="auto"/>
        <w:ind w:firstLine="709"/>
        <w:jc w:val="both"/>
        <w:rPr>
          <w:rFonts w:ascii="Verdana" w:eastAsia="Calibri" w:hAnsi="Verdana" w:cs="Arial"/>
          <w:color w:val="000000"/>
          <w:lang w:val="es-ES" w:eastAsia="es-ES"/>
        </w:rPr>
      </w:pPr>
      <w:r w:rsidRPr="00A30FDD">
        <w:rPr>
          <w:rFonts w:ascii="Verdana" w:eastAsia="Calibri" w:hAnsi="Verdana" w:cs="Arial"/>
          <w:color w:val="000000"/>
          <w:lang w:val="es-ES" w:eastAsia="es-ES"/>
        </w:rPr>
        <w:t>En cualquier caso, se resalta que esta Agencia no es competente para pronunciarse sobre el alcance o aplicación de las facultades que ejercen l</w:t>
      </w:r>
      <w:r w:rsidR="008C4C15" w:rsidRPr="00A30FDD">
        <w:rPr>
          <w:rFonts w:ascii="Verdana" w:eastAsia="Calibri" w:hAnsi="Verdana" w:cs="Arial"/>
          <w:color w:val="000000"/>
          <w:lang w:val="es-ES" w:eastAsia="es-ES"/>
        </w:rPr>
        <w:t xml:space="preserve">os entes </w:t>
      </w:r>
      <w:r w:rsidR="008C4C15" w:rsidRPr="00A30FDD">
        <w:rPr>
          <w:rFonts w:ascii="Verdana" w:eastAsia="Calibri" w:hAnsi="Verdana" w:cs="Arial"/>
          <w:color w:val="000000"/>
          <w:lang w:val="es-ES" w:eastAsia="es-ES"/>
        </w:rPr>
        <w:lastRenderedPageBreak/>
        <w:t>de control, de modo que las preguntas que surgen sobre este tema</w:t>
      </w:r>
      <w:r w:rsidR="00CD68C1" w:rsidRPr="00A30FDD">
        <w:rPr>
          <w:rFonts w:ascii="Verdana" w:eastAsia="Calibri" w:hAnsi="Verdana" w:cs="Arial"/>
          <w:color w:val="000000"/>
          <w:lang w:val="es-ES" w:eastAsia="es-ES"/>
        </w:rPr>
        <w:t>, como es el caso de aquellas sobre el desarrollo de auditorías, visitas administrativas o requerimientos efectuados por estas entidades, así como el alcance de las inmunidades con respecto a las facultades de inspección, vigilancia y control</w:t>
      </w:r>
      <w:r w:rsidR="00DE3228" w:rsidRPr="00A30FDD">
        <w:rPr>
          <w:rFonts w:ascii="Verdana" w:eastAsia="Calibri" w:hAnsi="Verdana" w:cs="Arial"/>
          <w:color w:val="000000"/>
          <w:lang w:val="es-ES" w:eastAsia="es-ES"/>
        </w:rPr>
        <w:t xml:space="preserve">, y las consecuencias del incumplimiento a los requerimientos que realicen, </w:t>
      </w:r>
      <w:r w:rsidR="00C04760">
        <w:rPr>
          <w:rFonts w:ascii="Verdana" w:eastAsia="Calibri" w:hAnsi="Verdana" w:cs="Arial"/>
          <w:color w:val="000000"/>
          <w:lang w:val="es-ES" w:eastAsia="es-ES"/>
        </w:rPr>
        <w:t xml:space="preserve">corresponden </w:t>
      </w:r>
      <w:r w:rsidR="008C4C15" w:rsidRPr="00A30FDD">
        <w:rPr>
          <w:rFonts w:ascii="Verdana" w:eastAsia="Calibri" w:hAnsi="Verdana" w:cs="Arial"/>
          <w:color w:val="000000"/>
          <w:lang w:val="es-ES" w:eastAsia="es-ES"/>
        </w:rPr>
        <w:t xml:space="preserve">a las entidades competentes para ello. </w:t>
      </w:r>
    </w:p>
    <w:p w14:paraId="566AF3EA" w14:textId="77777777" w:rsidR="00173A5D" w:rsidRPr="00A30FDD" w:rsidRDefault="00173A5D" w:rsidP="00173A5D">
      <w:pPr>
        <w:spacing w:after="0" w:line="276" w:lineRule="auto"/>
        <w:ind w:firstLine="709"/>
        <w:jc w:val="both"/>
        <w:rPr>
          <w:rFonts w:ascii="Verdana" w:eastAsia="Calibri" w:hAnsi="Verdana" w:cs="Arial"/>
          <w:color w:val="000000"/>
          <w:lang w:val="es-ES" w:eastAsia="es-ES"/>
        </w:rPr>
      </w:pPr>
    </w:p>
    <w:p w14:paraId="62FC156A" w14:textId="41856B81" w:rsidR="008E720F" w:rsidRPr="00A30FDD" w:rsidRDefault="00F233CB" w:rsidP="00173A5D">
      <w:pPr>
        <w:spacing w:after="120" w:line="276" w:lineRule="auto"/>
        <w:jc w:val="both"/>
        <w:rPr>
          <w:rFonts w:ascii="Verdana" w:eastAsia="Calibri" w:hAnsi="Verdana" w:cs="Arial"/>
          <w:color w:val="000000"/>
          <w:lang w:val="es-ES" w:eastAsia="es-ES"/>
        </w:rPr>
      </w:pPr>
      <w:r w:rsidRPr="00A30FDD">
        <w:rPr>
          <w:rFonts w:ascii="Verdana" w:eastAsia="Calibri" w:hAnsi="Verdana" w:cs="Arial"/>
          <w:color w:val="000000"/>
          <w:lang w:val="es-ES" w:eastAsia="es-ES"/>
        </w:rPr>
        <w:t xml:space="preserve">v) </w:t>
      </w:r>
      <w:r w:rsidR="008E720F" w:rsidRPr="00A30FDD">
        <w:rPr>
          <w:rFonts w:ascii="Verdana" w:eastAsia="Calibri" w:hAnsi="Verdana" w:cs="Arial"/>
          <w:color w:val="000000"/>
          <w:lang w:val="es-ES" w:eastAsia="es-ES"/>
        </w:rPr>
        <w:t xml:space="preserve">Sobre las facultades que tienen las </w:t>
      </w:r>
      <w:r w:rsidR="00173A5D">
        <w:rPr>
          <w:rFonts w:ascii="Verdana" w:eastAsia="Calibri" w:hAnsi="Verdana" w:cs="Arial"/>
          <w:color w:val="000000"/>
          <w:lang w:val="es-ES" w:eastAsia="es-ES"/>
        </w:rPr>
        <w:t>E</w:t>
      </w:r>
      <w:r w:rsidR="008E720F" w:rsidRPr="00A30FDD">
        <w:rPr>
          <w:rFonts w:ascii="Verdana" w:eastAsia="Calibri" w:hAnsi="Verdana" w:cs="Arial"/>
          <w:color w:val="000000"/>
          <w:lang w:val="es-ES" w:eastAsia="es-ES"/>
        </w:rPr>
        <w:t xml:space="preserve">ntidades </w:t>
      </w:r>
      <w:r w:rsidR="00173A5D">
        <w:rPr>
          <w:rFonts w:ascii="Verdana" w:eastAsia="Calibri" w:hAnsi="Verdana" w:cs="Arial"/>
          <w:color w:val="000000"/>
          <w:lang w:val="es-ES" w:eastAsia="es-ES"/>
        </w:rPr>
        <w:t>E</w:t>
      </w:r>
      <w:r w:rsidR="008E720F" w:rsidRPr="00A30FDD">
        <w:rPr>
          <w:rFonts w:ascii="Verdana" w:eastAsia="Calibri" w:hAnsi="Verdana" w:cs="Arial"/>
          <w:color w:val="000000"/>
          <w:lang w:val="es-ES" w:eastAsia="es-ES"/>
        </w:rPr>
        <w:t xml:space="preserve">statales para </w:t>
      </w:r>
      <w:r w:rsidRPr="00A30FDD">
        <w:rPr>
          <w:rFonts w:ascii="Verdana" w:eastAsia="Calibri" w:hAnsi="Verdana" w:cs="Arial"/>
          <w:color w:val="000000"/>
          <w:lang w:val="es-ES" w:eastAsia="es-ES"/>
        </w:rPr>
        <w:t xml:space="preserve">requerir información a los organismos internacionales con el fin de </w:t>
      </w:r>
      <w:r w:rsidR="00173A5D" w:rsidRPr="00A30FDD">
        <w:rPr>
          <w:rFonts w:ascii="Verdana" w:eastAsia="Calibri" w:hAnsi="Verdana" w:cs="Arial"/>
          <w:color w:val="000000"/>
          <w:lang w:val="es-ES" w:eastAsia="es-ES"/>
        </w:rPr>
        <w:t>verificar</w:t>
      </w:r>
      <w:r w:rsidRPr="00A30FDD">
        <w:rPr>
          <w:rFonts w:ascii="Verdana" w:eastAsia="Calibri" w:hAnsi="Verdana" w:cs="Arial"/>
          <w:color w:val="000000"/>
          <w:lang w:val="es-ES" w:eastAsia="es-ES"/>
        </w:rPr>
        <w:t xml:space="preserve"> el cumplimiento de lo pactado, </w:t>
      </w:r>
      <w:r w:rsidR="00657B60" w:rsidRPr="00A30FDD">
        <w:rPr>
          <w:rFonts w:ascii="Verdana" w:eastAsia="Calibri" w:hAnsi="Verdana" w:cs="Arial"/>
          <w:color w:val="000000"/>
          <w:lang w:val="es-ES" w:eastAsia="es-ES"/>
        </w:rPr>
        <w:t xml:space="preserve">es necesario resaltar que las obligaciones que derivan del convenio o contrato tienen en todo caso </w:t>
      </w:r>
      <w:r w:rsidR="00173A5D">
        <w:rPr>
          <w:rFonts w:ascii="Verdana" w:eastAsia="Calibri" w:hAnsi="Verdana" w:cs="Arial"/>
          <w:color w:val="000000"/>
          <w:lang w:val="es-ES" w:eastAsia="es-ES"/>
        </w:rPr>
        <w:t xml:space="preserve">una </w:t>
      </w:r>
      <w:r w:rsidR="00657B60" w:rsidRPr="00A30FDD">
        <w:rPr>
          <w:rFonts w:ascii="Verdana" w:eastAsia="Calibri" w:hAnsi="Verdana" w:cs="Arial"/>
          <w:color w:val="000000"/>
          <w:lang w:val="es-ES" w:eastAsia="es-ES"/>
        </w:rPr>
        <w:t>naturaleza convencional.  En este sentido, incluso cuando el acuerdo se rige por la normativa del organismo internacional, es aplicable el derecho de los contratos, que incluye tanto las disposiciones del propio instrumento y los reglamentos del organismo, como los principios generales que gobiernan todo negocio jurídico bilateral</w:t>
      </w:r>
      <w:r w:rsidR="0058197E" w:rsidRPr="00A30FDD">
        <w:rPr>
          <w:rFonts w:ascii="Verdana" w:eastAsia="Calibri" w:hAnsi="Verdana" w:cs="Arial"/>
          <w:color w:val="000000"/>
          <w:lang w:val="es-ES" w:eastAsia="es-ES"/>
        </w:rPr>
        <w:t xml:space="preserve">, entre los cuales se reconocen: </w:t>
      </w:r>
      <w:r w:rsidR="00657B60" w:rsidRPr="00A30FDD">
        <w:rPr>
          <w:rFonts w:ascii="Verdana" w:eastAsia="Calibri" w:hAnsi="Verdana" w:cs="Arial"/>
          <w:color w:val="000000"/>
          <w:lang w:val="es-ES" w:eastAsia="es-ES"/>
        </w:rPr>
        <w:t>la buena fe en la ejecución de las obligaciones, la lealtad entre las partes y el deber de colaboración que es consustancial a cualquier vínculo obligacional.</w:t>
      </w:r>
      <w:r w:rsidR="0058197E" w:rsidRPr="00A30FDD">
        <w:rPr>
          <w:rFonts w:ascii="Verdana" w:eastAsia="Calibri" w:hAnsi="Verdana" w:cs="Arial"/>
          <w:color w:val="000000"/>
          <w:lang w:val="es-ES" w:eastAsia="es-ES"/>
        </w:rPr>
        <w:t xml:space="preserve"> En este sentido, la relación convencional genera obligaciones recíprocas exigibles conforme a lo dispuesto en el instrumento pactado, sin que la naturaleza internacional de uno de los sujetos elimine el contenido vinculante de esas obligaciones.</w:t>
      </w:r>
    </w:p>
    <w:p w14:paraId="7DCDAC74" w14:textId="5923A581" w:rsidR="0058197E" w:rsidRPr="00A30FDD" w:rsidRDefault="0058197E" w:rsidP="0058197E">
      <w:pPr>
        <w:spacing w:before="120" w:after="120" w:line="276" w:lineRule="auto"/>
        <w:ind w:firstLine="708"/>
        <w:jc w:val="both"/>
        <w:rPr>
          <w:rFonts w:ascii="Verdana" w:eastAsia="Calibri" w:hAnsi="Verdana" w:cs="Arial"/>
          <w:color w:val="000000"/>
          <w:lang w:val="es-ES" w:eastAsia="es-ES"/>
        </w:rPr>
      </w:pPr>
      <w:r w:rsidRPr="00A30FDD">
        <w:rPr>
          <w:rFonts w:ascii="Verdana" w:eastAsia="Calibri" w:hAnsi="Verdana" w:cs="Arial"/>
          <w:color w:val="000000"/>
          <w:lang w:val="es-ES" w:eastAsia="es-ES"/>
        </w:rPr>
        <w:t xml:space="preserve">Por otra parte, cuando el convenio o contrato se rige por los reglamentos del organismo, la figura de la supervisión en el sentido estricto y con los parámetros establecidos en el artículo 83 de la Ley 1474 de 2011 no resulta aplicable; es decir, entendida como el seguimiento técnico, administrativo, financiero, contable y jurídico del contrato con facultades de impartir instrucciones e imponer sanciones. Esas potestades son propias de los negocios jurídicos regidos por el EGCAP, de modo que no son trasladables al seguimiento del contrato o convenio cuyo régimen contractual es el de un organismo internacional. Adicionalmente, debido a las inmunidades reconocidas a los organismos internacionales, muchos mecanismos propios de la contratación estatal, y de la supervisión y seguimiento, </w:t>
      </w:r>
      <w:r w:rsidR="00A82647">
        <w:rPr>
          <w:rFonts w:ascii="Verdana" w:eastAsia="Calibri" w:hAnsi="Verdana" w:cs="Arial"/>
          <w:color w:val="000000"/>
          <w:lang w:val="es-ES" w:eastAsia="es-ES"/>
        </w:rPr>
        <w:t xml:space="preserve">pueden no resultar </w:t>
      </w:r>
      <w:r w:rsidRPr="00A30FDD">
        <w:rPr>
          <w:rFonts w:ascii="Verdana" w:eastAsia="Calibri" w:hAnsi="Verdana" w:cs="Arial"/>
          <w:color w:val="000000"/>
          <w:lang w:val="es-ES" w:eastAsia="es-ES"/>
        </w:rPr>
        <w:t>aplicables.</w:t>
      </w:r>
    </w:p>
    <w:p w14:paraId="1E1D6008" w14:textId="35DDB00B" w:rsidR="0058197E" w:rsidRPr="00A30FDD" w:rsidRDefault="0058197E" w:rsidP="0058197E">
      <w:pPr>
        <w:spacing w:before="120" w:after="120" w:line="276" w:lineRule="auto"/>
        <w:ind w:firstLine="708"/>
        <w:jc w:val="both"/>
        <w:rPr>
          <w:rFonts w:ascii="Verdana" w:eastAsia="Calibri" w:hAnsi="Verdana" w:cs="Arial"/>
          <w:color w:val="000000"/>
          <w:lang w:val="es-ES" w:eastAsia="es-ES"/>
        </w:rPr>
      </w:pPr>
      <w:r w:rsidRPr="00A30FDD">
        <w:rPr>
          <w:rFonts w:ascii="Verdana" w:eastAsia="Calibri" w:hAnsi="Verdana" w:cs="Arial"/>
          <w:color w:val="000000"/>
          <w:lang w:val="es-ES" w:eastAsia="es-ES"/>
        </w:rPr>
        <w:t>Sin embargo, lo expuesto no significa que la entidad carezca de cualquier mecanismo de seguimiento para establecer el nivel de cumplimiento</w:t>
      </w:r>
      <w:r w:rsidR="00A82647">
        <w:rPr>
          <w:rFonts w:ascii="Verdana" w:eastAsia="Calibri" w:hAnsi="Verdana" w:cs="Arial"/>
          <w:color w:val="000000"/>
          <w:lang w:val="es-ES" w:eastAsia="es-ES"/>
        </w:rPr>
        <w:t xml:space="preserve"> de lo pactado</w:t>
      </w:r>
      <w:r w:rsidRPr="00A30FDD">
        <w:rPr>
          <w:rFonts w:ascii="Verdana" w:eastAsia="Calibri" w:hAnsi="Verdana" w:cs="Arial"/>
          <w:color w:val="000000"/>
          <w:lang w:val="es-ES" w:eastAsia="es-ES"/>
        </w:rPr>
        <w:t xml:space="preserve">. Como parte del convenio o contrato, y en el marco de su carácter convencional, la Entidad Estatal conserva la facultad, y la obligación institucional </w:t>
      </w:r>
      <w:r w:rsidRPr="00A30FDD">
        <w:rPr>
          <w:rFonts w:ascii="Verdana" w:eastAsia="Calibri" w:hAnsi="Verdana" w:cs="Arial"/>
          <w:color w:val="000000"/>
          <w:lang w:val="es-ES" w:eastAsia="es-ES"/>
        </w:rPr>
        <w:lastRenderedPageBreak/>
        <w:t xml:space="preserve">derivada de su deber de gestión de los recursos públicos comprometidos, de hacer seguimiento a la ejecución del instrumento. Como se mencionó antes, este seguimiento no se ejerce </w:t>
      </w:r>
      <w:r w:rsidR="00A82647">
        <w:rPr>
          <w:rFonts w:ascii="Verdana" w:eastAsia="Calibri" w:hAnsi="Verdana" w:cs="Arial"/>
          <w:color w:val="000000"/>
          <w:lang w:val="es-ES" w:eastAsia="es-ES"/>
        </w:rPr>
        <w:t xml:space="preserve">propiamente </w:t>
      </w:r>
      <w:r w:rsidRPr="00A30FDD">
        <w:rPr>
          <w:rFonts w:ascii="Verdana" w:eastAsia="Calibri" w:hAnsi="Verdana" w:cs="Arial"/>
          <w:color w:val="000000"/>
          <w:lang w:val="es-ES" w:eastAsia="es-ES"/>
        </w:rPr>
        <w:t>en cumplimiento del artículo 83 de la Ley 1474 de 2011 sino como expresión natural del vínculo convencional, pues toda parte tiene interés legítimo en verificar que su contraparte cumple lo acordado, y tiene la correlativa facultad de requerir la información necesaria para determinarlo. En este supuesto, la entidad goza de mayor autonomía para definir cómo ejerce ese seguimiento, pero debe hacerlo conforme a los mecanismos previstos en el propio convenio o contrato y l</w:t>
      </w:r>
      <w:r w:rsidR="00A82647">
        <w:rPr>
          <w:rFonts w:ascii="Verdana" w:eastAsia="Calibri" w:hAnsi="Verdana" w:cs="Arial"/>
          <w:color w:val="000000"/>
          <w:lang w:val="es-ES" w:eastAsia="es-ES"/>
        </w:rPr>
        <w:t xml:space="preserve">a normativa </w:t>
      </w:r>
      <w:r w:rsidRPr="00A30FDD">
        <w:rPr>
          <w:rFonts w:ascii="Verdana" w:eastAsia="Calibri" w:hAnsi="Verdana" w:cs="Arial"/>
          <w:color w:val="000000"/>
          <w:lang w:val="es-ES" w:eastAsia="es-ES"/>
        </w:rPr>
        <w:t>del organismo</w:t>
      </w:r>
      <w:r w:rsidR="00A82647">
        <w:rPr>
          <w:rFonts w:ascii="Verdana" w:eastAsia="Calibri" w:hAnsi="Verdana" w:cs="Arial"/>
          <w:color w:val="000000"/>
          <w:lang w:val="es-ES" w:eastAsia="es-ES"/>
        </w:rPr>
        <w:t xml:space="preserve"> internacional</w:t>
      </w:r>
      <w:r w:rsidRPr="00A30FDD">
        <w:rPr>
          <w:rFonts w:ascii="Verdana" w:eastAsia="Calibri" w:hAnsi="Verdana" w:cs="Arial"/>
          <w:color w:val="000000"/>
          <w:lang w:val="es-ES" w:eastAsia="es-ES"/>
        </w:rPr>
        <w:t>.</w:t>
      </w:r>
    </w:p>
    <w:p w14:paraId="277CB24D" w14:textId="0C89BDF9" w:rsidR="0058197E" w:rsidRPr="00A30FDD" w:rsidRDefault="0058197E" w:rsidP="0058197E">
      <w:pPr>
        <w:spacing w:before="120" w:after="120" w:line="276" w:lineRule="auto"/>
        <w:ind w:firstLine="708"/>
        <w:jc w:val="both"/>
        <w:rPr>
          <w:rFonts w:ascii="Verdana" w:eastAsia="Calibri" w:hAnsi="Verdana" w:cs="Arial"/>
          <w:color w:val="000000"/>
          <w:lang w:val="es-ES" w:eastAsia="es-ES"/>
        </w:rPr>
      </w:pPr>
      <w:r w:rsidRPr="00A30FDD">
        <w:rPr>
          <w:rFonts w:ascii="Verdana" w:eastAsia="Calibri" w:hAnsi="Verdana" w:cs="Arial"/>
          <w:color w:val="000000"/>
          <w:lang w:val="es-ES" w:eastAsia="es-ES"/>
        </w:rPr>
        <w:t xml:space="preserve">Lo anterior es aplicable sobre el cumplimiento o respuesta a las solicitudes de información que realice la entidad para determinar el grado </w:t>
      </w:r>
      <w:r w:rsidR="00424A5D" w:rsidRPr="00A30FDD">
        <w:rPr>
          <w:rFonts w:ascii="Verdana" w:eastAsia="Calibri" w:hAnsi="Verdana" w:cs="Arial"/>
          <w:color w:val="000000"/>
          <w:lang w:val="es-ES" w:eastAsia="es-ES"/>
        </w:rPr>
        <w:t>de cumplimiento</w:t>
      </w:r>
      <w:r w:rsidRPr="00A30FDD">
        <w:rPr>
          <w:rFonts w:ascii="Verdana" w:eastAsia="Calibri" w:hAnsi="Verdana" w:cs="Arial"/>
          <w:color w:val="000000"/>
          <w:lang w:val="es-ES" w:eastAsia="es-ES"/>
        </w:rPr>
        <w:t xml:space="preserve"> de lo pactado. </w:t>
      </w:r>
      <w:r w:rsidR="00424A5D" w:rsidRPr="00A30FDD">
        <w:rPr>
          <w:rFonts w:ascii="Verdana" w:eastAsia="Calibri" w:hAnsi="Verdana" w:cs="Arial"/>
          <w:color w:val="000000"/>
          <w:lang w:val="es-ES" w:eastAsia="es-ES"/>
        </w:rPr>
        <w:t xml:space="preserve">En efecto, el suministro de información </w:t>
      </w:r>
      <w:r w:rsidR="00A82647">
        <w:rPr>
          <w:rFonts w:ascii="Verdana" w:eastAsia="Calibri" w:hAnsi="Verdana" w:cs="Arial"/>
          <w:color w:val="000000"/>
          <w:lang w:val="es-ES" w:eastAsia="es-ES"/>
        </w:rPr>
        <w:t xml:space="preserve">con este objetivo </w:t>
      </w:r>
      <w:r w:rsidR="00424A5D" w:rsidRPr="00A30FDD">
        <w:rPr>
          <w:rFonts w:ascii="Verdana" w:eastAsia="Calibri" w:hAnsi="Verdana" w:cs="Arial"/>
          <w:color w:val="000000"/>
          <w:lang w:val="es-ES" w:eastAsia="es-ES"/>
        </w:rPr>
        <w:t>es una obligación que se desprende directamente del principio de buena fe en la ejecución de los contratos, reconocido como un principio general del derecho.</w:t>
      </w:r>
      <w:r w:rsidR="00424A5D" w:rsidRPr="00A30FDD">
        <w:rPr>
          <w:lang w:val="es-ES"/>
        </w:rPr>
        <w:t xml:space="preserve"> </w:t>
      </w:r>
      <w:r w:rsidR="00424A5D" w:rsidRPr="00A30FDD">
        <w:rPr>
          <w:rFonts w:ascii="Verdana" w:eastAsia="Calibri" w:hAnsi="Verdana" w:cs="Arial"/>
          <w:color w:val="000000"/>
          <w:lang w:val="es-ES" w:eastAsia="es-ES"/>
        </w:rPr>
        <w:t>En virtud de este</w:t>
      </w:r>
      <w:r w:rsidR="00A82647">
        <w:rPr>
          <w:rFonts w:ascii="Verdana" w:eastAsia="Calibri" w:hAnsi="Verdana" w:cs="Arial"/>
          <w:color w:val="000000"/>
          <w:lang w:val="es-ES" w:eastAsia="es-ES"/>
        </w:rPr>
        <w:t xml:space="preserve">, </w:t>
      </w:r>
      <w:r w:rsidR="00424A5D" w:rsidRPr="00A30FDD">
        <w:rPr>
          <w:rFonts w:ascii="Verdana" w:eastAsia="Calibri" w:hAnsi="Verdana" w:cs="Arial"/>
          <w:color w:val="000000"/>
          <w:lang w:val="es-ES" w:eastAsia="es-ES"/>
        </w:rPr>
        <w:t>la parte obligada a ejecutar las prestaciones convenidas no puede sustraerse razonablemente de proporcionar a su contraparte la información que sea necesaria para verificar el estado de esa ejecución, salvo que se trate de información sensible, confidencial o sujeta a reserva en virtud de los reglamentos propios del organismo.</w:t>
      </w:r>
    </w:p>
    <w:p w14:paraId="2F1C167C" w14:textId="0E88733C" w:rsidR="00424A5D" w:rsidRPr="00A30FDD" w:rsidRDefault="00424A5D" w:rsidP="0058197E">
      <w:pPr>
        <w:spacing w:before="120" w:after="120" w:line="276" w:lineRule="auto"/>
        <w:ind w:firstLine="708"/>
        <w:jc w:val="both"/>
        <w:rPr>
          <w:rFonts w:ascii="Verdana" w:eastAsia="Calibri" w:hAnsi="Verdana" w:cs="Arial"/>
          <w:color w:val="000000"/>
          <w:lang w:val="es-ES" w:eastAsia="es-ES"/>
        </w:rPr>
      </w:pPr>
      <w:r w:rsidRPr="00A30FDD">
        <w:rPr>
          <w:rFonts w:ascii="Verdana" w:eastAsia="Calibri" w:hAnsi="Verdana" w:cs="Arial"/>
          <w:color w:val="000000"/>
          <w:lang w:val="es-ES" w:eastAsia="es-ES"/>
        </w:rPr>
        <w:t>La Convención de Viena sobre el Derecho de los Tratados (</w:t>
      </w:r>
      <w:r w:rsidR="00A82647">
        <w:rPr>
          <w:rFonts w:ascii="Verdana" w:eastAsia="Calibri" w:hAnsi="Verdana" w:cs="Arial"/>
          <w:color w:val="000000"/>
          <w:lang w:val="es-ES" w:eastAsia="es-ES"/>
        </w:rPr>
        <w:t xml:space="preserve">aprobada mediante </w:t>
      </w:r>
      <w:r w:rsidRPr="00A30FDD">
        <w:rPr>
          <w:rFonts w:ascii="Verdana" w:eastAsia="Calibri" w:hAnsi="Verdana" w:cs="Arial"/>
          <w:color w:val="000000"/>
          <w:lang w:val="es-ES" w:eastAsia="es-ES"/>
        </w:rPr>
        <w:t xml:space="preserve">Ley 32 de 1985) consagra el principio </w:t>
      </w:r>
      <w:r w:rsidRPr="00A30FDD">
        <w:rPr>
          <w:rFonts w:ascii="Verdana" w:eastAsia="Calibri" w:hAnsi="Verdana" w:cs="Arial"/>
          <w:i/>
          <w:iCs/>
          <w:color w:val="000000"/>
          <w:lang w:val="es-ES" w:eastAsia="es-ES"/>
        </w:rPr>
        <w:t xml:space="preserve">pacta sunt </w:t>
      </w:r>
      <w:proofErr w:type="spellStart"/>
      <w:r w:rsidRPr="00A30FDD">
        <w:rPr>
          <w:rFonts w:ascii="Verdana" w:eastAsia="Calibri" w:hAnsi="Verdana" w:cs="Arial"/>
          <w:i/>
          <w:iCs/>
          <w:color w:val="000000"/>
          <w:lang w:val="es-ES" w:eastAsia="es-ES"/>
        </w:rPr>
        <w:t>servanda</w:t>
      </w:r>
      <w:proofErr w:type="spellEnd"/>
      <w:r w:rsidRPr="00A30FDD">
        <w:rPr>
          <w:rFonts w:ascii="Verdana" w:eastAsia="Calibri" w:hAnsi="Verdana" w:cs="Arial"/>
          <w:color w:val="000000"/>
          <w:lang w:val="es-ES" w:eastAsia="es-ES"/>
        </w:rPr>
        <w:t xml:space="preserve"> </w:t>
      </w:r>
      <w:r w:rsidR="00A82647">
        <w:rPr>
          <w:rFonts w:ascii="Verdana" w:eastAsia="Calibri" w:hAnsi="Verdana" w:cs="Arial"/>
          <w:color w:val="000000"/>
          <w:lang w:val="es-ES" w:eastAsia="es-ES"/>
        </w:rPr>
        <w:t>(</w:t>
      </w:r>
      <w:r w:rsidRPr="00A30FDD">
        <w:rPr>
          <w:rFonts w:ascii="Verdana" w:eastAsia="Calibri" w:hAnsi="Verdana" w:cs="Arial"/>
          <w:color w:val="000000"/>
          <w:lang w:val="es-ES" w:eastAsia="es-ES"/>
        </w:rPr>
        <w:t xml:space="preserve">artículo 26), según el cual todo tratado en vigor obliga a las partes y debe ser cumplido por ellas de buena fe. Este principio, en su dimensión de ejecución leal de las obligaciones, es </w:t>
      </w:r>
      <w:r w:rsidR="00A82647">
        <w:rPr>
          <w:rFonts w:ascii="Verdana" w:eastAsia="Calibri" w:hAnsi="Verdana" w:cs="Arial"/>
          <w:color w:val="000000"/>
          <w:lang w:val="es-ES" w:eastAsia="es-ES"/>
        </w:rPr>
        <w:t xml:space="preserve">también </w:t>
      </w:r>
      <w:r w:rsidRPr="00A30FDD">
        <w:rPr>
          <w:rFonts w:ascii="Verdana" w:eastAsia="Calibri" w:hAnsi="Verdana" w:cs="Arial"/>
          <w:color w:val="000000"/>
          <w:lang w:val="es-ES" w:eastAsia="es-ES"/>
        </w:rPr>
        <w:t>reconocido como parte del derecho internacional general y de los principios UNIDROIT sobre contratos comerciales internacionales. En ese marco, la negativa a suministrar información básica sobre el estado de cumplimiento de las obligaciones convenidas constituye un comportamiento contrario a la buena fe, independientemente del régimen jurídico que rija el instrumento, y no puede quedar amparada por el régimen de inmunidades, cuyo fundamento funcional es proteger la independencia del organismo, no facilitar el incumplimiento de sus compromisos convencionales.</w:t>
      </w:r>
    </w:p>
    <w:p w14:paraId="04CE7BA4" w14:textId="46324D7A" w:rsidR="00782426" w:rsidRPr="00A30FDD" w:rsidRDefault="00424A5D" w:rsidP="00584172">
      <w:pPr>
        <w:spacing w:before="120" w:after="120" w:line="276" w:lineRule="auto"/>
        <w:ind w:firstLine="708"/>
        <w:jc w:val="both"/>
        <w:rPr>
          <w:rFonts w:ascii="Verdana" w:eastAsia="Calibri" w:hAnsi="Verdana" w:cs="Arial"/>
          <w:color w:val="000000"/>
          <w:lang w:val="es-ES" w:eastAsia="es-ES"/>
        </w:rPr>
      </w:pPr>
      <w:r w:rsidRPr="00A30FDD">
        <w:rPr>
          <w:rFonts w:ascii="Verdana" w:eastAsia="Calibri" w:hAnsi="Verdana" w:cs="Arial"/>
          <w:color w:val="000000"/>
          <w:lang w:val="es-ES" w:eastAsia="es-ES"/>
        </w:rPr>
        <w:t xml:space="preserve">Aunado a lo anterior, las inmunidades reconocidas a los organismos internacionales operan como excepción a la jurisdicción y a la ejecución de decisiones judiciales, pero no eliminan per se el contenido obligacional del </w:t>
      </w:r>
      <w:r w:rsidRPr="00A30FDD">
        <w:rPr>
          <w:rFonts w:ascii="Verdana" w:eastAsia="Calibri" w:hAnsi="Verdana" w:cs="Arial"/>
          <w:color w:val="000000"/>
          <w:lang w:val="es-ES" w:eastAsia="es-ES"/>
        </w:rPr>
        <w:lastRenderedPageBreak/>
        <w:t>convenio.</w:t>
      </w:r>
      <w:r w:rsidR="00F046D9">
        <w:rPr>
          <w:rFonts w:ascii="Verdana" w:eastAsia="Calibri" w:hAnsi="Verdana" w:cs="Arial"/>
          <w:color w:val="000000"/>
          <w:lang w:val="es-ES" w:eastAsia="es-ES"/>
        </w:rPr>
        <w:t xml:space="preserve"> Sin embargo</w:t>
      </w:r>
      <w:r w:rsidR="00584172" w:rsidRPr="00A30FDD">
        <w:rPr>
          <w:rFonts w:ascii="Verdana" w:eastAsia="Calibri" w:hAnsi="Verdana" w:cs="Arial"/>
          <w:color w:val="000000"/>
          <w:lang w:val="es-ES" w:eastAsia="es-ES"/>
        </w:rPr>
        <w:t>, es importante aclara</w:t>
      </w:r>
      <w:r w:rsidR="00A82647">
        <w:rPr>
          <w:rFonts w:ascii="Verdana" w:eastAsia="Calibri" w:hAnsi="Verdana" w:cs="Arial"/>
          <w:color w:val="000000"/>
          <w:lang w:val="es-ES" w:eastAsia="es-ES"/>
        </w:rPr>
        <w:t>r</w:t>
      </w:r>
      <w:r w:rsidR="00584172" w:rsidRPr="00A30FDD">
        <w:rPr>
          <w:rFonts w:ascii="Verdana" w:eastAsia="Calibri" w:hAnsi="Verdana" w:cs="Arial"/>
          <w:color w:val="000000"/>
          <w:lang w:val="es-ES" w:eastAsia="es-ES"/>
        </w:rPr>
        <w:t xml:space="preserve"> que el incumplimiento de la obligación de suministrar información o del principio de buena fe contractual pued</w:t>
      </w:r>
      <w:r w:rsidR="00A82647">
        <w:rPr>
          <w:rFonts w:ascii="Verdana" w:eastAsia="Calibri" w:hAnsi="Verdana" w:cs="Arial"/>
          <w:color w:val="000000"/>
          <w:lang w:val="es-ES" w:eastAsia="es-ES"/>
        </w:rPr>
        <w:t>e</w:t>
      </w:r>
      <w:r w:rsidR="00584172" w:rsidRPr="00A30FDD">
        <w:rPr>
          <w:rFonts w:ascii="Verdana" w:eastAsia="Calibri" w:hAnsi="Verdana" w:cs="Arial"/>
          <w:color w:val="000000"/>
          <w:lang w:val="es-ES" w:eastAsia="es-ES"/>
        </w:rPr>
        <w:t xml:space="preserve"> ser evidenciado fácticamente</w:t>
      </w:r>
      <w:r w:rsidR="00A82647">
        <w:rPr>
          <w:rFonts w:ascii="Verdana" w:eastAsia="Calibri" w:hAnsi="Verdana" w:cs="Arial"/>
          <w:color w:val="000000"/>
          <w:lang w:val="es-ES" w:eastAsia="es-ES"/>
        </w:rPr>
        <w:t>, sin que ello</w:t>
      </w:r>
      <w:r w:rsidR="00584172" w:rsidRPr="00A30FDD">
        <w:rPr>
          <w:rFonts w:ascii="Verdana" w:eastAsia="Calibri" w:hAnsi="Verdana" w:cs="Arial"/>
          <w:color w:val="000000"/>
          <w:lang w:val="es-ES" w:eastAsia="es-ES"/>
        </w:rPr>
        <w:t xml:space="preserve"> </w:t>
      </w:r>
      <w:r w:rsidR="00A82647">
        <w:rPr>
          <w:rFonts w:ascii="Verdana" w:eastAsia="Calibri" w:hAnsi="Verdana" w:cs="Arial"/>
          <w:color w:val="000000"/>
          <w:lang w:val="es-ES" w:eastAsia="es-ES"/>
        </w:rPr>
        <w:t xml:space="preserve">implique </w:t>
      </w:r>
      <w:r w:rsidR="00584172" w:rsidRPr="00A30FDD">
        <w:rPr>
          <w:rFonts w:ascii="Verdana" w:eastAsia="Calibri" w:hAnsi="Verdana" w:cs="Arial"/>
          <w:color w:val="000000"/>
          <w:lang w:val="es-ES" w:eastAsia="es-ES"/>
        </w:rPr>
        <w:t>que la inmunidad de jurisdicción no sea aplicable según el caso concreto, de modo que esta última puede llegar a impedir la determinación de responsabilidad en el contexto judicial nacional.</w:t>
      </w:r>
    </w:p>
    <w:p w14:paraId="7DA69685" w14:textId="464496E5" w:rsidR="00782426" w:rsidRPr="00A30FDD" w:rsidRDefault="00584172" w:rsidP="00782426">
      <w:pPr>
        <w:spacing w:before="120" w:after="120" w:line="276" w:lineRule="auto"/>
        <w:ind w:firstLine="708"/>
        <w:jc w:val="both"/>
        <w:rPr>
          <w:rFonts w:ascii="Verdana" w:eastAsia="Calibri" w:hAnsi="Verdana" w:cs="Arial"/>
          <w:color w:val="000000"/>
          <w:lang w:val="es-ES" w:eastAsia="es-ES"/>
        </w:rPr>
      </w:pPr>
      <w:r w:rsidRPr="00A30FDD">
        <w:rPr>
          <w:rFonts w:ascii="Verdana" w:eastAsia="Calibri" w:hAnsi="Verdana" w:cs="Arial"/>
          <w:color w:val="000000"/>
          <w:lang w:val="es-ES" w:eastAsia="es-ES"/>
        </w:rPr>
        <w:t xml:space="preserve"> En este sentido será fundamental pactar y acudir a mecanismos de resolución de controversias en el marco del convenio o contrato y determinar obligaciones claras frente al suministro de información, su alcance y las potenciales consecuencias de su </w:t>
      </w:r>
      <w:r w:rsidR="00FD73F3" w:rsidRPr="00A30FDD">
        <w:rPr>
          <w:rFonts w:ascii="Verdana" w:eastAsia="Calibri" w:hAnsi="Verdana" w:cs="Arial"/>
          <w:color w:val="000000"/>
          <w:lang w:val="es-ES" w:eastAsia="es-ES"/>
        </w:rPr>
        <w:t>incumplimiento. Lo</w:t>
      </w:r>
      <w:r w:rsidR="00782426" w:rsidRPr="00A30FDD">
        <w:rPr>
          <w:rFonts w:ascii="Verdana" w:eastAsia="Calibri" w:hAnsi="Verdana" w:cs="Arial"/>
          <w:color w:val="000000"/>
          <w:lang w:val="es-ES" w:eastAsia="es-ES"/>
        </w:rPr>
        <w:t xml:space="preserve"> anterior, con el fin de prevenir que la entidad, al no pactar mecanismos claros para la </w:t>
      </w:r>
      <w:r w:rsidR="00FD73F3" w:rsidRPr="00A30FDD">
        <w:rPr>
          <w:rFonts w:ascii="Verdana" w:eastAsia="Calibri" w:hAnsi="Verdana" w:cs="Arial"/>
          <w:color w:val="000000"/>
          <w:lang w:val="es-ES" w:eastAsia="es-ES"/>
        </w:rPr>
        <w:t>exigibilidad</w:t>
      </w:r>
      <w:r w:rsidR="00782426" w:rsidRPr="00A30FDD">
        <w:rPr>
          <w:rFonts w:ascii="Verdana" w:eastAsia="Calibri" w:hAnsi="Verdana" w:cs="Arial"/>
          <w:color w:val="000000"/>
          <w:lang w:val="es-ES" w:eastAsia="es-ES"/>
        </w:rPr>
        <w:t xml:space="preserve"> de</w:t>
      </w:r>
      <w:r w:rsidR="00FD73F3">
        <w:rPr>
          <w:rFonts w:ascii="Verdana" w:eastAsia="Calibri" w:hAnsi="Verdana" w:cs="Arial"/>
          <w:color w:val="000000"/>
          <w:lang w:val="es-ES" w:eastAsia="es-ES"/>
        </w:rPr>
        <w:t xml:space="preserve"> </w:t>
      </w:r>
      <w:r w:rsidR="00782426" w:rsidRPr="00A30FDD">
        <w:rPr>
          <w:rFonts w:ascii="Verdana" w:eastAsia="Calibri" w:hAnsi="Verdana" w:cs="Arial"/>
          <w:color w:val="000000"/>
          <w:lang w:val="es-ES" w:eastAsia="es-ES"/>
        </w:rPr>
        <w:t xml:space="preserve">la información y el seguimiento, quede en una posición de debilidad jurídica ante el incumplimiento del organismo internacional. Se </w:t>
      </w:r>
      <w:r w:rsidR="00FD73F3" w:rsidRPr="00A30FDD">
        <w:rPr>
          <w:rFonts w:ascii="Verdana" w:eastAsia="Calibri" w:hAnsi="Verdana" w:cs="Arial"/>
          <w:color w:val="000000"/>
          <w:lang w:val="es-ES" w:eastAsia="es-ES"/>
        </w:rPr>
        <w:t>recomienda</w:t>
      </w:r>
      <w:r w:rsidR="00782426" w:rsidRPr="00A30FDD">
        <w:rPr>
          <w:rFonts w:ascii="Verdana" w:eastAsia="Calibri" w:hAnsi="Verdana" w:cs="Arial"/>
          <w:color w:val="000000"/>
          <w:lang w:val="es-ES" w:eastAsia="es-ES"/>
        </w:rPr>
        <w:t xml:space="preserve"> que las entidades tengan en cuenta aspectos como las cláusulas de acceso a información y los mecanismos de solución de controversias desde la negociación del convenio o contrato, con el fin de prevenir las tensiones que al respecto puedan derivarse del régimen de privilegios e inmunidades.</w:t>
      </w:r>
    </w:p>
    <w:p w14:paraId="20F33E7E" w14:textId="07E304AE" w:rsidR="008E720F" w:rsidRPr="00A30FDD" w:rsidRDefault="00F233CB" w:rsidP="00424A5D">
      <w:pPr>
        <w:spacing w:before="120" w:after="120" w:line="276" w:lineRule="auto"/>
        <w:ind w:firstLine="708"/>
        <w:jc w:val="both"/>
        <w:rPr>
          <w:rFonts w:ascii="Verdana" w:eastAsia="Calibri" w:hAnsi="Verdana" w:cs="Arial"/>
          <w:color w:val="000000"/>
          <w:lang w:val="es-ES" w:eastAsia="es-ES"/>
        </w:rPr>
      </w:pPr>
      <w:r w:rsidRPr="00A30FDD">
        <w:rPr>
          <w:rFonts w:ascii="Verdana" w:eastAsia="Calibri" w:hAnsi="Verdana" w:cs="Arial"/>
          <w:color w:val="000000"/>
          <w:lang w:val="es-ES" w:eastAsia="es-ES"/>
        </w:rPr>
        <w:t>Sobre posibles tensiones que puedan surgir</w:t>
      </w:r>
      <w:r w:rsidR="00424A5D" w:rsidRPr="00A30FDD">
        <w:rPr>
          <w:rFonts w:ascii="Verdana" w:eastAsia="Calibri" w:hAnsi="Verdana" w:cs="Arial"/>
          <w:color w:val="000000"/>
          <w:lang w:val="es-ES" w:eastAsia="es-ES"/>
        </w:rPr>
        <w:t xml:space="preserve"> </w:t>
      </w:r>
      <w:r w:rsidRPr="00A30FDD">
        <w:rPr>
          <w:rFonts w:ascii="Verdana" w:eastAsia="Calibri" w:hAnsi="Verdana" w:cs="Arial"/>
          <w:color w:val="000000"/>
          <w:lang w:val="es-ES" w:eastAsia="es-ES"/>
        </w:rPr>
        <w:t xml:space="preserve">entre la normativa del </w:t>
      </w:r>
      <w:r w:rsidR="00424A5D" w:rsidRPr="00A30FDD">
        <w:rPr>
          <w:rFonts w:ascii="Verdana" w:eastAsia="Calibri" w:hAnsi="Verdana" w:cs="Arial"/>
          <w:color w:val="000000"/>
          <w:lang w:val="es-ES" w:eastAsia="es-ES"/>
        </w:rPr>
        <w:t>o</w:t>
      </w:r>
      <w:r w:rsidRPr="00A30FDD">
        <w:rPr>
          <w:rFonts w:ascii="Verdana" w:eastAsia="Calibri" w:hAnsi="Verdana" w:cs="Arial"/>
          <w:color w:val="000000"/>
          <w:lang w:val="es-ES" w:eastAsia="es-ES"/>
        </w:rPr>
        <w:t xml:space="preserve">rganismo internacional con </w:t>
      </w:r>
      <w:r w:rsidR="00424A5D" w:rsidRPr="00A30FDD">
        <w:rPr>
          <w:rFonts w:ascii="Verdana" w:eastAsia="Calibri" w:hAnsi="Verdana" w:cs="Arial"/>
          <w:color w:val="000000"/>
          <w:lang w:val="es-ES" w:eastAsia="es-ES"/>
        </w:rPr>
        <w:t xml:space="preserve">los </w:t>
      </w:r>
      <w:r w:rsidRPr="00A30FDD">
        <w:rPr>
          <w:rFonts w:ascii="Verdana" w:eastAsia="Calibri" w:hAnsi="Verdana" w:cs="Arial"/>
          <w:color w:val="000000"/>
          <w:lang w:val="es-ES" w:eastAsia="es-ES"/>
        </w:rPr>
        <w:t>principios previstos en la legislación colombiana</w:t>
      </w:r>
      <w:r w:rsidR="00424A5D" w:rsidRPr="00A30FDD">
        <w:rPr>
          <w:rFonts w:ascii="Verdana" w:eastAsia="Calibri" w:hAnsi="Verdana" w:cs="Arial"/>
          <w:color w:val="000000"/>
          <w:lang w:val="es-ES" w:eastAsia="es-ES"/>
        </w:rPr>
        <w:t xml:space="preserve">, es necesario aclarar que los principios de gestión fiscal y los deberes de transparencia se aplican a la </w:t>
      </w:r>
      <w:r w:rsidR="00F046D9">
        <w:rPr>
          <w:rFonts w:ascii="Verdana" w:eastAsia="Calibri" w:hAnsi="Verdana" w:cs="Arial"/>
          <w:color w:val="000000"/>
          <w:lang w:val="es-ES" w:eastAsia="es-ES"/>
        </w:rPr>
        <w:t>E</w:t>
      </w:r>
      <w:r w:rsidR="00424A5D" w:rsidRPr="00A30FDD">
        <w:rPr>
          <w:rFonts w:ascii="Verdana" w:eastAsia="Calibri" w:hAnsi="Verdana" w:cs="Arial"/>
          <w:color w:val="000000"/>
          <w:lang w:val="es-ES" w:eastAsia="es-ES"/>
        </w:rPr>
        <w:t xml:space="preserve">ntidad </w:t>
      </w:r>
      <w:r w:rsidR="00F046D9">
        <w:rPr>
          <w:rFonts w:ascii="Verdana" w:eastAsia="Calibri" w:hAnsi="Verdana" w:cs="Arial"/>
          <w:color w:val="000000"/>
          <w:lang w:val="es-ES" w:eastAsia="es-ES"/>
        </w:rPr>
        <w:t>E</w:t>
      </w:r>
      <w:r w:rsidR="00424A5D" w:rsidRPr="00A30FDD">
        <w:rPr>
          <w:rFonts w:ascii="Verdana" w:eastAsia="Calibri" w:hAnsi="Verdana" w:cs="Arial"/>
          <w:color w:val="000000"/>
          <w:lang w:val="es-ES" w:eastAsia="es-ES"/>
        </w:rPr>
        <w:t xml:space="preserve">statal colombiana respecto de los recursos públicos que compromete en el convenio, de modo que no se extienden a los recursos propios que aporte el organismo cooperante. Como </w:t>
      </w:r>
      <w:r w:rsidR="00F046D9">
        <w:rPr>
          <w:rFonts w:ascii="Verdana" w:eastAsia="Calibri" w:hAnsi="Verdana" w:cs="Arial"/>
          <w:color w:val="000000"/>
          <w:lang w:val="es-ES" w:eastAsia="es-ES"/>
        </w:rPr>
        <w:t xml:space="preserve">se señaló antes, según </w:t>
      </w:r>
      <w:r w:rsidR="00424A5D" w:rsidRPr="00A30FDD">
        <w:rPr>
          <w:rFonts w:ascii="Verdana" w:eastAsia="Calibri" w:hAnsi="Verdana" w:cs="Arial"/>
          <w:color w:val="000000"/>
          <w:lang w:val="es-ES" w:eastAsia="es-ES"/>
        </w:rPr>
        <w:t xml:space="preserve">el artículo 267 de la Constitución, el control fiscal recae sobre quien gestiona recursos públicos, lo que incluye a la </w:t>
      </w:r>
      <w:r w:rsidR="00F046D9">
        <w:rPr>
          <w:rFonts w:ascii="Verdana" w:eastAsia="Calibri" w:hAnsi="Verdana" w:cs="Arial"/>
          <w:color w:val="000000"/>
          <w:lang w:val="es-ES" w:eastAsia="es-ES"/>
        </w:rPr>
        <w:t>E</w:t>
      </w:r>
      <w:r w:rsidR="00424A5D" w:rsidRPr="00A30FDD">
        <w:rPr>
          <w:rFonts w:ascii="Verdana" w:eastAsia="Calibri" w:hAnsi="Verdana" w:cs="Arial"/>
          <w:color w:val="000000"/>
          <w:lang w:val="es-ES" w:eastAsia="es-ES"/>
        </w:rPr>
        <w:t xml:space="preserve">ntidad </w:t>
      </w:r>
      <w:r w:rsidR="00F046D9">
        <w:rPr>
          <w:rFonts w:ascii="Verdana" w:eastAsia="Calibri" w:hAnsi="Verdana" w:cs="Arial"/>
          <w:color w:val="000000"/>
          <w:lang w:val="es-ES" w:eastAsia="es-ES"/>
        </w:rPr>
        <w:t>E</w:t>
      </w:r>
      <w:r w:rsidR="00424A5D" w:rsidRPr="00A30FDD">
        <w:rPr>
          <w:rFonts w:ascii="Verdana" w:eastAsia="Calibri" w:hAnsi="Verdana" w:cs="Arial"/>
          <w:color w:val="000000"/>
          <w:lang w:val="es-ES" w:eastAsia="es-ES"/>
        </w:rPr>
        <w:t>statal colombiana pero no, en principio, al organismo internacional en lo que concierne a sus propios fondos.</w:t>
      </w:r>
    </w:p>
    <w:p w14:paraId="1097B7AA" w14:textId="6B33B3E5" w:rsidR="00424A5D" w:rsidRPr="00A30FDD" w:rsidRDefault="00424A5D" w:rsidP="00424A5D">
      <w:pPr>
        <w:spacing w:before="120" w:after="120" w:line="276" w:lineRule="auto"/>
        <w:ind w:firstLine="708"/>
        <w:jc w:val="both"/>
        <w:rPr>
          <w:rFonts w:ascii="Verdana" w:eastAsia="Calibri" w:hAnsi="Verdana" w:cs="Arial"/>
          <w:color w:val="000000"/>
          <w:lang w:val="es-ES" w:eastAsia="es-ES"/>
        </w:rPr>
      </w:pPr>
      <w:r w:rsidRPr="00A30FDD">
        <w:rPr>
          <w:rFonts w:ascii="Verdana" w:eastAsia="Calibri" w:hAnsi="Verdana" w:cs="Arial"/>
          <w:color w:val="000000"/>
          <w:lang w:val="es-ES" w:eastAsia="es-ES"/>
        </w:rPr>
        <w:t>Con respecto a las tensiones que surjan con respecto a principios de la contratación pública es preciso aclarar que estos son</w:t>
      </w:r>
      <w:r w:rsidR="00584172" w:rsidRPr="00A30FDD">
        <w:rPr>
          <w:rFonts w:ascii="Verdana" w:eastAsia="Calibri" w:hAnsi="Verdana" w:cs="Arial"/>
          <w:color w:val="000000"/>
          <w:lang w:val="es-ES" w:eastAsia="es-ES"/>
        </w:rPr>
        <w:t>,</w:t>
      </w:r>
      <w:r w:rsidRPr="00A30FDD">
        <w:rPr>
          <w:rFonts w:ascii="Verdana" w:eastAsia="Calibri" w:hAnsi="Verdana" w:cs="Arial"/>
          <w:color w:val="000000"/>
          <w:lang w:val="es-ES" w:eastAsia="es-ES"/>
        </w:rPr>
        <w:t xml:space="preserve"> por definición</w:t>
      </w:r>
      <w:r w:rsidR="00584172" w:rsidRPr="00A30FDD">
        <w:rPr>
          <w:rFonts w:ascii="Verdana" w:eastAsia="Calibri" w:hAnsi="Verdana" w:cs="Arial"/>
          <w:color w:val="000000"/>
          <w:lang w:val="es-ES" w:eastAsia="es-ES"/>
        </w:rPr>
        <w:t>,</w:t>
      </w:r>
      <w:r w:rsidRPr="00A30FDD">
        <w:rPr>
          <w:rFonts w:ascii="Verdana" w:eastAsia="Calibri" w:hAnsi="Verdana" w:cs="Arial"/>
          <w:color w:val="000000"/>
          <w:lang w:val="es-ES" w:eastAsia="es-ES"/>
        </w:rPr>
        <w:t xml:space="preserve"> mandatos de optimización: no tienen una solución única y predefinida para todos los casos. Por esta razón, corresponde a la entidad configurar el proceso de tal manera que se logre el mayor grado de aplicación de </w:t>
      </w:r>
      <w:proofErr w:type="gramStart"/>
      <w:r w:rsidRPr="00A30FDD">
        <w:rPr>
          <w:rFonts w:ascii="Verdana" w:eastAsia="Calibri" w:hAnsi="Verdana" w:cs="Arial"/>
          <w:color w:val="000000"/>
          <w:lang w:val="es-ES" w:eastAsia="es-ES"/>
        </w:rPr>
        <w:t>los mismos</w:t>
      </w:r>
      <w:proofErr w:type="gramEnd"/>
      <w:r w:rsidRPr="00A30FDD">
        <w:rPr>
          <w:rFonts w:ascii="Verdana" w:eastAsia="Calibri" w:hAnsi="Verdana" w:cs="Arial"/>
          <w:color w:val="000000"/>
          <w:lang w:val="es-ES" w:eastAsia="es-ES"/>
        </w:rPr>
        <w:t xml:space="preserve"> en el marco de su actividad contractual. En la etapa precontractual, ello se traduce en negociar y pactar expresamente en el convenio los mecanismos que permitan a la entidad verificar el destino de los recursos públicos aportados, tales como: estructuras de costos </w:t>
      </w:r>
      <w:r w:rsidRPr="00A30FDD">
        <w:rPr>
          <w:rFonts w:ascii="Verdana" w:eastAsia="Calibri" w:hAnsi="Verdana" w:cs="Arial"/>
          <w:color w:val="000000"/>
          <w:lang w:val="es-ES" w:eastAsia="es-ES"/>
        </w:rPr>
        <w:lastRenderedPageBreak/>
        <w:t>diferenciadas por fuente de financiamiento, informes periódicos con el nivel de detalle requerido, auditorías internas del organismo con acceso a resultados por parte de la entidad, y protocolos de comunicación ante requerimientos de los entes de control colombianos.</w:t>
      </w:r>
    </w:p>
    <w:p w14:paraId="4E1611FB" w14:textId="5B31BD9D" w:rsidR="00514540" w:rsidRPr="00A30FDD" w:rsidRDefault="00424A5D" w:rsidP="00584172">
      <w:pPr>
        <w:spacing w:before="120" w:after="120" w:line="276" w:lineRule="auto"/>
        <w:ind w:firstLine="708"/>
        <w:jc w:val="both"/>
        <w:rPr>
          <w:rFonts w:ascii="Verdana" w:eastAsia="Calibri" w:hAnsi="Verdana" w:cs="Arial"/>
          <w:color w:val="000000"/>
          <w:lang w:val="es-ES" w:eastAsia="es-ES"/>
        </w:rPr>
      </w:pPr>
      <w:r w:rsidRPr="00A30FDD">
        <w:rPr>
          <w:rFonts w:ascii="Verdana" w:eastAsia="Calibri" w:hAnsi="Verdana" w:cs="Arial"/>
          <w:color w:val="000000"/>
          <w:lang w:val="es-ES" w:eastAsia="es-ES"/>
        </w:rPr>
        <w:t xml:space="preserve">Una vez celebrado el convenio, corresponde a la entidad adelantar, con base en los mecanismos pactados en el instrumento, los requerimientos, gestiones y comunicaciones necesarias para propender por el cumplimiento de esos principios. </w:t>
      </w:r>
      <w:r w:rsidR="00584172" w:rsidRPr="00A30FDD">
        <w:rPr>
          <w:rFonts w:ascii="Verdana" w:eastAsia="Calibri" w:hAnsi="Verdana" w:cs="Arial"/>
          <w:color w:val="000000"/>
          <w:lang w:val="es-ES" w:eastAsia="es-ES"/>
        </w:rPr>
        <w:t>En consecuencia, n</w:t>
      </w:r>
      <w:r w:rsidRPr="00A30FDD">
        <w:rPr>
          <w:rFonts w:ascii="Verdana" w:eastAsia="Calibri" w:hAnsi="Verdana" w:cs="Arial"/>
          <w:color w:val="000000"/>
          <w:lang w:val="es-ES" w:eastAsia="es-ES"/>
        </w:rPr>
        <w:t>o es posible establecer de antemano una respuesta única para cada tensión concreta que pueda surgir durante la ejecución, pues los escenarios son variados y sus consecuencias</w:t>
      </w:r>
      <w:r w:rsidR="00584172" w:rsidRPr="00A30FDD">
        <w:rPr>
          <w:rFonts w:ascii="Verdana" w:eastAsia="Calibri" w:hAnsi="Verdana" w:cs="Arial"/>
          <w:color w:val="000000"/>
          <w:lang w:val="es-ES" w:eastAsia="es-ES"/>
        </w:rPr>
        <w:t xml:space="preserve">, </w:t>
      </w:r>
      <w:r w:rsidRPr="00A30FDD">
        <w:rPr>
          <w:rFonts w:ascii="Verdana" w:eastAsia="Calibri" w:hAnsi="Verdana" w:cs="Arial"/>
          <w:color w:val="000000"/>
          <w:lang w:val="es-ES" w:eastAsia="es-ES"/>
        </w:rPr>
        <w:t>que pueden ir desde una controversia convencional hasta la responsabilidad disciplinaria o fiscal de los servidores públicos de la entidad</w:t>
      </w:r>
      <w:r w:rsidR="00584172" w:rsidRPr="00A30FDD">
        <w:rPr>
          <w:rFonts w:ascii="Verdana" w:eastAsia="Calibri" w:hAnsi="Verdana" w:cs="Arial"/>
          <w:color w:val="000000"/>
          <w:lang w:val="es-ES" w:eastAsia="es-ES"/>
        </w:rPr>
        <w:t>,</w:t>
      </w:r>
      <w:r w:rsidRPr="00A30FDD">
        <w:rPr>
          <w:rFonts w:ascii="Verdana" w:eastAsia="Calibri" w:hAnsi="Verdana" w:cs="Arial"/>
          <w:color w:val="000000"/>
          <w:lang w:val="es-ES" w:eastAsia="es-ES"/>
        </w:rPr>
        <w:t xml:space="preserve"> dependen de las circunstancias específicas de cada caso.</w:t>
      </w:r>
    </w:p>
    <w:p w14:paraId="1D83DB9E" w14:textId="219BE387" w:rsidR="005B26C2" w:rsidRPr="00A30FDD" w:rsidRDefault="005B26C2" w:rsidP="00584172">
      <w:pPr>
        <w:spacing w:before="120" w:after="120" w:line="276" w:lineRule="auto"/>
        <w:ind w:firstLine="708"/>
        <w:jc w:val="both"/>
        <w:rPr>
          <w:rFonts w:ascii="Verdana" w:hAnsi="Verdana" w:cs="Arial"/>
          <w:color w:val="000000" w:themeColor="text1"/>
          <w:lang w:val="es-ES"/>
        </w:rPr>
      </w:pPr>
      <w:r w:rsidRPr="00A30FDD">
        <w:rPr>
          <w:rFonts w:ascii="Verdana" w:hAnsi="Verdana" w:cs="Arial"/>
          <w:color w:val="000000" w:themeColor="text1"/>
          <w:lang w:val="es-ES"/>
        </w:rPr>
        <w:t xml:space="preserve">Al margen de la </w:t>
      </w:r>
      <w:r w:rsidR="00F046D9" w:rsidRPr="00A30FDD">
        <w:rPr>
          <w:rFonts w:ascii="Verdana" w:hAnsi="Verdana" w:cs="Arial"/>
          <w:color w:val="000000" w:themeColor="text1"/>
          <w:lang w:val="es-ES"/>
        </w:rPr>
        <w:t>explicación</w:t>
      </w:r>
      <w:r w:rsidRPr="00A30FDD">
        <w:rPr>
          <w:rFonts w:ascii="Verdana" w:hAnsi="Verdana" w:cs="Arial"/>
          <w:color w:val="000000" w:themeColor="text1"/>
          <w:lang w:val="es-ES"/>
        </w:rPr>
        <w:t xml:space="preserve"> precedente debe advertirse que el análisis requerido para resolver problemas </w:t>
      </w:r>
      <w:r w:rsidR="00F046D9" w:rsidRPr="00A30FDD">
        <w:rPr>
          <w:rFonts w:ascii="Verdana" w:hAnsi="Verdana" w:cs="Arial"/>
          <w:color w:val="000000" w:themeColor="text1"/>
          <w:lang w:val="es-ES"/>
        </w:rPr>
        <w:t>específicos</w:t>
      </w:r>
      <w:r w:rsidRPr="00A30FDD">
        <w:rPr>
          <w:rFonts w:ascii="Verdana" w:hAnsi="Verdana" w:cs="Arial"/>
          <w:color w:val="000000" w:themeColor="text1"/>
          <w:lang w:val="es-ES"/>
        </w:rPr>
        <w:t xml:space="preserve"> en torno a la </w:t>
      </w:r>
      <w:r w:rsidR="00F046D9" w:rsidRPr="00A30FDD">
        <w:rPr>
          <w:rFonts w:ascii="Verdana" w:hAnsi="Verdana" w:cs="Arial"/>
          <w:color w:val="000000" w:themeColor="text1"/>
          <w:lang w:val="es-ES"/>
        </w:rPr>
        <w:t>gestión</w:t>
      </w:r>
      <w:r w:rsidRPr="00A30FDD">
        <w:rPr>
          <w:rFonts w:ascii="Verdana" w:hAnsi="Verdana" w:cs="Arial"/>
          <w:color w:val="000000" w:themeColor="text1"/>
          <w:lang w:val="es-ES"/>
        </w:rPr>
        <w:t xml:space="preserve"> contractual debe ser realizado por quienes tengan </w:t>
      </w:r>
      <w:r w:rsidR="00F046D9" w:rsidRPr="00A30FDD">
        <w:rPr>
          <w:rFonts w:ascii="Verdana" w:hAnsi="Verdana" w:cs="Arial"/>
          <w:color w:val="000000" w:themeColor="text1"/>
          <w:lang w:val="es-ES"/>
        </w:rPr>
        <w:t>interés</w:t>
      </w:r>
      <w:r w:rsidRPr="00A30FDD">
        <w:rPr>
          <w:rFonts w:ascii="Verdana" w:hAnsi="Verdana" w:cs="Arial"/>
          <w:color w:val="000000" w:themeColor="text1"/>
          <w:lang w:val="es-ES"/>
        </w:rPr>
        <w:t xml:space="preserve"> en ello, de acuerdo con lo explicado la aclaración preliminar del presente oficio. De esta manera, las afirmaciones </w:t>
      </w:r>
      <w:r w:rsidR="00F046D9" w:rsidRPr="00A30FDD">
        <w:rPr>
          <w:rFonts w:ascii="Verdana" w:hAnsi="Verdana" w:cs="Arial"/>
          <w:color w:val="000000" w:themeColor="text1"/>
          <w:lang w:val="es-ES"/>
        </w:rPr>
        <w:t>aquí</w:t>
      </w:r>
      <w:r w:rsidRPr="00A30FDD">
        <w:rPr>
          <w:rFonts w:ascii="Verdana" w:hAnsi="Verdana" w:cs="Arial"/>
          <w:color w:val="000000" w:themeColor="text1"/>
          <w:lang w:val="es-ES"/>
        </w:rPr>
        <w:t xml:space="preserve">́ realizadas no pueden ser interpretadas como juicios de valor sobre circunstancias concretas relacionadas con los hechos que motivan la consulta. Por lo anterior, previo concepto de sus asesores, la solución de situaciones particulares corresponde a los interesados </w:t>
      </w:r>
      <w:r w:rsidR="00FD73F3">
        <w:rPr>
          <w:rFonts w:ascii="Verdana" w:hAnsi="Verdana" w:cs="Arial"/>
          <w:color w:val="000000" w:themeColor="text1"/>
          <w:lang w:val="es-ES"/>
        </w:rPr>
        <w:t xml:space="preserve">en </w:t>
      </w:r>
      <w:r w:rsidRPr="00A30FDD">
        <w:rPr>
          <w:rFonts w:ascii="Verdana" w:hAnsi="Verdana" w:cs="Arial"/>
          <w:color w:val="000000" w:themeColor="text1"/>
          <w:lang w:val="es-ES"/>
        </w:rPr>
        <w:t xml:space="preserve">adoptar la </w:t>
      </w:r>
      <w:r w:rsidR="00F046D9" w:rsidRPr="00A30FDD">
        <w:rPr>
          <w:rFonts w:ascii="Verdana" w:hAnsi="Verdana" w:cs="Arial"/>
          <w:color w:val="000000" w:themeColor="text1"/>
          <w:lang w:val="es-ES"/>
        </w:rPr>
        <w:t>decisión</w:t>
      </w:r>
      <w:r w:rsidRPr="00A30FDD">
        <w:rPr>
          <w:rFonts w:ascii="Verdana" w:hAnsi="Verdana" w:cs="Arial"/>
          <w:color w:val="000000" w:themeColor="text1"/>
          <w:lang w:val="es-ES"/>
        </w:rPr>
        <w:t xml:space="preserve"> correspondiente y, en caso de conflicto, a las autoridades judiciales, fiscales y disciplinarias. </w:t>
      </w:r>
    </w:p>
    <w:p w14:paraId="717F5125" w14:textId="17EC328A" w:rsidR="005B26C2" w:rsidRPr="00A30FDD" w:rsidRDefault="005B26C2" w:rsidP="00A874F7">
      <w:pPr>
        <w:spacing w:before="120" w:after="120" w:line="276" w:lineRule="auto"/>
        <w:ind w:firstLine="709"/>
        <w:jc w:val="both"/>
        <w:rPr>
          <w:rFonts w:ascii="Verdana" w:hAnsi="Verdana" w:cs="Arial"/>
          <w:color w:val="000000" w:themeColor="text1"/>
          <w:lang w:val="es-ES"/>
        </w:rPr>
      </w:pPr>
      <w:r w:rsidRPr="00A30FDD">
        <w:rPr>
          <w:rFonts w:ascii="Verdana" w:hAnsi="Verdana" w:cs="Arial"/>
          <w:color w:val="000000" w:themeColor="text1"/>
          <w:lang w:val="es-ES"/>
        </w:rPr>
        <w:t xml:space="preserve">Dentro de este marco, la entidad contratante definirá en cada caso concreto lo relacionado con el tema objeto de consulta. Al tratarse de un análisis que debe realizarse en el procedimiento contractual </w:t>
      </w:r>
      <w:r w:rsidR="00F046D9" w:rsidRPr="00A30FDD">
        <w:rPr>
          <w:rFonts w:ascii="Verdana" w:hAnsi="Verdana" w:cs="Arial"/>
          <w:color w:val="000000" w:themeColor="text1"/>
          <w:lang w:val="es-ES"/>
        </w:rPr>
        <w:t>específico</w:t>
      </w:r>
      <w:r w:rsidRPr="00A30FDD">
        <w:rPr>
          <w:rFonts w:ascii="Verdana" w:hAnsi="Verdana" w:cs="Arial"/>
          <w:color w:val="000000" w:themeColor="text1"/>
          <w:lang w:val="es-ES"/>
        </w:rPr>
        <w:t xml:space="preserve">, la Agencia no puede definir un criterio universal y absoluto por vía consultiva, sino que brinda elementos de carácter general para que los </w:t>
      </w:r>
      <w:r w:rsidR="00F046D9" w:rsidRPr="00A30FDD">
        <w:rPr>
          <w:rFonts w:ascii="Verdana" w:hAnsi="Verdana" w:cs="Arial"/>
          <w:color w:val="000000" w:themeColor="text1"/>
          <w:lang w:val="es-ES"/>
        </w:rPr>
        <w:t>partícipes</w:t>
      </w:r>
      <w:r w:rsidRPr="00A30FDD">
        <w:rPr>
          <w:rFonts w:ascii="Verdana" w:hAnsi="Verdana" w:cs="Arial"/>
          <w:color w:val="000000" w:themeColor="text1"/>
          <w:lang w:val="es-ES"/>
        </w:rPr>
        <w:t xml:space="preserve"> del sistema de compras y contratación pública adopten la </w:t>
      </w:r>
      <w:r w:rsidR="00F046D9" w:rsidRPr="00A30FDD">
        <w:rPr>
          <w:rFonts w:ascii="Verdana" w:hAnsi="Verdana" w:cs="Arial"/>
          <w:color w:val="000000" w:themeColor="text1"/>
          <w:lang w:val="es-ES"/>
        </w:rPr>
        <w:t>decisión</w:t>
      </w:r>
      <w:r w:rsidRPr="00A30FDD">
        <w:rPr>
          <w:rFonts w:ascii="Verdana" w:hAnsi="Verdana" w:cs="Arial"/>
          <w:color w:val="000000" w:themeColor="text1"/>
          <w:lang w:val="es-ES"/>
        </w:rPr>
        <w:t xml:space="preserve"> que corresponda, lo cual es acorde con el principio de juridicidad. </w:t>
      </w:r>
    </w:p>
    <w:p w14:paraId="2EE9AD04" w14:textId="77777777" w:rsidR="00226C73" w:rsidRPr="00A30FDD" w:rsidRDefault="00226C73" w:rsidP="00226C73">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color w:val="000000" w:themeColor="text1"/>
        </w:rPr>
      </w:pPr>
      <w:r w:rsidRPr="00A30FDD">
        <w:rPr>
          <w:rFonts w:ascii="Verdana" w:eastAsia="Century Gothic" w:hAnsi="Verdana" w:cs="Century Gothic"/>
          <w:b/>
          <w:bCs/>
          <w:color w:val="000000" w:themeColor="text1"/>
        </w:rPr>
        <w:t>Referencias normativas, jurisprudenciales y otras fuentes:</w:t>
      </w:r>
    </w:p>
    <w:p w14:paraId="559F4D0A" w14:textId="77777777" w:rsidR="00226C73" w:rsidRPr="00A30FDD" w:rsidRDefault="00226C73" w:rsidP="00226C73">
      <w:pPr>
        <w:pStyle w:val="Prrafodelista"/>
        <w:tabs>
          <w:tab w:val="left" w:pos="142"/>
          <w:tab w:val="left" w:pos="284"/>
        </w:tabs>
        <w:spacing w:after="0" w:line="276" w:lineRule="auto"/>
        <w:ind w:left="0"/>
        <w:jc w:val="both"/>
        <w:rPr>
          <w:rFonts w:ascii="Verdana" w:eastAsia="Century Gothic" w:hAnsi="Verdana" w:cs="Century Gothic"/>
          <w:b/>
          <w:bCs/>
          <w:color w:val="000000" w:themeColor="text1"/>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226C73" w:rsidRPr="00A30FDD" w14:paraId="559081F5" w14:textId="77777777" w:rsidTr="005C2659">
        <w:trPr>
          <w:trHeight w:val="870"/>
        </w:trPr>
        <w:tc>
          <w:tcPr>
            <w:tcW w:w="8647" w:type="dxa"/>
          </w:tcPr>
          <w:p w14:paraId="1E806B03" w14:textId="77777777" w:rsidR="003517B4" w:rsidRPr="00A30FDD" w:rsidRDefault="003517B4" w:rsidP="00A874F7">
            <w:pPr>
              <w:pStyle w:val="Prrafodelista"/>
              <w:widowControl w:val="0"/>
              <w:numPr>
                <w:ilvl w:val="0"/>
                <w:numId w:val="17"/>
              </w:numPr>
              <w:autoSpaceDE w:val="0"/>
              <w:autoSpaceDN w:val="0"/>
              <w:spacing w:before="120" w:after="120" w:line="276" w:lineRule="auto"/>
              <w:jc w:val="both"/>
              <w:rPr>
                <w:rFonts w:ascii="Verdana" w:hAnsi="Verdana" w:cs="Arial"/>
                <w:color w:val="000000" w:themeColor="text1"/>
              </w:rPr>
            </w:pPr>
            <w:r w:rsidRPr="00A30FDD">
              <w:rPr>
                <w:rFonts w:ascii="Verdana" w:hAnsi="Verdana" w:cs="Arial"/>
                <w:color w:val="000000" w:themeColor="text1"/>
              </w:rPr>
              <w:t>Ley 80 de 1993, artículo 13.</w:t>
            </w:r>
          </w:p>
          <w:p w14:paraId="3F961C7E" w14:textId="77777777" w:rsidR="003517B4" w:rsidRPr="00A30FDD" w:rsidRDefault="003517B4" w:rsidP="00A874F7">
            <w:pPr>
              <w:pStyle w:val="Prrafodelista"/>
              <w:widowControl w:val="0"/>
              <w:numPr>
                <w:ilvl w:val="0"/>
                <w:numId w:val="17"/>
              </w:numPr>
              <w:autoSpaceDE w:val="0"/>
              <w:autoSpaceDN w:val="0"/>
              <w:spacing w:before="120" w:after="120" w:line="276" w:lineRule="auto"/>
              <w:jc w:val="both"/>
              <w:rPr>
                <w:rFonts w:ascii="Verdana" w:hAnsi="Verdana" w:cs="Arial"/>
                <w:color w:val="000000" w:themeColor="text1"/>
              </w:rPr>
            </w:pPr>
            <w:r w:rsidRPr="00A30FDD">
              <w:rPr>
                <w:rFonts w:ascii="Verdana" w:hAnsi="Verdana" w:cs="Arial"/>
                <w:color w:val="000000" w:themeColor="text1"/>
              </w:rPr>
              <w:t>Ley 1150 de 2007, artículo 20.</w:t>
            </w:r>
          </w:p>
          <w:p w14:paraId="7CCFF5C5" w14:textId="77777777" w:rsidR="003517B4" w:rsidRPr="00A30FDD" w:rsidRDefault="003517B4" w:rsidP="00A874F7">
            <w:pPr>
              <w:pStyle w:val="Prrafodelista"/>
              <w:widowControl w:val="0"/>
              <w:numPr>
                <w:ilvl w:val="0"/>
                <w:numId w:val="17"/>
              </w:numPr>
              <w:autoSpaceDE w:val="0"/>
              <w:autoSpaceDN w:val="0"/>
              <w:spacing w:before="120" w:after="120" w:line="276" w:lineRule="auto"/>
              <w:jc w:val="both"/>
              <w:rPr>
                <w:rFonts w:ascii="Verdana" w:hAnsi="Verdana" w:cs="Arial"/>
                <w:color w:val="000000" w:themeColor="text1"/>
              </w:rPr>
            </w:pPr>
            <w:r w:rsidRPr="00A30FDD">
              <w:rPr>
                <w:rFonts w:ascii="Verdana" w:hAnsi="Verdana" w:cs="Arial"/>
                <w:color w:val="000000" w:themeColor="text1"/>
              </w:rPr>
              <w:t>Ley 1474 de 2011, artículo 86.</w:t>
            </w:r>
          </w:p>
          <w:p w14:paraId="51148B44" w14:textId="77777777" w:rsidR="003517B4" w:rsidRPr="00A30FDD" w:rsidRDefault="003517B4" w:rsidP="00A874F7">
            <w:pPr>
              <w:pStyle w:val="Prrafodelista"/>
              <w:widowControl w:val="0"/>
              <w:numPr>
                <w:ilvl w:val="0"/>
                <w:numId w:val="17"/>
              </w:numPr>
              <w:autoSpaceDE w:val="0"/>
              <w:autoSpaceDN w:val="0"/>
              <w:spacing w:before="120" w:after="120" w:line="276" w:lineRule="auto"/>
              <w:jc w:val="both"/>
              <w:rPr>
                <w:rFonts w:ascii="Verdana" w:hAnsi="Verdana" w:cs="Arial"/>
                <w:color w:val="000000" w:themeColor="text1"/>
              </w:rPr>
            </w:pPr>
            <w:r w:rsidRPr="00A30FDD">
              <w:rPr>
                <w:rFonts w:ascii="Verdana" w:hAnsi="Verdana" w:cs="Arial"/>
                <w:color w:val="000000" w:themeColor="text1"/>
              </w:rPr>
              <w:lastRenderedPageBreak/>
              <w:t>Decreto 1082 de 2015, artículo 2.2.1.2.4.4.1.</w:t>
            </w:r>
          </w:p>
          <w:p w14:paraId="1C2F7D8E" w14:textId="77777777" w:rsidR="003517B4" w:rsidRPr="00A30FDD" w:rsidRDefault="003517B4" w:rsidP="00A874F7">
            <w:pPr>
              <w:pStyle w:val="Prrafodelista"/>
              <w:widowControl w:val="0"/>
              <w:numPr>
                <w:ilvl w:val="0"/>
                <w:numId w:val="17"/>
              </w:numPr>
              <w:autoSpaceDE w:val="0"/>
              <w:autoSpaceDN w:val="0"/>
              <w:spacing w:before="120" w:after="120" w:line="276" w:lineRule="auto"/>
              <w:jc w:val="both"/>
              <w:rPr>
                <w:rFonts w:ascii="Verdana" w:hAnsi="Verdana" w:cs="Arial"/>
                <w:color w:val="000000" w:themeColor="text1"/>
              </w:rPr>
            </w:pPr>
            <w:r w:rsidRPr="00A30FDD">
              <w:rPr>
                <w:rFonts w:ascii="Verdana" w:hAnsi="Verdana" w:cs="Arial"/>
                <w:color w:val="000000" w:themeColor="text1"/>
              </w:rPr>
              <w:t>Decreto 603 de 2022, artículos 2.2.8.3.1., 2.2.8.3.2., 2.2.8.3.3., 2.2.8.3.4., 2.2.8.3.5. y 2.2.8.1.1.</w:t>
            </w:r>
          </w:p>
          <w:p w14:paraId="64F07FDC" w14:textId="77777777" w:rsidR="003517B4" w:rsidRPr="00A30FDD" w:rsidRDefault="003517B4" w:rsidP="00A874F7">
            <w:pPr>
              <w:pStyle w:val="Prrafodelista"/>
              <w:widowControl w:val="0"/>
              <w:numPr>
                <w:ilvl w:val="0"/>
                <w:numId w:val="17"/>
              </w:numPr>
              <w:autoSpaceDE w:val="0"/>
              <w:autoSpaceDN w:val="0"/>
              <w:spacing w:before="120" w:after="120" w:line="276" w:lineRule="auto"/>
              <w:jc w:val="both"/>
              <w:rPr>
                <w:rFonts w:ascii="Verdana" w:hAnsi="Verdana" w:cs="Arial"/>
                <w:color w:val="000000" w:themeColor="text1"/>
              </w:rPr>
            </w:pPr>
            <w:r w:rsidRPr="00A30FDD">
              <w:rPr>
                <w:rFonts w:ascii="Verdana" w:hAnsi="Verdana" w:cs="Arial"/>
                <w:color w:val="000000" w:themeColor="text1"/>
              </w:rPr>
              <w:t>Código Civil, artículo 27.</w:t>
            </w:r>
          </w:p>
          <w:p w14:paraId="7965FB80" w14:textId="77777777" w:rsidR="003517B4" w:rsidRPr="00A30FDD" w:rsidRDefault="003517B4" w:rsidP="00A874F7">
            <w:pPr>
              <w:pStyle w:val="Prrafodelista"/>
              <w:widowControl w:val="0"/>
              <w:numPr>
                <w:ilvl w:val="0"/>
                <w:numId w:val="17"/>
              </w:numPr>
              <w:autoSpaceDE w:val="0"/>
              <w:autoSpaceDN w:val="0"/>
              <w:spacing w:before="120" w:after="120" w:line="276" w:lineRule="auto"/>
              <w:jc w:val="both"/>
              <w:rPr>
                <w:rFonts w:ascii="Verdana" w:hAnsi="Verdana" w:cs="Arial"/>
                <w:color w:val="000000" w:themeColor="text1"/>
              </w:rPr>
            </w:pPr>
            <w:r w:rsidRPr="00A30FDD">
              <w:rPr>
                <w:rFonts w:ascii="Verdana" w:hAnsi="Verdana" w:cs="Arial"/>
                <w:color w:val="000000" w:themeColor="text1"/>
              </w:rPr>
              <w:t>Constitución Política, artículo 267, modificado por el Acto Legislativo 04 de 2019.</w:t>
            </w:r>
          </w:p>
          <w:p w14:paraId="586E62DF" w14:textId="77777777" w:rsidR="003517B4" w:rsidRPr="00A30FDD" w:rsidRDefault="003517B4" w:rsidP="00A874F7">
            <w:pPr>
              <w:pStyle w:val="Prrafodelista"/>
              <w:widowControl w:val="0"/>
              <w:numPr>
                <w:ilvl w:val="0"/>
                <w:numId w:val="17"/>
              </w:numPr>
              <w:autoSpaceDE w:val="0"/>
              <w:autoSpaceDN w:val="0"/>
              <w:spacing w:before="120" w:after="120" w:line="276" w:lineRule="auto"/>
              <w:jc w:val="both"/>
              <w:rPr>
                <w:rFonts w:ascii="Verdana" w:hAnsi="Verdana" w:cs="Arial"/>
                <w:color w:val="000000" w:themeColor="text1"/>
              </w:rPr>
            </w:pPr>
            <w:r w:rsidRPr="00A30FDD">
              <w:rPr>
                <w:rFonts w:ascii="Verdana" w:hAnsi="Verdana" w:cs="Arial"/>
                <w:color w:val="000000" w:themeColor="text1"/>
              </w:rPr>
              <w:t>Decreto Ley 267 de 2000, modificado por el Decreto Ley 405 de 2020.</w:t>
            </w:r>
          </w:p>
          <w:p w14:paraId="22C5B1D9" w14:textId="77777777" w:rsidR="003A0AE7" w:rsidRDefault="003517B4" w:rsidP="00A874F7">
            <w:pPr>
              <w:pStyle w:val="Prrafodelista"/>
              <w:widowControl w:val="0"/>
              <w:numPr>
                <w:ilvl w:val="0"/>
                <w:numId w:val="17"/>
              </w:numPr>
              <w:autoSpaceDE w:val="0"/>
              <w:autoSpaceDN w:val="0"/>
              <w:spacing w:before="120" w:after="120" w:line="276" w:lineRule="auto"/>
              <w:contextualSpacing w:val="0"/>
              <w:jc w:val="both"/>
              <w:rPr>
                <w:rFonts w:ascii="Verdana" w:hAnsi="Verdana" w:cs="Arial"/>
                <w:color w:val="000000" w:themeColor="text1"/>
              </w:rPr>
            </w:pPr>
            <w:r w:rsidRPr="00A30FDD">
              <w:rPr>
                <w:rFonts w:ascii="Verdana" w:hAnsi="Verdana" w:cs="Arial"/>
                <w:color w:val="000000" w:themeColor="text1"/>
              </w:rPr>
              <w:t>Convención de Viena sobre el Derecho de los Tratados (Ley 32 de 1985), artículo 26.</w:t>
            </w:r>
          </w:p>
          <w:p w14:paraId="4F0376BE" w14:textId="77777777" w:rsidR="00A874F7" w:rsidRPr="00A874F7" w:rsidRDefault="00A874F7" w:rsidP="00A874F7">
            <w:pPr>
              <w:pStyle w:val="font-claude-response-body"/>
              <w:numPr>
                <w:ilvl w:val="0"/>
                <w:numId w:val="17"/>
              </w:numPr>
              <w:jc w:val="both"/>
              <w:rPr>
                <w:rFonts w:ascii="Verdana" w:eastAsiaTheme="minorHAnsi" w:hAnsi="Verdana" w:cs="Arial"/>
                <w:color w:val="000000" w:themeColor="text1"/>
                <w:sz w:val="22"/>
                <w:szCs w:val="22"/>
                <w:lang w:val="es-ES"/>
              </w:rPr>
            </w:pPr>
            <w:r w:rsidRPr="00A874F7">
              <w:rPr>
                <w:rFonts w:ascii="Verdana" w:eastAsiaTheme="minorHAnsi" w:hAnsi="Verdana" w:cs="Arial"/>
                <w:color w:val="000000" w:themeColor="text1"/>
                <w:sz w:val="22"/>
                <w:szCs w:val="22"/>
                <w:lang w:val="es-ES"/>
              </w:rPr>
              <w:t>Consejo de Estado. Sección Tercera, Subsección C. Sentencia del 26 de noviembre de 2015. Exp. 54.069. C.P. Jaime Orlando Santofimio Gamboa.</w:t>
            </w:r>
          </w:p>
          <w:p w14:paraId="52EF3668" w14:textId="77777777" w:rsidR="00A874F7" w:rsidRPr="00A874F7" w:rsidRDefault="00A874F7" w:rsidP="00A874F7">
            <w:pPr>
              <w:pStyle w:val="font-claude-response-body"/>
              <w:numPr>
                <w:ilvl w:val="0"/>
                <w:numId w:val="17"/>
              </w:numPr>
              <w:jc w:val="both"/>
              <w:rPr>
                <w:rFonts w:ascii="Verdana" w:eastAsiaTheme="minorHAnsi" w:hAnsi="Verdana" w:cs="Arial"/>
                <w:color w:val="000000" w:themeColor="text1"/>
                <w:sz w:val="22"/>
                <w:szCs w:val="22"/>
                <w:lang w:val="es-ES"/>
              </w:rPr>
            </w:pPr>
            <w:r w:rsidRPr="00A874F7">
              <w:rPr>
                <w:rFonts w:ascii="Verdana" w:eastAsiaTheme="minorHAnsi" w:hAnsi="Verdana" w:cs="Arial"/>
                <w:color w:val="000000" w:themeColor="text1"/>
                <w:sz w:val="22"/>
                <w:szCs w:val="22"/>
                <w:lang w:val="es-ES"/>
              </w:rPr>
              <w:t>Corte Constitucional. Sentencia C-249 de 2004.</w:t>
            </w:r>
          </w:p>
          <w:p w14:paraId="3E071663" w14:textId="77777777" w:rsidR="00A874F7" w:rsidRPr="00A874F7" w:rsidRDefault="00A874F7" w:rsidP="00A874F7">
            <w:pPr>
              <w:pStyle w:val="font-claude-response-body"/>
              <w:numPr>
                <w:ilvl w:val="0"/>
                <w:numId w:val="17"/>
              </w:numPr>
              <w:jc w:val="both"/>
              <w:rPr>
                <w:rFonts w:ascii="Verdana" w:eastAsiaTheme="minorHAnsi" w:hAnsi="Verdana" w:cs="Arial"/>
                <w:color w:val="000000" w:themeColor="text1"/>
                <w:sz w:val="22"/>
                <w:szCs w:val="22"/>
                <w:lang w:val="es-ES"/>
              </w:rPr>
            </w:pPr>
            <w:r w:rsidRPr="00A874F7">
              <w:rPr>
                <w:rFonts w:ascii="Verdana" w:eastAsiaTheme="minorHAnsi" w:hAnsi="Verdana" w:cs="Arial"/>
                <w:color w:val="000000" w:themeColor="text1"/>
                <w:sz w:val="22"/>
                <w:szCs w:val="22"/>
                <w:lang w:val="es-ES"/>
              </w:rPr>
              <w:t>Consejo de Estado. Sección Tercera, Subsección C. Sentencia del 12 de junio de 2014. Exp. 28.279. C.P. Enrique Gil Botero.</w:t>
            </w:r>
          </w:p>
          <w:p w14:paraId="30F2AF4E" w14:textId="77777777" w:rsidR="00A874F7" w:rsidRPr="00A874F7" w:rsidRDefault="00A874F7" w:rsidP="00A874F7">
            <w:pPr>
              <w:pStyle w:val="font-claude-response-body"/>
              <w:numPr>
                <w:ilvl w:val="0"/>
                <w:numId w:val="17"/>
              </w:numPr>
              <w:jc w:val="both"/>
              <w:rPr>
                <w:rFonts w:ascii="Verdana" w:eastAsiaTheme="minorHAnsi" w:hAnsi="Verdana" w:cs="Arial"/>
                <w:color w:val="000000" w:themeColor="text1"/>
                <w:sz w:val="22"/>
                <w:szCs w:val="22"/>
                <w:lang w:val="es-ES"/>
              </w:rPr>
            </w:pPr>
            <w:r w:rsidRPr="00A874F7">
              <w:rPr>
                <w:rFonts w:ascii="Verdana" w:eastAsiaTheme="minorHAnsi" w:hAnsi="Verdana" w:cs="Arial"/>
                <w:color w:val="000000" w:themeColor="text1"/>
                <w:sz w:val="22"/>
                <w:szCs w:val="22"/>
                <w:lang w:val="es-ES"/>
              </w:rPr>
              <w:t>Consejo de Estado. Sala de Consulta y Servicio Civil. Concepto del 25 de septiembre de 2018. Consejero Ponente: Edgar González López. Radicado: 11001-03-06-000-2018-00129-00(2389).</w:t>
            </w:r>
          </w:p>
          <w:p w14:paraId="693C06EB" w14:textId="77777777" w:rsidR="00A874F7" w:rsidRPr="00A874F7" w:rsidRDefault="00A874F7" w:rsidP="00A874F7">
            <w:pPr>
              <w:pStyle w:val="font-claude-response-body"/>
              <w:numPr>
                <w:ilvl w:val="0"/>
                <w:numId w:val="17"/>
              </w:numPr>
              <w:jc w:val="both"/>
              <w:rPr>
                <w:rFonts w:ascii="Verdana" w:eastAsiaTheme="minorHAnsi" w:hAnsi="Verdana" w:cs="Arial"/>
                <w:color w:val="000000" w:themeColor="text1"/>
                <w:sz w:val="22"/>
                <w:szCs w:val="22"/>
                <w:lang w:val="es-ES"/>
              </w:rPr>
            </w:pPr>
            <w:r w:rsidRPr="00A874F7">
              <w:rPr>
                <w:rFonts w:ascii="Verdana" w:eastAsiaTheme="minorHAnsi" w:hAnsi="Verdana" w:cs="Arial"/>
                <w:color w:val="000000" w:themeColor="text1"/>
                <w:sz w:val="22"/>
                <w:szCs w:val="22"/>
                <w:lang w:val="es-ES"/>
              </w:rPr>
              <w:t>CORTE CONSTITUCIONAL. Sentencia C-137 de 1996. M.P. Eduardo Cifuentes Muñoz.</w:t>
            </w:r>
          </w:p>
          <w:p w14:paraId="22DEB9F4" w14:textId="4EB9184B" w:rsidR="00A874F7" w:rsidRPr="00A874F7" w:rsidRDefault="00A874F7" w:rsidP="00A874F7">
            <w:pPr>
              <w:pStyle w:val="font-claude-response-body"/>
              <w:numPr>
                <w:ilvl w:val="0"/>
                <w:numId w:val="17"/>
              </w:numPr>
              <w:jc w:val="both"/>
            </w:pPr>
            <w:r w:rsidRPr="00A874F7">
              <w:rPr>
                <w:rFonts w:ascii="Verdana" w:eastAsiaTheme="minorHAnsi" w:hAnsi="Verdana" w:cs="Arial"/>
                <w:color w:val="000000" w:themeColor="text1"/>
                <w:sz w:val="22"/>
                <w:szCs w:val="22"/>
                <w:lang w:val="es-ES"/>
              </w:rPr>
              <w:t>CORTE CONSTITUCIONAL. Sentencia C-788 de 2011. M.P. Luis Ernesto Vargas Silva.</w:t>
            </w:r>
          </w:p>
        </w:tc>
      </w:tr>
    </w:tbl>
    <w:p w14:paraId="23D67650" w14:textId="77777777" w:rsidR="00226C73" w:rsidRPr="00A30FDD" w:rsidRDefault="00226C73" w:rsidP="00226C73">
      <w:pPr>
        <w:widowControl w:val="0"/>
        <w:autoSpaceDE w:val="0"/>
        <w:autoSpaceDN w:val="0"/>
        <w:spacing w:after="0" w:line="276" w:lineRule="auto"/>
        <w:jc w:val="both"/>
        <w:rPr>
          <w:rFonts w:ascii="Verdana" w:hAnsi="Verdana" w:cs="Arial"/>
          <w:color w:val="000000" w:themeColor="text1"/>
          <w:lang w:val="es-ES"/>
        </w:rPr>
      </w:pPr>
    </w:p>
    <w:p w14:paraId="75859A86" w14:textId="77777777" w:rsidR="00226C73" w:rsidRPr="00A30FDD" w:rsidRDefault="00226C73" w:rsidP="00226C73">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A30FDD">
        <w:rPr>
          <w:rFonts w:ascii="Verdana" w:eastAsia="Century Gothic" w:hAnsi="Verdana" w:cs="Century Gothic"/>
          <w:b/>
          <w:bCs/>
          <w:color w:val="000000" w:themeColor="text1"/>
        </w:rPr>
        <w:t>Doctrina de la Agencia Nacional de Contratación Pública:</w:t>
      </w:r>
    </w:p>
    <w:p w14:paraId="2186011D" w14:textId="77777777" w:rsidR="00226C73" w:rsidRPr="00A30FDD" w:rsidRDefault="00226C73" w:rsidP="00226C73">
      <w:pPr>
        <w:widowControl w:val="0"/>
        <w:autoSpaceDE w:val="0"/>
        <w:autoSpaceDN w:val="0"/>
        <w:spacing w:after="0" w:line="276" w:lineRule="auto"/>
        <w:jc w:val="both"/>
        <w:rPr>
          <w:rFonts w:ascii="Verdana" w:hAnsi="Verdana" w:cs="Arial"/>
          <w:color w:val="000000" w:themeColor="text1"/>
          <w:lang w:val="es-ES"/>
        </w:rPr>
      </w:pPr>
    </w:p>
    <w:p w14:paraId="2CE587E2" w14:textId="0F588471" w:rsidR="00226C73" w:rsidRPr="00A30FDD" w:rsidRDefault="00226C73" w:rsidP="00226C73">
      <w:pPr>
        <w:widowControl w:val="0"/>
        <w:autoSpaceDE w:val="0"/>
        <w:autoSpaceDN w:val="0"/>
        <w:spacing w:after="0" w:line="276" w:lineRule="auto"/>
        <w:jc w:val="both"/>
        <w:rPr>
          <w:rFonts w:ascii="Verdana" w:hAnsi="Verdana" w:cs="Arial"/>
          <w:shd w:val="clear" w:color="auto" w:fill="FFFFFF"/>
          <w:lang w:val="es-ES"/>
        </w:rPr>
      </w:pPr>
      <w:r w:rsidRPr="00A30FDD">
        <w:rPr>
          <w:rStyle w:val="normaltextrun"/>
          <w:rFonts w:ascii="Verdana" w:hAnsi="Verdana" w:cs="Arial"/>
          <w:color w:val="000000" w:themeColor="text1"/>
          <w:shd w:val="clear" w:color="auto" w:fill="FFFFFF"/>
          <w:lang w:val="es-ES"/>
        </w:rPr>
        <w:t xml:space="preserve">La Agencia Nacional de Contratación Pública – Colombia Compra Eficiente </w:t>
      </w:r>
      <w:r w:rsidR="00C117F6" w:rsidRPr="00A30FDD">
        <w:rPr>
          <w:rStyle w:val="normaltextrun"/>
          <w:rFonts w:ascii="Verdana" w:hAnsi="Verdana" w:cs="Arial"/>
          <w:color w:val="000000" w:themeColor="text1"/>
          <w:shd w:val="clear" w:color="auto" w:fill="FFFFFF"/>
          <w:lang w:val="es-ES"/>
        </w:rPr>
        <w:t xml:space="preserve">se ha pronunciado sobre la </w:t>
      </w:r>
      <w:r w:rsidR="00C117F6" w:rsidRPr="00A30FDD">
        <w:rPr>
          <w:rFonts w:ascii="Verdana" w:hAnsi="Verdana"/>
          <w:lang w:val="es-ES"/>
        </w:rPr>
        <w:t xml:space="preserve">contratación con organismos internacionales </w:t>
      </w:r>
      <w:r w:rsidRPr="00A30FDD">
        <w:rPr>
          <w:rFonts w:ascii="Verdana" w:hAnsi="Verdana" w:cs="Arial"/>
          <w:shd w:val="clear" w:color="auto" w:fill="FFFFFF"/>
          <w:lang w:val="es-ES"/>
        </w:rPr>
        <w:t>en los conceptos</w:t>
      </w:r>
      <w:r w:rsidR="00C117F6" w:rsidRPr="00A30FDD">
        <w:rPr>
          <w:rFonts w:ascii="Verdana" w:hAnsi="Verdana" w:cs="Arial"/>
          <w:shd w:val="clear" w:color="auto" w:fill="FFFFFF"/>
          <w:lang w:val="es-ES"/>
        </w:rPr>
        <w:t xml:space="preserve"> C-185 del 13 de abril de 2020, C-374 del 23 de julio de 2020, C-680 del 18 de noviembre de 2020, C-771 de 13 de enero de 2021, C-781 del 19 de enero de 2021, C-377 del 28 de julio de 2021, C-049 de 8 de marzo de 2021 y C-461 de 19 de julio de 2021, C-367 de 25 de abril de 2022, C-461 de 2 de junio de 2022, C- 012 de 7 de marzo de 2023, C-039 de 29 de marzo de 2023</w:t>
      </w:r>
      <w:r w:rsidRPr="00A30FDD">
        <w:rPr>
          <w:rFonts w:ascii="Verdana" w:hAnsi="Verdana" w:cs="Arial"/>
          <w:shd w:val="clear" w:color="auto" w:fill="FFFFFF"/>
          <w:lang w:val="es-ES"/>
        </w:rPr>
        <w:t>,</w:t>
      </w:r>
      <w:r w:rsidR="001B0859" w:rsidRPr="00A30FDD">
        <w:rPr>
          <w:rFonts w:ascii="Verdana" w:hAnsi="Verdana" w:cs="Arial"/>
          <w:shd w:val="clear" w:color="auto" w:fill="FFFFFF"/>
          <w:lang w:val="es-ES"/>
        </w:rPr>
        <w:t xml:space="preserve"> </w:t>
      </w:r>
      <w:r w:rsidR="005B26C2" w:rsidRPr="00A30FDD">
        <w:rPr>
          <w:rFonts w:ascii="Verdana" w:hAnsi="Verdana" w:cs="Arial"/>
          <w:shd w:val="clear" w:color="auto" w:fill="FFFFFF"/>
          <w:lang w:val="es-ES"/>
        </w:rPr>
        <w:t xml:space="preserve">C-979 del 30 de diciembre de 2024, </w:t>
      </w:r>
      <w:r w:rsidR="00717D51" w:rsidRPr="00A30FDD">
        <w:rPr>
          <w:rFonts w:ascii="Verdana" w:hAnsi="Verdana" w:cs="Arial"/>
          <w:shd w:val="clear" w:color="auto" w:fill="FFFFFF"/>
          <w:lang w:val="es-ES"/>
        </w:rPr>
        <w:t>C-390 del 6 de mayo de 2025, C-440 del 15 de mayo de 2025, C-702 del 08 de julio de 2025, C-578 del 22 de mayo de 2026</w:t>
      </w:r>
      <w:r w:rsidR="00646AAD" w:rsidRPr="00A30FDD">
        <w:rPr>
          <w:rFonts w:ascii="Verdana" w:hAnsi="Verdana" w:cs="Arial"/>
          <w:shd w:val="clear" w:color="auto" w:fill="FFFFFF"/>
          <w:lang w:val="es-ES"/>
        </w:rPr>
        <w:t xml:space="preserve">, </w:t>
      </w:r>
      <w:r w:rsidR="005B26C2" w:rsidRPr="00A30FDD">
        <w:rPr>
          <w:rFonts w:ascii="Verdana" w:hAnsi="Verdana" w:cs="Arial"/>
          <w:shd w:val="clear" w:color="auto" w:fill="FFFFFF"/>
          <w:lang w:val="es-ES"/>
        </w:rPr>
        <w:t xml:space="preserve">entre otros. Estos se encuentran disponibles para consulta en el Sistema de </w:t>
      </w:r>
      <w:r w:rsidR="00646AAD" w:rsidRPr="00A30FDD">
        <w:rPr>
          <w:rFonts w:ascii="Verdana" w:hAnsi="Verdana" w:cs="Arial"/>
          <w:shd w:val="clear" w:color="auto" w:fill="FFFFFF"/>
          <w:lang w:val="es-ES"/>
        </w:rPr>
        <w:t>relatoría</w:t>
      </w:r>
      <w:r w:rsidR="005B26C2" w:rsidRPr="00A30FDD">
        <w:rPr>
          <w:rFonts w:ascii="Verdana" w:hAnsi="Verdana" w:cs="Arial"/>
          <w:shd w:val="clear" w:color="auto" w:fill="FFFFFF"/>
          <w:lang w:val="es-ES"/>
        </w:rPr>
        <w:t xml:space="preserve"> de la Agencia, al cual puede accederse</w:t>
      </w:r>
      <w:r w:rsidR="005B26C2" w:rsidRPr="00A30FDD">
        <w:rPr>
          <w:rFonts w:ascii="Verdana" w:hAnsi="Verdana" w:cs="Arial"/>
          <w:color w:val="000000" w:themeColor="text1"/>
          <w:shd w:val="clear" w:color="auto" w:fill="FFFFFF"/>
          <w:lang w:val="es-ES"/>
        </w:rPr>
        <w:t xml:space="preserve"> a través del siguiente enlace: </w:t>
      </w:r>
      <w:hyperlink r:id="rId12" w:history="1">
        <w:r w:rsidR="005B26C2" w:rsidRPr="00A30FDD">
          <w:rPr>
            <w:rStyle w:val="Hipervnculo"/>
            <w:rFonts w:ascii="Verdana" w:hAnsi="Verdana" w:cs="Arial"/>
            <w:shd w:val="clear" w:color="auto" w:fill="FFFFFF"/>
            <w:lang w:val="es-ES"/>
          </w:rPr>
          <w:t>https://relatoria.colombiacompra.gov.co/</w:t>
        </w:r>
      </w:hyperlink>
    </w:p>
    <w:p w14:paraId="2484DB7E" w14:textId="77777777" w:rsidR="00226C73" w:rsidRPr="00A30FDD" w:rsidRDefault="00226C73" w:rsidP="00226C73">
      <w:pPr>
        <w:widowControl w:val="0"/>
        <w:autoSpaceDE w:val="0"/>
        <w:autoSpaceDN w:val="0"/>
        <w:spacing w:after="0" w:line="276" w:lineRule="auto"/>
        <w:jc w:val="both"/>
        <w:rPr>
          <w:rStyle w:val="normaltextrun"/>
          <w:rFonts w:ascii="Verdana" w:hAnsi="Verdana" w:cs="Arial"/>
          <w:color w:val="FF0000"/>
          <w:shd w:val="clear" w:color="auto" w:fill="FFFFFF"/>
          <w:lang w:val="es-ES"/>
        </w:rPr>
      </w:pPr>
    </w:p>
    <w:p w14:paraId="17E52EBE" w14:textId="77777777" w:rsidR="00226C73" w:rsidRPr="00A30FDD" w:rsidRDefault="00226C73" w:rsidP="00226C73">
      <w:pPr>
        <w:spacing w:after="0" w:line="276" w:lineRule="auto"/>
        <w:jc w:val="both"/>
        <w:rPr>
          <w:rFonts w:ascii="Verdana" w:hAnsi="Verdana"/>
          <w:lang w:val="es-ES"/>
        </w:rPr>
      </w:pPr>
      <w:r w:rsidRPr="00A30FDD">
        <w:rPr>
          <w:rFonts w:ascii="Verdana" w:hAnsi="Verdana"/>
          <w:lang w:val="es-ES"/>
        </w:rPr>
        <w:t xml:space="preserve">Por último, lo invitamos a seguirnos en las redes sociales en las cuales se difunde información institucional: </w:t>
      </w:r>
    </w:p>
    <w:p w14:paraId="4E3EEAD1" w14:textId="77777777" w:rsidR="00226C73" w:rsidRPr="00A30FDD" w:rsidRDefault="00226C73" w:rsidP="00226C73">
      <w:pPr>
        <w:spacing w:after="0" w:line="276" w:lineRule="auto"/>
        <w:jc w:val="both"/>
        <w:rPr>
          <w:rFonts w:ascii="Verdana" w:hAnsi="Verdana"/>
          <w:lang w:val="es-ES"/>
        </w:rPr>
      </w:pPr>
    </w:p>
    <w:p w14:paraId="5EC32BD1" w14:textId="77777777" w:rsidR="00226C73" w:rsidRPr="00A30FDD" w:rsidRDefault="00226C73" w:rsidP="00226C73">
      <w:pPr>
        <w:spacing w:after="0" w:line="276" w:lineRule="auto"/>
        <w:jc w:val="both"/>
        <w:rPr>
          <w:rFonts w:ascii="Verdana" w:hAnsi="Verdana"/>
          <w:lang w:val="es-ES"/>
        </w:rPr>
      </w:pPr>
      <w:r w:rsidRPr="00A30FDD">
        <w:rPr>
          <w:rFonts w:ascii="Verdana" w:hAnsi="Verdana"/>
          <w:lang w:val="es-ES"/>
        </w:rPr>
        <w:t xml:space="preserve">Twitter: </w:t>
      </w:r>
      <w:r w:rsidRPr="00A30FDD">
        <w:rPr>
          <w:rStyle w:val="Hipervnculo"/>
          <w:rFonts w:ascii="Verdana" w:hAnsi="Verdana" w:cs="Arial"/>
          <w:shd w:val="clear" w:color="auto" w:fill="FFFFFF"/>
          <w:lang w:val="es-ES"/>
        </w:rPr>
        <w:t>@colombiacompra</w:t>
      </w:r>
      <w:r w:rsidRPr="00A30FDD">
        <w:rPr>
          <w:rFonts w:ascii="Verdana" w:hAnsi="Verdana"/>
          <w:color w:val="4472C4" w:themeColor="accent1"/>
          <w:lang w:val="es-ES"/>
        </w:rPr>
        <w:t xml:space="preserve"> </w:t>
      </w:r>
    </w:p>
    <w:p w14:paraId="0074CD3E" w14:textId="77777777" w:rsidR="00226C73" w:rsidRPr="00A30FDD" w:rsidRDefault="00226C73" w:rsidP="00226C73">
      <w:pPr>
        <w:spacing w:after="0" w:line="276" w:lineRule="auto"/>
        <w:jc w:val="both"/>
        <w:rPr>
          <w:rFonts w:ascii="Verdana" w:hAnsi="Verdana"/>
          <w:lang w:val="es-ES"/>
        </w:rPr>
      </w:pPr>
      <w:r w:rsidRPr="00A30FDD">
        <w:rPr>
          <w:rFonts w:ascii="Verdana" w:hAnsi="Verdana"/>
          <w:lang w:val="es-ES"/>
        </w:rPr>
        <w:t xml:space="preserve">Facebook: </w:t>
      </w:r>
      <w:proofErr w:type="spellStart"/>
      <w:r w:rsidRPr="00A30FDD">
        <w:rPr>
          <w:rStyle w:val="Hipervnculo"/>
          <w:rFonts w:ascii="Verdana" w:hAnsi="Verdana" w:cs="Arial"/>
          <w:shd w:val="clear" w:color="auto" w:fill="FFFFFF"/>
          <w:lang w:val="es-ES"/>
        </w:rPr>
        <w:t>ColombiaCompraEficiente</w:t>
      </w:r>
      <w:proofErr w:type="spellEnd"/>
    </w:p>
    <w:p w14:paraId="1BF26E9C" w14:textId="77777777" w:rsidR="00226C73" w:rsidRPr="00A30FDD" w:rsidRDefault="00226C73" w:rsidP="00226C73">
      <w:pPr>
        <w:spacing w:after="0" w:line="276" w:lineRule="auto"/>
        <w:jc w:val="both"/>
        <w:rPr>
          <w:rFonts w:ascii="Verdana" w:hAnsi="Verdana"/>
          <w:lang w:val="es-ES"/>
        </w:rPr>
      </w:pPr>
      <w:r w:rsidRPr="00A30FDD">
        <w:rPr>
          <w:rFonts w:ascii="Verdana" w:hAnsi="Verdana"/>
          <w:lang w:val="es-ES"/>
        </w:rPr>
        <w:t xml:space="preserve">LinkedIn: </w:t>
      </w:r>
      <w:r w:rsidRPr="00A30FDD">
        <w:rPr>
          <w:rStyle w:val="Hipervnculo"/>
          <w:rFonts w:ascii="Verdana" w:hAnsi="Verdana" w:cs="Arial"/>
          <w:shd w:val="clear" w:color="auto" w:fill="FFFFFF"/>
          <w:lang w:val="es-ES"/>
        </w:rPr>
        <w:t xml:space="preserve">Agencia Nacional de Contratación Pública - Colombia Compra Eficiente </w:t>
      </w:r>
      <w:r w:rsidRPr="00A30FDD">
        <w:rPr>
          <w:rFonts w:ascii="Verdana" w:hAnsi="Verdana"/>
          <w:lang w:val="es-ES"/>
        </w:rPr>
        <w:t xml:space="preserve">Instagram: </w:t>
      </w:r>
      <w:r w:rsidRPr="00A30FDD">
        <w:rPr>
          <w:rStyle w:val="Hipervnculo"/>
          <w:rFonts w:ascii="Verdana" w:hAnsi="Verdana" w:cs="Arial"/>
          <w:shd w:val="clear" w:color="auto" w:fill="FFFFFF"/>
          <w:lang w:val="es-ES"/>
        </w:rPr>
        <w:t>@colombiacompraeficiente_cce</w:t>
      </w:r>
    </w:p>
    <w:p w14:paraId="3E8A1B28" w14:textId="77777777" w:rsidR="00226C73" w:rsidRPr="00A30FDD" w:rsidRDefault="00226C73" w:rsidP="00226C73">
      <w:pPr>
        <w:widowControl w:val="0"/>
        <w:autoSpaceDE w:val="0"/>
        <w:autoSpaceDN w:val="0"/>
        <w:spacing w:after="0" w:line="276" w:lineRule="auto"/>
        <w:jc w:val="both"/>
        <w:rPr>
          <w:rFonts w:ascii="Verdana" w:hAnsi="Verdana" w:cs="Arial"/>
          <w:color w:val="000000" w:themeColor="text1"/>
          <w:lang w:val="es-ES"/>
        </w:rPr>
      </w:pPr>
    </w:p>
    <w:p w14:paraId="5340B39F" w14:textId="77777777" w:rsidR="00226C73" w:rsidRPr="00A30FDD" w:rsidRDefault="00226C73" w:rsidP="00226C73">
      <w:pPr>
        <w:widowControl w:val="0"/>
        <w:autoSpaceDE w:val="0"/>
        <w:autoSpaceDN w:val="0"/>
        <w:spacing w:after="0" w:line="276" w:lineRule="auto"/>
        <w:jc w:val="both"/>
        <w:rPr>
          <w:rFonts w:ascii="Verdana" w:hAnsi="Verdana" w:cs="Arial"/>
          <w:color w:val="000000" w:themeColor="text1"/>
          <w:lang w:val="es-ES"/>
        </w:rPr>
      </w:pPr>
      <w:r w:rsidRPr="00A30FDD">
        <w:rPr>
          <w:rFonts w:ascii="Verdana" w:hAnsi="Verdana" w:cs="Arial"/>
          <w:color w:val="000000" w:themeColor="text1"/>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7437B413" w14:textId="77777777" w:rsidR="00226C73" w:rsidRPr="00A30FDD" w:rsidRDefault="00226C73" w:rsidP="00226C73">
      <w:pPr>
        <w:widowControl w:val="0"/>
        <w:autoSpaceDE w:val="0"/>
        <w:autoSpaceDN w:val="0"/>
        <w:spacing w:after="0" w:line="276" w:lineRule="auto"/>
        <w:jc w:val="both"/>
        <w:rPr>
          <w:rFonts w:ascii="Verdana" w:hAnsi="Verdana" w:cs="Arial"/>
          <w:color w:val="000000" w:themeColor="text1"/>
          <w:lang w:val="es-ES"/>
        </w:rPr>
      </w:pPr>
    </w:p>
    <w:p w14:paraId="23ADB7E1" w14:textId="54005C59" w:rsidR="003828E6" w:rsidRPr="00A30FDD" w:rsidRDefault="003828E6" w:rsidP="003828E6">
      <w:pPr>
        <w:spacing w:after="0" w:line="276" w:lineRule="auto"/>
        <w:rPr>
          <w:rFonts w:ascii="Verdana" w:hAnsi="Verdana" w:cs="Arial"/>
          <w:color w:val="000000" w:themeColor="text1"/>
          <w:lang w:val="es-ES" w:eastAsia="es-CO"/>
        </w:rPr>
      </w:pPr>
      <w:r w:rsidRPr="00A30FDD">
        <w:rPr>
          <w:rFonts w:ascii="Verdana" w:eastAsia="Times New Roman" w:hAnsi="Verdana" w:cs="Arial"/>
          <w:color w:val="000000" w:themeColor="text1"/>
          <w:lang w:val="es-ES" w:eastAsia="es-CO"/>
        </w:rPr>
        <w:t>Atentamente,</w:t>
      </w:r>
      <w:r w:rsidRPr="00A30FDD">
        <w:rPr>
          <w:rFonts w:ascii="Verdana" w:hAnsi="Verdana" w:cs="Arial"/>
          <w:color w:val="000000" w:themeColor="text1"/>
          <w:lang w:val="es-ES" w:eastAsia="es-CO"/>
        </w:rPr>
        <w:t xml:space="preserve"> </w:t>
      </w:r>
    </w:p>
    <w:p w14:paraId="5A73E89C" w14:textId="1ABD9207" w:rsidR="003828E6" w:rsidRPr="00A30FDD" w:rsidRDefault="003F33D1" w:rsidP="003828E6">
      <w:pPr>
        <w:spacing w:line="276" w:lineRule="auto"/>
        <w:rPr>
          <w:lang w:val="es-ES"/>
        </w:rPr>
      </w:pPr>
      <w:r w:rsidRPr="002C3AD6">
        <w:rPr>
          <w:rFonts w:ascii="Century Gothic" w:hAnsi="Century Gothic"/>
          <w:noProof/>
        </w:rPr>
        <w:drawing>
          <wp:anchor distT="0" distB="0" distL="114300" distR="114300" simplePos="0" relativeHeight="251660288" behindDoc="0" locked="0" layoutInCell="1" allowOverlap="1" wp14:anchorId="7597CCA3" wp14:editId="41A865C7">
            <wp:simplePos x="0" y="0"/>
            <wp:positionH relativeFrom="column">
              <wp:posOffset>1127052</wp:posOffset>
            </wp:positionH>
            <wp:positionV relativeFrom="paragraph">
              <wp:posOffset>95796</wp:posOffset>
            </wp:positionV>
            <wp:extent cx="3772426" cy="1400370"/>
            <wp:effectExtent l="0" t="0" r="0" b="0"/>
            <wp:wrapSquare wrapText="bothSides"/>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3">
                      <a:extLst>
                        <a:ext uri="{28A0092B-C50C-407E-A947-70E740481C1C}">
                          <a14:useLocalDpi xmlns:a14="http://schemas.microsoft.com/office/drawing/2010/main" val="0"/>
                        </a:ext>
                      </a:extLst>
                    </a:blip>
                    <a:stretch>
                      <a:fillRect/>
                    </a:stretch>
                  </pic:blipFill>
                  <pic:spPr>
                    <a:xfrm>
                      <a:off x="0" y="0"/>
                      <a:ext cx="3772426" cy="1400370"/>
                    </a:xfrm>
                    <a:prstGeom prst="rect">
                      <a:avLst/>
                    </a:prstGeom>
                  </pic:spPr>
                </pic:pic>
              </a:graphicData>
            </a:graphic>
            <wp14:sizeRelH relativeFrom="page">
              <wp14:pctWidth>0</wp14:pctWidth>
            </wp14:sizeRelH>
            <wp14:sizeRelV relativeFrom="page">
              <wp14:pctHeight>0</wp14:pctHeight>
            </wp14:sizeRelV>
          </wp:anchor>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3828E6" w:rsidRPr="00A30FDD" w14:paraId="790E4E68" w14:textId="77777777" w:rsidTr="00EE009D">
        <w:trPr>
          <w:trHeight w:val="315"/>
        </w:trPr>
        <w:tc>
          <w:tcPr>
            <w:tcW w:w="893" w:type="dxa"/>
            <w:vAlign w:val="center"/>
            <w:hideMark/>
          </w:tcPr>
          <w:p w14:paraId="2BAF9984" w14:textId="77777777" w:rsidR="003828E6" w:rsidRPr="00A30FDD" w:rsidRDefault="003828E6" w:rsidP="00EE009D">
            <w:pPr>
              <w:contextualSpacing/>
              <w:rPr>
                <w:rFonts w:ascii="Verdana" w:hAnsi="Verdana" w:cs="Arial"/>
                <w:sz w:val="15"/>
                <w:szCs w:val="15"/>
                <w:lang w:val="es-ES" w:eastAsia="es-ES"/>
              </w:rPr>
            </w:pPr>
            <w:r w:rsidRPr="00A30FDD">
              <w:rPr>
                <w:rFonts w:ascii="Verdana" w:hAnsi="Verdana" w:cs="Arial"/>
                <w:sz w:val="15"/>
                <w:szCs w:val="15"/>
                <w:lang w:val="es-ES" w:eastAsia="es-ES"/>
              </w:rPr>
              <w:t>Elaboró:</w:t>
            </w:r>
          </w:p>
        </w:tc>
        <w:tc>
          <w:tcPr>
            <w:tcW w:w="5628" w:type="dxa"/>
            <w:tcBorders>
              <w:top w:val="nil"/>
              <w:left w:val="nil"/>
              <w:bottom w:val="dotted" w:sz="4" w:space="0" w:color="7F7F7F" w:themeColor="text1" w:themeTint="80"/>
              <w:right w:val="nil"/>
            </w:tcBorders>
            <w:vAlign w:val="center"/>
            <w:hideMark/>
          </w:tcPr>
          <w:p w14:paraId="0AA12590" w14:textId="77777777" w:rsidR="003828E6" w:rsidRPr="00A30FDD" w:rsidRDefault="003828E6" w:rsidP="00EE009D">
            <w:pPr>
              <w:contextualSpacing/>
              <w:rPr>
                <w:rFonts w:ascii="Verdana" w:eastAsia="Arial" w:hAnsi="Verdana" w:cs="Arial"/>
                <w:color w:val="000000" w:themeColor="text1"/>
                <w:sz w:val="15"/>
                <w:szCs w:val="15"/>
                <w:lang w:val="es-ES"/>
              </w:rPr>
            </w:pPr>
            <w:r w:rsidRPr="00A30FDD">
              <w:rPr>
                <w:rFonts w:ascii="Verdana" w:eastAsia="Arial" w:hAnsi="Verdana" w:cs="Arial"/>
                <w:color w:val="000000" w:themeColor="text1"/>
                <w:sz w:val="15"/>
                <w:szCs w:val="15"/>
                <w:lang w:val="es-ES"/>
              </w:rPr>
              <w:t>Anamaría Bonilla Prieto</w:t>
            </w:r>
          </w:p>
          <w:p w14:paraId="632AB929" w14:textId="77777777" w:rsidR="003828E6" w:rsidRPr="00A30FDD" w:rsidRDefault="003828E6" w:rsidP="00EE009D">
            <w:pPr>
              <w:contextualSpacing/>
              <w:rPr>
                <w:rFonts w:ascii="Verdana" w:eastAsia="Arial" w:hAnsi="Verdana" w:cs="Arial"/>
                <w:sz w:val="15"/>
                <w:szCs w:val="15"/>
                <w:lang w:val="es-ES"/>
              </w:rPr>
            </w:pPr>
            <w:r w:rsidRPr="00A30FDD">
              <w:rPr>
                <w:rStyle w:val="normaltextrun"/>
                <w:rFonts w:ascii="Verdana" w:eastAsia="Arial" w:hAnsi="Verdana" w:cs="Arial"/>
                <w:color w:val="000000" w:themeColor="text1"/>
                <w:sz w:val="15"/>
                <w:szCs w:val="15"/>
                <w:lang w:val="es-ES"/>
              </w:rPr>
              <w:t xml:space="preserve">Contratista de la Subdirección </w:t>
            </w:r>
            <w:r w:rsidRPr="00A30FDD">
              <w:rPr>
                <w:rStyle w:val="normaltextrun"/>
                <w:rFonts w:ascii="Verdana" w:eastAsia="Arial" w:hAnsi="Verdana" w:cs="Arial"/>
                <w:sz w:val="15"/>
                <w:szCs w:val="15"/>
                <w:lang w:val="es-ES"/>
              </w:rPr>
              <w:t>de Gestión Contractual</w:t>
            </w:r>
          </w:p>
        </w:tc>
      </w:tr>
      <w:tr w:rsidR="003828E6" w:rsidRPr="00A30FDD" w14:paraId="781B54E3" w14:textId="77777777" w:rsidTr="00EE009D">
        <w:trPr>
          <w:trHeight w:val="330"/>
        </w:trPr>
        <w:tc>
          <w:tcPr>
            <w:tcW w:w="893" w:type="dxa"/>
            <w:vAlign w:val="center"/>
            <w:hideMark/>
          </w:tcPr>
          <w:p w14:paraId="34E2D6EE" w14:textId="77777777" w:rsidR="003828E6" w:rsidRPr="00A30FDD" w:rsidRDefault="003828E6" w:rsidP="00EE009D">
            <w:pPr>
              <w:contextualSpacing/>
              <w:rPr>
                <w:rFonts w:ascii="Verdana" w:hAnsi="Verdana" w:cs="Arial"/>
                <w:sz w:val="15"/>
                <w:szCs w:val="15"/>
                <w:lang w:val="es-ES" w:eastAsia="es-ES"/>
              </w:rPr>
            </w:pPr>
            <w:r w:rsidRPr="00A30FDD">
              <w:rPr>
                <w:rFonts w:ascii="Verdana" w:hAnsi="Verdana" w:cs="Arial"/>
                <w:sz w:val="15"/>
                <w:szCs w:val="15"/>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7D5C38B5" w14:textId="77777777" w:rsidR="003828E6" w:rsidRPr="00A30FDD" w:rsidRDefault="003828E6" w:rsidP="00EE009D">
            <w:pPr>
              <w:contextualSpacing/>
              <w:rPr>
                <w:rFonts w:ascii="Verdana" w:eastAsia="Arial" w:hAnsi="Verdana" w:cs="Arial"/>
                <w:color w:val="000000" w:themeColor="text1"/>
                <w:sz w:val="15"/>
                <w:szCs w:val="15"/>
                <w:lang w:val="es-ES"/>
              </w:rPr>
            </w:pPr>
            <w:r w:rsidRPr="00A30FDD">
              <w:rPr>
                <w:rFonts w:ascii="Verdana" w:eastAsia="Arial" w:hAnsi="Verdana" w:cs="Arial"/>
                <w:color w:val="000000" w:themeColor="text1"/>
                <w:sz w:val="15"/>
                <w:szCs w:val="15"/>
                <w:lang w:val="es-ES"/>
              </w:rPr>
              <w:t>Alejandro Sarmiento Cantillo</w:t>
            </w:r>
          </w:p>
          <w:p w14:paraId="55F86632" w14:textId="77777777" w:rsidR="003828E6" w:rsidRPr="00A30FDD" w:rsidRDefault="003828E6" w:rsidP="00EE009D">
            <w:pPr>
              <w:pStyle w:val="paragraph"/>
              <w:spacing w:before="0" w:beforeAutospacing="0" w:after="0" w:afterAutospacing="0"/>
              <w:contextualSpacing/>
              <w:textAlignment w:val="baseline"/>
              <w:rPr>
                <w:rFonts w:ascii="Verdana" w:hAnsi="Verdana" w:cs="Segoe UI"/>
                <w:sz w:val="15"/>
                <w:szCs w:val="15"/>
                <w:lang w:val="es-ES"/>
              </w:rPr>
            </w:pPr>
            <w:r w:rsidRPr="00A30FDD">
              <w:rPr>
                <w:rFonts w:ascii="Verdana" w:eastAsia="Arial" w:hAnsi="Verdana" w:cs="Arial"/>
                <w:color w:val="000000" w:themeColor="text1"/>
                <w:sz w:val="15"/>
                <w:szCs w:val="15"/>
                <w:lang w:val="es-ES"/>
              </w:rPr>
              <w:t>Gestor T1 – 15 de la Subdirección de Gestión Contractual</w:t>
            </w:r>
            <w:r w:rsidRPr="00A30FDD">
              <w:rPr>
                <w:rFonts w:ascii="Verdana" w:hAnsi="Verdana" w:cs="Segoe UI"/>
                <w:sz w:val="15"/>
                <w:szCs w:val="15"/>
                <w:lang w:val="es-ES"/>
              </w:rPr>
              <w:t> </w:t>
            </w:r>
          </w:p>
          <w:p w14:paraId="3575827A" w14:textId="77777777" w:rsidR="003828E6" w:rsidRPr="00A30FDD" w:rsidRDefault="003828E6" w:rsidP="00EE009D">
            <w:pPr>
              <w:pStyle w:val="paragraph"/>
              <w:spacing w:before="0" w:beforeAutospacing="0" w:after="0" w:afterAutospacing="0"/>
              <w:contextualSpacing/>
              <w:textAlignment w:val="baseline"/>
              <w:rPr>
                <w:rFonts w:ascii="Verdana" w:hAnsi="Verdana" w:cs="Segoe UI"/>
                <w:sz w:val="15"/>
                <w:szCs w:val="15"/>
                <w:lang w:val="es-ES"/>
              </w:rPr>
            </w:pPr>
          </w:p>
        </w:tc>
      </w:tr>
      <w:tr w:rsidR="003828E6" w:rsidRPr="00A30FDD" w14:paraId="0DB3DA46" w14:textId="77777777" w:rsidTr="00EE009D">
        <w:trPr>
          <w:trHeight w:val="300"/>
        </w:trPr>
        <w:tc>
          <w:tcPr>
            <w:tcW w:w="893" w:type="dxa"/>
            <w:vAlign w:val="center"/>
          </w:tcPr>
          <w:p w14:paraId="4B948F1C" w14:textId="77777777" w:rsidR="003828E6" w:rsidRPr="00A30FDD" w:rsidRDefault="003828E6" w:rsidP="00EE009D">
            <w:pPr>
              <w:contextualSpacing/>
              <w:rPr>
                <w:rFonts w:ascii="Verdana" w:hAnsi="Verdana" w:cs="Arial"/>
                <w:sz w:val="15"/>
                <w:szCs w:val="15"/>
                <w:lang w:val="es-ES" w:eastAsia="es-ES"/>
              </w:rPr>
            </w:pPr>
            <w:r w:rsidRPr="00A30FDD">
              <w:rPr>
                <w:rFonts w:ascii="Verdana" w:hAnsi="Verdana" w:cs="Arial"/>
                <w:sz w:val="15"/>
                <w:szCs w:val="15"/>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1D430EC0" w14:textId="77777777" w:rsidR="003828E6" w:rsidRPr="00B10A54" w:rsidRDefault="003828E6" w:rsidP="00EE009D">
            <w:pPr>
              <w:contextualSpacing/>
              <w:rPr>
                <w:rFonts w:ascii="Verdana" w:eastAsia="Calibri" w:hAnsi="Verdana" w:cs="Arial"/>
                <w:sz w:val="15"/>
                <w:szCs w:val="15"/>
                <w:lang w:val="es-ES" w:eastAsia="es-ES"/>
              </w:rPr>
            </w:pPr>
            <w:r w:rsidRPr="00B10A54">
              <w:rPr>
                <w:rFonts w:ascii="Verdana" w:eastAsia="Calibri" w:hAnsi="Verdana" w:cs="Arial"/>
                <w:sz w:val="15"/>
                <w:szCs w:val="15"/>
                <w:lang w:val="es-ES" w:eastAsia="es-ES"/>
              </w:rPr>
              <w:t>Carolina Quintero Gacharná</w:t>
            </w:r>
          </w:p>
          <w:p w14:paraId="30998C9B" w14:textId="77777777" w:rsidR="003828E6" w:rsidRPr="00A30FDD" w:rsidRDefault="003828E6" w:rsidP="00EE009D">
            <w:pPr>
              <w:contextualSpacing/>
              <w:rPr>
                <w:rFonts w:ascii="Verdana" w:eastAsia="Calibri" w:hAnsi="Verdana" w:cs="Arial"/>
                <w:sz w:val="15"/>
                <w:szCs w:val="15"/>
                <w:lang w:val="es-ES" w:eastAsia="es-ES"/>
              </w:rPr>
            </w:pPr>
            <w:r w:rsidRPr="00B10A54">
              <w:rPr>
                <w:rFonts w:ascii="Verdana" w:eastAsia="Calibri" w:hAnsi="Verdana" w:cs="Arial"/>
                <w:sz w:val="15"/>
                <w:szCs w:val="15"/>
                <w:lang w:val="es-ES" w:eastAsia="es-ES"/>
              </w:rPr>
              <w:t>Subdirectora de Gestión Contractual ANCP – CCE</w:t>
            </w:r>
          </w:p>
        </w:tc>
      </w:tr>
    </w:tbl>
    <w:p w14:paraId="47C9593D" w14:textId="0691A218" w:rsidR="003828E6" w:rsidRPr="00A30FDD" w:rsidRDefault="003828E6" w:rsidP="003828E6">
      <w:pPr>
        <w:rPr>
          <w:lang w:val="es-ES"/>
        </w:rPr>
      </w:pPr>
    </w:p>
    <w:p w14:paraId="127160A4" w14:textId="77777777" w:rsidR="003828E6" w:rsidRPr="00A30FDD" w:rsidRDefault="003828E6" w:rsidP="003828E6">
      <w:pPr>
        <w:rPr>
          <w:lang w:val="es-ES"/>
        </w:rPr>
      </w:pPr>
    </w:p>
    <w:p w14:paraId="22952123" w14:textId="77777777" w:rsidR="003828E6" w:rsidRPr="00A30FDD" w:rsidRDefault="003828E6" w:rsidP="003828E6">
      <w:pPr>
        <w:rPr>
          <w:lang w:val="es-ES"/>
        </w:rPr>
      </w:pPr>
    </w:p>
    <w:p w14:paraId="4E24FFF9" w14:textId="77777777" w:rsidR="003828E6" w:rsidRPr="00A30FDD" w:rsidRDefault="003828E6" w:rsidP="003828E6">
      <w:pPr>
        <w:rPr>
          <w:lang w:val="es-ES"/>
        </w:rPr>
      </w:pPr>
    </w:p>
    <w:bookmarkEnd w:id="0"/>
    <w:p w14:paraId="18042A86" w14:textId="5F04BB4C" w:rsidR="00226C73" w:rsidRPr="00A30FDD" w:rsidRDefault="00226C73" w:rsidP="00226C73">
      <w:pPr>
        <w:spacing w:after="0" w:line="276" w:lineRule="auto"/>
        <w:rPr>
          <w:rFonts w:ascii="Verdana" w:hAnsi="Verdana" w:cs="Arial"/>
          <w:color w:val="000000" w:themeColor="text1"/>
          <w:lang w:val="es-ES" w:eastAsia="es-CO"/>
        </w:rPr>
      </w:pPr>
    </w:p>
    <w:sectPr w:rsidR="00226C73" w:rsidRPr="00A30FDD" w:rsidSect="007C0C0F">
      <w:headerReference w:type="default" r:id="rId14"/>
      <w:footerReference w:type="default" r:id="rId15"/>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A78C2" w14:textId="77777777" w:rsidR="009C1D87" w:rsidRDefault="009C1D87" w:rsidP="004A1847">
      <w:pPr>
        <w:spacing w:after="0" w:line="240" w:lineRule="auto"/>
      </w:pPr>
      <w:r>
        <w:separator/>
      </w:r>
    </w:p>
  </w:endnote>
  <w:endnote w:type="continuationSeparator" w:id="0">
    <w:p w14:paraId="1EB717B7" w14:textId="77777777" w:rsidR="009C1D87" w:rsidRDefault="009C1D87" w:rsidP="004A1847">
      <w:pPr>
        <w:spacing w:after="0" w:line="240" w:lineRule="auto"/>
      </w:pPr>
      <w:r>
        <w:continuationSeparator/>
      </w:r>
    </w:p>
  </w:endnote>
  <w:endnote w:type="continuationNotice" w:id="1">
    <w:p w14:paraId="60D5B245" w14:textId="77777777" w:rsidR="009C1D87" w:rsidRDefault="009C1D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Arial MT">
    <w:altName w:val="Arial"/>
    <w:charset w:val="01"/>
    <w:family w:val="swiss"/>
    <w:pitch w:val="variable"/>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0D520D8" w:rsidP="00D520D8">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Pr>
        <w:rFonts w:ascii="Verdana" w:eastAsiaTheme="minorEastAsia" w:hAnsi="Verdana"/>
        <w:b/>
        <w:bCs/>
        <w:sz w:val="16"/>
        <w:szCs w:val="16"/>
      </w:rPr>
      <w:t>1</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0A735DD5" w14:textId="77777777" w:rsidR="00D520D8" w:rsidRDefault="00D520D8" w:rsidP="00D520D8">
    <w:pPr>
      <w:spacing w:after="0"/>
      <w:jc w:val="both"/>
      <w:rPr>
        <w:rFonts w:ascii="Verdana" w:hAnsi="Verdana"/>
        <w:sz w:val="18"/>
        <w:szCs w:val="18"/>
      </w:rPr>
    </w:pPr>
    <w:r w:rsidRPr="00E41027">
      <w:rPr>
        <w:rFonts w:ascii="Verdana" w:hAnsi="Verdana"/>
        <w:sz w:val="18"/>
        <w:szCs w:val="18"/>
      </w:rPr>
      <w:t>Dirección: Carrera 7 # 26 – 20 - Bogotá, Colombia</w:t>
    </w:r>
  </w:p>
  <w:p w14:paraId="06E36B88" w14:textId="77777777" w:rsidR="00D520D8" w:rsidRPr="00E41027" w:rsidRDefault="00D520D8" w:rsidP="00D520D8">
    <w:pPr>
      <w:spacing w:after="0"/>
      <w:jc w:val="both"/>
      <w:rPr>
        <w:rFonts w:ascii="Verdana" w:hAnsi="Verdana"/>
        <w:sz w:val="18"/>
        <w:szCs w:val="18"/>
      </w:rPr>
    </w:pPr>
    <w:r w:rsidRPr="00E41027">
      <w:rPr>
        <w:rFonts w:ascii="Verdana" w:hAnsi="Verdana"/>
        <w:sz w:val="18"/>
        <w:szCs w:val="18"/>
      </w:rPr>
      <w:t>Mesa de servicio: (+57) 601 7456788</w:t>
    </w:r>
  </w:p>
  <w:p w14:paraId="744661F5" w14:textId="593AA28F" w:rsidR="006219F8" w:rsidRDefault="00D520D8" w:rsidP="0025796E">
    <w:pPr>
      <w:pBdr>
        <w:top w:val="nil"/>
        <w:left w:val="nil"/>
        <w:bottom w:val="nil"/>
        <w:right w:val="nil"/>
        <w:between w:val="nil"/>
      </w:pBdr>
      <w:tabs>
        <w:tab w:val="center" w:pos="4419"/>
        <w:tab w:val="right" w:pos="8838"/>
        <w:tab w:val="center" w:pos="5400"/>
      </w:tabs>
      <w:spacing w:after="0"/>
    </w:pPr>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sidR="00FA47C0" w:rsidRPr="004A305D">
      <w:rPr>
        <w:rFonts w:ascii="Century Gothic" w:eastAsia="Geo" w:hAnsi="Century Gothic" w:cs="Geo"/>
        <w:b/>
        <w:color w:val="000000"/>
        <w:sz w:val="16"/>
        <w:szCs w:val="16"/>
        <w:lang w:eastAsia="es-CO"/>
      </w:rPr>
      <w:t xml:space="preserve">Código: </w:t>
    </w:r>
    <w:r w:rsidR="00FA47C0" w:rsidRPr="004A305D">
      <w:rPr>
        <w:rFonts w:ascii="Century Gothic" w:eastAsia="Geo" w:hAnsi="Century Gothic" w:cs="Geo"/>
        <w:bCs/>
        <w:color w:val="000000"/>
        <w:sz w:val="16"/>
        <w:szCs w:val="16"/>
        <w:lang w:eastAsia="es-CO"/>
      </w:rPr>
      <w:t>CCE-</w:t>
    </w:r>
    <w:r w:rsidR="00FA47C0">
      <w:rPr>
        <w:rFonts w:ascii="Century Gothic" w:eastAsia="Geo" w:hAnsi="Century Gothic" w:cs="Geo"/>
        <w:bCs/>
        <w:color w:val="000000"/>
        <w:sz w:val="16"/>
        <w:szCs w:val="16"/>
        <w:lang w:eastAsia="es-CO"/>
      </w:rPr>
      <w:t>REC</w:t>
    </w:r>
    <w:r w:rsidR="00FA47C0" w:rsidRPr="004A305D">
      <w:rPr>
        <w:rFonts w:ascii="Century Gothic" w:eastAsia="Geo" w:hAnsi="Century Gothic" w:cs="Geo"/>
        <w:bCs/>
        <w:color w:val="000000"/>
        <w:sz w:val="16"/>
        <w:szCs w:val="16"/>
        <w:lang w:eastAsia="es-CO"/>
      </w:rPr>
      <w:t>-FM-</w:t>
    </w:r>
    <w:r w:rsidR="00FA47C0">
      <w:rPr>
        <w:rFonts w:ascii="Century Gothic" w:eastAsia="Geo" w:hAnsi="Century Gothic" w:cs="Geo"/>
        <w:bCs/>
        <w:color w:val="000000"/>
        <w:sz w:val="16"/>
        <w:szCs w:val="16"/>
        <w:lang w:eastAsia="es-CO"/>
      </w:rPr>
      <w:t>17</w:t>
    </w:r>
    <w:r w:rsidR="0025796E">
      <w:rPr>
        <w:rFonts w:ascii="Century Gothic" w:eastAsia="Geo" w:hAnsi="Century Gothic" w:cs="Geo"/>
        <w:bCs/>
        <w:color w:val="000000"/>
        <w:sz w:val="16"/>
        <w:szCs w:val="16"/>
        <w:lang w:eastAsia="es-CO"/>
      </w:rPr>
      <w:t xml:space="preserve"> </w:t>
    </w:r>
    <w:r w:rsidR="00FA47C0" w:rsidRPr="004A305D">
      <w:rPr>
        <w:rFonts w:ascii="Century Gothic" w:eastAsia="Geo" w:hAnsi="Century Gothic" w:cs="Geo"/>
        <w:b/>
        <w:color w:val="000000"/>
        <w:sz w:val="16"/>
        <w:szCs w:val="16"/>
        <w:lang w:eastAsia="es-CO"/>
      </w:rPr>
      <w:t>Versión</w:t>
    </w:r>
    <w:r w:rsidR="00FA47C0" w:rsidRPr="004A305D">
      <w:rPr>
        <w:rFonts w:ascii="Century Gothic" w:eastAsia="Arial Nova" w:hAnsi="Century Gothic" w:cs="Arial Nova"/>
        <w:b/>
        <w:color w:val="000000"/>
        <w:sz w:val="16"/>
        <w:szCs w:val="16"/>
        <w:lang w:eastAsia="es-CO"/>
      </w:rPr>
      <w:t xml:space="preserve">: </w:t>
    </w:r>
    <w:r w:rsidR="00FA47C0" w:rsidRPr="004A305D">
      <w:rPr>
        <w:rFonts w:ascii="Century Gothic" w:eastAsia="Geo" w:hAnsi="Century Gothic" w:cs="Geo"/>
        <w:sz w:val="16"/>
        <w:szCs w:val="16"/>
        <w:lang w:eastAsia="es-CO"/>
      </w:rPr>
      <w:t>0</w:t>
    </w:r>
    <w:r w:rsidR="00FA47C0">
      <w:rPr>
        <w:rFonts w:ascii="Century Gothic" w:eastAsia="Geo" w:hAnsi="Century Gothic" w:cs="Geo"/>
        <w:sz w:val="16"/>
        <w:szCs w:val="16"/>
        <w:lang w:eastAsia="es-CO"/>
      </w:rPr>
      <w:t>2</w:t>
    </w:r>
    <w:r w:rsidR="00FA47C0" w:rsidRPr="004A305D">
      <w:rPr>
        <w:rFonts w:ascii="Century Gothic" w:eastAsia="Geo" w:hAnsi="Century Gothic" w:cs="Geo"/>
        <w:sz w:val="16"/>
        <w:szCs w:val="16"/>
        <w:lang w:eastAsia="es-CO"/>
      </w:rPr>
      <w:t xml:space="preserve"> </w:t>
    </w:r>
    <w:r w:rsidR="0025796E">
      <w:rPr>
        <w:rFonts w:ascii="Century Gothic" w:eastAsia="Geo" w:hAnsi="Century Gothic" w:cs="Geo"/>
        <w:sz w:val="16"/>
        <w:szCs w:val="16"/>
        <w:lang w:eastAsia="es-CO"/>
      </w:rPr>
      <w:t>Fecha: 31-08-2023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7788C" w14:textId="77777777" w:rsidR="009C1D87" w:rsidRDefault="009C1D87" w:rsidP="004A1847">
      <w:pPr>
        <w:spacing w:after="0" w:line="240" w:lineRule="auto"/>
      </w:pPr>
      <w:r>
        <w:separator/>
      </w:r>
    </w:p>
  </w:footnote>
  <w:footnote w:type="continuationSeparator" w:id="0">
    <w:p w14:paraId="59CE4349" w14:textId="77777777" w:rsidR="009C1D87" w:rsidRDefault="009C1D87" w:rsidP="004A1847">
      <w:pPr>
        <w:spacing w:after="0" w:line="240" w:lineRule="auto"/>
      </w:pPr>
      <w:r>
        <w:continuationSeparator/>
      </w:r>
    </w:p>
  </w:footnote>
  <w:footnote w:type="continuationNotice" w:id="1">
    <w:p w14:paraId="460A0B38" w14:textId="77777777" w:rsidR="009C1D87" w:rsidRDefault="009C1D87">
      <w:pPr>
        <w:spacing w:after="0" w:line="240" w:lineRule="auto"/>
      </w:pPr>
    </w:p>
  </w:footnote>
  <w:footnote w:id="2">
    <w:p w14:paraId="54645C1C" w14:textId="77777777" w:rsidR="00854880" w:rsidRPr="00A874F7" w:rsidRDefault="00854880" w:rsidP="00A874F7">
      <w:pPr>
        <w:pStyle w:val="NormalWeb"/>
        <w:spacing w:before="0" w:beforeAutospacing="0" w:after="0" w:afterAutospacing="0"/>
        <w:ind w:firstLine="709"/>
        <w:contextualSpacing/>
        <w:jc w:val="both"/>
        <w:rPr>
          <w:rFonts w:ascii="Verdana" w:hAnsi="Verdana" w:cs="Arial"/>
          <w:color w:val="000000" w:themeColor="text1"/>
          <w:sz w:val="14"/>
          <w:szCs w:val="14"/>
        </w:rPr>
      </w:pPr>
      <w:r w:rsidRPr="00A874F7">
        <w:rPr>
          <w:rStyle w:val="Refdenotaalpie"/>
          <w:rFonts w:ascii="Verdana" w:hAnsi="Verdana" w:cs="Arial"/>
          <w:sz w:val="14"/>
          <w:szCs w:val="14"/>
        </w:rPr>
        <w:footnoteRef/>
      </w:r>
      <w:r w:rsidRPr="00A874F7">
        <w:rPr>
          <w:rFonts w:ascii="Verdana" w:hAnsi="Verdana" w:cs="Arial"/>
          <w:color w:val="000000" w:themeColor="text1"/>
          <w:sz w:val="14"/>
          <w:szCs w:val="14"/>
        </w:rPr>
        <w:t xml:space="preserve"> Ley 80 de 1993: “Artículo 13. De la normatividad aplicable a los contratos estatales. Los contratos que celebren las entidades a que se refiere el artículo </w:t>
      </w:r>
      <w:hyperlink r:id="rId1" w:anchor="2" w:history="1">
        <w:r w:rsidRPr="00A874F7">
          <w:rPr>
            <w:rStyle w:val="Hipervnculo"/>
            <w:rFonts w:ascii="Verdana" w:hAnsi="Verdana" w:cs="Arial"/>
            <w:color w:val="000000" w:themeColor="text1"/>
            <w:sz w:val="14"/>
            <w:szCs w:val="14"/>
          </w:rPr>
          <w:t>2</w:t>
        </w:r>
      </w:hyperlink>
      <w:r w:rsidRPr="00A874F7">
        <w:rPr>
          <w:rFonts w:ascii="Verdana" w:hAnsi="Verdana" w:cs="Arial"/>
          <w:color w:val="000000" w:themeColor="text1"/>
          <w:sz w:val="14"/>
          <w:szCs w:val="14"/>
        </w:rPr>
        <w:t>o. del presente estatuto se regirán por las disposiciones comerciales y civiles pertinentes, salvo en las materias particularmente reguladas en esta ley.</w:t>
      </w:r>
    </w:p>
    <w:p w14:paraId="292E6EDF" w14:textId="77777777" w:rsidR="00854880" w:rsidRPr="00A874F7" w:rsidRDefault="00854880" w:rsidP="00A874F7">
      <w:pPr>
        <w:pStyle w:val="NormalWeb"/>
        <w:spacing w:before="0" w:beforeAutospacing="0" w:after="0" w:afterAutospacing="0"/>
        <w:ind w:firstLine="709"/>
        <w:contextualSpacing/>
        <w:jc w:val="both"/>
        <w:rPr>
          <w:rFonts w:ascii="Verdana" w:hAnsi="Verdana" w:cs="Arial"/>
          <w:color w:val="000000" w:themeColor="text1"/>
          <w:sz w:val="14"/>
          <w:szCs w:val="14"/>
        </w:rPr>
      </w:pPr>
      <w:r w:rsidRPr="00A874F7">
        <w:rPr>
          <w:rFonts w:ascii="Verdana" w:hAnsi="Verdana" w:cs="Arial"/>
          <w:color w:val="000000" w:themeColor="text1"/>
          <w:sz w:val="14"/>
          <w:szCs w:val="14"/>
        </w:rPr>
        <w:t>Los contratos celebrados en el exterior se podrán regir en su ejecución por las reglas del país en donde se hayan suscrito, a menos que deban cumplirse en Colombia.</w:t>
      </w:r>
    </w:p>
    <w:p w14:paraId="75603800" w14:textId="77777777" w:rsidR="00854880" w:rsidRPr="00A874F7" w:rsidRDefault="00854880" w:rsidP="00A874F7">
      <w:pPr>
        <w:pStyle w:val="NormalWeb"/>
        <w:spacing w:before="0" w:beforeAutospacing="0" w:after="0" w:afterAutospacing="0"/>
        <w:ind w:firstLine="709"/>
        <w:contextualSpacing/>
        <w:jc w:val="both"/>
        <w:rPr>
          <w:rFonts w:ascii="Verdana" w:hAnsi="Verdana" w:cs="Arial"/>
          <w:color w:val="000000" w:themeColor="text1"/>
          <w:sz w:val="14"/>
          <w:szCs w:val="14"/>
        </w:rPr>
      </w:pPr>
      <w:r w:rsidRPr="00A874F7">
        <w:rPr>
          <w:rFonts w:ascii="Verdana" w:hAnsi="Verdana" w:cs="Arial"/>
          <w:color w:val="000000" w:themeColor="text1"/>
          <w:sz w:val="14"/>
          <w:szCs w:val="14"/>
        </w:rPr>
        <w:t>Los contratos que se celebren en Colombia y deban ejecutarse o cumplirse en el extranjero, podrán someterse a la ley extranjera”.</w:t>
      </w:r>
    </w:p>
  </w:footnote>
  <w:footnote w:id="3">
    <w:p w14:paraId="6FFF34C7" w14:textId="77777777" w:rsidR="00854880" w:rsidRPr="00A874F7" w:rsidRDefault="00854880" w:rsidP="00A874F7">
      <w:pPr>
        <w:pStyle w:val="Textonotapie"/>
        <w:ind w:firstLine="709"/>
        <w:contextualSpacing/>
        <w:jc w:val="both"/>
        <w:rPr>
          <w:rFonts w:ascii="Verdana" w:hAnsi="Verdana" w:cs="Arial"/>
          <w:color w:val="000000" w:themeColor="text1"/>
          <w:sz w:val="14"/>
          <w:szCs w:val="14"/>
          <w:lang w:val="es-ES_tradnl"/>
        </w:rPr>
      </w:pPr>
      <w:r w:rsidRPr="00A874F7">
        <w:rPr>
          <w:rStyle w:val="Refdenotaalpie"/>
          <w:rFonts w:ascii="Verdana" w:hAnsi="Verdana" w:cs="Arial"/>
          <w:sz w:val="14"/>
          <w:szCs w:val="14"/>
        </w:rPr>
        <w:footnoteRef/>
      </w:r>
      <w:r w:rsidRPr="00A874F7">
        <w:rPr>
          <w:rFonts w:ascii="Verdana" w:hAnsi="Verdana" w:cs="Arial"/>
          <w:color w:val="000000" w:themeColor="text1"/>
          <w:sz w:val="14"/>
          <w:szCs w:val="14"/>
        </w:rPr>
        <w:t xml:space="preserve"> Consejo de Estado. Sección Tercera, Subsección C. Sentencia del 26 de noviembre de 2015. </w:t>
      </w:r>
      <w:r w:rsidRPr="00A874F7">
        <w:rPr>
          <w:rFonts w:ascii="Verdana" w:hAnsi="Verdana" w:cs="Arial"/>
          <w:color w:val="000000" w:themeColor="text1"/>
          <w:sz w:val="14"/>
          <w:szCs w:val="14"/>
          <w:lang w:val="es-ES_tradnl"/>
        </w:rPr>
        <w:t xml:space="preserve">Exp. </w:t>
      </w:r>
      <w:r w:rsidRPr="00A874F7">
        <w:rPr>
          <w:rFonts w:ascii="Verdana" w:hAnsi="Verdana" w:cs="Arial"/>
          <w:color w:val="000000" w:themeColor="text1"/>
          <w:sz w:val="14"/>
          <w:szCs w:val="14"/>
          <w:lang w:val="es-CO"/>
        </w:rPr>
        <w:t xml:space="preserve">54.069. C.P Jaime Orlando Santofimio Gamboa. </w:t>
      </w:r>
    </w:p>
  </w:footnote>
  <w:footnote w:id="4">
    <w:p w14:paraId="2C98BBD1" w14:textId="77777777" w:rsidR="00854880" w:rsidRPr="00A874F7" w:rsidRDefault="00854880" w:rsidP="00A874F7">
      <w:pPr>
        <w:pStyle w:val="Textonotapie"/>
        <w:ind w:firstLine="709"/>
        <w:contextualSpacing/>
        <w:jc w:val="both"/>
        <w:rPr>
          <w:rFonts w:ascii="Verdana" w:hAnsi="Verdana" w:cs="Arial"/>
          <w:color w:val="000000" w:themeColor="text1"/>
          <w:sz w:val="14"/>
          <w:szCs w:val="14"/>
          <w:lang w:eastAsia="es-CO"/>
        </w:rPr>
      </w:pPr>
      <w:r w:rsidRPr="00A874F7">
        <w:rPr>
          <w:rStyle w:val="Refdenotaalpie"/>
          <w:rFonts w:ascii="Verdana" w:hAnsi="Verdana" w:cs="Arial"/>
          <w:sz w:val="14"/>
          <w:szCs w:val="14"/>
        </w:rPr>
        <w:footnoteRef/>
      </w:r>
      <w:r w:rsidRPr="00A874F7">
        <w:rPr>
          <w:rFonts w:ascii="Verdana" w:hAnsi="Verdana" w:cs="Arial"/>
          <w:color w:val="000000" w:themeColor="text1"/>
          <w:sz w:val="14"/>
          <w:szCs w:val="14"/>
        </w:rPr>
        <w:t xml:space="preserve"> </w:t>
      </w:r>
      <w:r w:rsidRPr="00A874F7">
        <w:rPr>
          <w:rFonts w:ascii="Verdana" w:hAnsi="Verdana" w:cs="Arial"/>
          <w:color w:val="000000" w:themeColor="text1"/>
          <w:sz w:val="14"/>
          <w:szCs w:val="14"/>
          <w:lang w:eastAsia="es-CO"/>
        </w:rPr>
        <w:t>“Los contratos financiados con fondos de los organismos multilaterales de crédito o celebrados con personas extranjeras de derecho público u organismos de cooperación, asistencia o ayuda internacionales, podrán someterse a los reglamentos de tales entidades en todo lo relacionado con procedimientos de formación y adjudicación y cláusulas especiales de ejecución, cumplimiento, pago y ajustes”. (Derogado por el artículo 32 de la Ley 1150 de 2007).</w:t>
      </w:r>
    </w:p>
  </w:footnote>
  <w:footnote w:id="5">
    <w:p w14:paraId="29620293" w14:textId="77777777" w:rsidR="00224B5D" w:rsidRPr="00A874F7" w:rsidRDefault="00224B5D" w:rsidP="00A874F7">
      <w:pPr>
        <w:pStyle w:val="Textonotapie"/>
        <w:ind w:firstLine="709"/>
        <w:contextualSpacing/>
        <w:jc w:val="both"/>
        <w:rPr>
          <w:rFonts w:ascii="Verdana" w:hAnsi="Verdana" w:cs="Arial"/>
          <w:color w:val="000000" w:themeColor="text1"/>
          <w:sz w:val="14"/>
          <w:szCs w:val="14"/>
          <w:lang w:val="es-CO"/>
        </w:rPr>
      </w:pPr>
      <w:r w:rsidRPr="00A874F7">
        <w:rPr>
          <w:rStyle w:val="Refdenotaalpie"/>
          <w:rFonts w:ascii="Verdana" w:hAnsi="Verdana" w:cs="Arial"/>
          <w:sz w:val="14"/>
          <w:szCs w:val="14"/>
        </w:rPr>
        <w:footnoteRef/>
      </w:r>
      <w:r w:rsidRPr="00A874F7">
        <w:rPr>
          <w:rFonts w:ascii="Verdana" w:hAnsi="Verdana" w:cs="Arial"/>
          <w:color w:val="000000" w:themeColor="text1"/>
          <w:sz w:val="14"/>
          <w:szCs w:val="14"/>
          <w:lang w:val="es-CO"/>
        </w:rPr>
        <w:t xml:space="preserve"> FIGUEROA U. Organismos internacionales. 2ª edición. Santiago de Chile: Editorial RIL editores, 2010.</w:t>
      </w:r>
    </w:p>
  </w:footnote>
  <w:footnote w:id="6">
    <w:p w14:paraId="0E0C7B6A" w14:textId="77777777" w:rsidR="00854880" w:rsidRPr="00A874F7" w:rsidRDefault="00854880" w:rsidP="00A874F7">
      <w:pPr>
        <w:pStyle w:val="NormalWeb"/>
        <w:shd w:val="clear" w:color="auto" w:fill="FFFFFF"/>
        <w:spacing w:before="0" w:beforeAutospacing="0" w:after="0" w:afterAutospacing="0"/>
        <w:ind w:firstLine="709"/>
        <w:contextualSpacing/>
        <w:jc w:val="both"/>
        <w:rPr>
          <w:rFonts w:ascii="Verdana" w:hAnsi="Verdana" w:cs="Arial"/>
          <w:color w:val="000000" w:themeColor="text1"/>
          <w:sz w:val="14"/>
          <w:szCs w:val="14"/>
        </w:rPr>
      </w:pPr>
      <w:r w:rsidRPr="00A874F7">
        <w:rPr>
          <w:rStyle w:val="Refdenotaalpie"/>
          <w:rFonts w:ascii="Verdana" w:hAnsi="Verdana" w:cs="Arial"/>
          <w:sz w:val="14"/>
          <w:szCs w:val="14"/>
        </w:rPr>
        <w:footnoteRef/>
      </w:r>
      <w:r w:rsidRPr="00A874F7">
        <w:rPr>
          <w:rFonts w:ascii="Verdana" w:hAnsi="Verdana" w:cs="Arial"/>
          <w:color w:val="000000" w:themeColor="text1"/>
          <w:sz w:val="14"/>
          <w:szCs w:val="14"/>
        </w:rPr>
        <w:t xml:space="preserve"> Decreto 1082 de 2015. “Artículo </w:t>
      </w:r>
      <w:r w:rsidRPr="00A874F7">
        <w:rPr>
          <w:rStyle w:val="Fuerte"/>
          <w:rFonts w:ascii="Verdana" w:hAnsi="Verdana" w:cs="Arial"/>
          <w:b w:val="0"/>
          <w:bCs w:val="0"/>
          <w:color w:val="000000" w:themeColor="text1"/>
          <w:sz w:val="14"/>
          <w:szCs w:val="14"/>
        </w:rPr>
        <w:t>2.2.1.2.4.4.1.</w:t>
      </w:r>
      <w:r w:rsidRPr="00A874F7">
        <w:rPr>
          <w:rStyle w:val="Fuerte"/>
          <w:rFonts w:ascii="Verdana" w:hAnsi="Verdana" w:cs="Arial"/>
          <w:color w:val="000000" w:themeColor="text1"/>
          <w:sz w:val="14"/>
          <w:szCs w:val="14"/>
        </w:rPr>
        <w:t> </w:t>
      </w:r>
      <w:r w:rsidRPr="00A874F7">
        <w:rPr>
          <w:rStyle w:val="nfasis"/>
          <w:rFonts w:ascii="Verdana" w:hAnsi="Verdana" w:cs="Arial"/>
          <w:color w:val="000000" w:themeColor="text1"/>
          <w:sz w:val="14"/>
          <w:szCs w:val="14"/>
        </w:rPr>
        <w:t>Régimen aplicable a los contratos o convenios de cooperación Internacional. </w:t>
      </w:r>
      <w:r w:rsidRPr="00A874F7">
        <w:rPr>
          <w:rFonts w:ascii="Verdana" w:hAnsi="Verdana" w:cs="Arial"/>
          <w:color w:val="000000" w:themeColor="text1"/>
          <w:sz w:val="14"/>
          <w:szCs w:val="14"/>
        </w:rPr>
        <w:t>Los contratos o convenios financiados en su totalidad o en sumas iguales o superiores al cincuenta por ciento (50%) con fondos de los organismos de cooperación, asistencia o ayudas internacionales, pueden someterse a los reglamentos de tales entidades incluidos los recursos de aporte de fuente nacional o sus equivalentes vinculados a estas operaciones en los acuerdos celebrados, o sus reglamentos, según el caso. En caso contrario, los contratos o convenios que se celebren en su totalidad o en sumas iguales o superiores al cincuenta por ciento (50%) con recursos de origen nacional se someterán al presente título.</w:t>
      </w:r>
    </w:p>
    <w:p w14:paraId="0FE74D9B" w14:textId="77777777" w:rsidR="00854880" w:rsidRPr="00A874F7" w:rsidRDefault="00854880" w:rsidP="00A874F7">
      <w:pPr>
        <w:pStyle w:val="NormalWeb"/>
        <w:shd w:val="clear" w:color="auto" w:fill="FFFFFF"/>
        <w:spacing w:before="0" w:beforeAutospacing="0" w:after="0" w:afterAutospacing="0"/>
        <w:ind w:firstLine="709"/>
        <w:contextualSpacing/>
        <w:jc w:val="both"/>
        <w:rPr>
          <w:rFonts w:ascii="Verdana" w:hAnsi="Verdana" w:cs="Arial"/>
          <w:color w:val="000000" w:themeColor="text1"/>
          <w:sz w:val="14"/>
          <w:szCs w:val="14"/>
        </w:rPr>
      </w:pPr>
      <w:r w:rsidRPr="00A874F7">
        <w:rPr>
          <w:rFonts w:ascii="Verdana" w:hAnsi="Verdana" w:cs="Arial"/>
          <w:i/>
          <w:color w:val="000000" w:themeColor="text1"/>
          <w:sz w:val="14"/>
          <w:szCs w:val="14"/>
        </w:rPr>
        <w:t>Si el aporte de fuente nacional o internacional de un contrato o convenio de cooperación internacional es modificado o los aportes no se ejecutan en los términos pactados, las Entidades Estatales deben modificar los contratos o convenios para efectos de que estos estén sujetos a las normas del sistema de compras y contratación pública, si el aporte de recursos públicos es superior al cincuenta por ciento (50%) del total o de las normas internas de la entidad de cooperación si el aporte es inferior</w:t>
      </w:r>
      <w:r w:rsidRPr="00A874F7">
        <w:rPr>
          <w:rFonts w:ascii="Verdana" w:hAnsi="Verdana" w:cs="Arial"/>
          <w:color w:val="000000" w:themeColor="text1"/>
          <w:sz w:val="14"/>
          <w:szCs w:val="14"/>
        </w:rPr>
        <w:t>.</w:t>
      </w:r>
    </w:p>
    <w:p w14:paraId="3798DA59" w14:textId="77777777" w:rsidR="00854880" w:rsidRPr="00A874F7" w:rsidRDefault="00854880" w:rsidP="00A874F7">
      <w:pPr>
        <w:pStyle w:val="NormalWeb"/>
        <w:shd w:val="clear" w:color="auto" w:fill="FFFFFF"/>
        <w:spacing w:before="0" w:beforeAutospacing="0" w:after="0" w:afterAutospacing="0"/>
        <w:ind w:firstLine="709"/>
        <w:contextualSpacing/>
        <w:jc w:val="both"/>
        <w:rPr>
          <w:rFonts w:ascii="Verdana" w:hAnsi="Verdana" w:cs="Arial"/>
          <w:color w:val="000000" w:themeColor="text1"/>
          <w:sz w:val="14"/>
          <w:szCs w:val="14"/>
        </w:rPr>
      </w:pPr>
      <w:r w:rsidRPr="00A874F7">
        <w:rPr>
          <w:rFonts w:ascii="Verdana" w:hAnsi="Verdana" w:cs="Arial"/>
          <w:color w:val="000000" w:themeColor="text1"/>
          <w:sz w:val="14"/>
          <w:szCs w:val="14"/>
        </w:rPr>
        <w:t>Cuando la variación de la participación de los aportes de las partes es consecuencia de las fluctuaciones de la tasa de cambio de la moneda pactada en el convenio o contrato de cooperación internacional, este seguirá sometido a las reglas establecidas en el momento de su suscripción.</w:t>
      </w:r>
    </w:p>
    <w:p w14:paraId="7DFD5428" w14:textId="77777777" w:rsidR="00854880" w:rsidRPr="00A874F7" w:rsidRDefault="00854880" w:rsidP="00A874F7">
      <w:pPr>
        <w:pStyle w:val="NormalWeb"/>
        <w:shd w:val="clear" w:color="auto" w:fill="FFFFFF"/>
        <w:spacing w:before="0" w:beforeAutospacing="0" w:after="0" w:afterAutospacing="0"/>
        <w:ind w:firstLine="709"/>
        <w:contextualSpacing/>
        <w:jc w:val="both"/>
        <w:rPr>
          <w:rFonts w:ascii="Verdana" w:hAnsi="Verdana" w:cs="Arial"/>
          <w:color w:val="000000" w:themeColor="text1"/>
          <w:sz w:val="14"/>
          <w:szCs w:val="14"/>
        </w:rPr>
      </w:pPr>
      <w:r w:rsidRPr="00A874F7">
        <w:rPr>
          <w:rFonts w:ascii="Verdana" w:hAnsi="Verdana" w:cs="Arial"/>
          <w:color w:val="000000" w:themeColor="text1"/>
          <w:sz w:val="14"/>
          <w:szCs w:val="14"/>
        </w:rPr>
        <w:t>Los recursos generados en desarrollo de los contratos o convenios financiados con fondos de los organismos de cooperación, asistencia o ayudas internacionales no deben ser tenidos en cuenta para determinar los porcentajes de los aportes de las partes». (Cursiva fuera del original).</w:t>
      </w:r>
    </w:p>
    <w:p w14:paraId="7A927BD6" w14:textId="77777777" w:rsidR="00854880" w:rsidRPr="00A874F7" w:rsidRDefault="00854880" w:rsidP="00A874F7">
      <w:pPr>
        <w:pStyle w:val="NormalWeb"/>
        <w:shd w:val="clear" w:color="auto" w:fill="FFFFFF"/>
        <w:spacing w:before="0" w:beforeAutospacing="0" w:after="0" w:afterAutospacing="0"/>
        <w:ind w:firstLine="709"/>
        <w:contextualSpacing/>
        <w:jc w:val="both"/>
        <w:rPr>
          <w:rFonts w:ascii="Verdana" w:hAnsi="Verdana" w:cs="Arial"/>
          <w:color w:val="000000" w:themeColor="text1"/>
          <w:sz w:val="14"/>
          <w:szCs w:val="14"/>
        </w:rPr>
      </w:pPr>
      <w:r w:rsidRPr="00A874F7">
        <w:rPr>
          <w:rFonts w:ascii="Verdana" w:hAnsi="Verdana" w:cs="Arial"/>
          <w:color w:val="000000" w:themeColor="text1"/>
          <w:sz w:val="14"/>
          <w:szCs w:val="14"/>
        </w:rPr>
        <w:t>Los contratos o convenios financiados con fondos de los organismos multilaterales de crédito, entes gubernamentales extranjeros o personas extranjeras de derecho público, así como aquellos a los que se refiere el inciso 2 del artículo 20 de la </w:t>
      </w:r>
      <w:r w:rsidRPr="00A874F7">
        <w:rPr>
          <w:rFonts w:ascii="Verdana" w:hAnsi="Verdana" w:cs="Arial"/>
          <w:sz w:val="14"/>
          <w:szCs w:val="14"/>
        </w:rPr>
        <w:t>Ley 1150 de 2007</w:t>
      </w:r>
      <w:r w:rsidRPr="00A874F7">
        <w:rPr>
          <w:rFonts w:ascii="Verdana" w:hAnsi="Verdana" w:cs="Arial"/>
          <w:color w:val="000000" w:themeColor="text1"/>
          <w:sz w:val="14"/>
          <w:szCs w:val="14"/>
        </w:rPr>
        <w:t>, se ejecutarán de conformidad con lo establecido en los tratados internacionales marco y complementarios, y en los convenios celebrados, o sus reglamentos, según sea el caso, incluidos los recursos de aporte de fuente nacional o sus equivalentes vinculados a tales operaciones en dichos documentos, sin que a ellos le sea aplicable el porcentaje señalado en el inciso primero del artículo 20 de la</w:t>
      </w:r>
      <w:r w:rsidRPr="00A874F7">
        <w:rPr>
          <w:rFonts w:ascii="Verdana" w:hAnsi="Verdana" w:cs="Arial"/>
          <w:sz w:val="14"/>
          <w:szCs w:val="14"/>
        </w:rPr>
        <w:t> Ley 1150 de 2007</w:t>
      </w:r>
      <w:r w:rsidRPr="00A874F7">
        <w:rPr>
          <w:rFonts w:ascii="Verdana" w:hAnsi="Verdana" w:cs="Arial"/>
          <w:color w:val="000000" w:themeColor="text1"/>
          <w:sz w:val="14"/>
          <w:szCs w:val="14"/>
        </w:rPr>
        <w:t>.</w:t>
      </w:r>
    </w:p>
    <w:p w14:paraId="60A5C3F1" w14:textId="77777777" w:rsidR="00854880" w:rsidRPr="00A874F7" w:rsidRDefault="00854880" w:rsidP="00A874F7">
      <w:pPr>
        <w:pStyle w:val="NormalWeb"/>
        <w:shd w:val="clear" w:color="auto" w:fill="FFFFFF"/>
        <w:spacing w:before="0" w:beforeAutospacing="0" w:after="0" w:afterAutospacing="0"/>
        <w:ind w:firstLine="709"/>
        <w:contextualSpacing/>
        <w:jc w:val="both"/>
        <w:rPr>
          <w:rFonts w:ascii="Verdana" w:hAnsi="Verdana" w:cs="Arial"/>
          <w:color w:val="000000" w:themeColor="text1"/>
          <w:sz w:val="14"/>
          <w:szCs w:val="14"/>
        </w:rPr>
      </w:pPr>
      <w:r w:rsidRPr="00A874F7">
        <w:rPr>
          <w:rFonts w:ascii="Verdana" w:hAnsi="Verdana" w:cs="Arial"/>
          <w:color w:val="000000" w:themeColor="text1"/>
          <w:sz w:val="14"/>
          <w:szCs w:val="14"/>
        </w:rPr>
        <w:t>Los contratos con personas extranjeras de derecho público se deben celebrar y ejecutar según se acuerde entre las partes” (Énfasis fuera de texto).</w:t>
      </w:r>
    </w:p>
  </w:footnote>
  <w:footnote w:id="7">
    <w:p w14:paraId="47C611CF" w14:textId="0F8E3B1D" w:rsidR="004532BE" w:rsidRPr="00A874F7" w:rsidRDefault="004532BE" w:rsidP="00A874F7">
      <w:pPr>
        <w:pStyle w:val="Textonotapie"/>
        <w:ind w:firstLine="708"/>
        <w:jc w:val="both"/>
        <w:rPr>
          <w:rFonts w:ascii="Verdana" w:hAnsi="Verdana"/>
          <w:sz w:val="14"/>
          <w:szCs w:val="14"/>
          <w:lang w:val="es-ES"/>
        </w:rPr>
      </w:pPr>
      <w:r w:rsidRPr="00A874F7">
        <w:rPr>
          <w:rStyle w:val="Refdenotaalpie"/>
          <w:rFonts w:ascii="Verdana" w:hAnsi="Verdana"/>
          <w:sz w:val="14"/>
          <w:szCs w:val="14"/>
        </w:rPr>
        <w:footnoteRef/>
      </w:r>
      <w:r w:rsidRPr="00A874F7">
        <w:rPr>
          <w:rFonts w:ascii="Verdana" w:hAnsi="Verdana"/>
          <w:sz w:val="14"/>
          <w:szCs w:val="14"/>
        </w:rPr>
        <w:t xml:space="preserve"> </w:t>
      </w:r>
      <w:r w:rsidRPr="00A874F7">
        <w:rPr>
          <w:rFonts w:ascii="Verdana" w:hAnsi="Verdana"/>
          <w:sz w:val="14"/>
          <w:szCs w:val="14"/>
          <w:lang w:val="es-ES"/>
        </w:rPr>
        <w:t>Derogado expresamente con el artículo 32 de la Ley 1150 de 2007. El texto anterior señalaba: “Los contratos financiados con fondos de los organismos multilaterales de crédito o celebrados con personas extranjeras de derecho público u organismos de cooperación, asistencia o ayuda internacionales, podrán someterse a los reglamentos de tales entidades en todo lo relacionado con procedimientos de formación y adjudicación y cláusulas especiales de ejecución, cumplimiento, pago y ajustes”.</w:t>
      </w:r>
    </w:p>
  </w:footnote>
  <w:footnote w:id="8">
    <w:p w14:paraId="43B80FD2" w14:textId="400F9524" w:rsidR="004532BE" w:rsidRPr="00A874F7" w:rsidRDefault="004532BE" w:rsidP="00A874F7">
      <w:pPr>
        <w:pStyle w:val="Textonotapie"/>
        <w:ind w:firstLine="708"/>
        <w:jc w:val="both"/>
        <w:rPr>
          <w:rFonts w:ascii="Verdana" w:hAnsi="Verdana"/>
          <w:sz w:val="14"/>
          <w:szCs w:val="14"/>
          <w:lang/>
        </w:rPr>
      </w:pPr>
      <w:r w:rsidRPr="00A874F7">
        <w:rPr>
          <w:rStyle w:val="Refdenotaalpie"/>
          <w:rFonts w:ascii="Verdana" w:hAnsi="Verdana"/>
          <w:sz w:val="14"/>
          <w:szCs w:val="14"/>
        </w:rPr>
        <w:footnoteRef/>
      </w:r>
      <w:r w:rsidRPr="00A874F7">
        <w:rPr>
          <w:rFonts w:ascii="Verdana" w:hAnsi="Verdana"/>
          <w:sz w:val="14"/>
          <w:szCs w:val="14"/>
        </w:rPr>
        <w:t xml:space="preserve"> </w:t>
      </w:r>
      <w:r w:rsidRPr="00A874F7">
        <w:rPr>
          <w:rFonts w:ascii="Verdana" w:hAnsi="Verdana"/>
          <w:sz w:val="14"/>
          <w:szCs w:val="14"/>
          <w:lang/>
        </w:rPr>
        <w:t xml:space="preserve">Corte Constitucional. Sentencia C-249 de 2004. </w:t>
      </w:r>
    </w:p>
  </w:footnote>
  <w:footnote w:id="9">
    <w:p w14:paraId="0743B1CD" w14:textId="7DCC9B29" w:rsidR="004532BE" w:rsidRPr="00A874F7" w:rsidRDefault="004532BE" w:rsidP="00A874F7">
      <w:pPr>
        <w:pStyle w:val="Textonotapie"/>
        <w:ind w:firstLine="708"/>
        <w:jc w:val="both"/>
        <w:rPr>
          <w:rFonts w:ascii="Verdana" w:hAnsi="Verdana"/>
          <w:sz w:val="14"/>
          <w:szCs w:val="14"/>
          <w:lang w:val="es-ES"/>
        </w:rPr>
      </w:pPr>
      <w:r w:rsidRPr="00A874F7">
        <w:rPr>
          <w:rStyle w:val="Refdenotaalpie"/>
          <w:rFonts w:ascii="Verdana" w:hAnsi="Verdana"/>
          <w:sz w:val="14"/>
          <w:szCs w:val="14"/>
        </w:rPr>
        <w:footnoteRef/>
      </w:r>
      <w:r w:rsidR="00C774A9" w:rsidRPr="00A874F7">
        <w:rPr>
          <w:rFonts w:ascii="Verdana" w:hAnsi="Verdana"/>
          <w:sz w:val="14"/>
          <w:szCs w:val="14"/>
        </w:rPr>
        <w:t xml:space="preserve"> Agencia Presidencial para la Acción Social y la Cooperación Internacional. La Cooperación Internacional y su régimenjurídico en Colombia.</w:t>
      </w:r>
      <w:r w:rsidRPr="00A874F7">
        <w:rPr>
          <w:rFonts w:ascii="Verdana" w:hAnsi="Verdana"/>
          <w:sz w:val="14"/>
          <w:szCs w:val="14"/>
        </w:rPr>
        <w:t xml:space="preserve"> </w:t>
      </w:r>
      <w:r w:rsidR="00C774A9" w:rsidRPr="00A874F7">
        <w:rPr>
          <w:rFonts w:ascii="Verdana" w:hAnsi="Verdana"/>
          <w:sz w:val="14"/>
          <w:szCs w:val="14"/>
          <w:lang w:val="es-ES"/>
        </w:rPr>
        <w:t>P</w:t>
      </w:r>
      <w:r w:rsidRPr="00A874F7">
        <w:rPr>
          <w:rFonts w:ascii="Verdana" w:hAnsi="Verdana"/>
          <w:sz w:val="14"/>
          <w:szCs w:val="14"/>
          <w:lang w:val="es-ES"/>
        </w:rPr>
        <w:t>. 58</w:t>
      </w:r>
      <w:r w:rsidR="00C774A9" w:rsidRPr="00A874F7">
        <w:rPr>
          <w:rFonts w:ascii="Verdana" w:hAnsi="Verdana"/>
          <w:sz w:val="14"/>
          <w:szCs w:val="14"/>
          <w:lang w:val="es-ES"/>
        </w:rPr>
        <w:t>.</w:t>
      </w:r>
    </w:p>
  </w:footnote>
  <w:footnote w:id="10">
    <w:p w14:paraId="1BDDC637" w14:textId="0DCD3735" w:rsidR="007F7E4B" w:rsidRPr="00A874F7" w:rsidRDefault="007F7E4B" w:rsidP="00A874F7">
      <w:pPr>
        <w:pStyle w:val="Textonotapie"/>
        <w:ind w:firstLine="708"/>
        <w:jc w:val="both"/>
        <w:rPr>
          <w:rFonts w:ascii="Verdana" w:hAnsi="Verdana"/>
          <w:sz w:val="14"/>
          <w:szCs w:val="14"/>
          <w:lang w:val="es-ES"/>
        </w:rPr>
      </w:pPr>
      <w:r w:rsidRPr="00A874F7">
        <w:rPr>
          <w:rStyle w:val="Refdenotaalpie"/>
          <w:rFonts w:ascii="Verdana" w:hAnsi="Verdana"/>
          <w:sz w:val="14"/>
          <w:szCs w:val="14"/>
        </w:rPr>
        <w:footnoteRef/>
      </w:r>
      <w:r w:rsidRPr="00A874F7">
        <w:rPr>
          <w:rFonts w:ascii="Verdana" w:hAnsi="Verdana"/>
          <w:sz w:val="14"/>
          <w:szCs w:val="14"/>
        </w:rPr>
        <w:t xml:space="preserve"> </w:t>
      </w:r>
      <w:r w:rsidRPr="00A874F7">
        <w:rPr>
          <w:rFonts w:ascii="Verdana" w:hAnsi="Verdana"/>
          <w:sz w:val="14"/>
          <w:szCs w:val="14"/>
          <w:lang w:val="es-ES"/>
        </w:rPr>
        <w:t>Disponible en: https://www.brettonwoods.org/</w:t>
      </w:r>
    </w:p>
  </w:footnote>
  <w:footnote w:id="11">
    <w:p w14:paraId="7D952FD5" w14:textId="77777777" w:rsidR="00A21491" w:rsidRPr="00A874F7" w:rsidRDefault="00A21491" w:rsidP="00A874F7">
      <w:pPr>
        <w:pStyle w:val="Textonotapie"/>
        <w:ind w:firstLine="709"/>
        <w:jc w:val="both"/>
        <w:rPr>
          <w:rFonts w:ascii="Verdana" w:hAnsi="Verdana" w:cs="Arial"/>
          <w:sz w:val="14"/>
          <w:szCs w:val="14"/>
          <w:lang w:val="en-US"/>
        </w:rPr>
      </w:pPr>
      <w:r w:rsidRPr="00A874F7">
        <w:rPr>
          <w:rStyle w:val="Refdenotaalpie"/>
          <w:rFonts w:ascii="Verdana" w:hAnsi="Verdana" w:cs="Arial"/>
          <w:sz w:val="14"/>
          <w:szCs w:val="14"/>
        </w:rPr>
        <w:footnoteRef/>
      </w:r>
      <w:r w:rsidRPr="00A874F7">
        <w:rPr>
          <w:rFonts w:ascii="Verdana" w:hAnsi="Verdana" w:cs="Arial"/>
          <w:sz w:val="14"/>
          <w:szCs w:val="14"/>
        </w:rPr>
        <w:t xml:space="preserve"> </w:t>
      </w:r>
      <w:r w:rsidRPr="00A874F7">
        <w:rPr>
          <w:rFonts w:ascii="Verdana" w:hAnsi="Verdana" w:cs="Arial"/>
          <w:sz w:val="14"/>
          <w:szCs w:val="14"/>
          <w:lang w:val="es-ES"/>
        </w:rPr>
        <w:t xml:space="preserve">DÁVILA VINUEZA, Luis Guillermo. Régimen jurídico de la contratación estatal. </w:t>
      </w:r>
      <w:r w:rsidRPr="00A874F7">
        <w:rPr>
          <w:rFonts w:ascii="Verdana" w:hAnsi="Verdana" w:cs="Arial"/>
          <w:sz w:val="14"/>
          <w:szCs w:val="14"/>
          <w:lang w:val="en-US"/>
        </w:rPr>
        <w:t>2ª ed. Bogotá: Legis, 2006, p. 53.</w:t>
      </w:r>
    </w:p>
  </w:footnote>
  <w:footnote w:id="12">
    <w:p w14:paraId="6059105D" w14:textId="51B4761C" w:rsidR="00244A3C" w:rsidRPr="00A874F7" w:rsidRDefault="00244A3C" w:rsidP="00A874F7">
      <w:pPr>
        <w:pStyle w:val="Textonotapie"/>
        <w:ind w:firstLine="708"/>
        <w:jc w:val="both"/>
        <w:rPr>
          <w:rFonts w:ascii="Verdana" w:hAnsi="Verdana"/>
          <w:sz w:val="14"/>
          <w:szCs w:val="14"/>
        </w:rPr>
      </w:pPr>
      <w:r w:rsidRPr="00A874F7">
        <w:rPr>
          <w:rStyle w:val="Refdenotaalpie"/>
          <w:rFonts w:ascii="Verdana" w:hAnsi="Verdana"/>
          <w:sz w:val="14"/>
          <w:szCs w:val="14"/>
        </w:rPr>
        <w:footnoteRef/>
      </w:r>
      <w:r w:rsidRPr="00A874F7">
        <w:rPr>
          <w:rFonts w:ascii="Verdana" w:hAnsi="Verdana"/>
          <w:sz w:val="14"/>
          <w:szCs w:val="14"/>
        </w:rPr>
        <w:t xml:space="preserve"> </w:t>
      </w:r>
      <w:r w:rsidR="009C683A" w:rsidRPr="00A874F7">
        <w:rPr>
          <w:rFonts w:ascii="Verdana" w:hAnsi="Verdana"/>
          <w:sz w:val="14"/>
          <w:szCs w:val="14"/>
        </w:rPr>
        <w:t>Agencia Presidencial de Cooperación de Colombia. Herramientas normativas de la cooperación internacional en Colombia. P. 26.</w:t>
      </w:r>
    </w:p>
  </w:footnote>
  <w:footnote w:id="13">
    <w:p w14:paraId="248F798F" w14:textId="77777777" w:rsidR="004C515D" w:rsidRPr="00A874F7" w:rsidRDefault="004C515D" w:rsidP="00A874F7">
      <w:pPr>
        <w:pStyle w:val="Textonotapie"/>
        <w:ind w:firstLine="851"/>
        <w:jc w:val="both"/>
        <w:rPr>
          <w:rFonts w:ascii="Verdana" w:hAnsi="Verdana"/>
          <w:sz w:val="14"/>
          <w:szCs w:val="14"/>
          <w:lang w:val="es-ES"/>
        </w:rPr>
      </w:pPr>
      <w:r w:rsidRPr="00A874F7">
        <w:rPr>
          <w:rStyle w:val="Refdenotaalpie"/>
          <w:rFonts w:ascii="Verdana" w:hAnsi="Verdana"/>
          <w:sz w:val="14"/>
          <w:szCs w:val="14"/>
        </w:rPr>
        <w:footnoteRef/>
      </w:r>
      <w:r w:rsidRPr="00A874F7">
        <w:rPr>
          <w:rFonts w:ascii="Verdana" w:hAnsi="Verdana"/>
          <w:sz w:val="14"/>
          <w:szCs w:val="14"/>
        </w:rPr>
        <w:t xml:space="preserve"> </w:t>
      </w:r>
      <w:r w:rsidRPr="00A874F7">
        <w:rPr>
          <w:rFonts w:ascii="Verdana" w:hAnsi="Verdana"/>
          <w:sz w:val="14"/>
          <w:szCs w:val="14"/>
          <w:lang w:val="es-ES"/>
        </w:rPr>
        <w:t xml:space="preserve">Agencia Presidencial de Cooperación Internacional, </w:t>
      </w:r>
      <w:r w:rsidRPr="00A874F7">
        <w:rPr>
          <w:rFonts w:ascii="Verdana" w:hAnsi="Verdana"/>
          <w:sz w:val="14"/>
          <w:szCs w:val="14"/>
          <w:lang w:val="es-CO"/>
        </w:rPr>
        <w:t xml:space="preserve">Herramientas normativas de la cooperación internacional en Colombia. </w:t>
      </w:r>
      <w:r w:rsidRPr="00A874F7">
        <w:rPr>
          <w:rFonts w:ascii="Verdana" w:hAnsi="Verdana"/>
          <w:sz w:val="14"/>
          <w:szCs w:val="14"/>
          <w:lang w:val="es-ES"/>
        </w:rPr>
        <w:t>p. 37. Disponible en: https://www.apccolombia.gov.co/sites/default/files/2022-09/Herramientas%20normativas.pdf</w:t>
      </w:r>
    </w:p>
  </w:footnote>
  <w:footnote w:id="14">
    <w:p w14:paraId="371039B0" w14:textId="79153266" w:rsidR="00DA1D20" w:rsidRPr="00A874F7" w:rsidRDefault="00DA1D20" w:rsidP="00A874F7">
      <w:pPr>
        <w:pStyle w:val="NormalWeb"/>
        <w:spacing w:before="0" w:beforeAutospacing="0" w:after="0" w:afterAutospacing="0"/>
        <w:ind w:firstLine="709"/>
        <w:jc w:val="both"/>
        <w:rPr>
          <w:rFonts w:ascii="Verdana" w:hAnsi="Verdana" w:cs="Arial"/>
          <w:color w:val="000000" w:themeColor="text1"/>
          <w:sz w:val="14"/>
          <w:szCs w:val="14"/>
        </w:rPr>
      </w:pPr>
      <w:r w:rsidRPr="00A874F7">
        <w:rPr>
          <w:rFonts w:ascii="Verdana" w:hAnsi="Verdana" w:cs="Arial"/>
          <w:color w:val="000000" w:themeColor="text1"/>
          <w:sz w:val="14"/>
          <w:szCs w:val="14"/>
          <w:vertAlign w:val="superscript"/>
        </w:rPr>
        <w:footnoteRef/>
      </w:r>
      <w:r w:rsidRPr="00A874F7">
        <w:rPr>
          <w:rFonts w:ascii="Verdana" w:hAnsi="Verdana" w:cs="Arial"/>
          <w:color w:val="000000" w:themeColor="text1"/>
          <w:sz w:val="14"/>
          <w:szCs w:val="14"/>
        </w:rPr>
        <w:t xml:space="preserve">Código Civil </w:t>
      </w:r>
      <w:bookmarkStart w:id="7" w:name="27"/>
      <w:r w:rsidR="004C515D" w:rsidRPr="00A874F7">
        <w:rPr>
          <w:rFonts w:ascii="Verdana" w:hAnsi="Verdana" w:cs="Arial"/>
          <w:color w:val="000000" w:themeColor="text1"/>
          <w:sz w:val="14"/>
          <w:szCs w:val="14"/>
        </w:rPr>
        <w:t>“</w:t>
      </w:r>
      <w:r w:rsidRPr="00A874F7">
        <w:rPr>
          <w:rFonts w:ascii="Verdana" w:hAnsi="Verdana" w:cs="Arial"/>
          <w:color w:val="000000" w:themeColor="text1"/>
          <w:sz w:val="14"/>
          <w:szCs w:val="14"/>
        </w:rPr>
        <w:t>Artículo 27. [Interpretación gramatical].</w:t>
      </w:r>
      <w:bookmarkEnd w:id="7"/>
      <w:r w:rsidRPr="00A874F7">
        <w:rPr>
          <w:rFonts w:ascii="Verdana" w:hAnsi="Verdana" w:cs="Arial"/>
          <w:color w:val="000000" w:themeColor="text1"/>
          <w:sz w:val="14"/>
          <w:szCs w:val="14"/>
        </w:rPr>
        <w:t> Cuando el sentido de la ley sea claro, no se desatenderá su tenor literal a pretexto de consultar su espíritu.</w:t>
      </w:r>
    </w:p>
    <w:p w14:paraId="0481E56A" w14:textId="6C28A82C" w:rsidR="00DA1D20" w:rsidRPr="00A874F7" w:rsidRDefault="00DA1D20" w:rsidP="00A874F7">
      <w:pPr>
        <w:pStyle w:val="NormalWeb"/>
        <w:spacing w:before="0" w:beforeAutospacing="0" w:after="0" w:afterAutospacing="0"/>
        <w:ind w:firstLine="709"/>
        <w:jc w:val="both"/>
        <w:rPr>
          <w:rFonts w:ascii="Verdana" w:hAnsi="Verdana" w:cs="Arial"/>
          <w:color w:val="000000" w:themeColor="text1"/>
          <w:sz w:val="14"/>
          <w:szCs w:val="14"/>
        </w:rPr>
      </w:pPr>
      <w:r w:rsidRPr="00A874F7">
        <w:rPr>
          <w:rFonts w:ascii="Verdana" w:hAnsi="Verdana" w:cs="Arial"/>
          <w:color w:val="000000" w:themeColor="text1"/>
          <w:sz w:val="14"/>
          <w:szCs w:val="14"/>
        </w:rPr>
        <w:t>Pero bien se puede, para interpretar una expresión oscura de la ley, recurrir a su intención o espíritu, claramente manifestados en ella misma o en la historia fidedigna de su establecimiento</w:t>
      </w:r>
      <w:r w:rsidR="004C515D" w:rsidRPr="00A874F7">
        <w:rPr>
          <w:rFonts w:ascii="Verdana" w:hAnsi="Verdana" w:cs="Arial"/>
          <w:color w:val="000000" w:themeColor="text1"/>
          <w:sz w:val="14"/>
          <w:szCs w:val="14"/>
        </w:rPr>
        <w:t>”</w:t>
      </w:r>
      <w:r w:rsidRPr="00A874F7">
        <w:rPr>
          <w:rFonts w:ascii="Verdana" w:hAnsi="Verdana" w:cs="Arial"/>
          <w:color w:val="000000" w:themeColor="text1"/>
          <w:sz w:val="14"/>
          <w:szCs w:val="14"/>
        </w:rPr>
        <w:t>.</w:t>
      </w:r>
    </w:p>
    <w:p w14:paraId="064ACA22" w14:textId="77777777" w:rsidR="00DA1D20" w:rsidRPr="00A874F7" w:rsidRDefault="00DA1D20" w:rsidP="00A874F7">
      <w:pPr>
        <w:pStyle w:val="Textonotapie"/>
        <w:jc w:val="both"/>
        <w:rPr>
          <w:rFonts w:ascii="Verdana" w:hAnsi="Verdana" w:cs="Arial"/>
          <w:sz w:val="14"/>
          <w:szCs w:val="14"/>
        </w:rPr>
      </w:pPr>
    </w:p>
  </w:footnote>
  <w:footnote w:id="15">
    <w:p w14:paraId="0F00BAF8" w14:textId="03A3E5B0" w:rsidR="002C7AC4" w:rsidRPr="00A874F7" w:rsidRDefault="002C7AC4" w:rsidP="00A874F7">
      <w:pPr>
        <w:pStyle w:val="Textonotapie"/>
        <w:ind w:firstLine="708"/>
        <w:jc w:val="both"/>
        <w:rPr>
          <w:rFonts w:ascii="Verdana" w:hAnsi="Verdana"/>
          <w:sz w:val="14"/>
          <w:szCs w:val="14"/>
          <w:lang w:val="es-ES"/>
        </w:rPr>
      </w:pPr>
      <w:r w:rsidRPr="00A874F7">
        <w:rPr>
          <w:rStyle w:val="Refdenotaalpie"/>
          <w:rFonts w:ascii="Verdana" w:hAnsi="Verdana"/>
          <w:sz w:val="14"/>
          <w:szCs w:val="14"/>
        </w:rPr>
        <w:footnoteRef/>
      </w:r>
      <w:r w:rsidRPr="00A874F7">
        <w:rPr>
          <w:rFonts w:ascii="Verdana" w:hAnsi="Verdana"/>
          <w:sz w:val="14"/>
          <w:szCs w:val="14"/>
        </w:rPr>
        <w:t xml:space="preserve"> </w:t>
      </w:r>
      <w:r w:rsidRPr="00A874F7">
        <w:rPr>
          <w:rFonts w:ascii="Verdana" w:hAnsi="Verdana"/>
          <w:sz w:val="14"/>
          <w:szCs w:val="14"/>
          <w:lang w:val="es-ES"/>
        </w:rPr>
        <w:t xml:space="preserve">Por ejemplo, será relevante lo dispuesto </w:t>
      </w:r>
      <w:r w:rsidR="00AB1542" w:rsidRPr="00A874F7">
        <w:rPr>
          <w:rFonts w:ascii="Verdana" w:hAnsi="Verdana"/>
          <w:sz w:val="14"/>
          <w:szCs w:val="14"/>
          <w:lang w:val="es-CO"/>
        </w:rPr>
        <w:t xml:space="preserve">en la Convención de Viena sobre el Derecho de los Tratados de 1969 y la Convención de Viena sobre el Derecho de los Tratados entre Estados y Organizaciones Internacionales de 1986. </w:t>
      </w:r>
    </w:p>
  </w:footnote>
  <w:footnote w:id="16">
    <w:p w14:paraId="3B48B92E" w14:textId="77777777" w:rsidR="00161A2B" w:rsidRPr="00A874F7" w:rsidRDefault="00161A2B" w:rsidP="00A874F7">
      <w:pPr>
        <w:pStyle w:val="Textonotapie"/>
        <w:ind w:firstLine="709"/>
        <w:jc w:val="both"/>
        <w:rPr>
          <w:rFonts w:ascii="Verdana" w:hAnsi="Verdana" w:cs="Arial"/>
          <w:sz w:val="14"/>
          <w:szCs w:val="14"/>
          <w:lang w:val="en-US"/>
        </w:rPr>
      </w:pPr>
      <w:r w:rsidRPr="00A874F7">
        <w:rPr>
          <w:rStyle w:val="Refdenotaalpie"/>
          <w:rFonts w:ascii="Verdana" w:hAnsi="Verdana" w:cs="Arial"/>
          <w:sz w:val="14"/>
          <w:szCs w:val="14"/>
        </w:rPr>
        <w:footnoteRef/>
      </w:r>
      <w:r w:rsidRPr="00A874F7">
        <w:rPr>
          <w:rFonts w:ascii="Verdana" w:hAnsi="Verdana" w:cs="Arial"/>
          <w:sz w:val="14"/>
          <w:szCs w:val="14"/>
          <w:lang w:val="en-US"/>
        </w:rPr>
        <w:t xml:space="preserve"> Ibíd., p. 53.</w:t>
      </w:r>
    </w:p>
  </w:footnote>
  <w:footnote w:id="17">
    <w:p w14:paraId="0381C9B7" w14:textId="77777777" w:rsidR="00E23CE5" w:rsidRPr="00A874F7" w:rsidRDefault="00E23CE5" w:rsidP="00A874F7">
      <w:pPr>
        <w:pStyle w:val="Textonotapie"/>
        <w:ind w:firstLine="709"/>
        <w:jc w:val="both"/>
        <w:rPr>
          <w:rFonts w:ascii="Verdana" w:hAnsi="Verdana" w:cs="Arial"/>
          <w:color w:val="000000" w:themeColor="text1"/>
          <w:sz w:val="14"/>
          <w:szCs w:val="14"/>
          <w:lang w:val="es-ES_tradnl"/>
        </w:rPr>
      </w:pPr>
      <w:r w:rsidRPr="00A874F7">
        <w:rPr>
          <w:rStyle w:val="Refdenotaalpie"/>
          <w:rFonts w:ascii="Verdana" w:hAnsi="Verdana"/>
          <w:sz w:val="14"/>
          <w:szCs w:val="14"/>
        </w:rPr>
        <w:footnoteRef/>
      </w:r>
      <w:r w:rsidRPr="00A874F7">
        <w:rPr>
          <w:rFonts w:ascii="Verdana" w:hAnsi="Verdana"/>
          <w:sz w:val="14"/>
          <w:szCs w:val="14"/>
        </w:rPr>
        <w:t xml:space="preserve"> </w:t>
      </w:r>
      <w:r w:rsidRPr="00A874F7">
        <w:rPr>
          <w:rFonts w:ascii="Verdana" w:hAnsi="Verdana" w:cs="Arial"/>
          <w:color w:val="000000" w:themeColor="text1"/>
          <w:sz w:val="14"/>
          <w:szCs w:val="14"/>
        </w:rPr>
        <w:t xml:space="preserve">Consejo de Estado. Sección Tercera, Subsección C. Sentencia del 12 de junio de 2014. </w:t>
      </w:r>
      <w:r w:rsidRPr="00A874F7">
        <w:rPr>
          <w:rFonts w:ascii="Verdana" w:hAnsi="Verdana" w:cs="Arial"/>
          <w:color w:val="000000" w:themeColor="text1"/>
          <w:sz w:val="14"/>
          <w:szCs w:val="14"/>
          <w:lang w:val="es-ES_tradnl"/>
        </w:rPr>
        <w:t>Exp. 28.279</w:t>
      </w:r>
      <w:r w:rsidRPr="00A874F7">
        <w:rPr>
          <w:rFonts w:ascii="Verdana" w:hAnsi="Verdana" w:cs="Arial"/>
          <w:color w:val="000000" w:themeColor="text1"/>
          <w:sz w:val="14"/>
          <w:szCs w:val="14"/>
          <w:lang w:val="es-CO"/>
        </w:rPr>
        <w:t xml:space="preserve">. C.P Enrique Gil Botero. </w:t>
      </w:r>
    </w:p>
  </w:footnote>
  <w:footnote w:id="18">
    <w:p w14:paraId="252417B2" w14:textId="77777777" w:rsidR="00E23CE5" w:rsidRPr="00A874F7" w:rsidRDefault="00E23CE5" w:rsidP="00A874F7">
      <w:pPr>
        <w:pStyle w:val="Textonotapie"/>
        <w:ind w:firstLine="709"/>
        <w:jc w:val="both"/>
        <w:rPr>
          <w:rFonts w:ascii="Verdana" w:hAnsi="Verdana" w:cs="Arial"/>
          <w:color w:val="000000"/>
          <w:sz w:val="14"/>
          <w:szCs w:val="14"/>
          <w:lang w:val="es-ES_tradnl"/>
        </w:rPr>
      </w:pPr>
      <w:r w:rsidRPr="00A874F7">
        <w:rPr>
          <w:rStyle w:val="Refdenotaalpie"/>
          <w:rFonts w:ascii="Verdana" w:hAnsi="Verdana" w:cs="Arial"/>
          <w:sz w:val="14"/>
          <w:szCs w:val="14"/>
        </w:rPr>
        <w:footnoteRef/>
      </w:r>
      <w:r w:rsidRPr="00A874F7">
        <w:rPr>
          <w:rFonts w:ascii="Verdana" w:hAnsi="Verdana" w:cs="Arial"/>
          <w:sz w:val="14"/>
          <w:szCs w:val="14"/>
        </w:rPr>
        <w:t xml:space="preserve"> Consejo de Estado. Sala de Consulta y Servicio Civil. Concepto del 25 de septiembre de 2018. Consejero Ponente: Edgar González López. Radicado: </w:t>
      </w:r>
      <w:r w:rsidRPr="00A874F7">
        <w:rPr>
          <w:rFonts w:ascii="Verdana" w:hAnsi="Verdana" w:cs="Arial"/>
          <w:color w:val="000000"/>
          <w:sz w:val="14"/>
          <w:szCs w:val="14"/>
          <w:lang w:val="es-ES_tradnl"/>
        </w:rPr>
        <w:t>11001-03-06-000-2018-00129-00(2389).</w:t>
      </w:r>
    </w:p>
    <w:p w14:paraId="74ADD390" w14:textId="77777777" w:rsidR="00E23CE5" w:rsidRPr="00A874F7" w:rsidRDefault="00E23CE5" w:rsidP="00A874F7">
      <w:pPr>
        <w:pStyle w:val="Textonotapie"/>
        <w:ind w:firstLine="709"/>
        <w:jc w:val="both"/>
        <w:rPr>
          <w:rFonts w:ascii="Verdana" w:hAnsi="Verdana" w:cs="Arial"/>
          <w:sz w:val="14"/>
          <w:szCs w:val="14"/>
        </w:rPr>
      </w:pPr>
    </w:p>
  </w:footnote>
  <w:footnote w:id="19">
    <w:p w14:paraId="32F5015F" w14:textId="77777777" w:rsidR="00527472" w:rsidRPr="00A874F7" w:rsidRDefault="00527472" w:rsidP="00A874F7">
      <w:pPr>
        <w:ind w:firstLine="708"/>
        <w:jc w:val="both"/>
        <w:rPr>
          <w:rFonts w:ascii="Verdana" w:hAnsi="Verdana"/>
          <w:sz w:val="14"/>
          <w:szCs w:val="14"/>
        </w:rPr>
      </w:pPr>
      <w:r w:rsidRPr="00A874F7">
        <w:rPr>
          <w:rStyle w:val="Refdenotaalpie"/>
          <w:rFonts w:ascii="Verdana" w:hAnsi="Verdana"/>
          <w:sz w:val="14"/>
          <w:szCs w:val="14"/>
        </w:rPr>
        <w:footnoteRef/>
      </w:r>
      <w:r w:rsidRPr="00A874F7">
        <w:rPr>
          <w:rFonts w:ascii="Verdana" w:hAnsi="Verdana"/>
          <w:sz w:val="14"/>
          <w:szCs w:val="14"/>
        </w:rPr>
        <w:t xml:space="preserve"> Agencia Nacional de Contratación Pública – Colombia Compra Eficiente. Concepto C</w:t>
      </w:r>
      <w:r w:rsidRPr="00A874F7">
        <w:rPr>
          <w:rFonts w:ascii="Verdana" w:hAnsi="Verdana"/>
          <w:sz w:val="14"/>
          <w:szCs w:val="14"/>
        </w:rPr>
        <w:noBreakHyphen/>
        <w:t>440 de 2025.</w:t>
      </w:r>
    </w:p>
  </w:footnote>
  <w:footnote w:id="20">
    <w:p w14:paraId="3E9B2D18" w14:textId="04170E5A" w:rsidR="00DA4F2B" w:rsidRPr="00A874F7" w:rsidRDefault="00DA4F2B" w:rsidP="00A874F7">
      <w:pPr>
        <w:pStyle w:val="Textonotapie"/>
        <w:ind w:firstLine="708"/>
        <w:jc w:val="both"/>
        <w:rPr>
          <w:rFonts w:ascii="Verdana" w:hAnsi="Verdana"/>
          <w:sz w:val="14"/>
          <w:szCs w:val="14"/>
          <w:lang w:val="es-ES"/>
        </w:rPr>
      </w:pPr>
      <w:r w:rsidRPr="00A874F7">
        <w:rPr>
          <w:rStyle w:val="Refdenotaalpie"/>
          <w:rFonts w:ascii="Verdana" w:hAnsi="Verdana"/>
          <w:sz w:val="14"/>
          <w:szCs w:val="14"/>
        </w:rPr>
        <w:footnoteRef/>
      </w:r>
      <w:r w:rsidRPr="00A874F7">
        <w:rPr>
          <w:rFonts w:ascii="Verdana" w:hAnsi="Verdana"/>
          <w:sz w:val="14"/>
          <w:szCs w:val="14"/>
        </w:rPr>
        <w:t xml:space="preserve"> </w:t>
      </w:r>
      <w:r w:rsidRPr="00A874F7">
        <w:rPr>
          <w:rFonts w:ascii="Verdana" w:hAnsi="Verdana"/>
          <w:sz w:val="14"/>
          <w:szCs w:val="14"/>
          <w:lang w:val="es-CO"/>
        </w:rPr>
        <w:t>CORTE CONSTITUCIONAL. Sentencia C-137 de 1996. M.P. Eduardo Cifuentes Muñoz. Al respecto señala : “</w:t>
      </w:r>
      <w:r w:rsidRPr="00A874F7">
        <w:rPr>
          <w:rFonts w:ascii="Verdana" w:hAnsi="Verdana"/>
          <w:i/>
          <w:iCs/>
          <w:sz w:val="14"/>
          <w:szCs w:val="14"/>
          <w:lang w:val="es-CO"/>
        </w:rPr>
        <w:t>Ningún Estado constitucional estaría en capacidad jurídica de otorgar plena inmunidad a todo agente de un gobierno extranjero o representante de un organismo de derecho internacional, respecto de cualquier actividad que cumpla en su territorio, pues ello implicaría sacrificar las atribuciones que le competen como estado libre y soberano para asegurar la defensa de los derechos de las personas sometidas a su jurisdicción. Para que la concesión de estos derechos y beneficios especiales resulte constitucional, se requiere que concurra la defensa de los principios de independencia, soberanía e igualdad - reciprocidad - entre los Estados. Son estos principios y no una mera liberalidad o una imposición del derecho internacional, los que tornan legítimas e incluso necesarias las garantías y privilegios que se conceden a funcionarios de Estados extranjeros o de organismos internacionales en el territorio de cada Estado”.</w:t>
      </w:r>
    </w:p>
  </w:footnote>
  <w:footnote w:id="21">
    <w:p w14:paraId="0A154B7F" w14:textId="5AEE1116" w:rsidR="00DA4F2B" w:rsidRPr="00A874F7" w:rsidRDefault="00DA4F2B" w:rsidP="00A874F7">
      <w:pPr>
        <w:pStyle w:val="Textonotapie"/>
        <w:ind w:firstLine="708"/>
        <w:jc w:val="both"/>
        <w:rPr>
          <w:rFonts w:ascii="Verdana" w:hAnsi="Verdana"/>
          <w:sz w:val="14"/>
          <w:szCs w:val="14"/>
          <w:lang w:val="es-ES"/>
        </w:rPr>
      </w:pPr>
      <w:r w:rsidRPr="00A874F7">
        <w:rPr>
          <w:rStyle w:val="Refdenotaalpie"/>
          <w:rFonts w:ascii="Verdana" w:hAnsi="Verdana"/>
          <w:sz w:val="14"/>
          <w:szCs w:val="14"/>
        </w:rPr>
        <w:footnoteRef/>
      </w:r>
      <w:r w:rsidRPr="00A874F7">
        <w:rPr>
          <w:rFonts w:ascii="Verdana" w:hAnsi="Verdana"/>
          <w:sz w:val="14"/>
          <w:szCs w:val="14"/>
        </w:rPr>
        <w:t xml:space="preserve"> </w:t>
      </w:r>
      <w:r w:rsidRPr="00A874F7">
        <w:rPr>
          <w:rFonts w:ascii="Verdana" w:hAnsi="Verdana"/>
          <w:sz w:val="14"/>
          <w:szCs w:val="14"/>
          <w:lang w:val="es-CO"/>
        </w:rPr>
        <w:t>CORTE CONSTITUCIONAL. Sentencia C-788 de 2011. M.P. Luis Ernesto Vargas Silva.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BBDD9" w14:textId="77777777" w:rsidR="00E42192" w:rsidRDefault="00E42192">
    <w:pPr>
      <w:pStyle w:val="Encabezado"/>
    </w:pPr>
  </w:p>
  <w:p w14:paraId="435F4D03" w14:textId="6E0B398D" w:rsidR="00756841" w:rsidRDefault="009D3058">
    <w:pPr>
      <w:pStyle w:val="Encabezad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12DD542F">
          <wp:simplePos x="0" y="0"/>
          <wp:positionH relativeFrom="margin">
            <wp:align>center</wp:align>
          </wp:positionH>
          <wp:positionV relativeFrom="paragraph">
            <wp:posOffset>-345440</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3079FC11" w14:textId="77777777" w:rsidR="00DC39FC" w:rsidRDefault="00DC39FC" w:rsidP="004A305D">
    <w:pPr>
      <w:spacing w:after="0"/>
      <w:rPr>
        <w:rFonts w:ascii="Verdana" w:hAnsi="Verdana"/>
        <w:b/>
        <w:bCs/>
      </w:rPr>
    </w:pPr>
  </w:p>
  <w:p w14:paraId="7FE1230C" w14:textId="77E53D9F" w:rsidR="004A305D" w:rsidRPr="00DC39FC" w:rsidRDefault="004A305D" w:rsidP="004A305D">
    <w:pPr>
      <w:spacing w:after="0"/>
      <w:rPr>
        <w:rFonts w:ascii="Verdana" w:hAnsi="Verdana"/>
        <w:b/>
        <w:bCs/>
      </w:rPr>
    </w:pPr>
    <w:r w:rsidRPr="00DC39FC">
      <w:rPr>
        <w:rFonts w:ascii="Verdana" w:hAnsi="Verdana"/>
        <w:b/>
        <w:bCs/>
      </w:rPr>
      <w:t>FORMATO PQRSD</w:t>
    </w: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1FD1C243" w14:textId="6D74A3CF" w:rsidR="008A446D" w:rsidRDefault="008A446D" w:rsidP="00061B2A">
    <w:pPr>
      <w:pStyle w:val="Encabezado"/>
      <w:spacing w:line="12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5pt;height:15.0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A36B19"/>
    <w:multiLevelType w:val="hybridMultilevel"/>
    <w:tmpl w:val="953A4E2C"/>
    <w:lvl w:ilvl="0" w:tplc="04090017">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092346E3"/>
    <w:multiLevelType w:val="hybridMultilevel"/>
    <w:tmpl w:val="786ADBE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A6F6513"/>
    <w:multiLevelType w:val="hybridMultilevel"/>
    <w:tmpl w:val="CB2C1542"/>
    <w:lvl w:ilvl="0" w:tplc="0409001B">
      <w:start w:val="1"/>
      <w:numFmt w:val="lowerRoman"/>
      <w:lvlText w:val="%1."/>
      <w:lvlJc w:val="righ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6" w15:restartNumberingAfterBreak="0">
    <w:nsid w:val="0BAB4759"/>
    <w:multiLevelType w:val="hybridMultilevel"/>
    <w:tmpl w:val="6434B4AC"/>
    <w:lvl w:ilvl="0" w:tplc="343AF38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2711EB"/>
    <w:multiLevelType w:val="hybridMultilevel"/>
    <w:tmpl w:val="0FB63FEC"/>
    <w:lvl w:ilvl="0" w:tplc="EF92621A">
      <w:start w:val="1"/>
      <w:numFmt w:val="upperRoman"/>
      <w:lvlText w:val="(%1)"/>
      <w:lvlJc w:val="left"/>
      <w:pPr>
        <w:ind w:left="1440" w:hanging="108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E52118"/>
    <w:multiLevelType w:val="hybridMultilevel"/>
    <w:tmpl w:val="32E61198"/>
    <w:lvl w:ilvl="0" w:tplc="BA1A02A8">
      <w:start w:val="1"/>
      <w:numFmt w:val="low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050FAC"/>
    <w:multiLevelType w:val="multilevel"/>
    <w:tmpl w:val="E8DE35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986512"/>
    <w:multiLevelType w:val="multilevel"/>
    <w:tmpl w:val="3F867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557C12"/>
    <w:multiLevelType w:val="multilevel"/>
    <w:tmpl w:val="34089C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1D7D82"/>
    <w:multiLevelType w:val="hybridMultilevel"/>
    <w:tmpl w:val="97DC6182"/>
    <w:lvl w:ilvl="0" w:tplc="9A02B0A0">
      <w:start w:val="3"/>
      <w:numFmt w:val="bullet"/>
      <w:lvlText w:val="-"/>
      <w:lvlJc w:val="left"/>
      <w:pPr>
        <w:ind w:left="1069" w:hanging="360"/>
      </w:pPr>
      <w:rPr>
        <w:rFonts w:ascii="Verdana" w:eastAsia="Century Gothic" w:hAnsi="Verdana" w:cs="Arial"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1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44D8482F"/>
    <w:multiLevelType w:val="hybridMultilevel"/>
    <w:tmpl w:val="060C4958"/>
    <w:lvl w:ilvl="0" w:tplc="A900DABC">
      <w:start w:val="3"/>
      <w:numFmt w:val="bullet"/>
      <w:lvlText w:val="-"/>
      <w:lvlJc w:val="left"/>
      <w:pPr>
        <w:ind w:left="1069" w:hanging="360"/>
      </w:pPr>
      <w:rPr>
        <w:rFonts w:ascii="Verdana" w:eastAsia="Century Gothic" w:hAnsi="Verdana" w:cs="Century Gothic"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1" w15:restartNumberingAfterBreak="0">
    <w:nsid w:val="4DCB2486"/>
    <w:multiLevelType w:val="hybridMultilevel"/>
    <w:tmpl w:val="6A20E5CC"/>
    <w:lvl w:ilvl="0" w:tplc="5B48677C">
      <w:start w:val="1"/>
      <w:numFmt w:val="low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4FF23528"/>
    <w:multiLevelType w:val="hybridMultilevel"/>
    <w:tmpl w:val="6434B4A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57B1080"/>
    <w:multiLevelType w:val="hybridMultilevel"/>
    <w:tmpl w:val="80B2A1A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15:restartNumberingAfterBreak="0">
    <w:nsid w:val="558337EB"/>
    <w:multiLevelType w:val="hybridMultilevel"/>
    <w:tmpl w:val="5D7CC63A"/>
    <w:lvl w:ilvl="0" w:tplc="BA1A02A8">
      <w:start w:val="1"/>
      <w:numFmt w:val="lowerRoman"/>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5" w15:restartNumberingAfterBreak="0">
    <w:nsid w:val="574964B3"/>
    <w:multiLevelType w:val="multilevel"/>
    <w:tmpl w:val="EB188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650EA1"/>
    <w:multiLevelType w:val="hybridMultilevel"/>
    <w:tmpl w:val="4F221DA8"/>
    <w:lvl w:ilvl="0" w:tplc="6EF2AD8C">
      <w:start w:val="1"/>
      <w:numFmt w:val="low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F01824"/>
    <w:multiLevelType w:val="multilevel"/>
    <w:tmpl w:val="7F2C4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4427E2"/>
    <w:multiLevelType w:val="hybridMultilevel"/>
    <w:tmpl w:val="72F0F600"/>
    <w:lvl w:ilvl="0" w:tplc="5638F6E6">
      <w:start w:val="1"/>
      <w:numFmt w:val="lowerRoman"/>
      <w:lvlText w:val="%1)"/>
      <w:lvlJc w:val="left"/>
      <w:pPr>
        <w:ind w:left="1509" w:hanging="72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29" w15:restartNumberingAfterBreak="0">
    <w:nsid w:val="636C03B0"/>
    <w:multiLevelType w:val="hybridMultilevel"/>
    <w:tmpl w:val="87183FAA"/>
    <w:lvl w:ilvl="0" w:tplc="240A0007">
      <w:start w:val="1"/>
      <w:numFmt w:val="bullet"/>
      <w:lvlText w:val=""/>
      <w:lvlPicBulletId w:val="0"/>
      <w:lvlJc w:val="left"/>
      <w:pPr>
        <w:ind w:left="785" w:hanging="360"/>
      </w:pPr>
      <w:rPr>
        <w:rFonts w:ascii="Symbol" w:hAnsi="Symbol" w:hint="default"/>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30"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FBF4FF2"/>
    <w:multiLevelType w:val="multilevel"/>
    <w:tmpl w:val="850ED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C9241D"/>
    <w:multiLevelType w:val="hybridMultilevel"/>
    <w:tmpl w:val="B0B487B8"/>
    <w:lvl w:ilvl="0" w:tplc="AAC4AE08">
      <w:start w:val="1"/>
      <w:numFmt w:val="lowerRoman"/>
      <w:lvlText w:val="%1."/>
      <w:lvlJc w:val="right"/>
      <w:pPr>
        <w:ind w:left="1429" w:hanging="360"/>
      </w:pPr>
      <w:rPr>
        <w:rFonts w:ascii="Arial" w:eastAsia="Calibri" w:hAnsi="Arial" w:cs="Arial"/>
      </w:rPr>
    </w:lvl>
    <w:lvl w:ilvl="1" w:tplc="040A0019" w:tentative="1">
      <w:start w:val="1"/>
      <w:numFmt w:val="lowerLetter"/>
      <w:lvlText w:val="%2."/>
      <w:lvlJc w:val="left"/>
      <w:pPr>
        <w:ind w:left="2149" w:hanging="360"/>
      </w:pPr>
    </w:lvl>
    <w:lvl w:ilvl="2" w:tplc="040A001B" w:tentative="1">
      <w:start w:val="1"/>
      <w:numFmt w:val="lowerRoman"/>
      <w:lvlText w:val="%3."/>
      <w:lvlJc w:val="right"/>
      <w:pPr>
        <w:ind w:left="2869" w:hanging="180"/>
      </w:pPr>
    </w:lvl>
    <w:lvl w:ilvl="3" w:tplc="040A000F" w:tentative="1">
      <w:start w:val="1"/>
      <w:numFmt w:val="decimal"/>
      <w:lvlText w:val="%4."/>
      <w:lvlJc w:val="left"/>
      <w:pPr>
        <w:ind w:left="3589" w:hanging="360"/>
      </w:pPr>
    </w:lvl>
    <w:lvl w:ilvl="4" w:tplc="040A0019" w:tentative="1">
      <w:start w:val="1"/>
      <w:numFmt w:val="lowerLetter"/>
      <w:lvlText w:val="%5."/>
      <w:lvlJc w:val="left"/>
      <w:pPr>
        <w:ind w:left="4309" w:hanging="360"/>
      </w:pPr>
    </w:lvl>
    <w:lvl w:ilvl="5" w:tplc="040A001B" w:tentative="1">
      <w:start w:val="1"/>
      <w:numFmt w:val="lowerRoman"/>
      <w:lvlText w:val="%6."/>
      <w:lvlJc w:val="right"/>
      <w:pPr>
        <w:ind w:left="5029" w:hanging="180"/>
      </w:pPr>
    </w:lvl>
    <w:lvl w:ilvl="6" w:tplc="040A000F" w:tentative="1">
      <w:start w:val="1"/>
      <w:numFmt w:val="decimal"/>
      <w:lvlText w:val="%7."/>
      <w:lvlJc w:val="left"/>
      <w:pPr>
        <w:ind w:left="5749" w:hanging="360"/>
      </w:pPr>
    </w:lvl>
    <w:lvl w:ilvl="7" w:tplc="040A0019" w:tentative="1">
      <w:start w:val="1"/>
      <w:numFmt w:val="lowerLetter"/>
      <w:lvlText w:val="%8."/>
      <w:lvlJc w:val="left"/>
      <w:pPr>
        <w:ind w:left="6469" w:hanging="360"/>
      </w:pPr>
    </w:lvl>
    <w:lvl w:ilvl="8" w:tplc="040A001B" w:tentative="1">
      <w:start w:val="1"/>
      <w:numFmt w:val="lowerRoman"/>
      <w:lvlText w:val="%9."/>
      <w:lvlJc w:val="right"/>
      <w:pPr>
        <w:ind w:left="7189" w:hanging="180"/>
      </w:pPr>
    </w:lvl>
  </w:abstractNum>
  <w:abstractNum w:abstractNumId="36" w15:restartNumberingAfterBreak="0">
    <w:nsid w:val="77681820"/>
    <w:multiLevelType w:val="hybridMultilevel"/>
    <w:tmpl w:val="978A04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77AD0B1A"/>
    <w:multiLevelType w:val="hybridMultilevel"/>
    <w:tmpl w:val="450C5F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48779781">
    <w:abstractNumId w:val="15"/>
  </w:num>
  <w:num w:numId="2" w16cid:durableId="19822139">
    <w:abstractNumId w:val="3"/>
  </w:num>
  <w:num w:numId="3" w16cid:durableId="876742304">
    <w:abstractNumId w:val="12"/>
  </w:num>
  <w:num w:numId="4" w16cid:durableId="2451864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3"/>
  </w:num>
  <w:num w:numId="6" w16cid:durableId="316692925">
    <w:abstractNumId w:val="32"/>
  </w:num>
  <w:num w:numId="7" w16cid:durableId="1946422806">
    <w:abstractNumId w:val="13"/>
  </w:num>
  <w:num w:numId="8" w16cid:durableId="152644682">
    <w:abstractNumId w:val="31"/>
  </w:num>
  <w:num w:numId="9" w16cid:durableId="1317221377">
    <w:abstractNumId w:val="16"/>
  </w:num>
  <w:num w:numId="10" w16cid:durableId="1471245386">
    <w:abstractNumId w:val="30"/>
  </w:num>
  <w:num w:numId="11" w16cid:durableId="289172385">
    <w:abstractNumId w:val="17"/>
  </w:num>
  <w:num w:numId="12" w16cid:durableId="1470781324">
    <w:abstractNumId w:val="1"/>
  </w:num>
  <w:num w:numId="13" w16cid:durableId="1512908409">
    <w:abstractNumId w:val="10"/>
  </w:num>
  <w:num w:numId="14" w16cid:durableId="895897244">
    <w:abstractNumId w:val="33"/>
  </w:num>
  <w:num w:numId="15" w16cid:durableId="390349800">
    <w:abstractNumId w:val="29"/>
  </w:num>
  <w:num w:numId="16" w16cid:durableId="341274352">
    <w:abstractNumId w:val="0"/>
  </w:num>
  <w:num w:numId="17" w16cid:durableId="679089576">
    <w:abstractNumId w:val="19"/>
  </w:num>
  <w:num w:numId="18" w16cid:durableId="210121676">
    <w:abstractNumId w:val="2"/>
  </w:num>
  <w:num w:numId="19" w16cid:durableId="2070420704">
    <w:abstractNumId w:val="11"/>
  </w:num>
  <w:num w:numId="20" w16cid:durableId="620262515">
    <w:abstractNumId w:val="26"/>
  </w:num>
  <w:num w:numId="21" w16cid:durableId="2034187924">
    <w:abstractNumId w:val="7"/>
  </w:num>
  <w:num w:numId="22" w16cid:durableId="26637755">
    <w:abstractNumId w:val="14"/>
  </w:num>
  <w:num w:numId="23" w16cid:durableId="1209611643">
    <w:abstractNumId w:val="37"/>
  </w:num>
  <w:num w:numId="24" w16cid:durableId="920336469">
    <w:abstractNumId w:val="18"/>
  </w:num>
  <w:num w:numId="25" w16cid:durableId="1442605298">
    <w:abstractNumId w:val="23"/>
  </w:num>
  <w:num w:numId="26" w16cid:durableId="543714228">
    <w:abstractNumId w:val="9"/>
  </w:num>
  <w:num w:numId="27" w16cid:durableId="1467820183">
    <w:abstractNumId w:val="34"/>
  </w:num>
  <w:num w:numId="28" w16cid:durableId="1989629576">
    <w:abstractNumId w:val="8"/>
  </w:num>
  <w:num w:numId="29" w16cid:durableId="12346555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90067772">
    <w:abstractNumId w:val="35"/>
  </w:num>
  <w:num w:numId="31" w16cid:durableId="64693728">
    <w:abstractNumId w:val="24"/>
  </w:num>
  <w:num w:numId="32" w16cid:durableId="1237012584">
    <w:abstractNumId w:val="5"/>
  </w:num>
  <w:num w:numId="33" w16cid:durableId="262541512">
    <w:abstractNumId w:val="36"/>
  </w:num>
  <w:num w:numId="34" w16cid:durableId="1431202004">
    <w:abstractNumId w:val="4"/>
  </w:num>
  <w:num w:numId="35" w16cid:durableId="1603294921">
    <w:abstractNumId w:val="6"/>
  </w:num>
  <w:num w:numId="36" w16cid:durableId="1715306395">
    <w:abstractNumId w:val="21"/>
  </w:num>
  <w:num w:numId="37" w16cid:durableId="2133162627">
    <w:abstractNumId w:val="20"/>
  </w:num>
  <w:num w:numId="38" w16cid:durableId="151220407">
    <w:abstractNumId w:val="25"/>
  </w:num>
  <w:num w:numId="39" w16cid:durableId="891311076">
    <w:abstractNumId w:val="28"/>
  </w:num>
  <w:num w:numId="40" w16cid:durableId="2036225435">
    <w:abstractNumId w:val="22"/>
  </w:num>
  <w:num w:numId="41" w16cid:durableId="82898429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01C8"/>
    <w:rsid w:val="00016F78"/>
    <w:rsid w:val="000174F9"/>
    <w:rsid w:val="00035253"/>
    <w:rsid w:val="00046945"/>
    <w:rsid w:val="0005580B"/>
    <w:rsid w:val="00061B2A"/>
    <w:rsid w:val="00077603"/>
    <w:rsid w:val="00082362"/>
    <w:rsid w:val="00085E71"/>
    <w:rsid w:val="000A683E"/>
    <w:rsid w:val="000A7C3A"/>
    <w:rsid w:val="000B19B9"/>
    <w:rsid w:val="000B3B19"/>
    <w:rsid w:val="000B3E20"/>
    <w:rsid w:val="000B7517"/>
    <w:rsid w:val="000C125F"/>
    <w:rsid w:val="000C1FAA"/>
    <w:rsid w:val="000C451D"/>
    <w:rsid w:val="000C474B"/>
    <w:rsid w:val="000D0334"/>
    <w:rsid w:val="000E2FDC"/>
    <w:rsid w:val="000E312D"/>
    <w:rsid w:val="000F1E01"/>
    <w:rsid w:val="000F4B82"/>
    <w:rsid w:val="000F6486"/>
    <w:rsid w:val="00101FA8"/>
    <w:rsid w:val="001073FF"/>
    <w:rsid w:val="00111CA1"/>
    <w:rsid w:val="00125105"/>
    <w:rsid w:val="00127233"/>
    <w:rsid w:val="00142F3B"/>
    <w:rsid w:val="001511A0"/>
    <w:rsid w:val="00161A2B"/>
    <w:rsid w:val="00165C56"/>
    <w:rsid w:val="00173A5D"/>
    <w:rsid w:val="001811E0"/>
    <w:rsid w:val="001833E7"/>
    <w:rsid w:val="00185B34"/>
    <w:rsid w:val="0019283B"/>
    <w:rsid w:val="00193950"/>
    <w:rsid w:val="00193DC1"/>
    <w:rsid w:val="001A10CF"/>
    <w:rsid w:val="001B0859"/>
    <w:rsid w:val="001B09E7"/>
    <w:rsid w:val="001B7802"/>
    <w:rsid w:val="001C4582"/>
    <w:rsid w:val="001D2D35"/>
    <w:rsid w:val="001E4177"/>
    <w:rsid w:val="001F5333"/>
    <w:rsid w:val="001F663E"/>
    <w:rsid w:val="001F7DC6"/>
    <w:rsid w:val="00224B5D"/>
    <w:rsid w:val="00226C73"/>
    <w:rsid w:val="002378CD"/>
    <w:rsid w:val="002421BB"/>
    <w:rsid w:val="00244A3C"/>
    <w:rsid w:val="00247800"/>
    <w:rsid w:val="0025796E"/>
    <w:rsid w:val="002662B6"/>
    <w:rsid w:val="00267673"/>
    <w:rsid w:val="00267B35"/>
    <w:rsid w:val="002707A2"/>
    <w:rsid w:val="002717D2"/>
    <w:rsid w:val="00277062"/>
    <w:rsid w:val="002778F3"/>
    <w:rsid w:val="00287620"/>
    <w:rsid w:val="00294F1D"/>
    <w:rsid w:val="002951A0"/>
    <w:rsid w:val="002962BC"/>
    <w:rsid w:val="002A093D"/>
    <w:rsid w:val="002A0DD0"/>
    <w:rsid w:val="002A49AC"/>
    <w:rsid w:val="002A64FD"/>
    <w:rsid w:val="002B7ED3"/>
    <w:rsid w:val="002C048F"/>
    <w:rsid w:val="002C7A84"/>
    <w:rsid w:val="002C7AC4"/>
    <w:rsid w:val="002E4FD9"/>
    <w:rsid w:val="00306ACA"/>
    <w:rsid w:val="003075B9"/>
    <w:rsid w:val="00322A85"/>
    <w:rsid w:val="00324168"/>
    <w:rsid w:val="003448F4"/>
    <w:rsid w:val="00347219"/>
    <w:rsid w:val="003517B4"/>
    <w:rsid w:val="00374F5E"/>
    <w:rsid w:val="00377E3E"/>
    <w:rsid w:val="003828E6"/>
    <w:rsid w:val="00396A47"/>
    <w:rsid w:val="003A0AE7"/>
    <w:rsid w:val="003A779E"/>
    <w:rsid w:val="003B2BC2"/>
    <w:rsid w:val="003B3265"/>
    <w:rsid w:val="003B567F"/>
    <w:rsid w:val="003C7A6C"/>
    <w:rsid w:val="003C7CE1"/>
    <w:rsid w:val="003D0F4D"/>
    <w:rsid w:val="003D4D82"/>
    <w:rsid w:val="003D5B0D"/>
    <w:rsid w:val="003D5B3E"/>
    <w:rsid w:val="003E0499"/>
    <w:rsid w:val="003E2452"/>
    <w:rsid w:val="003F2740"/>
    <w:rsid w:val="003F33D1"/>
    <w:rsid w:val="003F3602"/>
    <w:rsid w:val="003F3941"/>
    <w:rsid w:val="00406575"/>
    <w:rsid w:val="004138B3"/>
    <w:rsid w:val="00414C74"/>
    <w:rsid w:val="00424A5D"/>
    <w:rsid w:val="0042722E"/>
    <w:rsid w:val="0042771B"/>
    <w:rsid w:val="00431704"/>
    <w:rsid w:val="00432794"/>
    <w:rsid w:val="0044528D"/>
    <w:rsid w:val="00445382"/>
    <w:rsid w:val="004465A8"/>
    <w:rsid w:val="004532BE"/>
    <w:rsid w:val="0045476B"/>
    <w:rsid w:val="00471240"/>
    <w:rsid w:val="0047144A"/>
    <w:rsid w:val="004A1847"/>
    <w:rsid w:val="004A305D"/>
    <w:rsid w:val="004A70A7"/>
    <w:rsid w:val="004C515D"/>
    <w:rsid w:val="004D13EA"/>
    <w:rsid w:val="004F21C4"/>
    <w:rsid w:val="004F685F"/>
    <w:rsid w:val="00514540"/>
    <w:rsid w:val="00526C77"/>
    <w:rsid w:val="00527472"/>
    <w:rsid w:val="005566E8"/>
    <w:rsid w:val="00571B80"/>
    <w:rsid w:val="0057439F"/>
    <w:rsid w:val="00574867"/>
    <w:rsid w:val="0058197E"/>
    <w:rsid w:val="00584172"/>
    <w:rsid w:val="00591460"/>
    <w:rsid w:val="00591A4B"/>
    <w:rsid w:val="00595CB8"/>
    <w:rsid w:val="005B26C2"/>
    <w:rsid w:val="005B3816"/>
    <w:rsid w:val="005B77F2"/>
    <w:rsid w:val="005C3777"/>
    <w:rsid w:val="005C5CDC"/>
    <w:rsid w:val="005D476C"/>
    <w:rsid w:val="005E3EC8"/>
    <w:rsid w:val="005F4891"/>
    <w:rsid w:val="00606E68"/>
    <w:rsid w:val="006219F8"/>
    <w:rsid w:val="00633332"/>
    <w:rsid w:val="0063514F"/>
    <w:rsid w:val="00646AAD"/>
    <w:rsid w:val="00647331"/>
    <w:rsid w:val="00653FDF"/>
    <w:rsid w:val="00657B60"/>
    <w:rsid w:val="00665D70"/>
    <w:rsid w:val="00666124"/>
    <w:rsid w:val="00666D7D"/>
    <w:rsid w:val="006900D9"/>
    <w:rsid w:val="00690CB8"/>
    <w:rsid w:val="00690E5A"/>
    <w:rsid w:val="00697737"/>
    <w:rsid w:val="006B17F9"/>
    <w:rsid w:val="006B6CA9"/>
    <w:rsid w:val="006C22F0"/>
    <w:rsid w:val="006F3467"/>
    <w:rsid w:val="006F5DD0"/>
    <w:rsid w:val="00703418"/>
    <w:rsid w:val="00706C16"/>
    <w:rsid w:val="00714522"/>
    <w:rsid w:val="00715C87"/>
    <w:rsid w:val="00717D51"/>
    <w:rsid w:val="00731C0D"/>
    <w:rsid w:val="00742005"/>
    <w:rsid w:val="0074428C"/>
    <w:rsid w:val="00751B1F"/>
    <w:rsid w:val="00756841"/>
    <w:rsid w:val="007649AB"/>
    <w:rsid w:val="00771D0C"/>
    <w:rsid w:val="00774718"/>
    <w:rsid w:val="00775141"/>
    <w:rsid w:val="007768AD"/>
    <w:rsid w:val="0077778D"/>
    <w:rsid w:val="00782426"/>
    <w:rsid w:val="007833AC"/>
    <w:rsid w:val="00784081"/>
    <w:rsid w:val="007B268C"/>
    <w:rsid w:val="007B7171"/>
    <w:rsid w:val="007C08D0"/>
    <w:rsid w:val="007C0C0F"/>
    <w:rsid w:val="007C1E80"/>
    <w:rsid w:val="007C3DC2"/>
    <w:rsid w:val="007C669D"/>
    <w:rsid w:val="007E2757"/>
    <w:rsid w:val="007E2ABB"/>
    <w:rsid w:val="007E5497"/>
    <w:rsid w:val="007F281A"/>
    <w:rsid w:val="007F7E4B"/>
    <w:rsid w:val="00803033"/>
    <w:rsid w:val="00806F5F"/>
    <w:rsid w:val="00820278"/>
    <w:rsid w:val="00836AE2"/>
    <w:rsid w:val="00841132"/>
    <w:rsid w:val="00843E58"/>
    <w:rsid w:val="00854880"/>
    <w:rsid w:val="00866D79"/>
    <w:rsid w:val="00867F95"/>
    <w:rsid w:val="00882358"/>
    <w:rsid w:val="008843B6"/>
    <w:rsid w:val="00891928"/>
    <w:rsid w:val="008948CE"/>
    <w:rsid w:val="008A4274"/>
    <w:rsid w:val="008A446D"/>
    <w:rsid w:val="008A6CB0"/>
    <w:rsid w:val="008B07D8"/>
    <w:rsid w:val="008B781E"/>
    <w:rsid w:val="008C1FDA"/>
    <w:rsid w:val="008C23D5"/>
    <w:rsid w:val="008C4A99"/>
    <w:rsid w:val="008C4BD7"/>
    <w:rsid w:val="008C4C15"/>
    <w:rsid w:val="008D180B"/>
    <w:rsid w:val="008E720F"/>
    <w:rsid w:val="008F0EA7"/>
    <w:rsid w:val="008F2DA0"/>
    <w:rsid w:val="009116A1"/>
    <w:rsid w:val="009202A7"/>
    <w:rsid w:val="00923EEF"/>
    <w:rsid w:val="00935BD7"/>
    <w:rsid w:val="009364A8"/>
    <w:rsid w:val="009419F9"/>
    <w:rsid w:val="0095685E"/>
    <w:rsid w:val="00961B09"/>
    <w:rsid w:val="00965334"/>
    <w:rsid w:val="0097093E"/>
    <w:rsid w:val="00973E46"/>
    <w:rsid w:val="00986AC5"/>
    <w:rsid w:val="009A0DFA"/>
    <w:rsid w:val="009A71BC"/>
    <w:rsid w:val="009B2D26"/>
    <w:rsid w:val="009C1D87"/>
    <w:rsid w:val="009C683A"/>
    <w:rsid w:val="009C71FA"/>
    <w:rsid w:val="009C72E7"/>
    <w:rsid w:val="009D0669"/>
    <w:rsid w:val="009D0F65"/>
    <w:rsid w:val="009D3058"/>
    <w:rsid w:val="009E3EB3"/>
    <w:rsid w:val="009F2071"/>
    <w:rsid w:val="009F3A13"/>
    <w:rsid w:val="00A122D3"/>
    <w:rsid w:val="00A1311B"/>
    <w:rsid w:val="00A17F13"/>
    <w:rsid w:val="00A20739"/>
    <w:rsid w:val="00A2137A"/>
    <w:rsid w:val="00A21491"/>
    <w:rsid w:val="00A30FDD"/>
    <w:rsid w:val="00A337F0"/>
    <w:rsid w:val="00A33C78"/>
    <w:rsid w:val="00A402DC"/>
    <w:rsid w:val="00A50FA9"/>
    <w:rsid w:val="00A675E7"/>
    <w:rsid w:val="00A76022"/>
    <w:rsid w:val="00A8055E"/>
    <w:rsid w:val="00A820D3"/>
    <w:rsid w:val="00A82647"/>
    <w:rsid w:val="00A82E92"/>
    <w:rsid w:val="00A84D8C"/>
    <w:rsid w:val="00A874F7"/>
    <w:rsid w:val="00A94D0F"/>
    <w:rsid w:val="00A96164"/>
    <w:rsid w:val="00AA0202"/>
    <w:rsid w:val="00AA157A"/>
    <w:rsid w:val="00AA2091"/>
    <w:rsid w:val="00AA4D8E"/>
    <w:rsid w:val="00AA70B6"/>
    <w:rsid w:val="00AB0ADB"/>
    <w:rsid w:val="00AB1542"/>
    <w:rsid w:val="00AB35A3"/>
    <w:rsid w:val="00AE1B6D"/>
    <w:rsid w:val="00AE20C0"/>
    <w:rsid w:val="00AE688E"/>
    <w:rsid w:val="00AF61FC"/>
    <w:rsid w:val="00AF65D4"/>
    <w:rsid w:val="00B01B1A"/>
    <w:rsid w:val="00B03C76"/>
    <w:rsid w:val="00B10669"/>
    <w:rsid w:val="00B10A54"/>
    <w:rsid w:val="00B1459A"/>
    <w:rsid w:val="00B33D49"/>
    <w:rsid w:val="00B40858"/>
    <w:rsid w:val="00B526BD"/>
    <w:rsid w:val="00B66319"/>
    <w:rsid w:val="00B70368"/>
    <w:rsid w:val="00B72CD3"/>
    <w:rsid w:val="00B72FFF"/>
    <w:rsid w:val="00B7585B"/>
    <w:rsid w:val="00BB145E"/>
    <w:rsid w:val="00BC3D36"/>
    <w:rsid w:val="00BD5DC4"/>
    <w:rsid w:val="00BD70C9"/>
    <w:rsid w:val="00BD7F72"/>
    <w:rsid w:val="00C04760"/>
    <w:rsid w:val="00C04FB3"/>
    <w:rsid w:val="00C117F6"/>
    <w:rsid w:val="00C330EB"/>
    <w:rsid w:val="00C41061"/>
    <w:rsid w:val="00C55EF3"/>
    <w:rsid w:val="00C6738F"/>
    <w:rsid w:val="00C754BE"/>
    <w:rsid w:val="00C76B1C"/>
    <w:rsid w:val="00C774A9"/>
    <w:rsid w:val="00C81EC1"/>
    <w:rsid w:val="00C9059A"/>
    <w:rsid w:val="00C91C6D"/>
    <w:rsid w:val="00CB3D08"/>
    <w:rsid w:val="00CB3E42"/>
    <w:rsid w:val="00CB6357"/>
    <w:rsid w:val="00CC0B58"/>
    <w:rsid w:val="00CC1B26"/>
    <w:rsid w:val="00CC3A58"/>
    <w:rsid w:val="00CC43C7"/>
    <w:rsid w:val="00CC72ED"/>
    <w:rsid w:val="00CD68C1"/>
    <w:rsid w:val="00CE2464"/>
    <w:rsid w:val="00CE4BAD"/>
    <w:rsid w:val="00CF1831"/>
    <w:rsid w:val="00CF4264"/>
    <w:rsid w:val="00D0041A"/>
    <w:rsid w:val="00D11903"/>
    <w:rsid w:val="00D34F83"/>
    <w:rsid w:val="00D35C51"/>
    <w:rsid w:val="00D423A2"/>
    <w:rsid w:val="00D520D8"/>
    <w:rsid w:val="00D63AC2"/>
    <w:rsid w:val="00D7383B"/>
    <w:rsid w:val="00D8283F"/>
    <w:rsid w:val="00D91885"/>
    <w:rsid w:val="00D951BD"/>
    <w:rsid w:val="00DA1D20"/>
    <w:rsid w:val="00DA231B"/>
    <w:rsid w:val="00DA3EF6"/>
    <w:rsid w:val="00DA4F2B"/>
    <w:rsid w:val="00DB303C"/>
    <w:rsid w:val="00DB636D"/>
    <w:rsid w:val="00DC39FC"/>
    <w:rsid w:val="00DD03A7"/>
    <w:rsid w:val="00DD4A78"/>
    <w:rsid w:val="00DE3228"/>
    <w:rsid w:val="00DE78EA"/>
    <w:rsid w:val="00DF5254"/>
    <w:rsid w:val="00E01128"/>
    <w:rsid w:val="00E030A2"/>
    <w:rsid w:val="00E0350C"/>
    <w:rsid w:val="00E16408"/>
    <w:rsid w:val="00E20894"/>
    <w:rsid w:val="00E23CE5"/>
    <w:rsid w:val="00E245AB"/>
    <w:rsid w:val="00E2764C"/>
    <w:rsid w:val="00E27F2E"/>
    <w:rsid w:val="00E3767E"/>
    <w:rsid w:val="00E42192"/>
    <w:rsid w:val="00E50AFE"/>
    <w:rsid w:val="00E5428A"/>
    <w:rsid w:val="00E6460C"/>
    <w:rsid w:val="00E6558C"/>
    <w:rsid w:val="00E6714D"/>
    <w:rsid w:val="00E6734D"/>
    <w:rsid w:val="00E75C92"/>
    <w:rsid w:val="00E771DC"/>
    <w:rsid w:val="00E8772A"/>
    <w:rsid w:val="00E90F6B"/>
    <w:rsid w:val="00E92C27"/>
    <w:rsid w:val="00EA0E3D"/>
    <w:rsid w:val="00EA381B"/>
    <w:rsid w:val="00EA46CC"/>
    <w:rsid w:val="00EA7122"/>
    <w:rsid w:val="00EA7350"/>
    <w:rsid w:val="00EB308A"/>
    <w:rsid w:val="00EC38A7"/>
    <w:rsid w:val="00EC5E83"/>
    <w:rsid w:val="00ED7384"/>
    <w:rsid w:val="00EE1AA8"/>
    <w:rsid w:val="00F046D9"/>
    <w:rsid w:val="00F209AA"/>
    <w:rsid w:val="00F20C15"/>
    <w:rsid w:val="00F233CB"/>
    <w:rsid w:val="00F31EDC"/>
    <w:rsid w:val="00F3649F"/>
    <w:rsid w:val="00F462B3"/>
    <w:rsid w:val="00F50F26"/>
    <w:rsid w:val="00F51497"/>
    <w:rsid w:val="00F5664F"/>
    <w:rsid w:val="00F62967"/>
    <w:rsid w:val="00F666C4"/>
    <w:rsid w:val="00F71533"/>
    <w:rsid w:val="00F7418F"/>
    <w:rsid w:val="00F76AFC"/>
    <w:rsid w:val="00F76FCA"/>
    <w:rsid w:val="00F82328"/>
    <w:rsid w:val="00F857E2"/>
    <w:rsid w:val="00FA47C0"/>
    <w:rsid w:val="00FB4154"/>
    <w:rsid w:val="00FB5DD1"/>
    <w:rsid w:val="00FB686C"/>
    <w:rsid w:val="00FC2B5D"/>
    <w:rsid w:val="00FC48F2"/>
    <w:rsid w:val="00FD73F3"/>
    <w:rsid w:val="00FE3C8E"/>
    <w:rsid w:val="00FF1449"/>
    <w:rsid w:val="00FF700A"/>
    <w:rsid w:val="67BFB22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253"/>
  </w:style>
  <w:style w:type="paragraph" w:styleId="Ttulo1">
    <w:name w:val="heading 1"/>
    <w:basedOn w:val="Normal"/>
    <w:next w:val="Normal"/>
    <w:link w:val="Ttulo1Car"/>
    <w:uiPriority w:val="9"/>
    <w:qFormat/>
    <w:rsid w:val="00717D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rsid w:val="00226C73"/>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226C73"/>
    <w:rPr>
      <w:rFonts w:ascii="Geomanist Light" w:hAnsi="Geomanist Light"/>
      <w:lang w:val="es-ES"/>
    </w:rPr>
  </w:style>
  <w:style w:type="paragraph" w:styleId="Textoindependiente">
    <w:name w:val="Body Text"/>
    <w:basedOn w:val="Normal"/>
    <w:link w:val="TextoindependienteCar"/>
    <w:uiPriority w:val="99"/>
    <w:unhideWhenUsed/>
    <w:rsid w:val="00226C73"/>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independienteCar">
    <w:name w:val="Texto independiente Car"/>
    <w:basedOn w:val="Fuentedeprrafopredeter"/>
    <w:link w:val="Textoindependiente"/>
    <w:uiPriority w:val="99"/>
    <w:rsid w:val="00226C73"/>
    <w:rPr>
      <w:rFonts w:ascii="Times New Roman" w:eastAsia="Times New Roman" w:hAnsi="Times New Roman" w:cs="Times New Roman"/>
      <w:sz w:val="24"/>
      <w:szCs w:val="24"/>
      <w:lang w:eastAsia="es-CO"/>
    </w:rPr>
  </w:style>
  <w:style w:type="character" w:customStyle="1" w:styleId="NormalWebCar">
    <w:name w:val="Normal (Web) Car"/>
    <w:link w:val="NormalWeb"/>
    <w:uiPriority w:val="99"/>
    <w:rsid w:val="00226C73"/>
    <w:rPr>
      <w:rFonts w:ascii="Times New Roman" w:eastAsia="Times New Roman" w:hAnsi="Times New Roman" w:cs="Times New Roman"/>
      <w:sz w:val="24"/>
      <w:szCs w:val="24"/>
      <w:lang w:eastAsia="es-CO"/>
    </w:rPr>
  </w:style>
  <w:style w:type="character" w:styleId="Fuerte">
    <w:name w:val="Strong"/>
    <w:basedOn w:val="Fuentedeprrafopredeter"/>
    <w:uiPriority w:val="22"/>
    <w:qFormat/>
    <w:rsid w:val="00854880"/>
    <w:rPr>
      <w:b/>
      <w:bCs/>
    </w:rPr>
  </w:style>
  <w:style w:type="character" w:styleId="nfasis">
    <w:name w:val="Emphasis"/>
    <w:basedOn w:val="Fuentedeprrafopredeter"/>
    <w:uiPriority w:val="20"/>
    <w:qFormat/>
    <w:rsid w:val="00854880"/>
    <w:rPr>
      <w:i/>
      <w:iCs/>
    </w:rPr>
  </w:style>
  <w:style w:type="character" w:customStyle="1" w:styleId="baj">
    <w:name w:val="b_aj"/>
    <w:basedOn w:val="Fuentedeprrafopredeter"/>
    <w:rsid w:val="00854880"/>
  </w:style>
  <w:style w:type="character" w:styleId="Refdecomentario">
    <w:name w:val="annotation reference"/>
    <w:basedOn w:val="Fuentedeprrafopredeter"/>
    <w:uiPriority w:val="99"/>
    <w:semiHidden/>
    <w:unhideWhenUsed/>
    <w:rsid w:val="009D0669"/>
    <w:rPr>
      <w:sz w:val="16"/>
      <w:szCs w:val="16"/>
    </w:rPr>
  </w:style>
  <w:style w:type="paragraph" w:styleId="Textocomentario">
    <w:name w:val="annotation text"/>
    <w:basedOn w:val="Normal"/>
    <w:link w:val="TextocomentarioCar"/>
    <w:uiPriority w:val="99"/>
    <w:unhideWhenUsed/>
    <w:rsid w:val="009D0669"/>
    <w:pPr>
      <w:spacing w:after="0" w:line="240" w:lineRule="auto"/>
    </w:pPr>
    <w:rPr>
      <w:sz w:val="20"/>
      <w:szCs w:val="20"/>
      <w:lang w:val="es-ES_tradnl"/>
    </w:rPr>
  </w:style>
  <w:style w:type="character" w:customStyle="1" w:styleId="TextocomentarioCar">
    <w:name w:val="Texto comentario Car"/>
    <w:basedOn w:val="Fuentedeprrafopredeter"/>
    <w:link w:val="Textocomentario"/>
    <w:uiPriority w:val="99"/>
    <w:rsid w:val="009D0669"/>
    <w:rPr>
      <w:sz w:val="20"/>
      <w:szCs w:val="20"/>
      <w:lang w:val="es-ES_tradnl"/>
    </w:rPr>
  </w:style>
  <w:style w:type="character" w:customStyle="1" w:styleId="Ttulo1Car">
    <w:name w:val="Título 1 Car"/>
    <w:basedOn w:val="Fuentedeprrafopredeter"/>
    <w:link w:val="Ttulo1"/>
    <w:uiPriority w:val="9"/>
    <w:rsid w:val="00717D51"/>
    <w:rPr>
      <w:rFonts w:asciiTheme="majorHAnsi" w:eastAsiaTheme="majorEastAsia" w:hAnsiTheme="majorHAnsi" w:cstheme="majorBidi"/>
      <w:color w:val="2F5496" w:themeColor="accent1" w:themeShade="BF"/>
      <w:sz w:val="32"/>
      <w:szCs w:val="32"/>
    </w:rPr>
  </w:style>
  <w:style w:type="paragraph" w:customStyle="1" w:styleId="font-claude-response-body">
    <w:name w:val="font-claude-response-body"/>
    <w:basedOn w:val="Normal"/>
    <w:rsid w:val="00A874F7"/>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bsolute">
    <w:name w:val="absolute"/>
    <w:basedOn w:val="Fuentedeprrafopredeter"/>
    <w:rsid w:val="00A874F7"/>
  </w:style>
  <w:style w:type="character" w:customStyle="1" w:styleId="inline-flex">
    <w:name w:val="inline-flex"/>
    <w:basedOn w:val="Fuentedeprrafopredeter"/>
    <w:rsid w:val="00A874F7"/>
  </w:style>
  <w:style w:type="character" w:customStyle="1" w:styleId="transition-all">
    <w:name w:val="transition-all"/>
    <w:basedOn w:val="Fuentedeprrafopredeter"/>
    <w:rsid w:val="00A874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98708">
      <w:bodyDiv w:val="1"/>
      <w:marLeft w:val="0"/>
      <w:marRight w:val="0"/>
      <w:marTop w:val="0"/>
      <w:marBottom w:val="0"/>
      <w:divBdr>
        <w:top w:val="none" w:sz="0" w:space="0" w:color="auto"/>
        <w:left w:val="none" w:sz="0" w:space="0" w:color="auto"/>
        <w:bottom w:val="none" w:sz="0" w:space="0" w:color="auto"/>
        <w:right w:val="none" w:sz="0" w:space="0" w:color="auto"/>
      </w:divBdr>
      <w:divsChild>
        <w:div w:id="985208430">
          <w:marLeft w:val="0"/>
          <w:marRight w:val="0"/>
          <w:marTop w:val="0"/>
          <w:marBottom w:val="0"/>
          <w:divBdr>
            <w:top w:val="none" w:sz="0" w:space="0" w:color="auto"/>
            <w:left w:val="none" w:sz="0" w:space="0" w:color="auto"/>
            <w:bottom w:val="none" w:sz="0" w:space="0" w:color="auto"/>
            <w:right w:val="none" w:sz="0" w:space="0" w:color="auto"/>
          </w:divBdr>
          <w:divsChild>
            <w:div w:id="35013051">
              <w:marLeft w:val="0"/>
              <w:marRight w:val="0"/>
              <w:marTop w:val="0"/>
              <w:marBottom w:val="0"/>
              <w:divBdr>
                <w:top w:val="none" w:sz="0" w:space="0" w:color="auto"/>
                <w:left w:val="none" w:sz="0" w:space="0" w:color="auto"/>
                <w:bottom w:val="none" w:sz="0" w:space="0" w:color="auto"/>
                <w:right w:val="none" w:sz="0" w:space="0" w:color="auto"/>
              </w:divBdr>
              <w:divsChild>
                <w:div w:id="1357847797">
                  <w:marLeft w:val="0"/>
                  <w:marRight w:val="0"/>
                  <w:marTop w:val="0"/>
                  <w:marBottom w:val="0"/>
                  <w:divBdr>
                    <w:top w:val="none" w:sz="0" w:space="0" w:color="auto"/>
                    <w:left w:val="none" w:sz="0" w:space="0" w:color="auto"/>
                    <w:bottom w:val="none" w:sz="0" w:space="0" w:color="auto"/>
                    <w:right w:val="none" w:sz="0" w:space="0" w:color="auto"/>
                  </w:divBdr>
                  <w:divsChild>
                    <w:div w:id="51153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45385">
      <w:bodyDiv w:val="1"/>
      <w:marLeft w:val="0"/>
      <w:marRight w:val="0"/>
      <w:marTop w:val="0"/>
      <w:marBottom w:val="0"/>
      <w:divBdr>
        <w:top w:val="none" w:sz="0" w:space="0" w:color="auto"/>
        <w:left w:val="none" w:sz="0" w:space="0" w:color="auto"/>
        <w:bottom w:val="none" w:sz="0" w:space="0" w:color="auto"/>
        <w:right w:val="none" w:sz="0" w:space="0" w:color="auto"/>
      </w:divBdr>
      <w:divsChild>
        <w:div w:id="1179349290">
          <w:marLeft w:val="0"/>
          <w:marRight w:val="0"/>
          <w:marTop w:val="0"/>
          <w:marBottom w:val="0"/>
          <w:divBdr>
            <w:top w:val="none" w:sz="0" w:space="0" w:color="auto"/>
            <w:left w:val="none" w:sz="0" w:space="0" w:color="auto"/>
            <w:bottom w:val="none" w:sz="0" w:space="0" w:color="auto"/>
            <w:right w:val="none" w:sz="0" w:space="0" w:color="auto"/>
          </w:divBdr>
          <w:divsChild>
            <w:div w:id="3920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20644">
      <w:bodyDiv w:val="1"/>
      <w:marLeft w:val="0"/>
      <w:marRight w:val="0"/>
      <w:marTop w:val="0"/>
      <w:marBottom w:val="0"/>
      <w:divBdr>
        <w:top w:val="none" w:sz="0" w:space="0" w:color="auto"/>
        <w:left w:val="none" w:sz="0" w:space="0" w:color="auto"/>
        <w:bottom w:val="none" w:sz="0" w:space="0" w:color="auto"/>
        <w:right w:val="none" w:sz="0" w:space="0" w:color="auto"/>
      </w:divBdr>
      <w:divsChild>
        <w:div w:id="1217744114">
          <w:marLeft w:val="0"/>
          <w:marRight w:val="0"/>
          <w:marTop w:val="0"/>
          <w:marBottom w:val="0"/>
          <w:divBdr>
            <w:top w:val="none" w:sz="0" w:space="0" w:color="auto"/>
            <w:left w:val="none" w:sz="0" w:space="0" w:color="auto"/>
            <w:bottom w:val="none" w:sz="0" w:space="0" w:color="auto"/>
            <w:right w:val="none" w:sz="0" w:space="0" w:color="auto"/>
          </w:divBdr>
          <w:divsChild>
            <w:div w:id="439883179">
              <w:marLeft w:val="0"/>
              <w:marRight w:val="0"/>
              <w:marTop w:val="0"/>
              <w:marBottom w:val="0"/>
              <w:divBdr>
                <w:top w:val="none" w:sz="0" w:space="0" w:color="auto"/>
                <w:left w:val="none" w:sz="0" w:space="0" w:color="auto"/>
                <w:bottom w:val="none" w:sz="0" w:space="0" w:color="auto"/>
                <w:right w:val="none" w:sz="0" w:space="0" w:color="auto"/>
              </w:divBdr>
              <w:divsChild>
                <w:div w:id="8522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04986">
      <w:bodyDiv w:val="1"/>
      <w:marLeft w:val="0"/>
      <w:marRight w:val="0"/>
      <w:marTop w:val="0"/>
      <w:marBottom w:val="0"/>
      <w:divBdr>
        <w:top w:val="none" w:sz="0" w:space="0" w:color="auto"/>
        <w:left w:val="none" w:sz="0" w:space="0" w:color="auto"/>
        <w:bottom w:val="none" w:sz="0" w:space="0" w:color="auto"/>
        <w:right w:val="none" w:sz="0" w:space="0" w:color="auto"/>
      </w:divBdr>
      <w:divsChild>
        <w:div w:id="379403058">
          <w:marLeft w:val="0"/>
          <w:marRight w:val="0"/>
          <w:marTop w:val="0"/>
          <w:marBottom w:val="0"/>
          <w:divBdr>
            <w:top w:val="none" w:sz="0" w:space="0" w:color="auto"/>
            <w:left w:val="none" w:sz="0" w:space="0" w:color="auto"/>
            <w:bottom w:val="none" w:sz="0" w:space="0" w:color="auto"/>
            <w:right w:val="none" w:sz="0" w:space="0" w:color="auto"/>
          </w:divBdr>
          <w:divsChild>
            <w:div w:id="1929725994">
              <w:marLeft w:val="0"/>
              <w:marRight w:val="0"/>
              <w:marTop w:val="0"/>
              <w:marBottom w:val="0"/>
              <w:divBdr>
                <w:top w:val="none" w:sz="0" w:space="0" w:color="auto"/>
                <w:left w:val="none" w:sz="0" w:space="0" w:color="auto"/>
                <w:bottom w:val="none" w:sz="0" w:space="0" w:color="auto"/>
                <w:right w:val="none" w:sz="0" w:space="0" w:color="auto"/>
              </w:divBdr>
              <w:divsChild>
                <w:div w:id="5059514">
                  <w:marLeft w:val="0"/>
                  <w:marRight w:val="0"/>
                  <w:marTop w:val="0"/>
                  <w:marBottom w:val="0"/>
                  <w:divBdr>
                    <w:top w:val="none" w:sz="0" w:space="0" w:color="auto"/>
                    <w:left w:val="none" w:sz="0" w:space="0" w:color="auto"/>
                    <w:bottom w:val="none" w:sz="0" w:space="0" w:color="auto"/>
                    <w:right w:val="none" w:sz="0" w:space="0" w:color="auto"/>
                  </w:divBdr>
                  <w:divsChild>
                    <w:div w:id="42874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36568">
      <w:bodyDiv w:val="1"/>
      <w:marLeft w:val="0"/>
      <w:marRight w:val="0"/>
      <w:marTop w:val="0"/>
      <w:marBottom w:val="0"/>
      <w:divBdr>
        <w:top w:val="none" w:sz="0" w:space="0" w:color="auto"/>
        <w:left w:val="none" w:sz="0" w:space="0" w:color="auto"/>
        <w:bottom w:val="none" w:sz="0" w:space="0" w:color="auto"/>
        <w:right w:val="none" w:sz="0" w:space="0" w:color="auto"/>
      </w:divBdr>
      <w:divsChild>
        <w:div w:id="1210605094">
          <w:marLeft w:val="0"/>
          <w:marRight w:val="0"/>
          <w:marTop w:val="0"/>
          <w:marBottom w:val="0"/>
          <w:divBdr>
            <w:top w:val="none" w:sz="0" w:space="0" w:color="auto"/>
            <w:left w:val="none" w:sz="0" w:space="0" w:color="auto"/>
            <w:bottom w:val="none" w:sz="0" w:space="0" w:color="auto"/>
            <w:right w:val="none" w:sz="0" w:space="0" w:color="auto"/>
          </w:divBdr>
          <w:divsChild>
            <w:div w:id="1558669074">
              <w:marLeft w:val="0"/>
              <w:marRight w:val="0"/>
              <w:marTop w:val="0"/>
              <w:marBottom w:val="0"/>
              <w:divBdr>
                <w:top w:val="none" w:sz="0" w:space="0" w:color="auto"/>
                <w:left w:val="none" w:sz="0" w:space="0" w:color="auto"/>
                <w:bottom w:val="none" w:sz="0" w:space="0" w:color="auto"/>
                <w:right w:val="none" w:sz="0" w:space="0" w:color="auto"/>
              </w:divBdr>
              <w:divsChild>
                <w:div w:id="123326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73200">
      <w:bodyDiv w:val="1"/>
      <w:marLeft w:val="0"/>
      <w:marRight w:val="0"/>
      <w:marTop w:val="0"/>
      <w:marBottom w:val="0"/>
      <w:divBdr>
        <w:top w:val="none" w:sz="0" w:space="0" w:color="auto"/>
        <w:left w:val="none" w:sz="0" w:space="0" w:color="auto"/>
        <w:bottom w:val="none" w:sz="0" w:space="0" w:color="auto"/>
        <w:right w:val="none" w:sz="0" w:space="0" w:color="auto"/>
      </w:divBdr>
      <w:divsChild>
        <w:div w:id="1880513656">
          <w:marLeft w:val="0"/>
          <w:marRight w:val="0"/>
          <w:marTop w:val="0"/>
          <w:marBottom w:val="0"/>
          <w:divBdr>
            <w:top w:val="none" w:sz="0" w:space="0" w:color="auto"/>
            <w:left w:val="none" w:sz="0" w:space="0" w:color="auto"/>
            <w:bottom w:val="none" w:sz="0" w:space="0" w:color="auto"/>
            <w:right w:val="none" w:sz="0" w:space="0" w:color="auto"/>
          </w:divBdr>
          <w:divsChild>
            <w:div w:id="975911983">
              <w:marLeft w:val="0"/>
              <w:marRight w:val="0"/>
              <w:marTop w:val="0"/>
              <w:marBottom w:val="0"/>
              <w:divBdr>
                <w:top w:val="none" w:sz="0" w:space="0" w:color="auto"/>
                <w:left w:val="none" w:sz="0" w:space="0" w:color="auto"/>
                <w:bottom w:val="none" w:sz="0" w:space="0" w:color="auto"/>
                <w:right w:val="none" w:sz="0" w:space="0" w:color="auto"/>
              </w:divBdr>
              <w:divsChild>
                <w:div w:id="44231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41750">
      <w:bodyDiv w:val="1"/>
      <w:marLeft w:val="0"/>
      <w:marRight w:val="0"/>
      <w:marTop w:val="0"/>
      <w:marBottom w:val="0"/>
      <w:divBdr>
        <w:top w:val="none" w:sz="0" w:space="0" w:color="auto"/>
        <w:left w:val="none" w:sz="0" w:space="0" w:color="auto"/>
        <w:bottom w:val="none" w:sz="0" w:space="0" w:color="auto"/>
        <w:right w:val="none" w:sz="0" w:space="0" w:color="auto"/>
      </w:divBdr>
      <w:divsChild>
        <w:div w:id="389233104">
          <w:marLeft w:val="0"/>
          <w:marRight w:val="0"/>
          <w:marTop w:val="0"/>
          <w:marBottom w:val="0"/>
          <w:divBdr>
            <w:top w:val="none" w:sz="0" w:space="0" w:color="auto"/>
            <w:left w:val="none" w:sz="0" w:space="0" w:color="auto"/>
            <w:bottom w:val="none" w:sz="0" w:space="0" w:color="auto"/>
            <w:right w:val="none" w:sz="0" w:space="0" w:color="auto"/>
          </w:divBdr>
          <w:divsChild>
            <w:div w:id="646593491">
              <w:marLeft w:val="0"/>
              <w:marRight w:val="0"/>
              <w:marTop w:val="0"/>
              <w:marBottom w:val="0"/>
              <w:divBdr>
                <w:top w:val="none" w:sz="0" w:space="0" w:color="auto"/>
                <w:left w:val="none" w:sz="0" w:space="0" w:color="auto"/>
                <w:bottom w:val="none" w:sz="0" w:space="0" w:color="auto"/>
                <w:right w:val="none" w:sz="0" w:space="0" w:color="auto"/>
              </w:divBdr>
              <w:divsChild>
                <w:div w:id="154994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19585">
      <w:bodyDiv w:val="1"/>
      <w:marLeft w:val="0"/>
      <w:marRight w:val="0"/>
      <w:marTop w:val="0"/>
      <w:marBottom w:val="0"/>
      <w:divBdr>
        <w:top w:val="none" w:sz="0" w:space="0" w:color="auto"/>
        <w:left w:val="none" w:sz="0" w:space="0" w:color="auto"/>
        <w:bottom w:val="none" w:sz="0" w:space="0" w:color="auto"/>
        <w:right w:val="none" w:sz="0" w:space="0" w:color="auto"/>
      </w:divBdr>
      <w:divsChild>
        <w:div w:id="457182653">
          <w:marLeft w:val="0"/>
          <w:marRight w:val="0"/>
          <w:marTop w:val="0"/>
          <w:marBottom w:val="0"/>
          <w:divBdr>
            <w:top w:val="none" w:sz="0" w:space="0" w:color="auto"/>
            <w:left w:val="none" w:sz="0" w:space="0" w:color="auto"/>
            <w:bottom w:val="none" w:sz="0" w:space="0" w:color="auto"/>
            <w:right w:val="none" w:sz="0" w:space="0" w:color="auto"/>
          </w:divBdr>
          <w:divsChild>
            <w:div w:id="341736584">
              <w:marLeft w:val="0"/>
              <w:marRight w:val="0"/>
              <w:marTop w:val="0"/>
              <w:marBottom w:val="0"/>
              <w:divBdr>
                <w:top w:val="none" w:sz="0" w:space="0" w:color="auto"/>
                <w:left w:val="none" w:sz="0" w:space="0" w:color="auto"/>
                <w:bottom w:val="none" w:sz="0" w:space="0" w:color="auto"/>
                <w:right w:val="none" w:sz="0" w:space="0" w:color="auto"/>
              </w:divBdr>
              <w:divsChild>
                <w:div w:id="43012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07805">
      <w:bodyDiv w:val="1"/>
      <w:marLeft w:val="0"/>
      <w:marRight w:val="0"/>
      <w:marTop w:val="0"/>
      <w:marBottom w:val="0"/>
      <w:divBdr>
        <w:top w:val="none" w:sz="0" w:space="0" w:color="auto"/>
        <w:left w:val="none" w:sz="0" w:space="0" w:color="auto"/>
        <w:bottom w:val="none" w:sz="0" w:space="0" w:color="auto"/>
        <w:right w:val="none" w:sz="0" w:space="0" w:color="auto"/>
      </w:divBdr>
      <w:divsChild>
        <w:div w:id="1784492869">
          <w:marLeft w:val="0"/>
          <w:marRight w:val="0"/>
          <w:marTop w:val="0"/>
          <w:marBottom w:val="0"/>
          <w:divBdr>
            <w:top w:val="none" w:sz="0" w:space="0" w:color="auto"/>
            <w:left w:val="none" w:sz="0" w:space="0" w:color="auto"/>
            <w:bottom w:val="none" w:sz="0" w:space="0" w:color="auto"/>
            <w:right w:val="none" w:sz="0" w:space="0" w:color="auto"/>
          </w:divBdr>
          <w:divsChild>
            <w:div w:id="1948001652">
              <w:marLeft w:val="0"/>
              <w:marRight w:val="0"/>
              <w:marTop w:val="0"/>
              <w:marBottom w:val="0"/>
              <w:divBdr>
                <w:top w:val="none" w:sz="0" w:space="0" w:color="auto"/>
                <w:left w:val="none" w:sz="0" w:space="0" w:color="auto"/>
                <w:bottom w:val="none" w:sz="0" w:space="0" w:color="auto"/>
                <w:right w:val="none" w:sz="0" w:space="0" w:color="auto"/>
              </w:divBdr>
              <w:divsChild>
                <w:div w:id="126491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71736">
      <w:bodyDiv w:val="1"/>
      <w:marLeft w:val="0"/>
      <w:marRight w:val="0"/>
      <w:marTop w:val="0"/>
      <w:marBottom w:val="0"/>
      <w:divBdr>
        <w:top w:val="none" w:sz="0" w:space="0" w:color="auto"/>
        <w:left w:val="none" w:sz="0" w:space="0" w:color="auto"/>
        <w:bottom w:val="none" w:sz="0" w:space="0" w:color="auto"/>
        <w:right w:val="none" w:sz="0" w:space="0" w:color="auto"/>
      </w:divBdr>
      <w:divsChild>
        <w:div w:id="1265264013">
          <w:marLeft w:val="0"/>
          <w:marRight w:val="0"/>
          <w:marTop w:val="0"/>
          <w:marBottom w:val="0"/>
          <w:divBdr>
            <w:top w:val="none" w:sz="0" w:space="0" w:color="auto"/>
            <w:left w:val="none" w:sz="0" w:space="0" w:color="auto"/>
            <w:bottom w:val="none" w:sz="0" w:space="0" w:color="auto"/>
            <w:right w:val="none" w:sz="0" w:space="0" w:color="auto"/>
          </w:divBdr>
          <w:divsChild>
            <w:div w:id="1518275240">
              <w:marLeft w:val="0"/>
              <w:marRight w:val="0"/>
              <w:marTop w:val="0"/>
              <w:marBottom w:val="0"/>
              <w:divBdr>
                <w:top w:val="none" w:sz="0" w:space="0" w:color="auto"/>
                <w:left w:val="none" w:sz="0" w:space="0" w:color="auto"/>
                <w:bottom w:val="none" w:sz="0" w:space="0" w:color="auto"/>
                <w:right w:val="none" w:sz="0" w:space="0" w:color="auto"/>
              </w:divBdr>
              <w:divsChild>
                <w:div w:id="21786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94471">
      <w:bodyDiv w:val="1"/>
      <w:marLeft w:val="0"/>
      <w:marRight w:val="0"/>
      <w:marTop w:val="0"/>
      <w:marBottom w:val="0"/>
      <w:divBdr>
        <w:top w:val="none" w:sz="0" w:space="0" w:color="auto"/>
        <w:left w:val="none" w:sz="0" w:space="0" w:color="auto"/>
        <w:bottom w:val="none" w:sz="0" w:space="0" w:color="auto"/>
        <w:right w:val="none" w:sz="0" w:space="0" w:color="auto"/>
      </w:divBdr>
      <w:divsChild>
        <w:div w:id="837310247">
          <w:marLeft w:val="0"/>
          <w:marRight w:val="0"/>
          <w:marTop w:val="0"/>
          <w:marBottom w:val="0"/>
          <w:divBdr>
            <w:top w:val="none" w:sz="0" w:space="0" w:color="auto"/>
            <w:left w:val="none" w:sz="0" w:space="0" w:color="auto"/>
            <w:bottom w:val="none" w:sz="0" w:space="0" w:color="auto"/>
            <w:right w:val="none" w:sz="0" w:space="0" w:color="auto"/>
          </w:divBdr>
          <w:divsChild>
            <w:div w:id="1989553286">
              <w:marLeft w:val="0"/>
              <w:marRight w:val="0"/>
              <w:marTop w:val="0"/>
              <w:marBottom w:val="0"/>
              <w:divBdr>
                <w:top w:val="none" w:sz="0" w:space="0" w:color="auto"/>
                <w:left w:val="none" w:sz="0" w:space="0" w:color="auto"/>
                <w:bottom w:val="none" w:sz="0" w:space="0" w:color="auto"/>
                <w:right w:val="none" w:sz="0" w:space="0" w:color="auto"/>
              </w:divBdr>
              <w:divsChild>
                <w:div w:id="1236162482">
                  <w:marLeft w:val="0"/>
                  <w:marRight w:val="0"/>
                  <w:marTop w:val="0"/>
                  <w:marBottom w:val="0"/>
                  <w:divBdr>
                    <w:top w:val="none" w:sz="0" w:space="0" w:color="auto"/>
                    <w:left w:val="none" w:sz="0" w:space="0" w:color="auto"/>
                    <w:bottom w:val="none" w:sz="0" w:space="0" w:color="auto"/>
                    <w:right w:val="none" w:sz="0" w:space="0" w:color="auto"/>
                  </w:divBdr>
                  <w:divsChild>
                    <w:div w:id="209835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10457">
      <w:bodyDiv w:val="1"/>
      <w:marLeft w:val="0"/>
      <w:marRight w:val="0"/>
      <w:marTop w:val="0"/>
      <w:marBottom w:val="0"/>
      <w:divBdr>
        <w:top w:val="none" w:sz="0" w:space="0" w:color="auto"/>
        <w:left w:val="none" w:sz="0" w:space="0" w:color="auto"/>
        <w:bottom w:val="none" w:sz="0" w:space="0" w:color="auto"/>
        <w:right w:val="none" w:sz="0" w:space="0" w:color="auto"/>
      </w:divBdr>
      <w:divsChild>
        <w:div w:id="865169393">
          <w:marLeft w:val="0"/>
          <w:marRight w:val="0"/>
          <w:marTop w:val="0"/>
          <w:marBottom w:val="0"/>
          <w:divBdr>
            <w:top w:val="none" w:sz="0" w:space="0" w:color="auto"/>
            <w:left w:val="none" w:sz="0" w:space="0" w:color="auto"/>
            <w:bottom w:val="none" w:sz="0" w:space="0" w:color="auto"/>
            <w:right w:val="none" w:sz="0" w:space="0" w:color="auto"/>
          </w:divBdr>
          <w:divsChild>
            <w:div w:id="1800957134">
              <w:marLeft w:val="0"/>
              <w:marRight w:val="0"/>
              <w:marTop w:val="0"/>
              <w:marBottom w:val="0"/>
              <w:divBdr>
                <w:top w:val="none" w:sz="0" w:space="0" w:color="auto"/>
                <w:left w:val="none" w:sz="0" w:space="0" w:color="auto"/>
                <w:bottom w:val="none" w:sz="0" w:space="0" w:color="auto"/>
                <w:right w:val="none" w:sz="0" w:space="0" w:color="auto"/>
              </w:divBdr>
              <w:divsChild>
                <w:div w:id="1562131249">
                  <w:marLeft w:val="0"/>
                  <w:marRight w:val="0"/>
                  <w:marTop w:val="0"/>
                  <w:marBottom w:val="0"/>
                  <w:divBdr>
                    <w:top w:val="none" w:sz="0" w:space="0" w:color="auto"/>
                    <w:left w:val="none" w:sz="0" w:space="0" w:color="auto"/>
                    <w:bottom w:val="none" w:sz="0" w:space="0" w:color="auto"/>
                    <w:right w:val="none" w:sz="0" w:space="0" w:color="auto"/>
                  </w:divBdr>
                  <w:divsChild>
                    <w:div w:id="6862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2390">
      <w:bodyDiv w:val="1"/>
      <w:marLeft w:val="0"/>
      <w:marRight w:val="0"/>
      <w:marTop w:val="0"/>
      <w:marBottom w:val="0"/>
      <w:divBdr>
        <w:top w:val="none" w:sz="0" w:space="0" w:color="auto"/>
        <w:left w:val="none" w:sz="0" w:space="0" w:color="auto"/>
        <w:bottom w:val="none" w:sz="0" w:space="0" w:color="auto"/>
        <w:right w:val="none" w:sz="0" w:space="0" w:color="auto"/>
      </w:divBdr>
      <w:divsChild>
        <w:div w:id="337537932">
          <w:marLeft w:val="0"/>
          <w:marRight w:val="0"/>
          <w:marTop w:val="0"/>
          <w:marBottom w:val="0"/>
          <w:divBdr>
            <w:top w:val="none" w:sz="0" w:space="0" w:color="auto"/>
            <w:left w:val="none" w:sz="0" w:space="0" w:color="auto"/>
            <w:bottom w:val="none" w:sz="0" w:space="0" w:color="auto"/>
            <w:right w:val="none" w:sz="0" w:space="0" w:color="auto"/>
          </w:divBdr>
          <w:divsChild>
            <w:div w:id="61178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86886">
      <w:bodyDiv w:val="1"/>
      <w:marLeft w:val="0"/>
      <w:marRight w:val="0"/>
      <w:marTop w:val="0"/>
      <w:marBottom w:val="0"/>
      <w:divBdr>
        <w:top w:val="none" w:sz="0" w:space="0" w:color="auto"/>
        <w:left w:val="none" w:sz="0" w:space="0" w:color="auto"/>
        <w:bottom w:val="none" w:sz="0" w:space="0" w:color="auto"/>
        <w:right w:val="none" w:sz="0" w:space="0" w:color="auto"/>
      </w:divBdr>
      <w:divsChild>
        <w:div w:id="439685595">
          <w:marLeft w:val="0"/>
          <w:marRight w:val="0"/>
          <w:marTop w:val="0"/>
          <w:marBottom w:val="0"/>
          <w:divBdr>
            <w:top w:val="none" w:sz="0" w:space="0" w:color="auto"/>
            <w:left w:val="none" w:sz="0" w:space="0" w:color="auto"/>
            <w:bottom w:val="none" w:sz="0" w:space="0" w:color="auto"/>
            <w:right w:val="none" w:sz="0" w:space="0" w:color="auto"/>
          </w:divBdr>
          <w:divsChild>
            <w:div w:id="1778601573">
              <w:marLeft w:val="0"/>
              <w:marRight w:val="0"/>
              <w:marTop w:val="0"/>
              <w:marBottom w:val="0"/>
              <w:divBdr>
                <w:top w:val="none" w:sz="0" w:space="0" w:color="auto"/>
                <w:left w:val="none" w:sz="0" w:space="0" w:color="auto"/>
                <w:bottom w:val="none" w:sz="0" w:space="0" w:color="auto"/>
                <w:right w:val="none" w:sz="0" w:space="0" w:color="auto"/>
              </w:divBdr>
              <w:divsChild>
                <w:div w:id="1003239274">
                  <w:marLeft w:val="0"/>
                  <w:marRight w:val="0"/>
                  <w:marTop w:val="0"/>
                  <w:marBottom w:val="0"/>
                  <w:divBdr>
                    <w:top w:val="none" w:sz="0" w:space="0" w:color="auto"/>
                    <w:left w:val="none" w:sz="0" w:space="0" w:color="auto"/>
                    <w:bottom w:val="none" w:sz="0" w:space="0" w:color="auto"/>
                    <w:right w:val="none" w:sz="0" w:space="0" w:color="auto"/>
                  </w:divBdr>
                  <w:divsChild>
                    <w:div w:id="136448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188694">
      <w:bodyDiv w:val="1"/>
      <w:marLeft w:val="0"/>
      <w:marRight w:val="0"/>
      <w:marTop w:val="0"/>
      <w:marBottom w:val="0"/>
      <w:divBdr>
        <w:top w:val="none" w:sz="0" w:space="0" w:color="auto"/>
        <w:left w:val="none" w:sz="0" w:space="0" w:color="auto"/>
        <w:bottom w:val="none" w:sz="0" w:space="0" w:color="auto"/>
        <w:right w:val="none" w:sz="0" w:space="0" w:color="auto"/>
      </w:divBdr>
      <w:divsChild>
        <w:div w:id="2103448775">
          <w:marLeft w:val="0"/>
          <w:marRight w:val="0"/>
          <w:marTop w:val="0"/>
          <w:marBottom w:val="0"/>
          <w:divBdr>
            <w:top w:val="none" w:sz="0" w:space="0" w:color="auto"/>
            <w:left w:val="none" w:sz="0" w:space="0" w:color="auto"/>
            <w:bottom w:val="none" w:sz="0" w:space="0" w:color="auto"/>
            <w:right w:val="none" w:sz="0" w:space="0" w:color="auto"/>
          </w:divBdr>
          <w:divsChild>
            <w:div w:id="611716547">
              <w:marLeft w:val="0"/>
              <w:marRight w:val="0"/>
              <w:marTop w:val="0"/>
              <w:marBottom w:val="0"/>
              <w:divBdr>
                <w:top w:val="none" w:sz="0" w:space="0" w:color="auto"/>
                <w:left w:val="none" w:sz="0" w:space="0" w:color="auto"/>
                <w:bottom w:val="none" w:sz="0" w:space="0" w:color="auto"/>
                <w:right w:val="none" w:sz="0" w:space="0" w:color="auto"/>
              </w:divBdr>
              <w:divsChild>
                <w:div w:id="1956861396">
                  <w:marLeft w:val="0"/>
                  <w:marRight w:val="0"/>
                  <w:marTop w:val="0"/>
                  <w:marBottom w:val="0"/>
                  <w:divBdr>
                    <w:top w:val="none" w:sz="0" w:space="0" w:color="auto"/>
                    <w:left w:val="none" w:sz="0" w:space="0" w:color="auto"/>
                    <w:bottom w:val="none" w:sz="0" w:space="0" w:color="auto"/>
                    <w:right w:val="none" w:sz="0" w:space="0" w:color="auto"/>
                  </w:divBdr>
                  <w:divsChild>
                    <w:div w:id="464397674">
                      <w:marLeft w:val="0"/>
                      <w:marRight w:val="0"/>
                      <w:marTop w:val="0"/>
                      <w:marBottom w:val="0"/>
                      <w:divBdr>
                        <w:top w:val="none" w:sz="0" w:space="0" w:color="auto"/>
                        <w:left w:val="none" w:sz="0" w:space="0" w:color="auto"/>
                        <w:bottom w:val="none" w:sz="0" w:space="0" w:color="auto"/>
                        <w:right w:val="none" w:sz="0" w:space="0" w:color="auto"/>
                      </w:divBdr>
                    </w:div>
                  </w:divsChild>
                </w:div>
                <w:div w:id="390545645">
                  <w:marLeft w:val="0"/>
                  <w:marRight w:val="0"/>
                  <w:marTop w:val="0"/>
                  <w:marBottom w:val="0"/>
                  <w:divBdr>
                    <w:top w:val="none" w:sz="0" w:space="0" w:color="auto"/>
                    <w:left w:val="none" w:sz="0" w:space="0" w:color="auto"/>
                    <w:bottom w:val="none" w:sz="0" w:space="0" w:color="auto"/>
                    <w:right w:val="none" w:sz="0" w:space="0" w:color="auto"/>
                  </w:divBdr>
                  <w:divsChild>
                    <w:div w:id="1071777136">
                      <w:marLeft w:val="0"/>
                      <w:marRight w:val="0"/>
                      <w:marTop w:val="0"/>
                      <w:marBottom w:val="0"/>
                      <w:divBdr>
                        <w:top w:val="none" w:sz="0" w:space="0" w:color="auto"/>
                        <w:left w:val="none" w:sz="0" w:space="0" w:color="auto"/>
                        <w:bottom w:val="none" w:sz="0" w:space="0" w:color="auto"/>
                        <w:right w:val="none" w:sz="0" w:space="0" w:color="auto"/>
                      </w:divBdr>
                    </w:div>
                  </w:divsChild>
                </w:div>
                <w:div w:id="1455977676">
                  <w:marLeft w:val="0"/>
                  <w:marRight w:val="0"/>
                  <w:marTop w:val="0"/>
                  <w:marBottom w:val="0"/>
                  <w:divBdr>
                    <w:top w:val="none" w:sz="0" w:space="0" w:color="auto"/>
                    <w:left w:val="none" w:sz="0" w:space="0" w:color="auto"/>
                    <w:bottom w:val="none" w:sz="0" w:space="0" w:color="auto"/>
                    <w:right w:val="none" w:sz="0" w:space="0" w:color="auto"/>
                  </w:divBdr>
                  <w:divsChild>
                    <w:div w:id="1313943007">
                      <w:marLeft w:val="0"/>
                      <w:marRight w:val="0"/>
                      <w:marTop w:val="0"/>
                      <w:marBottom w:val="0"/>
                      <w:divBdr>
                        <w:top w:val="none" w:sz="0" w:space="0" w:color="auto"/>
                        <w:left w:val="none" w:sz="0" w:space="0" w:color="auto"/>
                        <w:bottom w:val="none" w:sz="0" w:space="0" w:color="auto"/>
                        <w:right w:val="none" w:sz="0" w:space="0" w:color="auto"/>
                      </w:divBdr>
                    </w:div>
                  </w:divsChild>
                </w:div>
                <w:div w:id="610822679">
                  <w:marLeft w:val="0"/>
                  <w:marRight w:val="0"/>
                  <w:marTop w:val="0"/>
                  <w:marBottom w:val="0"/>
                  <w:divBdr>
                    <w:top w:val="none" w:sz="0" w:space="0" w:color="auto"/>
                    <w:left w:val="none" w:sz="0" w:space="0" w:color="auto"/>
                    <w:bottom w:val="none" w:sz="0" w:space="0" w:color="auto"/>
                    <w:right w:val="none" w:sz="0" w:space="0" w:color="auto"/>
                  </w:divBdr>
                  <w:divsChild>
                    <w:div w:id="193698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262653">
      <w:bodyDiv w:val="1"/>
      <w:marLeft w:val="0"/>
      <w:marRight w:val="0"/>
      <w:marTop w:val="0"/>
      <w:marBottom w:val="0"/>
      <w:divBdr>
        <w:top w:val="none" w:sz="0" w:space="0" w:color="auto"/>
        <w:left w:val="none" w:sz="0" w:space="0" w:color="auto"/>
        <w:bottom w:val="none" w:sz="0" w:space="0" w:color="auto"/>
        <w:right w:val="none" w:sz="0" w:space="0" w:color="auto"/>
      </w:divBdr>
      <w:divsChild>
        <w:div w:id="1523938469">
          <w:marLeft w:val="0"/>
          <w:marRight w:val="0"/>
          <w:marTop w:val="0"/>
          <w:marBottom w:val="0"/>
          <w:divBdr>
            <w:top w:val="none" w:sz="0" w:space="0" w:color="auto"/>
            <w:left w:val="none" w:sz="0" w:space="0" w:color="auto"/>
            <w:bottom w:val="none" w:sz="0" w:space="0" w:color="auto"/>
            <w:right w:val="none" w:sz="0" w:space="0" w:color="auto"/>
          </w:divBdr>
          <w:divsChild>
            <w:div w:id="357583448">
              <w:marLeft w:val="0"/>
              <w:marRight w:val="0"/>
              <w:marTop w:val="0"/>
              <w:marBottom w:val="0"/>
              <w:divBdr>
                <w:top w:val="none" w:sz="0" w:space="0" w:color="auto"/>
                <w:left w:val="none" w:sz="0" w:space="0" w:color="auto"/>
                <w:bottom w:val="none" w:sz="0" w:space="0" w:color="auto"/>
                <w:right w:val="none" w:sz="0" w:space="0" w:color="auto"/>
              </w:divBdr>
            </w:div>
            <w:div w:id="1437287241">
              <w:marLeft w:val="0"/>
              <w:marRight w:val="0"/>
              <w:marTop w:val="0"/>
              <w:marBottom w:val="0"/>
              <w:divBdr>
                <w:top w:val="none" w:sz="0" w:space="0" w:color="auto"/>
                <w:left w:val="none" w:sz="0" w:space="0" w:color="auto"/>
                <w:bottom w:val="none" w:sz="0" w:space="0" w:color="auto"/>
                <w:right w:val="none" w:sz="0" w:space="0" w:color="auto"/>
              </w:divBdr>
              <w:divsChild>
                <w:div w:id="357777121">
                  <w:marLeft w:val="0"/>
                  <w:marRight w:val="0"/>
                  <w:marTop w:val="0"/>
                  <w:marBottom w:val="0"/>
                  <w:divBdr>
                    <w:top w:val="none" w:sz="0" w:space="0" w:color="auto"/>
                    <w:left w:val="none" w:sz="0" w:space="0" w:color="auto"/>
                    <w:bottom w:val="none" w:sz="0" w:space="0" w:color="auto"/>
                    <w:right w:val="none" w:sz="0" w:space="0" w:color="auto"/>
                  </w:divBdr>
                  <w:divsChild>
                    <w:div w:id="80735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148677">
      <w:bodyDiv w:val="1"/>
      <w:marLeft w:val="0"/>
      <w:marRight w:val="0"/>
      <w:marTop w:val="0"/>
      <w:marBottom w:val="0"/>
      <w:divBdr>
        <w:top w:val="none" w:sz="0" w:space="0" w:color="auto"/>
        <w:left w:val="none" w:sz="0" w:space="0" w:color="auto"/>
        <w:bottom w:val="none" w:sz="0" w:space="0" w:color="auto"/>
        <w:right w:val="none" w:sz="0" w:space="0" w:color="auto"/>
      </w:divBdr>
      <w:divsChild>
        <w:div w:id="781922812">
          <w:marLeft w:val="0"/>
          <w:marRight w:val="0"/>
          <w:marTop w:val="0"/>
          <w:marBottom w:val="0"/>
          <w:divBdr>
            <w:top w:val="none" w:sz="0" w:space="0" w:color="auto"/>
            <w:left w:val="none" w:sz="0" w:space="0" w:color="auto"/>
            <w:bottom w:val="none" w:sz="0" w:space="0" w:color="auto"/>
            <w:right w:val="none" w:sz="0" w:space="0" w:color="auto"/>
          </w:divBdr>
          <w:divsChild>
            <w:div w:id="578055327">
              <w:marLeft w:val="0"/>
              <w:marRight w:val="0"/>
              <w:marTop w:val="0"/>
              <w:marBottom w:val="0"/>
              <w:divBdr>
                <w:top w:val="none" w:sz="0" w:space="0" w:color="auto"/>
                <w:left w:val="none" w:sz="0" w:space="0" w:color="auto"/>
                <w:bottom w:val="none" w:sz="0" w:space="0" w:color="auto"/>
                <w:right w:val="none" w:sz="0" w:space="0" w:color="auto"/>
              </w:divBdr>
              <w:divsChild>
                <w:div w:id="1512528079">
                  <w:marLeft w:val="0"/>
                  <w:marRight w:val="0"/>
                  <w:marTop w:val="0"/>
                  <w:marBottom w:val="0"/>
                  <w:divBdr>
                    <w:top w:val="none" w:sz="0" w:space="0" w:color="auto"/>
                    <w:left w:val="none" w:sz="0" w:space="0" w:color="auto"/>
                    <w:bottom w:val="none" w:sz="0" w:space="0" w:color="auto"/>
                    <w:right w:val="none" w:sz="0" w:space="0" w:color="auto"/>
                  </w:divBdr>
                  <w:divsChild>
                    <w:div w:id="1338851191">
                      <w:marLeft w:val="0"/>
                      <w:marRight w:val="0"/>
                      <w:marTop w:val="0"/>
                      <w:marBottom w:val="0"/>
                      <w:divBdr>
                        <w:top w:val="none" w:sz="0" w:space="0" w:color="auto"/>
                        <w:left w:val="none" w:sz="0" w:space="0" w:color="auto"/>
                        <w:bottom w:val="none" w:sz="0" w:space="0" w:color="auto"/>
                        <w:right w:val="none" w:sz="0" w:space="0" w:color="auto"/>
                      </w:divBdr>
                      <w:divsChild>
                        <w:div w:id="810513539">
                          <w:marLeft w:val="0"/>
                          <w:marRight w:val="0"/>
                          <w:marTop w:val="0"/>
                          <w:marBottom w:val="0"/>
                          <w:divBdr>
                            <w:top w:val="none" w:sz="0" w:space="0" w:color="auto"/>
                            <w:left w:val="none" w:sz="0" w:space="0" w:color="auto"/>
                            <w:bottom w:val="none" w:sz="0" w:space="0" w:color="auto"/>
                            <w:right w:val="none" w:sz="0" w:space="0" w:color="auto"/>
                          </w:divBdr>
                          <w:divsChild>
                            <w:div w:id="174268519">
                              <w:marLeft w:val="0"/>
                              <w:marRight w:val="0"/>
                              <w:marTop w:val="0"/>
                              <w:marBottom w:val="0"/>
                              <w:divBdr>
                                <w:top w:val="none" w:sz="0" w:space="0" w:color="auto"/>
                                <w:left w:val="none" w:sz="0" w:space="0" w:color="auto"/>
                                <w:bottom w:val="none" w:sz="0" w:space="0" w:color="auto"/>
                                <w:right w:val="none" w:sz="0" w:space="0" w:color="auto"/>
                              </w:divBdr>
                              <w:divsChild>
                                <w:div w:id="1319846153">
                                  <w:marLeft w:val="0"/>
                                  <w:marRight w:val="0"/>
                                  <w:marTop w:val="0"/>
                                  <w:marBottom w:val="0"/>
                                  <w:divBdr>
                                    <w:top w:val="none" w:sz="0" w:space="0" w:color="auto"/>
                                    <w:left w:val="none" w:sz="0" w:space="0" w:color="auto"/>
                                    <w:bottom w:val="none" w:sz="0" w:space="0" w:color="auto"/>
                                    <w:right w:val="none" w:sz="0" w:space="0" w:color="auto"/>
                                  </w:divBdr>
                                  <w:divsChild>
                                    <w:div w:id="935329981">
                                      <w:marLeft w:val="0"/>
                                      <w:marRight w:val="0"/>
                                      <w:marTop w:val="0"/>
                                      <w:marBottom w:val="0"/>
                                      <w:divBdr>
                                        <w:top w:val="none" w:sz="0" w:space="0" w:color="auto"/>
                                        <w:left w:val="none" w:sz="0" w:space="0" w:color="auto"/>
                                        <w:bottom w:val="none" w:sz="0" w:space="0" w:color="auto"/>
                                        <w:right w:val="none" w:sz="0" w:space="0" w:color="auto"/>
                                      </w:divBdr>
                                      <w:divsChild>
                                        <w:div w:id="170949559">
                                          <w:marLeft w:val="0"/>
                                          <w:marRight w:val="0"/>
                                          <w:marTop w:val="0"/>
                                          <w:marBottom w:val="0"/>
                                          <w:divBdr>
                                            <w:top w:val="none" w:sz="0" w:space="0" w:color="auto"/>
                                            <w:left w:val="none" w:sz="0" w:space="0" w:color="auto"/>
                                            <w:bottom w:val="none" w:sz="0" w:space="0" w:color="auto"/>
                                            <w:right w:val="none" w:sz="0" w:space="0" w:color="auto"/>
                                          </w:divBdr>
                                          <w:divsChild>
                                            <w:div w:id="746339342">
                                              <w:marLeft w:val="0"/>
                                              <w:marRight w:val="0"/>
                                              <w:marTop w:val="0"/>
                                              <w:marBottom w:val="0"/>
                                              <w:divBdr>
                                                <w:top w:val="none" w:sz="0" w:space="0" w:color="auto"/>
                                                <w:left w:val="none" w:sz="0" w:space="0" w:color="auto"/>
                                                <w:bottom w:val="none" w:sz="0" w:space="0" w:color="auto"/>
                                                <w:right w:val="none" w:sz="0" w:space="0" w:color="auto"/>
                                              </w:divBdr>
                                              <w:divsChild>
                                                <w:div w:id="49814514">
                                                  <w:marLeft w:val="0"/>
                                                  <w:marRight w:val="0"/>
                                                  <w:marTop w:val="0"/>
                                                  <w:marBottom w:val="0"/>
                                                  <w:divBdr>
                                                    <w:top w:val="none" w:sz="0" w:space="0" w:color="auto"/>
                                                    <w:left w:val="none" w:sz="0" w:space="0" w:color="auto"/>
                                                    <w:bottom w:val="none" w:sz="0" w:space="0" w:color="auto"/>
                                                    <w:right w:val="none" w:sz="0" w:space="0" w:color="auto"/>
                                                  </w:divBdr>
                                                  <w:divsChild>
                                                    <w:div w:id="1581216873">
                                                      <w:marLeft w:val="0"/>
                                                      <w:marRight w:val="0"/>
                                                      <w:marTop w:val="0"/>
                                                      <w:marBottom w:val="0"/>
                                                      <w:divBdr>
                                                        <w:top w:val="none" w:sz="0" w:space="0" w:color="auto"/>
                                                        <w:left w:val="none" w:sz="0" w:space="0" w:color="auto"/>
                                                        <w:bottom w:val="none" w:sz="0" w:space="0" w:color="auto"/>
                                                        <w:right w:val="none" w:sz="0" w:space="0" w:color="auto"/>
                                                      </w:divBdr>
                                                      <w:divsChild>
                                                        <w:div w:id="31615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3037949">
                          <w:marLeft w:val="0"/>
                          <w:marRight w:val="0"/>
                          <w:marTop w:val="0"/>
                          <w:marBottom w:val="0"/>
                          <w:divBdr>
                            <w:top w:val="none" w:sz="0" w:space="0" w:color="auto"/>
                            <w:left w:val="none" w:sz="0" w:space="0" w:color="auto"/>
                            <w:bottom w:val="none" w:sz="0" w:space="0" w:color="auto"/>
                            <w:right w:val="none" w:sz="0" w:space="0" w:color="auto"/>
                          </w:divBdr>
                          <w:divsChild>
                            <w:div w:id="2015375768">
                              <w:marLeft w:val="0"/>
                              <w:marRight w:val="0"/>
                              <w:marTop w:val="0"/>
                              <w:marBottom w:val="0"/>
                              <w:divBdr>
                                <w:top w:val="none" w:sz="0" w:space="0" w:color="auto"/>
                                <w:left w:val="none" w:sz="0" w:space="0" w:color="auto"/>
                                <w:bottom w:val="none" w:sz="0" w:space="0" w:color="auto"/>
                                <w:right w:val="none" w:sz="0" w:space="0" w:color="auto"/>
                              </w:divBdr>
                              <w:divsChild>
                                <w:div w:id="348800869">
                                  <w:marLeft w:val="0"/>
                                  <w:marRight w:val="0"/>
                                  <w:marTop w:val="0"/>
                                  <w:marBottom w:val="0"/>
                                  <w:divBdr>
                                    <w:top w:val="none" w:sz="0" w:space="0" w:color="auto"/>
                                    <w:left w:val="none" w:sz="0" w:space="0" w:color="auto"/>
                                    <w:bottom w:val="none" w:sz="0" w:space="0" w:color="auto"/>
                                    <w:right w:val="none" w:sz="0" w:space="0" w:color="auto"/>
                                  </w:divBdr>
                                  <w:divsChild>
                                    <w:div w:id="204328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9303568">
      <w:bodyDiv w:val="1"/>
      <w:marLeft w:val="0"/>
      <w:marRight w:val="0"/>
      <w:marTop w:val="0"/>
      <w:marBottom w:val="0"/>
      <w:divBdr>
        <w:top w:val="none" w:sz="0" w:space="0" w:color="auto"/>
        <w:left w:val="none" w:sz="0" w:space="0" w:color="auto"/>
        <w:bottom w:val="none" w:sz="0" w:space="0" w:color="auto"/>
        <w:right w:val="none" w:sz="0" w:space="0" w:color="auto"/>
      </w:divBdr>
      <w:divsChild>
        <w:div w:id="572593311">
          <w:marLeft w:val="0"/>
          <w:marRight w:val="0"/>
          <w:marTop w:val="0"/>
          <w:marBottom w:val="0"/>
          <w:divBdr>
            <w:top w:val="none" w:sz="0" w:space="0" w:color="auto"/>
            <w:left w:val="none" w:sz="0" w:space="0" w:color="auto"/>
            <w:bottom w:val="none" w:sz="0" w:space="0" w:color="auto"/>
            <w:right w:val="none" w:sz="0" w:space="0" w:color="auto"/>
          </w:divBdr>
          <w:divsChild>
            <w:div w:id="41065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059464">
      <w:bodyDiv w:val="1"/>
      <w:marLeft w:val="0"/>
      <w:marRight w:val="0"/>
      <w:marTop w:val="0"/>
      <w:marBottom w:val="0"/>
      <w:divBdr>
        <w:top w:val="none" w:sz="0" w:space="0" w:color="auto"/>
        <w:left w:val="none" w:sz="0" w:space="0" w:color="auto"/>
        <w:bottom w:val="none" w:sz="0" w:space="0" w:color="auto"/>
        <w:right w:val="none" w:sz="0" w:space="0" w:color="auto"/>
      </w:divBdr>
      <w:divsChild>
        <w:div w:id="820653877">
          <w:marLeft w:val="0"/>
          <w:marRight w:val="0"/>
          <w:marTop w:val="0"/>
          <w:marBottom w:val="0"/>
          <w:divBdr>
            <w:top w:val="none" w:sz="0" w:space="0" w:color="auto"/>
            <w:left w:val="none" w:sz="0" w:space="0" w:color="auto"/>
            <w:bottom w:val="none" w:sz="0" w:space="0" w:color="auto"/>
            <w:right w:val="none" w:sz="0" w:space="0" w:color="auto"/>
          </w:divBdr>
          <w:divsChild>
            <w:div w:id="626933812">
              <w:marLeft w:val="0"/>
              <w:marRight w:val="0"/>
              <w:marTop w:val="0"/>
              <w:marBottom w:val="0"/>
              <w:divBdr>
                <w:top w:val="none" w:sz="0" w:space="0" w:color="auto"/>
                <w:left w:val="none" w:sz="0" w:space="0" w:color="auto"/>
                <w:bottom w:val="none" w:sz="0" w:space="0" w:color="auto"/>
                <w:right w:val="none" w:sz="0" w:space="0" w:color="auto"/>
              </w:divBdr>
              <w:divsChild>
                <w:div w:id="189238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691894">
      <w:bodyDiv w:val="1"/>
      <w:marLeft w:val="0"/>
      <w:marRight w:val="0"/>
      <w:marTop w:val="0"/>
      <w:marBottom w:val="0"/>
      <w:divBdr>
        <w:top w:val="none" w:sz="0" w:space="0" w:color="auto"/>
        <w:left w:val="none" w:sz="0" w:space="0" w:color="auto"/>
        <w:bottom w:val="none" w:sz="0" w:space="0" w:color="auto"/>
        <w:right w:val="none" w:sz="0" w:space="0" w:color="auto"/>
      </w:divBdr>
    </w:div>
    <w:div w:id="498421031">
      <w:bodyDiv w:val="1"/>
      <w:marLeft w:val="0"/>
      <w:marRight w:val="0"/>
      <w:marTop w:val="0"/>
      <w:marBottom w:val="0"/>
      <w:divBdr>
        <w:top w:val="none" w:sz="0" w:space="0" w:color="auto"/>
        <w:left w:val="none" w:sz="0" w:space="0" w:color="auto"/>
        <w:bottom w:val="none" w:sz="0" w:space="0" w:color="auto"/>
        <w:right w:val="none" w:sz="0" w:space="0" w:color="auto"/>
      </w:divBdr>
      <w:divsChild>
        <w:div w:id="57557244">
          <w:marLeft w:val="0"/>
          <w:marRight w:val="0"/>
          <w:marTop w:val="0"/>
          <w:marBottom w:val="0"/>
          <w:divBdr>
            <w:top w:val="none" w:sz="0" w:space="0" w:color="auto"/>
            <w:left w:val="none" w:sz="0" w:space="0" w:color="auto"/>
            <w:bottom w:val="none" w:sz="0" w:space="0" w:color="auto"/>
            <w:right w:val="none" w:sz="0" w:space="0" w:color="auto"/>
          </w:divBdr>
          <w:divsChild>
            <w:div w:id="1015613851">
              <w:marLeft w:val="0"/>
              <w:marRight w:val="0"/>
              <w:marTop w:val="0"/>
              <w:marBottom w:val="0"/>
              <w:divBdr>
                <w:top w:val="none" w:sz="0" w:space="0" w:color="auto"/>
                <w:left w:val="none" w:sz="0" w:space="0" w:color="auto"/>
                <w:bottom w:val="none" w:sz="0" w:space="0" w:color="auto"/>
                <w:right w:val="none" w:sz="0" w:space="0" w:color="auto"/>
              </w:divBdr>
              <w:divsChild>
                <w:div w:id="276135183">
                  <w:marLeft w:val="0"/>
                  <w:marRight w:val="0"/>
                  <w:marTop w:val="0"/>
                  <w:marBottom w:val="0"/>
                  <w:divBdr>
                    <w:top w:val="none" w:sz="0" w:space="0" w:color="auto"/>
                    <w:left w:val="none" w:sz="0" w:space="0" w:color="auto"/>
                    <w:bottom w:val="none" w:sz="0" w:space="0" w:color="auto"/>
                    <w:right w:val="none" w:sz="0" w:space="0" w:color="auto"/>
                  </w:divBdr>
                  <w:divsChild>
                    <w:div w:id="828207573">
                      <w:marLeft w:val="0"/>
                      <w:marRight w:val="0"/>
                      <w:marTop w:val="0"/>
                      <w:marBottom w:val="0"/>
                      <w:divBdr>
                        <w:top w:val="none" w:sz="0" w:space="0" w:color="auto"/>
                        <w:left w:val="none" w:sz="0" w:space="0" w:color="auto"/>
                        <w:bottom w:val="none" w:sz="0" w:space="0" w:color="auto"/>
                        <w:right w:val="none" w:sz="0" w:space="0" w:color="auto"/>
                      </w:divBdr>
                    </w:div>
                  </w:divsChild>
                </w:div>
                <w:div w:id="1032994710">
                  <w:marLeft w:val="0"/>
                  <w:marRight w:val="0"/>
                  <w:marTop w:val="0"/>
                  <w:marBottom w:val="0"/>
                  <w:divBdr>
                    <w:top w:val="none" w:sz="0" w:space="0" w:color="auto"/>
                    <w:left w:val="none" w:sz="0" w:space="0" w:color="auto"/>
                    <w:bottom w:val="none" w:sz="0" w:space="0" w:color="auto"/>
                    <w:right w:val="none" w:sz="0" w:space="0" w:color="auto"/>
                  </w:divBdr>
                  <w:divsChild>
                    <w:div w:id="1321156807">
                      <w:marLeft w:val="0"/>
                      <w:marRight w:val="0"/>
                      <w:marTop w:val="0"/>
                      <w:marBottom w:val="0"/>
                      <w:divBdr>
                        <w:top w:val="none" w:sz="0" w:space="0" w:color="auto"/>
                        <w:left w:val="none" w:sz="0" w:space="0" w:color="auto"/>
                        <w:bottom w:val="none" w:sz="0" w:space="0" w:color="auto"/>
                        <w:right w:val="none" w:sz="0" w:space="0" w:color="auto"/>
                      </w:divBdr>
                    </w:div>
                  </w:divsChild>
                </w:div>
                <w:div w:id="636759428">
                  <w:marLeft w:val="0"/>
                  <w:marRight w:val="0"/>
                  <w:marTop w:val="0"/>
                  <w:marBottom w:val="0"/>
                  <w:divBdr>
                    <w:top w:val="none" w:sz="0" w:space="0" w:color="auto"/>
                    <w:left w:val="none" w:sz="0" w:space="0" w:color="auto"/>
                    <w:bottom w:val="none" w:sz="0" w:space="0" w:color="auto"/>
                    <w:right w:val="none" w:sz="0" w:space="0" w:color="auto"/>
                  </w:divBdr>
                  <w:divsChild>
                    <w:div w:id="43023360">
                      <w:marLeft w:val="0"/>
                      <w:marRight w:val="0"/>
                      <w:marTop w:val="0"/>
                      <w:marBottom w:val="0"/>
                      <w:divBdr>
                        <w:top w:val="none" w:sz="0" w:space="0" w:color="auto"/>
                        <w:left w:val="none" w:sz="0" w:space="0" w:color="auto"/>
                        <w:bottom w:val="none" w:sz="0" w:space="0" w:color="auto"/>
                        <w:right w:val="none" w:sz="0" w:space="0" w:color="auto"/>
                      </w:divBdr>
                    </w:div>
                  </w:divsChild>
                </w:div>
                <w:div w:id="798498036">
                  <w:marLeft w:val="0"/>
                  <w:marRight w:val="0"/>
                  <w:marTop w:val="0"/>
                  <w:marBottom w:val="0"/>
                  <w:divBdr>
                    <w:top w:val="none" w:sz="0" w:space="0" w:color="auto"/>
                    <w:left w:val="none" w:sz="0" w:space="0" w:color="auto"/>
                    <w:bottom w:val="none" w:sz="0" w:space="0" w:color="auto"/>
                    <w:right w:val="none" w:sz="0" w:space="0" w:color="auto"/>
                  </w:divBdr>
                  <w:divsChild>
                    <w:div w:id="105539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474430">
      <w:bodyDiv w:val="1"/>
      <w:marLeft w:val="0"/>
      <w:marRight w:val="0"/>
      <w:marTop w:val="0"/>
      <w:marBottom w:val="0"/>
      <w:divBdr>
        <w:top w:val="none" w:sz="0" w:space="0" w:color="auto"/>
        <w:left w:val="none" w:sz="0" w:space="0" w:color="auto"/>
        <w:bottom w:val="none" w:sz="0" w:space="0" w:color="auto"/>
        <w:right w:val="none" w:sz="0" w:space="0" w:color="auto"/>
      </w:divBdr>
      <w:divsChild>
        <w:div w:id="698511475">
          <w:marLeft w:val="0"/>
          <w:marRight w:val="0"/>
          <w:marTop w:val="0"/>
          <w:marBottom w:val="0"/>
          <w:divBdr>
            <w:top w:val="none" w:sz="0" w:space="0" w:color="auto"/>
            <w:left w:val="none" w:sz="0" w:space="0" w:color="auto"/>
            <w:bottom w:val="none" w:sz="0" w:space="0" w:color="auto"/>
            <w:right w:val="none" w:sz="0" w:space="0" w:color="auto"/>
          </w:divBdr>
          <w:divsChild>
            <w:div w:id="685404102">
              <w:marLeft w:val="0"/>
              <w:marRight w:val="0"/>
              <w:marTop w:val="0"/>
              <w:marBottom w:val="0"/>
              <w:divBdr>
                <w:top w:val="none" w:sz="0" w:space="0" w:color="auto"/>
                <w:left w:val="none" w:sz="0" w:space="0" w:color="auto"/>
                <w:bottom w:val="none" w:sz="0" w:space="0" w:color="auto"/>
                <w:right w:val="none" w:sz="0" w:space="0" w:color="auto"/>
              </w:divBdr>
            </w:div>
            <w:div w:id="1525905124">
              <w:marLeft w:val="0"/>
              <w:marRight w:val="0"/>
              <w:marTop w:val="0"/>
              <w:marBottom w:val="0"/>
              <w:divBdr>
                <w:top w:val="none" w:sz="0" w:space="0" w:color="auto"/>
                <w:left w:val="none" w:sz="0" w:space="0" w:color="auto"/>
                <w:bottom w:val="none" w:sz="0" w:space="0" w:color="auto"/>
                <w:right w:val="none" w:sz="0" w:space="0" w:color="auto"/>
              </w:divBdr>
              <w:divsChild>
                <w:div w:id="2002273584">
                  <w:marLeft w:val="0"/>
                  <w:marRight w:val="0"/>
                  <w:marTop w:val="0"/>
                  <w:marBottom w:val="0"/>
                  <w:divBdr>
                    <w:top w:val="none" w:sz="0" w:space="0" w:color="auto"/>
                    <w:left w:val="none" w:sz="0" w:space="0" w:color="auto"/>
                    <w:bottom w:val="none" w:sz="0" w:space="0" w:color="auto"/>
                    <w:right w:val="none" w:sz="0" w:space="0" w:color="auto"/>
                  </w:divBdr>
                  <w:divsChild>
                    <w:div w:id="71555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320677">
      <w:bodyDiv w:val="1"/>
      <w:marLeft w:val="0"/>
      <w:marRight w:val="0"/>
      <w:marTop w:val="0"/>
      <w:marBottom w:val="0"/>
      <w:divBdr>
        <w:top w:val="none" w:sz="0" w:space="0" w:color="auto"/>
        <w:left w:val="none" w:sz="0" w:space="0" w:color="auto"/>
        <w:bottom w:val="none" w:sz="0" w:space="0" w:color="auto"/>
        <w:right w:val="none" w:sz="0" w:space="0" w:color="auto"/>
      </w:divBdr>
    </w:div>
    <w:div w:id="523521646">
      <w:bodyDiv w:val="1"/>
      <w:marLeft w:val="0"/>
      <w:marRight w:val="0"/>
      <w:marTop w:val="0"/>
      <w:marBottom w:val="0"/>
      <w:divBdr>
        <w:top w:val="none" w:sz="0" w:space="0" w:color="auto"/>
        <w:left w:val="none" w:sz="0" w:space="0" w:color="auto"/>
        <w:bottom w:val="none" w:sz="0" w:space="0" w:color="auto"/>
        <w:right w:val="none" w:sz="0" w:space="0" w:color="auto"/>
      </w:divBdr>
    </w:div>
    <w:div w:id="569850424">
      <w:bodyDiv w:val="1"/>
      <w:marLeft w:val="0"/>
      <w:marRight w:val="0"/>
      <w:marTop w:val="0"/>
      <w:marBottom w:val="0"/>
      <w:divBdr>
        <w:top w:val="none" w:sz="0" w:space="0" w:color="auto"/>
        <w:left w:val="none" w:sz="0" w:space="0" w:color="auto"/>
        <w:bottom w:val="none" w:sz="0" w:space="0" w:color="auto"/>
        <w:right w:val="none" w:sz="0" w:space="0" w:color="auto"/>
      </w:divBdr>
    </w:div>
    <w:div w:id="597904213">
      <w:bodyDiv w:val="1"/>
      <w:marLeft w:val="0"/>
      <w:marRight w:val="0"/>
      <w:marTop w:val="0"/>
      <w:marBottom w:val="0"/>
      <w:divBdr>
        <w:top w:val="none" w:sz="0" w:space="0" w:color="auto"/>
        <w:left w:val="none" w:sz="0" w:space="0" w:color="auto"/>
        <w:bottom w:val="none" w:sz="0" w:space="0" w:color="auto"/>
        <w:right w:val="none" w:sz="0" w:space="0" w:color="auto"/>
      </w:divBdr>
      <w:divsChild>
        <w:div w:id="1273126759">
          <w:marLeft w:val="0"/>
          <w:marRight w:val="0"/>
          <w:marTop w:val="0"/>
          <w:marBottom w:val="0"/>
          <w:divBdr>
            <w:top w:val="none" w:sz="0" w:space="0" w:color="auto"/>
            <w:left w:val="none" w:sz="0" w:space="0" w:color="auto"/>
            <w:bottom w:val="none" w:sz="0" w:space="0" w:color="auto"/>
            <w:right w:val="none" w:sz="0" w:space="0" w:color="auto"/>
          </w:divBdr>
          <w:divsChild>
            <w:div w:id="993797138">
              <w:marLeft w:val="0"/>
              <w:marRight w:val="0"/>
              <w:marTop w:val="0"/>
              <w:marBottom w:val="0"/>
              <w:divBdr>
                <w:top w:val="none" w:sz="0" w:space="0" w:color="auto"/>
                <w:left w:val="none" w:sz="0" w:space="0" w:color="auto"/>
                <w:bottom w:val="none" w:sz="0" w:space="0" w:color="auto"/>
                <w:right w:val="none" w:sz="0" w:space="0" w:color="auto"/>
              </w:divBdr>
              <w:divsChild>
                <w:div w:id="461388115">
                  <w:marLeft w:val="0"/>
                  <w:marRight w:val="0"/>
                  <w:marTop w:val="0"/>
                  <w:marBottom w:val="0"/>
                  <w:divBdr>
                    <w:top w:val="none" w:sz="0" w:space="0" w:color="auto"/>
                    <w:left w:val="none" w:sz="0" w:space="0" w:color="auto"/>
                    <w:bottom w:val="none" w:sz="0" w:space="0" w:color="auto"/>
                    <w:right w:val="none" w:sz="0" w:space="0" w:color="auto"/>
                  </w:divBdr>
                  <w:divsChild>
                    <w:div w:id="1585413840">
                      <w:marLeft w:val="0"/>
                      <w:marRight w:val="0"/>
                      <w:marTop w:val="0"/>
                      <w:marBottom w:val="0"/>
                      <w:divBdr>
                        <w:top w:val="none" w:sz="0" w:space="0" w:color="auto"/>
                        <w:left w:val="none" w:sz="0" w:space="0" w:color="auto"/>
                        <w:bottom w:val="none" w:sz="0" w:space="0" w:color="auto"/>
                        <w:right w:val="none" w:sz="0" w:space="0" w:color="auto"/>
                      </w:divBdr>
                      <w:divsChild>
                        <w:div w:id="1278175248">
                          <w:marLeft w:val="0"/>
                          <w:marRight w:val="0"/>
                          <w:marTop w:val="0"/>
                          <w:marBottom w:val="0"/>
                          <w:divBdr>
                            <w:top w:val="none" w:sz="0" w:space="0" w:color="auto"/>
                            <w:left w:val="none" w:sz="0" w:space="0" w:color="auto"/>
                            <w:bottom w:val="none" w:sz="0" w:space="0" w:color="auto"/>
                            <w:right w:val="none" w:sz="0" w:space="0" w:color="auto"/>
                          </w:divBdr>
                          <w:divsChild>
                            <w:div w:id="2006853590">
                              <w:marLeft w:val="0"/>
                              <w:marRight w:val="0"/>
                              <w:marTop w:val="0"/>
                              <w:marBottom w:val="0"/>
                              <w:divBdr>
                                <w:top w:val="none" w:sz="0" w:space="0" w:color="auto"/>
                                <w:left w:val="none" w:sz="0" w:space="0" w:color="auto"/>
                                <w:bottom w:val="none" w:sz="0" w:space="0" w:color="auto"/>
                                <w:right w:val="none" w:sz="0" w:space="0" w:color="auto"/>
                              </w:divBdr>
                              <w:divsChild>
                                <w:div w:id="1636062477">
                                  <w:marLeft w:val="0"/>
                                  <w:marRight w:val="0"/>
                                  <w:marTop w:val="240"/>
                                  <w:marBottom w:val="0"/>
                                  <w:divBdr>
                                    <w:top w:val="none" w:sz="0" w:space="0" w:color="auto"/>
                                    <w:left w:val="none" w:sz="0" w:space="0" w:color="auto"/>
                                    <w:bottom w:val="none" w:sz="0" w:space="0" w:color="auto"/>
                                    <w:right w:val="none" w:sz="0" w:space="0" w:color="auto"/>
                                  </w:divBdr>
                                  <w:divsChild>
                                    <w:div w:id="500125851">
                                      <w:marLeft w:val="0"/>
                                      <w:marRight w:val="0"/>
                                      <w:marTop w:val="0"/>
                                      <w:marBottom w:val="0"/>
                                      <w:divBdr>
                                        <w:top w:val="none" w:sz="0" w:space="0" w:color="auto"/>
                                        <w:left w:val="none" w:sz="0" w:space="0" w:color="auto"/>
                                        <w:bottom w:val="none" w:sz="0" w:space="0" w:color="auto"/>
                                        <w:right w:val="none" w:sz="0" w:space="0" w:color="auto"/>
                                      </w:divBdr>
                                      <w:divsChild>
                                        <w:div w:id="751048366">
                                          <w:marLeft w:val="0"/>
                                          <w:marRight w:val="0"/>
                                          <w:marTop w:val="0"/>
                                          <w:marBottom w:val="0"/>
                                          <w:divBdr>
                                            <w:top w:val="none" w:sz="0" w:space="0" w:color="auto"/>
                                            <w:left w:val="none" w:sz="0" w:space="0" w:color="auto"/>
                                            <w:bottom w:val="none" w:sz="0" w:space="0" w:color="auto"/>
                                            <w:right w:val="none" w:sz="0" w:space="0" w:color="auto"/>
                                          </w:divBdr>
                                          <w:divsChild>
                                            <w:div w:id="785000932">
                                              <w:marLeft w:val="0"/>
                                              <w:marRight w:val="0"/>
                                              <w:marTop w:val="0"/>
                                              <w:marBottom w:val="0"/>
                                              <w:divBdr>
                                                <w:top w:val="none" w:sz="0" w:space="0" w:color="auto"/>
                                                <w:left w:val="none" w:sz="0" w:space="0" w:color="auto"/>
                                                <w:bottom w:val="none" w:sz="0" w:space="0" w:color="auto"/>
                                                <w:right w:val="none" w:sz="0" w:space="0" w:color="auto"/>
                                              </w:divBdr>
                                              <w:divsChild>
                                                <w:div w:id="711926854">
                                                  <w:marLeft w:val="0"/>
                                                  <w:marRight w:val="0"/>
                                                  <w:marTop w:val="0"/>
                                                  <w:marBottom w:val="0"/>
                                                  <w:divBdr>
                                                    <w:top w:val="none" w:sz="0" w:space="0" w:color="auto"/>
                                                    <w:left w:val="none" w:sz="0" w:space="0" w:color="auto"/>
                                                    <w:bottom w:val="none" w:sz="0" w:space="0" w:color="auto"/>
                                                    <w:right w:val="none" w:sz="0" w:space="0" w:color="auto"/>
                                                  </w:divBdr>
                                                  <w:divsChild>
                                                    <w:div w:id="66901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2203287">
      <w:bodyDiv w:val="1"/>
      <w:marLeft w:val="0"/>
      <w:marRight w:val="0"/>
      <w:marTop w:val="0"/>
      <w:marBottom w:val="0"/>
      <w:divBdr>
        <w:top w:val="none" w:sz="0" w:space="0" w:color="auto"/>
        <w:left w:val="none" w:sz="0" w:space="0" w:color="auto"/>
        <w:bottom w:val="none" w:sz="0" w:space="0" w:color="auto"/>
        <w:right w:val="none" w:sz="0" w:space="0" w:color="auto"/>
      </w:divBdr>
    </w:div>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37483290">
      <w:bodyDiv w:val="1"/>
      <w:marLeft w:val="0"/>
      <w:marRight w:val="0"/>
      <w:marTop w:val="0"/>
      <w:marBottom w:val="0"/>
      <w:divBdr>
        <w:top w:val="none" w:sz="0" w:space="0" w:color="auto"/>
        <w:left w:val="none" w:sz="0" w:space="0" w:color="auto"/>
        <w:bottom w:val="none" w:sz="0" w:space="0" w:color="auto"/>
        <w:right w:val="none" w:sz="0" w:space="0" w:color="auto"/>
      </w:divBdr>
      <w:divsChild>
        <w:div w:id="1313749304">
          <w:marLeft w:val="0"/>
          <w:marRight w:val="0"/>
          <w:marTop w:val="0"/>
          <w:marBottom w:val="0"/>
          <w:divBdr>
            <w:top w:val="none" w:sz="0" w:space="0" w:color="auto"/>
            <w:left w:val="none" w:sz="0" w:space="0" w:color="auto"/>
            <w:bottom w:val="none" w:sz="0" w:space="0" w:color="auto"/>
            <w:right w:val="none" w:sz="0" w:space="0" w:color="auto"/>
          </w:divBdr>
          <w:divsChild>
            <w:div w:id="867524647">
              <w:marLeft w:val="0"/>
              <w:marRight w:val="0"/>
              <w:marTop w:val="0"/>
              <w:marBottom w:val="0"/>
              <w:divBdr>
                <w:top w:val="none" w:sz="0" w:space="0" w:color="auto"/>
                <w:left w:val="none" w:sz="0" w:space="0" w:color="auto"/>
                <w:bottom w:val="none" w:sz="0" w:space="0" w:color="auto"/>
                <w:right w:val="none" w:sz="0" w:space="0" w:color="auto"/>
              </w:divBdr>
              <w:divsChild>
                <w:div w:id="158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85865">
      <w:bodyDiv w:val="1"/>
      <w:marLeft w:val="0"/>
      <w:marRight w:val="0"/>
      <w:marTop w:val="0"/>
      <w:marBottom w:val="0"/>
      <w:divBdr>
        <w:top w:val="none" w:sz="0" w:space="0" w:color="auto"/>
        <w:left w:val="none" w:sz="0" w:space="0" w:color="auto"/>
        <w:bottom w:val="none" w:sz="0" w:space="0" w:color="auto"/>
        <w:right w:val="none" w:sz="0" w:space="0" w:color="auto"/>
      </w:divBdr>
      <w:divsChild>
        <w:div w:id="1439368857">
          <w:marLeft w:val="0"/>
          <w:marRight w:val="0"/>
          <w:marTop w:val="0"/>
          <w:marBottom w:val="0"/>
          <w:divBdr>
            <w:top w:val="none" w:sz="0" w:space="0" w:color="auto"/>
            <w:left w:val="none" w:sz="0" w:space="0" w:color="auto"/>
            <w:bottom w:val="none" w:sz="0" w:space="0" w:color="auto"/>
            <w:right w:val="none" w:sz="0" w:space="0" w:color="auto"/>
          </w:divBdr>
          <w:divsChild>
            <w:div w:id="31275338">
              <w:marLeft w:val="0"/>
              <w:marRight w:val="0"/>
              <w:marTop w:val="0"/>
              <w:marBottom w:val="0"/>
              <w:divBdr>
                <w:top w:val="none" w:sz="0" w:space="0" w:color="auto"/>
                <w:left w:val="none" w:sz="0" w:space="0" w:color="auto"/>
                <w:bottom w:val="none" w:sz="0" w:space="0" w:color="auto"/>
                <w:right w:val="none" w:sz="0" w:space="0" w:color="auto"/>
              </w:divBdr>
              <w:divsChild>
                <w:div w:id="1965116975">
                  <w:marLeft w:val="0"/>
                  <w:marRight w:val="0"/>
                  <w:marTop w:val="0"/>
                  <w:marBottom w:val="0"/>
                  <w:divBdr>
                    <w:top w:val="none" w:sz="0" w:space="0" w:color="auto"/>
                    <w:left w:val="none" w:sz="0" w:space="0" w:color="auto"/>
                    <w:bottom w:val="none" w:sz="0" w:space="0" w:color="auto"/>
                    <w:right w:val="none" w:sz="0" w:space="0" w:color="auto"/>
                  </w:divBdr>
                  <w:divsChild>
                    <w:div w:id="81854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674057">
      <w:bodyDiv w:val="1"/>
      <w:marLeft w:val="0"/>
      <w:marRight w:val="0"/>
      <w:marTop w:val="0"/>
      <w:marBottom w:val="0"/>
      <w:divBdr>
        <w:top w:val="none" w:sz="0" w:space="0" w:color="auto"/>
        <w:left w:val="none" w:sz="0" w:space="0" w:color="auto"/>
        <w:bottom w:val="none" w:sz="0" w:space="0" w:color="auto"/>
        <w:right w:val="none" w:sz="0" w:space="0" w:color="auto"/>
      </w:divBdr>
      <w:divsChild>
        <w:div w:id="2045013641">
          <w:marLeft w:val="0"/>
          <w:marRight w:val="0"/>
          <w:marTop w:val="0"/>
          <w:marBottom w:val="0"/>
          <w:divBdr>
            <w:top w:val="none" w:sz="0" w:space="0" w:color="auto"/>
            <w:left w:val="none" w:sz="0" w:space="0" w:color="auto"/>
            <w:bottom w:val="none" w:sz="0" w:space="0" w:color="auto"/>
            <w:right w:val="none" w:sz="0" w:space="0" w:color="auto"/>
          </w:divBdr>
          <w:divsChild>
            <w:div w:id="2112159890">
              <w:marLeft w:val="0"/>
              <w:marRight w:val="0"/>
              <w:marTop w:val="0"/>
              <w:marBottom w:val="0"/>
              <w:divBdr>
                <w:top w:val="none" w:sz="0" w:space="0" w:color="auto"/>
                <w:left w:val="none" w:sz="0" w:space="0" w:color="auto"/>
                <w:bottom w:val="none" w:sz="0" w:space="0" w:color="auto"/>
                <w:right w:val="none" w:sz="0" w:space="0" w:color="auto"/>
              </w:divBdr>
              <w:divsChild>
                <w:div w:id="154999556">
                  <w:marLeft w:val="0"/>
                  <w:marRight w:val="0"/>
                  <w:marTop w:val="0"/>
                  <w:marBottom w:val="0"/>
                  <w:divBdr>
                    <w:top w:val="none" w:sz="0" w:space="0" w:color="auto"/>
                    <w:left w:val="none" w:sz="0" w:space="0" w:color="auto"/>
                    <w:bottom w:val="none" w:sz="0" w:space="0" w:color="auto"/>
                    <w:right w:val="none" w:sz="0" w:space="0" w:color="auto"/>
                  </w:divBdr>
                  <w:divsChild>
                    <w:div w:id="64115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774444565">
      <w:bodyDiv w:val="1"/>
      <w:marLeft w:val="0"/>
      <w:marRight w:val="0"/>
      <w:marTop w:val="0"/>
      <w:marBottom w:val="0"/>
      <w:divBdr>
        <w:top w:val="none" w:sz="0" w:space="0" w:color="auto"/>
        <w:left w:val="none" w:sz="0" w:space="0" w:color="auto"/>
        <w:bottom w:val="none" w:sz="0" w:space="0" w:color="auto"/>
        <w:right w:val="none" w:sz="0" w:space="0" w:color="auto"/>
      </w:divBdr>
    </w:div>
    <w:div w:id="775904502">
      <w:bodyDiv w:val="1"/>
      <w:marLeft w:val="0"/>
      <w:marRight w:val="0"/>
      <w:marTop w:val="0"/>
      <w:marBottom w:val="0"/>
      <w:divBdr>
        <w:top w:val="none" w:sz="0" w:space="0" w:color="auto"/>
        <w:left w:val="none" w:sz="0" w:space="0" w:color="auto"/>
        <w:bottom w:val="none" w:sz="0" w:space="0" w:color="auto"/>
        <w:right w:val="none" w:sz="0" w:space="0" w:color="auto"/>
      </w:divBdr>
      <w:divsChild>
        <w:div w:id="1447239280">
          <w:marLeft w:val="0"/>
          <w:marRight w:val="0"/>
          <w:marTop w:val="0"/>
          <w:marBottom w:val="0"/>
          <w:divBdr>
            <w:top w:val="none" w:sz="0" w:space="0" w:color="auto"/>
            <w:left w:val="none" w:sz="0" w:space="0" w:color="auto"/>
            <w:bottom w:val="none" w:sz="0" w:space="0" w:color="auto"/>
            <w:right w:val="none" w:sz="0" w:space="0" w:color="auto"/>
          </w:divBdr>
          <w:divsChild>
            <w:div w:id="1510178567">
              <w:marLeft w:val="0"/>
              <w:marRight w:val="0"/>
              <w:marTop w:val="0"/>
              <w:marBottom w:val="0"/>
              <w:divBdr>
                <w:top w:val="none" w:sz="0" w:space="0" w:color="auto"/>
                <w:left w:val="none" w:sz="0" w:space="0" w:color="auto"/>
                <w:bottom w:val="none" w:sz="0" w:space="0" w:color="auto"/>
                <w:right w:val="none" w:sz="0" w:space="0" w:color="auto"/>
              </w:divBdr>
              <w:divsChild>
                <w:div w:id="106595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377080">
      <w:bodyDiv w:val="1"/>
      <w:marLeft w:val="0"/>
      <w:marRight w:val="0"/>
      <w:marTop w:val="0"/>
      <w:marBottom w:val="0"/>
      <w:divBdr>
        <w:top w:val="none" w:sz="0" w:space="0" w:color="auto"/>
        <w:left w:val="none" w:sz="0" w:space="0" w:color="auto"/>
        <w:bottom w:val="none" w:sz="0" w:space="0" w:color="auto"/>
        <w:right w:val="none" w:sz="0" w:space="0" w:color="auto"/>
      </w:divBdr>
      <w:divsChild>
        <w:div w:id="572814085">
          <w:marLeft w:val="0"/>
          <w:marRight w:val="0"/>
          <w:marTop w:val="0"/>
          <w:marBottom w:val="0"/>
          <w:divBdr>
            <w:top w:val="none" w:sz="0" w:space="0" w:color="auto"/>
            <w:left w:val="none" w:sz="0" w:space="0" w:color="auto"/>
            <w:bottom w:val="none" w:sz="0" w:space="0" w:color="auto"/>
            <w:right w:val="none" w:sz="0" w:space="0" w:color="auto"/>
          </w:divBdr>
          <w:divsChild>
            <w:div w:id="1113667715">
              <w:marLeft w:val="0"/>
              <w:marRight w:val="0"/>
              <w:marTop w:val="0"/>
              <w:marBottom w:val="0"/>
              <w:divBdr>
                <w:top w:val="none" w:sz="0" w:space="0" w:color="auto"/>
                <w:left w:val="none" w:sz="0" w:space="0" w:color="auto"/>
                <w:bottom w:val="none" w:sz="0" w:space="0" w:color="auto"/>
                <w:right w:val="none" w:sz="0" w:space="0" w:color="auto"/>
              </w:divBdr>
              <w:divsChild>
                <w:div w:id="88028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459288">
      <w:bodyDiv w:val="1"/>
      <w:marLeft w:val="0"/>
      <w:marRight w:val="0"/>
      <w:marTop w:val="0"/>
      <w:marBottom w:val="0"/>
      <w:divBdr>
        <w:top w:val="none" w:sz="0" w:space="0" w:color="auto"/>
        <w:left w:val="none" w:sz="0" w:space="0" w:color="auto"/>
        <w:bottom w:val="none" w:sz="0" w:space="0" w:color="auto"/>
        <w:right w:val="none" w:sz="0" w:space="0" w:color="auto"/>
      </w:divBdr>
      <w:divsChild>
        <w:div w:id="749540138">
          <w:marLeft w:val="0"/>
          <w:marRight w:val="0"/>
          <w:marTop w:val="0"/>
          <w:marBottom w:val="0"/>
          <w:divBdr>
            <w:top w:val="none" w:sz="0" w:space="0" w:color="auto"/>
            <w:left w:val="none" w:sz="0" w:space="0" w:color="auto"/>
            <w:bottom w:val="none" w:sz="0" w:space="0" w:color="auto"/>
            <w:right w:val="none" w:sz="0" w:space="0" w:color="auto"/>
          </w:divBdr>
          <w:divsChild>
            <w:div w:id="1229652793">
              <w:marLeft w:val="0"/>
              <w:marRight w:val="0"/>
              <w:marTop w:val="0"/>
              <w:marBottom w:val="0"/>
              <w:divBdr>
                <w:top w:val="none" w:sz="0" w:space="0" w:color="auto"/>
                <w:left w:val="none" w:sz="0" w:space="0" w:color="auto"/>
                <w:bottom w:val="none" w:sz="0" w:space="0" w:color="auto"/>
                <w:right w:val="none" w:sz="0" w:space="0" w:color="auto"/>
              </w:divBdr>
              <w:divsChild>
                <w:div w:id="147406601">
                  <w:marLeft w:val="0"/>
                  <w:marRight w:val="0"/>
                  <w:marTop w:val="0"/>
                  <w:marBottom w:val="0"/>
                  <w:divBdr>
                    <w:top w:val="none" w:sz="0" w:space="0" w:color="auto"/>
                    <w:left w:val="none" w:sz="0" w:space="0" w:color="auto"/>
                    <w:bottom w:val="none" w:sz="0" w:space="0" w:color="auto"/>
                    <w:right w:val="none" w:sz="0" w:space="0" w:color="auto"/>
                  </w:divBdr>
                  <w:divsChild>
                    <w:div w:id="199363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416729">
      <w:bodyDiv w:val="1"/>
      <w:marLeft w:val="0"/>
      <w:marRight w:val="0"/>
      <w:marTop w:val="0"/>
      <w:marBottom w:val="0"/>
      <w:divBdr>
        <w:top w:val="none" w:sz="0" w:space="0" w:color="auto"/>
        <w:left w:val="none" w:sz="0" w:space="0" w:color="auto"/>
        <w:bottom w:val="none" w:sz="0" w:space="0" w:color="auto"/>
        <w:right w:val="none" w:sz="0" w:space="0" w:color="auto"/>
      </w:divBdr>
      <w:divsChild>
        <w:div w:id="341126849">
          <w:marLeft w:val="0"/>
          <w:marRight w:val="0"/>
          <w:marTop w:val="0"/>
          <w:marBottom w:val="0"/>
          <w:divBdr>
            <w:top w:val="none" w:sz="0" w:space="0" w:color="auto"/>
            <w:left w:val="none" w:sz="0" w:space="0" w:color="auto"/>
            <w:bottom w:val="none" w:sz="0" w:space="0" w:color="auto"/>
            <w:right w:val="none" w:sz="0" w:space="0" w:color="auto"/>
          </w:divBdr>
          <w:divsChild>
            <w:div w:id="1061490246">
              <w:marLeft w:val="0"/>
              <w:marRight w:val="0"/>
              <w:marTop w:val="0"/>
              <w:marBottom w:val="0"/>
              <w:divBdr>
                <w:top w:val="none" w:sz="0" w:space="0" w:color="auto"/>
                <w:left w:val="none" w:sz="0" w:space="0" w:color="auto"/>
                <w:bottom w:val="none" w:sz="0" w:space="0" w:color="auto"/>
                <w:right w:val="none" w:sz="0" w:space="0" w:color="auto"/>
              </w:divBdr>
              <w:divsChild>
                <w:div w:id="9286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619700">
      <w:bodyDiv w:val="1"/>
      <w:marLeft w:val="0"/>
      <w:marRight w:val="0"/>
      <w:marTop w:val="0"/>
      <w:marBottom w:val="0"/>
      <w:divBdr>
        <w:top w:val="none" w:sz="0" w:space="0" w:color="auto"/>
        <w:left w:val="none" w:sz="0" w:space="0" w:color="auto"/>
        <w:bottom w:val="none" w:sz="0" w:space="0" w:color="auto"/>
        <w:right w:val="none" w:sz="0" w:space="0" w:color="auto"/>
      </w:divBdr>
      <w:divsChild>
        <w:div w:id="236743882">
          <w:marLeft w:val="0"/>
          <w:marRight w:val="0"/>
          <w:marTop w:val="0"/>
          <w:marBottom w:val="0"/>
          <w:divBdr>
            <w:top w:val="none" w:sz="0" w:space="0" w:color="auto"/>
            <w:left w:val="none" w:sz="0" w:space="0" w:color="auto"/>
            <w:bottom w:val="none" w:sz="0" w:space="0" w:color="auto"/>
            <w:right w:val="none" w:sz="0" w:space="0" w:color="auto"/>
          </w:divBdr>
          <w:divsChild>
            <w:div w:id="3875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659530">
      <w:bodyDiv w:val="1"/>
      <w:marLeft w:val="0"/>
      <w:marRight w:val="0"/>
      <w:marTop w:val="0"/>
      <w:marBottom w:val="0"/>
      <w:divBdr>
        <w:top w:val="none" w:sz="0" w:space="0" w:color="auto"/>
        <w:left w:val="none" w:sz="0" w:space="0" w:color="auto"/>
        <w:bottom w:val="none" w:sz="0" w:space="0" w:color="auto"/>
        <w:right w:val="none" w:sz="0" w:space="0" w:color="auto"/>
      </w:divBdr>
    </w:div>
    <w:div w:id="870607777">
      <w:bodyDiv w:val="1"/>
      <w:marLeft w:val="0"/>
      <w:marRight w:val="0"/>
      <w:marTop w:val="0"/>
      <w:marBottom w:val="0"/>
      <w:divBdr>
        <w:top w:val="none" w:sz="0" w:space="0" w:color="auto"/>
        <w:left w:val="none" w:sz="0" w:space="0" w:color="auto"/>
        <w:bottom w:val="none" w:sz="0" w:space="0" w:color="auto"/>
        <w:right w:val="none" w:sz="0" w:space="0" w:color="auto"/>
      </w:divBdr>
    </w:div>
    <w:div w:id="877350448">
      <w:bodyDiv w:val="1"/>
      <w:marLeft w:val="0"/>
      <w:marRight w:val="0"/>
      <w:marTop w:val="0"/>
      <w:marBottom w:val="0"/>
      <w:divBdr>
        <w:top w:val="none" w:sz="0" w:space="0" w:color="auto"/>
        <w:left w:val="none" w:sz="0" w:space="0" w:color="auto"/>
        <w:bottom w:val="none" w:sz="0" w:space="0" w:color="auto"/>
        <w:right w:val="none" w:sz="0" w:space="0" w:color="auto"/>
      </w:divBdr>
    </w:div>
    <w:div w:id="895359093">
      <w:bodyDiv w:val="1"/>
      <w:marLeft w:val="0"/>
      <w:marRight w:val="0"/>
      <w:marTop w:val="0"/>
      <w:marBottom w:val="0"/>
      <w:divBdr>
        <w:top w:val="none" w:sz="0" w:space="0" w:color="auto"/>
        <w:left w:val="none" w:sz="0" w:space="0" w:color="auto"/>
        <w:bottom w:val="none" w:sz="0" w:space="0" w:color="auto"/>
        <w:right w:val="none" w:sz="0" w:space="0" w:color="auto"/>
      </w:divBdr>
      <w:divsChild>
        <w:div w:id="1276399042">
          <w:marLeft w:val="0"/>
          <w:marRight w:val="0"/>
          <w:marTop w:val="0"/>
          <w:marBottom w:val="0"/>
          <w:divBdr>
            <w:top w:val="none" w:sz="0" w:space="0" w:color="auto"/>
            <w:left w:val="none" w:sz="0" w:space="0" w:color="auto"/>
            <w:bottom w:val="none" w:sz="0" w:space="0" w:color="auto"/>
            <w:right w:val="none" w:sz="0" w:space="0" w:color="auto"/>
          </w:divBdr>
          <w:divsChild>
            <w:div w:id="1445886756">
              <w:marLeft w:val="0"/>
              <w:marRight w:val="0"/>
              <w:marTop w:val="0"/>
              <w:marBottom w:val="0"/>
              <w:divBdr>
                <w:top w:val="none" w:sz="0" w:space="0" w:color="auto"/>
                <w:left w:val="none" w:sz="0" w:space="0" w:color="auto"/>
                <w:bottom w:val="none" w:sz="0" w:space="0" w:color="auto"/>
                <w:right w:val="none" w:sz="0" w:space="0" w:color="auto"/>
              </w:divBdr>
            </w:div>
            <w:div w:id="1444109988">
              <w:marLeft w:val="0"/>
              <w:marRight w:val="0"/>
              <w:marTop w:val="0"/>
              <w:marBottom w:val="0"/>
              <w:divBdr>
                <w:top w:val="none" w:sz="0" w:space="0" w:color="auto"/>
                <w:left w:val="none" w:sz="0" w:space="0" w:color="auto"/>
                <w:bottom w:val="none" w:sz="0" w:space="0" w:color="auto"/>
                <w:right w:val="none" w:sz="0" w:space="0" w:color="auto"/>
              </w:divBdr>
              <w:divsChild>
                <w:div w:id="1762022018">
                  <w:marLeft w:val="0"/>
                  <w:marRight w:val="0"/>
                  <w:marTop w:val="0"/>
                  <w:marBottom w:val="0"/>
                  <w:divBdr>
                    <w:top w:val="none" w:sz="0" w:space="0" w:color="auto"/>
                    <w:left w:val="none" w:sz="0" w:space="0" w:color="auto"/>
                    <w:bottom w:val="none" w:sz="0" w:space="0" w:color="auto"/>
                    <w:right w:val="none" w:sz="0" w:space="0" w:color="auto"/>
                  </w:divBdr>
                  <w:divsChild>
                    <w:div w:id="116955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554378">
      <w:bodyDiv w:val="1"/>
      <w:marLeft w:val="0"/>
      <w:marRight w:val="0"/>
      <w:marTop w:val="0"/>
      <w:marBottom w:val="0"/>
      <w:divBdr>
        <w:top w:val="none" w:sz="0" w:space="0" w:color="auto"/>
        <w:left w:val="none" w:sz="0" w:space="0" w:color="auto"/>
        <w:bottom w:val="none" w:sz="0" w:space="0" w:color="auto"/>
        <w:right w:val="none" w:sz="0" w:space="0" w:color="auto"/>
      </w:divBdr>
      <w:divsChild>
        <w:div w:id="942498611">
          <w:marLeft w:val="0"/>
          <w:marRight w:val="0"/>
          <w:marTop w:val="0"/>
          <w:marBottom w:val="0"/>
          <w:divBdr>
            <w:top w:val="none" w:sz="0" w:space="0" w:color="auto"/>
            <w:left w:val="none" w:sz="0" w:space="0" w:color="auto"/>
            <w:bottom w:val="none" w:sz="0" w:space="0" w:color="auto"/>
            <w:right w:val="none" w:sz="0" w:space="0" w:color="auto"/>
          </w:divBdr>
          <w:divsChild>
            <w:div w:id="1135753582">
              <w:marLeft w:val="0"/>
              <w:marRight w:val="0"/>
              <w:marTop w:val="0"/>
              <w:marBottom w:val="0"/>
              <w:divBdr>
                <w:top w:val="none" w:sz="0" w:space="0" w:color="auto"/>
                <w:left w:val="none" w:sz="0" w:space="0" w:color="auto"/>
                <w:bottom w:val="none" w:sz="0" w:space="0" w:color="auto"/>
                <w:right w:val="none" w:sz="0" w:space="0" w:color="auto"/>
              </w:divBdr>
              <w:divsChild>
                <w:div w:id="90160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215183">
      <w:bodyDiv w:val="1"/>
      <w:marLeft w:val="0"/>
      <w:marRight w:val="0"/>
      <w:marTop w:val="0"/>
      <w:marBottom w:val="0"/>
      <w:divBdr>
        <w:top w:val="none" w:sz="0" w:space="0" w:color="auto"/>
        <w:left w:val="none" w:sz="0" w:space="0" w:color="auto"/>
        <w:bottom w:val="none" w:sz="0" w:space="0" w:color="auto"/>
        <w:right w:val="none" w:sz="0" w:space="0" w:color="auto"/>
      </w:divBdr>
      <w:divsChild>
        <w:div w:id="574707566">
          <w:marLeft w:val="0"/>
          <w:marRight w:val="0"/>
          <w:marTop w:val="0"/>
          <w:marBottom w:val="0"/>
          <w:divBdr>
            <w:top w:val="none" w:sz="0" w:space="0" w:color="auto"/>
            <w:left w:val="none" w:sz="0" w:space="0" w:color="auto"/>
            <w:bottom w:val="none" w:sz="0" w:space="0" w:color="auto"/>
            <w:right w:val="none" w:sz="0" w:space="0" w:color="auto"/>
          </w:divBdr>
          <w:divsChild>
            <w:div w:id="1557087047">
              <w:marLeft w:val="0"/>
              <w:marRight w:val="0"/>
              <w:marTop w:val="0"/>
              <w:marBottom w:val="0"/>
              <w:divBdr>
                <w:top w:val="none" w:sz="0" w:space="0" w:color="auto"/>
                <w:left w:val="none" w:sz="0" w:space="0" w:color="auto"/>
                <w:bottom w:val="none" w:sz="0" w:space="0" w:color="auto"/>
                <w:right w:val="none" w:sz="0" w:space="0" w:color="auto"/>
              </w:divBdr>
              <w:divsChild>
                <w:div w:id="1734424048">
                  <w:marLeft w:val="0"/>
                  <w:marRight w:val="0"/>
                  <w:marTop w:val="0"/>
                  <w:marBottom w:val="0"/>
                  <w:divBdr>
                    <w:top w:val="none" w:sz="0" w:space="0" w:color="auto"/>
                    <w:left w:val="none" w:sz="0" w:space="0" w:color="auto"/>
                    <w:bottom w:val="none" w:sz="0" w:space="0" w:color="auto"/>
                    <w:right w:val="none" w:sz="0" w:space="0" w:color="auto"/>
                  </w:divBdr>
                  <w:divsChild>
                    <w:div w:id="13129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05758">
      <w:bodyDiv w:val="1"/>
      <w:marLeft w:val="0"/>
      <w:marRight w:val="0"/>
      <w:marTop w:val="0"/>
      <w:marBottom w:val="0"/>
      <w:divBdr>
        <w:top w:val="none" w:sz="0" w:space="0" w:color="auto"/>
        <w:left w:val="none" w:sz="0" w:space="0" w:color="auto"/>
        <w:bottom w:val="none" w:sz="0" w:space="0" w:color="auto"/>
        <w:right w:val="none" w:sz="0" w:space="0" w:color="auto"/>
      </w:divBdr>
      <w:divsChild>
        <w:div w:id="149256288">
          <w:marLeft w:val="0"/>
          <w:marRight w:val="0"/>
          <w:marTop w:val="0"/>
          <w:marBottom w:val="0"/>
          <w:divBdr>
            <w:top w:val="none" w:sz="0" w:space="0" w:color="auto"/>
            <w:left w:val="none" w:sz="0" w:space="0" w:color="auto"/>
            <w:bottom w:val="none" w:sz="0" w:space="0" w:color="auto"/>
            <w:right w:val="none" w:sz="0" w:space="0" w:color="auto"/>
          </w:divBdr>
          <w:divsChild>
            <w:div w:id="1792357273">
              <w:marLeft w:val="0"/>
              <w:marRight w:val="0"/>
              <w:marTop w:val="0"/>
              <w:marBottom w:val="0"/>
              <w:divBdr>
                <w:top w:val="none" w:sz="0" w:space="0" w:color="auto"/>
                <w:left w:val="none" w:sz="0" w:space="0" w:color="auto"/>
                <w:bottom w:val="none" w:sz="0" w:space="0" w:color="auto"/>
                <w:right w:val="none" w:sz="0" w:space="0" w:color="auto"/>
              </w:divBdr>
              <w:divsChild>
                <w:div w:id="173219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018857">
      <w:bodyDiv w:val="1"/>
      <w:marLeft w:val="0"/>
      <w:marRight w:val="0"/>
      <w:marTop w:val="0"/>
      <w:marBottom w:val="0"/>
      <w:divBdr>
        <w:top w:val="none" w:sz="0" w:space="0" w:color="auto"/>
        <w:left w:val="none" w:sz="0" w:space="0" w:color="auto"/>
        <w:bottom w:val="none" w:sz="0" w:space="0" w:color="auto"/>
        <w:right w:val="none" w:sz="0" w:space="0" w:color="auto"/>
      </w:divBdr>
      <w:divsChild>
        <w:div w:id="1760177073">
          <w:marLeft w:val="0"/>
          <w:marRight w:val="0"/>
          <w:marTop w:val="0"/>
          <w:marBottom w:val="0"/>
          <w:divBdr>
            <w:top w:val="none" w:sz="0" w:space="0" w:color="auto"/>
            <w:left w:val="none" w:sz="0" w:space="0" w:color="auto"/>
            <w:bottom w:val="none" w:sz="0" w:space="0" w:color="auto"/>
            <w:right w:val="none" w:sz="0" w:space="0" w:color="auto"/>
          </w:divBdr>
          <w:divsChild>
            <w:div w:id="1702247905">
              <w:marLeft w:val="0"/>
              <w:marRight w:val="0"/>
              <w:marTop w:val="0"/>
              <w:marBottom w:val="0"/>
              <w:divBdr>
                <w:top w:val="none" w:sz="0" w:space="0" w:color="auto"/>
                <w:left w:val="none" w:sz="0" w:space="0" w:color="auto"/>
                <w:bottom w:val="none" w:sz="0" w:space="0" w:color="auto"/>
                <w:right w:val="none" w:sz="0" w:space="0" w:color="auto"/>
              </w:divBdr>
              <w:divsChild>
                <w:div w:id="617416240">
                  <w:marLeft w:val="0"/>
                  <w:marRight w:val="0"/>
                  <w:marTop w:val="0"/>
                  <w:marBottom w:val="0"/>
                  <w:divBdr>
                    <w:top w:val="none" w:sz="0" w:space="0" w:color="auto"/>
                    <w:left w:val="none" w:sz="0" w:space="0" w:color="auto"/>
                    <w:bottom w:val="none" w:sz="0" w:space="0" w:color="auto"/>
                    <w:right w:val="none" w:sz="0" w:space="0" w:color="auto"/>
                  </w:divBdr>
                  <w:divsChild>
                    <w:div w:id="59717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559551">
      <w:bodyDiv w:val="1"/>
      <w:marLeft w:val="0"/>
      <w:marRight w:val="0"/>
      <w:marTop w:val="0"/>
      <w:marBottom w:val="0"/>
      <w:divBdr>
        <w:top w:val="none" w:sz="0" w:space="0" w:color="auto"/>
        <w:left w:val="none" w:sz="0" w:space="0" w:color="auto"/>
        <w:bottom w:val="none" w:sz="0" w:space="0" w:color="auto"/>
        <w:right w:val="none" w:sz="0" w:space="0" w:color="auto"/>
      </w:divBdr>
      <w:divsChild>
        <w:div w:id="694305481">
          <w:marLeft w:val="0"/>
          <w:marRight w:val="0"/>
          <w:marTop w:val="0"/>
          <w:marBottom w:val="0"/>
          <w:divBdr>
            <w:top w:val="none" w:sz="0" w:space="0" w:color="auto"/>
            <w:left w:val="none" w:sz="0" w:space="0" w:color="auto"/>
            <w:bottom w:val="none" w:sz="0" w:space="0" w:color="auto"/>
            <w:right w:val="none" w:sz="0" w:space="0" w:color="auto"/>
          </w:divBdr>
          <w:divsChild>
            <w:div w:id="8678522">
              <w:marLeft w:val="0"/>
              <w:marRight w:val="0"/>
              <w:marTop w:val="0"/>
              <w:marBottom w:val="0"/>
              <w:divBdr>
                <w:top w:val="none" w:sz="0" w:space="0" w:color="auto"/>
                <w:left w:val="none" w:sz="0" w:space="0" w:color="auto"/>
                <w:bottom w:val="none" w:sz="0" w:space="0" w:color="auto"/>
                <w:right w:val="none" w:sz="0" w:space="0" w:color="auto"/>
              </w:divBdr>
              <w:divsChild>
                <w:div w:id="893739125">
                  <w:marLeft w:val="0"/>
                  <w:marRight w:val="0"/>
                  <w:marTop w:val="0"/>
                  <w:marBottom w:val="0"/>
                  <w:divBdr>
                    <w:top w:val="none" w:sz="0" w:space="0" w:color="auto"/>
                    <w:left w:val="none" w:sz="0" w:space="0" w:color="auto"/>
                    <w:bottom w:val="none" w:sz="0" w:space="0" w:color="auto"/>
                    <w:right w:val="none" w:sz="0" w:space="0" w:color="auto"/>
                  </w:divBdr>
                  <w:divsChild>
                    <w:div w:id="2112623385">
                      <w:marLeft w:val="0"/>
                      <w:marRight w:val="0"/>
                      <w:marTop w:val="0"/>
                      <w:marBottom w:val="0"/>
                      <w:divBdr>
                        <w:top w:val="none" w:sz="0" w:space="0" w:color="auto"/>
                        <w:left w:val="none" w:sz="0" w:space="0" w:color="auto"/>
                        <w:bottom w:val="none" w:sz="0" w:space="0" w:color="auto"/>
                        <w:right w:val="none" w:sz="0" w:space="0" w:color="auto"/>
                      </w:divBdr>
                      <w:divsChild>
                        <w:div w:id="1269387907">
                          <w:marLeft w:val="0"/>
                          <w:marRight w:val="0"/>
                          <w:marTop w:val="0"/>
                          <w:marBottom w:val="0"/>
                          <w:divBdr>
                            <w:top w:val="none" w:sz="0" w:space="0" w:color="auto"/>
                            <w:left w:val="none" w:sz="0" w:space="0" w:color="auto"/>
                            <w:bottom w:val="none" w:sz="0" w:space="0" w:color="auto"/>
                            <w:right w:val="none" w:sz="0" w:space="0" w:color="auto"/>
                          </w:divBdr>
                          <w:divsChild>
                            <w:div w:id="569266013">
                              <w:marLeft w:val="0"/>
                              <w:marRight w:val="0"/>
                              <w:marTop w:val="0"/>
                              <w:marBottom w:val="0"/>
                              <w:divBdr>
                                <w:top w:val="none" w:sz="0" w:space="0" w:color="auto"/>
                                <w:left w:val="none" w:sz="0" w:space="0" w:color="auto"/>
                                <w:bottom w:val="none" w:sz="0" w:space="0" w:color="auto"/>
                                <w:right w:val="none" w:sz="0" w:space="0" w:color="auto"/>
                              </w:divBdr>
                              <w:divsChild>
                                <w:div w:id="1553229251">
                                  <w:marLeft w:val="0"/>
                                  <w:marRight w:val="0"/>
                                  <w:marTop w:val="240"/>
                                  <w:marBottom w:val="0"/>
                                  <w:divBdr>
                                    <w:top w:val="none" w:sz="0" w:space="0" w:color="auto"/>
                                    <w:left w:val="none" w:sz="0" w:space="0" w:color="auto"/>
                                    <w:bottom w:val="none" w:sz="0" w:space="0" w:color="auto"/>
                                    <w:right w:val="none" w:sz="0" w:space="0" w:color="auto"/>
                                  </w:divBdr>
                                  <w:divsChild>
                                    <w:div w:id="1166480254">
                                      <w:marLeft w:val="0"/>
                                      <w:marRight w:val="0"/>
                                      <w:marTop w:val="0"/>
                                      <w:marBottom w:val="0"/>
                                      <w:divBdr>
                                        <w:top w:val="none" w:sz="0" w:space="0" w:color="auto"/>
                                        <w:left w:val="none" w:sz="0" w:space="0" w:color="auto"/>
                                        <w:bottom w:val="none" w:sz="0" w:space="0" w:color="auto"/>
                                        <w:right w:val="none" w:sz="0" w:space="0" w:color="auto"/>
                                      </w:divBdr>
                                      <w:divsChild>
                                        <w:div w:id="1692757518">
                                          <w:marLeft w:val="0"/>
                                          <w:marRight w:val="0"/>
                                          <w:marTop w:val="0"/>
                                          <w:marBottom w:val="0"/>
                                          <w:divBdr>
                                            <w:top w:val="none" w:sz="0" w:space="0" w:color="auto"/>
                                            <w:left w:val="none" w:sz="0" w:space="0" w:color="auto"/>
                                            <w:bottom w:val="none" w:sz="0" w:space="0" w:color="auto"/>
                                            <w:right w:val="none" w:sz="0" w:space="0" w:color="auto"/>
                                          </w:divBdr>
                                          <w:divsChild>
                                            <w:div w:id="1727027732">
                                              <w:marLeft w:val="0"/>
                                              <w:marRight w:val="0"/>
                                              <w:marTop w:val="0"/>
                                              <w:marBottom w:val="0"/>
                                              <w:divBdr>
                                                <w:top w:val="none" w:sz="0" w:space="0" w:color="auto"/>
                                                <w:left w:val="none" w:sz="0" w:space="0" w:color="auto"/>
                                                <w:bottom w:val="none" w:sz="0" w:space="0" w:color="auto"/>
                                                <w:right w:val="none" w:sz="0" w:space="0" w:color="auto"/>
                                              </w:divBdr>
                                              <w:divsChild>
                                                <w:div w:id="771434101">
                                                  <w:marLeft w:val="0"/>
                                                  <w:marRight w:val="0"/>
                                                  <w:marTop w:val="0"/>
                                                  <w:marBottom w:val="0"/>
                                                  <w:divBdr>
                                                    <w:top w:val="none" w:sz="0" w:space="0" w:color="auto"/>
                                                    <w:left w:val="none" w:sz="0" w:space="0" w:color="auto"/>
                                                    <w:bottom w:val="none" w:sz="0" w:space="0" w:color="auto"/>
                                                    <w:right w:val="none" w:sz="0" w:space="0" w:color="auto"/>
                                                  </w:divBdr>
                                                  <w:divsChild>
                                                    <w:div w:id="87466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48199072">
      <w:bodyDiv w:val="1"/>
      <w:marLeft w:val="0"/>
      <w:marRight w:val="0"/>
      <w:marTop w:val="0"/>
      <w:marBottom w:val="0"/>
      <w:divBdr>
        <w:top w:val="none" w:sz="0" w:space="0" w:color="auto"/>
        <w:left w:val="none" w:sz="0" w:space="0" w:color="auto"/>
        <w:bottom w:val="none" w:sz="0" w:space="0" w:color="auto"/>
        <w:right w:val="none" w:sz="0" w:space="0" w:color="auto"/>
      </w:divBdr>
      <w:divsChild>
        <w:div w:id="1457524965">
          <w:marLeft w:val="0"/>
          <w:marRight w:val="0"/>
          <w:marTop w:val="0"/>
          <w:marBottom w:val="0"/>
          <w:divBdr>
            <w:top w:val="none" w:sz="0" w:space="0" w:color="auto"/>
            <w:left w:val="none" w:sz="0" w:space="0" w:color="auto"/>
            <w:bottom w:val="none" w:sz="0" w:space="0" w:color="auto"/>
            <w:right w:val="none" w:sz="0" w:space="0" w:color="auto"/>
          </w:divBdr>
          <w:divsChild>
            <w:div w:id="619264323">
              <w:marLeft w:val="0"/>
              <w:marRight w:val="0"/>
              <w:marTop w:val="0"/>
              <w:marBottom w:val="0"/>
              <w:divBdr>
                <w:top w:val="none" w:sz="0" w:space="0" w:color="auto"/>
                <w:left w:val="none" w:sz="0" w:space="0" w:color="auto"/>
                <w:bottom w:val="none" w:sz="0" w:space="0" w:color="auto"/>
                <w:right w:val="none" w:sz="0" w:space="0" w:color="auto"/>
              </w:divBdr>
              <w:divsChild>
                <w:div w:id="849832645">
                  <w:marLeft w:val="0"/>
                  <w:marRight w:val="0"/>
                  <w:marTop w:val="0"/>
                  <w:marBottom w:val="0"/>
                  <w:divBdr>
                    <w:top w:val="none" w:sz="0" w:space="0" w:color="auto"/>
                    <w:left w:val="none" w:sz="0" w:space="0" w:color="auto"/>
                    <w:bottom w:val="none" w:sz="0" w:space="0" w:color="auto"/>
                    <w:right w:val="none" w:sz="0" w:space="0" w:color="auto"/>
                  </w:divBdr>
                  <w:divsChild>
                    <w:div w:id="50921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300961">
      <w:bodyDiv w:val="1"/>
      <w:marLeft w:val="0"/>
      <w:marRight w:val="0"/>
      <w:marTop w:val="0"/>
      <w:marBottom w:val="0"/>
      <w:divBdr>
        <w:top w:val="none" w:sz="0" w:space="0" w:color="auto"/>
        <w:left w:val="none" w:sz="0" w:space="0" w:color="auto"/>
        <w:bottom w:val="none" w:sz="0" w:space="0" w:color="auto"/>
        <w:right w:val="none" w:sz="0" w:space="0" w:color="auto"/>
      </w:divBdr>
      <w:divsChild>
        <w:div w:id="1572618479">
          <w:marLeft w:val="0"/>
          <w:marRight w:val="0"/>
          <w:marTop w:val="0"/>
          <w:marBottom w:val="0"/>
          <w:divBdr>
            <w:top w:val="none" w:sz="0" w:space="0" w:color="auto"/>
            <w:left w:val="none" w:sz="0" w:space="0" w:color="auto"/>
            <w:bottom w:val="none" w:sz="0" w:space="0" w:color="auto"/>
            <w:right w:val="none" w:sz="0" w:space="0" w:color="auto"/>
          </w:divBdr>
          <w:divsChild>
            <w:div w:id="165681119">
              <w:marLeft w:val="0"/>
              <w:marRight w:val="0"/>
              <w:marTop w:val="0"/>
              <w:marBottom w:val="0"/>
              <w:divBdr>
                <w:top w:val="none" w:sz="0" w:space="0" w:color="auto"/>
                <w:left w:val="none" w:sz="0" w:space="0" w:color="auto"/>
                <w:bottom w:val="none" w:sz="0" w:space="0" w:color="auto"/>
                <w:right w:val="none" w:sz="0" w:space="0" w:color="auto"/>
              </w:divBdr>
              <w:divsChild>
                <w:div w:id="70340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647070">
      <w:bodyDiv w:val="1"/>
      <w:marLeft w:val="0"/>
      <w:marRight w:val="0"/>
      <w:marTop w:val="0"/>
      <w:marBottom w:val="0"/>
      <w:divBdr>
        <w:top w:val="none" w:sz="0" w:space="0" w:color="auto"/>
        <w:left w:val="none" w:sz="0" w:space="0" w:color="auto"/>
        <w:bottom w:val="none" w:sz="0" w:space="0" w:color="auto"/>
        <w:right w:val="none" w:sz="0" w:space="0" w:color="auto"/>
      </w:divBdr>
    </w:div>
    <w:div w:id="1038773792">
      <w:bodyDiv w:val="1"/>
      <w:marLeft w:val="0"/>
      <w:marRight w:val="0"/>
      <w:marTop w:val="0"/>
      <w:marBottom w:val="0"/>
      <w:divBdr>
        <w:top w:val="none" w:sz="0" w:space="0" w:color="auto"/>
        <w:left w:val="none" w:sz="0" w:space="0" w:color="auto"/>
        <w:bottom w:val="none" w:sz="0" w:space="0" w:color="auto"/>
        <w:right w:val="none" w:sz="0" w:space="0" w:color="auto"/>
      </w:divBdr>
      <w:divsChild>
        <w:div w:id="1122533240">
          <w:marLeft w:val="0"/>
          <w:marRight w:val="0"/>
          <w:marTop w:val="0"/>
          <w:marBottom w:val="0"/>
          <w:divBdr>
            <w:top w:val="none" w:sz="0" w:space="0" w:color="auto"/>
            <w:left w:val="none" w:sz="0" w:space="0" w:color="auto"/>
            <w:bottom w:val="none" w:sz="0" w:space="0" w:color="auto"/>
            <w:right w:val="none" w:sz="0" w:space="0" w:color="auto"/>
          </w:divBdr>
          <w:divsChild>
            <w:div w:id="995382727">
              <w:marLeft w:val="0"/>
              <w:marRight w:val="0"/>
              <w:marTop w:val="0"/>
              <w:marBottom w:val="0"/>
              <w:divBdr>
                <w:top w:val="none" w:sz="0" w:space="0" w:color="auto"/>
                <w:left w:val="none" w:sz="0" w:space="0" w:color="auto"/>
                <w:bottom w:val="none" w:sz="0" w:space="0" w:color="auto"/>
                <w:right w:val="none" w:sz="0" w:space="0" w:color="auto"/>
              </w:divBdr>
              <w:divsChild>
                <w:div w:id="1918784326">
                  <w:marLeft w:val="0"/>
                  <w:marRight w:val="0"/>
                  <w:marTop w:val="0"/>
                  <w:marBottom w:val="0"/>
                  <w:divBdr>
                    <w:top w:val="none" w:sz="0" w:space="0" w:color="auto"/>
                    <w:left w:val="none" w:sz="0" w:space="0" w:color="auto"/>
                    <w:bottom w:val="none" w:sz="0" w:space="0" w:color="auto"/>
                    <w:right w:val="none" w:sz="0" w:space="0" w:color="auto"/>
                  </w:divBdr>
                  <w:divsChild>
                    <w:div w:id="136042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684535">
      <w:bodyDiv w:val="1"/>
      <w:marLeft w:val="0"/>
      <w:marRight w:val="0"/>
      <w:marTop w:val="0"/>
      <w:marBottom w:val="0"/>
      <w:divBdr>
        <w:top w:val="none" w:sz="0" w:space="0" w:color="auto"/>
        <w:left w:val="none" w:sz="0" w:space="0" w:color="auto"/>
        <w:bottom w:val="none" w:sz="0" w:space="0" w:color="auto"/>
        <w:right w:val="none" w:sz="0" w:space="0" w:color="auto"/>
      </w:divBdr>
      <w:divsChild>
        <w:div w:id="1301111887">
          <w:marLeft w:val="0"/>
          <w:marRight w:val="0"/>
          <w:marTop w:val="0"/>
          <w:marBottom w:val="0"/>
          <w:divBdr>
            <w:top w:val="none" w:sz="0" w:space="0" w:color="auto"/>
            <w:left w:val="none" w:sz="0" w:space="0" w:color="auto"/>
            <w:bottom w:val="none" w:sz="0" w:space="0" w:color="auto"/>
            <w:right w:val="none" w:sz="0" w:space="0" w:color="auto"/>
          </w:divBdr>
          <w:divsChild>
            <w:div w:id="881358988">
              <w:marLeft w:val="0"/>
              <w:marRight w:val="0"/>
              <w:marTop w:val="0"/>
              <w:marBottom w:val="0"/>
              <w:divBdr>
                <w:top w:val="none" w:sz="0" w:space="0" w:color="auto"/>
                <w:left w:val="none" w:sz="0" w:space="0" w:color="auto"/>
                <w:bottom w:val="none" w:sz="0" w:space="0" w:color="auto"/>
                <w:right w:val="none" w:sz="0" w:space="0" w:color="auto"/>
              </w:divBdr>
              <w:divsChild>
                <w:div w:id="21054804">
                  <w:marLeft w:val="0"/>
                  <w:marRight w:val="0"/>
                  <w:marTop w:val="0"/>
                  <w:marBottom w:val="0"/>
                  <w:divBdr>
                    <w:top w:val="none" w:sz="0" w:space="0" w:color="auto"/>
                    <w:left w:val="none" w:sz="0" w:space="0" w:color="auto"/>
                    <w:bottom w:val="none" w:sz="0" w:space="0" w:color="auto"/>
                    <w:right w:val="none" w:sz="0" w:space="0" w:color="auto"/>
                  </w:divBdr>
                  <w:divsChild>
                    <w:div w:id="156810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114530">
      <w:bodyDiv w:val="1"/>
      <w:marLeft w:val="0"/>
      <w:marRight w:val="0"/>
      <w:marTop w:val="0"/>
      <w:marBottom w:val="0"/>
      <w:divBdr>
        <w:top w:val="none" w:sz="0" w:space="0" w:color="auto"/>
        <w:left w:val="none" w:sz="0" w:space="0" w:color="auto"/>
        <w:bottom w:val="none" w:sz="0" w:space="0" w:color="auto"/>
        <w:right w:val="none" w:sz="0" w:space="0" w:color="auto"/>
      </w:divBdr>
      <w:divsChild>
        <w:div w:id="1859544646">
          <w:marLeft w:val="0"/>
          <w:marRight w:val="0"/>
          <w:marTop w:val="0"/>
          <w:marBottom w:val="0"/>
          <w:divBdr>
            <w:top w:val="none" w:sz="0" w:space="0" w:color="auto"/>
            <w:left w:val="none" w:sz="0" w:space="0" w:color="auto"/>
            <w:bottom w:val="none" w:sz="0" w:space="0" w:color="auto"/>
            <w:right w:val="none" w:sz="0" w:space="0" w:color="auto"/>
          </w:divBdr>
          <w:divsChild>
            <w:div w:id="1220482319">
              <w:marLeft w:val="0"/>
              <w:marRight w:val="0"/>
              <w:marTop w:val="0"/>
              <w:marBottom w:val="0"/>
              <w:divBdr>
                <w:top w:val="none" w:sz="0" w:space="0" w:color="auto"/>
                <w:left w:val="none" w:sz="0" w:space="0" w:color="auto"/>
                <w:bottom w:val="none" w:sz="0" w:space="0" w:color="auto"/>
                <w:right w:val="none" w:sz="0" w:space="0" w:color="auto"/>
              </w:divBdr>
              <w:divsChild>
                <w:div w:id="66370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343286">
      <w:bodyDiv w:val="1"/>
      <w:marLeft w:val="0"/>
      <w:marRight w:val="0"/>
      <w:marTop w:val="0"/>
      <w:marBottom w:val="0"/>
      <w:divBdr>
        <w:top w:val="none" w:sz="0" w:space="0" w:color="auto"/>
        <w:left w:val="none" w:sz="0" w:space="0" w:color="auto"/>
        <w:bottom w:val="none" w:sz="0" w:space="0" w:color="auto"/>
        <w:right w:val="none" w:sz="0" w:space="0" w:color="auto"/>
      </w:divBdr>
    </w:div>
    <w:div w:id="1093744951">
      <w:bodyDiv w:val="1"/>
      <w:marLeft w:val="0"/>
      <w:marRight w:val="0"/>
      <w:marTop w:val="0"/>
      <w:marBottom w:val="0"/>
      <w:divBdr>
        <w:top w:val="none" w:sz="0" w:space="0" w:color="auto"/>
        <w:left w:val="none" w:sz="0" w:space="0" w:color="auto"/>
        <w:bottom w:val="none" w:sz="0" w:space="0" w:color="auto"/>
        <w:right w:val="none" w:sz="0" w:space="0" w:color="auto"/>
      </w:divBdr>
    </w:div>
    <w:div w:id="1100642559">
      <w:bodyDiv w:val="1"/>
      <w:marLeft w:val="0"/>
      <w:marRight w:val="0"/>
      <w:marTop w:val="0"/>
      <w:marBottom w:val="0"/>
      <w:divBdr>
        <w:top w:val="none" w:sz="0" w:space="0" w:color="auto"/>
        <w:left w:val="none" w:sz="0" w:space="0" w:color="auto"/>
        <w:bottom w:val="none" w:sz="0" w:space="0" w:color="auto"/>
        <w:right w:val="none" w:sz="0" w:space="0" w:color="auto"/>
      </w:divBdr>
      <w:divsChild>
        <w:div w:id="875889362">
          <w:marLeft w:val="0"/>
          <w:marRight w:val="0"/>
          <w:marTop w:val="0"/>
          <w:marBottom w:val="0"/>
          <w:divBdr>
            <w:top w:val="none" w:sz="0" w:space="0" w:color="auto"/>
            <w:left w:val="none" w:sz="0" w:space="0" w:color="auto"/>
            <w:bottom w:val="none" w:sz="0" w:space="0" w:color="auto"/>
            <w:right w:val="none" w:sz="0" w:space="0" w:color="auto"/>
          </w:divBdr>
          <w:divsChild>
            <w:div w:id="744113668">
              <w:marLeft w:val="0"/>
              <w:marRight w:val="0"/>
              <w:marTop w:val="0"/>
              <w:marBottom w:val="0"/>
              <w:divBdr>
                <w:top w:val="none" w:sz="0" w:space="0" w:color="auto"/>
                <w:left w:val="none" w:sz="0" w:space="0" w:color="auto"/>
                <w:bottom w:val="none" w:sz="0" w:space="0" w:color="auto"/>
                <w:right w:val="none" w:sz="0" w:space="0" w:color="auto"/>
              </w:divBdr>
              <w:divsChild>
                <w:div w:id="300504581">
                  <w:marLeft w:val="0"/>
                  <w:marRight w:val="0"/>
                  <w:marTop w:val="0"/>
                  <w:marBottom w:val="0"/>
                  <w:divBdr>
                    <w:top w:val="none" w:sz="0" w:space="0" w:color="auto"/>
                    <w:left w:val="none" w:sz="0" w:space="0" w:color="auto"/>
                    <w:bottom w:val="none" w:sz="0" w:space="0" w:color="auto"/>
                    <w:right w:val="none" w:sz="0" w:space="0" w:color="auto"/>
                  </w:divBdr>
                  <w:divsChild>
                    <w:div w:id="124610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838210">
      <w:bodyDiv w:val="1"/>
      <w:marLeft w:val="0"/>
      <w:marRight w:val="0"/>
      <w:marTop w:val="0"/>
      <w:marBottom w:val="0"/>
      <w:divBdr>
        <w:top w:val="none" w:sz="0" w:space="0" w:color="auto"/>
        <w:left w:val="none" w:sz="0" w:space="0" w:color="auto"/>
        <w:bottom w:val="none" w:sz="0" w:space="0" w:color="auto"/>
        <w:right w:val="none" w:sz="0" w:space="0" w:color="auto"/>
      </w:divBdr>
    </w:div>
    <w:div w:id="1111242494">
      <w:bodyDiv w:val="1"/>
      <w:marLeft w:val="0"/>
      <w:marRight w:val="0"/>
      <w:marTop w:val="0"/>
      <w:marBottom w:val="0"/>
      <w:divBdr>
        <w:top w:val="none" w:sz="0" w:space="0" w:color="auto"/>
        <w:left w:val="none" w:sz="0" w:space="0" w:color="auto"/>
        <w:bottom w:val="none" w:sz="0" w:space="0" w:color="auto"/>
        <w:right w:val="none" w:sz="0" w:space="0" w:color="auto"/>
      </w:divBdr>
      <w:divsChild>
        <w:div w:id="216160747">
          <w:marLeft w:val="0"/>
          <w:marRight w:val="0"/>
          <w:marTop w:val="0"/>
          <w:marBottom w:val="0"/>
          <w:divBdr>
            <w:top w:val="none" w:sz="0" w:space="0" w:color="auto"/>
            <w:left w:val="none" w:sz="0" w:space="0" w:color="auto"/>
            <w:bottom w:val="none" w:sz="0" w:space="0" w:color="auto"/>
            <w:right w:val="none" w:sz="0" w:space="0" w:color="auto"/>
          </w:divBdr>
          <w:divsChild>
            <w:div w:id="52390373">
              <w:marLeft w:val="0"/>
              <w:marRight w:val="0"/>
              <w:marTop w:val="0"/>
              <w:marBottom w:val="0"/>
              <w:divBdr>
                <w:top w:val="none" w:sz="0" w:space="0" w:color="auto"/>
                <w:left w:val="none" w:sz="0" w:space="0" w:color="auto"/>
                <w:bottom w:val="none" w:sz="0" w:space="0" w:color="auto"/>
                <w:right w:val="none" w:sz="0" w:space="0" w:color="auto"/>
              </w:divBdr>
              <w:divsChild>
                <w:div w:id="859315796">
                  <w:marLeft w:val="0"/>
                  <w:marRight w:val="0"/>
                  <w:marTop w:val="0"/>
                  <w:marBottom w:val="0"/>
                  <w:divBdr>
                    <w:top w:val="none" w:sz="0" w:space="0" w:color="auto"/>
                    <w:left w:val="none" w:sz="0" w:space="0" w:color="auto"/>
                    <w:bottom w:val="none" w:sz="0" w:space="0" w:color="auto"/>
                    <w:right w:val="none" w:sz="0" w:space="0" w:color="auto"/>
                  </w:divBdr>
                  <w:divsChild>
                    <w:div w:id="175172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140271068">
      <w:bodyDiv w:val="1"/>
      <w:marLeft w:val="0"/>
      <w:marRight w:val="0"/>
      <w:marTop w:val="0"/>
      <w:marBottom w:val="0"/>
      <w:divBdr>
        <w:top w:val="none" w:sz="0" w:space="0" w:color="auto"/>
        <w:left w:val="none" w:sz="0" w:space="0" w:color="auto"/>
        <w:bottom w:val="none" w:sz="0" w:space="0" w:color="auto"/>
        <w:right w:val="none" w:sz="0" w:space="0" w:color="auto"/>
      </w:divBdr>
    </w:div>
    <w:div w:id="1140725657">
      <w:bodyDiv w:val="1"/>
      <w:marLeft w:val="0"/>
      <w:marRight w:val="0"/>
      <w:marTop w:val="0"/>
      <w:marBottom w:val="0"/>
      <w:divBdr>
        <w:top w:val="none" w:sz="0" w:space="0" w:color="auto"/>
        <w:left w:val="none" w:sz="0" w:space="0" w:color="auto"/>
        <w:bottom w:val="none" w:sz="0" w:space="0" w:color="auto"/>
        <w:right w:val="none" w:sz="0" w:space="0" w:color="auto"/>
      </w:divBdr>
      <w:divsChild>
        <w:div w:id="2121145211">
          <w:marLeft w:val="0"/>
          <w:marRight w:val="0"/>
          <w:marTop w:val="0"/>
          <w:marBottom w:val="0"/>
          <w:divBdr>
            <w:top w:val="none" w:sz="0" w:space="0" w:color="auto"/>
            <w:left w:val="none" w:sz="0" w:space="0" w:color="auto"/>
            <w:bottom w:val="none" w:sz="0" w:space="0" w:color="auto"/>
            <w:right w:val="none" w:sz="0" w:space="0" w:color="auto"/>
          </w:divBdr>
          <w:divsChild>
            <w:div w:id="2067221536">
              <w:marLeft w:val="0"/>
              <w:marRight w:val="0"/>
              <w:marTop w:val="0"/>
              <w:marBottom w:val="0"/>
              <w:divBdr>
                <w:top w:val="none" w:sz="0" w:space="0" w:color="auto"/>
                <w:left w:val="none" w:sz="0" w:space="0" w:color="auto"/>
                <w:bottom w:val="none" w:sz="0" w:space="0" w:color="auto"/>
                <w:right w:val="none" w:sz="0" w:space="0" w:color="auto"/>
              </w:divBdr>
              <w:divsChild>
                <w:div w:id="1690984705">
                  <w:marLeft w:val="0"/>
                  <w:marRight w:val="0"/>
                  <w:marTop w:val="0"/>
                  <w:marBottom w:val="0"/>
                  <w:divBdr>
                    <w:top w:val="none" w:sz="0" w:space="0" w:color="auto"/>
                    <w:left w:val="none" w:sz="0" w:space="0" w:color="auto"/>
                    <w:bottom w:val="none" w:sz="0" w:space="0" w:color="auto"/>
                    <w:right w:val="none" w:sz="0" w:space="0" w:color="auto"/>
                  </w:divBdr>
                  <w:divsChild>
                    <w:div w:id="209219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109098">
      <w:bodyDiv w:val="1"/>
      <w:marLeft w:val="0"/>
      <w:marRight w:val="0"/>
      <w:marTop w:val="0"/>
      <w:marBottom w:val="0"/>
      <w:divBdr>
        <w:top w:val="none" w:sz="0" w:space="0" w:color="auto"/>
        <w:left w:val="none" w:sz="0" w:space="0" w:color="auto"/>
        <w:bottom w:val="none" w:sz="0" w:space="0" w:color="auto"/>
        <w:right w:val="none" w:sz="0" w:space="0" w:color="auto"/>
      </w:divBdr>
      <w:divsChild>
        <w:div w:id="1466310343">
          <w:marLeft w:val="0"/>
          <w:marRight w:val="0"/>
          <w:marTop w:val="0"/>
          <w:marBottom w:val="0"/>
          <w:divBdr>
            <w:top w:val="none" w:sz="0" w:space="0" w:color="auto"/>
            <w:left w:val="none" w:sz="0" w:space="0" w:color="auto"/>
            <w:bottom w:val="none" w:sz="0" w:space="0" w:color="auto"/>
            <w:right w:val="none" w:sz="0" w:space="0" w:color="auto"/>
          </w:divBdr>
          <w:divsChild>
            <w:div w:id="212664516">
              <w:marLeft w:val="0"/>
              <w:marRight w:val="0"/>
              <w:marTop w:val="0"/>
              <w:marBottom w:val="0"/>
              <w:divBdr>
                <w:top w:val="none" w:sz="0" w:space="0" w:color="auto"/>
                <w:left w:val="none" w:sz="0" w:space="0" w:color="auto"/>
                <w:bottom w:val="none" w:sz="0" w:space="0" w:color="auto"/>
                <w:right w:val="none" w:sz="0" w:space="0" w:color="auto"/>
              </w:divBdr>
              <w:divsChild>
                <w:div w:id="399791731">
                  <w:marLeft w:val="0"/>
                  <w:marRight w:val="0"/>
                  <w:marTop w:val="0"/>
                  <w:marBottom w:val="0"/>
                  <w:divBdr>
                    <w:top w:val="none" w:sz="0" w:space="0" w:color="auto"/>
                    <w:left w:val="none" w:sz="0" w:space="0" w:color="auto"/>
                    <w:bottom w:val="none" w:sz="0" w:space="0" w:color="auto"/>
                    <w:right w:val="none" w:sz="0" w:space="0" w:color="auto"/>
                  </w:divBdr>
                  <w:divsChild>
                    <w:div w:id="1267033135">
                      <w:marLeft w:val="0"/>
                      <w:marRight w:val="0"/>
                      <w:marTop w:val="0"/>
                      <w:marBottom w:val="0"/>
                      <w:divBdr>
                        <w:top w:val="none" w:sz="0" w:space="0" w:color="auto"/>
                        <w:left w:val="none" w:sz="0" w:space="0" w:color="auto"/>
                        <w:bottom w:val="none" w:sz="0" w:space="0" w:color="auto"/>
                        <w:right w:val="none" w:sz="0" w:space="0" w:color="auto"/>
                      </w:divBdr>
                      <w:divsChild>
                        <w:div w:id="1064717260">
                          <w:marLeft w:val="0"/>
                          <w:marRight w:val="0"/>
                          <w:marTop w:val="0"/>
                          <w:marBottom w:val="0"/>
                          <w:divBdr>
                            <w:top w:val="none" w:sz="0" w:space="0" w:color="auto"/>
                            <w:left w:val="none" w:sz="0" w:space="0" w:color="auto"/>
                            <w:bottom w:val="none" w:sz="0" w:space="0" w:color="auto"/>
                            <w:right w:val="none" w:sz="0" w:space="0" w:color="auto"/>
                          </w:divBdr>
                          <w:divsChild>
                            <w:div w:id="325329357">
                              <w:marLeft w:val="0"/>
                              <w:marRight w:val="0"/>
                              <w:marTop w:val="0"/>
                              <w:marBottom w:val="0"/>
                              <w:divBdr>
                                <w:top w:val="none" w:sz="0" w:space="0" w:color="auto"/>
                                <w:left w:val="none" w:sz="0" w:space="0" w:color="auto"/>
                                <w:bottom w:val="none" w:sz="0" w:space="0" w:color="auto"/>
                                <w:right w:val="none" w:sz="0" w:space="0" w:color="auto"/>
                              </w:divBdr>
                              <w:divsChild>
                                <w:div w:id="798035863">
                                  <w:marLeft w:val="0"/>
                                  <w:marRight w:val="0"/>
                                  <w:marTop w:val="0"/>
                                  <w:marBottom w:val="0"/>
                                  <w:divBdr>
                                    <w:top w:val="none" w:sz="0" w:space="0" w:color="auto"/>
                                    <w:left w:val="none" w:sz="0" w:space="0" w:color="auto"/>
                                    <w:bottom w:val="none" w:sz="0" w:space="0" w:color="auto"/>
                                    <w:right w:val="none" w:sz="0" w:space="0" w:color="auto"/>
                                  </w:divBdr>
                                  <w:divsChild>
                                    <w:div w:id="86388060">
                                      <w:marLeft w:val="0"/>
                                      <w:marRight w:val="0"/>
                                      <w:marTop w:val="0"/>
                                      <w:marBottom w:val="0"/>
                                      <w:divBdr>
                                        <w:top w:val="none" w:sz="0" w:space="0" w:color="auto"/>
                                        <w:left w:val="none" w:sz="0" w:space="0" w:color="auto"/>
                                        <w:bottom w:val="none" w:sz="0" w:space="0" w:color="auto"/>
                                        <w:right w:val="none" w:sz="0" w:space="0" w:color="auto"/>
                                      </w:divBdr>
                                      <w:divsChild>
                                        <w:div w:id="319623773">
                                          <w:marLeft w:val="0"/>
                                          <w:marRight w:val="0"/>
                                          <w:marTop w:val="0"/>
                                          <w:marBottom w:val="0"/>
                                          <w:divBdr>
                                            <w:top w:val="none" w:sz="0" w:space="0" w:color="auto"/>
                                            <w:left w:val="none" w:sz="0" w:space="0" w:color="auto"/>
                                            <w:bottom w:val="none" w:sz="0" w:space="0" w:color="auto"/>
                                            <w:right w:val="none" w:sz="0" w:space="0" w:color="auto"/>
                                          </w:divBdr>
                                          <w:divsChild>
                                            <w:div w:id="152256467">
                                              <w:marLeft w:val="0"/>
                                              <w:marRight w:val="0"/>
                                              <w:marTop w:val="0"/>
                                              <w:marBottom w:val="0"/>
                                              <w:divBdr>
                                                <w:top w:val="none" w:sz="0" w:space="0" w:color="auto"/>
                                                <w:left w:val="none" w:sz="0" w:space="0" w:color="auto"/>
                                                <w:bottom w:val="none" w:sz="0" w:space="0" w:color="auto"/>
                                                <w:right w:val="none" w:sz="0" w:space="0" w:color="auto"/>
                                              </w:divBdr>
                                              <w:divsChild>
                                                <w:div w:id="917980815">
                                                  <w:marLeft w:val="0"/>
                                                  <w:marRight w:val="0"/>
                                                  <w:marTop w:val="0"/>
                                                  <w:marBottom w:val="0"/>
                                                  <w:divBdr>
                                                    <w:top w:val="none" w:sz="0" w:space="0" w:color="auto"/>
                                                    <w:left w:val="none" w:sz="0" w:space="0" w:color="auto"/>
                                                    <w:bottom w:val="none" w:sz="0" w:space="0" w:color="auto"/>
                                                    <w:right w:val="none" w:sz="0" w:space="0" w:color="auto"/>
                                                  </w:divBdr>
                                                  <w:divsChild>
                                                    <w:div w:id="1196818837">
                                                      <w:marLeft w:val="0"/>
                                                      <w:marRight w:val="0"/>
                                                      <w:marTop w:val="0"/>
                                                      <w:marBottom w:val="0"/>
                                                      <w:divBdr>
                                                        <w:top w:val="none" w:sz="0" w:space="0" w:color="auto"/>
                                                        <w:left w:val="none" w:sz="0" w:space="0" w:color="auto"/>
                                                        <w:bottom w:val="none" w:sz="0" w:space="0" w:color="auto"/>
                                                        <w:right w:val="none" w:sz="0" w:space="0" w:color="auto"/>
                                                      </w:divBdr>
                                                      <w:divsChild>
                                                        <w:div w:id="37146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9444795">
                          <w:marLeft w:val="0"/>
                          <w:marRight w:val="0"/>
                          <w:marTop w:val="0"/>
                          <w:marBottom w:val="0"/>
                          <w:divBdr>
                            <w:top w:val="none" w:sz="0" w:space="0" w:color="auto"/>
                            <w:left w:val="none" w:sz="0" w:space="0" w:color="auto"/>
                            <w:bottom w:val="none" w:sz="0" w:space="0" w:color="auto"/>
                            <w:right w:val="none" w:sz="0" w:space="0" w:color="auto"/>
                          </w:divBdr>
                          <w:divsChild>
                            <w:div w:id="435056232">
                              <w:marLeft w:val="0"/>
                              <w:marRight w:val="0"/>
                              <w:marTop w:val="0"/>
                              <w:marBottom w:val="0"/>
                              <w:divBdr>
                                <w:top w:val="none" w:sz="0" w:space="0" w:color="auto"/>
                                <w:left w:val="none" w:sz="0" w:space="0" w:color="auto"/>
                                <w:bottom w:val="none" w:sz="0" w:space="0" w:color="auto"/>
                                <w:right w:val="none" w:sz="0" w:space="0" w:color="auto"/>
                              </w:divBdr>
                              <w:divsChild>
                                <w:div w:id="169763003">
                                  <w:marLeft w:val="0"/>
                                  <w:marRight w:val="0"/>
                                  <w:marTop w:val="0"/>
                                  <w:marBottom w:val="0"/>
                                  <w:divBdr>
                                    <w:top w:val="none" w:sz="0" w:space="0" w:color="auto"/>
                                    <w:left w:val="none" w:sz="0" w:space="0" w:color="auto"/>
                                    <w:bottom w:val="none" w:sz="0" w:space="0" w:color="auto"/>
                                    <w:right w:val="none" w:sz="0" w:space="0" w:color="auto"/>
                                  </w:divBdr>
                                  <w:divsChild>
                                    <w:div w:id="16512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9005946">
      <w:bodyDiv w:val="1"/>
      <w:marLeft w:val="0"/>
      <w:marRight w:val="0"/>
      <w:marTop w:val="0"/>
      <w:marBottom w:val="0"/>
      <w:divBdr>
        <w:top w:val="none" w:sz="0" w:space="0" w:color="auto"/>
        <w:left w:val="none" w:sz="0" w:space="0" w:color="auto"/>
        <w:bottom w:val="none" w:sz="0" w:space="0" w:color="auto"/>
        <w:right w:val="none" w:sz="0" w:space="0" w:color="auto"/>
      </w:divBdr>
      <w:divsChild>
        <w:div w:id="1501431970">
          <w:marLeft w:val="0"/>
          <w:marRight w:val="0"/>
          <w:marTop w:val="0"/>
          <w:marBottom w:val="0"/>
          <w:divBdr>
            <w:top w:val="none" w:sz="0" w:space="0" w:color="auto"/>
            <w:left w:val="none" w:sz="0" w:space="0" w:color="auto"/>
            <w:bottom w:val="none" w:sz="0" w:space="0" w:color="auto"/>
            <w:right w:val="none" w:sz="0" w:space="0" w:color="auto"/>
          </w:divBdr>
          <w:divsChild>
            <w:div w:id="803549075">
              <w:marLeft w:val="0"/>
              <w:marRight w:val="0"/>
              <w:marTop w:val="0"/>
              <w:marBottom w:val="0"/>
              <w:divBdr>
                <w:top w:val="none" w:sz="0" w:space="0" w:color="auto"/>
                <w:left w:val="none" w:sz="0" w:space="0" w:color="auto"/>
                <w:bottom w:val="none" w:sz="0" w:space="0" w:color="auto"/>
                <w:right w:val="none" w:sz="0" w:space="0" w:color="auto"/>
              </w:divBdr>
            </w:div>
            <w:div w:id="833228546">
              <w:marLeft w:val="0"/>
              <w:marRight w:val="0"/>
              <w:marTop w:val="0"/>
              <w:marBottom w:val="0"/>
              <w:divBdr>
                <w:top w:val="none" w:sz="0" w:space="0" w:color="auto"/>
                <w:left w:val="none" w:sz="0" w:space="0" w:color="auto"/>
                <w:bottom w:val="none" w:sz="0" w:space="0" w:color="auto"/>
                <w:right w:val="none" w:sz="0" w:space="0" w:color="auto"/>
              </w:divBdr>
              <w:divsChild>
                <w:div w:id="381683814">
                  <w:marLeft w:val="0"/>
                  <w:marRight w:val="0"/>
                  <w:marTop w:val="0"/>
                  <w:marBottom w:val="0"/>
                  <w:divBdr>
                    <w:top w:val="none" w:sz="0" w:space="0" w:color="auto"/>
                    <w:left w:val="none" w:sz="0" w:space="0" w:color="auto"/>
                    <w:bottom w:val="none" w:sz="0" w:space="0" w:color="auto"/>
                    <w:right w:val="none" w:sz="0" w:space="0" w:color="auto"/>
                  </w:divBdr>
                  <w:divsChild>
                    <w:div w:id="5769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641304">
      <w:bodyDiv w:val="1"/>
      <w:marLeft w:val="0"/>
      <w:marRight w:val="0"/>
      <w:marTop w:val="0"/>
      <w:marBottom w:val="0"/>
      <w:divBdr>
        <w:top w:val="none" w:sz="0" w:space="0" w:color="auto"/>
        <w:left w:val="none" w:sz="0" w:space="0" w:color="auto"/>
        <w:bottom w:val="none" w:sz="0" w:space="0" w:color="auto"/>
        <w:right w:val="none" w:sz="0" w:space="0" w:color="auto"/>
      </w:divBdr>
      <w:divsChild>
        <w:div w:id="1857889511">
          <w:marLeft w:val="0"/>
          <w:marRight w:val="0"/>
          <w:marTop w:val="0"/>
          <w:marBottom w:val="0"/>
          <w:divBdr>
            <w:top w:val="none" w:sz="0" w:space="0" w:color="auto"/>
            <w:left w:val="none" w:sz="0" w:space="0" w:color="auto"/>
            <w:bottom w:val="none" w:sz="0" w:space="0" w:color="auto"/>
            <w:right w:val="none" w:sz="0" w:space="0" w:color="auto"/>
          </w:divBdr>
          <w:divsChild>
            <w:div w:id="1152452021">
              <w:marLeft w:val="0"/>
              <w:marRight w:val="0"/>
              <w:marTop w:val="0"/>
              <w:marBottom w:val="0"/>
              <w:divBdr>
                <w:top w:val="none" w:sz="0" w:space="0" w:color="auto"/>
                <w:left w:val="none" w:sz="0" w:space="0" w:color="auto"/>
                <w:bottom w:val="none" w:sz="0" w:space="0" w:color="auto"/>
                <w:right w:val="none" w:sz="0" w:space="0" w:color="auto"/>
              </w:divBdr>
              <w:divsChild>
                <w:div w:id="138695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62766">
      <w:bodyDiv w:val="1"/>
      <w:marLeft w:val="0"/>
      <w:marRight w:val="0"/>
      <w:marTop w:val="0"/>
      <w:marBottom w:val="0"/>
      <w:divBdr>
        <w:top w:val="none" w:sz="0" w:space="0" w:color="auto"/>
        <w:left w:val="none" w:sz="0" w:space="0" w:color="auto"/>
        <w:bottom w:val="none" w:sz="0" w:space="0" w:color="auto"/>
        <w:right w:val="none" w:sz="0" w:space="0" w:color="auto"/>
      </w:divBdr>
    </w:div>
    <w:div w:id="1186362108">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72081707">
      <w:bodyDiv w:val="1"/>
      <w:marLeft w:val="0"/>
      <w:marRight w:val="0"/>
      <w:marTop w:val="0"/>
      <w:marBottom w:val="0"/>
      <w:divBdr>
        <w:top w:val="none" w:sz="0" w:space="0" w:color="auto"/>
        <w:left w:val="none" w:sz="0" w:space="0" w:color="auto"/>
        <w:bottom w:val="none" w:sz="0" w:space="0" w:color="auto"/>
        <w:right w:val="none" w:sz="0" w:space="0" w:color="auto"/>
      </w:divBdr>
      <w:divsChild>
        <w:div w:id="457921484">
          <w:marLeft w:val="0"/>
          <w:marRight w:val="0"/>
          <w:marTop w:val="0"/>
          <w:marBottom w:val="0"/>
          <w:divBdr>
            <w:top w:val="none" w:sz="0" w:space="0" w:color="auto"/>
            <w:left w:val="none" w:sz="0" w:space="0" w:color="auto"/>
            <w:bottom w:val="none" w:sz="0" w:space="0" w:color="auto"/>
            <w:right w:val="none" w:sz="0" w:space="0" w:color="auto"/>
          </w:divBdr>
          <w:divsChild>
            <w:div w:id="550074110">
              <w:marLeft w:val="0"/>
              <w:marRight w:val="0"/>
              <w:marTop w:val="0"/>
              <w:marBottom w:val="0"/>
              <w:divBdr>
                <w:top w:val="none" w:sz="0" w:space="0" w:color="auto"/>
                <w:left w:val="none" w:sz="0" w:space="0" w:color="auto"/>
                <w:bottom w:val="none" w:sz="0" w:space="0" w:color="auto"/>
                <w:right w:val="none" w:sz="0" w:space="0" w:color="auto"/>
              </w:divBdr>
              <w:divsChild>
                <w:div w:id="26018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773522">
      <w:bodyDiv w:val="1"/>
      <w:marLeft w:val="0"/>
      <w:marRight w:val="0"/>
      <w:marTop w:val="0"/>
      <w:marBottom w:val="0"/>
      <w:divBdr>
        <w:top w:val="none" w:sz="0" w:space="0" w:color="auto"/>
        <w:left w:val="none" w:sz="0" w:space="0" w:color="auto"/>
        <w:bottom w:val="none" w:sz="0" w:space="0" w:color="auto"/>
        <w:right w:val="none" w:sz="0" w:space="0" w:color="auto"/>
      </w:divBdr>
    </w:div>
    <w:div w:id="1288003519">
      <w:bodyDiv w:val="1"/>
      <w:marLeft w:val="0"/>
      <w:marRight w:val="0"/>
      <w:marTop w:val="0"/>
      <w:marBottom w:val="0"/>
      <w:divBdr>
        <w:top w:val="none" w:sz="0" w:space="0" w:color="auto"/>
        <w:left w:val="none" w:sz="0" w:space="0" w:color="auto"/>
        <w:bottom w:val="none" w:sz="0" w:space="0" w:color="auto"/>
        <w:right w:val="none" w:sz="0" w:space="0" w:color="auto"/>
      </w:divBdr>
      <w:divsChild>
        <w:div w:id="974605363">
          <w:marLeft w:val="0"/>
          <w:marRight w:val="0"/>
          <w:marTop w:val="0"/>
          <w:marBottom w:val="0"/>
          <w:divBdr>
            <w:top w:val="none" w:sz="0" w:space="0" w:color="auto"/>
            <w:left w:val="none" w:sz="0" w:space="0" w:color="auto"/>
            <w:bottom w:val="none" w:sz="0" w:space="0" w:color="auto"/>
            <w:right w:val="none" w:sz="0" w:space="0" w:color="auto"/>
          </w:divBdr>
          <w:divsChild>
            <w:div w:id="796265808">
              <w:marLeft w:val="0"/>
              <w:marRight w:val="0"/>
              <w:marTop w:val="0"/>
              <w:marBottom w:val="0"/>
              <w:divBdr>
                <w:top w:val="none" w:sz="0" w:space="0" w:color="auto"/>
                <w:left w:val="none" w:sz="0" w:space="0" w:color="auto"/>
                <w:bottom w:val="none" w:sz="0" w:space="0" w:color="auto"/>
                <w:right w:val="none" w:sz="0" w:space="0" w:color="auto"/>
              </w:divBdr>
              <w:divsChild>
                <w:div w:id="205044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016987">
      <w:bodyDiv w:val="1"/>
      <w:marLeft w:val="0"/>
      <w:marRight w:val="0"/>
      <w:marTop w:val="0"/>
      <w:marBottom w:val="0"/>
      <w:divBdr>
        <w:top w:val="none" w:sz="0" w:space="0" w:color="auto"/>
        <w:left w:val="none" w:sz="0" w:space="0" w:color="auto"/>
        <w:bottom w:val="none" w:sz="0" w:space="0" w:color="auto"/>
        <w:right w:val="none" w:sz="0" w:space="0" w:color="auto"/>
      </w:divBdr>
      <w:divsChild>
        <w:div w:id="846410731">
          <w:marLeft w:val="0"/>
          <w:marRight w:val="0"/>
          <w:marTop w:val="0"/>
          <w:marBottom w:val="0"/>
          <w:divBdr>
            <w:top w:val="none" w:sz="0" w:space="0" w:color="auto"/>
            <w:left w:val="none" w:sz="0" w:space="0" w:color="auto"/>
            <w:bottom w:val="none" w:sz="0" w:space="0" w:color="auto"/>
            <w:right w:val="none" w:sz="0" w:space="0" w:color="auto"/>
          </w:divBdr>
          <w:divsChild>
            <w:div w:id="1920868692">
              <w:marLeft w:val="0"/>
              <w:marRight w:val="0"/>
              <w:marTop w:val="0"/>
              <w:marBottom w:val="0"/>
              <w:divBdr>
                <w:top w:val="none" w:sz="0" w:space="0" w:color="auto"/>
                <w:left w:val="none" w:sz="0" w:space="0" w:color="auto"/>
                <w:bottom w:val="none" w:sz="0" w:space="0" w:color="auto"/>
                <w:right w:val="none" w:sz="0" w:space="0" w:color="auto"/>
              </w:divBdr>
              <w:divsChild>
                <w:div w:id="140726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1311518232">
      <w:bodyDiv w:val="1"/>
      <w:marLeft w:val="0"/>
      <w:marRight w:val="0"/>
      <w:marTop w:val="0"/>
      <w:marBottom w:val="0"/>
      <w:divBdr>
        <w:top w:val="none" w:sz="0" w:space="0" w:color="auto"/>
        <w:left w:val="none" w:sz="0" w:space="0" w:color="auto"/>
        <w:bottom w:val="none" w:sz="0" w:space="0" w:color="auto"/>
        <w:right w:val="none" w:sz="0" w:space="0" w:color="auto"/>
      </w:divBdr>
      <w:divsChild>
        <w:div w:id="537091551">
          <w:marLeft w:val="0"/>
          <w:marRight w:val="0"/>
          <w:marTop w:val="0"/>
          <w:marBottom w:val="0"/>
          <w:divBdr>
            <w:top w:val="none" w:sz="0" w:space="0" w:color="auto"/>
            <w:left w:val="none" w:sz="0" w:space="0" w:color="auto"/>
            <w:bottom w:val="none" w:sz="0" w:space="0" w:color="auto"/>
            <w:right w:val="none" w:sz="0" w:space="0" w:color="auto"/>
          </w:divBdr>
          <w:divsChild>
            <w:div w:id="2054648187">
              <w:marLeft w:val="0"/>
              <w:marRight w:val="0"/>
              <w:marTop w:val="0"/>
              <w:marBottom w:val="0"/>
              <w:divBdr>
                <w:top w:val="none" w:sz="0" w:space="0" w:color="auto"/>
                <w:left w:val="none" w:sz="0" w:space="0" w:color="auto"/>
                <w:bottom w:val="none" w:sz="0" w:space="0" w:color="auto"/>
                <w:right w:val="none" w:sz="0" w:space="0" w:color="auto"/>
              </w:divBdr>
              <w:divsChild>
                <w:div w:id="809134070">
                  <w:marLeft w:val="0"/>
                  <w:marRight w:val="0"/>
                  <w:marTop w:val="0"/>
                  <w:marBottom w:val="0"/>
                  <w:divBdr>
                    <w:top w:val="none" w:sz="0" w:space="0" w:color="auto"/>
                    <w:left w:val="none" w:sz="0" w:space="0" w:color="auto"/>
                    <w:bottom w:val="none" w:sz="0" w:space="0" w:color="auto"/>
                    <w:right w:val="none" w:sz="0" w:space="0" w:color="auto"/>
                  </w:divBdr>
                  <w:divsChild>
                    <w:div w:id="170054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5912780">
      <w:bodyDiv w:val="1"/>
      <w:marLeft w:val="0"/>
      <w:marRight w:val="0"/>
      <w:marTop w:val="0"/>
      <w:marBottom w:val="0"/>
      <w:divBdr>
        <w:top w:val="none" w:sz="0" w:space="0" w:color="auto"/>
        <w:left w:val="none" w:sz="0" w:space="0" w:color="auto"/>
        <w:bottom w:val="none" w:sz="0" w:space="0" w:color="auto"/>
        <w:right w:val="none" w:sz="0" w:space="0" w:color="auto"/>
      </w:divBdr>
      <w:divsChild>
        <w:div w:id="1762287575">
          <w:marLeft w:val="0"/>
          <w:marRight w:val="0"/>
          <w:marTop w:val="0"/>
          <w:marBottom w:val="0"/>
          <w:divBdr>
            <w:top w:val="none" w:sz="0" w:space="0" w:color="auto"/>
            <w:left w:val="none" w:sz="0" w:space="0" w:color="auto"/>
            <w:bottom w:val="none" w:sz="0" w:space="0" w:color="auto"/>
            <w:right w:val="none" w:sz="0" w:space="0" w:color="auto"/>
          </w:divBdr>
          <w:divsChild>
            <w:div w:id="284191821">
              <w:marLeft w:val="0"/>
              <w:marRight w:val="0"/>
              <w:marTop w:val="0"/>
              <w:marBottom w:val="0"/>
              <w:divBdr>
                <w:top w:val="none" w:sz="0" w:space="0" w:color="auto"/>
                <w:left w:val="none" w:sz="0" w:space="0" w:color="auto"/>
                <w:bottom w:val="none" w:sz="0" w:space="0" w:color="auto"/>
                <w:right w:val="none" w:sz="0" w:space="0" w:color="auto"/>
              </w:divBdr>
              <w:divsChild>
                <w:div w:id="19485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712244">
      <w:bodyDiv w:val="1"/>
      <w:marLeft w:val="0"/>
      <w:marRight w:val="0"/>
      <w:marTop w:val="0"/>
      <w:marBottom w:val="0"/>
      <w:divBdr>
        <w:top w:val="none" w:sz="0" w:space="0" w:color="auto"/>
        <w:left w:val="none" w:sz="0" w:space="0" w:color="auto"/>
        <w:bottom w:val="none" w:sz="0" w:space="0" w:color="auto"/>
        <w:right w:val="none" w:sz="0" w:space="0" w:color="auto"/>
      </w:divBdr>
      <w:divsChild>
        <w:div w:id="1296905679">
          <w:marLeft w:val="0"/>
          <w:marRight w:val="0"/>
          <w:marTop w:val="0"/>
          <w:marBottom w:val="0"/>
          <w:divBdr>
            <w:top w:val="none" w:sz="0" w:space="0" w:color="auto"/>
            <w:left w:val="none" w:sz="0" w:space="0" w:color="auto"/>
            <w:bottom w:val="none" w:sz="0" w:space="0" w:color="auto"/>
            <w:right w:val="none" w:sz="0" w:space="0" w:color="auto"/>
          </w:divBdr>
          <w:divsChild>
            <w:div w:id="250892953">
              <w:marLeft w:val="0"/>
              <w:marRight w:val="0"/>
              <w:marTop w:val="0"/>
              <w:marBottom w:val="0"/>
              <w:divBdr>
                <w:top w:val="none" w:sz="0" w:space="0" w:color="auto"/>
                <w:left w:val="none" w:sz="0" w:space="0" w:color="auto"/>
                <w:bottom w:val="none" w:sz="0" w:space="0" w:color="auto"/>
                <w:right w:val="none" w:sz="0" w:space="0" w:color="auto"/>
              </w:divBdr>
              <w:divsChild>
                <w:div w:id="5801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639560">
      <w:bodyDiv w:val="1"/>
      <w:marLeft w:val="0"/>
      <w:marRight w:val="0"/>
      <w:marTop w:val="0"/>
      <w:marBottom w:val="0"/>
      <w:divBdr>
        <w:top w:val="none" w:sz="0" w:space="0" w:color="auto"/>
        <w:left w:val="none" w:sz="0" w:space="0" w:color="auto"/>
        <w:bottom w:val="none" w:sz="0" w:space="0" w:color="auto"/>
        <w:right w:val="none" w:sz="0" w:space="0" w:color="auto"/>
      </w:divBdr>
      <w:divsChild>
        <w:div w:id="2107263447">
          <w:marLeft w:val="0"/>
          <w:marRight w:val="0"/>
          <w:marTop w:val="0"/>
          <w:marBottom w:val="0"/>
          <w:divBdr>
            <w:top w:val="none" w:sz="0" w:space="0" w:color="auto"/>
            <w:left w:val="none" w:sz="0" w:space="0" w:color="auto"/>
            <w:bottom w:val="none" w:sz="0" w:space="0" w:color="auto"/>
            <w:right w:val="none" w:sz="0" w:space="0" w:color="auto"/>
          </w:divBdr>
          <w:divsChild>
            <w:div w:id="676880607">
              <w:marLeft w:val="0"/>
              <w:marRight w:val="0"/>
              <w:marTop w:val="0"/>
              <w:marBottom w:val="0"/>
              <w:divBdr>
                <w:top w:val="none" w:sz="0" w:space="0" w:color="auto"/>
                <w:left w:val="none" w:sz="0" w:space="0" w:color="auto"/>
                <w:bottom w:val="none" w:sz="0" w:space="0" w:color="auto"/>
                <w:right w:val="none" w:sz="0" w:space="0" w:color="auto"/>
              </w:divBdr>
              <w:divsChild>
                <w:div w:id="196989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489416">
      <w:bodyDiv w:val="1"/>
      <w:marLeft w:val="0"/>
      <w:marRight w:val="0"/>
      <w:marTop w:val="0"/>
      <w:marBottom w:val="0"/>
      <w:divBdr>
        <w:top w:val="none" w:sz="0" w:space="0" w:color="auto"/>
        <w:left w:val="none" w:sz="0" w:space="0" w:color="auto"/>
        <w:bottom w:val="none" w:sz="0" w:space="0" w:color="auto"/>
        <w:right w:val="none" w:sz="0" w:space="0" w:color="auto"/>
      </w:divBdr>
      <w:divsChild>
        <w:div w:id="947277408">
          <w:marLeft w:val="0"/>
          <w:marRight w:val="0"/>
          <w:marTop w:val="0"/>
          <w:marBottom w:val="0"/>
          <w:divBdr>
            <w:top w:val="none" w:sz="0" w:space="0" w:color="auto"/>
            <w:left w:val="none" w:sz="0" w:space="0" w:color="auto"/>
            <w:bottom w:val="none" w:sz="0" w:space="0" w:color="auto"/>
            <w:right w:val="none" w:sz="0" w:space="0" w:color="auto"/>
          </w:divBdr>
          <w:divsChild>
            <w:div w:id="1127579495">
              <w:marLeft w:val="0"/>
              <w:marRight w:val="0"/>
              <w:marTop w:val="0"/>
              <w:marBottom w:val="0"/>
              <w:divBdr>
                <w:top w:val="none" w:sz="0" w:space="0" w:color="auto"/>
                <w:left w:val="none" w:sz="0" w:space="0" w:color="auto"/>
                <w:bottom w:val="none" w:sz="0" w:space="0" w:color="auto"/>
                <w:right w:val="none" w:sz="0" w:space="0" w:color="auto"/>
              </w:divBdr>
              <w:divsChild>
                <w:div w:id="208471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72476">
      <w:bodyDiv w:val="1"/>
      <w:marLeft w:val="0"/>
      <w:marRight w:val="0"/>
      <w:marTop w:val="0"/>
      <w:marBottom w:val="0"/>
      <w:divBdr>
        <w:top w:val="none" w:sz="0" w:space="0" w:color="auto"/>
        <w:left w:val="none" w:sz="0" w:space="0" w:color="auto"/>
        <w:bottom w:val="none" w:sz="0" w:space="0" w:color="auto"/>
        <w:right w:val="none" w:sz="0" w:space="0" w:color="auto"/>
      </w:divBdr>
      <w:divsChild>
        <w:div w:id="1582987061">
          <w:marLeft w:val="0"/>
          <w:marRight w:val="0"/>
          <w:marTop w:val="0"/>
          <w:marBottom w:val="0"/>
          <w:divBdr>
            <w:top w:val="none" w:sz="0" w:space="0" w:color="auto"/>
            <w:left w:val="none" w:sz="0" w:space="0" w:color="auto"/>
            <w:bottom w:val="none" w:sz="0" w:space="0" w:color="auto"/>
            <w:right w:val="none" w:sz="0" w:space="0" w:color="auto"/>
          </w:divBdr>
          <w:divsChild>
            <w:div w:id="1817450967">
              <w:marLeft w:val="0"/>
              <w:marRight w:val="0"/>
              <w:marTop w:val="0"/>
              <w:marBottom w:val="0"/>
              <w:divBdr>
                <w:top w:val="none" w:sz="0" w:space="0" w:color="auto"/>
                <w:left w:val="none" w:sz="0" w:space="0" w:color="auto"/>
                <w:bottom w:val="none" w:sz="0" w:space="0" w:color="auto"/>
                <w:right w:val="none" w:sz="0" w:space="0" w:color="auto"/>
              </w:divBdr>
              <w:divsChild>
                <w:div w:id="214107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995803">
      <w:bodyDiv w:val="1"/>
      <w:marLeft w:val="0"/>
      <w:marRight w:val="0"/>
      <w:marTop w:val="0"/>
      <w:marBottom w:val="0"/>
      <w:divBdr>
        <w:top w:val="none" w:sz="0" w:space="0" w:color="auto"/>
        <w:left w:val="none" w:sz="0" w:space="0" w:color="auto"/>
        <w:bottom w:val="none" w:sz="0" w:space="0" w:color="auto"/>
        <w:right w:val="none" w:sz="0" w:space="0" w:color="auto"/>
      </w:divBdr>
      <w:divsChild>
        <w:div w:id="429930519">
          <w:marLeft w:val="0"/>
          <w:marRight w:val="0"/>
          <w:marTop w:val="0"/>
          <w:marBottom w:val="0"/>
          <w:divBdr>
            <w:top w:val="none" w:sz="0" w:space="0" w:color="auto"/>
            <w:left w:val="none" w:sz="0" w:space="0" w:color="auto"/>
            <w:bottom w:val="none" w:sz="0" w:space="0" w:color="auto"/>
            <w:right w:val="none" w:sz="0" w:space="0" w:color="auto"/>
          </w:divBdr>
          <w:divsChild>
            <w:div w:id="1207369862">
              <w:marLeft w:val="0"/>
              <w:marRight w:val="0"/>
              <w:marTop w:val="0"/>
              <w:marBottom w:val="0"/>
              <w:divBdr>
                <w:top w:val="none" w:sz="0" w:space="0" w:color="auto"/>
                <w:left w:val="none" w:sz="0" w:space="0" w:color="auto"/>
                <w:bottom w:val="none" w:sz="0" w:space="0" w:color="auto"/>
                <w:right w:val="none" w:sz="0" w:space="0" w:color="auto"/>
              </w:divBdr>
              <w:divsChild>
                <w:div w:id="14512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178677">
      <w:bodyDiv w:val="1"/>
      <w:marLeft w:val="0"/>
      <w:marRight w:val="0"/>
      <w:marTop w:val="0"/>
      <w:marBottom w:val="0"/>
      <w:divBdr>
        <w:top w:val="none" w:sz="0" w:space="0" w:color="auto"/>
        <w:left w:val="none" w:sz="0" w:space="0" w:color="auto"/>
        <w:bottom w:val="none" w:sz="0" w:space="0" w:color="auto"/>
        <w:right w:val="none" w:sz="0" w:space="0" w:color="auto"/>
      </w:divBdr>
      <w:divsChild>
        <w:div w:id="1719820570">
          <w:marLeft w:val="0"/>
          <w:marRight w:val="0"/>
          <w:marTop w:val="0"/>
          <w:marBottom w:val="0"/>
          <w:divBdr>
            <w:top w:val="none" w:sz="0" w:space="0" w:color="auto"/>
            <w:left w:val="none" w:sz="0" w:space="0" w:color="auto"/>
            <w:bottom w:val="none" w:sz="0" w:space="0" w:color="auto"/>
            <w:right w:val="none" w:sz="0" w:space="0" w:color="auto"/>
          </w:divBdr>
          <w:divsChild>
            <w:div w:id="575743912">
              <w:marLeft w:val="0"/>
              <w:marRight w:val="0"/>
              <w:marTop w:val="0"/>
              <w:marBottom w:val="0"/>
              <w:divBdr>
                <w:top w:val="none" w:sz="0" w:space="0" w:color="auto"/>
                <w:left w:val="none" w:sz="0" w:space="0" w:color="auto"/>
                <w:bottom w:val="none" w:sz="0" w:space="0" w:color="auto"/>
                <w:right w:val="none" w:sz="0" w:space="0" w:color="auto"/>
              </w:divBdr>
              <w:divsChild>
                <w:div w:id="212133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065681">
      <w:bodyDiv w:val="1"/>
      <w:marLeft w:val="0"/>
      <w:marRight w:val="0"/>
      <w:marTop w:val="0"/>
      <w:marBottom w:val="0"/>
      <w:divBdr>
        <w:top w:val="none" w:sz="0" w:space="0" w:color="auto"/>
        <w:left w:val="none" w:sz="0" w:space="0" w:color="auto"/>
        <w:bottom w:val="none" w:sz="0" w:space="0" w:color="auto"/>
        <w:right w:val="none" w:sz="0" w:space="0" w:color="auto"/>
      </w:divBdr>
      <w:divsChild>
        <w:div w:id="1323655037">
          <w:marLeft w:val="0"/>
          <w:marRight w:val="0"/>
          <w:marTop w:val="0"/>
          <w:marBottom w:val="0"/>
          <w:divBdr>
            <w:top w:val="none" w:sz="0" w:space="0" w:color="auto"/>
            <w:left w:val="none" w:sz="0" w:space="0" w:color="auto"/>
            <w:bottom w:val="none" w:sz="0" w:space="0" w:color="auto"/>
            <w:right w:val="none" w:sz="0" w:space="0" w:color="auto"/>
          </w:divBdr>
          <w:divsChild>
            <w:div w:id="111480284">
              <w:marLeft w:val="0"/>
              <w:marRight w:val="0"/>
              <w:marTop w:val="0"/>
              <w:marBottom w:val="0"/>
              <w:divBdr>
                <w:top w:val="none" w:sz="0" w:space="0" w:color="auto"/>
                <w:left w:val="none" w:sz="0" w:space="0" w:color="auto"/>
                <w:bottom w:val="none" w:sz="0" w:space="0" w:color="auto"/>
                <w:right w:val="none" w:sz="0" w:space="0" w:color="auto"/>
              </w:divBdr>
              <w:divsChild>
                <w:div w:id="22190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865830">
      <w:bodyDiv w:val="1"/>
      <w:marLeft w:val="0"/>
      <w:marRight w:val="0"/>
      <w:marTop w:val="0"/>
      <w:marBottom w:val="0"/>
      <w:divBdr>
        <w:top w:val="none" w:sz="0" w:space="0" w:color="auto"/>
        <w:left w:val="none" w:sz="0" w:space="0" w:color="auto"/>
        <w:bottom w:val="none" w:sz="0" w:space="0" w:color="auto"/>
        <w:right w:val="none" w:sz="0" w:space="0" w:color="auto"/>
      </w:divBdr>
      <w:divsChild>
        <w:div w:id="1734425550">
          <w:marLeft w:val="0"/>
          <w:marRight w:val="0"/>
          <w:marTop w:val="0"/>
          <w:marBottom w:val="0"/>
          <w:divBdr>
            <w:top w:val="none" w:sz="0" w:space="0" w:color="auto"/>
            <w:left w:val="none" w:sz="0" w:space="0" w:color="auto"/>
            <w:bottom w:val="none" w:sz="0" w:space="0" w:color="auto"/>
            <w:right w:val="none" w:sz="0" w:space="0" w:color="auto"/>
          </w:divBdr>
          <w:divsChild>
            <w:div w:id="312687833">
              <w:marLeft w:val="0"/>
              <w:marRight w:val="0"/>
              <w:marTop w:val="0"/>
              <w:marBottom w:val="0"/>
              <w:divBdr>
                <w:top w:val="none" w:sz="0" w:space="0" w:color="auto"/>
                <w:left w:val="none" w:sz="0" w:space="0" w:color="auto"/>
                <w:bottom w:val="none" w:sz="0" w:space="0" w:color="auto"/>
                <w:right w:val="none" w:sz="0" w:space="0" w:color="auto"/>
              </w:divBdr>
              <w:divsChild>
                <w:div w:id="18880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079577">
      <w:bodyDiv w:val="1"/>
      <w:marLeft w:val="0"/>
      <w:marRight w:val="0"/>
      <w:marTop w:val="0"/>
      <w:marBottom w:val="0"/>
      <w:divBdr>
        <w:top w:val="none" w:sz="0" w:space="0" w:color="auto"/>
        <w:left w:val="none" w:sz="0" w:space="0" w:color="auto"/>
        <w:bottom w:val="none" w:sz="0" w:space="0" w:color="auto"/>
        <w:right w:val="none" w:sz="0" w:space="0" w:color="auto"/>
      </w:divBdr>
      <w:divsChild>
        <w:div w:id="697507751">
          <w:marLeft w:val="0"/>
          <w:marRight w:val="0"/>
          <w:marTop w:val="0"/>
          <w:marBottom w:val="0"/>
          <w:divBdr>
            <w:top w:val="none" w:sz="0" w:space="0" w:color="auto"/>
            <w:left w:val="none" w:sz="0" w:space="0" w:color="auto"/>
            <w:bottom w:val="none" w:sz="0" w:space="0" w:color="auto"/>
            <w:right w:val="none" w:sz="0" w:space="0" w:color="auto"/>
          </w:divBdr>
          <w:divsChild>
            <w:div w:id="1004746360">
              <w:marLeft w:val="0"/>
              <w:marRight w:val="0"/>
              <w:marTop w:val="0"/>
              <w:marBottom w:val="0"/>
              <w:divBdr>
                <w:top w:val="none" w:sz="0" w:space="0" w:color="auto"/>
                <w:left w:val="none" w:sz="0" w:space="0" w:color="auto"/>
                <w:bottom w:val="none" w:sz="0" w:space="0" w:color="auto"/>
                <w:right w:val="none" w:sz="0" w:space="0" w:color="auto"/>
              </w:divBdr>
              <w:divsChild>
                <w:div w:id="1394307328">
                  <w:marLeft w:val="0"/>
                  <w:marRight w:val="0"/>
                  <w:marTop w:val="0"/>
                  <w:marBottom w:val="0"/>
                  <w:divBdr>
                    <w:top w:val="none" w:sz="0" w:space="0" w:color="auto"/>
                    <w:left w:val="none" w:sz="0" w:space="0" w:color="auto"/>
                    <w:bottom w:val="none" w:sz="0" w:space="0" w:color="auto"/>
                    <w:right w:val="none" w:sz="0" w:space="0" w:color="auto"/>
                  </w:divBdr>
                  <w:divsChild>
                    <w:div w:id="149391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153772">
      <w:bodyDiv w:val="1"/>
      <w:marLeft w:val="0"/>
      <w:marRight w:val="0"/>
      <w:marTop w:val="0"/>
      <w:marBottom w:val="0"/>
      <w:divBdr>
        <w:top w:val="none" w:sz="0" w:space="0" w:color="auto"/>
        <w:left w:val="none" w:sz="0" w:space="0" w:color="auto"/>
        <w:bottom w:val="none" w:sz="0" w:space="0" w:color="auto"/>
        <w:right w:val="none" w:sz="0" w:space="0" w:color="auto"/>
      </w:divBdr>
      <w:divsChild>
        <w:div w:id="1554544090">
          <w:marLeft w:val="0"/>
          <w:marRight w:val="0"/>
          <w:marTop w:val="0"/>
          <w:marBottom w:val="0"/>
          <w:divBdr>
            <w:top w:val="none" w:sz="0" w:space="0" w:color="auto"/>
            <w:left w:val="none" w:sz="0" w:space="0" w:color="auto"/>
            <w:bottom w:val="none" w:sz="0" w:space="0" w:color="auto"/>
            <w:right w:val="none" w:sz="0" w:space="0" w:color="auto"/>
          </w:divBdr>
          <w:divsChild>
            <w:div w:id="841505737">
              <w:marLeft w:val="0"/>
              <w:marRight w:val="0"/>
              <w:marTop w:val="0"/>
              <w:marBottom w:val="0"/>
              <w:divBdr>
                <w:top w:val="none" w:sz="0" w:space="0" w:color="auto"/>
                <w:left w:val="none" w:sz="0" w:space="0" w:color="auto"/>
                <w:bottom w:val="none" w:sz="0" w:space="0" w:color="auto"/>
                <w:right w:val="none" w:sz="0" w:space="0" w:color="auto"/>
              </w:divBdr>
              <w:divsChild>
                <w:div w:id="37685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483977">
      <w:bodyDiv w:val="1"/>
      <w:marLeft w:val="0"/>
      <w:marRight w:val="0"/>
      <w:marTop w:val="0"/>
      <w:marBottom w:val="0"/>
      <w:divBdr>
        <w:top w:val="none" w:sz="0" w:space="0" w:color="auto"/>
        <w:left w:val="none" w:sz="0" w:space="0" w:color="auto"/>
        <w:bottom w:val="none" w:sz="0" w:space="0" w:color="auto"/>
        <w:right w:val="none" w:sz="0" w:space="0" w:color="auto"/>
      </w:divBdr>
      <w:divsChild>
        <w:div w:id="1643971063">
          <w:marLeft w:val="0"/>
          <w:marRight w:val="0"/>
          <w:marTop w:val="0"/>
          <w:marBottom w:val="0"/>
          <w:divBdr>
            <w:top w:val="none" w:sz="0" w:space="0" w:color="auto"/>
            <w:left w:val="none" w:sz="0" w:space="0" w:color="auto"/>
            <w:bottom w:val="none" w:sz="0" w:space="0" w:color="auto"/>
            <w:right w:val="none" w:sz="0" w:space="0" w:color="auto"/>
          </w:divBdr>
          <w:divsChild>
            <w:div w:id="1052730678">
              <w:marLeft w:val="0"/>
              <w:marRight w:val="0"/>
              <w:marTop w:val="0"/>
              <w:marBottom w:val="0"/>
              <w:divBdr>
                <w:top w:val="none" w:sz="0" w:space="0" w:color="auto"/>
                <w:left w:val="none" w:sz="0" w:space="0" w:color="auto"/>
                <w:bottom w:val="none" w:sz="0" w:space="0" w:color="auto"/>
                <w:right w:val="none" w:sz="0" w:space="0" w:color="auto"/>
              </w:divBdr>
              <w:divsChild>
                <w:div w:id="98824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486221">
      <w:bodyDiv w:val="1"/>
      <w:marLeft w:val="0"/>
      <w:marRight w:val="0"/>
      <w:marTop w:val="0"/>
      <w:marBottom w:val="0"/>
      <w:divBdr>
        <w:top w:val="none" w:sz="0" w:space="0" w:color="auto"/>
        <w:left w:val="none" w:sz="0" w:space="0" w:color="auto"/>
        <w:bottom w:val="none" w:sz="0" w:space="0" w:color="auto"/>
        <w:right w:val="none" w:sz="0" w:space="0" w:color="auto"/>
      </w:divBdr>
      <w:divsChild>
        <w:div w:id="556168649">
          <w:marLeft w:val="0"/>
          <w:marRight w:val="0"/>
          <w:marTop w:val="0"/>
          <w:marBottom w:val="0"/>
          <w:divBdr>
            <w:top w:val="none" w:sz="0" w:space="0" w:color="auto"/>
            <w:left w:val="none" w:sz="0" w:space="0" w:color="auto"/>
            <w:bottom w:val="none" w:sz="0" w:space="0" w:color="auto"/>
            <w:right w:val="none" w:sz="0" w:space="0" w:color="auto"/>
          </w:divBdr>
          <w:divsChild>
            <w:div w:id="372730027">
              <w:marLeft w:val="0"/>
              <w:marRight w:val="0"/>
              <w:marTop w:val="0"/>
              <w:marBottom w:val="0"/>
              <w:divBdr>
                <w:top w:val="none" w:sz="0" w:space="0" w:color="auto"/>
                <w:left w:val="none" w:sz="0" w:space="0" w:color="auto"/>
                <w:bottom w:val="none" w:sz="0" w:space="0" w:color="auto"/>
                <w:right w:val="none" w:sz="0" w:space="0" w:color="auto"/>
              </w:divBdr>
              <w:divsChild>
                <w:div w:id="47645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652760">
      <w:bodyDiv w:val="1"/>
      <w:marLeft w:val="0"/>
      <w:marRight w:val="0"/>
      <w:marTop w:val="0"/>
      <w:marBottom w:val="0"/>
      <w:divBdr>
        <w:top w:val="none" w:sz="0" w:space="0" w:color="auto"/>
        <w:left w:val="none" w:sz="0" w:space="0" w:color="auto"/>
        <w:bottom w:val="none" w:sz="0" w:space="0" w:color="auto"/>
        <w:right w:val="none" w:sz="0" w:space="0" w:color="auto"/>
      </w:divBdr>
      <w:divsChild>
        <w:div w:id="1369141481">
          <w:marLeft w:val="0"/>
          <w:marRight w:val="0"/>
          <w:marTop w:val="0"/>
          <w:marBottom w:val="0"/>
          <w:divBdr>
            <w:top w:val="none" w:sz="0" w:space="0" w:color="auto"/>
            <w:left w:val="none" w:sz="0" w:space="0" w:color="auto"/>
            <w:bottom w:val="none" w:sz="0" w:space="0" w:color="auto"/>
            <w:right w:val="none" w:sz="0" w:space="0" w:color="auto"/>
          </w:divBdr>
          <w:divsChild>
            <w:div w:id="312607790">
              <w:marLeft w:val="0"/>
              <w:marRight w:val="0"/>
              <w:marTop w:val="0"/>
              <w:marBottom w:val="0"/>
              <w:divBdr>
                <w:top w:val="none" w:sz="0" w:space="0" w:color="auto"/>
                <w:left w:val="none" w:sz="0" w:space="0" w:color="auto"/>
                <w:bottom w:val="none" w:sz="0" w:space="0" w:color="auto"/>
                <w:right w:val="none" w:sz="0" w:space="0" w:color="auto"/>
              </w:divBdr>
              <w:divsChild>
                <w:div w:id="38464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765946">
      <w:bodyDiv w:val="1"/>
      <w:marLeft w:val="0"/>
      <w:marRight w:val="0"/>
      <w:marTop w:val="0"/>
      <w:marBottom w:val="0"/>
      <w:divBdr>
        <w:top w:val="none" w:sz="0" w:space="0" w:color="auto"/>
        <w:left w:val="none" w:sz="0" w:space="0" w:color="auto"/>
        <w:bottom w:val="none" w:sz="0" w:space="0" w:color="auto"/>
        <w:right w:val="none" w:sz="0" w:space="0" w:color="auto"/>
      </w:divBdr>
      <w:divsChild>
        <w:div w:id="2134013305">
          <w:marLeft w:val="0"/>
          <w:marRight w:val="0"/>
          <w:marTop w:val="0"/>
          <w:marBottom w:val="0"/>
          <w:divBdr>
            <w:top w:val="none" w:sz="0" w:space="0" w:color="auto"/>
            <w:left w:val="none" w:sz="0" w:space="0" w:color="auto"/>
            <w:bottom w:val="none" w:sz="0" w:space="0" w:color="auto"/>
            <w:right w:val="none" w:sz="0" w:space="0" w:color="auto"/>
          </w:divBdr>
          <w:divsChild>
            <w:div w:id="584843661">
              <w:marLeft w:val="0"/>
              <w:marRight w:val="0"/>
              <w:marTop w:val="0"/>
              <w:marBottom w:val="0"/>
              <w:divBdr>
                <w:top w:val="none" w:sz="0" w:space="0" w:color="auto"/>
                <w:left w:val="none" w:sz="0" w:space="0" w:color="auto"/>
                <w:bottom w:val="none" w:sz="0" w:space="0" w:color="auto"/>
                <w:right w:val="none" w:sz="0" w:space="0" w:color="auto"/>
              </w:divBdr>
              <w:divsChild>
                <w:div w:id="1303658985">
                  <w:marLeft w:val="0"/>
                  <w:marRight w:val="0"/>
                  <w:marTop w:val="0"/>
                  <w:marBottom w:val="0"/>
                  <w:divBdr>
                    <w:top w:val="none" w:sz="0" w:space="0" w:color="auto"/>
                    <w:left w:val="none" w:sz="0" w:space="0" w:color="auto"/>
                    <w:bottom w:val="none" w:sz="0" w:space="0" w:color="auto"/>
                    <w:right w:val="none" w:sz="0" w:space="0" w:color="auto"/>
                  </w:divBdr>
                  <w:divsChild>
                    <w:div w:id="88240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3474040">
      <w:bodyDiv w:val="1"/>
      <w:marLeft w:val="0"/>
      <w:marRight w:val="0"/>
      <w:marTop w:val="0"/>
      <w:marBottom w:val="0"/>
      <w:divBdr>
        <w:top w:val="none" w:sz="0" w:space="0" w:color="auto"/>
        <w:left w:val="none" w:sz="0" w:space="0" w:color="auto"/>
        <w:bottom w:val="none" w:sz="0" w:space="0" w:color="auto"/>
        <w:right w:val="none" w:sz="0" w:space="0" w:color="auto"/>
      </w:divBdr>
      <w:divsChild>
        <w:div w:id="1838838617">
          <w:marLeft w:val="0"/>
          <w:marRight w:val="0"/>
          <w:marTop w:val="0"/>
          <w:marBottom w:val="0"/>
          <w:divBdr>
            <w:top w:val="none" w:sz="0" w:space="0" w:color="auto"/>
            <w:left w:val="none" w:sz="0" w:space="0" w:color="auto"/>
            <w:bottom w:val="none" w:sz="0" w:space="0" w:color="auto"/>
            <w:right w:val="none" w:sz="0" w:space="0" w:color="auto"/>
          </w:divBdr>
          <w:divsChild>
            <w:div w:id="1219394738">
              <w:marLeft w:val="0"/>
              <w:marRight w:val="0"/>
              <w:marTop w:val="0"/>
              <w:marBottom w:val="0"/>
              <w:divBdr>
                <w:top w:val="none" w:sz="0" w:space="0" w:color="auto"/>
                <w:left w:val="none" w:sz="0" w:space="0" w:color="auto"/>
                <w:bottom w:val="none" w:sz="0" w:space="0" w:color="auto"/>
                <w:right w:val="none" w:sz="0" w:space="0" w:color="auto"/>
              </w:divBdr>
              <w:divsChild>
                <w:div w:id="589892544">
                  <w:marLeft w:val="0"/>
                  <w:marRight w:val="0"/>
                  <w:marTop w:val="0"/>
                  <w:marBottom w:val="0"/>
                  <w:divBdr>
                    <w:top w:val="none" w:sz="0" w:space="0" w:color="auto"/>
                    <w:left w:val="none" w:sz="0" w:space="0" w:color="auto"/>
                    <w:bottom w:val="none" w:sz="0" w:space="0" w:color="auto"/>
                    <w:right w:val="none" w:sz="0" w:space="0" w:color="auto"/>
                  </w:divBdr>
                  <w:divsChild>
                    <w:div w:id="123253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767701">
      <w:bodyDiv w:val="1"/>
      <w:marLeft w:val="0"/>
      <w:marRight w:val="0"/>
      <w:marTop w:val="0"/>
      <w:marBottom w:val="0"/>
      <w:divBdr>
        <w:top w:val="none" w:sz="0" w:space="0" w:color="auto"/>
        <w:left w:val="none" w:sz="0" w:space="0" w:color="auto"/>
        <w:bottom w:val="none" w:sz="0" w:space="0" w:color="auto"/>
        <w:right w:val="none" w:sz="0" w:space="0" w:color="auto"/>
      </w:divBdr>
      <w:divsChild>
        <w:div w:id="925918377">
          <w:marLeft w:val="0"/>
          <w:marRight w:val="0"/>
          <w:marTop w:val="0"/>
          <w:marBottom w:val="0"/>
          <w:divBdr>
            <w:top w:val="none" w:sz="0" w:space="0" w:color="auto"/>
            <w:left w:val="none" w:sz="0" w:space="0" w:color="auto"/>
            <w:bottom w:val="none" w:sz="0" w:space="0" w:color="auto"/>
            <w:right w:val="none" w:sz="0" w:space="0" w:color="auto"/>
          </w:divBdr>
          <w:divsChild>
            <w:div w:id="847905420">
              <w:marLeft w:val="0"/>
              <w:marRight w:val="0"/>
              <w:marTop w:val="0"/>
              <w:marBottom w:val="0"/>
              <w:divBdr>
                <w:top w:val="none" w:sz="0" w:space="0" w:color="auto"/>
                <w:left w:val="none" w:sz="0" w:space="0" w:color="auto"/>
                <w:bottom w:val="none" w:sz="0" w:space="0" w:color="auto"/>
                <w:right w:val="none" w:sz="0" w:space="0" w:color="auto"/>
              </w:divBdr>
              <w:divsChild>
                <w:div w:id="185442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498923">
      <w:bodyDiv w:val="1"/>
      <w:marLeft w:val="0"/>
      <w:marRight w:val="0"/>
      <w:marTop w:val="0"/>
      <w:marBottom w:val="0"/>
      <w:divBdr>
        <w:top w:val="none" w:sz="0" w:space="0" w:color="auto"/>
        <w:left w:val="none" w:sz="0" w:space="0" w:color="auto"/>
        <w:bottom w:val="none" w:sz="0" w:space="0" w:color="auto"/>
        <w:right w:val="none" w:sz="0" w:space="0" w:color="auto"/>
      </w:divBdr>
      <w:divsChild>
        <w:div w:id="1957907423">
          <w:marLeft w:val="0"/>
          <w:marRight w:val="0"/>
          <w:marTop w:val="0"/>
          <w:marBottom w:val="0"/>
          <w:divBdr>
            <w:top w:val="none" w:sz="0" w:space="0" w:color="auto"/>
            <w:left w:val="none" w:sz="0" w:space="0" w:color="auto"/>
            <w:bottom w:val="none" w:sz="0" w:space="0" w:color="auto"/>
            <w:right w:val="none" w:sz="0" w:space="0" w:color="auto"/>
          </w:divBdr>
          <w:divsChild>
            <w:div w:id="323551999">
              <w:marLeft w:val="0"/>
              <w:marRight w:val="0"/>
              <w:marTop w:val="0"/>
              <w:marBottom w:val="0"/>
              <w:divBdr>
                <w:top w:val="none" w:sz="0" w:space="0" w:color="auto"/>
                <w:left w:val="none" w:sz="0" w:space="0" w:color="auto"/>
                <w:bottom w:val="none" w:sz="0" w:space="0" w:color="auto"/>
                <w:right w:val="none" w:sz="0" w:space="0" w:color="auto"/>
              </w:divBdr>
              <w:divsChild>
                <w:div w:id="43201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642628">
      <w:bodyDiv w:val="1"/>
      <w:marLeft w:val="0"/>
      <w:marRight w:val="0"/>
      <w:marTop w:val="0"/>
      <w:marBottom w:val="0"/>
      <w:divBdr>
        <w:top w:val="none" w:sz="0" w:space="0" w:color="auto"/>
        <w:left w:val="none" w:sz="0" w:space="0" w:color="auto"/>
        <w:bottom w:val="none" w:sz="0" w:space="0" w:color="auto"/>
        <w:right w:val="none" w:sz="0" w:space="0" w:color="auto"/>
      </w:divBdr>
      <w:divsChild>
        <w:div w:id="1337608449">
          <w:marLeft w:val="0"/>
          <w:marRight w:val="0"/>
          <w:marTop w:val="0"/>
          <w:marBottom w:val="0"/>
          <w:divBdr>
            <w:top w:val="none" w:sz="0" w:space="0" w:color="auto"/>
            <w:left w:val="none" w:sz="0" w:space="0" w:color="auto"/>
            <w:bottom w:val="none" w:sz="0" w:space="0" w:color="auto"/>
            <w:right w:val="none" w:sz="0" w:space="0" w:color="auto"/>
          </w:divBdr>
          <w:divsChild>
            <w:div w:id="1835803692">
              <w:marLeft w:val="0"/>
              <w:marRight w:val="0"/>
              <w:marTop w:val="0"/>
              <w:marBottom w:val="0"/>
              <w:divBdr>
                <w:top w:val="none" w:sz="0" w:space="0" w:color="auto"/>
                <w:left w:val="none" w:sz="0" w:space="0" w:color="auto"/>
                <w:bottom w:val="none" w:sz="0" w:space="0" w:color="auto"/>
                <w:right w:val="none" w:sz="0" w:space="0" w:color="auto"/>
              </w:divBdr>
              <w:divsChild>
                <w:div w:id="13025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014507">
      <w:bodyDiv w:val="1"/>
      <w:marLeft w:val="0"/>
      <w:marRight w:val="0"/>
      <w:marTop w:val="0"/>
      <w:marBottom w:val="0"/>
      <w:divBdr>
        <w:top w:val="none" w:sz="0" w:space="0" w:color="auto"/>
        <w:left w:val="none" w:sz="0" w:space="0" w:color="auto"/>
        <w:bottom w:val="none" w:sz="0" w:space="0" w:color="auto"/>
        <w:right w:val="none" w:sz="0" w:space="0" w:color="auto"/>
      </w:divBdr>
    </w:div>
    <w:div w:id="1583026612">
      <w:bodyDiv w:val="1"/>
      <w:marLeft w:val="0"/>
      <w:marRight w:val="0"/>
      <w:marTop w:val="0"/>
      <w:marBottom w:val="0"/>
      <w:divBdr>
        <w:top w:val="none" w:sz="0" w:space="0" w:color="auto"/>
        <w:left w:val="none" w:sz="0" w:space="0" w:color="auto"/>
        <w:bottom w:val="none" w:sz="0" w:space="0" w:color="auto"/>
        <w:right w:val="none" w:sz="0" w:space="0" w:color="auto"/>
      </w:divBdr>
      <w:divsChild>
        <w:div w:id="1599287909">
          <w:marLeft w:val="0"/>
          <w:marRight w:val="0"/>
          <w:marTop w:val="0"/>
          <w:marBottom w:val="0"/>
          <w:divBdr>
            <w:top w:val="none" w:sz="0" w:space="0" w:color="auto"/>
            <w:left w:val="none" w:sz="0" w:space="0" w:color="auto"/>
            <w:bottom w:val="none" w:sz="0" w:space="0" w:color="auto"/>
            <w:right w:val="none" w:sz="0" w:space="0" w:color="auto"/>
          </w:divBdr>
          <w:divsChild>
            <w:div w:id="1328089905">
              <w:marLeft w:val="0"/>
              <w:marRight w:val="0"/>
              <w:marTop w:val="0"/>
              <w:marBottom w:val="0"/>
              <w:divBdr>
                <w:top w:val="none" w:sz="0" w:space="0" w:color="auto"/>
                <w:left w:val="none" w:sz="0" w:space="0" w:color="auto"/>
                <w:bottom w:val="none" w:sz="0" w:space="0" w:color="auto"/>
                <w:right w:val="none" w:sz="0" w:space="0" w:color="auto"/>
              </w:divBdr>
              <w:divsChild>
                <w:div w:id="118895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181967">
      <w:bodyDiv w:val="1"/>
      <w:marLeft w:val="0"/>
      <w:marRight w:val="0"/>
      <w:marTop w:val="0"/>
      <w:marBottom w:val="0"/>
      <w:divBdr>
        <w:top w:val="none" w:sz="0" w:space="0" w:color="auto"/>
        <w:left w:val="none" w:sz="0" w:space="0" w:color="auto"/>
        <w:bottom w:val="none" w:sz="0" w:space="0" w:color="auto"/>
        <w:right w:val="none" w:sz="0" w:space="0" w:color="auto"/>
      </w:divBdr>
    </w:div>
    <w:div w:id="1610314058">
      <w:bodyDiv w:val="1"/>
      <w:marLeft w:val="0"/>
      <w:marRight w:val="0"/>
      <w:marTop w:val="0"/>
      <w:marBottom w:val="0"/>
      <w:divBdr>
        <w:top w:val="none" w:sz="0" w:space="0" w:color="auto"/>
        <w:left w:val="none" w:sz="0" w:space="0" w:color="auto"/>
        <w:bottom w:val="none" w:sz="0" w:space="0" w:color="auto"/>
        <w:right w:val="none" w:sz="0" w:space="0" w:color="auto"/>
      </w:divBdr>
    </w:div>
    <w:div w:id="1617592283">
      <w:bodyDiv w:val="1"/>
      <w:marLeft w:val="0"/>
      <w:marRight w:val="0"/>
      <w:marTop w:val="0"/>
      <w:marBottom w:val="0"/>
      <w:divBdr>
        <w:top w:val="none" w:sz="0" w:space="0" w:color="auto"/>
        <w:left w:val="none" w:sz="0" w:space="0" w:color="auto"/>
        <w:bottom w:val="none" w:sz="0" w:space="0" w:color="auto"/>
        <w:right w:val="none" w:sz="0" w:space="0" w:color="auto"/>
      </w:divBdr>
      <w:divsChild>
        <w:div w:id="827869562">
          <w:marLeft w:val="0"/>
          <w:marRight w:val="0"/>
          <w:marTop w:val="0"/>
          <w:marBottom w:val="0"/>
          <w:divBdr>
            <w:top w:val="none" w:sz="0" w:space="0" w:color="auto"/>
            <w:left w:val="none" w:sz="0" w:space="0" w:color="auto"/>
            <w:bottom w:val="none" w:sz="0" w:space="0" w:color="auto"/>
            <w:right w:val="none" w:sz="0" w:space="0" w:color="auto"/>
          </w:divBdr>
          <w:divsChild>
            <w:div w:id="680665759">
              <w:marLeft w:val="0"/>
              <w:marRight w:val="0"/>
              <w:marTop w:val="0"/>
              <w:marBottom w:val="0"/>
              <w:divBdr>
                <w:top w:val="none" w:sz="0" w:space="0" w:color="auto"/>
                <w:left w:val="none" w:sz="0" w:space="0" w:color="auto"/>
                <w:bottom w:val="none" w:sz="0" w:space="0" w:color="auto"/>
                <w:right w:val="none" w:sz="0" w:space="0" w:color="auto"/>
              </w:divBdr>
              <w:divsChild>
                <w:div w:id="176699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775907">
      <w:bodyDiv w:val="1"/>
      <w:marLeft w:val="0"/>
      <w:marRight w:val="0"/>
      <w:marTop w:val="0"/>
      <w:marBottom w:val="0"/>
      <w:divBdr>
        <w:top w:val="none" w:sz="0" w:space="0" w:color="auto"/>
        <w:left w:val="none" w:sz="0" w:space="0" w:color="auto"/>
        <w:bottom w:val="none" w:sz="0" w:space="0" w:color="auto"/>
        <w:right w:val="none" w:sz="0" w:space="0" w:color="auto"/>
      </w:divBdr>
      <w:divsChild>
        <w:div w:id="412093617">
          <w:marLeft w:val="0"/>
          <w:marRight w:val="0"/>
          <w:marTop w:val="0"/>
          <w:marBottom w:val="0"/>
          <w:divBdr>
            <w:top w:val="none" w:sz="0" w:space="0" w:color="auto"/>
            <w:left w:val="none" w:sz="0" w:space="0" w:color="auto"/>
            <w:bottom w:val="none" w:sz="0" w:space="0" w:color="auto"/>
            <w:right w:val="none" w:sz="0" w:space="0" w:color="auto"/>
          </w:divBdr>
          <w:divsChild>
            <w:div w:id="984436178">
              <w:marLeft w:val="0"/>
              <w:marRight w:val="0"/>
              <w:marTop w:val="0"/>
              <w:marBottom w:val="0"/>
              <w:divBdr>
                <w:top w:val="none" w:sz="0" w:space="0" w:color="auto"/>
                <w:left w:val="none" w:sz="0" w:space="0" w:color="auto"/>
                <w:bottom w:val="none" w:sz="0" w:space="0" w:color="auto"/>
                <w:right w:val="none" w:sz="0" w:space="0" w:color="auto"/>
              </w:divBdr>
              <w:divsChild>
                <w:div w:id="126464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848028">
      <w:bodyDiv w:val="1"/>
      <w:marLeft w:val="0"/>
      <w:marRight w:val="0"/>
      <w:marTop w:val="0"/>
      <w:marBottom w:val="0"/>
      <w:divBdr>
        <w:top w:val="none" w:sz="0" w:space="0" w:color="auto"/>
        <w:left w:val="none" w:sz="0" w:space="0" w:color="auto"/>
        <w:bottom w:val="none" w:sz="0" w:space="0" w:color="auto"/>
        <w:right w:val="none" w:sz="0" w:space="0" w:color="auto"/>
      </w:divBdr>
      <w:divsChild>
        <w:div w:id="395132278">
          <w:marLeft w:val="0"/>
          <w:marRight w:val="0"/>
          <w:marTop w:val="0"/>
          <w:marBottom w:val="0"/>
          <w:divBdr>
            <w:top w:val="none" w:sz="0" w:space="0" w:color="auto"/>
            <w:left w:val="none" w:sz="0" w:space="0" w:color="auto"/>
            <w:bottom w:val="none" w:sz="0" w:space="0" w:color="auto"/>
            <w:right w:val="none" w:sz="0" w:space="0" w:color="auto"/>
          </w:divBdr>
          <w:divsChild>
            <w:div w:id="1271158257">
              <w:marLeft w:val="0"/>
              <w:marRight w:val="0"/>
              <w:marTop w:val="0"/>
              <w:marBottom w:val="0"/>
              <w:divBdr>
                <w:top w:val="none" w:sz="0" w:space="0" w:color="auto"/>
                <w:left w:val="none" w:sz="0" w:space="0" w:color="auto"/>
                <w:bottom w:val="none" w:sz="0" w:space="0" w:color="auto"/>
                <w:right w:val="none" w:sz="0" w:space="0" w:color="auto"/>
              </w:divBdr>
              <w:divsChild>
                <w:div w:id="545068696">
                  <w:marLeft w:val="0"/>
                  <w:marRight w:val="0"/>
                  <w:marTop w:val="0"/>
                  <w:marBottom w:val="0"/>
                  <w:divBdr>
                    <w:top w:val="none" w:sz="0" w:space="0" w:color="auto"/>
                    <w:left w:val="none" w:sz="0" w:space="0" w:color="auto"/>
                    <w:bottom w:val="none" w:sz="0" w:space="0" w:color="auto"/>
                    <w:right w:val="none" w:sz="0" w:space="0" w:color="auto"/>
                  </w:divBdr>
                  <w:divsChild>
                    <w:div w:id="483159174">
                      <w:marLeft w:val="0"/>
                      <w:marRight w:val="0"/>
                      <w:marTop w:val="0"/>
                      <w:marBottom w:val="0"/>
                      <w:divBdr>
                        <w:top w:val="none" w:sz="0" w:space="0" w:color="auto"/>
                        <w:left w:val="none" w:sz="0" w:space="0" w:color="auto"/>
                        <w:bottom w:val="none" w:sz="0" w:space="0" w:color="auto"/>
                        <w:right w:val="none" w:sz="0" w:space="0" w:color="auto"/>
                      </w:divBdr>
                      <w:divsChild>
                        <w:div w:id="9259060">
                          <w:marLeft w:val="0"/>
                          <w:marRight w:val="0"/>
                          <w:marTop w:val="0"/>
                          <w:marBottom w:val="0"/>
                          <w:divBdr>
                            <w:top w:val="none" w:sz="0" w:space="0" w:color="auto"/>
                            <w:left w:val="none" w:sz="0" w:space="0" w:color="auto"/>
                            <w:bottom w:val="none" w:sz="0" w:space="0" w:color="auto"/>
                            <w:right w:val="none" w:sz="0" w:space="0" w:color="auto"/>
                          </w:divBdr>
                          <w:divsChild>
                            <w:div w:id="1187056340">
                              <w:marLeft w:val="0"/>
                              <w:marRight w:val="0"/>
                              <w:marTop w:val="0"/>
                              <w:marBottom w:val="0"/>
                              <w:divBdr>
                                <w:top w:val="none" w:sz="0" w:space="0" w:color="auto"/>
                                <w:left w:val="none" w:sz="0" w:space="0" w:color="auto"/>
                                <w:bottom w:val="none" w:sz="0" w:space="0" w:color="auto"/>
                                <w:right w:val="none" w:sz="0" w:space="0" w:color="auto"/>
                              </w:divBdr>
                              <w:divsChild>
                                <w:div w:id="2035839199">
                                  <w:marLeft w:val="0"/>
                                  <w:marRight w:val="0"/>
                                  <w:marTop w:val="0"/>
                                  <w:marBottom w:val="0"/>
                                  <w:divBdr>
                                    <w:top w:val="none" w:sz="0" w:space="0" w:color="auto"/>
                                    <w:left w:val="none" w:sz="0" w:space="0" w:color="auto"/>
                                    <w:bottom w:val="none" w:sz="0" w:space="0" w:color="auto"/>
                                    <w:right w:val="none" w:sz="0" w:space="0" w:color="auto"/>
                                  </w:divBdr>
                                  <w:divsChild>
                                    <w:div w:id="1255894974">
                                      <w:marLeft w:val="0"/>
                                      <w:marRight w:val="0"/>
                                      <w:marTop w:val="0"/>
                                      <w:marBottom w:val="0"/>
                                      <w:divBdr>
                                        <w:top w:val="none" w:sz="0" w:space="0" w:color="auto"/>
                                        <w:left w:val="none" w:sz="0" w:space="0" w:color="auto"/>
                                        <w:bottom w:val="none" w:sz="0" w:space="0" w:color="auto"/>
                                        <w:right w:val="none" w:sz="0" w:space="0" w:color="auto"/>
                                      </w:divBdr>
                                      <w:divsChild>
                                        <w:div w:id="16933413">
                                          <w:marLeft w:val="0"/>
                                          <w:marRight w:val="0"/>
                                          <w:marTop w:val="0"/>
                                          <w:marBottom w:val="0"/>
                                          <w:divBdr>
                                            <w:top w:val="none" w:sz="0" w:space="0" w:color="auto"/>
                                            <w:left w:val="none" w:sz="0" w:space="0" w:color="auto"/>
                                            <w:bottom w:val="none" w:sz="0" w:space="0" w:color="auto"/>
                                            <w:right w:val="none" w:sz="0" w:space="0" w:color="auto"/>
                                          </w:divBdr>
                                          <w:divsChild>
                                            <w:div w:id="533076133">
                                              <w:marLeft w:val="0"/>
                                              <w:marRight w:val="0"/>
                                              <w:marTop w:val="0"/>
                                              <w:marBottom w:val="0"/>
                                              <w:divBdr>
                                                <w:top w:val="none" w:sz="0" w:space="0" w:color="auto"/>
                                                <w:left w:val="none" w:sz="0" w:space="0" w:color="auto"/>
                                                <w:bottom w:val="none" w:sz="0" w:space="0" w:color="auto"/>
                                                <w:right w:val="none" w:sz="0" w:space="0" w:color="auto"/>
                                              </w:divBdr>
                                              <w:divsChild>
                                                <w:div w:id="288517842">
                                                  <w:marLeft w:val="0"/>
                                                  <w:marRight w:val="0"/>
                                                  <w:marTop w:val="0"/>
                                                  <w:marBottom w:val="0"/>
                                                  <w:divBdr>
                                                    <w:top w:val="none" w:sz="0" w:space="0" w:color="auto"/>
                                                    <w:left w:val="none" w:sz="0" w:space="0" w:color="auto"/>
                                                    <w:bottom w:val="none" w:sz="0" w:space="0" w:color="auto"/>
                                                    <w:right w:val="none" w:sz="0" w:space="0" w:color="auto"/>
                                                  </w:divBdr>
                                                  <w:divsChild>
                                                    <w:div w:id="88475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9512666">
                      <w:marLeft w:val="0"/>
                      <w:marRight w:val="0"/>
                      <w:marTop w:val="0"/>
                      <w:marBottom w:val="0"/>
                      <w:divBdr>
                        <w:top w:val="none" w:sz="0" w:space="0" w:color="auto"/>
                        <w:left w:val="none" w:sz="0" w:space="0" w:color="auto"/>
                        <w:bottom w:val="none" w:sz="0" w:space="0" w:color="auto"/>
                        <w:right w:val="none" w:sz="0" w:space="0" w:color="auto"/>
                      </w:divBdr>
                      <w:divsChild>
                        <w:div w:id="366025138">
                          <w:marLeft w:val="0"/>
                          <w:marRight w:val="0"/>
                          <w:marTop w:val="0"/>
                          <w:marBottom w:val="0"/>
                          <w:divBdr>
                            <w:top w:val="none" w:sz="0" w:space="0" w:color="auto"/>
                            <w:left w:val="none" w:sz="0" w:space="0" w:color="auto"/>
                            <w:bottom w:val="none" w:sz="0" w:space="0" w:color="auto"/>
                            <w:right w:val="none" w:sz="0" w:space="0" w:color="auto"/>
                          </w:divBdr>
                          <w:divsChild>
                            <w:div w:id="95055003">
                              <w:marLeft w:val="0"/>
                              <w:marRight w:val="0"/>
                              <w:marTop w:val="0"/>
                              <w:marBottom w:val="0"/>
                              <w:divBdr>
                                <w:top w:val="none" w:sz="0" w:space="0" w:color="auto"/>
                                <w:left w:val="none" w:sz="0" w:space="0" w:color="auto"/>
                                <w:bottom w:val="none" w:sz="0" w:space="0" w:color="auto"/>
                                <w:right w:val="none" w:sz="0" w:space="0" w:color="auto"/>
                              </w:divBdr>
                              <w:divsChild>
                                <w:div w:id="193686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1897031">
      <w:bodyDiv w:val="1"/>
      <w:marLeft w:val="0"/>
      <w:marRight w:val="0"/>
      <w:marTop w:val="0"/>
      <w:marBottom w:val="0"/>
      <w:divBdr>
        <w:top w:val="none" w:sz="0" w:space="0" w:color="auto"/>
        <w:left w:val="none" w:sz="0" w:space="0" w:color="auto"/>
        <w:bottom w:val="none" w:sz="0" w:space="0" w:color="auto"/>
        <w:right w:val="none" w:sz="0" w:space="0" w:color="auto"/>
      </w:divBdr>
      <w:divsChild>
        <w:div w:id="1673217145">
          <w:marLeft w:val="0"/>
          <w:marRight w:val="0"/>
          <w:marTop w:val="0"/>
          <w:marBottom w:val="0"/>
          <w:divBdr>
            <w:top w:val="none" w:sz="0" w:space="0" w:color="auto"/>
            <w:left w:val="none" w:sz="0" w:space="0" w:color="auto"/>
            <w:bottom w:val="none" w:sz="0" w:space="0" w:color="auto"/>
            <w:right w:val="none" w:sz="0" w:space="0" w:color="auto"/>
          </w:divBdr>
          <w:divsChild>
            <w:div w:id="1975210856">
              <w:marLeft w:val="0"/>
              <w:marRight w:val="0"/>
              <w:marTop w:val="0"/>
              <w:marBottom w:val="0"/>
              <w:divBdr>
                <w:top w:val="none" w:sz="0" w:space="0" w:color="auto"/>
                <w:left w:val="none" w:sz="0" w:space="0" w:color="auto"/>
                <w:bottom w:val="none" w:sz="0" w:space="0" w:color="auto"/>
                <w:right w:val="none" w:sz="0" w:space="0" w:color="auto"/>
              </w:divBdr>
              <w:divsChild>
                <w:div w:id="3231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713523">
      <w:bodyDiv w:val="1"/>
      <w:marLeft w:val="0"/>
      <w:marRight w:val="0"/>
      <w:marTop w:val="0"/>
      <w:marBottom w:val="0"/>
      <w:divBdr>
        <w:top w:val="none" w:sz="0" w:space="0" w:color="auto"/>
        <w:left w:val="none" w:sz="0" w:space="0" w:color="auto"/>
        <w:bottom w:val="none" w:sz="0" w:space="0" w:color="auto"/>
        <w:right w:val="none" w:sz="0" w:space="0" w:color="auto"/>
      </w:divBdr>
      <w:divsChild>
        <w:div w:id="636227928">
          <w:marLeft w:val="0"/>
          <w:marRight w:val="0"/>
          <w:marTop w:val="0"/>
          <w:marBottom w:val="0"/>
          <w:divBdr>
            <w:top w:val="none" w:sz="0" w:space="0" w:color="auto"/>
            <w:left w:val="none" w:sz="0" w:space="0" w:color="auto"/>
            <w:bottom w:val="none" w:sz="0" w:space="0" w:color="auto"/>
            <w:right w:val="none" w:sz="0" w:space="0" w:color="auto"/>
          </w:divBdr>
          <w:divsChild>
            <w:div w:id="695928890">
              <w:marLeft w:val="0"/>
              <w:marRight w:val="0"/>
              <w:marTop w:val="0"/>
              <w:marBottom w:val="0"/>
              <w:divBdr>
                <w:top w:val="none" w:sz="0" w:space="0" w:color="auto"/>
                <w:left w:val="none" w:sz="0" w:space="0" w:color="auto"/>
                <w:bottom w:val="none" w:sz="0" w:space="0" w:color="auto"/>
                <w:right w:val="none" w:sz="0" w:space="0" w:color="auto"/>
              </w:divBdr>
              <w:divsChild>
                <w:div w:id="42187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657122">
      <w:bodyDiv w:val="1"/>
      <w:marLeft w:val="0"/>
      <w:marRight w:val="0"/>
      <w:marTop w:val="0"/>
      <w:marBottom w:val="0"/>
      <w:divBdr>
        <w:top w:val="none" w:sz="0" w:space="0" w:color="auto"/>
        <w:left w:val="none" w:sz="0" w:space="0" w:color="auto"/>
        <w:bottom w:val="none" w:sz="0" w:space="0" w:color="auto"/>
        <w:right w:val="none" w:sz="0" w:space="0" w:color="auto"/>
      </w:divBdr>
      <w:divsChild>
        <w:div w:id="1787386052">
          <w:marLeft w:val="0"/>
          <w:marRight w:val="0"/>
          <w:marTop w:val="0"/>
          <w:marBottom w:val="0"/>
          <w:divBdr>
            <w:top w:val="none" w:sz="0" w:space="0" w:color="auto"/>
            <w:left w:val="none" w:sz="0" w:space="0" w:color="auto"/>
            <w:bottom w:val="none" w:sz="0" w:space="0" w:color="auto"/>
            <w:right w:val="none" w:sz="0" w:space="0" w:color="auto"/>
          </w:divBdr>
          <w:divsChild>
            <w:div w:id="283969566">
              <w:marLeft w:val="0"/>
              <w:marRight w:val="0"/>
              <w:marTop w:val="0"/>
              <w:marBottom w:val="0"/>
              <w:divBdr>
                <w:top w:val="none" w:sz="0" w:space="0" w:color="auto"/>
                <w:left w:val="none" w:sz="0" w:space="0" w:color="auto"/>
                <w:bottom w:val="none" w:sz="0" w:space="0" w:color="auto"/>
                <w:right w:val="none" w:sz="0" w:space="0" w:color="auto"/>
              </w:divBdr>
              <w:divsChild>
                <w:div w:id="176838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439370">
      <w:bodyDiv w:val="1"/>
      <w:marLeft w:val="0"/>
      <w:marRight w:val="0"/>
      <w:marTop w:val="0"/>
      <w:marBottom w:val="0"/>
      <w:divBdr>
        <w:top w:val="none" w:sz="0" w:space="0" w:color="auto"/>
        <w:left w:val="none" w:sz="0" w:space="0" w:color="auto"/>
        <w:bottom w:val="none" w:sz="0" w:space="0" w:color="auto"/>
        <w:right w:val="none" w:sz="0" w:space="0" w:color="auto"/>
      </w:divBdr>
    </w:div>
    <w:div w:id="1789661384">
      <w:bodyDiv w:val="1"/>
      <w:marLeft w:val="0"/>
      <w:marRight w:val="0"/>
      <w:marTop w:val="0"/>
      <w:marBottom w:val="0"/>
      <w:divBdr>
        <w:top w:val="none" w:sz="0" w:space="0" w:color="auto"/>
        <w:left w:val="none" w:sz="0" w:space="0" w:color="auto"/>
        <w:bottom w:val="none" w:sz="0" w:space="0" w:color="auto"/>
        <w:right w:val="none" w:sz="0" w:space="0" w:color="auto"/>
      </w:divBdr>
      <w:divsChild>
        <w:div w:id="1138492562">
          <w:marLeft w:val="0"/>
          <w:marRight w:val="0"/>
          <w:marTop w:val="0"/>
          <w:marBottom w:val="0"/>
          <w:divBdr>
            <w:top w:val="none" w:sz="0" w:space="0" w:color="auto"/>
            <w:left w:val="none" w:sz="0" w:space="0" w:color="auto"/>
            <w:bottom w:val="none" w:sz="0" w:space="0" w:color="auto"/>
            <w:right w:val="none" w:sz="0" w:space="0" w:color="auto"/>
          </w:divBdr>
          <w:divsChild>
            <w:div w:id="1908613865">
              <w:marLeft w:val="0"/>
              <w:marRight w:val="0"/>
              <w:marTop w:val="0"/>
              <w:marBottom w:val="0"/>
              <w:divBdr>
                <w:top w:val="none" w:sz="0" w:space="0" w:color="auto"/>
                <w:left w:val="none" w:sz="0" w:space="0" w:color="auto"/>
                <w:bottom w:val="none" w:sz="0" w:space="0" w:color="auto"/>
                <w:right w:val="none" w:sz="0" w:space="0" w:color="auto"/>
              </w:divBdr>
              <w:divsChild>
                <w:div w:id="122344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491796">
      <w:bodyDiv w:val="1"/>
      <w:marLeft w:val="0"/>
      <w:marRight w:val="0"/>
      <w:marTop w:val="0"/>
      <w:marBottom w:val="0"/>
      <w:divBdr>
        <w:top w:val="none" w:sz="0" w:space="0" w:color="auto"/>
        <w:left w:val="none" w:sz="0" w:space="0" w:color="auto"/>
        <w:bottom w:val="none" w:sz="0" w:space="0" w:color="auto"/>
        <w:right w:val="none" w:sz="0" w:space="0" w:color="auto"/>
      </w:divBdr>
    </w:div>
    <w:div w:id="1816530042">
      <w:bodyDiv w:val="1"/>
      <w:marLeft w:val="0"/>
      <w:marRight w:val="0"/>
      <w:marTop w:val="0"/>
      <w:marBottom w:val="0"/>
      <w:divBdr>
        <w:top w:val="none" w:sz="0" w:space="0" w:color="auto"/>
        <w:left w:val="none" w:sz="0" w:space="0" w:color="auto"/>
        <w:bottom w:val="none" w:sz="0" w:space="0" w:color="auto"/>
        <w:right w:val="none" w:sz="0" w:space="0" w:color="auto"/>
      </w:divBdr>
      <w:divsChild>
        <w:div w:id="911427085">
          <w:marLeft w:val="0"/>
          <w:marRight w:val="0"/>
          <w:marTop w:val="0"/>
          <w:marBottom w:val="0"/>
          <w:divBdr>
            <w:top w:val="none" w:sz="0" w:space="0" w:color="auto"/>
            <w:left w:val="none" w:sz="0" w:space="0" w:color="auto"/>
            <w:bottom w:val="none" w:sz="0" w:space="0" w:color="auto"/>
            <w:right w:val="none" w:sz="0" w:space="0" w:color="auto"/>
          </w:divBdr>
          <w:divsChild>
            <w:div w:id="1868254979">
              <w:marLeft w:val="0"/>
              <w:marRight w:val="0"/>
              <w:marTop w:val="0"/>
              <w:marBottom w:val="0"/>
              <w:divBdr>
                <w:top w:val="none" w:sz="0" w:space="0" w:color="auto"/>
                <w:left w:val="none" w:sz="0" w:space="0" w:color="auto"/>
                <w:bottom w:val="none" w:sz="0" w:space="0" w:color="auto"/>
                <w:right w:val="none" w:sz="0" w:space="0" w:color="auto"/>
              </w:divBdr>
              <w:divsChild>
                <w:div w:id="44423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3185">
      <w:bodyDiv w:val="1"/>
      <w:marLeft w:val="0"/>
      <w:marRight w:val="0"/>
      <w:marTop w:val="0"/>
      <w:marBottom w:val="0"/>
      <w:divBdr>
        <w:top w:val="none" w:sz="0" w:space="0" w:color="auto"/>
        <w:left w:val="none" w:sz="0" w:space="0" w:color="auto"/>
        <w:bottom w:val="none" w:sz="0" w:space="0" w:color="auto"/>
        <w:right w:val="none" w:sz="0" w:space="0" w:color="auto"/>
      </w:divBdr>
      <w:divsChild>
        <w:div w:id="1359701929">
          <w:marLeft w:val="0"/>
          <w:marRight w:val="0"/>
          <w:marTop w:val="0"/>
          <w:marBottom w:val="0"/>
          <w:divBdr>
            <w:top w:val="none" w:sz="0" w:space="0" w:color="auto"/>
            <w:left w:val="none" w:sz="0" w:space="0" w:color="auto"/>
            <w:bottom w:val="none" w:sz="0" w:space="0" w:color="auto"/>
            <w:right w:val="none" w:sz="0" w:space="0" w:color="auto"/>
          </w:divBdr>
          <w:divsChild>
            <w:div w:id="308367951">
              <w:marLeft w:val="0"/>
              <w:marRight w:val="0"/>
              <w:marTop w:val="0"/>
              <w:marBottom w:val="0"/>
              <w:divBdr>
                <w:top w:val="none" w:sz="0" w:space="0" w:color="auto"/>
                <w:left w:val="none" w:sz="0" w:space="0" w:color="auto"/>
                <w:bottom w:val="none" w:sz="0" w:space="0" w:color="auto"/>
                <w:right w:val="none" w:sz="0" w:space="0" w:color="auto"/>
              </w:divBdr>
              <w:divsChild>
                <w:div w:id="1396973113">
                  <w:marLeft w:val="0"/>
                  <w:marRight w:val="0"/>
                  <w:marTop w:val="0"/>
                  <w:marBottom w:val="0"/>
                  <w:divBdr>
                    <w:top w:val="none" w:sz="0" w:space="0" w:color="auto"/>
                    <w:left w:val="none" w:sz="0" w:space="0" w:color="auto"/>
                    <w:bottom w:val="none" w:sz="0" w:space="0" w:color="auto"/>
                    <w:right w:val="none" w:sz="0" w:space="0" w:color="auto"/>
                  </w:divBdr>
                  <w:divsChild>
                    <w:div w:id="66332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7263535">
      <w:bodyDiv w:val="1"/>
      <w:marLeft w:val="0"/>
      <w:marRight w:val="0"/>
      <w:marTop w:val="0"/>
      <w:marBottom w:val="0"/>
      <w:divBdr>
        <w:top w:val="none" w:sz="0" w:space="0" w:color="auto"/>
        <w:left w:val="none" w:sz="0" w:space="0" w:color="auto"/>
        <w:bottom w:val="none" w:sz="0" w:space="0" w:color="auto"/>
        <w:right w:val="none" w:sz="0" w:space="0" w:color="auto"/>
      </w:divBdr>
      <w:divsChild>
        <w:div w:id="1511988702">
          <w:marLeft w:val="0"/>
          <w:marRight w:val="0"/>
          <w:marTop w:val="0"/>
          <w:marBottom w:val="0"/>
          <w:divBdr>
            <w:top w:val="none" w:sz="0" w:space="0" w:color="auto"/>
            <w:left w:val="none" w:sz="0" w:space="0" w:color="auto"/>
            <w:bottom w:val="none" w:sz="0" w:space="0" w:color="auto"/>
            <w:right w:val="none" w:sz="0" w:space="0" w:color="auto"/>
          </w:divBdr>
          <w:divsChild>
            <w:div w:id="1483084113">
              <w:marLeft w:val="0"/>
              <w:marRight w:val="0"/>
              <w:marTop w:val="0"/>
              <w:marBottom w:val="0"/>
              <w:divBdr>
                <w:top w:val="none" w:sz="0" w:space="0" w:color="auto"/>
                <w:left w:val="none" w:sz="0" w:space="0" w:color="auto"/>
                <w:bottom w:val="none" w:sz="0" w:space="0" w:color="auto"/>
                <w:right w:val="none" w:sz="0" w:space="0" w:color="auto"/>
              </w:divBdr>
              <w:divsChild>
                <w:div w:id="90769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964790">
      <w:bodyDiv w:val="1"/>
      <w:marLeft w:val="0"/>
      <w:marRight w:val="0"/>
      <w:marTop w:val="0"/>
      <w:marBottom w:val="0"/>
      <w:divBdr>
        <w:top w:val="none" w:sz="0" w:space="0" w:color="auto"/>
        <w:left w:val="none" w:sz="0" w:space="0" w:color="auto"/>
        <w:bottom w:val="none" w:sz="0" w:space="0" w:color="auto"/>
        <w:right w:val="none" w:sz="0" w:space="0" w:color="auto"/>
      </w:divBdr>
      <w:divsChild>
        <w:div w:id="774789933">
          <w:marLeft w:val="0"/>
          <w:marRight w:val="0"/>
          <w:marTop w:val="0"/>
          <w:marBottom w:val="0"/>
          <w:divBdr>
            <w:top w:val="none" w:sz="0" w:space="0" w:color="auto"/>
            <w:left w:val="none" w:sz="0" w:space="0" w:color="auto"/>
            <w:bottom w:val="none" w:sz="0" w:space="0" w:color="auto"/>
            <w:right w:val="none" w:sz="0" w:space="0" w:color="auto"/>
          </w:divBdr>
          <w:divsChild>
            <w:div w:id="1232618158">
              <w:marLeft w:val="0"/>
              <w:marRight w:val="0"/>
              <w:marTop w:val="0"/>
              <w:marBottom w:val="0"/>
              <w:divBdr>
                <w:top w:val="none" w:sz="0" w:space="0" w:color="auto"/>
                <w:left w:val="none" w:sz="0" w:space="0" w:color="auto"/>
                <w:bottom w:val="none" w:sz="0" w:space="0" w:color="auto"/>
                <w:right w:val="none" w:sz="0" w:space="0" w:color="auto"/>
              </w:divBdr>
              <w:divsChild>
                <w:div w:id="55269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524542">
      <w:bodyDiv w:val="1"/>
      <w:marLeft w:val="0"/>
      <w:marRight w:val="0"/>
      <w:marTop w:val="0"/>
      <w:marBottom w:val="0"/>
      <w:divBdr>
        <w:top w:val="none" w:sz="0" w:space="0" w:color="auto"/>
        <w:left w:val="none" w:sz="0" w:space="0" w:color="auto"/>
        <w:bottom w:val="none" w:sz="0" w:space="0" w:color="auto"/>
        <w:right w:val="none" w:sz="0" w:space="0" w:color="auto"/>
      </w:divBdr>
      <w:divsChild>
        <w:div w:id="542980113">
          <w:marLeft w:val="0"/>
          <w:marRight w:val="0"/>
          <w:marTop w:val="0"/>
          <w:marBottom w:val="0"/>
          <w:divBdr>
            <w:top w:val="none" w:sz="0" w:space="0" w:color="auto"/>
            <w:left w:val="none" w:sz="0" w:space="0" w:color="auto"/>
            <w:bottom w:val="none" w:sz="0" w:space="0" w:color="auto"/>
            <w:right w:val="none" w:sz="0" w:space="0" w:color="auto"/>
          </w:divBdr>
          <w:divsChild>
            <w:div w:id="126026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720529">
      <w:bodyDiv w:val="1"/>
      <w:marLeft w:val="0"/>
      <w:marRight w:val="0"/>
      <w:marTop w:val="0"/>
      <w:marBottom w:val="0"/>
      <w:divBdr>
        <w:top w:val="none" w:sz="0" w:space="0" w:color="auto"/>
        <w:left w:val="none" w:sz="0" w:space="0" w:color="auto"/>
        <w:bottom w:val="none" w:sz="0" w:space="0" w:color="auto"/>
        <w:right w:val="none" w:sz="0" w:space="0" w:color="auto"/>
      </w:divBdr>
      <w:divsChild>
        <w:div w:id="58797109">
          <w:marLeft w:val="0"/>
          <w:marRight w:val="0"/>
          <w:marTop w:val="0"/>
          <w:marBottom w:val="0"/>
          <w:divBdr>
            <w:top w:val="none" w:sz="0" w:space="0" w:color="auto"/>
            <w:left w:val="none" w:sz="0" w:space="0" w:color="auto"/>
            <w:bottom w:val="none" w:sz="0" w:space="0" w:color="auto"/>
            <w:right w:val="none" w:sz="0" w:space="0" w:color="auto"/>
          </w:divBdr>
          <w:divsChild>
            <w:div w:id="2065715372">
              <w:marLeft w:val="0"/>
              <w:marRight w:val="0"/>
              <w:marTop w:val="0"/>
              <w:marBottom w:val="0"/>
              <w:divBdr>
                <w:top w:val="none" w:sz="0" w:space="0" w:color="auto"/>
                <w:left w:val="none" w:sz="0" w:space="0" w:color="auto"/>
                <w:bottom w:val="none" w:sz="0" w:space="0" w:color="auto"/>
                <w:right w:val="none" w:sz="0" w:space="0" w:color="auto"/>
              </w:divBdr>
              <w:divsChild>
                <w:div w:id="121905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697433">
      <w:bodyDiv w:val="1"/>
      <w:marLeft w:val="0"/>
      <w:marRight w:val="0"/>
      <w:marTop w:val="0"/>
      <w:marBottom w:val="0"/>
      <w:divBdr>
        <w:top w:val="none" w:sz="0" w:space="0" w:color="auto"/>
        <w:left w:val="none" w:sz="0" w:space="0" w:color="auto"/>
        <w:bottom w:val="none" w:sz="0" w:space="0" w:color="auto"/>
        <w:right w:val="none" w:sz="0" w:space="0" w:color="auto"/>
      </w:divBdr>
      <w:divsChild>
        <w:div w:id="1421098281">
          <w:marLeft w:val="0"/>
          <w:marRight w:val="0"/>
          <w:marTop w:val="0"/>
          <w:marBottom w:val="0"/>
          <w:divBdr>
            <w:top w:val="none" w:sz="0" w:space="0" w:color="auto"/>
            <w:left w:val="none" w:sz="0" w:space="0" w:color="auto"/>
            <w:bottom w:val="none" w:sz="0" w:space="0" w:color="auto"/>
            <w:right w:val="none" w:sz="0" w:space="0" w:color="auto"/>
          </w:divBdr>
          <w:divsChild>
            <w:div w:id="991249795">
              <w:marLeft w:val="0"/>
              <w:marRight w:val="0"/>
              <w:marTop w:val="0"/>
              <w:marBottom w:val="0"/>
              <w:divBdr>
                <w:top w:val="none" w:sz="0" w:space="0" w:color="auto"/>
                <w:left w:val="none" w:sz="0" w:space="0" w:color="auto"/>
                <w:bottom w:val="none" w:sz="0" w:space="0" w:color="auto"/>
                <w:right w:val="none" w:sz="0" w:space="0" w:color="auto"/>
              </w:divBdr>
              <w:divsChild>
                <w:div w:id="1161316582">
                  <w:marLeft w:val="0"/>
                  <w:marRight w:val="0"/>
                  <w:marTop w:val="0"/>
                  <w:marBottom w:val="0"/>
                  <w:divBdr>
                    <w:top w:val="none" w:sz="0" w:space="0" w:color="auto"/>
                    <w:left w:val="none" w:sz="0" w:space="0" w:color="auto"/>
                    <w:bottom w:val="none" w:sz="0" w:space="0" w:color="auto"/>
                    <w:right w:val="none" w:sz="0" w:space="0" w:color="auto"/>
                  </w:divBdr>
                  <w:divsChild>
                    <w:div w:id="121696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416050">
      <w:bodyDiv w:val="1"/>
      <w:marLeft w:val="0"/>
      <w:marRight w:val="0"/>
      <w:marTop w:val="0"/>
      <w:marBottom w:val="0"/>
      <w:divBdr>
        <w:top w:val="none" w:sz="0" w:space="0" w:color="auto"/>
        <w:left w:val="none" w:sz="0" w:space="0" w:color="auto"/>
        <w:bottom w:val="none" w:sz="0" w:space="0" w:color="auto"/>
        <w:right w:val="none" w:sz="0" w:space="0" w:color="auto"/>
      </w:divBdr>
      <w:divsChild>
        <w:div w:id="1063333471">
          <w:marLeft w:val="0"/>
          <w:marRight w:val="0"/>
          <w:marTop w:val="0"/>
          <w:marBottom w:val="0"/>
          <w:divBdr>
            <w:top w:val="none" w:sz="0" w:space="0" w:color="auto"/>
            <w:left w:val="none" w:sz="0" w:space="0" w:color="auto"/>
            <w:bottom w:val="none" w:sz="0" w:space="0" w:color="auto"/>
            <w:right w:val="none" w:sz="0" w:space="0" w:color="auto"/>
          </w:divBdr>
          <w:divsChild>
            <w:div w:id="1887640329">
              <w:marLeft w:val="0"/>
              <w:marRight w:val="0"/>
              <w:marTop w:val="0"/>
              <w:marBottom w:val="0"/>
              <w:divBdr>
                <w:top w:val="none" w:sz="0" w:space="0" w:color="auto"/>
                <w:left w:val="none" w:sz="0" w:space="0" w:color="auto"/>
                <w:bottom w:val="none" w:sz="0" w:space="0" w:color="auto"/>
                <w:right w:val="none" w:sz="0" w:space="0" w:color="auto"/>
              </w:divBdr>
              <w:divsChild>
                <w:div w:id="64725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960101">
      <w:bodyDiv w:val="1"/>
      <w:marLeft w:val="0"/>
      <w:marRight w:val="0"/>
      <w:marTop w:val="0"/>
      <w:marBottom w:val="0"/>
      <w:divBdr>
        <w:top w:val="none" w:sz="0" w:space="0" w:color="auto"/>
        <w:left w:val="none" w:sz="0" w:space="0" w:color="auto"/>
        <w:bottom w:val="none" w:sz="0" w:space="0" w:color="auto"/>
        <w:right w:val="none" w:sz="0" w:space="0" w:color="auto"/>
      </w:divBdr>
      <w:divsChild>
        <w:div w:id="1012412886">
          <w:marLeft w:val="0"/>
          <w:marRight w:val="0"/>
          <w:marTop w:val="0"/>
          <w:marBottom w:val="0"/>
          <w:divBdr>
            <w:top w:val="none" w:sz="0" w:space="0" w:color="auto"/>
            <w:left w:val="none" w:sz="0" w:space="0" w:color="auto"/>
            <w:bottom w:val="none" w:sz="0" w:space="0" w:color="auto"/>
            <w:right w:val="none" w:sz="0" w:space="0" w:color="auto"/>
          </w:divBdr>
          <w:divsChild>
            <w:div w:id="1438793374">
              <w:marLeft w:val="0"/>
              <w:marRight w:val="0"/>
              <w:marTop w:val="0"/>
              <w:marBottom w:val="0"/>
              <w:divBdr>
                <w:top w:val="none" w:sz="0" w:space="0" w:color="auto"/>
                <w:left w:val="none" w:sz="0" w:space="0" w:color="auto"/>
                <w:bottom w:val="none" w:sz="0" w:space="0" w:color="auto"/>
                <w:right w:val="none" w:sz="0" w:space="0" w:color="auto"/>
              </w:divBdr>
              <w:divsChild>
                <w:div w:id="120424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624241">
      <w:bodyDiv w:val="1"/>
      <w:marLeft w:val="0"/>
      <w:marRight w:val="0"/>
      <w:marTop w:val="0"/>
      <w:marBottom w:val="0"/>
      <w:divBdr>
        <w:top w:val="none" w:sz="0" w:space="0" w:color="auto"/>
        <w:left w:val="none" w:sz="0" w:space="0" w:color="auto"/>
        <w:bottom w:val="none" w:sz="0" w:space="0" w:color="auto"/>
        <w:right w:val="none" w:sz="0" w:space="0" w:color="auto"/>
      </w:divBdr>
      <w:divsChild>
        <w:div w:id="365833209">
          <w:marLeft w:val="0"/>
          <w:marRight w:val="0"/>
          <w:marTop w:val="0"/>
          <w:marBottom w:val="0"/>
          <w:divBdr>
            <w:top w:val="none" w:sz="0" w:space="0" w:color="auto"/>
            <w:left w:val="none" w:sz="0" w:space="0" w:color="auto"/>
            <w:bottom w:val="none" w:sz="0" w:space="0" w:color="auto"/>
            <w:right w:val="none" w:sz="0" w:space="0" w:color="auto"/>
          </w:divBdr>
          <w:divsChild>
            <w:div w:id="1383407602">
              <w:marLeft w:val="0"/>
              <w:marRight w:val="0"/>
              <w:marTop w:val="0"/>
              <w:marBottom w:val="0"/>
              <w:divBdr>
                <w:top w:val="none" w:sz="0" w:space="0" w:color="auto"/>
                <w:left w:val="none" w:sz="0" w:space="0" w:color="auto"/>
                <w:bottom w:val="none" w:sz="0" w:space="0" w:color="auto"/>
                <w:right w:val="none" w:sz="0" w:space="0" w:color="auto"/>
              </w:divBdr>
              <w:divsChild>
                <w:div w:id="205010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930725">
      <w:bodyDiv w:val="1"/>
      <w:marLeft w:val="0"/>
      <w:marRight w:val="0"/>
      <w:marTop w:val="0"/>
      <w:marBottom w:val="0"/>
      <w:divBdr>
        <w:top w:val="none" w:sz="0" w:space="0" w:color="auto"/>
        <w:left w:val="none" w:sz="0" w:space="0" w:color="auto"/>
        <w:bottom w:val="none" w:sz="0" w:space="0" w:color="auto"/>
        <w:right w:val="none" w:sz="0" w:space="0" w:color="auto"/>
      </w:divBdr>
      <w:divsChild>
        <w:div w:id="575897205">
          <w:marLeft w:val="0"/>
          <w:marRight w:val="0"/>
          <w:marTop w:val="0"/>
          <w:marBottom w:val="0"/>
          <w:divBdr>
            <w:top w:val="none" w:sz="0" w:space="0" w:color="auto"/>
            <w:left w:val="none" w:sz="0" w:space="0" w:color="auto"/>
            <w:bottom w:val="none" w:sz="0" w:space="0" w:color="auto"/>
            <w:right w:val="none" w:sz="0" w:space="0" w:color="auto"/>
          </w:divBdr>
          <w:divsChild>
            <w:div w:id="1758021124">
              <w:marLeft w:val="0"/>
              <w:marRight w:val="0"/>
              <w:marTop w:val="0"/>
              <w:marBottom w:val="0"/>
              <w:divBdr>
                <w:top w:val="none" w:sz="0" w:space="0" w:color="auto"/>
                <w:left w:val="none" w:sz="0" w:space="0" w:color="auto"/>
                <w:bottom w:val="none" w:sz="0" w:space="0" w:color="auto"/>
                <w:right w:val="none" w:sz="0" w:space="0" w:color="auto"/>
              </w:divBdr>
              <w:divsChild>
                <w:div w:id="1665013117">
                  <w:marLeft w:val="0"/>
                  <w:marRight w:val="0"/>
                  <w:marTop w:val="0"/>
                  <w:marBottom w:val="0"/>
                  <w:divBdr>
                    <w:top w:val="none" w:sz="0" w:space="0" w:color="auto"/>
                    <w:left w:val="none" w:sz="0" w:space="0" w:color="auto"/>
                    <w:bottom w:val="none" w:sz="0" w:space="0" w:color="auto"/>
                    <w:right w:val="none" w:sz="0" w:space="0" w:color="auto"/>
                  </w:divBdr>
                  <w:divsChild>
                    <w:div w:id="80820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276163">
      <w:bodyDiv w:val="1"/>
      <w:marLeft w:val="0"/>
      <w:marRight w:val="0"/>
      <w:marTop w:val="0"/>
      <w:marBottom w:val="0"/>
      <w:divBdr>
        <w:top w:val="none" w:sz="0" w:space="0" w:color="auto"/>
        <w:left w:val="none" w:sz="0" w:space="0" w:color="auto"/>
        <w:bottom w:val="none" w:sz="0" w:space="0" w:color="auto"/>
        <w:right w:val="none" w:sz="0" w:space="0" w:color="auto"/>
      </w:divBdr>
      <w:divsChild>
        <w:div w:id="1312561527">
          <w:marLeft w:val="0"/>
          <w:marRight w:val="0"/>
          <w:marTop w:val="0"/>
          <w:marBottom w:val="0"/>
          <w:divBdr>
            <w:top w:val="none" w:sz="0" w:space="0" w:color="auto"/>
            <w:left w:val="none" w:sz="0" w:space="0" w:color="auto"/>
            <w:bottom w:val="none" w:sz="0" w:space="0" w:color="auto"/>
            <w:right w:val="none" w:sz="0" w:space="0" w:color="auto"/>
          </w:divBdr>
          <w:divsChild>
            <w:div w:id="1403141450">
              <w:marLeft w:val="0"/>
              <w:marRight w:val="0"/>
              <w:marTop w:val="0"/>
              <w:marBottom w:val="0"/>
              <w:divBdr>
                <w:top w:val="none" w:sz="0" w:space="0" w:color="auto"/>
                <w:left w:val="none" w:sz="0" w:space="0" w:color="auto"/>
                <w:bottom w:val="none" w:sz="0" w:space="0" w:color="auto"/>
                <w:right w:val="none" w:sz="0" w:space="0" w:color="auto"/>
              </w:divBdr>
              <w:divsChild>
                <w:div w:id="26917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07781">
      <w:bodyDiv w:val="1"/>
      <w:marLeft w:val="0"/>
      <w:marRight w:val="0"/>
      <w:marTop w:val="0"/>
      <w:marBottom w:val="0"/>
      <w:divBdr>
        <w:top w:val="none" w:sz="0" w:space="0" w:color="auto"/>
        <w:left w:val="none" w:sz="0" w:space="0" w:color="auto"/>
        <w:bottom w:val="none" w:sz="0" w:space="0" w:color="auto"/>
        <w:right w:val="none" w:sz="0" w:space="0" w:color="auto"/>
      </w:divBdr>
      <w:divsChild>
        <w:div w:id="1174346450">
          <w:marLeft w:val="0"/>
          <w:marRight w:val="0"/>
          <w:marTop w:val="0"/>
          <w:marBottom w:val="0"/>
          <w:divBdr>
            <w:top w:val="none" w:sz="0" w:space="0" w:color="auto"/>
            <w:left w:val="none" w:sz="0" w:space="0" w:color="auto"/>
            <w:bottom w:val="none" w:sz="0" w:space="0" w:color="auto"/>
            <w:right w:val="none" w:sz="0" w:space="0" w:color="auto"/>
          </w:divBdr>
          <w:divsChild>
            <w:div w:id="752818383">
              <w:marLeft w:val="0"/>
              <w:marRight w:val="0"/>
              <w:marTop w:val="0"/>
              <w:marBottom w:val="0"/>
              <w:divBdr>
                <w:top w:val="none" w:sz="0" w:space="0" w:color="auto"/>
                <w:left w:val="none" w:sz="0" w:space="0" w:color="auto"/>
                <w:bottom w:val="none" w:sz="0" w:space="0" w:color="auto"/>
                <w:right w:val="none" w:sz="0" w:space="0" w:color="auto"/>
              </w:divBdr>
              <w:divsChild>
                <w:div w:id="9983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545852">
      <w:bodyDiv w:val="1"/>
      <w:marLeft w:val="0"/>
      <w:marRight w:val="0"/>
      <w:marTop w:val="0"/>
      <w:marBottom w:val="0"/>
      <w:divBdr>
        <w:top w:val="none" w:sz="0" w:space="0" w:color="auto"/>
        <w:left w:val="none" w:sz="0" w:space="0" w:color="auto"/>
        <w:bottom w:val="none" w:sz="0" w:space="0" w:color="auto"/>
        <w:right w:val="none" w:sz="0" w:space="0" w:color="auto"/>
      </w:divBdr>
      <w:divsChild>
        <w:div w:id="462892248">
          <w:marLeft w:val="0"/>
          <w:marRight w:val="0"/>
          <w:marTop w:val="0"/>
          <w:marBottom w:val="0"/>
          <w:divBdr>
            <w:top w:val="none" w:sz="0" w:space="0" w:color="auto"/>
            <w:left w:val="none" w:sz="0" w:space="0" w:color="auto"/>
            <w:bottom w:val="none" w:sz="0" w:space="0" w:color="auto"/>
            <w:right w:val="none" w:sz="0" w:space="0" w:color="auto"/>
          </w:divBdr>
          <w:divsChild>
            <w:div w:id="115410685">
              <w:marLeft w:val="0"/>
              <w:marRight w:val="0"/>
              <w:marTop w:val="0"/>
              <w:marBottom w:val="0"/>
              <w:divBdr>
                <w:top w:val="none" w:sz="0" w:space="0" w:color="auto"/>
                <w:left w:val="none" w:sz="0" w:space="0" w:color="auto"/>
                <w:bottom w:val="none" w:sz="0" w:space="0" w:color="auto"/>
                <w:right w:val="none" w:sz="0" w:space="0" w:color="auto"/>
              </w:divBdr>
              <w:divsChild>
                <w:div w:id="1480728181">
                  <w:marLeft w:val="0"/>
                  <w:marRight w:val="0"/>
                  <w:marTop w:val="0"/>
                  <w:marBottom w:val="0"/>
                  <w:divBdr>
                    <w:top w:val="none" w:sz="0" w:space="0" w:color="auto"/>
                    <w:left w:val="none" w:sz="0" w:space="0" w:color="auto"/>
                    <w:bottom w:val="none" w:sz="0" w:space="0" w:color="auto"/>
                    <w:right w:val="none" w:sz="0" w:space="0" w:color="auto"/>
                  </w:divBdr>
                  <w:divsChild>
                    <w:div w:id="205299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 w:id="2140028523">
      <w:bodyDiv w:val="1"/>
      <w:marLeft w:val="0"/>
      <w:marRight w:val="0"/>
      <w:marTop w:val="0"/>
      <w:marBottom w:val="0"/>
      <w:divBdr>
        <w:top w:val="none" w:sz="0" w:space="0" w:color="auto"/>
        <w:left w:val="none" w:sz="0" w:space="0" w:color="auto"/>
        <w:bottom w:val="none" w:sz="0" w:space="0" w:color="auto"/>
        <w:right w:val="none" w:sz="0" w:space="0" w:color="auto"/>
      </w:divBdr>
      <w:divsChild>
        <w:div w:id="1543054712">
          <w:marLeft w:val="0"/>
          <w:marRight w:val="0"/>
          <w:marTop w:val="0"/>
          <w:marBottom w:val="0"/>
          <w:divBdr>
            <w:top w:val="none" w:sz="0" w:space="0" w:color="auto"/>
            <w:left w:val="none" w:sz="0" w:space="0" w:color="auto"/>
            <w:bottom w:val="none" w:sz="0" w:space="0" w:color="auto"/>
            <w:right w:val="none" w:sz="0" w:space="0" w:color="auto"/>
          </w:divBdr>
          <w:divsChild>
            <w:div w:id="1353919146">
              <w:marLeft w:val="0"/>
              <w:marRight w:val="0"/>
              <w:marTop w:val="0"/>
              <w:marBottom w:val="0"/>
              <w:divBdr>
                <w:top w:val="none" w:sz="0" w:space="0" w:color="auto"/>
                <w:left w:val="none" w:sz="0" w:space="0" w:color="auto"/>
                <w:bottom w:val="none" w:sz="0" w:space="0" w:color="auto"/>
                <w:right w:val="none" w:sz="0" w:space="0" w:color="auto"/>
              </w:divBdr>
              <w:divsChild>
                <w:div w:id="14950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latoria.colombiacompra.gov.c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secretariasenado.gov.co/senado/basedoc/ley_0080_1993.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E0F32964D9B84EA054B84E5D4157A0" ma:contentTypeVersion="20" ma:contentTypeDescription="Create a new document." ma:contentTypeScope="" ma:versionID="2d11913c19decc3d479cc6872ae6112c">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be2487d1a4901a13ef6d3082403ba44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85dbaf-23eb-4e57-a637-93dcacc8b1a1">
      <Terms xmlns="http://schemas.microsoft.com/office/infopath/2007/PartnerControls"/>
    </lcf76f155ced4ddcb4097134ff3c332f>
    <TaxCatchAll xmlns="a6cb9e4b-f1d1-4245-83ec-6cad768d538a" xsi:nil="true"/>
    <No xmlns="9d85dbaf-23eb-4e57-a637-93dcacc8b1a1" xsi:nil="true"/>
    <_Flow_SignoffStatus xmlns="9d85dbaf-23eb-4e57-a637-93dcacc8b1a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542807-C5CC-478A-BA5F-6E7BF53C51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220A96D2-0D57-734B-8F88-57C3312C74A3}">
  <ds:schemaRefs>
    <ds:schemaRef ds:uri="http://schemas.openxmlformats.org/officeDocument/2006/bibliography"/>
  </ds:schemaRefs>
</ds:datastoreItem>
</file>

<file path=customXml/itemProps4.xml><?xml version="1.0" encoding="utf-8"?>
<ds:datastoreItem xmlns:ds="http://schemas.openxmlformats.org/officeDocument/2006/customXml" ds:itemID="{19B0637E-D058-473B-8FE7-AA861F69C7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41</Pages>
  <Words>14918</Words>
  <Characters>82051</Characters>
  <Application>Microsoft Office Word</Application>
  <DocSecurity>0</DocSecurity>
  <Lines>683</Lines>
  <Paragraphs>193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6</cp:revision>
  <cp:lastPrinted>2023-01-10T21:18:00Z</cp:lastPrinted>
  <dcterms:created xsi:type="dcterms:W3CDTF">2026-07-02T18:14:00Z</dcterms:created>
  <dcterms:modified xsi:type="dcterms:W3CDTF">2026-07-02T21:14:00Z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