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73BE" w14:textId="485C37D5" w:rsidR="009834E7" w:rsidRDefault="009834E7" w:rsidP="001A629E">
      <w:pPr>
        <w:spacing w:after="0" w:line="240" w:lineRule="auto"/>
        <w:rPr>
          <w:rFonts w:ascii="Verdana" w:eastAsia="Calibri" w:hAnsi="Verdana" w:cs="Arial"/>
          <w:b/>
          <w:bCs/>
          <w:lang w:val="es-ES_tradnl" w:eastAsia="es-ES"/>
        </w:rPr>
      </w:pPr>
      <w:bookmarkStart w:id="0" w:name="_Hlk143780582"/>
      <w:r w:rsidRPr="009834E7">
        <w:rPr>
          <w:rFonts w:ascii="Verdana" w:eastAsia="Calibri" w:hAnsi="Verdana" w:cs="Arial"/>
          <w:b/>
          <w:bCs/>
          <w:lang w:val="es-ES_tradnl" w:eastAsia="es-ES"/>
        </w:rPr>
        <w:t>INHABILIDADES E INCOMPATIBILIDADES – Límites a la capacidad – Régimen</w:t>
      </w:r>
    </w:p>
    <w:p w14:paraId="1380F8C6" w14:textId="77777777" w:rsidR="009834E7" w:rsidRDefault="009834E7" w:rsidP="001A629E">
      <w:pPr>
        <w:spacing w:after="0" w:line="240" w:lineRule="auto"/>
        <w:rPr>
          <w:rFonts w:ascii="Verdana" w:eastAsia="Calibri" w:hAnsi="Verdana" w:cs="Arial"/>
          <w:b/>
          <w:bCs/>
          <w:lang w:val="es-ES_tradnl" w:eastAsia="es-ES"/>
        </w:rPr>
      </w:pPr>
    </w:p>
    <w:p w14:paraId="1E2408A7" w14:textId="2EE14A81" w:rsidR="009834E7" w:rsidRPr="009834E7" w:rsidRDefault="009834E7" w:rsidP="009834E7">
      <w:pPr>
        <w:spacing w:after="120" w:line="240" w:lineRule="auto"/>
        <w:jc w:val="both"/>
        <w:rPr>
          <w:rFonts w:ascii="Verdana" w:eastAsia="Century Gothic" w:hAnsi="Verdana" w:cs="Century Gothic"/>
          <w:sz w:val="21"/>
          <w:szCs w:val="21"/>
        </w:rPr>
      </w:pPr>
      <w:r w:rsidRPr="009834E7">
        <w:rPr>
          <w:rFonts w:ascii="Verdana" w:eastAsia="Century Gothic" w:hAnsi="Verdana" w:cs="Century Gothic"/>
          <w:sz w:val="21"/>
          <w:szCs w:val="21"/>
        </w:rPr>
        <w:t xml:space="preserve">En la contratación estatal, la </w:t>
      </w:r>
      <w:r w:rsidRPr="009834E7">
        <w:rPr>
          <w:rFonts w:ascii="Verdana" w:eastAsia="Century Gothic" w:hAnsi="Verdana" w:cs="Century Gothic"/>
          <w:i/>
          <w:sz w:val="21"/>
          <w:szCs w:val="21"/>
        </w:rPr>
        <w:t>capacidad</w:t>
      </w:r>
      <w:r w:rsidRPr="009834E7">
        <w:rPr>
          <w:rFonts w:ascii="Verdana" w:eastAsia="Century Gothic" w:hAnsi="Verdana" w:cs="Century Gothic"/>
          <w:sz w:val="21"/>
          <w:szCs w:val="21"/>
        </w:rPr>
        <w:t xml:space="preserve"> también es un requisito de validez de los contratos, tanto en el régimen de las entidades sujetas al Estatuto General de Contratación de la Administración Pública como en el de las entidades exceptuadas de aquel. Si bien la regulación de la capacidad en el contrato de prestación de servicios se integra por varias disposiciones y exigencias especiales, se destaca el régimen de inhabilidades e incompatibilidades como un conjunto de normas que imponen restricciones para los sujetos que, eventualmente, pretendan participar en los procedimientos de selección o celebrar contratos con las entidades estatales. </w:t>
      </w:r>
    </w:p>
    <w:p w14:paraId="568A9932" w14:textId="76DA6A34" w:rsidR="009834E7" w:rsidRPr="009834E7" w:rsidRDefault="009834E7" w:rsidP="009834E7">
      <w:pPr>
        <w:spacing w:after="0" w:line="240" w:lineRule="auto"/>
        <w:jc w:val="both"/>
        <w:rPr>
          <w:rFonts w:ascii="Verdana" w:eastAsia="Century Gothic" w:hAnsi="Verdana" w:cs="Century Gothic"/>
          <w:sz w:val="21"/>
          <w:szCs w:val="21"/>
        </w:rPr>
      </w:pPr>
      <w:r w:rsidRPr="009834E7">
        <w:rPr>
          <w:rFonts w:ascii="Verdana" w:eastAsia="Century Gothic" w:hAnsi="Verdana" w:cs="Century Gothic"/>
          <w:sz w:val="21"/>
          <w:szCs w:val="21"/>
        </w:rPr>
        <w:t xml:space="preserve">Las inhabilidades son prohibiciones para concurrir a los procedimientos de selección y para contratar con el Estado, que se derivan i) de la existencia de comportamientos reprochables o de sanciones anteriormente impuestas, </w:t>
      </w:r>
      <w:proofErr w:type="spellStart"/>
      <w:r w:rsidRPr="009834E7">
        <w:rPr>
          <w:rFonts w:ascii="Verdana" w:eastAsia="Century Gothic" w:hAnsi="Verdana" w:cs="Century Gothic"/>
          <w:sz w:val="21"/>
          <w:szCs w:val="21"/>
        </w:rPr>
        <w:t>ii</w:t>
      </w:r>
      <w:proofErr w:type="spellEnd"/>
      <w:r w:rsidRPr="009834E7">
        <w:rPr>
          <w:rFonts w:ascii="Verdana" w:eastAsia="Century Gothic" w:hAnsi="Verdana" w:cs="Century Gothic"/>
          <w:sz w:val="21"/>
          <w:szCs w:val="21"/>
        </w:rPr>
        <w:t xml:space="preserve">) de vinculaos personales relativos al parentesco o al estado civil o </w:t>
      </w:r>
      <w:proofErr w:type="spellStart"/>
      <w:r w:rsidRPr="009834E7">
        <w:rPr>
          <w:rFonts w:ascii="Verdana" w:eastAsia="Century Gothic" w:hAnsi="Verdana" w:cs="Century Gothic"/>
          <w:sz w:val="21"/>
          <w:szCs w:val="21"/>
        </w:rPr>
        <w:t>iii</w:t>
      </w:r>
      <w:proofErr w:type="spellEnd"/>
      <w:r w:rsidRPr="009834E7">
        <w:rPr>
          <w:rFonts w:ascii="Verdana" w:eastAsia="Century Gothic" w:hAnsi="Verdana" w:cs="Century Gothic"/>
          <w:sz w:val="21"/>
          <w:szCs w:val="21"/>
        </w:rPr>
        <w:t xml:space="preserve">) de una actividad u oficio que se desempeñó en el pasado. De otro lado, las incompatibilidades son prohibiciones para participar en los procedimientos de selección y para celebrar contratos estatales, fundadas en la presencia de una calidad que ostenta el sujeto interesado en realizar alguna de dichas actividades, que no pueden coexistir con su calidad de proponente o contratista del Estado. </w:t>
      </w:r>
    </w:p>
    <w:p w14:paraId="031FEFAF" w14:textId="77777777" w:rsidR="009834E7" w:rsidRPr="009834E7" w:rsidRDefault="009834E7" w:rsidP="009834E7">
      <w:pPr>
        <w:spacing w:after="0" w:line="240" w:lineRule="auto"/>
        <w:rPr>
          <w:rFonts w:ascii="Verdana" w:eastAsia="Geomanist Light" w:hAnsi="Verdana" w:cs="Arial"/>
          <w:b/>
          <w:bCs/>
          <w:color w:val="000000" w:themeColor="text1"/>
          <w:lang w:val="es-MX"/>
        </w:rPr>
      </w:pPr>
    </w:p>
    <w:p w14:paraId="6590B550" w14:textId="5412EABC" w:rsidR="009834E7" w:rsidRPr="009834E7" w:rsidRDefault="009834E7" w:rsidP="009834E7">
      <w:pPr>
        <w:spacing w:after="0" w:line="240" w:lineRule="auto"/>
        <w:jc w:val="both"/>
        <w:rPr>
          <w:rFonts w:ascii="Verdana" w:eastAsia="Geomanist Light" w:hAnsi="Verdana" w:cs="Arial"/>
          <w:b/>
          <w:bCs/>
          <w:color w:val="000000" w:themeColor="text1"/>
          <w:lang w:val="es-MX"/>
        </w:rPr>
      </w:pPr>
      <w:r w:rsidRPr="009834E7">
        <w:rPr>
          <w:rFonts w:ascii="Verdana" w:eastAsia="Calibri" w:hAnsi="Verdana" w:cs="Arial"/>
          <w:b/>
          <w:bCs/>
          <w:lang w:val="es-ES_tradnl" w:eastAsia="es-ES"/>
        </w:rPr>
        <w:t xml:space="preserve">INHABILIDADES E INCOMPATIBILIDADES – Concepto </w:t>
      </w:r>
      <w:r w:rsidR="000D19F7" w:rsidRPr="000D19F7">
        <w:rPr>
          <w:rFonts w:ascii="Verdana" w:eastAsia="Calibri" w:hAnsi="Verdana" w:cs="Arial"/>
          <w:b/>
          <w:bCs/>
          <w:lang w:val="es-ES" w:eastAsia="es-ES"/>
        </w:rPr>
        <w:t>–</w:t>
      </w:r>
      <w:r w:rsidRPr="009834E7">
        <w:rPr>
          <w:rFonts w:ascii="Verdana" w:eastAsia="Calibri" w:hAnsi="Verdana" w:cs="Arial"/>
          <w:b/>
          <w:bCs/>
          <w:lang w:val="es-ES_tradnl" w:eastAsia="es-ES"/>
        </w:rPr>
        <w:t xml:space="preserve"> INHABILIDADES E INCOMPATIBILIDADES – Interpretación restrictiva</w:t>
      </w:r>
    </w:p>
    <w:p w14:paraId="47936CE7" w14:textId="77777777" w:rsidR="009834E7" w:rsidRDefault="009834E7" w:rsidP="001A629E">
      <w:pPr>
        <w:spacing w:after="0" w:line="240" w:lineRule="auto"/>
        <w:rPr>
          <w:rFonts w:ascii="Verdana" w:eastAsia="Geomanist Light" w:hAnsi="Verdana" w:cs="Arial"/>
          <w:color w:val="000000" w:themeColor="text1"/>
          <w:lang w:val="es-MX"/>
        </w:rPr>
      </w:pPr>
    </w:p>
    <w:p w14:paraId="02A1356E" w14:textId="64CEF657" w:rsidR="009834E7" w:rsidRPr="009834E7" w:rsidRDefault="009834E7" w:rsidP="009834E7">
      <w:pPr>
        <w:spacing w:after="120" w:line="240" w:lineRule="auto"/>
        <w:jc w:val="both"/>
        <w:rPr>
          <w:rFonts w:ascii="Verdana" w:eastAsia="Century Gothic" w:hAnsi="Verdana" w:cs="Century Gothic"/>
          <w:sz w:val="21"/>
          <w:szCs w:val="21"/>
        </w:rPr>
      </w:pPr>
      <w:r w:rsidRPr="009834E7">
        <w:rPr>
          <w:rFonts w:ascii="Verdana" w:eastAsia="Century Gothic" w:hAnsi="Verdana" w:cs="Century Gothic"/>
          <w:sz w:val="21"/>
          <w:szCs w:val="21"/>
        </w:rPr>
        <w:t>Ahora bien, las inhabilidades e incompatibilidades - como ya se dijo – al ser restricciones o limites especiales a la capacidad para presentar ofertas y celebrar contratos estatales solo pueden tipificarse en la ley – ósea, deben satisfacer el principio de legalidad – y su interpretación debe ser restrictiva. En efecto,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Tal ha sido la postura al interior de la jurisprudencia, tanto de la Corte Constitucional como de la Sección Tercera del Consejo de Estado.</w:t>
      </w:r>
    </w:p>
    <w:p w14:paraId="231DFBB4" w14:textId="72CD58E5" w:rsidR="009834E7" w:rsidRPr="009834E7" w:rsidRDefault="009834E7" w:rsidP="009834E7">
      <w:pPr>
        <w:spacing w:after="0" w:line="240" w:lineRule="auto"/>
        <w:jc w:val="both"/>
        <w:rPr>
          <w:rFonts w:ascii="Verdana" w:eastAsia="Geomanist Light" w:hAnsi="Verdana" w:cs="Arial"/>
          <w:color w:val="000000" w:themeColor="text1"/>
          <w:sz w:val="21"/>
          <w:szCs w:val="21"/>
          <w:lang w:val="es-MX"/>
        </w:rPr>
      </w:pPr>
      <w:r w:rsidRPr="009834E7">
        <w:rPr>
          <w:rFonts w:ascii="Verdana" w:eastAsia="Calibri" w:hAnsi="Verdana" w:cs="Arial"/>
          <w:color w:val="000000" w:themeColor="text1"/>
          <w:sz w:val="21"/>
          <w:szCs w:val="21"/>
          <w:lang w:val="es-ES_tradnl"/>
        </w:rPr>
        <w:t xml:space="preserve">En efecto, el máximo tribunal constitucional ha indicado que, al tratar de precisar el sentido de este tipo de normas, “[…] el intérprete de las disposiciones legislativas en la materia ha de ceñirse en la mayor medida posible al tenor literal y gramatical de los enunciados normativos, sin que pueda acudir </w:t>
      </w:r>
      <w:r w:rsidRPr="009834E7">
        <w:rPr>
          <w:rFonts w:ascii="Verdana" w:eastAsia="Calibri" w:hAnsi="Verdana" w:cs="Arial"/>
          <w:i/>
          <w:iCs/>
          <w:color w:val="000000" w:themeColor="text1"/>
          <w:sz w:val="21"/>
          <w:szCs w:val="21"/>
          <w:lang w:val="es-ES_tradnl"/>
        </w:rPr>
        <w:t>prima facie</w:t>
      </w:r>
      <w:r w:rsidRPr="009834E7">
        <w:rPr>
          <w:rFonts w:ascii="Verdana" w:eastAsia="Calibri" w:hAnsi="Verdana" w:cs="Arial"/>
          <w:color w:val="000000" w:themeColor="text1"/>
          <w:sz w:val="21"/>
          <w:szCs w:val="21"/>
          <w:lang w:val="es-ES_tradnl"/>
        </w:rPr>
        <w:t xml:space="preserve"> a criterios interpretativos tales como la analogía, la interpretación extensiva para ampliar el alcance de las causales legalmente fijadas”. Por su parte, el Consejo de Estado ha acogido también este criterio, considerando –como expresa la Sala de Consulta y Servicio Civil–, que “La interpretación restrictiva de las normas que establecen </w:t>
      </w:r>
      <w:r w:rsidRPr="009834E7">
        <w:rPr>
          <w:rFonts w:ascii="Verdana" w:eastAsia="Calibri" w:hAnsi="Verdana" w:cs="Arial"/>
          <w:color w:val="000000" w:themeColor="text1"/>
          <w:sz w:val="21"/>
          <w:szCs w:val="21"/>
          <w:lang w:val="es-ES_tradnl"/>
        </w:rPr>
        <w:lastRenderedPageBreak/>
        <w:t>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p>
    <w:p w14:paraId="5A3CF42D" w14:textId="77777777" w:rsidR="009834E7" w:rsidRDefault="009834E7" w:rsidP="001A629E">
      <w:pPr>
        <w:spacing w:after="0" w:line="240" w:lineRule="auto"/>
        <w:rPr>
          <w:rFonts w:ascii="Verdana" w:eastAsia="Geomanist Light" w:hAnsi="Verdana" w:cs="Arial"/>
          <w:color w:val="000000" w:themeColor="text1"/>
          <w:lang w:val="es-MX"/>
        </w:rPr>
      </w:pPr>
    </w:p>
    <w:p w14:paraId="787890A7" w14:textId="63FDD3CD" w:rsidR="009834E7" w:rsidRPr="009834E7" w:rsidRDefault="009834E7" w:rsidP="009834E7">
      <w:pPr>
        <w:jc w:val="both"/>
        <w:rPr>
          <w:rFonts w:ascii="Verdana" w:eastAsia="Calibri" w:hAnsi="Verdana" w:cs="Arial"/>
          <w:b/>
          <w:bCs/>
          <w:color w:val="000000"/>
          <w:kern w:val="2"/>
          <w14:ligatures w14:val="standardContextual"/>
        </w:rPr>
      </w:pPr>
      <w:r w:rsidRPr="009834E7">
        <w:rPr>
          <w:rFonts w:ascii="Verdana" w:eastAsia="Calibri" w:hAnsi="Verdana" w:cs="Arial"/>
          <w:b/>
          <w:bCs/>
          <w:lang w:val="es-ES_tradnl" w:eastAsia="es-ES"/>
        </w:rPr>
        <w:t xml:space="preserve">CONTRATO DE PRESTACIÓN DE SERVICIOS – Simultaneidad – Ausencia de Inhabilidad e incompatibilidad </w:t>
      </w:r>
      <w:r w:rsidR="000D19F7" w:rsidRPr="000D19F7">
        <w:rPr>
          <w:rFonts w:ascii="Verdana" w:eastAsia="Calibri" w:hAnsi="Verdana" w:cs="Arial"/>
          <w:b/>
          <w:bCs/>
          <w:lang w:val="es-ES" w:eastAsia="es-ES"/>
        </w:rPr>
        <w:t>–</w:t>
      </w:r>
      <w:r w:rsidRPr="009834E7">
        <w:rPr>
          <w:rFonts w:ascii="Verdana" w:eastAsia="Calibri" w:hAnsi="Verdana" w:cs="Arial"/>
          <w:b/>
          <w:bCs/>
          <w:lang w:val="es-ES_tradnl" w:eastAsia="es-ES"/>
        </w:rPr>
        <w:t xml:space="preserve"> CONFLICTO DE INTERESES – Verificación </w:t>
      </w:r>
      <w:r w:rsidR="000D19F7" w:rsidRPr="000D19F7">
        <w:rPr>
          <w:rFonts w:ascii="Verdana" w:eastAsia="Calibri" w:hAnsi="Verdana" w:cs="Arial"/>
          <w:b/>
          <w:bCs/>
          <w:lang w:val="es-ES" w:eastAsia="es-ES"/>
        </w:rPr>
        <w:t>–</w:t>
      </w:r>
      <w:r w:rsidRPr="009834E7">
        <w:rPr>
          <w:rFonts w:ascii="Verdana" w:eastAsia="Calibri" w:hAnsi="Verdana" w:cs="Arial"/>
          <w:b/>
          <w:bCs/>
          <w:lang w:val="es-ES_tradnl" w:eastAsia="es-ES"/>
        </w:rPr>
        <w:t xml:space="preserve"> Tipicidad</w:t>
      </w:r>
    </w:p>
    <w:p w14:paraId="5F716765" w14:textId="55279374" w:rsidR="009834E7" w:rsidRPr="009834E7" w:rsidRDefault="009834E7" w:rsidP="009834E7">
      <w:pPr>
        <w:spacing w:after="0" w:line="240" w:lineRule="auto"/>
        <w:jc w:val="both"/>
        <w:rPr>
          <w:rFonts w:ascii="Verdana" w:eastAsia="Geomanist Light" w:hAnsi="Verdana" w:cs="Arial"/>
          <w:color w:val="000000" w:themeColor="text1"/>
          <w:sz w:val="21"/>
          <w:szCs w:val="21"/>
          <w:lang w:val="es-MX"/>
        </w:rPr>
      </w:pPr>
      <w:r w:rsidRPr="009834E7">
        <w:rPr>
          <w:rFonts w:ascii="Verdana" w:hAnsi="Verdana"/>
          <w:sz w:val="21"/>
          <w:szCs w:val="21"/>
        </w:rPr>
        <w:t>Ahora bien, para determinar el alcance de la expresión “sector” debe tenerse en cuenta que la autonomía de las entidades territoriales para definir su estructura administrativa no es absoluta, sino que debe armonizarse con la potestad de configuración legislativa y con el carácter unitario del Estado. En consecuencia, si conforme a las disposiciones departamentales o municipales la entidad con la cual pretende contratar el exservidor público, la sociedad de la que haga parte o sus parientes en primer grado de consanguinidad, primero de afinidad o primero civil, integra el mismo sector administrativo en el que aquel desempeñó funciones directivas, se configurará la incompatibilidad prevista en el literal f) del numeral 2 del artículo 8 de la Ley 80 de 1993, durante los dos (2) años siguientes a la terminación de su vínculo con la entidad pública.</w:t>
      </w:r>
    </w:p>
    <w:p w14:paraId="1FFC04BC" w14:textId="77777777" w:rsidR="009834E7" w:rsidRDefault="009834E7" w:rsidP="009834E7">
      <w:pPr>
        <w:spacing w:after="0" w:line="240" w:lineRule="auto"/>
        <w:jc w:val="both"/>
        <w:rPr>
          <w:rFonts w:ascii="Verdana" w:eastAsia="Geomanist Light" w:hAnsi="Verdana" w:cs="Arial"/>
          <w:color w:val="000000" w:themeColor="text1"/>
          <w:lang w:val="es-MX"/>
        </w:rPr>
      </w:pPr>
    </w:p>
    <w:p w14:paraId="318EE900" w14:textId="77777777" w:rsidR="009834E7" w:rsidRDefault="009834E7" w:rsidP="001A629E">
      <w:pPr>
        <w:spacing w:after="0" w:line="240" w:lineRule="auto"/>
        <w:rPr>
          <w:rFonts w:ascii="Verdana" w:eastAsia="Geomanist Light" w:hAnsi="Verdana" w:cs="Arial"/>
          <w:color w:val="000000" w:themeColor="text1"/>
          <w:lang w:val="es-MX"/>
        </w:rPr>
      </w:pPr>
    </w:p>
    <w:p w14:paraId="1736E793" w14:textId="77777777" w:rsidR="009834E7" w:rsidRDefault="009834E7" w:rsidP="001A629E">
      <w:pPr>
        <w:spacing w:after="0" w:line="240" w:lineRule="auto"/>
        <w:rPr>
          <w:rFonts w:ascii="Verdana" w:eastAsia="Geomanist Light" w:hAnsi="Verdana" w:cs="Arial"/>
          <w:color w:val="000000" w:themeColor="text1"/>
          <w:lang w:val="es-MX"/>
        </w:rPr>
      </w:pPr>
    </w:p>
    <w:p w14:paraId="3E64087E" w14:textId="77777777" w:rsidR="009834E7" w:rsidRDefault="009834E7" w:rsidP="001A629E">
      <w:pPr>
        <w:spacing w:after="0" w:line="240" w:lineRule="auto"/>
        <w:rPr>
          <w:rFonts w:ascii="Verdana" w:eastAsia="Geomanist Light" w:hAnsi="Verdana" w:cs="Arial"/>
          <w:color w:val="000000" w:themeColor="text1"/>
          <w:lang w:val="es-MX"/>
        </w:rPr>
      </w:pPr>
    </w:p>
    <w:p w14:paraId="77222F42" w14:textId="77777777" w:rsidR="009834E7" w:rsidRDefault="009834E7" w:rsidP="001A629E">
      <w:pPr>
        <w:spacing w:after="0" w:line="240" w:lineRule="auto"/>
        <w:rPr>
          <w:rFonts w:ascii="Verdana" w:eastAsia="Geomanist Light" w:hAnsi="Verdana" w:cs="Arial"/>
          <w:color w:val="000000" w:themeColor="text1"/>
          <w:lang w:val="es-MX"/>
        </w:rPr>
      </w:pPr>
    </w:p>
    <w:p w14:paraId="30EBA445" w14:textId="77777777" w:rsidR="009834E7" w:rsidRDefault="009834E7" w:rsidP="001A629E">
      <w:pPr>
        <w:spacing w:after="0" w:line="240" w:lineRule="auto"/>
        <w:rPr>
          <w:rFonts w:ascii="Verdana" w:eastAsia="Geomanist Light" w:hAnsi="Verdana" w:cs="Arial"/>
          <w:color w:val="000000" w:themeColor="text1"/>
          <w:lang w:val="es-MX"/>
        </w:rPr>
      </w:pPr>
    </w:p>
    <w:p w14:paraId="1C503DF2" w14:textId="77777777" w:rsidR="009834E7" w:rsidRDefault="009834E7" w:rsidP="001A629E">
      <w:pPr>
        <w:spacing w:after="0" w:line="240" w:lineRule="auto"/>
        <w:rPr>
          <w:rFonts w:ascii="Verdana" w:eastAsia="Geomanist Light" w:hAnsi="Verdana" w:cs="Arial"/>
          <w:color w:val="000000" w:themeColor="text1"/>
          <w:lang w:val="es-MX"/>
        </w:rPr>
      </w:pPr>
    </w:p>
    <w:p w14:paraId="3C95629F" w14:textId="77777777" w:rsidR="009834E7" w:rsidRDefault="009834E7" w:rsidP="001A629E">
      <w:pPr>
        <w:spacing w:after="0" w:line="240" w:lineRule="auto"/>
        <w:rPr>
          <w:rFonts w:ascii="Verdana" w:eastAsia="Geomanist Light" w:hAnsi="Verdana" w:cs="Arial"/>
          <w:color w:val="000000" w:themeColor="text1"/>
          <w:lang w:val="es-MX"/>
        </w:rPr>
      </w:pPr>
    </w:p>
    <w:p w14:paraId="5F1C8F65" w14:textId="77777777" w:rsidR="009834E7" w:rsidRDefault="009834E7" w:rsidP="001A629E">
      <w:pPr>
        <w:spacing w:after="0" w:line="240" w:lineRule="auto"/>
        <w:rPr>
          <w:rFonts w:ascii="Verdana" w:eastAsia="Geomanist Light" w:hAnsi="Verdana" w:cs="Arial"/>
          <w:color w:val="000000" w:themeColor="text1"/>
          <w:lang w:val="es-MX"/>
        </w:rPr>
      </w:pPr>
    </w:p>
    <w:p w14:paraId="12E3615A" w14:textId="77777777" w:rsidR="009834E7" w:rsidRDefault="009834E7" w:rsidP="001A629E">
      <w:pPr>
        <w:spacing w:after="0" w:line="240" w:lineRule="auto"/>
        <w:rPr>
          <w:rFonts w:ascii="Verdana" w:eastAsia="Geomanist Light" w:hAnsi="Verdana" w:cs="Arial"/>
          <w:color w:val="000000" w:themeColor="text1"/>
          <w:lang w:val="es-MX"/>
        </w:rPr>
      </w:pPr>
    </w:p>
    <w:p w14:paraId="6B9E22D7" w14:textId="77777777" w:rsidR="009834E7" w:rsidRDefault="009834E7" w:rsidP="001A629E">
      <w:pPr>
        <w:spacing w:after="0" w:line="240" w:lineRule="auto"/>
        <w:rPr>
          <w:rFonts w:ascii="Verdana" w:eastAsia="Geomanist Light" w:hAnsi="Verdana" w:cs="Arial"/>
          <w:color w:val="000000" w:themeColor="text1"/>
          <w:lang w:val="es-MX"/>
        </w:rPr>
      </w:pPr>
    </w:p>
    <w:p w14:paraId="4A94CF6A" w14:textId="77777777" w:rsidR="009834E7" w:rsidRDefault="009834E7" w:rsidP="001A629E">
      <w:pPr>
        <w:spacing w:after="0" w:line="240" w:lineRule="auto"/>
        <w:rPr>
          <w:rFonts w:ascii="Verdana" w:eastAsia="Geomanist Light" w:hAnsi="Verdana" w:cs="Arial"/>
          <w:color w:val="000000" w:themeColor="text1"/>
          <w:lang w:val="es-MX"/>
        </w:rPr>
      </w:pPr>
    </w:p>
    <w:p w14:paraId="6473913B" w14:textId="77777777" w:rsidR="009834E7" w:rsidRDefault="009834E7" w:rsidP="001A629E">
      <w:pPr>
        <w:spacing w:after="0" w:line="240" w:lineRule="auto"/>
        <w:rPr>
          <w:rFonts w:ascii="Verdana" w:eastAsia="Geomanist Light" w:hAnsi="Verdana" w:cs="Arial"/>
          <w:color w:val="000000" w:themeColor="text1"/>
          <w:lang w:val="es-MX"/>
        </w:rPr>
      </w:pPr>
    </w:p>
    <w:p w14:paraId="0F695728" w14:textId="77777777" w:rsidR="009834E7" w:rsidRDefault="009834E7" w:rsidP="001A629E">
      <w:pPr>
        <w:spacing w:after="0" w:line="240" w:lineRule="auto"/>
        <w:rPr>
          <w:rFonts w:ascii="Verdana" w:eastAsia="Geomanist Light" w:hAnsi="Verdana" w:cs="Arial"/>
          <w:color w:val="000000" w:themeColor="text1"/>
          <w:lang w:val="es-MX"/>
        </w:rPr>
      </w:pPr>
    </w:p>
    <w:p w14:paraId="0244D419" w14:textId="77777777" w:rsidR="009834E7" w:rsidRDefault="009834E7" w:rsidP="001A629E">
      <w:pPr>
        <w:spacing w:after="0" w:line="240" w:lineRule="auto"/>
        <w:rPr>
          <w:rFonts w:ascii="Verdana" w:eastAsia="Geomanist Light" w:hAnsi="Verdana" w:cs="Arial"/>
          <w:color w:val="000000" w:themeColor="text1"/>
          <w:lang w:val="es-MX"/>
        </w:rPr>
      </w:pPr>
    </w:p>
    <w:p w14:paraId="23A4D400" w14:textId="77777777" w:rsidR="009834E7" w:rsidRDefault="009834E7" w:rsidP="001A629E">
      <w:pPr>
        <w:spacing w:after="0" w:line="240" w:lineRule="auto"/>
        <w:rPr>
          <w:rFonts w:ascii="Verdana" w:eastAsia="Geomanist Light" w:hAnsi="Verdana" w:cs="Arial"/>
          <w:color w:val="000000" w:themeColor="text1"/>
          <w:lang w:val="es-MX"/>
        </w:rPr>
      </w:pPr>
    </w:p>
    <w:p w14:paraId="2B39899D" w14:textId="77777777" w:rsidR="009834E7" w:rsidRDefault="009834E7" w:rsidP="001A629E">
      <w:pPr>
        <w:spacing w:after="0" w:line="240" w:lineRule="auto"/>
        <w:rPr>
          <w:rFonts w:ascii="Verdana" w:eastAsia="Geomanist Light" w:hAnsi="Verdana" w:cs="Arial"/>
          <w:color w:val="000000" w:themeColor="text1"/>
          <w:lang w:val="es-MX"/>
        </w:rPr>
      </w:pPr>
    </w:p>
    <w:p w14:paraId="7C4AB2D3" w14:textId="77777777" w:rsidR="009834E7" w:rsidRDefault="009834E7" w:rsidP="001A629E">
      <w:pPr>
        <w:spacing w:after="0" w:line="240" w:lineRule="auto"/>
        <w:rPr>
          <w:rFonts w:ascii="Verdana" w:eastAsia="Geomanist Light" w:hAnsi="Verdana" w:cs="Arial"/>
          <w:color w:val="000000" w:themeColor="text1"/>
          <w:lang w:val="es-MX"/>
        </w:rPr>
      </w:pPr>
    </w:p>
    <w:p w14:paraId="215768CB" w14:textId="77777777" w:rsidR="009834E7" w:rsidRDefault="009834E7" w:rsidP="001A629E">
      <w:pPr>
        <w:spacing w:after="0" w:line="240" w:lineRule="auto"/>
        <w:rPr>
          <w:rFonts w:ascii="Verdana" w:eastAsia="Geomanist Light" w:hAnsi="Verdana" w:cs="Arial"/>
          <w:color w:val="000000" w:themeColor="text1"/>
          <w:lang w:val="es-MX"/>
        </w:rPr>
      </w:pPr>
    </w:p>
    <w:p w14:paraId="3190BB8A" w14:textId="77777777" w:rsidR="009834E7" w:rsidRDefault="009834E7" w:rsidP="001A629E">
      <w:pPr>
        <w:spacing w:after="0" w:line="240" w:lineRule="auto"/>
        <w:rPr>
          <w:rFonts w:ascii="Verdana" w:eastAsia="Geomanist Light" w:hAnsi="Verdana" w:cs="Arial"/>
          <w:color w:val="000000" w:themeColor="text1"/>
          <w:lang w:val="es-MX"/>
        </w:rPr>
      </w:pPr>
    </w:p>
    <w:p w14:paraId="37A67C74" w14:textId="77777777" w:rsidR="009834E7" w:rsidRDefault="009834E7" w:rsidP="001A629E">
      <w:pPr>
        <w:spacing w:after="0" w:line="240" w:lineRule="auto"/>
        <w:rPr>
          <w:rFonts w:ascii="Verdana" w:eastAsia="Geomanist Light" w:hAnsi="Verdana" w:cs="Arial"/>
          <w:color w:val="000000" w:themeColor="text1"/>
          <w:lang w:val="es-MX"/>
        </w:rPr>
      </w:pPr>
    </w:p>
    <w:p w14:paraId="0E677A10" w14:textId="77777777" w:rsidR="009834E7" w:rsidRDefault="009834E7" w:rsidP="001A629E">
      <w:pPr>
        <w:spacing w:after="0" w:line="240" w:lineRule="auto"/>
        <w:rPr>
          <w:rFonts w:ascii="Verdana" w:eastAsia="Geomanist Light" w:hAnsi="Verdana" w:cs="Arial"/>
          <w:color w:val="000000" w:themeColor="text1"/>
          <w:lang w:val="es-MX"/>
        </w:rPr>
      </w:pPr>
    </w:p>
    <w:p w14:paraId="6616B903" w14:textId="77777777" w:rsidR="009834E7" w:rsidRDefault="009834E7" w:rsidP="001A629E">
      <w:pPr>
        <w:spacing w:after="0" w:line="240" w:lineRule="auto"/>
        <w:rPr>
          <w:rFonts w:ascii="Verdana" w:eastAsia="Geomanist Light" w:hAnsi="Verdana" w:cs="Arial"/>
          <w:color w:val="000000" w:themeColor="text1"/>
          <w:lang w:val="es-MX"/>
        </w:rPr>
      </w:pPr>
    </w:p>
    <w:p w14:paraId="7ECEACDB" w14:textId="08E643F9" w:rsidR="001A629E" w:rsidRPr="0050687B" w:rsidRDefault="001A629E" w:rsidP="001A629E">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9834E7">
        <w:rPr>
          <w:rFonts w:ascii="Verdana" w:eastAsia="Geomanist Light" w:hAnsi="Verdana" w:cs="Arial"/>
          <w:color w:val="201F1E"/>
          <w:lang w:val="es-MX"/>
        </w:rPr>
        <w:t>30</w:t>
      </w:r>
      <w:r w:rsidRPr="00CF64C0">
        <w:rPr>
          <w:rFonts w:ascii="Verdana" w:eastAsia="Geomanist Light" w:hAnsi="Verdana" w:cs="Arial"/>
          <w:color w:val="201F1E"/>
          <w:lang w:val="es-MX"/>
        </w:rPr>
        <w:t xml:space="preserve"> de </w:t>
      </w:r>
      <w:r w:rsidR="009834E7">
        <w:rPr>
          <w:rFonts w:ascii="Verdana" w:eastAsia="Geomanist Light" w:hAnsi="Verdana" w:cs="Arial"/>
          <w:color w:val="201F1E"/>
          <w:lang w:val="es-MX"/>
        </w:rPr>
        <w:t xml:space="preserve">junio </w:t>
      </w:r>
      <w:r w:rsidRPr="00CF64C0">
        <w:rPr>
          <w:rFonts w:ascii="Verdana" w:eastAsia="Geomanist Light" w:hAnsi="Verdana" w:cs="Arial"/>
          <w:color w:val="201F1E"/>
          <w:lang w:val="es-MX"/>
        </w:rPr>
        <w:t xml:space="preserve">de </w:t>
      </w:r>
      <w:r w:rsidR="009834E7">
        <w:rPr>
          <w:rFonts w:ascii="Verdana" w:eastAsia="Geomanist Light" w:hAnsi="Verdana" w:cs="Arial"/>
          <w:color w:val="201F1E"/>
          <w:lang w:val="es-MX"/>
        </w:rPr>
        <w:t>2026</w:t>
      </w:r>
    </w:p>
    <w:p w14:paraId="59CA5494" w14:textId="77777777" w:rsidR="001A629E" w:rsidRPr="00347E8F" w:rsidRDefault="001A629E" w:rsidP="001A629E">
      <w:pPr>
        <w:spacing w:after="0" w:line="240" w:lineRule="auto"/>
        <w:jc w:val="both"/>
        <w:rPr>
          <w:rFonts w:ascii="Verdana" w:eastAsia="Calibri" w:hAnsi="Verdana" w:cs="Arial"/>
          <w:color w:val="000000" w:themeColor="text1"/>
        </w:rPr>
      </w:pPr>
    </w:p>
    <w:p w14:paraId="421B97E5" w14:textId="7F012C0D" w:rsidR="001A629E" w:rsidRDefault="009834E7" w:rsidP="009834E7">
      <w:pPr>
        <w:spacing w:after="0" w:line="240" w:lineRule="auto"/>
        <w:ind w:left="4956"/>
        <w:rPr>
          <w:rFonts w:ascii="Verdana" w:eastAsia="Calibri" w:hAnsi="Verdana" w:cs="Arial"/>
          <w:color w:val="000000" w:themeColor="text1"/>
          <w:lang w:val="es-ES"/>
        </w:rPr>
      </w:pPr>
      <w:r w:rsidRPr="009834E7">
        <w:rPr>
          <w:rFonts w:ascii="Verdana" w:eastAsia="Calibri" w:hAnsi="Verdana" w:cs="Arial"/>
          <w:noProof/>
          <w:color w:val="000000" w:themeColor="text1"/>
          <w:lang w:val="es-ES"/>
        </w:rPr>
        <w:drawing>
          <wp:inline distT="0" distB="0" distL="0" distR="0" wp14:anchorId="6B03EA94" wp14:editId="104B1359">
            <wp:extent cx="2543530" cy="781159"/>
            <wp:effectExtent l="0" t="0" r="9525" b="0"/>
            <wp:docPr id="2088073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73402" name=""/>
                    <pic:cNvPicPr/>
                  </pic:nvPicPr>
                  <pic:blipFill>
                    <a:blip r:embed="rId11"/>
                    <a:stretch>
                      <a:fillRect/>
                    </a:stretch>
                  </pic:blipFill>
                  <pic:spPr>
                    <a:xfrm>
                      <a:off x="0" y="0"/>
                      <a:ext cx="2543530" cy="781159"/>
                    </a:xfrm>
                    <a:prstGeom prst="rect">
                      <a:avLst/>
                    </a:prstGeom>
                  </pic:spPr>
                </pic:pic>
              </a:graphicData>
            </a:graphic>
          </wp:inline>
        </w:drawing>
      </w:r>
    </w:p>
    <w:p w14:paraId="379EF5C6" w14:textId="77777777" w:rsidR="001A629E" w:rsidRPr="00115E3D" w:rsidRDefault="001A629E" w:rsidP="001A629E">
      <w:pPr>
        <w:spacing w:after="0" w:line="240"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p>
    <w:p w14:paraId="68476EA4" w14:textId="77777777" w:rsidR="001A629E" w:rsidRDefault="001A629E" w:rsidP="001A629E">
      <w:pPr>
        <w:spacing w:after="0" w:line="240" w:lineRule="auto"/>
        <w:rPr>
          <w:rFonts w:ascii="Verdana" w:eastAsia="Calibri" w:hAnsi="Verdana" w:cs="Arial"/>
          <w:b/>
          <w:bCs/>
          <w:color w:val="000000" w:themeColor="text1"/>
          <w:lang w:eastAsia="es-ES"/>
        </w:rPr>
      </w:pPr>
      <w:r>
        <w:rPr>
          <w:rFonts w:ascii="Verdana" w:eastAsia="Calibri" w:hAnsi="Verdana" w:cs="Arial"/>
          <w:b/>
          <w:bCs/>
          <w:color w:val="000000" w:themeColor="text1"/>
          <w:lang w:eastAsia="es-ES"/>
        </w:rPr>
        <w:t>Dilia Antolina Galíndez</w:t>
      </w:r>
    </w:p>
    <w:p w14:paraId="176C6EE2" w14:textId="77777777" w:rsidR="001A629E" w:rsidRDefault="001A629E" w:rsidP="001A629E">
      <w:pPr>
        <w:spacing w:after="0" w:line="240" w:lineRule="auto"/>
        <w:rPr>
          <w:rFonts w:ascii="Verdana" w:eastAsia="Calibri" w:hAnsi="Verdana" w:cs="Arial"/>
          <w:b/>
          <w:bCs/>
          <w:color w:val="000000" w:themeColor="text1"/>
          <w:lang w:eastAsia="es-ES"/>
        </w:rPr>
      </w:pPr>
      <w:r>
        <w:rPr>
          <w:rFonts w:ascii="Verdana" w:eastAsia="Calibri" w:hAnsi="Verdana" w:cs="Arial"/>
          <w:b/>
          <w:bCs/>
          <w:color w:val="000000" w:themeColor="text1"/>
          <w:lang w:eastAsia="es-ES"/>
        </w:rPr>
        <w:t>Contraloría Departamental de Arauca</w:t>
      </w:r>
    </w:p>
    <w:p w14:paraId="35E69DC2" w14:textId="77777777" w:rsidR="001A629E" w:rsidRPr="0087638A" w:rsidRDefault="001A629E" w:rsidP="001A629E">
      <w:pPr>
        <w:spacing w:after="0" w:line="240" w:lineRule="auto"/>
        <w:rPr>
          <w:rFonts w:ascii="Verdana" w:eastAsia="Calibri" w:hAnsi="Verdana" w:cs="Arial"/>
          <w:color w:val="000000" w:themeColor="text1"/>
          <w:lang w:eastAsia="es-ES"/>
        </w:rPr>
      </w:pPr>
      <w:hyperlink r:id="rId12" w:history="1">
        <w:r w:rsidRPr="001F6BB9">
          <w:rPr>
            <w:rStyle w:val="Hipervnculo"/>
            <w:rFonts w:ascii="Verdana" w:hAnsi="Verdana"/>
          </w:rPr>
          <w:t>dillygalindez@hotmail.com</w:t>
        </w:r>
      </w:hyperlink>
      <w:r>
        <w:rPr>
          <w:rFonts w:ascii="Verdana" w:hAnsi="Verdana"/>
        </w:rPr>
        <w:t xml:space="preserve"> y </w:t>
      </w:r>
      <w:hyperlink r:id="rId13" w:history="1">
        <w:r w:rsidRPr="001F6BB9">
          <w:rPr>
            <w:rStyle w:val="Hipervnculo"/>
            <w:rFonts w:ascii="Verdana" w:hAnsi="Verdana"/>
          </w:rPr>
          <w:t>dillygalindez@gmail.com</w:t>
        </w:r>
      </w:hyperlink>
      <w:r>
        <w:rPr>
          <w:rFonts w:ascii="Verdana" w:hAnsi="Verdana"/>
        </w:rPr>
        <w:t xml:space="preserve">;  </w:t>
      </w:r>
      <w:r w:rsidRPr="0087638A">
        <w:rPr>
          <w:rFonts w:ascii="Verdana" w:hAnsi="Verdana"/>
        </w:rPr>
        <w:t xml:space="preserve"> </w:t>
      </w:r>
    </w:p>
    <w:p w14:paraId="6B3EE428" w14:textId="77777777" w:rsidR="001A629E" w:rsidRPr="00385D7A" w:rsidRDefault="001A629E" w:rsidP="001A629E">
      <w:pPr>
        <w:spacing w:after="0" w:line="240" w:lineRule="auto"/>
        <w:rPr>
          <w:rFonts w:ascii="Verdana" w:eastAsia="Calibri" w:hAnsi="Verdana" w:cs="Arial"/>
          <w:color w:val="000000" w:themeColor="text1"/>
          <w:lang w:eastAsia="es-ES"/>
        </w:rPr>
      </w:pPr>
      <w:r>
        <w:rPr>
          <w:rFonts w:ascii="Verdana" w:eastAsia="Calibri" w:hAnsi="Verdana" w:cs="Arial"/>
          <w:color w:val="000000" w:themeColor="text1"/>
          <w:lang w:eastAsia="es-ES"/>
        </w:rPr>
        <w:t>Arauca, Arauca</w:t>
      </w:r>
    </w:p>
    <w:p w14:paraId="66C3B3B6" w14:textId="77777777" w:rsidR="001A629E" w:rsidRPr="00CB7ABE" w:rsidRDefault="001A629E" w:rsidP="001A629E">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1A629E" w:rsidRPr="00115E3D" w14:paraId="6E73EF37" w14:textId="77777777" w:rsidTr="001B6A71">
        <w:trPr>
          <w:trHeight w:val="615"/>
        </w:trPr>
        <w:tc>
          <w:tcPr>
            <w:tcW w:w="2270" w:type="dxa"/>
          </w:tcPr>
          <w:p w14:paraId="7CD23D95" w14:textId="77777777" w:rsidR="001A629E" w:rsidRPr="00CB7ABE" w:rsidRDefault="001A629E" w:rsidP="001B6A71">
            <w:pPr>
              <w:jc w:val="both"/>
              <w:rPr>
                <w:rFonts w:ascii="Verdana" w:eastAsia="Calibri" w:hAnsi="Verdana" w:cs="Arial"/>
                <w:b/>
                <w:bCs/>
                <w:color w:val="000000" w:themeColor="text1"/>
                <w:lang w:eastAsia="es-ES_tradnl"/>
              </w:rPr>
            </w:pPr>
          </w:p>
        </w:tc>
        <w:tc>
          <w:tcPr>
            <w:tcW w:w="6547" w:type="dxa"/>
          </w:tcPr>
          <w:p w14:paraId="28916F9F" w14:textId="77777777" w:rsidR="001A629E" w:rsidRPr="00115E3D" w:rsidRDefault="001A629E" w:rsidP="001B6A71">
            <w:pPr>
              <w:jc w:val="both"/>
              <w:rPr>
                <w:rFonts w:ascii="Verdana" w:eastAsia="Calibri" w:hAnsi="Verdana" w:cs="Arial"/>
                <w:b/>
                <w:bCs/>
                <w:color w:val="000000" w:themeColor="text1"/>
                <w:lang w:val="es-ES" w:eastAsia="es-ES"/>
              </w:rPr>
            </w:pPr>
            <w:r w:rsidRPr="00115E3D">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 xml:space="preserve">823 </w:t>
            </w:r>
            <w:r w:rsidRPr="00115E3D">
              <w:rPr>
                <w:rFonts w:ascii="Verdana" w:eastAsia="Calibri" w:hAnsi="Verdana" w:cs="Arial"/>
                <w:b/>
                <w:bCs/>
                <w:color w:val="000000" w:themeColor="text1"/>
                <w:lang w:val="es-ES" w:eastAsia="es-ES"/>
              </w:rPr>
              <w:t>de 202</w:t>
            </w:r>
            <w:r>
              <w:rPr>
                <w:rFonts w:ascii="Verdana" w:eastAsia="Calibri" w:hAnsi="Verdana" w:cs="Arial"/>
                <w:b/>
                <w:bCs/>
                <w:color w:val="000000" w:themeColor="text1"/>
                <w:lang w:val="es-ES" w:eastAsia="es-ES"/>
              </w:rPr>
              <w:t>6</w:t>
            </w:r>
          </w:p>
        </w:tc>
      </w:tr>
    </w:tbl>
    <w:p w14:paraId="70AD039E" w14:textId="77777777" w:rsidR="001A629E" w:rsidRPr="00801462" w:rsidRDefault="001A629E" w:rsidP="001A629E">
      <w:pPr>
        <w:spacing w:after="0" w:line="240" w:lineRule="auto"/>
        <w:jc w:val="both"/>
        <w:rPr>
          <w:rFonts w:ascii="Verdana" w:eastAsia="Calibri" w:hAnsi="Verdana" w:cs="Arial"/>
          <w:b/>
          <w:bCs/>
          <w:lang w:eastAsia="es-ES"/>
        </w:rPr>
      </w:pPr>
    </w:p>
    <w:p w14:paraId="3870C14E" w14:textId="77777777" w:rsidR="001A629E" w:rsidRDefault="001A629E" w:rsidP="001A629E">
      <w:pPr>
        <w:tabs>
          <w:tab w:val="center" w:pos="4419"/>
        </w:tabs>
        <w:spacing w:after="0" w:line="240" w:lineRule="auto"/>
        <w:rPr>
          <w:rFonts w:ascii="Verdana" w:eastAsia="Verdana" w:hAnsi="Verdana" w:cs="Verdana"/>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849"/>
        <w:gridCol w:w="5670"/>
        <w:gridCol w:w="28"/>
      </w:tblGrid>
      <w:tr w:rsidR="001A629E" w:rsidRPr="00801462" w14:paraId="43661264" w14:textId="77777777" w:rsidTr="001B6A71">
        <w:trPr>
          <w:gridAfter w:val="1"/>
          <w:wAfter w:w="28" w:type="dxa"/>
          <w:trHeight w:val="884"/>
        </w:trPr>
        <w:tc>
          <w:tcPr>
            <w:tcW w:w="3119" w:type="dxa"/>
            <w:gridSpan w:val="2"/>
          </w:tcPr>
          <w:p w14:paraId="58B49F62" w14:textId="77777777" w:rsidR="001A629E" w:rsidRPr="00801462" w:rsidRDefault="001A629E" w:rsidP="001B6A71">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24534879" w14:textId="77777777" w:rsidR="001A629E" w:rsidRDefault="001A629E" w:rsidP="001B6A71">
            <w:pPr>
              <w:jc w:val="both"/>
              <w:rPr>
                <w:rFonts w:ascii="Verdana" w:eastAsia="Calibri" w:hAnsi="Verdana" w:cs="Arial"/>
                <w:color w:val="000000"/>
                <w:kern w:val="2"/>
                <w14:ligatures w14:val="standardContextual"/>
              </w:rPr>
            </w:pPr>
            <w:r w:rsidRPr="00E8264F">
              <w:rPr>
                <w:rFonts w:ascii="Verdana" w:eastAsia="Calibri" w:hAnsi="Verdana" w:cs="Arial"/>
                <w:lang w:val="es-ES_tradnl" w:eastAsia="es-ES"/>
              </w:rPr>
              <w:t xml:space="preserve">INHABILIDADES E INCOMPATIBILIDADES – Límites a la capacidad – Régimen / INHABILIDADES E INCOMPATIBILIDADES – Concepto / INHABILIDADES E INCOMPATIBILIDADES – Interpretación restrictiva </w:t>
            </w:r>
            <w:r w:rsidRPr="00284526">
              <w:rPr>
                <w:rFonts w:ascii="Verdana" w:eastAsia="Calibri" w:hAnsi="Verdana" w:cs="Arial"/>
                <w:lang w:val="es-ES_tradnl" w:eastAsia="es-ES"/>
              </w:rPr>
              <w:t>/ CONTRATO DE PRESTACIÓN DE SERVICIOS – Simultaneidad – Ausencia</w:t>
            </w:r>
            <w:r w:rsidRPr="00E8264F">
              <w:rPr>
                <w:rFonts w:ascii="Verdana" w:eastAsia="Calibri" w:hAnsi="Verdana" w:cs="Arial"/>
                <w:lang w:val="es-ES_tradnl" w:eastAsia="es-ES"/>
              </w:rPr>
              <w:t xml:space="preserve"> de </w:t>
            </w:r>
            <w:r w:rsidRPr="00284526">
              <w:rPr>
                <w:rFonts w:ascii="Verdana" w:eastAsia="Calibri" w:hAnsi="Verdana" w:cs="Arial"/>
                <w:lang w:val="es-ES_tradnl" w:eastAsia="es-ES"/>
              </w:rPr>
              <w:t>Inhabilidad e incompatibilidad /</w:t>
            </w:r>
            <w:r>
              <w:rPr>
                <w:rFonts w:ascii="Verdana" w:eastAsia="Calibri" w:hAnsi="Verdana" w:cs="Arial"/>
                <w:lang w:val="es-ES_tradnl" w:eastAsia="es-ES"/>
              </w:rPr>
              <w:t xml:space="preserve"> </w:t>
            </w:r>
            <w:r w:rsidRPr="00284526">
              <w:rPr>
                <w:rFonts w:ascii="Verdana" w:eastAsia="Calibri" w:hAnsi="Verdana" w:cs="Arial"/>
                <w:lang w:val="es-ES_tradnl" w:eastAsia="es-ES"/>
              </w:rPr>
              <w:t>CONFLICTO DE INTERESES – Verificación - Tipicidad</w:t>
            </w:r>
          </w:p>
          <w:p w14:paraId="2A100394" w14:textId="77777777" w:rsidR="001A629E" w:rsidRPr="00801462" w:rsidRDefault="001A629E" w:rsidP="001B6A71">
            <w:pPr>
              <w:jc w:val="both"/>
              <w:rPr>
                <w:rFonts w:ascii="Verdana" w:eastAsia="Calibri" w:hAnsi="Verdana" w:cs="Arial"/>
                <w:lang w:val="es-ES_tradnl" w:eastAsia="es-ES"/>
              </w:rPr>
            </w:pPr>
          </w:p>
        </w:tc>
      </w:tr>
      <w:tr w:rsidR="001A629E" w:rsidRPr="00115E3D" w14:paraId="2D7A8719" w14:textId="77777777" w:rsidTr="001B6A71">
        <w:trPr>
          <w:trHeight w:val="653"/>
        </w:trPr>
        <w:tc>
          <w:tcPr>
            <w:tcW w:w="2270" w:type="dxa"/>
          </w:tcPr>
          <w:p w14:paraId="3DDC6710" w14:textId="77777777" w:rsidR="001A629E" w:rsidRPr="00CB7ABE" w:rsidRDefault="001A629E" w:rsidP="001B6A71">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gridSpan w:val="3"/>
          </w:tcPr>
          <w:p w14:paraId="4B6A9765" w14:textId="1D669A85" w:rsidR="001A629E" w:rsidRPr="00E4271C" w:rsidRDefault="001A629E" w:rsidP="001B6A71">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825B18">
              <w:rPr>
                <w:rFonts w:ascii="Verdana" w:eastAsia="Calibri" w:hAnsi="Verdana" w:cs="Arial"/>
                <w:color w:val="000000" w:themeColor="text1"/>
                <w:lang w:val="es-ES_tradnl" w:eastAsia="es-ES_tradnl"/>
              </w:rPr>
              <w:t>1_2026_05_19_006659</w:t>
            </w:r>
          </w:p>
          <w:p w14:paraId="533EDB93" w14:textId="77777777" w:rsidR="001A629E" w:rsidRPr="00CB7ABE" w:rsidRDefault="001A629E" w:rsidP="001B6A71">
            <w:pPr>
              <w:ind w:right="1"/>
              <w:jc w:val="both"/>
              <w:rPr>
                <w:rFonts w:ascii="Verdana" w:hAnsi="Verdana"/>
                <w:color w:val="000000"/>
              </w:rPr>
            </w:pPr>
          </w:p>
        </w:tc>
      </w:tr>
    </w:tbl>
    <w:p w14:paraId="509D84C0" w14:textId="77777777" w:rsidR="001A629E" w:rsidRPr="00115E3D" w:rsidRDefault="001A629E" w:rsidP="001A629E">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115E3D">
        <w:rPr>
          <w:rFonts w:ascii="Verdana" w:eastAsia="Calibri" w:hAnsi="Verdana" w:cs="Arial"/>
          <w:color w:val="000000" w:themeColor="text1"/>
          <w:lang w:val="es-ES" w:eastAsia="es-ES"/>
        </w:rPr>
        <w:t xml:space="preserve"> seño</w:t>
      </w:r>
      <w:r>
        <w:rPr>
          <w:rFonts w:ascii="Verdana" w:eastAsia="Calibri" w:hAnsi="Verdana" w:cs="Arial"/>
          <w:color w:val="000000" w:themeColor="text1"/>
          <w:lang w:val="es-ES" w:eastAsia="es-ES"/>
        </w:rPr>
        <w:t xml:space="preserve">r </w:t>
      </w:r>
      <w:proofErr w:type="spellStart"/>
      <w:r>
        <w:rPr>
          <w:rFonts w:ascii="Verdana" w:eastAsia="Calibri" w:hAnsi="Verdana" w:cs="Arial"/>
          <w:color w:val="000000" w:themeColor="text1"/>
          <w:lang w:val="es-ES" w:eastAsia="es-ES"/>
        </w:rPr>
        <w:t>Galindez</w:t>
      </w:r>
      <w:proofErr w:type="spellEnd"/>
      <w:r>
        <w:rPr>
          <w:rFonts w:ascii="Verdana" w:eastAsia="Calibri" w:hAnsi="Verdana" w:cs="Arial"/>
          <w:color w:val="000000" w:themeColor="text1"/>
          <w:lang w:val="es-ES" w:eastAsia="es-ES"/>
        </w:rPr>
        <w:t>;</w:t>
      </w:r>
    </w:p>
    <w:p w14:paraId="45FA9C35" w14:textId="77777777" w:rsidR="001A629E" w:rsidRPr="00115E3D" w:rsidRDefault="001A629E" w:rsidP="001A629E">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3A476AA8" w14:textId="77777777" w:rsidR="001A629E" w:rsidRDefault="001A629E" w:rsidP="001A629E">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w:t>
      </w:r>
      <w:r w:rsidRPr="006B694D">
        <w:rPr>
          <w:rFonts w:ascii="Verdana" w:hAnsi="Verdana" w:cs="Arial"/>
          <w:lang w:val="es-ES"/>
        </w:rPr>
        <w:t>Resolución 469 de 2025</w:t>
      </w:r>
      <w:r w:rsidRPr="00115E3D">
        <w:rPr>
          <w:rFonts w:ascii="Verdana" w:hAnsi="Verdana" w:cs="Arial"/>
          <w:color w:val="000000" w:themeColor="text1"/>
        </w:rPr>
        <w:t xml:space="preserve"> expedida por esta Entidad, </w:t>
      </w:r>
      <w:r w:rsidRPr="00115E3D">
        <w:rPr>
          <w:rFonts w:ascii="Verdana" w:eastAsia="Calibri" w:hAnsi="Verdana" w:cs="Arial"/>
          <w:color w:val="000000" w:themeColor="text1"/>
          <w:lang w:val="es-ES" w:eastAsia="es-ES"/>
        </w:rPr>
        <w:t xml:space="preserve">la Agencia Nacional de Contratación Pública – Colombia Compra Eficiente– responde </w:t>
      </w:r>
      <w:r>
        <w:rPr>
          <w:rFonts w:ascii="Verdana" w:eastAsia="Calibri" w:hAnsi="Verdana" w:cs="Arial"/>
          <w:color w:val="000000" w:themeColor="text1"/>
          <w:lang w:val="es-ES" w:eastAsia="es-ES"/>
        </w:rPr>
        <w:t xml:space="preserve">al numeral primero de </w:t>
      </w:r>
      <w:r w:rsidRPr="00115E3D">
        <w:rPr>
          <w:rFonts w:ascii="Verdana" w:eastAsia="Calibri" w:hAnsi="Verdana" w:cs="Arial"/>
          <w:color w:val="000000" w:themeColor="text1"/>
          <w:lang w:val="es-ES" w:eastAsia="es-ES"/>
        </w:rPr>
        <w:t>su solicitud</w:t>
      </w:r>
      <w:r>
        <w:rPr>
          <w:rFonts w:ascii="Verdana" w:eastAsia="Calibri" w:hAnsi="Verdana" w:cs="Arial"/>
          <w:color w:val="000000" w:themeColor="text1"/>
          <w:lang w:val="es-ES" w:eastAsia="es-ES"/>
        </w:rPr>
        <w:t xml:space="preserve"> allegado a esta entidad con fecha 19 de mayo de 2026 y trasladado por competencia por el Departamento Administrativo de la Función Pública, en la cual solicita: </w:t>
      </w:r>
      <w:bookmarkStart w:id="1" w:name="_Hlk95313578"/>
    </w:p>
    <w:p w14:paraId="60D37ADB" w14:textId="77777777" w:rsidR="001A629E" w:rsidRDefault="001A629E" w:rsidP="001A629E">
      <w:pPr>
        <w:spacing w:after="0" w:line="240" w:lineRule="auto"/>
        <w:ind w:right="709"/>
        <w:jc w:val="both"/>
        <w:rPr>
          <w:rFonts w:ascii="Verdana" w:eastAsia="Century Gothic" w:hAnsi="Verdana" w:cs="Century Gothic"/>
          <w:i/>
          <w:iCs/>
          <w:color w:val="000000" w:themeColor="text1"/>
          <w:sz w:val="20"/>
          <w:szCs w:val="20"/>
          <w:lang w:val="es-ES"/>
        </w:rPr>
      </w:pPr>
    </w:p>
    <w:bookmarkEnd w:id="1"/>
    <w:p w14:paraId="2C1D1CDE" w14:textId="77777777" w:rsidR="001A629E" w:rsidRPr="00970C7D" w:rsidRDefault="001A629E" w:rsidP="001A629E">
      <w:pPr>
        <w:spacing w:after="0" w:line="240" w:lineRule="auto"/>
        <w:ind w:left="709" w:right="709"/>
        <w:jc w:val="both"/>
        <w:rPr>
          <w:rFonts w:ascii="Verdana" w:eastAsia="Century Gothic" w:hAnsi="Verdana" w:cs="Century Gothic"/>
          <w:i/>
          <w:iCs/>
          <w:color w:val="000000" w:themeColor="text1"/>
          <w:sz w:val="20"/>
          <w:szCs w:val="20"/>
        </w:rPr>
      </w:pPr>
      <w:r w:rsidRPr="00733AEE">
        <w:rPr>
          <w:rFonts w:ascii="Verdana" w:eastAsia="Century Gothic" w:hAnsi="Verdana" w:cs="Century Gothic"/>
          <w:i/>
          <w:iCs/>
          <w:color w:val="000000" w:themeColor="text1"/>
          <w:sz w:val="20"/>
          <w:szCs w:val="20"/>
          <w:lang w:val="es-ES"/>
        </w:rPr>
        <w:lastRenderedPageBreak/>
        <w:t>“</w:t>
      </w:r>
      <w:r w:rsidRPr="00E4271C">
        <w:rPr>
          <w:rFonts w:ascii="Verdana" w:eastAsia="Century Gothic" w:hAnsi="Verdana" w:cs="Century Gothic"/>
          <w:i/>
          <w:iCs/>
          <w:color w:val="000000" w:themeColor="text1"/>
          <w:sz w:val="20"/>
          <w:szCs w:val="20"/>
        </w:rPr>
        <w:t xml:space="preserve">1. </w:t>
      </w:r>
      <w:r w:rsidRPr="00825B18">
        <w:rPr>
          <w:rFonts w:ascii="Verdana" w:eastAsia="Century Gothic" w:hAnsi="Verdana" w:cs="Century Gothic"/>
          <w:i/>
          <w:iCs/>
          <w:color w:val="000000" w:themeColor="text1"/>
          <w:sz w:val="20"/>
          <w:szCs w:val="20"/>
        </w:rPr>
        <w:t>Inhabilidad para contratación: Si existe algún tipo de inhabilidad o incompatibilidad para que, habiendo sido funcionaria de la Contraloría Departamental de Arauca, pueda ser vinculada mediante contrato o nombramiento en una Alcaldía, en la Gobernación del departamento o en cualquier entidad descentralizada del orden departamental o municipal.</w:t>
      </w:r>
      <w:r>
        <w:rPr>
          <w:rFonts w:ascii="Verdana" w:eastAsia="Century Gothic" w:hAnsi="Verdana" w:cs="Century Gothic"/>
          <w:i/>
          <w:iCs/>
          <w:color w:val="000000" w:themeColor="text1"/>
          <w:sz w:val="20"/>
          <w:szCs w:val="20"/>
        </w:rPr>
        <w:t>”</w:t>
      </w:r>
      <w:r w:rsidRPr="00825B18">
        <w:rPr>
          <w:rFonts w:ascii="Verdana" w:eastAsia="Century Gothic" w:hAnsi="Verdana" w:cs="Century Gothic"/>
          <w:i/>
          <w:iCs/>
          <w:color w:val="000000" w:themeColor="text1"/>
          <w:sz w:val="20"/>
          <w:szCs w:val="20"/>
        </w:rPr>
        <w:t xml:space="preserve"> </w:t>
      </w:r>
    </w:p>
    <w:p w14:paraId="73E94D68" w14:textId="77777777" w:rsidR="001A629E" w:rsidRDefault="001A629E" w:rsidP="001A629E">
      <w:pPr>
        <w:spacing w:after="120" w:line="276" w:lineRule="auto"/>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8E4F36">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84B8A0A" w14:textId="77777777" w:rsidR="001A629E" w:rsidRPr="00054383" w:rsidRDefault="001A629E" w:rsidP="001A629E">
      <w:pPr>
        <w:spacing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w:t>
      </w:r>
      <w:r>
        <w:rPr>
          <w:rFonts w:ascii="Verdana" w:eastAsia="Calibri" w:hAnsi="Verdana" w:cs="Arial"/>
          <w:color w:val="000000"/>
          <w:lang w:eastAsia="es-ES"/>
        </w:rPr>
        <w:t>a</w:t>
      </w:r>
      <w:r w:rsidRPr="008E4F36">
        <w:rPr>
          <w:rFonts w:ascii="Verdana" w:eastAsia="Calibri" w:hAnsi="Verdana" w:cs="Arial"/>
          <w:color w:val="000000"/>
          <w:lang w:eastAsia="es-ES"/>
        </w:rPr>
        <w:t xml:space="preserv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64FB73D4" w14:textId="77777777" w:rsidR="001A629E" w:rsidRPr="008E4F36" w:rsidRDefault="001A629E" w:rsidP="001A629E">
      <w:pPr>
        <w:spacing w:after="0" w:line="276" w:lineRule="auto"/>
        <w:ind w:firstLine="709"/>
        <w:jc w:val="both"/>
        <w:rPr>
          <w:rFonts w:ascii="Verdana" w:eastAsia="Calibri" w:hAnsi="Verdana" w:cs="Arial"/>
          <w:color w:val="000000"/>
          <w:lang w:eastAsia="es-ES"/>
        </w:rPr>
      </w:pPr>
    </w:p>
    <w:p w14:paraId="1D976FD3" w14:textId="77777777" w:rsidR="001A629E" w:rsidRPr="00465DE7" w:rsidRDefault="001A629E" w:rsidP="001A629E">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1. </w:t>
      </w:r>
      <w:r w:rsidRPr="00465DE7">
        <w:rPr>
          <w:rFonts w:ascii="Verdana" w:eastAsia="Century Gothic" w:hAnsi="Verdana" w:cs="Century Gothic"/>
          <w:b/>
          <w:bCs/>
        </w:rPr>
        <w:t>Problema planteado:</w:t>
      </w:r>
    </w:p>
    <w:p w14:paraId="55A9A307" w14:textId="77777777" w:rsidR="001A629E" w:rsidRDefault="001A629E" w:rsidP="001A629E">
      <w:pPr>
        <w:spacing w:after="0" w:line="276" w:lineRule="auto"/>
        <w:ind w:firstLine="709"/>
        <w:jc w:val="both"/>
        <w:rPr>
          <w:rFonts w:ascii="Verdana" w:eastAsia="Calibri" w:hAnsi="Verdana" w:cs="Arial"/>
          <w:color w:val="000000"/>
          <w:highlight w:val="yellow"/>
          <w:lang w:eastAsia="es-ES"/>
        </w:rPr>
      </w:pPr>
    </w:p>
    <w:p w14:paraId="67E03847" w14:textId="77777777" w:rsidR="001A629E" w:rsidRDefault="001A629E" w:rsidP="001A629E">
      <w:pPr>
        <w:spacing w:after="0" w:line="276" w:lineRule="auto"/>
        <w:jc w:val="both"/>
        <w:rPr>
          <w:rFonts w:ascii="Verdana" w:eastAsia="Century Gothic" w:hAnsi="Verdana" w:cs="Century Gothic"/>
        </w:rPr>
      </w:pPr>
      <w:r w:rsidRPr="67C56047">
        <w:rPr>
          <w:rFonts w:ascii="Verdana" w:eastAsia="Calibri" w:hAnsi="Verdana" w:cs="Arial"/>
          <w:color w:val="000000" w:themeColor="text1"/>
          <w:lang w:eastAsia="es-ES"/>
        </w:rPr>
        <w:t xml:space="preserve">De acuerdo con el contenido de su solicitud, esta Agencia resolverá el siguiente problema jurídico: </w:t>
      </w:r>
      <w:r w:rsidRPr="007F45B2">
        <w:rPr>
          <w:rFonts w:ascii="Verdana" w:eastAsia="Century Gothic" w:hAnsi="Verdana" w:cs="Century Gothic"/>
        </w:rPr>
        <w:t xml:space="preserve">¿Existe alguna inhabilidad o incompatibilidad legal que impida a una exfuncionaria de </w:t>
      </w:r>
      <w:r>
        <w:rPr>
          <w:rFonts w:ascii="Verdana" w:eastAsia="Century Gothic" w:hAnsi="Verdana" w:cs="Century Gothic"/>
        </w:rPr>
        <w:t xml:space="preserve">una </w:t>
      </w:r>
      <w:r w:rsidRPr="007F45B2">
        <w:rPr>
          <w:rFonts w:ascii="Verdana" w:eastAsia="Century Gothic" w:hAnsi="Verdana" w:cs="Century Gothic"/>
        </w:rPr>
        <w:t>Contraloría Departamental ser vinculada mediante contrato en una alcaldía,</w:t>
      </w:r>
      <w:r>
        <w:rPr>
          <w:rFonts w:ascii="Verdana" w:eastAsia="Century Gothic" w:hAnsi="Verdana" w:cs="Century Gothic"/>
        </w:rPr>
        <w:t xml:space="preserve"> </w:t>
      </w:r>
      <w:r w:rsidRPr="007F45B2">
        <w:rPr>
          <w:rFonts w:ascii="Verdana" w:eastAsia="Century Gothic" w:hAnsi="Verdana" w:cs="Century Gothic"/>
        </w:rPr>
        <w:t>Gobernación o en una entidad descentralizada del orden departamental o municipal?</w:t>
      </w:r>
    </w:p>
    <w:p w14:paraId="1FDBFBD9" w14:textId="77777777" w:rsidR="001A629E" w:rsidRPr="00284526" w:rsidRDefault="001A629E" w:rsidP="001A629E">
      <w:pPr>
        <w:spacing w:after="0" w:line="276" w:lineRule="auto"/>
        <w:jc w:val="both"/>
        <w:rPr>
          <w:rFonts w:ascii="Verdana" w:eastAsia="Century Gothic" w:hAnsi="Verdana" w:cs="Century Gothic"/>
        </w:rPr>
      </w:pPr>
    </w:p>
    <w:p w14:paraId="55597791" w14:textId="77777777" w:rsidR="001A629E" w:rsidRDefault="001A629E" w:rsidP="001A629E">
      <w:pPr>
        <w:spacing w:after="0" w:line="276" w:lineRule="auto"/>
        <w:jc w:val="both"/>
        <w:rPr>
          <w:rFonts w:ascii="Verdana" w:eastAsia="Century Gothic" w:hAnsi="Verdana" w:cs="Century Gothic"/>
          <w:b/>
          <w:bCs/>
        </w:rPr>
      </w:pPr>
      <w:r w:rsidRPr="00726690">
        <w:rPr>
          <w:rFonts w:ascii="Verdana" w:eastAsia="Century Gothic" w:hAnsi="Verdana" w:cs="Century Gothic"/>
          <w:b/>
          <w:bCs/>
        </w:rPr>
        <w:t xml:space="preserve">2. Respuesta: </w:t>
      </w:r>
    </w:p>
    <w:p w14:paraId="644CD74E" w14:textId="77777777" w:rsidR="001A629E" w:rsidRDefault="001A629E" w:rsidP="001A629E">
      <w:pPr>
        <w:spacing w:after="0" w:line="276" w:lineRule="auto"/>
        <w:jc w:val="both"/>
        <w:rPr>
          <w:rFonts w:ascii="Verdana" w:eastAsia="Century Gothic" w:hAnsi="Verdana" w:cs="Century Gothic"/>
          <w:b/>
          <w:bCs/>
        </w:rPr>
      </w:pPr>
    </w:p>
    <w:p w14:paraId="72ECBF2C" w14:textId="77777777" w:rsidR="001A629E" w:rsidRDefault="001A629E" w:rsidP="001A629E">
      <w:pPr>
        <w:pBdr>
          <w:top w:val="single" w:sz="4" w:space="1" w:color="auto"/>
          <w:left w:val="single" w:sz="4" w:space="4" w:color="auto"/>
          <w:bottom w:val="single" w:sz="4" w:space="1" w:color="auto"/>
          <w:right w:val="single" w:sz="4" w:space="4" w:color="auto"/>
        </w:pBdr>
        <w:spacing w:after="120" w:line="276" w:lineRule="auto"/>
        <w:jc w:val="both"/>
        <w:rPr>
          <w:rFonts w:ascii="Verdana" w:hAnsi="Verdana"/>
        </w:rPr>
      </w:pPr>
      <w:r w:rsidRPr="00AC1E8F">
        <w:rPr>
          <w:rFonts w:ascii="Verdana" w:hAnsi="Verdana"/>
        </w:rPr>
        <w:t xml:space="preserve">Sí. Existen restricciones contempladas en el numeral 2 del artículo 8 de la Ley 80 de 1993. De conformidad con el literal f) de dicha disposición, adicionado por el artículo 4 de la Ley 1474 de 2011, se configura una incompatibilidad de </w:t>
      </w:r>
      <w:r w:rsidRPr="00AC1E8F">
        <w:rPr>
          <w:rFonts w:ascii="Verdana" w:hAnsi="Verdana"/>
        </w:rPr>
        <w:lastRenderedPageBreak/>
        <w:t>manera directa respecto de las personas naturales que hayan ejercido cargos del nivel directivo en entidades estatales y, de manera indirecta, respecto de las sociedades a las cuales dichos exservidores públicos se encuentren vinculados a cualquier título. Esta restricción a la capacidad para contratar con el Estado aplica únicamente frente a objetos contractuales relacionados con el sector en el cual el exfuncionario prestó sus servicios y se extiende durante los dos (2) años siguientes a su retiro del cargo.</w:t>
      </w:r>
    </w:p>
    <w:p w14:paraId="7F6EF424" w14:textId="77777777" w:rsidR="001A629E" w:rsidRDefault="001A629E" w:rsidP="001A629E">
      <w:pPr>
        <w:pBdr>
          <w:top w:val="single" w:sz="4" w:space="1" w:color="auto"/>
          <w:left w:val="single" w:sz="4" w:space="4" w:color="auto"/>
          <w:bottom w:val="single" w:sz="4" w:space="1" w:color="auto"/>
          <w:right w:val="single" w:sz="4" w:space="4" w:color="auto"/>
        </w:pBdr>
        <w:spacing w:after="120" w:line="276" w:lineRule="auto"/>
        <w:jc w:val="both"/>
        <w:rPr>
          <w:rFonts w:ascii="Verdana" w:hAnsi="Verdana"/>
        </w:rPr>
      </w:pPr>
      <w:r w:rsidRPr="00AC1E8F">
        <w:rPr>
          <w:rFonts w:ascii="Verdana" w:hAnsi="Verdana"/>
        </w:rPr>
        <w:t>Ahora bien, para determinar el alcance de la expresión “sector” debe tenerse en cuenta que la autonomía de las entidades territoriales para definir su estructura administrativa no es absoluta, sino que debe armonizarse con la potestad de configuración legislativa y con el carácter unitario del Estado. En consecuencia, si conforme a las disposiciones departamentales o municipales la entidad con la cual pretende contratar el exservidor público, la sociedad de la que haga parte o sus parientes en primer grado de consanguinidad, primero de afinidad o primero civil, integra el mismo sector administrativo en el que aquel desempeñó funciones directivas, se configurará la incompatibilidad prevista en el literal f) del numeral 2 del artículo 8 de la Ley 80 de 1993, durante los dos (2) años siguientes a la terminación de su vínculo con la entidad pública.</w:t>
      </w:r>
      <w:r>
        <w:rPr>
          <w:rFonts w:ascii="Verdana" w:hAnsi="Verdana"/>
        </w:rPr>
        <w:t xml:space="preserve"> </w:t>
      </w:r>
    </w:p>
    <w:p w14:paraId="5E98FE57" w14:textId="77777777" w:rsidR="001A629E" w:rsidRPr="00AC1E8F" w:rsidRDefault="001A629E" w:rsidP="001A629E">
      <w:pPr>
        <w:pBdr>
          <w:top w:val="single" w:sz="4" w:space="1" w:color="auto"/>
          <w:left w:val="single" w:sz="4" w:space="4" w:color="auto"/>
          <w:bottom w:val="single" w:sz="4" w:space="1" w:color="auto"/>
          <w:right w:val="single" w:sz="4" w:space="4" w:color="auto"/>
        </w:pBdr>
        <w:spacing w:after="120" w:line="276" w:lineRule="auto"/>
        <w:jc w:val="both"/>
        <w:rPr>
          <w:rFonts w:ascii="Verdana" w:hAnsi="Verdana"/>
        </w:rPr>
      </w:pPr>
      <w:r w:rsidRPr="0093542D">
        <w:rPr>
          <w:rFonts w:ascii="Verdana" w:hAnsi="Verdana"/>
        </w:rPr>
        <w:t>Consecuente con lo anterior, queda claro que no se pueden celebrar contratos estatales cuyo objeto se relacione con el sector en el cual se desempeñó el exempleado público durante los términos establecidos anteriormente. Dicho de otro modo, tras haber dejado el cargo el servidor público, comienza a correr el término en el cual se aplica la restricción. Esto significa que cuando tal período haya transcurrido, en principio, los sujetos a los que se refieren las causales mencionadas recobran la capacidad para celebrar contratos estatales, salvo que estén afectados por otras causales de inhabilidad o de incompatibilidad.</w:t>
      </w:r>
      <w:r>
        <w:rPr>
          <w:rFonts w:ascii="Verdana" w:hAnsi="Verdana"/>
        </w:rPr>
        <w:t xml:space="preserve"> </w:t>
      </w:r>
      <w:r w:rsidRPr="0093542D">
        <w:rPr>
          <w:rFonts w:ascii="Verdana" w:hAnsi="Verdana"/>
        </w:rPr>
        <w:t>Finalmente, debe advertirse que el análisis en torno a un proceso de contratación especifico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2E6233C9" w14:textId="77777777" w:rsidR="001A629E" w:rsidRDefault="001A629E" w:rsidP="001A629E">
      <w:pPr>
        <w:spacing w:after="0" w:line="276" w:lineRule="auto"/>
      </w:pPr>
    </w:p>
    <w:p w14:paraId="08697A3E" w14:textId="77777777" w:rsidR="001A629E" w:rsidRPr="00B13B56" w:rsidRDefault="001A629E" w:rsidP="001A629E">
      <w:pPr>
        <w:spacing w:after="0" w:line="276" w:lineRule="auto"/>
        <w:rPr>
          <w:rFonts w:ascii="Verdana" w:eastAsia="Century Gothic" w:hAnsi="Verdana" w:cs="Century Gothic"/>
          <w:b/>
          <w:bCs/>
        </w:rPr>
      </w:pPr>
      <w:r w:rsidRPr="00B13B56">
        <w:rPr>
          <w:rFonts w:ascii="Verdana" w:eastAsia="Century Gothic" w:hAnsi="Verdana" w:cs="Century Gothic"/>
          <w:b/>
          <w:bCs/>
        </w:rPr>
        <w:t xml:space="preserve">3. Razones de la respuesta: </w:t>
      </w:r>
    </w:p>
    <w:p w14:paraId="5183564B" w14:textId="77777777" w:rsidR="001A629E" w:rsidRPr="00284526" w:rsidRDefault="001A629E" w:rsidP="001A629E">
      <w:pPr>
        <w:spacing w:after="0" w:line="276" w:lineRule="auto"/>
        <w:jc w:val="both"/>
        <w:rPr>
          <w:rFonts w:ascii="Verdana" w:eastAsia="Century Gothic" w:hAnsi="Verdana" w:cs="Century Gothic"/>
        </w:rPr>
      </w:pPr>
    </w:p>
    <w:p w14:paraId="369256CF" w14:textId="77777777" w:rsidR="001A629E" w:rsidRDefault="001A629E" w:rsidP="001A629E">
      <w:pPr>
        <w:spacing w:after="0" w:line="276" w:lineRule="auto"/>
        <w:jc w:val="both"/>
        <w:rPr>
          <w:rFonts w:ascii="Verdana" w:eastAsia="Century Gothic" w:hAnsi="Verdana" w:cs="Century Gothic"/>
        </w:rPr>
      </w:pPr>
      <w:r>
        <w:rPr>
          <w:rFonts w:ascii="Verdana" w:eastAsia="Century Gothic" w:hAnsi="Verdana" w:cs="Century Gothic"/>
        </w:rPr>
        <w:t>Lo anterior se sustenta en las siguientes consideraciones:</w:t>
      </w:r>
    </w:p>
    <w:p w14:paraId="27191BB1" w14:textId="77777777" w:rsidR="001A629E" w:rsidRPr="00284526" w:rsidRDefault="001A629E" w:rsidP="001A629E">
      <w:pPr>
        <w:spacing w:after="0" w:line="276" w:lineRule="auto"/>
        <w:jc w:val="both"/>
        <w:rPr>
          <w:rFonts w:ascii="Verdana" w:eastAsia="Century Gothic" w:hAnsi="Verdana" w:cs="Century Gothic"/>
        </w:rPr>
      </w:pPr>
    </w:p>
    <w:p w14:paraId="09481CA3" w14:textId="77777777" w:rsidR="001A629E" w:rsidRDefault="001A629E" w:rsidP="001A629E">
      <w:pPr>
        <w:spacing w:after="120" w:line="276" w:lineRule="auto"/>
        <w:jc w:val="both"/>
        <w:rPr>
          <w:rFonts w:ascii="Verdana" w:eastAsia="Century Gothic" w:hAnsi="Verdana" w:cs="Century Gothic"/>
        </w:rPr>
      </w:pPr>
      <w:r>
        <w:rPr>
          <w:rFonts w:ascii="Verdana" w:eastAsia="Century Gothic" w:hAnsi="Verdana" w:cs="Century Gothic"/>
        </w:rPr>
        <w:t xml:space="preserve">En la contratación estatal, la </w:t>
      </w:r>
      <w:r w:rsidRPr="002F2B6D">
        <w:rPr>
          <w:rFonts w:ascii="Verdana" w:eastAsia="Century Gothic" w:hAnsi="Verdana" w:cs="Century Gothic"/>
          <w:i/>
        </w:rPr>
        <w:t>capacidad</w:t>
      </w:r>
      <w:r>
        <w:rPr>
          <w:rFonts w:ascii="Verdana" w:eastAsia="Century Gothic" w:hAnsi="Verdana" w:cs="Century Gothic"/>
        </w:rPr>
        <w:t xml:space="preserve"> también es un requisito de validez de los contratos, tanto en el régimen de las entidades sujetas al Estatuto General de Contratación de la Administración </w:t>
      </w:r>
      <w:proofErr w:type="spellStart"/>
      <w:r>
        <w:rPr>
          <w:rFonts w:ascii="Verdana" w:eastAsia="Century Gothic" w:hAnsi="Verdana" w:cs="Century Gothic"/>
        </w:rPr>
        <w:t>Publica</w:t>
      </w:r>
      <w:proofErr w:type="spellEnd"/>
      <w:r>
        <w:rPr>
          <w:rStyle w:val="Refdenotaalpie"/>
          <w:rFonts w:ascii="Verdana" w:eastAsia="Century Gothic" w:hAnsi="Verdana" w:cs="Century Gothic"/>
        </w:rPr>
        <w:footnoteReference w:id="1"/>
      </w:r>
      <w:r>
        <w:rPr>
          <w:rFonts w:ascii="Verdana" w:eastAsia="Century Gothic" w:hAnsi="Verdana" w:cs="Century Gothic"/>
        </w:rPr>
        <w:t xml:space="preserve"> como en el de las entidades exceptuadas de aquel</w:t>
      </w:r>
      <w:r>
        <w:rPr>
          <w:rStyle w:val="Refdenotaalpie"/>
          <w:rFonts w:ascii="Verdana" w:eastAsia="Century Gothic" w:hAnsi="Verdana" w:cs="Century Gothic"/>
        </w:rPr>
        <w:footnoteReference w:id="2"/>
      </w:r>
      <w:r>
        <w:rPr>
          <w:rFonts w:ascii="Verdana" w:eastAsia="Century Gothic" w:hAnsi="Verdana" w:cs="Century Gothic"/>
        </w:rPr>
        <w:t>. Si bien la regulación de la capacidad en el contrato de prestación de servicios se integra por varias disposiciones y exigencias especiales, se destaca el régimen de inhabilidades e incompatibilidades como un conjunto de normas que imponen restricciones para los sujetos que, eventualmente, pretendan participar en los procedimientos de selección o celebrar contratos con las entidades estatales</w:t>
      </w:r>
      <w:r>
        <w:rPr>
          <w:rStyle w:val="Refdenotaalpie"/>
          <w:rFonts w:ascii="Verdana" w:eastAsia="Century Gothic" w:hAnsi="Verdana" w:cs="Century Gothic"/>
        </w:rPr>
        <w:footnoteReference w:id="3"/>
      </w:r>
      <w:r>
        <w:rPr>
          <w:rFonts w:ascii="Verdana" w:eastAsia="Century Gothic" w:hAnsi="Verdana" w:cs="Century Gothic"/>
        </w:rPr>
        <w:t xml:space="preserve">. </w:t>
      </w:r>
    </w:p>
    <w:p w14:paraId="2E7F49B2" w14:textId="77777777" w:rsidR="001A629E" w:rsidRDefault="001A629E" w:rsidP="001A629E">
      <w:pPr>
        <w:spacing w:after="120" w:line="276" w:lineRule="auto"/>
        <w:ind w:firstLine="709"/>
        <w:jc w:val="both"/>
        <w:rPr>
          <w:rFonts w:ascii="Verdana" w:eastAsia="Century Gothic" w:hAnsi="Verdana" w:cs="Century Gothic"/>
        </w:rPr>
      </w:pPr>
      <w:r>
        <w:rPr>
          <w:rFonts w:ascii="Verdana" w:eastAsia="Century Gothic" w:hAnsi="Verdana" w:cs="Century Gothic"/>
        </w:rPr>
        <w:lastRenderedPageBreak/>
        <w:t>Las inhabilidades son prohibiciones para concurrir a los procedimientos de selección y para contratar con el Estado, que se derivan i) de la existencia de comportamientos reprochables o de sanciones anteriormente impuestas</w:t>
      </w:r>
      <w:r>
        <w:rPr>
          <w:rStyle w:val="Refdenotaalpie"/>
          <w:rFonts w:ascii="Verdana" w:eastAsia="Century Gothic" w:hAnsi="Verdana" w:cs="Century Gothic"/>
        </w:rPr>
        <w:footnoteReference w:id="4"/>
      </w:r>
      <w:r>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de vinculaos personales relativos al parentesco o al estado civil</w:t>
      </w:r>
      <w:r>
        <w:rPr>
          <w:rStyle w:val="Refdenotaalpie"/>
          <w:rFonts w:ascii="Verdana" w:eastAsia="Century Gothic" w:hAnsi="Verdana" w:cs="Century Gothic"/>
        </w:rPr>
        <w:footnoteReference w:id="5"/>
      </w:r>
      <w:r>
        <w:rPr>
          <w:rFonts w:ascii="Verdana" w:eastAsia="Century Gothic" w:hAnsi="Verdana" w:cs="Century Gothic"/>
        </w:rPr>
        <w:t xml:space="preserve"> o </w:t>
      </w:r>
      <w:proofErr w:type="spellStart"/>
      <w:r>
        <w:rPr>
          <w:rFonts w:ascii="Verdana" w:eastAsia="Century Gothic" w:hAnsi="Verdana" w:cs="Century Gothic"/>
        </w:rPr>
        <w:t>iii</w:t>
      </w:r>
      <w:proofErr w:type="spellEnd"/>
      <w:r>
        <w:rPr>
          <w:rFonts w:ascii="Verdana" w:eastAsia="Century Gothic" w:hAnsi="Verdana" w:cs="Century Gothic"/>
        </w:rPr>
        <w:t>) de una actividad u oficio que se desempeñó en el pasado</w:t>
      </w:r>
      <w:r>
        <w:rPr>
          <w:rStyle w:val="Refdenotaalpie"/>
          <w:rFonts w:ascii="Verdana" w:eastAsia="Century Gothic" w:hAnsi="Verdana" w:cs="Century Gothic"/>
        </w:rPr>
        <w:footnoteReference w:id="6"/>
      </w:r>
      <w:r>
        <w:rPr>
          <w:rFonts w:ascii="Verdana" w:eastAsia="Century Gothic" w:hAnsi="Verdana" w:cs="Century Gothic"/>
        </w:rPr>
        <w:t xml:space="preserve">. De otro lado, las </w:t>
      </w:r>
      <w:r>
        <w:rPr>
          <w:rFonts w:ascii="Verdana" w:eastAsia="Century Gothic" w:hAnsi="Verdana" w:cs="Century Gothic"/>
        </w:rPr>
        <w:lastRenderedPageBreak/>
        <w:t>incompatibilidades son prohibiciones para participar en los procedimientos de selección y para celebrar contratos estatales, fundadas en la presencia de una calidad que ostenta el sujeto interesado en realizar alguna de dichas actividades, que no pueden coexistir con su calidad de proponente o contratista del Estado</w:t>
      </w:r>
      <w:r>
        <w:rPr>
          <w:rStyle w:val="Refdenotaalpie"/>
          <w:rFonts w:ascii="Verdana" w:eastAsia="Century Gothic" w:hAnsi="Verdana" w:cs="Century Gothic"/>
        </w:rPr>
        <w:footnoteReference w:id="7"/>
      </w:r>
      <w:r>
        <w:rPr>
          <w:rFonts w:ascii="Verdana" w:eastAsia="Century Gothic" w:hAnsi="Verdana" w:cs="Century Gothic"/>
        </w:rPr>
        <w:t>.</w:t>
      </w:r>
    </w:p>
    <w:p w14:paraId="643AF925" w14:textId="77777777" w:rsidR="001A629E" w:rsidRDefault="001A629E" w:rsidP="001A629E">
      <w:pPr>
        <w:spacing w:after="120" w:line="276" w:lineRule="auto"/>
        <w:ind w:firstLine="709"/>
        <w:jc w:val="both"/>
        <w:rPr>
          <w:rFonts w:ascii="Verdana" w:eastAsia="Century Gothic" w:hAnsi="Verdana" w:cs="Century Gothic"/>
        </w:rPr>
      </w:pPr>
      <w:r>
        <w:rPr>
          <w:rFonts w:ascii="Verdana" w:eastAsia="Century Gothic" w:hAnsi="Verdana" w:cs="Century Gothic"/>
        </w:rPr>
        <w:t xml:space="preserve">En el régimen de inhabilidades e incompatibilidades en la contratación pública responde a la tendencia de asegurar que la provisión de los bienes y servicios por parte de las entidades estatales se efectúe cumpliendo con los principios de la función administrativa y de la gestión fiscal, especialmente con probidad y transparencia. Es por eso </w:t>
      </w:r>
      <w:proofErr w:type="gramStart"/>
      <w:r>
        <w:rPr>
          <w:rFonts w:ascii="Verdana" w:eastAsia="Century Gothic" w:hAnsi="Verdana" w:cs="Century Gothic"/>
        </w:rPr>
        <w:t>que</w:t>
      </w:r>
      <w:proofErr w:type="gramEnd"/>
      <w:r>
        <w:rPr>
          <w:rFonts w:ascii="Verdana" w:eastAsia="Century Gothic" w:hAnsi="Verdana" w:cs="Century Gothic"/>
        </w:rPr>
        <w:t>, como lo ha destacado la doctrina, las inhabilidades e incompatibilidades son herramientas en la lucha contra la corrupción, adoptando paulatinamente un carácter sancionatorio o “</w:t>
      </w:r>
      <w:proofErr w:type="spellStart"/>
      <w:r>
        <w:rPr>
          <w:rFonts w:ascii="Verdana" w:eastAsia="Century Gothic" w:hAnsi="Verdana" w:cs="Century Gothic"/>
        </w:rPr>
        <w:t>neopunitivo</w:t>
      </w:r>
      <w:proofErr w:type="spellEnd"/>
      <w:r>
        <w:rPr>
          <w:rFonts w:ascii="Verdana" w:eastAsia="Century Gothic" w:hAnsi="Verdana" w:cs="Century Gothic"/>
        </w:rPr>
        <w:t>”</w:t>
      </w:r>
      <w:r>
        <w:rPr>
          <w:rStyle w:val="Refdenotaalpie"/>
          <w:rFonts w:ascii="Verdana" w:eastAsia="Century Gothic" w:hAnsi="Verdana" w:cs="Century Gothic"/>
        </w:rPr>
        <w:footnoteReference w:id="8"/>
      </w:r>
      <w:r>
        <w:rPr>
          <w:rFonts w:ascii="Verdana" w:eastAsia="Century Gothic" w:hAnsi="Verdana" w:cs="Century Gothic"/>
        </w:rPr>
        <w:t xml:space="preserve">. Si bien todas las causales de inhabilidad y de incompatibilidad son consecuencia de una medida de reproche ni de una sanción previa, como ya se explicó, es indiscutible que en los años </w:t>
      </w:r>
      <w:proofErr w:type="spellStart"/>
      <w:r>
        <w:rPr>
          <w:rFonts w:ascii="Verdana" w:eastAsia="Century Gothic" w:hAnsi="Verdana" w:cs="Century Gothic"/>
        </w:rPr>
        <w:t>mas</w:t>
      </w:r>
      <w:proofErr w:type="spellEnd"/>
      <w:r>
        <w:rPr>
          <w:rFonts w:ascii="Verdana" w:eastAsia="Century Gothic" w:hAnsi="Verdana" w:cs="Century Gothic"/>
        </w:rPr>
        <w:t xml:space="preserve"> recientes los lamentables hechos de corrupción han generado, como respuesta del legislador, un incremento de las restricciones a la capacidad contractual, dirigidas a prevenir este tipo de situaciones o a sancionar tales conductas.</w:t>
      </w:r>
    </w:p>
    <w:p w14:paraId="4574E538" w14:textId="77777777" w:rsidR="001A629E" w:rsidRDefault="001A629E" w:rsidP="001A629E">
      <w:pPr>
        <w:spacing w:after="120" w:line="276" w:lineRule="auto"/>
        <w:ind w:firstLine="709"/>
        <w:jc w:val="both"/>
        <w:rPr>
          <w:rFonts w:ascii="Verdana" w:eastAsia="Century Gothic" w:hAnsi="Verdana" w:cs="Century Gothic"/>
        </w:rPr>
      </w:pPr>
      <w:r>
        <w:rPr>
          <w:rFonts w:ascii="Verdana" w:eastAsia="Century Gothic" w:hAnsi="Verdana" w:cs="Century Gothic"/>
        </w:rPr>
        <w:t>Ahora bien, las inhabilidades e incompatibilidades - como ya se dijo – al ser restricciones o limites especiales a la capacidad para presentar ofertas y celebrar contratos estatales solo pueden tipificarse en la ley – ósea, deben satisfacer el principio de legalidad – y su interpretación debe ser restrictiva</w:t>
      </w:r>
      <w:r>
        <w:rPr>
          <w:rStyle w:val="Refdenotaalpie"/>
          <w:rFonts w:ascii="Verdana" w:eastAsia="Century Gothic" w:hAnsi="Verdana" w:cs="Century Gothic"/>
        </w:rPr>
        <w:footnoteReference w:id="9"/>
      </w:r>
      <w:r>
        <w:rPr>
          <w:rFonts w:ascii="Verdana" w:eastAsia="Century Gothic" w:hAnsi="Verdana" w:cs="Century Gothic"/>
        </w:rPr>
        <w:t xml:space="preserve">. En efecto, si se admitiera una interpretación amplia, extensiva o finalista de las mismas, tales enunciados normativos podrían contemplar múltiples supuestos indeterminados, según el parecer o el sentido común de los operadores jurídicos, </w:t>
      </w:r>
      <w:r>
        <w:rPr>
          <w:rFonts w:ascii="Verdana" w:eastAsia="Century Gothic" w:hAnsi="Verdana" w:cs="Century Gothic"/>
        </w:rPr>
        <w:lastRenderedPageBreak/>
        <w:t>poniendo en riesgo principios como la igualdad, el debido proceso, la libre concurrencia y el ejercicio de la profesión u oficio. Tal ha sido la postura al interior de la jurisprudencia, tanto de la Corte Constitucional como de la Sección Tercera del Consejo de Estado.</w:t>
      </w:r>
    </w:p>
    <w:p w14:paraId="308A7AF3" w14:textId="77777777" w:rsidR="001A629E" w:rsidRDefault="001A629E" w:rsidP="001A629E">
      <w:pPr>
        <w:spacing w:after="0" w:line="276" w:lineRule="auto"/>
        <w:ind w:firstLine="709"/>
        <w:jc w:val="both"/>
        <w:rPr>
          <w:rFonts w:ascii="Verdana" w:eastAsia="Calibri" w:hAnsi="Verdana" w:cs="Arial"/>
          <w:color w:val="000000" w:themeColor="text1"/>
          <w:lang w:val="es-ES_tradnl"/>
        </w:rPr>
      </w:pPr>
      <w:r w:rsidRPr="00135CB1">
        <w:rPr>
          <w:rFonts w:ascii="Verdana" w:eastAsia="Calibri" w:hAnsi="Verdana" w:cs="Arial"/>
          <w:color w:val="000000" w:themeColor="text1"/>
          <w:lang w:val="es-ES_tradnl"/>
        </w:rPr>
        <w:t xml:space="preserve">En efecto, el máximo tribunal constitucional ha indicado que, al tratar de precisar el sentido de este tipo de normas, </w:t>
      </w:r>
      <w:r>
        <w:rPr>
          <w:rFonts w:ascii="Verdana" w:eastAsia="Calibri" w:hAnsi="Verdana" w:cs="Arial"/>
          <w:color w:val="000000" w:themeColor="text1"/>
          <w:lang w:val="es-ES_tradnl"/>
        </w:rPr>
        <w:t>“</w:t>
      </w:r>
      <w:r w:rsidRPr="00135CB1">
        <w:rPr>
          <w:rFonts w:ascii="Verdana" w:eastAsia="Calibri" w:hAnsi="Verdana" w:cs="Arial"/>
          <w:color w:val="000000" w:themeColor="text1"/>
          <w:lang w:val="es-ES_tradnl"/>
        </w:rPr>
        <w:t xml:space="preserve">[…] el intérprete de las disposiciones legislativas en la materia ha de ceñirse en la mayor medida posible al tenor literal y gramatical de los enunciados normativos, sin que pueda acudir </w:t>
      </w:r>
      <w:r w:rsidRPr="006B79A9">
        <w:rPr>
          <w:rFonts w:ascii="Verdana" w:eastAsia="Calibri" w:hAnsi="Verdana" w:cs="Arial"/>
          <w:i/>
          <w:iCs/>
          <w:color w:val="000000" w:themeColor="text1"/>
          <w:lang w:val="es-ES_tradnl"/>
        </w:rPr>
        <w:t>prima facie</w:t>
      </w:r>
      <w:r w:rsidRPr="00135CB1">
        <w:rPr>
          <w:rFonts w:ascii="Verdana" w:eastAsia="Calibri" w:hAnsi="Verdana" w:cs="Arial"/>
          <w:color w:val="000000" w:themeColor="text1"/>
          <w:lang w:val="es-ES_tradnl"/>
        </w:rPr>
        <w:t xml:space="preserve"> a criterios interpretativos tales como la analogía, la interpretación extensiva para ampliar el alcance de las causales legalmente fijadas</w:t>
      </w:r>
      <w:r>
        <w:rPr>
          <w:rFonts w:ascii="Verdana" w:eastAsia="Calibri" w:hAnsi="Verdana" w:cs="Arial"/>
          <w:color w:val="000000" w:themeColor="text1"/>
          <w:lang w:val="es-ES_tradnl"/>
        </w:rPr>
        <w:t>”</w:t>
      </w:r>
      <w:r>
        <w:rPr>
          <w:rStyle w:val="Refdenotaalpie"/>
          <w:rFonts w:ascii="Verdana" w:eastAsia="Calibri" w:hAnsi="Verdana" w:cs="Arial"/>
          <w:color w:val="000000" w:themeColor="text1"/>
          <w:lang w:val="es-ES_tradnl"/>
        </w:rPr>
        <w:footnoteReference w:id="10"/>
      </w:r>
      <w:r>
        <w:rPr>
          <w:rFonts w:ascii="Verdana" w:eastAsia="Calibri" w:hAnsi="Verdana" w:cs="Arial"/>
          <w:color w:val="000000" w:themeColor="text1"/>
          <w:lang w:val="es-ES_tradnl"/>
        </w:rPr>
        <w:t xml:space="preserve">. </w:t>
      </w:r>
      <w:r w:rsidRPr="00135CB1">
        <w:rPr>
          <w:rFonts w:ascii="Verdana" w:eastAsia="Calibri" w:hAnsi="Verdana" w:cs="Arial"/>
          <w:color w:val="000000" w:themeColor="text1"/>
          <w:lang w:val="es-ES_tradnl"/>
        </w:rPr>
        <w:t xml:space="preserve">Por su parte, el Consejo de Estado ha acogido también este criterio, considerando –como expresa la Sala de Consulta y Servicio Civil–, que </w:t>
      </w:r>
      <w:r>
        <w:rPr>
          <w:rFonts w:ascii="Verdana" w:eastAsia="Calibri" w:hAnsi="Verdana" w:cs="Arial"/>
          <w:color w:val="000000" w:themeColor="text1"/>
          <w:lang w:val="es-ES_tradnl"/>
        </w:rPr>
        <w:t>“</w:t>
      </w:r>
      <w:r w:rsidRPr="00135CB1">
        <w:rPr>
          <w:rFonts w:ascii="Verdana" w:eastAsia="Calibri" w:hAnsi="Verdana" w:cs="Arial"/>
          <w:color w:val="000000" w:themeColor="text1"/>
          <w:lang w:val="es-ES_tradnl"/>
        </w:rPr>
        <w:t>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Pr>
          <w:rFonts w:ascii="Verdana" w:eastAsia="Calibri" w:hAnsi="Verdana" w:cs="Arial"/>
          <w:color w:val="000000" w:themeColor="text1"/>
          <w:lang w:val="es-ES_tradnl"/>
        </w:rPr>
        <w:t>”</w:t>
      </w:r>
      <w:r w:rsidRPr="00135CB1">
        <w:rPr>
          <w:rFonts w:ascii="Verdana" w:eastAsia="Calibri" w:hAnsi="Verdana" w:cs="Arial"/>
          <w:color w:val="000000" w:themeColor="text1"/>
          <w:lang w:val="es-ES_tradnl"/>
        </w:rPr>
        <w:t>. En tal sentido, la Sección Tercera ha señalado que:</w:t>
      </w:r>
    </w:p>
    <w:p w14:paraId="4B9B7B71" w14:textId="77777777" w:rsidR="001A629E" w:rsidRPr="00284526" w:rsidRDefault="001A629E" w:rsidP="001A629E">
      <w:pPr>
        <w:spacing w:after="0" w:line="276" w:lineRule="auto"/>
        <w:ind w:firstLine="709"/>
        <w:jc w:val="both"/>
        <w:rPr>
          <w:rFonts w:ascii="Verdana" w:eastAsia="Calibri" w:hAnsi="Verdana" w:cs="Arial"/>
          <w:color w:val="000000" w:themeColor="text1"/>
          <w:lang w:val="es-ES_tradnl"/>
        </w:rPr>
      </w:pPr>
    </w:p>
    <w:p w14:paraId="26DB7C9D" w14:textId="77777777" w:rsidR="001A629E" w:rsidRPr="000A6C6F" w:rsidRDefault="001A629E" w:rsidP="001A629E">
      <w:pPr>
        <w:spacing w:after="0" w:line="240" w:lineRule="auto"/>
        <w:ind w:left="709" w:right="709"/>
        <w:jc w:val="both"/>
        <w:rPr>
          <w:rFonts w:ascii="Verdana" w:hAnsi="Verdana" w:cs="Arial"/>
          <w:color w:val="000000" w:themeColor="text1"/>
          <w:sz w:val="21"/>
          <w:szCs w:val="21"/>
          <w:lang w:val="es-ES_tradnl"/>
        </w:rPr>
      </w:pPr>
      <w:r w:rsidRPr="000A6C6F">
        <w:rPr>
          <w:rFonts w:ascii="Verdana" w:hAnsi="Verdana" w:cs="Arial"/>
          <w:color w:val="000000" w:themeColor="text1"/>
          <w:sz w:val="21"/>
          <w:szCs w:val="21"/>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0A6C6F">
        <w:rPr>
          <w:rStyle w:val="Refdenotaalpie"/>
          <w:rFonts w:ascii="Verdana" w:hAnsi="Verdana" w:cs="Arial"/>
          <w:color w:val="000000" w:themeColor="text1"/>
          <w:sz w:val="21"/>
          <w:szCs w:val="21"/>
          <w:lang w:val="es-ES_tradnl"/>
        </w:rPr>
        <w:footnoteReference w:id="11"/>
      </w:r>
      <w:r w:rsidRPr="000A6C6F">
        <w:rPr>
          <w:rFonts w:ascii="Verdana" w:hAnsi="Verdana" w:cs="Arial"/>
          <w:color w:val="000000" w:themeColor="text1"/>
          <w:sz w:val="21"/>
          <w:szCs w:val="21"/>
          <w:lang w:val="es-ES_tradnl"/>
        </w:rPr>
        <w:t>.</w:t>
      </w:r>
    </w:p>
    <w:p w14:paraId="4D484F5A" w14:textId="77777777" w:rsidR="001A629E" w:rsidRPr="000A6C6F" w:rsidRDefault="001A629E" w:rsidP="001A629E">
      <w:pPr>
        <w:spacing w:after="0" w:line="240" w:lineRule="auto"/>
        <w:ind w:left="709" w:right="709"/>
        <w:jc w:val="both"/>
        <w:rPr>
          <w:rFonts w:ascii="Verdana" w:eastAsia="Calibri" w:hAnsi="Verdana" w:cs="Arial"/>
          <w:color w:val="000000" w:themeColor="text1"/>
          <w:sz w:val="21"/>
          <w:szCs w:val="21"/>
          <w:lang w:val="es-ES_tradnl"/>
        </w:rPr>
      </w:pPr>
      <w:r w:rsidRPr="000A6C6F">
        <w:rPr>
          <w:rFonts w:ascii="Verdana" w:eastAsia="Calibri" w:hAnsi="Verdana" w:cs="Arial"/>
          <w:color w:val="000000" w:themeColor="text1"/>
          <w:sz w:val="21"/>
          <w:szCs w:val="21"/>
          <w:lang w:val="es-ES_tradnl"/>
        </w:rPr>
        <w:t>También ha dicho que:</w:t>
      </w:r>
    </w:p>
    <w:p w14:paraId="6A191200" w14:textId="77777777" w:rsidR="001A629E" w:rsidRPr="000A6C6F" w:rsidRDefault="001A629E" w:rsidP="001A629E">
      <w:pPr>
        <w:spacing w:after="0" w:line="240" w:lineRule="auto"/>
        <w:ind w:left="709" w:right="709"/>
        <w:jc w:val="both"/>
        <w:rPr>
          <w:rFonts w:ascii="Verdana" w:eastAsia="Calibri" w:hAnsi="Verdana" w:cs="Arial"/>
          <w:color w:val="000000" w:themeColor="text1"/>
          <w:sz w:val="21"/>
          <w:szCs w:val="21"/>
          <w:lang w:val="es-ES_tradnl"/>
        </w:rPr>
      </w:pPr>
    </w:p>
    <w:p w14:paraId="5ED46FD3" w14:textId="77777777" w:rsidR="001A629E" w:rsidRDefault="001A629E" w:rsidP="001A629E">
      <w:pPr>
        <w:spacing w:after="0" w:line="240" w:lineRule="auto"/>
        <w:ind w:left="709" w:right="709"/>
        <w:jc w:val="both"/>
        <w:rPr>
          <w:rFonts w:ascii="Verdana" w:hAnsi="Verdana" w:cs="Arial"/>
          <w:color w:val="000000" w:themeColor="text1"/>
          <w:sz w:val="21"/>
          <w:szCs w:val="21"/>
          <w:lang w:val="es-ES"/>
        </w:rPr>
      </w:pPr>
      <w:r w:rsidRPr="000A6C6F">
        <w:rPr>
          <w:rFonts w:ascii="Verdana" w:hAnsi="Verdana" w:cs="Arial"/>
          <w:color w:val="000000" w:themeColor="text1"/>
          <w:sz w:val="21"/>
          <w:szCs w:val="21"/>
          <w:lang w:val="es-ES"/>
        </w:rPr>
        <w:t xml:space="preserve">[…] la aplicación de estos preceptos exige una interpretación restrictiva, dado que según el principio hermenéutico </w:t>
      </w:r>
      <w:r w:rsidRPr="000A6C6F">
        <w:rPr>
          <w:rFonts w:ascii="Verdana" w:hAnsi="Verdana" w:cs="Arial"/>
          <w:i/>
          <w:iCs/>
          <w:color w:val="000000" w:themeColor="text1"/>
          <w:sz w:val="21"/>
          <w:szCs w:val="21"/>
          <w:lang w:val="es-ES"/>
        </w:rPr>
        <w:t xml:space="preserve">pro </w:t>
      </w:r>
      <w:proofErr w:type="spellStart"/>
      <w:r w:rsidRPr="000A6C6F">
        <w:rPr>
          <w:rFonts w:ascii="Verdana" w:hAnsi="Verdana" w:cs="Arial"/>
          <w:i/>
          <w:iCs/>
          <w:color w:val="000000" w:themeColor="text1"/>
          <w:sz w:val="21"/>
          <w:szCs w:val="21"/>
          <w:lang w:val="es-ES"/>
        </w:rPr>
        <w:t>libertate</w:t>
      </w:r>
      <w:proofErr w:type="spellEnd"/>
      <w:r w:rsidRPr="000A6C6F">
        <w:rPr>
          <w:rFonts w:ascii="Verdana" w:hAnsi="Verdana" w:cs="Arial"/>
          <w:color w:val="000000" w:themeColor="text1"/>
          <w:sz w:val="21"/>
          <w:szCs w:val="21"/>
          <w:lang w:val="es-ES"/>
        </w:rPr>
        <w:t xml:space="preserve">, entre varias interpretaciones posibles de una norma que regula una inhabilidad, debe preferirse aquella que menos limita el derecho de las personas; en otros términos, se encuentra prohibida </w:t>
      </w:r>
      <w:r w:rsidRPr="000A6C6F">
        <w:rPr>
          <w:rFonts w:ascii="Verdana" w:hAnsi="Verdana" w:cs="Arial"/>
          <w:color w:val="000000" w:themeColor="text1"/>
          <w:sz w:val="21"/>
          <w:szCs w:val="21"/>
          <w:lang w:val="es-ES"/>
        </w:rPr>
        <w:lastRenderedPageBreak/>
        <w:t>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w:t>
      </w:r>
      <w:r w:rsidRPr="000A6C6F">
        <w:rPr>
          <w:rStyle w:val="Refdenotaalpie"/>
          <w:rFonts w:ascii="Verdana" w:hAnsi="Verdana" w:cs="Arial"/>
          <w:color w:val="000000" w:themeColor="text1"/>
          <w:sz w:val="21"/>
          <w:szCs w:val="21"/>
          <w:lang w:val="es-ES"/>
        </w:rPr>
        <w:footnoteReference w:id="12"/>
      </w:r>
    </w:p>
    <w:p w14:paraId="16D2EC17" w14:textId="77777777" w:rsidR="001A629E" w:rsidRPr="000A6C6F" w:rsidRDefault="001A629E" w:rsidP="001A629E">
      <w:pPr>
        <w:spacing w:after="0" w:line="240" w:lineRule="auto"/>
        <w:ind w:left="709" w:right="709"/>
        <w:jc w:val="both"/>
        <w:rPr>
          <w:rFonts w:ascii="Verdana" w:hAnsi="Verdana" w:cs="Arial"/>
          <w:color w:val="000000" w:themeColor="text1"/>
          <w:sz w:val="21"/>
          <w:szCs w:val="21"/>
          <w:lang w:val="es-ES"/>
        </w:rPr>
      </w:pPr>
    </w:p>
    <w:p w14:paraId="34B7DA31" w14:textId="77777777" w:rsidR="001A629E" w:rsidRPr="00284526" w:rsidRDefault="001A629E" w:rsidP="001A629E">
      <w:pPr>
        <w:spacing w:after="120" w:line="276" w:lineRule="auto"/>
        <w:ind w:firstLine="709"/>
        <w:jc w:val="both"/>
        <w:rPr>
          <w:rFonts w:ascii="Verdana" w:eastAsia="Calibri" w:hAnsi="Verdana" w:cs="Arial"/>
          <w:color w:val="000000" w:themeColor="text1"/>
          <w:lang w:val="es-ES"/>
        </w:rPr>
      </w:pPr>
      <w:r w:rsidRPr="00284526">
        <w:rPr>
          <w:rFonts w:ascii="Verdana" w:eastAsia="Calibri" w:hAnsi="Verdana" w:cs="Arial"/>
          <w:color w:val="000000" w:themeColor="text1"/>
          <w:lang w:val="es-ES"/>
        </w:rPr>
        <w:t xml:space="preserve">Como se aprecia, el principio </w:t>
      </w:r>
      <w:r w:rsidRPr="00284526">
        <w:rPr>
          <w:rFonts w:ascii="Verdana" w:eastAsia="Calibri" w:hAnsi="Verdana" w:cs="Arial"/>
          <w:i/>
          <w:color w:val="000000" w:themeColor="text1"/>
          <w:lang w:val="es-ES"/>
        </w:rPr>
        <w:t xml:space="preserve">pro </w:t>
      </w:r>
      <w:proofErr w:type="spellStart"/>
      <w:r w:rsidRPr="00284526">
        <w:rPr>
          <w:rFonts w:ascii="Verdana" w:eastAsia="Calibri" w:hAnsi="Verdana" w:cs="Arial"/>
          <w:i/>
          <w:color w:val="000000" w:themeColor="text1"/>
          <w:lang w:val="es-ES"/>
        </w:rPr>
        <w:t>libertate</w:t>
      </w:r>
      <w:proofErr w:type="spellEnd"/>
      <w:r w:rsidRPr="00284526">
        <w:rPr>
          <w:rFonts w:ascii="Verdana" w:eastAsia="Calibri" w:hAnsi="Verdana" w:cs="Arial"/>
          <w:color w:val="000000" w:themeColor="text1"/>
          <w:lang w:val="es-ES"/>
        </w:rPr>
        <w:t xml:space="preserve"> es el que debe dirigir la interpretación de las disposiciones normativas que consagran restricciones de derechos, como sucede con las causales de inhabilidad e incompatibilidad en la contratación estatal. 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w:t>
      </w:r>
    </w:p>
    <w:p w14:paraId="0C3A473F" w14:textId="77777777" w:rsidR="001A629E" w:rsidRDefault="001A629E" w:rsidP="001A629E">
      <w:pPr>
        <w:spacing w:after="120" w:line="276" w:lineRule="auto"/>
        <w:ind w:firstLine="709"/>
        <w:jc w:val="both"/>
        <w:rPr>
          <w:rFonts w:ascii="Verdana" w:hAnsi="Verdana" w:cs="Arial"/>
          <w:color w:val="000000" w:themeColor="text1"/>
          <w:lang w:val="es-ES_tradnl"/>
        </w:rPr>
      </w:pPr>
      <w:r>
        <w:rPr>
          <w:rFonts w:ascii="Verdana" w:hAnsi="Verdana" w:cs="Arial"/>
          <w:color w:val="000000" w:themeColor="text1"/>
          <w:lang w:val="es-ES"/>
        </w:rPr>
        <w:t xml:space="preserve">En este contexto, analizado el </w:t>
      </w:r>
      <w:r w:rsidRPr="00966C6B">
        <w:rPr>
          <w:rFonts w:ascii="Verdana" w:hAnsi="Verdana" w:cs="Arial"/>
          <w:color w:val="000000" w:themeColor="text1"/>
          <w:lang w:val="es-ES"/>
        </w:rPr>
        <w:t xml:space="preserve">régimen de inhabilidades e incompatibilidades previsto para la contratación estatal, </w:t>
      </w:r>
      <w:r w:rsidRPr="00CA3CC2">
        <w:rPr>
          <w:rFonts w:ascii="Verdana" w:hAnsi="Verdana" w:cs="Arial"/>
          <w:color w:val="000000" w:themeColor="text1"/>
          <w:lang w:val="es-ES_tradnl"/>
        </w:rPr>
        <w:t xml:space="preserve">se concluye que no </w:t>
      </w:r>
      <w:r w:rsidRPr="00284526">
        <w:rPr>
          <w:rFonts w:ascii="Verdana" w:eastAsia="Century Gothic" w:hAnsi="Verdana" w:cs="Century Gothic"/>
        </w:rPr>
        <w:t xml:space="preserve">existe restricción de orden legal o reglamentario, o causal de inhabilidad o incompatibilidad que prohíba </w:t>
      </w:r>
      <w:r>
        <w:rPr>
          <w:rFonts w:ascii="Verdana" w:eastAsia="Century Gothic" w:hAnsi="Verdana" w:cs="Century Gothic"/>
        </w:rPr>
        <w:t>que una exfuncionaria de una contraloría departamental pueda suscribir contratos de prestación de servicios profesionales y/o ser nombrada en una entidad del orden departamental o municipal</w:t>
      </w:r>
      <w:r w:rsidRPr="00284526">
        <w:rPr>
          <w:rFonts w:ascii="Verdana" w:eastAsia="Arial MT" w:hAnsi="Verdana" w:cs="Arial"/>
          <w:lang w:eastAsia="es-ES" w:bidi="es-ES"/>
        </w:rPr>
        <w:t>,</w:t>
      </w:r>
      <w:r>
        <w:rPr>
          <w:rFonts w:ascii="Verdana" w:eastAsia="Arial MT" w:hAnsi="Verdana" w:cs="Arial"/>
          <w:lang w:eastAsia="es-ES" w:bidi="es-ES"/>
        </w:rPr>
        <w:t xml:space="preserve"> </w:t>
      </w:r>
      <w:r w:rsidRPr="00284526">
        <w:rPr>
          <w:rFonts w:ascii="Verdana" w:eastAsia="Arial MT" w:hAnsi="Verdana" w:cs="Arial"/>
          <w:lang w:eastAsia="es-ES" w:bidi="es-ES"/>
        </w:rPr>
        <w:t xml:space="preserve"> Lo anterior, en la medida que</w:t>
      </w:r>
      <w:r>
        <w:rPr>
          <w:rFonts w:ascii="Verdana" w:eastAsia="Arial MT" w:hAnsi="Verdana" w:cs="Arial"/>
          <w:lang w:eastAsia="es-ES" w:bidi="es-ES"/>
        </w:rPr>
        <w:t xml:space="preserve"> no se subsume en ninguno de los supuestos de hecho, ni se advierte que la hipótesis materia de consulta configure alguna de las causales previstas establecidos en el artículo 8 de la Ley 80 de 1993</w:t>
      </w:r>
      <w:r>
        <w:rPr>
          <w:rFonts w:ascii="Verdana" w:hAnsi="Verdana" w:cs="Arial"/>
          <w:color w:val="000000" w:themeColor="text1"/>
          <w:lang w:val="es-ES_tradnl"/>
        </w:rPr>
        <w:t>.</w:t>
      </w:r>
    </w:p>
    <w:p w14:paraId="32CBED44" w14:textId="77777777" w:rsidR="001A629E" w:rsidRDefault="001A629E" w:rsidP="001A629E">
      <w:pPr>
        <w:spacing w:after="120" w:line="276" w:lineRule="auto"/>
        <w:ind w:firstLine="709"/>
        <w:jc w:val="both"/>
        <w:rPr>
          <w:rFonts w:ascii="Verdana" w:hAnsi="Verdana" w:cs="Arial"/>
          <w:color w:val="000000" w:themeColor="text1"/>
          <w:lang w:val="es-ES"/>
        </w:rPr>
      </w:pPr>
      <w:r>
        <w:rPr>
          <w:rFonts w:ascii="Verdana" w:hAnsi="Verdana" w:cs="Arial"/>
          <w:color w:val="000000" w:themeColor="text1"/>
          <w:lang w:val="es-ES"/>
        </w:rPr>
        <w:t xml:space="preserve">En ese sentido, </w:t>
      </w:r>
      <w:bookmarkStart w:id="2" w:name="_Hlk192056119"/>
      <w:r w:rsidRPr="00CA3CC2">
        <w:rPr>
          <w:rFonts w:ascii="Verdana" w:hAnsi="Verdana" w:cs="Arial"/>
          <w:color w:val="000000" w:themeColor="text1"/>
          <w:lang w:val="es-ES"/>
        </w:rPr>
        <w:t xml:space="preserve">las inhabilidades e incompatibilidades, al ser limitaciones a la capacidad contractual, y por tanto al afectar derechos como la libre concurrencia o la libertad de ejercicio de la profesión u oficio, es decir, al ser enunciados normativos gravosos, deben interpretarse restrictivamente; o sea, no admiten una interpretación amplia, extensiva o analógica. Precisamente, al leer las causales previstas en la Constitución, así como en el artículo 8 de la Ley 80 de 1993 y en otras disposiciones complementarias, no se observa una prohibición </w:t>
      </w:r>
    </w:p>
    <w:p w14:paraId="545A1814" w14:textId="77777777" w:rsidR="001A629E" w:rsidRPr="00CA3CC2" w:rsidRDefault="001A629E" w:rsidP="001A629E">
      <w:pPr>
        <w:spacing w:after="120" w:line="276" w:lineRule="auto"/>
        <w:ind w:firstLine="709"/>
        <w:jc w:val="both"/>
        <w:rPr>
          <w:rFonts w:ascii="Verdana" w:hAnsi="Verdana" w:cs="Arial"/>
          <w:color w:val="000000" w:themeColor="text1"/>
          <w:lang w:val="es-ES"/>
        </w:rPr>
      </w:pPr>
      <w:r w:rsidRPr="00CA3CC2">
        <w:rPr>
          <w:rFonts w:ascii="Verdana" w:hAnsi="Verdana" w:cs="Arial"/>
          <w:color w:val="000000" w:themeColor="text1"/>
          <w:lang w:val="es-ES"/>
        </w:rPr>
        <w:lastRenderedPageBreak/>
        <w:t xml:space="preserve">Sin embargo, el hecho de que no haya una causal de inhabilidad o de incompatibilidad no significa que siempre se pueda celebrar el contrato de prestación de servicios. Para que ello sea viable, deben cumplirse los requisitos </w:t>
      </w:r>
      <w:r>
        <w:rPr>
          <w:rFonts w:ascii="Verdana" w:hAnsi="Verdana" w:cs="Arial"/>
          <w:color w:val="000000" w:themeColor="text1"/>
          <w:lang w:val="es-ES"/>
        </w:rPr>
        <w:t xml:space="preserve">propios del contrato de prestación de servicios </w:t>
      </w:r>
      <w:r w:rsidRPr="00CA3CC2">
        <w:rPr>
          <w:rFonts w:ascii="Verdana" w:hAnsi="Verdana" w:cs="Arial"/>
          <w:color w:val="000000" w:themeColor="text1"/>
          <w:lang w:val="es-ES"/>
        </w:rPr>
        <w:t>pues se recuerda que la celebración d</w:t>
      </w:r>
      <w:r>
        <w:rPr>
          <w:rFonts w:ascii="Verdana" w:hAnsi="Verdana" w:cs="Arial"/>
          <w:color w:val="000000" w:themeColor="text1"/>
          <w:lang w:val="es-ES"/>
        </w:rPr>
        <w:t xml:space="preserve">e estos contratos </w:t>
      </w:r>
      <w:r w:rsidRPr="00CA3CC2">
        <w:rPr>
          <w:rFonts w:ascii="Verdana" w:hAnsi="Verdana" w:cs="Arial"/>
          <w:color w:val="000000" w:themeColor="text1"/>
          <w:lang w:val="es-ES"/>
        </w:rPr>
        <w:t xml:space="preserve">con una persona natural es </w:t>
      </w:r>
      <w:r w:rsidRPr="00CA3CC2">
        <w:rPr>
          <w:rFonts w:ascii="Verdana" w:hAnsi="Verdana" w:cs="Arial"/>
          <w:i/>
          <w:iCs/>
          <w:color w:val="000000" w:themeColor="text1"/>
          <w:lang w:val="es-ES"/>
        </w:rPr>
        <w:t>excepcional</w:t>
      </w:r>
      <w:r w:rsidRPr="00CA3CC2">
        <w:rPr>
          <w:rFonts w:ascii="Verdana" w:hAnsi="Verdana" w:cs="Arial"/>
          <w:color w:val="000000" w:themeColor="text1"/>
          <w:lang w:val="es-ES"/>
        </w:rPr>
        <w:t xml:space="preserve">, ya que solo es admisible cuando las </w:t>
      </w:r>
      <w:r>
        <w:rPr>
          <w:rFonts w:ascii="Verdana" w:hAnsi="Verdana" w:cs="Arial"/>
          <w:color w:val="000000" w:themeColor="text1"/>
          <w:lang w:val="es-ES"/>
        </w:rPr>
        <w:t>“</w:t>
      </w:r>
      <w:r w:rsidRPr="00CA3CC2">
        <w:rPr>
          <w:rFonts w:ascii="Verdana" w:hAnsi="Verdana" w:cs="Arial"/>
          <w:color w:val="000000" w:themeColor="text1"/>
          <w:lang w:val="es-ES"/>
        </w:rPr>
        <w:t>actividades no puedan realizarse con personal de planta o requieran conocimientos especializados</w:t>
      </w:r>
      <w:r>
        <w:rPr>
          <w:rFonts w:ascii="Verdana" w:hAnsi="Verdana" w:cs="Arial"/>
          <w:color w:val="000000" w:themeColor="text1"/>
          <w:lang w:val="es-ES"/>
        </w:rPr>
        <w:t>”</w:t>
      </w:r>
      <w:r w:rsidRPr="00CA3CC2">
        <w:rPr>
          <w:rFonts w:ascii="Verdana" w:hAnsi="Verdana" w:cs="Arial"/>
          <w:color w:val="000000" w:themeColor="text1"/>
          <w:lang w:val="es-ES"/>
        </w:rPr>
        <w:t xml:space="preserve">, lo cual debe justificarse satisfactoriamente en los estudios previos. Además, dicho contrato debe ser </w:t>
      </w:r>
      <w:r w:rsidRPr="00CA3CC2">
        <w:rPr>
          <w:rFonts w:ascii="Verdana" w:hAnsi="Verdana" w:cs="Arial"/>
          <w:i/>
          <w:iCs/>
          <w:color w:val="000000" w:themeColor="text1"/>
          <w:lang w:val="es-ES"/>
        </w:rPr>
        <w:t>temporal</w:t>
      </w:r>
      <w:r w:rsidRPr="00CA3CC2">
        <w:rPr>
          <w:rFonts w:ascii="Verdana" w:hAnsi="Verdana" w:cs="Arial"/>
          <w:color w:val="000000" w:themeColor="text1"/>
          <w:lang w:val="es-ES"/>
        </w:rPr>
        <w:t xml:space="preserve"> y no puede servir para la creación de nóminas paralelas</w:t>
      </w:r>
      <w:r w:rsidRPr="00284526">
        <w:rPr>
          <w:rStyle w:val="Refdenotaalpie"/>
          <w:rFonts w:ascii="Verdana" w:hAnsi="Verdana" w:cs="Arial"/>
          <w:color w:val="000000" w:themeColor="text1"/>
          <w:lang w:val="es-ES"/>
        </w:rPr>
        <w:footnoteReference w:id="13"/>
      </w:r>
      <w:r w:rsidRPr="00284526">
        <w:rPr>
          <w:rFonts w:ascii="Verdana" w:hAnsi="Verdana" w:cs="Arial"/>
          <w:color w:val="000000" w:themeColor="text1"/>
          <w:lang w:val="es-ES"/>
        </w:rPr>
        <w:t xml:space="preserve">. </w:t>
      </w:r>
    </w:p>
    <w:bookmarkEnd w:id="2"/>
    <w:p w14:paraId="1F5A90F5" w14:textId="77777777" w:rsidR="001A629E" w:rsidRPr="00284526" w:rsidRDefault="001A629E" w:rsidP="001A629E">
      <w:pPr>
        <w:spacing w:after="120" w:line="276" w:lineRule="auto"/>
        <w:ind w:firstLine="709"/>
        <w:jc w:val="both"/>
        <w:rPr>
          <w:rFonts w:ascii="Verdana" w:hAnsi="Verdana" w:cs="Arial"/>
          <w:color w:val="000000" w:themeColor="text1"/>
          <w:lang w:val="es-ES"/>
        </w:rPr>
      </w:pPr>
      <w:r w:rsidRPr="00284526">
        <w:rPr>
          <w:rFonts w:ascii="Verdana" w:hAnsi="Verdana" w:cs="Arial"/>
          <w:color w:val="000000" w:themeColor="text1"/>
          <w:lang w:val="es-ES"/>
        </w:rPr>
        <w:t xml:space="preserve">Aunado a lo anterior, la entidad contratante tiene el deber de identificar cualquier conducta que pueda llegar a tener la connotación de un conflicto de interés, producto de la concurrencia de intereses antagónicos en el contratista </w:t>
      </w:r>
      <w:r>
        <w:rPr>
          <w:rFonts w:ascii="Verdana" w:hAnsi="Verdana" w:cs="Arial"/>
          <w:color w:val="000000" w:themeColor="text1"/>
          <w:lang w:val="es-ES"/>
        </w:rPr>
        <w:t xml:space="preserve">que </w:t>
      </w:r>
      <w:r w:rsidRPr="00284526">
        <w:rPr>
          <w:rFonts w:ascii="Verdana" w:hAnsi="Verdana" w:cs="Arial"/>
          <w:color w:val="000000" w:themeColor="text1"/>
          <w:lang w:val="es-ES"/>
        </w:rPr>
        <w:t>afecten la transparencia de las decisiones que le competen o lo lleven a adoptar determinaciones de aprovechamiento personal, familiar o particular, en detrimento del interés público</w:t>
      </w:r>
      <w:r w:rsidRPr="00284526">
        <w:rPr>
          <w:rStyle w:val="Refdenotaalpie"/>
          <w:rFonts w:ascii="Verdana" w:hAnsi="Verdana" w:cs="Arial"/>
          <w:color w:val="000000" w:themeColor="text1"/>
          <w:lang w:val="es-ES"/>
        </w:rPr>
        <w:footnoteReference w:id="14"/>
      </w:r>
      <w:r w:rsidRPr="00284526">
        <w:rPr>
          <w:rFonts w:ascii="Verdana" w:hAnsi="Verdana" w:cs="Arial"/>
          <w:color w:val="000000" w:themeColor="text1"/>
          <w:lang w:val="es-ES"/>
        </w:rPr>
        <w:t>.</w:t>
      </w:r>
    </w:p>
    <w:p w14:paraId="7077CABD" w14:textId="77777777" w:rsidR="001A629E" w:rsidRDefault="001A629E" w:rsidP="001A629E">
      <w:pPr>
        <w:widowControl w:val="0"/>
        <w:autoSpaceDE w:val="0"/>
        <w:autoSpaceDN w:val="0"/>
        <w:spacing w:after="120" w:line="276" w:lineRule="auto"/>
        <w:ind w:firstLine="709"/>
        <w:jc w:val="both"/>
        <w:rPr>
          <w:rFonts w:ascii="Verdana" w:hAnsi="Verdana" w:cs="Arial"/>
          <w:color w:val="000000" w:themeColor="text1"/>
          <w:lang w:val="es-ES_tradnl"/>
        </w:rPr>
      </w:pPr>
      <w:r w:rsidRPr="00284526">
        <w:rPr>
          <w:rFonts w:ascii="Verdana" w:eastAsia="Arial MT" w:hAnsi="Verdana" w:cs="Arial"/>
          <w:lang w:eastAsia="es-ES" w:bidi="es-ES"/>
        </w:rPr>
        <w:t xml:space="preserve">Al respecto, </w:t>
      </w:r>
      <w:bookmarkStart w:id="3" w:name="_Hlk192056166"/>
      <w:r w:rsidRPr="00284526">
        <w:rPr>
          <w:rFonts w:ascii="Verdana" w:eastAsia="Arial MT" w:hAnsi="Verdana" w:cs="Arial"/>
          <w:lang w:eastAsia="es-ES" w:bidi="es-ES"/>
        </w:rPr>
        <w:t xml:space="preserve">es importante señalar que </w:t>
      </w:r>
      <w:r w:rsidRPr="00284526">
        <w:rPr>
          <w:rFonts w:ascii="Verdana" w:hAnsi="Verdana" w:cs="Arial"/>
          <w:color w:val="000000" w:themeColor="text1"/>
          <w:lang w:val="es-ES_tradnl"/>
        </w:rPr>
        <w:t xml:space="preserve">de acuerdo con el artículo 209 de la Constitución Política de 1991, la función administrativa debe desarrollarse conforme al principio de moralidad, mandato que se concreta en la idea de que “[…] todas las personas y los servidores públicos están obligados a actuar con rectitud, lealtad y honestidad en las actuaciones administrativas […]” –numeral 5 del artículo 3 de la Ley 1437 de 2011–. En desarrollo de esta directriz, </w:t>
      </w:r>
      <w:bookmarkStart w:id="4" w:name="_Hlk36672204"/>
      <w:r w:rsidRPr="00284526">
        <w:rPr>
          <w:rFonts w:ascii="Verdana" w:hAnsi="Verdana" w:cs="Arial"/>
          <w:color w:val="000000" w:themeColor="text1"/>
          <w:lang w:val="es-ES_tradnl"/>
        </w:rPr>
        <w:t xml:space="preserve">el régimen de los </w:t>
      </w:r>
      <w:r w:rsidRPr="00284526">
        <w:rPr>
          <w:rFonts w:ascii="Verdana" w:hAnsi="Verdana" w:cs="Arial"/>
          <w:i/>
          <w:iCs/>
          <w:color w:val="000000" w:themeColor="text1"/>
          <w:lang w:val="es-ES_tradnl"/>
        </w:rPr>
        <w:t>conflictos de interés</w:t>
      </w:r>
      <w:r w:rsidRPr="00284526">
        <w:rPr>
          <w:rFonts w:ascii="Verdana" w:hAnsi="Verdana" w:cs="Arial"/>
          <w:color w:val="000000" w:themeColor="text1"/>
          <w:lang w:val="es-ES_tradnl"/>
        </w:rPr>
        <w:t xml:space="preserve"> tiene como objetivo la prevalencia del bien común sobre el particular, razón por la cual se configuran cuando los servidores públicos actúan influenciados por consideraciones personales que colisionan con el deber de preservar su independencia e imparcialidad.</w:t>
      </w:r>
      <w:bookmarkEnd w:id="4"/>
    </w:p>
    <w:p w14:paraId="3EA9964B" w14:textId="77777777" w:rsidR="001A629E" w:rsidRPr="003F4FB4" w:rsidRDefault="001A629E" w:rsidP="001A629E">
      <w:pPr>
        <w:spacing w:before="120" w:after="120" w:line="276" w:lineRule="auto"/>
        <w:ind w:firstLine="709"/>
        <w:jc w:val="both"/>
        <w:rPr>
          <w:rFonts w:ascii="Verdana" w:eastAsia="Times New Roman" w:hAnsi="Verdana" w:cs="Arial"/>
          <w:color w:val="000000"/>
          <w:shd w:val="clear" w:color="auto" w:fill="FFFFFF"/>
          <w:lang w:val="es-ES" w:eastAsia="es-ES_tradnl"/>
        </w:rPr>
      </w:pPr>
      <w:r>
        <w:rPr>
          <w:rFonts w:ascii="Verdana" w:eastAsia="Times New Roman" w:hAnsi="Verdana" w:cs="Arial"/>
          <w:color w:val="000000"/>
          <w:shd w:val="clear" w:color="auto" w:fill="FFFFFF"/>
          <w:lang w:val="es-ES" w:eastAsia="es-ES_tradnl"/>
        </w:rPr>
        <w:lastRenderedPageBreak/>
        <w:t xml:space="preserve">En ese orden de ideas, </w:t>
      </w:r>
      <w:r w:rsidRPr="0022076A">
        <w:rPr>
          <w:rFonts w:ascii="Verdana" w:eastAsia="Calibri" w:hAnsi="Verdana" w:cs="Arial"/>
          <w:color w:val="000000"/>
          <w:lang w:val="es-ES_tradnl" w:eastAsia="es-ES_tradnl"/>
        </w:rPr>
        <w:t>La Ley 1474 de 2011, “Por la cual se dictan normas orientadas a fortalecer los mecanismos de prevención, investigación y sanción de actos de corrupción y la efectividad del control de la gestión pública”, en el artículo 4</w:t>
      </w:r>
      <w:r>
        <w:rPr>
          <w:rFonts w:ascii="Verdana" w:eastAsia="Calibri" w:hAnsi="Verdana" w:cs="Arial"/>
          <w:color w:val="000000"/>
          <w:lang w:val="es-ES_tradnl" w:eastAsia="es-ES_tradnl"/>
        </w:rPr>
        <w:t xml:space="preserve">, </w:t>
      </w:r>
      <w:r w:rsidRPr="00ED6FA7">
        <w:rPr>
          <w:rFonts w:ascii="Verdana" w:hAnsi="Verdana"/>
        </w:rPr>
        <w:t>mediante el cual adicionó el literal f) del numeral 2° del artículo 8° de la Ley 80 de 1993, prevé</w:t>
      </w:r>
      <w:r w:rsidRPr="0022076A">
        <w:rPr>
          <w:rFonts w:ascii="Verdana" w:eastAsia="Calibri" w:hAnsi="Verdana" w:cs="Arial"/>
          <w:color w:val="000000"/>
          <w:lang w:val="es-ES_tradnl" w:eastAsia="es-ES_tradnl"/>
        </w:rPr>
        <w:t xml:space="preserve"> una restricción que prohíbe a los exempleados públicos celebrar contratos estatales tras la dejación del cargo, en un ámbito y en un período definidos por el legislador, extendiendo la prohibición a algunos otros sujetos vinculados a estos. La norma establece:</w:t>
      </w:r>
    </w:p>
    <w:p w14:paraId="0AF788CD" w14:textId="77777777" w:rsidR="001A629E" w:rsidRPr="0022076A" w:rsidRDefault="001A629E" w:rsidP="001A629E">
      <w:pPr>
        <w:ind w:left="709" w:right="709"/>
        <w:jc w:val="both"/>
        <w:rPr>
          <w:rFonts w:ascii="Verdana" w:eastAsia="Calibri" w:hAnsi="Verdana" w:cs="Arial"/>
          <w:color w:val="000000"/>
          <w:sz w:val="20"/>
          <w:szCs w:val="20"/>
          <w:lang w:val="es-ES_tradnl" w:eastAsia="es-ES_tradnl"/>
        </w:rPr>
      </w:pPr>
      <w:r w:rsidRPr="0022076A">
        <w:rPr>
          <w:rFonts w:ascii="Verdana" w:eastAsia="Calibri" w:hAnsi="Verdana" w:cs="Arial"/>
          <w:color w:val="000000"/>
          <w:sz w:val="20"/>
          <w:szCs w:val="20"/>
          <w:lang w:val="es-ES_tradnl" w:eastAsia="es-ES_tradnl"/>
        </w:rPr>
        <w:t>Adiciónese un literal f) al numeral 2 del artículo 8o de la Ley 80 de 1993, el cual quedará así:</w:t>
      </w:r>
    </w:p>
    <w:p w14:paraId="5547D3DF" w14:textId="77777777" w:rsidR="001A629E" w:rsidRPr="0022076A" w:rsidRDefault="001A629E" w:rsidP="001A629E">
      <w:pPr>
        <w:ind w:left="709" w:right="709"/>
        <w:jc w:val="both"/>
        <w:rPr>
          <w:rFonts w:ascii="Verdana" w:eastAsia="Calibri" w:hAnsi="Verdana" w:cs="Arial"/>
          <w:color w:val="000000"/>
          <w:sz w:val="20"/>
          <w:szCs w:val="20"/>
          <w:lang w:val="es-ES_tradnl" w:eastAsia="es-ES_tradnl"/>
        </w:rPr>
      </w:pPr>
      <w:r w:rsidRPr="0022076A">
        <w:rPr>
          <w:rFonts w:ascii="Verdana" w:eastAsia="Calibri" w:hAnsi="Verdana" w:cs="Arial"/>
          <w:color w:val="000000"/>
          <w:sz w:val="20"/>
          <w:szCs w:val="20"/>
          <w:lang w:val="es-ES_tradnl" w:eastAsia="es-ES_tradnl"/>
        </w:rPr>
        <w:t>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w:t>
      </w:r>
    </w:p>
    <w:p w14:paraId="3F980314" w14:textId="77777777" w:rsidR="001A629E" w:rsidRDefault="001A629E" w:rsidP="001A629E">
      <w:pPr>
        <w:ind w:left="709" w:right="709"/>
        <w:jc w:val="both"/>
        <w:rPr>
          <w:rFonts w:ascii="Verdana" w:eastAsia="Calibri" w:hAnsi="Verdana" w:cs="Arial"/>
          <w:color w:val="000000"/>
          <w:sz w:val="20"/>
          <w:szCs w:val="20"/>
          <w:lang w:val="es-ES" w:eastAsia="es-ES"/>
        </w:rPr>
      </w:pPr>
      <w:r w:rsidRPr="4552CAB1">
        <w:rPr>
          <w:rFonts w:ascii="Verdana" w:eastAsia="Calibri" w:hAnsi="Verdana" w:cs="Arial"/>
          <w:color w:val="000000" w:themeColor="text1"/>
          <w:sz w:val="20"/>
          <w:szCs w:val="20"/>
          <w:lang w:val="es-ES" w:eastAsia="es-ES"/>
        </w:rPr>
        <w:t xml:space="preserve">Esta incompatibilidad también operará para las personas que se encuentren dentro del primer grado de consanguinidad, primero de afinidad, o primero civil del </w:t>
      </w:r>
      <w:proofErr w:type="gramStart"/>
      <w:r w:rsidRPr="4552CAB1">
        <w:rPr>
          <w:rFonts w:ascii="Verdana" w:eastAsia="Calibri" w:hAnsi="Verdana" w:cs="Arial"/>
          <w:color w:val="000000" w:themeColor="text1"/>
          <w:sz w:val="20"/>
          <w:szCs w:val="20"/>
          <w:lang w:val="es-ES" w:eastAsia="es-ES"/>
        </w:rPr>
        <w:t>ex empleado</w:t>
      </w:r>
      <w:proofErr w:type="gramEnd"/>
      <w:r w:rsidRPr="4552CAB1">
        <w:rPr>
          <w:rFonts w:ascii="Verdana" w:eastAsia="Calibri" w:hAnsi="Verdana" w:cs="Arial"/>
          <w:color w:val="000000" w:themeColor="text1"/>
          <w:sz w:val="20"/>
          <w:szCs w:val="20"/>
          <w:lang w:val="es-ES" w:eastAsia="es-ES"/>
        </w:rPr>
        <w:t xml:space="preserve"> público.</w:t>
      </w:r>
    </w:p>
    <w:p w14:paraId="45BAF3C7" w14:textId="77777777" w:rsidR="001A629E" w:rsidRDefault="001A629E" w:rsidP="001A629E">
      <w:pPr>
        <w:spacing w:before="120" w:after="120" w:line="276" w:lineRule="auto"/>
        <w:ind w:firstLine="709"/>
        <w:jc w:val="both"/>
        <w:rPr>
          <w:rFonts w:ascii="Verdana" w:eastAsia="Calibri" w:hAnsi="Verdana" w:cs="Arial"/>
          <w:color w:val="000000"/>
          <w:lang w:val="es-ES_tradnl" w:eastAsia="es-ES_tradnl"/>
        </w:rPr>
      </w:pPr>
      <w:r w:rsidRPr="0022076A">
        <w:rPr>
          <w:rFonts w:ascii="Verdana" w:eastAsia="Calibri" w:hAnsi="Verdana" w:cs="Arial"/>
          <w:color w:val="000000"/>
          <w:lang w:val="es-ES_tradnl" w:eastAsia="es-ES_tradnl"/>
        </w:rPr>
        <w:t>Como se observa, esta disposición normativa prevé una restricción para la contratación estatal, compuesta por los siguientes elementos:</w:t>
      </w:r>
    </w:p>
    <w:p w14:paraId="3026E725" w14:textId="77777777" w:rsidR="001A629E" w:rsidRDefault="001A629E" w:rsidP="001A629E">
      <w:pPr>
        <w:spacing w:before="120" w:after="120" w:line="276" w:lineRule="auto"/>
        <w:ind w:firstLine="709"/>
        <w:jc w:val="both"/>
        <w:rPr>
          <w:rFonts w:ascii="Verdana" w:eastAsia="Calibri" w:hAnsi="Verdana" w:cs="Arial"/>
          <w:color w:val="000000"/>
          <w:lang w:val="es-ES_tradnl" w:eastAsia="es-ES_tradnl"/>
        </w:rPr>
      </w:pPr>
      <w:r w:rsidRPr="00E40972">
        <w:rPr>
          <w:rFonts w:ascii="Verdana" w:eastAsia="Calibri" w:hAnsi="Verdana" w:cs="Arial"/>
          <w:color w:val="000000"/>
          <w:lang w:val="es-ES_tradnl" w:eastAsia="es-ES_tradnl"/>
        </w:rPr>
        <w:t>Sus destinatarios. Es decir, los sujetos en los que radica la prohibición son: a) las personas naturales que hayan ejercido cargos en el nivel directivo en las entidades estatales a quienes el segundo inciso califica como exempleados públicos, b) las</w:t>
      </w:r>
      <w:r w:rsidRPr="0022076A">
        <w:rPr>
          <w:rFonts w:ascii="Verdana" w:eastAsia="Calibri" w:hAnsi="Verdana" w:cs="Arial"/>
          <w:color w:val="000000"/>
          <w:lang w:val="es-ES_tradnl" w:eastAsia="es-ES_tradnl"/>
        </w:rPr>
        <w:t xml:space="preserve"> sociedades de las cuales dichos exempleados públicos hagan parte o estén vinculados a cualquier título, y </w:t>
      </w:r>
      <w:r w:rsidRPr="00E40972">
        <w:rPr>
          <w:rFonts w:ascii="Verdana" w:eastAsia="Calibri" w:hAnsi="Verdana" w:cs="Arial"/>
          <w:color w:val="000000"/>
          <w:lang w:val="es-ES_tradnl" w:eastAsia="es-ES_tradnl"/>
        </w:rPr>
        <w:t>c) sus parientes dentro del primer grado de consanguinidad, primero de afinidad o primero civil. También cabe destacar que la norma en comento dice que a estos sujetos les aplica la prohibición cuando pretendan contratar directa o indirectamente; lo que implica que no pueden valerse de intermediarios para intentar eludir esta restricción.</w:t>
      </w:r>
    </w:p>
    <w:p w14:paraId="5F7E45B7" w14:textId="77777777" w:rsidR="001A629E" w:rsidRDefault="001A629E" w:rsidP="001A629E">
      <w:pPr>
        <w:spacing w:before="120" w:after="120" w:line="276" w:lineRule="auto"/>
        <w:ind w:firstLine="709"/>
        <w:jc w:val="both"/>
        <w:rPr>
          <w:rFonts w:ascii="Verdana" w:eastAsia="Calibri" w:hAnsi="Verdana" w:cs="Arial"/>
          <w:color w:val="000000"/>
          <w:lang w:val="es-ES_tradnl" w:eastAsia="es-ES_tradnl"/>
        </w:rPr>
      </w:pPr>
      <w:r w:rsidRPr="0022076A">
        <w:rPr>
          <w:rFonts w:ascii="Verdana" w:eastAsia="Calibri" w:hAnsi="Verdana" w:cs="Arial"/>
          <w:color w:val="000000"/>
          <w:lang w:val="es-ES_tradnl" w:eastAsia="es-ES_tradnl"/>
        </w:rPr>
        <w:t>Ahora bien, la Corte Constitucional, en la Sentencia C-257 del 7 de mayo de 2013</w:t>
      </w:r>
      <w:r w:rsidRPr="0022076A">
        <w:rPr>
          <w:rFonts w:ascii="Verdana" w:eastAsia="Calibri" w:hAnsi="Verdana" w:cs="Arial"/>
          <w:color w:val="000000"/>
          <w:vertAlign w:val="superscript"/>
          <w:lang w:val="es-ES_tradnl" w:eastAsia="es-ES_tradnl"/>
        </w:rPr>
        <w:footnoteReference w:id="15"/>
      </w:r>
      <w:r w:rsidRPr="0022076A">
        <w:rPr>
          <w:rFonts w:ascii="Verdana" w:eastAsia="Calibri" w:hAnsi="Verdana" w:cs="Arial"/>
          <w:color w:val="000000"/>
          <w:lang w:val="es-ES_tradnl" w:eastAsia="es-ES_tradnl"/>
        </w:rPr>
        <w:t xml:space="preserve">, hizo una importante precisión en relación con las </w:t>
      </w:r>
      <w:r w:rsidRPr="00E40972">
        <w:rPr>
          <w:rFonts w:ascii="Verdana" w:eastAsia="Calibri" w:hAnsi="Verdana" w:cs="Arial"/>
          <w:color w:val="000000"/>
          <w:lang w:val="es-ES_tradnl" w:eastAsia="es-ES_tradnl"/>
        </w:rPr>
        <w:t>sociedades</w:t>
      </w:r>
      <w:r w:rsidRPr="0022076A">
        <w:rPr>
          <w:rFonts w:ascii="Verdana" w:eastAsia="Calibri" w:hAnsi="Verdana" w:cs="Arial"/>
          <w:color w:val="000000"/>
          <w:lang w:val="es-ES_tradnl" w:eastAsia="es-ES_tradnl"/>
        </w:rPr>
        <w:t xml:space="preserve">, como sujetos pasivos de la prohibición, en el sentido de que se debe tener en cuenta el nivel de influencia que puede ostentar el exempleado público o sus parientes, </w:t>
      </w:r>
      <w:r w:rsidRPr="0022076A">
        <w:rPr>
          <w:rFonts w:ascii="Verdana" w:eastAsia="Calibri" w:hAnsi="Verdana" w:cs="Arial"/>
          <w:color w:val="000000"/>
          <w:lang w:val="es-ES_tradnl" w:eastAsia="es-ES_tradnl"/>
        </w:rPr>
        <w:lastRenderedPageBreak/>
        <w:t>en los grados señalados en el artículo 4 de la Ley 1474 de 2011, para determinar si la restricción aplica o no al tipo societario. En tal sentido, el máximo tribunal indicó:</w:t>
      </w:r>
    </w:p>
    <w:p w14:paraId="0A455E11" w14:textId="77777777" w:rsidR="001A629E" w:rsidRDefault="001A629E" w:rsidP="001A629E">
      <w:pPr>
        <w:ind w:left="709" w:right="709"/>
        <w:jc w:val="both"/>
        <w:rPr>
          <w:rFonts w:ascii="Verdana" w:eastAsia="Calibri" w:hAnsi="Verdana" w:cs="Arial"/>
          <w:color w:val="000000"/>
          <w:sz w:val="20"/>
          <w:szCs w:val="20"/>
          <w:lang w:val="es-ES" w:eastAsia="es-ES"/>
        </w:rPr>
      </w:pPr>
      <w:r w:rsidRPr="4552CAB1">
        <w:rPr>
          <w:rFonts w:ascii="Verdana" w:eastAsia="Calibri" w:hAnsi="Verdana" w:cs="Arial"/>
          <w:color w:val="000000" w:themeColor="text1"/>
          <w:sz w:val="20"/>
          <w:szCs w:val="20"/>
          <w:lang w:val="es-ES" w:eastAsia="es-ES"/>
        </w:rPr>
        <w:t xml:space="preserve">“(…) tratándose de sociedades anónimas por acciones, dadas sus características esenciales, la restricción no podría aplicarse, pues en estos casos no existe posibilidad de control sobre los accionistas que puedan acceder a la compra de acciones, y que lo pueden hacer con plena libertad, incluso en el mercado bursátil abierto, </w:t>
      </w:r>
      <w:proofErr w:type="gramStart"/>
      <w:r w:rsidRPr="4552CAB1">
        <w:rPr>
          <w:rFonts w:ascii="Verdana" w:eastAsia="Calibri" w:hAnsi="Verdana" w:cs="Arial"/>
          <w:color w:val="000000" w:themeColor="text1"/>
          <w:sz w:val="20"/>
          <w:szCs w:val="20"/>
          <w:lang w:val="es-ES" w:eastAsia="es-ES"/>
        </w:rPr>
        <w:t>en razón de</w:t>
      </w:r>
      <w:proofErr w:type="gramEnd"/>
      <w:r w:rsidRPr="4552CAB1">
        <w:rPr>
          <w:rFonts w:ascii="Verdana" w:eastAsia="Calibri" w:hAnsi="Verdana" w:cs="Arial"/>
          <w:color w:val="000000" w:themeColor="text1"/>
          <w:sz w:val="20"/>
          <w:szCs w:val="20"/>
          <w:lang w:val="es-ES" w:eastAsia="es-ES"/>
        </w:rPr>
        <w:t xml:space="preserve"> la capacidad económica y voluntad del inversionista y no por sus condiciones personales y de manera particular por su condición de </w:t>
      </w:r>
      <w:proofErr w:type="gramStart"/>
      <w:r w:rsidRPr="4552CAB1">
        <w:rPr>
          <w:rFonts w:ascii="Verdana" w:eastAsia="Calibri" w:hAnsi="Verdana" w:cs="Arial"/>
          <w:color w:val="000000" w:themeColor="text1"/>
          <w:sz w:val="20"/>
          <w:szCs w:val="20"/>
          <w:lang w:val="es-ES" w:eastAsia="es-ES"/>
        </w:rPr>
        <w:t>ex servidor</w:t>
      </w:r>
      <w:proofErr w:type="gramEnd"/>
      <w:r w:rsidRPr="4552CAB1">
        <w:rPr>
          <w:rFonts w:ascii="Verdana" w:eastAsia="Calibri" w:hAnsi="Verdana" w:cs="Arial"/>
          <w:color w:val="000000" w:themeColor="text1"/>
          <w:sz w:val="20"/>
          <w:szCs w:val="20"/>
          <w:lang w:val="es-ES" w:eastAsia="es-ES"/>
        </w:rPr>
        <w:t xml:space="preserve"> público. Esta circunstancia de suyo no implica que la norma deba ser declarada inconstitucional o la necesidad de que la Corte profiera una sentencia condicionada, pues de lo que se trata en este caso es de fijar el alcance material de la proposición normativa objeto de control. </w:t>
      </w:r>
    </w:p>
    <w:p w14:paraId="22366AD3" w14:textId="77777777" w:rsidR="001A629E" w:rsidRPr="00E40972" w:rsidRDefault="001A629E" w:rsidP="001A629E">
      <w:pPr>
        <w:ind w:left="709" w:right="709"/>
        <w:jc w:val="both"/>
        <w:rPr>
          <w:rFonts w:ascii="Verdana" w:eastAsia="Calibri" w:hAnsi="Verdana" w:cs="Arial"/>
          <w:color w:val="000000"/>
          <w:sz w:val="20"/>
          <w:szCs w:val="20"/>
          <w:lang w:val="es-ES_tradnl" w:eastAsia="es-ES_tradnl"/>
        </w:rPr>
      </w:pPr>
      <w:r w:rsidRPr="00E40972">
        <w:rPr>
          <w:rFonts w:ascii="Verdana" w:eastAsia="Calibri" w:hAnsi="Verdana" w:cs="Arial"/>
          <w:color w:val="000000"/>
          <w:sz w:val="20"/>
          <w:szCs w:val="20"/>
          <w:lang w:val="es-ES_tradnl" w:eastAsia="es-ES_tradnl"/>
        </w:rPr>
        <w:t>“Para la Corte es claro que la prohibición establecida en el artículo 4 de la ley 1474 de 2011, que adiciona el literal F al numeral 2 del artículo 8 de la Ley 80 de 1993, no aplica respecto de aquellos tipos societarios en donde la forma de vinculación de los socios hace imposible un control directo y efectivo sobre su ingreso y sobre las calidades personales de los mismos.</w:t>
      </w:r>
    </w:p>
    <w:p w14:paraId="1CACE06B" w14:textId="77777777" w:rsidR="001A629E" w:rsidRDefault="001A629E" w:rsidP="001A629E">
      <w:pPr>
        <w:ind w:left="709" w:right="709"/>
        <w:jc w:val="both"/>
        <w:rPr>
          <w:rFonts w:ascii="Verdana" w:eastAsia="Calibri" w:hAnsi="Verdana" w:cs="Arial"/>
          <w:color w:val="000000"/>
          <w:sz w:val="20"/>
          <w:szCs w:val="20"/>
          <w:lang w:val="es-ES" w:eastAsia="es-ES"/>
        </w:rPr>
      </w:pPr>
      <w:r w:rsidRPr="4552CAB1">
        <w:rPr>
          <w:rFonts w:ascii="Verdana" w:eastAsia="Calibri" w:hAnsi="Verdana" w:cs="Arial"/>
          <w:color w:val="000000" w:themeColor="text1"/>
          <w:sz w:val="20"/>
          <w:szCs w:val="20"/>
          <w:lang w:val="es-ES" w:eastAsia="es-ES"/>
        </w:rPr>
        <w:t xml:space="preserve">“Esta hipó tesis es distinta, se aclara, a la del </w:t>
      </w:r>
      <w:proofErr w:type="gramStart"/>
      <w:r w:rsidRPr="4552CAB1">
        <w:rPr>
          <w:rFonts w:ascii="Verdana" w:eastAsia="Calibri" w:hAnsi="Verdana" w:cs="Arial"/>
          <w:color w:val="000000" w:themeColor="text1"/>
          <w:sz w:val="20"/>
          <w:szCs w:val="20"/>
          <w:lang w:val="es-ES" w:eastAsia="es-ES"/>
        </w:rPr>
        <w:t>ex servidor</w:t>
      </w:r>
      <w:proofErr w:type="gramEnd"/>
      <w:r w:rsidRPr="4552CAB1">
        <w:rPr>
          <w:rFonts w:ascii="Verdana" w:eastAsia="Calibri" w:hAnsi="Verdana" w:cs="Arial"/>
          <w:color w:val="000000" w:themeColor="text1"/>
          <w:sz w:val="20"/>
          <w:szCs w:val="20"/>
          <w:lang w:val="es-ES" w:eastAsia="es-ES"/>
        </w:rPr>
        <w:t xml:space="preserve"> público que tiene la condición de directivo o representante legal de este tipo de sociedades y pretende en nombre de aquella contratar con la entidad a la cual estuvo vinculado y cuyo objeto tenga relación con las funciones públicas que desempeñó”.</w:t>
      </w:r>
    </w:p>
    <w:p w14:paraId="2F2A3274" w14:textId="77777777" w:rsidR="001A629E" w:rsidRDefault="001A629E" w:rsidP="001A629E">
      <w:pPr>
        <w:spacing w:before="120" w:after="120" w:line="276" w:lineRule="auto"/>
        <w:ind w:firstLine="709"/>
        <w:jc w:val="both"/>
        <w:rPr>
          <w:rFonts w:ascii="Verdana" w:eastAsia="Calibri" w:hAnsi="Verdana" w:cs="Arial"/>
          <w:color w:val="000000"/>
          <w:lang w:val="es-ES_tradnl" w:eastAsia="es-ES_tradnl"/>
        </w:rPr>
      </w:pPr>
      <w:r w:rsidRPr="00E40972">
        <w:rPr>
          <w:rFonts w:ascii="Verdana" w:eastAsia="Calibri" w:hAnsi="Verdana" w:cs="Arial"/>
          <w:color w:val="000000"/>
          <w:szCs w:val="24"/>
          <w:lang w:val="es-ES_tradnl" w:eastAsia="es-ES_tradnl"/>
        </w:rPr>
        <w:t>Más allá del lenguaje empleado por el legislador en torno a la consideración de inhabilidad o incompatibilidad de la causal analizada, lo importante es comprender el alcance de la restricción a la capacidad contractual prevista en la norma. En otras palabras, independientemente de la denominación, lo cierto es que luego de la dejación del cargo directivo en la entidad estatal, ni el exempleado público, ni las sociedades en las que haga parte con el matiz introducido por la Corte Constitucional, comentado previamente, ni sus parientes cercanos en las tipologías y grados referidos podrán contratar con la entidad en la cual aquel estuvo vinculado, ni con las demás del sector relacionado con el objeto del contrato.</w:t>
      </w:r>
    </w:p>
    <w:p w14:paraId="00DE4DDB" w14:textId="77777777" w:rsidR="001A629E" w:rsidRPr="003E006C" w:rsidRDefault="001A629E" w:rsidP="001A629E">
      <w:pPr>
        <w:spacing w:before="120" w:after="120" w:line="276" w:lineRule="auto"/>
        <w:ind w:firstLine="709"/>
        <w:jc w:val="both"/>
        <w:rPr>
          <w:rFonts w:ascii="Verdana" w:eastAsia="Calibri" w:hAnsi="Verdana" w:cs="Arial"/>
          <w:color w:val="000000"/>
          <w:lang w:val="es-ES" w:eastAsia="es-ES"/>
        </w:rPr>
      </w:pPr>
      <w:r w:rsidRPr="4552CAB1">
        <w:rPr>
          <w:rFonts w:ascii="Verdana" w:eastAsia="Calibri" w:hAnsi="Verdana" w:cs="Arial"/>
          <w:color w:val="000000" w:themeColor="text1"/>
          <w:lang w:val="es-ES" w:eastAsia="es-ES"/>
        </w:rPr>
        <w:t xml:space="preserve">La finalidad de la causal es evitar que las personas que han ejercido cargos directivos en las entidades estatales se valgan de esa circunstancia privilegiada </w:t>
      </w:r>
      <w:r w:rsidRPr="4552CAB1">
        <w:rPr>
          <w:rFonts w:ascii="Verdana" w:eastAsia="Calibri" w:hAnsi="Verdana" w:cs="Arial"/>
          <w:color w:val="000000" w:themeColor="text1"/>
          <w:lang w:val="es-ES" w:eastAsia="es-ES"/>
        </w:rPr>
        <w:lastRenderedPageBreak/>
        <w:t xml:space="preserve">para asegurarse para ellas, para las sociedades de las que hagan parte o para sus parientes cercanos un contrato con entidades del mismo sector una vez finalice su relación laboral. Así lo señaló la Corte Constitucional en la Sentencia C-257 de 2013 mencionada con anterioridad, en la cual se declaró exequible la norma que se analiza, es decir, el artículo 4 de la Ley 1474 de 2011, indicando que:  </w:t>
      </w:r>
    </w:p>
    <w:p w14:paraId="6B5D897F" w14:textId="77777777" w:rsidR="001A629E" w:rsidRDefault="001A629E" w:rsidP="001A629E">
      <w:pPr>
        <w:ind w:left="709" w:right="709"/>
        <w:jc w:val="both"/>
        <w:rPr>
          <w:rFonts w:ascii="Verdana" w:eastAsia="Calibri" w:hAnsi="Verdana" w:cs="Arial"/>
          <w:color w:val="000000"/>
          <w:sz w:val="20"/>
          <w:szCs w:val="20"/>
          <w:lang w:val="es-ES_tradnl" w:eastAsia="es-ES_tradnl"/>
        </w:rPr>
      </w:pPr>
      <w:r w:rsidRPr="00E40972">
        <w:rPr>
          <w:rFonts w:ascii="Verdana" w:eastAsia="Calibri" w:hAnsi="Verdana" w:cs="Arial"/>
          <w:color w:val="000000"/>
          <w:sz w:val="20"/>
          <w:szCs w:val="20"/>
          <w:lang w:val="es-ES_tradnl" w:eastAsia="es-ES_tradnl"/>
        </w:rPr>
        <w:t xml:space="preserve"> “Es claro que la norma  señala que la inhabilidad se aplica  en relación con aquellos servidores públicos que desempeñaron funciones de dirección para  evitar  que puedan utilizar los vínculos, influencia y ascendencia que estos ex directivos –o sus familiares cercanos– puedan tener con la entidad y sus funcionarios encargados de los procesos de selección,  precisamente por el rol de jerarquía y mando que ejerció, con lo cual se trata de poner a salvo los principios constitucionales de la administración pública ya referidos”</w:t>
      </w:r>
      <w:r w:rsidRPr="00E40972">
        <w:rPr>
          <w:rFonts w:ascii="Verdana" w:eastAsia="Calibri" w:hAnsi="Verdana" w:cs="Arial"/>
          <w:color w:val="000000"/>
          <w:sz w:val="20"/>
          <w:szCs w:val="20"/>
          <w:vertAlign w:val="superscript"/>
          <w:lang w:val="es-ES_tradnl" w:eastAsia="es-ES_tradnl"/>
        </w:rPr>
        <w:footnoteReference w:id="16"/>
      </w:r>
      <w:r w:rsidRPr="00E40972">
        <w:rPr>
          <w:rFonts w:ascii="Verdana" w:eastAsia="Calibri" w:hAnsi="Verdana" w:cs="Arial"/>
          <w:color w:val="000000"/>
          <w:sz w:val="20"/>
          <w:szCs w:val="20"/>
          <w:lang w:val="es-ES_tradnl" w:eastAsia="es-ES_tradnl"/>
        </w:rPr>
        <w:t>.</w:t>
      </w:r>
    </w:p>
    <w:p w14:paraId="7E70BD27" w14:textId="77777777" w:rsidR="001A629E" w:rsidRDefault="001A629E" w:rsidP="001A629E">
      <w:pPr>
        <w:spacing w:before="120" w:after="120" w:line="276" w:lineRule="auto"/>
        <w:ind w:firstLine="709"/>
        <w:jc w:val="both"/>
        <w:rPr>
          <w:rFonts w:ascii="Verdana" w:eastAsia="Calibri" w:hAnsi="Verdana" w:cs="Arial"/>
          <w:lang w:val="es-ES" w:eastAsia="es-ES"/>
        </w:rPr>
      </w:pPr>
      <w:r w:rsidRPr="00ED6FA7">
        <w:rPr>
          <w:rFonts w:ascii="Verdana" w:eastAsia="Calibri" w:hAnsi="Verdana" w:cs="Arial"/>
          <w:i/>
          <w:iCs/>
          <w:color w:val="000000"/>
          <w:lang w:val="es-ES" w:eastAsia="es-ES"/>
        </w:rPr>
        <w:t>El objeto de la causal:</w:t>
      </w:r>
      <w:r w:rsidRPr="4552CAB1">
        <w:rPr>
          <w:rFonts w:ascii="Verdana" w:eastAsia="Calibri" w:hAnsi="Verdana" w:cs="Arial"/>
          <w:color w:val="000000"/>
          <w:lang w:val="es-ES" w:eastAsia="es-ES"/>
        </w:rPr>
        <w:t xml:space="preserve"> es prohibir la celebración de contratos estatales por parte de los sujetos indicados, “cuando el objeto que desarrollen tenga relación con el sector al cual prestaron sus servicios”. Es decir, la norma consagra un criterio mixto funcional y orgánico, pues alude a la relación del objeto contractual con el sector en el que los exempleados se desempeñaron. Aunque la causal no define el concepto sector, el contexto normativo en el que se ubica permite concluir que por aquel debe entenderse “sector administrativo”. Ello a partir de una “interpretación contextual” o “sistemática”. </w:t>
      </w:r>
      <w:r w:rsidRPr="4552CAB1">
        <w:rPr>
          <w:rFonts w:ascii="Verdana" w:eastAsia="Calibri" w:hAnsi="Verdana" w:cs="Arial"/>
          <w:lang w:val="es-ES" w:eastAsia="es-ES"/>
        </w:rPr>
        <w:t>Como dice Guastini, la interpretación literal suele ser una “(…) interpretación no contextual o a-contextual”</w:t>
      </w:r>
      <w:r w:rsidRPr="4552CAB1">
        <w:rPr>
          <w:rFonts w:ascii="Verdana" w:eastAsia="Calibri" w:hAnsi="Verdana" w:cs="Arial"/>
          <w:vertAlign w:val="superscript"/>
          <w:lang w:val="es-ES" w:eastAsia="es-ES"/>
        </w:rPr>
        <w:footnoteReference w:id="17"/>
      </w:r>
      <w:r w:rsidRPr="4552CAB1">
        <w:rPr>
          <w:rFonts w:ascii="Verdana" w:eastAsia="Calibri" w:hAnsi="Verdana" w:cs="Arial"/>
          <w:lang w:val="es-ES" w:eastAsia="es-ES"/>
        </w:rPr>
        <w:t>, es decir, una “(…) interpretación que, para acreditar el significado elegido (el significado “objetivo” del texto), no aduce más que las reglas semánticas y sintácticas de la lengua”</w:t>
      </w:r>
      <w:r w:rsidRPr="4552CAB1">
        <w:rPr>
          <w:rFonts w:ascii="Verdana" w:eastAsia="Calibri" w:hAnsi="Verdana" w:cs="Arial"/>
          <w:vertAlign w:val="superscript"/>
          <w:lang w:val="es-ES" w:eastAsia="es-ES"/>
        </w:rPr>
        <w:footnoteReference w:id="18"/>
      </w:r>
      <w:r w:rsidRPr="4552CAB1">
        <w:rPr>
          <w:rFonts w:ascii="Verdana" w:eastAsia="Calibri" w:hAnsi="Verdana" w:cs="Arial"/>
          <w:lang w:val="es-ES" w:eastAsia="es-ES"/>
        </w:rPr>
        <w:t xml:space="preserve">. Se diferencia de la “interpretación contextual”, es decir, de “(…) aquella interpretación que, para acreditar el significado elegido, aduce elementos </w:t>
      </w:r>
      <w:proofErr w:type="spellStart"/>
      <w:r w:rsidRPr="4552CAB1">
        <w:rPr>
          <w:rFonts w:ascii="Verdana" w:eastAsia="Calibri" w:hAnsi="Verdana" w:cs="Arial"/>
          <w:lang w:val="es-ES" w:eastAsia="es-ES"/>
        </w:rPr>
        <w:t>extra-textuales</w:t>
      </w:r>
      <w:proofErr w:type="spellEnd"/>
      <w:r w:rsidRPr="4552CAB1">
        <w:rPr>
          <w:rFonts w:ascii="Verdana" w:eastAsia="Calibri" w:hAnsi="Verdana" w:cs="Arial"/>
          <w:lang w:val="es-ES" w:eastAsia="es-ES"/>
        </w:rPr>
        <w:t>”</w:t>
      </w:r>
      <w:r w:rsidRPr="4552CAB1">
        <w:rPr>
          <w:rFonts w:ascii="Verdana" w:eastAsia="Calibri" w:hAnsi="Verdana" w:cs="Arial"/>
          <w:vertAlign w:val="superscript"/>
          <w:lang w:val="es-ES" w:eastAsia="es-ES"/>
        </w:rPr>
        <w:footnoteReference w:id="19"/>
      </w:r>
      <w:r w:rsidRPr="4552CAB1">
        <w:rPr>
          <w:rFonts w:ascii="Verdana" w:eastAsia="Calibri" w:hAnsi="Verdana" w:cs="Arial"/>
          <w:lang w:val="es-ES" w:eastAsia="es-ES"/>
        </w:rPr>
        <w:t xml:space="preserve">, como, por ejemplo, los antecedentes legislativos. Una exigencia de la interpretación contextual es el </w:t>
      </w:r>
      <w:r w:rsidRPr="4552CAB1">
        <w:rPr>
          <w:rFonts w:ascii="Verdana" w:eastAsia="Calibri" w:hAnsi="Verdana" w:cs="Arial"/>
          <w:lang w:val="es-ES" w:eastAsia="es-ES"/>
        </w:rPr>
        <w:lastRenderedPageBreak/>
        <w:t>argumento de “interpretación sistemática”. Al respecto, el mencionado autor señala:</w:t>
      </w:r>
    </w:p>
    <w:p w14:paraId="46157BD3" w14:textId="77777777" w:rsidR="001A629E" w:rsidRDefault="001A629E" w:rsidP="001A629E">
      <w:pPr>
        <w:ind w:left="709" w:right="709"/>
        <w:jc w:val="both"/>
        <w:rPr>
          <w:rFonts w:ascii="Verdana" w:eastAsia="Calibri" w:hAnsi="Verdana" w:cs="Arial"/>
          <w:sz w:val="20"/>
          <w:szCs w:val="20"/>
          <w:lang w:val="es-ES_tradnl" w:eastAsia="es-ES_tradnl"/>
        </w:rPr>
      </w:pPr>
      <w:r w:rsidRPr="00C6544D">
        <w:rPr>
          <w:rFonts w:ascii="Verdana" w:eastAsia="Calibri" w:hAnsi="Verdana" w:cs="Arial"/>
          <w:sz w:val="20"/>
          <w:szCs w:val="20"/>
          <w:lang w:val="es-ES_tradnl" w:eastAsia="es-ES_tradnl"/>
        </w:rPr>
        <w:t xml:space="preserve"> “En la práctica, se usa un argumento de tipo sistemático siempre que, para acreditar la interpretación escogida, se alega no el texto de la disposición interpretada aisladamente considerada, sino algún elemento del contexto en el que la disposición está colocada. Tal contexto puede ser más o menos extenso: los otros apartados de un mismo artículo, los otros artículos de una misma ley, el conjunto de las leyes que se refieren a una misma materia, etc., hasta llegar a la totalidad de las disposiciones que componen un ordenamiento jurídico”</w:t>
      </w:r>
      <w:r w:rsidRPr="00C6544D">
        <w:rPr>
          <w:rFonts w:ascii="Verdana" w:eastAsia="Calibri" w:hAnsi="Verdana" w:cs="Arial"/>
          <w:sz w:val="20"/>
          <w:szCs w:val="20"/>
          <w:vertAlign w:val="superscript"/>
          <w:lang w:val="es-ES_tradnl" w:eastAsia="es-ES_tradnl"/>
        </w:rPr>
        <w:footnoteReference w:id="20"/>
      </w:r>
      <w:r w:rsidRPr="00C6544D">
        <w:rPr>
          <w:rFonts w:ascii="Verdana" w:eastAsia="Calibri" w:hAnsi="Verdana" w:cs="Arial"/>
          <w:sz w:val="20"/>
          <w:szCs w:val="20"/>
          <w:lang w:val="es-ES_tradnl" w:eastAsia="es-ES_tradnl"/>
        </w:rPr>
        <w:t>.</w:t>
      </w:r>
    </w:p>
    <w:p w14:paraId="413C34D4" w14:textId="77777777" w:rsidR="001A629E" w:rsidRDefault="001A629E" w:rsidP="001A629E">
      <w:pPr>
        <w:spacing w:before="120" w:after="120" w:line="276" w:lineRule="auto"/>
        <w:ind w:left="708" w:firstLine="1"/>
        <w:jc w:val="both"/>
        <w:rPr>
          <w:rFonts w:ascii="Verdana" w:eastAsia="Calibri" w:hAnsi="Verdana" w:cs="Arial"/>
          <w:color w:val="000000"/>
          <w:lang w:val="es-ES_tradnl" w:eastAsia="es-ES_tradnl"/>
        </w:rPr>
      </w:pPr>
      <w:r w:rsidRPr="00C6544D">
        <w:rPr>
          <w:rFonts w:ascii="Verdana" w:eastAsia="Calibri" w:hAnsi="Verdana" w:cs="Arial"/>
          <w:lang w:val="es-ES_tradnl" w:eastAsia="es-ES_tradnl"/>
        </w:rPr>
        <w:t>El ordenamiento jurídico colombiano se acoge la posibilidad de la interpretación sistemática que es consecuencia, según se ha visto, de una interpretación contextual, cuando se presenten dudas en el sentido literal de un texto normativo. En esta línea, el artículo 30 del Código Civil señala que “El contexto de la ley servirá para ilustrar el sentido de cada una de sus partes, de manera que haya entre todas ellas la debida correspondencia y armonía” y que “Los pasajes oscuros de una ley pueden ser ilustrados por medio de otras leyes, particularmente si versan sobre el mismo asunto”</w:t>
      </w:r>
      <w:r w:rsidRPr="00C6544D">
        <w:rPr>
          <w:rFonts w:ascii="Verdana" w:eastAsia="Calibri" w:hAnsi="Verdana" w:cs="Arial"/>
          <w:vertAlign w:val="superscript"/>
          <w:lang w:val="es-ES_tradnl" w:eastAsia="es-ES_tradnl"/>
        </w:rPr>
        <w:footnoteReference w:id="21"/>
      </w:r>
      <w:r w:rsidRPr="00C6544D">
        <w:rPr>
          <w:rFonts w:ascii="Verdana" w:eastAsia="Calibri" w:hAnsi="Verdana" w:cs="Arial"/>
          <w:lang w:val="es-ES_tradnl" w:eastAsia="es-ES_tradnl"/>
        </w:rPr>
        <w:t>.</w:t>
      </w:r>
    </w:p>
    <w:p w14:paraId="3DC3876D" w14:textId="77777777" w:rsidR="001A629E" w:rsidRDefault="001A629E" w:rsidP="001A629E">
      <w:pPr>
        <w:spacing w:before="120" w:after="120" w:line="276" w:lineRule="auto"/>
        <w:ind w:firstLine="709"/>
        <w:jc w:val="both"/>
        <w:rPr>
          <w:rFonts w:ascii="Verdana" w:eastAsia="Calibri" w:hAnsi="Verdana" w:cs="Arial"/>
          <w:color w:val="000000"/>
          <w:lang w:val="es-ES_tradnl" w:eastAsia="es-ES_tradnl"/>
        </w:rPr>
      </w:pPr>
      <w:r w:rsidRPr="00C6544D">
        <w:rPr>
          <w:rFonts w:ascii="Verdana" w:eastAsia="Calibri" w:hAnsi="Verdana" w:cs="Arial"/>
          <w:color w:val="000000"/>
          <w:szCs w:val="24"/>
          <w:lang w:val="es-ES_tradnl" w:eastAsia="es-ES_tradnl"/>
        </w:rPr>
        <w:t>Pues bien, con fundamento en una interpretación contextual o sistemática, puede afirmarse que el literal f) que contiene la causal objeto de análisis se agregó al listado previsto en el numeral 2 del artículo 8 de la Ley 80 de 1993, y que el literal e) o sea, el literal inmediatamente anterior emplea el concepto “sector administrativo”</w:t>
      </w:r>
      <w:r w:rsidRPr="00C6544D">
        <w:rPr>
          <w:rFonts w:ascii="Verdana" w:eastAsia="Calibri" w:hAnsi="Verdana" w:cs="Arial"/>
          <w:color w:val="000000"/>
          <w:szCs w:val="24"/>
          <w:vertAlign w:val="superscript"/>
          <w:lang w:val="es-ES_tradnl" w:eastAsia="es-ES_tradnl"/>
        </w:rPr>
        <w:footnoteReference w:id="22"/>
      </w:r>
      <w:r w:rsidRPr="00C6544D">
        <w:rPr>
          <w:rFonts w:ascii="Verdana" w:eastAsia="Calibri" w:hAnsi="Verdana" w:cs="Arial"/>
          <w:color w:val="000000"/>
          <w:szCs w:val="24"/>
          <w:lang w:val="es-ES_tradnl" w:eastAsia="es-ES_tradnl"/>
        </w:rPr>
        <w:t xml:space="preserve">. Por tanto, si el artículo 4 de la Ley 1474 de 2011 adicionó una causal posterior a la del literal e), incluyendo la palabra sector, es legítimo interpretarla en el contexto normativo al cual fue agregada, para entender que dicha palabra debe entenderse como sector administrativo, pues es a este al que se refiere el legislador en el ámbito del artículo 8, numeral </w:t>
      </w:r>
      <w:r w:rsidRPr="00C6544D">
        <w:rPr>
          <w:rFonts w:ascii="Verdana" w:eastAsia="Calibri" w:hAnsi="Verdana" w:cs="Arial"/>
          <w:color w:val="000000"/>
          <w:szCs w:val="24"/>
          <w:lang w:val="es-ES_tradnl" w:eastAsia="es-ES_tradnl"/>
        </w:rPr>
        <w:lastRenderedPageBreak/>
        <w:t>2, de la Ley 80 de 1993</w:t>
      </w:r>
      <w:r w:rsidRPr="00C6544D">
        <w:rPr>
          <w:rFonts w:ascii="Verdana" w:eastAsia="Calibri" w:hAnsi="Verdana" w:cs="Arial"/>
          <w:color w:val="000000"/>
          <w:szCs w:val="24"/>
          <w:vertAlign w:val="superscript"/>
          <w:lang w:val="es-ES_tradnl" w:eastAsia="es-ES_tradnl"/>
        </w:rPr>
        <w:footnoteReference w:id="23"/>
      </w:r>
      <w:r w:rsidRPr="00C6544D">
        <w:rPr>
          <w:rFonts w:ascii="Verdana" w:eastAsia="Calibri" w:hAnsi="Verdana" w:cs="Arial"/>
          <w:color w:val="000000"/>
          <w:szCs w:val="24"/>
          <w:lang w:val="es-ES_tradnl" w:eastAsia="es-ES_tradnl"/>
        </w:rPr>
        <w:t>. Ahora bien, esta interpretación solo es posible prima facie para las entidades del orden o nivel nacional.</w:t>
      </w:r>
    </w:p>
    <w:p w14:paraId="112F3558" w14:textId="77777777" w:rsidR="001A629E" w:rsidRDefault="001A629E" w:rsidP="001A629E">
      <w:pPr>
        <w:spacing w:before="120" w:after="120" w:line="276" w:lineRule="auto"/>
        <w:ind w:firstLine="708"/>
        <w:jc w:val="both"/>
        <w:rPr>
          <w:rFonts w:ascii="Verdana" w:eastAsia="Calibri" w:hAnsi="Verdana" w:cs="Arial"/>
          <w:color w:val="000000"/>
          <w:lang w:val="es-ES" w:eastAsia="es-ES"/>
        </w:rPr>
      </w:pPr>
      <w:r>
        <w:rPr>
          <w:rFonts w:ascii="Verdana" w:eastAsia="Calibri" w:hAnsi="Verdana" w:cs="Arial"/>
          <w:color w:val="000000" w:themeColor="text1"/>
          <w:lang w:val="es-ES" w:eastAsia="es-ES"/>
        </w:rPr>
        <w:t>E</w:t>
      </w:r>
      <w:r w:rsidRPr="4552CAB1">
        <w:rPr>
          <w:rFonts w:ascii="Verdana" w:eastAsia="Calibri" w:hAnsi="Verdana" w:cs="Arial"/>
          <w:color w:val="000000" w:themeColor="text1"/>
          <w:lang w:val="es-ES" w:eastAsia="es-ES"/>
        </w:rPr>
        <w:t xml:space="preserve">n cuanto al </w:t>
      </w:r>
      <w:r w:rsidRPr="00ED6FA7">
        <w:rPr>
          <w:rFonts w:ascii="Verdana" w:eastAsia="Calibri" w:hAnsi="Verdana" w:cs="Arial"/>
          <w:i/>
          <w:iCs/>
          <w:color w:val="000000" w:themeColor="text1"/>
          <w:lang w:val="es-ES" w:eastAsia="es-ES"/>
        </w:rPr>
        <w:t>período en el cual rige la prohibición</w:t>
      </w:r>
      <w:r w:rsidRPr="4552CAB1">
        <w:rPr>
          <w:rFonts w:ascii="Verdana" w:eastAsia="Calibri" w:hAnsi="Verdana" w:cs="Arial"/>
          <w:color w:val="000000" w:themeColor="text1"/>
          <w:lang w:val="es-ES" w:eastAsia="es-ES"/>
        </w:rPr>
        <w:t xml:space="preserve">, el segundo inciso del literal f) del artículo 8, numeral 2, de la Ley 80 de 1993, adicionado por el artículo 4 de la Ley 1474 de 2011, señala que, en tal caso, no se pueden celebrar contratos estatales cuyo objeto se relacione con el sector en el cual se desempeñó el exempleado público “durante los dos (2) años siguientes al retiro del ejercicio del cargo público”. Dicho de otro modo, tras haber dejado el cargo el servidor público, comienza a correr un término de dos </w:t>
      </w:r>
      <w:r>
        <w:rPr>
          <w:rFonts w:ascii="Verdana" w:eastAsia="Calibri" w:hAnsi="Verdana" w:cs="Arial"/>
          <w:color w:val="000000" w:themeColor="text1"/>
          <w:lang w:val="es-ES" w:eastAsia="es-ES"/>
        </w:rPr>
        <w:t xml:space="preserve">(2) </w:t>
      </w:r>
      <w:r w:rsidRPr="4552CAB1">
        <w:rPr>
          <w:rFonts w:ascii="Verdana" w:eastAsia="Calibri" w:hAnsi="Verdana" w:cs="Arial"/>
          <w:color w:val="000000" w:themeColor="text1"/>
          <w:lang w:val="es-ES" w:eastAsia="es-ES"/>
        </w:rPr>
        <w:t>años en el cual se aplica la restricción. Esto significa que cuando tal período haya transcurrido, en principio, los sujetos a los que se refiere la causal recobran la capacidad para celebrar contratos estatales, salvo que estén afectados por otras causales de inhabilidad o de incompatibilidad.</w:t>
      </w:r>
    </w:p>
    <w:p w14:paraId="5B1E3527" w14:textId="77777777" w:rsidR="001A629E" w:rsidRDefault="001A629E" w:rsidP="001A629E">
      <w:pPr>
        <w:spacing w:after="0" w:line="276" w:lineRule="auto"/>
        <w:ind w:firstLine="360"/>
        <w:contextualSpacing/>
        <w:jc w:val="both"/>
        <w:rPr>
          <w:rFonts w:ascii="Verdana" w:eastAsia="Calibri" w:hAnsi="Verdana" w:cs="Times New Roman"/>
          <w:lang w:val="es-ES"/>
        </w:rPr>
      </w:pPr>
      <w:r>
        <w:rPr>
          <w:rFonts w:ascii="Verdana" w:eastAsia="Calibri" w:hAnsi="Verdana" w:cs="Times New Roman"/>
          <w:lang w:val="es-ES"/>
        </w:rPr>
        <w:t xml:space="preserve">     D</w:t>
      </w:r>
      <w:r w:rsidRPr="00B00396">
        <w:rPr>
          <w:rFonts w:ascii="Verdana" w:eastAsia="Calibri" w:hAnsi="Verdana" w:cs="Times New Roman"/>
          <w:lang w:val="es-ES"/>
        </w:rPr>
        <w:t xml:space="preserve">ebe advertirse, que el análisis para </w:t>
      </w:r>
      <w:r w:rsidRPr="00DB4737">
        <w:rPr>
          <w:rFonts w:ascii="Verdana" w:eastAsia="Calibri" w:hAnsi="Verdana" w:cs="Times New Roman"/>
          <w:lang w:val="es-ES"/>
        </w:rPr>
        <w:t xml:space="preserve">resolver problemas específicos en torno </w:t>
      </w:r>
      <w:r>
        <w:rPr>
          <w:rFonts w:ascii="Verdana" w:eastAsia="Calibri" w:hAnsi="Verdana" w:cs="Times New Roman"/>
          <w:lang w:val="es-ES"/>
        </w:rPr>
        <w:t>a los procesos de contratación</w:t>
      </w:r>
      <w:r w:rsidRPr="002B5057">
        <w:rPr>
          <w:rFonts w:ascii="Verdana" w:eastAsia="Calibri" w:hAnsi="Verdana" w:cs="Times New Roman"/>
          <w:lang w:val="es-ES"/>
        </w:rPr>
        <w:t xml:space="preserve"> debe ser realizado por quienes tengan interés en ello.</w:t>
      </w:r>
      <w:r w:rsidRPr="00B00396">
        <w:rPr>
          <w:rFonts w:ascii="Verdana" w:eastAsia="Calibri" w:hAnsi="Verdana" w:cs="Times New Roman"/>
          <w:lang w:val="es-ES"/>
        </w:rPr>
        <w:t xml:space="preserve"> De esta forma, las afirmaciones aquí realizadas</w:t>
      </w:r>
      <w:r w:rsidRPr="00DB4737">
        <w:rPr>
          <w:rFonts w:ascii="Verdana" w:eastAsia="Calibri" w:hAnsi="Verdana" w:cs="Times New Roman"/>
          <w:lang w:val="es-ES"/>
        </w:rPr>
        <w:t xml:space="preserve">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30E9FE3F" w14:textId="77777777" w:rsidR="001A629E" w:rsidRPr="00E62379" w:rsidRDefault="001A629E" w:rsidP="001A629E">
      <w:pPr>
        <w:spacing w:after="0" w:line="276" w:lineRule="auto"/>
        <w:ind w:firstLine="360"/>
        <w:contextualSpacing/>
        <w:jc w:val="both"/>
        <w:rPr>
          <w:rFonts w:ascii="Verdana" w:eastAsia="Calibri" w:hAnsi="Verdana" w:cs="Times New Roman"/>
          <w:lang w:val="es-ES"/>
        </w:rPr>
      </w:pPr>
    </w:p>
    <w:p w14:paraId="1BCB9201" w14:textId="77777777" w:rsidR="001A629E" w:rsidRPr="00284526" w:rsidRDefault="001A629E" w:rsidP="001A629E">
      <w:pPr>
        <w:spacing w:after="120" w:line="276" w:lineRule="auto"/>
        <w:ind w:firstLine="708"/>
        <w:jc w:val="both"/>
        <w:rPr>
          <w:rFonts w:ascii="Verdana" w:eastAsia="Times New Roman" w:hAnsi="Verdana" w:cs="Times New Roman"/>
          <w:lang w:eastAsia="es-ES"/>
        </w:rPr>
      </w:pPr>
      <w:bookmarkStart w:id="5" w:name="_Hlk102983874"/>
      <w:bookmarkStart w:id="6" w:name="_Hlk102388095"/>
      <w:r w:rsidRPr="00284526">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w:t>
      </w:r>
      <w:r w:rsidRPr="00284526">
        <w:rPr>
          <w:rFonts w:ascii="Verdana" w:eastAsia="Calibri" w:hAnsi="Verdana" w:cs="Arial"/>
        </w:rPr>
        <w:lastRenderedPageBreak/>
        <w:t xml:space="preserve">que adelantan el proceso de contratación, las facultadas para determinar en cada caso particular y concreto, con los principios básicos y las normas que rigen el EGCAP.  </w:t>
      </w:r>
      <w:r w:rsidRPr="00284526">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bookmarkEnd w:id="5"/>
      <w:bookmarkEnd w:id="6"/>
    </w:p>
    <w:p w14:paraId="6BACDF0B" w14:textId="77777777" w:rsidR="001A629E" w:rsidRPr="00284526" w:rsidRDefault="001A629E" w:rsidP="001A629E">
      <w:pPr>
        <w:widowControl w:val="0"/>
        <w:autoSpaceDE w:val="0"/>
        <w:autoSpaceDN w:val="0"/>
        <w:spacing w:after="120" w:line="276" w:lineRule="auto"/>
        <w:jc w:val="both"/>
        <w:rPr>
          <w:rFonts w:ascii="Verdana" w:eastAsia="Arial MT" w:hAnsi="Verdana" w:cs="Arial"/>
          <w:i/>
          <w:iCs/>
          <w:lang w:eastAsia="es-ES" w:bidi="es-ES"/>
        </w:rPr>
      </w:pPr>
    </w:p>
    <w:p w14:paraId="61F5890D" w14:textId="77777777" w:rsidR="001A629E" w:rsidRDefault="001A629E" w:rsidP="001A629E">
      <w:pPr>
        <w:widowControl w:val="0"/>
        <w:autoSpaceDE w:val="0"/>
        <w:autoSpaceDN w:val="0"/>
        <w:spacing w:after="360" w:line="276" w:lineRule="auto"/>
        <w:jc w:val="both"/>
        <w:rPr>
          <w:rFonts w:ascii="Verdana" w:eastAsia="Arial MT" w:hAnsi="Verdana" w:cs="Arial"/>
          <w:b/>
          <w:bCs/>
          <w:lang w:eastAsia="es-ES" w:bidi="es-ES"/>
        </w:rPr>
      </w:pPr>
      <w:r w:rsidRPr="00284526">
        <w:rPr>
          <w:rFonts w:ascii="Verdana" w:eastAsia="Arial MT" w:hAnsi="Verdana" w:cs="Arial"/>
          <w:b/>
          <w:bCs/>
          <w:lang w:eastAsia="es-ES" w:bidi="es-ES"/>
        </w:rPr>
        <w:t>4. Referencias normativas y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A629E" w:rsidRPr="00593A5F" w14:paraId="43385589" w14:textId="77777777" w:rsidTr="001B6A71">
        <w:trPr>
          <w:trHeight w:val="870"/>
        </w:trPr>
        <w:tc>
          <w:tcPr>
            <w:tcW w:w="8647" w:type="dxa"/>
          </w:tcPr>
          <w:p w14:paraId="2397B2D5" w14:textId="77777777" w:rsidR="001A629E" w:rsidRPr="00CC4DAA" w:rsidRDefault="001A629E" w:rsidP="001A629E">
            <w:pPr>
              <w:widowControl w:val="0"/>
              <w:numPr>
                <w:ilvl w:val="0"/>
                <w:numId w:val="17"/>
              </w:numPr>
              <w:autoSpaceDE w:val="0"/>
              <w:autoSpaceDN w:val="0"/>
              <w:spacing w:after="160" w:line="276" w:lineRule="auto"/>
              <w:contextualSpacing/>
              <w:jc w:val="both"/>
              <w:rPr>
                <w:rFonts w:ascii="Verdana" w:hAnsi="Verdana" w:cs="Arial"/>
              </w:rPr>
            </w:pPr>
            <w:r w:rsidRPr="00CC4DAA">
              <w:rPr>
                <w:rFonts w:ascii="Verdana" w:hAnsi="Verdana" w:cs="Arial"/>
              </w:rPr>
              <w:t>Constitución Política - Artículo 29.</w:t>
            </w:r>
          </w:p>
          <w:p w14:paraId="0DB45991"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 xml:space="preserve">Código Civil - Artículo 1502. </w:t>
            </w:r>
          </w:p>
          <w:p w14:paraId="5ADCCE64"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 xml:space="preserve">Ley 1474 de 2011 - Artículo 4. </w:t>
            </w:r>
          </w:p>
          <w:p w14:paraId="63E6AD70"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 xml:space="preserve">Ley 80 de 1993 - Artículo 6, Artículo 8 - Numeral 2, Literal a, d, e, f. </w:t>
            </w:r>
          </w:p>
          <w:p w14:paraId="23989D19"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Ley 1150 de 2007 - Artículo 6</w:t>
            </w:r>
          </w:p>
          <w:p w14:paraId="30CF81C7"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lang w:val="pt-PT"/>
              </w:rPr>
              <w:t xml:space="preserve">Corte Constitucional. Sentencia T-1039 de 2006. </w:t>
            </w:r>
            <w:r w:rsidRPr="00CC4DAA">
              <w:rPr>
                <w:rFonts w:ascii="Verdana" w:hAnsi="Verdana" w:cs="Arial"/>
              </w:rPr>
              <w:t xml:space="preserve">M. P. Humberto Sierra Porto. </w:t>
            </w:r>
          </w:p>
          <w:p w14:paraId="23B283E4"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Corte Constitucional. Sentencia C-257 del 7 de mayo de 2013. M.P: Jaime Córdoba Triviño</w:t>
            </w:r>
          </w:p>
          <w:p w14:paraId="127A7814"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Consejo de Estado. Sala de Consulta y Servicio Civil. Concepto del 30 de abril de 2015. Expediente: 2.251. C. P: Álvaro Namén Vargas.</w:t>
            </w:r>
          </w:p>
          <w:p w14:paraId="7F5D5E38"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 xml:space="preserve">Consejo de Estado. Sección Tercera. Subsección A. Sentencia del 24 de junio de 2015. </w:t>
            </w:r>
            <w:proofErr w:type="spellStart"/>
            <w:r w:rsidRPr="00CC4DAA">
              <w:rPr>
                <w:rFonts w:ascii="Verdana" w:hAnsi="Verdana" w:cs="Arial"/>
              </w:rPr>
              <w:t>Exp</w:t>
            </w:r>
            <w:proofErr w:type="spellEnd"/>
            <w:r w:rsidRPr="00CC4DAA">
              <w:rPr>
                <w:rFonts w:ascii="Verdana" w:hAnsi="Verdana" w:cs="Arial"/>
              </w:rPr>
              <w:t>. 40.635. C. P.: Hernán Andrade Rincón (E).</w:t>
            </w:r>
          </w:p>
          <w:p w14:paraId="3BF48B12" w14:textId="77777777" w:rsidR="001A629E" w:rsidRPr="00CC4DAA" w:rsidRDefault="001A629E" w:rsidP="001A629E">
            <w:pPr>
              <w:widowControl w:val="0"/>
              <w:numPr>
                <w:ilvl w:val="0"/>
                <w:numId w:val="17"/>
              </w:numPr>
              <w:autoSpaceDE w:val="0"/>
              <w:autoSpaceDN w:val="0"/>
              <w:spacing w:after="160" w:line="276" w:lineRule="auto"/>
              <w:contextualSpacing/>
              <w:jc w:val="both"/>
              <w:rPr>
                <w:rFonts w:ascii="Verdana" w:hAnsi="Verdana" w:cs="Arial"/>
              </w:rPr>
            </w:pPr>
            <w:r w:rsidRPr="00CC4DAA">
              <w:rPr>
                <w:rFonts w:ascii="Verdana" w:hAnsi="Verdana" w:cs="Arial"/>
              </w:rPr>
              <w:t xml:space="preserve">Consejo de Estado. Sección Tercera. Subsección C. Sentencia del 22 de mayo de 2013. </w:t>
            </w:r>
            <w:proofErr w:type="spellStart"/>
            <w:r w:rsidRPr="00CC4DAA">
              <w:rPr>
                <w:rFonts w:ascii="Verdana" w:hAnsi="Verdana" w:cs="Arial"/>
              </w:rPr>
              <w:t>Exp</w:t>
            </w:r>
            <w:proofErr w:type="spellEnd"/>
            <w:r w:rsidRPr="00CC4DAA">
              <w:rPr>
                <w:rFonts w:ascii="Verdana" w:hAnsi="Verdana" w:cs="Arial"/>
              </w:rPr>
              <w:t>. 24.057. C. P: Olga Melida Valle De La Hoz.</w:t>
            </w:r>
          </w:p>
          <w:p w14:paraId="2F880DC7" w14:textId="77777777" w:rsidR="001A629E" w:rsidRPr="00CC4DAA" w:rsidRDefault="001A629E" w:rsidP="001A629E">
            <w:pPr>
              <w:widowControl w:val="0"/>
              <w:numPr>
                <w:ilvl w:val="0"/>
                <w:numId w:val="17"/>
              </w:numPr>
              <w:autoSpaceDE w:val="0"/>
              <w:autoSpaceDN w:val="0"/>
              <w:spacing w:line="276" w:lineRule="auto"/>
              <w:contextualSpacing/>
              <w:jc w:val="both"/>
              <w:rPr>
                <w:rFonts w:ascii="Verdana" w:hAnsi="Verdana" w:cs="Arial"/>
              </w:rPr>
            </w:pPr>
            <w:r w:rsidRPr="00CC4DAA">
              <w:rPr>
                <w:rFonts w:ascii="Verdana" w:hAnsi="Verdana" w:cs="Arial"/>
              </w:rPr>
              <w:t>GUASTINI, Riccardo. Interpretar y argumentar. Madrid: Centro de Estudios Políticos y Constitucionales, 2017, p. 110.</w:t>
            </w:r>
          </w:p>
          <w:p w14:paraId="118555C6" w14:textId="77777777" w:rsidR="001A629E" w:rsidRPr="00ED6FA7" w:rsidRDefault="001A629E" w:rsidP="001A629E">
            <w:pPr>
              <w:widowControl w:val="0"/>
              <w:numPr>
                <w:ilvl w:val="0"/>
                <w:numId w:val="17"/>
              </w:numPr>
              <w:autoSpaceDE w:val="0"/>
              <w:autoSpaceDN w:val="0"/>
              <w:spacing w:line="276" w:lineRule="auto"/>
              <w:contextualSpacing/>
              <w:jc w:val="both"/>
              <w:rPr>
                <w:rFonts w:ascii="Verdana" w:hAnsi="Verdana" w:cs="Arial"/>
              </w:rPr>
            </w:pPr>
            <w:proofErr w:type="gramStart"/>
            <w:r w:rsidRPr="00CC4DAA">
              <w:rPr>
                <w:rFonts w:ascii="Verdana" w:hAnsi="Verdana" w:cs="Arial"/>
              </w:rPr>
              <w:t>.BARRETO</w:t>
            </w:r>
            <w:proofErr w:type="gramEnd"/>
            <w:r w:rsidRPr="00CC4DAA">
              <w:rPr>
                <w:rFonts w:ascii="Verdana" w:hAnsi="Verdana" w:cs="Arial"/>
              </w:rPr>
              <w:t xml:space="preserve"> ROZO, Antonio Alejandro. Inhabilidades de la contratación estatal, efectos y </w:t>
            </w:r>
            <w:proofErr w:type="spellStart"/>
            <w:r w:rsidRPr="00CC4DAA">
              <w:rPr>
                <w:rFonts w:ascii="Verdana" w:hAnsi="Verdana" w:cs="Arial"/>
              </w:rPr>
              <w:t>neopunitivismo</w:t>
            </w:r>
            <w:proofErr w:type="spellEnd"/>
            <w:r w:rsidRPr="00CC4DAA">
              <w:rPr>
                <w:rFonts w:ascii="Verdana" w:hAnsi="Verdana" w:cs="Arial"/>
              </w:rPr>
              <w:t xml:space="preserve"> en el Estatuto Anticorrupción. En: ALVIAR GARCÍA, Helena (Coordinadora). Nuevas tendencias del Derecho administrativo. Bogotá: Universidad de los Andes; Temis, 2016. pp. 63-99.</w:t>
            </w:r>
          </w:p>
        </w:tc>
      </w:tr>
      <w:bookmarkEnd w:id="3"/>
    </w:tbl>
    <w:p w14:paraId="633642FB" w14:textId="77777777" w:rsidR="001A629E" w:rsidRPr="00284526" w:rsidRDefault="001A629E" w:rsidP="001A629E">
      <w:pPr>
        <w:spacing w:after="120" w:line="276" w:lineRule="auto"/>
        <w:jc w:val="both"/>
        <w:rPr>
          <w:rFonts w:ascii="Verdana" w:hAnsi="Verdana" w:cs="Arial"/>
          <w:b/>
          <w:bCs/>
          <w:color w:val="000000" w:themeColor="text1"/>
          <w:lang w:val="es-ES_tradnl"/>
        </w:rPr>
      </w:pPr>
    </w:p>
    <w:p w14:paraId="33B48BB3" w14:textId="77777777" w:rsidR="001A629E" w:rsidRPr="00284526" w:rsidRDefault="001A629E" w:rsidP="001A629E">
      <w:pPr>
        <w:spacing w:after="240" w:line="276" w:lineRule="auto"/>
        <w:jc w:val="both"/>
        <w:rPr>
          <w:rFonts w:ascii="Verdana" w:eastAsia="Arial MT" w:hAnsi="Verdana" w:cs="Arial"/>
          <w:b/>
          <w:bCs/>
          <w:lang w:val="es-ES" w:eastAsia="es-ES" w:bidi="es-ES"/>
        </w:rPr>
      </w:pPr>
      <w:r w:rsidRPr="00284526">
        <w:rPr>
          <w:rFonts w:ascii="Verdana" w:eastAsia="Arial MT" w:hAnsi="Verdana" w:cs="Arial"/>
          <w:b/>
          <w:bCs/>
          <w:lang w:val="es-ES" w:eastAsia="es-ES" w:bidi="es-ES"/>
        </w:rPr>
        <w:t xml:space="preserve">5. Doctrina de la Agencia Nacional de Contratación Pública: </w:t>
      </w:r>
    </w:p>
    <w:p w14:paraId="306016D0" w14:textId="77777777" w:rsidR="001A629E" w:rsidRPr="00284526" w:rsidRDefault="001A629E" w:rsidP="001A629E">
      <w:pPr>
        <w:widowControl w:val="0"/>
        <w:autoSpaceDE w:val="0"/>
        <w:autoSpaceDN w:val="0"/>
        <w:spacing w:after="120" w:line="276" w:lineRule="auto"/>
        <w:jc w:val="both"/>
        <w:rPr>
          <w:rFonts w:ascii="Verdana" w:hAnsi="Verdana" w:cs="Arial"/>
        </w:rPr>
      </w:pPr>
      <w:r w:rsidRPr="00284526">
        <w:rPr>
          <w:rFonts w:ascii="Verdana" w:eastAsia="Calibri" w:hAnsi="Verdana" w:cs="Arial"/>
          <w:lang w:val="es-ES_tradnl" w:eastAsia="es-ES_tradnl"/>
        </w:rPr>
        <w:lastRenderedPageBreak/>
        <w:t xml:space="preserve">Sobre el régimen de inhabilidades e incompatibilidades se pronunció esta Subdirección en los conceptos </w:t>
      </w:r>
      <w:r w:rsidRPr="00284526">
        <w:rPr>
          <w:rFonts w:ascii="Verdana" w:eastAsia="Calibri" w:hAnsi="Verdana" w:cs="Arial"/>
          <w:lang w:val="es-MX"/>
        </w:rPr>
        <w:t>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C−190 del 30 de abril de 2021, C−210 del 12 de mayo de 2021, C−275 del 11 de junio de 2021, C−293 del 28 de junio de 2021, C−321 del 2 de julio de 2021, C−410 del 7 de julio de 2021, C−491 del 14 de septiembre de 2021, C−522 del 1 de octubre de 2021,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C-039 del 23 de abril de 2024 y C-085 del 3 de marzo de 2025</w:t>
      </w:r>
      <w:r w:rsidRPr="00284526">
        <w:rPr>
          <w:rFonts w:ascii="Verdana" w:hAnsi="Verdana" w:cs="Arial"/>
        </w:rPr>
        <w:t>. También se ha pronunciado sobre el conflicto de interés en los conceptos C-229 del 16 de abril de 2020, C-815 del 18 de febrero de 2021, C-449 del 31 de agosto de 2021, C-288 del 14 de julio de 2023, C-651 del 22 de octubre de 2024, C-680 del 15 de noviembre de 2024, C-693 del 19 de noviembre de 2024 y C-839 del 13 de diciembre de 2024</w:t>
      </w:r>
      <w:r w:rsidRPr="00284526">
        <w:rPr>
          <w:rFonts w:ascii="Verdana" w:hAnsi="Verdana" w:cs="Arial"/>
          <w:shd w:val="clear" w:color="auto" w:fill="FFFFFF"/>
          <w:lang w:val="es-ES"/>
        </w:rPr>
        <w:t>. Es</w:t>
      </w:r>
      <w:r w:rsidRPr="00284526">
        <w:rPr>
          <w:rFonts w:ascii="Verdana" w:hAnsi="Verdana"/>
        </w:rPr>
        <w:t>tos y otros conceptos se encuentran disponibles para consulta en el Sistema de relatoría de la Agencia, al cual se puede acceder a través del siguiente enlace:</w:t>
      </w:r>
      <w:r w:rsidRPr="00284526">
        <w:rPr>
          <w:rFonts w:ascii="Verdana" w:hAnsi="Verdana" w:cs="Arial"/>
          <w:shd w:val="clear" w:color="auto" w:fill="FFFFFF"/>
          <w:lang w:val="es-ES"/>
        </w:rPr>
        <w:t xml:space="preserve"> </w:t>
      </w:r>
      <w:hyperlink r:id="rId14" w:history="1">
        <w:r w:rsidRPr="00284526">
          <w:rPr>
            <w:rFonts w:ascii="Verdana" w:hAnsi="Verdana" w:cs="Arial"/>
            <w:color w:val="0563C1" w:themeColor="hyperlink"/>
            <w:u w:val="single"/>
            <w:shd w:val="clear" w:color="auto" w:fill="FFFFFF"/>
            <w:lang w:val="es-ES"/>
          </w:rPr>
          <w:t>https://relatoria.colombiacompra.gov.co/busqueda/conceptos</w:t>
        </w:r>
      </w:hyperlink>
      <w:r w:rsidRPr="00284526">
        <w:rPr>
          <w:rFonts w:ascii="Verdana" w:hAnsi="Verdana" w:cs="Arial"/>
          <w:shd w:val="clear" w:color="auto" w:fill="FFFFFF"/>
          <w:lang w:val="es-ES"/>
        </w:rPr>
        <w:t>.</w:t>
      </w:r>
      <w:r w:rsidRPr="00284526">
        <w:rPr>
          <w:rFonts w:ascii="Verdana" w:hAnsi="Verdana" w:cs="Arial"/>
          <w:color w:val="FF0000"/>
          <w:shd w:val="clear" w:color="auto" w:fill="FFFFFF"/>
          <w:lang w:val="es-ES"/>
        </w:rPr>
        <w:t xml:space="preserve"> </w:t>
      </w:r>
      <w:r w:rsidRPr="00284526">
        <w:rPr>
          <w:rFonts w:ascii="Verdana" w:hAnsi="Verdana" w:cs="Arial"/>
          <w:color w:val="000000" w:themeColor="text1"/>
          <w:shd w:val="clear" w:color="auto" w:fill="FFFFFF"/>
        </w:rPr>
        <w:t>  </w:t>
      </w:r>
    </w:p>
    <w:p w14:paraId="7157F9A8" w14:textId="77777777" w:rsidR="001A629E" w:rsidRPr="00284526" w:rsidRDefault="001A629E" w:rsidP="001A629E">
      <w:pPr>
        <w:spacing w:after="120" w:line="276" w:lineRule="auto"/>
        <w:jc w:val="both"/>
        <w:rPr>
          <w:rFonts w:ascii="Verdana" w:eastAsia="Arial MT" w:hAnsi="Verdana" w:cs="Arial"/>
          <w:lang w:eastAsia="es-ES" w:bidi="es-ES"/>
        </w:rPr>
      </w:pPr>
    </w:p>
    <w:p w14:paraId="5711A8E7" w14:textId="77777777" w:rsidR="001A629E" w:rsidRPr="00284526" w:rsidRDefault="001A629E" w:rsidP="001A629E">
      <w:pPr>
        <w:spacing w:after="0"/>
        <w:jc w:val="both"/>
        <w:rPr>
          <w:rFonts w:ascii="Verdana" w:hAnsi="Verdana" w:cs="Arial"/>
          <w:shd w:val="clear" w:color="auto" w:fill="FFFFFF"/>
        </w:rPr>
      </w:pPr>
      <w:r w:rsidRPr="00284526">
        <w:rPr>
          <w:rFonts w:ascii="Verdana" w:hAnsi="Verdana" w:cs="Arial"/>
          <w:shd w:val="clear" w:color="auto" w:fill="FFFFFF"/>
        </w:rPr>
        <w:t xml:space="preserve">Por último, lo invitamos a seguirnos en las redes sociales en las cuales se difunde información institucional: </w:t>
      </w:r>
    </w:p>
    <w:p w14:paraId="5B897DF5" w14:textId="77777777" w:rsidR="001A629E" w:rsidRPr="00284526" w:rsidRDefault="001A629E" w:rsidP="001A629E">
      <w:pPr>
        <w:spacing w:after="0"/>
        <w:jc w:val="both"/>
        <w:rPr>
          <w:rFonts w:ascii="Verdana" w:hAnsi="Verdana" w:cs="Arial"/>
          <w:shd w:val="clear" w:color="auto" w:fill="FFFFFF"/>
        </w:rPr>
      </w:pPr>
    </w:p>
    <w:p w14:paraId="44B20A41" w14:textId="77777777" w:rsidR="001A629E" w:rsidRPr="00284526" w:rsidRDefault="001A629E" w:rsidP="001A629E">
      <w:pPr>
        <w:spacing w:after="0"/>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7D4028D1" w14:textId="77777777" w:rsidR="001A629E" w:rsidRPr="00284526" w:rsidRDefault="001A629E" w:rsidP="001A629E">
      <w:pPr>
        <w:spacing w:after="0"/>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216AC586" w14:textId="77777777" w:rsidR="001A629E" w:rsidRPr="00284526" w:rsidRDefault="001A629E" w:rsidP="001A629E">
      <w:pPr>
        <w:spacing w:after="0"/>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1828793A" w14:textId="77777777" w:rsidR="001A629E" w:rsidRPr="00284526" w:rsidRDefault="001A629E" w:rsidP="001A629E">
      <w:pPr>
        <w:spacing w:after="0"/>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63BF6DDA" w14:textId="77777777" w:rsidR="001A629E" w:rsidRPr="00284526" w:rsidRDefault="001A629E" w:rsidP="001A629E">
      <w:pPr>
        <w:widowControl w:val="0"/>
        <w:autoSpaceDE w:val="0"/>
        <w:autoSpaceDN w:val="0"/>
        <w:spacing w:after="0" w:line="276" w:lineRule="auto"/>
        <w:jc w:val="both"/>
        <w:rPr>
          <w:rFonts w:ascii="Verdana" w:hAnsi="Verdana" w:cs="Arial"/>
          <w:lang w:val="es-ES"/>
        </w:rPr>
      </w:pPr>
    </w:p>
    <w:p w14:paraId="41E61E7C" w14:textId="77777777" w:rsidR="001A629E" w:rsidRPr="00284526" w:rsidRDefault="001A629E" w:rsidP="001A629E">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 xml:space="preserve">Este concepto tiene el alcance previsto en el artículo 28 del Código de Procedimiento Administrativo y de lo Contencioso Administrativo y las expresiones aquí utilizadas con mayúscula inicial deben ser entendidas con el </w:t>
      </w:r>
      <w:r w:rsidRPr="00284526">
        <w:rPr>
          <w:rFonts w:ascii="Verdana" w:hAnsi="Verdana" w:cs="Arial"/>
          <w:lang w:val="es-ES"/>
        </w:rPr>
        <w:lastRenderedPageBreak/>
        <w:t>significado que les otorga el artículo 2.2.1.1.1.3.1. del Decreto 1082 de 2015.</w:t>
      </w:r>
    </w:p>
    <w:p w14:paraId="342C502B" w14:textId="77777777" w:rsidR="001A629E" w:rsidRPr="00116940" w:rsidRDefault="001A629E" w:rsidP="001A629E">
      <w:pPr>
        <w:spacing w:after="0" w:line="240" w:lineRule="auto"/>
        <w:jc w:val="both"/>
        <w:rPr>
          <w:rFonts w:ascii="Verdana" w:eastAsia="Verdana" w:hAnsi="Verdana" w:cs="Verdana"/>
        </w:rPr>
      </w:pPr>
    </w:p>
    <w:p w14:paraId="230C4249" w14:textId="77777777" w:rsidR="001A629E" w:rsidRPr="00116940" w:rsidRDefault="001A629E" w:rsidP="001A629E">
      <w:pPr>
        <w:spacing w:after="0" w:line="240" w:lineRule="auto"/>
        <w:rPr>
          <w:rFonts w:ascii="Verdana" w:eastAsia="Verdana" w:hAnsi="Verdana" w:cs="Verdana"/>
        </w:rPr>
      </w:pPr>
      <w:r w:rsidRPr="30821638">
        <w:rPr>
          <w:rFonts w:ascii="Verdana" w:eastAsia="Verdana" w:hAnsi="Verdana" w:cs="Verdana"/>
        </w:rPr>
        <w:t xml:space="preserve">Evalúa el servicio que ofrece la Agencia por el canal de atención de PQRSD en el siguiente </w:t>
      </w:r>
      <w:proofErr w:type="gramStart"/>
      <w:r w:rsidRPr="30821638">
        <w:rPr>
          <w:rFonts w:ascii="Verdana" w:eastAsia="Verdana" w:hAnsi="Verdana" w:cs="Verdana"/>
        </w:rPr>
        <w:t>enlace :</w:t>
      </w:r>
      <w:proofErr w:type="gramEnd"/>
      <w:hyperlink r:id="rId15">
        <w:r w:rsidRPr="30821638">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2857BAFF" w14:textId="77777777" w:rsidR="001A629E" w:rsidRPr="00116940" w:rsidRDefault="001A629E" w:rsidP="001A629E">
      <w:pPr>
        <w:spacing w:after="0" w:line="240" w:lineRule="auto"/>
        <w:rPr>
          <w:rFonts w:ascii="Verdana" w:eastAsia="Verdana" w:hAnsi="Verdana" w:cs="Verdana"/>
        </w:rPr>
      </w:pPr>
    </w:p>
    <w:p w14:paraId="48AD7F42" w14:textId="77777777" w:rsidR="001A629E" w:rsidRDefault="001A629E" w:rsidP="001A629E">
      <w:pPr>
        <w:spacing w:after="0" w:line="240" w:lineRule="auto"/>
        <w:jc w:val="both"/>
        <w:rPr>
          <w:rFonts w:ascii="Verdana" w:eastAsia="Verdana" w:hAnsi="Verdana" w:cs="Verdana"/>
          <w:lang w:val="es-MX"/>
        </w:rPr>
      </w:pPr>
    </w:p>
    <w:p w14:paraId="42F7F0C7" w14:textId="77777777" w:rsidR="001A629E" w:rsidRDefault="001A629E" w:rsidP="001A629E">
      <w:pPr>
        <w:spacing w:after="0" w:line="240" w:lineRule="auto"/>
        <w:jc w:val="both"/>
        <w:rPr>
          <w:rFonts w:ascii="Verdana" w:eastAsia="Verdana" w:hAnsi="Verdana" w:cs="Verdana"/>
          <w:lang w:val="es-MX"/>
        </w:rPr>
      </w:pPr>
      <w:r w:rsidRPr="30821638">
        <w:rPr>
          <w:rFonts w:ascii="Verdana" w:eastAsia="Verdana" w:hAnsi="Verdana" w:cs="Verdana"/>
          <w:lang w:val="es-MX"/>
        </w:rPr>
        <w:t>Cordialmente,</w:t>
      </w:r>
      <w:r>
        <w:rPr>
          <w:rFonts w:ascii="Verdana" w:eastAsia="Verdana" w:hAnsi="Verdana" w:cs="Verdana"/>
          <w:lang w:val="es-MX"/>
        </w:rPr>
        <w:t xml:space="preserve"> </w:t>
      </w:r>
    </w:p>
    <w:p w14:paraId="3CDCC80D" w14:textId="77777777" w:rsidR="001A629E" w:rsidRDefault="001A629E" w:rsidP="001A629E">
      <w:pPr>
        <w:spacing w:after="0" w:line="240" w:lineRule="auto"/>
        <w:jc w:val="both"/>
        <w:rPr>
          <w:rFonts w:ascii="Verdana" w:eastAsia="Verdana" w:hAnsi="Verdana" w:cs="Verdana"/>
          <w:lang w:val="es-MX"/>
        </w:rPr>
      </w:pPr>
    </w:p>
    <w:p w14:paraId="7CF378AE" w14:textId="77777777" w:rsidR="001A629E" w:rsidRPr="00E02524" w:rsidRDefault="001A629E" w:rsidP="001A629E">
      <w:pPr>
        <w:spacing w:after="0" w:line="240" w:lineRule="auto"/>
        <w:jc w:val="both"/>
        <w:rPr>
          <w:rFonts w:ascii="Verdana" w:eastAsia="Verdana" w:hAnsi="Verdana" w:cs="Verdana"/>
          <w:lang w:val="es-MX"/>
        </w:rPr>
      </w:pPr>
    </w:p>
    <w:p w14:paraId="2369A2E0" w14:textId="54DB050A" w:rsidR="001A629E" w:rsidRDefault="009834E7" w:rsidP="001A629E">
      <w:pPr>
        <w:spacing w:after="0" w:line="240" w:lineRule="auto"/>
        <w:jc w:val="center"/>
        <w:rPr>
          <w:rFonts w:ascii="Verdana" w:eastAsia="Verdana" w:hAnsi="Verdana" w:cs="Verdana"/>
          <w:b/>
          <w:bCs/>
          <w:lang w:val="es-MX"/>
        </w:rPr>
      </w:pPr>
      <w:r w:rsidRPr="002C3AD6">
        <w:rPr>
          <w:rFonts w:ascii="Century Gothic" w:hAnsi="Century Gothic"/>
          <w:noProof/>
        </w:rPr>
        <w:drawing>
          <wp:inline distT="0" distB="0" distL="0" distR="0" wp14:anchorId="715D2C1E" wp14:editId="1E7272C9">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772426" cy="1400370"/>
                    </a:xfrm>
                    <a:prstGeom prst="rect">
                      <a:avLst/>
                    </a:prstGeom>
                  </pic:spPr>
                </pic:pic>
              </a:graphicData>
            </a:graphic>
          </wp:inline>
        </w:drawing>
      </w:r>
    </w:p>
    <w:p w14:paraId="02171D71" w14:textId="77777777" w:rsidR="001A629E" w:rsidRDefault="001A629E" w:rsidP="001A629E">
      <w:pPr>
        <w:spacing w:after="0" w:line="240" w:lineRule="auto"/>
        <w:jc w:val="both"/>
        <w:textAlignment w:val="baseline"/>
        <w:rPr>
          <w:rFonts w:ascii="Verdana" w:eastAsia="Verdana" w:hAnsi="Verdana" w:cs="Verdana"/>
          <w:lang w:eastAsia="es-CO"/>
        </w:rPr>
      </w:pPr>
    </w:p>
    <w:p w14:paraId="4BD11772" w14:textId="77777777" w:rsidR="001A629E" w:rsidRDefault="001A629E" w:rsidP="001A629E">
      <w:pPr>
        <w:spacing w:after="0" w:line="240" w:lineRule="auto"/>
        <w:textAlignment w:val="baseline"/>
        <w:rPr>
          <w:rFonts w:ascii="Verdana" w:eastAsia="Times New Roman" w:hAnsi="Verdana" w:cs="Segoe UI"/>
          <w:lang w:val="es-MX" w:eastAsia="es-CO"/>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1A629E" w:rsidRPr="004C0111" w14:paraId="3F335F14" w14:textId="77777777" w:rsidTr="001B6A71">
        <w:trPr>
          <w:trHeight w:val="622"/>
        </w:trPr>
        <w:tc>
          <w:tcPr>
            <w:tcW w:w="893" w:type="dxa"/>
            <w:vAlign w:val="center"/>
            <w:hideMark/>
          </w:tcPr>
          <w:p w14:paraId="2F7D4E61" w14:textId="77777777" w:rsidR="001A629E" w:rsidRPr="004C0111" w:rsidRDefault="001A629E" w:rsidP="001B6A71">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1A629E" w:rsidRPr="004C0111" w14:paraId="590BAE87" w14:textId="77777777" w:rsidTr="001B6A71">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7534A12C" w14:textId="77777777" w:rsidR="001A629E" w:rsidRPr="004C0111" w:rsidRDefault="001A629E" w:rsidP="001B6A71">
                  <w:pPr>
                    <w:spacing w:after="0" w:line="240" w:lineRule="auto"/>
                    <w:rPr>
                      <w:rFonts w:ascii="Verdana" w:eastAsia="Times New Roman" w:hAnsi="Verdana" w:cs="Arial"/>
                      <w:sz w:val="16"/>
                      <w:szCs w:val="16"/>
                      <w:lang w:val="es-ES" w:eastAsia="es-ES"/>
                    </w:rPr>
                  </w:pPr>
                  <w:r>
                    <w:rPr>
                      <w:rFonts w:ascii="Verdana" w:eastAsia="Times New Roman" w:hAnsi="Verdana" w:cs="Arial"/>
                      <w:sz w:val="16"/>
                      <w:szCs w:val="16"/>
                      <w:lang w:val="es-ES" w:eastAsia="es-ES"/>
                    </w:rPr>
                    <w:t>Richard Andrés Montenegro Siefken</w:t>
                  </w:r>
                </w:p>
                <w:p w14:paraId="7F180F30" w14:textId="77777777" w:rsidR="001A629E" w:rsidRPr="004C0111" w:rsidRDefault="001A629E" w:rsidP="001B6A71">
                  <w:pPr>
                    <w:spacing w:after="0" w:line="240" w:lineRule="auto"/>
                    <w:rPr>
                      <w:rFonts w:ascii="Verdana" w:eastAsia="Times New Roman" w:hAnsi="Verdana" w:cs="Arial"/>
                      <w:sz w:val="16"/>
                      <w:szCs w:val="16"/>
                      <w:lang w:val="es-MX" w:eastAsia="es-CO"/>
                    </w:rPr>
                  </w:pPr>
                  <w:r>
                    <w:rPr>
                      <w:rFonts w:ascii="Verdana" w:eastAsia="Times New Roman" w:hAnsi="Verdana" w:cs="Arial"/>
                      <w:sz w:val="16"/>
                      <w:szCs w:val="16"/>
                      <w:lang w:eastAsia="es-ES"/>
                    </w:rPr>
                    <w:t>Contratista</w:t>
                  </w:r>
                  <w:r w:rsidRPr="004C0111">
                    <w:rPr>
                      <w:rFonts w:ascii="Verdana" w:eastAsia="Times New Roman" w:hAnsi="Verdana" w:cs="Arial"/>
                      <w:sz w:val="16"/>
                      <w:szCs w:val="16"/>
                      <w:lang w:eastAsia="es-ES"/>
                    </w:rPr>
                    <w:t xml:space="preserve"> de la Subdirección de Gestión Contractual</w:t>
                  </w:r>
                </w:p>
              </w:tc>
            </w:tr>
          </w:tbl>
          <w:p w14:paraId="30336841" w14:textId="77777777" w:rsidR="001A629E" w:rsidRPr="004C0111" w:rsidRDefault="001A629E" w:rsidP="001B6A71">
            <w:pPr>
              <w:rPr>
                <w:rFonts w:ascii="Verdana" w:eastAsia="Calibri" w:hAnsi="Verdana" w:cs="Arial"/>
                <w:sz w:val="16"/>
                <w:szCs w:val="16"/>
                <w:lang w:val="es-MX"/>
              </w:rPr>
            </w:pPr>
          </w:p>
        </w:tc>
      </w:tr>
      <w:tr w:rsidR="001A629E" w:rsidRPr="004C0111" w14:paraId="4C08B38E" w14:textId="77777777" w:rsidTr="001B6A71">
        <w:trPr>
          <w:trHeight w:val="330"/>
        </w:trPr>
        <w:tc>
          <w:tcPr>
            <w:tcW w:w="893" w:type="dxa"/>
            <w:vAlign w:val="center"/>
            <w:hideMark/>
          </w:tcPr>
          <w:p w14:paraId="30D35776" w14:textId="77777777" w:rsidR="001A629E" w:rsidRPr="004C0111" w:rsidRDefault="001A629E" w:rsidP="001B6A71">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36CF1180" w14:textId="77777777" w:rsidR="001A629E" w:rsidRPr="004C0111" w:rsidRDefault="001A629E" w:rsidP="001B6A71">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Juan David Cardenas Cabeza</w:t>
            </w:r>
          </w:p>
          <w:p w14:paraId="40DF27DA" w14:textId="77777777" w:rsidR="001A629E" w:rsidRPr="004C0111" w:rsidRDefault="001A629E" w:rsidP="001B6A71">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1A629E" w:rsidRPr="004C0111" w14:paraId="47672F63" w14:textId="77777777" w:rsidTr="001B6A71">
        <w:trPr>
          <w:trHeight w:val="77"/>
        </w:trPr>
        <w:tc>
          <w:tcPr>
            <w:tcW w:w="893" w:type="dxa"/>
            <w:vAlign w:val="center"/>
          </w:tcPr>
          <w:p w14:paraId="04DD34DE" w14:textId="77777777" w:rsidR="001A629E" w:rsidRPr="004C0111" w:rsidRDefault="001A629E" w:rsidP="001B6A71">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3541D9CD" w14:textId="77777777" w:rsidR="001A629E" w:rsidRPr="002F2853" w:rsidRDefault="001A629E" w:rsidP="001B6A71">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3A4D6D4E" w14:textId="77777777" w:rsidR="001A629E" w:rsidRPr="004C0111" w:rsidRDefault="001A629E" w:rsidP="001B6A71">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5C91D1F0" w14:textId="77777777" w:rsidR="001A629E" w:rsidRPr="000E2B93" w:rsidRDefault="001A629E" w:rsidP="001A629E">
      <w:pPr>
        <w:spacing w:after="0" w:line="240" w:lineRule="auto"/>
        <w:jc w:val="both"/>
        <w:textAlignment w:val="baseline"/>
        <w:rPr>
          <w:rFonts w:ascii="Verdana" w:eastAsia="Verdana" w:hAnsi="Verdana" w:cs="Verdana"/>
          <w:lang w:eastAsia="es-CO"/>
        </w:rPr>
      </w:pPr>
    </w:p>
    <w:p w14:paraId="612FD062" w14:textId="77777777" w:rsidR="001A629E" w:rsidRPr="000E2B93" w:rsidRDefault="001A629E" w:rsidP="001A629E">
      <w:pPr>
        <w:spacing w:after="0" w:line="240" w:lineRule="auto"/>
        <w:jc w:val="both"/>
        <w:textAlignment w:val="baseline"/>
        <w:rPr>
          <w:rFonts w:ascii="Verdana" w:eastAsia="Verdana" w:hAnsi="Verdana" w:cs="Verdana"/>
          <w:lang w:eastAsia="es-CO"/>
        </w:rPr>
      </w:pPr>
    </w:p>
    <w:p w14:paraId="025A2489" w14:textId="092784B1" w:rsidR="001A629E" w:rsidRPr="000E2B93" w:rsidRDefault="001A629E" w:rsidP="001A629E">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57384295" w14:textId="77777777" w:rsidR="001A629E" w:rsidRPr="00E02524" w:rsidRDefault="001A629E" w:rsidP="001A629E">
      <w:pPr>
        <w:spacing w:after="0"/>
        <w:jc w:val="both"/>
        <w:rPr>
          <w:rFonts w:ascii="Verdana" w:eastAsia="Verdana" w:hAnsi="Verdana" w:cs="Verdana"/>
          <w:lang w:val="es-ES"/>
        </w:rPr>
      </w:pPr>
    </w:p>
    <w:p w14:paraId="245F2B6B" w14:textId="77777777" w:rsidR="001A629E" w:rsidRPr="00E02524" w:rsidRDefault="001A629E" w:rsidP="001A629E">
      <w:pPr>
        <w:spacing w:after="0"/>
        <w:jc w:val="both"/>
        <w:rPr>
          <w:rFonts w:ascii="Verdana" w:eastAsia="Verdana" w:hAnsi="Verdana" w:cs="Verdana"/>
          <w:lang w:val="es-ES"/>
        </w:rPr>
      </w:pPr>
    </w:p>
    <w:bookmarkEnd w:id="0"/>
    <w:p w14:paraId="721177D1" w14:textId="77777777" w:rsidR="001A629E" w:rsidRPr="0015699B" w:rsidRDefault="001A629E" w:rsidP="001A629E">
      <w:pPr>
        <w:spacing w:after="0" w:line="240" w:lineRule="auto"/>
        <w:jc w:val="both"/>
        <w:textAlignment w:val="baseline"/>
        <w:rPr>
          <w:rFonts w:ascii="Verdana" w:eastAsia="Verdana" w:hAnsi="Verdana" w:cs="Verdana"/>
          <w:lang w:eastAsia="es-CO"/>
        </w:rPr>
      </w:pPr>
    </w:p>
    <w:p w14:paraId="0F293BF4" w14:textId="6F083719" w:rsidR="00127233" w:rsidRPr="002D0A1D" w:rsidRDefault="00127233" w:rsidP="002D0A1D"/>
    <w:sectPr w:rsidR="00127233" w:rsidRPr="002D0A1D"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AEE01" w14:textId="77777777" w:rsidR="003B7185" w:rsidRDefault="003B7185" w:rsidP="004A1847">
      <w:pPr>
        <w:spacing w:after="0" w:line="240" w:lineRule="auto"/>
      </w:pPr>
      <w:r>
        <w:separator/>
      </w:r>
    </w:p>
  </w:endnote>
  <w:endnote w:type="continuationSeparator" w:id="0">
    <w:p w14:paraId="69C1907A" w14:textId="77777777" w:rsidR="003B7185" w:rsidRDefault="003B718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383594"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383594">
      <w:rPr>
        <w:rFonts w:ascii="Verdana" w:eastAsia="Verdana" w:hAnsi="Verdana" w:cs="Verdana"/>
        <w:b/>
        <w:bCs/>
        <w:color w:val="000000" w:themeColor="text1"/>
        <w:sz w:val="18"/>
        <w:szCs w:val="18"/>
        <w:lang w:val="pt-PT" w:eastAsia="es-CO"/>
      </w:rPr>
      <w:t xml:space="preserve">Código: </w:t>
    </w:r>
    <w:r w:rsidRPr="00383594">
      <w:rPr>
        <w:rFonts w:ascii="Verdana" w:eastAsia="Verdana" w:hAnsi="Verdana" w:cs="Verdana"/>
        <w:color w:val="000000" w:themeColor="text1"/>
        <w:sz w:val="18"/>
        <w:szCs w:val="18"/>
        <w:lang w:val="pt-PT" w:eastAsia="es-CO"/>
      </w:rPr>
      <w:t xml:space="preserve">CCE-REC-FM-17 </w:t>
    </w:r>
    <w:r w:rsidRPr="00383594">
      <w:rPr>
        <w:rFonts w:ascii="Verdana" w:eastAsia="Verdana" w:hAnsi="Verdana" w:cs="Verdana"/>
        <w:b/>
        <w:bCs/>
        <w:color w:val="000000" w:themeColor="text1"/>
        <w:sz w:val="18"/>
        <w:szCs w:val="18"/>
        <w:lang w:val="pt-PT" w:eastAsia="es-CO"/>
      </w:rPr>
      <w:t xml:space="preserve">V: </w:t>
    </w:r>
    <w:r w:rsidRPr="00383594">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58EB" w14:textId="77777777" w:rsidR="003B7185" w:rsidRDefault="003B7185" w:rsidP="004A1847">
      <w:pPr>
        <w:spacing w:after="0" w:line="240" w:lineRule="auto"/>
      </w:pPr>
      <w:r>
        <w:separator/>
      </w:r>
    </w:p>
  </w:footnote>
  <w:footnote w:type="continuationSeparator" w:id="0">
    <w:p w14:paraId="7E17A15A" w14:textId="77777777" w:rsidR="003B7185" w:rsidRDefault="003B7185" w:rsidP="004A1847">
      <w:pPr>
        <w:spacing w:after="0" w:line="240" w:lineRule="auto"/>
      </w:pPr>
      <w:r>
        <w:continuationSeparator/>
      </w:r>
    </w:p>
  </w:footnote>
  <w:footnote w:id="1">
    <w:p w14:paraId="6464D353" w14:textId="77777777" w:rsidR="001A629E" w:rsidRPr="009C334E" w:rsidRDefault="001A629E" w:rsidP="001A629E">
      <w:pPr>
        <w:pStyle w:val="Textonotapie"/>
        <w:ind w:firstLine="709"/>
        <w:jc w:val="both"/>
        <w:rPr>
          <w:rFonts w:ascii="Verdana" w:hAnsi="Verdana" w:cs="Arial"/>
          <w:color w:val="000000" w:themeColor="text1"/>
          <w:sz w:val="16"/>
          <w:szCs w:val="16"/>
        </w:rPr>
      </w:pPr>
      <w:r w:rsidRPr="009C334E">
        <w:rPr>
          <w:rStyle w:val="Refdenotaalpie"/>
          <w:rFonts w:ascii="Verdana" w:hAnsi="Verdana"/>
          <w:sz w:val="16"/>
          <w:szCs w:val="16"/>
        </w:rPr>
        <w:footnoteRef/>
      </w:r>
      <w:r w:rsidRPr="009C334E">
        <w:rPr>
          <w:rFonts w:ascii="Verdana" w:hAnsi="Verdana"/>
          <w:sz w:val="16"/>
          <w:szCs w:val="16"/>
        </w:rPr>
        <w:t xml:space="preserve"> </w:t>
      </w:r>
      <w:r w:rsidRPr="009C334E">
        <w:rPr>
          <w:rFonts w:ascii="Verdana" w:hAnsi="Verdana" w:cs="Arial"/>
          <w:color w:val="000000" w:themeColor="text1"/>
          <w:sz w:val="16"/>
          <w:szCs w:val="16"/>
        </w:rPr>
        <w:t>El artículo 6 de la Ley 80 de 1993 expresa: “Pueden celebrar contratos con las entidades estatales las personas consideradas legalmente capaces en las disposiciones vigentes. También podrán celebrar contratos con las entidades estatales, los consorcios y uniones temporales.</w:t>
      </w:r>
    </w:p>
    <w:p w14:paraId="0B0C0D3E" w14:textId="77777777" w:rsidR="001A629E" w:rsidRPr="009C334E" w:rsidRDefault="001A629E" w:rsidP="001A629E">
      <w:pPr>
        <w:pStyle w:val="Textonotapie"/>
        <w:ind w:firstLine="709"/>
        <w:jc w:val="both"/>
        <w:rPr>
          <w:rFonts w:ascii="Verdana" w:hAnsi="Verdana" w:cs="Arial"/>
          <w:color w:val="000000" w:themeColor="text1"/>
          <w:sz w:val="16"/>
          <w:szCs w:val="16"/>
        </w:rPr>
      </w:pPr>
      <w:r w:rsidRPr="009C334E">
        <w:rPr>
          <w:rFonts w:ascii="Verdana" w:hAnsi="Verdana" w:cs="Arial"/>
          <w:color w:val="000000" w:themeColor="text1"/>
          <w:sz w:val="16"/>
          <w:szCs w:val="16"/>
        </w:rPr>
        <w:t>Las personas jurídicas nacionales y extranjeras deberán acreditar que su duración no será inferior a la del plazo del contrato y un año más”.</w:t>
      </w:r>
    </w:p>
    <w:p w14:paraId="6864C130" w14:textId="77777777" w:rsidR="001A629E" w:rsidRPr="009C334E" w:rsidRDefault="001A629E" w:rsidP="001A629E">
      <w:pPr>
        <w:pStyle w:val="Textonotapie"/>
        <w:jc w:val="both"/>
        <w:rPr>
          <w:rFonts w:ascii="Verdana" w:hAnsi="Verdana"/>
          <w:sz w:val="16"/>
          <w:szCs w:val="16"/>
        </w:rPr>
      </w:pPr>
    </w:p>
  </w:footnote>
  <w:footnote w:id="2">
    <w:p w14:paraId="7C543B15" w14:textId="77777777" w:rsidR="001A629E" w:rsidRPr="00683E53" w:rsidRDefault="001A629E" w:rsidP="001A629E">
      <w:pPr>
        <w:pStyle w:val="Textonotapie"/>
        <w:ind w:firstLine="709"/>
        <w:jc w:val="both"/>
        <w:rPr>
          <w:rFonts w:ascii="Verdana" w:hAnsi="Verdana" w:cs="Arial"/>
          <w:color w:val="000000" w:themeColor="text1"/>
          <w:sz w:val="16"/>
          <w:szCs w:val="16"/>
        </w:rPr>
      </w:pPr>
      <w:r w:rsidRPr="00683E53">
        <w:rPr>
          <w:rStyle w:val="Refdenotaalpie"/>
          <w:rFonts w:ascii="Verdana" w:hAnsi="Verdana"/>
          <w:sz w:val="16"/>
          <w:szCs w:val="16"/>
        </w:rPr>
        <w:footnoteRef/>
      </w:r>
      <w:r w:rsidRPr="00683E53">
        <w:rPr>
          <w:rFonts w:ascii="Verdana" w:hAnsi="Verdana"/>
          <w:sz w:val="16"/>
          <w:szCs w:val="16"/>
        </w:rPr>
        <w:t xml:space="preserve"> </w:t>
      </w:r>
      <w:r w:rsidRPr="00683E53">
        <w:rPr>
          <w:rFonts w:ascii="Verdana" w:hAnsi="Verdana" w:cs="Arial"/>
          <w:color w:val="000000" w:themeColor="text1"/>
          <w:sz w:val="16"/>
          <w:szCs w:val="16"/>
        </w:rPr>
        <w:t>El artículo 1502 del Código Civil prevé la capacidad legal como requisito para obligarse contractualmente, en los siguientes términos: “Para que una persona se obligue a otra por un acto o declaración de voluntad, es necesario:</w:t>
      </w:r>
    </w:p>
    <w:p w14:paraId="466B7D01" w14:textId="77777777" w:rsidR="001A629E" w:rsidRDefault="001A629E" w:rsidP="001A629E">
      <w:pPr>
        <w:pStyle w:val="Textonotapie"/>
        <w:ind w:firstLine="709"/>
        <w:jc w:val="both"/>
        <w:rPr>
          <w:rFonts w:ascii="Verdana" w:hAnsi="Verdana" w:cs="Arial"/>
          <w:color w:val="000000" w:themeColor="text1"/>
          <w:sz w:val="16"/>
          <w:szCs w:val="16"/>
        </w:rPr>
      </w:pPr>
      <w:r w:rsidRPr="00683E53">
        <w:rPr>
          <w:rFonts w:ascii="Verdana" w:hAnsi="Verdana" w:cs="Arial"/>
          <w:color w:val="000000" w:themeColor="text1"/>
          <w:sz w:val="16"/>
          <w:szCs w:val="16"/>
        </w:rPr>
        <w:t>1o.) que sea legalmente capaz.</w:t>
      </w:r>
    </w:p>
    <w:p w14:paraId="24A76A41" w14:textId="77777777" w:rsidR="001A629E" w:rsidRPr="001A625A" w:rsidRDefault="001A629E" w:rsidP="001A629E">
      <w:pPr>
        <w:pStyle w:val="Textonotapie"/>
        <w:ind w:firstLine="709"/>
        <w:jc w:val="both"/>
        <w:rPr>
          <w:rFonts w:ascii="Verdana" w:hAnsi="Verdana" w:cs="Arial"/>
          <w:color w:val="000000" w:themeColor="text1"/>
          <w:sz w:val="16"/>
          <w:szCs w:val="16"/>
        </w:rPr>
      </w:pPr>
      <w:r w:rsidRPr="001A625A">
        <w:rPr>
          <w:rFonts w:ascii="Verdana" w:hAnsi="Verdana" w:cs="Arial"/>
          <w:color w:val="000000" w:themeColor="text1"/>
          <w:sz w:val="16"/>
          <w:szCs w:val="16"/>
        </w:rPr>
        <w:t>[…]</w:t>
      </w:r>
    </w:p>
    <w:p w14:paraId="45A3FFC0" w14:textId="77777777" w:rsidR="001A629E" w:rsidRDefault="001A629E" w:rsidP="001A629E">
      <w:pPr>
        <w:pStyle w:val="Textonotapie"/>
        <w:ind w:firstLine="709"/>
        <w:jc w:val="both"/>
        <w:rPr>
          <w:rFonts w:ascii="Verdana" w:hAnsi="Verdana" w:cs="Arial"/>
          <w:color w:val="000000" w:themeColor="text1"/>
          <w:sz w:val="16"/>
          <w:szCs w:val="16"/>
        </w:rPr>
      </w:pPr>
      <w:r w:rsidRPr="001A625A">
        <w:rPr>
          <w:rFonts w:ascii="Verdana" w:hAnsi="Verdana" w:cs="Arial"/>
          <w:color w:val="000000" w:themeColor="text1"/>
          <w:sz w:val="16"/>
          <w:szCs w:val="16"/>
        </w:rPr>
        <w:t>La capacidad legal de una persona consiste en poderse obligar por sí misma, sin el ministerio o la autorización de otra”.</w:t>
      </w:r>
    </w:p>
    <w:p w14:paraId="3F97552C" w14:textId="77777777" w:rsidR="001A629E" w:rsidRPr="00683E53" w:rsidRDefault="001A629E" w:rsidP="001A629E">
      <w:pPr>
        <w:pStyle w:val="Textonotapie"/>
        <w:rPr>
          <w:rFonts w:ascii="Verdana" w:hAnsi="Verdana"/>
          <w:sz w:val="16"/>
          <w:szCs w:val="16"/>
          <w:lang w:val="es-CO"/>
        </w:rPr>
      </w:pPr>
    </w:p>
  </w:footnote>
  <w:footnote w:id="3">
    <w:p w14:paraId="2BAB4C75" w14:textId="77777777" w:rsidR="001A629E" w:rsidRPr="00393249" w:rsidRDefault="001A629E" w:rsidP="001A629E">
      <w:pPr>
        <w:spacing w:after="0" w:line="240" w:lineRule="auto"/>
        <w:ind w:firstLine="709"/>
        <w:jc w:val="both"/>
        <w:rPr>
          <w:rFonts w:ascii="Verdana" w:hAnsi="Verdana" w:cs="Arial"/>
          <w:color w:val="000000" w:themeColor="text1"/>
          <w:sz w:val="16"/>
          <w:szCs w:val="16"/>
          <w:lang w:val="es-ES"/>
        </w:rPr>
      </w:pPr>
      <w:r w:rsidRPr="00393249">
        <w:rPr>
          <w:rStyle w:val="Refdenotaalpie"/>
          <w:rFonts w:ascii="Verdana" w:hAnsi="Verdana"/>
          <w:sz w:val="16"/>
          <w:szCs w:val="16"/>
        </w:rPr>
        <w:footnoteRef/>
      </w:r>
      <w:r w:rsidRPr="00393249">
        <w:rPr>
          <w:rFonts w:ascii="Verdana" w:hAnsi="Verdana"/>
          <w:sz w:val="16"/>
          <w:szCs w:val="16"/>
        </w:rPr>
        <w:t xml:space="preserve"> </w:t>
      </w:r>
      <w:r w:rsidRPr="00393249">
        <w:rPr>
          <w:rFonts w:ascii="Verdana" w:hAnsi="Verdana" w:cs="Arial"/>
          <w:color w:val="000000" w:themeColor="text1"/>
          <w:sz w:val="16"/>
          <w:szCs w:val="16"/>
          <w:lang w:val="es-ES"/>
        </w:rPr>
        <w:t>Son inhabilidades que responden a esta circunstancia, entre otras, las siguientes: “Quienes participaron en las licitaciones o celebraron los contratos de que trata el literal anterior estando inhabilitados” (art. 8, num. 1º, lit. b, Ley 80/93); “Quienes dieron lugar a la declaratoria de caducidad” (art. 8, num. 1º, lit. c), Ley 80/93); “Quienes en sentencia judicial hayan sido condenados a la pena accesoria de interdicción de derechos y funciones públicas y quienes hayan sido sancionados disciplinariamente con destitución” (art. 8, num. 1º, lit. d), Ley 80/93); “Quienes sin justa causa se abstengan de suscribir el contrato estatal adjudicado” (art. 8, num. 1º, lit. e), Ley 80/93); “i) Los socios de sociedades de personas a las cuales se haya declarado la caducidad, así como las sociedades de personas de las que aquellos formen parte con posterioridad a dicha declaratoria” (art. 8, num. 1º, lit.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num. 1º, lit.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num. 1º, lit.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lit. a), b) y c), Ley 1474/11, modificado por el art. 43, Ley 1955/19).</w:t>
      </w:r>
    </w:p>
    <w:p w14:paraId="65A0E551" w14:textId="77777777" w:rsidR="001A629E" w:rsidRPr="00393249" w:rsidRDefault="001A629E" w:rsidP="001A629E">
      <w:pPr>
        <w:pStyle w:val="Textonotapie"/>
        <w:rPr>
          <w:rFonts w:ascii="Verdana" w:hAnsi="Verdana"/>
          <w:sz w:val="16"/>
          <w:szCs w:val="16"/>
          <w:lang w:val="es-ES"/>
        </w:rPr>
      </w:pPr>
    </w:p>
  </w:footnote>
  <w:footnote w:id="4">
    <w:p w14:paraId="688A32D5" w14:textId="77777777" w:rsidR="001A629E" w:rsidRPr="00417AD4" w:rsidRDefault="001A629E" w:rsidP="001A629E">
      <w:pPr>
        <w:pStyle w:val="Textonotapie"/>
        <w:ind w:firstLine="709"/>
        <w:jc w:val="both"/>
        <w:rPr>
          <w:rFonts w:ascii="Verdana" w:hAnsi="Verdana" w:cs="Arial"/>
          <w:color w:val="000000" w:themeColor="text1"/>
          <w:sz w:val="16"/>
          <w:szCs w:val="16"/>
          <w:lang w:val="es-ES"/>
        </w:rPr>
      </w:pPr>
      <w:r w:rsidRPr="00417AD4">
        <w:rPr>
          <w:rStyle w:val="Refdenotaalpie"/>
          <w:rFonts w:ascii="Verdana" w:hAnsi="Verdana"/>
          <w:sz w:val="16"/>
          <w:szCs w:val="16"/>
        </w:rPr>
        <w:footnoteRef/>
      </w:r>
      <w:r w:rsidRPr="00417AD4">
        <w:rPr>
          <w:rFonts w:ascii="Verdana" w:hAnsi="Verdana"/>
          <w:sz w:val="16"/>
          <w:szCs w:val="16"/>
        </w:rPr>
        <w:t xml:space="preserve"> </w:t>
      </w:r>
      <w:r w:rsidRPr="00417AD4">
        <w:rPr>
          <w:rFonts w:ascii="Verdana" w:hAnsi="Verdana" w:cs="Arial"/>
          <w:color w:val="000000" w:themeColor="text1"/>
          <w:sz w:val="16"/>
          <w:szCs w:val="16"/>
          <w:lang w:val="es-ES"/>
        </w:rPr>
        <w:t>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num. 1º, lit.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num. 1º, lit.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num. 2º, lit. b), Ley 80/93); “El cónyuge, compañero o compañera permanente del servidor público en los niveles directivo, asesor, ejecutivo, o de un miembro de la junta o consejo directivo, o de quien ejerza funciones de control interno o de control fiscal” (art. 8, num. 2º, lit.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w:t>
      </w:r>
    </w:p>
    <w:p w14:paraId="18CD107D" w14:textId="77777777" w:rsidR="001A629E" w:rsidRPr="001A625A" w:rsidRDefault="001A629E" w:rsidP="001A629E">
      <w:pPr>
        <w:pStyle w:val="Textonotapie"/>
        <w:ind w:firstLine="709"/>
        <w:jc w:val="both"/>
        <w:rPr>
          <w:rFonts w:ascii="Verdana" w:hAnsi="Verdana" w:cs="Arial"/>
          <w:color w:val="000000" w:themeColor="text1"/>
          <w:sz w:val="16"/>
          <w:szCs w:val="16"/>
          <w:lang w:val="es-CO"/>
        </w:rPr>
      </w:pPr>
    </w:p>
    <w:p w14:paraId="0DFE4F99" w14:textId="77777777" w:rsidR="001A629E" w:rsidRPr="00393249" w:rsidRDefault="001A629E" w:rsidP="001A629E">
      <w:pPr>
        <w:pStyle w:val="Textonotapie"/>
        <w:rPr>
          <w:lang w:val="es-CO"/>
        </w:rPr>
      </w:pPr>
    </w:p>
  </w:footnote>
  <w:footnote w:id="5">
    <w:p w14:paraId="70405F4B" w14:textId="77777777" w:rsidR="001A629E" w:rsidRPr="001A4CEB" w:rsidRDefault="001A629E" w:rsidP="001A629E">
      <w:pPr>
        <w:pStyle w:val="Textonotapie"/>
        <w:ind w:firstLine="709"/>
        <w:jc w:val="both"/>
        <w:rPr>
          <w:rFonts w:ascii="Verdana" w:hAnsi="Verdana" w:cs="Arial"/>
          <w:color w:val="000000" w:themeColor="text1"/>
          <w:sz w:val="16"/>
          <w:szCs w:val="16"/>
          <w:lang w:val="es-ES"/>
        </w:rPr>
      </w:pPr>
      <w:r w:rsidRPr="001A4CEB">
        <w:rPr>
          <w:rStyle w:val="Refdenotaalpie"/>
          <w:rFonts w:ascii="Verdana" w:hAnsi="Verdana"/>
          <w:sz w:val="16"/>
          <w:szCs w:val="16"/>
        </w:rPr>
        <w:footnoteRef/>
      </w:r>
      <w:r w:rsidRPr="001A4CEB">
        <w:rPr>
          <w:rFonts w:ascii="Verdana" w:hAnsi="Verdana"/>
          <w:sz w:val="16"/>
          <w:szCs w:val="16"/>
        </w:rPr>
        <w:t xml:space="preserve"> </w:t>
      </w:r>
      <w:r w:rsidRPr="001A4CEB">
        <w:rPr>
          <w:rFonts w:ascii="Verdana" w:hAnsi="Verdana" w:cs="Arial"/>
          <w:color w:val="000000" w:themeColor="text1"/>
          <w:sz w:val="16"/>
          <w:szCs w:val="16"/>
          <w:lang w:val="es-ES"/>
        </w:rPr>
        <w:t xml:space="preserve">Verbigracia, entre otras, las que se indican a continuación: “Las personas que hayan financiado campañas políticas a la Presidencia de la República, a las gobernaciones o a las alcaldías con aportes superiores al dos punto cinco por ciento (2.5%)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(art. 8, num. 1º, lit. k), Ley 80/93, modificado por el art. 33, Ley 1778/16); “Quienes fueron miembros de la junta o consejo directivo o servidores públicos de la entidad contratante” (art. 8, num. 2º, lit. a), Ley 80/93) [a pesar de que la norma la califica como una incompatibilidad, en realidad se trata de una inhabilidad, ya que en dicha causal no existe concurrencia de calidades en un sujeto];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num. 2º, lit. f), Ley 80/93, adicionado por el art. 4º, Ley 1474/2011) [a pesar de que la norma la califica como una incompatibilidad, en realidad se trata de una inhabilidad, ya que en dicha causal no existe concurrencia de calidades en un sujeto]. </w:t>
      </w:r>
    </w:p>
    <w:p w14:paraId="7094C1B8" w14:textId="77777777" w:rsidR="001A629E" w:rsidRPr="001A4CEB" w:rsidRDefault="001A629E" w:rsidP="001A629E">
      <w:pPr>
        <w:pStyle w:val="Textonotapie"/>
        <w:rPr>
          <w:lang w:val="es-ES"/>
        </w:rPr>
      </w:pPr>
    </w:p>
  </w:footnote>
  <w:footnote w:id="6">
    <w:p w14:paraId="15D8AB41" w14:textId="77777777" w:rsidR="001A629E" w:rsidRPr="005E697F" w:rsidRDefault="001A629E" w:rsidP="001A629E">
      <w:pPr>
        <w:spacing w:after="0" w:line="240" w:lineRule="auto"/>
        <w:ind w:firstLine="709"/>
        <w:jc w:val="both"/>
        <w:rPr>
          <w:rFonts w:ascii="Verdana" w:hAnsi="Verdana" w:cs="Arial"/>
          <w:color w:val="000000" w:themeColor="text1"/>
          <w:sz w:val="16"/>
          <w:szCs w:val="16"/>
          <w:lang w:val="es-ES"/>
        </w:rPr>
      </w:pPr>
      <w:r w:rsidRPr="005E697F">
        <w:rPr>
          <w:rStyle w:val="Refdenotaalpie"/>
          <w:rFonts w:ascii="Verdana" w:hAnsi="Verdana"/>
          <w:sz w:val="16"/>
          <w:szCs w:val="16"/>
        </w:rPr>
        <w:footnoteRef/>
      </w:r>
      <w:r w:rsidRPr="005E697F">
        <w:rPr>
          <w:rFonts w:ascii="Verdana" w:hAnsi="Verdana"/>
          <w:sz w:val="16"/>
          <w:szCs w:val="16"/>
        </w:rPr>
        <w:t xml:space="preserve"> </w:t>
      </w:r>
      <w:r w:rsidRPr="005E697F">
        <w:rPr>
          <w:rFonts w:ascii="Verdana" w:hAnsi="Verdana" w:cs="Arial"/>
          <w:color w:val="000000" w:themeColor="text1"/>
          <w:sz w:val="16"/>
          <w:szCs w:val="16"/>
          <w:lang w:val="es-ES"/>
        </w:rPr>
        <w:t xml:space="preserve">Como las señaladas a continuación: “Los servidores públicos” (art. 8, num. 1º, lit.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 “Los miembros de las juntas o consejos directivos. Esta incompatibilidad sólo se predica respecto de la entidad a la cual prestan sus servicios y de las del sector administrativo al que la misma esté adscrita o vinculada” (art. 8, num. 2º, lit. e), Ley 80/93); “Quien haya celebrado un contrato estatal de obra pública, de concesión, suministro de medicamentos y de alimentos o su cónyuge, compañero o compañera permanente, pariente hasta el segundo grado de consaguinidad,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 </w:t>
      </w:r>
    </w:p>
    <w:p w14:paraId="342E9662" w14:textId="77777777" w:rsidR="001A629E" w:rsidRPr="005E697F" w:rsidRDefault="001A629E" w:rsidP="001A629E">
      <w:pPr>
        <w:pStyle w:val="Textonotapie"/>
        <w:rPr>
          <w:lang w:val="es-ES"/>
        </w:rPr>
      </w:pPr>
    </w:p>
  </w:footnote>
  <w:footnote w:id="7">
    <w:p w14:paraId="7A4C0929" w14:textId="77777777" w:rsidR="001A629E" w:rsidRPr="006D79F0" w:rsidRDefault="001A629E" w:rsidP="001A629E">
      <w:pPr>
        <w:pStyle w:val="Textonotapie"/>
        <w:spacing w:after="120"/>
        <w:ind w:firstLine="709"/>
        <w:jc w:val="both"/>
        <w:rPr>
          <w:rFonts w:ascii="Verdana" w:hAnsi="Verdana" w:cs="Arial"/>
          <w:color w:val="000000" w:themeColor="text1"/>
          <w:sz w:val="16"/>
          <w:szCs w:val="16"/>
          <w:lang w:val="es-ES"/>
        </w:rPr>
      </w:pPr>
      <w:r w:rsidRPr="00A05B3B">
        <w:rPr>
          <w:rStyle w:val="Refdenotaalpie"/>
          <w:rFonts w:ascii="Verdana" w:hAnsi="Verdana"/>
          <w:sz w:val="16"/>
          <w:szCs w:val="16"/>
        </w:rPr>
        <w:footnoteRef/>
      </w:r>
      <w:r w:rsidRPr="00A05B3B">
        <w:rPr>
          <w:rFonts w:ascii="Verdana" w:hAnsi="Verdana"/>
          <w:sz w:val="16"/>
          <w:szCs w:val="16"/>
        </w:rPr>
        <w:t xml:space="preserve"> </w:t>
      </w:r>
      <w:r w:rsidRPr="00A05B3B">
        <w:rPr>
          <w:rFonts w:ascii="Verdana" w:hAnsi="Verdana" w:cs="Arial"/>
          <w:color w:val="000000" w:themeColor="text1"/>
          <w:sz w:val="16"/>
          <w:szCs w:val="16"/>
          <w:lang w:val="es-ES"/>
        </w:rPr>
        <w:t>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 w:id="8">
    <w:p w14:paraId="520868BF" w14:textId="77777777" w:rsidR="001A629E" w:rsidRPr="006D79F0" w:rsidRDefault="001A629E" w:rsidP="001A629E">
      <w:pPr>
        <w:pStyle w:val="Textonotapie"/>
        <w:spacing w:after="120"/>
        <w:ind w:firstLine="709"/>
        <w:rPr>
          <w:rFonts w:ascii="Verdana" w:hAnsi="Verdana" w:cs="Arial"/>
          <w:color w:val="000000" w:themeColor="text1"/>
          <w:sz w:val="16"/>
          <w:szCs w:val="16"/>
          <w:lang w:val="es-ES"/>
        </w:rPr>
      </w:pPr>
      <w:r>
        <w:rPr>
          <w:rStyle w:val="Refdenotaalpie"/>
        </w:rPr>
        <w:footnoteRef/>
      </w:r>
      <w:r>
        <w:t xml:space="preserve"> </w:t>
      </w:r>
      <w:r>
        <w:rPr>
          <w:lang w:val="es-CO"/>
        </w:rPr>
        <w:t xml:space="preserve"> </w:t>
      </w:r>
      <w:r w:rsidRPr="001A625A">
        <w:rPr>
          <w:rFonts w:ascii="Verdana" w:hAnsi="Verdana" w:cs="Arial"/>
          <w:color w:val="000000" w:themeColor="text1"/>
          <w:sz w:val="16"/>
          <w:szCs w:val="16"/>
          <w:lang w:val="es-ES"/>
        </w:rPr>
        <w:t>Ibídem., p. 69.</w:t>
      </w:r>
    </w:p>
  </w:footnote>
  <w:footnote w:id="9">
    <w:p w14:paraId="27A75529" w14:textId="77777777" w:rsidR="001A629E" w:rsidRPr="001A625A" w:rsidRDefault="001A629E" w:rsidP="001A629E">
      <w:pPr>
        <w:pStyle w:val="Textonotapie"/>
        <w:spacing w:after="120"/>
        <w:ind w:firstLine="709"/>
        <w:jc w:val="both"/>
        <w:rPr>
          <w:rFonts w:ascii="Verdana" w:hAnsi="Verdana" w:cs="Arial"/>
          <w:color w:val="000000" w:themeColor="text1"/>
          <w:sz w:val="16"/>
          <w:szCs w:val="16"/>
          <w:lang w:val="es-ES"/>
        </w:rPr>
      </w:pPr>
      <w:r>
        <w:rPr>
          <w:rStyle w:val="Refdenotaalpie"/>
        </w:rPr>
        <w:footnoteRef/>
      </w:r>
      <w:r>
        <w:t xml:space="preserve"> </w:t>
      </w:r>
      <w:r w:rsidRPr="001A625A">
        <w:rPr>
          <w:rFonts w:ascii="Verdana" w:hAnsi="Verdana" w:cs="Arial"/>
          <w:color w:val="000000" w:themeColor="text1"/>
          <w:sz w:val="16"/>
          <w:szCs w:val="16"/>
          <w:lang w:val="es-ES"/>
        </w:rPr>
        <w:t xml:space="preserve">Corte Constitucional. Sentencia T-1039 de 2006. Magistrado Ponente: Humberto Sierra Porto. La Corte ha mantenido este criterio en las sentencias: C-903 de 2008. Magistrado Ponente: Jaime Araujo Rentería; C-101 de 2018. Magistrada Ponente Gloria Stella Ortiz Delgado; entre otras. </w:t>
      </w:r>
    </w:p>
    <w:p w14:paraId="597ABD57" w14:textId="77777777" w:rsidR="001A629E" w:rsidRPr="006D79F0" w:rsidRDefault="001A629E" w:rsidP="001A629E">
      <w:pPr>
        <w:pStyle w:val="Textonotapie"/>
        <w:rPr>
          <w:lang w:val="es-ES"/>
        </w:rPr>
      </w:pPr>
    </w:p>
  </w:footnote>
  <w:footnote w:id="10">
    <w:p w14:paraId="54BE9C54" w14:textId="77777777" w:rsidR="001A629E" w:rsidRDefault="001A629E" w:rsidP="001A629E">
      <w:pPr>
        <w:pStyle w:val="Textonotapie"/>
        <w:ind w:firstLine="708"/>
        <w:rPr>
          <w:rFonts w:ascii="Verdana" w:hAnsi="Verdana" w:cs="Arial"/>
          <w:color w:val="000000" w:themeColor="text1"/>
          <w:sz w:val="16"/>
          <w:szCs w:val="16"/>
          <w:lang w:val="es-ES"/>
        </w:rPr>
      </w:pPr>
      <w:r w:rsidRPr="00B455D0">
        <w:rPr>
          <w:rStyle w:val="Refdenotaalpie"/>
          <w:rFonts w:ascii="Verdana" w:hAnsi="Verdana"/>
          <w:sz w:val="16"/>
          <w:szCs w:val="16"/>
        </w:rPr>
        <w:footnoteRef/>
      </w:r>
      <w:r w:rsidRPr="00B455D0">
        <w:rPr>
          <w:rFonts w:ascii="Verdana" w:hAnsi="Verdana"/>
          <w:sz w:val="16"/>
          <w:szCs w:val="16"/>
        </w:rPr>
        <w:t xml:space="preserve"> </w:t>
      </w:r>
      <w:r w:rsidRPr="00B455D0">
        <w:rPr>
          <w:rFonts w:ascii="Verdana" w:hAnsi="Verdana" w:cs="Arial"/>
          <w:color w:val="000000" w:themeColor="text1"/>
          <w:sz w:val="16"/>
          <w:szCs w:val="16"/>
          <w:lang w:val="es-ES"/>
        </w:rPr>
        <w:t>Consejo de Estado. Sala de Consulta y Servicio Civil. Concepto del 30 de abril de 2015. Expediente: 2251. Consejero Ponente: Álvaro Namén Vargas.</w:t>
      </w:r>
    </w:p>
    <w:p w14:paraId="2F8027AC" w14:textId="77777777" w:rsidR="001A629E" w:rsidRPr="00B455D0" w:rsidRDefault="001A629E" w:rsidP="001A629E">
      <w:pPr>
        <w:pStyle w:val="Textonotapie"/>
        <w:rPr>
          <w:rFonts w:ascii="Verdana" w:hAnsi="Verdana"/>
          <w:sz w:val="16"/>
          <w:szCs w:val="16"/>
          <w:lang w:val="es-CO"/>
        </w:rPr>
      </w:pPr>
    </w:p>
  </w:footnote>
  <w:footnote w:id="11">
    <w:p w14:paraId="627EAD33" w14:textId="77777777" w:rsidR="001A629E" w:rsidRPr="004F26B4" w:rsidRDefault="001A629E" w:rsidP="001A629E">
      <w:pPr>
        <w:pStyle w:val="Textonotapie"/>
        <w:ind w:firstLine="709"/>
        <w:jc w:val="both"/>
        <w:rPr>
          <w:rFonts w:ascii="Verdana" w:hAnsi="Verdana" w:cs="Arial"/>
          <w:color w:val="000000" w:themeColor="text1"/>
          <w:sz w:val="16"/>
          <w:szCs w:val="16"/>
        </w:rPr>
      </w:pPr>
      <w:r w:rsidRPr="004F26B4">
        <w:rPr>
          <w:rStyle w:val="Refdenotaalpie"/>
          <w:rFonts w:ascii="Verdana" w:hAnsi="Verdana"/>
          <w:sz w:val="16"/>
          <w:szCs w:val="16"/>
        </w:rPr>
        <w:footnoteRef/>
      </w:r>
      <w:r w:rsidRPr="004F26B4">
        <w:rPr>
          <w:rFonts w:ascii="Verdana" w:hAnsi="Verdana"/>
          <w:sz w:val="16"/>
          <w:szCs w:val="16"/>
        </w:rPr>
        <w:t xml:space="preserve"> </w:t>
      </w:r>
      <w:r w:rsidRPr="004F26B4">
        <w:rPr>
          <w:rFonts w:ascii="Verdana" w:hAnsi="Verdana" w:cs="Arial"/>
          <w:color w:val="000000" w:themeColor="text1"/>
          <w:sz w:val="16"/>
          <w:szCs w:val="16"/>
        </w:rPr>
        <w:t>Consejo de Estado. Sección Tercera. Subsección A. Sentencia del 24 de junio de 2015. Exp. 40.635. Consejero Ponente: Hernán Andrade Rincón (E).</w:t>
      </w:r>
    </w:p>
    <w:p w14:paraId="30C774D0" w14:textId="77777777" w:rsidR="001A629E" w:rsidRPr="001A625A" w:rsidRDefault="001A629E" w:rsidP="001A629E">
      <w:pPr>
        <w:pStyle w:val="Textonotapie"/>
        <w:ind w:firstLine="709"/>
        <w:jc w:val="both"/>
        <w:rPr>
          <w:rFonts w:ascii="Verdana" w:hAnsi="Verdana" w:cs="Arial"/>
          <w:color w:val="000000" w:themeColor="text1"/>
          <w:sz w:val="16"/>
          <w:szCs w:val="16"/>
          <w:lang w:val="es-ES"/>
        </w:rPr>
      </w:pPr>
    </w:p>
    <w:p w14:paraId="6ED92FFE" w14:textId="77777777" w:rsidR="001A629E" w:rsidRPr="00693FB6" w:rsidRDefault="001A629E" w:rsidP="001A629E">
      <w:pPr>
        <w:pStyle w:val="Textonotapie"/>
        <w:rPr>
          <w:lang w:val="es-CO"/>
        </w:rPr>
      </w:pPr>
    </w:p>
  </w:footnote>
  <w:footnote w:id="12">
    <w:p w14:paraId="1D131AB6" w14:textId="77777777" w:rsidR="001A629E" w:rsidRPr="005844AE" w:rsidRDefault="001A629E" w:rsidP="001A629E">
      <w:pPr>
        <w:pStyle w:val="Textonotapie"/>
        <w:ind w:firstLine="709"/>
        <w:jc w:val="both"/>
        <w:rPr>
          <w:rFonts w:ascii="Verdana" w:hAnsi="Verdana" w:cs="Arial"/>
          <w:color w:val="000000" w:themeColor="text1"/>
          <w:sz w:val="16"/>
          <w:szCs w:val="16"/>
        </w:rPr>
      </w:pPr>
      <w:r w:rsidRPr="005844AE">
        <w:rPr>
          <w:rStyle w:val="Refdenotaalpie"/>
          <w:rFonts w:ascii="Verdana" w:hAnsi="Verdana"/>
          <w:sz w:val="16"/>
          <w:szCs w:val="16"/>
        </w:rPr>
        <w:footnoteRef/>
      </w:r>
      <w:r w:rsidRPr="005844AE">
        <w:rPr>
          <w:rFonts w:ascii="Verdana" w:hAnsi="Verdana"/>
          <w:sz w:val="16"/>
          <w:szCs w:val="16"/>
        </w:rPr>
        <w:t xml:space="preserve"> </w:t>
      </w:r>
      <w:r w:rsidRPr="005844AE">
        <w:rPr>
          <w:rFonts w:ascii="Verdana" w:hAnsi="Verdana" w:cs="Arial"/>
          <w:color w:val="000000" w:themeColor="text1"/>
          <w:sz w:val="16"/>
          <w:szCs w:val="16"/>
        </w:rPr>
        <w:t>Consejo de Estado. Sección Tercera. Subsección C. Sentencia del 22 de mayo de 2013. Exp. 24.057. Consejera Ponente: Olga Melida Valle De De La Hoz.</w:t>
      </w:r>
    </w:p>
    <w:p w14:paraId="00F48047" w14:textId="77777777" w:rsidR="001A629E" w:rsidRPr="001A625A" w:rsidRDefault="001A629E" w:rsidP="001A629E">
      <w:pPr>
        <w:pStyle w:val="Textonotapie"/>
        <w:ind w:firstLine="709"/>
        <w:jc w:val="both"/>
        <w:rPr>
          <w:rFonts w:ascii="Verdana" w:hAnsi="Verdana" w:cs="Arial"/>
          <w:color w:val="000000" w:themeColor="text1"/>
          <w:sz w:val="16"/>
          <w:szCs w:val="16"/>
          <w:lang w:val="es-ES"/>
        </w:rPr>
      </w:pPr>
    </w:p>
    <w:p w14:paraId="3EE9D432" w14:textId="77777777" w:rsidR="001A629E" w:rsidRPr="005844AE" w:rsidRDefault="001A629E" w:rsidP="001A629E">
      <w:pPr>
        <w:pStyle w:val="Textonotapie"/>
        <w:rPr>
          <w:lang w:val="es-ES"/>
        </w:rPr>
      </w:pPr>
    </w:p>
  </w:footnote>
  <w:footnote w:id="13">
    <w:p w14:paraId="2B7E690B" w14:textId="77777777" w:rsidR="001A629E" w:rsidRPr="00446744" w:rsidRDefault="001A629E" w:rsidP="001A629E">
      <w:pPr>
        <w:pStyle w:val="Textonotapie"/>
        <w:ind w:firstLine="709"/>
        <w:jc w:val="both"/>
        <w:rPr>
          <w:rFonts w:ascii="Verdana" w:hAnsi="Verdana" w:cs="Arial"/>
          <w:color w:val="000000" w:themeColor="text1"/>
          <w:sz w:val="16"/>
          <w:szCs w:val="16"/>
          <w:lang w:val="es-ES"/>
        </w:rPr>
      </w:pPr>
      <w:r w:rsidRPr="00446744">
        <w:rPr>
          <w:rStyle w:val="Refdenotaalpie"/>
          <w:rFonts w:ascii="Verdana" w:hAnsi="Verdana"/>
          <w:sz w:val="16"/>
          <w:szCs w:val="16"/>
        </w:rPr>
        <w:footnoteRef/>
      </w:r>
      <w:r w:rsidRPr="00446744">
        <w:rPr>
          <w:rFonts w:ascii="Verdana" w:hAnsi="Verdana"/>
          <w:sz w:val="16"/>
          <w:szCs w:val="16"/>
        </w:rPr>
        <w:t xml:space="preserve"> </w:t>
      </w:r>
      <w:r w:rsidRPr="00446744">
        <w:rPr>
          <w:rFonts w:ascii="Verdana" w:hAnsi="Verdana" w:cs="Arial"/>
          <w:color w:val="000000" w:themeColor="text1"/>
          <w:sz w:val="16"/>
          <w:szCs w:val="16"/>
          <w:lang w:val="es-ES"/>
        </w:rPr>
        <w:t xml:space="preserve">Así lo ha reconocido la doctrina: “Por otra parte, la reglamentación de la prestación de servicios comprende una paleta normativa que busca limitar la tergiversación de este tipo de contratos en beneficio de las </w:t>
      </w:r>
      <w:r w:rsidRPr="00446744">
        <w:rPr>
          <w:rFonts w:ascii="Verdana" w:hAnsi="Verdana" w:cs="Arial"/>
          <w:i/>
          <w:color w:val="000000" w:themeColor="text1"/>
          <w:sz w:val="16"/>
          <w:szCs w:val="16"/>
          <w:lang w:val="es-ES"/>
        </w:rPr>
        <w:t>nóminas paralelas</w:t>
      </w:r>
      <w:r w:rsidRPr="00446744">
        <w:rPr>
          <w:rFonts w:ascii="Verdana" w:hAnsi="Verdana" w:cs="Arial"/>
          <w:color w:val="000000" w:themeColor="text1"/>
          <w:sz w:val="16"/>
          <w:szCs w:val="16"/>
          <w:lang w:val="es-ES"/>
        </w:rPr>
        <w:t>, como práctica de substitución de los empleos públicos por prestadores de servicios, y las sanciones disciplinarias por entregar a contratistas el ejercicio permanente de funciones administrativas, que implican ejercicio de prerrogativas de poder público, complementadas en la responsabilidad fiscal y personal de los funcionarios” (BENAVIDES, José Luis. Contrato de prestación de servicios. Difícil delimitación frente al contrato realidad. En: Contratos público. Estudios. Bogotá: Universidad Externado de Colombia, 2014. pp. 311-312).</w:t>
      </w:r>
    </w:p>
    <w:p w14:paraId="2B9098FF" w14:textId="77777777" w:rsidR="001A629E" w:rsidRPr="00446744" w:rsidRDefault="001A629E" w:rsidP="001A629E">
      <w:pPr>
        <w:pStyle w:val="Textonotapie"/>
        <w:rPr>
          <w:lang w:val="es-ES"/>
        </w:rPr>
      </w:pPr>
    </w:p>
  </w:footnote>
  <w:footnote w:id="14">
    <w:p w14:paraId="654A4BD8" w14:textId="77777777" w:rsidR="001A629E" w:rsidRPr="00FD0FB6" w:rsidRDefault="001A629E" w:rsidP="001A629E">
      <w:pPr>
        <w:pStyle w:val="Textonotapie"/>
        <w:ind w:firstLine="709"/>
        <w:rPr>
          <w:rFonts w:ascii="Verdana" w:hAnsi="Verdana"/>
          <w:sz w:val="16"/>
          <w:szCs w:val="16"/>
          <w:lang w:val="es-CO"/>
        </w:rPr>
      </w:pPr>
      <w:r w:rsidRPr="00FD0FB6">
        <w:rPr>
          <w:rStyle w:val="Refdenotaalpie"/>
          <w:rFonts w:ascii="Verdana" w:hAnsi="Verdana"/>
          <w:sz w:val="16"/>
          <w:szCs w:val="16"/>
        </w:rPr>
        <w:footnoteRef/>
      </w:r>
      <w:r w:rsidRPr="00FD0FB6">
        <w:rPr>
          <w:rFonts w:ascii="Verdana" w:hAnsi="Verdana"/>
          <w:sz w:val="16"/>
          <w:szCs w:val="16"/>
        </w:rPr>
        <w:t xml:space="preserve"> </w:t>
      </w:r>
      <w:r w:rsidRPr="00FD0FB6">
        <w:rPr>
          <w:rFonts w:ascii="Verdana" w:hAnsi="Verdana" w:cs="Arial"/>
          <w:color w:val="000000"/>
          <w:sz w:val="16"/>
          <w:szCs w:val="16"/>
        </w:rPr>
        <w:t>Consejo de Estado. Sala de Consulta y de Servicio Civil. Concepto del 23 de marzo de 2011. Rad. 2.045. C.P. Enrique José Arboleda Perdomo.</w:t>
      </w:r>
    </w:p>
    <w:p w14:paraId="6E4C9C2C" w14:textId="77777777" w:rsidR="001A629E" w:rsidRPr="00FD0FB6" w:rsidRDefault="001A629E" w:rsidP="001A629E">
      <w:pPr>
        <w:pStyle w:val="Textonotapie"/>
        <w:rPr>
          <w:rFonts w:ascii="Verdana" w:hAnsi="Verdana"/>
          <w:sz w:val="16"/>
          <w:szCs w:val="16"/>
          <w:lang w:val="es-CO"/>
        </w:rPr>
      </w:pPr>
    </w:p>
  </w:footnote>
  <w:footnote w:id="15">
    <w:p w14:paraId="0C1023BF" w14:textId="77777777" w:rsidR="001A629E" w:rsidRPr="001A629E"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1A629E">
        <w:rPr>
          <w:rFonts w:ascii="Verdana" w:hAnsi="Verdana"/>
          <w:sz w:val="16"/>
          <w:szCs w:val="16"/>
        </w:rPr>
        <w:t xml:space="preserve"> Magistrado Ponente: Jaime Córdoba Triviño.</w:t>
      </w:r>
    </w:p>
  </w:footnote>
  <w:footnote w:id="16">
    <w:p w14:paraId="62380F41" w14:textId="77777777" w:rsidR="001A629E" w:rsidRPr="001A629E" w:rsidRDefault="001A629E" w:rsidP="001A629E">
      <w:pPr>
        <w:pStyle w:val="Textonotapie"/>
        <w:jc w:val="both"/>
        <w:rPr>
          <w:rFonts w:ascii="Verdana" w:hAnsi="Verdana"/>
          <w:sz w:val="16"/>
          <w:szCs w:val="16"/>
        </w:rPr>
      </w:pPr>
    </w:p>
    <w:p w14:paraId="1BAE2BA6" w14:textId="77777777" w:rsidR="001A629E" w:rsidRPr="001A629E"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1A629E">
        <w:rPr>
          <w:rFonts w:ascii="Verdana" w:hAnsi="Verdana"/>
          <w:sz w:val="16"/>
          <w:szCs w:val="16"/>
        </w:rPr>
        <w:t xml:space="preserve"> Ibíd.</w:t>
      </w:r>
    </w:p>
    <w:p w14:paraId="03CD3C86" w14:textId="77777777" w:rsidR="001A629E" w:rsidRPr="001A629E" w:rsidRDefault="001A629E" w:rsidP="001A629E">
      <w:pPr>
        <w:pStyle w:val="Textonotapie"/>
        <w:ind w:firstLine="709"/>
        <w:jc w:val="both"/>
        <w:rPr>
          <w:rFonts w:ascii="Verdana" w:hAnsi="Verdana"/>
          <w:sz w:val="16"/>
          <w:szCs w:val="16"/>
        </w:rPr>
      </w:pPr>
    </w:p>
  </w:footnote>
  <w:footnote w:id="17">
    <w:p w14:paraId="7397A383" w14:textId="77777777" w:rsidR="001A629E" w:rsidRPr="0078715D"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1A629E">
        <w:rPr>
          <w:rFonts w:ascii="Verdana" w:hAnsi="Verdana"/>
          <w:sz w:val="16"/>
          <w:szCs w:val="16"/>
        </w:rPr>
        <w:t xml:space="preserve"> GUASTINI, Riccardo. </w:t>
      </w:r>
      <w:r w:rsidRPr="0078715D">
        <w:rPr>
          <w:rFonts w:ascii="Verdana" w:hAnsi="Verdana"/>
          <w:sz w:val="16"/>
          <w:szCs w:val="16"/>
        </w:rPr>
        <w:t>Interpretar y argumentar. Madrid: Centro de Estudios Políticos y Constitucionales, 2017, p. 110.</w:t>
      </w:r>
    </w:p>
  </w:footnote>
  <w:footnote w:id="18">
    <w:p w14:paraId="1B68D9B2" w14:textId="77777777" w:rsidR="001A629E" w:rsidRPr="0078715D" w:rsidRDefault="001A629E" w:rsidP="001A629E">
      <w:pPr>
        <w:pStyle w:val="Textonotapie"/>
        <w:jc w:val="both"/>
        <w:rPr>
          <w:rFonts w:ascii="Verdana" w:hAnsi="Verdana"/>
          <w:sz w:val="16"/>
          <w:szCs w:val="16"/>
        </w:rPr>
      </w:pPr>
    </w:p>
    <w:p w14:paraId="207433F1" w14:textId="77777777" w:rsidR="001A629E" w:rsidRPr="0078715D"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78715D">
        <w:rPr>
          <w:rFonts w:ascii="Verdana" w:hAnsi="Verdana"/>
          <w:sz w:val="16"/>
          <w:szCs w:val="16"/>
        </w:rPr>
        <w:t xml:space="preserve"> Ibíd., p. 110.</w:t>
      </w:r>
    </w:p>
    <w:p w14:paraId="24F979D2" w14:textId="77777777" w:rsidR="001A629E" w:rsidRPr="0078715D" w:rsidRDefault="001A629E" w:rsidP="001A629E">
      <w:pPr>
        <w:pStyle w:val="Textonotapie"/>
        <w:ind w:firstLine="709"/>
        <w:jc w:val="both"/>
        <w:rPr>
          <w:rFonts w:ascii="Verdana" w:hAnsi="Verdana"/>
          <w:sz w:val="16"/>
          <w:szCs w:val="16"/>
        </w:rPr>
      </w:pPr>
    </w:p>
  </w:footnote>
  <w:footnote w:id="19">
    <w:p w14:paraId="11C33BE4" w14:textId="77777777" w:rsidR="001A629E" w:rsidRPr="0078715D"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78715D">
        <w:rPr>
          <w:rFonts w:ascii="Verdana" w:hAnsi="Verdana"/>
          <w:sz w:val="16"/>
          <w:szCs w:val="16"/>
        </w:rPr>
        <w:t xml:space="preserve"> Ibíd., p. 110.</w:t>
      </w:r>
    </w:p>
  </w:footnote>
  <w:footnote w:id="20">
    <w:p w14:paraId="09DD6210" w14:textId="77777777" w:rsidR="001A629E" w:rsidRPr="0078715D" w:rsidRDefault="001A629E" w:rsidP="001A629E">
      <w:pPr>
        <w:pStyle w:val="Textonotapie"/>
        <w:ind w:firstLine="709"/>
        <w:jc w:val="both"/>
        <w:rPr>
          <w:rFonts w:ascii="Verdana" w:hAnsi="Verdana"/>
          <w:sz w:val="16"/>
          <w:szCs w:val="16"/>
        </w:rPr>
      </w:pPr>
    </w:p>
    <w:p w14:paraId="0D07B730" w14:textId="77777777" w:rsidR="001A629E" w:rsidRPr="0078715D"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78715D">
        <w:rPr>
          <w:rFonts w:ascii="Verdana" w:hAnsi="Verdana"/>
          <w:sz w:val="16"/>
          <w:szCs w:val="16"/>
        </w:rPr>
        <w:t xml:space="preserve"> Ibíd., p. 290.</w:t>
      </w:r>
    </w:p>
    <w:p w14:paraId="7C0B68D4" w14:textId="77777777" w:rsidR="001A629E" w:rsidRPr="0078715D" w:rsidRDefault="001A629E" w:rsidP="001A629E">
      <w:pPr>
        <w:pStyle w:val="Textonotapie"/>
        <w:ind w:firstLine="709"/>
        <w:jc w:val="both"/>
        <w:rPr>
          <w:rFonts w:ascii="Verdana" w:hAnsi="Verdana"/>
          <w:sz w:val="16"/>
          <w:szCs w:val="16"/>
        </w:rPr>
      </w:pPr>
    </w:p>
  </w:footnote>
  <w:footnote w:id="21">
    <w:p w14:paraId="5CC1764A" w14:textId="77777777" w:rsidR="001A629E" w:rsidRPr="0078715D" w:rsidRDefault="001A629E" w:rsidP="001A629E">
      <w:pPr>
        <w:pStyle w:val="Textonotapie"/>
        <w:ind w:firstLine="709"/>
        <w:jc w:val="both"/>
        <w:rPr>
          <w:rFonts w:ascii="Verdana" w:hAnsi="Verdana"/>
          <w:sz w:val="16"/>
          <w:szCs w:val="16"/>
        </w:rPr>
      </w:pPr>
      <w:r w:rsidRPr="0078715D">
        <w:rPr>
          <w:rStyle w:val="Refdenotaalpie"/>
          <w:rFonts w:ascii="Verdana" w:hAnsi="Verdana"/>
          <w:sz w:val="16"/>
          <w:szCs w:val="16"/>
        </w:rPr>
        <w:footnoteRef/>
      </w:r>
      <w:r w:rsidRPr="0078715D">
        <w:rPr>
          <w:rFonts w:ascii="Verdana" w:hAnsi="Verdana"/>
          <w:sz w:val="16"/>
          <w:szCs w:val="16"/>
        </w:rPr>
        <w:t xml:space="preserve"> Este criterio también ha sido admitido por la Corte Constitucional. Al respecto, puede verse la sentencia C-054 de 2016, M.P. Luis Ernesto Vargas Silva.</w:t>
      </w:r>
    </w:p>
  </w:footnote>
  <w:footnote w:id="22">
    <w:p w14:paraId="04E3D6AB" w14:textId="77777777" w:rsidR="001A629E" w:rsidRPr="0078715D" w:rsidRDefault="001A629E" w:rsidP="001A629E">
      <w:pPr>
        <w:pStyle w:val="Textonotapie"/>
        <w:jc w:val="both"/>
        <w:rPr>
          <w:rFonts w:ascii="Verdana" w:hAnsi="Verdana"/>
          <w:sz w:val="16"/>
          <w:szCs w:val="16"/>
        </w:rPr>
      </w:pPr>
    </w:p>
    <w:p w14:paraId="33AF132C" w14:textId="77777777" w:rsidR="001A629E" w:rsidRPr="0078715D" w:rsidRDefault="001A629E" w:rsidP="001A629E">
      <w:pPr>
        <w:pStyle w:val="Textonotapie"/>
        <w:ind w:firstLine="709"/>
        <w:jc w:val="both"/>
        <w:rPr>
          <w:rFonts w:ascii="Verdana" w:hAnsi="Verdana"/>
          <w:sz w:val="16"/>
          <w:szCs w:val="16"/>
          <w:lang w:val="es-CO"/>
        </w:rPr>
      </w:pPr>
      <w:r w:rsidRPr="0078715D">
        <w:rPr>
          <w:rStyle w:val="Refdenotaalpie"/>
          <w:rFonts w:ascii="Verdana" w:hAnsi="Verdana"/>
          <w:sz w:val="16"/>
          <w:szCs w:val="16"/>
        </w:rPr>
        <w:footnoteRef/>
      </w:r>
      <w:r w:rsidRPr="0078715D">
        <w:rPr>
          <w:rFonts w:ascii="Verdana" w:hAnsi="Verdana"/>
          <w:sz w:val="16"/>
          <w:szCs w:val="16"/>
        </w:rPr>
        <w:t xml:space="preserve"> </w:t>
      </w:r>
      <w:r w:rsidRPr="0078715D">
        <w:rPr>
          <w:rFonts w:ascii="Verdana" w:hAnsi="Verdana"/>
          <w:sz w:val="16"/>
          <w:szCs w:val="16"/>
          <w:lang w:val="es-ES"/>
        </w:rPr>
        <w:t>La causal prevista en el literal e) del numeral 2 del artículo 8 de la Ley 80 de 1993 dispone que tampoco podrán participar en procedimientos de selección ni celebrar contratos estatales: “</w:t>
      </w:r>
      <w:r w:rsidRPr="0078715D">
        <w:rPr>
          <w:rFonts w:ascii="Verdana" w:hAnsi="Verdana"/>
          <w:sz w:val="16"/>
          <w:szCs w:val="16"/>
          <w:lang w:val="es-CO"/>
        </w:rPr>
        <w:t>Los miembros de las juntas o consejos directivos. Esta incompatibilidad sólo se predica respecto de la entidad a la cual prestan sus servicios y de las del sector administrativo al que la misma esté adscrita o vinculada”.</w:t>
      </w:r>
    </w:p>
    <w:p w14:paraId="5E7F4989" w14:textId="77777777" w:rsidR="001A629E" w:rsidRPr="0078715D" w:rsidRDefault="001A629E" w:rsidP="001A629E">
      <w:pPr>
        <w:pStyle w:val="Textonotapie"/>
        <w:ind w:firstLine="709"/>
        <w:jc w:val="both"/>
        <w:rPr>
          <w:rFonts w:ascii="Verdana" w:hAnsi="Verdana"/>
          <w:sz w:val="16"/>
          <w:szCs w:val="16"/>
          <w:lang w:val="es-CO"/>
        </w:rPr>
      </w:pPr>
    </w:p>
  </w:footnote>
  <w:footnote w:id="23">
    <w:p w14:paraId="543502B5" w14:textId="77777777" w:rsidR="001A629E" w:rsidRPr="0078715D" w:rsidRDefault="001A629E" w:rsidP="001A629E">
      <w:pPr>
        <w:pStyle w:val="Textonotapie"/>
        <w:ind w:firstLine="709"/>
        <w:jc w:val="both"/>
        <w:rPr>
          <w:rFonts w:ascii="Verdana" w:hAnsi="Verdana"/>
          <w:sz w:val="16"/>
          <w:szCs w:val="16"/>
          <w:lang w:val="es-ES"/>
        </w:rPr>
      </w:pPr>
      <w:r w:rsidRPr="0078715D">
        <w:rPr>
          <w:rStyle w:val="Refdenotaalpie"/>
          <w:rFonts w:ascii="Verdana" w:hAnsi="Verdana"/>
          <w:sz w:val="16"/>
          <w:szCs w:val="16"/>
        </w:rPr>
        <w:footnoteRef/>
      </w:r>
      <w:r w:rsidRPr="0078715D">
        <w:rPr>
          <w:rFonts w:ascii="Verdana" w:hAnsi="Verdana"/>
          <w:sz w:val="16"/>
          <w:szCs w:val="16"/>
        </w:rPr>
        <w:t xml:space="preserve"> </w:t>
      </w:r>
      <w:r w:rsidRPr="0078715D">
        <w:rPr>
          <w:rFonts w:ascii="Verdana" w:hAnsi="Verdana"/>
          <w:sz w:val="16"/>
          <w:szCs w:val="16"/>
          <w:lang w:val="es-ES"/>
        </w:rPr>
        <w:t xml:space="preserve">Esta interpretación ha sido sostenida por la doctrina, al afirmar que el artículo 4 de la Ley 1474 de 2011 extendió la causal prevista en el artículo 8, numeral 2, literal a) de la Ley 80 de 1993 “[…] hasta dos años para contratos que tengan por objeto asuntos relacionados con el sector al cual prestaron sus servicios las personas que ocuparon cargos del nivel directivo exclusivamente, </w:t>
      </w:r>
      <w:r w:rsidRPr="0078715D">
        <w:rPr>
          <w:rFonts w:ascii="Verdana" w:hAnsi="Verdana"/>
          <w:i/>
          <w:sz w:val="16"/>
          <w:szCs w:val="16"/>
          <w:lang w:val="es-ES"/>
        </w:rPr>
        <w:t>entendiéndose por tal la concepción que se hizo en el anterior numeral cuando nos referíamos a lo que abarca el sector administrativo para efectos de la aplicación del literal e)</w:t>
      </w:r>
      <w:r w:rsidRPr="0078715D">
        <w:rPr>
          <w:rFonts w:ascii="Verdana" w:hAnsi="Verdana"/>
          <w:sz w:val="16"/>
          <w:szCs w:val="16"/>
          <w:lang w:val="es-ES"/>
        </w:rPr>
        <w:t>, numeral 2 del artículo 8º de la Ley 80 de 1993. Es decir, que el ex gerente del SENA, no podría suscribir ningún contrato con esa entidad ni con ninguna de las adscritas o vinculadas al Ministerio de Trabajo ni con este. […]” [énfasis fuera del texto original] (DÁVILA VINUEZA. Luis Guillermo. Régimen jurídico de la contratación estatal. 3ª ed. Bogotá: Legis, 2016. p. 192). Obsérvese que este autor interpreta el concepto de “sector”, contenido en el literal f), de la misma manera que en el literal e) es decir, como “sector administrativo”. Por otra parte, el ejemplo que brinda sobre la aplicación de la causal en el sector administrativo se refiere a entidades nacionales.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6A21AA3"/>
    <w:multiLevelType w:val="hybridMultilevel"/>
    <w:tmpl w:val="3A24D6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9"/>
  </w:num>
  <w:num w:numId="16" w16cid:durableId="675884891">
    <w:abstractNumId w:val="8"/>
  </w:num>
  <w:num w:numId="17" w16cid:durableId="1107702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6A15"/>
    <w:rsid w:val="00046945"/>
    <w:rsid w:val="00061B2A"/>
    <w:rsid w:val="00082362"/>
    <w:rsid w:val="000A683E"/>
    <w:rsid w:val="000B19B9"/>
    <w:rsid w:val="000D0334"/>
    <w:rsid w:val="000D19F7"/>
    <w:rsid w:val="000D5DA7"/>
    <w:rsid w:val="000F6486"/>
    <w:rsid w:val="00116940"/>
    <w:rsid w:val="00125105"/>
    <w:rsid w:val="00127233"/>
    <w:rsid w:val="0015699B"/>
    <w:rsid w:val="00163F1C"/>
    <w:rsid w:val="00170342"/>
    <w:rsid w:val="001A33BF"/>
    <w:rsid w:val="001A629E"/>
    <w:rsid w:val="001D7F30"/>
    <w:rsid w:val="001E4177"/>
    <w:rsid w:val="001F0B24"/>
    <w:rsid w:val="001F60ED"/>
    <w:rsid w:val="001F7DC6"/>
    <w:rsid w:val="0022400B"/>
    <w:rsid w:val="002421BB"/>
    <w:rsid w:val="0025796E"/>
    <w:rsid w:val="002707A2"/>
    <w:rsid w:val="002951A0"/>
    <w:rsid w:val="002962BC"/>
    <w:rsid w:val="002A093D"/>
    <w:rsid w:val="002A0DD0"/>
    <w:rsid w:val="002A49AC"/>
    <w:rsid w:val="002A64FD"/>
    <w:rsid w:val="002C7A84"/>
    <w:rsid w:val="002D0A1D"/>
    <w:rsid w:val="002E2BF8"/>
    <w:rsid w:val="002E4FD9"/>
    <w:rsid w:val="0030657A"/>
    <w:rsid w:val="0031335E"/>
    <w:rsid w:val="00322A85"/>
    <w:rsid w:val="00324168"/>
    <w:rsid w:val="00330834"/>
    <w:rsid w:val="003448F4"/>
    <w:rsid w:val="00363F70"/>
    <w:rsid w:val="00374F5E"/>
    <w:rsid w:val="00377E3E"/>
    <w:rsid w:val="00383594"/>
    <w:rsid w:val="003A779E"/>
    <w:rsid w:val="003B7185"/>
    <w:rsid w:val="003C0A14"/>
    <w:rsid w:val="003C6BC3"/>
    <w:rsid w:val="003D0F4D"/>
    <w:rsid w:val="003D5B0D"/>
    <w:rsid w:val="003E0499"/>
    <w:rsid w:val="003E4F80"/>
    <w:rsid w:val="003E6439"/>
    <w:rsid w:val="003F3941"/>
    <w:rsid w:val="00406575"/>
    <w:rsid w:val="00414C74"/>
    <w:rsid w:val="0042722E"/>
    <w:rsid w:val="0044528D"/>
    <w:rsid w:val="00451D1A"/>
    <w:rsid w:val="00466E39"/>
    <w:rsid w:val="004A1847"/>
    <w:rsid w:val="004A305D"/>
    <w:rsid w:val="004B1430"/>
    <w:rsid w:val="004B32A1"/>
    <w:rsid w:val="004F21C4"/>
    <w:rsid w:val="004F685F"/>
    <w:rsid w:val="00532199"/>
    <w:rsid w:val="005566E8"/>
    <w:rsid w:val="00574867"/>
    <w:rsid w:val="00591460"/>
    <w:rsid w:val="005A3F1B"/>
    <w:rsid w:val="005A65E0"/>
    <w:rsid w:val="005C3777"/>
    <w:rsid w:val="005C5CDC"/>
    <w:rsid w:val="005D476C"/>
    <w:rsid w:val="006200BF"/>
    <w:rsid w:val="006219F8"/>
    <w:rsid w:val="006302F7"/>
    <w:rsid w:val="00646B9F"/>
    <w:rsid w:val="00665D70"/>
    <w:rsid w:val="006900D9"/>
    <w:rsid w:val="006D4B4C"/>
    <w:rsid w:val="00706C16"/>
    <w:rsid w:val="0071734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4644F"/>
    <w:rsid w:val="00867F95"/>
    <w:rsid w:val="008843B6"/>
    <w:rsid w:val="00891928"/>
    <w:rsid w:val="008A446D"/>
    <w:rsid w:val="008B25F1"/>
    <w:rsid w:val="008D180B"/>
    <w:rsid w:val="008F0EA7"/>
    <w:rsid w:val="00923EEF"/>
    <w:rsid w:val="009419F9"/>
    <w:rsid w:val="0095685E"/>
    <w:rsid w:val="00961B09"/>
    <w:rsid w:val="00965334"/>
    <w:rsid w:val="0097093E"/>
    <w:rsid w:val="009834E7"/>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E68F3"/>
    <w:rsid w:val="00B00C0E"/>
    <w:rsid w:val="00B01B1A"/>
    <w:rsid w:val="00B0381D"/>
    <w:rsid w:val="00B44A47"/>
    <w:rsid w:val="00B72CD3"/>
    <w:rsid w:val="00B72FFF"/>
    <w:rsid w:val="00B87806"/>
    <w:rsid w:val="00BC3D36"/>
    <w:rsid w:val="00BD54A6"/>
    <w:rsid w:val="00BD7F72"/>
    <w:rsid w:val="00BF7425"/>
    <w:rsid w:val="00C04FB3"/>
    <w:rsid w:val="00C11D8B"/>
    <w:rsid w:val="00C15139"/>
    <w:rsid w:val="00C330EB"/>
    <w:rsid w:val="00C50D69"/>
    <w:rsid w:val="00C5365C"/>
    <w:rsid w:val="00C754BE"/>
    <w:rsid w:val="00C76B1C"/>
    <w:rsid w:val="00C925AC"/>
    <w:rsid w:val="00CA5FAF"/>
    <w:rsid w:val="00CA77C3"/>
    <w:rsid w:val="00CB6357"/>
    <w:rsid w:val="00CC1B26"/>
    <w:rsid w:val="00CD6494"/>
    <w:rsid w:val="00D30564"/>
    <w:rsid w:val="00D361FD"/>
    <w:rsid w:val="00D423A2"/>
    <w:rsid w:val="00D44E26"/>
    <w:rsid w:val="00D520D8"/>
    <w:rsid w:val="00D63AC2"/>
    <w:rsid w:val="00D7383B"/>
    <w:rsid w:val="00D7788A"/>
    <w:rsid w:val="00DA231B"/>
    <w:rsid w:val="00DB1868"/>
    <w:rsid w:val="00DC39FC"/>
    <w:rsid w:val="00DF5254"/>
    <w:rsid w:val="00E02524"/>
    <w:rsid w:val="00E16408"/>
    <w:rsid w:val="00E20894"/>
    <w:rsid w:val="00E245AB"/>
    <w:rsid w:val="00E2764C"/>
    <w:rsid w:val="00E27F2E"/>
    <w:rsid w:val="00E50AFE"/>
    <w:rsid w:val="00E60410"/>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9466A"/>
    <w:rsid w:val="00FA47C0"/>
    <w:rsid w:val="00FB5DD1"/>
    <w:rsid w:val="00FC2B5D"/>
    <w:rsid w:val="00FF1449"/>
    <w:rsid w:val="00FF7963"/>
    <w:rsid w:val="071B8F93"/>
    <w:rsid w:val="07C73DD1"/>
    <w:rsid w:val="09908A09"/>
    <w:rsid w:val="0EFE6349"/>
    <w:rsid w:val="0FF4CCA8"/>
    <w:rsid w:val="13CFC91B"/>
    <w:rsid w:val="19A2EC2C"/>
    <w:rsid w:val="21779BE6"/>
    <w:rsid w:val="25A38C79"/>
    <w:rsid w:val="2859CA1B"/>
    <w:rsid w:val="2C4D2425"/>
    <w:rsid w:val="2EE1E026"/>
    <w:rsid w:val="2F44F38F"/>
    <w:rsid w:val="30821638"/>
    <w:rsid w:val="32A4F9CF"/>
    <w:rsid w:val="33A1FF93"/>
    <w:rsid w:val="356CEDFD"/>
    <w:rsid w:val="3C591AFD"/>
    <w:rsid w:val="42183F0A"/>
    <w:rsid w:val="545B112A"/>
    <w:rsid w:val="595555C7"/>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0FF82B2-FE4A-41D3-8D02-28920A76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9466A"/>
    <w:pPr>
      <w:spacing w:line="240" w:lineRule="exact"/>
    </w:pPr>
    <w:rPr>
      <w:vertAlign w:val="superscript"/>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llygalindez@gmail.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llygalindez@hot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orms.office.com/r/pPHyWVs2S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F5DFC820-EFAE-4DD3-852B-18D1BD0A1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5E69C-24CE-4839-BCBA-E5315EFCBD83}">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19</Pages>
  <Words>5424</Words>
  <Characters>29833</Characters>
  <Application>Microsoft Office Word</Application>
  <DocSecurity>0</DocSecurity>
  <Lines>248</Lines>
  <Paragraphs>70</Paragraphs>
  <ScaleCrop>false</ScaleCrop>
  <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2026-07-01T02:26:00Z</dcterms:created>
  <dcterms:modified xsi:type="dcterms:W3CDTF">2026-07-01T13:57:00Z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