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E147B" w14:textId="77777777" w:rsidR="00D4125A" w:rsidRPr="002D155C" w:rsidRDefault="00D4125A" w:rsidP="00D4125A">
      <w:pPr>
        <w:spacing w:after="0" w:line="240" w:lineRule="auto"/>
        <w:jc w:val="both"/>
        <w:rPr>
          <w:rFonts w:ascii="Verdana" w:eastAsia="Calibri" w:hAnsi="Verdana" w:cs="Arial"/>
          <w:b/>
          <w:bCs/>
          <w:color w:val="000000" w:themeColor="text1"/>
          <w:lang w:eastAsia="es-ES"/>
        </w:rPr>
      </w:pPr>
      <w:bookmarkStart w:id="0" w:name="_Hlk143780582"/>
      <w:r w:rsidRPr="002D155C">
        <w:rPr>
          <w:rFonts w:ascii="Verdana" w:eastAsia="Calibri" w:hAnsi="Verdana" w:cs="Arial"/>
          <w:b/>
          <w:bCs/>
          <w:color w:val="000000" w:themeColor="text1"/>
          <w:lang w:eastAsia="es-ES"/>
        </w:rPr>
        <w:t xml:space="preserve">PRECIO – Estructuración del precio – Elemento del contrato estatal </w:t>
      </w:r>
    </w:p>
    <w:p w14:paraId="63B468B4" w14:textId="77777777" w:rsidR="00D4125A" w:rsidRPr="002D155C" w:rsidRDefault="00D4125A" w:rsidP="00D4125A">
      <w:pPr>
        <w:spacing w:after="0" w:line="240" w:lineRule="auto"/>
        <w:jc w:val="both"/>
        <w:rPr>
          <w:rFonts w:ascii="Verdana" w:eastAsia="Calibri" w:hAnsi="Verdana" w:cs="Arial"/>
          <w:b/>
          <w:bCs/>
          <w:color w:val="000000" w:themeColor="text1"/>
          <w:lang w:eastAsia="es-ES"/>
        </w:rPr>
      </w:pPr>
    </w:p>
    <w:p w14:paraId="1B21C02C" w14:textId="77777777" w:rsidR="00D4125A" w:rsidRPr="002D155C" w:rsidRDefault="00D4125A" w:rsidP="00D4125A">
      <w:pPr>
        <w:spacing w:after="0" w:line="240" w:lineRule="auto"/>
        <w:jc w:val="both"/>
        <w:rPr>
          <w:rFonts w:ascii="Verdana" w:eastAsia="Calibri" w:hAnsi="Verdana" w:cs="Arial"/>
          <w:bCs/>
          <w:color w:val="000000" w:themeColor="text1"/>
          <w:sz w:val="20"/>
          <w:szCs w:val="20"/>
          <w:lang w:eastAsia="es-ES_tradnl"/>
        </w:rPr>
      </w:pPr>
      <w:r w:rsidRPr="002D155C">
        <w:rPr>
          <w:rFonts w:ascii="Verdana" w:eastAsia="Calibri" w:hAnsi="Verdana" w:cs="Arial"/>
          <w:bCs/>
          <w:color w:val="000000" w:themeColor="text1"/>
          <w:sz w:val="20"/>
          <w:szCs w:val="20"/>
          <w:lang w:eastAsia="es-ES_tradnl"/>
        </w:rPr>
        <w:t>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78D61858" w14:textId="77777777" w:rsidR="00D4125A" w:rsidRPr="002D155C" w:rsidRDefault="00D4125A" w:rsidP="00D4125A">
      <w:pPr>
        <w:spacing w:after="0" w:line="240" w:lineRule="auto"/>
        <w:jc w:val="both"/>
        <w:rPr>
          <w:rFonts w:ascii="Verdana" w:eastAsia="Calibri" w:hAnsi="Verdana" w:cs="Arial"/>
          <w:bCs/>
          <w:color w:val="000000" w:themeColor="text1"/>
          <w:sz w:val="20"/>
          <w:szCs w:val="20"/>
          <w:lang w:eastAsia="es-ES_tradnl"/>
        </w:rPr>
      </w:pPr>
    </w:p>
    <w:p w14:paraId="4870E94B" w14:textId="77777777" w:rsidR="00D4125A" w:rsidRPr="002D155C" w:rsidRDefault="00D4125A" w:rsidP="00D4125A">
      <w:pPr>
        <w:spacing w:after="0" w:line="240" w:lineRule="auto"/>
        <w:jc w:val="both"/>
        <w:rPr>
          <w:rFonts w:ascii="Verdana" w:eastAsia="Calibri" w:hAnsi="Verdana" w:cs="Arial"/>
          <w:bCs/>
          <w:color w:val="000000" w:themeColor="text1"/>
          <w:sz w:val="20"/>
          <w:szCs w:val="20"/>
          <w:lang w:eastAsia="es-ES_tradnl"/>
        </w:rPr>
      </w:pPr>
      <w:r w:rsidRPr="002D155C">
        <w:rPr>
          <w:rFonts w:ascii="Verdana" w:eastAsia="Calibri" w:hAnsi="Verdana" w:cs="Arial"/>
          <w:bCs/>
          <w:color w:val="000000" w:themeColor="text1"/>
          <w:sz w:val="20"/>
          <w:szCs w:val="20"/>
          <w:lang w:eastAsia="es-ES_tradn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2EB2CFB8" w14:textId="77777777" w:rsidR="00D4125A" w:rsidRPr="002D155C" w:rsidRDefault="00D4125A" w:rsidP="00D4125A">
      <w:pPr>
        <w:spacing w:after="0" w:line="240" w:lineRule="auto"/>
        <w:jc w:val="both"/>
        <w:rPr>
          <w:rFonts w:ascii="Verdana" w:eastAsia="Calibri" w:hAnsi="Verdana" w:cs="Arial"/>
          <w:color w:val="000000" w:themeColor="text1"/>
          <w:lang w:eastAsia="es-ES"/>
        </w:rPr>
      </w:pPr>
    </w:p>
    <w:p w14:paraId="1CD787C8" w14:textId="77777777" w:rsidR="00D4125A" w:rsidRPr="002D155C" w:rsidRDefault="00D4125A" w:rsidP="00D4125A">
      <w:pPr>
        <w:spacing w:after="0" w:line="240" w:lineRule="auto"/>
        <w:jc w:val="both"/>
        <w:rPr>
          <w:rFonts w:ascii="Verdana" w:eastAsia="Calibri" w:hAnsi="Verdana" w:cs="Arial"/>
          <w:b/>
          <w:bCs/>
          <w:color w:val="000000" w:themeColor="text1"/>
          <w:lang w:eastAsia="es-ES"/>
        </w:rPr>
      </w:pPr>
      <w:r w:rsidRPr="002D155C">
        <w:rPr>
          <w:rFonts w:ascii="Verdana" w:eastAsia="Calibri" w:hAnsi="Verdana" w:cs="Arial"/>
          <w:b/>
          <w:bCs/>
          <w:color w:val="000000" w:themeColor="text1"/>
          <w:lang w:eastAsia="es-ES"/>
        </w:rPr>
        <w:t xml:space="preserve">COSTOS DIRECTOS E INDIRECTOS – Finalidad – Ejecución del contrato </w:t>
      </w:r>
    </w:p>
    <w:p w14:paraId="1380D781" w14:textId="77777777" w:rsidR="00D4125A" w:rsidRPr="002D155C" w:rsidRDefault="00D4125A" w:rsidP="00D4125A">
      <w:pPr>
        <w:spacing w:after="0" w:line="240" w:lineRule="auto"/>
        <w:jc w:val="both"/>
        <w:rPr>
          <w:rFonts w:ascii="Verdana" w:eastAsia="Calibri" w:hAnsi="Verdana" w:cs="Arial"/>
          <w:b/>
          <w:bCs/>
          <w:color w:val="000000" w:themeColor="text1"/>
          <w:lang w:eastAsia="es-ES"/>
        </w:rPr>
      </w:pPr>
    </w:p>
    <w:p w14:paraId="50D82D27" w14:textId="77777777" w:rsidR="00D4125A" w:rsidRPr="002D155C" w:rsidRDefault="00D4125A" w:rsidP="00D4125A">
      <w:pPr>
        <w:spacing w:after="0" w:line="240" w:lineRule="auto"/>
        <w:jc w:val="both"/>
        <w:rPr>
          <w:rFonts w:ascii="Verdana" w:eastAsia="Geomanist Light" w:hAnsi="Verdana" w:cs="Arial"/>
          <w:color w:val="000000" w:themeColor="text1"/>
          <w:sz w:val="20"/>
          <w:szCs w:val="20"/>
        </w:rPr>
      </w:pPr>
      <w:r w:rsidRPr="002D155C">
        <w:rPr>
          <w:rFonts w:ascii="Verdana" w:eastAsia="Geomanist Light" w:hAnsi="Verdana" w:cs="Arial"/>
          <w:color w:val="000000" w:themeColor="text1"/>
          <w:sz w:val="20"/>
          <w:szCs w:val="20"/>
        </w:rPr>
        <w:t>Pues bien,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ítems según su unidad de medida, los costos indirectos se suelen abreviar en las variables que integran el acrónimo AIU –Administración, Imprevistos y Utilidad–.</w:t>
      </w:r>
    </w:p>
    <w:p w14:paraId="10492157" w14:textId="77777777" w:rsidR="00D4125A" w:rsidRPr="002D155C" w:rsidRDefault="00D4125A" w:rsidP="00D4125A">
      <w:pPr>
        <w:spacing w:after="0" w:line="240" w:lineRule="auto"/>
        <w:rPr>
          <w:rFonts w:ascii="Verdana" w:eastAsia="Geomanist Light" w:hAnsi="Verdana" w:cs="Arial"/>
          <w:color w:val="000000" w:themeColor="text1"/>
          <w:sz w:val="20"/>
          <w:szCs w:val="20"/>
        </w:rPr>
      </w:pPr>
    </w:p>
    <w:p w14:paraId="6090B6DC" w14:textId="77777777" w:rsidR="00D4125A" w:rsidRPr="002D155C" w:rsidRDefault="00D4125A" w:rsidP="00D4125A">
      <w:pPr>
        <w:spacing w:after="0" w:line="240" w:lineRule="auto"/>
        <w:jc w:val="both"/>
        <w:rPr>
          <w:rFonts w:ascii="Verdana" w:eastAsia="Calibri" w:hAnsi="Verdana" w:cs="Arial"/>
          <w:b/>
          <w:bCs/>
          <w:color w:val="000000" w:themeColor="text1"/>
          <w:lang w:eastAsia="es-ES"/>
        </w:rPr>
      </w:pPr>
      <w:r w:rsidRPr="002D155C">
        <w:rPr>
          <w:rFonts w:ascii="Verdana" w:eastAsia="Calibri" w:hAnsi="Verdana" w:cs="Arial"/>
          <w:b/>
          <w:bCs/>
          <w:color w:val="000000" w:themeColor="text1"/>
          <w:lang w:eastAsia="es-ES"/>
        </w:rPr>
        <w:t xml:space="preserve">AIU – Componentes – Límites </w:t>
      </w:r>
    </w:p>
    <w:p w14:paraId="2AC3EEDD" w14:textId="77777777" w:rsidR="00D4125A" w:rsidRPr="002D155C" w:rsidRDefault="00D4125A" w:rsidP="00D4125A">
      <w:pPr>
        <w:spacing w:after="0" w:line="240" w:lineRule="auto"/>
        <w:jc w:val="both"/>
        <w:rPr>
          <w:rFonts w:ascii="Verdana" w:hAnsi="Verdana" w:cs="Arial"/>
          <w:bCs/>
          <w:color w:val="000000" w:themeColor="text1"/>
          <w:sz w:val="20"/>
          <w:szCs w:val="20"/>
          <w:lang w:eastAsia="es-CO"/>
        </w:rPr>
      </w:pPr>
    </w:p>
    <w:p w14:paraId="39AF5F10" w14:textId="77777777" w:rsidR="00D4125A" w:rsidRPr="002D155C" w:rsidRDefault="00D4125A" w:rsidP="00D4125A">
      <w:pPr>
        <w:spacing w:after="0" w:line="240" w:lineRule="auto"/>
        <w:jc w:val="both"/>
        <w:rPr>
          <w:rFonts w:ascii="Verdana" w:hAnsi="Verdana" w:cs="Arial"/>
          <w:color w:val="000000" w:themeColor="text1"/>
          <w:sz w:val="20"/>
          <w:szCs w:val="20"/>
          <w:lang w:eastAsia="es-ES"/>
        </w:rPr>
      </w:pPr>
      <w:r w:rsidRPr="002D155C">
        <w:rPr>
          <w:rFonts w:ascii="Verdana" w:hAnsi="Verdana" w:cs="Arial"/>
          <w:color w:val="000000" w:themeColor="text1"/>
          <w:sz w:val="20"/>
          <w:szCs w:val="20"/>
          <w:lang w:eastAsia="es-ES"/>
        </w:rPr>
        <w:t>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obstaría para que las partes le dieran otros efectos particulares a la forma en que pagan el precio estructurado con AIU. Por ejemplo, podrían incluir cláusulas o reglas bajo las cuales se estableciera que el valor de alguno o de todos los componentes de la Administración o los Imprevistos sólo se pagan si el contratista demuestra que incurrió en algunas situaciones específicas y bajo el monto que este logre demostrar.</w:t>
      </w:r>
    </w:p>
    <w:p w14:paraId="17DECD4B" w14:textId="77777777" w:rsidR="00D4125A" w:rsidRPr="002D155C" w:rsidRDefault="00D4125A" w:rsidP="00D4125A">
      <w:pPr>
        <w:spacing w:after="0" w:line="240" w:lineRule="auto"/>
        <w:jc w:val="both"/>
        <w:rPr>
          <w:rFonts w:ascii="Verdana" w:hAnsi="Verdana" w:cs="Arial"/>
          <w:color w:val="000000" w:themeColor="text1"/>
          <w:sz w:val="20"/>
          <w:szCs w:val="20"/>
          <w:lang w:eastAsia="es-ES"/>
        </w:rPr>
      </w:pPr>
    </w:p>
    <w:p w14:paraId="59767FF9" w14:textId="77777777" w:rsidR="00D4125A" w:rsidRPr="002D155C" w:rsidRDefault="00D4125A" w:rsidP="00D4125A">
      <w:pPr>
        <w:spacing w:after="0" w:line="240" w:lineRule="auto"/>
        <w:jc w:val="both"/>
        <w:rPr>
          <w:rFonts w:ascii="Verdana" w:hAnsi="Verdana" w:cs="Arial"/>
          <w:color w:val="000000" w:themeColor="text1"/>
          <w:sz w:val="20"/>
          <w:szCs w:val="20"/>
          <w:lang w:eastAsia="es-ES"/>
        </w:rPr>
      </w:pPr>
      <w:r w:rsidRPr="002D155C">
        <w:rPr>
          <w:rFonts w:ascii="Verdana" w:hAnsi="Verdana" w:cs="Arial"/>
          <w:color w:val="000000" w:themeColor="text1"/>
          <w:sz w:val="20"/>
          <w:szCs w:val="20"/>
          <w:lang w:eastAsia="es-ES"/>
        </w:rPr>
        <w:lastRenderedPageBreak/>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32186978" w14:textId="77777777" w:rsidR="00D4125A" w:rsidRPr="002D155C" w:rsidRDefault="00D4125A" w:rsidP="00D4125A">
      <w:pPr>
        <w:spacing w:after="0" w:line="240" w:lineRule="auto"/>
        <w:jc w:val="both"/>
        <w:rPr>
          <w:rFonts w:ascii="Verdana" w:hAnsi="Verdana" w:cs="Arial"/>
          <w:color w:val="000000" w:themeColor="text1"/>
          <w:sz w:val="20"/>
          <w:szCs w:val="20"/>
          <w:lang w:eastAsia="es-ES"/>
        </w:rPr>
      </w:pPr>
    </w:p>
    <w:p w14:paraId="6D92FDA7" w14:textId="77777777" w:rsidR="00D4125A" w:rsidRPr="002D155C" w:rsidRDefault="00D4125A" w:rsidP="00D4125A">
      <w:pPr>
        <w:spacing w:after="0" w:line="240" w:lineRule="auto"/>
        <w:jc w:val="both"/>
        <w:rPr>
          <w:rFonts w:ascii="Verdana" w:hAnsi="Verdana" w:cs="Arial"/>
          <w:color w:val="000000" w:themeColor="text1"/>
          <w:sz w:val="20"/>
          <w:szCs w:val="20"/>
          <w:lang w:eastAsia="es-ES"/>
        </w:rPr>
      </w:pPr>
      <w:r w:rsidRPr="002D155C">
        <w:rPr>
          <w:rFonts w:ascii="Verdana" w:hAnsi="Verdana" w:cs="Arial"/>
          <w:color w:val="000000" w:themeColor="text1"/>
          <w:sz w:val="20"/>
          <w:szCs w:val="20"/>
          <w:lang w:eastAsia="es-ES"/>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indirectos en que incurren los contratistas, entre ellos, los de la Administración y los Imprevistos, para efectos de definir el porcentaje con el que calculan el presupuesto, pese a que el monto de estos componentes varía ostensiblemente de un proponente a otro, pues su valor real depende de circunstancias particulares de los oferentes. </w:t>
      </w:r>
    </w:p>
    <w:p w14:paraId="3B19E070" w14:textId="77777777" w:rsidR="00D4125A" w:rsidRPr="00256BBB" w:rsidRDefault="00D4125A" w:rsidP="00D4125A">
      <w:pPr>
        <w:spacing w:after="0" w:line="240" w:lineRule="auto"/>
        <w:jc w:val="both"/>
        <w:rPr>
          <w:rFonts w:ascii="Verdana" w:hAnsi="Verdana" w:cs="Arial"/>
          <w:color w:val="99CCFF"/>
          <w:sz w:val="20"/>
          <w:szCs w:val="20"/>
          <w:lang w:eastAsia="es-ES"/>
        </w:rPr>
      </w:pPr>
    </w:p>
    <w:p w14:paraId="6AC3EA66" w14:textId="77777777" w:rsidR="00D4125A" w:rsidRPr="0008354C" w:rsidRDefault="00D4125A" w:rsidP="00D4125A">
      <w:pPr>
        <w:spacing w:after="0" w:line="240" w:lineRule="auto"/>
        <w:jc w:val="both"/>
        <w:rPr>
          <w:rFonts w:ascii="Verdana" w:eastAsia="Calibri" w:hAnsi="Verdana" w:cs="Times New Roman"/>
          <w:color w:val="000000" w:themeColor="text1"/>
          <w:sz w:val="20"/>
          <w:szCs w:val="20"/>
          <w:lang w:val="es-ES" w:eastAsia="es-MX"/>
        </w:rPr>
      </w:pPr>
    </w:p>
    <w:p w14:paraId="7904305B" w14:textId="77777777" w:rsidR="00D4125A" w:rsidRPr="0008354C" w:rsidRDefault="00D4125A" w:rsidP="00D4125A">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Aplicación – Bienes inmuebles</w:t>
      </w:r>
    </w:p>
    <w:p w14:paraId="30C00314" w14:textId="77777777" w:rsidR="00D4125A" w:rsidRPr="0008354C" w:rsidRDefault="00D4125A" w:rsidP="00D4125A">
      <w:pPr>
        <w:spacing w:after="0"/>
        <w:jc w:val="both"/>
        <w:rPr>
          <w:rFonts w:ascii="Verdana" w:eastAsia="Calibri" w:hAnsi="Verdana" w:cs="Times New Roman"/>
          <w:b/>
          <w:bCs/>
          <w:color w:val="000000" w:themeColor="text1"/>
          <w:lang w:val="es-ES" w:eastAsia="es-MX"/>
        </w:rPr>
      </w:pPr>
    </w:p>
    <w:p w14:paraId="5142DF05" w14:textId="77777777" w:rsidR="00D4125A" w:rsidRPr="0008354C" w:rsidRDefault="00D4125A" w:rsidP="00D4125A">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 el numeral 1 del artículo 32 de la Ley 80 de 1993 opta por un sentido restringido,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0D72AAF8" w14:textId="77777777" w:rsidR="00D4125A" w:rsidRPr="0008354C" w:rsidRDefault="00D4125A" w:rsidP="00D4125A">
      <w:pPr>
        <w:spacing w:after="0"/>
        <w:jc w:val="both"/>
        <w:rPr>
          <w:rFonts w:ascii="Verdana" w:eastAsia="Calibri" w:hAnsi="Verdana" w:cs="Times New Roman"/>
          <w:b/>
          <w:bCs/>
          <w:color w:val="000000" w:themeColor="text1"/>
          <w:lang w:val="es-ES" w:eastAsia="es-MX"/>
        </w:rPr>
      </w:pPr>
    </w:p>
    <w:p w14:paraId="0315B202" w14:textId="77777777" w:rsidR="00D4125A" w:rsidRPr="0008354C" w:rsidRDefault="00D4125A" w:rsidP="00D4125A">
      <w:pPr>
        <w:spacing w:after="0"/>
        <w:jc w:val="both"/>
        <w:rPr>
          <w:rFonts w:ascii="Verdana" w:eastAsia="Calibri" w:hAnsi="Verdana" w:cs="Times New Roman"/>
          <w:b/>
          <w:bCs/>
          <w:color w:val="000000" w:themeColor="text1"/>
          <w:lang w:val="es-ES" w:eastAsia="es-MX"/>
        </w:rPr>
      </w:pPr>
      <w:r w:rsidRPr="0008354C">
        <w:rPr>
          <w:rFonts w:ascii="Verdana" w:eastAsia="Calibri" w:hAnsi="Verdana" w:cs="Times New Roman"/>
          <w:b/>
          <w:bCs/>
          <w:color w:val="000000" w:themeColor="text1"/>
          <w:lang w:val="es-ES" w:eastAsia="es-MX"/>
        </w:rPr>
        <w:t>CONTRATO DE OBRA PÚBLICA – Actividades – Construir – Mantener – Instalar</w:t>
      </w:r>
    </w:p>
    <w:p w14:paraId="725A95E5" w14:textId="77777777" w:rsidR="00D4125A" w:rsidRPr="0008354C" w:rsidRDefault="00D4125A" w:rsidP="00D4125A">
      <w:pPr>
        <w:spacing w:after="0"/>
        <w:jc w:val="both"/>
        <w:rPr>
          <w:rFonts w:ascii="Verdana" w:eastAsia="Calibri" w:hAnsi="Verdana" w:cs="Times New Roman"/>
          <w:b/>
          <w:bCs/>
          <w:color w:val="000000" w:themeColor="text1"/>
          <w:lang w:val="es-ES" w:eastAsia="es-MX"/>
        </w:rPr>
      </w:pPr>
    </w:p>
    <w:p w14:paraId="1835619D" w14:textId="77777777" w:rsidR="00D4125A" w:rsidRPr="0008354C" w:rsidRDefault="00D4125A" w:rsidP="00D4125A">
      <w:pPr>
        <w:spacing w:after="0"/>
        <w:jc w:val="both"/>
        <w:rPr>
          <w:rFonts w:ascii="Verdana" w:eastAsia="Calibri" w:hAnsi="Verdana" w:cs="Times New Roman"/>
          <w:color w:val="000000" w:themeColor="text1"/>
          <w:sz w:val="20"/>
          <w:szCs w:val="20"/>
          <w:lang w:val="es-ES" w:eastAsia="es-MX"/>
        </w:rPr>
      </w:pPr>
      <w:r w:rsidRPr="0008354C">
        <w:rPr>
          <w:rFonts w:ascii="Verdana" w:eastAsia="Calibri" w:hAnsi="Verdana" w:cs="Times New Roman"/>
          <w:color w:val="000000" w:themeColor="text1"/>
          <w:sz w:val="20"/>
          <w:szCs w:val="20"/>
          <w:lang w:val="es-ES" w:eastAsia="es-MX"/>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52EE9256" w14:textId="77777777" w:rsidR="00D4125A" w:rsidRPr="00FD6B18" w:rsidRDefault="00D4125A" w:rsidP="00D4125A">
      <w:pPr>
        <w:spacing w:afterLines="120" w:after="288" w:line="276" w:lineRule="auto"/>
        <w:ind w:firstLine="708"/>
        <w:contextualSpacing/>
        <w:jc w:val="both"/>
        <w:rPr>
          <w:rFonts w:ascii="Verdana" w:eastAsia="Calibri" w:hAnsi="Verdana" w:cs="Arial"/>
          <w:bCs/>
          <w:color w:val="99CCFF"/>
          <w:lang w:val="es-ES" w:eastAsia="es-ES"/>
        </w:rPr>
      </w:pPr>
    </w:p>
    <w:p w14:paraId="2570BFF7" w14:textId="77777777" w:rsidR="00D4125A" w:rsidRPr="008512AB" w:rsidRDefault="00D4125A" w:rsidP="00D4125A">
      <w:pPr>
        <w:pStyle w:val="NormalWeb"/>
        <w:shd w:val="clear" w:color="auto" w:fill="FFFFFF"/>
        <w:spacing w:before="0" w:beforeAutospacing="0" w:after="340" w:afterAutospacing="0"/>
        <w:jc w:val="both"/>
        <w:rPr>
          <w:rFonts w:ascii="Verdana" w:hAnsi="Verdana" w:cs="Segoe UI"/>
          <w:color w:val="000000" w:themeColor="text1"/>
          <w:sz w:val="22"/>
          <w:szCs w:val="22"/>
        </w:rPr>
      </w:pPr>
      <w:r w:rsidRPr="008512AB">
        <w:rPr>
          <w:rStyle w:val="Textoennegrita"/>
          <w:rFonts w:ascii="Verdana" w:hAnsi="Verdana" w:cs="Segoe UI"/>
          <w:color w:val="000000" w:themeColor="text1"/>
          <w:sz w:val="22"/>
          <w:szCs w:val="22"/>
        </w:rPr>
        <w:lastRenderedPageBreak/>
        <w:t>A.I.U – Documentos tipo – Infraestructura social – Licitación pública – Numeral 4.1.1 – Alcance – Obligatoriedad</w:t>
      </w:r>
    </w:p>
    <w:p w14:paraId="71812E96" w14:textId="77777777" w:rsidR="00D4125A" w:rsidRPr="008512AB" w:rsidRDefault="00D4125A" w:rsidP="00D4125A">
      <w:pPr>
        <w:pStyle w:val="NormalWeb"/>
        <w:shd w:val="clear" w:color="auto" w:fill="FFFFFF"/>
        <w:spacing w:before="0" w:beforeAutospacing="0" w:after="340" w:afterAutospacing="0"/>
        <w:jc w:val="both"/>
        <w:rPr>
          <w:rFonts w:ascii="Verdana" w:hAnsi="Verdana" w:cs="Segoe UI"/>
          <w:color w:val="000000" w:themeColor="text1"/>
          <w:sz w:val="21"/>
          <w:szCs w:val="21"/>
        </w:rPr>
      </w:pPr>
      <w:r w:rsidRPr="008512AB">
        <w:rPr>
          <w:rFonts w:ascii="Verdana" w:hAnsi="Verdana" w:cs="Segoe UI"/>
          <w:color w:val="000000" w:themeColor="text1"/>
          <w:sz w:val="21"/>
          <w:szCs w:val="21"/>
        </w:rPr>
        <w:t>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 Ahora bien, considerando que ese numeral solo debe incorporarse cuando el proceso de contratación sea por precios unitarios, cuando este no suceda, es claro que la entidad que adelanta el proceso no debe incluirlo.</w:t>
      </w:r>
    </w:p>
    <w:p w14:paraId="03E511C1"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05E6C3C0"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00F05DCB"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204ADB56"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72CD3A9F"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464EDCEF"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5A7EA5F3"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47B12F0C"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7366BC0B"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4748E649"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52B754C3"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5E3B994D"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2F74FE5C" w14:textId="77777777" w:rsidR="00D4125A" w:rsidRDefault="00D4125A" w:rsidP="00D4125A">
      <w:pPr>
        <w:spacing w:afterLines="120" w:after="288" w:line="276" w:lineRule="auto"/>
        <w:contextualSpacing/>
        <w:jc w:val="both"/>
        <w:rPr>
          <w:rFonts w:ascii="Verdana" w:eastAsia="Calibri" w:hAnsi="Verdana" w:cs="Arial"/>
          <w:b/>
          <w:bCs/>
          <w:color w:val="99CCFF"/>
          <w:lang w:eastAsia="es-ES"/>
        </w:rPr>
      </w:pPr>
    </w:p>
    <w:p w14:paraId="364ECBAA" w14:textId="77777777" w:rsidR="00D4125A" w:rsidRPr="00256BBB" w:rsidRDefault="00D4125A" w:rsidP="00D4125A">
      <w:pPr>
        <w:spacing w:afterLines="120" w:after="288" w:line="276" w:lineRule="auto"/>
        <w:contextualSpacing/>
        <w:jc w:val="both"/>
        <w:rPr>
          <w:rFonts w:ascii="Verdana" w:eastAsia="Calibri" w:hAnsi="Verdana" w:cs="Arial"/>
          <w:b/>
          <w:bCs/>
          <w:color w:val="99CCFF"/>
          <w:lang w:eastAsia="es-ES"/>
        </w:rPr>
      </w:pPr>
    </w:p>
    <w:p w14:paraId="07E81419"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6D57C6AA"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5B6D61D1"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0E4E64B9"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707ABFDB"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301F2CAC"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37017C8E"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4F1424A8" w14:textId="77777777" w:rsidR="00D4125A" w:rsidRPr="002F7FFD" w:rsidRDefault="00D4125A" w:rsidP="00D4125A">
      <w:pPr>
        <w:spacing w:afterLines="120" w:after="288" w:line="276" w:lineRule="auto"/>
        <w:ind w:firstLine="708"/>
        <w:contextualSpacing/>
        <w:jc w:val="both"/>
        <w:rPr>
          <w:rFonts w:ascii="Verdana" w:eastAsia="Calibri" w:hAnsi="Verdana" w:cs="Arial"/>
          <w:b/>
          <w:bCs/>
          <w:lang w:eastAsia="es-ES"/>
        </w:rPr>
      </w:pPr>
    </w:p>
    <w:p w14:paraId="715A4B3F" w14:textId="24172602" w:rsidR="00D4125A" w:rsidRPr="002F7FFD" w:rsidRDefault="00D4125A" w:rsidP="00D4125A">
      <w:pPr>
        <w:spacing w:after="0"/>
        <w:rPr>
          <w:rFonts w:ascii="Verdana" w:hAnsi="Verdana"/>
        </w:rPr>
      </w:pPr>
      <w:r w:rsidRPr="002F7FFD">
        <w:rPr>
          <w:rFonts w:ascii="Verdana" w:hAnsi="Verdana"/>
        </w:rPr>
        <w:lastRenderedPageBreak/>
        <w:t xml:space="preserve">Bogotá D.C, </w:t>
      </w:r>
      <w:r w:rsidR="00B236B0" w:rsidRPr="00B236B0">
        <w:rPr>
          <w:rFonts w:ascii="Verdana" w:hAnsi="Verdana"/>
        </w:rPr>
        <w:t>30 Junio 2026</w:t>
      </w:r>
    </w:p>
    <w:p w14:paraId="30059F02" w14:textId="0BF3E30F" w:rsidR="00D4125A" w:rsidRPr="00110189" w:rsidRDefault="00B236B0" w:rsidP="00D4125A">
      <w:pPr>
        <w:spacing w:after="0"/>
        <w:rPr>
          <w:rFonts w:ascii="Verdana" w:eastAsia="Calibri" w:hAnsi="Verdana" w:cs="Vrinda"/>
        </w:rPr>
      </w:pPr>
      <w:r w:rsidRPr="00B236B0">
        <w:rPr>
          <w:rFonts w:ascii="Verdana" w:eastAsia="Calibri" w:hAnsi="Verdana" w:cs="Vrinda"/>
        </w:rPr>
        <w:drawing>
          <wp:anchor distT="0" distB="0" distL="114300" distR="114300" simplePos="0" relativeHeight="251658240" behindDoc="0" locked="0" layoutInCell="1" allowOverlap="1" wp14:anchorId="4E08813D" wp14:editId="78EE3847">
            <wp:simplePos x="0" y="0"/>
            <wp:positionH relativeFrom="margin">
              <wp:posOffset>3523107</wp:posOffset>
            </wp:positionH>
            <wp:positionV relativeFrom="margin">
              <wp:posOffset>219456</wp:posOffset>
            </wp:positionV>
            <wp:extent cx="2466975" cy="717550"/>
            <wp:effectExtent l="0" t="0" r="0" b="6350"/>
            <wp:wrapSquare wrapText="bothSides"/>
            <wp:docPr id="1369488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4884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66975" cy="717550"/>
                    </a:xfrm>
                    <a:prstGeom prst="rect">
                      <a:avLst/>
                    </a:prstGeom>
                  </pic:spPr>
                </pic:pic>
              </a:graphicData>
            </a:graphic>
          </wp:anchor>
        </w:drawing>
      </w:r>
      <w:r w:rsidR="00D4125A" w:rsidRPr="00110189">
        <w:rPr>
          <w:rFonts w:ascii="Verdana" w:eastAsia="Calibri" w:hAnsi="Verdana" w:cs="Vrinda"/>
        </w:rPr>
        <w:tab/>
      </w:r>
    </w:p>
    <w:p w14:paraId="62B1D196" w14:textId="54E71F93" w:rsidR="00D4125A" w:rsidRPr="00F21CC4" w:rsidRDefault="00D4125A" w:rsidP="00D4125A">
      <w:pPr>
        <w:spacing w:after="0" w:line="240" w:lineRule="auto"/>
        <w:jc w:val="both"/>
        <w:rPr>
          <w:rFonts w:ascii="Verdana" w:eastAsia="Calibri" w:hAnsi="Verdana" w:cs="Vrinda"/>
          <w:lang w:eastAsia="es-ES"/>
        </w:rPr>
      </w:pPr>
      <w:r w:rsidRPr="00F21CC4">
        <w:rPr>
          <w:rFonts w:ascii="Verdana" w:eastAsia="Calibri" w:hAnsi="Verdana" w:cs="Vrinda"/>
          <w:lang w:eastAsia="es-ES"/>
        </w:rPr>
        <w:t>Señora</w:t>
      </w:r>
    </w:p>
    <w:p w14:paraId="5AC25ABB" w14:textId="529681AA" w:rsidR="00D4125A" w:rsidRDefault="00D4125A" w:rsidP="00D4125A">
      <w:pPr>
        <w:spacing w:after="0" w:line="240" w:lineRule="auto"/>
        <w:jc w:val="both"/>
        <w:rPr>
          <w:rFonts w:ascii="Verdana" w:hAnsi="Verdana"/>
          <w:b/>
          <w:bCs/>
        </w:rPr>
      </w:pPr>
      <w:r w:rsidRPr="006709B7">
        <w:rPr>
          <w:rFonts w:ascii="Verdana" w:hAnsi="Verdana"/>
          <w:b/>
          <w:bCs/>
        </w:rPr>
        <w:t>María Camila Araque Sosa</w:t>
      </w:r>
    </w:p>
    <w:p w14:paraId="6D1F9FB5" w14:textId="77777777" w:rsidR="00D4125A" w:rsidRPr="00F21CC4" w:rsidRDefault="00D4125A" w:rsidP="00D4125A">
      <w:pPr>
        <w:spacing w:after="0" w:line="240" w:lineRule="auto"/>
        <w:jc w:val="both"/>
        <w:rPr>
          <w:rFonts w:ascii="Verdana" w:eastAsia="Times New Roman" w:hAnsi="Verdana" w:cs="Vrinda"/>
          <w:lang w:eastAsia="es-CO"/>
        </w:rPr>
      </w:pPr>
      <w:r w:rsidRPr="00F21CC4">
        <w:rPr>
          <w:rFonts w:ascii="Verdana" w:eastAsia="Times New Roman" w:hAnsi="Verdana" w:cs="Vrinda"/>
          <w:lang w:eastAsia="es-CO"/>
        </w:rPr>
        <w:t>Secretar</w:t>
      </w:r>
      <w:r>
        <w:rPr>
          <w:rFonts w:ascii="Verdana" w:eastAsia="Times New Roman" w:hAnsi="Verdana" w:cs="Vrinda"/>
          <w:lang w:eastAsia="es-CO"/>
        </w:rPr>
        <w:t>í</w:t>
      </w:r>
      <w:r w:rsidRPr="00F21CC4">
        <w:rPr>
          <w:rFonts w:ascii="Verdana" w:eastAsia="Times New Roman" w:hAnsi="Verdana" w:cs="Vrinda"/>
          <w:lang w:eastAsia="es-CO"/>
        </w:rPr>
        <w:t xml:space="preserve">a Distrital </w:t>
      </w:r>
      <w:r>
        <w:rPr>
          <w:rFonts w:ascii="Verdana" w:eastAsia="Times New Roman" w:hAnsi="Verdana" w:cs="Vrinda"/>
          <w:lang w:eastAsia="es-CO"/>
        </w:rPr>
        <w:t>d</w:t>
      </w:r>
      <w:r w:rsidRPr="00F21CC4">
        <w:rPr>
          <w:rFonts w:ascii="Verdana" w:eastAsia="Times New Roman" w:hAnsi="Verdana" w:cs="Vrinda"/>
          <w:lang w:eastAsia="es-CO"/>
        </w:rPr>
        <w:t>e Gobierno</w:t>
      </w:r>
    </w:p>
    <w:p w14:paraId="713ED28B" w14:textId="77777777" w:rsidR="00D4125A" w:rsidRDefault="00D4125A" w:rsidP="00D4125A">
      <w:pPr>
        <w:spacing w:after="0" w:line="240" w:lineRule="auto"/>
        <w:jc w:val="both"/>
        <w:rPr>
          <w:rFonts w:ascii="Verdana" w:eastAsia="Times New Roman" w:hAnsi="Verdana" w:cs="Vrinda"/>
          <w:lang w:eastAsia="es-CO"/>
        </w:rPr>
      </w:pPr>
      <w:hyperlink r:id="rId11" w:history="1">
        <w:r w:rsidRPr="007F2DA8">
          <w:rPr>
            <w:rStyle w:val="Hipervnculo"/>
            <w:rFonts w:ascii="Verdana" w:eastAsia="Times New Roman" w:hAnsi="Verdana" w:cs="Vrinda"/>
            <w:lang w:eastAsia="es-CO"/>
          </w:rPr>
          <w:t>procesosdisciplinarios@gobiernobogota.gov.co</w:t>
        </w:r>
      </w:hyperlink>
    </w:p>
    <w:p w14:paraId="12201F00" w14:textId="77777777" w:rsidR="00D4125A" w:rsidRDefault="00D4125A" w:rsidP="00D4125A">
      <w:pPr>
        <w:spacing w:after="0" w:line="240" w:lineRule="auto"/>
        <w:jc w:val="both"/>
        <w:rPr>
          <w:rFonts w:ascii="Verdana" w:eastAsia="Times New Roman" w:hAnsi="Verdana" w:cs="Vrinda"/>
          <w:lang w:eastAsia="es-CO"/>
        </w:rPr>
      </w:pPr>
      <w:hyperlink r:id="rId12" w:history="1">
        <w:r w:rsidRPr="007F2DA8">
          <w:rPr>
            <w:rStyle w:val="Hipervnculo"/>
            <w:rFonts w:ascii="Verdana" w:eastAsia="Times New Roman" w:hAnsi="Verdana" w:cs="Vrinda"/>
            <w:lang w:eastAsia="es-CO"/>
          </w:rPr>
          <w:t>manuela.tamayo@gobiernobogota.gov.co</w:t>
        </w:r>
      </w:hyperlink>
    </w:p>
    <w:p w14:paraId="75520A41" w14:textId="77777777" w:rsidR="00D4125A" w:rsidRPr="00F21CC4" w:rsidRDefault="00D4125A" w:rsidP="00D4125A">
      <w:pPr>
        <w:spacing w:after="0" w:line="240" w:lineRule="auto"/>
        <w:jc w:val="both"/>
        <w:rPr>
          <w:rFonts w:ascii="Verdana" w:eastAsia="Times New Roman" w:hAnsi="Verdana" w:cs="Vrinda"/>
          <w:lang w:eastAsia="es-CO"/>
        </w:rPr>
      </w:pPr>
      <w:r w:rsidRPr="00F21CC4">
        <w:rPr>
          <w:rFonts w:ascii="Verdana" w:eastAsia="Times New Roman" w:hAnsi="Verdana" w:cs="Vrinda"/>
          <w:lang w:eastAsia="es-CO"/>
        </w:rPr>
        <w:t>Bogotá D.C</w:t>
      </w:r>
    </w:p>
    <w:p w14:paraId="676055D9" w14:textId="77777777" w:rsidR="00D4125A" w:rsidRPr="002F7FFD" w:rsidRDefault="00D4125A" w:rsidP="00D4125A">
      <w:pPr>
        <w:spacing w:after="0" w:line="276" w:lineRule="auto"/>
        <w:rPr>
          <w:rFonts w:ascii="Verdana" w:eastAsia="Calibri" w:hAnsi="Verdana" w:cs="Arial"/>
          <w:b/>
          <w:bCs/>
          <w:color w:val="66CCFF"/>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D4125A" w:rsidRPr="002F7FFD" w14:paraId="3487B7B7" w14:textId="77777777" w:rsidTr="000C58FA">
        <w:trPr>
          <w:trHeight w:val="750"/>
        </w:trPr>
        <w:tc>
          <w:tcPr>
            <w:tcW w:w="3261" w:type="dxa"/>
          </w:tcPr>
          <w:p w14:paraId="75CA57CC" w14:textId="77777777" w:rsidR="00D4125A" w:rsidRPr="002F7FFD" w:rsidRDefault="00D4125A" w:rsidP="000C58FA">
            <w:pPr>
              <w:spacing w:line="276" w:lineRule="auto"/>
              <w:jc w:val="both"/>
              <w:rPr>
                <w:rFonts w:ascii="Verdana" w:eastAsia="Calibri" w:hAnsi="Verdana" w:cs="Arial"/>
                <w:b/>
                <w:bCs/>
                <w:color w:val="66CCFF"/>
                <w:lang w:eastAsia="es-ES_tradnl"/>
              </w:rPr>
            </w:pPr>
          </w:p>
        </w:tc>
        <w:tc>
          <w:tcPr>
            <w:tcW w:w="5972" w:type="dxa"/>
            <w:hideMark/>
          </w:tcPr>
          <w:p w14:paraId="6E971183" w14:textId="77777777" w:rsidR="00D4125A" w:rsidRPr="002F7FFD" w:rsidRDefault="00D4125A" w:rsidP="000C58FA">
            <w:pPr>
              <w:spacing w:line="276" w:lineRule="auto"/>
              <w:jc w:val="both"/>
              <w:rPr>
                <w:rFonts w:ascii="Verdana" w:eastAsia="Calibri" w:hAnsi="Verdana" w:cs="Arial"/>
                <w:b/>
                <w:bCs/>
                <w:lang w:eastAsia="es-ES"/>
              </w:rPr>
            </w:pPr>
            <w:r w:rsidRPr="002F7FFD">
              <w:rPr>
                <w:rFonts w:ascii="Verdana" w:eastAsia="Calibri" w:hAnsi="Verdana" w:cs="Arial"/>
                <w:b/>
                <w:bCs/>
                <w:lang w:eastAsia="es-ES"/>
              </w:rPr>
              <w:t xml:space="preserve">Concepto C – </w:t>
            </w:r>
            <w:r>
              <w:rPr>
                <w:rFonts w:ascii="Verdana" w:eastAsia="Calibri" w:hAnsi="Verdana" w:cs="Arial"/>
                <w:b/>
                <w:bCs/>
                <w:lang w:eastAsia="es-ES"/>
              </w:rPr>
              <w:t>824</w:t>
            </w:r>
            <w:r w:rsidRPr="002F7FFD">
              <w:rPr>
                <w:rFonts w:ascii="Verdana" w:eastAsia="Calibri" w:hAnsi="Verdana" w:cs="Arial"/>
                <w:b/>
                <w:bCs/>
                <w:lang w:eastAsia="es-ES"/>
              </w:rPr>
              <w:t xml:space="preserve"> de 2026</w:t>
            </w:r>
          </w:p>
        </w:tc>
      </w:tr>
      <w:tr w:rsidR="00D4125A" w:rsidRPr="005B4E42" w14:paraId="6229C900" w14:textId="77777777" w:rsidTr="000C58FA">
        <w:trPr>
          <w:trHeight w:val="999"/>
        </w:trPr>
        <w:tc>
          <w:tcPr>
            <w:tcW w:w="3261" w:type="dxa"/>
            <w:hideMark/>
          </w:tcPr>
          <w:p w14:paraId="559FBB53" w14:textId="77777777" w:rsidR="00D4125A" w:rsidRPr="002F7FFD" w:rsidRDefault="00D4125A" w:rsidP="000C58FA">
            <w:pPr>
              <w:spacing w:line="276" w:lineRule="auto"/>
              <w:jc w:val="both"/>
              <w:rPr>
                <w:rFonts w:ascii="Verdana" w:eastAsia="Calibri" w:hAnsi="Verdana" w:cs="Arial"/>
                <w:color w:val="66CCFF"/>
                <w:lang w:eastAsia="es-ES_tradnl"/>
              </w:rPr>
            </w:pPr>
            <w:r w:rsidRPr="002F7FFD">
              <w:rPr>
                <w:rFonts w:ascii="Verdana" w:eastAsia="Calibri" w:hAnsi="Verdana" w:cs="Arial"/>
                <w:b/>
                <w:lang w:eastAsia="es-ES_tradnl"/>
              </w:rPr>
              <w:t>Temas:</w:t>
            </w:r>
            <w:r w:rsidRPr="002F7FFD">
              <w:rPr>
                <w:rFonts w:ascii="Verdana" w:eastAsia="Calibri" w:hAnsi="Verdana" w:cs="Arial"/>
                <w:lang w:eastAsia="es-ES_tradnl"/>
              </w:rPr>
              <w:t xml:space="preserve">                   </w:t>
            </w:r>
          </w:p>
        </w:tc>
        <w:tc>
          <w:tcPr>
            <w:tcW w:w="5972" w:type="dxa"/>
          </w:tcPr>
          <w:p w14:paraId="6BE242CE" w14:textId="77777777" w:rsidR="00D4125A" w:rsidRPr="005B4E42" w:rsidRDefault="00D4125A" w:rsidP="000C58FA">
            <w:pPr>
              <w:pStyle w:val="NormalWeb"/>
              <w:shd w:val="clear" w:color="auto" w:fill="FFFFFF"/>
              <w:spacing w:before="0" w:beforeAutospacing="0" w:after="340" w:afterAutospacing="0"/>
              <w:jc w:val="both"/>
              <w:rPr>
                <w:rFonts w:ascii="Verdana" w:hAnsi="Verdana" w:cs="Segoe UI"/>
                <w:color w:val="000000" w:themeColor="text1"/>
                <w:sz w:val="22"/>
                <w:szCs w:val="22"/>
              </w:rPr>
            </w:pPr>
            <w:r w:rsidRPr="00B5441E">
              <w:rPr>
                <w:rFonts w:ascii="Verdana" w:eastAsia="Calibri" w:hAnsi="Verdana" w:cs="Arial"/>
                <w:color w:val="000000" w:themeColor="text1"/>
                <w:sz w:val="22"/>
                <w:szCs w:val="22"/>
                <w:lang w:eastAsia="es-ES"/>
              </w:rPr>
              <w:t xml:space="preserve">PRECIO – Estructuración del precio – Elemento del contrato estatal / COSTOS DIRECTOS E INDIRECTOS – Finalidad – Ejecución del contrato / AIU – Componentes – Límites / </w:t>
            </w:r>
            <w:r w:rsidRPr="00B5441E">
              <w:rPr>
                <w:rFonts w:ascii="Verdana" w:eastAsia="Calibri" w:hAnsi="Verdana"/>
                <w:color w:val="000000" w:themeColor="text1"/>
                <w:sz w:val="22"/>
                <w:szCs w:val="22"/>
                <w:lang w:val="es-ES" w:eastAsia="es-MX"/>
              </w:rPr>
              <w:t xml:space="preserve">CONTRATO DE OBRA PÚBLICA – Aplicación – Bienes inmuebles / CONTRATO DE OBRA PÚBLICA – Actividades – Construir – Mantener – Instalar / </w:t>
            </w:r>
            <w:r w:rsidRPr="005B4E42">
              <w:rPr>
                <w:rStyle w:val="Textoennegrita"/>
                <w:rFonts w:ascii="Verdana" w:hAnsi="Verdana" w:cs="Segoe UI"/>
                <w:b w:val="0"/>
                <w:bCs w:val="0"/>
                <w:color w:val="000000" w:themeColor="text1"/>
                <w:sz w:val="22"/>
                <w:szCs w:val="22"/>
              </w:rPr>
              <w:t>A.I.U – Documentos tipo – Infraestructura social – Licitación pública – Numeral 4.1.1 – Alcance – Obligatoriedad.</w:t>
            </w:r>
          </w:p>
        </w:tc>
      </w:tr>
      <w:tr w:rsidR="00D4125A" w:rsidRPr="002F7FFD" w14:paraId="7A47A74A" w14:textId="77777777" w:rsidTr="000C58FA">
        <w:trPr>
          <w:trHeight w:val="597"/>
        </w:trPr>
        <w:tc>
          <w:tcPr>
            <w:tcW w:w="3261" w:type="dxa"/>
            <w:hideMark/>
          </w:tcPr>
          <w:p w14:paraId="7811020D" w14:textId="77777777" w:rsidR="00D4125A" w:rsidRPr="002F7FFD" w:rsidRDefault="00D4125A" w:rsidP="000C58FA">
            <w:pPr>
              <w:spacing w:line="276" w:lineRule="auto"/>
              <w:jc w:val="both"/>
              <w:rPr>
                <w:rFonts w:ascii="Verdana" w:eastAsia="Calibri" w:hAnsi="Verdana" w:cs="Arial"/>
                <w:b/>
                <w:lang w:eastAsia="es-ES_tradnl"/>
              </w:rPr>
            </w:pPr>
            <w:r w:rsidRPr="002F7FFD">
              <w:rPr>
                <w:rFonts w:ascii="Verdana" w:eastAsia="Calibri" w:hAnsi="Verdana" w:cs="Arial"/>
                <w:b/>
                <w:lang w:eastAsia="es-ES_tradnl"/>
              </w:rPr>
              <w:t xml:space="preserve">Radicación:               </w:t>
            </w:r>
          </w:p>
        </w:tc>
        <w:tc>
          <w:tcPr>
            <w:tcW w:w="5972" w:type="dxa"/>
          </w:tcPr>
          <w:p w14:paraId="3F88B2FF" w14:textId="77777777" w:rsidR="00D4125A" w:rsidRPr="002F7FFD" w:rsidRDefault="00D4125A" w:rsidP="000C58FA">
            <w:pPr>
              <w:spacing w:line="276" w:lineRule="auto"/>
              <w:jc w:val="both"/>
              <w:rPr>
                <w:rFonts w:ascii="Verdana" w:eastAsia="Calibri" w:hAnsi="Verdana" w:cs="Arial"/>
                <w:bCs/>
                <w:lang w:eastAsia="es-ES_tradnl"/>
              </w:rPr>
            </w:pPr>
            <w:r w:rsidRPr="002F7FFD">
              <w:rPr>
                <w:rFonts w:ascii="Verdana" w:eastAsia="Calibri" w:hAnsi="Verdana" w:cs="Arial"/>
                <w:bCs/>
                <w:lang w:eastAsia="es-ES_tradnl"/>
              </w:rPr>
              <w:t>Respuesta a consulta con radicado No. </w:t>
            </w:r>
            <w:r w:rsidRPr="000C33EE">
              <w:rPr>
                <w:rFonts w:ascii="Verdana" w:eastAsia="Calibri" w:hAnsi="Verdana" w:cs="Arial"/>
                <w:bCs/>
                <w:lang w:eastAsia="es-ES_tradnl"/>
              </w:rPr>
              <w:t>1_2026_05_15_006575</w:t>
            </w:r>
          </w:p>
        </w:tc>
      </w:tr>
    </w:tbl>
    <w:p w14:paraId="29E9CD1A" w14:textId="77777777" w:rsidR="00D4125A" w:rsidRPr="002F7FFD" w:rsidRDefault="00D4125A" w:rsidP="00D4125A">
      <w:pPr>
        <w:spacing w:after="0" w:line="276" w:lineRule="auto"/>
        <w:jc w:val="both"/>
        <w:rPr>
          <w:rFonts w:ascii="Verdana" w:eastAsia="Calibri" w:hAnsi="Verdana" w:cs="Arial"/>
          <w:bCs/>
          <w:lang w:eastAsia="es-ES_tradnl"/>
        </w:rPr>
      </w:pPr>
    </w:p>
    <w:p w14:paraId="096E24A8" w14:textId="77777777" w:rsidR="00D4125A" w:rsidRPr="002F7FFD" w:rsidRDefault="00D4125A" w:rsidP="00D4125A">
      <w:pPr>
        <w:spacing w:after="0" w:line="276" w:lineRule="auto"/>
        <w:jc w:val="both"/>
        <w:rPr>
          <w:rFonts w:ascii="Verdana" w:eastAsia="Calibri" w:hAnsi="Verdana" w:cs="Arial"/>
          <w:lang w:eastAsia="es-ES"/>
        </w:rPr>
      </w:pPr>
      <w:r w:rsidRPr="002F7FFD">
        <w:rPr>
          <w:rFonts w:ascii="Verdana" w:eastAsia="Calibri" w:hAnsi="Verdana" w:cs="Arial"/>
          <w:lang w:eastAsia="es-ES"/>
        </w:rPr>
        <w:t xml:space="preserve">Estimada señora Galvis: </w:t>
      </w:r>
    </w:p>
    <w:p w14:paraId="6180FC13" w14:textId="77777777" w:rsidR="00D4125A" w:rsidRPr="002F7FFD" w:rsidRDefault="00D4125A" w:rsidP="00D4125A">
      <w:pPr>
        <w:tabs>
          <w:tab w:val="left" w:pos="3768"/>
        </w:tabs>
        <w:spacing w:after="0" w:line="276" w:lineRule="auto"/>
        <w:jc w:val="both"/>
        <w:rPr>
          <w:rFonts w:ascii="Verdana" w:eastAsia="Calibri" w:hAnsi="Verdana" w:cs="Arial"/>
          <w:color w:val="000000" w:themeColor="text1"/>
          <w:lang w:eastAsia="es-ES"/>
        </w:rPr>
      </w:pPr>
      <w:r w:rsidRPr="002F7FFD">
        <w:rPr>
          <w:rFonts w:ascii="Verdana" w:eastAsia="Calibri" w:hAnsi="Verdana" w:cs="Arial"/>
          <w:color w:val="000000" w:themeColor="text1"/>
          <w:lang w:eastAsia="es-ES"/>
        </w:rPr>
        <w:tab/>
      </w:r>
    </w:p>
    <w:p w14:paraId="2C5343D7" w14:textId="77777777" w:rsidR="00D4125A" w:rsidRPr="00D31E9E" w:rsidRDefault="00D4125A" w:rsidP="00D4125A">
      <w:pPr>
        <w:spacing w:after="0" w:line="276" w:lineRule="auto"/>
        <w:jc w:val="both"/>
        <w:rPr>
          <w:rFonts w:ascii="Verdana" w:eastAsia="Calibri" w:hAnsi="Verdana" w:cs="Vrinda"/>
          <w:lang w:val="es-ES" w:eastAsia="es-ES"/>
        </w:rPr>
      </w:pPr>
      <w:r w:rsidRPr="002F7FFD">
        <w:rPr>
          <w:rFonts w:ascii="Verdana" w:eastAsia="Calibri" w:hAnsi="Verdana" w:cs="Arial"/>
          <w:color w:val="000000" w:themeColor="text1"/>
          <w:lang w:eastAsia="es-ES"/>
        </w:rPr>
        <w:t>En ejercicio de la competencia otorgada por los artículos 3, numeral 5º, y 11, numeral 8º, del Decreto Ley 4170 de 2011,</w:t>
      </w:r>
      <w:r w:rsidRPr="002F7FFD">
        <w:rPr>
          <w:rFonts w:ascii="Verdana" w:eastAsia="Arial MT" w:hAnsi="Verdana" w:cs="Arial MT"/>
          <w:lang w:eastAsia="es-ES"/>
        </w:rPr>
        <w:t xml:space="preserve"> </w:t>
      </w:r>
      <w:r w:rsidRPr="002F7FFD">
        <w:rPr>
          <w:rFonts w:ascii="Verdana" w:hAnsi="Verdana" w:cs="Arial"/>
          <w:color w:val="000000" w:themeColor="text1"/>
        </w:rPr>
        <w:t>así como lo establecido</w:t>
      </w:r>
      <w:r w:rsidRPr="002F7FFD">
        <w:rPr>
          <w:rFonts w:ascii="Verdana" w:hAnsi="Verdana" w:cs="Arial"/>
        </w:rPr>
        <w:t xml:space="preserve"> por la </w:t>
      </w:r>
      <w:r w:rsidRPr="002F7FFD">
        <w:rPr>
          <w:rFonts w:ascii="Verdana" w:eastAsia="Calibri" w:hAnsi="Verdana" w:cs="Times New Roman"/>
          <w:bCs/>
        </w:rPr>
        <w:t xml:space="preserve">Resolución 469 de 2025 </w:t>
      </w:r>
      <w:r w:rsidRPr="002F7FFD">
        <w:rPr>
          <w:rFonts w:ascii="Verdana" w:hAnsi="Verdana" w:cs="Arial"/>
          <w:color w:val="000000" w:themeColor="text1"/>
        </w:rPr>
        <w:t>expedida por esta Entidad</w:t>
      </w:r>
      <w:r w:rsidRPr="002F7FFD">
        <w:rPr>
          <w:rFonts w:ascii="Verdana" w:hAnsi="Verdana" w:cs="Arial"/>
        </w:rPr>
        <w:t xml:space="preserve">, </w:t>
      </w:r>
      <w:r w:rsidRPr="002F7FFD">
        <w:rPr>
          <w:rFonts w:ascii="Verdana" w:eastAsia="Calibri" w:hAnsi="Verdana" w:cs="Arial"/>
          <w:color w:val="000000" w:themeColor="text1"/>
          <w:lang w:eastAsia="es-ES"/>
        </w:rPr>
        <w:t xml:space="preserve">la Agencia Nacional de Contratación Pública – Colombia Compra Eficiente responde su solicitud de concepto </w:t>
      </w:r>
      <w:r>
        <w:rPr>
          <w:rFonts w:ascii="Verdana" w:eastAsia="Calibri" w:hAnsi="Verdana" w:cs="Arial"/>
          <w:color w:val="000000" w:themeColor="text1"/>
          <w:lang w:eastAsia="es-ES"/>
        </w:rPr>
        <w:t>de</w:t>
      </w:r>
      <w:r w:rsidRPr="002F7FFD">
        <w:rPr>
          <w:rFonts w:ascii="Verdana" w:eastAsia="Calibri" w:hAnsi="Verdana" w:cs="Arial"/>
          <w:color w:val="000000" w:themeColor="text1"/>
          <w:lang w:eastAsia="es-ES"/>
        </w:rPr>
        <w:t xml:space="preserve">l </w:t>
      </w:r>
      <w:r>
        <w:rPr>
          <w:rFonts w:ascii="Verdana" w:eastAsia="Calibri" w:hAnsi="Verdana" w:cs="Arial"/>
          <w:color w:val="000000" w:themeColor="text1"/>
          <w:lang w:eastAsia="es-ES"/>
        </w:rPr>
        <w:t xml:space="preserve">15 de mayo </w:t>
      </w:r>
      <w:r w:rsidRPr="002F7FFD">
        <w:rPr>
          <w:rFonts w:ascii="Verdana" w:eastAsia="Calibri" w:hAnsi="Verdana" w:cs="Arial"/>
          <w:color w:val="000000" w:themeColor="text1"/>
          <w:lang w:eastAsia="es-ES"/>
        </w:rPr>
        <w:t>de 2026</w:t>
      </w:r>
      <w:r w:rsidRPr="002F7FFD">
        <w:rPr>
          <w:rFonts w:ascii="Verdana" w:eastAsia="Calibri" w:hAnsi="Verdana" w:cs="Arial"/>
          <w:lang w:eastAsia="es-ES"/>
        </w:rPr>
        <w:t xml:space="preserve"> </w:t>
      </w:r>
      <w:bookmarkStart w:id="1" w:name="_Hlk95313578"/>
      <w:r w:rsidRPr="00D31E9E">
        <w:rPr>
          <w:rFonts w:ascii="Verdana" w:eastAsia="Calibri" w:hAnsi="Verdana" w:cs="Vrinda"/>
          <w:lang w:val="es-ES" w:eastAsia="es-ES"/>
        </w:rPr>
        <w:t xml:space="preserve">identificada el radicado </w:t>
      </w:r>
      <w:r w:rsidRPr="00D31E9E">
        <w:rPr>
          <w:rFonts w:ascii="Verdana" w:eastAsia="Aptos" w:hAnsi="Verdana" w:cs="Times New Roman"/>
          <w:kern w:val="2"/>
          <w14:ligatures w14:val="standardContextual"/>
        </w:rPr>
        <w:t>202616</w:t>
      </w:r>
      <w:r>
        <w:rPr>
          <w:rFonts w:ascii="Verdana" w:eastAsia="Aptos" w:hAnsi="Verdana" w:cs="Times New Roman"/>
          <w:kern w:val="2"/>
          <w14:ligatures w14:val="standardContextual"/>
        </w:rPr>
        <w:t>10231081</w:t>
      </w:r>
      <w:r w:rsidRPr="00D31E9E">
        <w:rPr>
          <w:rFonts w:ascii="Verdana" w:eastAsia="Calibri" w:hAnsi="Verdana" w:cs="Vrinda"/>
          <w:lang w:val="es-ES" w:eastAsia="es-ES"/>
        </w:rPr>
        <w:t>. En dicha petición usted manifiesta lo siguiente:</w:t>
      </w:r>
    </w:p>
    <w:p w14:paraId="115E47E7" w14:textId="77777777" w:rsidR="00D4125A" w:rsidRPr="002F7FFD" w:rsidRDefault="00D4125A" w:rsidP="00D4125A">
      <w:pPr>
        <w:spacing w:after="0" w:line="276" w:lineRule="auto"/>
        <w:jc w:val="both"/>
        <w:rPr>
          <w:rFonts w:ascii="Verdana" w:eastAsia="Calibri" w:hAnsi="Verdana" w:cs="Arial"/>
          <w:i/>
          <w:iCs/>
          <w:lang w:eastAsia="es-ES"/>
        </w:rPr>
      </w:pPr>
    </w:p>
    <w:p w14:paraId="68F9369E" w14:textId="77777777" w:rsidR="00D4125A" w:rsidRPr="002F7FFD" w:rsidRDefault="00D4125A" w:rsidP="00D4125A">
      <w:pPr>
        <w:spacing w:after="0" w:line="240" w:lineRule="auto"/>
        <w:ind w:left="709" w:right="618"/>
        <w:jc w:val="both"/>
        <w:rPr>
          <w:rFonts w:ascii="Verdana" w:hAnsi="Verdana" w:cs="Arial"/>
          <w:sz w:val="20"/>
          <w:szCs w:val="20"/>
        </w:rPr>
      </w:pPr>
      <w:r w:rsidRPr="002F7FFD">
        <w:rPr>
          <w:rFonts w:ascii="Verdana" w:eastAsia="Arial" w:hAnsi="Verdana" w:cs="Arial"/>
          <w:i/>
          <w:color w:val="000000"/>
          <w:sz w:val="20"/>
          <w:szCs w:val="20"/>
        </w:rPr>
        <w:t>“</w:t>
      </w:r>
      <w:bookmarkEnd w:id="1"/>
      <w:r w:rsidRPr="002F7FFD">
        <w:rPr>
          <w:rFonts w:ascii="Verdana" w:hAnsi="Verdana" w:cs="Arial"/>
          <w:sz w:val="20"/>
          <w:szCs w:val="20"/>
        </w:rPr>
        <w:t>(…)</w:t>
      </w:r>
    </w:p>
    <w:p w14:paraId="3BB1331A" w14:textId="77777777" w:rsidR="00D4125A" w:rsidRPr="002F7FFD" w:rsidRDefault="00D4125A" w:rsidP="00D4125A">
      <w:pPr>
        <w:spacing w:after="0" w:line="240" w:lineRule="auto"/>
        <w:ind w:left="709" w:right="618"/>
        <w:jc w:val="both"/>
        <w:rPr>
          <w:rFonts w:ascii="Verdana" w:hAnsi="Verdana" w:cs="Arial"/>
          <w:sz w:val="20"/>
          <w:szCs w:val="20"/>
        </w:rPr>
      </w:pPr>
    </w:p>
    <w:p w14:paraId="18022EE9" w14:textId="77777777" w:rsidR="00D4125A" w:rsidRDefault="00D4125A" w:rsidP="00D4125A">
      <w:pPr>
        <w:spacing w:after="0" w:line="240" w:lineRule="auto"/>
        <w:ind w:left="709" w:right="618"/>
        <w:jc w:val="both"/>
        <w:rPr>
          <w:rFonts w:ascii="Verdana" w:hAnsi="Verdana" w:cs="Arial"/>
          <w:sz w:val="20"/>
          <w:szCs w:val="20"/>
        </w:rPr>
      </w:pPr>
      <w:r w:rsidRPr="00C20072">
        <w:rPr>
          <w:rFonts w:ascii="Verdana" w:hAnsi="Verdana" w:cs="Arial"/>
          <w:sz w:val="20"/>
          <w:szCs w:val="20"/>
        </w:rPr>
        <w:t>A su vez, decreto la siguiente prueba:</w:t>
      </w:r>
    </w:p>
    <w:p w14:paraId="26CE588B" w14:textId="77777777" w:rsidR="00D4125A" w:rsidRPr="00C20072" w:rsidRDefault="00D4125A" w:rsidP="00D4125A">
      <w:pPr>
        <w:spacing w:after="0" w:line="240" w:lineRule="auto"/>
        <w:ind w:left="709" w:right="618"/>
        <w:jc w:val="both"/>
        <w:rPr>
          <w:rFonts w:ascii="Verdana" w:hAnsi="Verdana" w:cs="Arial"/>
          <w:sz w:val="20"/>
          <w:szCs w:val="20"/>
        </w:rPr>
      </w:pPr>
    </w:p>
    <w:p w14:paraId="5527934D" w14:textId="77777777" w:rsidR="00D4125A" w:rsidRPr="00C20072" w:rsidRDefault="00D4125A" w:rsidP="00D4125A">
      <w:pPr>
        <w:spacing w:after="0" w:line="240" w:lineRule="auto"/>
        <w:ind w:left="709" w:right="618"/>
        <w:jc w:val="both"/>
        <w:rPr>
          <w:rFonts w:ascii="Verdana" w:hAnsi="Verdana" w:cs="Arial"/>
          <w:sz w:val="20"/>
          <w:szCs w:val="20"/>
        </w:rPr>
      </w:pPr>
      <w:r w:rsidRPr="00C20072">
        <w:rPr>
          <w:rFonts w:ascii="Verdana" w:hAnsi="Verdana" w:cs="Arial"/>
          <w:sz w:val="20"/>
          <w:szCs w:val="20"/>
        </w:rPr>
        <w:t xml:space="preserve">1. En contratos de obra pública relacionados con mantenimiento estructural o intervenciones locativas en edificaciones administrativas existentes, ¿es </w:t>
      </w:r>
      <w:r w:rsidRPr="00C20072">
        <w:rPr>
          <w:rFonts w:ascii="Verdana" w:hAnsi="Verdana" w:cs="Arial"/>
          <w:sz w:val="20"/>
          <w:szCs w:val="20"/>
        </w:rPr>
        <w:lastRenderedPageBreak/>
        <w:t>obligatorio incluir el componente de Administración, Imprevistos y Utilidad (AIU) como rubro independiente dentro del presupuesto oficial, o puede estar incorporado dentro de los precios unitarios, siempre que se encuentre debidamente soportado en los estudios previos?,</w:t>
      </w:r>
    </w:p>
    <w:p w14:paraId="6A4AE3C3" w14:textId="77777777" w:rsidR="00D4125A" w:rsidRPr="002F7FFD" w:rsidRDefault="00D4125A" w:rsidP="00D4125A">
      <w:pPr>
        <w:spacing w:after="0" w:line="240" w:lineRule="auto"/>
        <w:ind w:left="709" w:right="618"/>
        <w:jc w:val="both"/>
        <w:rPr>
          <w:rFonts w:ascii="Verdana" w:hAnsi="Verdana" w:cs="Arial"/>
          <w:sz w:val="20"/>
          <w:szCs w:val="20"/>
        </w:rPr>
      </w:pPr>
      <w:r w:rsidRPr="00C20072">
        <w:rPr>
          <w:rFonts w:ascii="Verdana" w:hAnsi="Verdana" w:cs="Arial"/>
          <w:sz w:val="20"/>
          <w:szCs w:val="20"/>
        </w:rPr>
        <w:t xml:space="preserve">2. En caso afirmativo informar </w:t>
      </w:r>
      <w:proofErr w:type="spellStart"/>
      <w:r w:rsidRPr="00C20072">
        <w:rPr>
          <w:rFonts w:ascii="Verdana" w:hAnsi="Verdana" w:cs="Arial"/>
          <w:sz w:val="20"/>
          <w:szCs w:val="20"/>
        </w:rPr>
        <w:t>și</w:t>
      </w:r>
      <w:proofErr w:type="spellEnd"/>
      <w:r w:rsidRPr="00C20072">
        <w:rPr>
          <w:rFonts w:ascii="Verdana" w:hAnsi="Verdana" w:cs="Arial"/>
          <w:sz w:val="20"/>
          <w:szCs w:val="20"/>
        </w:rPr>
        <w:t xml:space="preserve"> existen excepciones a la norma?</w:t>
      </w:r>
      <w:r w:rsidRPr="002F7FFD">
        <w:rPr>
          <w:rFonts w:ascii="Verdana" w:hAnsi="Verdana" w:cs="Arial"/>
          <w:sz w:val="20"/>
          <w:szCs w:val="20"/>
        </w:rPr>
        <w:t>”</w:t>
      </w:r>
    </w:p>
    <w:p w14:paraId="5610942B" w14:textId="77777777" w:rsidR="00D4125A" w:rsidRPr="00B5441E" w:rsidRDefault="00D4125A" w:rsidP="00D4125A">
      <w:pPr>
        <w:spacing w:after="0" w:line="240" w:lineRule="auto"/>
        <w:ind w:left="709" w:right="709"/>
        <w:jc w:val="both"/>
        <w:rPr>
          <w:rFonts w:ascii="Verdana" w:hAnsi="Verdana"/>
        </w:rPr>
      </w:pPr>
    </w:p>
    <w:p w14:paraId="551117C7" w14:textId="77777777" w:rsidR="00D4125A" w:rsidRPr="002F7FFD" w:rsidRDefault="00D4125A" w:rsidP="00D4125A">
      <w:pPr>
        <w:spacing w:after="120" w:line="276" w:lineRule="auto"/>
        <w:ind w:firstLine="709"/>
        <w:jc w:val="both"/>
        <w:rPr>
          <w:rFonts w:ascii="Verdana" w:eastAsia="Calibri" w:hAnsi="Verdana" w:cs="Arial"/>
          <w:color w:val="000000"/>
          <w:lang w:eastAsia="es-ES"/>
        </w:rPr>
      </w:pPr>
      <w:r w:rsidRPr="002F7FFD">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F7FFD">
        <w:rPr>
          <w:rFonts w:ascii="Verdana" w:eastAsia="Calibri" w:hAnsi="Verdana" w:cs="Arial"/>
          <w:color w:val="000000"/>
          <w:szCs w:val="24"/>
          <w:lang w:eastAsia="es-ES_tradnl"/>
        </w:rPr>
        <w:tab/>
      </w:r>
    </w:p>
    <w:p w14:paraId="0BCA0530" w14:textId="77777777" w:rsidR="00D4125A" w:rsidRPr="002F7FFD" w:rsidRDefault="00D4125A" w:rsidP="00D4125A">
      <w:pPr>
        <w:spacing w:after="120" w:line="276" w:lineRule="auto"/>
        <w:ind w:firstLine="709"/>
        <w:jc w:val="both"/>
        <w:rPr>
          <w:rFonts w:ascii="Verdana" w:eastAsia="Calibri" w:hAnsi="Verdana" w:cs="Arial"/>
          <w:color w:val="000000"/>
          <w:lang w:eastAsia="es-ES"/>
        </w:rPr>
      </w:pPr>
      <w:r w:rsidRPr="002F7FFD">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2F7FFD">
        <w:rPr>
          <w:rFonts w:ascii="Verdana" w:eastAsia="Calibri" w:hAnsi="Verdana" w:cs="Arial"/>
          <w:color w:val="7030A0"/>
          <w:lang w:eastAsia="es-ES"/>
        </w:rPr>
        <w:t xml:space="preserve"> </w:t>
      </w:r>
      <w:r w:rsidRPr="002F7FFD">
        <w:rPr>
          <w:rFonts w:ascii="Verdana" w:eastAsia="Calibri" w:hAnsi="Verdana" w:cs="Arial"/>
          <w:color w:val="000000"/>
          <w:lang w:eastAsia="es-ES"/>
        </w:rPr>
        <w:t>problemas</w:t>
      </w:r>
      <w:r w:rsidRPr="002F7FFD">
        <w:rPr>
          <w:rFonts w:ascii="Verdana" w:eastAsia="Calibri" w:hAnsi="Verdana" w:cs="Arial"/>
          <w:color w:val="7030A0"/>
          <w:lang w:eastAsia="es-ES"/>
        </w:rPr>
        <w:t xml:space="preserve"> </w:t>
      </w:r>
      <w:r w:rsidRPr="002F7FFD">
        <w:rPr>
          <w:rFonts w:ascii="Verdana" w:eastAsia="Calibri" w:hAnsi="Verdana" w:cs="Arial"/>
          <w:color w:val="000000"/>
          <w:lang w:eastAsia="es-ES"/>
        </w:rPr>
        <w:t>jurídicos</w:t>
      </w:r>
      <w:r w:rsidRPr="002F7FFD">
        <w:rPr>
          <w:rFonts w:ascii="Verdana" w:eastAsia="Calibri" w:hAnsi="Verdana" w:cs="Arial"/>
          <w:color w:val="7030A0"/>
          <w:lang w:eastAsia="es-ES"/>
        </w:rPr>
        <w:t xml:space="preserve"> </w:t>
      </w:r>
      <w:r w:rsidRPr="002F7FFD">
        <w:rPr>
          <w:rFonts w:ascii="Verdana" w:eastAsia="Calibri" w:hAnsi="Verdana" w:cs="Arial"/>
          <w:color w:val="000000"/>
          <w:lang w:eastAsia="es-ES"/>
        </w:rPr>
        <w:t xml:space="preserve">de su consulta.  </w:t>
      </w:r>
    </w:p>
    <w:p w14:paraId="6035B862" w14:textId="77777777" w:rsidR="00D4125A" w:rsidRPr="002F7FFD" w:rsidRDefault="00D4125A" w:rsidP="00D4125A">
      <w:pPr>
        <w:spacing w:after="0" w:line="276" w:lineRule="auto"/>
        <w:jc w:val="both"/>
        <w:rPr>
          <w:rFonts w:ascii="Verdana" w:eastAsia="Calibri" w:hAnsi="Verdana" w:cs="Arial"/>
          <w:color w:val="000000"/>
          <w:lang w:eastAsia="es-ES"/>
        </w:rPr>
      </w:pPr>
    </w:p>
    <w:p w14:paraId="07EF7F6A" w14:textId="77777777" w:rsidR="00D4125A" w:rsidRPr="002F7FFD" w:rsidRDefault="00D4125A" w:rsidP="00D4125A">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2F7FFD">
        <w:rPr>
          <w:rFonts w:ascii="Verdana" w:eastAsia="Century Gothic" w:hAnsi="Verdana" w:cs="Century Gothic"/>
          <w:b/>
          <w:bCs/>
        </w:rPr>
        <w:t>Problemas planteados:</w:t>
      </w:r>
    </w:p>
    <w:p w14:paraId="09F7C9FF" w14:textId="77777777" w:rsidR="00D4125A" w:rsidRPr="002F7FFD" w:rsidRDefault="00D4125A" w:rsidP="00D4125A">
      <w:pPr>
        <w:tabs>
          <w:tab w:val="left" w:pos="426"/>
        </w:tabs>
        <w:spacing w:after="0" w:line="276" w:lineRule="auto"/>
        <w:jc w:val="both"/>
        <w:rPr>
          <w:rFonts w:ascii="Verdana" w:eastAsia="Century Gothic" w:hAnsi="Verdana" w:cs="Century Gothic"/>
        </w:rPr>
      </w:pPr>
    </w:p>
    <w:p w14:paraId="020CEFDE" w14:textId="737811A5" w:rsidR="00D4125A" w:rsidRPr="00910F86" w:rsidRDefault="00D4125A" w:rsidP="00D4125A">
      <w:pPr>
        <w:spacing w:after="0" w:line="276" w:lineRule="auto"/>
        <w:jc w:val="both"/>
        <w:rPr>
          <w:rFonts w:ascii="Verdana" w:eastAsia="Century Gothic" w:hAnsi="Verdana" w:cs="Century Gothic"/>
        </w:rPr>
      </w:pPr>
      <w:r w:rsidRPr="002F7FFD">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w:t>
      </w:r>
      <w:r w:rsidRPr="001900F5">
        <w:rPr>
          <w:rFonts w:ascii="Verdana" w:eastAsia="Century Gothic" w:hAnsi="Verdana" w:cs="Century Gothic"/>
        </w:rPr>
        <w:t>¿En los contratos de obra pública que tienen por objeto el mantenimiento estructural o la realización de intervenciones locativas en edificaciones administrativas existentes, la entidad estatal está obligada a incorporar el componente de Administración, Imprevistos y Utilidad (AIU) como un rubro independiente dentro del presupuesto oficial, o puede incluirlo dentro de los precios unitarios</w:t>
      </w:r>
      <w:r>
        <w:rPr>
          <w:rFonts w:ascii="Verdana" w:eastAsia="Century Gothic" w:hAnsi="Verdana" w:cs="Century Gothic"/>
        </w:rPr>
        <w:t>?</w:t>
      </w:r>
    </w:p>
    <w:p w14:paraId="455ABBEA" w14:textId="77777777" w:rsidR="00D4125A" w:rsidRPr="002F7FFD" w:rsidRDefault="00D4125A" w:rsidP="00D4125A">
      <w:pPr>
        <w:spacing w:after="0" w:line="276" w:lineRule="auto"/>
        <w:jc w:val="both"/>
        <w:rPr>
          <w:rFonts w:ascii="Verdana" w:eastAsia="Century Gothic" w:hAnsi="Verdana" w:cs="Century Gothic"/>
        </w:rPr>
      </w:pPr>
    </w:p>
    <w:p w14:paraId="44E7D68D" w14:textId="77777777" w:rsidR="00D4125A" w:rsidRPr="008B3C63" w:rsidRDefault="00D4125A" w:rsidP="00D4125A">
      <w:pPr>
        <w:numPr>
          <w:ilvl w:val="0"/>
          <w:numId w:val="17"/>
        </w:numPr>
        <w:tabs>
          <w:tab w:val="left" w:pos="142"/>
          <w:tab w:val="left" w:pos="284"/>
        </w:tabs>
        <w:spacing w:after="0" w:line="276" w:lineRule="auto"/>
        <w:ind w:left="1068"/>
        <w:jc w:val="both"/>
        <w:rPr>
          <w:rFonts w:ascii="Verdana" w:eastAsia="Century Gothic" w:hAnsi="Verdana" w:cs="Century Gothic"/>
          <w:b/>
          <w:bCs/>
          <w:color w:val="000000" w:themeColor="text1"/>
        </w:rPr>
      </w:pPr>
      <w:r w:rsidRPr="008B3C63">
        <w:rPr>
          <w:rFonts w:ascii="Verdana" w:eastAsia="Century Gothic" w:hAnsi="Verdana" w:cs="Century Gothic"/>
          <w:b/>
          <w:bCs/>
          <w:color w:val="000000" w:themeColor="text1"/>
        </w:rPr>
        <w:t>Respuestas:</w:t>
      </w:r>
    </w:p>
    <w:p w14:paraId="0D1EC833" w14:textId="77777777" w:rsidR="00D4125A" w:rsidRPr="0038727B" w:rsidRDefault="00D4125A" w:rsidP="00D4125A">
      <w:pPr>
        <w:tabs>
          <w:tab w:val="left" w:pos="142"/>
          <w:tab w:val="left" w:pos="284"/>
        </w:tabs>
        <w:spacing w:after="0" w:line="276" w:lineRule="auto"/>
        <w:jc w:val="both"/>
        <w:rPr>
          <w:rFonts w:ascii="Verdana" w:eastAsia="Century Gothic" w:hAnsi="Verdana" w:cs="Century Gothic"/>
          <w:b/>
          <w:bCs/>
          <w:color w:val="00B0F0"/>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125A" w:rsidRPr="0038727B" w14:paraId="1CD48D13" w14:textId="77777777" w:rsidTr="000C58FA">
        <w:trPr>
          <w:trHeight w:val="977"/>
          <w:jc w:val="center"/>
        </w:trPr>
        <w:tc>
          <w:tcPr>
            <w:tcW w:w="8828" w:type="dxa"/>
          </w:tcPr>
          <w:p w14:paraId="5D3B2FA0" w14:textId="77777777" w:rsidR="00274D46" w:rsidRPr="00A0389A" w:rsidRDefault="00274D46" w:rsidP="008F1A92">
            <w:pPr>
              <w:spacing w:after="120" w:line="276" w:lineRule="auto"/>
              <w:jc w:val="both"/>
              <w:rPr>
                <w:rFonts w:ascii="Verdana" w:hAnsi="Verdana" w:cs="Arial"/>
                <w:lang w:eastAsia="es-ES"/>
              </w:rPr>
            </w:pPr>
            <w:bookmarkStart w:id="2" w:name="_Hlk171694685"/>
            <w:r w:rsidRPr="00A0389A">
              <w:rPr>
                <w:rFonts w:ascii="Verdana" w:hAnsi="Verdana" w:cs="Arial"/>
                <w:lang w:eastAsia="es-ES"/>
              </w:rPr>
              <w:lastRenderedPageBreak/>
              <w:t xml:space="preserve">La metodología de estipulación del precio a través de la utilización de las variables AIU, como forma de calcular los costos indirectos, no tiene una regulación expresa en el Estatuto General de Contratación de la Administración Pública, en el Decreto 1082 de 2015 o en disposiciones normativas complementarias. Lo que existe es una competencia para las entidades estatales, reconocida en el artículo 40 de la Ley 80 de 1993, en los siguientes términos: “En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Por tanto, </w:t>
            </w:r>
            <w:bookmarkStart w:id="3" w:name="_Hlk191158215"/>
            <w:r w:rsidRPr="00A0389A">
              <w:rPr>
                <w:rFonts w:ascii="Verdana" w:hAnsi="Verdana" w:cs="Arial"/>
                <w:lang w:eastAsia="es-ES"/>
              </w:rPr>
              <w:t>el AIU, como metodología de pacto del precio que proviene de la costumbre mercantil, se puede utilizar en principio en cualquier tipología contractual, aunque lo más común es que se use en los contratos de tracto sucesivo, especialmente en los que se distinguen los precios unitarios.</w:t>
            </w:r>
          </w:p>
          <w:p w14:paraId="429EF61A" w14:textId="5CCAFF95" w:rsidR="00274D46" w:rsidRPr="00A0389A" w:rsidRDefault="00455D2C" w:rsidP="00B5441E">
            <w:pPr>
              <w:spacing w:after="120" w:line="276" w:lineRule="auto"/>
              <w:ind w:firstLine="709"/>
              <w:jc w:val="both"/>
              <w:rPr>
                <w:rFonts w:ascii="Verdana" w:hAnsi="Verdana" w:cs="Arial"/>
                <w:lang w:eastAsia="es-ES"/>
              </w:rPr>
            </w:pPr>
            <w:r>
              <w:rPr>
                <w:rFonts w:ascii="Verdana" w:hAnsi="Verdana" w:cs="Arial"/>
                <w:lang w:eastAsia="es-ES"/>
              </w:rPr>
              <w:t>Ahora bien, l</w:t>
            </w:r>
            <w:r w:rsidR="00274D46" w:rsidRPr="00A0389A">
              <w:rPr>
                <w:rFonts w:ascii="Verdana" w:hAnsi="Verdana" w:cs="Arial"/>
                <w:lang w:eastAsia="es-ES"/>
              </w:rPr>
              <w:t>a determinación de este sistema de estipulación del valor debe ser el resultado de los estudios previos y</w:t>
            </w:r>
            <w:r w:rsidR="00BA043A">
              <w:rPr>
                <w:rFonts w:ascii="Verdana" w:hAnsi="Verdana" w:cs="Arial"/>
                <w:lang w:eastAsia="es-ES"/>
              </w:rPr>
              <w:t>,</w:t>
            </w:r>
            <w:r w:rsidR="00274D46" w:rsidRPr="00A0389A">
              <w:rPr>
                <w:rFonts w:ascii="Verdana" w:hAnsi="Verdana" w:cs="Arial"/>
                <w:lang w:eastAsia="es-ES"/>
              </w:rPr>
              <w:t xml:space="preserve"> especialmente</w:t>
            </w:r>
            <w:r w:rsidR="00BA043A">
              <w:rPr>
                <w:rFonts w:ascii="Verdana" w:hAnsi="Verdana" w:cs="Arial"/>
                <w:lang w:eastAsia="es-ES"/>
              </w:rPr>
              <w:t>,</w:t>
            </w:r>
            <w:r w:rsidR="00274D46" w:rsidRPr="00A0389A">
              <w:rPr>
                <w:rFonts w:ascii="Verdana" w:hAnsi="Verdana" w:cs="Arial"/>
                <w:lang w:eastAsia="es-ES"/>
              </w:rPr>
              <w:t xml:space="preserve">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w:t>
            </w:r>
          </w:p>
          <w:p w14:paraId="67540947" w14:textId="4DCDC404" w:rsidR="00274D46" w:rsidRPr="00A0389A" w:rsidRDefault="00274D46" w:rsidP="00B5441E">
            <w:pPr>
              <w:spacing w:after="120" w:line="276" w:lineRule="auto"/>
              <w:ind w:firstLine="709"/>
              <w:jc w:val="both"/>
              <w:rPr>
                <w:rFonts w:ascii="Verdana" w:hAnsi="Verdana" w:cs="Arial"/>
                <w:lang w:eastAsia="es-ES"/>
              </w:rPr>
            </w:pPr>
            <w:r w:rsidRPr="00A0389A">
              <w:rPr>
                <w:rFonts w:ascii="Verdana" w:hAnsi="Verdana" w:cs="Arial"/>
                <w:lang w:eastAsia="es-ES"/>
              </w:rPr>
              <w:t xml:space="preserve">En consecuencia, no hay </w:t>
            </w:r>
            <w:r w:rsidRPr="00010756">
              <w:rPr>
                <w:rFonts w:ascii="Verdana" w:hAnsi="Verdana" w:cs="Arial"/>
                <w:i/>
                <w:lang w:eastAsia="es-ES"/>
              </w:rPr>
              <w:t>a priori</w:t>
            </w:r>
            <w:r w:rsidRPr="00A0389A">
              <w:rPr>
                <w:rFonts w:ascii="Verdana" w:hAnsi="Verdana" w:cs="Arial"/>
                <w:lang w:eastAsia="es-ES"/>
              </w:rPr>
              <w:t xml:space="preserve"> tipologías contractuales en las que la ley o el reglamento establezcan que se debe utilizar el AIU, así como tampoco hay una determinación única y específica de la forma en la que el AIU debe ser establecido, ya que tal decisión obedece a lo que resulte más conveniente a la entidad estatal, en cumplimiento del principio de planeación.</w:t>
            </w:r>
          </w:p>
          <w:p w14:paraId="1DF4CDB9" w14:textId="48E1919B" w:rsidR="00274D46" w:rsidRPr="00A0389A" w:rsidRDefault="00274D46" w:rsidP="00B5441E">
            <w:pPr>
              <w:snapToGrid w:val="0"/>
              <w:spacing w:after="120" w:line="276" w:lineRule="auto"/>
              <w:ind w:firstLine="709"/>
              <w:jc w:val="both"/>
              <w:rPr>
                <w:rFonts w:ascii="Verdana" w:hAnsi="Verdana" w:cs="Arial"/>
                <w:lang w:eastAsia="es-ES"/>
              </w:rPr>
            </w:pPr>
            <w:r w:rsidRPr="00A0389A">
              <w:rPr>
                <w:rFonts w:ascii="Verdana" w:hAnsi="Verdana" w:cs="Arial"/>
                <w:bCs/>
                <w:szCs w:val="24"/>
                <w:lang w:val="es-ES_tradnl" w:eastAsia="es-ES_tradnl"/>
              </w:rPr>
              <w:t xml:space="preserve">En este contexto, si </w:t>
            </w:r>
            <w:r w:rsidRPr="00A0389A">
              <w:rPr>
                <w:rFonts w:ascii="Verdana" w:hAnsi="Verdana" w:cs="Arial"/>
                <w:lang w:eastAsia="es-ES"/>
              </w:rPr>
              <w:t xml:space="preserve">con base en los estudios del sector la entidad estatal estableció la necesidad de estructurar el valor bajo el sistema de precios unitarios y con el desglose del AIU, el precio se debería pagar con base en el valor de los costos directos incrementados por el porcentaje del AIU, en relación con todas las actividades calculadas bajo este sistema. </w:t>
            </w:r>
          </w:p>
          <w:p w14:paraId="5384FF62" w14:textId="77777777" w:rsidR="00274D46" w:rsidRPr="00A0389A" w:rsidRDefault="00274D46" w:rsidP="00B5441E">
            <w:pPr>
              <w:snapToGrid w:val="0"/>
              <w:spacing w:after="120" w:line="276" w:lineRule="auto"/>
              <w:ind w:firstLine="709"/>
              <w:jc w:val="both"/>
              <w:rPr>
                <w:rFonts w:ascii="Verdana" w:hAnsi="Verdana" w:cs="Arial"/>
                <w:bCs/>
                <w:szCs w:val="24"/>
                <w:lang w:val="es-ES_tradnl" w:eastAsia="es-ES_tradnl"/>
              </w:rPr>
            </w:pPr>
            <w:r w:rsidRPr="00A0389A">
              <w:rPr>
                <w:rFonts w:ascii="Verdana" w:hAnsi="Verdana" w:cs="Arial"/>
                <w:lang w:eastAsia="es-ES"/>
              </w:rPr>
              <w:t xml:space="preserve">Ahora bien, </w:t>
            </w:r>
            <w:r w:rsidRPr="00A0389A">
              <w:rPr>
                <w:rFonts w:ascii="Verdana" w:hAnsi="Verdana" w:cs="Arial"/>
                <w:bCs/>
                <w:szCs w:val="24"/>
                <w:lang w:val="es-ES_tradnl" w:eastAsia="es-ES_tradnl"/>
              </w:rPr>
              <w:t xml:space="preserve">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A0389A">
              <w:rPr>
                <w:rFonts w:ascii="Verdana" w:hAnsi="Verdana" w:cs="Arial"/>
                <w:bCs/>
                <w:i/>
                <w:iCs/>
                <w:szCs w:val="24"/>
                <w:lang w:val="es-ES_tradnl" w:eastAsia="es-ES_tradnl"/>
              </w:rPr>
              <w:t>Administración</w:t>
            </w:r>
            <w:r w:rsidRPr="00A0389A">
              <w:rPr>
                <w:rFonts w:ascii="Verdana" w:hAnsi="Verdana" w:cs="Arial"/>
                <w:bCs/>
                <w:szCs w:val="24"/>
                <w:lang w:val="es-ES_tradnl" w:eastAsia="es-ES_tradnl"/>
              </w:rPr>
              <w:t xml:space="preserve"> o los </w:t>
            </w:r>
            <w:r w:rsidRPr="00A0389A">
              <w:rPr>
                <w:rFonts w:ascii="Verdana" w:hAnsi="Verdana" w:cs="Arial"/>
                <w:bCs/>
                <w:i/>
                <w:iCs/>
                <w:szCs w:val="24"/>
                <w:lang w:val="es-ES_tradnl" w:eastAsia="es-ES_tradnl"/>
              </w:rPr>
              <w:lastRenderedPageBreak/>
              <w:t>Imprevistos</w:t>
            </w:r>
            <w:r w:rsidRPr="00A0389A">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30462FE3" w14:textId="331ABFBD" w:rsidR="00274D46" w:rsidRPr="00A0389A" w:rsidRDefault="00274D46" w:rsidP="00B5441E">
            <w:pPr>
              <w:snapToGrid w:val="0"/>
              <w:spacing w:after="120" w:line="276" w:lineRule="auto"/>
              <w:ind w:firstLine="709"/>
              <w:jc w:val="both"/>
              <w:rPr>
                <w:rFonts w:ascii="Verdana" w:hAnsi="Verdana" w:cs="Arial"/>
                <w:lang w:eastAsia="es-ES"/>
              </w:rPr>
            </w:pPr>
            <w:r w:rsidRPr="00A0389A">
              <w:rPr>
                <w:rFonts w:ascii="Verdana" w:hAnsi="Verdana" w:cs="Arial"/>
                <w:lang w:eastAsia="es-ES"/>
              </w:rPr>
              <w:t xml:space="preserve">Sin embargo, en la práctica de las </w:t>
            </w:r>
            <w:r w:rsidR="00B15E14" w:rsidRPr="00A0389A">
              <w:rPr>
                <w:rFonts w:ascii="Verdana" w:hAnsi="Verdana" w:cs="Arial"/>
                <w:lang w:eastAsia="es-ES"/>
              </w:rPr>
              <w:t xml:space="preserve">entidades estatales </w:t>
            </w:r>
            <w:r w:rsidRPr="00A0389A">
              <w:rPr>
                <w:rFonts w:ascii="Verdana" w:hAnsi="Verdana" w:cs="Arial"/>
                <w:lang w:eastAsia="es-ES"/>
              </w:rPr>
              <w:t xml:space="preserve">se estima un AIU con la finalidad de establecer un precio más estable. Así las cosas, las partes asumen los riesgos inherentes a esta forma de pactar el precio, entendiendo aceptados los </w:t>
            </w:r>
            <w:proofErr w:type="spellStart"/>
            <w:r w:rsidRPr="00A0389A">
              <w:rPr>
                <w:rFonts w:ascii="Verdana" w:hAnsi="Verdana" w:cs="Arial"/>
                <w:lang w:eastAsia="es-ES"/>
              </w:rPr>
              <w:t>áleas</w:t>
            </w:r>
            <w:proofErr w:type="spellEnd"/>
            <w:r w:rsidRPr="00A0389A">
              <w:rPr>
                <w:rFonts w:ascii="Verdana" w:hAnsi="Verdana" w:cs="Arial"/>
                <w:lang w:eastAsia="es-ES"/>
              </w:rPr>
              <w:t xml:space="preserve"> normales que se presenten en la ejecución del contrato, de manera que, aunque el contratista incurra en mayores costos de los ítems incluidos en la </w:t>
            </w:r>
            <w:r w:rsidRPr="00A0389A">
              <w:rPr>
                <w:rFonts w:ascii="Verdana" w:hAnsi="Verdana" w:cs="Arial"/>
                <w:i/>
                <w:iCs/>
                <w:lang w:eastAsia="es-ES"/>
              </w:rPr>
              <w:t xml:space="preserve">Administración </w:t>
            </w:r>
            <w:r w:rsidRPr="00A0389A">
              <w:rPr>
                <w:rFonts w:ascii="Verdana" w:hAnsi="Verdana" w:cs="Arial"/>
                <w:lang w:eastAsia="es-ES"/>
              </w:rPr>
              <w:t xml:space="preserve">o en más gastos de </w:t>
            </w:r>
            <w:r w:rsidRPr="00A0389A">
              <w:rPr>
                <w:rFonts w:ascii="Verdana" w:hAnsi="Verdana" w:cs="Arial"/>
                <w:i/>
                <w:iCs/>
                <w:lang w:eastAsia="es-ES"/>
              </w:rPr>
              <w:t>Imprevistos</w:t>
            </w:r>
            <w:r w:rsidRPr="00A0389A">
              <w:rPr>
                <w:rFonts w:ascii="Verdana" w:hAnsi="Verdana" w:cs="Arial"/>
                <w:lang w:eastAsia="es-ES"/>
              </w:rPr>
              <w:t xml:space="preserve"> al presentar su oferta, o que estos disminuyan, aparezcan algunos nuevos o desaparezcan algunos de ellos, el valor se mantenga invariable.</w:t>
            </w:r>
          </w:p>
          <w:bookmarkEnd w:id="3"/>
          <w:p w14:paraId="70F3125C" w14:textId="0FFF2D5C" w:rsidR="00D4125A" w:rsidRPr="00D426B8" w:rsidRDefault="009E7CFE" w:rsidP="00B5441E">
            <w:pPr>
              <w:spacing w:after="120" w:line="276" w:lineRule="auto"/>
              <w:ind w:firstLine="709"/>
              <w:jc w:val="both"/>
              <w:rPr>
                <w:rFonts w:ascii="Verdana" w:hAnsi="Verdana" w:cs="Arial"/>
                <w:color w:val="000000" w:themeColor="text1"/>
                <w:lang w:eastAsia="es-ES"/>
              </w:rPr>
            </w:pPr>
            <w:r>
              <w:rPr>
                <w:rFonts w:ascii="Verdana" w:hAnsi="Verdana" w:cs="Arial"/>
                <w:color w:val="000000" w:themeColor="text1"/>
                <w:lang w:eastAsia="es-ES"/>
              </w:rPr>
              <w:t>En este punto es importante hacer el análisis respecto a l</w:t>
            </w:r>
            <w:r w:rsidR="00D4125A" w:rsidRPr="009B7931">
              <w:rPr>
                <w:rFonts w:ascii="Verdana" w:hAnsi="Verdana" w:cs="Arial"/>
                <w:color w:val="000000" w:themeColor="text1"/>
                <w:lang w:eastAsia="es-ES"/>
              </w:rPr>
              <w:t xml:space="preserve">a incorporación del componente de Administración, Imprevistos y Utilidad (AIU) como un rubro independiente dentro del presupuesto oficial en los contratos de obra pública cuyo objeto consiste en el mantenimiento estructural o la realización de intervenciones locativas en edificaciones administrativas </w:t>
            </w:r>
            <w:r w:rsidR="00B00BA7">
              <w:rPr>
                <w:rFonts w:ascii="Verdana" w:hAnsi="Verdana" w:cs="Arial"/>
                <w:color w:val="000000" w:themeColor="text1"/>
                <w:lang w:eastAsia="es-ES"/>
              </w:rPr>
              <w:t>en</w:t>
            </w:r>
            <w:r w:rsidR="00D4125A" w:rsidRPr="009B7931">
              <w:rPr>
                <w:rFonts w:ascii="Verdana" w:hAnsi="Verdana" w:cs="Arial"/>
                <w:color w:val="000000" w:themeColor="text1"/>
                <w:lang w:eastAsia="es-ES"/>
              </w:rPr>
              <w:t xml:space="preserve"> los Documentos Tipo</w:t>
            </w:r>
            <w:r w:rsidR="00B00BA7">
              <w:rPr>
                <w:rFonts w:ascii="Verdana" w:hAnsi="Verdana" w:cs="Arial"/>
                <w:color w:val="000000" w:themeColor="text1"/>
                <w:lang w:eastAsia="es-ES"/>
              </w:rPr>
              <w:t xml:space="preserve">. </w:t>
            </w:r>
            <w:r w:rsidR="004F75DD">
              <w:rPr>
                <w:rFonts w:ascii="Verdana" w:hAnsi="Verdana" w:cs="Arial"/>
                <w:color w:val="000000" w:themeColor="text1"/>
                <w:lang w:eastAsia="es-ES"/>
              </w:rPr>
              <w:t xml:space="preserve">Para tales efectos, lo primero es determinar si a un determinado contrato le aplica Documentos Tipo o no. </w:t>
            </w:r>
          </w:p>
          <w:p w14:paraId="3814385A" w14:textId="70BE434D" w:rsidR="00D4125A" w:rsidRPr="00DE373E" w:rsidRDefault="00D4125A" w:rsidP="00B5441E">
            <w:pPr>
              <w:spacing w:after="120" w:line="276" w:lineRule="auto"/>
              <w:ind w:firstLine="709"/>
              <w:jc w:val="both"/>
              <w:rPr>
                <w:rFonts w:ascii="Verdana" w:hAnsi="Verdana" w:cs="Arial"/>
                <w:color w:val="000000" w:themeColor="text1"/>
                <w:lang w:val="es-ES" w:eastAsia="es-ES"/>
              </w:rPr>
            </w:pPr>
            <w:r w:rsidRPr="00DE373E">
              <w:rPr>
                <w:rFonts w:ascii="Verdana" w:hAnsi="Verdana" w:cs="Arial"/>
                <w:color w:val="000000" w:themeColor="text1"/>
                <w:lang w:val="es-ES" w:eastAsia="es-ES"/>
              </w:rPr>
              <w:t>En efecto, el hecho de que un contrato tenga por objeto la ejecución de trabajos materiales sobre bienes inmuebles permite calificarlo, en principio, como un contrato de obra pública en los términos del numeral 1 del artículo 32 de la Ley 80 de 1993. No obstante, esta sola circunstancia no determina que el proceso de contratación deba sujetarse automáticamente a los Documentos Tipo expedidos por la Agencia Nacional de Contratación Pública – Colombia Compra Eficiente.</w:t>
            </w:r>
          </w:p>
          <w:p w14:paraId="7AC2A1F1" w14:textId="77777777" w:rsidR="00D4125A" w:rsidRDefault="00D4125A" w:rsidP="00B5441E">
            <w:pPr>
              <w:spacing w:after="120" w:line="276" w:lineRule="auto"/>
              <w:ind w:firstLine="709"/>
              <w:jc w:val="both"/>
              <w:rPr>
                <w:rFonts w:ascii="Verdana" w:hAnsi="Verdana" w:cs="Arial"/>
                <w:color w:val="000000" w:themeColor="text1"/>
                <w:lang w:val="es-ES" w:eastAsia="es-ES"/>
              </w:rPr>
            </w:pPr>
            <w:r w:rsidRPr="00DE373E">
              <w:rPr>
                <w:rFonts w:ascii="Verdana" w:hAnsi="Verdana" w:cs="Arial"/>
                <w:color w:val="000000" w:themeColor="text1"/>
                <w:lang w:val="es-ES" w:eastAsia="es-ES"/>
              </w:rPr>
              <w:t>Para que dichos documentos resulten obligatorios, la entidad deberá establecer, durante la etapa de planeación, si el objeto contractual corresponde materialmente a alguna de las actividades previstas en la Matriz 1 – Experiencia del Sector Institucional y si el proceso se adelanta mediante alguna de las modalidades de selección respecto de las cuales fueron adoptados los Documentos Tipo. En otras palabras, la aplicación de los Documentos Tipo no depende de la denominación asignada al contrato, sino de la verificación material de que las actividades objeto del proceso se subsumen en las tipologías de infraestructura estandarizadas por las resoluciones expedidas por esta Agencia.</w:t>
            </w:r>
          </w:p>
          <w:p w14:paraId="17CBA52C" w14:textId="77777777" w:rsidR="00D4125A" w:rsidRPr="003C082F" w:rsidRDefault="00D4125A" w:rsidP="00B5441E">
            <w:pPr>
              <w:spacing w:after="120" w:line="276" w:lineRule="auto"/>
              <w:ind w:firstLine="709"/>
              <w:jc w:val="both"/>
              <w:rPr>
                <w:rFonts w:ascii="Verdana" w:hAnsi="Verdana" w:cs="Arial"/>
                <w:color w:val="000000" w:themeColor="text1"/>
                <w:lang w:val="es-ES" w:eastAsia="es-ES"/>
              </w:rPr>
            </w:pPr>
            <w:r w:rsidRPr="003C082F">
              <w:rPr>
                <w:rFonts w:ascii="Verdana" w:hAnsi="Verdana" w:cs="Arial"/>
                <w:color w:val="000000" w:themeColor="text1"/>
                <w:lang w:val="es-ES" w:eastAsia="es-ES"/>
              </w:rPr>
              <w:lastRenderedPageBreak/>
              <w:t>Una vez establecido que el proceso contractual se encuentra comprendido dentro del ámbito de aplicación de los Documentos Tipo, la entidad estatal está obligada a incorporarlos en su integridad, respetando el principio de inalterabilidad previsto en el artículo 1 de la Ley 2022 de 2020 y desarrollado en las resoluciones que los adoptan. Ello implica que la entidad únicamente podrá diligenciar o modificar aquellos aspectos expresamente habilitados por los propios Documentos Tipo, sin alterar las reglas que estos establecen como obligatorias.</w:t>
            </w:r>
          </w:p>
          <w:p w14:paraId="7A8C3DCE" w14:textId="77777777" w:rsidR="00D4125A" w:rsidRPr="00DE373E" w:rsidRDefault="00D4125A" w:rsidP="00B5441E">
            <w:pPr>
              <w:spacing w:after="120" w:line="276" w:lineRule="auto"/>
              <w:ind w:firstLine="709"/>
              <w:jc w:val="both"/>
              <w:rPr>
                <w:rFonts w:ascii="Verdana" w:hAnsi="Verdana" w:cs="Arial"/>
                <w:color w:val="000000" w:themeColor="text1"/>
                <w:lang w:val="es-ES" w:eastAsia="es-ES"/>
              </w:rPr>
            </w:pPr>
            <w:r w:rsidRPr="00EF5BF8">
              <w:rPr>
                <w:rFonts w:ascii="Verdana" w:hAnsi="Verdana" w:cs="Arial"/>
                <w:color w:val="000000" w:themeColor="text1"/>
                <w:lang w:eastAsia="es-ES"/>
              </w:rPr>
              <w:t>En este contexto, el numeral 4.1 del Documento Base de los Documentos Tipo de Licitación de Obra Pública de Infraestructura Social – versión 2 reconoce a la entidad un margen de configuración para definir la forma de pago del contrato. Así, podrá estructurar el proceso mediante precio global, llave en mano, precios unitarios, administración delegada, reembolso de gastos o cualquier otra modalidad que resulte adecuada para satisfacer la necesidad pública, siempre que dicha decisión se encuentre debidamente soportada en los estudios y documentos previos, sea consistente con la naturaleza del objeto contractual y guarde correspondencia con el Anexo Técnico y el Formulario del Presupuesto Oficial.</w:t>
            </w:r>
          </w:p>
          <w:p w14:paraId="712C0A35" w14:textId="77777777" w:rsidR="00D4125A" w:rsidRPr="00D41858" w:rsidRDefault="00D4125A" w:rsidP="00B5441E">
            <w:pPr>
              <w:spacing w:after="120" w:line="276" w:lineRule="auto"/>
              <w:ind w:firstLine="709"/>
              <w:jc w:val="both"/>
              <w:rPr>
                <w:rFonts w:ascii="Verdana" w:hAnsi="Verdana" w:cs="Arial"/>
                <w:color w:val="000000" w:themeColor="text1"/>
                <w:lang w:val="es-ES" w:eastAsia="es-ES"/>
              </w:rPr>
            </w:pPr>
            <w:r w:rsidRPr="0080117D">
              <w:rPr>
                <w:rFonts w:ascii="Verdana" w:hAnsi="Verdana" w:cs="Arial"/>
                <w:color w:val="000000" w:themeColor="text1"/>
                <w:lang w:val="es-ES" w:eastAsia="es-ES"/>
              </w:rPr>
              <w:t>S</w:t>
            </w:r>
            <w:r w:rsidRPr="00D41858">
              <w:rPr>
                <w:rFonts w:ascii="Verdana" w:hAnsi="Verdana" w:cs="Arial"/>
                <w:color w:val="000000" w:themeColor="text1"/>
                <w:lang w:val="es-ES" w:eastAsia="es-ES"/>
              </w:rPr>
              <w:t>in embargo, la facultad de seleccionar la modalidad de pago no significa que la entidad pueda modificar libremente las reglas de estructuración económica previstas en los Documentos Tipo para cada modalidad. Por el contrario, una vez elegida la modalidad de precios unitarios, la entidad debe observar íntegramente las instrucciones contenidas en el Documento Base y en el Formulario 1 – Formulario del Presupuesto Oficial.</w:t>
            </w:r>
          </w:p>
          <w:p w14:paraId="4190958E" w14:textId="77777777" w:rsidR="00D4125A" w:rsidRPr="00D41858" w:rsidRDefault="00D4125A" w:rsidP="00B5441E">
            <w:pPr>
              <w:spacing w:after="120" w:line="276" w:lineRule="auto"/>
              <w:ind w:firstLine="709"/>
              <w:jc w:val="both"/>
              <w:rPr>
                <w:rFonts w:ascii="Verdana" w:hAnsi="Verdana" w:cs="Arial"/>
                <w:color w:val="000000" w:themeColor="text1"/>
                <w:lang w:val="es-ES" w:eastAsia="es-ES"/>
              </w:rPr>
            </w:pPr>
            <w:r w:rsidRPr="00D41858">
              <w:rPr>
                <w:rFonts w:ascii="Verdana" w:hAnsi="Verdana" w:cs="Arial"/>
                <w:color w:val="000000" w:themeColor="text1"/>
                <w:lang w:val="es-ES" w:eastAsia="es-ES"/>
              </w:rPr>
              <w:t>En particular, el numeral 4.1.1 "A.I.U." establece expresamente que, cuando el proceso de contratación se estructure bajo el sistema de precios unitarios, el proponente deberá calcular los gastos correspondientes a la Administración, los Imprevistos y la Utilidad. A su vez, el Formulario 1 dispone que deberán diligenciarse de manera expresa los porcentajes correspondientes a cada uno de estos componentes y el porcentaje total del AIU. Tales instrucciones no constituyen simples recomendaciones o criterios orientadores, sino disposiciones obligatorias cuyo contenido no puede ser alterado por la entidad contratante, precisamente porque hacen parte del contenido estandarizado de los Documentos Tipo.</w:t>
            </w:r>
          </w:p>
          <w:p w14:paraId="62C63DA1" w14:textId="77777777" w:rsidR="00D4125A" w:rsidRPr="00D41858" w:rsidRDefault="00D4125A" w:rsidP="00B5441E">
            <w:pPr>
              <w:spacing w:after="120" w:line="276" w:lineRule="auto"/>
              <w:ind w:firstLine="709"/>
              <w:jc w:val="both"/>
              <w:rPr>
                <w:rFonts w:ascii="Verdana" w:hAnsi="Verdana" w:cs="Arial"/>
                <w:color w:val="000000" w:themeColor="text1"/>
                <w:lang w:val="es-ES" w:eastAsia="es-ES"/>
              </w:rPr>
            </w:pPr>
            <w:r w:rsidRPr="00D41858">
              <w:rPr>
                <w:rFonts w:ascii="Verdana" w:hAnsi="Verdana" w:cs="Arial"/>
                <w:color w:val="000000" w:themeColor="text1"/>
                <w:lang w:val="es-ES" w:eastAsia="es-ES"/>
              </w:rPr>
              <w:lastRenderedPageBreak/>
              <w:t>En consecuencia, cuando el proceso de contratación esté sometido a los Documentos Tipo y el presupuesto oficial se estructure mediante el sistema de precios unitarios, la entidad estatal no podrá optar por incorporar el AIU de manera implícita dentro de los análisis de precios unitarios ni absorberlo dentro del valor de cada ítem presupuestal, pues ello desconocería la estructura económica prevista en el Documento Base y en el Formulario del Presupuesto Oficial. En este supuesto, el AIU debe aparecer discriminado mediante los porcentajes correspondientes a la Administración, los Imprevistos y la Utilidad, de conformidad con las instrucciones obligatorias contenidas en los Documentos Tipo.</w:t>
            </w:r>
          </w:p>
          <w:p w14:paraId="6A37298B" w14:textId="5AD7DE39" w:rsidR="00D4125A" w:rsidRPr="00D41858" w:rsidRDefault="00D4125A" w:rsidP="00B5441E">
            <w:pPr>
              <w:spacing w:after="120" w:line="276" w:lineRule="auto"/>
              <w:ind w:firstLine="709"/>
              <w:jc w:val="both"/>
              <w:rPr>
                <w:rFonts w:ascii="Verdana" w:hAnsi="Verdana" w:cs="Arial"/>
                <w:color w:val="000000" w:themeColor="text1"/>
                <w:lang w:val="es-ES" w:eastAsia="es-ES"/>
              </w:rPr>
            </w:pPr>
            <w:r w:rsidRPr="00D41858">
              <w:rPr>
                <w:rFonts w:ascii="Verdana" w:hAnsi="Verdana" w:cs="Arial"/>
                <w:color w:val="000000" w:themeColor="text1"/>
                <w:lang w:val="es-ES" w:eastAsia="es-ES"/>
              </w:rPr>
              <w:t xml:space="preserve">Lo anterior no significa que el ordenamiento jurídico imponga, con carácter general, que todo contrato de obra pública deba estructurarse bajo un esquema en el que el AIU aparezca discriminado como un rubro independiente. Como se </w:t>
            </w:r>
            <w:r w:rsidR="00D73B09">
              <w:rPr>
                <w:rFonts w:ascii="Verdana" w:hAnsi="Verdana" w:cs="Arial"/>
                <w:color w:val="000000" w:themeColor="text1"/>
                <w:lang w:val="es-ES" w:eastAsia="es-ES"/>
              </w:rPr>
              <w:t>expondrá</w:t>
            </w:r>
            <w:r w:rsidRPr="00D41858">
              <w:rPr>
                <w:rFonts w:ascii="Verdana" w:hAnsi="Verdana" w:cs="Arial"/>
                <w:color w:val="000000" w:themeColor="text1"/>
                <w:lang w:val="es-ES" w:eastAsia="es-ES"/>
              </w:rPr>
              <w:t xml:space="preserve"> en el presente concepto, ni la Ley 80 de 1993, ni la Ley 1150 de 2007, ni el Decreto 1082 de 2015 regulan una metodología única para la estructuración del precio de los contratos de obra pública. Incluso, la jurisprudencia de la Sección Tercera del Consejo de Estado y la Sala de Consulta y Servicio Civil han reconocido que el AIU puede presentarse discriminado como un porcentaje independiente o incorporado dentro del valor de los precios unitarios, dependiendo de la forma en que las partes hayan estructurado el precio del contrato y de las reglas que rijan el respectivo proceso contractual.</w:t>
            </w:r>
          </w:p>
          <w:p w14:paraId="6141B474" w14:textId="77777777" w:rsidR="00D4125A" w:rsidRPr="00D41858" w:rsidRDefault="00D4125A" w:rsidP="00B5441E">
            <w:pPr>
              <w:spacing w:after="120" w:line="276" w:lineRule="auto"/>
              <w:ind w:firstLine="709"/>
              <w:jc w:val="both"/>
              <w:rPr>
                <w:rFonts w:ascii="Verdana" w:hAnsi="Verdana" w:cs="Arial"/>
                <w:color w:val="000000" w:themeColor="text1"/>
                <w:lang w:val="es-ES" w:eastAsia="es-ES"/>
              </w:rPr>
            </w:pPr>
            <w:r w:rsidRPr="00D41858">
              <w:rPr>
                <w:rFonts w:ascii="Verdana" w:hAnsi="Verdana" w:cs="Arial"/>
                <w:color w:val="000000" w:themeColor="text1"/>
                <w:lang w:val="es-ES" w:eastAsia="es-ES"/>
              </w:rPr>
              <w:t>Por ello, fuera del ámbito de aplicación de los Documentos Tipo, o cuando el proceso no se estructure mediante el sistema de precios unitarios, corresponde a la entidad estatal, en ejercicio de su deber de planeación y de la autonomía que le reconoce el Estatuto General de Contratación de la Administración Pública para configurar la estructura económica del contrato, definir la metodología de formación del precio que resulte más adecuada para satisfacer la necesidad pública. En estos eventos, el AIU podrá formar parte de la estructura económica del contrato conforme al esquema de remuneración adoptado, siempre que dicha decisión se encuentre suficientemente justificada en los estudios previos y garantice el cumplimiento de los principios de planeación, economía, transparencia y responsabilidad.</w:t>
            </w:r>
          </w:p>
          <w:p w14:paraId="30B4A2C1" w14:textId="77777777" w:rsidR="00D4125A" w:rsidRPr="00AA2822" w:rsidRDefault="00D4125A" w:rsidP="00B5441E">
            <w:pPr>
              <w:spacing w:after="120" w:line="276" w:lineRule="auto"/>
              <w:ind w:firstLine="709"/>
              <w:jc w:val="both"/>
              <w:rPr>
                <w:rFonts w:ascii="Verdana" w:hAnsi="Verdana" w:cs="Arial"/>
                <w:color w:val="000000" w:themeColor="text1"/>
                <w:lang w:val="es-ES" w:eastAsia="es-ES"/>
              </w:rPr>
            </w:pPr>
            <w:r w:rsidRPr="00D41858">
              <w:rPr>
                <w:rFonts w:ascii="Verdana" w:hAnsi="Verdana" w:cs="Arial"/>
                <w:color w:val="000000" w:themeColor="text1"/>
                <w:lang w:val="es-ES" w:eastAsia="es-ES"/>
              </w:rPr>
              <w:t xml:space="preserve">En síntesis, la entidad estatal únicamente estará obligada a incorporar el componente de Administración, Imprevistos y Utilidad (AIU) como un rubro </w:t>
            </w:r>
            <w:r w:rsidRPr="00D41858">
              <w:rPr>
                <w:rFonts w:ascii="Verdana" w:hAnsi="Verdana" w:cs="Arial"/>
                <w:color w:val="000000" w:themeColor="text1"/>
                <w:lang w:val="es-ES" w:eastAsia="es-ES"/>
              </w:rPr>
              <w:lastRenderedPageBreak/>
              <w:t>expresamente discriminado dentro del presupuesto oficial cuando, además de resultar aplicables los Documentos Tipo del Sector Institucional, el proceso de contratación haya sido estructurado mediante el sistema de precios unitarios, pues en ese evento el Documento Base y el Formulario 1 imponen dicha obligación y la entidad no puede apartarse de ella. En los demás eventos, será la entidad, con fundamento en el análisis técnico, económico y jurídico realizado durante la etapa de planeación, la que defina la forma de estructurar el precio del contrato, sin perjuicio de que el AIU pueda encontrarse incorporado dentro del valor de los precios unitarios o de la modalidad de remuneración que resulte procedente conforme al régimen jurídico aplicable.</w:t>
            </w:r>
          </w:p>
        </w:tc>
      </w:tr>
    </w:tbl>
    <w:p w14:paraId="2134C5E8" w14:textId="77777777" w:rsidR="00D4125A" w:rsidRPr="002F7FFD" w:rsidRDefault="00D4125A" w:rsidP="00D4125A">
      <w:pPr>
        <w:tabs>
          <w:tab w:val="left" w:pos="142"/>
          <w:tab w:val="left" w:pos="284"/>
        </w:tabs>
        <w:spacing w:after="0" w:line="276" w:lineRule="auto"/>
        <w:jc w:val="both"/>
        <w:rPr>
          <w:rFonts w:ascii="Verdana" w:eastAsia="Century Gothic" w:hAnsi="Verdana" w:cs="Century Gothic"/>
          <w:b/>
          <w:bCs/>
        </w:rPr>
      </w:pPr>
    </w:p>
    <w:bookmarkEnd w:id="2"/>
    <w:p w14:paraId="00990B02" w14:textId="77777777" w:rsidR="00D4125A" w:rsidRPr="002F7FFD" w:rsidRDefault="00D4125A" w:rsidP="00D4125A">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2F7FFD">
        <w:rPr>
          <w:rFonts w:ascii="Verdana" w:eastAsia="Century Gothic" w:hAnsi="Verdana" w:cs="Century Gothic"/>
          <w:b/>
          <w:bCs/>
        </w:rPr>
        <w:t>Razones de las respuestas:</w:t>
      </w:r>
    </w:p>
    <w:p w14:paraId="0A480846" w14:textId="77777777" w:rsidR="00D4125A" w:rsidRPr="002F7FFD" w:rsidRDefault="00D4125A" w:rsidP="00D4125A">
      <w:pPr>
        <w:spacing w:after="0" w:line="276" w:lineRule="auto"/>
        <w:jc w:val="both"/>
        <w:rPr>
          <w:rFonts w:ascii="Verdana" w:eastAsia="Calibri" w:hAnsi="Verdana" w:cs="Arial"/>
          <w:color w:val="7030A0"/>
        </w:rPr>
      </w:pPr>
    </w:p>
    <w:p w14:paraId="08720FEB" w14:textId="77777777" w:rsidR="00D4125A" w:rsidRPr="002F7FFD" w:rsidRDefault="00D4125A" w:rsidP="00D4125A">
      <w:pPr>
        <w:spacing w:after="0" w:line="276" w:lineRule="auto"/>
        <w:jc w:val="both"/>
        <w:rPr>
          <w:rFonts w:ascii="Verdana" w:eastAsia="Calibri" w:hAnsi="Verdana" w:cs="Arial"/>
        </w:rPr>
      </w:pPr>
      <w:r w:rsidRPr="002F7FFD">
        <w:rPr>
          <w:rFonts w:ascii="Verdana" w:eastAsia="Calibri" w:hAnsi="Verdana" w:cs="Arial"/>
        </w:rPr>
        <w:t>Lo anterior se sustenta en las siguientes consideraciones:</w:t>
      </w:r>
    </w:p>
    <w:p w14:paraId="1AD968FA" w14:textId="77777777" w:rsidR="00D4125A" w:rsidRPr="002F7FFD" w:rsidRDefault="00D4125A" w:rsidP="00D4125A">
      <w:pPr>
        <w:spacing w:after="0" w:line="276" w:lineRule="auto"/>
        <w:jc w:val="both"/>
        <w:rPr>
          <w:rFonts w:ascii="Verdana" w:eastAsia="Calibri" w:hAnsi="Verdana" w:cs="Arial"/>
        </w:rPr>
      </w:pPr>
    </w:p>
    <w:p w14:paraId="219CFC4D" w14:textId="77777777" w:rsidR="00D4125A" w:rsidRPr="002F7FFD" w:rsidRDefault="00D4125A" w:rsidP="00D4125A">
      <w:pPr>
        <w:spacing w:after="0" w:line="276" w:lineRule="auto"/>
        <w:jc w:val="both"/>
        <w:rPr>
          <w:rFonts w:ascii="Verdana" w:hAnsi="Verdana" w:cs="Arial"/>
          <w:bCs/>
          <w:szCs w:val="24"/>
          <w:lang w:eastAsia="es-ES_tradnl"/>
        </w:rPr>
      </w:pPr>
      <w:r>
        <w:rPr>
          <w:rFonts w:ascii="Verdana" w:hAnsi="Verdana" w:cs="Arial"/>
          <w:bCs/>
          <w:szCs w:val="24"/>
          <w:lang w:eastAsia="es-ES_tradnl"/>
        </w:rPr>
        <w:t xml:space="preserve">I). </w:t>
      </w:r>
      <w:r w:rsidRPr="002F7FFD">
        <w:rPr>
          <w:rFonts w:ascii="Verdana" w:hAnsi="Verdana" w:cs="Arial"/>
          <w:bCs/>
          <w:szCs w:val="24"/>
          <w:lang w:eastAsia="es-ES_tradnl"/>
        </w:rPr>
        <w:t xml:space="preserve">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1E87DE05" w14:textId="77777777" w:rsidR="00D4125A" w:rsidRPr="002F7FFD" w:rsidRDefault="00D4125A" w:rsidP="00D4125A">
      <w:pPr>
        <w:spacing w:before="120" w:after="0" w:line="276" w:lineRule="auto"/>
        <w:ind w:firstLine="709"/>
        <w:jc w:val="both"/>
        <w:rPr>
          <w:rFonts w:ascii="Verdana" w:hAnsi="Verdana" w:cs="Arial"/>
          <w:lang w:eastAsia="es-ES"/>
        </w:rPr>
      </w:pPr>
      <w:r w:rsidRPr="002F7FFD">
        <w:rPr>
          <w:rFonts w:ascii="Verdana" w:hAnsi="Verdana" w:cs="Arial"/>
          <w:lang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2F7FFD">
        <w:rPr>
          <w:rFonts w:ascii="Verdana" w:hAnsi="Verdana" w:cs="Arial"/>
          <w:vertAlign w:val="superscript"/>
          <w:lang w:eastAsia="es-ES"/>
        </w:rPr>
        <w:footnoteReference w:id="2"/>
      </w:r>
      <w:r w:rsidRPr="002F7FFD">
        <w:rPr>
          <w:rFonts w:ascii="Verdana" w:hAnsi="Verdana" w:cs="Arial"/>
          <w:lang w:eastAsia="es-ES"/>
        </w:rPr>
        <w:t xml:space="preserve">. No hay, pues, una sola </w:t>
      </w:r>
      <w:r w:rsidRPr="002F7FFD">
        <w:rPr>
          <w:rFonts w:ascii="Verdana" w:hAnsi="Verdana" w:cs="Arial"/>
          <w:lang w:eastAsia="es-ES"/>
        </w:rPr>
        <w:lastRenderedPageBreak/>
        <w:t xml:space="preserve">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2F7FFD">
        <w:rPr>
          <w:rFonts w:ascii="Verdana" w:hAnsi="Verdana" w:cs="Arial"/>
          <w:lang w:eastAsia="es-ES"/>
        </w:rPr>
        <w:t>ii</w:t>
      </w:r>
      <w:proofErr w:type="spellEnd"/>
      <w:r w:rsidRPr="002F7FFD">
        <w:rPr>
          <w:rFonts w:ascii="Verdana" w:hAnsi="Verdana" w:cs="Arial"/>
          <w:lang w:eastAsia="es-ES"/>
        </w:rPr>
        <w:t xml:space="preserve">) el precio global –que equivale al monto total, sin discriminar unidades–, y </w:t>
      </w:r>
      <w:proofErr w:type="spellStart"/>
      <w:r w:rsidRPr="002F7FFD">
        <w:rPr>
          <w:rFonts w:ascii="Verdana" w:hAnsi="Verdana" w:cs="Arial"/>
          <w:lang w:eastAsia="es-ES"/>
        </w:rPr>
        <w:t>iii</w:t>
      </w:r>
      <w:proofErr w:type="spellEnd"/>
      <w:r w:rsidRPr="002F7FFD">
        <w:rPr>
          <w:rFonts w:ascii="Verdana" w:hAnsi="Verdana" w:cs="Arial"/>
          <w:lang w:eastAsia="es-ES"/>
        </w:rPr>
        <w:t>) la administración delegada de recursos –en la que se distinguen los costos de inversión de los honorarios del administrador–.</w:t>
      </w:r>
    </w:p>
    <w:p w14:paraId="5D5D1EF3" w14:textId="77777777" w:rsidR="00D4125A" w:rsidRPr="002F7FFD" w:rsidRDefault="00D4125A" w:rsidP="00D4125A">
      <w:pPr>
        <w:spacing w:before="120" w:after="0" w:line="276" w:lineRule="auto"/>
        <w:ind w:firstLine="709"/>
        <w:jc w:val="both"/>
        <w:rPr>
          <w:rFonts w:ascii="Verdana" w:hAnsi="Verdana" w:cs="Arial"/>
          <w:lang w:eastAsia="es-ES"/>
        </w:rPr>
      </w:pPr>
      <w:r w:rsidRPr="00333551">
        <w:rPr>
          <w:rFonts w:ascii="Verdana" w:hAnsi="Verdana" w:cs="Arial"/>
          <w:lang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333551">
        <w:rPr>
          <w:rFonts w:ascii="Verdana" w:hAnsi="Verdana" w:cs="Arial"/>
          <w:i/>
          <w:iCs/>
          <w:lang w:eastAsia="es-ES"/>
        </w:rPr>
        <w:t>costos directos</w:t>
      </w:r>
      <w:r w:rsidRPr="00333551">
        <w:rPr>
          <w:rFonts w:ascii="Verdana" w:hAnsi="Verdana" w:cs="Arial"/>
          <w:lang w:eastAsia="es-ES"/>
        </w:rPr>
        <w:t xml:space="preserve"> –es decir, los que están directamente implicados en la ejecución del objeto–, de los </w:t>
      </w:r>
      <w:r w:rsidRPr="00333551">
        <w:rPr>
          <w:rFonts w:ascii="Verdana" w:hAnsi="Verdana" w:cs="Arial"/>
          <w:i/>
          <w:iCs/>
          <w:lang w:eastAsia="es-ES"/>
        </w:rPr>
        <w:t>costos indirectos</w:t>
      </w:r>
      <w:r w:rsidRPr="00333551">
        <w:rPr>
          <w:rFonts w:ascii="Verdana" w:hAnsi="Verdana" w:cs="Arial"/>
          <w:lang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333551">
        <w:rPr>
          <w:rFonts w:ascii="Verdana" w:hAnsi="Verdana" w:cs="Arial"/>
          <w:i/>
          <w:iCs/>
          <w:lang w:eastAsia="es-ES"/>
        </w:rPr>
        <w:t>costos directos</w:t>
      </w:r>
      <w:r w:rsidRPr="00333551">
        <w:rPr>
          <w:rFonts w:ascii="Verdana" w:hAnsi="Verdana" w:cs="Arial"/>
          <w:lang w:eastAsia="es-ES"/>
        </w:rPr>
        <w:t xml:space="preserve"> se evidencian en el análisis de precios unitarios –APU–, como la sumatoria de los valores de los </w:t>
      </w:r>
      <w:r w:rsidRPr="00333551">
        <w:rPr>
          <w:rFonts w:ascii="Verdana" w:hAnsi="Verdana" w:cs="Arial"/>
          <w:i/>
          <w:iCs/>
          <w:lang w:eastAsia="es-ES"/>
        </w:rPr>
        <w:t>ítems</w:t>
      </w:r>
      <w:r w:rsidRPr="00333551">
        <w:rPr>
          <w:rFonts w:ascii="Verdana" w:hAnsi="Verdana" w:cs="Arial"/>
          <w:lang w:eastAsia="es-ES"/>
        </w:rPr>
        <w:t xml:space="preserve"> según su unidad de medida, los </w:t>
      </w:r>
      <w:r w:rsidRPr="00333551">
        <w:rPr>
          <w:rFonts w:ascii="Verdana" w:hAnsi="Verdana" w:cs="Arial"/>
          <w:i/>
          <w:iCs/>
          <w:lang w:eastAsia="es-ES"/>
        </w:rPr>
        <w:t>costos indirectos</w:t>
      </w:r>
      <w:r w:rsidRPr="00333551">
        <w:rPr>
          <w:rFonts w:ascii="Verdana" w:hAnsi="Verdana" w:cs="Arial"/>
          <w:lang w:eastAsia="es-ES"/>
        </w:rPr>
        <w:t xml:space="preserve"> se suelen abreviar en las variables que integran el acrónimo AIU –Administración, Imprevistos y Utilidad–.</w:t>
      </w:r>
      <w:r w:rsidRPr="002F7FFD">
        <w:rPr>
          <w:rFonts w:ascii="Verdana" w:hAnsi="Verdana" w:cs="Arial"/>
          <w:lang w:eastAsia="es-ES"/>
        </w:rPr>
        <w:t xml:space="preserve"> </w:t>
      </w:r>
    </w:p>
    <w:p w14:paraId="58792A27" w14:textId="77777777" w:rsidR="00D4125A" w:rsidRPr="002F7FFD" w:rsidRDefault="00D4125A" w:rsidP="00D4125A">
      <w:pPr>
        <w:spacing w:before="120" w:after="0" w:line="276" w:lineRule="auto"/>
        <w:ind w:firstLine="709"/>
        <w:jc w:val="both"/>
        <w:rPr>
          <w:rFonts w:ascii="Verdana" w:hAnsi="Verdana" w:cs="Arial"/>
          <w:bCs/>
          <w:szCs w:val="24"/>
          <w:lang w:eastAsia="es-ES_tradnl"/>
        </w:rPr>
      </w:pPr>
      <w:r w:rsidRPr="002F7FFD">
        <w:rPr>
          <w:rFonts w:ascii="Verdana" w:hAnsi="Verdana" w:cs="Arial"/>
          <w:bCs/>
          <w:szCs w:val="24"/>
          <w:lang w:eastAsia="es-ES_tradnl"/>
        </w:rPr>
        <w:t xml:space="preserve">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w:t>
      </w:r>
      <w:r w:rsidRPr="002F7FFD">
        <w:rPr>
          <w:rFonts w:ascii="Verdana" w:hAnsi="Verdana" w:cs="Arial"/>
          <w:bCs/>
          <w:szCs w:val="24"/>
          <w:lang w:eastAsia="es-ES_tradnl"/>
        </w:rPr>
        <w:lastRenderedPageBreak/>
        <w:t>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2F7FFD">
        <w:rPr>
          <w:rFonts w:ascii="Verdana" w:hAnsi="Verdana" w:cs="Arial"/>
          <w:bCs/>
          <w:szCs w:val="24"/>
          <w:vertAlign w:val="superscript"/>
          <w:lang w:eastAsia="es-ES_tradnl"/>
        </w:rPr>
        <w:footnoteReference w:id="3"/>
      </w:r>
      <w:r w:rsidRPr="002F7FFD">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3B53028B" w14:textId="77777777" w:rsidR="00D4125A" w:rsidRPr="002F7FFD" w:rsidRDefault="00D4125A" w:rsidP="00D4125A">
      <w:pPr>
        <w:spacing w:after="0" w:line="276" w:lineRule="auto"/>
        <w:ind w:firstLine="709"/>
        <w:jc w:val="both"/>
        <w:rPr>
          <w:rFonts w:ascii="Verdana" w:hAnsi="Verdana" w:cs="Arial"/>
          <w:bCs/>
          <w:sz w:val="20"/>
          <w:szCs w:val="20"/>
          <w:lang w:eastAsia="es-ES_tradnl"/>
        </w:rPr>
      </w:pPr>
    </w:p>
    <w:p w14:paraId="7A95694E" w14:textId="77777777" w:rsidR="00D4125A" w:rsidRPr="002F7FFD" w:rsidRDefault="00D4125A" w:rsidP="00D4125A">
      <w:pPr>
        <w:tabs>
          <w:tab w:val="left" w:pos="709"/>
        </w:tabs>
        <w:spacing w:after="120" w:line="240" w:lineRule="auto"/>
        <w:ind w:left="709" w:right="709"/>
        <w:jc w:val="both"/>
        <w:rPr>
          <w:rFonts w:ascii="Verdana" w:hAnsi="Verdana" w:cs="Arial"/>
          <w:sz w:val="20"/>
          <w:szCs w:val="20"/>
          <w:lang w:eastAsia="es-ES"/>
        </w:rPr>
      </w:pPr>
      <w:r w:rsidRPr="002F7FFD">
        <w:rPr>
          <w:rFonts w:ascii="Verdana" w:hAnsi="Verdana" w:cs="Arial"/>
          <w:sz w:val="20"/>
          <w:szCs w:val="20"/>
          <w:lang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50F5DB3B" w14:textId="77777777" w:rsidR="00D4125A" w:rsidRPr="002F7FFD" w:rsidRDefault="00D4125A" w:rsidP="00D4125A">
      <w:pPr>
        <w:tabs>
          <w:tab w:val="left" w:pos="709"/>
        </w:tabs>
        <w:spacing w:after="0" w:line="240" w:lineRule="auto"/>
        <w:ind w:left="709" w:right="709"/>
        <w:jc w:val="both"/>
        <w:rPr>
          <w:rFonts w:ascii="Verdana" w:hAnsi="Verdana" w:cs="Arial"/>
          <w:sz w:val="20"/>
          <w:szCs w:val="20"/>
          <w:lang w:eastAsia="es-ES_tradnl"/>
        </w:rPr>
      </w:pPr>
      <w:r w:rsidRPr="002F7FFD">
        <w:rPr>
          <w:rFonts w:ascii="Verdana" w:hAnsi="Verdana" w:cs="Arial"/>
          <w:sz w:val="20"/>
          <w:szCs w:val="20"/>
          <w:lang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2F7FFD">
        <w:rPr>
          <w:rFonts w:ascii="Verdana" w:hAnsi="Verdana" w:cs="Arial"/>
          <w:sz w:val="20"/>
          <w:szCs w:val="20"/>
          <w:vertAlign w:val="superscript"/>
          <w:lang w:eastAsia="es-ES_tradnl"/>
        </w:rPr>
        <w:footnoteReference w:id="4"/>
      </w:r>
      <w:r w:rsidRPr="002F7FFD">
        <w:rPr>
          <w:rFonts w:ascii="Verdana" w:hAnsi="Verdana" w:cs="Arial"/>
          <w:sz w:val="20"/>
          <w:szCs w:val="20"/>
          <w:lang w:eastAsia="es-ES_tradnl"/>
        </w:rPr>
        <w:t xml:space="preserve">. </w:t>
      </w:r>
    </w:p>
    <w:p w14:paraId="02E8570E" w14:textId="77777777" w:rsidR="00D4125A" w:rsidRPr="002F7FFD" w:rsidRDefault="00D4125A" w:rsidP="00D4125A">
      <w:pPr>
        <w:tabs>
          <w:tab w:val="left" w:pos="709"/>
        </w:tabs>
        <w:spacing w:after="0" w:line="276" w:lineRule="auto"/>
        <w:ind w:left="709" w:right="760"/>
        <w:jc w:val="both"/>
        <w:rPr>
          <w:rFonts w:ascii="Verdana" w:hAnsi="Verdana" w:cs="Arial"/>
          <w:szCs w:val="24"/>
          <w:lang w:eastAsia="es-ES_tradnl"/>
        </w:rPr>
      </w:pPr>
    </w:p>
    <w:p w14:paraId="266067CA" w14:textId="77777777" w:rsidR="00D4125A" w:rsidRPr="002F7FFD" w:rsidRDefault="00D4125A" w:rsidP="00D4125A">
      <w:pPr>
        <w:spacing w:after="0" w:line="276" w:lineRule="auto"/>
        <w:ind w:firstLine="709"/>
        <w:jc w:val="both"/>
        <w:rPr>
          <w:rFonts w:ascii="Verdana" w:hAnsi="Verdana" w:cs="Arial"/>
          <w:szCs w:val="24"/>
          <w:lang w:eastAsia="es-ES_tradnl"/>
        </w:rPr>
      </w:pPr>
      <w:r w:rsidRPr="002F7FFD">
        <w:rPr>
          <w:rFonts w:ascii="Verdana" w:hAnsi="Verdana" w:cs="Arial"/>
          <w:szCs w:val="24"/>
          <w:lang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5B7A7099" w14:textId="77777777" w:rsidR="00D4125A" w:rsidRPr="002F7FFD" w:rsidRDefault="00D4125A" w:rsidP="00D4125A">
      <w:pPr>
        <w:spacing w:after="0" w:line="276" w:lineRule="auto"/>
        <w:ind w:firstLine="709"/>
        <w:jc w:val="both"/>
        <w:rPr>
          <w:rFonts w:ascii="Verdana" w:hAnsi="Verdana" w:cs="Arial"/>
          <w:szCs w:val="24"/>
          <w:lang w:eastAsia="es-ES_tradnl"/>
        </w:rPr>
      </w:pPr>
    </w:p>
    <w:p w14:paraId="033E819E" w14:textId="77777777" w:rsidR="00D4125A" w:rsidRPr="002F7FFD" w:rsidRDefault="00D4125A" w:rsidP="00D4125A">
      <w:pPr>
        <w:tabs>
          <w:tab w:val="left" w:pos="709"/>
        </w:tabs>
        <w:spacing w:after="120" w:line="240" w:lineRule="auto"/>
        <w:ind w:left="709" w:right="709"/>
        <w:jc w:val="both"/>
        <w:rPr>
          <w:rFonts w:ascii="Verdana" w:hAnsi="Verdana" w:cs="Arial"/>
          <w:sz w:val="20"/>
          <w:szCs w:val="20"/>
          <w:lang w:eastAsia="es-ES_tradnl"/>
        </w:rPr>
      </w:pPr>
      <w:r w:rsidRPr="002F7FFD">
        <w:rPr>
          <w:rFonts w:ascii="Verdana" w:hAnsi="Verdana" w:cs="Arial"/>
          <w:sz w:val="20"/>
          <w:szCs w:val="20"/>
          <w:lang w:eastAsia="es-ES_tradnl"/>
        </w:rPr>
        <w:t xml:space="preserve">“[…] el AIU propuesto para el contrato, corresponde a: </w:t>
      </w:r>
    </w:p>
    <w:p w14:paraId="0FFF2A52" w14:textId="77777777" w:rsidR="00D4125A" w:rsidRPr="002F7FFD" w:rsidRDefault="00D4125A" w:rsidP="00D4125A">
      <w:pPr>
        <w:tabs>
          <w:tab w:val="left" w:pos="709"/>
        </w:tabs>
        <w:spacing w:after="120" w:line="240" w:lineRule="auto"/>
        <w:ind w:left="709" w:right="709"/>
        <w:jc w:val="both"/>
        <w:rPr>
          <w:rFonts w:ascii="Verdana" w:hAnsi="Verdana" w:cs="Arial"/>
          <w:sz w:val="20"/>
          <w:szCs w:val="20"/>
          <w:lang w:eastAsia="es-ES_tradnl"/>
        </w:rPr>
      </w:pPr>
      <w:r w:rsidRPr="002F7FFD">
        <w:rPr>
          <w:rFonts w:ascii="Verdana" w:hAnsi="Verdana" w:cs="Arial"/>
          <w:sz w:val="20"/>
          <w:szCs w:val="20"/>
          <w:lang w:eastAsia="es-ES_tradnl"/>
        </w:rPr>
        <w:t xml:space="preserve">i) los costos de administración o costos indirectos para la operación del contrato, tales como los gastos de disponibilidad de la organización del contratista, esto es: A; </w:t>
      </w:r>
    </w:p>
    <w:p w14:paraId="4B074DCE" w14:textId="77777777" w:rsidR="00D4125A" w:rsidRPr="002F7FFD" w:rsidRDefault="00D4125A" w:rsidP="00D4125A">
      <w:pPr>
        <w:tabs>
          <w:tab w:val="left" w:pos="709"/>
        </w:tabs>
        <w:spacing w:after="120" w:line="240" w:lineRule="auto"/>
        <w:ind w:left="709" w:right="709"/>
        <w:jc w:val="both"/>
        <w:rPr>
          <w:rFonts w:ascii="Verdana" w:hAnsi="Verdana" w:cs="Arial"/>
          <w:sz w:val="20"/>
          <w:szCs w:val="20"/>
          <w:lang w:eastAsia="es-ES"/>
        </w:rPr>
      </w:pPr>
      <w:proofErr w:type="spellStart"/>
      <w:r w:rsidRPr="002F7FFD">
        <w:rPr>
          <w:rFonts w:ascii="Verdana" w:hAnsi="Verdana" w:cs="Arial"/>
          <w:sz w:val="20"/>
          <w:szCs w:val="20"/>
          <w:lang w:eastAsia="es-ES"/>
        </w:rPr>
        <w:lastRenderedPageBreak/>
        <w:t>ii</w:t>
      </w:r>
      <w:proofErr w:type="spellEnd"/>
      <w:r w:rsidRPr="002F7FFD">
        <w:rPr>
          <w:rFonts w:ascii="Verdana" w:hAnsi="Verdana" w:cs="Arial"/>
          <w:sz w:val="20"/>
          <w:szCs w:val="20"/>
          <w:lang w:eastAsia="es-ES"/>
        </w:rPr>
        <w:t xml:space="preserve">) los imprevistos, que es el porcentaje destinado a cubrir los gastos con los que no se contaba y que se presenten durante la ejecución del contrato, esto es, el </w:t>
      </w:r>
      <w:proofErr w:type="spellStart"/>
      <w:r w:rsidRPr="002F7FFD">
        <w:rPr>
          <w:rFonts w:ascii="Verdana" w:hAnsi="Verdana" w:cs="Arial"/>
          <w:sz w:val="20"/>
          <w:szCs w:val="20"/>
          <w:lang w:eastAsia="es-ES"/>
        </w:rPr>
        <w:t>álea</w:t>
      </w:r>
      <w:proofErr w:type="spellEnd"/>
      <w:r w:rsidRPr="002F7FFD">
        <w:rPr>
          <w:rFonts w:ascii="Verdana" w:hAnsi="Verdana" w:cs="Arial"/>
          <w:sz w:val="20"/>
          <w:szCs w:val="20"/>
          <w:lang w:eastAsia="es-ES"/>
        </w:rPr>
        <w:t xml:space="preserve"> normal del contrato: I; </w:t>
      </w:r>
    </w:p>
    <w:p w14:paraId="7240A349" w14:textId="77777777" w:rsidR="00D4125A" w:rsidRPr="002F7FFD" w:rsidRDefault="00D4125A" w:rsidP="00D4125A">
      <w:pPr>
        <w:tabs>
          <w:tab w:val="left" w:pos="709"/>
        </w:tabs>
        <w:spacing w:after="120" w:line="240" w:lineRule="auto"/>
        <w:ind w:left="709" w:right="709"/>
        <w:jc w:val="both"/>
        <w:rPr>
          <w:rFonts w:ascii="Verdana" w:hAnsi="Verdana" w:cs="Arial"/>
          <w:sz w:val="20"/>
          <w:szCs w:val="20"/>
          <w:lang w:eastAsia="es-ES"/>
        </w:rPr>
      </w:pPr>
      <w:proofErr w:type="spellStart"/>
      <w:r w:rsidRPr="002F7FFD">
        <w:rPr>
          <w:rFonts w:ascii="Verdana" w:hAnsi="Verdana" w:cs="Arial"/>
          <w:sz w:val="20"/>
          <w:szCs w:val="20"/>
          <w:lang w:eastAsia="es-ES"/>
        </w:rPr>
        <w:t>iii</w:t>
      </w:r>
      <w:proofErr w:type="spellEnd"/>
      <w:r w:rsidRPr="002F7FFD">
        <w:rPr>
          <w:rFonts w:ascii="Verdana" w:hAnsi="Verdana" w:cs="Arial"/>
          <w:sz w:val="20"/>
          <w:szCs w:val="20"/>
          <w:lang w:eastAsia="es-ES"/>
        </w:rPr>
        <w:t xml:space="preserve">) la utilidad o el beneficio económico que pretende percibir el contratista por la ejecución del contrato, esto es: U. </w:t>
      </w:r>
    </w:p>
    <w:p w14:paraId="34C5245A" w14:textId="77777777" w:rsidR="00D4125A" w:rsidRPr="002F7FFD" w:rsidRDefault="00D4125A" w:rsidP="00D4125A">
      <w:pPr>
        <w:tabs>
          <w:tab w:val="left" w:pos="709"/>
        </w:tabs>
        <w:spacing w:after="0" w:line="240" w:lineRule="auto"/>
        <w:ind w:left="709" w:right="709"/>
        <w:jc w:val="both"/>
        <w:rPr>
          <w:rFonts w:ascii="Verdana" w:hAnsi="Verdana" w:cs="Arial"/>
          <w:sz w:val="20"/>
          <w:szCs w:val="20"/>
          <w:lang w:eastAsia="es-ES_tradnl"/>
        </w:rPr>
      </w:pPr>
      <w:r w:rsidRPr="002F7FFD">
        <w:rPr>
          <w:rFonts w:ascii="Verdana" w:hAnsi="Verdana" w:cs="Arial"/>
          <w:sz w:val="20"/>
          <w:szCs w:val="20"/>
          <w:lang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2F7FFD">
        <w:rPr>
          <w:rFonts w:ascii="Verdana" w:hAnsi="Verdana" w:cs="Arial"/>
          <w:sz w:val="20"/>
          <w:szCs w:val="20"/>
          <w:vertAlign w:val="superscript"/>
          <w:lang w:eastAsia="es-ES_tradnl"/>
        </w:rPr>
        <w:footnoteReference w:id="5"/>
      </w:r>
      <w:r w:rsidRPr="002F7FFD">
        <w:rPr>
          <w:rFonts w:ascii="Verdana" w:hAnsi="Verdana" w:cs="Arial"/>
          <w:sz w:val="20"/>
          <w:szCs w:val="20"/>
          <w:lang w:eastAsia="es-ES_tradnl"/>
        </w:rPr>
        <w:t>.</w:t>
      </w:r>
    </w:p>
    <w:p w14:paraId="0A105BB4" w14:textId="77777777" w:rsidR="00D4125A" w:rsidRPr="002F7FFD" w:rsidRDefault="00D4125A" w:rsidP="00D4125A">
      <w:pPr>
        <w:tabs>
          <w:tab w:val="left" w:pos="709"/>
        </w:tabs>
        <w:spacing w:after="0" w:line="276" w:lineRule="auto"/>
        <w:ind w:left="709" w:right="760"/>
        <w:jc w:val="both"/>
        <w:rPr>
          <w:rFonts w:ascii="Verdana" w:hAnsi="Verdana" w:cs="Arial"/>
          <w:szCs w:val="24"/>
          <w:lang w:eastAsia="es-ES_tradnl"/>
        </w:rPr>
      </w:pPr>
    </w:p>
    <w:p w14:paraId="309AB50D" w14:textId="77777777" w:rsidR="00D4125A" w:rsidRPr="002F7FFD" w:rsidRDefault="00D4125A" w:rsidP="00D4125A">
      <w:pPr>
        <w:spacing w:after="120" w:line="276" w:lineRule="auto"/>
        <w:ind w:firstLine="709"/>
        <w:jc w:val="both"/>
        <w:rPr>
          <w:rFonts w:ascii="Verdana" w:hAnsi="Verdana" w:cs="Arial"/>
          <w:lang w:eastAsia="es-ES"/>
        </w:rPr>
      </w:pPr>
      <w:r w:rsidRPr="002F7FFD">
        <w:rPr>
          <w:rFonts w:ascii="Verdana" w:hAnsi="Verdana" w:cs="Arial"/>
          <w:lang w:eastAsia="es-ES"/>
        </w:rPr>
        <w:t>A su turno, la Sala de Consulta y Servicio Civil del Consejo de Estado sostuvo en concepto del 5 de septiembre de 2018</w:t>
      </w:r>
      <w:r w:rsidRPr="002F7FFD">
        <w:rPr>
          <w:rFonts w:ascii="Verdana" w:hAnsi="Verdana" w:cs="Arial"/>
          <w:vertAlign w:val="superscript"/>
          <w:lang w:eastAsia="es-ES"/>
        </w:rPr>
        <w:footnoteReference w:id="6"/>
      </w:r>
      <w:r w:rsidRPr="002F7FFD">
        <w:rPr>
          <w:rFonts w:ascii="Verdana" w:hAnsi="Verdana" w:cs="Arial"/>
          <w:lang w:eastAsia="es-ES"/>
        </w:rPr>
        <w:t xml:space="preserve"> que “el concepto del A.I.U. comprende la Administración (costos indirectos), imprevistos y utilidades, y en algunos contratos este valor aparece cuantificado en forma independiente al valor de la obra y como un porcentaje de la misma, sin perjuicio que en otros contratos este valor no aparezca discriminado y se incorpore en el valor de los precios unitarios”</w:t>
      </w:r>
      <w:r w:rsidRPr="002F7FFD">
        <w:rPr>
          <w:rFonts w:ascii="Verdana" w:hAnsi="Verdana" w:cs="Arial"/>
          <w:vertAlign w:val="superscript"/>
          <w:lang w:eastAsia="es-ES"/>
        </w:rPr>
        <w:footnoteReference w:id="7"/>
      </w:r>
      <w:r w:rsidRPr="002F7FFD">
        <w:rPr>
          <w:rFonts w:ascii="Verdana" w:hAnsi="Verdana" w:cs="Arial"/>
          <w:lang w:eastAsia="es-ES"/>
        </w:rPr>
        <w:t xml:space="preserve">. </w:t>
      </w:r>
    </w:p>
    <w:p w14:paraId="3A207117" w14:textId="77777777" w:rsidR="00D4125A" w:rsidRPr="002F7FFD" w:rsidRDefault="00D4125A" w:rsidP="00D4125A">
      <w:pPr>
        <w:spacing w:after="120" w:line="276" w:lineRule="auto"/>
        <w:ind w:firstLine="709"/>
        <w:jc w:val="both"/>
        <w:rPr>
          <w:rFonts w:ascii="Verdana" w:hAnsi="Verdana" w:cs="Arial"/>
          <w:bCs/>
          <w:szCs w:val="24"/>
          <w:lang w:eastAsia="es-ES_tradnl"/>
        </w:rPr>
      </w:pPr>
      <w:r w:rsidRPr="002F7FFD">
        <w:rPr>
          <w:rFonts w:ascii="Verdana" w:hAnsi="Verdana" w:cs="Arial"/>
          <w:bCs/>
          <w:szCs w:val="24"/>
          <w:lang w:eastAsia="es-ES_tradnl"/>
        </w:rPr>
        <w:t xml:space="preserve">Así pues, ni el sistema de precios unitarios –como metodología de estipulación del valor contractual–, </w:t>
      </w:r>
      <w:r w:rsidRPr="002F7FFD">
        <w:rPr>
          <w:rFonts w:ascii="Verdana" w:hAnsi="Verdana" w:cs="Arial"/>
          <w:lang w:eastAsia="es-ES"/>
        </w:rPr>
        <w:t>ni el concepto de costos directos e indirectos</w:t>
      </w:r>
      <w:r w:rsidRPr="002F7FFD">
        <w:rPr>
          <w:rFonts w:ascii="Verdana" w:hAnsi="Verdana" w:cs="Arial"/>
          <w:bCs/>
          <w:szCs w:val="24"/>
          <w:lang w:eastAsia="es-ES_tradnl"/>
        </w:rPr>
        <w:t>,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2F7FFD">
        <w:rPr>
          <w:rFonts w:ascii="Verdana" w:hAnsi="Verdana" w:cs="Arial"/>
          <w:bCs/>
          <w:szCs w:val="24"/>
          <w:vertAlign w:val="superscript"/>
          <w:lang w:eastAsia="es-ES_tradnl"/>
        </w:rPr>
        <w:footnoteReference w:id="8"/>
      </w:r>
      <w:r w:rsidRPr="002F7FFD">
        <w:rPr>
          <w:rFonts w:ascii="Verdana" w:hAnsi="Verdana" w:cs="Arial"/>
          <w:bCs/>
          <w:szCs w:val="24"/>
          <w:lang w:eastAsia="es-ES_tradnl"/>
        </w:rPr>
        <w:t xml:space="preserve">. De otro lado, quien define </w:t>
      </w:r>
      <w:r w:rsidRPr="002F7FFD">
        <w:rPr>
          <w:rFonts w:ascii="Verdana" w:hAnsi="Verdana" w:cs="Arial"/>
          <w:bCs/>
          <w:szCs w:val="24"/>
          <w:lang w:eastAsia="es-ES_tradnl"/>
        </w:rPr>
        <w:lastRenderedPageBreak/>
        <w:t xml:space="preserve">el valor de cada </w:t>
      </w:r>
      <w:r w:rsidRPr="002F7FFD">
        <w:rPr>
          <w:rFonts w:ascii="Verdana" w:hAnsi="Verdana" w:cs="Arial"/>
          <w:bCs/>
          <w:i/>
          <w:iCs/>
          <w:szCs w:val="24"/>
          <w:lang w:eastAsia="es-ES_tradnl"/>
        </w:rPr>
        <w:t>letra</w:t>
      </w:r>
      <w:r w:rsidRPr="002F7FFD">
        <w:rPr>
          <w:rFonts w:ascii="Verdana" w:hAnsi="Verdana" w:cs="Arial"/>
          <w:bCs/>
          <w:szCs w:val="24"/>
          <w:lang w:eastAsia="es-ES_tradnl"/>
        </w:rPr>
        <w:t xml:space="preserve"> –AIU– es el proponente, pues goza de libertad empresarial para hacerlo en la elaboración de su oferta</w:t>
      </w:r>
      <w:r w:rsidRPr="002F7FFD">
        <w:rPr>
          <w:rFonts w:ascii="Verdana" w:hAnsi="Verdana" w:cs="Arial"/>
          <w:bCs/>
          <w:szCs w:val="24"/>
          <w:vertAlign w:val="superscript"/>
          <w:lang w:eastAsia="es-ES_tradnl"/>
        </w:rPr>
        <w:footnoteReference w:id="9"/>
      </w:r>
      <w:r w:rsidRPr="002F7FFD">
        <w:rPr>
          <w:rFonts w:ascii="Verdana" w:hAnsi="Verdana" w:cs="Arial"/>
          <w:bCs/>
          <w:szCs w:val="24"/>
          <w:lang w:eastAsia="es-ES_tradnl"/>
        </w:rPr>
        <w:t>.</w:t>
      </w:r>
    </w:p>
    <w:p w14:paraId="099F5022" w14:textId="77777777" w:rsidR="00D4125A" w:rsidRPr="002F7FFD" w:rsidRDefault="00D4125A" w:rsidP="00D4125A">
      <w:pPr>
        <w:snapToGrid w:val="0"/>
        <w:spacing w:after="120" w:line="276" w:lineRule="auto"/>
        <w:ind w:firstLine="743"/>
        <w:jc w:val="both"/>
        <w:rPr>
          <w:rFonts w:ascii="Verdana" w:hAnsi="Verdana" w:cs="Arial"/>
          <w:bCs/>
          <w:szCs w:val="24"/>
          <w:lang w:eastAsia="es-ES_tradnl"/>
        </w:rPr>
      </w:pPr>
      <w:r w:rsidRPr="002F7FFD">
        <w:rPr>
          <w:rFonts w:ascii="Verdana" w:hAnsi="Verdana" w:cs="Arial"/>
          <w:lang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w:t>
      </w:r>
      <w:r w:rsidRPr="002F7FFD">
        <w:rPr>
          <w:rFonts w:ascii="Verdana" w:hAnsi="Verdana" w:cs="Arial"/>
          <w:bCs/>
          <w:szCs w:val="24"/>
          <w:lang w:eastAsia="es-ES_tradnl"/>
        </w:rPr>
        <w:t xml:space="preserve">obstaría para que las partes le dieran otros efectos particulares a la forma en que pagan el precio estructurado con AIU. Por ejemplo, podrían incluir cláusulas o reglas bajo las cuales se estableciera que el valor de alguno o de todos los componentes de la </w:t>
      </w:r>
      <w:r w:rsidRPr="002F7FFD">
        <w:rPr>
          <w:rFonts w:ascii="Verdana" w:hAnsi="Verdana" w:cs="Arial"/>
          <w:bCs/>
          <w:i/>
          <w:iCs/>
          <w:szCs w:val="24"/>
          <w:lang w:eastAsia="es-ES_tradnl"/>
        </w:rPr>
        <w:t>Administración</w:t>
      </w:r>
      <w:r w:rsidRPr="002F7FFD">
        <w:rPr>
          <w:rFonts w:ascii="Verdana" w:hAnsi="Verdana" w:cs="Arial"/>
          <w:bCs/>
          <w:szCs w:val="24"/>
          <w:lang w:eastAsia="es-ES_tradnl"/>
        </w:rPr>
        <w:t xml:space="preserve"> o los </w:t>
      </w:r>
      <w:r w:rsidRPr="002F7FFD">
        <w:rPr>
          <w:rFonts w:ascii="Verdana" w:hAnsi="Verdana" w:cs="Arial"/>
          <w:bCs/>
          <w:i/>
          <w:iCs/>
          <w:szCs w:val="24"/>
          <w:lang w:eastAsia="es-ES_tradnl"/>
        </w:rPr>
        <w:t>Imprevistos</w:t>
      </w:r>
      <w:r w:rsidRPr="002F7FFD">
        <w:rPr>
          <w:rFonts w:ascii="Verdana" w:hAnsi="Verdana" w:cs="Arial"/>
          <w:bCs/>
          <w:szCs w:val="24"/>
          <w:lang w:eastAsia="es-ES_tradnl"/>
        </w:rPr>
        <w:t xml:space="preserve"> sólo se pagan si el contratista demuestra que incurrió en algunas situaciones específicas y bajo el monto que este logre demostrar.</w:t>
      </w:r>
    </w:p>
    <w:p w14:paraId="3FD1D47C" w14:textId="77777777" w:rsidR="00D4125A" w:rsidRPr="002F7FFD" w:rsidRDefault="00D4125A" w:rsidP="00D4125A">
      <w:pPr>
        <w:snapToGrid w:val="0"/>
        <w:spacing w:after="120" w:line="276" w:lineRule="auto"/>
        <w:ind w:firstLine="601"/>
        <w:jc w:val="both"/>
        <w:rPr>
          <w:rFonts w:ascii="Verdana" w:hAnsi="Verdana" w:cs="Arial"/>
          <w:lang w:eastAsia="es-ES"/>
        </w:rPr>
      </w:pPr>
      <w:r w:rsidRPr="002F7FFD">
        <w:rPr>
          <w:rFonts w:ascii="Verdana" w:hAnsi="Verdana" w:cs="Arial"/>
          <w:lang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6FD1725C" w14:textId="77777777" w:rsidR="00D4125A" w:rsidRPr="002F7FFD" w:rsidRDefault="00D4125A" w:rsidP="00D4125A">
      <w:pPr>
        <w:snapToGrid w:val="0"/>
        <w:spacing w:after="120" w:line="276" w:lineRule="auto"/>
        <w:ind w:firstLine="601"/>
        <w:jc w:val="both"/>
        <w:rPr>
          <w:rFonts w:ascii="Verdana" w:eastAsia="Calibri" w:hAnsi="Verdana" w:cs="Arial"/>
          <w:bCs/>
          <w:szCs w:val="24"/>
          <w:lang w:eastAsia="es-ES_tradnl"/>
        </w:rPr>
      </w:pPr>
      <w:r w:rsidRPr="002F7FFD">
        <w:rPr>
          <w:rFonts w:ascii="Verdana" w:eastAsia="Calibri" w:hAnsi="Verdana" w:cs="Arial"/>
          <w:bCs/>
          <w:szCs w:val="24"/>
          <w:lang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2F7FFD">
        <w:rPr>
          <w:rFonts w:ascii="Verdana" w:eastAsia="Calibri" w:hAnsi="Verdana" w:cs="Arial"/>
          <w:bCs/>
          <w:i/>
          <w:iCs/>
          <w:szCs w:val="24"/>
          <w:lang w:eastAsia="es-ES_tradnl"/>
        </w:rPr>
        <w:t xml:space="preserve">indirectos </w:t>
      </w:r>
      <w:r w:rsidRPr="002F7FFD">
        <w:rPr>
          <w:rFonts w:ascii="Verdana" w:eastAsia="Calibri" w:hAnsi="Verdana" w:cs="Arial"/>
          <w:bCs/>
          <w:szCs w:val="24"/>
          <w:lang w:eastAsia="es-ES_tradnl"/>
        </w:rPr>
        <w:t xml:space="preserve">en que incurren los contratistas, entre ellos, los de la </w:t>
      </w:r>
      <w:r w:rsidRPr="002F7FFD">
        <w:rPr>
          <w:rFonts w:ascii="Verdana" w:eastAsia="Calibri" w:hAnsi="Verdana" w:cs="Arial"/>
          <w:bCs/>
          <w:i/>
          <w:iCs/>
          <w:szCs w:val="24"/>
          <w:lang w:eastAsia="es-ES_tradnl"/>
        </w:rPr>
        <w:t xml:space="preserve">Administración </w:t>
      </w:r>
      <w:r w:rsidRPr="002F7FFD">
        <w:rPr>
          <w:rFonts w:ascii="Verdana" w:eastAsia="Calibri" w:hAnsi="Verdana" w:cs="Arial"/>
          <w:lang w:eastAsia="es-ES"/>
        </w:rPr>
        <w:t>y lo</w:t>
      </w:r>
      <w:r w:rsidRPr="002F7FFD">
        <w:rPr>
          <w:rFonts w:ascii="Verdana" w:eastAsia="Calibri" w:hAnsi="Verdana" w:cs="Arial"/>
          <w:i/>
          <w:iCs/>
          <w:lang w:eastAsia="es-ES"/>
        </w:rPr>
        <w:t>s Imprevistos</w:t>
      </w:r>
      <w:r w:rsidRPr="002F7FFD">
        <w:rPr>
          <w:rFonts w:ascii="Verdana" w:eastAsia="Calibri" w:hAnsi="Verdana" w:cs="Arial"/>
          <w:bCs/>
          <w:szCs w:val="24"/>
          <w:lang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2F7FFD">
        <w:rPr>
          <w:rFonts w:ascii="Verdana" w:eastAsia="Calibri" w:hAnsi="Verdana" w:cs="Times New Roman"/>
          <w:vertAlign w:val="superscript"/>
          <w:lang w:eastAsia="es-ES_tradnl"/>
        </w:rPr>
        <w:footnoteReference w:id="10"/>
      </w:r>
      <w:r w:rsidRPr="002F7FFD">
        <w:rPr>
          <w:rFonts w:ascii="Verdana" w:eastAsia="Calibri" w:hAnsi="Verdana" w:cs="Arial"/>
          <w:bCs/>
          <w:szCs w:val="24"/>
          <w:lang w:eastAsia="es-ES_tradnl"/>
        </w:rPr>
        <w:t xml:space="preserve">. </w:t>
      </w:r>
    </w:p>
    <w:p w14:paraId="511D210B" w14:textId="77777777" w:rsidR="00D4125A" w:rsidRPr="002F7FFD" w:rsidRDefault="00D4125A" w:rsidP="00D4125A">
      <w:pPr>
        <w:snapToGrid w:val="0"/>
        <w:spacing w:after="120" w:line="276" w:lineRule="auto"/>
        <w:ind w:firstLine="601"/>
        <w:jc w:val="both"/>
        <w:rPr>
          <w:rFonts w:ascii="Verdana" w:eastAsia="Calibri" w:hAnsi="Verdana" w:cs="Arial"/>
          <w:bCs/>
          <w:szCs w:val="24"/>
          <w:lang w:eastAsia="es-ES_tradnl"/>
        </w:rPr>
      </w:pPr>
      <w:r w:rsidRPr="002F7FFD">
        <w:rPr>
          <w:rFonts w:ascii="Verdana" w:eastAsia="Calibri" w:hAnsi="Verdana" w:cs="Arial"/>
          <w:lang w:eastAsia="es-ES"/>
        </w:rPr>
        <w:lastRenderedPageBreak/>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2F7FFD">
        <w:rPr>
          <w:rFonts w:ascii="Verdana" w:eastAsia="Calibri" w:hAnsi="Verdana" w:cs="Arial"/>
          <w:i/>
          <w:iCs/>
          <w:lang w:eastAsia="es-ES"/>
        </w:rPr>
        <w:t>Administración</w:t>
      </w:r>
      <w:r w:rsidRPr="002F7FFD">
        <w:rPr>
          <w:rFonts w:ascii="Verdana" w:eastAsia="Calibri" w:hAnsi="Verdana" w:cs="Arial"/>
          <w:lang w:eastAsia="es-ES"/>
        </w:rPr>
        <w:t xml:space="preserve"> o en más gastos de </w:t>
      </w:r>
      <w:r w:rsidRPr="002F7FFD">
        <w:rPr>
          <w:rFonts w:ascii="Verdana" w:eastAsia="Calibri" w:hAnsi="Verdana" w:cs="Arial"/>
          <w:i/>
          <w:iCs/>
          <w:lang w:eastAsia="es-ES"/>
        </w:rPr>
        <w:t>Imprevistos</w:t>
      </w:r>
      <w:r w:rsidRPr="002F7FFD">
        <w:rPr>
          <w:rFonts w:ascii="Verdana" w:eastAsia="Calibri" w:hAnsi="Verdana" w:cs="Arial"/>
          <w:lang w:eastAsia="es-ES"/>
        </w:rPr>
        <w:t xml:space="preserve"> al presentar su oferta, o que estos disminuyan, aparezcan algunos nuevos o desaparezcan algunos de ellos, el valor se mantenga invariable.</w:t>
      </w:r>
    </w:p>
    <w:p w14:paraId="658972F1" w14:textId="77777777" w:rsidR="00D4125A" w:rsidRPr="002F7FFD" w:rsidRDefault="00D4125A" w:rsidP="00D4125A">
      <w:pPr>
        <w:snapToGrid w:val="0"/>
        <w:spacing w:after="120" w:line="276" w:lineRule="auto"/>
        <w:ind w:firstLine="601"/>
        <w:jc w:val="both"/>
        <w:rPr>
          <w:rFonts w:ascii="Verdana" w:eastAsia="Calibri" w:hAnsi="Verdana" w:cs="Arial"/>
          <w:lang w:eastAsia="es-ES"/>
        </w:rPr>
      </w:pPr>
      <w:r w:rsidRPr="002F7FFD">
        <w:rPr>
          <w:rFonts w:ascii="Verdana" w:eastAsia="Calibri" w:hAnsi="Verdana" w:cs="Arial"/>
          <w:lang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2F7FFD">
        <w:rPr>
          <w:rFonts w:ascii="Verdana" w:eastAsia="Calibri" w:hAnsi="Verdana" w:cs="Arial"/>
          <w:i/>
          <w:iCs/>
          <w:lang w:eastAsia="es-ES"/>
        </w:rPr>
        <w:t>Administración</w:t>
      </w:r>
      <w:r w:rsidRPr="002F7FFD">
        <w:rPr>
          <w:rFonts w:ascii="Verdana" w:eastAsia="Calibri" w:hAnsi="Verdana" w:cs="Arial"/>
          <w:lang w:eastAsia="es-ES"/>
        </w:rPr>
        <w:t xml:space="preserve"> o de </w:t>
      </w:r>
      <w:r w:rsidRPr="002F7FFD">
        <w:rPr>
          <w:rFonts w:ascii="Verdana" w:eastAsia="Calibri" w:hAnsi="Verdana" w:cs="Arial"/>
          <w:i/>
          <w:iCs/>
          <w:lang w:eastAsia="es-ES"/>
        </w:rPr>
        <w:t>Imprevistos</w:t>
      </w:r>
      <w:r w:rsidRPr="002F7FFD">
        <w:rPr>
          <w:rFonts w:ascii="Verdana" w:eastAsia="Calibri" w:hAnsi="Verdana" w:cs="Times New Roman"/>
          <w:vertAlign w:val="superscript"/>
          <w:lang w:eastAsia="es-ES"/>
        </w:rPr>
        <w:footnoteReference w:id="11"/>
      </w:r>
      <w:r w:rsidRPr="002F7FFD">
        <w:rPr>
          <w:rFonts w:ascii="Verdana" w:eastAsia="Calibri" w:hAnsi="Verdana" w:cs="Arial"/>
          <w:lang w:eastAsia="es-ES"/>
        </w:rPr>
        <w:t>.</w:t>
      </w:r>
    </w:p>
    <w:p w14:paraId="650B807C" w14:textId="77777777" w:rsidR="00D4125A" w:rsidRPr="002F7FFD" w:rsidRDefault="00D4125A" w:rsidP="00D4125A">
      <w:pPr>
        <w:spacing w:before="120" w:after="0" w:line="276" w:lineRule="auto"/>
        <w:ind w:firstLine="709"/>
        <w:jc w:val="both"/>
        <w:rPr>
          <w:rFonts w:ascii="Verdana" w:hAnsi="Verdana" w:cs="Arial"/>
          <w:lang w:eastAsia="es-ES"/>
        </w:rPr>
      </w:pPr>
      <w:r w:rsidRPr="002F7FFD">
        <w:rPr>
          <w:rFonts w:ascii="Verdana" w:hAnsi="Verdana" w:cs="Arial"/>
          <w:lang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sidRPr="002F7FFD">
        <w:rPr>
          <w:rFonts w:ascii="Verdana" w:hAnsi="Verdana" w:cs="Arial"/>
          <w:vertAlign w:val="superscript"/>
          <w:lang w:eastAsia="es-ES"/>
        </w:rPr>
        <w:footnoteReference w:id="12"/>
      </w:r>
      <w:r w:rsidRPr="002F7FFD">
        <w:rPr>
          <w:rFonts w:ascii="Verdana" w:hAnsi="Verdana" w:cs="Arial"/>
          <w:lang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054CF555" w14:textId="77777777" w:rsidR="00D4125A" w:rsidRPr="002F7FFD" w:rsidRDefault="00D4125A" w:rsidP="00D4125A">
      <w:pPr>
        <w:spacing w:after="0" w:line="276" w:lineRule="auto"/>
        <w:jc w:val="both"/>
        <w:rPr>
          <w:rFonts w:ascii="Verdana" w:hAnsi="Verdana" w:cs="Arial"/>
          <w:bCs/>
          <w:szCs w:val="24"/>
          <w:lang w:eastAsia="es-ES_tradnl"/>
        </w:rPr>
      </w:pPr>
    </w:p>
    <w:p w14:paraId="746C8103" w14:textId="77777777" w:rsidR="00D4125A" w:rsidRPr="002F7FFD" w:rsidRDefault="00D4125A" w:rsidP="00D4125A">
      <w:pPr>
        <w:spacing w:after="0" w:line="240" w:lineRule="auto"/>
        <w:ind w:left="709" w:right="709"/>
        <w:jc w:val="both"/>
        <w:rPr>
          <w:rFonts w:ascii="Verdana" w:hAnsi="Verdana" w:cs="Arial"/>
          <w:sz w:val="20"/>
          <w:szCs w:val="20"/>
          <w:lang w:eastAsia="es-ES"/>
        </w:rPr>
      </w:pPr>
      <w:r w:rsidRPr="002F7FFD">
        <w:rPr>
          <w:rFonts w:ascii="Verdana" w:hAnsi="Verdana" w:cs="Arial"/>
          <w:sz w:val="20"/>
          <w:szCs w:val="20"/>
          <w:lang w:eastAsia="es-ES"/>
        </w:rPr>
        <w:lastRenderedPageBreak/>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w:t>
      </w:r>
      <w:proofErr w:type="spellStart"/>
      <w:r w:rsidRPr="002F7FFD">
        <w:rPr>
          <w:rFonts w:ascii="Verdana" w:hAnsi="Verdana" w:cs="Arial"/>
          <w:sz w:val="20"/>
          <w:szCs w:val="20"/>
          <w:lang w:eastAsia="es-ES"/>
        </w:rPr>
        <w:t>ii</w:t>
      </w:r>
      <w:proofErr w:type="spellEnd"/>
      <w:r w:rsidRPr="002F7FFD">
        <w:rPr>
          <w:rFonts w:ascii="Verdana" w:hAnsi="Verdana" w:cs="Arial"/>
          <w:sz w:val="20"/>
          <w:szCs w:val="20"/>
          <w:lang w:eastAsia="es-ES"/>
        </w:rPr>
        <w:t xml:space="preserve">)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w:t>
      </w:r>
      <w:proofErr w:type="spellStart"/>
      <w:r w:rsidRPr="002F7FFD">
        <w:rPr>
          <w:rFonts w:ascii="Verdana" w:hAnsi="Verdana" w:cs="Arial"/>
          <w:sz w:val="20"/>
          <w:szCs w:val="20"/>
          <w:lang w:eastAsia="es-ES"/>
        </w:rPr>
        <w:t>iii</w:t>
      </w:r>
      <w:proofErr w:type="spellEnd"/>
      <w:r w:rsidRPr="002F7FFD">
        <w:rPr>
          <w:rFonts w:ascii="Verdana" w:hAnsi="Verdana" w:cs="Arial"/>
          <w:sz w:val="20"/>
          <w:szCs w:val="20"/>
          <w:lang w:eastAsia="es-ES"/>
        </w:rPr>
        <w:t xml:space="preserve">) pago de arrendamiento de las instalaciones necesarias para el funcionamiento de la empresa –oficinas </w:t>
      </w:r>
      <w:r w:rsidRPr="002F7FFD">
        <w:rPr>
          <w:rFonts w:ascii="Verdana" w:hAnsi="Verdana" w:cs="Arial"/>
          <w:i/>
          <w:sz w:val="20"/>
          <w:szCs w:val="20"/>
          <w:lang w:eastAsia="es-ES"/>
        </w:rPr>
        <w:t xml:space="preserve">y campamento de la obra–; </w:t>
      </w:r>
      <w:proofErr w:type="spellStart"/>
      <w:r w:rsidRPr="002F7FFD">
        <w:rPr>
          <w:rFonts w:ascii="Verdana" w:hAnsi="Verdana" w:cs="Arial"/>
          <w:sz w:val="20"/>
          <w:szCs w:val="20"/>
          <w:lang w:eastAsia="es-ES"/>
        </w:rPr>
        <w:t>iv</w:t>
      </w:r>
      <w:proofErr w:type="spellEnd"/>
      <w:r w:rsidRPr="002F7FFD">
        <w:rPr>
          <w:rFonts w:ascii="Verdana" w:hAnsi="Verdana" w:cs="Arial"/>
          <w:sz w:val="20"/>
          <w:szCs w:val="20"/>
          <w:lang w:eastAsia="es-ES"/>
        </w:rPr>
        <w:t xml:space="preserve">) </w:t>
      </w:r>
      <w:r w:rsidRPr="002F7FFD">
        <w:rPr>
          <w:rFonts w:ascii="Verdana" w:hAnsi="Verdana" w:cs="Arial"/>
          <w:i/>
          <w:sz w:val="20"/>
          <w:szCs w:val="20"/>
          <w:lang w:eastAsia="es-ES"/>
        </w:rPr>
        <w:t>pago de impuestos y gravámenes en general que afectan la actividad o el contrato</w:t>
      </w:r>
      <w:r w:rsidRPr="002F7FFD">
        <w:rPr>
          <w:rFonts w:ascii="Verdana" w:hAnsi="Verdana" w:cs="Arial"/>
          <w:sz w:val="20"/>
          <w:szCs w:val="20"/>
          <w:lang w:eastAsia="es-ES"/>
        </w:rPr>
        <w:t xml:space="preserve">; v) valor de las fotocopias, papelería en general y equipos de oficina, vi) transporte terrestre, tiquetes aéreos y arrendamiento de vehículos –distintos de la maquinaria que se emplea en la obra–, </w:t>
      </w:r>
      <w:proofErr w:type="spellStart"/>
      <w:r w:rsidRPr="002F7FFD">
        <w:rPr>
          <w:rFonts w:ascii="Verdana" w:hAnsi="Verdana" w:cs="Arial"/>
          <w:sz w:val="20"/>
          <w:szCs w:val="20"/>
          <w:lang w:eastAsia="es-ES"/>
        </w:rPr>
        <w:t>vii</w:t>
      </w:r>
      <w:proofErr w:type="spellEnd"/>
      <w:r w:rsidRPr="002F7FFD">
        <w:rPr>
          <w:rFonts w:ascii="Verdana" w:hAnsi="Verdana" w:cs="Arial"/>
          <w:sz w:val="20"/>
          <w:szCs w:val="20"/>
          <w:lang w:eastAsia="es-ES"/>
        </w:rPr>
        <w:t xml:space="preserve">) pólizas del contrato, </w:t>
      </w:r>
      <w:proofErr w:type="spellStart"/>
      <w:r w:rsidRPr="002F7FFD">
        <w:rPr>
          <w:rFonts w:ascii="Verdana" w:hAnsi="Verdana" w:cs="Arial"/>
          <w:sz w:val="20"/>
          <w:szCs w:val="20"/>
          <w:lang w:eastAsia="es-ES"/>
        </w:rPr>
        <w:t>viii</w:t>
      </w:r>
      <w:proofErr w:type="spellEnd"/>
      <w:r w:rsidRPr="002F7FFD">
        <w:rPr>
          <w:rFonts w:ascii="Verdana" w:hAnsi="Verdana" w:cs="Arial"/>
          <w:sz w:val="20"/>
          <w:szCs w:val="20"/>
          <w:lang w:eastAsia="es-ES"/>
        </w:rPr>
        <w:t xml:space="preserve">) pago de servicios públicos y otras comunicaciones –como el servicio celular– y </w:t>
      </w:r>
      <w:proofErr w:type="spellStart"/>
      <w:r w:rsidRPr="002F7FFD">
        <w:rPr>
          <w:rFonts w:ascii="Verdana" w:hAnsi="Verdana" w:cs="Arial"/>
          <w:sz w:val="20"/>
          <w:szCs w:val="20"/>
          <w:lang w:eastAsia="es-ES"/>
        </w:rPr>
        <w:t>ix</w:t>
      </w:r>
      <w:proofErr w:type="spellEnd"/>
      <w:r w:rsidRPr="002F7FFD">
        <w:rPr>
          <w:rFonts w:ascii="Verdana" w:hAnsi="Verdana" w:cs="Arial"/>
          <w:sz w:val="20"/>
          <w:szCs w:val="20"/>
          <w:lang w:eastAsia="es-ES"/>
        </w:rPr>
        <w:t>) gastos en que se incurra para realizar ensayos de laboratorio</w:t>
      </w:r>
      <w:r w:rsidRPr="002F7FFD">
        <w:rPr>
          <w:rFonts w:ascii="Verdana" w:hAnsi="Verdana" w:cs="Arial"/>
          <w:sz w:val="20"/>
          <w:szCs w:val="20"/>
          <w:vertAlign w:val="superscript"/>
          <w:lang w:eastAsia="es-ES"/>
        </w:rPr>
        <w:footnoteReference w:id="13"/>
      </w:r>
      <w:r w:rsidRPr="002F7FFD">
        <w:rPr>
          <w:rFonts w:ascii="Verdana" w:hAnsi="Verdana" w:cs="Arial"/>
          <w:sz w:val="20"/>
          <w:szCs w:val="20"/>
          <w:lang w:eastAsia="es-ES"/>
        </w:rPr>
        <w:t xml:space="preserve"> (Énfasis por fuera de texto)</w:t>
      </w:r>
    </w:p>
    <w:p w14:paraId="019E46B5" w14:textId="77777777" w:rsidR="00D4125A" w:rsidRPr="002F7FFD" w:rsidRDefault="00D4125A" w:rsidP="00D4125A">
      <w:pPr>
        <w:spacing w:after="0" w:line="240" w:lineRule="auto"/>
        <w:ind w:left="709" w:right="709"/>
        <w:jc w:val="both"/>
        <w:rPr>
          <w:rFonts w:ascii="Verdana" w:hAnsi="Verdana" w:cs="Arial"/>
          <w:bCs/>
          <w:lang w:eastAsia="es-ES_tradnl"/>
        </w:rPr>
      </w:pPr>
    </w:p>
    <w:p w14:paraId="300B2F8C" w14:textId="77777777" w:rsidR="00D4125A" w:rsidRPr="002F7FFD" w:rsidRDefault="00D4125A" w:rsidP="00D4125A">
      <w:pPr>
        <w:spacing w:line="276" w:lineRule="auto"/>
        <w:jc w:val="both"/>
        <w:rPr>
          <w:rFonts w:ascii="Verdana" w:hAnsi="Verdana" w:cs="Arial"/>
        </w:rPr>
      </w:pPr>
      <w:r w:rsidRPr="002F7FFD">
        <w:rPr>
          <w:rFonts w:ascii="Verdana" w:hAnsi="Verdana" w:cs="Arial"/>
        </w:rPr>
        <w:tab/>
      </w:r>
      <w:r w:rsidRPr="002F7FFD">
        <w:rPr>
          <w:rFonts w:ascii="Verdana" w:hAnsi="Verdana" w:cs="Arial"/>
          <w:bCs/>
        </w:rPr>
        <w:t xml:space="preserve">Asimismo, frente al porcentaje que se determina en el componente A, la doctrina expresa: </w:t>
      </w:r>
      <w:r w:rsidRPr="002F7FFD">
        <w:rPr>
          <w:rFonts w:ascii="Verdana" w:hAnsi="Verdana" w:cs="Arial"/>
        </w:rPr>
        <w:t xml:space="preserve"> </w:t>
      </w:r>
    </w:p>
    <w:p w14:paraId="382BE4A1" w14:textId="77777777" w:rsidR="00D4125A" w:rsidRPr="002F7FFD" w:rsidRDefault="00D4125A" w:rsidP="00D4125A">
      <w:pPr>
        <w:spacing w:after="0" w:line="240" w:lineRule="auto"/>
        <w:ind w:left="709" w:right="709"/>
        <w:jc w:val="both"/>
        <w:rPr>
          <w:rFonts w:ascii="Verdana" w:hAnsi="Verdana" w:cs="Arial"/>
          <w:sz w:val="20"/>
          <w:szCs w:val="20"/>
        </w:rPr>
      </w:pPr>
      <w:r w:rsidRPr="002F7FFD">
        <w:rPr>
          <w:rFonts w:ascii="Verdana" w:hAnsi="Verdana" w:cs="Arial"/>
          <w:sz w:val="20"/>
          <w:szCs w:val="20"/>
        </w:rPr>
        <w:t xml:space="preserve">Este porcentaje del valor del contrato también lo determina cada oferente–contratista con libertad, pues a él incumbe establecer cuánto ascienden sus gastos de administración, y si al final resultan superiores no puede exigir de la entidad, por esa sola circunstancia, un reembolso, porque para ella se trataba de un dato indicativo sobre la manera como se halla el valor total de la obra, de ninguna manera determinante de la forma como se paga cada actividad. A la inversa sucede lo mismo, si el gasto es inferior al presupuestado la entidad no puede pagar menos de lo pactado, sino los precios unitarios acordados por la </w:t>
      </w:r>
      <w:r w:rsidRPr="002F7FFD">
        <w:rPr>
          <w:rFonts w:ascii="Verdana" w:hAnsi="Verdana" w:cs="Arial"/>
          <w:i/>
          <w:sz w:val="20"/>
          <w:szCs w:val="20"/>
        </w:rPr>
        <w:t>A</w:t>
      </w:r>
      <w:r w:rsidRPr="002F7FFD">
        <w:rPr>
          <w:rFonts w:ascii="Verdana" w:hAnsi="Verdana" w:cs="Arial"/>
          <w:sz w:val="20"/>
          <w:szCs w:val="20"/>
        </w:rPr>
        <w:t xml:space="preserve"> –y dicho sea de paso, también por la </w:t>
      </w:r>
      <w:r w:rsidRPr="002F7FFD">
        <w:rPr>
          <w:rFonts w:ascii="Verdana" w:hAnsi="Verdana" w:cs="Arial"/>
          <w:i/>
          <w:sz w:val="20"/>
          <w:szCs w:val="20"/>
        </w:rPr>
        <w:t>I</w:t>
      </w:r>
      <w:r w:rsidRPr="002F7FFD">
        <w:rPr>
          <w:rFonts w:ascii="Verdana" w:hAnsi="Verdana" w:cs="Arial"/>
          <w:sz w:val="20"/>
          <w:szCs w:val="20"/>
        </w:rPr>
        <w:t xml:space="preserve"> y la </w:t>
      </w:r>
      <w:r w:rsidRPr="002F7FFD">
        <w:rPr>
          <w:rFonts w:ascii="Verdana" w:hAnsi="Verdana" w:cs="Arial"/>
          <w:i/>
          <w:sz w:val="20"/>
          <w:szCs w:val="20"/>
        </w:rPr>
        <w:t>U</w:t>
      </w:r>
      <w:r w:rsidRPr="002F7FFD">
        <w:rPr>
          <w:rFonts w:ascii="Verdana" w:hAnsi="Verdana" w:cs="Arial"/>
          <w:sz w:val="20"/>
          <w:szCs w:val="20"/>
        </w:rPr>
        <w:t>–</w:t>
      </w:r>
      <w:r w:rsidRPr="002F7FFD">
        <w:rPr>
          <w:rFonts w:ascii="Verdana" w:hAnsi="Verdana" w:cs="Arial"/>
          <w:sz w:val="20"/>
          <w:szCs w:val="20"/>
          <w:vertAlign w:val="superscript"/>
        </w:rPr>
        <w:footnoteReference w:id="14"/>
      </w:r>
      <w:r w:rsidRPr="002F7FFD">
        <w:rPr>
          <w:rFonts w:ascii="Verdana" w:hAnsi="Verdana" w:cs="Arial"/>
          <w:sz w:val="20"/>
          <w:szCs w:val="20"/>
        </w:rPr>
        <w:t xml:space="preserve">. </w:t>
      </w:r>
    </w:p>
    <w:p w14:paraId="06EEC082" w14:textId="77777777" w:rsidR="00D4125A" w:rsidRPr="002F7FFD" w:rsidRDefault="00D4125A" w:rsidP="00D4125A">
      <w:pPr>
        <w:spacing w:after="0" w:line="276" w:lineRule="auto"/>
        <w:ind w:left="709" w:right="709"/>
        <w:jc w:val="both"/>
        <w:rPr>
          <w:rFonts w:ascii="Verdana" w:hAnsi="Verdana" w:cs="Arial"/>
          <w:sz w:val="20"/>
          <w:szCs w:val="20"/>
        </w:rPr>
      </w:pPr>
    </w:p>
    <w:p w14:paraId="105BE617" w14:textId="77777777" w:rsidR="00D4125A" w:rsidRPr="002F7FFD" w:rsidRDefault="00D4125A" w:rsidP="00D4125A">
      <w:pPr>
        <w:spacing w:after="120" w:line="276" w:lineRule="auto"/>
        <w:ind w:firstLine="709"/>
        <w:jc w:val="both"/>
        <w:rPr>
          <w:rFonts w:ascii="Verdana" w:hAnsi="Verdana" w:cs="Arial"/>
        </w:rPr>
      </w:pPr>
      <w:r w:rsidRPr="002F7FFD">
        <w:rPr>
          <w:rFonts w:ascii="Verdana" w:hAnsi="Verdana" w:cs="Arial"/>
        </w:rPr>
        <w:t>Tal es la forma usual como se pacta el precio en los contratos estatales cuyo valor se define con base en la metodología del AIU. 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w:t>
      </w:r>
    </w:p>
    <w:p w14:paraId="3096AFF0" w14:textId="77777777" w:rsidR="00D4125A" w:rsidRPr="002F7FFD" w:rsidRDefault="00D4125A" w:rsidP="00D4125A">
      <w:pPr>
        <w:spacing w:after="120" w:line="276" w:lineRule="auto"/>
        <w:ind w:firstLine="743"/>
        <w:jc w:val="both"/>
        <w:rPr>
          <w:rFonts w:ascii="Verdana" w:eastAsia="Calibri" w:hAnsi="Verdana" w:cs="Arial"/>
          <w:iCs/>
          <w:lang w:eastAsia="es-ES"/>
        </w:rPr>
      </w:pPr>
      <w:r w:rsidRPr="002F7FFD">
        <w:rPr>
          <w:rFonts w:ascii="Verdana" w:eastAsia="Calibri" w:hAnsi="Verdana" w:cs="Arial"/>
          <w:iCs/>
          <w:lang w:eastAsia="es-ES"/>
        </w:rPr>
        <w:lastRenderedPageBreak/>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 </w:t>
      </w:r>
    </w:p>
    <w:p w14:paraId="1FE84AC7" w14:textId="77777777" w:rsidR="00D4125A" w:rsidRPr="002F7FFD" w:rsidRDefault="00D4125A" w:rsidP="00D4125A">
      <w:pPr>
        <w:spacing w:after="120" w:line="276" w:lineRule="auto"/>
        <w:ind w:firstLine="743"/>
        <w:jc w:val="both"/>
        <w:rPr>
          <w:rFonts w:ascii="Verdana" w:hAnsi="Verdana" w:cs="Arial"/>
          <w:lang w:eastAsia="es-ES"/>
        </w:rPr>
      </w:pPr>
      <w:r w:rsidRPr="002F7FFD">
        <w:rPr>
          <w:rFonts w:ascii="Verdana" w:eastAsia="Calibri" w:hAnsi="Verdana" w:cs="Arial"/>
          <w:iCs/>
        </w:rPr>
        <w:t xml:space="preserve">Conforme a lo expuesto, las entidades estatales pueden incluir en el valor de sus contratos los costos directos e indirectos- </w:t>
      </w:r>
      <w:proofErr w:type="spellStart"/>
      <w:r w:rsidRPr="002F7FFD">
        <w:rPr>
          <w:rFonts w:ascii="Verdana" w:eastAsia="Calibri" w:hAnsi="Verdana" w:cs="Arial"/>
          <w:i/>
          <w:iCs/>
        </w:rPr>
        <w:t>overhead</w:t>
      </w:r>
      <w:proofErr w:type="spellEnd"/>
      <w:r w:rsidRPr="002F7FFD">
        <w:rPr>
          <w:rFonts w:ascii="Verdana" w:eastAsia="Calibri" w:hAnsi="Verdana" w:cs="Arial"/>
          <w:i/>
          <w:iCs/>
        </w:rPr>
        <w:t>-,</w:t>
      </w:r>
      <w:r w:rsidRPr="002F7FFD">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proofErr w:type="spellStart"/>
      <w:r w:rsidRPr="002F7FFD">
        <w:rPr>
          <w:rFonts w:ascii="Verdana" w:eastAsia="Calibri" w:hAnsi="Verdana" w:cs="Arial"/>
          <w:i/>
        </w:rPr>
        <w:t>overhead</w:t>
      </w:r>
      <w:proofErr w:type="spellEnd"/>
      <w:r w:rsidRPr="002F7FFD">
        <w:rPr>
          <w:rFonts w:ascii="Verdana" w:eastAsia="Calibri" w:hAnsi="Verdana" w:cs="Arial"/>
          <w:i/>
        </w:rPr>
        <w:t>-</w:t>
      </w:r>
      <w:r w:rsidRPr="002F7FFD">
        <w:rPr>
          <w:rFonts w:ascii="Verdana" w:eastAsia="Calibri" w:hAnsi="Verdana" w:cs="Arial"/>
          <w:iCs/>
        </w:rPr>
        <w:t xml:space="preserve"> 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2D897DCD" w14:textId="77777777" w:rsidR="00D4125A" w:rsidRDefault="00D4125A" w:rsidP="00D4125A">
      <w:pPr>
        <w:spacing w:after="120" w:line="276" w:lineRule="auto"/>
        <w:jc w:val="both"/>
        <w:rPr>
          <w:rFonts w:ascii="Verdana" w:eastAsia="Times New Roman" w:hAnsi="Verdana" w:cs="Arial"/>
          <w:iCs/>
          <w:lang w:val="es-ES" w:eastAsia="es-ES_tradnl"/>
        </w:rPr>
      </w:pPr>
      <w:r>
        <w:rPr>
          <w:rFonts w:ascii="Verdana" w:eastAsia="Times New Roman" w:hAnsi="Verdana" w:cs="Arial"/>
          <w:iCs/>
          <w:lang w:eastAsia="es-ES_tradnl"/>
        </w:rPr>
        <w:t xml:space="preserve">II). </w:t>
      </w:r>
      <w:r w:rsidRPr="00D65069">
        <w:rPr>
          <w:rFonts w:ascii="Verdana" w:eastAsia="Times New Roman" w:hAnsi="Verdana" w:cs="Arial"/>
          <w:iCs/>
          <w:lang w:val="es-ES" w:eastAsia="es-ES_tradnl"/>
        </w:rPr>
        <w:t>En relación con el objeto contractual planteado en la consulta, referido a los contratos de obra pública cuyo objeto consiste en el mantenimiento estructural o la ejecución de intervenciones locativas en edificaciones administrativas, resulta pertinente señalar que para este tipo de procesos existen Documentos Tipo adoptados por la Agencia Nacional de Contratación Pública – Colombia Compra Eficiente. Sin embargo, la sola naturaleza del contrato como obra pública no determina, por sí misma, la obligatoriedad de su aplicación, pues es necesario verificar si el objeto contractual y la modalidad de selección se encuentran comprendidos dentro del ámbito de aplicación de las resoluciones que los adoptan.</w:t>
      </w:r>
    </w:p>
    <w:p w14:paraId="0EABDC38" w14:textId="77777777" w:rsidR="00D4125A" w:rsidRDefault="00D4125A" w:rsidP="00D4125A">
      <w:pPr>
        <w:spacing w:after="120" w:line="276" w:lineRule="auto"/>
        <w:ind w:firstLine="708"/>
        <w:jc w:val="both"/>
        <w:rPr>
          <w:rFonts w:ascii="Verdana" w:eastAsia="Times New Roman" w:hAnsi="Verdana" w:cs="Arial"/>
          <w:iCs/>
          <w:lang w:val="es-ES" w:eastAsia="es-ES_tradnl"/>
        </w:rPr>
      </w:pPr>
      <w:r w:rsidRPr="00D65069">
        <w:rPr>
          <w:rFonts w:ascii="Verdana" w:eastAsia="Times New Roman" w:hAnsi="Verdana" w:cs="Arial"/>
          <w:iCs/>
          <w:lang w:val="es-ES" w:eastAsia="es-ES_tradnl"/>
        </w:rPr>
        <w:t xml:space="preserve">En efecto, el artículo 1 de la Ley 2022 de 2020 otorgó a la Agencia Nacional de Contratación Pública – Colombia Compra Eficiente la competencia para adoptar los Documentos Tipo de obligatorio cumplimiento para las </w:t>
      </w:r>
      <w:r w:rsidRPr="00D65069">
        <w:rPr>
          <w:rFonts w:ascii="Verdana" w:eastAsia="Times New Roman" w:hAnsi="Verdana" w:cs="Arial"/>
          <w:iCs/>
          <w:lang w:val="es-ES" w:eastAsia="es-ES_tradnl"/>
        </w:rPr>
        <w:lastRenderedPageBreak/>
        <w:t>entidades sometidas al Estatuto General de Contratación de la Administración Pública. En ejercicio de dicha competencia, la Agencia expidió, entre otras, las Resoluciones 539, 540 y 541 de 2025, mediante las cuales adoptó los Documentos Tipo para la contratación de obra pública de infraestructura social, así como las Resoluciones 952 y 953 de 2025 para la contratación de consultoría e interventoría.</w:t>
      </w:r>
    </w:p>
    <w:p w14:paraId="722C1367" w14:textId="77777777" w:rsidR="00D4125A" w:rsidRPr="00D65069" w:rsidRDefault="00D4125A" w:rsidP="00D4125A">
      <w:pPr>
        <w:spacing w:after="120" w:line="276" w:lineRule="auto"/>
        <w:ind w:firstLine="708"/>
        <w:jc w:val="both"/>
        <w:rPr>
          <w:rFonts w:ascii="Verdana" w:eastAsia="Times New Roman" w:hAnsi="Verdana" w:cs="Arial"/>
          <w:iCs/>
          <w:lang w:val="es-ES" w:eastAsia="es-ES_tradnl"/>
        </w:rPr>
      </w:pPr>
      <w:r w:rsidRPr="00D65069">
        <w:rPr>
          <w:rFonts w:ascii="Verdana" w:eastAsia="Times New Roman" w:hAnsi="Verdana" w:cs="Arial"/>
          <w:iCs/>
          <w:lang w:val="es-ES" w:eastAsia="es-ES_tradnl"/>
        </w:rPr>
        <w:t>De conformidad con estas resoluciones, la obligatoriedad de los Documentos Tipo depende de que el objeto contractual y la modalidad de selección se encuentren dentro de su ámbito de aplicación. Para ello, las entidades deben verificar si el proyecto corresponde a alguno de los sectores de infraestructura estandarizados, para lo cual resulta determinante la revisión de la Matriz de Experiencia y del Anexo de Glosario que hacen parte de los respectivos Documentos Tipo.</w:t>
      </w:r>
    </w:p>
    <w:p w14:paraId="1FF14610" w14:textId="77777777" w:rsidR="00D4125A" w:rsidRPr="0010023F" w:rsidRDefault="00D4125A" w:rsidP="00D4125A">
      <w:pPr>
        <w:widowControl w:val="0"/>
        <w:autoSpaceDE w:val="0"/>
        <w:autoSpaceDN w:val="0"/>
        <w:spacing w:after="12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619A005" w14:textId="77777777" w:rsidR="00D4125A" w:rsidRDefault="00D4125A" w:rsidP="00D4125A">
      <w:pPr>
        <w:widowControl w:val="0"/>
        <w:autoSpaceDE w:val="0"/>
        <w:autoSpaceDN w:val="0"/>
        <w:spacing w:after="0" w:line="276" w:lineRule="auto"/>
        <w:ind w:firstLine="708"/>
        <w:jc w:val="both"/>
        <w:rPr>
          <w:rFonts w:ascii="Verdana" w:eastAsia="Calibri" w:hAnsi="Verdana" w:cs="Times New Roman"/>
          <w:lang w:val="es-ES" w:eastAsia="es-MX"/>
        </w:rPr>
      </w:pPr>
      <w:r w:rsidRPr="0010023F">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201C88E1" w14:textId="77777777" w:rsidR="00D4125A" w:rsidRPr="00B04FC6" w:rsidRDefault="00D4125A" w:rsidP="00D4125A">
      <w:pPr>
        <w:widowControl w:val="0"/>
        <w:autoSpaceDE w:val="0"/>
        <w:autoSpaceDN w:val="0"/>
        <w:spacing w:after="0" w:line="276" w:lineRule="auto"/>
        <w:ind w:firstLine="708"/>
        <w:jc w:val="both"/>
        <w:rPr>
          <w:rFonts w:ascii="Verdana" w:eastAsia="Calibri" w:hAnsi="Verdana" w:cs="Times New Roman"/>
          <w:lang w:val="es-ES" w:eastAsia="es-MX"/>
        </w:rPr>
      </w:pPr>
    </w:p>
    <w:p w14:paraId="01BBE7E6" w14:textId="77777777" w:rsidR="00D4125A" w:rsidRPr="00EC5368" w:rsidRDefault="00D4125A" w:rsidP="00D4125A">
      <w:pPr>
        <w:widowControl w:val="0"/>
        <w:autoSpaceDE w:val="0"/>
        <w:autoSpaceDN w:val="0"/>
        <w:spacing w:line="276" w:lineRule="auto"/>
        <w:jc w:val="both"/>
        <w:rPr>
          <w:rFonts w:ascii="Verdana" w:eastAsia="Calibri" w:hAnsi="Verdana" w:cs="Arial"/>
          <w:color w:val="000000"/>
          <w:lang w:val="es-ES_tradnl" w:eastAsia="es-ES" w:bidi="es-ES"/>
        </w:rPr>
      </w:pPr>
      <w:r w:rsidRPr="00C75248">
        <w:rPr>
          <w:rFonts w:ascii="Verdana" w:eastAsia="Calibri" w:hAnsi="Verdana" w:cs="Times New Roman"/>
          <w:color w:val="000000" w:themeColor="text1"/>
          <w:lang w:val="es-ES" w:eastAsia="es-MX"/>
        </w:rPr>
        <w:t>II).  E</w:t>
      </w:r>
      <w:r>
        <w:rPr>
          <w:rFonts w:ascii="Verdana" w:eastAsia="Calibri" w:hAnsi="Verdana" w:cs="Times New Roman"/>
          <w:color w:val="000000" w:themeColor="text1"/>
          <w:lang w:val="es-ES" w:eastAsia="es-MX"/>
        </w:rPr>
        <w:t xml:space="preserve">s </w:t>
      </w:r>
      <w:r w:rsidRPr="00C75248">
        <w:rPr>
          <w:rFonts w:ascii="Verdana" w:eastAsia="Calibri" w:hAnsi="Verdana" w:cs="Times New Roman"/>
          <w:color w:val="000000" w:themeColor="text1"/>
          <w:lang w:val="es-ES" w:eastAsia="es-MX"/>
        </w:rPr>
        <w:t xml:space="preserve">pertinente </w:t>
      </w:r>
      <w:r>
        <w:rPr>
          <w:rFonts w:ascii="Verdana" w:eastAsia="Calibri" w:hAnsi="Verdana" w:cs="Times New Roman"/>
          <w:color w:val="000000" w:themeColor="text1"/>
          <w:lang w:val="es-ES" w:eastAsia="es-MX"/>
        </w:rPr>
        <w:t>precisar</w:t>
      </w:r>
      <w:r>
        <w:rPr>
          <w:rFonts w:ascii="Verdana" w:hAnsi="Verdana" w:cstheme="minorHAnsi"/>
        </w:rPr>
        <w:t xml:space="preserve"> que la</w:t>
      </w:r>
      <w:r w:rsidRPr="00EC5368">
        <w:rPr>
          <w:rFonts w:ascii="Verdana" w:eastAsia="Calibri" w:hAnsi="Verdana" w:cs="Arial"/>
          <w:color w:val="000000"/>
          <w:lang w:val="es-ES_tradnl" w:eastAsia="es-ES" w:bidi="es-ES"/>
        </w:rPr>
        <w:t xml:space="preserve">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w:t>
      </w:r>
      <w:r w:rsidRPr="00EC5368">
        <w:rPr>
          <w:rFonts w:ascii="Verdana" w:eastAsia="Calibri" w:hAnsi="Verdana" w:cs="Arial"/>
          <w:color w:val="000000"/>
          <w:lang w:val="es-ES_tradnl" w:eastAsia="es-ES" w:bidi="es-ES"/>
        </w:rPr>
        <w:lastRenderedPageBreak/>
        <w:t xml:space="preserve">definición y regulación prevista en el derecho privado para el contrato de confección de obra material regulado en el Código Civil.   </w:t>
      </w:r>
    </w:p>
    <w:p w14:paraId="20BC12F6" w14:textId="77777777" w:rsidR="00D4125A" w:rsidRPr="00EC5368" w:rsidRDefault="00D4125A" w:rsidP="00D4125A">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4"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4"/>
      <w:r w:rsidRPr="418CF8A0">
        <w:rPr>
          <w:rFonts w:ascii="Verdana" w:eastAsia="Calibri" w:hAnsi="Verdana" w:cs="Arial"/>
          <w:color w:val="000000" w:themeColor="text1"/>
          <w:lang w:val="es-ES" w:eastAsia="es-ES" w:bidi="es-ES"/>
        </w:rPr>
        <w:t>Así, la doctrina considera que:</w:t>
      </w:r>
    </w:p>
    <w:p w14:paraId="6A3027E1" w14:textId="77777777" w:rsidR="00D4125A" w:rsidRPr="00EC5368" w:rsidRDefault="00D4125A" w:rsidP="00D4125A">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5476E2A4" w14:textId="77777777" w:rsidR="00D4125A" w:rsidRPr="00EC5368" w:rsidRDefault="00D4125A" w:rsidP="00D4125A">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6FE189BD" w14:textId="77777777" w:rsidR="00D4125A" w:rsidRPr="00EC5368" w:rsidRDefault="00D4125A" w:rsidP="00D4125A">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EC5368">
        <w:rPr>
          <w:rFonts w:ascii="Verdana" w:eastAsia="Calibri" w:hAnsi="Verdana" w:cs="Arial"/>
          <w:color w:val="000000"/>
          <w:sz w:val="21"/>
          <w:szCs w:val="21"/>
          <w:vertAlign w:val="superscript"/>
          <w:lang w:val="es-ES_tradnl" w:eastAsia="es-ES" w:bidi="es-ES"/>
        </w:rPr>
        <w:footnoteReference w:id="15"/>
      </w:r>
      <w:r w:rsidRPr="00EC5368">
        <w:rPr>
          <w:rFonts w:ascii="Verdana" w:eastAsia="Calibri" w:hAnsi="Verdana" w:cs="Arial"/>
          <w:color w:val="000000"/>
          <w:sz w:val="21"/>
          <w:szCs w:val="21"/>
          <w:lang w:val="es-ES_tradnl" w:eastAsia="es-ES" w:bidi="es-ES"/>
        </w:rPr>
        <w:t xml:space="preserve">.  </w:t>
      </w:r>
    </w:p>
    <w:p w14:paraId="3A6E0189" w14:textId="77777777" w:rsidR="00D4125A" w:rsidRPr="00EC5368" w:rsidRDefault="00D4125A" w:rsidP="00D4125A">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293DB193" w14:textId="77777777" w:rsidR="00D4125A" w:rsidRDefault="00D4125A" w:rsidP="00D4125A">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5"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6" w:name="_Hlk81428563"/>
      <w:r w:rsidRPr="00EC5368">
        <w:rPr>
          <w:rFonts w:ascii="Verdana" w:eastAsia="Calibri" w:hAnsi="Verdana" w:cs="Arial"/>
          <w:color w:val="000000"/>
          <w:lang w:val="es-ES_tradnl" w:eastAsia="es-ES" w:bidi="es-ES"/>
        </w:rPr>
        <w:t xml:space="preserve">el numeral 1 del </w:t>
      </w:r>
      <w:r w:rsidRPr="00EC5368">
        <w:rPr>
          <w:rFonts w:ascii="Verdana" w:eastAsia="Calibri" w:hAnsi="Verdana" w:cs="Arial"/>
          <w:color w:val="000000"/>
          <w:lang w:val="es-ES_tradnl" w:eastAsia="es-ES" w:bidi="es-ES"/>
        </w:rPr>
        <w:lastRenderedPageBreak/>
        <w:t xml:space="preserve">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7" w:name="_Hlk171668266"/>
      <w:r w:rsidRPr="00EC5368">
        <w:rPr>
          <w:rFonts w:ascii="Verdana" w:eastAsia="Calibri" w:hAnsi="Verdana" w:cs="Arial"/>
          <w:color w:val="000000"/>
          <w:lang w:val="es-ES_tradnl" w:eastAsia="es-ES" w:bidi="es-ES"/>
        </w:rPr>
        <w:t>construcción, mantenimiento, instalación</w:t>
      </w:r>
      <w:bookmarkEnd w:id="7"/>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8" w:name="_Hlk171667437"/>
      <w:r w:rsidRPr="00EC5368">
        <w:rPr>
          <w:rFonts w:ascii="Verdana" w:eastAsia="Calibri" w:hAnsi="Verdana" w:cs="Arial"/>
          <w:color w:val="000000"/>
          <w:lang w:val="es-ES_tradnl" w:eastAsia="es-ES" w:bidi="es-ES"/>
        </w:rPr>
        <w:t>cualquiera que sea la modalidad de ejecución y pago</w:t>
      </w:r>
      <w:bookmarkEnd w:id="8"/>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EC5368">
        <w:rPr>
          <w:rStyle w:val="Refdenotaalpie"/>
          <w:rFonts w:ascii="Verdana" w:eastAsia="Calibri" w:hAnsi="Verdana" w:cs="Arial"/>
          <w:color w:val="000000"/>
          <w:lang w:val="es-ES_tradnl" w:eastAsia="es-ES" w:bidi="es-ES"/>
        </w:rPr>
        <w:footnoteReference w:id="16"/>
      </w:r>
      <w:r w:rsidRPr="00EC5368">
        <w:rPr>
          <w:rFonts w:ascii="Verdana" w:eastAsia="Calibri" w:hAnsi="Verdana" w:cs="Arial"/>
          <w:color w:val="000000"/>
          <w:lang w:val="es-ES_tradnl" w:eastAsia="es-ES" w:bidi="es-ES"/>
        </w:rPr>
        <w:t xml:space="preserve">. </w:t>
      </w:r>
    </w:p>
    <w:p w14:paraId="3ED20ED9" w14:textId="77777777" w:rsidR="00D4125A" w:rsidRPr="00EC5368" w:rsidRDefault="00D4125A" w:rsidP="00D4125A">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5"/>
      <w:bookmarkEnd w:id="6"/>
      <w:r w:rsidRPr="00EC5368">
        <w:rPr>
          <w:rFonts w:ascii="Verdana" w:eastAsia="Calibri" w:hAnsi="Verdana" w:cs="Arial"/>
          <w:color w:val="000000"/>
          <w:vertAlign w:val="superscript"/>
          <w:lang w:val="es-ES_tradnl" w:eastAsia="es-ES" w:bidi="es-ES"/>
        </w:rPr>
        <w:footnoteReference w:id="17"/>
      </w:r>
      <w:r w:rsidRPr="00EC5368">
        <w:rPr>
          <w:rFonts w:ascii="Verdana" w:eastAsia="Calibri" w:hAnsi="Verdana" w:cs="Arial"/>
          <w:color w:val="000000"/>
          <w:lang w:val="es-ES_tradnl" w:eastAsia="es-ES" w:bidi="es-ES"/>
        </w:rPr>
        <w:t>. De esta manera:</w:t>
      </w:r>
    </w:p>
    <w:p w14:paraId="1B906863" w14:textId="77777777" w:rsidR="00D4125A" w:rsidRPr="00EC5368" w:rsidRDefault="00D4125A" w:rsidP="00D4125A">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0E01515E" w14:textId="77777777" w:rsidR="00D4125A" w:rsidRPr="00EC5368" w:rsidRDefault="00D4125A" w:rsidP="00D4125A">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639B4DDA" w14:textId="77777777" w:rsidR="00D4125A" w:rsidRPr="00EC5368" w:rsidRDefault="00D4125A" w:rsidP="00D4125A">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EC5368">
        <w:rPr>
          <w:rFonts w:ascii="Verdana" w:eastAsia="Calibri" w:hAnsi="Verdana" w:cs="Arial"/>
          <w:color w:val="000000"/>
          <w:sz w:val="21"/>
          <w:szCs w:val="21"/>
          <w:vertAlign w:val="superscript"/>
          <w:lang w:val="es-ES_tradnl" w:eastAsia="es-ES" w:bidi="es-ES"/>
        </w:rPr>
        <w:footnoteReference w:id="18"/>
      </w:r>
      <w:r w:rsidRPr="00EC5368">
        <w:rPr>
          <w:rFonts w:ascii="Verdana" w:eastAsia="Calibri" w:hAnsi="Verdana" w:cs="Arial"/>
          <w:color w:val="000000"/>
          <w:sz w:val="21"/>
          <w:szCs w:val="21"/>
          <w:lang w:val="es-ES_tradnl" w:eastAsia="es-ES" w:bidi="es-ES"/>
        </w:rPr>
        <w:t>.</w:t>
      </w:r>
    </w:p>
    <w:p w14:paraId="580681B4" w14:textId="77777777" w:rsidR="00D4125A" w:rsidRPr="00EC5368" w:rsidRDefault="00D4125A" w:rsidP="00D4125A">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0CAACA9C" w14:textId="77777777" w:rsidR="00D4125A" w:rsidRDefault="00D4125A" w:rsidP="00D4125A">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w:t>
      </w:r>
      <w:r w:rsidRPr="00EC5368">
        <w:rPr>
          <w:rFonts w:ascii="Verdana" w:eastAsia="Calibri" w:hAnsi="Verdana" w:cs="Arial"/>
          <w:color w:val="000000"/>
          <w:lang w:val="es-ES_tradnl" w:eastAsia="es-ES" w:bidi="es-ES"/>
        </w:rPr>
        <w:lastRenderedPageBreak/>
        <w:t>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0F2B6B96" w14:textId="77777777" w:rsidR="00D4125A" w:rsidRPr="00B54C0B" w:rsidRDefault="00D4125A" w:rsidP="00D4125A">
      <w:pPr>
        <w:widowControl w:val="0"/>
        <w:autoSpaceDE w:val="0"/>
        <w:autoSpaceDN w:val="0"/>
        <w:spacing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consecuencia, como la obra pública existe con independencia de la modalidad de ejecución o de pago, sea que el objeto se ejecute a través de administración delegada o por administración de recursos, ambas categorías pertenecen a la tipología contractual del numeral 1 del artículo 32 de la Ley 80 de 1993. Es decir, al margen de la nominación asignada por las partes, cualquier negocio jurídico que implique un trabajo material sobre bienes inmuebles a favor de una entidad pública, tiene la naturaleza jurídica de una obra pública. Como este contrato tiene carácter bilateral y oneroso, en los términos del inciso primero del artículo 41 del EGCAP, las obligaciones básicas dependen del acuerdo sobre el inmueble objeto de construcción, mantenimiento, instalación, reforma o demolición, por un lado, y la remuneración del contratista de acuerdo con la forma de ejecución, por el otro. </w:t>
      </w:r>
    </w:p>
    <w:p w14:paraId="0FCB13B7" w14:textId="77777777" w:rsidR="00D4125A" w:rsidRDefault="00D4125A" w:rsidP="00D4125A">
      <w:pPr>
        <w:spacing w:after="120" w:line="276" w:lineRule="auto"/>
        <w:jc w:val="both"/>
        <w:rPr>
          <w:rFonts w:ascii="Verdana" w:eastAsia="Calibri" w:hAnsi="Verdana" w:cs="Times New Roman"/>
          <w:color w:val="000000" w:themeColor="text1"/>
          <w:lang w:val="es-ES" w:eastAsia="es-MX"/>
        </w:rPr>
      </w:pPr>
    </w:p>
    <w:p w14:paraId="7CC00C1F" w14:textId="77777777" w:rsidR="00D4125A" w:rsidRPr="0034022B" w:rsidRDefault="00D4125A" w:rsidP="00D4125A">
      <w:pPr>
        <w:spacing w:after="120" w:line="276" w:lineRule="auto"/>
        <w:jc w:val="both"/>
        <w:rPr>
          <w:rFonts w:ascii="Verdana" w:eastAsia="Calibri" w:hAnsi="Verdana" w:cs="Times New Roman"/>
          <w:color w:val="000000" w:themeColor="text1"/>
          <w:lang w:val="es-ES" w:eastAsia="es-MX"/>
        </w:rPr>
      </w:pPr>
      <w:r>
        <w:rPr>
          <w:rFonts w:ascii="Verdana" w:eastAsia="Calibri" w:hAnsi="Verdana" w:cs="Times New Roman"/>
          <w:color w:val="000000" w:themeColor="text1"/>
          <w:lang w:val="es-ES" w:eastAsia="es-MX"/>
        </w:rPr>
        <w:t xml:space="preserve">III). </w:t>
      </w:r>
      <w:r w:rsidRPr="00070FDD">
        <w:rPr>
          <w:rFonts w:ascii="Verdana" w:eastAsia="Calibri" w:hAnsi="Verdana" w:cs="Times New Roman"/>
          <w:color w:val="000000" w:themeColor="text1"/>
          <w:lang w:val="es-ES" w:eastAsia="es-MX"/>
        </w:rPr>
        <w:t>Teniendo en</w:t>
      </w:r>
      <w:r>
        <w:rPr>
          <w:rFonts w:ascii="Verdana" w:eastAsia="Calibri" w:hAnsi="Verdana" w:cs="Times New Roman"/>
          <w:color w:val="000000" w:themeColor="text1"/>
          <w:lang w:val="es-ES" w:eastAsia="es-MX"/>
        </w:rPr>
        <w:t xml:space="preserve"> consideración lo anterior</w:t>
      </w:r>
      <w:r w:rsidRPr="00070FDD">
        <w:rPr>
          <w:rFonts w:ascii="Verdana" w:eastAsia="Calibri" w:hAnsi="Verdana" w:cs="Times New Roman"/>
          <w:color w:val="000000" w:themeColor="text1"/>
          <w:lang w:val="es-ES" w:eastAsia="es-MX"/>
        </w:rPr>
        <w:t>, resulta pertinente precisar que los artículos</w:t>
      </w:r>
      <w:r>
        <w:rPr>
          <w:rFonts w:ascii="Verdana" w:eastAsia="Calibri" w:hAnsi="Verdana" w:cs="Times New Roman"/>
          <w:color w:val="000000" w:themeColor="text1"/>
          <w:lang w:val="es-ES" w:eastAsia="es-MX"/>
        </w:rPr>
        <w:t xml:space="preserve"> 17, 18 y 19 de la Resolución 539 de </w:t>
      </w:r>
      <w:proofErr w:type="gramStart"/>
      <w:r>
        <w:rPr>
          <w:rFonts w:ascii="Verdana" w:eastAsia="Calibri" w:hAnsi="Verdana" w:cs="Times New Roman"/>
          <w:color w:val="000000" w:themeColor="text1"/>
          <w:lang w:val="es-ES" w:eastAsia="es-MX"/>
        </w:rPr>
        <w:t>2025</w:t>
      </w:r>
      <w:r w:rsidRPr="00542DBB">
        <w:rPr>
          <w:rFonts w:ascii="Verdana" w:eastAsia="Calibri" w:hAnsi="Verdana" w:cs="Times New Roman"/>
          <w:color w:val="000000" w:themeColor="text1"/>
          <w:lang w:val="es-ES" w:eastAsia="es-MX"/>
        </w:rPr>
        <w:t>,  16</w:t>
      </w:r>
      <w:proofErr w:type="gramEnd"/>
      <w:r w:rsidRPr="00542DBB">
        <w:rPr>
          <w:rFonts w:ascii="Verdana" w:eastAsia="Calibri" w:hAnsi="Verdana" w:cs="Times New Roman"/>
          <w:color w:val="000000" w:themeColor="text1"/>
          <w:lang w:val="es-ES" w:eastAsia="es-MX"/>
        </w:rPr>
        <w:t>, 17 y 18 de la</w:t>
      </w:r>
      <w:r>
        <w:rPr>
          <w:rFonts w:ascii="Verdana" w:eastAsia="Calibri" w:hAnsi="Verdana" w:cs="Times New Roman"/>
          <w:color w:val="000000" w:themeColor="text1"/>
          <w:lang w:val="es-ES" w:eastAsia="es-MX"/>
        </w:rPr>
        <w:t>s</w:t>
      </w:r>
      <w:r w:rsidRPr="00542DBB">
        <w:rPr>
          <w:rFonts w:ascii="Verdana" w:eastAsia="Calibri" w:hAnsi="Verdana" w:cs="Times New Roman"/>
          <w:color w:val="000000" w:themeColor="text1"/>
          <w:lang w:val="es-ES" w:eastAsia="es-MX"/>
        </w:rPr>
        <w:t xml:space="preserve"> </w:t>
      </w:r>
      <w:r w:rsidRPr="008E45AD">
        <w:rPr>
          <w:rFonts w:ascii="Verdana" w:eastAsia="Calibri" w:hAnsi="Verdana" w:cs="Times New Roman"/>
          <w:color w:val="000000" w:themeColor="text1"/>
          <w:lang w:val="es-ES" w:eastAsia="es-MX"/>
        </w:rPr>
        <w:t>Resoluciones 540, 541, 952 y 953 de 2025</w:t>
      </w:r>
      <w:r>
        <w:rPr>
          <w:rFonts w:ascii="Verdana" w:eastAsia="Calibri" w:hAnsi="Verdana" w:cs="Times New Roman"/>
          <w:color w:val="000000" w:themeColor="text1"/>
          <w:lang w:val="es-ES" w:eastAsia="es-MX"/>
        </w:rPr>
        <w:t>,</w:t>
      </w:r>
      <w:r w:rsidRPr="00070FDD">
        <w:rPr>
          <w:rFonts w:ascii="Verdana" w:eastAsia="Calibri" w:hAnsi="Verdana" w:cs="Times New Roman"/>
          <w:color w:val="000000" w:themeColor="text1"/>
          <w:lang w:val="es-ES" w:eastAsia="es-MX"/>
        </w:rPr>
        <w:t xml:space="preserve"> adoptan los Documentos Tipo complementarios para los procesos de contratación de infraestructura social correspondientes al Sector Institucional</w:t>
      </w:r>
      <w:r w:rsidRPr="00070FDD">
        <w:rPr>
          <w:rFonts w:ascii="Verdana" w:eastAsia="Calibri" w:hAnsi="Verdana" w:cs="Times New Roman"/>
          <w:color w:val="000000" w:themeColor="text1"/>
          <w:kern w:val="2"/>
          <w:lang w:val="es-ES"/>
          <w14:ligatures w14:val="standardContextual"/>
        </w:rPr>
        <w:t xml:space="preserve">, estos documentos aplican a los procesos contractuales que correspondan a las actividades definidas en la Matriz 1 – Experiencia del Sector institucional. </w:t>
      </w:r>
    </w:p>
    <w:p w14:paraId="6E9E0DC0" w14:textId="77777777" w:rsidR="00D4125A" w:rsidRDefault="00D4125A" w:rsidP="00D4125A">
      <w:pPr>
        <w:spacing w:after="120" w:line="276" w:lineRule="auto"/>
        <w:ind w:firstLine="708"/>
        <w:jc w:val="both"/>
        <w:rPr>
          <w:rFonts w:ascii="Verdana" w:eastAsia="Calibri" w:hAnsi="Verdana" w:cs="Times New Roman"/>
          <w:color w:val="000000" w:themeColor="text1"/>
          <w:kern w:val="2"/>
          <w14:ligatures w14:val="standardContextual"/>
        </w:rPr>
      </w:pPr>
      <w:r w:rsidRPr="000E5873">
        <w:rPr>
          <w:rFonts w:ascii="Verdana" w:eastAsia="Calibri" w:hAnsi="Verdana" w:cs="Times New Roman"/>
          <w:color w:val="000000" w:themeColor="text1"/>
          <w:kern w:val="2"/>
          <w14:ligatures w14:val="standardContextual"/>
        </w:rPr>
        <w:t xml:space="preserve">En los Documentos Tipo complementarios del sector institucional, aplicables a las modalidades de licitación pública, selección abreviada de menor cuantía y mínima cuantía, se establece en la Matriz 1 – Experiencia del sector institucional (versión 1 del 21 de agosto de 2025), un conjunto de actividades que, atendiendo al objeto de la presente petición, resultan relevantes para su análisis. </w:t>
      </w:r>
      <w:r w:rsidRPr="006F2DA0">
        <w:rPr>
          <w:rFonts w:ascii="Verdana" w:eastAsia="Calibri" w:hAnsi="Verdana" w:cs="Times New Roman"/>
          <w:color w:val="000000" w:themeColor="text1"/>
          <w:kern w:val="2"/>
          <w14:ligatures w14:val="standardContextual"/>
        </w:rPr>
        <w:t xml:space="preserve">En particular, se encuentran las actividad 2.2. del capítulo 2. Obras en proyectos de infraestructura institucional de servicio público, referidas a </w:t>
      </w:r>
      <w:proofErr w:type="spellStart"/>
      <w:r w:rsidRPr="006F2DA0">
        <w:rPr>
          <w:rFonts w:ascii="Verdana" w:eastAsia="Calibri" w:hAnsi="Verdana" w:cs="Times New Roman"/>
          <w:color w:val="000000" w:themeColor="text1"/>
          <w:kern w:val="2"/>
          <w14:ligatures w14:val="standardContextual"/>
        </w:rPr>
        <w:t>oyectos</w:t>
      </w:r>
      <w:proofErr w:type="spellEnd"/>
      <w:r w:rsidRPr="006F2DA0">
        <w:rPr>
          <w:rFonts w:ascii="Verdana" w:eastAsia="Calibri" w:hAnsi="Verdana" w:cs="Times New Roman"/>
          <w:color w:val="000000" w:themeColor="text1"/>
          <w:kern w:val="2"/>
          <w14:ligatures w14:val="standardContextual"/>
        </w:rPr>
        <w:t xml:space="preserve"> de adecuación y/o conservación y/o intervención y/o instalación y/o mantenimiento y/o mejoramiento y/o modificación u optimización y/o rehabilitación y/o remodelación y/o reposición y/o reparación locativa y/o </w:t>
      </w:r>
      <w:r w:rsidRPr="006F2DA0">
        <w:rPr>
          <w:rFonts w:ascii="Verdana" w:eastAsia="Calibri" w:hAnsi="Verdana" w:cs="Times New Roman"/>
          <w:color w:val="000000" w:themeColor="text1"/>
          <w:kern w:val="2"/>
          <w14:ligatures w14:val="standardContextual"/>
        </w:rPr>
        <w:lastRenderedPageBreak/>
        <w:t>restauración y/o restitución y/o terminación de infraestructura de servicio público</w:t>
      </w:r>
      <w:r>
        <w:rPr>
          <w:rFonts w:ascii="Verdana" w:eastAsia="Calibri" w:hAnsi="Verdana" w:cs="Times New Roman"/>
          <w:color w:val="000000" w:themeColor="text1"/>
          <w:kern w:val="2"/>
          <w14:ligatures w14:val="standardContextual"/>
        </w:rPr>
        <w:t>.</w:t>
      </w:r>
    </w:p>
    <w:p w14:paraId="40826EC5" w14:textId="77777777" w:rsidR="00D4125A" w:rsidRPr="00FE66BB" w:rsidRDefault="00D4125A" w:rsidP="00D4125A">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66E04452" w14:textId="77777777" w:rsidR="00D4125A" w:rsidRPr="00FE66BB" w:rsidRDefault="00D4125A" w:rsidP="00D4125A">
      <w:pPr>
        <w:spacing w:after="120" w:line="276" w:lineRule="auto"/>
        <w:ind w:firstLine="708"/>
        <w:jc w:val="both"/>
        <w:rPr>
          <w:rFonts w:ascii="Verdana" w:eastAsia="Times New Roman" w:hAnsi="Verdana" w:cs="Aptos"/>
          <w:kern w:val="2"/>
          <w:lang w:eastAsia="es-MX"/>
          <w14:ligatures w14:val="standardContextual"/>
        </w:rPr>
      </w:pPr>
      <w:r w:rsidRPr="00FE66BB">
        <w:rPr>
          <w:rFonts w:ascii="Verdana" w:eastAsia="Times New Roman" w:hAnsi="Verdana" w:cs="Aptos"/>
          <w:kern w:val="2"/>
          <w:lang w:eastAsia="es-MX"/>
          <w14:ligatures w14:val="standardContextual"/>
        </w:rPr>
        <w:t>La nota general 1 contenida en la Matriz 1 – Experiencia de los Documentos Tipo indicados, es congruente con el numeral 1.10 del documento base que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p>
    <w:p w14:paraId="44A9E5F0" w14:textId="77777777" w:rsidR="00D4125A" w:rsidRPr="00FE66BB" w:rsidRDefault="00D4125A" w:rsidP="00D4125A">
      <w:pPr>
        <w:spacing w:after="120" w:line="276" w:lineRule="auto"/>
        <w:ind w:firstLine="708"/>
        <w:jc w:val="both"/>
        <w:rPr>
          <w:rFonts w:ascii="Verdana" w:eastAsia="Calibri" w:hAnsi="Verdana" w:cs="Arial"/>
          <w:color w:val="0D0D0D"/>
          <w:lang w:eastAsia="es-MX"/>
        </w:rPr>
      </w:pPr>
      <w:r w:rsidRPr="00FE66BB">
        <w:rPr>
          <w:rFonts w:ascii="Verdana" w:eastAsia="Calibri" w:hAnsi="Verdana" w:cs="Arial"/>
          <w:lang w:val="es-ES_tradnl" w:eastAsia="es-MX"/>
        </w:rPr>
        <w:t xml:space="preserve">Ahora bien, como se precisó las actividades señaladas recaen sobre </w:t>
      </w:r>
      <w:r w:rsidRPr="00FE66BB">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FE66BB">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FE66BB">
        <w:rPr>
          <w:rFonts w:ascii="Verdana" w:eastAsia="Calibri" w:hAnsi="Verdana" w:cs="Arial"/>
          <w:color w:val="0D0D0D"/>
          <w:vertAlign w:val="superscript"/>
          <w:lang w:eastAsia="es-MX"/>
        </w:rPr>
        <w:footnoteReference w:id="19"/>
      </w:r>
      <w:r w:rsidRPr="00FE66BB">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FE66BB">
        <w:rPr>
          <w:rFonts w:ascii="Verdana" w:eastAsia="Calibri" w:hAnsi="Verdana" w:cs="Arial"/>
          <w:color w:val="0D0D0D"/>
          <w:vertAlign w:val="superscript"/>
          <w:lang w:eastAsia="es-MX"/>
        </w:rPr>
        <w:footnoteReference w:id="20"/>
      </w:r>
      <w:r w:rsidRPr="00FE66BB">
        <w:rPr>
          <w:rFonts w:ascii="Verdana" w:eastAsia="Calibri" w:hAnsi="Verdana" w:cs="Arial"/>
          <w:color w:val="0D0D0D"/>
          <w:lang w:eastAsia="es-MX"/>
        </w:rPr>
        <w:t>.</w:t>
      </w:r>
    </w:p>
    <w:p w14:paraId="44E71475" w14:textId="77777777" w:rsidR="00D4125A" w:rsidRPr="006F2DA0" w:rsidRDefault="00D4125A" w:rsidP="00D4125A">
      <w:pPr>
        <w:spacing w:after="120" w:line="276" w:lineRule="auto"/>
        <w:ind w:firstLine="708"/>
        <w:jc w:val="both"/>
        <w:rPr>
          <w:rFonts w:ascii="Verdana" w:eastAsia="Calibri" w:hAnsi="Verdana" w:cs="Times New Roman"/>
          <w:color w:val="000000" w:themeColor="text1"/>
          <w:kern w:val="2"/>
          <w14:ligatures w14:val="standardContextual"/>
        </w:rPr>
      </w:pPr>
      <w:r w:rsidRPr="00FE66BB">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w:t>
      </w:r>
      <w:r w:rsidRPr="00FE66BB">
        <w:rPr>
          <w:rFonts w:ascii="Verdana" w:eastAsia="Calibri" w:hAnsi="Verdana" w:cs="Arial"/>
          <w:color w:val="0D0D0D"/>
          <w:lang w:eastAsia="es-MX"/>
        </w:rPr>
        <w:lastRenderedPageBreak/>
        <w:t>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w:t>
      </w:r>
    </w:p>
    <w:p w14:paraId="7008B866" w14:textId="77777777" w:rsidR="00D4125A" w:rsidRPr="00DB2731" w:rsidRDefault="00D4125A" w:rsidP="00D4125A">
      <w:pPr>
        <w:spacing w:after="120" w:line="276" w:lineRule="auto"/>
        <w:jc w:val="both"/>
        <w:rPr>
          <w:rFonts w:ascii="Verdana" w:hAnsi="Verdana" w:cstheme="minorHAnsi"/>
          <w:lang w:val="es-ES"/>
        </w:rPr>
      </w:pPr>
      <w:r>
        <w:rPr>
          <w:rFonts w:ascii="Verdana" w:hAnsi="Verdana" w:cstheme="minorHAnsi"/>
          <w:lang w:val="es-ES"/>
        </w:rPr>
        <w:t xml:space="preserve">IV). </w:t>
      </w:r>
      <w:r w:rsidRPr="00DB2731">
        <w:rPr>
          <w:rFonts w:ascii="Verdana" w:hAnsi="Verdana" w:cstheme="minorHAnsi"/>
          <w:lang w:val="es-ES"/>
        </w:rPr>
        <w:t>Ahora bien, una vez establecido que las actividades objeto de consulta pueden recaer sobre edificaciones pertenecientes al Subgrupo de Ocupación Institucional de Servicio Público (I-5) y, por ende, corresponder a proyectos de infraestructura institucional, resulta pertinente precisar las consecuencias jurídicas que ello implica en materia de aplicación de los Documentos Tipo.</w:t>
      </w:r>
    </w:p>
    <w:p w14:paraId="1997107A" w14:textId="77777777" w:rsidR="00D4125A" w:rsidRPr="00DB2731" w:rsidRDefault="00D4125A" w:rsidP="00D4125A">
      <w:pPr>
        <w:spacing w:after="120" w:line="276" w:lineRule="auto"/>
        <w:ind w:firstLine="709"/>
        <w:jc w:val="both"/>
        <w:rPr>
          <w:rFonts w:ascii="Verdana" w:hAnsi="Verdana" w:cstheme="minorHAnsi"/>
          <w:lang w:val="es-ES"/>
        </w:rPr>
      </w:pPr>
      <w:r w:rsidRPr="00DB2731">
        <w:rPr>
          <w:rFonts w:ascii="Verdana" w:hAnsi="Verdana" w:cstheme="minorHAnsi"/>
          <w:lang w:val="es-ES"/>
        </w:rPr>
        <w:t>En efecto, si del análisis del objeto contractual, de la modalidad de selección y de la Matriz de Experiencia se concluye que el proceso se encuentra comprendido dentro del ámbito de aplicación de los Documentos Tipo del sector de infraestructura social – sector institucional, la entidad estatal deberá incorporarlos respetando su carácter obligatorio y el principio de inalterabilidad, pudiendo modificar únicamente aquellos aspectos respecto de los cuales el propio documento autoriza su adaptación.</w:t>
      </w:r>
    </w:p>
    <w:p w14:paraId="535FCFB1" w14:textId="77777777" w:rsidR="00D4125A" w:rsidRPr="00DB2731" w:rsidRDefault="00D4125A" w:rsidP="00D4125A">
      <w:pPr>
        <w:spacing w:after="120" w:line="276" w:lineRule="auto"/>
        <w:ind w:firstLine="709"/>
        <w:jc w:val="both"/>
        <w:rPr>
          <w:rFonts w:ascii="Verdana" w:hAnsi="Verdana" w:cstheme="minorHAnsi"/>
          <w:lang w:val="es-ES"/>
        </w:rPr>
      </w:pPr>
      <w:r w:rsidRPr="00DB2731">
        <w:rPr>
          <w:rFonts w:ascii="Verdana" w:hAnsi="Verdana" w:cstheme="minorHAnsi"/>
          <w:lang w:val="es-ES"/>
        </w:rPr>
        <w:t>En este contexto, durante la etapa de planeación y como resultado del estudio del sector y del análisis de riesgos, la entidad deberá definir las condiciones necesarias para garantizar la adecuada ejecución del contrato, tales como las especificaciones técnicas, el alcance, la forma de pago y los demás aspectos propios del proceso de contratación. Estas definiciones deberán realizarse dentro de los márgenes de flexibilidad previstos en los Documentos Tipo y sin alterar aquellas disposiciones cuyo contenido es obligatorio.</w:t>
      </w:r>
    </w:p>
    <w:p w14:paraId="1DAF9C0F" w14:textId="77777777" w:rsidR="00D4125A" w:rsidRPr="00346274" w:rsidRDefault="00D4125A" w:rsidP="00D4125A">
      <w:pPr>
        <w:spacing w:after="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lang w:eastAsia="es-MX"/>
        </w:rPr>
        <w:t xml:space="preserve">El numeral 4.1 del Documento </w:t>
      </w:r>
      <w:r w:rsidRPr="00346274">
        <w:rPr>
          <w:rFonts w:ascii="Verdana" w:eastAsia="Calibri" w:hAnsi="Verdana" w:cs="Arial"/>
          <w:kern w:val="2"/>
          <w:lang w:val="es-ES_tradnl"/>
          <w14:ligatures w14:val="standardContextual"/>
        </w:rPr>
        <w:t>base de los documentos tipo de licitación de obra pública de infraestructura social – versión 2 establece lo siguiente en relación con la oferta económica:</w:t>
      </w:r>
    </w:p>
    <w:p w14:paraId="7502AE5B" w14:textId="77777777" w:rsidR="00D4125A" w:rsidRPr="00D426B8" w:rsidRDefault="00D4125A" w:rsidP="00D4125A">
      <w:pPr>
        <w:spacing w:after="0" w:line="276" w:lineRule="auto"/>
        <w:jc w:val="both"/>
        <w:rPr>
          <w:rFonts w:ascii="Verdana" w:eastAsia="Calibri" w:hAnsi="Verdana" w:cs="Arial"/>
          <w:kern w:val="2"/>
          <w:sz w:val="24"/>
          <w:szCs w:val="24"/>
          <w:lang w:val="es-ES_tradnl"/>
          <w14:ligatures w14:val="standardContextual"/>
        </w:rPr>
      </w:pPr>
    </w:p>
    <w:p w14:paraId="02E7E122" w14:textId="77777777" w:rsidR="00D4125A" w:rsidRPr="00346274" w:rsidRDefault="00D4125A" w:rsidP="00D4125A">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rial" w:hAnsi="Verdana" w:cs="Arial"/>
          <w:kern w:val="2"/>
          <w:sz w:val="21"/>
          <w:szCs w:val="21"/>
          <w:lang w:val="es-MX"/>
          <w14:ligatures w14:val="standardContextual"/>
        </w:rPr>
        <w:t>“[</w:t>
      </w:r>
      <w:r w:rsidRPr="00346274">
        <w:rPr>
          <w:rFonts w:ascii="Verdana" w:eastAsia="Arial" w:hAnsi="Verdana" w:cs="Arial"/>
          <w:kern w:val="2"/>
          <w:sz w:val="21"/>
          <w:szCs w:val="21"/>
          <w:highlight w:val="lightGray"/>
          <w:lang w:val="es-MX"/>
          <w14:ligatures w14:val="standardContextual"/>
        </w:rPr>
        <w:t>La Entidad debe indicar si la forma de pago es por precio global, llave en mano, precios unitarios, administración delegada, reembolso de gastos o la que determine.</w:t>
      </w:r>
      <w:r w:rsidRPr="00346274">
        <w:rPr>
          <w:rFonts w:ascii="Verdana" w:eastAsia="Aptos" w:hAnsi="Verdana" w:cs="Times New Roman"/>
          <w:kern w:val="2"/>
          <w:sz w:val="21"/>
          <w:szCs w:val="21"/>
          <w:highlight w:val="lightGray"/>
          <w:lang w:val="es-MX"/>
          <w14:ligatures w14:val="standardContextual"/>
        </w:rPr>
        <w:t xml:space="preserve"> El Anexo 1 – Anexo Técnico y el Formulario 1– Formulario de </w:t>
      </w:r>
      <w:r w:rsidRPr="00346274">
        <w:rPr>
          <w:rFonts w:ascii="Verdana" w:eastAsia="Aptos" w:hAnsi="Verdana" w:cs="Times New Roman"/>
          <w:kern w:val="2"/>
          <w:sz w:val="20"/>
          <w:szCs w:val="20"/>
          <w:highlight w:val="lightGray"/>
          <w14:ligatures w14:val="standardContextual"/>
        </w:rPr>
        <w:t>Presupuesto Oficial debe ser concordante con la modalidad de pago seleccionada]</w:t>
      </w:r>
    </w:p>
    <w:p w14:paraId="14B4836F" w14:textId="77777777" w:rsidR="00D4125A" w:rsidRPr="00346274" w:rsidRDefault="00D4125A" w:rsidP="00D4125A">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highlight w:val="lightGray"/>
          <w14:ligatures w14:val="standardContextual"/>
        </w:rPr>
        <w:t xml:space="preserve">[Cuando el presupuesto del Proceso de Contratación es estructurado por Precios Unitarios, la </w:t>
      </w:r>
      <w:r w:rsidRPr="00346274" w:rsidDel="1355DA3D">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aplicar las notas señaladas en el Formulario 1 – Formulario de Presupuesto oficial.]</w:t>
      </w:r>
    </w:p>
    <w:p w14:paraId="6C230800" w14:textId="77777777" w:rsidR="00D4125A" w:rsidRPr="00346274" w:rsidRDefault="00D4125A" w:rsidP="00D4125A">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lastRenderedPageBreak/>
        <w:t>Para calificar este factor se tendrá en cuenta el valor total indicado en la propuesta económica o el obtenido de la corrección aritmética. La propuesta económica deberá ser allegada en el Sobre No. 2.</w:t>
      </w:r>
    </w:p>
    <w:p w14:paraId="16F6CE34" w14:textId="77777777" w:rsidR="00D4125A" w:rsidRPr="00346274" w:rsidRDefault="00D4125A" w:rsidP="00D4125A">
      <w:pPr>
        <w:shd w:val="clear" w:color="auto" w:fill="FFFFFF"/>
        <w:spacing w:after="120" w:line="240" w:lineRule="auto"/>
        <w:ind w:left="709" w:right="709"/>
        <w:jc w:val="both"/>
        <w:rPr>
          <w:rFonts w:ascii="Verdana" w:eastAsia="Aptos" w:hAnsi="Verdana" w:cs="Times New Roman"/>
          <w:kern w:val="2"/>
          <w:sz w:val="20"/>
          <w:szCs w:val="20"/>
          <w:highlight w:val="lightGray"/>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57F4FB36">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 xml:space="preserve">ntidad debe configurar el </w:t>
      </w:r>
      <w:r w:rsidRPr="00346274" w:rsidDel="57F4FB36">
        <w:rPr>
          <w:rFonts w:ascii="Verdana" w:eastAsia="Aptos" w:hAnsi="Verdana" w:cs="Times New Roman"/>
          <w:kern w:val="2"/>
          <w:sz w:val="20"/>
          <w:szCs w:val="20"/>
          <w:highlight w:val="lightGray"/>
          <w14:ligatures w14:val="standardContextual"/>
        </w:rPr>
        <w:t>F</w:t>
      </w:r>
      <w:r w:rsidRPr="00346274">
        <w:rPr>
          <w:rFonts w:ascii="Verdana" w:eastAsia="Aptos" w:hAnsi="Verdana" w:cs="Times New Roman"/>
          <w:kern w:val="2"/>
          <w:sz w:val="20"/>
          <w:szCs w:val="20"/>
          <w:highlight w:val="lightGray"/>
          <w14:ligatures w14:val="standardContextual"/>
        </w:rPr>
        <w:t xml:space="preserve">ormato de oferta económica que se encuentra en el Formulario 1 – Formulario de Presupuesto Oficial, para que sea diligenciado por los </w:t>
      </w:r>
      <w:r w:rsidRPr="00346274" w:rsidDel="57F4FB36">
        <w:rPr>
          <w:rFonts w:ascii="Verdana" w:eastAsia="Aptos" w:hAnsi="Verdana" w:cs="Times New Roman"/>
          <w:kern w:val="2"/>
          <w:sz w:val="20"/>
          <w:szCs w:val="20"/>
          <w:highlight w:val="lightGray"/>
          <w14:ligatures w14:val="standardContextual"/>
        </w:rPr>
        <w:t>P</w:t>
      </w:r>
      <w:r w:rsidRPr="00346274">
        <w:rPr>
          <w:rFonts w:ascii="Verdana" w:eastAsia="Aptos" w:hAnsi="Verdana" w:cs="Times New Roman"/>
          <w:kern w:val="2"/>
          <w:sz w:val="20"/>
          <w:szCs w:val="20"/>
          <w:highlight w:val="lightGray"/>
          <w14:ligatures w14:val="standardContextual"/>
        </w:rPr>
        <w:t xml:space="preserve">roponentes. </w:t>
      </w:r>
    </w:p>
    <w:p w14:paraId="15517171" w14:textId="77777777" w:rsidR="00D4125A" w:rsidRPr="00346274" w:rsidRDefault="00D4125A" w:rsidP="00D4125A">
      <w:pPr>
        <w:shd w:val="clear" w:color="auto" w:fill="FFFFFF"/>
        <w:spacing w:after="12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00DD3F5A">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incluir el Formulario</w:t>
      </w:r>
      <w:r w:rsidRPr="00346274">
        <w:rPr>
          <w:rFonts w:ascii="Verdana" w:eastAsia="Aptos" w:hAnsi="Verdana" w:cs="Times New Roman"/>
          <w:kern w:val="2"/>
          <w:sz w:val="21"/>
          <w:szCs w:val="21"/>
          <w:highlight w:val="lightGray"/>
          <w:lang w:val="es-MX"/>
          <w14:ligatures w14:val="standardContextual"/>
        </w:rPr>
        <w:t xml:space="preserve"> 1 – Formulario de Presupuesto Oficial y la oferta económica en formato Excel. En ningún caso la Entidad podrá incluir causales de rechazo o reglas que diferentes a las establecidas en el presente documento]</w:t>
      </w:r>
      <w:r w:rsidRPr="00346274">
        <w:rPr>
          <w:rFonts w:ascii="Verdana" w:eastAsia="Aptos" w:hAnsi="Verdana" w:cs="Times New Roman"/>
          <w:kern w:val="2"/>
          <w:sz w:val="21"/>
          <w:szCs w:val="21"/>
          <w:lang w:val="es-MX"/>
          <w14:ligatures w14:val="standardContextual"/>
        </w:rPr>
        <w:t xml:space="preserve"> </w:t>
      </w:r>
    </w:p>
    <w:p w14:paraId="7079B9A4" w14:textId="77777777" w:rsidR="00D4125A" w:rsidRPr="00346274" w:rsidRDefault="00D4125A" w:rsidP="00D4125A">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 </w:t>
      </w:r>
    </w:p>
    <w:p w14:paraId="08D3AE42" w14:textId="77777777" w:rsidR="00D4125A" w:rsidRPr="00346274" w:rsidRDefault="00D4125A" w:rsidP="00D4125A">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p>
    <w:p w14:paraId="3BD0E02F" w14:textId="77777777" w:rsidR="00D4125A" w:rsidRPr="00346274" w:rsidRDefault="00D4125A" w:rsidP="00D4125A">
      <w:pPr>
        <w:spacing w:before="120" w:after="120" w:line="276" w:lineRule="auto"/>
        <w:jc w:val="both"/>
        <w:rPr>
          <w:rFonts w:ascii="Verdana" w:eastAsia="Calibri" w:hAnsi="Verdana" w:cs="Arial"/>
          <w:bCs/>
          <w:color w:val="000000"/>
          <w:lang w:eastAsia="es-MX"/>
        </w:rPr>
      </w:pPr>
      <w:r w:rsidRPr="00D426B8">
        <w:rPr>
          <w:rFonts w:ascii="Verdana" w:eastAsia="Calibri" w:hAnsi="Verdana" w:cs="Arial"/>
          <w:kern w:val="2"/>
          <w:sz w:val="24"/>
          <w:szCs w:val="24"/>
          <w:lang w:val="es-MX"/>
          <w14:ligatures w14:val="standardContextual"/>
        </w:rPr>
        <w:tab/>
      </w:r>
      <w:r w:rsidRPr="00346274">
        <w:rPr>
          <w:rFonts w:ascii="Verdana" w:eastAsia="Calibri" w:hAnsi="Verdana" w:cs="Arial"/>
          <w:kern w:val="2"/>
          <w:lang w:val="es-ES_tradnl"/>
          <w14:ligatures w14:val="standardContextual"/>
        </w:rPr>
        <w:t>Los párrafos que están en corchetes son notas aclaratorias o instrucciones para la entidad contratante, que deben ser seguidas sin vulnerar el carácter obligatorio y la regla</w:t>
      </w:r>
      <w:r w:rsidRPr="00D426B8">
        <w:rPr>
          <w:rFonts w:ascii="Verdana" w:eastAsia="Calibri" w:hAnsi="Verdana" w:cs="Arial"/>
          <w:kern w:val="2"/>
          <w:sz w:val="24"/>
          <w:szCs w:val="24"/>
          <w:lang w:val="es-ES_tradnl"/>
          <w14:ligatures w14:val="standardContextual"/>
        </w:rPr>
        <w:t xml:space="preserve"> </w:t>
      </w:r>
      <w:r w:rsidRPr="00346274">
        <w:rPr>
          <w:rFonts w:ascii="Verdana" w:eastAsia="Calibri" w:hAnsi="Verdana" w:cs="Arial"/>
          <w:kern w:val="2"/>
          <w:lang w:val="es-ES_tradnl"/>
          <w14:ligatures w14:val="standardContextua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346274">
        <w:rPr>
          <w:rFonts w:ascii="Verdana" w:eastAsia="Calibri" w:hAnsi="Verdana" w:cs="Arial"/>
          <w:bCs/>
          <w:color w:val="000000"/>
          <w:lang w:eastAsia="es-MX"/>
        </w:rPr>
        <w:t xml:space="preserve">de que la entidad defina una modalidad distinta bajo la expresión “o la que determine”. </w:t>
      </w:r>
    </w:p>
    <w:p w14:paraId="57354C7B" w14:textId="77777777" w:rsidR="00D4125A" w:rsidRPr="00346274" w:rsidRDefault="00D4125A" w:rsidP="00D4125A">
      <w:pPr>
        <w:spacing w:before="120" w:after="12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bCs/>
          <w:color w:val="000000"/>
          <w:lang w:eastAsia="es-MX"/>
        </w:rPr>
        <w:t>En todo</w:t>
      </w:r>
      <w:r w:rsidRPr="00346274">
        <w:rPr>
          <w:rFonts w:ascii="Verdana" w:eastAsia="Calibri" w:hAnsi="Verdana" w:cs="Arial"/>
          <w:kern w:val="2"/>
          <w:lang w:val="es-ES_tradnl"/>
          <w14:ligatures w14:val="standardContextua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32C3E99E" w14:textId="77777777" w:rsidR="00D4125A" w:rsidRPr="0010521B" w:rsidRDefault="00D4125A" w:rsidP="00D4125A">
      <w:pPr>
        <w:spacing w:after="120" w:line="276" w:lineRule="auto"/>
        <w:ind w:firstLine="708"/>
        <w:jc w:val="both"/>
        <w:rPr>
          <w:rFonts w:ascii="Verdana" w:eastAsia="Calibri" w:hAnsi="Verdana" w:cs="Arial"/>
          <w:bCs/>
          <w:color w:val="000000"/>
          <w:shd w:val="clear" w:color="auto" w:fill="FFFFFF"/>
          <w:lang w:val="es-ES_tradnl"/>
        </w:rPr>
      </w:pPr>
      <w:r w:rsidRPr="00346274">
        <w:rPr>
          <w:rFonts w:ascii="Verdana" w:eastAsia="Calibri" w:hAnsi="Verdana" w:cs="Arial"/>
          <w:lang w:val="es-ES"/>
        </w:rPr>
        <w:t xml:space="preserve">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w:t>
      </w:r>
      <w:r w:rsidRPr="00346274">
        <w:rPr>
          <w:rFonts w:ascii="Verdana" w:eastAsia="Calibri" w:hAnsi="Verdana" w:cs="Arial"/>
          <w:lang w:val="es-ES"/>
        </w:rPr>
        <w:lastRenderedPageBreak/>
        <w:t>de deber y obligación, por tanto, no existe la posibilidad de modificar el contenido del documento base previsto en el numeral “4.1.1 A.I.U.” siempre y cuando el proceso de contratación sea por precios unitarios</w:t>
      </w:r>
      <w:bookmarkStart w:id="9" w:name="_Hlk62829022"/>
      <w:r w:rsidRPr="00346274">
        <w:rPr>
          <w:rFonts w:ascii="Verdana" w:eastAsia="Calibri" w:hAnsi="Verdana" w:cs="Arial"/>
          <w:lang w:val="es-ES"/>
        </w:rPr>
        <w:t xml:space="preserve">. Ahora bien, considerando que ese numeral solo debe incorporarse cuando el proceso de contratación sea por precios unitarios, cuando este no suceda, es claro que la </w:t>
      </w:r>
      <w:r w:rsidRPr="0010521B">
        <w:rPr>
          <w:rFonts w:ascii="Verdana" w:eastAsia="Calibri" w:hAnsi="Verdana" w:cs="Arial"/>
          <w:lang w:val="es-ES"/>
        </w:rPr>
        <w:t xml:space="preserve">entidad que adelanta el proceso no debe incluirlo. </w:t>
      </w:r>
    </w:p>
    <w:bookmarkEnd w:id="9"/>
    <w:p w14:paraId="20E6318F" w14:textId="77777777" w:rsidR="00D4125A" w:rsidRPr="0010521B" w:rsidRDefault="00D4125A" w:rsidP="00D4125A">
      <w:pPr>
        <w:spacing w:before="120" w:after="120" w:line="276" w:lineRule="auto"/>
        <w:ind w:firstLine="708"/>
        <w:jc w:val="both"/>
        <w:rPr>
          <w:rFonts w:ascii="Verdana" w:eastAsia="Arial" w:hAnsi="Verdana" w:cs="Arial"/>
          <w:lang w:val="es-ES" w:eastAsia="es-ES" w:bidi="es-ES"/>
        </w:rPr>
      </w:pPr>
      <w:r w:rsidRPr="0010521B">
        <w:rPr>
          <w:rFonts w:ascii="Verdana" w:eastAsia="Calibri" w:hAnsi="Verdana" w:cs="Arial"/>
          <w:bCs/>
          <w:lang w:val="es-ES_tradnl"/>
        </w:rPr>
        <w:t xml:space="preserve">Por su parte, en </w:t>
      </w:r>
      <w:r w:rsidRPr="0010521B">
        <w:rPr>
          <w:rFonts w:ascii="Verdana" w:eastAsia="Calibri" w:hAnsi="Verdana" w:cs="Arial"/>
          <w:iCs/>
          <w:color w:val="000000"/>
          <w:lang w:val="es-ES"/>
        </w:rPr>
        <w:t>el “Formulario 1 – Formulario del Presupuesto Oficial</w:t>
      </w:r>
      <w:bookmarkStart w:id="10" w:name="_Hlk210138186"/>
      <w:r w:rsidRPr="0010521B">
        <w:rPr>
          <w:rFonts w:ascii="Verdana" w:eastAsia="Calibri" w:hAnsi="Verdana" w:cs="Arial"/>
          <w:iCs/>
          <w:color w:val="000000"/>
          <w:lang w:val="es-ES"/>
        </w:rPr>
        <w:t>”</w:t>
      </w:r>
      <w:r w:rsidRPr="0010521B">
        <w:rPr>
          <w:rFonts w:ascii="Verdana" w:eastAsia="Arial" w:hAnsi="Verdana" w:cs="Arial"/>
          <w:lang w:val="es-ES" w:eastAsia="es-ES" w:bidi="es-ES"/>
        </w:rPr>
        <w:t xml:space="preserve">, de los documentos tipo de licitación de obra pública de infraestructura social – versión 2,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10521B">
        <w:rPr>
          <w:rFonts w:ascii="Verdana" w:eastAsia="Arial" w:hAnsi="Verdana" w:cs="Arial"/>
          <w:lang w:val="es-ES" w:eastAsia="es-ES" w:bidi="es-ES"/>
        </w:rPr>
        <w:t>ii</w:t>
      </w:r>
      <w:proofErr w:type="spellEnd"/>
      <w:r w:rsidRPr="0010521B">
        <w:rPr>
          <w:rFonts w:ascii="Verdana" w:eastAsia="Arial" w:hAnsi="Verdana" w:cs="Arial"/>
          <w:lang w:val="es-ES" w:eastAsia="es-ES" w:bidi="es-ES"/>
        </w:rPr>
        <w:t xml:space="preserve">) imprevistos y </w:t>
      </w:r>
      <w:proofErr w:type="spellStart"/>
      <w:r w:rsidRPr="0010521B">
        <w:rPr>
          <w:rFonts w:ascii="Verdana" w:eastAsia="Arial" w:hAnsi="Verdana" w:cs="Arial"/>
          <w:lang w:val="es-ES" w:eastAsia="es-ES" w:bidi="es-ES"/>
        </w:rPr>
        <w:t>iii</w:t>
      </w:r>
      <w:proofErr w:type="spellEnd"/>
      <w:r w:rsidRPr="0010521B">
        <w:rPr>
          <w:rFonts w:ascii="Verdana" w:eastAsia="Arial" w:hAnsi="Verdana" w:cs="Arial"/>
          <w:lang w:val="es-ES" w:eastAsia="es-ES" w:bidi="es-ES"/>
        </w:rPr>
        <w:t>) utilidad, cuando el proceso de contratación sea por precios unitarios.</w:t>
      </w:r>
    </w:p>
    <w:bookmarkEnd w:id="10"/>
    <w:p w14:paraId="3A0808A7" w14:textId="77777777" w:rsidR="00D4125A" w:rsidRPr="0010521B" w:rsidRDefault="00D4125A" w:rsidP="00D4125A">
      <w:pPr>
        <w:widowControl w:val="0"/>
        <w:autoSpaceDE w:val="0"/>
        <w:autoSpaceDN w:val="0"/>
        <w:spacing w:after="0" w:line="276" w:lineRule="auto"/>
        <w:ind w:firstLine="709"/>
        <w:jc w:val="both"/>
        <w:rPr>
          <w:rFonts w:ascii="Verdana" w:eastAsia="Arial" w:hAnsi="Verdana" w:cs="Arial"/>
          <w:lang w:val="es-ES" w:eastAsia="es-ES" w:bidi="es-ES"/>
        </w:rPr>
      </w:pPr>
      <w:r w:rsidRPr="0010521B">
        <w:rPr>
          <w:rFonts w:ascii="Verdana" w:eastAsia="Arial" w:hAnsi="Verdana" w:cs="Arial"/>
          <w:lang w:val="es-ES" w:eastAsia="es-ES" w:bidi="es-ES"/>
        </w:rPr>
        <w:t xml:space="preserve">De esta forma, para efectos de la aplicación de los documentos tipo de licitación de obra pública de infraestructura de social – versión 2, las entidades estatales incluirán de manera obligatoria en el Formulario 1 – Formulario del presupuesto oficial el porcentaje del A.I.U, cuando el proceso de contratación sea por precios unitarios. No obstante, dicha obligación no implica si el proceso de contratación no se estructura bajo esta modalidad. </w:t>
      </w:r>
    </w:p>
    <w:p w14:paraId="6140B001" w14:textId="77777777" w:rsidR="00D4125A" w:rsidRPr="0010521B" w:rsidRDefault="00D4125A" w:rsidP="00D4125A">
      <w:pPr>
        <w:spacing w:after="0" w:line="276" w:lineRule="auto"/>
        <w:jc w:val="both"/>
        <w:rPr>
          <w:rFonts w:ascii="Verdana" w:eastAsia="Calibri" w:hAnsi="Verdana" w:cs="Arial"/>
          <w:bCs/>
          <w:color w:val="000000"/>
          <w:kern w:val="2"/>
          <w14:ligatures w14:val="standardContextual"/>
        </w:rPr>
      </w:pPr>
    </w:p>
    <w:p w14:paraId="09ACFF31" w14:textId="77777777" w:rsidR="00D4125A" w:rsidRPr="0010521B" w:rsidRDefault="00D4125A" w:rsidP="00D4125A">
      <w:pPr>
        <w:spacing w:after="120" w:line="276" w:lineRule="auto"/>
        <w:jc w:val="both"/>
        <w:rPr>
          <w:rFonts w:ascii="Verdana" w:eastAsia="Calibri" w:hAnsi="Verdana" w:cs="Arial"/>
          <w:lang w:eastAsia="es-ES_tradnl"/>
        </w:rPr>
      </w:pPr>
      <w:r w:rsidRPr="0010521B">
        <w:rPr>
          <w:rFonts w:ascii="Verdana" w:eastAsia="Calibri" w:hAnsi="Verdana" w:cs="Arial"/>
          <w:bCs/>
          <w:color w:val="000000"/>
          <w:kern w:val="2"/>
          <w14:ligatures w14:val="standardContextual"/>
        </w:rPr>
        <w:t>V)</w:t>
      </w:r>
      <w:r w:rsidRPr="0010521B">
        <w:rPr>
          <w:rFonts w:ascii="Verdana" w:eastAsia="Calibri" w:hAnsi="Verdana" w:cs="Arial"/>
          <w:lang w:eastAsia="es-ES_tradnl"/>
        </w:rPr>
        <w:t xml:space="preserve">. </w:t>
      </w:r>
      <w:r w:rsidRPr="0010521B">
        <w:rPr>
          <w:rFonts w:ascii="Verdana" w:eastAsia="Calibri" w:hAnsi="Verdana" w:cs="Arial"/>
          <w:color w:val="000000" w:themeColor="text1"/>
          <w:shd w:val="clear" w:color="auto" w:fill="FFFFFF"/>
        </w:rPr>
        <w:t>Finalmente, resulta necesario señalar que la aplicabilidad de los Documentos Tipo depende de que el objeto del proceso de selección se subsuma en alguna de las actividades previstas en la Matriz 1 – Experiencia del documento tipo aplicable, que para este caso corresponde al sector institucional.</w:t>
      </w:r>
    </w:p>
    <w:p w14:paraId="4CC6B2B2" w14:textId="77777777" w:rsidR="00D4125A" w:rsidRPr="0010521B" w:rsidRDefault="00D4125A" w:rsidP="00D4125A">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t>Para establecer si un objeto contractual se encuentra cobijado por los Documentos Tipo, la entidad debe verificar si este se enmarca en los tipos de infraestructura, en la modalidad de selección correspondiente y en las actividades estandarizadas en la respectiva matriz de experiencia. En esa medida, la aplicación de un documento tipo solo será obligatoria cuando se determine que el objeto contractual y la modalidad de selección se encuentran dentro del ámbito de aplicación definido en las resoluciones expedidas por esta Agencia.</w:t>
      </w:r>
    </w:p>
    <w:p w14:paraId="7DC243D5" w14:textId="77777777" w:rsidR="00D4125A" w:rsidRPr="0010521B" w:rsidRDefault="00D4125A" w:rsidP="00D4125A">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lastRenderedPageBreak/>
        <w:t xml:space="preserve">En conclusión, la determinación sobre la aplicabilidad de los Documentos Tipo del Sector Institucional no depende exclusivamente de la denominación que la entidad asigne al objeto contractual, sino del análisis material de su alcance, y de su correspondencia con las actividades previstas en la Matriz 1 – Experiencia, es decir que este objeto se encaje o enmarque en alguna de las actividades previstas en dicha matriz. </w:t>
      </w:r>
    </w:p>
    <w:p w14:paraId="20B1352C" w14:textId="77777777" w:rsidR="00D4125A" w:rsidRPr="0010521B" w:rsidRDefault="00D4125A" w:rsidP="00D4125A">
      <w:pPr>
        <w:spacing w:after="120" w:line="276" w:lineRule="auto"/>
        <w:ind w:firstLine="709"/>
        <w:jc w:val="both"/>
        <w:rPr>
          <w:rFonts w:ascii="Verdana" w:eastAsia="Calibri" w:hAnsi="Verdana" w:cs="Arial"/>
          <w:color w:val="000000" w:themeColor="text1"/>
          <w:shd w:val="clear" w:color="auto" w:fill="FFFFFF"/>
        </w:rPr>
      </w:pPr>
      <w:r w:rsidRPr="0010521B">
        <w:rPr>
          <w:rFonts w:ascii="Verdana" w:eastAsia="Calibri" w:hAnsi="Verdana" w:cs="Arial"/>
          <w:color w:val="000000" w:themeColor="text1"/>
          <w:shd w:val="clear" w:color="auto" w:fill="FFFFFF"/>
        </w:rPr>
        <w:t>En ese sentido, cuando el objeto contractual comprenda trabajos de suministro e instalación o que contengan intervenciones de mantenimiento que recaigan sobre bienes inmuebles —incluidos aquellos por adhesión o por destinación— y se subsuman en las actividades definidas en dicha matriz, la entidad deberá sujetarse a los Documentos Tipo expedidos por esta Agencia. Por el contrario, cuando se trate exclusivamente del suministro de bienes o de elementos o equipos que no comporten intervenciones materiales sobre inmuebles, corresponderá a la entidad, en ejercicio de su deber de planeación, determinar el régimen contractual aplicable con fundamento en el alcance técnico, los estudios previos y las características concretas de la necesidad a satisfacer.</w:t>
      </w:r>
    </w:p>
    <w:p w14:paraId="495196F3" w14:textId="77777777" w:rsidR="00D4125A" w:rsidRPr="0010521B" w:rsidRDefault="00D4125A" w:rsidP="00D4125A">
      <w:pPr>
        <w:spacing w:after="120" w:line="276" w:lineRule="auto"/>
        <w:jc w:val="both"/>
        <w:rPr>
          <w:rFonts w:ascii="Verdana" w:eastAsia="Aptos" w:hAnsi="Verdana" w:cs="Times New Roman"/>
          <w:kern w:val="2"/>
          <w14:ligatures w14:val="standardContextual"/>
        </w:rPr>
      </w:pPr>
      <w:r w:rsidRPr="0010521B">
        <w:rPr>
          <w:rFonts w:ascii="Verdana" w:eastAsia="Calibri" w:hAnsi="Verdana" w:cs="Arial"/>
          <w:color w:val="000000" w:themeColor="text1"/>
          <w:shd w:val="clear" w:color="auto" w:fill="FFFFFF"/>
          <w:lang w:val="es-ES"/>
        </w:rPr>
        <w:t xml:space="preserve">VI). </w:t>
      </w:r>
      <w:r w:rsidRPr="0010521B">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18CA6F" w14:textId="77777777" w:rsidR="00D4125A" w:rsidRPr="0010521B" w:rsidRDefault="00D4125A" w:rsidP="00D4125A">
      <w:pPr>
        <w:spacing w:after="0" w:line="276" w:lineRule="auto"/>
        <w:ind w:firstLine="708"/>
        <w:jc w:val="both"/>
        <w:rPr>
          <w:rFonts w:ascii="Verdana" w:eastAsia="Calibri" w:hAnsi="Verdana" w:cs="Arial"/>
          <w:bCs/>
          <w:color w:val="000000"/>
          <w:kern w:val="2"/>
          <w14:ligatures w14:val="standardContextual"/>
        </w:rPr>
      </w:pPr>
      <w:r w:rsidRPr="0010521B">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10521B">
        <w:rPr>
          <w:rFonts w:ascii="Verdana" w:eastAsia="Calibri" w:hAnsi="Verdana" w:cs="Arial"/>
          <w:bCs/>
          <w:color w:val="000000"/>
          <w:kern w:val="2"/>
          <w14:ligatures w14:val="standardContextual"/>
        </w:rPr>
        <w:lastRenderedPageBreak/>
        <w:t xml:space="preserve">gestión contractual, sin que sea atribución de Colombia Compra Eficiente validar sus actuaciones. </w:t>
      </w:r>
    </w:p>
    <w:p w14:paraId="041ADC38" w14:textId="77777777" w:rsidR="00D4125A" w:rsidRPr="005C2320" w:rsidRDefault="00D4125A" w:rsidP="00D4125A">
      <w:pPr>
        <w:spacing w:after="120" w:line="276" w:lineRule="auto"/>
        <w:ind w:right="49"/>
        <w:jc w:val="both"/>
        <w:rPr>
          <w:rFonts w:ascii="Verdana" w:eastAsia="Calibri" w:hAnsi="Verdana" w:cs="Arial"/>
          <w:color w:val="01AEFC"/>
          <w:sz w:val="20"/>
          <w:szCs w:val="20"/>
          <w:shd w:val="clear" w:color="auto" w:fill="FFFFFF"/>
          <w:lang w:val="es-ES"/>
        </w:rPr>
      </w:pPr>
    </w:p>
    <w:p w14:paraId="157F064C" w14:textId="77777777" w:rsidR="00D4125A" w:rsidRPr="00DB2731" w:rsidRDefault="00D4125A" w:rsidP="00D4125A">
      <w:pPr>
        <w:spacing w:after="120" w:line="276" w:lineRule="auto"/>
        <w:ind w:firstLine="709"/>
        <w:jc w:val="both"/>
        <w:rPr>
          <w:rFonts w:ascii="Verdana" w:hAnsi="Verdana" w:cstheme="minorHAnsi"/>
          <w:lang w:val="es-ES"/>
        </w:rPr>
      </w:pPr>
    </w:p>
    <w:p w14:paraId="45213CB1" w14:textId="77777777" w:rsidR="00D4125A" w:rsidRDefault="00D4125A" w:rsidP="00D4125A">
      <w:pPr>
        <w:spacing w:after="120" w:line="276" w:lineRule="auto"/>
        <w:ind w:firstLine="709"/>
        <w:jc w:val="both"/>
        <w:rPr>
          <w:rFonts w:ascii="Verdana" w:hAnsi="Verdana" w:cstheme="minorHAnsi"/>
        </w:rPr>
      </w:pPr>
    </w:p>
    <w:p w14:paraId="27223D26" w14:textId="77777777" w:rsidR="00D4125A" w:rsidRDefault="00D4125A" w:rsidP="00D4125A">
      <w:pPr>
        <w:spacing w:after="120" w:line="276" w:lineRule="auto"/>
        <w:jc w:val="both"/>
        <w:rPr>
          <w:rFonts w:ascii="Verdana" w:eastAsia="Times New Roman" w:hAnsi="Verdana" w:cs="Arial"/>
          <w:iCs/>
          <w:lang w:eastAsia="es-ES_tradnl"/>
        </w:rPr>
      </w:pPr>
    </w:p>
    <w:p w14:paraId="6790B564" w14:textId="77777777" w:rsidR="00D4125A" w:rsidRPr="002F7FFD" w:rsidRDefault="00D4125A" w:rsidP="00D4125A">
      <w:pPr>
        <w:spacing w:after="120" w:line="276" w:lineRule="auto"/>
        <w:ind w:firstLine="709"/>
        <w:jc w:val="both"/>
        <w:rPr>
          <w:rFonts w:ascii="Verdana" w:hAnsi="Verdana" w:cs="Arial"/>
          <w:lang w:eastAsia="es-ES"/>
        </w:rPr>
      </w:pPr>
      <w:r w:rsidRPr="002F7FFD">
        <w:rPr>
          <w:rFonts w:ascii="Verdana" w:hAnsi="Verdana" w:cs="Arial"/>
          <w:lang w:eastAsia="es-ES"/>
        </w:rPr>
        <w:t>Al margen de la explicación precedente debe advertirse que el análisis requerido para resolver problemas específicos en torno al AIU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8BAE52" w14:textId="77777777" w:rsidR="00D4125A" w:rsidRPr="002F7FFD" w:rsidRDefault="00D4125A" w:rsidP="00D4125A">
      <w:pPr>
        <w:widowControl w:val="0"/>
        <w:autoSpaceDE w:val="0"/>
        <w:autoSpaceDN w:val="0"/>
        <w:spacing w:after="0" w:line="276" w:lineRule="auto"/>
        <w:jc w:val="both"/>
        <w:rPr>
          <w:rFonts w:ascii="Verdana" w:eastAsia="Arial" w:hAnsi="Verdana" w:cs="Arial"/>
        </w:rPr>
      </w:pPr>
    </w:p>
    <w:p w14:paraId="4AAB5655" w14:textId="77777777" w:rsidR="00D4125A" w:rsidRPr="002F7FFD" w:rsidRDefault="00D4125A" w:rsidP="00D4125A">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2F7FFD">
        <w:rPr>
          <w:rFonts w:ascii="Verdana" w:eastAsia="Century Gothic" w:hAnsi="Verdana" w:cs="Century Gothic"/>
          <w:b/>
          <w:bCs/>
        </w:rPr>
        <w:t>Referencias normativas y jurisprudenciales:</w:t>
      </w:r>
    </w:p>
    <w:p w14:paraId="2A1BCCDA" w14:textId="77777777" w:rsidR="00D4125A" w:rsidRPr="002F7FFD" w:rsidRDefault="00D4125A" w:rsidP="00D4125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125A" w:rsidRPr="002F7FFD" w14:paraId="2A7071FD" w14:textId="77777777" w:rsidTr="000C58FA">
        <w:trPr>
          <w:trHeight w:val="410"/>
          <w:jc w:val="center"/>
        </w:trPr>
        <w:tc>
          <w:tcPr>
            <w:tcW w:w="8647" w:type="dxa"/>
          </w:tcPr>
          <w:p w14:paraId="078E9619" w14:textId="77777777" w:rsidR="00D4125A" w:rsidRPr="002F7FFD" w:rsidRDefault="00D4125A" w:rsidP="000C58FA">
            <w:pPr>
              <w:numPr>
                <w:ilvl w:val="0"/>
                <w:numId w:val="16"/>
              </w:numPr>
              <w:ind w:left="318" w:hanging="284"/>
              <w:contextualSpacing/>
              <w:jc w:val="both"/>
              <w:rPr>
                <w:rFonts w:ascii="Verdana" w:hAnsi="Verdana" w:cs="Arial"/>
              </w:rPr>
            </w:pPr>
            <w:r w:rsidRPr="002F7FFD">
              <w:rPr>
                <w:rFonts w:ascii="Verdana" w:hAnsi="Verdana" w:cs="Arial"/>
              </w:rPr>
              <w:t>Ley 80 de 1993, artículos 13, 32 y 40.</w:t>
            </w:r>
          </w:p>
          <w:p w14:paraId="0420FAD4" w14:textId="77777777" w:rsidR="00D4125A" w:rsidRPr="002F7FFD" w:rsidRDefault="00D4125A" w:rsidP="000C58FA">
            <w:pPr>
              <w:ind w:left="318"/>
              <w:contextualSpacing/>
              <w:jc w:val="both"/>
              <w:rPr>
                <w:rFonts w:ascii="Verdana" w:hAnsi="Verdana" w:cs="Arial"/>
              </w:rPr>
            </w:pPr>
          </w:p>
          <w:p w14:paraId="00433DE8" w14:textId="77777777" w:rsidR="00D4125A" w:rsidRPr="002F7FFD" w:rsidRDefault="00D4125A" w:rsidP="000C58FA">
            <w:pPr>
              <w:numPr>
                <w:ilvl w:val="0"/>
                <w:numId w:val="16"/>
              </w:numPr>
              <w:ind w:left="318" w:hanging="284"/>
              <w:contextualSpacing/>
              <w:jc w:val="both"/>
              <w:rPr>
                <w:rFonts w:ascii="Verdana" w:hAnsi="Verdana" w:cs="Arial"/>
              </w:rPr>
            </w:pPr>
            <w:r w:rsidRPr="002F7FFD">
              <w:rPr>
                <w:rFonts w:ascii="Verdana" w:hAnsi="Verdana" w:cs="Arial"/>
              </w:rPr>
              <w:t xml:space="preserve">Consejo de Estado. Sección Tercera. Subsección B. Sentencia del 29 de febrero de 2012. </w:t>
            </w:r>
            <w:proofErr w:type="spellStart"/>
            <w:r w:rsidRPr="002F7FFD">
              <w:rPr>
                <w:rFonts w:ascii="Verdana" w:hAnsi="Verdana" w:cs="Arial"/>
              </w:rPr>
              <w:t>Exp</w:t>
            </w:r>
            <w:proofErr w:type="spellEnd"/>
            <w:r w:rsidRPr="002F7FFD">
              <w:rPr>
                <w:rFonts w:ascii="Verdana" w:hAnsi="Verdana" w:cs="Arial"/>
              </w:rPr>
              <w:t xml:space="preserve">. 16371, C.P. Danilo Rojas </w:t>
            </w:r>
            <w:proofErr w:type="spellStart"/>
            <w:r w:rsidRPr="002F7FFD">
              <w:rPr>
                <w:rFonts w:ascii="Verdana" w:hAnsi="Verdana" w:cs="Arial"/>
              </w:rPr>
              <w:t>Betancourth</w:t>
            </w:r>
            <w:proofErr w:type="spellEnd"/>
            <w:r w:rsidRPr="002F7FFD">
              <w:rPr>
                <w:rFonts w:ascii="Verdana" w:hAnsi="Verdana" w:cs="Arial"/>
              </w:rPr>
              <w:t>.</w:t>
            </w:r>
          </w:p>
          <w:p w14:paraId="2EAAAB2C" w14:textId="77777777" w:rsidR="00D4125A" w:rsidRPr="002F7FFD" w:rsidRDefault="00D4125A" w:rsidP="000C58FA">
            <w:pPr>
              <w:contextualSpacing/>
              <w:jc w:val="both"/>
              <w:rPr>
                <w:rFonts w:ascii="Verdana" w:hAnsi="Verdana" w:cs="Arial"/>
              </w:rPr>
            </w:pPr>
          </w:p>
          <w:p w14:paraId="6475922C" w14:textId="77777777" w:rsidR="00D4125A" w:rsidRPr="002F7FFD" w:rsidRDefault="00D4125A" w:rsidP="000C58FA">
            <w:pPr>
              <w:numPr>
                <w:ilvl w:val="0"/>
                <w:numId w:val="16"/>
              </w:numPr>
              <w:ind w:left="318" w:hanging="284"/>
              <w:contextualSpacing/>
              <w:jc w:val="both"/>
              <w:rPr>
                <w:rFonts w:ascii="Verdana" w:hAnsi="Verdana" w:cs="Arial"/>
              </w:rPr>
            </w:pPr>
            <w:r w:rsidRPr="002F7FFD">
              <w:rPr>
                <w:rFonts w:ascii="Verdana" w:hAnsi="Verdana" w:cs="Arial"/>
              </w:rPr>
              <w:t xml:space="preserve">Consejo de Estado. Sección Tercera. Subsección B. Sentencia del 14 de octubre de 2011. </w:t>
            </w:r>
            <w:proofErr w:type="spellStart"/>
            <w:r w:rsidRPr="002F7FFD">
              <w:rPr>
                <w:rFonts w:ascii="Verdana" w:hAnsi="Verdana" w:cs="Arial"/>
              </w:rPr>
              <w:t>Exp</w:t>
            </w:r>
            <w:proofErr w:type="spellEnd"/>
            <w:r w:rsidRPr="002F7FFD">
              <w:rPr>
                <w:rFonts w:ascii="Verdana" w:hAnsi="Verdana" w:cs="Arial"/>
              </w:rPr>
              <w:t>. 20811, C.P. Ruth Stella Correa Palacio.</w:t>
            </w:r>
          </w:p>
          <w:p w14:paraId="0D758C63" w14:textId="77777777" w:rsidR="00D4125A" w:rsidRPr="002F7FFD" w:rsidRDefault="00D4125A" w:rsidP="000C58FA">
            <w:pPr>
              <w:contextualSpacing/>
              <w:jc w:val="both"/>
              <w:rPr>
                <w:rFonts w:ascii="Verdana" w:hAnsi="Verdana" w:cs="Arial"/>
              </w:rPr>
            </w:pPr>
          </w:p>
          <w:p w14:paraId="719762BE" w14:textId="77777777" w:rsidR="00D4125A" w:rsidRPr="002F7FFD" w:rsidRDefault="00D4125A" w:rsidP="000C58FA">
            <w:pPr>
              <w:numPr>
                <w:ilvl w:val="0"/>
                <w:numId w:val="16"/>
              </w:numPr>
              <w:ind w:left="318" w:hanging="284"/>
              <w:contextualSpacing/>
              <w:jc w:val="both"/>
              <w:rPr>
                <w:rFonts w:ascii="Verdana" w:hAnsi="Verdana" w:cs="Arial"/>
              </w:rPr>
            </w:pPr>
            <w:r w:rsidRPr="002F7FFD">
              <w:rPr>
                <w:rFonts w:ascii="Verdana" w:hAnsi="Verdana" w:cs="Arial"/>
              </w:rPr>
              <w:t>Consejo de Estado. Sala de Consulta y Servicio Civil. Concepto del 5 de septiembre de 2018, radicado No. 11001-03-06-000-2018-00124-00, C.P. Édgar González López</w:t>
            </w:r>
          </w:p>
          <w:p w14:paraId="57B3F661" w14:textId="77777777" w:rsidR="00D4125A" w:rsidRPr="002F7FFD" w:rsidRDefault="00D4125A" w:rsidP="000C58FA">
            <w:pPr>
              <w:ind w:left="720"/>
              <w:contextualSpacing/>
              <w:rPr>
                <w:rFonts w:ascii="Verdana" w:hAnsi="Verdana" w:cs="Arial"/>
              </w:rPr>
            </w:pPr>
          </w:p>
          <w:p w14:paraId="2DFFBB89" w14:textId="77777777" w:rsidR="00D4125A" w:rsidRPr="002F7FFD" w:rsidRDefault="00D4125A" w:rsidP="000C58FA">
            <w:pPr>
              <w:numPr>
                <w:ilvl w:val="0"/>
                <w:numId w:val="16"/>
              </w:numPr>
              <w:ind w:left="318" w:hanging="284"/>
              <w:contextualSpacing/>
              <w:jc w:val="both"/>
              <w:rPr>
                <w:rFonts w:ascii="Verdana" w:hAnsi="Verdana" w:cs="Arial"/>
              </w:rPr>
            </w:pPr>
            <w:r w:rsidRPr="002F7FFD">
              <w:rPr>
                <w:rFonts w:ascii="Verdana" w:eastAsia="Calibri" w:hAnsi="Verdana" w:cs="Arial"/>
                <w:lang w:eastAsia="es-ES_tradnl"/>
              </w:rPr>
              <w:t>Consejo de Estado. Sección Tercera. Consejero Ponente: Ramiro Saavedra Becerra. Sentencia del 28 de agosto de 2003. Radicado: 17.554</w:t>
            </w:r>
          </w:p>
          <w:p w14:paraId="46CA3782" w14:textId="77777777" w:rsidR="00D4125A" w:rsidRPr="002F7FFD" w:rsidRDefault="00D4125A" w:rsidP="000C58FA">
            <w:pPr>
              <w:pStyle w:val="Prrafodelista"/>
              <w:rPr>
                <w:rFonts w:ascii="Verdana" w:hAnsi="Verdana" w:cs="Arial"/>
                <w:lang w:val="es-CO"/>
              </w:rPr>
            </w:pPr>
          </w:p>
          <w:p w14:paraId="56C04DAB" w14:textId="77777777" w:rsidR="00D4125A" w:rsidRPr="002F7FFD" w:rsidRDefault="00D4125A" w:rsidP="000C58FA">
            <w:pPr>
              <w:contextualSpacing/>
              <w:jc w:val="both"/>
              <w:rPr>
                <w:rFonts w:ascii="Verdana" w:hAnsi="Verdana" w:cs="Arial"/>
              </w:rPr>
            </w:pPr>
          </w:p>
        </w:tc>
      </w:tr>
    </w:tbl>
    <w:p w14:paraId="36D1BAB9" w14:textId="77777777" w:rsidR="00D4125A" w:rsidRPr="002F7FFD" w:rsidRDefault="00D4125A" w:rsidP="00D4125A">
      <w:pPr>
        <w:widowControl w:val="0"/>
        <w:autoSpaceDE w:val="0"/>
        <w:autoSpaceDN w:val="0"/>
        <w:spacing w:after="0" w:line="276" w:lineRule="auto"/>
        <w:jc w:val="both"/>
        <w:rPr>
          <w:rFonts w:ascii="Verdana" w:hAnsi="Verdana" w:cs="Arial"/>
        </w:rPr>
      </w:pPr>
    </w:p>
    <w:p w14:paraId="26F50D72" w14:textId="77777777" w:rsidR="00D4125A" w:rsidRPr="002F7FFD" w:rsidRDefault="00D4125A" w:rsidP="00D4125A">
      <w:pPr>
        <w:numPr>
          <w:ilvl w:val="0"/>
          <w:numId w:val="17"/>
        </w:numPr>
        <w:tabs>
          <w:tab w:val="left" w:pos="142"/>
          <w:tab w:val="left" w:pos="284"/>
        </w:tabs>
        <w:spacing w:after="0" w:line="276" w:lineRule="auto"/>
        <w:ind w:left="1068"/>
        <w:jc w:val="both"/>
        <w:rPr>
          <w:rFonts w:ascii="Verdana" w:eastAsia="Century Gothic" w:hAnsi="Verdana" w:cs="Century Gothic"/>
          <w:b/>
          <w:bCs/>
        </w:rPr>
      </w:pPr>
      <w:r w:rsidRPr="002F7FFD">
        <w:rPr>
          <w:rFonts w:ascii="Verdana" w:eastAsia="Century Gothic" w:hAnsi="Verdana" w:cs="Century Gothic"/>
          <w:b/>
          <w:bCs/>
        </w:rPr>
        <w:t>Doctrina de la Agencia Nacional de Contratación Pública:</w:t>
      </w:r>
    </w:p>
    <w:p w14:paraId="221197C5" w14:textId="77777777" w:rsidR="00D4125A" w:rsidRPr="002F7FFD" w:rsidRDefault="00D4125A" w:rsidP="00D4125A">
      <w:pPr>
        <w:widowControl w:val="0"/>
        <w:autoSpaceDE w:val="0"/>
        <w:autoSpaceDN w:val="0"/>
        <w:spacing w:after="0" w:line="276" w:lineRule="auto"/>
        <w:jc w:val="both"/>
        <w:rPr>
          <w:rFonts w:ascii="Verdana" w:hAnsi="Verdana" w:cs="Arial"/>
        </w:rPr>
      </w:pPr>
    </w:p>
    <w:p w14:paraId="17F833BD" w14:textId="77777777" w:rsidR="00D4125A" w:rsidRDefault="00D4125A" w:rsidP="00D4125A">
      <w:pPr>
        <w:widowControl w:val="0"/>
        <w:autoSpaceDE w:val="0"/>
        <w:autoSpaceDN w:val="0"/>
        <w:spacing w:after="120" w:line="276" w:lineRule="auto"/>
        <w:jc w:val="both"/>
        <w:rPr>
          <w:rFonts w:ascii="Verdana" w:eastAsia="Calibri" w:hAnsi="Verdana" w:cs="Arial"/>
          <w:color w:val="000000" w:themeColor="text1"/>
          <w:lang w:eastAsia="es-ES_tradnl"/>
        </w:rPr>
      </w:pPr>
      <w:r w:rsidRPr="002F7FFD">
        <w:rPr>
          <w:rFonts w:ascii="Verdana" w:hAnsi="Verdana" w:cs="Arial"/>
          <w:shd w:val="clear" w:color="auto" w:fill="FFFFFF"/>
        </w:rPr>
        <w:t>La Agencia Nacional de Contratación Pública – Colombia Compra Eficiente se ha pronunciado en varias ocasiones sobre el AIU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C-065 del 27 de febrero de 2025, C-248 del 3 de abril de 2025</w:t>
      </w:r>
      <w:r>
        <w:rPr>
          <w:rFonts w:ascii="Verdana" w:hAnsi="Verdana" w:cs="Arial"/>
          <w:shd w:val="clear" w:color="auto" w:fill="FFFFFF"/>
        </w:rPr>
        <w:t>,</w:t>
      </w:r>
      <w:r w:rsidRPr="002F7FFD">
        <w:rPr>
          <w:rFonts w:ascii="Verdana" w:hAnsi="Verdana" w:cs="Arial"/>
          <w:shd w:val="clear" w:color="auto" w:fill="FFFFFF"/>
        </w:rPr>
        <w:t xml:space="preserve"> C-311 del 17 de marzo de 2026</w:t>
      </w:r>
      <w:r>
        <w:rPr>
          <w:rFonts w:ascii="Verdana" w:hAnsi="Verdana" w:cs="Arial"/>
          <w:shd w:val="clear" w:color="auto" w:fill="FFFFFF"/>
        </w:rPr>
        <w:t xml:space="preserve"> y C-711 del 18 de junio de 2026</w:t>
      </w:r>
      <w:r w:rsidRPr="002F7FFD">
        <w:rPr>
          <w:rFonts w:ascii="Verdana" w:eastAsia="Calibri" w:hAnsi="Verdana" w:cs="Arial"/>
          <w:color w:val="000000" w:themeColor="text1"/>
          <w:lang w:eastAsia="es-ES_tradnl"/>
        </w:rPr>
        <w:t>.</w:t>
      </w:r>
    </w:p>
    <w:p w14:paraId="27E5A4F7" w14:textId="0544203E" w:rsidR="00D4125A" w:rsidRDefault="00D4125A" w:rsidP="00D4125A">
      <w:pPr>
        <w:widowControl w:val="0"/>
        <w:autoSpaceDE w:val="0"/>
        <w:autoSpaceDN w:val="0"/>
        <w:spacing w:after="120" w:line="276" w:lineRule="auto"/>
        <w:jc w:val="both"/>
        <w:rPr>
          <w:rFonts w:ascii="Verdana" w:eastAsia="Calibri" w:hAnsi="Verdana" w:cs="Arial"/>
          <w:color w:val="000000" w:themeColor="text1"/>
          <w:lang w:eastAsia="es-ES_tradnl"/>
        </w:rPr>
      </w:pPr>
      <w:r>
        <w:rPr>
          <w:rFonts w:ascii="Verdana" w:eastAsia="Calibri" w:hAnsi="Verdana" w:cs="Arial"/>
          <w:shd w:val="clear" w:color="auto" w:fill="FFFFFF"/>
          <w:lang w:val="es-ES" w:eastAsia="es-MX"/>
        </w:rPr>
        <w:t>En relación con</w:t>
      </w:r>
      <w:r w:rsidR="009F4DE1">
        <w:rPr>
          <w:rFonts w:ascii="Verdana" w:eastAsia="Calibri" w:hAnsi="Verdana" w:cs="Arial"/>
          <w:shd w:val="clear" w:color="auto" w:fill="FFFFFF"/>
          <w:lang w:val="es-ES" w:eastAsia="es-MX"/>
        </w:rPr>
        <w:t xml:space="preserve"> </w:t>
      </w:r>
      <w:r w:rsidRPr="00C15B51">
        <w:rPr>
          <w:rFonts w:ascii="Verdana" w:eastAsia="Calibri" w:hAnsi="Verdana" w:cs="Arial"/>
          <w:shd w:val="clear" w:color="auto" w:fill="FFFFFF"/>
          <w:lang w:val="es-ES" w:eastAsia="es-MX"/>
        </w:rPr>
        <w:t xml:space="preserve">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2024,C-636 del 1 de noviembre de 2024, C-777 del 9 de diciembre de 2024, C-971 del 21 de enero de 2025, C-1813 del 31 de diciembre de 2025, C-182 del 19 de marzo de 2026, C-246 del 12 de marzo de 2026, C-258 del 19 de marzo de 2026, C-385 del </w:t>
      </w:r>
      <w:r w:rsidRPr="00C15B51">
        <w:rPr>
          <w:rFonts w:ascii="Verdana" w:eastAsia="Aptos" w:hAnsi="Verdana" w:cs="Times New Roman"/>
          <w:kern w:val="2"/>
          <w14:ligatures w14:val="standardContextual"/>
        </w:rPr>
        <w:t>15 de abril del 2025</w:t>
      </w:r>
      <w:r>
        <w:rPr>
          <w:rFonts w:ascii="Verdana" w:eastAsia="Aptos" w:hAnsi="Verdana" w:cs="Times New Roman"/>
          <w:kern w:val="2"/>
          <w14:ligatures w14:val="standardContextual"/>
        </w:rPr>
        <w:t>, C-453 del 04 de mayo de 2025, C-452 del 04 de mayo de 2025,</w:t>
      </w:r>
      <w:r w:rsidRPr="00227488">
        <w:rPr>
          <w:rFonts w:ascii="Verdana" w:eastAsia="Calibri" w:hAnsi="Verdana" w:cs="Arial"/>
          <w:lang w:val="es-ES" w:eastAsia="es-ES"/>
        </w:rPr>
        <w:t xml:space="preserve"> C–771 del </w:t>
      </w:r>
      <w:r w:rsidRPr="00227488">
        <w:rPr>
          <w:rFonts w:ascii="Verdana" w:hAnsi="Verdana"/>
        </w:rPr>
        <w:t>18 Junio 2026</w:t>
      </w:r>
      <w:r w:rsidRPr="00227488">
        <w:rPr>
          <w:rFonts w:ascii="Verdana" w:eastAsia="Calibri" w:hAnsi="Verdana" w:cs="Arial"/>
          <w:lang w:val="es-ES" w:eastAsia="es-ES"/>
        </w:rPr>
        <w:t xml:space="preserve"> 2026</w:t>
      </w:r>
      <w:r>
        <w:rPr>
          <w:rFonts w:ascii="Verdana" w:eastAsia="Calibri" w:hAnsi="Verdana" w:cs="Arial"/>
          <w:lang w:val="es-ES" w:eastAsia="es-ES"/>
        </w:rPr>
        <w:t>,</w:t>
      </w:r>
      <w:r w:rsidRPr="00227488">
        <w:rPr>
          <w:rFonts w:ascii="Verdana" w:eastAsia="Aptos" w:hAnsi="Verdana" w:cs="Times New Roman"/>
          <w:kern w:val="2"/>
          <w14:ligatures w14:val="standardContextual"/>
        </w:rPr>
        <w:t xml:space="preserve"> </w:t>
      </w:r>
      <w:r w:rsidRPr="00227488">
        <w:rPr>
          <w:rFonts w:ascii="Verdana" w:eastAsia="Calibri" w:hAnsi="Verdana" w:cs="Arial"/>
          <w:shd w:val="clear" w:color="auto" w:fill="FFFFFF"/>
          <w:lang w:val="es-ES" w:eastAsia="es-MX"/>
        </w:rPr>
        <w:t>entre otros.</w:t>
      </w:r>
    </w:p>
    <w:p w14:paraId="2FF66043" w14:textId="77777777" w:rsidR="00D4125A" w:rsidRPr="002F7FFD" w:rsidRDefault="00D4125A" w:rsidP="00D4125A">
      <w:pPr>
        <w:widowControl w:val="0"/>
        <w:autoSpaceDE w:val="0"/>
        <w:autoSpaceDN w:val="0"/>
        <w:spacing w:after="120" w:line="276" w:lineRule="auto"/>
        <w:jc w:val="both"/>
        <w:rPr>
          <w:rFonts w:ascii="Verdana" w:eastAsia="Calibri" w:hAnsi="Verdana" w:cs="Arial"/>
          <w:color w:val="000000" w:themeColor="text1"/>
          <w:lang w:eastAsia="es-ES_tradnl"/>
        </w:rPr>
      </w:pPr>
      <w:r w:rsidRPr="002F7FFD">
        <w:rPr>
          <w:rFonts w:ascii="Verdana" w:eastAsia="Calibri" w:hAnsi="Verdana" w:cs="Arial"/>
          <w:color w:val="000000" w:themeColor="text1"/>
          <w:lang w:eastAsia="es-ES_tradnl"/>
        </w:rPr>
        <w:t xml:space="preserve"> </w:t>
      </w:r>
      <w:r w:rsidRPr="002F7FFD">
        <w:rPr>
          <w:rFonts w:ascii="Verdana" w:hAnsi="Verdana" w:cs="Arial"/>
          <w:shd w:val="clear" w:color="auto" w:fill="FFFFFF"/>
        </w:rPr>
        <w:t>Es</w:t>
      </w:r>
      <w:r w:rsidRPr="002F7FFD">
        <w:rPr>
          <w:rFonts w:ascii="Verdana" w:hAnsi="Verdana"/>
        </w:rPr>
        <w:t>tos conceptos se encuentran disponibles para consulta en el Sistema de relatoría de la Agencia, al cual se puede acceder a través del siguiente enlace:</w:t>
      </w:r>
      <w:r w:rsidRPr="002F7FFD">
        <w:rPr>
          <w:rFonts w:ascii="Verdana" w:hAnsi="Verdana" w:cs="Arial"/>
          <w:shd w:val="clear" w:color="auto" w:fill="FFFFFF"/>
        </w:rPr>
        <w:t xml:space="preserve"> </w:t>
      </w:r>
      <w:hyperlink r:id="rId13" w:history="1">
        <w:r w:rsidRPr="002F7FFD">
          <w:rPr>
            <w:rFonts w:ascii="Verdana" w:hAnsi="Verdana" w:cs="Arial"/>
            <w:color w:val="0563C1" w:themeColor="hyperlink"/>
            <w:u w:val="single"/>
            <w:shd w:val="clear" w:color="auto" w:fill="FFFFFF"/>
          </w:rPr>
          <w:t>https://relatoria.colombiacompra.gov.co/busqueda/conceptos</w:t>
        </w:r>
      </w:hyperlink>
      <w:r w:rsidRPr="002F7FFD">
        <w:rPr>
          <w:rFonts w:ascii="Verdana" w:hAnsi="Verdana" w:cs="Arial"/>
          <w:shd w:val="clear" w:color="auto" w:fill="FFFFFF"/>
        </w:rPr>
        <w:t>.</w:t>
      </w:r>
      <w:r w:rsidRPr="002F7FFD">
        <w:rPr>
          <w:rFonts w:ascii="Verdana" w:hAnsi="Verdana" w:cs="Arial"/>
          <w:color w:val="FF0000"/>
          <w:shd w:val="clear" w:color="auto" w:fill="FFFFFF"/>
        </w:rPr>
        <w:t xml:space="preserve"> </w:t>
      </w:r>
      <w:r w:rsidRPr="002F7FFD">
        <w:rPr>
          <w:rFonts w:ascii="Verdana" w:hAnsi="Verdana" w:cs="Arial"/>
          <w:color w:val="000000" w:themeColor="text1"/>
          <w:shd w:val="clear" w:color="auto" w:fill="FFFFFF"/>
        </w:rPr>
        <w:t>  </w:t>
      </w:r>
    </w:p>
    <w:p w14:paraId="19D7BD96" w14:textId="77777777" w:rsidR="00D4125A" w:rsidRPr="002F7FFD" w:rsidRDefault="00D4125A" w:rsidP="00D4125A">
      <w:pPr>
        <w:jc w:val="both"/>
        <w:rPr>
          <w:rFonts w:ascii="Verdana" w:hAnsi="Verdana"/>
        </w:rPr>
      </w:pPr>
      <w:r w:rsidRPr="002F7FFD">
        <w:rPr>
          <w:rFonts w:ascii="Verdana" w:hAnsi="Verdana"/>
        </w:rPr>
        <w:lastRenderedPageBreak/>
        <w:t xml:space="preserve">La sostenibilidad no es una opción, es una obligación. Por ello, la Agencia Nacional de Contratación Pública –Colombia Compra Eficiente– te invita a realizar el </w:t>
      </w:r>
      <w:r w:rsidRPr="002F7FFD">
        <w:rPr>
          <w:rFonts w:ascii="Verdana" w:hAnsi="Verdana"/>
          <w:b/>
          <w:bCs/>
        </w:rPr>
        <w:t>Curso de Contratación Pública Sostenible y Socialmente Responsable</w:t>
      </w:r>
      <w:r w:rsidRPr="002F7FF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F7FFD">
        <w:rPr>
          <w:rFonts w:ascii="Verdana" w:hAnsi="Verdana"/>
        </w:rPr>
        <w:br/>
      </w:r>
      <w:hyperlink r:id="rId14" w:tgtFrame="_new" w:history="1">
        <w:r w:rsidRPr="002F7FFD">
          <w:rPr>
            <w:rFonts w:ascii="Verdana" w:hAnsi="Verdana"/>
            <w:color w:val="0000FF"/>
            <w:u w:val="single"/>
          </w:rPr>
          <w:t>https://formacionvirtual.colombiacompra.gov.co/mod/page/view.php?id=3718</w:t>
        </w:r>
      </w:hyperlink>
    </w:p>
    <w:p w14:paraId="0490F5C4" w14:textId="77777777" w:rsidR="00D4125A" w:rsidRPr="002F7FFD" w:rsidRDefault="00D4125A" w:rsidP="00D4125A">
      <w:pPr>
        <w:jc w:val="both"/>
        <w:rPr>
          <w:rFonts w:ascii="Verdana" w:hAnsi="Verdana"/>
        </w:rPr>
      </w:pPr>
      <w:r w:rsidRPr="002F7FFD">
        <w:rPr>
          <w:rFonts w:ascii="Verdana" w:hAnsi="Verdana"/>
        </w:rPr>
        <w:t xml:space="preserve">De otro lado, te contamos que esta Agencia ha da un paso decisivo en la estandarización y modernización del </w:t>
      </w:r>
      <w:r w:rsidRPr="002F7FFD">
        <w:rPr>
          <w:rFonts w:ascii="Verdana" w:hAnsi="Verdana"/>
          <w:b/>
          <w:bCs/>
        </w:rPr>
        <w:t>sector  social</w:t>
      </w:r>
      <w:r w:rsidRPr="002F7FFD">
        <w:rPr>
          <w:rFonts w:ascii="Verdana" w:hAnsi="Verdana"/>
        </w:rPr>
        <w:t xml:space="preserve"> con la expedición de las </w:t>
      </w:r>
      <w:r w:rsidRPr="002F7FFD">
        <w:rPr>
          <w:rFonts w:ascii="Verdana" w:hAnsi="Verdana"/>
          <w:b/>
          <w:bCs/>
        </w:rPr>
        <w:t>Resoluciones 539, 540, 541, 952 y 953 de 2025</w:t>
      </w:r>
      <w:r w:rsidRPr="002F7FFD">
        <w:rPr>
          <w:rFonts w:ascii="Verdana" w:hAnsi="Verdana"/>
        </w:rPr>
        <w:t xml:space="preserve">, </w:t>
      </w:r>
      <w:r w:rsidRPr="002F7FFD">
        <w:rPr>
          <w:rFonts w:ascii="Verdana" w:hAnsi="Verdana"/>
          <w:b/>
          <w:bCs/>
        </w:rPr>
        <w:t>mediante las cuales adoptó Documentos Tipo</w:t>
      </w:r>
      <w:r w:rsidRPr="002F7FFD">
        <w:rPr>
          <w:rFonts w:ascii="Verdana" w:hAnsi="Verdana"/>
        </w:rPr>
        <w:t xml:space="preserve"> para las modalidades de selección de</w:t>
      </w:r>
      <w:r w:rsidRPr="002F7FFD">
        <w:rPr>
          <w:rFonts w:ascii="Verdana" w:hAnsi="Verdana"/>
          <w:b/>
          <w:bCs/>
        </w:rPr>
        <w:t xml:space="preserve"> licitación pública (versión 2), selección abreviada de menor cuantía, mínima cuantía, consultoría e interventoría</w:t>
      </w:r>
      <w:r w:rsidRPr="002F7FF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F7FFD">
          <w:rPr>
            <w:rFonts w:ascii="Verdana" w:hAnsi="Verdana"/>
            <w:color w:val="0000FF"/>
            <w:u w:val="single"/>
          </w:rPr>
          <w:t>https://www.colombiacompra.gov.co/normativa-y-relatoria/documentos-tipo</w:t>
        </w:r>
      </w:hyperlink>
    </w:p>
    <w:p w14:paraId="4831249D" w14:textId="77777777" w:rsidR="00D4125A" w:rsidRPr="002F7FFD" w:rsidRDefault="00D4125A" w:rsidP="00D4125A">
      <w:pPr>
        <w:jc w:val="both"/>
        <w:rPr>
          <w:rFonts w:ascii="Verdana" w:hAnsi="Verdana"/>
          <w:color w:val="000000"/>
        </w:rPr>
      </w:pPr>
      <w:r w:rsidRPr="002F7FFD">
        <w:rPr>
          <w:rFonts w:ascii="Verdana" w:hAnsi="Verdana"/>
        </w:rPr>
        <w:t xml:space="preserve">Si quieres conocer más sobre la aplicación de Documentos Tipo puedes consultar la última versión de la </w:t>
      </w:r>
      <w:r w:rsidRPr="002F7FFD">
        <w:rPr>
          <w:rFonts w:ascii="Verdana" w:hAnsi="Verdana"/>
          <w:b/>
          <w:bCs/>
        </w:rPr>
        <w:t>Guía para la comprensión e implementación de los Documentos Tipo de obra pública de infraestructura de transporte</w:t>
      </w:r>
      <w:r w:rsidRPr="002F7FF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F7FFD">
        <w:rPr>
          <w:rFonts w:ascii="Verdana" w:hAnsi="Verdana"/>
        </w:rPr>
        <w:br/>
      </w:r>
      <w:hyperlink r:id="rId16" w:tgtFrame="_new" w:history="1">
        <w:r w:rsidRPr="002F7FF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0566EA8" w14:textId="77777777" w:rsidR="00D4125A" w:rsidRPr="002F7FFD" w:rsidRDefault="00D4125A" w:rsidP="00D4125A">
      <w:pPr>
        <w:spacing w:after="0"/>
        <w:jc w:val="both"/>
        <w:rPr>
          <w:rFonts w:ascii="Verdana" w:hAnsi="Verdana"/>
        </w:rPr>
      </w:pPr>
      <w:r w:rsidRPr="002F7FFD">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EDFF1C8" w14:textId="77777777" w:rsidR="00D4125A" w:rsidRPr="002F7FFD" w:rsidRDefault="00D4125A" w:rsidP="00D4125A">
      <w:pPr>
        <w:spacing w:after="0"/>
        <w:jc w:val="both"/>
        <w:rPr>
          <w:rFonts w:ascii="Verdana" w:hAnsi="Verdana"/>
        </w:rPr>
      </w:pPr>
    </w:p>
    <w:p w14:paraId="604B5BD2" w14:textId="77777777" w:rsidR="00D4125A" w:rsidRPr="002F7FFD" w:rsidRDefault="00D4125A" w:rsidP="00D4125A">
      <w:pPr>
        <w:numPr>
          <w:ilvl w:val="0"/>
          <w:numId w:val="15"/>
        </w:numPr>
        <w:spacing w:after="0" w:line="240" w:lineRule="auto"/>
        <w:contextualSpacing/>
        <w:jc w:val="both"/>
        <w:rPr>
          <w:rFonts w:ascii="Verdana" w:eastAsia="Verdana" w:hAnsi="Verdana" w:cs="Verdana"/>
          <w:color w:val="4472C4" w:themeColor="accent1"/>
          <w:u w:val="single"/>
        </w:rPr>
      </w:pPr>
      <w:r w:rsidRPr="002F7FFD">
        <w:rPr>
          <w:rFonts w:ascii="Verdana" w:eastAsia="Verdana" w:hAnsi="Verdana" w:cs="Verdana"/>
        </w:rPr>
        <w:lastRenderedPageBreak/>
        <w:t xml:space="preserve">Línea nacional gratuita o servicio a la ciudadanía (Mesa de servicio): </w:t>
      </w:r>
      <w:r w:rsidRPr="002F7FFD">
        <w:rPr>
          <w:rFonts w:ascii="Verdana" w:hAnsi="Verdana"/>
          <w:color w:val="0000FF"/>
          <w:u w:val="single"/>
        </w:rPr>
        <w:t>01800 0520808</w:t>
      </w:r>
    </w:p>
    <w:p w14:paraId="460E8325" w14:textId="77777777" w:rsidR="00D4125A" w:rsidRPr="002F7FFD" w:rsidRDefault="00D4125A" w:rsidP="00D4125A">
      <w:pPr>
        <w:numPr>
          <w:ilvl w:val="0"/>
          <w:numId w:val="15"/>
        </w:numPr>
        <w:spacing w:after="0" w:line="256" w:lineRule="auto"/>
        <w:contextualSpacing/>
        <w:rPr>
          <w:rFonts w:ascii="Verdana" w:eastAsia="Verdana" w:hAnsi="Verdana" w:cs="Verdana"/>
          <w:color w:val="4472C4" w:themeColor="accent1"/>
          <w:u w:val="single"/>
        </w:rPr>
      </w:pPr>
      <w:r w:rsidRPr="002F7FFD">
        <w:rPr>
          <w:rFonts w:ascii="Verdana" w:eastAsia="Verdana" w:hAnsi="Verdana" w:cs="Verdana"/>
        </w:rPr>
        <w:t>Línea en Bogotá (Mesa de servicio):</w:t>
      </w:r>
      <w:r w:rsidRPr="002F7FFD">
        <w:rPr>
          <w:rFonts w:ascii="Verdana" w:hAnsi="Verdana"/>
          <w:color w:val="0000FF"/>
          <w:u w:val="single"/>
        </w:rPr>
        <w:t>+57 601 7456788</w:t>
      </w:r>
    </w:p>
    <w:p w14:paraId="35CA05F2" w14:textId="77777777" w:rsidR="00D4125A" w:rsidRPr="002F7FFD" w:rsidRDefault="00D4125A" w:rsidP="00D4125A">
      <w:pPr>
        <w:numPr>
          <w:ilvl w:val="0"/>
          <w:numId w:val="15"/>
        </w:numPr>
        <w:spacing w:after="0" w:line="256" w:lineRule="auto"/>
        <w:contextualSpacing/>
        <w:rPr>
          <w:rFonts w:ascii="Verdana" w:eastAsia="Verdana" w:hAnsi="Verdana" w:cs="Verdana"/>
          <w:color w:val="0000FF"/>
          <w:u w:val="single"/>
        </w:rPr>
      </w:pPr>
      <w:r w:rsidRPr="002F7FFD">
        <w:rPr>
          <w:rFonts w:ascii="Verdana" w:eastAsia="Verdana" w:hAnsi="Verdana" w:cs="Verdana"/>
        </w:rPr>
        <w:t xml:space="preserve">Correo de radicación de correspondencia: </w:t>
      </w:r>
      <w:hyperlink r:id="rId17" w:history="1">
        <w:r w:rsidRPr="002F7FFD">
          <w:rPr>
            <w:rFonts w:ascii="Verdana" w:eastAsia="Verdana" w:hAnsi="Verdana" w:cs="Verdana"/>
            <w:color w:val="0000FF"/>
            <w:u w:val="single"/>
          </w:rPr>
          <w:t>ventanilladeradicacion@colombiacompra.gov.co</w:t>
        </w:r>
      </w:hyperlink>
    </w:p>
    <w:p w14:paraId="2252F726" w14:textId="77777777" w:rsidR="00D4125A" w:rsidRPr="002F7FFD" w:rsidRDefault="00D4125A" w:rsidP="00D4125A">
      <w:pPr>
        <w:numPr>
          <w:ilvl w:val="0"/>
          <w:numId w:val="15"/>
        </w:numPr>
        <w:spacing w:after="0" w:line="256" w:lineRule="auto"/>
        <w:contextualSpacing/>
        <w:rPr>
          <w:rFonts w:ascii="Verdana" w:eastAsia="Verdana" w:hAnsi="Verdana" w:cs="Verdana"/>
          <w:color w:val="0000FF"/>
          <w:u w:val="single"/>
        </w:rPr>
      </w:pPr>
      <w:r w:rsidRPr="002F7FFD">
        <w:rPr>
          <w:rFonts w:ascii="Verdana" w:eastAsia="Verdana" w:hAnsi="Verdana" w:cs="Verdana"/>
        </w:rPr>
        <w:t xml:space="preserve">Formulario web para PQRSD: </w:t>
      </w:r>
      <w:hyperlink r:id="rId18" w:history="1">
        <w:r w:rsidRPr="002F7FFD">
          <w:rPr>
            <w:rFonts w:ascii="Verdana" w:eastAsia="Verdana" w:hAnsi="Verdana" w:cs="Verdana"/>
            <w:color w:val="0000FF"/>
            <w:u w:val="single"/>
          </w:rPr>
          <w:t>https://www.colombiacompra.gov.co/pqrsd/informacion-importante-antes-de-formular-una-pqrsd</w:t>
        </w:r>
      </w:hyperlink>
    </w:p>
    <w:p w14:paraId="63E0254C" w14:textId="77777777" w:rsidR="00D4125A" w:rsidRPr="002F7FFD" w:rsidRDefault="00D4125A" w:rsidP="00D4125A">
      <w:pPr>
        <w:spacing w:after="0" w:line="240" w:lineRule="auto"/>
        <w:ind w:left="720"/>
        <w:jc w:val="both"/>
        <w:rPr>
          <w:rFonts w:ascii="Verdana" w:hAnsi="Verdana"/>
        </w:rPr>
      </w:pPr>
    </w:p>
    <w:p w14:paraId="2903D32A" w14:textId="77777777" w:rsidR="00D4125A" w:rsidRPr="002F7FFD" w:rsidRDefault="00D4125A" w:rsidP="00D4125A">
      <w:pPr>
        <w:spacing w:after="0" w:line="240" w:lineRule="auto"/>
        <w:rPr>
          <w:rFonts w:ascii="Verdana" w:hAnsi="Verdana"/>
        </w:rPr>
      </w:pPr>
      <w:r w:rsidRPr="002F7FFD">
        <w:rPr>
          <w:rFonts w:ascii="Verdana" w:hAnsi="Verdana"/>
        </w:rPr>
        <w:t>Evalúa el servicio que ofrece la Agencia por el canal de atención de PQRSD en el siguiente enlace :</w:t>
      </w:r>
      <w:hyperlink r:id="rId19" w:tgtFrame="_blank" w:tooltip="https://forms.office.com/r/pphywvs2sz" w:history="1">
        <w:r w:rsidRPr="002F7FFD">
          <w:rPr>
            <w:rFonts w:ascii="Verdana" w:hAnsi="Verdana"/>
            <w:color w:val="0000FF"/>
            <w:u w:val="single"/>
          </w:rPr>
          <w:t>https://forms.office.com/r/pPHyWVs2SZ</w:t>
        </w:r>
      </w:hyperlink>
      <w:r w:rsidRPr="002F7FFD">
        <w:rPr>
          <w:rFonts w:ascii="Verdana" w:hAnsi="Verdana"/>
        </w:rPr>
        <w:t xml:space="preserve"> .¡Ayúdanos a mejorar porque el compromiso es de todos!</w:t>
      </w:r>
    </w:p>
    <w:p w14:paraId="12C8C415" w14:textId="77777777" w:rsidR="00D4125A" w:rsidRPr="002F7FFD" w:rsidRDefault="00D4125A" w:rsidP="00D4125A">
      <w:pPr>
        <w:spacing w:after="0" w:line="240" w:lineRule="auto"/>
        <w:rPr>
          <w:rFonts w:ascii="Verdana" w:hAnsi="Verdana"/>
        </w:rPr>
      </w:pPr>
    </w:p>
    <w:p w14:paraId="3B171A98" w14:textId="77777777" w:rsidR="00D4125A" w:rsidRPr="002F7FFD" w:rsidRDefault="00D4125A" w:rsidP="00D4125A">
      <w:pPr>
        <w:spacing w:after="0" w:line="240" w:lineRule="auto"/>
        <w:jc w:val="both"/>
        <w:rPr>
          <w:rFonts w:ascii="Verdana" w:hAnsi="Verdana"/>
        </w:rPr>
      </w:pPr>
      <w:r w:rsidRPr="002F7FFD">
        <w:rPr>
          <w:rFonts w:ascii="Verdana" w:hAnsi="Verdana"/>
        </w:rPr>
        <w:t xml:space="preserve">Por último, lo invitamos a seguirnos en las redes sociales en las cuales se difunde información institucional: </w:t>
      </w:r>
    </w:p>
    <w:p w14:paraId="0063FF35" w14:textId="77777777" w:rsidR="00D4125A" w:rsidRPr="002F7FFD" w:rsidRDefault="00D4125A" w:rsidP="00D4125A">
      <w:pPr>
        <w:spacing w:after="0" w:line="240" w:lineRule="auto"/>
        <w:jc w:val="both"/>
        <w:rPr>
          <w:rFonts w:ascii="Verdana" w:hAnsi="Verdana"/>
        </w:rPr>
      </w:pPr>
    </w:p>
    <w:p w14:paraId="17423A65" w14:textId="77777777" w:rsidR="00D4125A" w:rsidRPr="002F7FFD" w:rsidRDefault="00D4125A" w:rsidP="00D4125A">
      <w:pPr>
        <w:spacing w:after="0" w:line="240" w:lineRule="auto"/>
        <w:jc w:val="both"/>
        <w:rPr>
          <w:rFonts w:ascii="Verdana" w:hAnsi="Verdana"/>
        </w:rPr>
      </w:pPr>
      <w:r w:rsidRPr="002F7FFD">
        <w:rPr>
          <w:rFonts w:ascii="Verdana" w:hAnsi="Verdana"/>
        </w:rPr>
        <w:t xml:space="preserve">Twitter: </w:t>
      </w:r>
      <w:r w:rsidRPr="002F7FFD">
        <w:rPr>
          <w:rFonts w:ascii="Verdana" w:hAnsi="Verdana"/>
          <w:color w:val="0000FF"/>
          <w:u w:val="single"/>
        </w:rPr>
        <w:t>@colombiacompra</w:t>
      </w:r>
      <w:r w:rsidRPr="002F7FFD">
        <w:rPr>
          <w:rFonts w:ascii="Verdana" w:hAnsi="Verdana"/>
        </w:rPr>
        <w:t xml:space="preserve"> </w:t>
      </w:r>
    </w:p>
    <w:p w14:paraId="62C6F9A0" w14:textId="77777777" w:rsidR="00D4125A" w:rsidRPr="002F7FFD" w:rsidRDefault="00D4125A" w:rsidP="00D4125A">
      <w:pPr>
        <w:spacing w:after="0" w:line="240" w:lineRule="auto"/>
        <w:jc w:val="both"/>
        <w:rPr>
          <w:rFonts w:ascii="Verdana" w:hAnsi="Verdana"/>
        </w:rPr>
      </w:pPr>
      <w:r w:rsidRPr="002F7FFD">
        <w:rPr>
          <w:rFonts w:ascii="Verdana" w:hAnsi="Verdana"/>
        </w:rPr>
        <w:t xml:space="preserve">Facebook: </w:t>
      </w:r>
      <w:r w:rsidRPr="002F7FFD">
        <w:rPr>
          <w:rFonts w:ascii="Verdana" w:hAnsi="Verdana"/>
          <w:color w:val="0000FF"/>
          <w:u w:val="single"/>
        </w:rPr>
        <w:t>ColombiaCompraEficiente</w:t>
      </w:r>
    </w:p>
    <w:p w14:paraId="06635B88" w14:textId="77777777" w:rsidR="00D4125A" w:rsidRPr="002F7FFD" w:rsidRDefault="00D4125A" w:rsidP="00D4125A">
      <w:pPr>
        <w:spacing w:after="0" w:line="240" w:lineRule="auto"/>
        <w:jc w:val="both"/>
        <w:rPr>
          <w:rFonts w:ascii="Verdana" w:hAnsi="Verdana"/>
        </w:rPr>
      </w:pPr>
      <w:r w:rsidRPr="002F7FFD">
        <w:rPr>
          <w:rFonts w:ascii="Verdana" w:hAnsi="Verdana"/>
        </w:rPr>
        <w:t xml:space="preserve">LinkedIn: </w:t>
      </w:r>
      <w:r w:rsidRPr="002F7FFD">
        <w:rPr>
          <w:rFonts w:ascii="Verdana" w:hAnsi="Verdana"/>
          <w:color w:val="0000FF"/>
          <w:u w:val="single"/>
        </w:rPr>
        <w:t>Agencia Nacional de Contratación Pública - Colombia Compra Eficiente</w:t>
      </w:r>
      <w:r w:rsidRPr="002F7FFD">
        <w:rPr>
          <w:rFonts w:ascii="Verdana" w:hAnsi="Verdana"/>
        </w:rPr>
        <w:t xml:space="preserve"> Instagram: </w:t>
      </w:r>
      <w:r w:rsidRPr="002F7FFD">
        <w:rPr>
          <w:rFonts w:ascii="Verdana" w:hAnsi="Verdana"/>
          <w:color w:val="0000FF"/>
          <w:u w:val="single"/>
        </w:rPr>
        <w:t>@colombiacompraeficiente_cce</w:t>
      </w:r>
    </w:p>
    <w:p w14:paraId="2CBB2562" w14:textId="77777777" w:rsidR="00D4125A" w:rsidRPr="002F7FFD" w:rsidRDefault="00D4125A" w:rsidP="00D4125A">
      <w:pPr>
        <w:widowControl w:val="0"/>
        <w:autoSpaceDE w:val="0"/>
        <w:autoSpaceDN w:val="0"/>
        <w:spacing w:after="0" w:line="276" w:lineRule="auto"/>
        <w:jc w:val="both"/>
        <w:rPr>
          <w:rFonts w:ascii="Verdana" w:hAnsi="Verdana" w:cs="Arial"/>
        </w:rPr>
      </w:pPr>
    </w:p>
    <w:p w14:paraId="2295E430" w14:textId="77777777" w:rsidR="00D4125A" w:rsidRPr="002F7FFD" w:rsidRDefault="00D4125A" w:rsidP="00D4125A">
      <w:pPr>
        <w:widowControl w:val="0"/>
        <w:autoSpaceDE w:val="0"/>
        <w:autoSpaceDN w:val="0"/>
        <w:spacing w:after="0" w:line="276" w:lineRule="auto"/>
        <w:jc w:val="both"/>
        <w:rPr>
          <w:rFonts w:ascii="Verdana" w:hAnsi="Verdana" w:cs="Arial"/>
        </w:rPr>
      </w:pPr>
      <w:r w:rsidRPr="002F7FFD">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B5FD921" w14:textId="695256B1" w:rsidR="00D4125A" w:rsidRPr="002F7FFD" w:rsidRDefault="00D4125A" w:rsidP="00D4125A">
      <w:pPr>
        <w:widowControl w:val="0"/>
        <w:autoSpaceDE w:val="0"/>
        <w:autoSpaceDN w:val="0"/>
        <w:spacing w:after="0" w:line="276" w:lineRule="auto"/>
        <w:jc w:val="both"/>
        <w:rPr>
          <w:rFonts w:ascii="Verdana" w:hAnsi="Verdana" w:cs="Arial"/>
        </w:rPr>
      </w:pPr>
    </w:p>
    <w:p w14:paraId="5719C312" w14:textId="16D4B346" w:rsidR="00D4125A" w:rsidRPr="002F7FFD" w:rsidRDefault="00B236B0" w:rsidP="00D4125A">
      <w:pPr>
        <w:spacing w:after="0" w:line="276" w:lineRule="auto"/>
        <w:rPr>
          <w:rFonts w:ascii="Verdana" w:hAnsi="Verdana" w:cs="Arial"/>
          <w:lang w:eastAsia="es-CO"/>
        </w:rPr>
      </w:pPr>
      <w:r w:rsidRPr="002C3AD6">
        <w:rPr>
          <w:rFonts w:ascii="Century Gothic" w:hAnsi="Century Gothic"/>
          <w:noProof/>
        </w:rPr>
        <w:drawing>
          <wp:anchor distT="0" distB="0" distL="114300" distR="114300" simplePos="0" relativeHeight="251660288" behindDoc="0" locked="0" layoutInCell="1" allowOverlap="1" wp14:anchorId="259DB637" wp14:editId="1D71587D">
            <wp:simplePos x="0" y="0"/>
            <wp:positionH relativeFrom="column">
              <wp:posOffset>1236345</wp:posOffset>
            </wp:positionH>
            <wp:positionV relativeFrom="paragraph">
              <wp:posOffset>91762</wp:posOffset>
            </wp:positionV>
            <wp:extent cx="3552190" cy="1318260"/>
            <wp:effectExtent l="0" t="0" r="3810" b="254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3552190" cy="1318260"/>
                    </a:xfrm>
                    <a:prstGeom prst="rect">
                      <a:avLst/>
                    </a:prstGeom>
                  </pic:spPr>
                </pic:pic>
              </a:graphicData>
            </a:graphic>
            <wp14:sizeRelH relativeFrom="page">
              <wp14:pctWidth>0</wp14:pctWidth>
            </wp14:sizeRelH>
            <wp14:sizeRelV relativeFrom="page">
              <wp14:pctHeight>0</wp14:pctHeight>
            </wp14:sizeRelV>
          </wp:anchor>
        </w:drawing>
      </w:r>
      <w:r w:rsidR="00D4125A" w:rsidRPr="002F7FFD">
        <w:rPr>
          <w:rFonts w:ascii="Verdana" w:eastAsia="Times New Roman" w:hAnsi="Verdana" w:cs="Arial"/>
          <w:lang w:eastAsia="es-CO"/>
        </w:rPr>
        <w:t>Atentamente,</w:t>
      </w:r>
      <w:r w:rsidR="00D4125A" w:rsidRPr="002F7FFD">
        <w:rPr>
          <w:rFonts w:ascii="Verdana" w:hAnsi="Verdana" w:cs="Arial"/>
          <w:lang w:eastAsia="es-CO"/>
        </w:rPr>
        <w:t xml:space="preserve"> </w:t>
      </w:r>
    </w:p>
    <w:p w14:paraId="125D5B97" w14:textId="19BBE678" w:rsidR="00D4125A" w:rsidRDefault="00D4125A" w:rsidP="00D4125A">
      <w:pPr>
        <w:tabs>
          <w:tab w:val="left" w:pos="1320"/>
        </w:tabs>
        <w:jc w:val="center"/>
        <w:rPr>
          <w:rFonts w:ascii="Verdana" w:hAnsi="Verdana"/>
        </w:rPr>
      </w:pPr>
    </w:p>
    <w:p w14:paraId="4674F891" w14:textId="77777777" w:rsidR="00B236B0" w:rsidRDefault="00B236B0" w:rsidP="00D4125A">
      <w:pPr>
        <w:tabs>
          <w:tab w:val="left" w:pos="1320"/>
        </w:tabs>
        <w:jc w:val="center"/>
        <w:rPr>
          <w:rFonts w:ascii="Verdana" w:hAnsi="Verdana"/>
        </w:rPr>
      </w:pPr>
    </w:p>
    <w:p w14:paraId="38D980E0" w14:textId="77777777" w:rsidR="00B236B0" w:rsidRDefault="00B236B0" w:rsidP="00D4125A">
      <w:pPr>
        <w:tabs>
          <w:tab w:val="left" w:pos="1320"/>
        </w:tabs>
        <w:jc w:val="center"/>
        <w:rPr>
          <w:rFonts w:ascii="Verdana" w:hAnsi="Verdana"/>
        </w:rPr>
      </w:pPr>
    </w:p>
    <w:p w14:paraId="482D783A" w14:textId="77777777" w:rsidR="00B236B0" w:rsidRPr="00D426B8" w:rsidRDefault="00B236B0" w:rsidP="00B236B0">
      <w:pPr>
        <w:tabs>
          <w:tab w:val="left" w:pos="1320"/>
        </w:tabs>
        <w:rPr>
          <w:rFonts w:ascii="Verdana" w:hAnsi="Verdana"/>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D4125A" w:rsidRPr="002F7FFD" w14:paraId="34D6F984" w14:textId="77777777" w:rsidTr="000C58FA">
        <w:trPr>
          <w:trHeight w:val="315"/>
        </w:trPr>
        <w:tc>
          <w:tcPr>
            <w:tcW w:w="1185" w:type="dxa"/>
            <w:tcBorders>
              <w:top w:val="nil"/>
              <w:left w:val="nil"/>
              <w:bottom w:val="nil"/>
              <w:right w:val="nil"/>
            </w:tcBorders>
            <w:tcMar>
              <w:left w:w="105" w:type="dxa"/>
              <w:right w:w="105" w:type="dxa"/>
            </w:tcMar>
            <w:vAlign w:val="center"/>
          </w:tcPr>
          <w:p w14:paraId="228F5F5D" w14:textId="6E50217E"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Elabor</w:t>
            </w:r>
            <w:r w:rsidR="00B5441E">
              <w:rPr>
                <w:rFonts w:ascii="Verdana" w:eastAsia="Verdana" w:hAnsi="Verdana" w:cs="Verdana"/>
                <w:sz w:val="16"/>
                <w:szCs w:val="16"/>
              </w:rPr>
              <w:t>ó</w:t>
            </w:r>
            <w:r w:rsidRPr="002F7FFD">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714A2C67" w14:textId="77777777" w:rsidR="00D4125A" w:rsidRPr="002F7FFD" w:rsidRDefault="00D4125A" w:rsidP="000C58FA">
            <w:pPr>
              <w:rPr>
                <w:rFonts w:ascii="Verdana" w:eastAsia="Times New Roman" w:hAnsi="Verdana" w:cs="Segoe UI"/>
                <w:color w:val="000000" w:themeColor="text1"/>
                <w:sz w:val="16"/>
                <w:szCs w:val="16"/>
                <w:lang w:eastAsia="es-ES"/>
              </w:rPr>
            </w:pPr>
            <w:r w:rsidRPr="002F7FFD">
              <w:rPr>
                <w:rFonts w:ascii="Verdana" w:eastAsia="Arial" w:hAnsi="Verdana" w:cs="Arial"/>
                <w:color w:val="000000" w:themeColor="text1"/>
                <w:sz w:val="16"/>
                <w:szCs w:val="16"/>
              </w:rPr>
              <w:t>Denis Andrea Cárdenas Hernández</w:t>
            </w:r>
          </w:p>
          <w:p w14:paraId="45965F68" w14:textId="77777777" w:rsidR="00D4125A" w:rsidRPr="002F7FFD" w:rsidRDefault="00D4125A" w:rsidP="000C58FA">
            <w:pPr>
              <w:rPr>
                <w:rFonts w:ascii="Verdana" w:eastAsia="Arial" w:hAnsi="Verdana" w:cs="Arial"/>
                <w:color w:val="000000" w:themeColor="text1"/>
                <w:sz w:val="16"/>
                <w:szCs w:val="16"/>
              </w:rPr>
            </w:pPr>
            <w:r w:rsidRPr="002F7FFD">
              <w:rPr>
                <w:rFonts w:ascii="Verdana" w:eastAsia="Arial" w:hAnsi="Verdana" w:cs="Arial"/>
                <w:color w:val="000000" w:themeColor="text1"/>
                <w:sz w:val="16"/>
                <w:szCs w:val="16"/>
              </w:rPr>
              <w:t>Analista T2-01 de la Subdirección de Gestión Contractual</w:t>
            </w:r>
          </w:p>
        </w:tc>
      </w:tr>
      <w:tr w:rsidR="00D4125A" w:rsidRPr="002F7FFD" w14:paraId="2C9BC175" w14:textId="77777777" w:rsidTr="000C58FA">
        <w:trPr>
          <w:trHeight w:val="315"/>
        </w:trPr>
        <w:tc>
          <w:tcPr>
            <w:tcW w:w="1185" w:type="dxa"/>
            <w:tcBorders>
              <w:top w:val="nil"/>
              <w:left w:val="nil"/>
              <w:bottom w:val="nil"/>
              <w:right w:val="nil"/>
            </w:tcBorders>
            <w:tcMar>
              <w:left w:w="105" w:type="dxa"/>
              <w:right w:w="105" w:type="dxa"/>
            </w:tcMar>
            <w:vAlign w:val="center"/>
          </w:tcPr>
          <w:p w14:paraId="362F0389" w14:textId="77777777"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44A77CA8" w14:textId="77777777" w:rsidR="00D4125A" w:rsidRPr="002F7FFD" w:rsidRDefault="00D4125A" w:rsidP="000C58FA">
            <w:pPr>
              <w:rPr>
                <w:rFonts w:ascii="Verdana" w:eastAsia="Verdana" w:hAnsi="Verdana" w:cs="Verdana"/>
                <w:sz w:val="16"/>
                <w:szCs w:val="16"/>
              </w:rPr>
            </w:pPr>
            <w:r>
              <w:rPr>
                <w:rFonts w:ascii="Verdana" w:eastAsia="Verdana" w:hAnsi="Verdana" w:cs="Verdana"/>
                <w:sz w:val="16"/>
                <w:szCs w:val="16"/>
              </w:rPr>
              <w:t>Diana Lucia Saavedra Castañeda</w:t>
            </w:r>
          </w:p>
          <w:p w14:paraId="6866035C" w14:textId="77777777"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Contratista de la Subdirección de Gestión Contractual</w:t>
            </w:r>
          </w:p>
        </w:tc>
      </w:tr>
      <w:tr w:rsidR="00D4125A" w:rsidRPr="002F7FFD" w14:paraId="619BF7C4" w14:textId="77777777" w:rsidTr="000C58FA">
        <w:trPr>
          <w:trHeight w:val="300"/>
        </w:trPr>
        <w:tc>
          <w:tcPr>
            <w:tcW w:w="1185" w:type="dxa"/>
            <w:tcBorders>
              <w:top w:val="nil"/>
              <w:left w:val="nil"/>
              <w:bottom w:val="nil"/>
              <w:right w:val="nil"/>
            </w:tcBorders>
            <w:tcMar>
              <w:left w:w="105" w:type="dxa"/>
              <w:right w:w="105" w:type="dxa"/>
            </w:tcMar>
            <w:vAlign w:val="center"/>
          </w:tcPr>
          <w:p w14:paraId="6E596198" w14:textId="77777777"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601F7FB" w14:textId="77777777"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 xml:space="preserve">Carolina Quintero </w:t>
            </w:r>
            <w:proofErr w:type="spellStart"/>
            <w:r w:rsidRPr="002F7FFD">
              <w:rPr>
                <w:rFonts w:ascii="Verdana" w:eastAsia="Verdana" w:hAnsi="Verdana" w:cs="Verdana"/>
                <w:sz w:val="16"/>
                <w:szCs w:val="16"/>
              </w:rPr>
              <w:t>Gacharná</w:t>
            </w:r>
            <w:proofErr w:type="spellEnd"/>
          </w:p>
          <w:p w14:paraId="44934A73" w14:textId="77777777" w:rsidR="00D4125A" w:rsidRPr="002F7FFD" w:rsidRDefault="00D4125A" w:rsidP="000C58FA">
            <w:pPr>
              <w:rPr>
                <w:rFonts w:ascii="Verdana" w:eastAsia="Verdana" w:hAnsi="Verdana" w:cs="Verdana"/>
                <w:sz w:val="16"/>
                <w:szCs w:val="16"/>
              </w:rPr>
            </w:pPr>
            <w:r w:rsidRPr="002F7FFD">
              <w:rPr>
                <w:rFonts w:ascii="Verdana" w:eastAsia="Verdana" w:hAnsi="Verdana" w:cs="Verdana"/>
                <w:sz w:val="16"/>
                <w:szCs w:val="16"/>
              </w:rPr>
              <w:t>Subdirectora de Gestión Contractual ANCP – CCE</w:t>
            </w:r>
          </w:p>
        </w:tc>
      </w:tr>
      <w:bookmarkEnd w:id="0"/>
    </w:tbl>
    <w:p w14:paraId="1D7F2218" w14:textId="16619A3E" w:rsidR="00D4125A" w:rsidRPr="000E2B93" w:rsidRDefault="00D4125A" w:rsidP="00B236B0">
      <w:pPr>
        <w:spacing w:after="0" w:line="240" w:lineRule="auto"/>
        <w:textAlignment w:val="baseline"/>
        <w:rPr>
          <w:rFonts w:ascii="Verdana" w:eastAsia="Verdana" w:hAnsi="Verdana" w:cs="Verdana"/>
          <w:lang w:eastAsia="es-CO"/>
        </w:rPr>
      </w:pPr>
    </w:p>
    <w:sectPr w:rsidR="00D4125A"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FF184" w14:textId="77777777" w:rsidR="00202751" w:rsidRDefault="00202751" w:rsidP="004A1847">
      <w:pPr>
        <w:spacing w:after="0" w:line="240" w:lineRule="auto"/>
      </w:pPr>
      <w:r>
        <w:separator/>
      </w:r>
    </w:p>
  </w:endnote>
  <w:endnote w:type="continuationSeparator" w:id="0">
    <w:p w14:paraId="73A20704" w14:textId="77777777" w:rsidR="00202751" w:rsidRDefault="00202751" w:rsidP="004A1847">
      <w:pPr>
        <w:spacing w:after="0" w:line="240" w:lineRule="auto"/>
      </w:pPr>
      <w:r>
        <w:continuationSeparator/>
      </w:r>
    </w:p>
  </w:endnote>
  <w:endnote w:type="continuationNotice" w:id="1">
    <w:p w14:paraId="1551BCAA" w14:textId="77777777" w:rsidR="00202751" w:rsidRDefault="002027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AAE42" w14:textId="77777777" w:rsidR="00202751" w:rsidRDefault="00202751" w:rsidP="004A1847">
      <w:pPr>
        <w:spacing w:after="0" w:line="240" w:lineRule="auto"/>
      </w:pPr>
      <w:r>
        <w:separator/>
      </w:r>
    </w:p>
  </w:footnote>
  <w:footnote w:type="continuationSeparator" w:id="0">
    <w:p w14:paraId="4734E811" w14:textId="77777777" w:rsidR="00202751" w:rsidRDefault="00202751" w:rsidP="004A1847">
      <w:pPr>
        <w:spacing w:after="0" w:line="240" w:lineRule="auto"/>
      </w:pPr>
      <w:r>
        <w:continuationSeparator/>
      </w:r>
    </w:p>
  </w:footnote>
  <w:footnote w:type="continuationNotice" w:id="1">
    <w:p w14:paraId="4A5EECD2" w14:textId="77777777" w:rsidR="00202751" w:rsidRDefault="00202751">
      <w:pPr>
        <w:spacing w:after="0" w:line="240" w:lineRule="auto"/>
      </w:pPr>
    </w:p>
  </w:footnote>
  <w:footnote w:id="2">
    <w:p w14:paraId="52B69A63" w14:textId="77777777" w:rsidR="00D4125A" w:rsidRPr="002F7FFD" w:rsidRDefault="00D4125A" w:rsidP="00D4125A">
      <w:pPr>
        <w:pStyle w:val="Textonotapie"/>
        <w:ind w:firstLine="709"/>
        <w:jc w:val="both"/>
        <w:rPr>
          <w:rFonts w:ascii="Verdana" w:eastAsia="Calibri" w:hAnsi="Verdana" w:cs="Arial"/>
          <w:sz w:val="16"/>
          <w:szCs w:val="16"/>
          <w:lang w:val="es-CO" w:eastAsia="es-ES_tradnl"/>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24DA5C6" w14:textId="77777777" w:rsidR="00D4125A" w:rsidRPr="002F7FFD" w:rsidRDefault="00D4125A" w:rsidP="00D4125A">
      <w:pPr>
        <w:pStyle w:val="Textonotapie"/>
        <w:ind w:firstLine="709"/>
        <w:jc w:val="both"/>
        <w:rPr>
          <w:rFonts w:ascii="Verdana" w:hAnsi="Verdana" w:cs="Arial"/>
          <w:sz w:val="16"/>
          <w:szCs w:val="16"/>
          <w:lang w:val="es-CO"/>
        </w:rPr>
      </w:pPr>
      <w:r w:rsidRPr="002F7FFD">
        <w:rPr>
          <w:rFonts w:ascii="Verdana" w:eastAsia="Calibri" w:hAnsi="Verdana" w:cs="Arial"/>
          <w:sz w:val="16"/>
          <w:szCs w:val="16"/>
          <w:lang w:val="es-CO"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37DD86A8" w14:textId="77777777"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CONSEJO DE ESTADO. Sección Tercera. Subsección B. Sentencia del 29 de febrero de 2012. Exp. 16371, C.P. Danilo Rojas Betancourth.</w:t>
      </w:r>
    </w:p>
  </w:footnote>
  <w:footnote w:id="4">
    <w:p w14:paraId="488399D2" w14:textId="77777777" w:rsidR="00D4125A" w:rsidRPr="002F7FFD" w:rsidRDefault="00D4125A" w:rsidP="00D4125A">
      <w:pPr>
        <w:pStyle w:val="Textonotapie"/>
        <w:ind w:firstLine="709"/>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PINO RICCI, Jorge. El régimen jurídico de los contratos estatales. Universidad Externado de Colombia. Bogotá, 2005. pp. 416.</w:t>
      </w:r>
    </w:p>
  </w:footnote>
  <w:footnote w:id="5">
    <w:p w14:paraId="7BB0EF5E" w14:textId="77777777"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CONSEJO DE ESTADO. Sección Tercera. Subsección B. Sentencia del 14 de octubre de 2011. Exp. 20811, C.P. Ruth Stella Correa Palacio.</w:t>
      </w:r>
    </w:p>
  </w:footnote>
  <w:footnote w:id="6">
    <w:p w14:paraId="4DDBE06F" w14:textId="77777777"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CONSEJO DE ESTADO. Sala de Consulta y Servicio Civil. Concepto del 5 de septiembre de 2018, radicado No. 11001-03-06-000-2018-00124-00 C.P. Édgar González López.</w:t>
      </w:r>
    </w:p>
  </w:footnote>
  <w:footnote w:id="7">
    <w:p w14:paraId="073DE2C3" w14:textId="77777777"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2F7FFD">
        <w:rPr>
          <w:rFonts w:ascii="Verdana" w:hAnsi="Verdana" w:cs="Arial"/>
          <w:sz w:val="16"/>
          <w:szCs w:val="16"/>
          <w:lang w:val="es-CO"/>
        </w:rPr>
        <w:t xml:space="preserve"> </w:t>
      </w:r>
    </w:p>
  </w:footnote>
  <w:footnote w:id="8">
    <w:p w14:paraId="6C30FD8C" w14:textId="77777777" w:rsidR="00D4125A" w:rsidRPr="002F7FFD" w:rsidRDefault="00D4125A" w:rsidP="00D4125A">
      <w:pPr>
        <w:pStyle w:val="Textonotapie"/>
        <w:ind w:firstLine="709"/>
        <w:jc w:val="both"/>
        <w:rPr>
          <w:rFonts w:ascii="Verdana" w:eastAsia="Calibri" w:hAnsi="Verdana" w:cs="Arial"/>
          <w:sz w:val="16"/>
          <w:szCs w:val="16"/>
          <w:lang w:val="es-CO" w:eastAsia="es-ES_tradnl"/>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MARÍN, Op. Cit., pp. 64-65.</w:t>
      </w:r>
    </w:p>
  </w:footnote>
  <w:footnote w:id="9">
    <w:p w14:paraId="2E7BD23B" w14:textId="77777777" w:rsidR="00D4125A" w:rsidRPr="002F7FFD" w:rsidRDefault="00D4125A" w:rsidP="00D4125A">
      <w:pPr>
        <w:pStyle w:val="Textonotapie"/>
        <w:ind w:firstLine="709"/>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Ibíd., p. 66.</w:t>
      </w:r>
    </w:p>
  </w:footnote>
  <w:footnote w:id="10">
    <w:p w14:paraId="5F3CEA56" w14:textId="77777777" w:rsidR="00D4125A" w:rsidRPr="002F7FFD" w:rsidRDefault="00D4125A" w:rsidP="00D4125A">
      <w:pPr>
        <w:pStyle w:val="Textonotapie"/>
        <w:ind w:firstLine="708"/>
        <w:jc w:val="both"/>
        <w:rPr>
          <w:rFonts w:ascii="Verdana" w:eastAsia="Calibri" w:hAnsi="Verdana" w:cs="Arial"/>
          <w:sz w:val="16"/>
          <w:szCs w:val="16"/>
          <w:lang w:val="es-CO" w:eastAsia="es-ES_tradnl"/>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1">
    <w:p w14:paraId="3EF6DB54" w14:textId="77777777"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2">
    <w:p w14:paraId="1F49098C" w14:textId="77777777" w:rsidR="00D4125A" w:rsidRPr="002F7FFD" w:rsidRDefault="00D4125A" w:rsidP="00D4125A">
      <w:pPr>
        <w:pStyle w:val="Textonotapie"/>
        <w:ind w:firstLine="709"/>
        <w:jc w:val="both"/>
        <w:rPr>
          <w:lang w:val="es-CO"/>
        </w:rPr>
      </w:pPr>
      <w:r w:rsidRPr="002F7FFD">
        <w:rPr>
          <w:rStyle w:val="Refdenotaalpie"/>
          <w:lang w:val="es-CO"/>
        </w:rPr>
        <w:footnoteRef/>
      </w:r>
      <w:r w:rsidRPr="002F7FFD">
        <w:rPr>
          <w:lang w:val="es-CO"/>
        </w:rPr>
        <w:t xml:space="preserve"> </w:t>
      </w:r>
      <w:r w:rsidRPr="002F7FFD">
        <w:rPr>
          <w:rFonts w:ascii="Verdana" w:hAnsi="Verdana" w:cs="Arial"/>
          <w:sz w:val="16"/>
          <w:szCs w:val="16"/>
          <w:lang w:val="es-CO"/>
        </w:rPr>
        <w:t>Consejo de Estado. Sala de Consulta y Servicio Civil. Concepto del 5 de septiembre de 2018, radicado No. 11001-03-06-000-2018-00124-00, C.P. Édgar González López</w:t>
      </w:r>
    </w:p>
  </w:footnote>
  <w:footnote w:id="13">
    <w:p w14:paraId="2BF87B74" w14:textId="2D92BAC4" w:rsidR="00D4125A" w:rsidRPr="002F7FFD" w:rsidRDefault="00D4125A" w:rsidP="00D4125A">
      <w:pPr>
        <w:pStyle w:val="Textonotapie"/>
        <w:ind w:firstLine="708"/>
        <w:jc w:val="both"/>
        <w:rPr>
          <w:rFonts w:ascii="Verdana" w:hAnsi="Verdana" w:cs="Arial"/>
          <w:sz w:val="16"/>
          <w:szCs w:val="16"/>
          <w:lang w:val="es-CO"/>
        </w:rPr>
      </w:pPr>
      <w:r w:rsidRPr="002F7FFD">
        <w:rPr>
          <w:rStyle w:val="Refdenotaalpie"/>
          <w:rFonts w:ascii="Verdana" w:hAnsi="Verdana" w:cs="Arial"/>
          <w:sz w:val="16"/>
          <w:szCs w:val="16"/>
          <w:lang w:val="es-CO"/>
        </w:rPr>
        <w:footnoteRef/>
      </w:r>
      <w:r w:rsidRPr="002F7FFD">
        <w:rPr>
          <w:rFonts w:ascii="Verdana" w:hAnsi="Verdana" w:cs="Arial"/>
          <w:sz w:val="16"/>
          <w:szCs w:val="16"/>
          <w:lang w:val="es-CO"/>
        </w:rPr>
        <w:t xml:space="preserve"> </w:t>
      </w:r>
      <w:r w:rsidRPr="002F7FFD">
        <w:rPr>
          <w:rFonts w:ascii="Verdana" w:eastAsia="Calibri" w:hAnsi="Verdana" w:cs="Arial"/>
          <w:sz w:val="16"/>
          <w:szCs w:val="16"/>
          <w:lang w:val="es-CO" w:eastAsia="es-ES_tradnl"/>
        </w:rPr>
        <w:t>Ibíd, p. 77.</w:t>
      </w:r>
      <w:r w:rsidRPr="002F7FFD">
        <w:rPr>
          <w:rFonts w:ascii="Verdana" w:hAnsi="Verdana" w:cs="Arial"/>
          <w:sz w:val="16"/>
          <w:szCs w:val="16"/>
          <w:lang w:val="es-CO"/>
        </w:rPr>
        <w:t xml:space="preserve"> </w:t>
      </w:r>
    </w:p>
  </w:footnote>
  <w:footnote w:id="14">
    <w:p w14:paraId="76A4EBF3" w14:textId="77777777" w:rsidR="00D4125A" w:rsidRPr="002F7FFD" w:rsidRDefault="00D4125A" w:rsidP="00D4125A">
      <w:pPr>
        <w:pStyle w:val="Textonotapie"/>
        <w:ind w:firstLine="709"/>
        <w:rPr>
          <w:lang w:val="es-CO"/>
        </w:rPr>
      </w:pPr>
      <w:r w:rsidRPr="002F7FFD">
        <w:rPr>
          <w:rStyle w:val="Refdenotaalpie"/>
          <w:lang w:val="es-CO"/>
        </w:rPr>
        <w:footnoteRef/>
      </w:r>
      <w:r w:rsidRPr="002F7FFD">
        <w:rPr>
          <w:lang w:val="es-CO"/>
        </w:rPr>
        <w:t xml:space="preserve"> </w:t>
      </w:r>
      <w:r w:rsidRPr="002F7FFD">
        <w:rPr>
          <w:rFonts w:ascii="Verdana" w:eastAsia="Calibri" w:hAnsi="Verdana" w:cs="Arial"/>
          <w:sz w:val="16"/>
          <w:szCs w:val="16"/>
          <w:lang w:val="es-CO" w:eastAsia="es-ES_tradnl"/>
        </w:rPr>
        <w:t>Ibíd, p. 77.</w:t>
      </w:r>
    </w:p>
  </w:footnote>
  <w:footnote w:id="15">
    <w:p w14:paraId="2FFCCF2D" w14:textId="77777777" w:rsidR="00D4125A" w:rsidRPr="00B324A4" w:rsidRDefault="00D4125A" w:rsidP="00D4125A">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ALESSANDRI RODRÍGUEZ, Arturo. De los contratos. Santiago de Chile: Editorial Jurídica EDIAR-CONOCSUR LTDA, 1988. p. 182. </w:t>
      </w:r>
    </w:p>
  </w:footnote>
  <w:footnote w:id="16">
    <w:p w14:paraId="1ABDDD03" w14:textId="59282F0D" w:rsidR="00D4125A" w:rsidRPr="00B324A4" w:rsidRDefault="00D4125A" w:rsidP="00D4125A">
      <w:pPr>
        <w:pStyle w:val="Textonotapie"/>
        <w:ind w:firstLine="708"/>
        <w:jc w:val="both"/>
        <w:rPr>
          <w:rFonts w:ascii="Verdana" w:hAnsi="Verdana" w:cs="Arial"/>
          <w:sz w:val="16"/>
          <w:szCs w:val="16"/>
          <w:lang w:val="es-ES_tradnl"/>
        </w:rPr>
      </w:pPr>
      <w:r w:rsidRPr="00B324A4">
        <w:rPr>
          <w:rStyle w:val="Refdenotaalpie"/>
          <w:rFonts w:ascii="Verdana" w:hAnsi="Verdana" w:cs="Arial"/>
          <w:sz w:val="16"/>
          <w:szCs w:val="16"/>
        </w:rPr>
        <w:footnoteRef/>
      </w:r>
      <w:r w:rsidRPr="00B324A4">
        <w:rPr>
          <w:rFonts w:ascii="Verdana" w:hAnsi="Verdana" w:cs="Arial"/>
          <w:sz w:val="16"/>
          <w:szCs w:val="16"/>
        </w:rPr>
        <w:t xml:space="preserve"> </w:t>
      </w:r>
      <w:r w:rsidRPr="00B324A4">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17">
    <w:p w14:paraId="72B1895C" w14:textId="3AD1B586" w:rsidR="00D4125A" w:rsidRPr="00B324A4" w:rsidRDefault="00D4125A" w:rsidP="00D4125A">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OSPINA MENA, Jesús Marino. Régimen de la Contratación Estatal. Un salto a la contratación liquida. Bogotá: Dike, 2020. p. 168.</w:t>
      </w:r>
    </w:p>
  </w:footnote>
  <w:footnote w:id="18">
    <w:p w14:paraId="1FEF8423" w14:textId="77777777" w:rsidR="00D4125A" w:rsidRPr="00B324A4" w:rsidRDefault="00D4125A" w:rsidP="00D4125A">
      <w:pPr>
        <w:pStyle w:val="Textonotapie"/>
        <w:ind w:firstLine="709"/>
        <w:jc w:val="both"/>
        <w:rPr>
          <w:rFonts w:ascii="Verdana" w:hAnsi="Verdana" w:cs="Arial"/>
          <w:color w:val="000000"/>
          <w:sz w:val="16"/>
          <w:szCs w:val="16"/>
        </w:rPr>
      </w:pPr>
      <w:r w:rsidRPr="00B324A4">
        <w:rPr>
          <w:rStyle w:val="Refdenotaalpie"/>
          <w:rFonts w:ascii="Verdana" w:hAnsi="Verdana" w:cs="Arial"/>
          <w:color w:val="000000"/>
          <w:sz w:val="16"/>
          <w:szCs w:val="16"/>
        </w:rPr>
        <w:footnoteRef/>
      </w:r>
      <w:r w:rsidRPr="00B324A4">
        <w:rPr>
          <w:rFonts w:ascii="Verdana" w:hAnsi="Verdana" w:cs="Arial"/>
          <w:color w:val="000000"/>
          <w:sz w:val="16"/>
          <w:szCs w:val="16"/>
        </w:rPr>
        <w:t xml:space="preserve"> CONSEJO DE ESTADO. Sala de Consulta y Servicio Civil. Concepto del 5 de septiembre de 2018. Rad. 2.386. C.P. Edgar González López.</w:t>
      </w:r>
    </w:p>
  </w:footnote>
  <w:footnote w:id="19">
    <w:p w14:paraId="42ACFF5E" w14:textId="77777777" w:rsidR="00D4125A" w:rsidRPr="00332C8A" w:rsidRDefault="00D4125A" w:rsidP="00D4125A">
      <w:pPr>
        <w:pStyle w:val="Textonotapie"/>
        <w:ind w:firstLine="708"/>
        <w:jc w:val="both"/>
        <w:rPr>
          <w:rFonts w:ascii="Verdana" w:hAnsi="Verdana"/>
          <w:sz w:val="18"/>
          <w:szCs w:val="18"/>
        </w:rPr>
      </w:pPr>
      <w:r w:rsidRPr="00332C8A">
        <w:rPr>
          <w:rStyle w:val="Refdenotaalpie"/>
          <w:rFonts w:ascii="Verdana" w:hAnsi="Verdana"/>
          <w:sz w:val="18"/>
          <w:szCs w:val="18"/>
        </w:rPr>
        <w:footnoteRef/>
      </w:r>
      <w:r w:rsidRPr="00332C8A">
        <w:rPr>
          <w:rFonts w:ascii="Verdana" w:hAnsi="Verdana"/>
          <w:sz w:val="18"/>
          <w:szCs w:val="18"/>
        </w:rPr>
        <w:t xml:space="preserve"> Reglamento Colombiano de Construcción Sismo Resistente NSR-10</w:t>
      </w:r>
    </w:p>
    <w:p w14:paraId="01CD8C06" w14:textId="77777777" w:rsidR="00D4125A" w:rsidRPr="00332C8A" w:rsidRDefault="00D4125A" w:rsidP="00D4125A">
      <w:pPr>
        <w:pStyle w:val="Textonotapie"/>
        <w:ind w:firstLine="708"/>
        <w:jc w:val="both"/>
        <w:rPr>
          <w:rFonts w:ascii="Verdana" w:hAnsi="Verdana"/>
          <w:sz w:val="18"/>
          <w:szCs w:val="18"/>
          <w:lang w:val="es-ES_tradnl"/>
        </w:rPr>
      </w:pPr>
    </w:p>
  </w:footnote>
  <w:footnote w:id="20">
    <w:p w14:paraId="4581719C" w14:textId="77777777" w:rsidR="00D4125A" w:rsidRPr="00332C8A" w:rsidRDefault="00D4125A" w:rsidP="00D4125A">
      <w:pPr>
        <w:pStyle w:val="Textonotapie"/>
        <w:ind w:firstLine="708"/>
        <w:jc w:val="both"/>
        <w:rPr>
          <w:rFonts w:ascii="Verdana" w:hAnsi="Verdana"/>
          <w:sz w:val="18"/>
          <w:szCs w:val="18"/>
          <w:lang w:val="es-ES_tradnl"/>
        </w:rPr>
      </w:pPr>
      <w:r w:rsidRPr="00332C8A">
        <w:rPr>
          <w:rStyle w:val="Refdenotaalpie"/>
          <w:rFonts w:ascii="Verdana" w:hAnsi="Verdana"/>
          <w:sz w:val="18"/>
          <w:szCs w:val="18"/>
        </w:rPr>
        <w:footnoteRef/>
      </w:r>
      <w:r w:rsidRPr="00332C8A">
        <w:rPr>
          <w:rFonts w:ascii="Verdana" w:hAnsi="Verdana"/>
          <w:sz w:val="18"/>
          <w:szCs w:val="18"/>
        </w:rPr>
        <w:t xml:space="preserve"> </w:t>
      </w:r>
      <w:r w:rsidRPr="00332C8A">
        <w:rPr>
          <w:rFonts w:ascii="Verdana" w:hAnsi="Verdana"/>
          <w:sz w:val="18"/>
          <w:szCs w:val="18"/>
          <w:lang w:val="es-ES_tradnl"/>
        </w:rPr>
        <w:t xml:space="preserve">Ibidem </w:t>
      </w:r>
    </w:p>
    <w:p w14:paraId="11F046B1" w14:textId="77777777" w:rsidR="00D4125A" w:rsidRPr="00332C8A" w:rsidRDefault="00D4125A" w:rsidP="00D4125A">
      <w:pPr>
        <w:pStyle w:val="Textonotapie"/>
        <w:ind w:firstLine="708"/>
        <w:jc w:val="both"/>
        <w:rPr>
          <w:rFonts w:ascii="Verdana" w:hAnsi="Verdana"/>
          <w:sz w:val="18"/>
          <w:szCs w:val="18"/>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2" type="#_x0000_t75" style="width:7.1pt;height:7.1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654"/>
    <w:rsid w:val="00016F78"/>
    <w:rsid w:val="00046945"/>
    <w:rsid w:val="00061B2A"/>
    <w:rsid w:val="00082362"/>
    <w:rsid w:val="000A683E"/>
    <w:rsid w:val="000B19B9"/>
    <w:rsid w:val="000C737A"/>
    <w:rsid w:val="000D0334"/>
    <w:rsid w:val="000D5DA7"/>
    <w:rsid w:val="000F6486"/>
    <w:rsid w:val="00116940"/>
    <w:rsid w:val="00125105"/>
    <w:rsid w:val="00127233"/>
    <w:rsid w:val="0015699B"/>
    <w:rsid w:val="001A33BF"/>
    <w:rsid w:val="001D50FB"/>
    <w:rsid w:val="001E4177"/>
    <w:rsid w:val="001F0B24"/>
    <w:rsid w:val="001F7DC6"/>
    <w:rsid w:val="00202751"/>
    <w:rsid w:val="0022400B"/>
    <w:rsid w:val="002421BB"/>
    <w:rsid w:val="002475BD"/>
    <w:rsid w:val="0025796E"/>
    <w:rsid w:val="002707A2"/>
    <w:rsid w:val="00274D46"/>
    <w:rsid w:val="002951A0"/>
    <w:rsid w:val="002962BC"/>
    <w:rsid w:val="002A093D"/>
    <w:rsid w:val="002A0DD0"/>
    <w:rsid w:val="002A49AC"/>
    <w:rsid w:val="002A64FD"/>
    <w:rsid w:val="002C7A84"/>
    <w:rsid w:val="002E2BF8"/>
    <w:rsid w:val="002E4FD9"/>
    <w:rsid w:val="0030657A"/>
    <w:rsid w:val="00322A85"/>
    <w:rsid w:val="00324168"/>
    <w:rsid w:val="00330834"/>
    <w:rsid w:val="00331AF2"/>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5D2C"/>
    <w:rsid w:val="00456880"/>
    <w:rsid w:val="00466E39"/>
    <w:rsid w:val="00470DF7"/>
    <w:rsid w:val="004A1847"/>
    <w:rsid w:val="004A305D"/>
    <w:rsid w:val="004F21C4"/>
    <w:rsid w:val="004F685F"/>
    <w:rsid w:val="004F75DD"/>
    <w:rsid w:val="005014F9"/>
    <w:rsid w:val="00533D45"/>
    <w:rsid w:val="005566E8"/>
    <w:rsid w:val="00561516"/>
    <w:rsid w:val="00574867"/>
    <w:rsid w:val="00591460"/>
    <w:rsid w:val="005A65E0"/>
    <w:rsid w:val="005C3777"/>
    <w:rsid w:val="005C5CDC"/>
    <w:rsid w:val="005D476C"/>
    <w:rsid w:val="005F14C8"/>
    <w:rsid w:val="00610D7B"/>
    <w:rsid w:val="006200BF"/>
    <w:rsid w:val="006219F8"/>
    <w:rsid w:val="006302F7"/>
    <w:rsid w:val="00646B9F"/>
    <w:rsid w:val="00665D70"/>
    <w:rsid w:val="006900D9"/>
    <w:rsid w:val="00706C16"/>
    <w:rsid w:val="007340C3"/>
    <w:rsid w:val="0075235A"/>
    <w:rsid w:val="00756841"/>
    <w:rsid w:val="007649AB"/>
    <w:rsid w:val="00771D0C"/>
    <w:rsid w:val="007721A4"/>
    <w:rsid w:val="007833AC"/>
    <w:rsid w:val="007A4428"/>
    <w:rsid w:val="007B268C"/>
    <w:rsid w:val="007B7171"/>
    <w:rsid w:val="007C0C0F"/>
    <w:rsid w:val="007C3DC2"/>
    <w:rsid w:val="007E5497"/>
    <w:rsid w:val="00806F5F"/>
    <w:rsid w:val="0081093C"/>
    <w:rsid w:val="00820278"/>
    <w:rsid w:val="008258C9"/>
    <w:rsid w:val="00844AE9"/>
    <w:rsid w:val="0086483C"/>
    <w:rsid w:val="00867F95"/>
    <w:rsid w:val="008843B6"/>
    <w:rsid w:val="00891928"/>
    <w:rsid w:val="008A446D"/>
    <w:rsid w:val="008B25F1"/>
    <w:rsid w:val="008B3C63"/>
    <w:rsid w:val="008D180B"/>
    <w:rsid w:val="008D5AEF"/>
    <w:rsid w:val="008F0EA7"/>
    <w:rsid w:val="008F1A92"/>
    <w:rsid w:val="00923EEF"/>
    <w:rsid w:val="009419F9"/>
    <w:rsid w:val="0095685E"/>
    <w:rsid w:val="00961B09"/>
    <w:rsid w:val="00965334"/>
    <w:rsid w:val="0097093E"/>
    <w:rsid w:val="009A0DFA"/>
    <w:rsid w:val="009A1C6F"/>
    <w:rsid w:val="009B2D26"/>
    <w:rsid w:val="009C71FA"/>
    <w:rsid w:val="009C72E7"/>
    <w:rsid w:val="009C7F7E"/>
    <w:rsid w:val="009D3058"/>
    <w:rsid w:val="009E7CFE"/>
    <w:rsid w:val="009F3A13"/>
    <w:rsid w:val="009F4DE1"/>
    <w:rsid w:val="00A122D3"/>
    <w:rsid w:val="00A14468"/>
    <w:rsid w:val="00A17F13"/>
    <w:rsid w:val="00A20739"/>
    <w:rsid w:val="00A23AF9"/>
    <w:rsid w:val="00A33C78"/>
    <w:rsid w:val="00AB0ADB"/>
    <w:rsid w:val="00AD4E63"/>
    <w:rsid w:val="00B00BA7"/>
    <w:rsid w:val="00B00C0E"/>
    <w:rsid w:val="00B01B1A"/>
    <w:rsid w:val="00B0381D"/>
    <w:rsid w:val="00B15E14"/>
    <w:rsid w:val="00B236B0"/>
    <w:rsid w:val="00B44A47"/>
    <w:rsid w:val="00B5441E"/>
    <w:rsid w:val="00B72CD3"/>
    <w:rsid w:val="00B72FFF"/>
    <w:rsid w:val="00BA043A"/>
    <w:rsid w:val="00BC3D36"/>
    <w:rsid w:val="00BD54A6"/>
    <w:rsid w:val="00BD7F72"/>
    <w:rsid w:val="00BF7425"/>
    <w:rsid w:val="00C04FB3"/>
    <w:rsid w:val="00C11D8B"/>
    <w:rsid w:val="00C15139"/>
    <w:rsid w:val="00C330EB"/>
    <w:rsid w:val="00C407FA"/>
    <w:rsid w:val="00C50D69"/>
    <w:rsid w:val="00C5365C"/>
    <w:rsid w:val="00C754BE"/>
    <w:rsid w:val="00C76B1C"/>
    <w:rsid w:val="00C925AC"/>
    <w:rsid w:val="00CB6357"/>
    <w:rsid w:val="00CC1B26"/>
    <w:rsid w:val="00CC7ECC"/>
    <w:rsid w:val="00CF1BFC"/>
    <w:rsid w:val="00D25200"/>
    <w:rsid w:val="00D33824"/>
    <w:rsid w:val="00D361FD"/>
    <w:rsid w:val="00D4125A"/>
    <w:rsid w:val="00D423A2"/>
    <w:rsid w:val="00D426B8"/>
    <w:rsid w:val="00D44E26"/>
    <w:rsid w:val="00D520D8"/>
    <w:rsid w:val="00D63AC2"/>
    <w:rsid w:val="00D7383B"/>
    <w:rsid w:val="00D73B09"/>
    <w:rsid w:val="00D7465A"/>
    <w:rsid w:val="00D7788A"/>
    <w:rsid w:val="00D854BC"/>
    <w:rsid w:val="00DA231B"/>
    <w:rsid w:val="00DB7ABC"/>
    <w:rsid w:val="00DC39FC"/>
    <w:rsid w:val="00DF5254"/>
    <w:rsid w:val="00E02524"/>
    <w:rsid w:val="00E118A8"/>
    <w:rsid w:val="00E1430E"/>
    <w:rsid w:val="00E16408"/>
    <w:rsid w:val="00E20894"/>
    <w:rsid w:val="00E245AB"/>
    <w:rsid w:val="00E2764C"/>
    <w:rsid w:val="00E27F2E"/>
    <w:rsid w:val="00E35A23"/>
    <w:rsid w:val="00E50AFE"/>
    <w:rsid w:val="00E57963"/>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5212"/>
    <w:rsid w:val="00FA22C0"/>
    <w:rsid w:val="00FA47C0"/>
    <w:rsid w:val="00FB5DD1"/>
    <w:rsid w:val="00FC2B5D"/>
    <w:rsid w:val="00FD767F"/>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412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4125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125A"/>
    <w:rPr>
      <w:rFonts w:ascii="Geomanist Light" w:hAnsi="Geomanist Light"/>
      <w:lang w:val="es-ES"/>
    </w:rPr>
  </w:style>
  <w:style w:type="character" w:styleId="Textoennegrita">
    <w:name w:val="Strong"/>
    <w:basedOn w:val="Fuentedeprrafopredeter"/>
    <w:uiPriority w:val="22"/>
    <w:qFormat/>
    <w:rsid w:val="00D412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manuela.tamayo@gobiernobogot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esosdisciplinarios@gobiernobogota.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F6DBD5-2679-40EF-802F-EE50B38180A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30</Pages>
  <Words>10417</Words>
  <Characters>57295</Characters>
  <Application>Microsoft Office Word</Application>
  <DocSecurity>0</DocSecurity>
  <Lines>477</Lines>
  <Paragraphs>135</Paragraphs>
  <ScaleCrop>false</ScaleCrop>
  <Company/>
  <LinksUpToDate>false</LinksUpToDate>
  <CharactersWithSpaces>67577</CharactersWithSpaces>
  <SharedDoc>false</SharedDoc>
  <HLinks>
    <vt:vector size="54" baseType="variant">
      <vt:variant>
        <vt:i4>4456513</vt:i4>
      </vt:variant>
      <vt:variant>
        <vt:i4>24</vt:i4>
      </vt:variant>
      <vt:variant>
        <vt:i4>0</vt:i4>
      </vt:variant>
      <vt:variant>
        <vt:i4>5</vt:i4>
      </vt:variant>
      <vt:variant>
        <vt:lpwstr>https://forms.office.com/r/pPHyWVs2SZ</vt:lpwstr>
      </vt:variant>
      <vt:variant>
        <vt:lpwstr/>
      </vt:variant>
      <vt:variant>
        <vt:i4>3407926</vt:i4>
      </vt:variant>
      <vt:variant>
        <vt:i4>21</vt:i4>
      </vt:variant>
      <vt:variant>
        <vt:i4>0</vt:i4>
      </vt:variant>
      <vt:variant>
        <vt:i4>5</vt:i4>
      </vt:variant>
      <vt:variant>
        <vt:lpwstr>https://www.colombiacompra.gov.co/pqrsd/informacion-importante-antes-de-formular-una-pqrsd</vt:lpwstr>
      </vt:variant>
      <vt:variant>
        <vt:lpwstr/>
      </vt:variant>
      <vt:variant>
        <vt:i4>4980779</vt:i4>
      </vt:variant>
      <vt:variant>
        <vt:i4>18</vt:i4>
      </vt:variant>
      <vt:variant>
        <vt:i4>0</vt:i4>
      </vt:variant>
      <vt:variant>
        <vt:i4>5</vt:i4>
      </vt:variant>
      <vt:variant>
        <vt:lpwstr>mailto:ventanilladeradicacion@colombiacompra.gov.co</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5046371</vt:i4>
      </vt:variant>
      <vt:variant>
        <vt:i4>3</vt:i4>
      </vt:variant>
      <vt:variant>
        <vt:i4>0</vt:i4>
      </vt:variant>
      <vt:variant>
        <vt:i4>5</vt:i4>
      </vt:variant>
      <vt:variant>
        <vt:lpwstr>mailto:manuela.tamayo@gobiernobogota.gov.co</vt:lpwstr>
      </vt:variant>
      <vt:variant>
        <vt:lpwstr/>
      </vt:variant>
      <vt:variant>
        <vt:i4>6160419</vt:i4>
      </vt:variant>
      <vt:variant>
        <vt:i4>0</vt:i4>
      </vt:variant>
      <vt:variant>
        <vt:i4>0</vt:i4>
      </vt:variant>
      <vt:variant>
        <vt:i4>5</vt:i4>
      </vt:variant>
      <vt:variant>
        <vt:lpwstr>mailto:procesosdisciplinarios@gobiernobogota.gov.co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2023-01-10T21:18:00Z</cp:lastPrinted>
  <dcterms:created xsi:type="dcterms:W3CDTF">2026-07-02T13:54:00Z</dcterms:created>
  <dcterms:modified xsi:type="dcterms:W3CDTF">2026-07-02T14:00:00Z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