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C925" w14:textId="0EEDD3FE" w:rsidR="00E6165F" w:rsidRDefault="00E6165F" w:rsidP="00E6165F">
      <w:pPr>
        <w:spacing w:after="0" w:line="240" w:lineRule="auto"/>
        <w:rPr>
          <w:rFonts w:ascii="Verdana" w:hAnsi="Verdana" w:cs="Arial"/>
          <w:b/>
          <w:bCs/>
          <w:color w:val="000000" w:themeColor="text1"/>
        </w:rPr>
      </w:pPr>
      <w:bookmarkStart w:id="0" w:name="_Hlk143780582"/>
      <w:r w:rsidRPr="00446305">
        <w:rPr>
          <w:rFonts w:ascii="Verdana" w:hAnsi="Verdana" w:cs="Arial"/>
          <w:b/>
          <w:bCs/>
          <w:color w:val="000000" w:themeColor="text1"/>
        </w:rPr>
        <w:t xml:space="preserve">LEY DE GARANTÍAS ELECTORALES – </w:t>
      </w:r>
      <w:r w:rsidR="00575B40">
        <w:rPr>
          <w:rFonts w:ascii="Verdana" w:hAnsi="Verdana" w:cs="Arial"/>
          <w:b/>
          <w:bCs/>
          <w:color w:val="000000" w:themeColor="text1"/>
        </w:rPr>
        <w:t xml:space="preserve">Finalidad </w:t>
      </w:r>
      <w:r w:rsidRPr="00446305">
        <w:rPr>
          <w:rFonts w:ascii="Verdana" w:hAnsi="Verdana" w:cs="Arial"/>
          <w:b/>
          <w:bCs/>
          <w:color w:val="000000" w:themeColor="text1"/>
        </w:rPr>
        <w:t xml:space="preserve"> </w:t>
      </w:r>
    </w:p>
    <w:p w14:paraId="09556903" w14:textId="77777777" w:rsidR="00E6165F" w:rsidRDefault="00E6165F" w:rsidP="00E6165F">
      <w:pPr>
        <w:spacing w:after="0" w:line="240" w:lineRule="auto"/>
        <w:rPr>
          <w:rFonts w:ascii="Verdana" w:hAnsi="Verdana" w:cs="Arial"/>
          <w:b/>
          <w:bCs/>
          <w:color w:val="000000" w:themeColor="text1"/>
        </w:rPr>
      </w:pPr>
    </w:p>
    <w:p w14:paraId="2CAA4007" w14:textId="77777777" w:rsidR="00E6165F" w:rsidRPr="00446305" w:rsidRDefault="00E6165F" w:rsidP="00E6165F">
      <w:pPr>
        <w:tabs>
          <w:tab w:val="left" w:pos="426"/>
        </w:tabs>
        <w:spacing w:after="0" w:line="240" w:lineRule="auto"/>
        <w:jc w:val="both"/>
        <w:rPr>
          <w:rFonts w:ascii="Verdana" w:eastAsia="Calibri" w:hAnsi="Verdana" w:cs="Arial"/>
          <w:noProof/>
          <w:sz w:val="20"/>
          <w:szCs w:val="20"/>
          <w:lang w:val="es-ES_tradnl"/>
        </w:rPr>
      </w:pPr>
      <w:r w:rsidRPr="00446305">
        <w:rPr>
          <w:rFonts w:ascii="Verdana" w:eastAsia="Times New Roman" w:hAnsi="Verdana" w:cs="Arial"/>
          <w:bCs/>
          <w:sz w:val="20"/>
          <w:szCs w:val="20"/>
          <w:lang w:eastAsia="es-CO"/>
        </w:rPr>
        <w:t>[…] la Ley 996 de 2005, conocida como “Ley de Garantías Electorales”</w:t>
      </w:r>
      <w:r>
        <w:rPr>
          <w:rFonts w:ascii="Verdana" w:eastAsia="Times New Roman" w:hAnsi="Verdana" w:cs="Arial"/>
          <w:bCs/>
          <w:sz w:val="20"/>
          <w:szCs w:val="20"/>
          <w:lang w:eastAsia="es-CO"/>
        </w:rPr>
        <w:t xml:space="preserve"> […] </w:t>
      </w:r>
      <w:r w:rsidRPr="00446305">
        <w:rPr>
          <w:rFonts w:ascii="Verdana" w:eastAsia="Times New Roman" w:hAnsi="Verdana" w:cs="Arial"/>
          <w:bCs/>
          <w:sz w:val="20"/>
          <w:szCs w:val="20"/>
          <w:lang w:eastAsia="es-CO"/>
        </w:rPr>
        <w:t>tiene como propósito evitar cualquier tipo de arbitrariedad, de ventaja injustificada, de uso irregular de los recursos del Estado en las campañas o falta de garantías en la elección presidencial. En esta medida, introduce limitaciones para realizar nombramientos, postulaciones, contrataciones o cualquier otro tipo de actividad que implique destinación de recursos públicos bajo el devenir propio de las entidades estatales.</w:t>
      </w:r>
      <w:r w:rsidRPr="00446305">
        <w:rPr>
          <w:rFonts w:ascii="Verdana" w:eastAsia="Calibri" w:hAnsi="Verdana" w:cs="Arial"/>
          <w:noProof/>
          <w:sz w:val="20"/>
          <w:szCs w:val="20"/>
          <w:lang w:val="es-ES_tradnl"/>
        </w:rPr>
        <w:t xml:space="preserve"> </w:t>
      </w:r>
    </w:p>
    <w:p w14:paraId="1A671F44" w14:textId="77777777" w:rsidR="00E6165F" w:rsidRPr="00446305" w:rsidRDefault="00E6165F" w:rsidP="00E6165F">
      <w:pPr>
        <w:spacing w:after="0" w:line="240" w:lineRule="auto"/>
        <w:rPr>
          <w:rFonts w:ascii="Verdana" w:hAnsi="Verdana" w:cs="Arial"/>
          <w:b/>
          <w:bCs/>
          <w:color w:val="000000" w:themeColor="text1"/>
          <w:lang w:val="es-ES_tradnl"/>
        </w:rPr>
      </w:pPr>
    </w:p>
    <w:p w14:paraId="30CFE03F" w14:textId="77777777" w:rsidR="00575B40" w:rsidRPr="00575B40" w:rsidRDefault="00575B40" w:rsidP="00575B40">
      <w:pPr>
        <w:spacing w:after="0" w:line="240" w:lineRule="auto"/>
        <w:rPr>
          <w:rFonts w:ascii="Verdana" w:hAnsi="Verdana" w:cs="Arial"/>
          <w:b/>
          <w:bCs/>
          <w:color w:val="000000" w:themeColor="text1"/>
          <w:sz w:val="20"/>
          <w:szCs w:val="20"/>
        </w:rPr>
      </w:pPr>
    </w:p>
    <w:p w14:paraId="5924BE34" w14:textId="5875BB6C" w:rsidR="00E6165F" w:rsidRDefault="00575B40" w:rsidP="00575B40">
      <w:pPr>
        <w:spacing w:after="0" w:line="240" w:lineRule="auto"/>
        <w:rPr>
          <w:rFonts w:ascii="Verdana" w:hAnsi="Verdana" w:cs="Arial"/>
          <w:b/>
          <w:bCs/>
          <w:color w:val="000000" w:themeColor="text1"/>
          <w:sz w:val="20"/>
          <w:szCs w:val="20"/>
        </w:rPr>
      </w:pPr>
      <w:r w:rsidRPr="00575B40">
        <w:rPr>
          <w:rFonts w:ascii="Verdana" w:hAnsi="Verdana" w:cs="Arial"/>
          <w:b/>
          <w:bCs/>
          <w:color w:val="000000" w:themeColor="text1"/>
          <w:sz w:val="20"/>
          <w:szCs w:val="20"/>
        </w:rPr>
        <w:t xml:space="preserve">LEY DE GARANTÍAS ELECTORALES ‒ Restricciones ‒ Contratación ‒ Tipos de elección </w:t>
      </w:r>
    </w:p>
    <w:p w14:paraId="7C1BFAE9" w14:textId="77777777" w:rsidR="00575B40" w:rsidRPr="00EA0D0B" w:rsidRDefault="00575B40" w:rsidP="00575B40">
      <w:pPr>
        <w:spacing w:after="0" w:line="240" w:lineRule="auto"/>
        <w:rPr>
          <w:rFonts w:ascii="Verdana" w:hAnsi="Verdana" w:cs="Arial"/>
          <w:b/>
          <w:bCs/>
          <w:color w:val="000000" w:themeColor="text1"/>
          <w:sz w:val="20"/>
          <w:szCs w:val="20"/>
        </w:rPr>
      </w:pPr>
    </w:p>
    <w:p w14:paraId="71A1C840" w14:textId="77777777" w:rsidR="00E6165F" w:rsidRPr="00EA0D0B" w:rsidRDefault="00E6165F" w:rsidP="00E6165F">
      <w:pPr>
        <w:spacing w:after="0" w:line="240" w:lineRule="auto"/>
        <w:jc w:val="both"/>
        <w:rPr>
          <w:rFonts w:ascii="Verdana" w:eastAsia="Arial" w:hAnsi="Verdana" w:cs="Arial"/>
          <w:sz w:val="20"/>
          <w:szCs w:val="20"/>
          <w:lang w:val="es-ES" w:eastAsia="es-ES" w:bidi="es-ES"/>
        </w:rPr>
      </w:pPr>
      <w:r>
        <w:rPr>
          <w:rFonts w:ascii="Verdana" w:eastAsia="Arial" w:hAnsi="Verdana" w:cs="Arial"/>
          <w:sz w:val="20"/>
          <w:szCs w:val="20"/>
          <w:lang w:val="es-ES" w:eastAsia="es-ES" w:bidi="es-ES"/>
        </w:rPr>
        <w:t xml:space="preserve">[…] </w:t>
      </w:r>
      <w:r w:rsidRPr="00EA0D0B">
        <w:rPr>
          <w:rFonts w:ascii="Verdana" w:eastAsia="Arial" w:hAnsi="Verdana" w:cs="Arial"/>
          <w:sz w:val="20"/>
          <w:szCs w:val="20"/>
          <w:lang w:val="es-ES" w:eastAsia="es-ES" w:bidi="es-ES"/>
        </w:rPr>
        <w:t xml:space="preserve">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668C321D" w14:textId="77777777" w:rsidR="00E6165F" w:rsidRDefault="00E6165F" w:rsidP="00E6165F">
      <w:pPr>
        <w:spacing w:after="0" w:line="240" w:lineRule="auto"/>
        <w:jc w:val="both"/>
        <w:rPr>
          <w:rFonts w:ascii="Verdana" w:eastAsia="Arial" w:hAnsi="Verdana" w:cs="Arial"/>
          <w:sz w:val="20"/>
          <w:szCs w:val="20"/>
          <w:lang w:val="es-ES" w:eastAsia="es-ES" w:bidi="es-ES"/>
        </w:rPr>
      </w:pPr>
    </w:p>
    <w:p w14:paraId="2B6B6DE9" w14:textId="77777777" w:rsidR="00E6165F" w:rsidRDefault="00E6165F" w:rsidP="00E6165F">
      <w:pPr>
        <w:spacing w:after="0" w:line="240" w:lineRule="auto"/>
        <w:jc w:val="both"/>
        <w:rPr>
          <w:rFonts w:ascii="Verdana" w:eastAsia="Arial" w:hAnsi="Verdana" w:cs="Arial"/>
          <w:sz w:val="20"/>
          <w:szCs w:val="20"/>
          <w:lang w:val="es-ES" w:eastAsia="es-ES" w:bidi="es-ES"/>
        </w:rPr>
      </w:pPr>
      <w:r w:rsidRPr="00EA0D0B">
        <w:rPr>
          <w:rFonts w:ascii="Verdana" w:eastAsia="Arial" w:hAnsi="Verdana" w:cs="Arial"/>
          <w:sz w:val="20"/>
          <w:szCs w:val="20"/>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53644249" w14:textId="77777777" w:rsidR="00E6165F" w:rsidRDefault="00E6165F" w:rsidP="00E6165F">
      <w:pPr>
        <w:spacing w:after="0" w:line="240" w:lineRule="auto"/>
        <w:jc w:val="both"/>
        <w:rPr>
          <w:rFonts w:ascii="Verdana" w:eastAsia="Arial" w:hAnsi="Verdana" w:cs="Arial"/>
          <w:sz w:val="20"/>
          <w:szCs w:val="20"/>
          <w:lang w:val="es-ES" w:eastAsia="es-ES" w:bidi="es-ES"/>
        </w:rPr>
      </w:pPr>
    </w:p>
    <w:p w14:paraId="484FBEAA" w14:textId="77777777" w:rsidR="00E6165F" w:rsidRPr="00EA0D0B" w:rsidRDefault="00E6165F" w:rsidP="00E6165F">
      <w:pPr>
        <w:spacing w:after="0" w:line="240" w:lineRule="auto"/>
        <w:jc w:val="both"/>
        <w:rPr>
          <w:rFonts w:ascii="Verdana" w:eastAsia="Arial" w:hAnsi="Verdana" w:cs="Arial"/>
          <w:sz w:val="20"/>
          <w:szCs w:val="20"/>
          <w:lang w:val="es-ES" w:eastAsia="es-ES" w:bidi="es-ES"/>
        </w:rPr>
      </w:pPr>
      <w:r w:rsidRPr="00EA0D0B">
        <w:rPr>
          <w:rFonts w:ascii="Verdana" w:eastAsia="Calibri" w:hAnsi="Verdana" w:cs="Arial"/>
          <w:sz w:val="20"/>
          <w:szCs w:val="20"/>
        </w:rPr>
        <w:t>Por un lado, el artículo 33 de la Ley 996 de 2005 prohíbe “</w:t>
      </w:r>
      <w:r w:rsidRPr="00EA0D0B">
        <w:rPr>
          <w:rFonts w:ascii="Verdana" w:eastAsia="Calibri" w:hAnsi="Verdana" w:cs="Arial"/>
          <w:bCs/>
          <w:sz w:val="20"/>
          <w:szCs w:val="20"/>
        </w:rPr>
        <w:t xml:space="preserve">(…) </w:t>
      </w:r>
      <w:r w:rsidRPr="00EA0D0B">
        <w:rPr>
          <w:rFonts w:ascii="Verdana" w:eastAsia="Calibri" w:hAnsi="Verdana" w:cs="Arial"/>
          <w:sz w:val="20"/>
          <w:szCs w:val="20"/>
        </w:rPr>
        <w:t>la contratación directa por parte de todos los entes del Estado</w:t>
      </w:r>
      <w:r w:rsidRPr="00EA0D0B">
        <w:rPr>
          <w:rFonts w:ascii="Verdana" w:eastAsia="Calibri" w:hAnsi="Verdana" w:cs="Arial"/>
          <w:bCs/>
          <w:sz w:val="20"/>
          <w:szCs w:val="20"/>
        </w:rPr>
        <w:t>”</w:t>
      </w:r>
      <w:r w:rsidRPr="00EA0D0B">
        <w:rPr>
          <w:rFonts w:ascii="Verdana" w:eastAsia="Calibri" w:hAnsi="Verdana" w:cs="Arial"/>
          <w:sz w:val="20"/>
          <w:szCs w:val="20"/>
        </w:rPr>
        <w:t xml:space="preserve"> durante los cuatro (4) meses anteriores a las elecciones presidenciales, salvo </w:t>
      </w:r>
      <w:r w:rsidRPr="00EA0D0B">
        <w:rPr>
          <w:rFonts w:ascii="Verdana" w:eastAsia="Calibri" w:hAnsi="Verdana" w:cs="Arial"/>
          <w:bCs/>
          <w:sz w:val="20"/>
          <w:szCs w:val="20"/>
        </w:rPr>
        <w:t xml:space="preserve">“(…) </w:t>
      </w:r>
      <w:r w:rsidRPr="00EA0D0B">
        <w:rPr>
          <w:rFonts w:ascii="Verdana" w:eastAsia="Calibri" w:hAnsi="Verdana" w:cs="Arial"/>
          <w:sz w:val="20"/>
          <w:szCs w:val="20"/>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EA0D0B">
        <w:rPr>
          <w:rFonts w:ascii="Verdana" w:eastAsia="Calibri" w:hAnsi="Verdana" w:cs="Arial"/>
          <w:bCs/>
          <w:sz w:val="20"/>
          <w:szCs w:val="20"/>
        </w:rPr>
        <w:t>”</w:t>
      </w:r>
      <w:r w:rsidRPr="00EA0D0B">
        <w:rPr>
          <w:rFonts w:ascii="Verdana" w:eastAsia="Calibri" w:hAnsi="Verdana" w:cs="Arial"/>
          <w:sz w:val="20"/>
          <w:szCs w:val="20"/>
        </w:rPr>
        <w:t>.</w:t>
      </w:r>
    </w:p>
    <w:p w14:paraId="365258EC" w14:textId="77777777" w:rsidR="00E6165F" w:rsidRDefault="00E6165F" w:rsidP="00E6165F">
      <w:pPr>
        <w:spacing w:after="0" w:line="240" w:lineRule="auto"/>
        <w:rPr>
          <w:rFonts w:ascii="Verdana" w:eastAsia="Calibri" w:hAnsi="Verdana" w:cs="Arial"/>
          <w:sz w:val="20"/>
          <w:szCs w:val="20"/>
        </w:rPr>
      </w:pPr>
    </w:p>
    <w:p w14:paraId="102A356C" w14:textId="77777777" w:rsidR="00E6165F" w:rsidRPr="00EA0D0B" w:rsidRDefault="00E6165F" w:rsidP="00E6165F">
      <w:pPr>
        <w:spacing w:after="0" w:line="240" w:lineRule="auto"/>
        <w:jc w:val="both"/>
        <w:rPr>
          <w:rFonts w:ascii="Verdana" w:hAnsi="Verdana" w:cs="Arial"/>
          <w:b/>
          <w:bCs/>
          <w:color w:val="000000" w:themeColor="text1"/>
          <w:sz w:val="20"/>
          <w:szCs w:val="20"/>
        </w:rPr>
      </w:pPr>
      <w:r w:rsidRPr="00EA0D0B">
        <w:rPr>
          <w:rFonts w:ascii="Verdana" w:eastAsia="Calibri" w:hAnsi="Verdana" w:cs="Arial"/>
          <w:sz w:val="20"/>
          <w:szCs w:val="20"/>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EA0D0B">
        <w:rPr>
          <w:rFonts w:ascii="Verdana" w:eastAsia="Calibri" w:hAnsi="Verdana" w:cs="Arial"/>
          <w:bCs/>
          <w:sz w:val="20"/>
          <w:szCs w:val="20"/>
        </w:rPr>
        <w:t xml:space="preserve">“(…) </w:t>
      </w:r>
      <w:r w:rsidRPr="00EA0D0B">
        <w:rPr>
          <w:rFonts w:ascii="Verdana" w:eastAsia="Calibri" w:hAnsi="Verdana" w:cs="Arial"/>
          <w:sz w:val="20"/>
          <w:szCs w:val="20"/>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Pr>
          <w:rFonts w:ascii="Verdana" w:eastAsia="Calibri" w:hAnsi="Verdana" w:cs="Arial"/>
          <w:sz w:val="20"/>
          <w:szCs w:val="20"/>
        </w:rPr>
        <w:t>.</w:t>
      </w:r>
    </w:p>
    <w:p w14:paraId="3E5021FD" w14:textId="77777777" w:rsidR="00E6165F" w:rsidRDefault="00E6165F" w:rsidP="00575B40">
      <w:pPr>
        <w:spacing w:after="0" w:line="240" w:lineRule="auto"/>
        <w:rPr>
          <w:rFonts w:ascii="Verdana" w:hAnsi="Verdana" w:cs="Arial"/>
          <w:b/>
          <w:bCs/>
          <w:color w:val="000000" w:themeColor="text1"/>
        </w:rPr>
      </w:pPr>
    </w:p>
    <w:p w14:paraId="6FF60B08" w14:textId="77777777" w:rsidR="00575B40" w:rsidRPr="00575B40" w:rsidRDefault="00E6165F" w:rsidP="00575B40">
      <w:pPr>
        <w:spacing w:after="0" w:line="240" w:lineRule="auto"/>
        <w:rPr>
          <w:rFonts w:ascii="Verdana" w:hAnsi="Verdana" w:cs="Arial"/>
          <w:b/>
          <w:bCs/>
          <w:color w:val="000000" w:themeColor="text1"/>
        </w:rPr>
      </w:pPr>
      <w:r w:rsidRPr="00446305">
        <w:rPr>
          <w:rFonts w:ascii="Verdana" w:hAnsi="Verdana" w:cs="Arial"/>
          <w:b/>
          <w:bCs/>
          <w:color w:val="000000" w:themeColor="text1"/>
        </w:rPr>
        <w:t xml:space="preserve">LEY DE GARANTÍAS ELECTORALES – Artículo 33 – Ámbito material </w:t>
      </w:r>
      <w:r w:rsidR="00575B40">
        <w:rPr>
          <w:rFonts w:ascii="Verdana" w:hAnsi="Verdana" w:cs="Arial"/>
          <w:b/>
          <w:bCs/>
          <w:color w:val="000000" w:themeColor="text1"/>
        </w:rPr>
        <w:t xml:space="preserve">- </w:t>
      </w:r>
    </w:p>
    <w:p w14:paraId="2334B1C4" w14:textId="4D12333B" w:rsidR="00E6165F" w:rsidRDefault="00575B40" w:rsidP="00575B40">
      <w:pPr>
        <w:spacing w:after="0" w:line="240" w:lineRule="auto"/>
        <w:rPr>
          <w:rFonts w:ascii="Verdana" w:hAnsi="Verdana" w:cs="Arial"/>
          <w:b/>
          <w:bCs/>
          <w:color w:val="000000" w:themeColor="text1"/>
        </w:rPr>
      </w:pPr>
      <w:r w:rsidRPr="00575B40">
        <w:rPr>
          <w:rFonts w:ascii="Verdana" w:hAnsi="Verdana" w:cs="Arial"/>
          <w:b/>
          <w:bCs/>
          <w:color w:val="000000" w:themeColor="text1"/>
        </w:rPr>
        <w:t xml:space="preserve"> Contratación directa - Alcance</w:t>
      </w:r>
    </w:p>
    <w:p w14:paraId="3794714A" w14:textId="77777777" w:rsidR="00E6165F" w:rsidRDefault="00E6165F" w:rsidP="00E6165F">
      <w:pPr>
        <w:spacing w:after="0" w:line="240" w:lineRule="auto"/>
        <w:rPr>
          <w:rFonts w:ascii="Verdana" w:hAnsi="Verdana" w:cs="Arial"/>
          <w:b/>
          <w:bCs/>
          <w:color w:val="000000" w:themeColor="text1"/>
        </w:rPr>
      </w:pPr>
    </w:p>
    <w:p w14:paraId="54CAE97E" w14:textId="77777777" w:rsidR="00E6165F" w:rsidRDefault="00E6165F" w:rsidP="00E6165F">
      <w:pPr>
        <w:spacing w:after="0" w:line="240" w:lineRule="auto"/>
        <w:jc w:val="both"/>
        <w:rPr>
          <w:rFonts w:ascii="Verdana" w:hAnsi="Verdana" w:cs="Arial"/>
          <w:sz w:val="20"/>
          <w:szCs w:val="20"/>
          <w:lang w:eastAsia="x-none"/>
        </w:rPr>
      </w:pPr>
      <w:r w:rsidRPr="0033195A">
        <w:rPr>
          <w:rFonts w:ascii="Verdana" w:hAnsi="Verdana" w:cs="Arial"/>
          <w:bCs/>
          <w:sz w:val="20"/>
          <w:szCs w:val="20"/>
          <w:lang w:eastAsia="x-none"/>
        </w:rPr>
        <w:lastRenderedPageBreak/>
        <w:t xml:space="preserve">El ámbito material de la prohibición contenida en el artículo 33 de la Ley 996 de 2005 está delimitado por la expresión </w:t>
      </w:r>
      <w:r w:rsidRPr="0033195A">
        <w:rPr>
          <w:rFonts w:ascii="Verdana" w:eastAsia="Calibri" w:hAnsi="Verdana" w:cs="Arial"/>
          <w:bCs/>
          <w:i/>
          <w:iCs/>
          <w:sz w:val="20"/>
          <w:szCs w:val="20"/>
        </w:rPr>
        <w:t>“</w:t>
      </w:r>
      <w:r w:rsidRPr="0033195A">
        <w:rPr>
          <w:rFonts w:ascii="Verdana" w:hAnsi="Verdana" w:cs="Arial"/>
          <w:bCs/>
          <w:i/>
          <w:iCs/>
          <w:sz w:val="20"/>
          <w:szCs w:val="20"/>
          <w:lang w:eastAsia="x-none"/>
        </w:rPr>
        <w:t>queda prohibida la contratación directa</w:t>
      </w:r>
      <w:r w:rsidRPr="0033195A">
        <w:rPr>
          <w:rFonts w:ascii="Verdana" w:hAnsi="Verdana" w:cs="Arial"/>
          <w:sz w:val="20"/>
          <w:szCs w:val="20"/>
        </w:rPr>
        <w:t>”</w:t>
      </w:r>
      <w:r w:rsidRPr="0033195A">
        <w:rPr>
          <w:rFonts w:ascii="Verdana" w:hAnsi="Verdana" w:cs="Arial"/>
          <w:bCs/>
          <w:sz w:val="20"/>
          <w:szCs w:val="20"/>
          <w:lang w:eastAsia="x-none"/>
        </w:rPr>
        <w:t xml:space="preserve"> […] </w:t>
      </w:r>
      <w:r w:rsidRPr="0033195A">
        <w:rPr>
          <w:rFonts w:ascii="Verdana" w:hAnsi="Verdana" w:cs="Arial"/>
          <w:sz w:val="20"/>
          <w:szCs w:val="20"/>
          <w:lang w:eastAsia="x-none"/>
        </w:rPr>
        <w:t xml:space="preserve">la prohibición del artículo 33 de la Ley de Garantías Electorales se refiere a </w:t>
      </w:r>
      <w:r w:rsidRPr="0033195A">
        <w:rPr>
          <w:rFonts w:ascii="Verdana" w:hAnsi="Verdana" w:cs="Arial"/>
          <w:sz w:val="20"/>
          <w:szCs w:val="20"/>
          <w:lang w:eastAsia="en-GB"/>
        </w:rPr>
        <w:t>“</w:t>
      </w:r>
      <w:r w:rsidRPr="0033195A">
        <w:rPr>
          <w:rFonts w:ascii="Verdana" w:hAnsi="Verdana" w:cs="Arial"/>
          <w:sz w:val="20"/>
          <w:szCs w:val="20"/>
          <w:lang w:eastAsia="x-none"/>
        </w:rPr>
        <w:t>cualquier sistema que no implique convocatoria pública y posibilidad de pluralidad de oferentes</w:t>
      </w:r>
      <w:r w:rsidRPr="0033195A">
        <w:rPr>
          <w:rFonts w:ascii="Verdana" w:hAnsi="Verdana" w:cs="Arial"/>
          <w:sz w:val="20"/>
          <w:szCs w:val="20"/>
          <w:lang w:eastAsia="en-GB"/>
        </w:rPr>
        <w:t>”</w:t>
      </w:r>
      <w:r w:rsidRPr="0033195A">
        <w:rPr>
          <w:rFonts w:ascii="Verdana" w:hAnsi="Verdana" w:cs="Arial"/>
          <w:sz w:val="20"/>
          <w:szCs w:val="20"/>
          <w:lang w:eastAsia="x-none"/>
        </w:rPr>
        <w:t>, por lo que excluye las demás modalidades de contratación previstas en la Ley 1150 de 2007</w:t>
      </w:r>
      <w:r>
        <w:rPr>
          <w:rFonts w:ascii="Verdana" w:hAnsi="Verdana" w:cs="Arial"/>
          <w:sz w:val="20"/>
          <w:szCs w:val="20"/>
          <w:lang w:eastAsia="x-none"/>
        </w:rPr>
        <w:t>.</w:t>
      </w:r>
    </w:p>
    <w:p w14:paraId="076C56CD" w14:textId="77777777" w:rsidR="00E6165F" w:rsidRDefault="00E6165F" w:rsidP="00E6165F">
      <w:pPr>
        <w:spacing w:after="0" w:line="240" w:lineRule="auto"/>
        <w:jc w:val="both"/>
        <w:rPr>
          <w:rFonts w:ascii="Verdana" w:hAnsi="Verdana" w:cs="Arial"/>
          <w:sz w:val="20"/>
          <w:szCs w:val="20"/>
          <w:lang w:eastAsia="x-none"/>
        </w:rPr>
      </w:pPr>
    </w:p>
    <w:p w14:paraId="624AA9A6" w14:textId="77777777" w:rsidR="00E6165F" w:rsidRPr="009D76DA" w:rsidRDefault="00E6165F" w:rsidP="00E6165F">
      <w:pPr>
        <w:spacing w:after="0" w:line="240" w:lineRule="auto"/>
        <w:jc w:val="both"/>
        <w:rPr>
          <w:rFonts w:ascii="Verdana" w:hAnsi="Verdana" w:cs="Arial"/>
          <w:color w:val="000000" w:themeColor="text1"/>
          <w:sz w:val="20"/>
          <w:szCs w:val="20"/>
        </w:rPr>
      </w:pPr>
      <w:r w:rsidRPr="009D76DA">
        <w:rPr>
          <w:rFonts w:ascii="Verdana" w:hAnsi="Verdana" w:cs="Arial"/>
          <w:color w:val="000000" w:themeColor="text1"/>
          <w:sz w:val="20"/>
          <w:szCs w:val="20"/>
        </w:rPr>
        <w:t xml:space="preserve">[…] </w:t>
      </w:r>
    </w:p>
    <w:p w14:paraId="655B2177" w14:textId="77777777" w:rsidR="00E6165F" w:rsidRPr="009D76DA" w:rsidRDefault="00E6165F" w:rsidP="00E6165F">
      <w:pPr>
        <w:spacing w:after="0" w:line="240" w:lineRule="auto"/>
        <w:jc w:val="both"/>
        <w:rPr>
          <w:rFonts w:ascii="Verdana" w:hAnsi="Verdana" w:cs="Arial"/>
          <w:b/>
          <w:bCs/>
          <w:color w:val="000000" w:themeColor="text1"/>
          <w:sz w:val="20"/>
          <w:szCs w:val="20"/>
        </w:rPr>
      </w:pPr>
    </w:p>
    <w:p w14:paraId="741FBC1A" w14:textId="77777777" w:rsidR="00E6165F" w:rsidRPr="009D76DA" w:rsidRDefault="00E6165F" w:rsidP="00E6165F">
      <w:pPr>
        <w:spacing w:after="0" w:line="240" w:lineRule="auto"/>
        <w:jc w:val="both"/>
        <w:rPr>
          <w:rFonts w:ascii="Verdana" w:eastAsia="Arial" w:hAnsi="Verdana" w:cs="Arial"/>
          <w:color w:val="1A1A1A" w:themeColor="background1" w:themeShade="1A"/>
          <w:sz w:val="20"/>
          <w:szCs w:val="20"/>
          <w:lang w:val="es-ES_tradnl"/>
        </w:rPr>
      </w:pPr>
      <w:r w:rsidRPr="009D76DA">
        <w:rPr>
          <w:rFonts w:ascii="Verdana" w:hAnsi="Verdana" w:cs="Arial"/>
          <w:sz w:val="20"/>
          <w:szCs w:val="20"/>
          <w:lang w:eastAsia="x-none"/>
        </w:rPr>
        <w:t xml:space="preserve">[…] la celebración del contrato entre una entidad pública y una persona jurídica de naturaleza privada podrá realizarse en el periodo de restricciones electorales de que trata el artículo 33 de la Ley 996 de 2005 siempre que dicha contratación se derive de un proceso de selección distinto a la contratación directa. </w:t>
      </w:r>
      <w:r w:rsidRPr="009D76DA">
        <w:rPr>
          <w:rFonts w:ascii="Verdana" w:hAnsi="Verdana" w:cs="Arial"/>
          <w:color w:val="1A1A1A" w:themeColor="background1" w:themeShade="1A"/>
          <w:sz w:val="20"/>
          <w:szCs w:val="20"/>
          <w:shd w:val="clear" w:color="auto" w:fill="FFFFFF"/>
          <w:lang w:val="es-ES_tradnl"/>
        </w:rPr>
        <w:t xml:space="preserve">Por lo tanto, en principio lo que está prohibida es </w:t>
      </w:r>
      <w:r w:rsidRPr="009D76DA">
        <w:rPr>
          <w:rFonts w:ascii="Verdana" w:hAnsi="Verdana" w:cs="Arial"/>
          <w:i/>
          <w:iCs/>
          <w:color w:val="1A1A1A" w:themeColor="background1" w:themeShade="1A"/>
          <w:sz w:val="20"/>
          <w:szCs w:val="20"/>
          <w:shd w:val="clear" w:color="auto" w:fill="FFFFFF"/>
          <w:lang w:val="es-ES_tradnl"/>
        </w:rPr>
        <w:t>la contratación directa</w:t>
      </w:r>
      <w:r w:rsidRPr="009D76DA">
        <w:rPr>
          <w:rFonts w:ascii="Verdana" w:hAnsi="Verdana" w:cs="Arial"/>
          <w:color w:val="1A1A1A" w:themeColor="background1" w:themeShade="1A"/>
          <w:sz w:val="20"/>
          <w:szCs w:val="20"/>
          <w:shd w:val="clear" w:color="auto" w:fill="FFFFFF"/>
          <w:lang w:val="es-ES_tradnl"/>
        </w:rPr>
        <w:t xml:space="preserve">, salvo que la contratación que se va a realizar se encuadre en alguna de las excepciones consagradas en el mismo artículo. Lo que está permitido en dicha época son los contratos que se celebren </w:t>
      </w:r>
      <w:r w:rsidRPr="009D76DA">
        <w:rPr>
          <w:rFonts w:ascii="Verdana" w:hAnsi="Verdana" w:cs="Arial"/>
          <w:i/>
          <w:iCs/>
          <w:color w:val="1A1A1A" w:themeColor="background1" w:themeShade="1A"/>
          <w:sz w:val="20"/>
          <w:szCs w:val="20"/>
          <w:shd w:val="clear" w:color="auto" w:fill="FFFFFF"/>
          <w:lang w:val="es-ES_tradnl"/>
        </w:rPr>
        <w:t xml:space="preserve">de manera competitiva. </w:t>
      </w:r>
    </w:p>
    <w:p w14:paraId="0080248A" w14:textId="77777777" w:rsidR="00E6165F" w:rsidRDefault="00E6165F" w:rsidP="00E6165F">
      <w:pPr>
        <w:spacing w:after="0" w:line="240" w:lineRule="auto"/>
        <w:jc w:val="both"/>
        <w:rPr>
          <w:rFonts w:ascii="Verdana" w:hAnsi="Verdana" w:cs="Arial"/>
          <w:b/>
          <w:bCs/>
          <w:color w:val="000000" w:themeColor="text1"/>
          <w:sz w:val="20"/>
          <w:szCs w:val="20"/>
          <w:lang w:val="es-ES_tradnl"/>
        </w:rPr>
      </w:pPr>
    </w:p>
    <w:p w14:paraId="1AA69229" w14:textId="77777777" w:rsidR="00575B40" w:rsidRDefault="00575B40" w:rsidP="00575B40">
      <w:pPr>
        <w:spacing w:after="0" w:line="240" w:lineRule="auto"/>
        <w:rPr>
          <w:rFonts w:ascii="Verdana" w:hAnsi="Verdana" w:cs="Arial"/>
          <w:b/>
          <w:bCs/>
          <w:color w:val="000000" w:themeColor="text1"/>
        </w:rPr>
      </w:pPr>
    </w:p>
    <w:p w14:paraId="4F06759C" w14:textId="3CEAE6D7" w:rsidR="00E6165F" w:rsidRDefault="00575B40" w:rsidP="00575B40">
      <w:pPr>
        <w:spacing w:after="0" w:line="240" w:lineRule="auto"/>
        <w:rPr>
          <w:rFonts w:ascii="Verdana" w:hAnsi="Verdana" w:cs="Arial"/>
          <w:b/>
          <w:bCs/>
          <w:color w:val="000000" w:themeColor="text1"/>
        </w:rPr>
      </w:pPr>
      <w:r w:rsidRPr="00575B40">
        <w:rPr>
          <w:rFonts w:ascii="Verdana" w:hAnsi="Verdana" w:cs="Arial"/>
          <w:b/>
          <w:bCs/>
          <w:color w:val="000000" w:themeColor="text1"/>
        </w:rPr>
        <w:t>LEY DE GARANTÍAS ELECTORALES – Artículo 38 – Alcance</w:t>
      </w:r>
    </w:p>
    <w:p w14:paraId="2E7B33DD" w14:textId="77777777" w:rsidR="00E6165F" w:rsidRPr="009D76DA" w:rsidRDefault="00E6165F" w:rsidP="00E6165F">
      <w:pPr>
        <w:spacing w:after="0" w:line="240" w:lineRule="auto"/>
        <w:jc w:val="both"/>
        <w:rPr>
          <w:rFonts w:ascii="Verdana" w:hAnsi="Verdana" w:cs="Arial"/>
          <w:b/>
          <w:bCs/>
          <w:color w:val="000000" w:themeColor="text1"/>
          <w:sz w:val="20"/>
          <w:szCs w:val="20"/>
        </w:rPr>
      </w:pPr>
    </w:p>
    <w:p w14:paraId="1394129B" w14:textId="77777777" w:rsidR="00E6165F" w:rsidRPr="009D76DA" w:rsidRDefault="00E6165F" w:rsidP="00E6165F">
      <w:pPr>
        <w:spacing w:after="0" w:line="240" w:lineRule="auto"/>
        <w:jc w:val="both"/>
        <w:rPr>
          <w:rFonts w:ascii="Verdana" w:hAnsi="Verdana" w:cs="Arial"/>
          <w:b/>
          <w:bCs/>
          <w:color w:val="000000" w:themeColor="text1"/>
          <w:sz w:val="20"/>
          <w:szCs w:val="20"/>
        </w:rPr>
      </w:pPr>
    </w:p>
    <w:p w14:paraId="329A717E" w14:textId="77777777" w:rsidR="00E6165F" w:rsidRDefault="00E6165F" w:rsidP="00E6165F">
      <w:pPr>
        <w:spacing w:after="0" w:line="240" w:lineRule="auto"/>
        <w:jc w:val="both"/>
        <w:rPr>
          <w:rFonts w:ascii="Verdana" w:eastAsia="Calibri" w:hAnsi="Verdana" w:cs="Arial"/>
          <w:sz w:val="20"/>
          <w:szCs w:val="20"/>
          <w:lang w:val="es-ES"/>
        </w:rPr>
      </w:pPr>
      <w:r>
        <w:rPr>
          <w:rFonts w:ascii="Verdana" w:eastAsia="Times New Roman" w:hAnsi="Verdana" w:cs="Arial"/>
          <w:sz w:val="20"/>
          <w:szCs w:val="20"/>
          <w:lang w:val="es-ES" w:eastAsia="es-ES"/>
        </w:rPr>
        <w:t xml:space="preserve">[…] </w:t>
      </w:r>
      <w:r w:rsidRPr="009D76DA">
        <w:rPr>
          <w:rFonts w:ascii="Verdana" w:eastAsia="Times New Roman" w:hAnsi="Verdana" w:cs="Arial"/>
          <w:sz w:val="20"/>
          <w:szCs w:val="20"/>
          <w:lang w:val="es-ES" w:eastAsia="es-ES"/>
        </w:rPr>
        <w:t xml:space="preserve">debe precisarse que </w:t>
      </w:r>
      <w:r w:rsidRPr="009D76DA">
        <w:rPr>
          <w:rFonts w:ascii="Verdana" w:eastAsia="Times New Roman" w:hAnsi="Verdana" w:cs="Arial"/>
          <w:color w:val="000000" w:themeColor="text1"/>
          <w:sz w:val="20"/>
          <w:szCs w:val="20"/>
          <w:lang w:val="es-ES" w:eastAsia="es-CO"/>
        </w:rPr>
        <w:t xml:space="preserve">los contratos o convenios interadministrativos están determinados por un criterio orgánico, pues es necesario que los extremos de la relación contractual sean entidades públicas, </w:t>
      </w:r>
      <w:r w:rsidRPr="009D76DA">
        <w:rPr>
          <w:rFonts w:ascii="Verdana" w:hAnsi="Verdana" w:cs="Arial"/>
          <w:sz w:val="20"/>
          <w:szCs w:val="20"/>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p>
    <w:p w14:paraId="6A00B68D" w14:textId="77777777" w:rsidR="00E6165F" w:rsidRDefault="00E6165F" w:rsidP="00E6165F">
      <w:pPr>
        <w:spacing w:after="0" w:line="240" w:lineRule="auto"/>
        <w:jc w:val="both"/>
        <w:rPr>
          <w:rFonts w:ascii="Verdana" w:eastAsia="Calibri" w:hAnsi="Verdana" w:cs="Arial"/>
          <w:sz w:val="20"/>
          <w:szCs w:val="20"/>
          <w:lang w:val="es-ES"/>
        </w:rPr>
      </w:pPr>
    </w:p>
    <w:p w14:paraId="38683FE0" w14:textId="77777777" w:rsidR="00E6165F" w:rsidRDefault="00E6165F" w:rsidP="00E6165F">
      <w:pPr>
        <w:spacing w:after="0" w:line="240" w:lineRule="auto"/>
        <w:jc w:val="both"/>
        <w:rPr>
          <w:rFonts w:ascii="Verdana" w:hAnsi="Verdana" w:cs="Arial"/>
          <w:color w:val="000000" w:themeColor="text1"/>
          <w:sz w:val="20"/>
          <w:szCs w:val="20"/>
          <w:lang w:val="es-ES_tradnl"/>
        </w:rPr>
      </w:pPr>
      <w:r w:rsidRPr="009D76DA">
        <w:rPr>
          <w:rFonts w:ascii="Verdana" w:hAnsi="Verdana" w:cs="Arial"/>
          <w:color w:val="000000" w:themeColor="text1"/>
          <w:sz w:val="20"/>
          <w:szCs w:val="20"/>
          <w:lang w:val="es-ES_tradn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14:paraId="1267497F" w14:textId="77777777" w:rsidR="00E6165F" w:rsidRDefault="00E6165F" w:rsidP="00E6165F">
      <w:pPr>
        <w:spacing w:after="0" w:line="240" w:lineRule="auto"/>
        <w:jc w:val="both"/>
        <w:rPr>
          <w:rFonts w:ascii="Verdana" w:hAnsi="Verdana" w:cs="Arial"/>
          <w:color w:val="000000" w:themeColor="text1"/>
          <w:sz w:val="20"/>
          <w:szCs w:val="20"/>
          <w:lang w:val="es-ES_tradnl"/>
        </w:rPr>
      </w:pPr>
    </w:p>
    <w:p w14:paraId="1F7B4DCD" w14:textId="77777777" w:rsidR="00E6165F" w:rsidRPr="009D76DA" w:rsidRDefault="00E6165F" w:rsidP="00E6165F">
      <w:pPr>
        <w:spacing w:after="0" w:line="240" w:lineRule="auto"/>
        <w:jc w:val="both"/>
        <w:rPr>
          <w:rFonts w:ascii="Verdana" w:eastAsia="Calibri" w:hAnsi="Verdana" w:cs="Arial"/>
          <w:sz w:val="20"/>
          <w:szCs w:val="20"/>
          <w:lang w:val="es-ES_tradnl"/>
        </w:rPr>
      </w:pPr>
      <w:r w:rsidRPr="009D76DA">
        <w:rPr>
          <w:rFonts w:ascii="Verdana" w:eastAsia="Calibri" w:hAnsi="Verdana" w:cs="Arial"/>
          <w:sz w:val="20"/>
          <w:szCs w:val="20"/>
          <w:lang w:val="es-ES_tradnl"/>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 Nótese que, en este caso, lo que cambia es la modalidad de selección y no la naturaleza de contrato interadministrativo.</w:t>
      </w:r>
    </w:p>
    <w:p w14:paraId="586481F2" w14:textId="77777777" w:rsidR="00E6165F" w:rsidRPr="009D76DA" w:rsidRDefault="00E6165F" w:rsidP="00E6165F">
      <w:pPr>
        <w:spacing w:after="0" w:line="240" w:lineRule="auto"/>
        <w:jc w:val="both"/>
        <w:rPr>
          <w:rFonts w:ascii="Verdana" w:hAnsi="Verdana" w:cs="Arial"/>
          <w:b/>
          <w:bCs/>
          <w:color w:val="000000" w:themeColor="text1"/>
          <w:lang w:val="es-ES"/>
        </w:rPr>
      </w:pPr>
    </w:p>
    <w:p w14:paraId="22D9FDE7" w14:textId="77777777" w:rsidR="00E6165F" w:rsidRPr="009D76DA" w:rsidRDefault="00E6165F" w:rsidP="00E6165F">
      <w:pPr>
        <w:spacing w:after="0" w:line="240" w:lineRule="auto"/>
        <w:jc w:val="both"/>
        <w:rPr>
          <w:rFonts w:ascii="Verdana" w:hAnsi="Verdana" w:cs="Arial"/>
          <w:color w:val="000000" w:themeColor="text1"/>
          <w:sz w:val="20"/>
          <w:szCs w:val="20"/>
          <w:lang w:val="es-MX"/>
        </w:rPr>
      </w:pPr>
      <w:r w:rsidRPr="009D76DA">
        <w:rPr>
          <w:rFonts w:ascii="Verdana" w:hAnsi="Verdana" w:cs="Arial"/>
          <w:color w:val="000000" w:themeColor="text1"/>
          <w:sz w:val="20"/>
          <w:szCs w:val="20"/>
        </w:rPr>
        <w:t>[…] el parágrafo del artículo 38 de la Ley 996 de 2005 prohíbe a los Alcaldes, Gobernadores, Secretarios, Gerentes y Directores de las entidades del orden municipal, departamental o distrital celebrar convenios interadministrativos para la ejecución de recursos públicos. En este sentido, si una o ambas partes de la relación contractual es una entidad de aquellas descritas en el parágrafo ibidem, es decir, alcaldías, gobernaciones, secretarías de despacho, así como entidades descentralizadas por servicios del orden municipal, departamental o distrital no podrá celebrar tales convenios durante la aplicación de la Ley de Garantías Electorales, toda vez que la citada disposición se refiere a dicha tipología contractual sin que el legislador hubiere contemplado un efecto extensivo a otra tipología.</w:t>
      </w:r>
    </w:p>
    <w:p w14:paraId="1FEE4A5B" w14:textId="77777777" w:rsidR="00E6165F" w:rsidRDefault="00E6165F" w:rsidP="00E6165F">
      <w:pPr>
        <w:spacing w:after="0" w:line="240" w:lineRule="auto"/>
        <w:rPr>
          <w:rFonts w:ascii="Verdana" w:hAnsi="Verdana" w:cs="Arial"/>
          <w:b/>
          <w:bCs/>
          <w:color w:val="000000" w:themeColor="text1"/>
        </w:rPr>
      </w:pPr>
    </w:p>
    <w:p w14:paraId="13A74AD2" w14:textId="71148EEC" w:rsidR="00E6165F" w:rsidRDefault="00E6165F" w:rsidP="0036216B">
      <w:pPr>
        <w:spacing w:after="0" w:line="240" w:lineRule="auto"/>
        <w:jc w:val="both"/>
        <w:rPr>
          <w:rFonts w:ascii="Verdana" w:hAnsi="Verdana" w:cs="Arial"/>
          <w:b/>
          <w:bCs/>
          <w:color w:val="000000" w:themeColor="text1"/>
        </w:rPr>
      </w:pPr>
      <w:r w:rsidRPr="00446305">
        <w:rPr>
          <w:rFonts w:ascii="Verdana" w:hAnsi="Verdana" w:cs="Arial"/>
          <w:b/>
          <w:bCs/>
          <w:color w:val="000000" w:themeColor="text1"/>
        </w:rPr>
        <w:t xml:space="preserve">LEY DE GARANTÁS ELECTORALES </w:t>
      </w:r>
      <w:r w:rsidR="00432D23" w:rsidRPr="00446305">
        <w:rPr>
          <w:rFonts w:ascii="Verdana" w:hAnsi="Verdana" w:cs="Arial"/>
          <w:b/>
          <w:bCs/>
          <w:color w:val="000000" w:themeColor="text1"/>
        </w:rPr>
        <w:t>–</w:t>
      </w:r>
      <w:r w:rsidR="00432D23">
        <w:rPr>
          <w:rFonts w:ascii="Verdana" w:hAnsi="Verdana" w:cs="Arial"/>
          <w:b/>
          <w:bCs/>
          <w:color w:val="000000" w:themeColor="text1"/>
        </w:rPr>
        <w:t xml:space="preserve"> </w:t>
      </w:r>
      <w:r w:rsidR="00432D23" w:rsidRPr="0036216B">
        <w:rPr>
          <w:rFonts w:ascii="Verdana" w:hAnsi="Verdana" w:cs="Arial"/>
          <w:b/>
          <w:bCs/>
          <w:color w:val="000000" w:themeColor="text1"/>
        </w:rPr>
        <w:t>Aplicación</w:t>
      </w:r>
      <w:r w:rsidR="0036216B" w:rsidRPr="0036216B">
        <w:rPr>
          <w:rFonts w:ascii="Verdana" w:hAnsi="Verdana" w:cs="Arial"/>
          <w:b/>
          <w:bCs/>
          <w:color w:val="000000" w:themeColor="text1"/>
        </w:rPr>
        <w:t xml:space="preserve"> a convenios interadministrativos</w:t>
      </w:r>
    </w:p>
    <w:p w14:paraId="13EE11E4" w14:textId="77777777" w:rsidR="00E6165F" w:rsidRDefault="00E6165F" w:rsidP="00E6165F">
      <w:pPr>
        <w:spacing w:after="0" w:line="240" w:lineRule="auto"/>
        <w:rPr>
          <w:rFonts w:ascii="Verdana" w:hAnsi="Verdana" w:cs="Arial"/>
          <w:b/>
          <w:bCs/>
          <w:color w:val="000000" w:themeColor="text1"/>
        </w:rPr>
      </w:pPr>
    </w:p>
    <w:p w14:paraId="2F3102C3" w14:textId="77777777" w:rsidR="00E6165F" w:rsidRDefault="00E6165F" w:rsidP="00E6165F">
      <w:pPr>
        <w:spacing w:after="0" w:line="240" w:lineRule="auto"/>
        <w:jc w:val="both"/>
        <w:rPr>
          <w:rFonts w:ascii="Verdana" w:eastAsia="Times New Roman" w:hAnsi="Verdana" w:cs="Times New Roman"/>
          <w:sz w:val="20"/>
          <w:szCs w:val="20"/>
          <w:lang w:eastAsia="es-ES"/>
        </w:rPr>
      </w:pPr>
      <w:r w:rsidRPr="009D76DA">
        <w:rPr>
          <w:rFonts w:ascii="Verdana" w:hAnsi="Verdana" w:cs="Arial"/>
          <w:color w:val="000000" w:themeColor="text1"/>
          <w:sz w:val="20"/>
          <w:szCs w:val="20"/>
        </w:rPr>
        <w:t xml:space="preserve">[…] </w:t>
      </w:r>
      <w:r w:rsidRPr="009D76DA">
        <w:rPr>
          <w:rFonts w:ascii="Verdana" w:eastAsia="Times New Roman" w:hAnsi="Verdana" w:cs="Times New Roman"/>
          <w:sz w:val="20"/>
          <w:szCs w:val="20"/>
          <w:lang w:eastAsia="es-ES"/>
        </w:rPr>
        <w:t>la Sala concluyó que contratos y convenios interadministrativos son figuras distintas en naturaleza, objeto y efectos, pues mientras los contratos implican obligaciones patrimoniales y contraprestación, los convenios se basan en cooperación sin ánimo económico. Por ello, la restricción legal no podía aplicarse extensivamente a los contratos.</w:t>
      </w:r>
    </w:p>
    <w:p w14:paraId="0643CFC1" w14:textId="77777777" w:rsidR="00E6165F" w:rsidRDefault="00E6165F" w:rsidP="00E6165F">
      <w:pPr>
        <w:spacing w:after="0" w:line="240" w:lineRule="auto"/>
        <w:jc w:val="both"/>
        <w:rPr>
          <w:rFonts w:ascii="Verdana" w:eastAsia="Times New Roman" w:hAnsi="Verdana" w:cs="Times New Roman"/>
          <w:sz w:val="20"/>
          <w:szCs w:val="20"/>
          <w:lang w:eastAsia="es-ES"/>
        </w:rPr>
      </w:pPr>
    </w:p>
    <w:p w14:paraId="7285DB94" w14:textId="77777777" w:rsidR="00E6165F" w:rsidRPr="009D76DA" w:rsidRDefault="00E6165F" w:rsidP="00E6165F">
      <w:pPr>
        <w:spacing w:after="0" w:line="240" w:lineRule="auto"/>
        <w:jc w:val="both"/>
        <w:rPr>
          <w:rFonts w:ascii="Verdana" w:eastAsia="Times New Roman" w:hAnsi="Verdana" w:cs="Times New Roman"/>
          <w:sz w:val="20"/>
          <w:szCs w:val="20"/>
          <w:lang w:eastAsia="es-ES"/>
        </w:rPr>
      </w:pPr>
      <w:r w:rsidRPr="009D76DA">
        <w:rPr>
          <w:rFonts w:ascii="Verdana" w:eastAsia="Times New Roman" w:hAnsi="Verdana" w:cs="Times New Roman"/>
          <w:sz w:val="20"/>
          <w:szCs w:val="20"/>
          <w:lang w:eastAsia="es-ES"/>
        </w:rPr>
        <w:t xml:space="preserve">[…] </w:t>
      </w:r>
    </w:p>
    <w:p w14:paraId="1445AD03" w14:textId="77777777" w:rsidR="00E6165F" w:rsidRPr="009D76DA" w:rsidRDefault="00E6165F" w:rsidP="00E6165F">
      <w:pPr>
        <w:spacing w:after="0" w:line="240" w:lineRule="auto"/>
        <w:jc w:val="both"/>
        <w:rPr>
          <w:rFonts w:ascii="Verdana" w:eastAsia="Times New Roman" w:hAnsi="Verdana" w:cs="Times New Roman"/>
          <w:sz w:val="20"/>
          <w:szCs w:val="20"/>
          <w:lang w:eastAsia="es-ES"/>
        </w:rPr>
      </w:pPr>
    </w:p>
    <w:p w14:paraId="500B0376" w14:textId="77777777" w:rsidR="00E6165F" w:rsidRDefault="00E6165F" w:rsidP="00E6165F">
      <w:pPr>
        <w:spacing w:after="0" w:line="240" w:lineRule="auto"/>
        <w:jc w:val="both"/>
        <w:rPr>
          <w:rFonts w:ascii="Verdana" w:eastAsia="Times New Roman" w:hAnsi="Verdana" w:cs="Arial"/>
          <w:sz w:val="20"/>
          <w:szCs w:val="20"/>
          <w:lang w:eastAsia="es-CO"/>
        </w:rPr>
      </w:pPr>
      <w:r w:rsidRPr="009D76DA">
        <w:rPr>
          <w:rFonts w:ascii="Verdana" w:eastAsia="Times New Roman" w:hAnsi="Verdana" w:cs="Arial"/>
          <w:sz w:val="20"/>
          <w:szCs w:val="20"/>
          <w:lang w:eastAsia="es-CO"/>
        </w:rPr>
        <w:t xml:space="preserve">[…] en la sentencia expedida por la Sección Tercera de la Sala de lo Contencioso Administrativo del 17 de octubre de 2025, en los autos del 4 de octubre de 2024 y 6 de noviembre de 2025, no resultaría aplicable la prohibición del parágrafo del artículo 38 de la Ley de Garantías Electorales a los </w:t>
      </w:r>
      <w:r w:rsidRPr="009D76DA">
        <w:rPr>
          <w:rFonts w:ascii="Verdana" w:eastAsia="Times New Roman" w:hAnsi="Verdana" w:cs="Arial"/>
          <w:i/>
          <w:iCs/>
          <w:sz w:val="20"/>
          <w:szCs w:val="20"/>
          <w:lang w:eastAsia="es-CO"/>
        </w:rPr>
        <w:t>contratos interadministrativos</w:t>
      </w:r>
      <w:r w:rsidRPr="009D76DA">
        <w:rPr>
          <w:rFonts w:ascii="Verdana" w:eastAsia="Times New Roman" w:hAnsi="Verdana" w:cs="Arial"/>
          <w:sz w:val="20"/>
          <w:szCs w:val="20"/>
          <w:lang w:eastAsia="es-CO"/>
        </w:rPr>
        <w:t xml:space="preserve">, esta prohibición solo aplicaría a los convenios interadministrativos que impliquen la ejecución de recursos públicos. Conforme a lo señalado por el Consejo de Estado, cuando dos entidades públicas celebren un </w:t>
      </w:r>
      <w:r w:rsidRPr="009D76DA">
        <w:rPr>
          <w:rFonts w:ascii="Verdana" w:eastAsia="Times New Roman" w:hAnsi="Verdana" w:cs="Arial"/>
          <w:i/>
          <w:iCs/>
          <w:sz w:val="20"/>
          <w:szCs w:val="20"/>
          <w:lang w:eastAsia="es-CO"/>
        </w:rPr>
        <w:t>contrato interadministrativo,</w:t>
      </w:r>
      <w:r w:rsidRPr="009D76DA">
        <w:rPr>
          <w:rFonts w:ascii="Verdana" w:eastAsia="Times New Roman" w:hAnsi="Verdana" w:cs="Arial"/>
          <w:sz w:val="20"/>
          <w:szCs w:val="20"/>
          <w:lang w:eastAsia="es-CO"/>
        </w:rPr>
        <w:t xml:space="preserve"> independientemente del objeto, dicho contrato puede suscribirse durante el periodo preelectoral.</w:t>
      </w:r>
    </w:p>
    <w:p w14:paraId="662E14F0" w14:textId="77777777" w:rsidR="0036216B" w:rsidRPr="009D76DA" w:rsidRDefault="0036216B" w:rsidP="00E6165F">
      <w:pPr>
        <w:spacing w:after="0" w:line="240" w:lineRule="auto"/>
        <w:jc w:val="both"/>
        <w:rPr>
          <w:rFonts w:ascii="Verdana" w:eastAsia="Times New Roman" w:hAnsi="Verdana" w:cs="Arial"/>
          <w:sz w:val="20"/>
          <w:szCs w:val="20"/>
          <w:lang w:eastAsia="es-CO"/>
        </w:rPr>
      </w:pPr>
    </w:p>
    <w:p w14:paraId="5190A89F" w14:textId="77777777" w:rsidR="00E6165F" w:rsidRPr="0036216B" w:rsidRDefault="00E6165F" w:rsidP="0036216B">
      <w:pPr>
        <w:spacing w:after="0" w:line="240" w:lineRule="auto"/>
        <w:jc w:val="both"/>
        <w:rPr>
          <w:rFonts w:ascii="Verdana" w:hAnsi="Verdana" w:cs="Arial"/>
          <w:b/>
          <w:bCs/>
          <w:color w:val="000000" w:themeColor="text1"/>
          <w:sz w:val="20"/>
          <w:szCs w:val="20"/>
        </w:rPr>
      </w:pPr>
    </w:p>
    <w:p w14:paraId="20861F4E" w14:textId="77777777" w:rsidR="0036216B" w:rsidRPr="0036216B" w:rsidRDefault="0036216B" w:rsidP="0036216B">
      <w:pPr>
        <w:spacing w:after="0"/>
        <w:jc w:val="both"/>
        <w:rPr>
          <w:rFonts w:ascii="Verdana" w:eastAsia="Verdana" w:hAnsi="Verdana" w:cs="Verdana"/>
          <w:b/>
          <w:bCs/>
        </w:rPr>
      </w:pPr>
    </w:p>
    <w:p w14:paraId="44BC5CE9" w14:textId="2C0D7409" w:rsidR="00E6165F" w:rsidRDefault="0036216B" w:rsidP="0036216B">
      <w:pPr>
        <w:spacing w:after="0"/>
        <w:jc w:val="both"/>
        <w:rPr>
          <w:rFonts w:ascii="Verdana" w:eastAsia="Verdana" w:hAnsi="Verdana" w:cs="Verdana"/>
          <w:b/>
          <w:bCs/>
        </w:rPr>
      </w:pPr>
      <w:r w:rsidRPr="0036216B">
        <w:rPr>
          <w:rFonts w:ascii="Verdana" w:eastAsia="Verdana" w:hAnsi="Verdana" w:cs="Verdana"/>
          <w:b/>
          <w:bCs/>
        </w:rPr>
        <w:t>LEY DE GARANTÍAS ELECTORALES – Excepción - Contratación por parte de entidades sanitarias y hospitalaria</w:t>
      </w:r>
    </w:p>
    <w:p w14:paraId="18E362AB" w14:textId="77777777" w:rsidR="0036216B" w:rsidRDefault="0036216B" w:rsidP="0036216B">
      <w:pPr>
        <w:spacing w:after="0"/>
        <w:jc w:val="both"/>
        <w:rPr>
          <w:rFonts w:ascii="Verdana" w:eastAsia="Verdana" w:hAnsi="Verdana" w:cs="Verdana"/>
          <w:b/>
          <w:bCs/>
        </w:rPr>
      </w:pPr>
    </w:p>
    <w:p w14:paraId="5E78409C" w14:textId="77777777" w:rsidR="0036216B" w:rsidRDefault="0036216B" w:rsidP="0036216B">
      <w:pPr>
        <w:spacing w:after="0"/>
        <w:jc w:val="both"/>
        <w:rPr>
          <w:rFonts w:ascii="Verdana" w:eastAsia="Verdana" w:hAnsi="Verdana" w:cs="Verdana"/>
          <w:b/>
          <w:bCs/>
        </w:rPr>
      </w:pPr>
    </w:p>
    <w:p w14:paraId="21837264" w14:textId="77777777" w:rsidR="0036216B" w:rsidRPr="0036216B" w:rsidRDefault="0036216B" w:rsidP="0036216B">
      <w:pPr>
        <w:pStyle w:val="paragraph"/>
        <w:shd w:val="clear" w:color="auto" w:fill="FFFFFF"/>
        <w:spacing w:before="0" w:beforeAutospacing="0" w:after="120" w:afterAutospacing="0" w:line="276" w:lineRule="auto"/>
        <w:jc w:val="both"/>
        <w:textAlignment w:val="baseline"/>
        <w:rPr>
          <w:rFonts w:ascii="Verdana" w:eastAsia="Calibri" w:hAnsi="Verdana" w:cs="Arial"/>
          <w:bCs/>
          <w:color w:val="000000" w:themeColor="text1"/>
          <w:sz w:val="20"/>
          <w:szCs w:val="20"/>
        </w:rPr>
      </w:pPr>
      <w:r w:rsidRPr="0036216B">
        <w:rPr>
          <w:rFonts w:ascii="Verdana" w:eastAsia="Calibri" w:hAnsi="Verdana" w:cs="Arial"/>
          <w:bCs/>
          <w:color w:val="000000" w:themeColor="text1"/>
          <w:sz w:val="20"/>
          <w:szCs w:val="20"/>
        </w:rPr>
        <w:t xml:space="preserve">En torno a la procedencia de la contratación directa por parte de las E.S.E., es necesario </w:t>
      </w:r>
      <w:r w:rsidRPr="0036216B">
        <w:rPr>
          <w:rFonts w:ascii="Verdana" w:hAnsi="Verdana" w:cs="Arial"/>
          <w:bCs/>
          <w:color w:val="000000" w:themeColor="text1"/>
          <w:sz w:val="20"/>
          <w:szCs w:val="20"/>
        </w:rPr>
        <w:t xml:space="preserve">analizar el quinto evento exceptuado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 </w:t>
      </w:r>
    </w:p>
    <w:p w14:paraId="4AC823EB" w14:textId="6FB10D39" w:rsidR="0036216B" w:rsidRPr="0036216B" w:rsidRDefault="0036216B" w:rsidP="0036216B">
      <w:pPr>
        <w:tabs>
          <w:tab w:val="left" w:pos="426"/>
        </w:tabs>
        <w:spacing w:before="120" w:line="276" w:lineRule="auto"/>
        <w:jc w:val="both"/>
        <w:rPr>
          <w:rFonts w:ascii="Verdana" w:hAnsi="Verdana" w:cs="Arial"/>
          <w:color w:val="000000" w:themeColor="text1"/>
          <w:sz w:val="20"/>
          <w:szCs w:val="20"/>
        </w:rPr>
      </w:pPr>
      <w:r w:rsidRPr="0036216B">
        <w:rPr>
          <w:rFonts w:ascii="Verdana" w:hAnsi="Verdana" w:cs="Arial"/>
          <w:color w:val="000000" w:themeColor="text1"/>
          <w:sz w:val="20"/>
          <w:szCs w:val="20"/>
        </w:rPr>
        <w:t>De lo anterior se desprende que, bajo la Ley 100 de 1993, dentro de la estructura de la administración pública las Empresas Sociales del Estado, según lo dispuesto en el artículo 194 de la Ley 100 de 1993, son las entidades encargadas de prestar el servicio de salud de manera directa</w:t>
      </w:r>
      <w:r>
        <w:rPr>
          <w:rFonts w:ascii="Verdana" w:hAnsi="Verdana" w:cs="Arial"/>
          <w:color w:val="000000" w:themeColor="text1"/>
          <w:sz w:val="20"/>
          <w:szCs w:val="20"/>
        </w:rPr>
        <w:t>.</w:t>
      </w:r>
      <w:r w:rsidRPr="0036216B">
        <w:rPr>
          <w:rFonts w:ascii="Verdana" w:hAnsi="Verdana" w:cs="Arial"/>
          <w:color w:val="000000" w:themeColor="text1"/>
          <w:sz w:val="20"/>
          <w:szCs w:val="20"/>
        </w:rPr>
        <w:t xml:space="preserve"> Además, el mismo artículo 197</w:t>
      </w:r>
      <w:r w:rsidR="00432D23">
        <w:rPr>
          <w:rFonts w:ascii="Verdana" w:hAnsi="Verdana" w:cs="Arial"/>
          <w:color w:val="000000" w:themeColor="text1"/>
          <w:sz w:val="20"/>
          <w:szCs w:val="20"/>
        </w:rPr>
        <w:t xml:space="preserve"> </w:t>
      </w:r>
      <w:r w:rsidRPr="0036216B">
        <w:rPr>
          <w:rFonts w:ascii="Verdana" w:hAnsi="Verdana" w:cs="Arial"/>
          <w:color w:val="000000" w:themeColor="text1"/>
          <w:sz w:val="20"/>
          <w:szCs w:val="20"/>
        </w:rPr>
        <w:t xml:space="preserve">estableció el deber de reestructurar y transformar en Empresas Sociales del Estado a las entidades descentralizadas que, al momento de entrada en vigor de la ley referida, prestaban directamente este servicio. Así, se observa que la voluntad del legislador fue homogeneizar o unificar la naturaleza jurídica de las entidades públicas descentralizadas prestadoras del servicio de salud en Empresas Sociales del Estado. De ello da cuenta no solo la creación de la institución jurídica referida sino además la imposición del mandato de reestructuración de aquellas entidades. </w:t>
      </w:r>
    </w:p>
    <w:p w14:paraId="0C367DC4" w14:textId="77777777" w:rsidR="0036216B" w:rsidRDefault="0036216B" w:rsidP="0036216B">
      <w:pPr>
        <w:spacing w:after="0"/>
        <w:jc w:val="both"/>
        <w:rPr>
          <w:rFonts w:ascii="Verdana" w:eastAsia="Verdana" w:hAnsi="Verdana" w:cs="Verdana"/>
          <w:b/>
          <w:bCs/>
        </w:rPr>
      </w:pPr>
    </w:p>
    <w:p w14:paraId="348B06FB" w14:textId="77777777" w:rsidR="0036216B" w:rsidRPr="0036216B" w:rsidRDefault="0036216B" w:rsidP="0036216B">
      <w:pPr>
        <w:spacing w:after="0"/>
        <w:jc w:val="both"/>
        <w:rPr>
          <w:rFonts w:ascii="Verdana" w:eastAsia="Verdana" w:hAnsi="Verdana" w:cs="Verdana"/>
          <w:b/>
          <w:bCs/>
        </w:rPr>
      </w:pPr>
    </w:p>
    <w:p w14:paraId="094536DB" w14:textId="77777777" w:rsidR="00E6165F" w:rsidRDefault="00E6165F" w:rsidP="00E6165F">
      <w:pPr>
        <w:spacing w:after="0"/>
        <w:rPr>
          <w:rFonts w:ascii="Verdana" w:eastAsia="Verdana" w:hAnsi="Verdana" w:cs="Verdana"/>
        </w:rPr>
      </w:pPr>
    </w:p>
    <w:p w14:paraId="3F562BBA" w14:textId="77777777" w:rsidR="00E6165F" w:rsidRDefault="00E6165F" w:rsidP="00E6165F">
      <w:pPr>
        <w:spacing w:after="0"/>
        <w:rPr>
          <w:rFonts w:ascii="Verdana" w:eastAsia="Verdana" w:hAnsi="Verdana" w:cs="Verdana"/>
        </w:rPr>
      </w:pPr>
    </w:p>
    <w:p w14:paraId="67D852F0" w14:textId="77777777" w:rsidR="00E6165F" w:rsidRDefault="00E6165F" w:rsidP="00E6165F">
      <w:pPr>
        <w:spacing w:after="0"/>
        <w:rPr>
          <w:rFonts w:ascii="Verdana" w:eastAsia="Verdana" w:hAnsi="Verdana" w:cs="Verdana"/>
        </w:rPr>
      </w:pPr>
    </w:p>
    <w:p w14:paraId="70F2AF41" w14:textId="77777777" w:rsidR="00E6165F" w:rsidRDefault="00E6165F" w:rsidP="00E6165F">
      <w:pPr>
        <w:spacing w:after="0"/>
        <w:rPr>
          <w:rFonts w:ascii="Verdana" w:eastAsia="Verdana" w:hAnsi="Verdana" w:cs="Verdana"/>
        </w:rPr>
      </w:pPr>
    </w:p>
    <w:p w14:paraId="293A4A4C" w14:textId="77777777" w:rsidR="00E6165F" w:rsidRDefault="00E6165F" w:rsidP="00E6165F">
      <w:pPr>
        <w:spacing w:after="0"/>
        <w:rPr>
          <w:rFonts w:ascii="Verdana" w:eastAsia="Verdana" w:hAnsi="Verdana" w:cs="Verdana"/>
        </w:rPr>
      </w:pPr>
    </w:p>
    <w:p w14:paraId="3C411ED9" w14:textId="77777777" w:rsidR="00E6165F" w:rsidRDefault="00E6165F" w:rsidP="00E6165F">
      <w:pPr>
        <w:spacing w:after="0"/>
        <w:rPr>
          <w:rFonts w:ascii="Verdana" w:eastAsia="Verdana" w:hAnsi="Verdana" w:cs="Verdana"/>
        </w:rPr>
      </w:pPr>
    </w:p>
    <w:p w14:paraId="2949517C" w14:textId="77777777" w:rsidR="00E6165F" w:rsidRDefault="00E6165F" w:rsidP="00E6165F">
      <w:pPr>
        <w:spacing w:after="0"/>
        <w:rPr>
          <w:rFonts w:ascii="Verdana" w:eastAsia="Verdana" w:hAnsi="Verdana" w:cs="Verdana"/>
        </w:rPr>
      </w:pPr>
    </w:p>
    <w:p w14:paraId="7CC7D60A" w14:textId="77777777" w:rsidR="00E6165F" w:rsidRDefault="00E6165F" w:rsidP="00E6165F">
      <w:pPr>
        <w:spacing w:after="0"/>
        <w:rPr>
          <w:rFonts w:ascii="Verdana" w:eastAsia="Verdana" w:hAnsi="Verdana" w:cs="Verdana"/>
        </w:rPr>
      </w:pPr>
    </w:p>
    <w:p w14:paraId="196B2F3A" w14:textId="77777777" w:rsidR="00E6165F" w:rsidRDefault="00E6165F" w:rsidP="00E6165F">
      <w:pPr>
        <w:spacing w:after="0"/>
        <w:rPr>
          <w:rFonts w:ascii="Verdana" w:eastAsia="Verdana" w:hAnsi="Verdana" w:cs="Verdana"/>
        </w:rPr>
      </w:pPr>
    </w:p>
    <w:p w14:paraId="3FFF85A2" w14:textId="77777777" w:rsidR="00E6165F" w:rsidRDefault="00E6165F" w:rsidP="00E6165F">
      <w:pPr>
        <w:spacing w:after="0"/>
        <w:rPr>
          <w:rFonts w:ascii="Verdana" w:eastAsia="Verdana" w:hAnsi="Verdana" w:cs="Verdana"/>
        </w:rPr>
      </w:pPr>
    </w:p>
    <w:p w14:paraId="48B66F38" w14:textId="77777777" w:rsidR="00E6165F" w:rsidRDefault="00E6165F" w:rsidP="00E6165F">
      <w:pPr>
        <w:spacing w:after="0"/>
        <w:rPr>
          <w:rFonts w:ascii="Verdana" w:eastAsia="Verdana" w:hAnsi="Verdana" w:cs="Verdana"/>
        </w:rPr>
      </w:pPr>
    </w:p>
    <w:p w14:paraId="19D5893E" w14:textId="77777777" w:rsidR="00E6165F" w:rsidRDefault="00E6165F" w:rsidP="00E6165F">
      <w:pPr>
        <w:spacing w:after="0"/>
        <w:rPr>
          <w:rFonts w:ascii="Verdana" w:eastAsia="Verdana" w:hAnsi="Verdana" w:cs="Verdana"/>
        </w:rPr>
      </w:pPr>
    </w:p>
    <w:p w14:paraId="2FFED775" w14:textId="77777777" w:rsidR="00E6165F" w:rsidRDefault="00E6165F" w:rsidP="00E6165F">
      <w:pPr>
        <w:spacing w:after="0"/>
        <w:rPr>
          <w:rFonts w:ascii="Verdana" w:eastAsia="Verdana" w:hAnsi="Verdana" w:cs="Verdana"/>
        </w:rPr>
      </w:pPr>
    </w:p>
    <w:p w14:paraId="5E9C655D" w14:textId="77777777" w:rsidR="00E6165F" w:rsidRDefault="00E6165F" w:rsidP="00E6165F">
      <w:pPr>
        <w:spacing w:after="0"/>
        <w:rPr>
          <w:rFonts w:ascii="Verdana" w:eastAsia="Verdana" w:hAnsi="Verdana" w:cs="Verdana"/>
        </w:rPr>
      </w:pPr>
    </w:p>
    <w:p w14:paraId="30E99407" w14:textId="77777777" w:rsidR="00E6165F" w:rsidRDefault="00E6165F" w:rsidP="00E6165F">
      <w:pPr>
        <w:spacing w:after="0"/>
        <w:rPr>
          <w:rFonts w:ascii="Verdana" w:eastAsia="Verdana" w:hAnsi="Verdana" w:cs="Verdana"/>
        </w:rPr>
      </w:pPr>
    </w:p>
    <w:p w14:paraId="12670172" w14:textId="77777777" w:rsidR="000452F8" w:rsidRDefault="000452F8">
      <w:pPr>
        <w:rPr>
          <w:rFonts w:ascii="Verdana" w:eastAsia="Verdana" w:hAnsi="Verdana" w:cs="Verdana"/>
        </w:rPr>
      </w:pPr>
      <w:r>
        <w:rPr>
          <w:rFonts w:ascii="Verdana" w:eastAsia="Verdana" w:hAnsi="Verdana" w:cs="Verdana"/>
        </w:rPr>
        <w:br w:type="page"/>
      </w:r>
    </w:p>
    <w:p w14:paraId="1468C46D" w14:textId="433638C1" w:rsidR="00C15139" w:rsidRPr="00F2504C" w:rsidRDefault="00575B40" w:rsidP="007950B2">
      <w:pPr>
        <w:spacing w:after="0" w:line="240" w:lineRule="auto"/>
        <w:rPr>
          <w:rFonts w:ascii="Verdana" w:eastAsia="Verdana" w:hAnsi="Verdana" w:cs="Verdana"/>
        </w:rPr>
      </w:pPr>
      <w:r w:rsidRPr="00575B40">
        <w:rPr>
          <w:rFonts w:ascii="Verdana" w:eastAsia="Verdana" w:hAnsi="Verdana" w:cs="Verdana"/>
          <w:noProof/>
        </w:rPr>
        <w:drawing>
          <wp:anchor distT="0" distB="0" distL="114300" distR="114300" simplePos="0" relativeHeight="251660288" behindDoc="1" locked="0" layoutInCell="1" allowOverlap="1" wp14:anchorId="7F608294" wp14:editId="795416A7">
            <wp:simplePos x="0" y="0"/>
            <wp:positionH relativeFrom="column">
              <wp:posOffset>3595370</wp:posOffset>
            </wp:positionH>
            <wp:positionV relativeFrom="paragraph">
              <wp:posOffset>0</wp:posOffset>
            </wp:positionV>
            <wp:extent cx="2286000" cy="749935"/>
            <wp:effectExtent l="0" t="0" r="0" b="0"/>
            <wp:wrapTight wrapText="bothSides">
              <wp:wrapPolygon edited="0">
                <wp:start x="0" y="0"/>
                <wp:lineTo x="0" y="20850"/>
                <wp:lineTo x="21420" y="20850"/>
                <wp:lineTo x="21420" y="0"/>
                <wp:lineTo x="0" y="0"/>
              </wp:wrapPolygon>
            </wp:wrapTight>
            <wp:docPr id="980403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74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00F2504C">
        <w:rPr>
          <w:rFonts w:ascii="Verdana" w:eastAsia="Verdana" w:hAnsi="Verdana" w:cs="Verdana"/>
        </w:rPr>
        <w:t xml:space="preserve">Bogotá D.C., </w:t>
      </w:r>
      <w:r>
        <w:rPr>
          <w:rFonts w:ascii="Verdana" w:eastAsia="Verdana" w:hAnsi="Verdana" w:cs="Verdana"/>
        </w:rPr>
        <w:t>26 junio 2026</w:t>
      </w:r>
      <w:r w:rsidR="00C15139" w:rsidRPr="007950B2">
        <w:rPr>
          <w:rFonts w:ascii="Verdana" w:hAnsi="Verdana"/>
        </w:rPr>
        <w:tab/>
      </w:r>
      <w:r w:rsidR="00C15139" w:rsidRPr="007950B2">
        <w:rPr>
          <w:rFonts w:ascii="Verdana" w:hAnsi="Verdana"/>
        </w:rPr>
        <w:br/>
      </w:r>
      <w:r w:rsidR="00C15139" w:rsidRPr="007950B2">
        <w:rPr>
          <w:rFonts w:ascii="Verdana" w:hAnsi="Verdana"/>
        </w:rPr>
        <w:tab/>
      </w:r>
    </w:p>
    <w:p w14:paraId="12443EE0" w14:textId="77777777" w:rsidR="00C15139" w:rsidRPr="00F2504C" w:rsidRDefault="00C15139" w:rsidP="007950B2">
      <w:pPr>
        <w:spacing w:after="0" w:line="240" w:lineRule="auto"/>
        <w:rPr>
          <w:rFonts w:ascii="Verdana" w:eastAsia="Verdana" w:hAnsi="Verdana" w:cs="Verdana"/>
        </w:rPr>
      </w:pPr>
    </w:p>
    <w:p w14:paraId="5F2CD078" w14:textId="0550304B" w:rsidR="00C15139" w:rsidRPr="00F2504C" w:rsidRDefault="00C15139" w:rsidP="007950B2">
      <w:pPr>
        <w:spacing w:after="0" w:line="240" w:lineRule="auto"/>
        <w:rPr>
          <w:rFonts w:ascii="Verdana" w:eastAsia="Verdana" w:hAnsi="Verdana" w:cs="Verdana"/>
          <w:lang w:val="es-MX"/>
        </w:rPr>
      </w:pPr>
      <w:r w:rsidRPr="00F2504C">
        <w:rPr>
          <w:rFonts w:ascii="Verdana" w:eastAsia="Verdana" w:hAnsi="Verdana" w:cs="Verdana"/>
          <w:lang w:val="es-MX"/>
        </w:rPr>
        <w:t>Señor</w:t>
      </w:r>
      <w:r w:rsidR="00FB3BC1" w:rsidRPr="00F2504C">
        <w:rPr>
          <w:rFonts w:ascii="Verdana" w:eastAsia="Verdana" w:hAnsi="Verdana" w:cs="Verdana"/>
          <w:lang w:val="es-MX"/>
        </w:rPr>
        <w:t xml:space="preserve">a </w:t>
      </w:r>
    </w:p>
    <w:p w14:paraId="3147BAB7" w14:textId="0FF1CFFF" w:rsidR="00FB3BC1" w:rsidRPr="00F2504C" w:rsidRDefault="00FB3BC1" w:rsidP="007950B2">
      <w:pPr>
        <w:spacing w:after="0" w:line="240" w:lineRule="auto"/>
        <w:rPr>
          <w:rFonts w:ascii="Verdana" w:eastAsia="Verdana" w:hAnsi="Verdana" w:cs="Verdana"/>
          <w:b/>
          <w:bCs/>
          <w:lang w:val="es-MX"/>
        </w:rPr>
      </w:pPr>
      <w:r w:rsidRPr="00F2504C">
        <w:rPr>
          <w:rFonts w:ascii="Verdana" w:eastAsia="Verdana" w:hAnsi="Verdana" w:cs="Verdana"/>
          <w:b/>
          <w:bCs/>
          <w:lang w:val="es-MX"/>
        </w:rPr>
        <w:t xml:space="preserve">Georgina </w:t>
      </w:r>
      <w:r w:rsidR="006D041A" w:rsidRPr="00F2504C">
        <w:rPr>
          <w:rFonts w:ascii="Verdana" w:eastAsia="Verdana" w:hAnsi="Verdana" w:cs="Verdana"/>
          <w:b/>
          <w:bCs/>
          <w:lang w:val="es-MX"/>
        </w:rPr>
        <w:t xml:space="preserve">Paola </w:t>
      </w:r>
      <w:r w:rsidR="003E44B0" w:rsidRPr="00F2504C">
        <w:rPr>
          <w:rFonts w:ascii="Verdana" w:eastAsia="Verdana" w:hAnsi="Verdana" w:cs="Verdana"/>
          <w:b/>
          <w:bCs/>
          <w:lang w:val="es-MX"/>
        </w:rPr>
        <w:t>Sánchez</w:t>
      </w:r>
      <w:r w:rsidR="006D041A" w:rsidRPr="00F2504C">
        <w:rPr>
          <w:rFonts w:ascii="Verdana" w:eastAsia="Verdana" w:hAnsi="Verdana" w:cs="Verdana"/>
          <w:b/>
          <w:bCs/>
          <w:lang w:val="es-MX"/>
        </w:rPr>
        <w:t xml:space="preserve"> Daza</w:t>
      </w:r>
    </w:p>
    <w:p w14:paraId="0D2A268B" w14:textId="26318818" w:rsidR="006D041A" w:rsidRPr="00F2504C" w:rsidRDefault="003E44B0" w:rsidP="007950B2">
      <w:pPr>
        <w:spacing w:after="0" w:line="240" w:lineRule="auto"/>
        <w:rPr>
          <w:rFonts w:ascii="Verdana" w:eastAsia="Verdana" w:hAnsi="Verdana" w:cs="Verdana"/>
          <w:lang w:val="es-MX"/>
        </w:rPr>
      </w:pPr>
      <w:hyperlink r:id="rId11" w:history="1">
        <w:r w:rsidRPr="00F2504C">
          <w:rPr>
            <w:rStyle w:val="Hipervnculo"/>
            <w:rFonts w:ascii="Verdana" w:eastAsia="Verdana" w:hAnsi="Verdana" w:cs="Verdana"/>
            <w:lang w:val="es-MX"/>
          </w:rPr>
          <w:t>contactenos@cesar.gov.co</w:t>
        </w:r>
      </w:hyperlink>
    </w:p>
    <w:p w14:paraId="4D57463E" w14:textId="6B477982" w:rsidR="003E44B0" w:rsidRPr="00F2504C" w:rsidRDefault="003E44B0" w:rsidP="007950B2">
      <w:pPr>
        <w:spacing w:after="0" w:line="240" w:lineRule="auto"/>
        <w:rPr>
          <w:rFonts w:ascii="Verdana" w:eastAsia="Verdana" w:hAnsi="Verdana" w:cs="Verdana"/>
          <w:lang w:val="es-MX"/>
        </w:rPr>
      </w:pPr>
      <w:r w:rsidRPr="00F2504C">
        <w:rPr>
          <w:rFonts w:ascii="Verdana" w:eastAsia="Verdana" w:hAnsi="Verdana" w:cs="Verdana"/>
          <w:lang w:val="es-MX"/>
        </w:rPr>
        <w:t>Valledupar, Colombia</w:t>
      </w:r>
    </w:p>
    <w:p w14:paraId="0753CF34" w14:textId="77777777" w:rsidR="003E44B0" w:rsidRPr="00F2504C" w:rsidRDefault="003E44B0" w:rsidP="007950B2">
      <w:pPr>
        <w:spacing w:after="0" w:line="240" w:lineRule="auto"/>
        <w:rPr>
          <w:rFonts w:ascii="Verdana" w:eastAsia="Verdana" w:hAnsi="Verdana" w:cs="Verdana"/>
          <w:lang w:val="es-MX"/>
        </w:rPr>
      </w:pPr>
    </w:p>
    <w:p w14:paraId="09E85953" w14:textId="77777777" w:rsidR="006D5C08" w:rsidRPr="00F2504C" w:rsidRDefault="006D5C08" w:rsidP="00F2504C">
      <w:pPr>
        <w:spacing w:after="0" w:line="240" w:lineRule="auto"/>
        <w:rPr>
          <w:rFonts w:ascii="Verdana" w:hAnsi="Verdana" w:cs="Arial"/>
          <w:b/>
          <w:bCs/>
          <w:color w:val="000000"/>
          <w:lang w:val="es-ES_tradnl" w:eastAsia="es-ES_tradnl"/>
        </w:rPr>
      </w:pPr>
    </w:p>
    <w:tbl>
      <w:tblPr>
        <w:tblStyle w:val="Tablaconcuadrcula1"/>
        <w:tblW w:w="8931" w:type="dxa"/>
        <w:tblCellMar>
          <w:left w:w="0" w:type="dxa"/>
          <w:right w:w="0" w:type="dxa"/>
        </w:tblCellMar>
        <w:tblLook w:val="04A0" w:firstRow="1" w:lastRow="0" w:firstColumn="1" w:lastColumn="0" w:noHBand="0" w:noVBand="1"/>
      </w:tblPr>
      <w:tblGrid>
        <w:gridCol w:w="2689"/>
        <w:gridCol w:w="6242"/>
      </w:tblGrid>
      <w:tr w:rsidR="006D5C08" w:rsidRPr="00F2504C" w14:paraId="134C2AB7" w14:textId="77777777" w:rsidTr="007950B2">
        <w:trPr>
          <w:trHeight w:val="633"/>
        </w:trPr>
        <w:tc>
          <w:tcPr>
            <w:tcW w:w="2689" w:type="dxa"/>
          </w:tcPr>
          <w:p w14:paraId="31B7860B" w14:textId="77777777" w:rsidR="006D5C08" w:rsidRPr="00F2504C" w:rsidRDefault="006D5C08" w:rsidP="00F2504C">
            <w:pPr>
              <w:jc w:val="both"/>
              <w:rPr>
                <w:rFonts w:ascii="Verdana" w:hAnsi="Verdana" w:cs="Arial"/>
                <w:b/>
                <w:bCs/>
                <w:color w:val="7030A0"/>
                <w:lang w:val="es-ES_tradnl" w:eastAsia="es-ES_tradnl"/>
              </w:rPr>
            </w:pPr>
          </w:p>
        </w:tc>
        <w:tc>
          <w:tcPr>
            <w:tcW w:w="6242" w:type="dxa"/>
          </w:tcPr>
          <w:p w14:paraId="689E1302" w14:textId="035EB1D5" w:rsidR="006D5C08" w:rsidRPr="00F2504C" w:rsidRDefault="006D5C08" w:rsidP="00F2504C">
            <w:pPr>
              <w:jc w:val="both"/>
              <w:rPr>
                <w:rFonts w:ascii="Verdana" w:hAnsi="Verdana" w:cs="Arial"/>
                <w:b/>
                <w:bCs/>
                <w:color w:val="7030A0"/>
                <w:lang w:val="es-ES_tradnl" w:eastAsia="es-ES"/>
              </w:rPr>
            </w:pPr>
            <w:r w:rsidRPr="00F2504C">
              <w:rPr>
                <w:rFonts w:ascii="Verdana" w:hAnsi="Verdana" w:cs="Arial"/>
                <w:b/>
                <w:bCs/>
                <w:lang w:val="es-ES_tradnl" w:eastAsia="es-ES"/>
              </w:rPr>
              <w:t xml:space="preserve">Concepto C – </w:t>
            </w:r>
            <w:r w:rsidR="00802091" w:rsidRPr="00F2504C">
              <w:rPr>
                <w:rFonts w:ascii="Verdana" w:hAnsi="Verdana" w:cs="Arial"/>
                <w:b/>
                <w:bCs/>
                <w:lang w:val="es-ES_tradnl" w:eastAsia="es-ES"/>
              </w:rPr>
              <w:t>825</w:t>
            </w:r>
            <w:r w:rsidRPr="00F2504C">
              <w:rPr>
                <w:rFonts w:ascii="Verdana" w:hAnsi="Verdana" w:cs="Arial"/>
                <w:b/>
                <w:bCs/>
                <w:lang w:val="es-ES_tradnl" w:eastAsia="es-ES"/>
              </w:rPr>
              <w:t xml:space="preserve"> de 202</w:t>
            </w:r>
            <w:r w:rsidR="00802091" w:rsidRPr="00F2504C">
              <w:rPr>
                <w:rFonts w:ascii="Verdana" w:hAnsi="Verdana" w:cs="Arial"/>
                <w:b/>
                <w:bCs/>
                <w:lang w:val="es-ES_tradnl" w:eastAsia="es-ES"/>
              </w:rPr>
              <w:t>6</w:t>
            </w:r>
          </w:p>
        </w:tc>
      </w:tr>
      <w:tr w:rsidR="00DC69A0" w:rsidRPr="00F2504C" w14:paraId="1FEDBB5C" w14:textId="77777777" w:rsidTr="007950B2">
        <w:trPr>
          <w:trHeight w:val="884"/>
        </w:trPr>
        <w:tc>
          <w:tcPr>
            <w:tcW w:w="2689" w:type="dxa"/>
          </w:tcPr>
          <w:p w14:paraId="6C0F730A" w14:textId="77777777" w:rsidR="00DC69A0" w:rsidRPr="00F2504C" w:rsidRDefault="00DC69A0" w:rsidP="00F2504C">
            <w:pPr>
              <w:jc w:val="both"/>
              <w:rPr>
                <w:rFonts w:ascii="Verdana" w:hAnsi="Verdana" w:cs="Arial"/>
                <w:color w:val="000000"/>
                <w:lang w:val="es-ES_tradnl" w:eastAsia="es-ES_tradnl"/>
              </w:rPr>
            </w:pPr>
            <w:r w:rsidRPr="00F2504C">
              <w:rPr>
                <w:rFonts w:ascii="Verdana" w:hAnsi="Verdana" w:cs="Arial"/>
                <w:b/>
                <w:color w:val="000000"/>
                <w:lang w:val="es-ES_tradnl" w:eastAsia="es-ES_tradnl"/>
              </w:rPr>
              <w:t>Temas:</w:t>
            </w:r>
            <w:r w:rsidRPr="00F2504C">
              <w:rPr>
                <w:rFonts w:ascii="Verdana" w:hAnsi="Verdana" w:cs="Arial"/>
                <w:color w:val="000000"/>
                <w:lang w:val="es-ES_tradnl" w:eastAsia="es-ES_tradnl"/>
              </w:rPr>
              <w:t xml:space="preserve">                   </w:t>
            </w:r>
          </w:p>
        </w:tc>
        <w:tc>
          <w:tcPr>
            <w:tcW w:w="6242" w:type="dxa"/>
          </w:tcPr>
          <w:p w14:paraId="094B433A" w14:textId="0DCCF202" w:rsidR="008E11B9" w:rsidRPr="00F2504C" w:rsidRDefault="00F2504C" w:rsidP="007950B2">
            <w:pPr>
              <w:jc w:val="both"/>
              <w:rPr>
                <w:rFonts w:ascii="Verdana" w:hAnsi="Verdana" w:cs="Arial"/>
                <w:color w:val="000000" w:themeColor="text1"/>
              </w:rPr>
            </w:pPr>
            <w:r w:rsidRPr="00F2504C">
              <w:rPr>
                <w:rFonts w:ascii="Verdana" w:eastAsia="Calibri" w:hAnsi="Verdana" w:cs="Arial"/>
                <w:lang w:val="es-ES" w:eastAsia="es-ES"/>
              </w:rPr>
              <w:t xml:space="preserve">LEY DE GARANTÍAS ELECTORALES – Finalidad / LEY DE GARANTÍAS ELECTORALES ‒ Restricciones ‒ Contratación ‒ Tipos de elección / LEY DE GARANTÍAS ELECTORALES ‒ Artículo 33 ‒ Ámbito material – Contratación directa - Alcance </w:t>
            </w:r>
            <w:r w:rsidRPr="00F2504C">
              <w:rPr>
                <w:rFonts w:ascii="Verdana" w:hAnsi="Verdana" w:cs="Arial"/>
                <w:bCs/>
                <w:color w:val="000000" w:themeColor="text1"/>
              </w:rPr>
              <w:t>/</w:t>
            </w:r>
            <w:r w:rsidRPr="00F2504C">
              <w:rPr>
                <w:rFonts w:ascii="Verdana" w:eastAsia="Calibri" w:hAnsi="Verdana" w:cs="Arial"/>
                <w:lang w:val="es-ES" w:eastAsia="es-ES"/>
              </w:rPr>
              <w:t xml:space="preserve"> LEY DE GARANTÍAS ELECTORALES – Artículo 38 – Alcance / LEY DE GARANTÍAS ELECTORALES – Aplicación a convenios interadministrativos / LEY DE GARANTÍAS ELECTORALES – </w:t>
            </w:r>
            <w:r w:rsidR="00432D23" w:rsidRPr="00F2504C">
              <w:rPr>
                <w:rFonts w:ascii="Verdana" w:eastAsia="Calibri" w:hAnsi="Verdana" w:cs="Arial"/>
                <w:lang w:val="es-ES" w:eastAsia="es-ES"/>
              </w:rPr>
              <w:t>Excepción -</w:t>
            </w:r>
            <w:r>
              <w:rPr>
                <w:rFonts w:ascii="Verdana" w:eastAsia="Calibri" w:hAnsi="Verdana" w:cs="Arial"/>
                <w:lang w:val="es-ES" w:eastAsia="es-ES"/>
              </w:rPr>
              <w:t xml:space="preserve"> </w:t>
            </w:r>
            <w:r w:rsidRPr="00F2504C">
              <w:rPr>
                <w:rFonts w:ascii="Verdana" w:eastAsia="Calibri" w:hAnsi="Verdana" w:cs="Arial"/>
                <w:lang w:val="es-ES" w:eastAsia="es-ES"/>
              </w:rPr>
              <w:t>Contratación</w:t>
            </w:r>
            <w:r>
              <w:rPr>
                <w:rFonts w:ascii="Verdana" w:eastAsia="Calibri" w:hAnsi="Verdana" w:cs="Arial"/>
                <w:lang w:val="es-ES" w:eastAsia="es-ES"/>
              </w:rPr>
              <w:t xml:space="preserve"> </w:t>
            </w:r>
            <w:r w:rsidRPr="00F2504C">
              <w:rPr>
                <w:rFonts w:ascii="Verdana" w:hAnsi="Verdana" w:cs="Arial"/>
                <w:bCs/>
                <w:color w:val="000000" w:themeColor="text1"/>
              </w:rPr>
              <w:t>por parte de entidades sanitarias y hospitalaria</w:t>
            </w:r>
          </w:p>
          <w:p w14:paraId="1EBBA676" w14:textId="19AC041A" w:rsidR="00A23F78" w:rsidRPr="00F2504C" w:rsidRDefault="00A23F78" w:rsidP="007950B2">
            <w:pPr>
              <w:jc w:val="both"/>
              <w:rPr>
                <w:rFonts w:ascii="Verdana" w:eastAsia="Arial" w:hAnsi="Verdana" w:cs="Arial"/>
                <w:bCs/>
                <w:color w:val="000000" w:themeColor="text1"/>
              </w:rPr>
            </w:pPr>
          </w:p>
        </w:tc>
      </w:tr>
      <w:tr w:rsidR="00DC69A0" w:rsidRPr="00F2504C" w14:paraId="04F07B21" w14:textId="77777777" w:rsidTr="007950B2">
        <w:tc>
          <w:tcPr>
            <w:tcW w:w="2689" w:type="dxa"/>
          </w:tcPr>
          <w:p w14:paraId="7E397EA0" w14:textId="77777777" w:rsidR="00DC69A0" w:rsidRPr="00F2504C" w:rsidRDefault="00DC69A0" w:rsidP="00F2504C">
            <w:pPr>
              <w:jc w:val="both"/>
              <w:rPr>
                <w:rFonts w:ascii="Verdana" w:hAnsi="Verdana" w:cs="Arial"/>
                <w:b/>
                <w:lang w:val="es-ES_tradnl" w:eastAsia="es-ES_tradnl"/>
              </w:rPr>
            </w:pPr>
            <w:r w:rsidRPr="00F2504C">
              <w:rPr>
                <w:rFonts w:ascii="Verdana" w:hAnsi="Verdana" w:cs="Arial"/>
                <w:b/>
                <w:lang w:val="es-ES_tradnl" w:eastAsia="es-ES_tradnl"/>
              </w:rPr>
              <w:t>Radicación:</w:t>
            </w:r>
            <w:r w:rsidRPr="00F2504C">
              <w:rPr>
                <w:rFonts w:ascii="Verdana" w:hAnsi="Verdana" w:cs="Arial"/>
                <w:lang w:val="es-ES_tradnl" w:eastAsia="es-ES_tradnl"/>
              </w:rPr>
              <w:t xml:space="preserve">               </w:t>
            </w:r>
          </w:p>
        </w:tc>
        <w:tc>
          <w:tcPr>
            <w:tcW w:w="6242" w:type="dxa"/>
          </w:tcPr>
          <w:p w14:paraId="7EBBC7E4" w14:textId="7DD07150" w:rsidR="00DC69A0" w:rsidRPr="00F2504C" w:rsidRDefault="00DC69A0" w:rsidP="007950B2">
            <w:pPr>
              <w:jc w:val="both"/>
              <w:rPr>
                <w:rFonts w:ascii="Verdana" w:hAnsi="Verdana" w:cs="Arial"/>
                <w:lang w:val="es-ES_tradnl" w:eastAsia="es-ES_tradnl"/>
              </w:rPr>
            </w:pPr>
            <w:r w:rsidRPr="00F2504C">
              <w:rPr>
                <w:rFonts w:ascii="Verdana" w:hAnsi="Verdana" w:cs="Arial"/>
                <w:lang w:val="es-ES_tradnl" w:eastAsia="es-ES_tradnl"/>
              </w:rPr>
              <w:t xml:space="preserve">Respuesta a la consulta con radicado No. </w:t>
            </w:r>
            <w:r w:rsidRPr="00F2504C">
              <w:rPr>
                <w:rFonts w:ascii="Verdana" w:hAnsi="Verdana" w:cs="Calibri"/>
              </w:rPr>
              <w:t>1_2026_05_19_006666</w:t>
            </w:r>
          </w:p>
        </w:tc>
      </w:tr>
    </w:tbl>
    <w:p w14:paraId="18B059DD" w14:textId="77777777" w:rsidR="006D5C08" w:rsidRPr="00F2504C" w:rsidRDefault="006D5C08" w:rsidP="00F2504C">
      <w:pPr>
        <w:spacing w:after="0" w:line="240" w:lineRule="auto"/>
        <w:jc w:val="both"/>
        <w:rPr>
          <w:rFonts w:ascii="Verdana" w:hAnsi="Verdana" w:cs="Arial"/>
          <w:color w:val="000000"/>
          <w:lang w:val="es-ES_tradnl" w:eastAsia="es-ES_tradnl"/>
        </w:rPr>
      </w:pPr>
    </w:p>
    <w:p w14:paraId="40742197" w14:textId="77777777" w:rsidR="006D5C08" w:rsidRPr="00F2504C" w:rsidRDefault="006D5C08" w:rsidP="00F2504C">
      <w:pPr>
        <w:spacing w:after="0" w:line="240" w:lineRule="auto"/>
        <w:jc w:val="both"/>
        <w:rPr>
          <w:rFonts w:ascii="Verdana" w:hAnsi="Verdana" w:cs="Arial"/>
          <w:color w:val="000000"/>
          <w:lang w:val="es-ES_tradnl" w:eastAsia="es-ES_tradnl"/>
        </w:rPr>
      </w:pPr>
    </w:p>
    <w:p w14:paraId="4239816F" w14:textId="7CCFEDD0" w:rsidR="006D5C08" w:rsidRPr="00BC3A80" w:rsidRDefault="00802091" w:rsidP="00F2504C">
      <w:pPr>
        <w:spacing w:after="0" w:line="276" w:lineRule="auto"/>
        <w:jc w:val="both"/>
        <w:rPr>
          <w:rFonts w:ascii="Verdana" w:hAnsi="Verdana" w:cs="Arial"/>
          <w:lang w:val="es-ES_tradnl" w:eastAsia="es-ES"/>
        </w:rPr>
      </w:pPr>
      <w:r>
        <w:rPr>
          <w:rFonts w:ascii="Verdana" w:hAnsi="Verdana" w:cs="Arial"/>
          <w:lang w:val="es-ES_tradnl" w:eastAsia="es-ES"/>
        </w:rPr>
        <w:t>Respetada señora Sánchez Daza</w:t>
      </w:r>
      <w:r w:rsidR="006D5C08" w:rsidRPr="00BC3A80">
        <w:rPr>
          <w:rFonts w:ascii="Verdana" w:hAnsi="Verdana" w:cs="Arial"/>
          <w:lang w:val="es-ES_tradnl" w:eastAsia="es-ES"/>
        </w:rPr>
        <w:t xml:space="preserve">: </w:t>
      </w:r>
    </w:p>
    <w:p w14:paraId="33276886" w14:textId="77777777" w:rsidR="006D5C08" w:rsidRPr="00BC3A80" w:rsidRDefault="006D5C08" w:rsidP="00F2504C">
      <w:pPr>
        <w:tabs>
          <w:tab w:val="left" w:pos="3768"/>
        </w:tabs>
        <w:spacing w:after="0" w:line="276" w:lineRule="auto"/>
        <w:jc w:val="both"/>
        <w:rPr>
          <w:rFonts w:ascii="Verdana" w:hAnsi="Verdana" w:cs="Arial"/>
          <w:color w:val="000000" w:themeColor="text1"/>
          <w:lang w:val="es-ES_tradnl" w:eastAsia="es-ES"/>
        </w:rPr>
      </w:pPr>
      <w:r w:rsidRPr="00BC3A80">
        <w:rPr>
          <w:rFonts w:ascii="Verdana" w:hAnsi="Verdana" w:cs="Arial"/>
          <w:color w:val="000000" w:themeColor="text1"/>
          <w:lang w:val="es-ES_tradnl" w:eastAsia="es-ES"/>
        </w:rPr>
        <w:tab/>
      </w:r>
    </w:p>
    <w:p w14:paraId="09E1B76C" w14:textId="420348D8" w:rsidR="006D5C08" w:rsidRPr="00BC3A80" w:rsidRDefault="006D5C08" w:rsidP="00F2504C">
      <w:pPr>
        <w:spacing w:after="0" w:line="276" w:lineRule="auto"/>
        <w:jc w:val="both"/>
        <w:rPr>
          <w:rFonts w:ascii="Verdana" w:hAnsi="Verdana" w:cs="Arial"/>
          <w:color w:val="7030A0"/>
          <w:lang w:val="es-ES_tradnl" w:eastAsia="es-ES"/>
        </w:rPr>
      </w:pPr>
      <w:r w:rsidRPr="00BC3A80">
        <w:rPr>
          <w:rFonts w:ascii="Verdana" w:hAnsi="Verdana" w:cs="Arial"/>
          <w:color w:val="000000" w:themeColor="text1"/>
          <w:lang w:val="es-ES_tradnl" w:eastAsia="es-ES"/>
        </w:rPr>
        <w:t>En ejercicio de la competencia otorgada por los artículos 3, numeral 5º, y 11, numeral 8º, del Decreto Ley 4170 de 2011,</w:t>
      </w:r>
      <w:r w:rsidRPr="00BC3A80">
        <w:rPr>
          <w:rFonts w:ascii="Verdana" w:eastAsia="Arial MT" w:hAnsi="Verdana" w:cs="Arial MT"/>
          <w:lang w:val="es-ES_tradnl" w:eastAsia="es-ES"/>
        </w:rPr>
        <w:t xml:space="preserve"> </w:t>
      </w:r>
      <w:r w:rsidRPr="00BC3A80">
        <w:rPr>
          <w:rFonts w:ascii="Verdana" w:hAnsi="Verdana" w:cs="Arial"/>
          <w:lang w:val="es-ES_tradnl"/>
        </w:rPr>
        <w:t>así como lo establecido en</w:t>
      </w:r>
      <w:r w:rsidRPr="00BC3A80">
        <w:rPr>
          <w:rFonts w:ascii="Verdana" w:hAnsi="Verdana" w:cs="Arial"/>
        </w:rPr>
        <w:t xml:space="preserve"> la Resolución 469 de 2025 expedida por esta Entidad</w:t>
      </w:r>
      <w:r w:rsidRPr="00BC3A80">
        <w:rPr>
          <w:rFonts w:ascii="Verdana" w:hAnsi="Verdana" w:cs="Arial"/>
          <w:lang w:val="es-ES_tradnl"/>
        </w:rPr>
        <w:t xml:space="preserve">, </w:t>
      </w:r>
      <w:r w:rsidRPr="00BC3A80">
        <w:rPr>
          <w:rFonts w:ascii="Verdana" w:hAnsi="Verdana" w:cs="Arial"/>
          <w:color w:val="000000" w:themeColor="text1"/>
          <w:lang w:val="es-ES_tradnl" w:eastAsia="es-ES"/>
        </w:rPr>
        <w:t xml:space="preserve">la Agencia Nacional de Contratación Pública – Colombia Compra Eficiente responde su solicitud de consulta de </w:t>
      </w:r>
      <w:r w:rsidRPr="00BC3A80">
        <w:rPr>
          <w:rFonts w:ascii="Verdana" w:hAnsi="Verdana" w:cs="Arial"/>
          <w:lang w:val="es-ES_tradnl" w:eastAsia="es-ES"/>
        </w:rPr>
        <w:t xml:space="preserve">fecha </w:t>
      </w:r>
      <w:r w:rsidR="005D6BC6">
        <w:rPr>
          <w:rFonts w:ascii="Verdana" w:hAnsi="Verdana" w:cs="Arial"/>
          <w:lang w:val="es-ES_tradnl" w:eastAsia="es-ES"/>
        </w:rPr>
        <w:t>19</w:t>
      </w:r>
      <w:r w:rsidRPr="00BC3A80">
        <w:rPr>
          <w:rFonts w:ascii="Verdana" w:hAnsi="Verdana" w:cs="Arial"/>
          <w:lang w:val="es-ES_tradnl" w:eastAsia="es-ES"/>
        </w:rPr>
        <w:t xml:space="preserve"> de </w:t>
      </w:r>
      <w:r w:rsidR="005D6BC6">
        <w:rPr>
          <w:rFonts w:ascii="Verdana" w:hAnsi="Verdana" w:cs="Arial"/>
          <w:lang w:val="es-ES_tradnl" w:eastAsia="es-ES"/>
        </w:rPr>
        <w:t>mayo</w:t>
      </w:r>
      <w:r w:rsidRPr="00BC3A80">
        <w:rPr>
          <w:rFonts w:ascii="Verdana" w:hAnsi="Verdana" w:cs="Arial"/>
          <w:lang w:val="es-ES_tradnl" w:eastAsia="es-ES"/>
        </w:rPr>
        <w:t xml:space="preserve"> de 202</w:t>
      </w:r>
      <w:r w:rsidR="005D6BC6">
        <w:rPr>
          <w:rFonts w:ascii="Verdana" w:hAnsi="Verdana" w:cs="Arial"/>
          <w:lang w:val="es-ES_tradnl" w:eastAsia="es-ES"/>
        </w:rPr>
        <w:t>6</w:t>
      </w:r>
      <w:r w:rsidRPr="00BC3A80">
        <w:rPr>
          <w:rFonts w:ascii="Verdana" w:hAnsi="Verdana" w:cs="Arial"/>
          <w:lang w:val="es-ES_tradnl" w:eastAsia="es-ES"/>
        </w:rPr>
        <w:t>, en la cual, respecto de la aplicación de la Ley de Garantías Electorales,</w:t>
      </w:r>
      <w:r w:rsidR="005D6BC6">
        <w:rPr>
          <w:rFonts w:ascii="Verdana" w:hAnsi="Verdana" w:cs="Arial"/>
          <w:lang w:val="es-ES_tradnl" w:eastAsia="es-ES"/>
        </w:rPr>
        <w:t xml:space="preserve"> </w:t>
      </w:r>
      <w:r w:rsidRPr="00BC3A80">
        <w:rPr>
          <w:rFonts w:ascii="Verdana" w:hAnsi="Verdana" w:cs="Arial"/>
          <w:lang w:val="es-ES_tradnl" w:eastAsia="es-ES"/>
        </w:rPr>
        <w:t xml:space="preserve">manifiesta lo siguiente: </w:t>
      </w:r>
    </w:p>
    <w:p w14:paraId="33465C70" w14:textId="77777777" w:rsidR="006D5C08" w:rsidRPr="00BC3A80" w:rsidRDefault="006D5C08" w:rsidP="00F2504C">
      <w:pPr>
        <w:tabs>
          <w:tab w:val="left" w:pos="142"/>
          <w:tab w:val="left" w:pos="284"/>
        </w:tabs>
        <w:spacing w:after="0" w:line="276" w:lineRule="auto"/>
        <w:jc w:val="both"/>
        <w:rPr>
          <w:rFonts w:ascii="Verdana" w:eastAsia="Century Gothic" w:hAnsi="Verdana" w:cs="Century Gothic"/>
          <w:b/>
          <w:bCs/>
          <w:lang w:val="es-ES_tradnl"/>
        </w:rPr>
      </w:pPr>
    </w:p>
    <w:p w14:paraId="2D5502FD" w14:textId="0FF7711A" w:rsidR="006D5C08" w:rsidRDefault="006D5C08" w:rsidP="00302857">
      <w:pPr>
        <w:spacing w:after="0" w:line="240" w:lineRule="auto"/>
        <w:ind w:left="709" w:right="709"/>
        <w:jc w:val="both"/>
        <w:rPr>
          <w:rFonts w:ascii="Verdana" w:eastAsia="Century Gothic" w:hAnsi="Verdana" w:cs="Century Gothic"/>
          <w:sz w:val="20"/>
          <w:szCs w:val="20"/>
        </w:rPr>
      </w:pPr>
      <w:bookmarkStart w:id="1" w:name="_Hlk95313578"/>
      <w:r w:rsidRPr="00BC3A80">
        <w:rPr>
          <w:rFonts w:ascii="Verdana" w:eastAsia="Century Gothic" w:hAnsi="Verdana" w:cs="Century Gothic"/>
          <w:sz w:val="20"/>
          <w:szCs w:val="20"/>
          <w:lang w:val="es-ES"/>
        </w:rPr>
        <w:t>“</w:t>
      </w:r>
      <w:bookmarkEnd w:id="1"/>
      <w:r w:rsidR="00D37610">
        <w:rPr>
          <w:rFonts w:ascii="Verdana" w:eastAsia="Century Gothic" w:hAnsi="Verdana" w:cs="Century Gothic"/>
          <w:sz w:val="20"/>
          <w:szCs w:val="20"/>
        </w:rPr>
        <w:t xml:space="preserve">[…] </w:t>
      </w:r>
    </w:p>
    <w:p w14:paraId="316076A2" w14:textId="1904A1E3" w:rsidR="006D5C08" w:rsidRDefault="00D37610" w:rsidP="00302857">
      <w:pPr>
        <w:spacing w:after="0" w:line="240" w:lineRule="auto"/>
        <w:ind w:left="709" w:right="709"/>
        <w:jc w:val="both"/>
        <w:rPr>
          <w:rFonts w:ascii="Verdana" w:hAnsi="Verdana"/>
          <w:sz w:val="20"/>
          <w:szCs w:val="20"/>
        </w:rPr>
      </w:pPr>
      <w:r>
        <w:rPr>
          <w:rFonts w:ascii="Verdana" w:eastAsia="Century Gothic" w:hAnsi="Verdana" w:cs="Century Gothic"/>
          <w:sz w:val="20"/>
          <w:szCs w:val="20"/>
        </w:rPr>
        <w:t>De acuerdo con la situación expuesta la secretaria de Salud del Departamento d</w:t>
      </w:r>
      <w:r w:rsidR="00DA081B">
        <w:rPr>
          <w:rFonts w:ascii="Verdana" w:hAnsi="Verdana"/>
          <w:sz w:val="20"/>
          <w:szCs w:val="20"/>
        </w:rPr>
        <w:t>el Cesar, realizó a usted la consulta</w:t>
      </w:r>
      <w:r w:rsidR="00C622CE">
        <w:rPr>
          <w:rFonts w:ascii="Verdana" w:hAnsi="Verdana"/>
          <w:sz w:val="20"/>
          <w:szCs w:val="20"/>
        </w:rPr>
        <w:t xml:space="preserve"> sobre el proceder de la entidad territorial frente a la requerida contratación, teniendo presente</w:t>
      </w:r>
      <w:r w:rsidR="0016410B">
        <w:rPr>
          <w:rFonts w:ascii="Verdana" w:hAnsi="Verdana"/>
          <w:sz w:val="20"/>
          <w:szCs w:val="20"/>
        </w:rPr>
        <w:t xml:space="preserve"> la imperante ley de garantía, a lo que usted orientó la necesidad de esperar la actualización del listado y que frente a las múltiples consultas que se han susc</w:t>
      </w:r>
      <w:r w:rsidR="00AE1DCA">
        <w:rPr>
          <w:rFonts w:ascii="Verdana" w:hAnsi="Verdana"/>
          <w:sz w:val="20"/>
          <w:szCs w:val="20"/>
        </w:rPr>
        <w:t xml:space="preserve">itado </w:t>
      </w:r>
      <w:r w:rsidR="00B27F34">
        <w:rPr>
          <w:rFonts w:ascii="Verdana" w:hAnsi="Verdana"/>
          <w:sz w:val="20"/>
          <w:szCs w:val="20"/>
        </w:rPr>
        <w:t xml:space="preserve"> sobre el tema en particular, era necesario elevar la consulta a Colombia Compra Eficiente</w:t>
      </w:r>
      <w:r w:rsidR="001B3816">
        <w:rPr>
          <w:rFonts w:ascii="Verdana" w:hAnsi="Verdana"/>
          <w:sz w:val="20"/>
          <w:szCs w:val="20"/>
        </w:rPr>
        <w:t xml:space="preserve"> para emita un concepto referente a la contratación para este tipo de convenios” (SIC).</w:t>
      </w:r>
    </w:p>
    <w:p w14:paraId="01759774" w14:textId="77777777" w:rsidR="00DA081B" w:rsidRPr="00D37610" w:rsidRDefault="00DA081B" w:rsidP="001B3816">
      <w:pPr>
        <w:spacing w:after="0" w:line="240" w:lineRule="auto"/>
        <w:ind w:right="709"/>
        <w:jc w:val="both"/>
        <w:rPr>
          <w:rFonts w:ascii="Verdana" w:hAnsi="Verdana"/>
          <w:sz w:val="20"/>
          <w:szCs w:val="20"/>
        </w:rPr>
      </w:pPr>
    </w:p>
    <w:p w14:paraId="5CB3ECB5" w14:textId="77777777" w:rsidR="006D5C08" w:rsidRPr="00BC3A80" w:rsidRDefault="006D5C08" w:rsidP="006D5C08">
      <w:pPr>
        <w:spacing w:after="120" w:line="276" w:lineRule="auto"/>
        <w:ind w:firstLine="709"/>
        <w:jc w:val="both"/>
        <w:rPr>
          <w:rFonts w:ascii="Verdana" w:hAnsi="Verdana" w:cs="Arial"/>
          <w:color w:val="000000"/>
          <w:lang w:val="es-ES" w:eastAsia="es-ES"/>
        </w:rPr>
      </w:pPr>
      <w:r w:rsidRPr="00BC3A80">
        <w:rPr>
          <w:rFonts w:ascii="Verdana" w:hAnsi="Verdana" w:cs="Arial"/>
          <w:color w:val="000000" w:themeColor="text1"/>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C3A80">
        <w:tab/>
      </w:r>
    </w:p>
    <w:p w14:paraId="7D8CBD02" w14:textId="77777777" w:rsidR="006D5C08" w:rsidRPr="00BC3A80" w:rsidRDefault="006D5C08" w:rsidP="006D5C08">
      <w:pPr>
        <w:spacing w:after="0" w:line="276" w:lineRule="auto"/>
        <w:ind w:firstLine="709"/>
        <w:jc w:val="both"/>
        <w:rPr>
          <w:rFonts w:ascii="Verdana" w:hAnsi="Verdana" w:cs="Arial"/>
          <w:color w:val="000000"/>
          <w:lang w:val="es-ES_tradnl" w:eastAsia="es-ES"/>
        </w:rPr>
      </w:pPr>
      <w:r w:rsidRPr="00BC3A80">
        <w:rPr>
          <w:rFonts w:ascii="Verdana" w:hAnsi="Verdana" w:cs="Arial"/>
          <w:color w:val="000000"/>
          <w:lang w:val="es-ES_tradnl" w:eastAsia="es-ES"/>
        </w:rPr>
        <w:t>Conforme lo expuesto, en aras de satisfacer el derecho fundamental de petición se resolverá su consulta dentro de los límites de la referida competencia consultiva, esto es, haciendo abstracción de las circunstancias específicas que la haya motivado, pero haciendo unas consideraciones sobre las normas generales relacionadas con el</w:t>
      </w:r>
      <w:r w:rsidRPr="00BC3A80">
        <w:rPr>
          <w:rFonts w:ascii="Verdana" w:hAnsi="Verdana" w:cs="Arial"/>
          <w:color w:val="7030A0"/>
          <w:lang w:val="es-ES_tradnl" w:eastAsia="es-ES"/>
        </w:rPr>
        <w:t xml:space="preserve"> </w:t>
      </w:r>
      <w:r w:rsidRPr="00BC3A80">
        <w:rPr>
          <w:rFonts w:ascii="Verdana" w:hAnsi="Verdana" w:cs="Arial"/>
          <w:color w:val="000000"/>
          <w:lang w:val="es-ES_tradnl" w:eastAsia="es-ES"/>
        </w:rPr>
        <w:t>problema</w:t>
      </w:r>
      <w:r w:rsidRPr="00BC3A80">
        <w:rPr>
          <w:rFonts w:ascii="Verdana" w:hAnsi="Verdana" w:cs="Arial"/>
          <w:color w:val="7030A0"/>
          <w:lang w:val="es-ES_tradnl" w:eastAsia="es-ES"/>
        </w:rPr>
        <w:t xml:space="preserve"> </w:t>
      </w:r>
      <w:r w:rsidRPr="00BC3A80">
        <w:rPr>
          <w:rFonts w:ascii="Verdana" w:hAnsi="Verdana" w:cs="Arial"/>
          <w:color w:val="000000"/>
          <w:lang w:val="es-ES_tradnl" w:eastAsia="es-ES"/>
        </w:rPr>
        <w:t>jurídico</w:t>
      </w:r>
      <w:r w:rsidRPr="00BC3A80">
        <w:rPr>
          <w:rFonts w:ascii="Verdana" w:hAnsi="Verdana" w:cs="Arial"/>
          <w:color w:val="7030A0"/>
          <w:lang w:val="es-ES_tradnl" w:eastAsia="es-ES"/>
        </w:rPr>
        <w:t xml:space="preserve"> </w:t>
      </w:r>
      <w:r w:rsidRPr="00BC3A80">
        <w:rPr>
          <w:rFonts w:ascii="Verdana" w:hAnsi="Verdana" w:cs="Arial"/>
          <w:color w:val="000000"/>
          <w:lang w:val="es-ES_tradnl" w:eastAsia="es-ES"/>
        </w:rPr>
        <w:t xml:space="preserve">de su consulta. </w:t>
      </w:r>
      <w:r w:rsidRPr="00BC3A80">
        <w:rPr>
          <w:rFonts w:ascii="Verdana" w:hAnsi="Verdana" w:cs="Arial"/>
          <w:lang w:val="es-ES_tradnl" w:eastAsia="es-ES"/>
        </w:rPr>
        <w:t xml:space="preserve"> </w:t>
      </w:r>
    </w:p>
    <w:p w14:paraId="1F8A102A" w14:textId="77777777" w:rsidR="00061A0F" w:rsidRDefault="00061A0F" w:rsidP="00061A0F">
      <w:pPr>
        <w:tabs>
          <w:tab w:val="left" w:pos="142"/>
          <w:tab w:val="left" w:pos="284"/>
        </w:tabs>
        <w:spacing w:after="0" w:line="276" w:lineRule="auto"/>
        <w:jc w:val="both"/>
        <w:rPr>
          <w:rFonts w:ascii="Verdana" w:hAnsi="Verdana" w:cs="Arial"/>
          <w:lang w:val="es-ES_tradnl" w:eastAsia="es-ES"/>
        </w:rPr>
      </w:pPr>
    </w:p>
    <w:p w14:paraId="65034C77" w14:textId="30E3F4DF" w:rsidR="006D5C08" w:rsidRPr="00BC3A80" w:rsidRDefault="00061A0F" w:rsidP="00061A0F">
      <w:pPr>
        <w:tabs>
          <w:tab w:val="left" w:pos="142"/>
          <w:tab w:val="left" w:pos="284"/>
        </w:tabs>
        <w:spacing w:after="0" w:line="276" w:lineRule="auto"/>
        <w:jc w:val="both"/>
        <w:rPr>
          <w:rFonts w:ascii="Verdana" w:eastAsia="Century Gothic" w:hAnsi="Verdana" w:cs="Century Gothic"/>
          <w:b/>
          <w:bCs/>
          <w:lang w:val="es-ES_tradnl"/>
        </w:rPr>
      </w:pPr>
      <w:r w:rsidRPr="00061A0F">
        <w:rPr>
          <w:rFonts w:ascii="Verdana" w:hAnsi="Verdana" w:cs="Arial"/>
          <w:b/>
          <w:bCs/>
          <w:lang w:val="es-ES_tradnl" w:eastAsia="es-ES"/>
        </w:rPr>
        <w:t>1.</w:t>
      </w:r>
      <w:r>
        <w:rPr>
          <w:rFonts w:ascii="Verdana" w:hAnsi="Verdana" w:cs="Arial"/>
          <w:lang w:val="es-ES_tradnl" w:eastAsia="es-ES"/>
        </w:rPr>
        <w:t xml:space="preserve"> </w:t>
      </w:r>
      <w:r w:rsidR="006D5C08" w:rsidRPr="00BC3A80">
        <w:rPr>
          <w:rFonts w:ascii="Verdana" w:eastAsia="Century Gothic" w:hAnsi="Verdana" w:cs="Century Gothic"/>
          <w:b/>
          <w:bCs/>
          <w:lang w:val="es-ES_tradnl"/>
        </w:rPr>
        <w:t>Problema planteado:</w:t>
      </w:r>
    </w:p>
    <w:p w14:paraId="4A996B83" w14:textId="77777777" w:rsidR="006D5C08" w:rsidRPr="00BC3A80" w:rsidRDefault="006D5C08" w:rsidP="006D5C08">
      <w:pPr>
        <w:tabs>
          <w:tab w:val="left" w:pos="426"/>
        </w:tabs>
        <w:spacing w:after="0" w:line="276" w:lineRule="auto"/>
        <w:jc w:val="both"/>
        <w:rPr>
          <w:rFonts w:ascii="Verdana" w:eastAsia="Century Gothic" w:hAnsi="Verdana" w:cs="Century Gothic"/>
          <w:lang w:val="es-ES_tradnl"/>
        </w:rPr>
      </w:pPr>
    </w:p>
    <w:p w14:paraId="7ABE6B36" w14:textId="3C8E5D37" w:rsidR="006D5C08" w:rsidRDefault="006D5C08" w:rsidP="006D5C08">
      <w:pPr>
        <w:spacing w:after="0" w:line="276" w:lineRule="auto"/>
        <w:jc w:val="both"/>
        <w:rPr>
          <w:rFonts w:ascii="Verdana" w:eastAsia="Century Gothic" w:hAnsi="Verdana" w:cs="Century Gothic"/>
          <w:lang w:val="es-ES_tradnl"/>
        </w:rPr>
      </w:pPr>
      <w:r w:rsidRPr="00BC3A80">
        <w:rPr>
          <w:rFonts w:ascii="Verdana" w:eastAsia="Century Gothic" w:hAnsi="Verdana" w:cs="Century Gothic"/>
          <w:lang w:val="es-ES_tradnl"/>
        </w:rPr>
        <w:t xml:space="preserve">De acuerdo con el contenido de su solicitud, esta Agencia resolverá el siguiente problema jurídico: ¿Resulta aplicable </w:t>
      </w:r>
      <w:r w:rsidR="00AA4DE3">
        <w:rPr>
          <w:rFonts w:ascii="Verdana" w:hAnsi="Verdana"/>
          <w:iCs/>
        </w:rPr>
        <w:t>a Empresas Sociales del Estado</w:t>
      </w:r>
      <w:r w:rsidR="00AA4DE3" w:rsidRPr="00BC3A80">
        <w:rPr>
          <w:rFonts w:ascii="Verdana" w:eastAsia="Century Gothic" w:hAnsi="Verdana" w:cs="Century Gothic"/>
          <w:lang w:val="es-ES_tradnl"/>
        </w:rPr>
        <w:t xml:space="preserve"> </w:t>
      </w:r>
      <w:r w:rsidR="00C6581B" w:rsidRPr="00BC3A80">
        <w:rPr>
          <w:rFonts w:ascii="Verdana" w:eastAsia="Century Gothic" w:hAnsi="Verdana" w:cs="Century Gothic"/>
          <w:lang w:val="es-ES_tradnl"/>
        </w:rPr>
        <w:t xml:space="preserve">las restricciones </w:t>
      </w:r>
      <w:r w:rsidRPr="00BC3A80">
        <w:rPr>
          <w:rFonts w:ascii="Verdana" w:eastAsia="Century Gothic" w:hAnsi="Verdana" w:cs="Century Gothic"/>
          <w:lang w:val="es-ES_tradnl"/>
        </w:rPr>
        <w:t xml:space="preserve">establecidas en los artículos 33 y el parágrafo del artículo 38 de la </w:t>
      </w:r>
      <w:r w:rsidRPr="00BC3A80">
        <w:rPr>
          <w:rFonts w:ascii="Verdana" w:hAnsi="Verdana"/>
          <w:iCs/>
        </w:rPr>
        <w:t xml:space="preserve">Ley 996 de 2005 –Ley de Garantías Electorales- a la celebración de </w:t>
      </w:r>
      <w:r w:rsidR="00D75374">
        <w:rPr>
          <w:rFonts w:ascii="Verdana" w:hAnsi="Verdana"/>
          <w:iCs/>
        </w:rPr>
        <w:t>convenios interadministrativos</w:t>
      </w:r>
      <w:r w:rsidR="008A3E2B">
        <w:rPr>
          <w:rFonts w:ascii="Verdana" w:hAnsi="Verdana"/>
          <w:iCs/>
        </w:rPr>
        <w:t xml:space="preserve"> </w:t>
      </w:r>
      <w:r w:rsidR="00AA4DE3">
        <w:rPr>
          <w:rFonts w:ascii="Verdana" w:hAnsi="Verdana"/>
          <w:iCs/>
        </w:rPr>
        <w:t>con respecto</w:t>
      </w:r>
      <w:r w:rsidRPr="00BC3A80">
        <w:rPr>
          <w:rFonts w:ascii="Verdana" w:eastAsia="Century Gothic" w:hAnsi="Verdana" w:cs="Century Gothic"/>
          <w:lang w:val="es-ES_tradnl"/>
        </w:rPr>
        <w:t xml:space="preserve">? </w:t>
      </w:r>
    </w:p>
    <w:p w14:paraId="1386211F" w14:textId="77777777" w:rsidR="00061A0F" w:rsidRDefault="00061A0F" w:rsidP="006D5C08">
      <w:pPr>
        <w:spacing w:after="0" w:line="276" w:lineRule="auto"/>
        <w:jc w:val="both"/>
        <w:rPr>
          <w:rFonts w:ascii="Verdana" w:eastAsia="Century Gothic" w:hAnsi="Verdana" w:cs="Century Gothic"/>
          <w:lang w:val="es-ES_tradnl"/>
        </w:rPr>
      </w:pPr>
    </w:p>
    <w:p w14:paraId="7C782DBC" w14:textId="40EF2F68" w:rsidR="00061A0F" w:rsidRPr="00C4005E" w:rsidRDefault="00061A0F" w:rsidP="006D5C08">
      <w:pPr>
        <w:spacing w:after="0" w:line="276" w:lineRule="auto"/>
        <w:jc w:val="both"/>
        <w:rPr>
          <w:rFonts w:ascii="Verdana" w:eastAsia="Century Gothic" w:hAnsi="Verdana" w:cs="Century Gothic"/>
          <w:b/>
          <w:bCs/>
          <w:lang w:val="es-ES_tradnl"/>
        </w:rPr>
      </w:pPr>
      <w:r w:rsidRPr="00C4005E">
        <w:rPr>
          <w:rFonts w:ascii="Verdana" w:eastAsia="Century Gothic" w:hAnsi="Verdana" w:cs="Century Gothic"/>
          <w:b/>
          <w:bCs/>
          <w:lang w:val="es-ES_tradnl"/>
        </w:rPr>
        <w:t xml:space="preserve">2. Respuesta: </w:t>
      </w:r>
    </w:p>
    <w:p w14:paraId="471384E2" w14:textId="77777777" w:rsidR="00D30F1E" w:rsidRPr="00976629" w:rsidRDefault="00D30F1E" w:rsidP="00D30F1E">
      <w:pPr>
        <w:pStyle w:val="Prrafodelista"/>
        <w:tabs>
          <w:tab w:val="left" w:pos="142"/>
          <w:tab w:val="left" w:pos="284"/>
        </w:tabs>
        <w:spacing w:after="0" w:line="276" w:lineRule="auto"/>
        <w:ind w:left="0"/>
        <w:contextualSpacing w:val="0"/>
        <w:jc w:val="both"/>
        <w:rPr>
          <w:rFonts w:ascii="Verdana" w:eastAsia="Century Gothic" w:hAnsi="Verdana" w:cs="Century Gothic"/>
          <w:b/>
          <w:bCs/>
          <w:lang w:val="es-CO"/>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30F1E" w:rsidRPr="00960F72" w14:paraId="2A71002B" w14:textId="77777777" w:rsidTr="002631C0">
        <w:tc>
          <w:tcPr>
            <w:tcW w:w="8828" w:type="dxa"/>
          </w:tcPr>
          <w:p w14:paraId="0F7223BC" w14:textId="77777777" w:rsidR="00686EFB" w:rsidRPr="006A09E3" w:rsidRDefault="00686EFB" w:rsidP="00686EFB">
            <w:pPr>
              <w:spacing w:after="120" w:line="276" w:lineRule="auto"/>
              <w:jc w:val="both"/>
              <w:rPr>
                <w:rFonts w:ascii="Verdana" w:eastAsia="Calibri" w:hAnsi="Verdana" w:cs="Arial"/>
                <w:lang w:eastAsia="es-ES"/>
              </w:rPr>
            </w:pPr>
            <w:r w:rsidRPr="006A09E3">
              <w:rPr>
                <w:rFonts w:ascii="Verdana" w:eastAsia="Calibri" w:hAnsi="Verdana" w:cs="Arial"/>
                <w:lang w:eastAsia="es-ES"/>
              </w:rPr>
              <w:t xml:space="preserve">Las restricciones contenidas en el artículo 33 de la Ley 996 de 2005 aplica para “la contratación directa” de todos los entes del Estado, </w:t>
            </w:r>
            <w:r w:rsidRPr="006A09E3">
              <w:rPr>
                <w:rFonts w:ascii="Verdana" w:hAnsi="Verdana" w:cs="Arial"/>
                <w:color w:val="000000" w:themeColor="text1"/>
                <w:lang w:val="es-MX"/>
              </w:rPr>
              <w:t xml:space="preserve">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6A09E3">
              <w:rPr>
                <w:rFonts w:ascii="Verdana" w:eastAsia="Calibri" w:hAnsi="Verdana" w:cs="Arial"/>
                <w:lang w:eastAsia="es-ES"/>
              </w:rPr>
              <w:t xml:space="preserve"> Se trata de la prohibición de </w:t>
            </w:r>
            <w:r w:rsidRPr="006A09E3">
              <w:rPr>
                <w:rFonts w:ascii="Verdana" w:hAnsi="Verdana" w:cs="Arial"/>
                <w:bCs/>
                <w:lang w:eastAsia="x-none"/>
              </w:rPr>
              <w:t>aquellos contratos en los que no exista un proceso abierto y competitivo.</w:t>
            </w:r>
            <w:r w:rsidRPr="006A09E3">
              <w:rPr>
                <w:rFonts w:ascii="Verdana" w:hAnsi="Verdana" w:cs="Arial"/>
                <w:lang w:eastAsia="x-none"/>
              </w:rPr>
              <w:t xml:space="preserve"> Por lo tanto, no son materia de la prohibición las demás modalidades de selección previstas en la Ley 1150 de 2007, esto es, la licitación pública, el concurso de méritos, la selección abreviada y la contratación de mínima cuantía. Adicionalmente, la celebración de la contratación directa </w:t>
            </w:r>
            <w:r w:rsidRPr="006A09E3">
              <w:rPr>
                <w:rFonts w:ascii="Verdana" w:eastAsia="Calibri" w:hAnsi="Verdana" w:cs="Arial"/>
                <w:lang w:eastAsia="es-ES"/>
              </w:rPr>
              <w:t xml:space="preserve">no se encuentra condicionada por la ejecución de recursos en el marco de los respectivos contratos o el origen de estos, de manera que aplica las restricciones independientemente de que el contrato implique o no la ejecución de recursos o si los recursos destinados son de naturaleza pública o privada. </w:t>
            </w:r>
          </w:p>
          <w:p w14:paraId="28D18F35" w14:textId="77777777" w:rsidR="00686EFB" w:rsidRPr="006A09E3" w:rsidRDefault="00686EFB" w:rsidP="00686EFB">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 xml:space="preserve">Por su parte, la entidad definirá si la contratación que pretende celebrar se enmarca en alguna de las excepciones definidas en el artículo 33 de la Ley 996 de 2005, esto es, que se pretenda cubrir emergencias sanitarias o los que deban realizar las entidades sanitarias y hospitalarias, de tal manera que las excepciones contempladas no permiten efectuar una interpretación extensiva para incluir otros supuestos. </w:t>
            </w:r>
          </w:p>
          <w:p w14:paraId="0A6FA8AB" w14:textId="77777777" w:rsidR="00686EFB" w:rsidRPr="006A09E3" w:rsidRDefault="00686EFB" w:rsidP="00686EFB">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De otro lado, la restricción definida en el artículo 38 de la Ley 996 de 2005 se refiere a la celebración de convenios interadministrativos para la ejecución de recursos públicos, independientemente de que se configuren los supuestos de excepción que señala en artículo 33 de la misma ley. Actualmente las restricciones del artículo 33 y del artículo 38 de la Ley están en curso, de tal manera que los gobernadores, secretarios, gerentes y directores de las entidades del orden municipal, departamental o distrital no podrán no solo celebrar convenios interadministrativos para la ejecución de recursos sino también cualquier contratación directa.</w:t>
            </w:r>
          </w:p>
          <w:p w14:paraId="78A65560" w14:textId="77777777" w:rsidR="00686EFB" w:rsidRPr="006A09E3" w:rsidRDefault="00686EFB" w:rsidP="00686EFB">
            <w:pPr>
              <w:spacing w:after="120" w:line="276" w:lineRule="auto"/>
              <w:ind w:firstLine="709"/>
              <w:jc w:val="both"/>
              <w:rPr>
                <w:rFonts w:ascii="Verdana" w:eastAsia="Calibri" w:hAnsi="Verdana" w:cs="Arial"/>
                <w:lang w:eastAsia="es-ES"/>
              </w:rPr>
            </w:pPr>
            <w:r w:rsidRPr="006A09E3">
              <w:rPr>
                <w:rFonts w:ascii="Verdana" w:eastAsia="Calibri" w:hAnsi="Verdana" w:cs="Arial"/>
                <w:lang w:eastAsia="es-ES"/>
              </w:rPr>
              <w:t xml:space="preserve">Por último, la posición definida en las decisiones adoptadas por la Sección Tercera del Consejo de Estado se enmarcó en la imposibilidad de extender la aplicación de la restricción a los contratos interadministrativos que, en vigencia de la prohibición del parágrafo del artículo 38 de la Ley de Garantías Electorales se trata, esto es, en las elecciones distintas a las presidenciales. Específicamente, en la sentencia del 17 de octubre de 2025, el alto tribunal declaró la nulidad parcial del numeral 16.2 de la Circular Externa Única de 2022, por lo tanto, cuando dos entidades públicas celebran un contrato interadministrativo, independientemente del objeto, dicho contrato puede suscribirse durante el periodo preelectoral. </w:t>
            </w:r>
          </w:p>
          <w:p w14:paraId="202638FD" w14:textId="77777777" w:rsidR="00686EFB" w:rsidRPr="0078433B" w:rsidRDefault="00686EFB" w:rsidP="00686EFB">
            <w:pPr>
              <w:pStyle w:val="paragraph"/>
              <w:shd w:val="clear" w:color="auto" w:fill="FFFFFF"/>
              <w:spacing w:before="0" w:beforeAutospacing="0" w:after="120" w:afterAutospacing="0" w:line="276" w:lineRule="auto"/>
              <w:ind w:firstLine="708"/>
              <w:jc w:val="both"/>
              <w:textAlignment w:val="baseline"/>
              <w:rPr>
                <w:rFonts w:ascii="Verdana" w:eastAsia="Calibri" w:hAnsi="Verdana" w:cs="Arial"/>
                <w:bCs/>
                <w:color w:val="000000" w:themeColor="text1"/>
                <w:sz w:val="22"/>
                <w:szCs w:val="22"/>
              </w:rPr>
            </w:pPr>
            <w:r w:rsidRPr="006A09E3">
              <w:rPr>
                <w:rFonts w:ascii="Verdana" w:eastAsia="Calibri" w:hAnsi="Verdana" w:cs="Arial"/>
                <w:bCs/>
                <w:color w:val="000000" w:themeColor="text1"/>
                <w:sz w:val="22"/>
                <w:szCs w:val="22"/>
              </w:rPr>
              <w:t xml:space="preserve">En torno a la procedencia de la contratación directa por parte de las E.S.E., es necesario </w:t>
            </w:r>
            <w:r w:rsidRPr="006A09E3">
              <w:rPr>
                <w:rFonts w:ascii="Verdana" w:hAnsi="Verdana" w:cs="Arial"/>
                <w:bCs/>
                <w:color w:val="000000" w:themeColor="text1"/>
                <w:sz w:val="22"/>
                <w:szCs w:val="22"/>
              </w:rPr>
              <w:t>analizar el quinto evento exceptuado</w:t>
            </w:r>
            <w:r w:rsidRPr="00EC1732">
              <w:rPr>
                <w:rFonts w:ascii="Verdana" w:hAnsi="Verdana" w:cs="Arial"/>
                <w:bCs/>
                <w:color w:val="000000" w:themeColor="text1"/>
                <w:sz w:val="22"/>
                <w:szCs w:val="22"/>
              </w:rPr>
              <w:t xml:space="preserve">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r w:rsidRPr="0078433B">
              <w:rPr>
                <w:rFonts w:ascii="Verdana" w:hAnsi="Verdana" w:cs="Arial"/>
                <w:bCs/>
                <w:color w:val="000000" w:themeColor="text1"/>
                <w:sz w:val="22"/>
                <w:szCs w:val="22"/>
              </w:rPr>
              <w:t xml:space="preserve"> </w:t>
            </w:r>
          </w:p>
          <w:p w14:paraId="75651826" w14:textId="77777777" w:rsidR="00686EFB" w:rsidRPr="00FF007A" w:rsidRDefault="00686EFB" w:rsidP="00686EFB">
            <w:pPr>
              <w:tabs>
                <w:tab w:val="left" w:pos="426"/>
              </w:tabs>
              <w:spacing w:before="120" w:line="276" w:lineRule="auto"/>
              <w:ind w:firstLine="709"/>
              <w:jc w:val="both"/>
              <w:rPr>
                <w:rFonts w:ascii="Verdana" w:hAnsi="Verdana" w:cs="Arial"/>
                <w:color w:val="000000" w:themeColor="text1"/>
              </w:rPr>
            </w:pPr>
            <w:r w:rsidRPr="00FF007A">
              <w:rPr>
                <w:rFonts w:ascii="Verdana" w:hAnsi="Verdana" w:cs="Arial"/>
                <w:color w:val="000000" w:themeColor="text1"/>
              </w:rPr>
              <w:t>De lo anterior se desprende que, bajo la Ley 100 de 1993, dentro de la estructura de la administración pública las Empresas Sociales del Estado</w:t>
            </w:r>
            <w:r>
              <w:rPr>
                <w:rFonts w:ascii="Verdana" w:hAnsi="Verdana" w:cs="Arial"/>
                <w:color w:val="000000" w:themeColor="text1"/>
              </w:rPr>
              <w:t>, según lo dispuesto en el artículo 194 de la Ley 100 de 1993,</w:t>
            </w:r>
            <w:r w:rsidRPr="00FF007A">
              <w:rPr>
                <w:rFonts w:ascii="Verdana" w:hAnsi="Verdana" w:cs="Arial"/>
                <w:color w:val="000000" w:themeColor="text1"/>
              </w:rPr>
              <w:t xml:space="preserve"> son las entidades encargadas de prestar el servicio de salud de manera directa. Además, el mismo artículo 197 estableció el deber de reestructurar y transformar en Empresas Sociales del Estado a las entidades descentralizadas que, al momento de entrada en vigor de la ley referida, prestaban directamente este servicio. Así, se observa que la voluntad del legislador fue homogeneizar o unificar la naturaleza jurídica de las entidades públicas descentralizadas prestadoras del servicio de salud en Empresas Sociales del Estado. De ello da cuenta no solo la creación de la institución jurídica referida sino además la imposición del mandato de reestructuración de aquellas entidades. </w:t>
            </w:r>
          </w:p>
          <w:p w14:paraId="425C6CA1" w14:textId="77777777" w:rsidR="00686EFB" w:rsidRPr="00FF007A" w:rsidRDefault="00686EFB" w:rsidP="00686EFB">
            <w:pPr>
              <w:spacing w:before="120"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De otro lado, el artículo 2.8.8.1.1.3 del Decreto 780 de 2016, </w:t>
            </w:r>
            <w:r>
              <w:rPr>
                <w:rFonts w:ascii="Verdana" w:eastAsia="Arial" w:hAnsi="Verdana" w:cs="Arial"/>
                <w:bCs/>
                <w:color w:val="000000" w:themeColor="text1"/>
              </w:rPr>
              <w:t>“</w:t>
            </w:r>
            <w:r w:rsidRPr="00FF007A">
              <w:rPr>
                <w:rFonts w:ascii="Verdana" w:eastAsia="Arial" w:hAnsi="Verdana" w:cs="Arial"/>
                <w:bCs/>
                <w:color w:val="000000" w:themeColor="text1"/>
              </w:rPr>
              <w:t>Por medio del cual se expide el Decreto Único Reglamentario del Sector Salud y Protección Social</w:t>
            </w:r>
            <w:r>
              <w:rPr>
                <w:rFonts w:ascii="Verdana" w:eastAsia="Arial" w:hAnsi="Verdana" w:cs="Arial"/>
                <w:bCs/>
                <w:color w:val="000000" w:themeColor="text1"/>
              </w:rPr>
              <w:t>”</w:t>
            </w:r>
            <w:r w:rsidRPr="00FF007A">
              <w:rPr>
                <w:rFonts w:ascii="Verdana" w:eastAsia="Arial" w:hAnsi="Verdana" w:cs="Arial"/>
                <w:bCs/>
                <w:color w:val="000000" w:themeColor="text1"/>
              </w:rPr>
              <w:t xml:space="preserve">, definió a las </w:t>
            </w:r>
            <w:r w:rsidRPr="00FF007A">
              <w:rPr>
                <w:rFonts w:ascii="Verdana" w:eastAsia="Arial" w:hAnsi="Verdana" w:cs="Arial"/>
                <w:bCs/>
                <w:i/>
                <w:iCs/>
                <w:color w:val="000000" w:themeColor="text1"/>
              </w:rPr>
              <w:t>entidades sanitarias</w:t>
            </w:r>
            <w:r w:rsidRPr="00FF007A">
              <w:rPr>
                <w:rFonts w:ascii="Verdana" w:eastAsia="Arial" w:hAnsi="Verdana" w:cs="Arial"/>
                <w:bCs/>
                <w:color w:val="000000" w:themeColor="text1"/>
              </w:rPr>
              <w:t xml:space="preserve"> como</w:t>
            </w:r>
            <w:r>
              <w:rPr>
                <w:rFonts w:ascii="Verdana" w:eastAsia="Arial" w:hAnsi="Verdana" w:cs="Arial"/>
                <w:bCs/>
                <w:color w:val="000000" w:themeColor="text1"/>
              </w:rPr>
              <w:t xml:space="preserve"> las</w:t>
            </w:r>
            <w:r w:rsidRPr="00FF007A">
              <w:rPr>
                <w:rFonts w:ascii="Verdana" w:eastAsia="Arial" w:hAnsi="Verdana" w:cs="Arial"/>
                <w:bCs/>
                <w:color w:val="000000" w:themeColor="text1"/>
              </w:rPr>
              <w:t xml:space="preserve"> “Entidades del Estado que prestan servicios sanitarios o de sanidad con el propósito de preservar la salud humana y la salud pública”. El artículo citado también define las </w:t>
            </w:r>
            <w:r w:rsidRPr="00FF007A">
              <w:rPr>
                <w:rFonts w:ascii="Verdana" w:eastAsia="Arial" w:hAnsi="Verdana" w:cs="Arial"/>
                <w:bCs/>
                <w:i/>
                <w:iCs/>
                <w:color w:val="000000" w:themeColor="text1"/>
              </w:rPr>
              <w:t>autoridades sanitarias</w:t>
            </w:r>
            <w:r w:rsidRPr="00FF007A">
              <w:rPr>
                <w:rFonts w:ascii="Verdana" w:eastAsia="Arial" w:hAnsi="Verdana" w:cs="Arial"/>
                <w:bCs/>
                <w:color w:val="000000" w:themeColor="text1"/>
              </w:rPr>
              <w:t xml:space="preserve"> como </w:t>
            </w:r>
            <w:r>
              <w:rPr>
                <w:rFonts w:ascii="Verdana" w:eastAsia="Arial" w:hAnsi="Verdana" w:cs="Arial"/>
                <w:bCs/>
                <w:color w:val="000000" w:themeColor="text1"/>
              </w:rPr>
              <w:t xml:space="preserve">las </w:t>
            </w:r>
            <w:r w:rsidRPr="00FF007A">
              <w:rPr>
                <w:rFonts w:ascii="Verdana" w:eastAsia="Arial" w:hAnsi="Verdana" w:cs="Arial"/>
                <w:bCs/>
                <w:color w:val="000000" w:themeColor="text1"/>
              </w:rPr>
              <w:t xml:space="preserve">“Entidades jurídicas de carácter público con atribuciones para ejercer funciones de rectoría, regulación, inspección, vigilancia y control de los sectores público y privado en salud y adoptar medidas de prevención y seguimiento que garanticen la protección de la salud pública”. De esta forma, </w:t>
            </w:r>
            <w:r>
              <w:rPr>
                <w:rFonts w:ascii="Verdana" w:eastAsia="Arial" w:hAnsi="Verdana" w:cs="Arial"/>
                <w:bCs/>
                <w:color w:val="000000" w:themeColor="text1"/>
              </w:rPr>
              <w:t xml:space="preserve">para efectos de la aplicación de la excepción, se debe verificar que se cumplan los requisitos del </w:t>
            </w:r>
            <w:r w:rsidRPr="00FF007A">
              <w:rPr>
                <w:rFonts w:ascii="Verdana" w:eastAsia="Arial" w:hAnsi="Verdana" w:cs="Arial"/>
                <w:bCs/>
                <w:color w:val="000000" w:themeColor="text1"/>
              </w:rPr>
              <w:t xml:space="preserve">artículo 33 de la Ley </w:t>
            </w:r>
            <w:r>
              <w:rPr>
                <w:rFonts w:ascii="Verdana" w:eastAsia="Arial" w:hAnsi="Verdana" w:cs="Arial"/>
                <w:bCs/>
                <w:color w:val="000000" w:themeColor="text1"/>
              </w:rPr>
              <w:t xml:space="preserve">996 de 2005. </w:t>
            </w:r>
          </w:p>
          <w:p w14:paraId="6EC03C05" w14:textId="77777777" w:rsidR="00686EFB" w:rsidRDefault="00686EFB" w:rsidP="00686E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Teniendo en cuenta lo expuesto, </w:t>
            </w:r>
            <w:r w:rsidRPr="00FF007A">
              <w:rPr>
                <w:rFonts w:ascii="Verdana" w:eastAsia="Arial" w:hAnsi="Verdana" w:cs="Arial"/>
                <w:bCs/>
                <w:color w:val="000000" w:themeColor="text1"/>
              </w:rPr>
              <w:t>la entidad</w:t>
            </w:r>
            <w:r>
              <w:rPr>
                <w:rFonts w:ascii="Verdana" w:eastAsia="Arial" w:hAnsi="Verdana" w:cs="Arial"/>
                <w:bCs/>
                <w:color w:val="000000" w:themeColor="text1"/>
              </w:rPr>
              <w:t>,</w:t>
            </w:r>
            <w:r w:rsidRPr="00FF007A">
              <w:rPr>
                <w:rFonts w:ascii="Verdana" w:eastAsia="Arial" w:hAnsi="Verdana" w:cs="Arial"/>
                <w:bCs/>
                <w:color w:val="000000" w:themeColor="text1"/>
              </w:rPr>
              <w:t xml:space="preserve"> </w:t>
            </w:r>
            <w:r>
              <w:rPr>
                <w:rFonts w:ascii="Verdana" w:eastAsia="Arial" w:hAnsi="Verdana" w:cs="Arial"/>
                <w:bCs/>
                <w:color w:val="000000" w:themeColor="text1"/>
              </w:rPr>
              <w:t xml:space="preserve">previo análisis de las excepciones, podrá proceder en tal sentido y contratar directamente </w:t>
            </w:r>
            <w:r w:rsidRPr="00FF007A">
              <w:rPr>
                <w:rFonts w:ascii="Verdana" w:eastAsia="Arial" w:hAnsi="Verdana" w:cs="Arial"/>
                <w:bCs/>
                <w:color w:val="000000" w:themeColor="text1"/>
              </w:rPr>
              <w:t>a pesar de que haya iniciado el periodo de garantías electorales correspondiente al artículo 33 de la Ley 996 de 2005.</w:t>
            </w:r>
            <w:r>
              <w:rPr>
                <w:rFonts w:ascii="Verdana" w:eastAsia="Arial" w:hAnsi="Verdana" w:cs="Arial"/>
                <w:bCs/>
                <w:color w:val="000000" w:themeColor="text1"/>
              </w:rPr>
              <w:t xml:space="preserve"> </w:t>
            </w:r>
          </w:p>
          <w:p w14:paraId="5FCB7C5B" w14:textId="77777777" w:rsidR="00686EFB" w:rsidRPr="00A65838" w:rsidRDefault="00686EFB" w:rsidP="00686EFB">
            <w:pPr>
              <w:spacing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Con respecto a la prohibición del </w:t>
            </w:r>
            <w:r w:rsidRPr="00FF007A">
              <w:rPr>
                <w:rFonts w:ascii="Verdana" w:eastAsia="Arial" w:hAnsi="Verdana" w:cs="Arial"/>
                <w:bCs/>
                <w:i/>
                <w:iCs/>
                <w:color w:val="000000" w:themeColor="text1"/>
              </w:rPr>
              <w:t>parágrafo del artículo 38</w:t>
            </w:r>
            <w:r w:rsidRPr="00FF007A">
              <w:rPr>
                <w:rFonts w:ascii="Verdana" w:eastAsia="Arial" w:hAnsi="Verdana" w:cs="Arial"/>
                <w:bCs/>
                <w:color w:val="000000" w:themeColor="text1"/>
              </w:rPr>
              <w:t xml:space="preserve">, es necesario verificar si la contratación es llevada a cabo por </w:t>
            </w:r>
            <w:r>
              <w:rPr>
                <w:rFonts w:ascii="Verdana" w:eastAsia="Arial" w:hAnsi="Verdana" w:cs="Arial"/>
                <w:bCs/>
                <w:color w:val="000000" w:themeColor="text1"/>
              </w:rPr>
              <w:t xml:space="preserve">los </w:t>
            </w:r>
            <w:r w:rsidRPr="00FF007A">
              <w:rPr>
                <w:rFonts w:ascii="Verdana" w:eastAsia="Arial" w:hAnsi="Verdana" w:cs="Arial"/>
                <w:bCs/>
                <w:color w:val="000000" w:themeColor="text1"/>
              </w:rPr>
              <w:t>“Alcaldes, Gobernadores, Secretarios, Gerentes y Directores de las entidades del orden municipal, departamental o distrital”; así como determinar si lo que pretende adelantar es un convenio interadministrativo para la ejecución de recursos públicos. Cuando este sea el caso, operará la restricción señalada en el parágrafo y estará prohibido llevar a cabo la c</w:t>
            </w:r>
            <w:r>
              <w:rPr>
                <w:rFonts w:ascii="Verdana" w:eastAsia="Arial" w:hAnsi="Verdana" w:cs="Arial"/>
                <w:bCs/>
                <w:color w:val="000000" w:themeColor="text1"/>
              </w:rPr>
              <w:t>elebración</w:t>
            </w:r>
            <w:r w:rsidRPr="00FF007A">
              <w:rPr>
                <w:rFonts w:ascii="Verdana" w:eastAsia="Arial" w:hAnsi="Verdana" w:cs="Arial"/>
                <w:bCs/>
                <w:color w:val="000000" w:themeColor="text1"/>
              </w:rPr>
              <w:t xml:space="preserve"> </w:t>
            </w:r>
            <w:r>
              <w:rPr>
                <w:rFonts w:ascii="Verdana" w:eastAsia="Arial" w:hAnsi="Verdana" w:cs="Arial"/>
                <w:bCs/>
                <w:color w:val="000000" w:themeColor="text1"/>
              </w:rPr>
              <w:t xml:space="preserve">de convenios interadministrativos </w:t>
            </w:r>
            <w:r w:rsidRPr="00FF007A">
              <w:rPr>
                <w:rFonts w:ascii="Verdana" w:eastAsia="Arial" w:hAnsi="Verdana" w:cs="Arial"/>
                <w:bCs/>
                <w:color w:val="000000" w:themeColor="text1"/>
              </w:rPr>
              <w:t xml:space="preserve">en los cuatro meses anteriores a cualquier contienda electoral. </w:t>
            </w:r>
            <w:r w:rsidRPr="005B0452">
              <w:rPr>
                <w:rFonts w:ascii="Verdana" w:eastAsia="Arial" w:hAnsi="Verdana" w:cs="Arial"/>
                <w:bCs/>
                <w:color w:val="000000" w:themeColor="text1"/>
              </w:rPr>
              <w:t xml:space="preserve">En este aspecto, se encuentra que la restricción para la celebración de convenios interadministrativos para la ejecución de recursos públicos no puede aludirse a contratantes o contratistas, sino de partes cooperantes o colaboradoras. </w:t>
            </w:r>
            <w:r w:rsidRPr="005B0452">
              <w:rPr>
                <w:rFonts w:ascii="Verdana" w:eastAsia="Arial" w:hAnsi="Verdana" w:cs="Arial"/>
                <w:bCs/>
                <w:color w:val="000000" w:themeColor="text1"/>
                <w:lang w:val="es-MX"/>
              </w:rPr>
              <w:t xml:space="preserve">Esta restricción se extiende a las elecciones presidenciales que se celebrarán el 31 de mayo de 2026, así como una posible segunda vuelta tres semanas después, es decir, el 21 de junio de 2026. </w:t>
            </w:r>
          </w:p>
          <w:p w14:paraId="1C6EA8AB" w14:textId="77777777" w:rsidR="00686EFB" w:rsidRPr="005B0452" w:rsidRDefault="00686EFB" w:rsidP="00686EFB">
            <w:pPr>
              <w:spacing w:before="120" w:after="120" w:line="276" w:lineRule="auto"/>
              <w:jc w:val="both"/>
              <w:rPr>
                <w:rFonts w:ascii="Verdana" w:eastAsia="Arial" w:hAnsi="Verdana" w:cs="Arial"/>
                <w:bCs/>
                <w:color w:val="000000" w:themeColor="text1"/>
              </w:rPr>
            </w:pPr>
            <w:r>
              <w:rPr>
                <w:rFonts w:ascii="Verdana" w:eastAsia="Arial" w:hAnsi="Verdana" w:cs="Arial"/>
                <w:bCs/>
                <w:color w:val="000000" w:themeColor="text1"/>
                <w:lang w:val="es-MX"/>
              </w:rPr>
              <w:tab/>
              <w:t xml:space="preserve">En cuanto a la celebración de contratos interadministrativos ya no es aplicable la restricción del parágrafo del artículo 38, según la sentencia precitada en consideraciones previas, pero sujeto a las restricciones del artículo 33 si se adelanta la contratación de forma directa, esto es, un procedimiento no competitivo. </w:t>
            </w:r>
            <w:r w:rsidRPr="005B0452">
              <w:rPr>
                <w:rFonts w:ascii="Verdana" w:eastAsia="Arial" w:hAnsi="Verdana" w:cs="Arial"/>
                <w:bCs/>
                <w:color w:val="000000" w:themeColor="text1"/>
              </w:rPr>
              <w:t>En todo caso, vale anotar que es responsabilidad del respectivo ente del Estado examinar en cada caso la naturaleza de las actividades que adelanta y justificar si las mismas se enmarcan en alguna de las excepciones, de manera que pueda realizar la contratación directa durante el periodo de la prohibición. Igualmente, le corresponde a cada entidad establecer si el instrumento jurídico que se pretende suscribir tiene la naturaleza de contrato o de convenio interadministrativo para la ejecución de recursos públicos. En este último supuesto, resulta aplicable la prohibición contenida en el parágrafo del artículo 38 de la Ley de Garantías Electorales, conforme se explicó.</w:t>
            </w:r>
          </w:p>
          <w:p w14:paraId="541450EA" w14:textId="5C497A64" w:rsidR="00D30F1E" w:rsidRPr="00D54C9D" w:rsidRDefault="00686EFB" w:rsidP="00686EFB">
            <w:pPr>
              <w:spacing w:after="120" w:line="276" w:lineRule="auto"/>
              <w:contextualSpacing/>
              <w:jc w:val="both"/>
              <w:rPr>
                <w:rFonts w:ascii="Verdana" w:eastAsia="Calibri" w:hAnsi="Verdana" w:cs="Arial"/>
              </w:rPr>
            </w:pPr>
            <w:r w:rsidRPr="00FF007A">
              <w:rPr>
                <w:rFonts w:ascii="Verdana" w:eastAsia="Calibri" w:hAnsi="Verdana" w:cs="Arial"/>
              </w:rPr>
              <w:t xml:space="preserve">En particular, </w:t>
            </w:r>
            <w:r>
              <w:rPr>
                <w:rFonts w:ascii="Verdana" w:eastAsia="Calibri" w:hAnsi="Verdana" w:cs="Arial"/>
              </w:rPr>
              <w:t>cada</w:t>
            </w:r>
            <w:r w:rsidRPr="00FF007A">
              <w:rPr>
                <w:rFonts w:ascii="Verdana" w:eastAsia="Calibri" w:hAnsi="Verdana" w:cs="Arial"/>
              </w:rPr>
              <w:t xml:space="preserve"> Entidad Estatal </w:t>
            </w:r>
            <w:r>
              <w:rPr>
                <w:rFonts w:ascii="Verdana" w:eastAsia="Calibri" w:hAnsi="Verdana" w:cs="Arial"/>
              </w:rPr>
              <w:t xml:space="preserve">deberá </w:t>
            </w:r>
            <w:r w:rsidRPr="00FF007A">
              <w:rPr>
                <w:rFonts w:ascii="Verdana" w:eastAsia="Calibri" w:hAnsi="Verdana" w:cs="Arial"/>
              </w:rPr>
              <w:t>realizar el correspondiente análisis para determinar si aplica o no una determinada excepción a la prohibición del artículo 33 de la Ley de Garantías Electorales, según la situación fáctica y jurídica particular del caso concreto, para lo cual las consideraciones expuestas en el presente concepto constituyen un instrumento orientador. De ser es procedente la excepción, la entidad podrá realizar la contratación directa justificando las razones que avalan su procedencia</w:t>
            </w:r>
            <w:r w:rsidRPr="00FF007A">
              <w:rPr>
                <w:rFonts w:ascii="Verdana" w:hAnsi="Verdana" w:cs="Arial"/>
                <w:lang w:eastAsia="es-CO"/>
              </w:rPr>
              <w:t>. Por el contrario, si el estudio determina que no aplica excepción alguna estará vedada la celebración de contratos de manera directa. Lo anterior, sin perjuicio de la prohibición establecida en el parágrafo del artículo 38 de la Ley de Garantías Electorales.</w:t>
            </w:r>
          </w:p>
        </w:tc>
      </w:tr>
    </w:tbl>
    <w:p w14:paraId="42E38DD4" w14:textId="77777777" w:rsidR="00D30F1E" w:rsidRPr="00595D9B" w:rsidRDefault="00D30F1E" w:rsidP="00686EFB">
      <w:pPr>
        <w:spacing w:after="0" w:line="276" w:lineRule="auto"/>
        <w:jc w:val="both"/>
        <w:rPr>
          <w:rFonts w:ascii="Verdana" w:eastAsia="Century Gothic" w:hAnsi="Verdana" w:cs="Century Gothic"/>
          <w:b/>
          <w:bCs/>
          <w:lang w:val="es-ES_tradnl"/>
        </w:rPr>
      </w:pPr>
    </w:p>
    <w:p w14:paraId="42514EF4" w14:textId="009350EF" w:rsidR="003E44B0" w:rsidRPr="00595D9B" w:rsidRDefault="00A361B1" w:rsidP="00686EFB">
      <w:pPr>
        <w:spacing w:after="0"/>
        <w:rPr>
          <w:rFonts w:ascii="Verdana" w:eastAsia="Verdana" w:hAnsi="Verdana" w:cs="Verdana"/>
          <w:b/>
          <w:bCs/>
          <w:lang w:val="es-ES_tradnl"/>
        </w:rPr>
      </w:pPr>
      <w:r w:rsidRPr="00595D9B">
        <w:rPr>
          <w:rFonts w:ascii="Verdana" w:eastAsia="Verdana" w:hAnsi="Verdana" w:cs="Verdana"/>
          <w:b/>
          <w:bCs/>
          <w:lang w:val="es-ES_tradnl"/>
        </w:rPr>
        <w:t>3. R</w:t>
      </w:r>
      <w:r w:rsidR="00595D9B" w:rsidRPr="00595D9B">
        <w:rPr>
          <w:rFonts w:ascii="Verdana" w:eastAsia="Verdana" w:hAnsi="Verdana" w:cs="Verdana"/>
          <w:b/>
          <w:bCs/>
          <w:lang w:val="es-ES_tradnl"/>
        </w:rPr>
        <w:t xml:space="preserve">azones de la respuesta: </w:t>
      </w:r>
    </w:p>
    <w:p w14:paraId="17296735" w14:textId="77777777" w:rsidR="00595D9B" w:rsidRDefault="00595D9B" w:rsidP="00686EFB">
      <w:pPr>
        <w:spacing w:after="0"/>
        <w:rPr>
          <w:rFonts w:ascii="Verdana" w:eastAsia="Verdana" w:hAnsi="Verdana" w:cs="Verdana"/>
          <w:lang w:val="es-ES_tradnl"/>
        </w:rPr>
      </w:pPr>
    </w:p>
    <w:p w14:paraId="1B77BB94" w14:textId="3C0CE427" w:rsidR="00595D9B" w:rsidRDefault="00595D9B" w:rsidP="00686EFB">
      <w:pPr>
        <w:spacing w:after="0"/>
        <w:rPr>
          <w:rFonts w:ascii="Verdana" w:eastAsia="Verdana" w:hAnsi="Verdana" w:cs="Verdana"/>
          <w:lang w:val="es-ES_tradnl"/>
        </w:rPr>
      </w:pPr>
      <w:r>
        <w:rPr>
          <w:rFonts w:ascii="Verdana" w:eastAsia="Verdana" w:hAnsi="Verdana" w:cs="Verdana"/>
          <w:lang w:val="es-ES_tradnl"/>
        </w:rPr>
        <w:t xml:space="preserve">Lo anterior se sustenta en las siguientes consideraciones: </w:t>
      </w:r>
    </w:p>
    <w:p w14:paraId="56261188" w14:textId="77777777" w:rsidR="004750D5" w:rsidRDefault="004750D5" w:rsidP="007950B2">
      <w:pPr>
        <w:tabs>
          <w:tab w:val="left" w:pos="142"/>
          <w:tab w:val="left" w:pos="284"/>
          <w:tab w:val="left" w:pos="6912"/>
        </w:tabs>
        <w:spacing w:after="0" w:line="276" w:lineRule="auto"/>
        <w:jc w:val="both"/>
        <w:rPr>
          <w:rFonts w:ascii="Verdana" w:eastAsia="Verdana" w:hAnsi="Verdana" w:cs="Verdana"/>
          <w:lang w:val="es-ES_tradnl"/>
        </w:rPr>
      </w:pPr>
    </w:p>
    <w:p w14:paraId="698675A2" w14:textId="77777777" w:rsidR="00590100" w:rsidRPr="009D221F" w:rsidRDefault="00590100" w:rsidP="00590100">
      <w:pPr>
        <w:tabs>
          <w:tab w:val="left" w:pos="142"/>
          <w:tab w:val="left" w:pos="284"/>
          <w:tab w:val="left" w:pos="6912"/>
        </w:tabs>
        <w:spacing w:after="120" w:line="276" w:lineRule="auto"/>
        <w:jc w:val="both"/>
        <w:rPr>
          <w:rFonts w:ascii="Verdana" w:eastAsia="Times New Roman" w:hAnsi="Verdana" w:cs="Arial"/>
          <w:bCs/>
          <w:lang w:eastAsia="es-CO"/>
        </w:rPr>
      </w:pPr>
      <w:r w:rsidRPr="002D6B92">
        <w:rPr>
          <w:rFonts w:ascii="Verdana" w:eastAsia="Times New Roman" w:hAnsi="Verdana" w:cs="Arial"/>
          <w:bCs/>
          <w:lang w:eastAsia="es-CO"/>
        </w:rPr>
        <w:t>El ordenamiento jurídico colombiano contempla previsiones claras para evitar la obtención de beneficios personales en asuntos propios de la administración pública. Por ejemplo, el artículo 127 de la Constitución Política establece una prohibición contractual a los servidores públicos y en cuanto a aspectos políticos establece restricciones a ciertos empleados del Estado, incluso en época no electoral</w:t>
      </w:r>
      <w:r w:rsidRPr="00F10E52">
        <w:rPr>
          <w:rStyle w:val="Refdenotaalpie"/>
          <w:rFonts w:ascii="Verdana" w:eastAsia="Calibri" w:hAnsi="Verdana" w:cs="Arial"/>
          <w:bCs/>
        </w:rPr>
        <w:footnoteReference w:id="1"/>
      </w:r>
      <w:r w:rsidRPr="00F10E52">
        <w:rPr>
          <w:rFonts w:ascii="Verdana" w:eastAsia="Calibri" w:hAnsi="Verdana" w:cs="Arial"/>
          <w:bCs/>
        </w:rPr>
        <w:t xml:space="preserve">. </w:t>
      </w:r>
    </w:p>
    <w:p w14:paraId="665BBB3D" w14:textId="77777777" w:rsidR="00590100" w:rsidRDefault="00590100" w:rsidP="00590100">
      <w:pPr>
        <w:tabs>
          <w:tab w:val="left" w:pos="426"/>
        </w:tabs>
        <w:spacing w:after="120" w:line="276" w:lineRule="auto"/>
        <w:ind w:firstLine="709"/>
        <w:jc w:val="both"/>
        <w:rPr>
          <w:rFonts w:ascii="Verdana" w:eastAsia="Calibri" w:hAnsi="Verdana" w:cs="Arial"/>
          <w:noProof/>
          <w:lang w:val="es-ES_tradnl"/>
        </w:rPr>
      </w:pPr>
      <w:r w:rsidRPr="00F10E52">
        <w:rPr>
          <w:rFonts w:ascii="Verdana" w:eastAsia="Times New Roman" w:hAnsi="Verdana" w:cs="Arial"/>
          <w:bCs/>
          <w:lang w:eastAsia="es-CO"/>
        </w:rPr>
        <w:t xml:space="preserve">En el mismo sentido, la Ley 996 de 2005, conocida como </w:t>
      </w:r>
      <w:r>
        <w:rPr>
          <w:rFonts w:ascii="Verdana" w:eastAsia="Times New Roman" w:hAnsi="Verdana" w:cs="Arial"/>
          <w:bCs/>
          <w:lang w:eastAsia="es-CO"/>
        </w:rPr>
        <w:t>“</w:t>
      </w:r>
      <w:r w:rsidRPr="00F10E52">
        <w:rPr>
          <w:rFonts w:ascii="Verdana" w:eastAsia="Times New Roman" w:hAnsi="Verdana" w:cs="Arial"/>
          <w:bCs/>
          <w:lang w:eastAsia="es-CO"/>
        </w:rPr>
        <w:t>Ley de Garantías Electorales</w:t>
      </w:r>
      <w:r>
        <w:rPr>
          <w:rFonts w:ascii="Verdana" w:eastAsia="Times New Roman" w:hAnsi="Verdana" w:cs="Arial"/>
          <w:bCs/>
          <w:lang w:eastAsia="es-CO"/>
        </w:rPr>
        <w:t>”</w:t>
      </w:r>
      <w:r w:rsidRPr="00F10E52">
        <w:rPr>
          <w:rFonts w:ascii="Verdana" w:eastAsia="Times New Roman" w:hAnsi="Verdana" w:cs="Arial"/>
          <w:bCs/>
          <w:lang w:eastAsia="es-CO"/>
        </w:rPr>
        <w:t>,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F10E52">
        <w:rPr>
          <w:rStyle w:val="Refdenotaalpie"/>
          <w:rFonts w:ascii="Verdana" w:eastAsia="Times New Roman" w:hAnsi="Verdana" w:cs="Arial"/>
          <w:bCs/>
          <w:lang w:eastAsia="es-CO"/>
        </w:rPr>
        <w:footnoteReference w:id="2"/>
      </w:r>
      <w:r w:rsidRPr="00F10E52">
        <w:rPr>
          <w:rFonts w:ascii="Verdana" w:eastAsia="Times New Roman" w:hAnsi="Verdana" w:cs="Arial"/>
          <w:bCs/>
          <w:lang w:eastAsia="es-CO"/>
        </w:rPr>
        <w:t>. En esta medida, introduce limitaciones para realizar nombramientos, postulaciones, contrataciones o cualquier otro tipo de actividad que implique destinación de recursos públicos bajo el devenir propio de las entidades estatales.</w:t>
      </w:r>
      <w:r w:rsidRPr="00F10E52">
        <w:rPr>
          <w:rFonts w:ascii="Verdana" w:eastAsia="Calibri" w:hAnsi="Verdana" w:cs="Arial"/>
          <w:noProof/>
          <w:lang w:val="es-ES_tradnl"/>
        </w:rPr>
        <w:t xml:space="preserve"> </w:t>
      </w:r>
    </w:p>
    <w:p w14:paraId="682B08DF" w14:textId="77777777" w:rsidR="00590100" w:rsidRPr="00F10E52" w:rsidRDefault="00590100" w:rsidP="00590100">
      <w:pPr>
        <w:tabs>
          <w:tab w:val="left" w:pos="426"/>
        </w:tabs>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56003A90" w14:textId="77777777" w:rsidR="00590100" w:rsidRPr="007777F3" w:rsidRDefault="00590100" w:rsidP="00590100">
      <w:pPr>
        <w:spacing w:after="0" w:line="240" w:lineRule="auto"/>
        <w:ind w:left="709" w:right="709"/>
        <w:jc w:val="both"/>
        <w:rPr>
          <w:rFonts w:ascii="Verdana" w:eastAsia="Times New Roman" w:hAnsi="Verdana" w:cs="Arial"/>
          <w:sz w:val="20"/>
          <w:szCs w:val="20"/>
          <w:lang w:val="es-ES" w:eastAsia="es-CO"/>
        </w:rPr>
      </w:pPr>
      <w:r>
        <w:rPr>
          <w:rFonts w:ascii="Verdana" w:eastAsia="Times New Roman" w:hAnsi="Verdana" w:cs="Arial"/>
          <w:sz w:val="20"/>
          <w:szCs w:val="20"/>
          <w:lang w:val="es-ES" w:eastAsia="es-CO"/>
        </w:rPr>
        <w:t>“(…)</w:t>
      </w:r>
      <w:r w:rsidRPr="006A51F6">
        <w:rPr>
          <w:rFonts w:ascii="Verdana" w:eastAsia="Times New Roman" w:hAnsi="Verdana" w:cs="Arial"/>
          <w:sz w:val="20"/>
          <w:szCs w:val="20"/>
          <w:lang w:val="es-ES" w:eastAsia="es-CO"/>
        </w:rPr>
        <w:t xml:space="preserve"> </w:t>
      </w:r>
      <w:r w:rsidRPr="009E6EDF">
        <w:rPr>
          <w:rFonts w:ascii="Verdana" w:eastAsia="Times New Roman" w:hAnsi="Verdana" w:cs="Arial"/>
          <w:bCs/>
          <w:sz w:val="20"/>
          <w:szCs w:val="20"/>
          <w:lang w:eastAsia="es-CO"/>
        </w:rPr>
        <w:t>La definición de reglas claras que permitan acceder a los canales de expresión democrática de manera efectiva e igualitaria. El objetivo de una ley de garantías es definir esas reglas.</w:t>
      </w:r>
    </w:p>
    <w:p w14:paraId="61D38133" w14:textId="77777777" w:rsidR="00590100" w:rsidRPr="009E6EDF" w:rsidRDefault="00590100" w:rsidP="00590100">
      <w:pPr>
        <w:spacing w:after="0" w:line="240" w:lineRule="auto"/>
        <w:ind w:left="709" w:right="709"/>
        <w:jc w:val="both"/>
        <w:rPr>
          <w:rFonts w:ascii="Verdana" w:eastAsia="Times New Roman" w:hAnsi="Verdana" w:cs="Arial"/>
          <w:bCs/>
          <w:sz w:val="20"/>
          <w:szCs w:val="20"/>
          <w:lang w:eastAsia="es-CO"/>
        </w:rPr>
      </w:pPr>
    </w:p>
    <w:p w14:paraId="0A106808" w14:textId="77777777" w:rsidR="00590100" w:rsidRPr="00E80F85" w:rsidRDefault="00590100" w:rsidP="00590100">
      <w:pPr>
        <w:spacing w:after="0" w:line="240" w:lineRule="auto"/>
        <w:ind w:left="709" w:right="709"/>
        <w:jc w:val="both"/>
        <w:rPr>
          <w:rFonts w:ascii="Verdana" w:eastAsia="Times New Roman" w:hAnsi="Verdana" w:cs="Arial"/>
          <w:bCs/>
          <w:sz w:val="20"/>
          <w:szCs w:val="20"/>
          <w:lang w:eastAsia="es-CO"/>
        </w:rPr>
      </w:pPr>
      <w:r w:rsidRPr="009E6EDF">
        <w:rPr>
          <w:rFonts w:ascii="Verdana" w:eastAsia="Times New Roman" w:hAnsi="Verdana" w:cs="Arial"/>
          <w:bCs/>
          <w:sz w:val="20"/>
          <w:szCs w:val="20"/>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Pr>
          <w:rFonts w:ascii="Verdana" w:eastAsia="Times New Roman" w:hAnsi="Verdana" w:cs="Arial"/>
          <w:bCs/>
          <w:sz w:val="20"/>
          <w:szCs w:val="20"/>
          <w:lang w:eastAsia="es-CO"/>
        </w:rPr>
        <w:t xml:space="preserve"> (…)”</w:t>
      </w:r>
      <w:r w:rsidRPr="009E6EDF">
        <w:rPr>
          <w:rStyle w:val="Refdenotaalpie"/>
          <w:rFonts w:ascii="Verdana" w:hAnsi="Verdana" w:cs="Arial"/>
          <w:sz w:val="20"/>
          <w:szCs w:val="20"/>
        </w:rPr>
        <w:footnoteReference w:id="3"/>
      </w:r>
      <w:r>
        <w:rPr>
          <w:rFonts w:ascii="Verdana" w:eastAsia="Times New Roman" w:hAnsi="Verdana" w:cs="Arial"/>
          <w:bCs/>
          <w:sz w:val="20"/>
          <w:szCs w:val="20"/>
          <w:lang w:eastAsia="es-CO"/>
        </w:rPr>
        <w:t>.</w:t>
      </w:r>
      <w:r w:rsidRPr="006A51F6">
        <w:rPr>
          <w:rFonts w:ascii="Verdana" w:eastAsia="Times New Roman" w:hAnsi="Verdana" w:cs="Arial"/>
          <w:bCs/>
          <w:sz w:val="20"/>
          <w:szCs w:val="20"/>
          <w:lang w:eastAsia="es-CO"/>
        </w:rPr>
        <w:t xml:space="preserve"> </w:t>
      </w:r>
    </w:p>
    <w:p w14:paraId="3273C0F7" w14:textId="77777777" w:rsidR="00590100" w:rsidRDefault="00590100" w:rsidP="00590100">
      <w:pPr>
        <w:spacing w:after="0" w:line="240" w:lineRule="auto"/>
        <w:ind w:firstLine="709"/>
        <w:jc w:val="both"/>
        <w:rPr>
          <w:rFonts w:ascii="Verdana" w:eastAsia="Times New Roman" w:hAnsi="Verdana" w:cs="Arial"/>
          <w:bCs/>
          <w:lang w:eastAsia="es-CO"/>
        </w:rPr>
      </w:pPr>
    </w:p>
    <w:p w14:paraId="1DBE9734" w14:textId="77777777" w:rsidR="00590100" w:rsidRPr="002D6B92" w:rsidRDefault="00590100" w:rsidP="00590100">
      <w:pPr>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es-CO"/>
        </w:rPr>
        <w:t>En este contexto,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En efecto, la Sala de Consulta y Servicio Civil del Consejo de Estado al analizar la referida ley, precisó lo siguiente:</w:t>
      </w:r>
    </w:p>
    <w:p w14:paraId="33BB66B4" w14:textId="77777777" w:rsidR="00590100" w:rsidRPr="009B20C5" w:rsidRDefault="00590100" w:rsidP="00590100">
      <w:pPr>
        <w:spacing w:after="0" w:line="240" w:lineRule="auto"/>
        <w:ind w:left="709" w:right="709"/>
        <w:jc w:val="both"/>
        <w:rPr>
          <w:rFonts w:ascii="Verdana" w:eastAsia="Times New Roman" w:hAnsi="Verdana" w:cs="Arial"/>
          <w:bCs/>
          <w:sz w:val="20"/>
          <w:szCs w:val="20"/>
          <w:lang w:eastAsia="es-CO"/>
        </w:rPr>
      </w:pPr>
      <w:r>
        <w:rPr>
          <w:rFonts w:ascii="Verdana" w:eastAsia="Times New Roman" w:hAnsi="Verdana" w:cs="Arial"/>
          <w:bCs/>
          <w:sz w:val="20"/>
          <w:szCs w:val="20"/>
          <w:lang w:eastAsia="es-CO"/>
        </w:rPr>
        <w:t>“</w:t>
      </w:r>
      <w:r w:rsidRPr="009B20C5">
        <w:rPr>
          <w:rFonts w:ascii="Verdana" w:eastAsia="Times New Roman" w:hAnsi="Verdana" w:cs="Arial"/>
          <w:bCs/>
          <w:sz w:val="20"/>
          <w:szCs w:val="20"/>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375FE5CD" w14:textId="77777777" w:rsidR="00590100" w:rsidRDefault="00590100" w:rsidP="00590100">
      <w:pPr>
        <w:spacing w:after="0" w:line="240" w:lineRule="auto"/>
        <w:ind w:left="709" w:right="709"/>
        <w:jc w:val="both"/>
        <w:rPr>
          <w:rFonts w:ascii="Verdana" w:eastAsia="Times New Roman" w:hAnsi="Verdana" w:cs="Arial"/>
          <w:bCs/>
          <w:sz w:val="20"/>
          <w:szCs w:val="20"/>
          <w:lang w:eastAsia="es-CO"/>
        </w:rPr>
      </w:pPr>
    </w:p>
    <w:p w14:paraId="74FFBE37" w14:textId="77777777" w:rsidR="00590100" w:rsidRPr="009B20C5" w:rsidRDefault="00590100" w:rsidP="00590100">
      <w:pPr>
        <w:spacing w:after="0" w:line="240" w:lineRule="auto"/>
        <w:ind w:left="709" w:right="709"/>
        <w:jc w:val="both"/>
        <w:rPr>
          <w:rFonts w:ascii="Verdana" w:eastAsia="Times New Roman" w:hAnsi="Verdana" w:cs="Arial"/>
          <w:bCs/>
          <w:sz w:val="20"/>
          <w:szCs w:val="20"/>
          <w:lang w:eastAsia="es-CO"/>
        </w:rPr>
      </w:pPr>
      <w:r w:rsidRPr="009B20C5">
        <w:rPr>
          <w:rFonts w:ascii="Verdana" w:eastAsia="Times New Roman" w:hAnsi="Verdana" w:cs="Arial"/>
          <w:bCs/>
          <w:sz w:val="20"/>
          <w:szCs w:val="20"/>
          <w:lang w:eastAsia="es-CO"/>
        </w:rPr>
        <w:t>La jurisprudencia de la Corte Constitucional</w:t>
      </w:r>
      <w:r w:rsidRPr="009B20C5">
        <w:rPr>
          <w:rStyle w:val="Refdenotaalpie"/>
          <w:rFonts w:ascii="Verdana" w:eastAsia="Times New Roman" w:hAnsi="Verdana" w:cs="Arial"/>
          <w:bCs/>
          <w:sz w:val="20"/>
          <w:szCs w:val="20"/>
          <w:lang w:eastAsia="es-CO"/>
        </w:rPr>
        <w:footnoteReference w:id="4"/>
      </w:r>
      <w:r w:rsidRPr="009B20C5">
        <w:rPr>
          <w:rFonts w:ascii="Verdana" w:eastAsia="Times New Roman" w:hAnsi="Verdana" w:cs="Arial"/>
          <w:bCs/>
          <w:sz w:val="20"/>
          <w:szCs w:val="20"/>
          <w:lang w:eastAsia="es-CO"/>
        </w:rPr>
        <w:t> y del Consejo de Estado</w:t>
      </w:r>
      <w:r w:rsidRPr="009B20C5">
        <w:rPr>
          <w:rStyle w:val="Refdenotaalpie"/>
          <w:rFonts w:ascii="Verdana" w:eastAsia="Times New Roman" w:hAnsi="Verdana" w:cs="Arial"/>
          <w:bCs/>
          <w:sz w:val="20"/>
          <w:szCs w:val="20"/>
          <w:lang w:eastAsia="es-CO"/>
        </w:rPr>
        <w:footnoteReference w:id="5"/>
      </w:r>
      <w:r w:rsidRPr="009B20C5">
        <w:rPr>
          <w:rFonts w:ascii="Verdana" w:eastAsia="Times New Roman" w:hAnsi="Verdana" w:cs="Arial"/>
          <w:bCs/>
          <w:sz w:val="20"/>
          <w:szCs w:val="20"/>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Pr>
          <w:rFonts w:ascii="Verdana" w:eastAsia="Times New Roman" w:hAnsi="Verdana" w:cs="Arial"/>
          <w:bCs/>
          <w:sz w:val="20"/>
          <w:szCs w:val="20"/>
          <w:lang w:eastAsia="es-CO"/>
        </w:rPr>
        <w:t>”</w:t>
      </w:r>
      <w:r w:rsidRPr="009B20C5">
        <w:rPr>
          <w:rStyle w:val="Refdenotaalpie"/>
          <w:rFonts w:ascii="Verdana" w:eastAsia="Times New Roman" w:hAnsi="Verdana" w:cs="Arial"/>
          <w:bCs/>
          <w:sz w:val="20"/>
          <w:szCs w:val="20"/>
          <w:lang w:eastAsia="es-CO"/>
        </w:rPr>
        <w:footnoteReference w:id="6"/>
      </w:r>
      <w:r w:rsidRPr="009B20C5">
        <w:rPr>
          <w:rFonts w:ascii="Verdana" w:eastAsia="Times New Roman" w:hAnsi="Verdana" w:cs="Arial"/>
          <w:bCs/>
          <w:sz w:val="20"/>
          <w:szCs w:val="20"/>
          <w:lang w:eastAsia="es-CO"/>
        </w:rPr>
        <w:t>.</w:t>
      </w:r>
    </w:p>
    <w:p w14:paraId="12312E88" w14:textId="77777777" w:rsidR="00590100" w:rsidRDefault="00590100" w:rsidP="00590100">
      <w:pPr>
        <w:spacing w:after="0" w:line="240" w:lineRule="auto"/>
        <w:jc w:val="both"/>
        <w:rPr>
          <w:rFonts w:ascii="Verdana" w:eastAsia="Times New Roman" w:hAnsi="Verdana" w:cs="Arial"/>
          <w:bCs/>
          <w:lang w:eastAsia="es-CO"/>
        </w:rPr>
      </w:pPr>
      <w:r w:rsidRPr="00F10E52">
        <w:rPr>
          <w:rFonts w:ascii="Verdana" w:eastAsia="Times New Roman" w:hAnsi="Verdana" w:cs="Arial"/>
          <w:bCs/>
          <w:lang w:eastAsia="es-CO"/>
        </w:rPr>
        <w:tab/>
      </w:r>
    </w:p>
    <w:p w14:paraId="03D2D646" w14:textId="77777777" w:rsidR="00590100" w:rsidRDefault="00590100" w:rsidP="00590100">
      <w:pPr>
        <w:spacing w:after="120" w:line="276" w:lineRule="auto"/>
        <w:ind w:firstLine="709"/>
        <w:jc w:val="both"/>
        <w:rPr>
          <w:rFonts w:ascii="Verdana" w:eastAsia="Arial" w:hAnsi="Verdana" w:cs="Arial"/>
          <w:lang w:val="es-ES" w:eastAsia="es-ES" w:bidi="es-ES"/>
        </w:rPr>
      </w:pPr>
      <w:r w:rsidRPr="00F10E52">
        <w:rPr>
          <w:rFonts w:ascii="Verdana" w:eastAsia="Times New Roman" w:hAnsi="Verdana" w:cs="Arial"/>
          <w:bCs/>
          <w:lang w:eastAsia="es-CO"/>
        </w:rPr>
        <w:t>De</w:t>
      </w:r>
      <w:r w:rsidRPr="00F10E52">
        <w:rPr>
          <w:rFonts w:ascii="Verdana" w:eastAsia="Arial" w:hAnsi="Verdana" w:cs="Arial"/>
          <w:lang w:val="es-ES" w:eastAsia="es-ES" w:bidi="es-ES"/>
        </w:rPr>
        <w:t xml:space="preserve"> conformidad con lo anterior, 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4A72FE1E" w14:textId="77777777" w:rsidR="00590100" w:rsidRPr="00F10E52" w:rsidRDefault="00590100" w:rsidP="00590100">
      <w:pPr>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388B91B3" w14:textId="77777777" w:rsidR="00590100" w:rsidRPr="00F10E52" w:rsidRDefault="00590100" w:rsidP="00590100">
      <w:pPr>
        <w:spacing w:after="120" w:line="276" w:lineRule="auto"/>
        <w:ind w:firstLine="709"/>
        <w:jc w:val="both"/>
        <w:rPr>
          <w:rFonts w:ascii="Verdana" w:eastAsia="Calibri" w:hAnsi="Verdana" w:cs="Arial"/>
        </w:rPr>
      </w:pPr>
      <w:r w:rsidRPr="00F10E52">
        <w:rPr>
          <w:rFonts w:ascii="Verdana" w:eastAsia="Calibri" w:hAnsi="Verdana" w:cs="Arial"/>
        </w:rPr>
        <w:t xml:space="preserve">Por un lado, el artículo 33 de la Ley 996 de 2005 prohíbe </w:t>
      </w:r>
      <w:r>
        <w:rPr>
          <w:rFonts w:ascii="Verdana" w:eastAsia="Calibri" w:hAnsi="Verdana" w:cs="Arial"/>
        </w:rPr>
        <w:t>“</w:t>
      </w:r>
      <w:r>
        <w:rPr>
          <w:rFonts w:ascii="Verdana" w:eastAsia="Calibri" w:hAnsi="Verdana" w:cs="Arial"/>
          <w:bCs/>
        </w:rPr>
        <w:t xml:space="preserve">(…) </w:t>
      </w:r>
      <w:r w:rsidRPr="00F10E52">
        <w:rPr>
          <w:rFonts w:ascii="Verdana" w:eastAsia="Calibri" w:hAnsi="Verdana" w:cs="Arial"/>
        </w:rPr>
        <w:t>la contratación directa por parte de todos los entes del Estado</w:t>
      </w:r>
      <w:r>
        <w:rPr>
          <w:rFonts w:ascii="Verdana" w:eastAsia="Calibri" w:hAnsi="Verdana" w:cs="Arial"/>
          <w:bCs/>
        </w:rPr>
        <w:t>”</w:t>
      </w:r>
      <w:r w:rsidRPr="00F10E52">
        <w:rPr>
          <w:rFonts w:ascii="Verdana" w:eastAsia="Calibri" w:hAnsi="Verdana" w:cs="Arial"/>
        </w:rPr>
        <w:t xml:space="preserve"> durante los cuatro (4) meses anteriores a las elecciones presidenciales, salvo </w:t>
      </w:r>
      <w:r>
        <w:rPr>
          <w:rFonts w:ascii="Verdana" w:eastAsia="Calibri" w:hAnsi="Verdana" w:cs="Arial"/>
          <w:bCs/>
        </w:rPr>
        <w:t>“(…)</w:t>
      </w:r>
      <w:r w:rsidRPr="00F10E52">
        <w:rPr>
          <w:rFonts w:ascii="Verdana" w:eastAsia="Calibri" w:hAnsi="Verdana" w:cs="Arial"/>
          <w:bCs/>
        </w:rPr>
        <w:t xml:space="preserve"> </w:t>
      </w:r>
      <w:r w:rsidRPr="00F10E52">
        <w:rPr>
          <w:rFonts w:ascii="Verdana" w:eastAsia="Calibri" w:hAnsi="Verdana" w:cs="Arial"/>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Pr>
          <w:rFonts w:ascii="Verdana" w:eastAsia="Calibri" w:hAnsi="Verdana" w:cs="Arial"/>
          <w:bCs/>
        </w:rPr>
        <w:t>”</w:t>
      </w:r>
      <w:r w:rsidRPr="00F10E52">
        <w:rPr>
          <w:rFonts w:ascii="Verdana" w:eastAsia="Calibri" w:hAnsi="Verdana" w:cs="Arial"/>
          <w:bCs/>
          <w:vertAlign w:val="superscript"/>
        </w:rPr>
        <w:footnoteReference w:id="7"/>
      </w:r>
      <w:r w:rsidRPr="00F10E52">
        <w:rPr>
          <w:rFonts w:ascii="Verdana" w:eastAsia="Calibri" w:hAnsi="Verdana" w:cs="Arial"/>
        </w:rPr>
        <w:t>.</w:t>
      </w:r>
    </w:p>
    <w:p w14:paraId="5D6160D5" w14:textId="77777777" w:rsidR="00590100" w:rsidRDefault="00590100" w:rsidP="00590100">
      <w:pPr>
        <w:widowControl w:val="0"/>
        <w:autoSpaceDE w:val="0"/>
        <w:autoSpaceDN w:val="0"/>
        <w:spacing w:after="120" w:line="276" w:lineRule="auto"/>
        <w:ind w:firstLine="709"/>
        <w:jc w:val="both"/>
        <w:rPr>
          <w:rFonts w:ascii="Verdana" w:eastAsia="Arial" w:hAnsi="Verdana" w:cs="Arial"/>
          <w:lang w:val="es-ES" w:eastAsia="es-ES" w:bidi="es-ES"/>
        </w:rPr>
      </w:pPr>
      <w:r w:rsidRPr="00F10E52">
        <w:rPr>
          <w:rFonts w:ascii="Verdana" w:eastAsia="Calibri" w:hAnsi="Verdana" w:cs="Arial"/>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Pr>
          <w:rFonts w:ascii="Verdana" w:eastAsia="Calibri" w:hAnsi="Verdana" w:cs="Arial"/>
          <w:bCs/>
        </w:rPr>
        <w:t>“(…)</w:t>
      </w:r>
      <w:r w:rsidRPr="00F10E52">
        <w:rPr>
          <w:rFonts w:ascii="Verdana" w:eastAsia="Calibri" w:hAnsi="Verdana" w:cs="Arial"/>
          <w:bCs/>
        </w:rPr>
        <w:t xml:space="preserve"> </w:t>
      </w:r>
      <w:r w:rsidRPr="00F10E52">
        <w:rPr>
          <w:rFonts w:ascii="Verdana" w:eastAsia="Calibri" w:hAnsi="Verdana"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Pr>
          <w:rFonts w:ascii="Verdana" w:eastAsia="Calibri" w:hAnsi="Verdana" w:cs="Arial"/>
          <w:bCs/>
        </w:rPr>
        <w:t>”</w:t>
      </w:r>
      <w:r w:rsidRPr="00F10E52">
        <w:rPr>
          <w:rFonts w:ascii="Verdana" w:eastAsia="Calibri" w:hAnsi="Verdana" w:cs="Arial"/>
          <w:bCs/>
          <w:vertAlign w:val="superscript"/>
        </w:rPr>
        <w:footnoteReference w:id="8"/>
      </w:r>
      <w:r w:rsidRPr="00F10E52">
        <w:rPr>
          <w:rFonts w:ascii="Verdana" w:eastAsia="Calibri" w:hAnsi="Verdana" w:cs="Arial"/>
        </w:rPr>
        <w:t>.</w:t>
      </w:r>
      <w:r w:rsidRPr="00F10E52">
        <w:rPr>
          <w:rFonts w:ascii="Verdana" w:eastAsia="Arial" w:hAnsi="Verdana" w:cs="Arial"/>
          <w:lang w:val="es-ES" w:eastAsia="es-ES" w:bidi="es-ES"/>
        </w:rPr>
        <w:t xml:space="preserve"> </w:t>
      </w:r>
    </w:p>
    <w:p w14:paraId="7BCCBF4A" w14:textId="77777777" w:rsidR="00590100" w:rsidRDefault="00590100" w:rsidP="00590100">
      <w:pPr>
        <w:spacing w:after="120" w:line="276" w:lineRule="auto"/>
        <w:ind w:firstLine="709"/>
        <w:jc w:val="both"/>
        <w:rPr>
          <w:rFonts w:ascii="Verdana" w:eastAsia="Times New Roman" w:hAnsi="Verdana" w:cs="Arial"/>
          <w:bCs/>
          <w:lang w:eastAsia="es-CO"/>
        </w:rPr>
      </w:pPr>
      <w:r>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w:t>
      </w:r>
      <w:r w:rsidRPr="00116894">
        <w:rPr>
          <w:rFonts w:ascii="Verdana" w:eastAsia="Times New Roman" w:hAnsi="Verdana" w:cs="Arial"/>
          <w:bCs/>
          <w:lang w:val="es-MX" w:eastAsia="es-CO"/>
        </w:rPr>
        <w:t xml:space="preserve"> “</w:t>
      </w:r>
      <w:r w:rsidRPr="00116894">
        <w:rPr>
          <w:rFonts w:ascii="Verdana" w:eastAsia="Times New Roman" w:hAnsi="Verdana" w:cs="Arial"/>
          <w:bCs/>
          <w:lang w:eastAsia="es-CO"/>
        </w:rPr>
        <w:t>1. </w:t>
      </w:r>
      <w:r w:rsidRPr="00116894">
        <w:rPr>
          <w:rFonts w:ascii="Verdana" w:eastAsia="Times New Roman" w:hAnsi="Verdana" w:cs="Arial"/>
          <w:bCs/>
          <w:i/>
          <w:iCs/>
          <w:lang w:eastAsia="es-CO"/>
        </w:rPr>
        <w:t>Gral.</w:t>
      </w:r>
      <w:r>
        <w:rPr>
          <w:rFonts w:ascii="Verdana" w:eastAsia="Times New Roman" w:hAnsi="Verdana" w:cs="Arial"/>
          <w:bCs/>
          <w:lang w:eastAsia="es-CO"/>
        </w:rPr>
        <w:t xml:space="preserve"> </w:t>
      </w:r>
      <w:r w:rsidRPr="00116894">
        <w:rPr>
          <w:rFonts w:ascii="Verdana" w:eastAsia="Times New Roman" w:hAnsi="Verdana" w:cs="Arial"/>
          <w:bCs/>
          <w:lang w:eastAsia="es-CO"/>
        </w:rPr>
        <w:t>Otorgar o firmar un contrato. 2</w:t>
      </w:r>
      <w:r>
        <w:rPr>
          <w:rFonts w:ascii="Verdana" w:eastAsia="Times New Roman" w:hAnsi="Verdana" w:cs="Arial"/>
          <w:bCs/>
          <w:lang w:eastAsia="es-CO"/>
        </w:rPr>
        <w:t xml:space="preserve">. </w:t>
      </w:r>
      <w:proofErr w:type="spellStart"/>
      <w:r w:rsidRPr="00116894">
        <w:rPr>
          <w:rFonts w:ascii="Verdana" w:eastAsia="Times New Roman" w:hAnsi="Verdana" w:cs="Arial"/>
          <w:bCs/>
          <w:i/>
          <w:iCs/>
          <w:lang w:eastAsia="es-CO"/>
        </w:rPr>
        <w:t>Proc</w:t>
      </w:r>
      <w:proofErr w:type="spellEnd"/>
      <w:r w:rsidRPr="00116894">
        <w:rPr>
          <w:rFonts w:ascii="Verdana" w:eastAsia="Times New Roman" w:hAnsi="Verdana" w:cs="Arial"/>
          <w:bCs/>
          <w:i/>
          <w:iCs/>
          <w:lang w:eastAsia="es-CO"/>
        </w:rPr>
        <w:t>.</w:t>
      </w:r>
      <w:r>
        <w:rPr>
          <w:rFonts w:ascii="Verdana" w:eastAsia="Times New Roman" w:hAnsi="Verdana" w:cs="Arial"/>
          <w:bCs/>
          <w:lang w:eastAsia="es-CO"/>
        </w:rPr>
        <w:t xml:space="preserve"> </w:t>
      </w:r>
      <w:r w:rsidRPr="00116894">
        <w:rPr>
          <w:rFonts w:ascii="Verdana" w:eastAsia="Times New Roman" w:hAnsi="Verdana" w:cs="Arial"/>
          <w:bCs/>
          <w:lang w:eastAsia="es-CO"/>
        </w:rPr>
        <w:t>Realizar los actos procesa</w:t>
      </w:r>
      <w:r>
        <w:rPr>
          <w:rFonts w:ascii="Verdana" w:eastAsia="Times New Roman" w:hAnsi="Verdana" w:cs="Arial"/>
          <w:bCs/>
          <w:lang w:eastAsia="es-CO"/>
        </w:rPr>
        <w:t xml:space="preserve">les propios de un juicio o vista”. Dentro de las dos definiciones, la que se acerca a la expresión “celebrar” en el contexto de la Ley de Garantías Electorales es la primera, esto es, al perfeccionamiento del contrato. </w:t>
      </w:r>
    </w:p>
    <w:p w14:paraId="78D37A02" w14:textId="77777777" w:rsidR="00590100" w:rsidRDefault="00590100" w:rsidP="00590100">
      <w:pPr>
        <w:spacing w:after="120" w:line="276" w:lineRule="auto"/>
        <w:ind w:firstLine="709"/>
        <w:jc w:val="both"/>
        <w:rPr>
          <w:rFonts w:ascii="Verdana" w:eastAsia="Times New Roman" w:hAnsi="Verdana" w:cs="Arial"/>
          <w:bCs/>
          <w:lang w:val="es-ES" w:eastAsia="es-CO"/>
        </w:rPr>
      </w:pPr>
      <w:r>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447D82">
        <w:rPr>
          <w:rFonts w:ascii="Verdana" w:eastAsia="Times New Roman" w:hAnsi="Verdana" w:cs="Arial"/>
          <w:bCs/>
          <w:lang w:val="es-ES" w:eastAsia="es-CO"/>
        </w:rPr>
        <w:t xml:space="preserve">la existencia de los contratos estatales, es decir, la producción de efectos jurídicos en los términos del artículo 1501 </w:t>
      </w:r>
      <w:r w:rsidRPr="00447D82">
        <w:rPr>
          <w:rFonts w:ascii="Verdana" w:eastAsia="Times New Roman" w:hAnsi="Verdana" w:cs="Arial"/>
          <w:bCs/>
          <w:i/>
          <w:lang w:val="es-ES" w:eastAsia="es-CO"/>
        </w:rPr>
        <w:t>ib</w:t>
      </w:r>
      <w:r>
        <w:rPr>
          <w:rFonts w:ascii="Verdana" w:eastAsia="Times New Roman" w:hAnsi="Verdana" w:cs="Arial"/>
          <w:bCs/>
          <w:i/>
          <w:lang w:val="es-ES" w:eastAsia="es-CO"/>
        </w:rPr>
        <w:t>i</w:t>
      </w:r>
      <w:r w:rsidRPr="00447D82">
        <w:rPr>
          <w:rFonts w:ascii="Verdana" w:eastAsia="Times New Roman" w:hAnsi="Verdana" w:cs="Arial"/>
          <w:bCs/>
          <w:i/>
          <w:lang w:val="es-ES" w:eastAsia="es-CO"/>
        </w:rPr>
        <w:t>dem</w:t>
      </w:r>
      <w:r w:rsidRPr="00447D82">
        <w:rPr>
          <w:rFonts w:ascii="Verdana" w:eastAsia="Times New Roman" w:hAnsi="Verdana" w:cs="Arial"/>
          <w:bCs/>
          <w:lang w:val="es-ES" w:eastAsia="es-CO"/>
        </w:rPr>
        <w:t>, depende de la regulación del inciso primero d</w:t>
      </w:r>
      <w:r>
        <w:rPr>
          <w:rFonts w:ascii="Verdana" w:eastAsia="Times New Roman" w:hAnsi="Verdana" w:cs="Arial"/>
          <w:bCs/>
          <w:lang w:val="es-ES" w:eastAsia="es-CO"/>
        </w:rPr>
        <w:t>e los artículos 39 y 41 de la Ley 80 de 1993</w:t>
      </w:r>
      <w:r w:rsidRPr="00447D82">
        <w:rPr>
          <w:rFonts w:ascii="Verdana" w:eastAsia="Times New Roman" w:hAnsi="Verdana" w:cs="Arial"/>
          <w:bCs/>
          <w:lang w:val="es-ES" w:eastAsia="es-CO"/>
        </w:rPr>
        <w:t>.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w:t>
      </w:r>
      <w:r>
        <w:rPr>
          <w:rFonts w:ascii="Verdana" w:eastAsia="Times New Roman" w:hAnsi="Verdana" w:cs="Arial"/>
          <w:bCs/>
          <w:lang w:val="es-ES" w:eastAsia="es-CO"/>
        </w:rPr>
        <w:t xml:space="preserve"> </w:t>
      </w:r>
    </w:p>
    <w:p w14:paraId="63FC8FF1" w14:textId="77777777" w:rsidR="00590100" w:rsidRDefault="00590100" w:rsidP="00590100">
      <w:pPr>
        <w:spacing w:after="120" w:line="276" w:lineRule="auto"/>
        <w:ind w:firstLine="709"/>
        <w:jc w:val="both"/>
        <w:rPr>
          <w:rFonts w:ascii="Verdana" w:eastAsia="Times New Roman" w:hAnsi="Verdana" w:cs="Arial"/>
          <w:bCs/>
          <w:lang w:val="es-ES" w:eastAsia="es-CO"/>
        </w:rPr>
      </w:pPr>
      <w:r>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6B2AFC12" w14:textId="77777777" w:rsidR="00590100" w:rsidRPr="00AA5D69" w:rsidRDefault="00590100" w:rsidP="00590100">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Asimismo, </w:t>
      </w:r>
      <w:r>
        <w:rPr>
          <w:rFonts w:ascii="Verdana" w:eastAsia="Times New Roman" w:hAnsi="Verdana" w:cs="Arial"/>
          <w:bCs/>
          <w:lang w:val="es-MX" w:eastAsia="es-CO"/>
        </w:rPr>
        <w:t>c</w:t>
      </w:r>
      <w:r w:rsidRPr="00894384">
        <w:rPr>
          <w:rFonts w:ascii="Verdana" w:eastAsia="Times New Roman" w:hAnsi="Verdana" w:cs="Arial"/>
          <w:bCs/>
          <w:lang w:val="es-MX" w:eastAsia="es-CO"/>
        </w:rPr>
        <w:t>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894384">
        <w:rPr>
          <w:rFonts w:ascii="Verdana" w:eastAsia="Times New Roman" w:hAnsi="Verdana" w:cs="Arial"/>
          <w:bCs/>
          <w:vertAlign w:val="superscript"/>
          <w:lang w:val="es-MX" w:eastAsia="es-CO"/>
        </w:rPr>
        <w:footnoteReference w:id="9"/>
      </w:r>
      <w:r w:rsidRPr="00894384">
        <w:rPr>
          <w:rFonts w:ascii="Verdana" w:eastAsia="Times New Roman" w:hAnsi="Verdana" w:cs="Arial"/>
          <w:bCs/>
          <w:lang w:val="es-MX" w:eastAsia="es-CO"/>
        </w:rPr>
        <w:t xml:space="preserve">. </w:t>
      </w:r>
    </w:p>
    <w:p w14:paraId="6B15317A" w14:textId="77777777" w:rsidR="00590100" w:rsidRPr="006A51F6" w:rsidRDefault="00590100" w:rsidP="00590100">
      <w:pPr>
        <w:widowControl w:val="0"/>
        <w:autoSpaceDE w:val="0"/>
        <w:autoSpaceDN w:val="0"/>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271807BD" w14:textId="77777777" w:rsidR="00590100" w:rsidRPr="009B20C5" w:rsidRDefault="00590100" w:rsidP="00590100">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Pr>
          <w:rFonts w:ascii="Verdana" w:eastAsia="Arial" w:hAnsi="Verdana" w:cs="Arial"/>
          <w:sz w:val="20"/>
          <w:szCs w:val="20"/>
          <w:lang w:val="es-ES" w:eastAsia="es-ES" w:bidi="es-ES"/>
        </w:rPr>
        <w:t>“</w:t>
      </w:r>
      <w:r w:rsidRPr="009B20C5">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w:t>
      </w:r>
      <w:r w:rsidRPr="009B20C5">
        <w:rPr>
          <w:rFonts w:ascii="Verdana" w:eastAsia="Arial" w:hAnsi="Verdana" w:cs="Arial"/>
          <w:bCs/>
          <w:sz w:val="20"/>
          <w:szCs w:val="20"/>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Pr>
          <w:rFonts w:ascii="Verdana" w:eastAsia="Arial" w:hAnsi="Verdana" w:cs="Arial"/>
          <w:sz w:val="20"/>
          <w:szCs w:val="20"/>
          <w:lang w:val="es-ES" w:eastAsia="es-ES" w:bidi="es-ES"/>
        </w:rPr>
        <w:t>”</w:t>
      </w:r>
      <w:r w:rsidRPr="009B20C5">
        <w:rPr>
          <w:rFonts w:ascii="Verdana" w:eastAsia="Arial" w:hAnsi="Verdana" w:cs="Arial"/>
          <w:sz w:val="20"/>
          <w:szCs w:val="20"/>
          <w:vertAlign w:val="superscript"/>
          <w:lang w:val="es-ES" w:eastAsia="es-ES" w:bidi="es-ES"/>
        </w:rPr>
        <w:footnoteReference w:id="10"/>
      </w:r>
      <w:r>
        <w:rPr>
          <w:rFonts w:ascii="Verdana" w:eastAsia="Arial" w:hAnsi="Verdana" w:cs="Arial"/>
          <w:sz w:val="20"/>
          <w:szCs w:val="20"/>
          <w:lang w:val="es-ES" w:eastAsia="es-ES" w:bidi="es-ES"/>
        </w:rPr>
        <w:t>.</w:t>
      </w:r>
    </w:p>
    <w:p w14:paraId="5FED9F39" w14:textId="77777777" w:rsidR="00590100" w:rsidRDefault="00590100" w:rsidP="00590100">
      <w:pPr>
        <w:spacing w:after="0" w:line="240" w:lineRule="auto"/>
        <w:ind w:firstLine="709"/>
        <w:jc w:val="both"/>
        <w:rPr>
          <w:rFonts w:ascii="Verdana" w:eastAsia="Arial" w:hAnsi="Verdana" w:cs="Arial"/>
          <w:lang w:val="es-ES" w:eastAsia="es-ES" w:bidi="es-ES"/>
        </w:rPr>
      </w:pPr>
    </w:p>
    <w:p w14:paraId="3A022513" w14:textId="77777777" w:rsidR="00590100" w:rsidRPr="00F10E52" w:rsidRDefault="00590100" w:rsidP="00590100">
      <w:pPr>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sidRPr="00F10E52">
        <w:rPr>
          <w:rFonts w:ascii="Verdana" w:eastAsia="Arial" w:hAnsi="Verdana" w:cs="Arial"/>
          <w:i/>
          <w:iCs/>
          <w:lang w:val="es-ES" w:eastAsia="es-ES" w:bidi="es-ES"/>
        </w:rPr>
        <w:t>En primer lugar</w:t>
      </w:r>
      <w:r w:rsidRPr="00F10E52">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F10E52">
        <w:rPr>
          <w:rFonts w:ascii="Verdana" w:eastAsia="Arial" w:hAnsi="Verdana" w:cs="Arial"/>
          <w:i/>
          <w:iCs/>
          <w:lang w:val="es-ES" w:eastAsia="es-ES" w:bidi="es-ES"/>
        </w:rPr>
        <w:t>En segundo lugar</w:t>
      </w:r>
      <w:r w:rsidRPr="00F10E52">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7F551BCC" w14:textId="77777777" w:rsidR="00590100" w:rsidRPr="00F10E52" w:rsidRDefault="00590100" w:rsidP="00590100">
      <w:pPr>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7F184F66" w14:textId="77777777" w:rsidR="00590100" w:rsidRDefault="00590100" w:rsidP="00590100">
      <w:pPr>
        <w:spacing w:after="120" w:line="276" w:lineRule="auto"/>
        <w:ind w:firstLine="709"/>
        <w:jc w:val="both"/>
        <w:rPr>
          <w:rFonts w:ascii="Verdana" w:eastAsia="Times New Roman" w:hAnsi="Verdana" w:cs="Arial"/>
          <w:bCs/>
          <w:lang w:val="es-ES" w:eastAsia="es-CO"/>
        </w:rPr>
      </w:pPr>
      <w:r w:rsidRPr="00F10E52">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14:paraId="62AB0AA4" w14:textId="77777777" w:rsidR="00590100" w:rsidRDefault="00590100" w:rsidP="00590100">
      <w:pPr>
        <w:spacing w:after="120" w:line="276" w:lineRule="auto"/>
        <w:ind w:firstLine="709"/>
        <w:jc w:val="both"/>
        <w:rPr>
          <w:rFonts w:ascii="Verdana" w:eastAsia="Arial" w:hAnsi="Verdana" w:cs="Arial"/>
          <w:lang w:val="es-ES" w:eastAsia="es-ES" w:bidi="es-ES"/>
        </w:rPr>
      </w:pPr>
      <w:r>
        <w:rPr>
          <w:rFonts w:ascii="Verdana" w:eastAsia="Times New Roman" w:hAnsi="Verdana" w:cs="Arial"/>
          <w:bCs/>
          <w:lang w:val="es-ES" w:eastAsia="es-CO"/>
        </w:rPr>
        <w:t xml:space="preserve">Teniendo en cuenta lo anterior, a continuación, se hará un análisis sobre la aplicación de la prohibición contenida en el artículo 33 y sus excepciones, relacionada con su ámbito de aplicación y sus destinatarios. </w:t>
      </w:r>
    </w:p>
    <w:p w14:paraId="56C428E4" w14:textId="77777777" w:rsidR="00590100" w:rsidRPr="00435A6A" w:rsidRDefault="00590100" w:rsidP="00590100">
      <w:pPr>
        <w:spacing w:after="120" w:line="276" w:lineRule="auto"/>
        <w:ind w:firstLine="709"/>
        <w:jc w:val="both"/>
        <w:rPr>
          <w:rFonts w:ascii="Verdana" w:eastAsia="Arial" w:hAnsi="Verdana" w:cs="Arial"/>
          <w:lang w:val="es-ES" w:eastAsia="es-ES" w:bidi="es-ES"/>
        </w:rPr>
      </w:pPr>
      <w:r w:rsidRPr="00195E24">
        <w:rPr>
          <w:rFonts w:ascii="Verdana" w:hAnsi="Verdana" w:cs="Arial"/>
          <w:bCs/>
          <w:lang w:eastAsia="x-none"/>
        </w:rPr>
        <w:t xml:space="preserve">El ámbito material de la prohibición contenida en el artículo 33 de la ley 996 de 2005 está delimitado por la expresión </w:t>
      </w:r>
      <w:r w:rsidRPr="00195E24">
        <w:rPr>
          <w:rFonts w:ascii="Verdana" w:eastAsia="Calibri" w:hAnsi="Verdana" w:cs="Arial"/>
          <w:bCs/>
          <w:i/>
          <w:iCs/>
          <w:sz w:val="20"/>
          <w:szCs w:val="20"/>
        </w:rPr>
        <w:t>“</w:t>
      </w:r>
      <w:r w:rsidRPr="00195E24">
        <w:rPr>
          <w:rFonts w:ascii="Verdana" w:hAnsi="Verdana" w:cs="Arial"/>
          <w:bCs/>
          <w:i/>
          <w:iCs/>
          <w:lang w:eastAsia="x-none"/>
        </w:rPr>
        <w:t>queda prohibida la contratación directa</w:t>
      </w:r>
      <w:r w:rsidRPr="00195E24">
        <w:rPr>
          <w:rFonts w:ascii="Verdana" w:hAnsi="Verdana" w:cs="Arial"/>
          <w:sz w:val="20"/>
          <w:szCs w:val="20"/>
        </w:rPr>
        <w:t>”</w:t>
      </w:r>
      <w:r w:rsidRPr="00195E24">
        <w:rPr>
          <w:rFonts w:ascii="Verdana" w:hAnsi="Verdana" w:cs="Arial"/>
          <w:bCs/>
          <w:lang w:eastAsia="x-none"/>
        </w:rPr>
        <w:t>.</w:t>
      </w:r>
      <w:r w:rsidRPr="00195E24">
        <w:rPr>
          <w:rFonts w:ascii="Verdana" w:hAnsi="Verdana" w:cs="Arial"/>
          <w:lang w:eastAsia="es-CO"/>
        </w:rPr>
        <w:t xml:space="preserve"> A propósito de esta restricción de la Ley de Garantías Electorales, la Sala de Consulta y Servicio Civil del Consejo de Estado ha considerado que:</w:t>
      </w:r>
    </w:p>
    <w:p w14:paraId="3E61A193" w14:textId="77777777" w:rsidR="00590100" w:rsidRDefault="00590100" w:rsidP="00590100">
      <w:pPr>
        <w:spacing w:after="0" w:line="240" w:lineRule="auto"/>
        <w:ind w:left="709" w:right="709"/>
        <w:jc w:val="both"/>
        <w:rPr>
          <w:rFonts w:ascii="Verdana" w:hAnsi="Verdana" w:cs="Arial"/>
          <w:sz w:val="20"/>
          <w:szCs w:val="20"/>
        </w:rPr>
      </w:pPr>
      <w:r w:rsidRPr="005800D0">
        <w:rPr>
          <w:rFonts w:ascii="Verdana" w:hAnsi="Verdana" w:cs="Arial"/>
          <w:sz w:val="20"/>
          <w:szCs w:val="20"/>
        </w:rPr>
        <w:t>“</w:t>
      </w:r>
      <w:r>
        <w:rPr>
          <w:rFonts w:ascii="Verdana" w:hAnsi="Verdana" w:cs="Arial"/>
          <w:sz w:val="20"/>
          <w:szCs w:val="20"/>
        </w:rPr>
        <w:t xml:space="preserve">(…) </w:t>
      </w:r>
      <w:r w:rsidRPr="005800D0">
        <w:rPr>
          <w:rFonts w:ascii="Verdana" w:hAnsi="Verdana" w:cs="Arial"/>
          <w:sz w:val="20"/>
          <w:szCs w:val="20"/>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5800D0">
        <w:rPr>
          <w:rFonts w:ascii="Verdana" w:hAnsi="Verdana" w:cs="Arial"/>
          <w:sz w:val="20"/>
          <w:szCs w:val="20"/>
          <w:vertAlign w:val="superscript"/>
          <w:lang w:eastAsia="es-CO"/>
        </w:rPr>
        <w:footnoteReference w:id="11"/>
      </w:r>
      <w:r w:rsidRPr="005800D0">
        <w:rPr>
          <w:rFonts w:ascii="Verdana" w:hAnsi="Verdana" w:cs="Arial"/>
          <w:sz w:val="20"/>
          <w:szCs w:val="20"/>
        </w:rPr>
        <w:t>.</w:t>
      </w:r>
    </w:p>
    <w:p w14:paraId="428049B6" w14:textId="77777777" w:rsidR="00590100" w:rsidRDefault="00590100" w:rsidP="00590100">
      <w:pPr>
        <w:spacing w:after="0" w:line="240" w:lineRule="auto"/>
        <w:ind w:left="709" w:right="709"/>
        <w:jc w:val="both"/>
        <w:rPr>
          <w:rFonts w:ascii="Verdana" w:hAnsi="Verdana" w:cs="Arial"/>
          <w:sz w:val="20"/>
          <w:szCs w:val="20"/>
        </w:rPr>
      </w:pPr>
      <w:r w:rsidRPr="005800D0">
        <w:rPr>
          <w:rFonts w:ascii="Verdana" w:hAnsi="Verdana" w:cs="Arial"/>
          <w:sz w:val="20"/>
          <w:szCs w:val="20"/>
        </w:rPr>
        <w:t>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5800D0">
        <w:rPr>
          <w:rFonts w:ascii="Verdana" w:hAnsi="Verdana" w:cs="Arial"/>
          <w:sz w:val="20"/>
          <w:szCs w:val="20"/>
          <w:vertAlign w:val="superscript"/>
        </w:rPr>
        <w:footnoteReference w:id="12"/>
      </w:r>
      <w:r w:rsidRPr="005800D0">
        <w:rPr>
          <w:rFonts w:ascii="Verdana" w:hAnsi="Verdana" w:cs="Arial"/>
          <w:sz w:val="20"/>
          <w:szCs w:val="20"/>
          <w:vertAlign w:val="superscript"/>
        </w:rPr>
        <w:t>.</w:t>
      </w:r>
      <w:r w:rsidRPr="005800D0">
        <w:rPr>
          <w:rFonts w:ascii="Verdana"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Pr>
          <w:rFonts w:ascii="Verdana" w:hAnsi="Verdana" w:cs="Arial"/>
          <w:sz w:val="20"/>
          <w:szCs w:val="20"/>
        </w:rPr>
        <w:t>(…)”</w:t>
      </w:r>
      <w:r w:rsidRPr="005800D0">
        <w:rPr>
          <w:rFonts w:ascii="Verdana" w:hAnsi="Verdana" w:cs="Arial"/>
          <w:sz w:val="20"/>
          <w:szCs w:val="20"/>
          <w:vertAlign w:val="superscript"/>
          <w:lang w:eastAsia="es-CO"/>
        </w:rPr>
        <w:footnoteReference w:id="13"/>
      </w:r>
      <w:r w:rsidRPr="005800D0">
        <w:rPr>
          <w:rFonts w:ascii="Verdana" w:hAnsi="Verdana" w:cs="Arial"/>
          <w:sz w:val="20"/>
          <w:szCs w:val="20"/>
        </w:rPr>
        <w:t>.</w:t>
      </w:r>
    </w:p>
    <w:p w14:paraId="4E98A5A1" w14:textId="77777777" w:rsidR="00590100" w:rsidRPr="005800D0" w:rsidRDefault="00590100" w:rsidP="00590100">
      <w:pPr>
        <w:spacing w:after="0" w:line="240" w:lineRule="auto"/>
        <w:ind w:left="709" w:right="709"/>
        <w:jc w:val="both"/>
        <w:rPr>
          <w:rFonts w:ascii="Verdana" w:hAnsi="Verdana" w:cs="Arial"/>
        </w:rPr>
      </w:pPr>
    </w:p>
    <w:p w14:paraId="5116FB83" w14:textId="77777777" w:rsidR="00590100" w:rsidRPr="00195E24" w:rsidRDefault="00590100" w:rsidP="00590100">
      <w:pPr>
        <w:spacing w:after="120" w:line="276" w:lineRule="auto"/>
        <w:ind w:firstLine="709"/>
        <w:jc w:val="both"/>
        <w:rPr>
          <w:rFonts w:ascii="Verdana" w:hAnsi="Verdana" w:cs="Arial"/>
          <w:bCs/>
          <w:lang w:eastAsia="x-none"/>
        </w:rPr>
      </w:pPr>
      <w:r w:rsidRPr="00195E24">
        <w:rPr>
          <w:rFonts w:ascii="Verdana" w:hAnsi="Verdana" w:cs="Arial"/>
          <w:lang w:eastAsia="x-none"/>
        </w:rPr>
        <w:t xml:space="preserve">De acuerdo con el citado concepto, la prohibición del artículo 33 de la Ley de Garantías Electorales se refiere a </w:t>
      </w:r>
      <w:r w:rsidRPr="007E27D9">
        <w:rPr>
          <w:rFonts w:ascii="Verdana" w:hAnsi="Verdana" w:cs="Arial"/>
          <w:lang w:eastAsia="en-GB"/>
        </w:rPr>
        <w:t>“</w:t>
      </w:r>
      <w:r w:rsidRPr="00195E24">
        <w:rPr>
          <w:rFonts w:ascii="Verdana" w:hAnsi="Verdana" w:cs="Arial"/>
          <w:lang w:eastAsia="x-none"/>
        </w:rPr>
        <w:t>cualquier sistema que no implique convocatoria pública y posibilidad de pluralidad de oferentes</w:t>
      </w:r>
      <w:r>
        <w:rPr>
          <w:rFonts w:ascii="Verdana" w:hAnsi="Verdana" w:cs="Arial"/>
          <w:lang w:eastAsia="en-GB"/>
        </w:rPr>
        <w:t>”</w:t>
      </w:r>
      <w:r w:rsidRPr="00195E24">
        <w:rPr>
          <w:rFonts w:ascii="Verdana" w:hAnsi="Verdana" w:cs="Arial"/>
          <w:lang w:eastAsia="x-none"/>
        </w:rPr>
        <w:t xml:space="preserve">, por lo que excluye las demás modalidades de contratación previstas en la Ley 1150 de 2007, es decir, la licitación pública, la selección abreviada, el concurso de méritos </w:t>
      </w:r>
      <w:r w:rsidRPr="00195E24">
        <w:rPr>
          <w:rFonts w:ascii="Verdana" w:hAnsi="Verdana" w:cs="Arial"/>
          <w:lang w:val="es-ES_tradnl" w:eastAsia="x-none"/>
        </w:rPr>
        <w:t>y la mínima cuantía</w:t>
      </w:r>
      <w:r w:rsidRPr="00195E24" w:rsidDel="00A85D9F">
        <w:rPr>
          <w:rFonts w:ascii="Verdana" w:hAnsi="Verdana" w:cs="Arial"/>
          <w:lang w:eastAsia="x-none"/>
        </w:rPr>
        <w:t xml:space="preserve"> </w:t>
      </w:r>
      <w:r w:rsidRPr="00195E24">
        <w:rPr>
          <w:rFonts w:ascii="Verdana" w:hAnsi="Verdana" w:cs="Arial"/>
          <w:lang w:eastAsia="x-none"/>
        </w:rPr>
        <w:t>u otros previstos en normas especiales. Esta posición es congruente con la expedición de la Ley 1150 de 2007 que, entre otras reformas, introdujo la selección abreviada, rediseñó el concurso de méritos</w:t>
      </w:r>
      <w:r w:rsidRPr="00195E24">
        <w:rPr>
          <w:rFonts w:ascii="Verdana" w:hAnsi="Verdana" w:cs="Arial"/>
          <w:vertAlign w:val="superscript"/>
          <w:lang w:val="en-GB" w:eastAsia="x-none"/>
        </w:rPr>
        <w:footnoteReference w:id="14"/>
      </w:r>
      <w:r w:rsidRPr="00195E24">
        <w:rPr>
          <w:rFonts w:ascii="Verdana" w:hAnsi="Verdana" w:cs="Arial"/>
          <w:lang w:eastAsia="x-none"/>
        </w:rPr>
        <w:t xml:space="preserve"> y sistematizó las causales de contratación directa</w:t>
      </w:r>
      <w:r w:rsidRPr="00195E24">
        <w:rPr>
          <w:rFonts w:ascii="Verdana" w:hAnsi="Verdana" w:cs="Arial"/>
          <w:vertAlign w:val="superscript"/>
          <w:lang w:val="en-GB" w:eastAsia="x-none"/>
        </w:rPr>
        <w:footnoteReference w:id="15"/>
      </w:r>
      <w:r w:rsidRPr="00195E24">
        <w:rPr>
          <w:rFonts w:ascii="Verdana" w:hAnsi="Verdana" w:cs="Arial"/>
          <w:lang w:eastAsia="x-none"/>
        </w:rPr>
        <w:t>, además lo es con la posterior creación de la modalidad de mínima cuantía establecida actualmente en el numeral 5 del artículo 2 de la Ley 1150 de 2007, de acuerdo con las modificaciones realizadas por leyes posteriores.</w:t>
      </w:r>
    </w:p>
    <w:p w14:paraId="79BBAB40" w14:textId="77777777" w:rsidR="00590100" w:rsidRPr="00195E24" w:rsidRDefault="00590100" w:rsidP="00590100">
      <w:pPr>
        <w:spacing w:after="120" w:line="276" w:lineRule="auto"/>
        <w:ind w:firstLine="709"/>
        <w:jc w:val="both"/>
        <w:rPr>
          <w:rFonts w:ascii="Verdana" w:hAnsi="Verdana" w:cs="Arial"/>
          <w:lang w:eastAsia="x-none"/>
        </w:rPr>
      </w:pPr>
      <w:r w:rsidRPr="00195E24">
        <w:rPr>
          <w:rFonts w:ascii="Verdana" w:hAnsi="Verdana" w:cs="Arial"/>
          <w:lang w:eastAsia="x-none"/>
        </w:rPr>
        <w:t xml:space="preserve">De esta forma, con fundamento en la evolución de la normativa sobre la contratación pública, se ha depurado la noción de </w:t>
      </w:r>
      <w:r w:rsidRPr="007E27D9">
        <w:rPr>
          <w:rFonts w:ascii="Verdana" w:hAnsi="Verdana" w:cs="Arial"/>
          <w:i/>
          <w:lang w:eastAsia="en-GB"/>
        </w:rPr>
        <w:t>“</w:t>
      </w:r>
      <w:r w:rsidRPr="00195E24">
        <w:rPr>
          <w:rFonts w:ascii="Verdana" w:hAnsi="Verdana" w:cs="Arial"/>
          <w:i/>
          <w:iCs/>
          <w:lang w:eastAsia="x-none"/>
        </w:rPr>
        <w:t>contratación directa</w:t>
      </w:r>
      <w:r w:rsidRPr="00195E24">
        <w:rPr>
          <w:rFonts w:ascii="Verdana" w:hAnsi="Verdana" w:cs="Arial"/>
          <w:lang w:eastAsia="en-GB"/>
        </w:rPr>
        <w:t>”</w:t>
      </w:r>
      <w:r w:rsidRPr="00195E24">
        <w:rPr>
          <w:rFonts w:ascii="Verdana" w:hAnsi="Verdana" w:cs="Arial"/>
          <w:lang w:eastAsia="x-none"/>
        </w:rPr>
        <w:t>, precisando el Consejo de Estado –en el concepto citado– que, “aun cuando no coincide única y exactamente con la regulación que de dicho sistema de selección hace el artículo 2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195E24">
        <w:rPr>
          <w:rFonts w:ascii="Verdana" w:hAnsi="Verdana" w:cs="Arial"/>
          <w:vertAlign w:val="superscript"/>
          <w:lang w:val="en-GB" w:eastAsia="x-none"/>
        </w:rPr>
        <w:footnoteReference w:id="16"/>
      </w:r>
      <w:r w:rsidRPr="00195E24">
        <w:rPr>
          <w:rFonts w:ascii="Verdana" w:hAnsi="Verdana" w:cs="Arial"/>
          <w:lang w:eastAsia="x-none"/>
        </w:rPr>
        <w:t>, han establecido sistemas de contratación que implican convocatoria pública y participación de varios oferentes</w:t>
      </w:r>
      <w:r w:rsidRPr="00195E24">
        <w:rPr>
          <w:rFonts w:ascii="Verdana" w:hAnsi="Verdana" w:cs="Arial"/>
          <w:lang w:eastAsia="en-GB"/>
        </w:rPr>
        <w:t>”</w:t>
      </w:r>
      <w:r w:rsidRPr="00195E24">
        <w:rPr>
          <w:rFonts w:ascii="Verdana" w:hAnsi="Verdana" w:cs="Arial"/>
          <w:lang w:eastAsia="x-none"/>
        </w:rPr>
        <w:t>.</w:t>
      </w:r>
    </w:p>
    <w:p w14:paraId="2FA5AE36" w14:textId="77777777" w:rsidR="00590100" w:rsidRPr="00195E24" w:rsidRDefault="00590100" w:rsidP="00590100">
      <w:pPr>
        <w:spacing w:after="120" w:line="276" w:lineRule="auto"/>
        <w:ind w:firstLine="709"/>
        <w:jc w:val="both"/>
        <w:rPr>
          <w:rFonts w:ascii="Verdana" w:hAnsi="Verdana" w:cs="Arial"/>
          <w:bCs/>
          <w:lang w:eastAsia="es-CO"/>
        </w:rPr>
      </w:pPr>
      <w:r w:rsidRPr="00195E24">
        <w:rPr>
          <w:rFonts w:ascii="Verdana" w:hAnsi="Verdana" w:cs="Arial"/>
          <w:bCs/>
          <w:lang w:eastAsia="x-none"/>
        </w:rPr>
        <w:t>E</w:t>
      </w:r>
      <w:r w:rsidRPr="00195E24">
        <w:rPr>
          <w:rFonts w:ascii="Verdana" w:hAnsi="Verdana" w:cs="Arial"/>
          <w:lang w:eastAsia="x-none"/>
        </w:rPr>
        <w:t xml:space="preserv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sidRPr="00195E24">
        <w:rPr>
          <w:rFonts w:ascii="Verdana" w:hAnsi="Verdana" w:cs="Arial"/>
          <w:i/>
          <w:iCs/>
          <w:lang w:eastAsia="x-none"/>
        </w:rPr>
        <w:t>“contratación directa</w:t>
      </w:r>
      <w:r w:rsidRPr="00195E24">
        <w:rPr>
          <w:rFonts w:ascii="Verdana" w:hAnsi="Verdana" w:cs="Arial"/>
          <w:lang w:eastAsia="x-none"/>
        </w:rPr>
        <w:t>”, es que la convocatoria para inscribirse en forma previa se haga de manera pública, y que se permita la participación de una pluralidad de oferentes</w:t>
      </w:r>
      <w:r w:rsidRPr="00195E24">
        <w:rPr>
          <w:rFonts w:ascii="Verdana" w:hAnsi="Verdana" w:cs="Arial"/>
          <w:vertAlign w:val="superscript"/>
          <w:lang w:eastAsia="x-none"/>
        </w:rPr>
        <w:footnoteReference w:id="17"/>
      </w:r>
      <w:r w:rsidRPr="00195E24">
        <w:rPr>
          <w:rFonts w:ascii="Verdana" w:hAnsi="Verdana" w:cs="Arial"/>
          <w:lang w:eastAsia="x-none"/>
        </w:rPr>
        <w:t xml:space="preserve">. </w:t>
      </w:r>
    </w:p>
    <w:p w14:paraId="0219201E" w14:textId="77777777" w:rsidR="00590100" w:rsidRPr="00CE0712" w:rsidRDefault="00590100" w:rsidP="00590100">
      <w:pPr>
        <w:spacing w:after="120" w:line="276" w:lineRule="auto"/>
        <w:ind w:firstLine="709"/>
        <w:jc w:val="both"/>
        <w:rPr>
          <w:rFonts w:ascii="Verdana" w:hAnsi="Verdana" w:cs="Arial"/>
          <w:bCs/>
          <w:lang w:eastAsia="es-CO"/>
        </w:rPr>
      </w:pPr>
      <w:r w:rsidRPr="00195E24">
        <w:rPr>
          <w:rFonts w:ascii="Verdana" w:hAnsi="Verdana" w:cs="Arial"/>
          <w:bCs/>
          <w:lang w:eastAsia="es-CO"/>
        </w:rPr>
        <w:t xml:space="preserve">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195E24">
        <w:rPr>
          <w:rFonts w:ascii="Verdana" w:hAnsi="Verdana" w:cs="Arial"/>
          <w:bCs/>
          <w:i/>
          <w:iCs/>
          <w:lang w:eastAsia="es-CO"/>
        </w:rPr>
        <w:t>“contratación directa”.</w:t>
      </w:r>
    </w:p>
    <w:p w14:paraId="18F1D1DA" w14:textId="77777777" w:rsidR="00590100" w:rsidRDefault="00590100" w:rsidP="00590100">
      <w:pPr>
        <w:spacing w:after="120" w:line="276" w:lineRule="auto"/>
        <w:ind w:firstLine="709"/>
        <w:jc w:val="both"/>
        <w:rPr>
          <w:rFonts w:ascii="Verdana" w:hAnsi="Verdana" w:cs="Arial"/>
          <w:vertAlign w:val="superscript"/>
          <w:lang w:eastAsia="x-none"/>
        </w:rPr>
      </w:pPr>
      <w:r w:rsidRPr="00195E24">
        <w:rPr>
          <w:rFonts w:ascii="Verdana" w:hAnsi="Verdana" w:cs="Arial"/>
          <w:bCs/>
          <w:lang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7E27D9">
        <w:rPr>
          <w:rFonts w:ascii="Verdana" w:hAnsi="Verdana" w:cs="Arial"/>
          <w:vertAlign w:val="superscript"/>
          <w:lang w:eastAsia="x-none"/>
        </w:rPr>
        <w:footnoteReference w:id="18"/>
      </w:r>
      <w:r w:rsidRPr="007E27D9">
        <w:rPr>
          <w:rFonts w:ascii="Verdana" w:hAnsi="Verdana" w:cs="Arial"/>
          <w:lang w:eastAsia="x-none"/>
        </w:rPr>
        <w:t>.</w:t>
      </w:r>
      <w:r w:rsidRPr="007E27D9">
        <w:rPr>
          <w:rFonts w:ascii="Verdana" w:hAnsi="Verdana" w:cs="Arial"/>
          <w:vertAlign w:val="superscript"/>
          <w:lang w:eastAsia="x-none"/>
        </w:rPr>
        <w:t xml:space="preserve"> </w:t>
      </w:r>
    </w:p>
    <w:p w14:paraId="100C5F75" w14:textId="77777777" w:rsidR="00590100" w:rsidRPr="007E27D9" w:rsidRDefault="00590100" w:rsidP="00590100">
      <w:pPr>
        <w:spacing w:after="120" w:line="276" w:lineRule="auto"/>
        <w:ind w:firstLine="709"/>
        <w:jc w:val="both"/>
        <w:rPr>
          <w:rFonts w:ascii="Verdana" w:hAnsi="Verdana" w:cs="Arial"/>
          <w:lang w:eastAsia="x-none"/>
        </w:rPr>
      </w:pPr>
      <w:r w:rsidRPr="00AD17FF">
        <w:rPr>
          <w:rFonts w:ascii="Verdana" w:hAnsi="Verdana" w:cs="Arial"/>
          <w:lang w:eastAsia="x-none"/>
        </w:rPr>
        <w:t>Lo anterior supone que, en aquellos procedimientos que contemplen convocatorias o invitaciones para contratar que se limiten a aquellas personas que previamente se hayan inscrito en una lista de precalificados o de interesados, lo determinante para considerar que dicho sistema no constituye “contratación directa”, es que la convocatoria para inscribirse en forma previa se haga de manera pública, y que se permita la participación de una pluralidad de oferentes3. Esta circunstancia no se extiende a la contratación directa aplicable en algunos regímenes especiales con listas de precalificados, ya que a efecto de que no se configure la contratación directa, la selección del futuro contratista debe darse en términos de competencia</w:t>
      </w:r>
      <w:r>
        <w:rPr>
          <w:rStyle w:val="Refdenotaalpie"/>
          <w:rFonts w:ascii="Verdana" w:hAnsi="Verdana" w:cs="Arial"/>
          <w:lang w:eastAsia="x-none"/>
        </w:rPr>
        <w:footnoteReference w:id="19"/>
      </w:r>
      <w:r w:rsidRPr="00AD17FF">
        <w:rPr>
          <w:rFonts w:ascii="Verdana" w:hAnsi="Verdana" w:cs="Arial"/>
          <w:lang w:eastAsia="x-none"/>
        </w:rPr>
        <w:t>.</w:t>
      </w:r>
    </w:p>
    <w:p w14:paraId="45B6CC04" w14:textId="77777777" w:rsidR="00590100" w:rsidRPr="007E27D9" w:rsidRDefault="00590100" w:rsidP="00590100">
      <w:pPr>
        <w:spacing w:after="120" w:line="276" w:lineRule="auto"/>
        <w:ind w:firstLine="709"/>
        <w:jc w:val="both"/>
        <w:rPr>
          <w:rFonts w:ascii="Verdana" w:hAnsi="Verdana" w:cs="Arial"/>
          <w:lang w:eastAsia="x-none"/>
        </w:rPr>
      </w:pPr>
      <w:r w:rsidRPr="00195E24">
        <w:rPr>
          <w:rFonts w:ascii="Verdana" w:hAnsi="Verdana" w:cs="Arial"/>
          <w:bCs/>
          <w:lang w:eastAsia="x-none"/>
        </w:rPr>
        <w:t>De lo anterior se desprende que la restricción aplica, sin perjuicio de las excepciones establecidas en la misma ley</w:t>
      </w:r>
      <w:r w:rsidRPr="00671D27">
        <w:rPr>
          <w:rFonts w:ascii="Verdana" w:hAnsi="Verdana" w:cs="Arial"/>
          <w:bCs/>
          <w:lang w:eastAsia="x-none"/>
        </w:rPr>
        <w:t>, para celebrar cualquier contrato de forma directa, esto es, sin que exista un proceso abierto y competitivo.</w:t>
      </w:r>
      <w:r w:rsidRPr="00671D27">
        <w:rPr>
          <w:rFonts w:ascii="Verdana" w:hAnsi="Verdana" w:cs="Arial"/>
          <w:lang w:eastAsia="x-none"/>
        </w:rPr>
        <w:t xml:space="preserve"> Por tanto, no son materia de la prohibición las demás modalidades de selección previstas en la Ley 1150 de 2007, es decir, la licitación pública, el concurso de méritos, la selección abreviada y la contratación de mínima cuantía, razón por la cual en el</w:t>
      </w:r>
      <w:r w:rsidRPr="00195E24">
        <w:rPr>
          <w:rFonts w:ascii="Verdana" w:hAnsi="Verdana" w:cs="Arial"/>
          <w:lang w:eastAsia="x-none"/>
        </w:rPr>
        <w:t xml:space="preserve"> período preelectoral de que trata la disposición las entidades públicas pueden seguir contratando bajo estos sistemas</w:t>
      </w:r>
      <w:r w:rsidRPr="007E27D9">
        <w:rPr>
          <w:rFonts w:ascii="Verdana" w:hAnsi="Verdana" w:cs="Arial"/>
          <w:lang w:eastAsia="x-none"/>
        </w:rPr>
        <w:t>.</w:t>
      </w:r>
    </w:p>
    <w:p w14:paraId="10BD9E5B" w14:textId="77777777" w:rsidR="00590100" w:rsidRPr="00CE0712" w:rsidRDefault="00590100" w:rsidP="00590100">
      <w:pPr>
        <w:spacing w:after="120" w:line="276" w:lineRule="auto"/>
        <w:ind w:firstLine="709"/>
        <w:jc w:val="both"/>
        <w:rPr>
          <w:rFonts w:ascii="Verdana" w:hAnsi="Verdana" w:cs="Arial"/>
          <w:bCs/>
          <w:color w:val="000000" w:themeColor="text1"/>
          <w:lang w:val="es-MX" w:eastAsia="x-none"/>
        </w:rPr>
      </w:pPr>
      <w:r w:rsidRPr="73D21086">
        <w:rPr>
          <w:rFonts w:ascii="Verdana" w:hAnsi="Verdana" w:cs="Arial"/>
          <w:color w:val="000000" w:themeColor="text1"/>
          <w:lang w:val="es-MX"/>
        </w:rPr>
        <w:t>Ahora bien, en relación con los destinatarios de las restricciones, el artículo 33 de la Ley 996 de 2005 los señala expresamente, en el sentido de que son “</w:t>
      </w:r>
      <w:r w:rsidRPr="73D21086">
        <w:rPr>
          <w:rFonts w:ascii="Verdana" w:hAnsi="Verdana" w:cs="Arial"/>
          <w:i/>
          <w:color w:val="000000" w:themeColor="text1"/>
          <w:lang w:val="es-MX"/>
        </w:rPr>
        <w:t>todos los entes del Estado</w:t>
      </w:r>
      <w:r w:rsidRPr="73D21086">
        <w:rPr>
          <w:rFonts w:ascii="Verdana" w:hAnsi="Verdana" w:cs="Arial"/>
          <w:color w:val="000000" w:themeColor="text1"/>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5570C7EC" w14:textId="77777777" w:rsidR="00590100" w:rsidRDefault="00590100" w:rsidP="00590100">
      <w:pPr>
        <w:spacing w:after="120" w:line="276" w:lineRule="auto"/>
        <w:ind w:firstLine="709"/>
        <w:jc w:val="both"/>
        <w:rPr>
          <w:rFonts w:ascii="Verdana" w:hAnsi="Verdana" w:cs="Arial"/>
          <w:color w:val="000000" w:themeColor="text1"/>
          <w:lang w:val="es-MX"/>
        </w:rPr>
      </w:pPr>
      <w:r w:rsidRPr="73D21086">
        <w:rPr>
          <w:rFonts w:ascii="Verdana" w:hAnsi="Verdana" w:cs="Arial"/>
          <w:color w:val="000000" w:themeColor="text1"/>
          <w:lang w:val="es-MX"/>
        </w:rPr>
        <w:t>La Sala de Consulta y Servicio Civil del Consejo de Estado, en Concepto 1727 del 20 de febrero de 2006, consideró que 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73D21086">
        <w:rPr>
          <w:rFonts w:ascii="Verdana" w:hAnsi="Verdana" w:cs="Arial"/>
          <w:color w:val="000000" w:themeColor="text1"/>
          <w:vertAlign w:val="superscript"/>
          <w:lang w:val="es-MX"/>
        </w:rPr>
        <w:footnoteReference w:id="20"/>
      </w:r>
      <w:r w:rsidRPr="73D21086">
        <w:rPr>
          <w:rFonts w:ascii="Verdana" w:hAnsi="Verdana" w:cs="Arial"/>
          <w:color w:val="000000" w:themeColor="text1"/>
          <w:lang w:val="es-MX"/>
        </w:rPr>
        <w:t xml:space="preserve">. </w:t>
      </w:r>
    </w:p>
    <w:p w14:paraId="62B291C8" w14:textId="77777777" w:rsidR="00590100" w:rsidRPr="002D6B92" w:rsidRDefault="00590100" w:rsidP="00590100">
      <w:pPr>
        <w:spacing w:after="120" w:line="276" w:lineRule="auto"/>
        <w:ind w:firstLine="709"/>
        <w:jc w:val="both"/>
        <w:rPr>
          <w:rFonts w:ascii="Verdana" w:hAnsi="Verdana" w:cs="Arial"/>
          <w:color w:val="000000" w:themeColor="text1"/>
          <w:lang w:val="es-MX"/>
        </w:rPr>
      </w:pPr>
      <w:r w:rsidRPr="73D21086">
        <w:rPr>
          <w:rFonts w:ascii="Verdana" w:hAnsi="Verdana" w:cs="Arial"/>
          <w:color w:val="000000" w:themeColor="text1"/>
          <w:lang w:val="es-MX"/>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CE0D82">
        <w:rPr>
          <w:rFonts w:ascii="Verdana" w:hAnsi="Verdana" w:cs="Arial"/>
          <w:color w:val="000000" w:themeColor="text1"/>
          <w:vertAlign w:val="superscript"/>
          <w:lang w:val="es-MX"/>
        </w:rPr>
        <w:footnoteReference w:id="21"/>
      </w:r>
      <w:r w:rsidRPr="73D21086">
        <w:rPr>
          <w:rFonts w:ascii="Verdana" w:hAnsi="Verdana" w:cs="Arial"/>
          <w:color w:val="000000" w:themeColor="text1"/>
          <w:lang w:val="es-MX"/>
        </w:rPr>
        <w:t>.</w:t>
      </w:r>
      <w:r w:rsidRPr="00CE0D82">
        <w:rPr>
          <w:rFonts w:ascii="Verdana" w:hAnsi="Verdana" w:cs="Arial"/>
          <w:color w:val="000000" w:themeColor="text1"/>
          <w:lang w:val="es-MX"/>
        </w:rPr>
        <w:t xml:space="preserve"> Además, la Sala de Consulta y Servicio Civil del Consejo de Estado realizó la siguiente distinción, retomando el pronunciamiento de la misma sala del 20 de febrero de 2006, citado anteriormente:</w:t>
      </w:r>
    </w:p>
    <w:p w14:paraId="778F98D1" w14:textId="77777777" w:rsidR="00590100" w:rsidRPr="005800D0" w:rsidRDefault="00590100" w:rsidP="00590100">
      <w:pPr>
        <w:spacing w:after="0" w:line="240" w:lineRule="auto"/>
        <w:ind w:left="709" w:right="709"/>
        <w:jc w:val="both"/>
        <w:rPr>
          <w:rFonts w:ascii="Verdana" w:hAnsi="Verdana" w:cs="Arial"/>
          <w:color w:val="000000" w:themeColor="text1"/>
          <w:sz w:val="20"/>
          <w:szCs w:val="20"/>
          <w:lang w:val="es-MX"/>
        </w:rPr>
      </w:pPr>
      <w:r w:rsidRPr="005800D0">
        <w:rPr>
          <w:rFonts w:ascii="Verdana" w:hAnsi="Verdana" w:cs="Arial"/>
          <w:color w:val="000000" w:themeColor="text1"/>
          <w:sz w:val="20"/>
          <w:szCs w:val="20"/>
          <w:lang w:val="es-MX"/>
        </w:rPr>
        <w:t>“</w:t>
      </w:r>
      <w:r>
        <w:rPr>
          <w:rFonts w:ascii="Verdana" w:hAnsi="Verdana" w:cs="Arial"/>
          <w:color w:val="000000" w:themeColor="text1"/>
          <w:sz w:val="20"/>
          <w:szCs w:val="20"/>
          <w:lang w:val="es-MX"/>
        </w:rPr>
        <w:t>(…)</w:t>
      </w:r>
      <w:r w:rsidRPr="005800D0">
        <w:rPr>
          <w:rFonts w:ascii="Verdana" w:hAnsi="Verdana" w:cs="Arial"/>
          <w:color w:val="000000" w:themeColor="text1"/>
          <w:sz w:val="20"/>
          <w:szCs w:val="20"/>
          <w:lang w:val="es-MX"/>
        </w:rPr>
        <w:t xml:space="preserve"> 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5AE69118" w14:textId="77777777" w:rsidR="00590100" w:rsidRDefault="00590100" w:rsidP="00590100">
      <w:pPr>
        <w:spacing w:after="0" w:line="240" w:lineRule="auto"/>
        <w:ind w:left="709" w:right="709"/>
        <w:jc w:val="both"/>
        <w:rPr>
          <w:rFonts w:ascii="Verdana" w:hAnsi="Verdana" w:cs="Arial"/>
          <w:color w:val="000000" w:themeColor="text1"/>
          <w:sz w:val="20"/>
          <w:szCs w:val="20"/>
          <w:lang w:val="es-MX"/>
        </w:rPr>
      </w:pPr>
    </w:p>
    <w:p w14:paraId="5A5939A2" w14:textId="77777777" w:rsidR="00590100" w:rsidRPr="00AA5D69" w:rsidRDefault="00590100" w:rsidP="00590100">
      <w:pPr>
        <w:spacing w:after="0" w:line="240" w:lineRule="auto"/>
        <w:ind w:left="709" w:right="709"/>
        <w:jc w:val="both"/>
        <w:rPr>
          <w:rFonts w:ascii="Verdana" w:hAnsi="Verdana" w:cs="Arial"/>
          <w:color w:val="000000" w:themeColor="text1"/>
          <w:sz w:val="20"/>
          <w:szCs w:val="20"/>
          <w:lang w:val="es-MX" w:eastAsia="x-none"/>
        </w:rPr>
      </w:pPr>
      <w:r w:rsidRPr="005800D0">
        <w:rPr>
          <w:rFonts w:ascii="Verdana" w:hAnsi="Verdana" w:cs="Arial"/>
          <w:color w:val="000000" w:themeColor="text1"/>
          <w:sz w:val="20"/>
          <w:szCs w:val="20"/>
          <w:lang w:val="es-MX"/>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Pr>
          <w:rFonts w:ascii="Verdana" w:hAnsi="Verdana" w:cs="Arial"/>
          <w:color w:val="000000" w:themeColor="text1"/>
          <w:sz w:val="20"/>
          <w:szCs w:val="20"/>
          <w:lang w:val="es-MX"/>
        </w:rPr>
        <w:t>”</w:t>
      </w:r>
      <w:r w:rsidRPr="005800D0">
        <w:rPr>
          <w:rFonts w:ascii="Verdana" w:hAnsi="Verdana" w:cs="Arial"/>
          <w:color w:val="000000" w:themeColor="text1"/>
          <w:sz w:val="20"/>
          <w:szCs w:val="20"/>
          <w:vertAlign w:val="superscript"/>
          <w:lang w:val="es-MX"/>
        </w:rPr>
        <w:footnoteReference w:id="22"/>
      </w:r>
      <w:r w:rsidRPr="005800D0">
        <w:rPr>
          <w:rFonts w:ascii="Verdana" w:hAnsi="Verdana" w:cs="Arial"/>
          <w:color w:val="000000" w:themeColor="text1"/>
          <w:sz w:val="20"/>
          <w:szCs w:val="20"/>
          <w:lang w:val="es-MX" w:eastAsia="x-none"/>
        </w:rPr>
        <w:t>.</w:t>
      </w:r>
    </w:p>
    <w:p w14:paraId="2C04D59E" w14:textId="77777777" w:rsidR="00590100" w:rsidRDefault="00590100" w:rsidP="00590100">
      <w:pPr>
        <w:spacing w:after="0" w:line="240" w:lineRule="auto"/>
        <w:ind w:firstLine="709"/>
        <w:jc w:val="both"/>
        <w:rPr>
          <w:rFonts w:ascii="Verdana" w:hAnsi="Verdana" w:cs="Arial"/>
          <w:color w:val="000000" w:themeColor="text1"/>
          <w:lang w:val="es-MX"/>
        </w:rPr>
      </w:pPr>
    </w:p>
    <w:p w14:paraId="5083D91A" w14:textId="77777777" w:rsidR="00590100" w:rsidRDefault="00590100" w:rsidP="00590100">
      <w:pPr>
        <w:spacing w:after="120" w:line="276" w:lineRule="auto"/>
        <w:ind w:firstLine="709"/>
        <w:jc w:val="both"/>
        <w:rPr>
          <w:rFonts w:ascii="Verdana" w:hAnsi="Verdana" w:cs="Arial"/>
          <w:color w:val="000000" w:themeColor="text1"/>
          <w:lang w:eastAsia="es-CO"/>
        </w:rPr>
      </w:pPr>
      <w:r w:rsidRPr="00195E24">
        <w:rPr>
          <w:rFonts w:ascii="Verdana" w:hAnsi="Verdana" w:cs="Arial"/>
          <w:color w:val="000000" w:themeColor="text1"/>
          <w:lang w:val="es-MX"/>
        </w:rPr>
        <w:t>De acuerdo con estos pronunciamientos de la Sala de Consulta y Servicio Civil del Consejo de Estado, la prohibición de la contratación directa también aplica frente a las entidades exceptuadas del E</w:t>
      </w:r>
      <w:r>
        <w:rPr>
          <w:rFonts w:ascii="Verdana" w:hAnsi="Verdana" w:cs="Arial"/>
          <w:color w:val="000000" w:themeColor="text1"/>
          <w:lang w:val="es-MX"/>
        </w:rPr>
        <w:t xml:space="preserve">statuto </w:t>
      </w:r>
      <w:r w:rsidRPr="00195E24">
        <w:rPr>
          <w:rFonts w:ascii="Verdana" w:hAnsi="Verdana" w:cs="Arial"/>
          <w:color w:val="000000" w:themeColor="text1"/>
          <w:lang w:val="es-MX"/>
        </w:rPr>
        <w:t>G</w:t>
      </w:r>
      <w:r>
        <w:rPr>
          <w:rFonts w:ascii="Verdana" w:hAnsi="Verdana" w:cs="Arial"/>
          <w:color w:val="000000" w:themeColor="text1"/>
          <w:lang w:val="es-MX"/>
        </w:rPr>
        <w:t xml:space="preserve">eneral de </w:t>
      </w:r>
      <w:r w:rsidRPr="00195E24">
        <w:rPr>
          <w:rFonts w:ascii="Verdana" w:hAnsi="Verdana" w:cs="Arial"/>
          <w:color w:val="000000" w:themeColor="text1"/>
          <w:lang w:val="es-MX"/>
        </w:rPr>
        <w:t>C</w:t>
      </w:r>
      <w:r>
        <w:rPr>
          <w:rFonts w:ascii="Verdana" w:hAnsi="Verdana" w:cs="Arial"/>
          <w:color w:val="000000" w:themeColor="text1"/>
          <w:lang w:val="es-MX"/>
        </w:rPr>
        <w:t xml:space="preserve">ontratación de la </w:t>
      </w:r>
      <w:r w:rsidRPr="00195E24">
        <w:rPr>
          <w:rFonts w:ascii="Verdana" w:hAnsi="Verdana" w:cs="Arial"/>
          <w:color w:val="000000" w:themeColor="text1"/>
          <w:lang w:val="es-MX"/>
        </w:rPr>
        <w:t>A</w:t>
      </w:r>
      <w:r>
        <w:rPr>
          <w:rFonts w:ascii="Verdana" w:hAnsi="Verdana" w:cs="Arial"/>
          <w:color w:val="000000" w:themeColor="text1"/>
          <w:lang w:val="es-MX"/>
        </w:rPr>
        <w:t xml:space="preserve">dministración </w:t>
      </w:r>
      <w:r w:rsidRPr="00195E24">
        <w:rPr>
          <w:rFonts w:ascii="Verdana" w:hAnsi="Verdana" w:cs="Arial"/>
          <w:color w:val="000000" w:themeColor="text1"/>
          <w:lang w:val="es-MX"/>
        </w:rPr>
        <w:t>P</w:t>
      </w:r>
      <w:r>
        <w:rPr>
          <w:rFonts w:ascii="Verdana" w:hAnsi="Verdana" w:cs="Arial"/>
          <w:color w:val="000000" w:themeColor="text1"/>
          <w:lang w:val="es-MX"/>
        </w:rPr>
        <w:t>ública</w:t>
      </w:r>
      <w:r w:rsidRPr="00195E24">
        <w:rPr>
          <w:rFonts w:ascii="Verdana" w:hAnsi="Verdana" w:cs="Arial"/>
          <w:color w:val="000000" w:themeColor="text1"/>
          <w:lang w:val="es-MX"/>
        </w:rPr>
        <w:t xml:space="preserve"> y que se rigen en materia contractual por el derecho privado. Sin embargo, señaló que algunas de estas entidades, como sucede con las empresas de servicios públicos domiciliarios, los </w:t>
      </w:r>
      <w:r w:rsidRPr="73D21086">
        <w:rPr>
          <w:rFonts w:ascii="Verdana" w:hAnsi="Verdana" w:cs="Arial"/>
          <w:color w:val="000000" w:themeColor="text1"/>
          <w:lang w:val="es-MX"/>
        </w:rPr>
        <w:t>establecimientos de crédito, las sociedades de servicios financieros y las entidades aseguradoras</w:t>
      </w:r>
      <w:r w:rsidRPr="00195E24">
        <w:rPr>
          <w:rFonts w:ascii="Verdana" w:hAnsi="Verdana" w:cs="Arial"/>
          <w:color w:val="000000" w:themeColor="text1"/>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195E24">
        <w:rPr>
          <w:rFonts w:ascii="Verdana" w:hAnsi="Verdana" w:cs="Arial"/>
          <w:color w:val="000000" w:themeColor="text1"/>
          <w:vertAlign w:val="superscript"/>
          <w:lang w:val="es-MX"/>
        </w:rPr>
        <w:footnoteReference w:id="23"/>
      </w:r>
      <w:r w:rsidRPr="00195E24">
        <w:rPr>
          <w:rFonts w:ascii="Verdana" w:hAnsi="Verdana" w:cs="Arial"/>
          <w:color w:val="000000" w:themeColor="text1"/>
          <w:lang w:val="es-MX"/>
        </w:rPr>
        <w:t>.</w:t>
      </w:r>
      <w:r w:rsidRPr="00195E24">
        <w:rPr>
          <w:rFonts w:ascii="Verdana" w:hAnsi="Verdana" w:cs="Arial"/>
          <w:color w:val="000000" w:themeColor="text1"/>
          <w:lang w:eastAsia="es-CO"/>
        </w:rPr>
        <w:t xml:space="preserve"> </w:t>
      </w:r>
    </w:p>
    <w:p w14:paraId="6D2C97F4" w14:textId="77777777" w:rsidR="00590100" w:rsidRPr="00195E24" w:rsidRDefault="00590100" w:rsidP="00590100">
      <w:pPr>
        <w:spacing w:after="120" w:line="276" w:lineRule="auto"/>
        <w:ind w:firstLine="709"/>
        <w:jc w:val="both"/>
        <w:rPr>
          <w:rFonts w:ascii="Verdana" w:hAnsi="Verdana" w:cs="Arial"/>
          <w:color w:val="000000" w:themeColor="text1"/>
          <w:lang w:eastAsia="es-CO"/>
        </w:rPr>
      </w:pPr>
      <w:r w:rsidRPr="00CE0D82">
        <w:rPr>
          <w:rFonts w:ascii="Verdana" w:hAnsi="Verdana" w:cs="Arial"/>
          <w:color w:val="000000" w:themeColor="text1"/>
          <w:lang w:eastAsia="es-CO"/>
        </w:rPr>
        <w:t>Sin perjuicio de estos pronunciamientos de la Sala de Consulta y Servicio Civil</w:t>
      </w:r>
      <w:r w:rsidRPr="00CE0D82">
        <w:rPr>
          <w:rFonts w:ascii="Verdana" w:hAnsi="Verdana" w:cs="Arial"/>
          <w:color w:val="000000" w:themeColor="text1"/>
          <w:lang w:val="es-MX"/>
        </w:rPr>
        <w:t xml:space="preserve">, como la ha señalado esa misma Corporación, la restricción prevista en la Ley 996 de 2005 </w:t>
      </w:r>
      <w:r w:rsidRPr="00CE0D82">
        <w:rPr>
          <w:rFonts w:ascii="Verdana" w:hAnsi="Verdana" w:cs="Arial"/>
          <w:bCs/>
          <w:color w:val="000000" w:themeColor="text1"/>
          <w:lang w:val="es-MX" w:eastAsia="x-none"/>
        </w:rPr>
        <w:t xml:space="preserve">cobija a cualquier entidad pública independiente del régimen jurídico, que pueda mediante la contratación directa romper el equilibrio entre los candidatos en desarrollo de las elecciones presidenciales. </w:t>
      </w:r>
    </w:p>
    <w:p w14:paraId="62CE5FDA" w14:textId="77777777" w:rsidR="00590100" w:rsidRPr="00CE0712" w:rsidRDefault="00590100" w:rsidP="00590100">
      <w:pPr>
        <w:spacing w:after="120" w:line="276" w:lineRule="auto"/>
        <w:ind w:firstLine="709"/>
        <w:jc w:val="both"/>
        <w:rPr>
          <w:rFonts w:ascii="Verdana" w:hAnsi="Verdana" w:cs="Arial"/>
          <w:bCs/>
          <w:color w:val="000000" w:themeColor="text1"/>
          <w:lang w:val="es-MX" w:eastAsia="x-none"/>
        </w:rPr>
      </w:pPr>
      <w:r w:rsidRPr="73D21086">
        <w:rPr>
          <w:rFonts w:ascii="Verdana" w:hAnsi="Verdana" w:cs="Arial"/>
          <w:color w:val="000000" w:themeColor="text1"/>
          <w:lang w:val="es-MX"/>
        </w:rPr>
        <w:t xml:space="preserve">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14:paraId="224023E9" w14:textId="77777777" w:rsidR="00590100" w:rsidRDefault="00590100" w:rsidP="00590100">
      <w:pPr>
        <w:spacing w:after="120" w:line="276" w:lineRule="auto"/>
        <w:ind w:firstLine="709"/>
        <w:jc w:val="both"/>
        <w:rPr>
          <w:rFonts w:ascii="Verdana" w:hAnsi="Verdana" w:cs="Arial"/>
          <w:bCs/>
          <w:lang w:eastAsia="x-none"/>
        </w:rPr>
      </w:pPr>
      <w:r w:rsidRPr="00E36918">
        <w:rPr>
          <w:rFonts w:ascii="Verdana" w:eastAsia="Times New Roman" w:hAnsi="Verdana" w:cs="Arial"/>
          <w:bCs/>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ii) los contratos de crédito público; iii) los requeridos para cubrir las emergencias educativas, sanitarias y desastres; </w:t>
      </w:r>
      <w:proofErr w:type="spellStart"/>
      <w:r w:rsidRPr="00E36918">
        <w:rPr>
          <w:rFonts w:ascii="Verdana" w:eastAsia="Times New Roman" w:hAnsi="Verdana" w:cs="Arial"/>
          <w:bCs/>
          <w:lang w:val="es-ES" w:eastAsia="es-CO" w:bidi="es-ES"/>
        </w:rPr>
        <w:t>iv</w:t>
      </w:r>
      <w:proofErr w:type="spellEnd"/>
      <w:r w:rsidRPr="00E36918">
        <w:rPr>
          <w:rFonts w:ascii="Verdana" w:eastAsia="Times New Roman" w:hAnsi="Verdana" w:cs="Arial"/>
          <w:bCs/>
          <w:lang w:val="es-ES" w:eastAsia="es-CO" w:bidi="es-ES"/>
        </w:rPr>
        <w:t xml:space="preserve">)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En todo caso, </w:t>
      </w:r>
      <w:r w:rsidRPr="00E36918">
        <w:rPr>
          <w:rFonts w:ascii="Verdana" w:hAnsi="Verdana" w:cs="Arial"/>
          <w:bCs/>
          <w:lang w:eastAsia="x-none"/>
        </w:rPr>
        <w:t xml:space="preserve">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   </w:t>
      </w:r>
    </w:p>
    <w:p w14:paraId="11AE62D6" w14:textId="77777777" w:rsidR="00590100" w:rsidRDefault="00590100" w:rsidP="00590100">
      <w:pPr>
        <w:spacing w:after="120" w:line="276" w:lineRule="auto"/>
        <w:ind w:firstLine="709"/>
        <w:jc w:val="both"/>
        <w:rPr>
          <w:rFonts w:ascii="Verdana" w:hAnsi="Verdana" w:cs="Arial"/>
          <w:bCs/>
          <w:lang w:val="es-MX" w:eastAsia="x-none"/>
        </w:rPr>
      </w:pPr>
      <w:r w:rsidRPr="00F8199A">
        <w:rPr>
          <w:rFonts w:ascii="Verdana" w:hAnsi="Verdana" w:cs="Arial"/>
          <w:bCs/>
          <w:lang w:val="es-MX" w:eastAsia="x-none"/>
        </w:rPr>
        <w:t xml:space="preserve">En esta labor es importante tener en cuenta, como lo anotó la Corte Constitucional, en Sentencia C-1153 de noviembre 11 de 2005 que </w:t>
      </w:r>
      <w:r>
        <w:rPr>
          <w:rFonts w:ascii="Verdana" w:hAnsi="Verdana" w:cs="Arial"/>
          <w:bCs/>
          <w:lang w:val="es-MX" w:eastAsia="x-none"/>
        </w:rPr>
        <w:t>“</w:t>
      </w:r>
      <w:r w:rsidRPr="00F8199A">
        <w:rPr>
          <w:rFonts w:ascii="Verdana" w:hAnsi="Verdana" w:cs="Arial"/>
          <w:bCs/>
          <w:lang w:val="es-MX" w:eastAsia="x-none"/>
        </w:rPr>
        <w:t>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Pr>
          <w:rFonts w:ascii="Verdana" w:hAnsi="Verdana" w:cs="Arial"/>
          <w:bCs/>
          <w:lang w:val="es-MX" w:eastAsia="x-none"/>
        </w:rPr>
        <w:t>”</w:t>
      </w:r>
      <w:r w:rsidRPr="00F8199A">
        <w:rPr>
          <w:rFonts w:ascii="Verdana" w:hAnsi="Verdana" w:cs="Arial"/>
          <w:vertAlign w:val="superscript"/>
          <w:lang w:val="es-MX"/>
        </w:rPr>
        <w:footnoteReference w:id="24"/>
      </w:r>
      <w:r w:rsidRPr="00F8199A">
        <w:rPr>
          <w:rFonts w:ascii="Verdana"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6A126044" w14:textId="77777777" w:rsidR="00590100" w:rsidRPr="0004207F" w:rsidRDefault="00590100" w:rsidP="00590100">
      <w:pPr>
        <w:spacing w:after="120" w:line="276" w:lineRule="auto"/>
        <w:ind w:firstLine="709"/>
        <w:jc w:val="both"/>
        <w:rPr>
          <w:rFonts w:ascii="Verdana" w:hAnsi="Verdana" w:cs="Arial"/>
          <w:bCs/>
          <w:lang w:val="es-MX" w:eastAsia="x-none"/>
        </w:rPr>
      </w:pPr>
      <w:r w:rsidRPr="0004207F">
        <w:rPr>
          <w:rFonts w:ascii="Verdana" w:hAnsi="Verdana"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w:t>
      </w:r>
      <w:r>
        <w:rPr>
          <w:rFonts w:ascii="Verdana" w:hAnsi="Verdana" w:cs="Arial"/>
          <w:bCs/>
          <w:lang w:val="es-MX" w:eastAsia="x-none"/>
        </w:rPr>
        <w:t>(…)</w:t>
      </w:r>
      <w:r w:rsidRPr="0004207F">
        <w:rPr>
          <w:rFonts w:ascii="Verdana" w:hAnsi="Verdana" w:cs="Arial"/>
          <w:bCs/>
          <w:lang w:val="es-MX" w:eastAsia="x-none"/>
        </w:rPr>
        <w:t xml:space="preserve"> Las excepciones establecidas en los artículos 32 y 33 en comento, guardan relación, exclusivamente, con algunos servicios públicos que por su naturaleza no admiten postergaciones en la atención de sus necesidades de personal, bienes y servicios </w:t>
      </w:r>
      <w:r>
        <w:rPr>
          <w:rFonts w:ascii="Verdana" w:hAnsi="Verdana" w:cs="Arial"/>
          <w:bCs/>
          <w:lang w:val="es-MX" w:eastAsia="x-none"/>
        </w:rPr>
        <w:t>(…)</w:t>
      </w:r>
      <w:r w:rsidRPr="0004207F">
        <w:rPr>
          <w:rFonts w:ascii="Verdana" w:hAnsi="Verdana" w:cs="Arial"/>
          <w:bCs/>
          <w:lang w:val="es-MX" w:eastAsia="x-none"/>
        </w:rPr>
        <w:t>”</w:t>
      </w:r>
      <w:r w:rsidRPr="0004207F">
        <w:rPr>
          <w:rStyle w:val="Refdenotaalpie"/>
          <w:rFonts w:ascii="Verdana" w:hAnsi="Verdana" w:cs="Arial"/>
          <w:lang w:val="es-ES_tradnl" w:eastAsia="es-CO"/>
        </w:rPr>
        <w:footnoteReference w:id="25"/>
      </w:r>
      <w:r w:rsidRPr="0004207F">
        <w:rPr>
          <w:rFonts w:ascii="Verdana" w:hAnsi="Verdana" w:cs="Arial"/>
          <w:bCs/>
          <w:lang w:val="es-MX" w:eastAsia="x-none"/>
        </w:rPr>
        <w:t>.</w:t>
      </w:r>
    </w:p>
    <w:p w14:paraId="5E03F734" w14:textId="77777777" w:rsidR="00590100" w:rsidRPr="0004207F" w:rsidRDefault="00590100" w:rsidP="00590100">
      <w:pPr>
        <w:shd w:val="clear" w:color="auto" w:fill="FFFFFF" w:themeFill="background1"/>
        <w:spacing w:line="276" w:lineRule="auto"/>
        <w:ind w:firstLine="709"/>
        <w:jc w:val="both"/>
        <w:rPr>
          <w:rFonts w:ascii="Verdana" w:hAnsi="Verdana" w:cs="Arial"/>
          <w:lang w:val="es-ES" w:eastAsia="es-CO"/>
        </w:rPr>
      </w:pPr>
      <w:r w:rsidRPr="2E79A5E2">
        <w:rPr>
          <w:rFonts w:ascii="Verdana" w:hAnsi="Verdana" w:cs="Arial"/>
          <w:lang w:val="es-ES" w:eastAsia="es-CO"/>
        </w:rPr>
        <w:t>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exequibilidad. Así, por ejemplo, la Corte Constitucional explicó que “</w:t>
      </w:r>
      <w:r>
        <w:rPr>
          <w:rFonts w:ascii="Verdana" w:hAnsi="Verdana" w:cs="Arial"/>
          <w:lang w:val="es-ES" w:eastAsia="es-CO"/>
        </w:rPr>
        <w:t>(…)</w:t>
      </w:r>
      <w:r w:rsidRPr="2E79A5E2">
        <w:rPr>
          <w:rFonts w:ascii="Verdana" w:hAnsi="Verdana" w:cs="Arial"/>
          <w:lang w:val="es-ES" w:eastAsia="es-CO"/>
        </w:rPr>
        <w:t xml:space="preserve">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2E79A5E2">
        <w:rPr>
          <w:rStyle w:val="Refdenotaalpie"/>
          <w:rFonts w:ascii="Verdana" w:hAnsi="Verdana" w:cs="Arial"/>
          <w:lang w:val="es-ES" w:eastAsia="es-CO"/>
        </w:rPr>
        <w:footnoteReference w:id="26"/>
      </w:r>
      <w:r w:rsidRPr="2E79A5E2">
        <w:rPr>
          <w:rFonts w:ascii="Verdana" w:hAnsi="Verdana" w:cs="Arial"/>
          <w:lang w:val="es-ES" w:eastAsia="es-CO"/>
        </w:rPr>
        <w:t xml:space="preserve">. </w:t>
      </w:r>
    </w:p>
    <w:p w14:paraId="592F7250" w14:textId="77777777" w:rsidR="00590100" w:rsidRPr="0004207F" w:rsidRDefault="00590100" w:rsidP="00590100">
      <w:pPr>
        <w:shd w:val="clear" w:color="auto" w:fill="FFFFFF"/>
        <w:spacing w:line="276" w:lineRule="auto"/>
        <w:ind w:firstLine="709"/>
        <w:jc w:val="both"/>
        <w:rPr>
          <w:rFonts w:ascii="Verdana" w:hAnsi="Verdana" w:cs="Arial"/>
          <w:lang w:val="es-ES_tradnl" w:eastAsia="es-CO"/>
        </w:rPr>
      </w:pPr>
      <w:r w:rsidRPr="0004207F">
        <w:rPr>
          <w:rFonts w:ascii="Verdana" w:hAnsi="Verdana" w:cs="Arial"/>
          <w:bCs/>
          <w:lang w:val="es-ES_tradnl"/>
        </w:rPr>
        <w:t>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p>
    <w:p w14:paraId="0C413A89" w14:textId="77777777" w:rsidR="00590100" w:rsidRDefault="00590100" w:rsidP="00590100">
      <w:pPr>
        <w:spacing w:after="0" w:line="276" w:lineRule="auto"/>
        <w:ind w:firstLine="709"/>
        <w:jc w:val="both"/>
        <w:rPr>
          <w:rFonts w:ascii="Verdana" w:eastAsia="Calibri" w:hAnsi="Verdana" w:cs="Arial"/>
          <w:lang w:val="es-ES"/>
        </w:rPr>
      </w:pPr>
      <w:r w:rsidRPr="00B91291">
        <w:rPr>
          <w:rFonts w:ascii="Verdana" w:hAnsi="Verdana" w:cs="Arial"/>
          <w:lang w:val="es-ES"/>
        </w:rPr>
        <w:t xml:space="preserve">Ahora bien, respecto del alcance del parágrafo </w:t>
      </w:r>
      <w:r w:rsidRPr="00B91291">
        <w:rPr>
          <w:rFonts w:ascii="Verdana" w:hAnsi="Verdana" w:cs="Arial"/>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B91291">
        <w:rPr>
          <w:rFonts w:ascii="Verdana" w:hAnsi="Verdana" w:cs="Arial"/>
          <w:i/>
          <w:iCs/>
        </w:rPr>
        <w:t>convenios interadministrativos</w:t>
      </w:r>
      <w:r w:rsidRPr="00B91291">
        <w:rPr>
          <w:rFonts w:ascii="Verdana" w:hAnsi="Verdana" w:cs="Arial"/>
        </w:rPr>
        <w:t xml:space="preserve"> </w:t>
      </w:r>
      <w:r w:rsidRPr="00B91291">
        <w:rPr>
          <w:rFonts w:ascii="Verdana" w:hAnsi="Verdana" w:cs="Arial"/>
          <w:i/>
          <w:iCs/>
        </w:rPr>
        <w:t>para la ejecución de recursos públicos</w:t>
      </w:r>
      <w:r w:rsidRPr="00B91291">
        <w:rPr>
          <w:rFonts w:ascii="Verdana" w:hAnsi="Verdana" w:cs="Arial"/>
        </w:rPr>
        <w:t>”.</w:t>
      </w:r>
      <w:r w:rsidRPr="00B91291">
        <w:rPr>
          <w:rFonts w:ascii="Verdana" w:eastAsia="Times New Roman" w:hAnsi="Verdana" w:cs="Arial"/>
          <w:lang w:val="es-MX" w:eastAsia="x-none"/>
        </w:rPr>
        <w:t xml:space="preserve"> </w:t>
      </w:r>
      <w:r>
        <w:rPr>
          <w:rFonts w:ascii="Verdana" w:eastAsia="Times New Roman" w:hAnsi="Verdana" w:cs="Arial"/>
          <w:lang w:val="es-MX" w:eastAsia="x-none"/>
        </w:rPr>
        <w:t>(</w:t>
      </w:r>
      <w:r w:rsidRPr="00B91291">
        <w:rPr>
          <w:rFonts w:ascii="Verdana" w:eastAsia="Times New Roman" w:hAnsi="Verdana" w:cs="Arial"/>
          <w:lang w:val="es-MX" w:eastAsia="x-none"/>
        </w:rPr>
        <w:t>Énfasis fuera del texto original</w:t>
      </w:r>
      <w:r>
        <w:rPr>
          <w:rFonts w:ascii="Verdana" w:eastAsia="Times New Roman" w:hAnsi="Verdana" w:cs="Arial"/>
          <w:lang w:val="es-MX" w:eastAsia="x-none"/>
        </w:rPr>
        <w:t>)</w:t>
      </w:r>
    </w:p>
    <w:p w14:paraId="3D6F5A95" w14:textId="77777777" w:rsidR="00590100" w:rsidRDefault="00590100" w:rsidP="00590100">
      <w:pPr>
        <w:spacing w:after="0" w:line="240" w:lineRule="auto"/>
        <w:ind w:firstLine="709"/>
        <w:jc w:val="both"/>
        <w:rPr>
          <w:rFonts w:ascii="Verdana" w:eastAsia="Calibri" w:hAnsi="Verdana" w:cs="Arial"/>
          <w:lang w:val="es-ES"/>
        </w:rPr>
      </w:pPr>
    </w:p>
    <w:p w14:paraId="73F2E489" w14:textId="77777777" w:rsidR="00590100" w:rsidRDefault="00590100" w:rsidP="00590100">
      <w:pPr>
        <w:spacing w:after="0" w:line="276" w:lineRule="auto"/>
        <w:ind w:firstLine="709"/>
        <w:jc w:val="both"/>
        <w:rPr>
          <w:rFonts w:ascii="Verdana" w:eastAsia="Calibri" w:hAnsi="Verdana" w:cs="Arial"/>
          <w:lang w:val="es-ES"/>
        </w:rPr>
      </w:pPr>
      <w:r w:rsidRPr="00B91291">
        <w:rPr>
          <w:rFonts w:ascii="Verdana" w:eastAsia="Times New Roman" w:hAnsi="Verdana" w:cs="Arial"/>
          <w:lang w:val="es-ES" w:eastAsia="es-ES"/>
        </w:rPr>
        <w:t xml:space="preserve">Para tales efectos, debe precisarse que </w:t>
      </w:r>
      <w:r w:rsidRPr="00B91291">
        <w:rPr>
          <w:rFonts w:ascii="Verdana" w:eastAsia="Times New Roman" w:hAnsi="Verdana" w:cs="Arial"/>
          <w:color w:val="000000" w:themeColor="text1"/>
          <w:lang w:val="es-ES" w:eastAsia="es-CO"/>
        </w:rPr>
        <w:t>los contratos o convenios interadministrativos están determinados</w:t>
      </w:r>
      <w:r w:rsidRPr="00667CD6">
        <w:rPr>
          <w:rFonts w:ascii="Verdana" w:eastAsia="Times New Roman" w:hAnsi="Verdana" w:cs="Arial"/>
          <w:color w:val="000000" w:themeColor="text1"/>
          <w:lang w:val="es-ES" w:eastAsia="es-CO"/>
        </w:rPr>
        <w:t xml:space="preserve"> por un criterio orgánico, pues es necesario que los extremos de la relación contractual sean entidades públicas, </w:t>
      </w:r>
      <w:r w:rsidRPr="00667CD6">
        <w:rPr>
          <w:rFonts w:ascii="Verdana" w:hAnsi="Verdana" w:cs="Arial"/>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r w:rsidRPr="00667CD6">
        <w:rPr>
          <w:rFonts w:ascii="Verdana" w:hAnsi="Verdana" w:cs="Arial"/>
          <w:vertAlign w:val="superscript"/>
          <w:lang w:eastAsia="es-ES"/>
        </w:rPr>
        <w:footnoteReference w:id="27"/>
      </w:r>
      <w:r w:rsidRPr="00667CD6">
        <w:rPr>
          <w:rFonts w:ascii="Verdana" w:hAnsi="Verdana" w:cs="Arial"/>
          <w:lang w:eastAsia="es-ES"/>
        </w:rPr>
        <w:t>.</w:t>
      </w:r>
    </w:p>
    <w:p w14:paraId="483656E0" w14:textId="77777777" w:rsidR="00590100" w:rsidRDefault="00590100" w:rsidP="00590100">
      <w:pPr>
        <w:spacing w:after="0" w:line="240" w:lineRule="auto"/>
        <w:ind w:firstLine="709"/>
        <w:jc w:val="both"/>
        <w:rPr>
          <w:rFonts w:ascii="Verdana" w:eastAsia="Calibri" w:hAnsi="Verdana" w:cs="Arial"/>
          <w:lang w:val="es-ES"/>
        </w:rPr>
      </w:pPr>
    </w:p>
    <w:p w14:paraId="67AFB9FF" w14:textId="77777777" w:rsidR="00590100" w:rsidRPr="00AD17FF" w:rsidRDefault="00590100" w:rsidP="00590100">
      <w:pPr>
        <w:spacing w:after="0" w:line="276" w:lineRule="auto"/>
        <w:ind w:firstLine="709"/>
        <w:jc w:val="both"/>
        <w:rPr>
          <w:rFonts w:ascii="Verdana" w:eastAsia="Calibri" w:hAnsi="Verdana" w:cs="Arial"/>
          <w:lang w:val="es-ES"/>
        </w:rPr>
      </w:pPr>
      <w:r w:rsidRPr="00667CD6">
        <w:rPr>
          <w:rFonts w:ascii="Verdana" w:hAnsi="Verdana" w:cs="Arial"/>
          <w:color w:val="000000" w:themeColor="text1"/>
          <w:lang w:val="es-ES_tradn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14:paraId="5B7F57AF" w14:textId="77777777" w:rsidR="00590100" w:rsidRPr="00667CD6" w:rsidRDefault="00590100" w:rsidP="00590100">
      <w:pPr>
        <w:spacing w:before="120" w:after="0" w:line="276" w:lineRule="auto"/>
        <w:ind w:firstLine="708"/>
        <w:jc w:val="both"/>
        <w:rPr>
          <w:rFonts w:ascii="Verdana" w:hAnsi="Verdana" w:cs="Arial"/>
          <w:lang w:val="es-ES_tradnl"/>
        </w:rPr>
      </w:pPr>
      <w:r w:rsidRPr="2035D652">
        <w:rPr>
          <w:rFonts w:ascii="Verdana" w:hAnsi="Verdana" w:cs="Arial"/>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2035D652">
        <w:rPr>
          <w:rFonts w:ascii="Verdana" w:hAnsi="Verdana" w:cs="Arial"/>
          <w:vertAlign w:val="superscript"/>
          <w:lang w:val="es-ES"/>
        </w:rPr>
        <w:footnoteReference w:id="28"/>
      </w:r>
      <w:r w:rsidRPr="2035D652">
        <w:rPr>
          <w:rFonts w:ascii="Verdana" w:hAnsi="Verdana" w:cs="Arial"/>
          <w:lang w:val="es-ES"/>
        </w:rPr>
        <w:t>. Nótese que, en este caso, lo que cambia es la modalidad de selección y no la naturaleza de contrato interadministrativo.</w:t>
      </w:r>
    </w:p>
    <w:p w14:paraId="3F53AB91" w14:textId="77777777" w:rsidR="00590100" w:rsidRPr="00667CD6" w:rsidRDefault="00590100" w:rsidP="00590100">
      <w:pPr>
        <w:spacing w:before="120" w:after="0" w:line="276" w:lineRule="auto"/>
        <w:ind w:firstLine="708"/>
        <w:jc w:val="both"/>
        <w:rPr>
          <w:rFonts w:ascii="Verdana" w:hAnsi="Verdana" w:cs="Arial"/>
          <w:lang w:val="es-ES_tradnl"/>
        </w:rPr>
      </w:pPr>
      <w:r w:rsidRPr="2035D652">
        <w:rPr>
          <w:rFonts w:ascii="Verdana" w:hAnsi="Verdana" w:cs="Arial"/>
          <w:lang w:val="es-ES"/>
        </w:rPr>
        <w:t>Además, es necesario tener en cuenta que para que un contrato o convenio interadministrativo exista debe cumplir con los siguientes elementos: acuerdo sobre el objeto y la contraprestación y que conste por escrito</w:t>
      </w:r>
      <w:r w:rsidRPr="2035D652">
        <w:rPr>
          <w:rFonts w:ascii="Verdana" w:hAnsi="Verdana" w:cs="Arial"/>
          <w:vertAlign w:val="superscript"/>
          <w:lang w:val="es-ES"/>
        </w:rPr>
        <w:footnoteReference w:id="29"/>
      </w:r>
      <w:r w:rsidRPr="2035D652">
        <w:rPr>
          <w:rFonts w:ascii="Verdana" w:hAnsi="Verdana" w:cs="Arial"/>
          <w:lang w:val="es-ES"/>
        </w:rPr>
        <w:t>. Entonces, si ambas partes son entidades estatales, pueden celebrar convenios interadministrativos, porque las disposiciones que regulan esta tipología hacen referencia a la calidad de los sujetos que intervienen en la contratación, que deben ser entidades estatales o de derecho público.</w:t>
      </w:r>
    </w:p>
    <w:p w14:paraId="07E9AF19" w14:textId="77777777" w:rsidR="00590100" w:rsidRPr="00667CD6" w:rsidRDefault="00590100" w:rsidP="00590100">
      <w:pPr>
        <w:spacing w:before="120" w:after="0" w:line="276" w:lineRule="auto"/>
        <w:ind w:firstLine="708"/>
        <w:jc w:val="both"/>
        <w:rPr>
          <w:rFonts w:ascii="Verdana" w:hAnsi="Verdana"/>
          <w:sz w:val="24"/>
          <w:szCs w:val="24"/>
          <w:lang w:eastAsia="es-CO"/>
        </w:rPr>
      </w:pPr>
      <w:r w:rsidRPr="2035D652">
        <w:rPr>
          <w:rFonts w:ascii="Verdana" w:hAnsi="Verdana" w:cs="Arial"/>
          <w:lang w:val="es-ES"/>
        </w:rPr>
        <w:t>Sobre este aspecto, se resalta que la Corte Constitucional señaló en la Sentencia C–671 de 2015 que “Lo que hace interadministrativo a un contrato o convenio no es el procedimiento de selección aplicable, sino la calidad de los sujetos contratantes, esto es que las dos partes de la relación jurídica contractual formen parte de la administración pública”. Así las cosas, atendiendo a la literalidad de las normas enunciadas, no cabe una interpretación diferente</w:t>
      </w:r>
      <w:r w:rsidRPr="2035D652">
        <w:rPr>
          <w:rFonts w:ascii="Verdana" w:hAnsi="Verdana" w:cs="Arial"/>
          <w:vertAlign w:val="superscript"/>
          <w:lang w:val="es-ES"/>
        </w:rPr>
        <w:footnoteReference w:id="30"/>
      </w:r>
      <w:r w:rsidRPr="2035D652">
        <w:rPr>
          <w:rFonts w:ascii="Verdana" w:hAnsi="Verdana" w:cs="Arial"/>
          <w:lang w:val="es-ES"/>
        </w:rPr>
        <w:t>, pues, de acuerdo con lo anotado, esta clase de acuerdos de voluntades se definen por un criterio orgánico, por lo que uno de sus elementos esenciales es que en los extremos de la relación jurídico negocial concurran personas de derecho público</w:t>
      </w:r>
      <w:r w:rsidRPr="00667CD6">
        <w:rPr>
          <w:rFonts w:ascii="Verdana" w:hAnsi="Verdana"/>
          <w:sz w:val="24"/>
          <w:szCs w:val="24"/>
          <w:lang w:eastAsia="es-CO"/>
        </w:rPr>
        <w:t>.</w:t>
      </w:r>
    </w:p>
    <w:p w14:paraId="2AEF0842" w14:textId="77777777" w:rsidR="00590100" w:rsidRDefault="00590100" w:rsidP="00590100">
      <w:pPr>
        <w:spacing w:before="120" w:after="0" w:line="276" w:lineRule="auto"/>
        <w:ind w:firstLine="708"/>
        <w:jc w:val="both"/>
        <w:rPr>
          <w:rFonts w:ascii="Verdana" w:eastAsia="Times New Roman" w:hAnsi="Verdana" w:cs="Arial"/>
          <w:lang w:val="es-MX" w:eastAsia="es-CO"/>
        </w:rPr>
      </w:pPr>
      <w:r w:rsidRPr="00667CD6">
        <w:rPr>
          <w:rFonts w:ascii="Verdana" w:eastAsia="Arial" w:hAnsi="Verdana" w:cs="Arial"/>
          <w:lang w:val="es-MX" w:eastAsia="es-ES" w:bidi="es-ES"/>
        </w:rPr>
        <w:t>De esta manera, se</w:t>
      </w:r>
      <w:r w:rsidRPr="00667CD6">
        <w:rPr>
          <w:rFonts w:ascii="Verdana" w:eastAsia="Times New Roman" w:hAnsi="Verdana" w:cs="Arial"/>
          <w:lang w:eastAsia="es-CO"/>
        </w:rPr>
        <w:t xml:space="preserve"> observa entonces que </w:t>
      </w:r>
      <w:r w:rsidRPr="00667CD6">
        <w:rPr>
          <w:rFonts w:ascii="Verdana" w:eastAsia="Times New Roman" w:hAnsi="Verdana" w:cs="Arial"/>
          <w:lang w:val="es-MX" w:eastAsia="es-CO"/>
        </w:rPr>
        <w:t xml:space="preserve">el parágrafo del artículo 38 de la Ley 996 de 2005 prohíbe a los Alcaldes, Gobernadores, Secretarios, Gerentes y Directores de las entidades del orden municipal, departamental o distrital celebrar </w:t>
      </w:r>
      <w:r w:rsidRPr="00667CD6">
        <w:rPr>
          <w:rFonts w:ascii="Verdana" w:eastAsia="Times New Roman" w:hAnsi="Verdana" w:cs="Arial"/>
          <w:i/>
          <w:iCs/>
          <w:lang w:val="es-MX" w:eastAsia="es-CO"/>
        </w:rPr>
        <w:t>convenios interadministrativos</w:t>
      </w:r>
      <w:r w:rsidRPr="00667CD6">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667CD6">
        <w:rPr>
          <w:rFonts w:ascii="Verdana" w:eastAsia="Times New Roman" w:hAnsi="Verdana" w:cs="Arial"/>
          <w:i/>
          <w:lang w:val="es-MX" w:eastAsia="es-CO"/>
        </w:rPr>
        <w:t>ibidem</w:t>
      </w:r>
      <w:r w:rsidRPr="00667CD6">
        <w:rPr>
          <w:rFonts w:ascii="Verdana" w:eastAsia="Times New Roman" w:hAnsi="Verdana" w:cs="Arial"/>
          <w:lang w:val="es-MX" w:eastAsia="es-CO"/>
        </w:rPr>
        <w:t xml:space="preserve">, </w:t>
      </w:r>
      <w:r>
        <w:rPr>
          <w:rFonts w:ascii="Verdana" w:eastAsia="Times New Roman" w:hAnsi="Verdana" w:cs="Arial"/>
          <w:lang w:val="es-MX" w:eastAsia="es-CO"/>
        </w:rPr>
        <w:t xml:space="preserve">es decir, </w:t>
      </w:r>
      <w:r w:rsidRPr="00E60AD8">
        <w:rPr>
          <w:rFonts w:ascii="Verdana" w:eastAsia="Times New Roman" w:hAnsi="Verdana" w:cs="Arial"/>
          <w:lang w:eastAsia="es-CO"/>
        </w:rPr>
        <w:t>alcaldías, gobernaciones, secretarías de despacho, así como entidades</w:t>
      </w:r>
      <w:r>
        <w:rPr>
          <w:rFonts w:ascii="Verdana" w:eastAsia="Times New Roman" w:hAnsi="Verdana" w:cs="Arial"/>
          <w:lang w:eastAsia="es-CO"/>
        </w:rPr>
        <w:t xml:space="preserve"> descentralizadas por servicios del orden municipal, departamental o distrital</w:t>
      </w:r>
      <w:r w:rsidRPr="00E60AD8">
        <w:rPr>
          <w:rFonts w:ascii="Verdana" w:eastAsia="Times New Roman" w:hAnsi="Verdana" w:cs="Arial"/>
          <w:lang w:eastAsia="es-CO"/>
        </w:rPr>
        <w:t xml:space="preserve"> </w:t>
      </w:r>
      <w:r w:rsidRPr="00667CD6">
        <w:rPr>
          <w:rFonts w:ascii="Verdana" w:eastAsia="Times New Roman" w:hAnsi="Verdana" w:cs="Arial"/>
          <w:lang w:val="es-MX" w:eastAsia="es-CO"/>
        </w:rPr>
        <w:t xml:space="preserve">no podrá celebrar tales </w:t>
      </w:r>
      <w:r w:rsidRPr="00667CD6">
        <w:rPr>
          <w:rFonts w:ascii="Verdana" w:eastAsia="Times New Roman" w:hAnsi="Verdana" w:cs="Arial"/>
          <w:i/>
          <w:iCs/>
          <w:lang w:val="es-MX" w:eastAsia="es-CO"/>
        </w:rPr>
        <w:t>convenios</w:t>
      </w:r>
      <w:r w:rsidRPr="00667CD6">
        <w:rPr>
          <w:rFonts w:ascii="Verdana" w:eastAsia="Times New Roman" w:hAnsi="Verdana" w:cs="Arial"/>
          <w:lang w:val="es-MX" w:eastAsia="es-CO"/>
        </w:rPr>
        <w:t xml:space="preserve"> durante la aplicación de la Ley de Garantías Electorales, toda vez que la citada disposición </w:t>
      </w:r>
      <w:r>
        <w:rPr>
          <w:rFonts w:ascii="Verdana" w:eastAsia="Times New Roman" w:hAnsi="Verdana" w:cs="Arial"/>
          <w:lang w:val="es-MX" w:eastAsia="es-CO"/>
        </w:rPr>
        <w:t xml:space="preserve">se refiere </w:t>
      </w:r>
      <w:r w:rsidRPr="00667CD6">
        <w:rPr>
          <w:rFonts w:ascii="Verdana" w:eastAsia="Times New Roman" w:hAnsi="Verdana" w:cs="Arial"/>
          <w:lang w:val="es-MX" w:eastAsia="es-CO"/>
        </w:rPr>
        <w:t xml:space="preserve">a dicha tipología contractual sin que el legislador hubiere contemplado un efecto extensivo a otra tipología. </w:t>
      </w:r>
    </w:p>
    <w:p w14:paraId="2F1C8BF7" w14:textId="77777777" w:rsidR="00590100" w:rsidRDefault="00590100" w:rsidP="00590100">
      <w:pPr>
        <w:spacing w:before="120" w:after="0" w:line="276" w:lineRule="auto"/>
        <w:ind w:firstLine="708"/>
        <w:jc w:val="both"/>
        <w:rPr>
          <w:rFonts w:ascii="Verdana" w:eastAsia="Times New Roman" w:hAnsi="Verdana" w:cs="Arial"/>
          <w:lang w:eastAsia="es-CO"/>
        </w:rPr>
      </w:pPr>
      <w:r w:rsidRPr="00667CD6">
        <w:rPr>
          <w:rFonts w:ascii="Verdana" w:eastAsia="Times New Roman" w:hAnsi="Verdana" w:cs="Arial"/>
          <w:lang w:val="es-MX" w:eastAsia="es-CO"/>
        </w:rPr>
        <w:t xml:space="preserve">Respecto del alcance de esta prohibición la Circular Externa No. 006 de 2025 expedida por la ANCP -CCE, en los literales ii) y </w:t>
      </w:r>
      <w:proofErr w:type="spellStart"/>
      <w:r w:rsidRPr="00667CD6">
        <w:rPr>
          <w:rFonts w:ascii="Verdana" w:eastAsia="Times New Roman" w:hAnsi="Verdana" w:cs="Arial"/>
          <w:lang w:val="es-MX" w:eastAsia="es-CO"/>
        </w:rPr>
        <w:t>iv</w:t>
      </w:r>
      <w:proofErr w:type="spellEnd"/>
      <w:r w:rsidRPr="00667CD6">
        <w:rPr>
          <w:rFonts w:ascii="Verdana" w:eastAsia="Times New Roman" w:hAnsi="Verdana" w:cs="Arial"/>
          <w:lang w:val="es-MX" w:eastAsia="es-CO"/>
        </w:rPr>
        <w:t>) del numeral 2</w:t>
      </w:r>
      <w:r w:rsidRPr="00667CD6">
        <w:rPr>
          <w:rFonts w:ascii="Verdana" w:eastAsia="Times New Roman" w:hAnsi="Verdana" w:cs="Arial"/>
          <w:lang w:eastAsia="es-CO"/>
        </w:rPr>
        <w:t>,</w:t>
      </w:r>
      <w:r w:rsidRPr="00667CD6">
        <w:rPr>
          <w:rFonts w:ascii="Verdana" w:eastAsia="Times New Roman" w:hAnsi="Verdana" w:cs="Arial"/>
          <w:lang w:val="es-MX" w:eastAsia="es-CO"/>
        </w:rPr>
        <w:t xml:space="preserve"> indica que el </w:t>
      </w:r>
      <w:r w:rsidRPr="00667CD6">
        <w:rPr>
          <w:rFonts w:ascii="Verdana" w:eastAsia="Times New Roman" w:hAnsi="Verdana" w:cs="Arial"/>
          <w:lang w:eastAsia="es-CO"/>
        </w:rPr>
        <w:t xml:space="preserve">parágrafo del artículo 38 de la Ley 996 de 2005 cobija expresamente a los </w:t>
      </w:r>
      <w:r w:rsidRPr="00667CD6">
        <w:rPr>
          <w:rFonts w:ascii="Verdana" w:eastAsia="Times New Roman" w:hAnsi="Verdana" w:cs="Arial"/>
          <w:i/>
          <w:iCs/>
          <w:lang w:eastAsia="es-CO"/>
        </w:rPr>
        <w:t>convenios interadministrativos</w:t>
      </w:r>
      <w:r w:rsidRPr="00667CD6">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667CD6">
        <w:rPr>
          <w:rFonts w:ascii="Verdana" w:eastAsia="Times New Roman" w:hAnsi="Verdana" w:cs="Arial"/>
          <w:i/>
          <w:iCs/>
          <w:lang w:eastAsia="es-CO"/>
        </w:rPr>
        <w:t>“aunque se configure alguno de los supuestos de excepción que señaló el inciso final del artículo 33”.</w:t>
      </w:r>
      <w:r w:rsidRPr="00667CD6">
        <w:rPr>
          <w:rFonts w:ascii="Verdana" w:eastAsia="Times New Roman" w:hAnsi="Verdana" w:cs="Arial"/>
          <w:lang w:eastAsia="es-CO"/>
        </w:rPr>
        <w:t xml:space="preserve"> </w:t>
      </w:r>
    </w:p>
    <w:p w14:paraId="75326136" w14:textId="77777777" w:rsidR="00590100" w:rsidRPr="00667CD6" w:rsidRDefault="00590100" w:rsidP="00590100">
      <w:pPr>
        <w:spacing w:before="120" w:after="0" w:line="276" w:lineRule="auto"/>
        <w:ind w:firstLine="708"/>
        <w:jc w:val="both"/>
        <w:rPr>
          <w:rFonts w:ascii="Verdana" w:eastAsia="Times New Roman" w:hAnsi="Verdana" w:cs="Arial"/>
          <w:lang w:eastAsia="es-CO"/>
        </w:rPr>
      </w:pPr>
      <w:r w:rsidRPr="00667CD6">
        <w:rPr>
          <w:rFonts w:ascii="Verdana" w:eastAsia="Times New Roman" w:hAnsi="Verdana" w:cs="Arial"/>
          <w:lang w:eastAsia="es-CO"/>
        </w:rPr>
        <w:t xml:space="preserve">Sin embargo, el ámbito de aplicación de la restricción prevista en el parágrafo del artículo 38 de la Ley 996 de 2005 </w:t>
      </w:r>
      <w:r>
        <w:rPr>
          <w:rFonts w:ascii="Verdana" w:eastAsia="Times New Roman" w:hAnsi="Verdana" w:cs="Arial"/>
          <w:lang w:eastAsia="es-CO"/>
        </w:rPr>
        <w:t>comprende</w:t>
      </w:r>
      <w:r w:rsidRPr="00667CD6">
        <w:rPr>
          <w:rFonts w:ascii="Verdana" w:eastAsia="Times New Roman" w:hAnsi="Verdana" w:cs="Arial"/>
          <w:lang w:eastAsia="es-CO"/>
        </w:rPr>
        <w:t xml:space="preserve"> a los </w:t>
      </w:r>
      <w:r w:rsidRPr="00667CD6">
        <w:rPr>
          <w:rFonts w:ascii="Verdana" w:eastAsia="Times New Roman" w:hAnsi="Verdana" w:cs="Arial"/>
          <w:i/>
          <w:iCs/>
          <w:lang w:eastAsia="es-CO"/>
        </w:rPr>
        <w:t>convenios interadministrativos</w:t>
      </w:r>
      <w:r w:rsidRPr="00667CD6">
        <w:rPr>
          <w:rFonts w:ascii="Verdana" w:eastAsia="Times New Roman" w:hAnsi="Verdana" w:cs="Arial"/>
          <w:lang w:eastAsia="es-CO"/>
        </w:rPr>
        <w:t xml:space="preserve"> en los que </w:t>
      </w:r>
      <w:r>
        <w:rPr>
          <w:rFonts w:ascii="Verdana" w:eastAsia="Times New Roman" w:hAnsi="Verdana" w:cs="Arial"/>
          <w:lang w:eastAsia="es-CO"/>
        </w:rPr>
        <w:t>exista</w:t>
      </w:r>
      <w:r w:rsidRPr="00667CD6">
        <w:rPr>
          <w:rFonts w:ascii="Verdana" w:eastAsia="Times New Roman" w:hAnsi="Verdana" w:cs="Arial"/>
          <w:lang w:eastAsia="es-CO"/>
        </w:rPr>
        <w:t xml:space="preserve"> </w:t>
      </w:r>
      <w:r w:rsidRPr="00667CD6">
        <w:rPr>
          <w:rFonts w:ascii="Verdana" w:eastAsia="Times New Roman" w:hAnsi="Verdana" w:cs="Arial"/>
          <w:i/>
          <w:iCs/>
          <w:lang w:eastAsia="es-CO"/>
        </w:rPr>
        <w:t>ejecución de recursos públicos</w:t>
      </w:r>
      <w:r>
        <w:rPr>
          <w:rFonts w:ascii="Verdana" w:eastAsia="Times New Roman" w:hAnsi="Verdana" w:cs="Arial"/>
          <w:lang w:eastAsia="es-CO"/>
        </w:rPr>
        <w:t>, sin importar de que estos sean en dinero o en especie, ya que la norma no distingue</w:t>
      </w:r>
      <w:r w:rsidRPr="00667CD6">
        <w:rPr>
          <w:rFonts w:ascii="Verdana" w:eastAsia="Times New Roman" w:hAnsi="Verdana" w:cs="Arial"/>
          <w:lang w:eastAsia="es-CO"/>
        </w:rPr>
        <w:t xml:space="preserve">. </w:t>
      </w:r>
      <w:r w:rsidRPr="00C016C8">
        <w:rPr>
          <w:rFonts w:ascii="Verdana" w:eastAsia="Times New Roman" w:hAnsi="Verdana" w:cs="Arial"/>
          <w:lang w:val="es-ES" w:eastAsia="es-CO"/>
        </w:rPr>
        <w:t>Lo anterior conforme a la directriz interpretativa del artículo 31 del Código Civil, según la cual “Lo favorable u odioso de una disposición no se tomará en cuenta para ampliar o restringir su interpretación. La extensión que deba darse a toda ley se determinará por su genuino sentido, y según las reglas de interpretación precedentes”</w:t>
      </w:r>
      <w:r>
        <w:rPr>
          <w:rStyle w:val="Refdenotaalpie"/>
          <w:rFonts w:ascii="Verdana" w:hAnsi="Verdana" w:cs="Arial"/>
          <w:lang w:val="es-ES"/>
        </w:rPr>
        <w:footnoteReference w:id="31"/>
      </w:r>
      <w:r>
        <w:rPr>
          <w:rFonts w:ascii="Verdana" w:eastAsia="Times New Roman" w:hAnsi="Verdana" w:cs="Arial"/>
          <w:lang w:val="es-ES" w:eastAsia="es-CO"/>
        </w:rPr>
        <w:t>.</w:t>
      </w:r>
      <w:r w:rsidRPr="00667CD6">
        <w:rPr>
          <w:rFonts w:ascii="Verdana" w:eastAsia="Times New Roman" w:hAnsi="Verdana" w:cs="Arial"/>
          <w:lang w:eastAsia="es-CO"/>
        </w:rPr>
        <w:t xml:space="preserve"> </w:t>
      </w:r>
      <w:r>
        <w:rPr>
          <w:rFonts w:ascii="Verdana" w:eastAsia="Times New Roman" w:hAnsi="Verdana" w:cs="Arial"/>
          <w:lang w:eastAsia="es-CO"/>
        </w:rPr>
        <w:t xml:space="preserve">Por ello, en el Concepto </w:t>
      </w:r>
      <w:r w:rsidRPr="00C016C8">
        <w:rPr>
          <w:rFonts w:ascii="Verdana" w:eastAsia="Times New Roman" w:hAnsi="Verdana" w:cs="Arial"/>
          <w:lang w:eastAsia="es-CO"/>
        </w:rPr>
        <w:t>2201913000006634</w:t>
      </w:r>
      <w:r>
        <w:rPr>
          <w:rFonts w:ascii="Verdana" w:eastAsia="Times New Roman" w:hAnsi="Verdana" w:cs="Arial"/>
          <w:lang w:eastAsia="es-CO"/>
        </w:rPr>
        <w:t xml:space="preserve"> del 6 de septiembre de 2019, la Agencia sostuvo que la ejecución de recursos no se agota en el “[…] </w:t>
      </w:r>
      <w:r w:rsidRPr="00C016C8">
        <w:rPr>
          <w:rFonts w:ascii="Verdana" w:eastAsia="Times New Roman" w:hAnsi="Verdana" w:cs="Arial"/>
          <w:lang w:eastAsia="es-CO"/>
        </w:rPr>
        <w:t>el dinero que integra el ciclo presupuestal de la entidad</w:t>
      </w:r>
      <w:r>
        <w:rPr>
          <w:rFonts w:ascii="Verdana" w:eastAsia="Times New Roman" w:hAnsi="Verdana" w:cs="Arial"/>
          <w:lang w:eastAsia="es-CO"/>
        </w:rPr>
        <w:t xml:space="preserve"> […]”, pues “[…] </w:t>
      </w:r>
      <w:r w:rsidRPr="00C016C8">
        <w:rPr>
          <w:rFonts w:ascii="Verdana" w:eastAsia="Times New Roman" w:hAnsi="Verdana" w:cs="Arial"/>
          <w:lang w:eastAsia="es-CO"/>
        </w:rPr>
        <w:t xml:space="preserve">también los bienes muebles, inmuebles y personal hacen parte del concepto de </w:t>
      </w:r>
      <w:r>
        <w:rPr>
          <w:rFonts w:ascii="Verdana" w:eastAsia="Times New Roman" w:hAnsi="Verdana" w:cs="Arial"/>
          <w:lang w:eastAsia="es-CO"/>
        </w:rPr>
        <w:t>‘</w:t>
      </w:r>
      <w:r w:rsidRPr="00C016C8">
        <w:rPr>
          <w:rFonts w:ascii="Verdana" w:eastAsia="Times New Roman" w:hAnsi="Verdana" w:cs="Arial"/>
          <w:lang w:eastAsia="es-CO"/>
        </w:rPr>
        <w:t>recursos públicos</w:t>
      </w:r>
      <w:r>
        <w:rPr>
          <w:rFonts w:ascii="Verdana" w:eastAsia="Times New Roman" w:hAnsi="Verdana" w:cs="Arial"/>
          <w:lang w:eastAsia="es-CO"/>
        </w:rPr>
        <w:t>’”.</w:t>
      </w:r>
    </w:p>
    <w:p w14:paraId="28C856B2" w14:textId="77777777" w:rsidR="00590100" w:rsidRPr="00667CD6" w:rsidRDefault="00590100" w:rsidP="00590100">
      <w:pPr>
        <w:spacing w:before="120" w:after="0" w:line="276" w:lineRule="auto"/>
        <w:ind w:firstLine="708"/>
        <w:jc w:val="both"/>
        <w:rPr>
          <w:rFonts w:ascii="Verdana" w:eastAsia="Times New Roman" w:hAnsi="Verdana" w:cs="Arial"/>
          <w:lang w:eastAsia="es-CO"/>
        </w:rPr>
      </w:pPr>
      <w:r w:rsidRPr="00667CD6">
        <w:rPr>
          <w:rFonts w:ascii="Verdana" w:eastAsia="Times New Roman" w:hAnsi="Verdana" w:cs="Arial"/>
          <w:lang w:eastAsia="es-CO"/>
        </w:rPr>
        <w:t xml:space="preserve">De esta manera, conforme a lo dispuesto en la Circular referida, si se suscriben </w:t>
      </w:r>
      <w:r w:rsidRPr="00667CD6">
        <w:rPr>
          <w:rFonts w:ascii="Verdana" w:eastAsia="Times New Roman" w:hAnsi="Verdana" w:cs="Arial"/>
          <w:i/>
          <w:iCs/>
          <w:lang w:eastAsia="es-CO"/>
        </w:rPr>
        <w:t>convenios interadministrativos para la ejecución de recursos públicos</w:t>
      </w:r>
      <w:r w:rsidRPr="00667CD6">
        <w:rPr>
          <w:rFonts w:ascii="Verdana" w:eastAsia="Times New Roman" w:hAnsi="Verdana" w:cs="Arial"/>
          <w:lang w:eastAsia="es-CO"/>
        </w:rPr>
        <w:t xml:space="preserve"> por los alcaldes, gobernadores, secretarios, gerentes y directores de las entidades del orden municipal, departamental o distrital, aplicará la prohibición del parágrafo del artículo 38 </w:t>
      </w:r>
      <w:r w:rsidRPr="00667CD6">
        <w:rPr>
          <w:rFonts w:ascii="Verdana" w:eastAsia="Times New Roman" w:hAnsi="Verdana" w:cs="Arial"/>
          <w:i/>
          <w:iCs/>
          <w:lang w:eastAsia="es-CO"/>
        </w:rPr>
        <w:t>ibidem</w:t>
      </w:r>
      <w:r w:rsidRPr="00667CD6">
        <w:rPr>
          <w:rFonts w:ascii="Verdana" w:eastAsia="Times New Roman" w:hAnsi="Verdana" w:cs="Arial"/>
          <w:lang w:eastAsia="es-CO"/>
        </w:rPr>
        <w:t>, independientemente de que se configure alguno de los supuestos de excepción que señaló el inciso final del artículo 33, es decir, que se trate de:</w:t>
      </w:r>
      <w:r w:rsidRPr="00667CD6">
        <w:rPr>
          <w:rFonts w:ascii="Verdana" w:hAnsi="Verdana" w:cs="Arial"/>
          <w:bCs/>
          <w:lang w:val="es-MX" w:eastAsia="x-none"/>
        </w:rPr>
        <w:t xml:space="preserve"> i) la defensa y seguridad del Estado; ii) los contratos de crédito público; iii) los requeridos para cubrir las emergencias educativas, sanitarias y desastres; </w:t>
      </w:r>
      <w:proofErr w:type="spellStart"/>
      <w:r w:rsidRPr="00667CD6">
        <w:rPr>
          <w:rFonts w:ascii="Verdana" w:hAnsi="Verdana" w:cs="Arial"/>
          <w:bCs/>
          <w:lang w:val="es-MX" w:eastAsia="x-none"/>
        </w:rPr>
        <w:t>iv</w:t>
      </w:r>
      <w:proofErr w:type="spellEnd"/>
      <w:r w:rsidRPr="00667CD6">
        <w:rPr>
          <w:rFonts w:ascii="Verdana"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667CD6">
        <w:rPr>
          <w:rFonts w:ascii="Verdana" w:hAnsi="Verdana" w:cs="Arial"/>
          <w:bCs/>
          <w:lang w:val="es-MX" w:eastAsia="es-CO"/>
        </w:rPr>
        <w:t xml:space="preserve"> </w:t>
      </w:r>
      <w:r w:rsidRPr="00667CD6">
        <w:rPr>
          <w:rFonts w:ascii="Verdana" w:eastAsia="Times New Roman" w:hAnsi="Verdana" w:cs="Arial"/>
          <w:lang w:eastAsia="es-CO"/>
        </w:rPr>
        <w:t xml:space="preserve">  </w:t>
      </w:r>
    </w:p>
    <w:p w14:paraId="28B2AABB" w14:textId="77777777" w:rsidR="00590100" w:rsidRPr="00667CD6" w:rsidRDefault="00590100" w:rsidP="00590100">
      <w:pPr>
        <w:spacing w:before="120" w:after="0" w:line="276" w:lineRule="auto"/>
        <w:ind w:firstLine="708"/>
        <w:jc w:val="both"/>
        <w:rPr>
          <w:rFonts w:ascii="Verdana" w:eastAsia="Times New Roman" w:hAnsi="Verdana" w:cs="Arial"/>
          <w:lang w:eastAsia="es-CO"/>
        </w:rPr>
      </w:pPr>
      <w:r w:rsidRPr="00667CD6">
        <w:rPr>
          <w:rFonts w:ascii="Verdana" w:eastAsia="Times New Roman" w:hAnsi="Verdana" w:cs="Arial"/>
          <w:lang w:eastAsia="es-CO"/>
        </w:rPr>
        <w:t xml:space="preserve">En este punto, vale la pena destacar que </w:t>
      </w:r>
      <w:r w:rsidRPr="00667CD6">
        <w:rPr>
          <w:rFonts w:ascii="Verdana" w:eastAsia="Arial" w:hAnsi="Verdana" w:cs="Arial"/>
          <w:lang w:val="es-MX" w:eastAsia="es-ES" w:bidi="es-ES"/>
        </w:rPr>
        <w:t xml:space="preserve">mediante auto de 4 de octubre del 2024, el Consejo de Estado, Subsección C de la Sección Tercera, decretó medida de suspensión provisional parcial del </w:t>
      </w:r>
      <w:r w:rsidRPr="00667CD6">
        <w:rPr>
          <w:rFonts w:ascii="Verdana" w:hAnsi="Verdana" w:cs="Arial"/>
        </w:rPr>
        <w:t xml:space="preserve">numeral 16.2 de la Circular Externa Única de 2022 expedida por la Agencia Nacional de Contratación Pública </w:t>
      </w:r>
      <w:r>
        <w:rPr>
          <w:rFonts w:ascii="Verdana" w:hAnsi="Verdana" w:cs="Arial"/>
        </w:rPr>
        <w:t xml:space="preserve">– </w:t>
      </w:r>
      <w:r w:rsidRPr="00667CD6">
        <w:rPr>
          <w:rFonts w:ascii="Verdana" w:hAnsi="Verdana" w:cs="Arial"/>
        </w:rPr>
        <w:t>Colombia Compra Eficiente, concretamente, respecto de los siguientes apartes normativos</w:t>
      </w:r>
      <w:r w:rsidRPr="00667CD6">
        <w:rPr>
          <w:rFonts w:ascii="Verdana" w:hAnsi="Verdana" w:cs="Arial"/>
          <w:vertAlign w:val="superscript"/>
        </w:rPr>
        <w:footnoteReference w:id="32"/>
      </w:r>
      <w:r w:rsidRPr="00667CD6">
        <w:rPr>
          <w:rFonts w:ascii="Verdana" w:hAnsi="Verdana" w:cs="Arial"/>
        </w:rPr>
        <w:t xml:space="preserve">: </w:t>
      </w:r>
    </w:p>
    <w:p w14:paraId="694C8705" w14:textId="77777777" w:rsidR="00590100" w:rsidRPr="00667CD6" w:rsidRDefault="00590100" w:rsidP="00590100">
      <w:pPr>
        <w:spacing w:after="0" w:line="240" w:lineRule="auto"/>
        <w:ind w:firstLine="709"/>
        <w:jc w:val="both"/>
        <w:rPr>
          <w:rFonts w:ascii="Verdana" w:hAnsi="Verdana" w:cs="Arial"/>
        </w:rPr>
      </w:pPr>
    </w:p>
    <w:p w14:paraId="37E4C8C6" w14:textId="77777777" w:rsidR="00590100" w:rsidRDefault="00590100" w:rsidP="00590100">
      <w:pPr>
        <w:spacing w:after="0" w:line="240" w:lineRule="auto"/>
        <w:ind w:left="709" w:right="709"/>
        <w:jc w:val="both"/>
        <w:rPr>
          <w:rFonts w:ascii="Verdana" w:hAnsi="Verdana" w:cs="Arial"/>
          <w:sz w:val="20"/>
          <w:szCs w:val="20"/>
        </w:rPr>
      </w:pPr>
      <w:r>
        <w:rPr>
          <w:rFonts w:ascii="Verdana" w:hAnsi="Verdana" w:cs="Arial"/>
          <w:sz w:val="20"/>
          <w:szCs w:val="20"/>
          <w:lang w:val="es-MX"/>
        </w:rPr>
        <w:t>“</w:t>
      </w:r>
      <w:r w:rsidRPr="00667CD6">
        <w:rPr>
          <w:rFonts w:ascii="Verdana" w:hAnsi="Verdana" w:cs="Arial"/>
          <w:sz w:val="20"/>
          <w:szCs w:val="20"/>
          <w:lang w:val="es-MX"/>
        </w:rPr>
        <w:t>i)</w:t>
      </w:r>
      <w:r w:rsidRPr="00667CD6">
        <w:rPr>
          <w:rFonts w:ascii="Verdana" w:hAnsi="Verdana" w:cs="Arial"/>
          <w:sz w:val="20"/>
          <w:szCs w:val="20"/>
        </w:rPr>
        <w:t xml:space="preserve"> el inciso segundo 2 que dispone: </w:t>
      </w:r>
      <w:r>
        <w:rPr>
          <w:rFonts w:ascii="Verdana" w:hAnsi="Verdana" w:cs="Arial"/>
          <w:sz w:val="20"/>
          <w:szCs w:val="20"/>
        </w:rPr>
        <w:t>‘</w:t>
      </w:r>
      <w:r w:rsidRPr="00667CD6">
        <w:rPr>
          <w:rFonts w:ascii="Verdana" w:hAnsi="Verdana" w:cs="Arial"/>
          <w:sz w:val="20"/>
          <w:szCs w:val="20"/>
        </w:rPr>
        <w:t>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w:t>
      </w:r>
      <w:r>
        <w:rPr>
          <w:rFonts w:ascii="Verdana" w:hAnsi="Verdana" w:cs="Arial"/>
          <w:sz w:val="20"/>
          <w:szCs w:val="20"/>
        </w:rPr>
        <w:t>’</w:t>
      </w:r>
      <w:r w:rsidRPr="00667CD6">
        <w:rPr>
          <w:rFonts w:ascii="Verdana" w:hAnsi="Verdana" w:cs="Arial"/>
          <w:sz w:val="20"/>
          <w:szCs w:val="20"/>
        </w:rPr>
        <w:t xml:space="preserve"> y, </w:t>
      </w:r>
    </w:p>
    <w:p w14:paraId="5EF7145E" w14:textId="77777777" w:rsidR="00590100" w:rsidRPr="00667CD6" w:rsidRDefault="00590100" w:rsidP="00590100">
      <w:pPr>
        <w:spacing w:after="0" w:line="240" w:lineRule="auto"/>
        <w:ind w:left="709" w:right="709"/>
        <w:jc w:val="both"/>
        <w:rPr>
          <w:rFonts w:ascii="Verdana" w:hAnsi="Verdana" w:cs="Arial"/>
          <w:sz w:val="20"/>
          <w:szCs w:val="20"/>
        </w:rPr>
      </w:pPr>
    </w:p>
    <w:p w14:paraId="47D53C14" w14:textId="77777777" w:rsidR="00590100" w:rsidRPr="00667CD6" w:rsidRDefault="00590100" w:rsidP="00590100">
      <w:pPr>
        <w:spacing w:after="0" w:line="240" w:lineRule="auto"/>
        <w:ind w:left="709" w:right="709"/>
        <w:jc w:val="both"/>
        <w:rPr>
          <w:rFonts w:ascii="Verdana" w:hAnsi="Verdana" w:cs="Arial"/>
          <w:sz w:val="20"/>
          <w:szCs w:val="20"/>
        </w:rPr>
      </w:pPr>
      <w:r w:rsidRPr="00667CD6">
        <w:rPr>
          <w:rFonts w:ascii="Verdana" w:hAnsi="Verdana" w:cs="Arial"/>
          <w:sz w:val="20"/>
          <w:szCs w:val="20"/>
        </w:rPr>
        <w:t xml:space="preserve">ii) la expresión y el siguiente párrafo contenidos en el inciso cuarto </w:t>
      </w:r>
      <w:r>
        <w:rPr>
          <w:rFonts w:ascii="Verdana" w:hAnsi="Verdana" w:cs="Arial"/>
          <w:sz w:val="20"/>
          <w:szCs w:val="20"/>
        </w:rPr>
        <w:t>‘</w:t>
      </w:r>
      <w:r w:rsidRPr="00667CD6">
        <w:rPr>
          <w:rFonts w:ascii="Verdana" w:hAnsi="Verdana" w:cs="Arial"/>
          <w:sz w:val="20"/>
          <w:szCs w:val="20"/>
        </w:rPr>
        <w:t>contratos</w:t>
      </w:r>
      <w:r>
        <w:rPr>
          <w:rFonts w:ascii="Verdana" w:hAnsi="Verdana" w:cs="Arial"/>
          <w:sz w:val="20"/>
          <w:szCs w:val="20"/>
        </w:rPr>
        <w:t>’</w:t>
      </w:r>
      <w:r w:rsidRPr="00667CD6">
        <w:rPr>
          <w:rFonts w:ascii="Verdana" w:hAnsi="Verdana" w:cs="Arial"/>
          <w:sz w:val="20"/>
          <w:szCs w:val="20"/>
        </w:rPr>
        <w:t xml:space="preserve"> y </w:t>
      </w:r>
      <w:r>
        <w:rPr>
          <w:rFonts w:ascii="Verdana" w:hAnsi="Verdana" w:cs="Arial"/>
          <w:sz w:val="20"/>
          <w:szCs w:val="20"/>
        </w:rPr>
        <w:t>‘</w:t>
      </w:r>
      <w:r w:rsidRPr="00667CD6">
        <w:rPr>
          <w:rFonts w:ascii="Verdana" w:hAnsi="Verdana" w:cs="Arial"/>
          <w:sz w:val="20"/>
          <w:szCs w:val="20"/>
        </w:rPr>
        <w:t>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w:t>
      </w:r>
      <w:r>
        <w:rPr>
          <w:rFonts w:ascii="Verdana" w:hAnsi="Verdana" w:cs="Arial"/>
          <w:sz w:val="20"/>
          <w:szCs w:val="20"/>
        </w:rPr>
        <w:t>”</w:t>
      </w:r>
      <w:r w:rsidRPr="00667CD6">
        <w:rPr>
          <w:rFonts w:ascii="Verdana" w:hAnsi="Verdana" w:cs="Arial"/>
          <w:sz w:val="20"/>
          <w:szCs w:val="20"/>
        </w:rPr>
        <w:t xml:space="preserve">. </w:t>
      </w:r>
    </w:p>
    <w:p w14:paraId="5A6EB49D" w14:textId="77777777" w:rsidR="00590100" w:rsidRPr="00667CD6" w:rsidRDefault="00590100" w:rsidP="00590100">
      <w:pPr>
        <w:spacing w:after="0" w:line="276" w:lineRule="auto"/>
        <w:ind w:left="709" w:right="709"/>
        <w:jc w:val="both"/>
        <w:rPr>
          <w:rFonts w:ascii="Verdana" w:hAnsi="Verdana" w:cs="Arial"/>
        </w:rPr>
      </w:pPr>
    </w:p>
    <w:p w14:paraId="6413D3B5" w14:textId="77777777" w:rsidR="00590100" w:rsidRPr="00667CD6" w:rsidRDefault="00590100" w:rsidP="00590100">
      <w:pPr>
        <w:spacing w:after="120" w:line="276" w:lineRule="auto"/>
        <w:ind w:firstLine="709"/>
        <w:jc w:val="both"/>
        <w:rPr>
          <w:rFonts w:ascii="Verdana" w:eastAsia="Arial" w:hAnsi="Verdana" w:cs="Arial"/>
          <w:i/>
          <w:iCs/>
          <w:lang w:eastAsia="es-ES" w:bidi="es-ES"/>
        </w:rPr>
      </w:pPr>
      <w:r w:rsidRPr="00667CD6">
        <w:rPr>
          <w:rFonts w:ascii="Verdana" w:eastAsia="Arial" w:hAnsi="Verdana" w:cs="Arial"/>
          <w:lang w:val="es-MX" w:eastAsia="es-ES" w:bidi="es-ES"/>
        </w:rPr>
        <w:t xml:space="preserve">De conformidad con los argumentos de dicha providencia, se parte de la distinción entre los conceptos </w:t>
      </w:r>
      <w:r w:rsidRPr="00667CD6">
        <w:rPr>
          <w:rFonts w:ascii="Verdana" w:eastAsia="Arial" w:hAnsi="Verdana" w:cs="Arial"/>
          <w:lang w:eastAsia="es-ES" w:bidi="es-ES"/>
        </w:rPr>
        <w:t>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w:t>
      </w:r>
      <w:r w:rsidRPr="00667CD6">
        <w:rPr>
          <w:rFonts w:ascii="Verdana" w:hAnsi="Verdana"/>
          <w:sz w:val="24"/>
          <w:szCs w:val="24"/>
          <w:lang w:eastAsia="es-CO"/>
        </w:rPr>
        <w:t xml:space="preserve"> </w:t>
      </w:r>
      <w:r w:rsidRPr="00667CD6">
        <w:rPr>
          <w:rFonts w:ascii="Verdana" w:eastAsia="Arial" w:hAnsi="Verdana" w:cs="Arial"/>
          <w:lang w:eastAsia="es-ES" w:bidi="es-ES"/>
        </w:rPr>
        <w:t xml:space="preserve">En este sentido, en relación con el parágrafo del artículo 38 de la Ley 996 de 2005 concluyó que </w:t>
      </w:r>
      <w:r w:rsidRPr="00667CD6">
        <w:rPr>
          <w:rFonts w:ascii="Verdana" w:eastAsia="Arial" w:hAnsi="Verdana" w:cs="Arial"/>
          <w:i/>
          <w:iCs/>
          <w:lang w:eastAsia="es-ES" w:bidi="es-ES"/>
        </w:rPr>
        <w:t xml:space="preserve">“si el legislador no diferenció al establecer la prohibición o la restricción, mal haría el reglamento en aplicar un efecto expansivo o extensivo para incluir una categoría no cobijada con la limitación, (…)”. </w:t>
      </w:r>
      <w:r w:rsidRPr="00667CD6">
        <w:rPr>
          <w:rFonts w:ascii="Verdana" w:eastAsia="Arial" w:hAnsi="Verdana" w:cs="Arial"/>
          <w:lang w:eastAsia="es-ES" w:bidi="es-ES"/>
        </w:rPr>
        <w:t xml:space="preserve">Por tal motivo, para efectos de decretar la medida de suspensión provisional de los apartes señalados del numeral 16.2 de la Circular Externa Única, argumentó que </w:t>
      </w:r>
      <w:r w:rsidRPr="00667CD6">
        <w:rPr>
          <w:rFonts w:ascii="Verdana" w:eastAsia="Arial" w:hAnsi="Verdana" w:cs="Arial"/>
          <w:i/>
          <w:iCs/>
          <w:lang w:eastAsia="es-ES" w:bidi="es-ES"/>
        </w:rPr>
        <w:t>“con independencia del propósito loable o plausible de la disposición ya que, procura que no se usen los recursos estatales para incidir o afectar la contienda electoral, no cabe duda de que la entidad demandada incorporó en la prohibición una categoría que no quedó comprendida expresa e inequívocamente en la ley</w:t>
      </w:r>
      <w:r>
        <w:rPr>
          <w:rFonts w:ascii="Verdana" w:eastAsia="Arial" w:hAnsi="Verdana" w:cs="Arial"/>
          <w:lang w:eastAsia="es-ES" w:bidi="es-ES"/>
        </w:rPr>
        <w:t>”</w:t>
      </w:r>
      <w:r w:rsidRPr="00667CD6">
        <w:rPr>
          <w:rFonts w:ascii="Verdana" w:eastAsia="Arial" w:hAnsi="Verdana" w:cs="Arial"/>
          <w:i/>
          <w:iCs/>
          <w:lang w:eastAsia="es-ES" w:bidi="es-ES"/>
        </w:rPr>
        <w:t xml:space="preserve">. </w:t>
      </w:r>
    </w:p>
    <w:p w14:paraId="67ADBD70" w14:textId="77777777" w:rsidR="00590100" w:rsidRPr="00667CD6" w:rsidRDefault="00590100" w:rsidP="00590100">
      <w:pPr>
        <w:spacing w:after="120" w:line="276" w:lineRule="auto"/>
        <w:ind w:firstLine="709"/>
        <w:jc w:val="both"/>
        <w:rPr>
          <w:rFonts w:ascii="Verdana" w:eastAsia="Arial" w:hAnsi="Verdana" w:cs="Arial"/>
          <w:lang w:eastAsia="es-ES" w:bidi="es-ES"/>
        </w:rPr>
      </w:pPr>
      <w:r w:rsidRPr="00667CD6">
        <w:rPr>
          <w:rFonts w:ascii="Verdana" w:eastAsia="Arial" w:hAnsi="Verdana" w:cs="Arial"/>
          <w:lang w:eastAsia="es-ES" w:bidi="es-ES"/>
        </w:rPr>
        <w:t>De igual manera, mediante auto del 6 de noviembre de 2025, el Consejo de Estado, Subsección A de la Sección Tercera, decretó</w:t>
      </w:r>
      <w:r w:rsidRPr="00667CD6">
        <w:rPr>
          <w:rFonts w:ascii="Verdana" w:eastAsia="Arial" w:hAnsi="Verdana" w:cs="Arial"/>
          <w:b/>
          <w:bCs/>
          <w:lang w:eastAsia="es-ES" w:bidi="es-ES"/>
        </w:rPr>
        <w:t xml:space="preserve"> </w:t>
      </w:r>
      <w:r w:rsidRPr="00667CD6">
        <w:rPr>
          <w:rFonts w:ascii="Verdana" w:eastAsia="Arial" w:hAnsi="Verdana" w:cs="Arial"/>
          <w:lang w:eastAsia="es-ES" w:bidi="es-ES"/>
        </w:rPr>
        <w:t>la suspensión provisional de los apartes cuestionados del inciso segundo y del inciso cuarto del numeral 16.2 de la Circular Externa Única, versión 3 del 27 de diciembre de 2023, expedida por la Agencia Nacional de Contratación Pública – Colombia Compra Eficiente relacionados con los contratos interadministrativos</w:t>
      </w:r>
      <w:r w:rsidRPr="00667CD6">
        <w:rPr>
          <w:rFonts w:ascii="Verdana" w:eastAsia="Arial" w:hAnsi="Verdana" w:cs="Arial"/>
          <w:vertAlign w:val="superscript"/>
          <w:lang w:eastAsia="es-ES" w:bidi="es-ES"/>
        </w:rPr>
        <w:footnoteReference w:id="33"/>
      </w:r>
      <w:r w:rsidRPr="00667CD6">
        <w:rPr>
          <w:rFonts w:ascii="Verdana" w:eastAsia="Arial" w:hAnsi="Verdana" w:cs="Arial"/>
          <w:lang w:eastAsia="es-ES" w:bidi="es-ES"/>
        </w:rPr>
        <w:t xml:space="preserve">. Para tales efectos, el alto tribunal resaltó la interpretación restrictiva de las normas que contienen prohibiciones, como la del parágrafo del artículo 38 de la Ley 996 de 2005, por manera que se excluye la analogía legis o iuris y la interpretación extensiva y reiteró los argumentos sobre la diferencia entre contratos y convenios interadministrativos. </w:t>
      </w:r>
    </w:p>
    <w:p w14:paraId="0F49671A" w14:textId="77777777" w:rsidR="00590100" w:rsidRDefault="00590100" w:rsidP="00590100">
      <w:pPr>
        <w:spacing w:after="120" w:line="276" w:lineRule="auto"/>
        <w:ind w:firstLine="709"/>
        <w:jc w:val="both"/>
        <w:rPr>
          <w:rFonts w:ascii="Verdana" w:eastAsia="Times New Roman" w:hAnsi="Verdana" w:cs="Times New Roman"/>
          <w:lang w:eastAsia="es-ES"/>
        </w:rPr>
      </w:pPr>
      <w:r w:rsidRPr="31E4E861">
        <w:rPr>
          <w:rFonts w:ascii="Verdana" w:eastAsia="Arial" w:hAnsi="Verdana" w:cs="Arial"/>
          <w:lang w:eastAsia="es-ES" w:bidi="es-ES"/>
        </w:rPr>
        <w:t>Finalmente, mediante sentencia del 17 de octubre de 2025, emitida por la S</w:t>
      </w:r>
      <w:r>
        <w:rPr>
          <w:rFonts w:ascii="Verdana" w:eastAsia="Arial" w:hAnsi="Verdana" w:cs="Arial"/>
          <w:lang w:eastAsia="es-ES" w:bidi="es-ES"/>
        </w:rPr>
        <w:t xml:space="preserve">ección Tercera del </w:t>
      </w:r>
      <w:r w:rsidRPr="31E4E861">
        <w:rPr>
          <w:rFonts w:ascii="Verdana" w:eastAsia="Arial" w:hAnsi="Verdana" w:cs="Arial"/>
          <w:lang w:eastAsia="es-ES" w:bidi="es-ES"/>
        </w:rPr>
        <w:t xml:space="preserve">Consejo de Estado, dentro del expediente </w:t>
      </w:r>
      <w:r w:rsidRPr="31E4E861">
        <w:rPr>
          <w:rFonts w:ascii="Verdana" w:eastAsia="Times New Roman" w:hAnsi="Verdana" w:cs="Times New Roman"/>
          <w:lang w:eastAsia="es-ES"/>
        </w:rPr>
        <w:t>11001-03-26-000-2023-00139-00, se declaró la nulidad parcial del numeral 16.2 de la Circular Externa Única de 2022 expedida por la Agencia Nacional de Contratación Pública - Colombia Compra Eficiente que indicaba: “Esta restricción es aplicable tanto a los convenios como a los</w:t>
      </w:r>
      <w:r>
        <w:rPr>
          <w:rFonts w:ascii="Verdana" w:eastAsia="Times New Roman" w:hAnsi="Verdana" w:cs="Times New Roman"/>
          <w:lang w:eastAsia="es-ES"/>
        </w:rPr>
        <w:t xml:space="preserve"> contratos interadministrativos (…)</w:t>
      </w:r>
      <w:r w:rsidRPr="31E4E861">
        <w:rPr>
          <w:rFonts w:ascii="Verdana" w:eastAsia="Times New Roman" w:hAnsi="Verdana" w:cs="Times New Roman"/>
          <w:lang w:eastAsia="es-ES"/>
        </w:rPr>
        <w:t xml:space="preserve">”. </w:t>
      </w:r>
    </w:p>
    <w:p w14:paraId="0E051C20" w14:textId="77777777" w:rsidR="00590100" w:rsidRDefault="00590100" w:rsidP="00590100">
      <w:pPr>
        <w:spacing w:after="120" w:line="276" w:lineRule="auto"/>
        <w:ind w:firstLine="709"/>
        <w:jc w:val="both"/>
        <w:rPr>
          <w:rFonts w:ascii="Verdana" w:eastAsia="Times New Roman" w:hAnsi="Verdana" w:cs="Times New Roman"/>
          <w:lang w:eastAsia="es-ES"/>
        </w:rPr>
      </w:pPr>
      <w:r w:rsidRPr="2035D652">
        <w:rPr>
          <w:rFonts w:ascii="Verdana" w:eastAsia="Times New Roman" w:hAnsi="Verdana" w:cs="Times New Roman"/>
          <w:lang w:eastAsia="es-ES"/>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w:t>
      </w:r>
      <w:r w:rsidRPr="2035D652">
        <w:rPr>
          <w:rStyle w:val="Refdenotaalpie"/>
          <w:rFonts w:ascii="Verdana" w:eastAsia="Times New Roman" w:hAnsi="Verdana" w:cs="Times New Roman"/>
          <w:lang w:eastAsia="es-ES"/>
        </w:rPr>
        <w:footnoteReference w:id="34"/>
      </w:r>
      <w:r w:rsidRPr="2035D652">
        <w:rPr>
          <w:rFonts w:ascii="Verdana" w:eastAsia="Times New Roman" w:hAnsi="Verdana" w:cs="Times New Roman"/>
          <w:lang w:eastAsia="es-ES"/>
        </w:rPr>
        <w:t xml:space="preserve">. Sobre el particular, la Sala concluyó que contratos y convenios interadministrativos son figuras distintas en naturaleza, objeto y efectos, pues mientras los contratos implican obligaciones patrimoniales y contraprestación, los convenios se basan en cooperación sin ánimo económico. Por ello, la restricción legal no podía aplicarse extensivamente a los contratos. </w:t>
      </w:r>
    </w:p>
    <w:p w14:paraId="7514BCA2" w14:textId="77777777" w:rsidR="00590100" w:rsidRDefault="00590100" w:rsidP="00590100">
      <w:pPr>
        <w:spacing w:after="120" w:line="276" w:lineRule="auto"/>
        <w:ind w:firstLine="709"/>
        <w:jc w:val="both"/>
        <w:rPr>
          <w:rFonts w:ascii="Verdana" w:eastAsia="Times New Roman" w:hAnsi="Verdana" w:cs="Arial"/>
          <w:lang w:eastAsia="es-CO"/>
        </w:rPr>
      </w:pPr>
      <w:r w:rsidRPr="2035D652">
        <w:rPr>
          <w:rFonts w:ascii="Verdana" w:eastAsia="Times New Roman" w:hAnsi="Verdana" w:cs="Times New Roman"/>
          <w:lang w:eastAsia="es-ES"/>
        </w:rPr>
        <w:t xml:space="preserve">A juicio de la Sala, aunque el propósito de la Circular Externa era legítimo </w:t>
      </w:r>
      <w:r>
        <w:rPr>
          <w:rFonts w:ascii="Verdana" w:eastAsia="Times New Roman" w:hAnsi="Verdana" w:cs="Times New Roman"/>
          <w:lang w:eastAsia="es-ES"/>
        </w:rPr>
        <w:t>–</w:t>
      </w:r>
      <w:r w:rsidRPr="2035D652">
        <w:rPr>
          <w:rFonts w:ascii="Verdana" w:eastAsia="Times New Roman" w:hAnsi="Verdana" w:cs="Times New Roman"/>
          <w:lang w:eastAsia="es-ES"/>
        </w:rPr>
        <w:t>evitar el uso indebido de recursos en época electoral</w:t>
      </w:r>
      <w:r>
        <w:rPr>
          <w:rFonts w:ascii="Verdana" w:eastAsia="Times New Roman" w:hAnsi="Verdana" w:cs="Times New Roman"/>
          <w:lang w:eastAsia="es-ES"/>
        </w:rPr>
        <w:t>–</w:t>
      </w:r>
      <w:r w:rsidRPr="2035D652">
        <w:rPr>
          <w:rFonts w:ascii="Verdana" w:eastAsia="Times New Roman" w:hAnsi="Verdana" w:cs="Times New Roman"/>
          <w:lang w:eastAsia="es-ES"/>
        </w:rPr>
        <w:t>, el numeral 16.2. desconoció el alcance literal del artículo 38 de la Ley 996 de 2005 y los límites de la potestad reglamentaria, lo que configuró un vicio de contenido.</w:t>
      </w:r>
      <w:r>
        <w:rPr>
          <w:rFonts w:ascii="Verdana" w:eastAsia="Times New Roman" w:hAnsi="Verdana" w:cs="Times New Roman"/>
          <w:lang w:eastAsia="es-ES"/>
        </w:rPr>
        <w:t xml:space="preserve"> </w:t>
      </w:r>
      <w:r w:rsidRPr="00667CD6">
        <w:rPr>
          <w:rFonts w:ascii="Verdana" w:eastAsia="Times New Roman" w:hAnsi="Verdana" w:cs="Arial"/>
          <w:lang w:eastAsia="es-CO"/>
        </w:rPr>
        <w:t>Así las cosas, a la luz de lo expuesto por el Consejo de Estado</w:t>
      </w:r>
      <w:r>
        <w:rPr>
          <w:rFonts w:ascii="Verdana" w:eastAsia="Times New Roman" w:hAnsi="Verdana" w:cs="Arial"/>
          <w:lang w:eastAsia="es-CO"/>
        </w:rPr>
        <w:t xml:space="preserve">, </w:t>
      </w:r>
      <w:r w:rsidRPr="2035D652">
        <w:rPr>
          <w:rFonts w:ascii="Verdana" w:eastAsia="Times New Roman" w:hAnsi="Verdana" w:cs="Arial"/>
          <w:lang w:eastAsia="es-CO"/>
        </w:rPr>
        <w:t>en la sentencia expedida por la Sección Tercera de la Sala de lo Contencioso Administrativo del 17 de octubre de 2025</w:t>
      </w:r>
      <w:r>
        <w:rPr>
          <w:rFonts w:ascii="Verdana" w:eastAsia="Times New Roman" w:hAnsi="Verdana" w:cs="Arial"/>
          <w:lang w:eastAsia="es-CO"/>
        </w:rPr>
        <w:t>,</w:t>
      </w:r>
      <w:r w:rsidRPr="00667CD6">
        <w:rPr>
          <w:rFonts w:ascii="Verdana" w:eastAsia="Times New Roman" w:hAnsi="Verdana" w:cs="Arial"/>
          <w:lang w:eastAsia="es-CO"/>
        </w:rPr>
        <w:t xml:space="preserve"> en los autos del 4 de octubre de 2024 y 6 de noviembre de 2025, no resultaría aplicable la prohibición del parágrafo del artículo 38 de la Ley de Garantías Electorales a los </w:t>
      </w:r>
      <w:r w:rsidRPr="00667CD6">
        <w:rPr>
          <w:rFonts w:ascii="Verdana" w:eastAsia="Times New Roman" w:hAnsi="Verdana" w:cs="Arial"/>
          <w:i/>
          <w:iCs/>
          <w:lang w:eastAsia="es-CO"/>
        </w:rPr>
        <w:t>contratos interadministrativos</w:t>
      </w:r>
      <w:r>
        <w:rPr>
          <w:rFonts w:ascii="Verdana" w:eastAsia="Times New Roman" w:hAnsi="Verdana" w:cs="Arial"/>
          <w:lang w:eastAsia="es-CO"/>
        </w:rPr>
        <w:t>, esta prohibición solo aplicaría a los convenios interadministrativos que impliquen la ejecución de recursos públicos</w:t>
      </w:r>
      <w:r>
        <w:rPr>
          <w:rStyle w:val="Refdenotaalpie"/>
          <w:rFonts w:ascii="Verdana" w:eastAsia="Times New Roman" w:hAnsi="Verdana" w:cs="Arial"/>
          <w:lang w:eastAsia="es-CO"/>
        </w:rPr>
        <w:footnoteReference w:id="35"/>
      </w:r>
      <w:r>
        <w:rPr>
          <w:rFonts w:ascii="Verdana" w:eastAsia="Times New Roman" w:hAnsi="Verdana" w:cs="Arial"/>
          <w:lang w:eastAsia="es-CO"/>
        </w:rPr>
        <w:t>. C</w:t>
      </w:r>
      <w:r w:rsidRPr="00667CD6">
        <w:rPr>
          <w:rFonts w:ascii="Verdana" w:eastAsia="Times New Roman" w:hAnsi="Verdana" w:cs="Arial"/>
          <w:lang w:eastAsia="es-CO"/>
        </w:rPr>
        <w:t xml:space="preserve">onforme a lo señalado por el Consejo de Estado, cuando dos entidades públicas celebren un </w:t>
      </w:r>
      <w:r w:rsidRPr="00667CD6">
        <w:rPr>
          <w:rFonts w:ascii="Verdana" w:eastAsia="Times New Roman" w:hAnsi="Verdana" w:cs="Arial"/>
          <w:i/>
          <w:iCs/>
          <w:lang w:eastAsia="es-CO"/>
        </w:rPr>
        <w:t>contrato interadministrativo,</w:t>
      </w:r>
      <w:r w:rsidRPr="00667CD6">
        <w:rPr>
          <w:rFonts w:ascii="Verdana" w:eastAsia="Times New Roman" w:hAnsi="Verdana" w:cs="Arial"/>
          <w:lang w:eastAsia="es-CO"/>
        </w:rPr>
        <w:t xml:space="preserve"> independientemente del objeto, dicho contrato puede suscribirse durante el periodo preelectoral.</w:t>
      </w:r>
    </w:p>
    <w:p w14:paraId="379577DB" w14:textId="77777777" w:rsidR="00590100" w:rsidRDefault="00590100" w:rsidP="00590100">
      <w:pPr>
        <w:spacing w:after="120" w:line="276" w:lineRule="auto"/>
        <w:ind w:firstLine="708"/>
        <w:jc w:val="both"/>
        <w:rPr>
          <w:rFonts w:ascii="Verdana" w:eastAsia="Times New Roman" w:hAnsi="Verdana" w:cs="Arial"/>
          <w:lang w:eastAsia="es-CO"/>
        </w:rPr>
      </w:pPr>
      <w:r>
        <w:rPr>
          <w:rFonts w:ascii="Verdana" w:eastAsia="Times New Roman" w:hAnsi="Verdana" w:cs="Arial"/>
          <w:lang w:eastAsia="es-CO"/>
        </w:rPr>
        <w:t>En este aspecto, se encuentra que la restricción para la celebración de convenios interadministrativos para la ejecución de recursos públicos no puede aludirse a contratantes o contratistas, sino de partes cooperantes o colaboradoras. Así mismo, aplica para cualquier tipo de elección, lo que implica que la restricción del parágrafo del artículo 38</w:t>
      </w:r>
      <w:r>
        <w:rPr>
          <w:rFonts w:ascii="Verdana" w:eastAsia="Times New Roman" w:hAnsi="Verdana" w:cs="Arial"/>
          <w:bCs/>
          <w:lang w:val="es-MX" w:eastAsia="x-none"/>
        </w:rPr>
        <w:t xml:space="preserve"> aplica desde el 8 de noviembre de 2025, teniendo en cuenta que la Resolución 02580 del 5 de marzo de 2025 de la Registraduría Nacional del Estado Civil dispuso que las elecciones de senado y cámara se celebrarán el 8 de marzo de 2026. Esta restricción se extiende a las elecciones presidenciales que se celebrarán el 31 de mayo de 2026, así como una posible segunda vuelta tres semanas después, es decir, el 21 de junio de 2026. </w:t>
      </w:r>
    </w:p>
    <w:p w14:paraId="7C23E0B3" w14:textId="77777777" w:rsidR="00590100" w:rsidRDefault="00590100" w:rsidP="00590100">
      <w:pPr>
        <w:spacing w:after="0" w:line="276" w:lineRule="auto"/>
        <w:ind w:firstLine="708"/>
        <w:jc w:val="both"/>
        <w:rPr>
          <w:rFonts w:ascii="Verdana" w:eastAsia="Calibri" w:hAnsi="Verdana" w:cs="Arial"/>
          <w:lang w:val="es-ES" w:eastAsia="es-ES"/>
        </w:rPr>
      </w:pPr>
      <w:r w:rsidRPr="00667CD6">
        <w:rPr>
          <w:rFonts w:ascii="Verdana" w:eastAsia="Times New Roman" w:hAnsi="Verdana" w:cs="Arial"/>
          <w:lang w:eastAsia="es-CO"/>
        </w:rPr>
        <w:t xml:space="preserve"> </w:t>
      </w:r>
      <w:r w:rsidRPr="605533EB">
        <w:rPr>
          <w:rFonts w:ascii="Verdana" w:eastAsia="Times New Roman" w:hAnsi="Verdana" w:cs="Arial"/>
          <w:lang w:eastAsia="es-CO"/>
        </w:rPr>
        <w:t xml:space="preserve">No </w:t>
      </w:r>
      <w:r>
        <w:rPr>
          <w:rFonts w:ascii="Verdana" w:eastAsia="Times New Roman" w:hAnsi="Verdana" w:cs="Arial"/>
          <w:lang w:eastAsia="es-CO"/>
        </w:rPr>
        <w:t>obstante</w:t>
      </w:r>
      <w:r w:rsidRPr="605533EB">
        <w:rPr>
          <w:rFonts w:ascii="Verdana" w:eastAsia="Times New Roman" w:hAnsi="Verdana" w:cs="Arial"/>
          <w:lang w:eastAsia="es-CO"/>
        </w:rPr>
        <w:t xml:space="preserve">, es importante mencionar que aún se encuentra por definir la demanda </w:t>
      </w:r>
      <w:r w:rsidRPr="605533EB">
        <w:rPr>
          <w:rFonts w:ascii="Verdana" w:eastAsia="Calibri" w:hAnsi="Verdana" w:cs="Arial"/>
          <w:lang w:val="es-ES" w:eastAsia="es-ES"/>
        </w:rPr>
        <w:t xml:space="preserve">de nulidad simple, identificada con el Radicado número 11001-03-26-000-2025-00016-00, en la cual se cuestiona </w:t>
      </w:r>
      <w:r w:rsidRPr="605533EB">
        <w:rPr>
          <w:rFonts w:ascii="Verdana" w:eastAsia="Calibri" w:hAnsi="Verdana" w:cs="Arial"/>
          <w:lang w:eastAsia="es-ES"/>
        </w:rPr>
        <w:t>parcialmente el numeral 16.2 de la Circular Externa Única CCE-EICP-MA-06, Versión 03 del 27 de diciembre de 2023.</w:t>
      </w:r>
      <w:r w:rsidRPr="605533EB">
        <w:rPr>
          <w:rFonts w:ascii="Verdana" w:eastAsia="Calibri" w:hAnsi="Verdana" w:cs="Arial"/>
          <w:lang w:val="es-ES" w:eastAsia="es-ES"/>
        </w:rPr>
        <w:t xml:space="preserve"> </w:t>
      </w:r>
    </w:p>
    <w:p w14:paraId="0770328F" w14:textId="77777777" w:rsidR="00590100" w:rsidRDefault="00590100" w:rsidP="00590100">
      <w:pPr>
        <w:spacing w:after="0" w:line="240" w:lineRule="auto"/>
        <w:ind w:firstLine="709"/>
        <w:jc w:val="both"/>
        <w:rPr>
          <w:rFonts w:ascii="Verdana" w:eastAsia="Calibri" w:hAnsi="Verdana" w:cs="Arial"/>
          <w:lang w:val="es-ES" w:eastAsia="es-ES"/>
        </w:rPr>
      </w:pPr>
    </w:p>
    <w:p w14:paraId="7650516B" w14:textId="77777777" w:rsidR="00590100" w:rsidRPr="0078433B" w:rsidRDefault="00590100" w:rsidP="00590100">
      <w:pPr>
        <w:pStyle w:val="paragraph"/>
        <w:shd w:val="clear" w:color="auto" w:fill="FFFFFF"/>
        <w:spacing w:before="0" w:beforeAutospacing="0" w:after="120" w:afterAutospacing="0" w:line="276" w:lineRule="auto"/>
        <w:ind w:firstLine="708"/>
        <w:jc w:val="both"/>
        <w:textAlignment w:val="baseline"/>
        <w:rPr>
          <w:rFonts w:ascii="Verdana" w:eastAsia="Calibri" w:hAnsi="Verdana" w:cs="Arial"/>
          <w:bCs/>
          <w:color w:val="000000" w:themeColor="text1"/>
          <w:sz w:val="22"/>
          <w:szCs w:val="22"/>
        </w:rPr>
      </w:pPr>
      <w:r w:rsidRPr="00EC1732">
        <w:rPr>
          <w:rFonts w:ascii="Verdana" w:eastAsia="Calibri" w:hAnsi="Verdana" w:cs="Arial"/>
          <w:bCs/>
          <w:color w:val="000000" w:themeColor="text1"/>
          <w:sz w:val="22"/>
          <w:szCs w:val="22"/>
        </w:rPr>
        <w:t xml:space="preserve">En torno a la procedencia de la contratación directa por parte de las E.S.E., es necesario </w:t>
      </w:r>
      <w:r w:rsidRPr="00EC1732">
        <w:rPr>
          <w:rFonts w:ascii="Verdana" w:hAnsi="Verdana" w:cs="Arial"/>
          <w:bCs/>
          <w:color w:val="000000" w:themeColor="text1"/>
          <w:sz w:val="22"/>
          <w:szCs w:val="22"/>
        </w:rPr>
        <w:t>analizar el quinto evento exceptuado de la prohibición contemplada en el inciso segundo del artículo 33 de la Ley 996 de 2005, relacionado con la contratación por parte de entidades sanitarias y hospitalarias. Para ello, el artículo 94 de la Ley 100 de 1993 dispone que “la prestación de servicios de salud en forma directa por la nación o por las entidades territoriales, se hará principalmente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r w:rsidRPr="0078433B">
        <w:rPr>
          <w:rFonts w:ascii="Verdana" w:hAnsi="Verdana" w:cs="Arial"/>
          <w:bCs/>
          <w:color w:val="000000" w:themeColor="text1"/>
          <w:sz w:val="22"/>
          <w:szCs w:val="22"/>
        </w:rPr>
        <w:t xml:space="preserve"> </w:t>
      </w:r>
    </w:p>
    <w:p w14:paraId="02505BED" w14:textId="77777777" w:rsidR="00590100" w:rsidRPr="00FF007A" w:rsidRDefault="00590100" w:rsidP="00590100">
      <w:pPr>
        <w:tabs>
          <w:tab w:val="left" w:pos="426"/>
        </w:tabs>
        <w:spacing w:before="120" w:line="276" w:lineRule="auto"/>
        <w:ind w:firstLine="709"/>
        <w:jc w:val="both"/>
        <w:rPr>
          <w:rFonts w:ascii="Verdana" w:hAnsi="Verdana" w:cs="Arial"/>
          <w:color w:val="000000" w:themeColor="text1"/>
        </w:rPr>
      </w:pPr>
      <w:r w:rsidRPr="00FF007A">
        <w:rPr>
          <w:rFonts w:ascii="Verdana" w:hAnsi="Verdana" w:cs="Arial"/>
          <w:color w:val="000000" w:themeColor="text1"/>
        </w:rPr>
        <w:t>De lo anterior se desprende que, bajo la Ley 100 de 1993, dentro de la estructura de la administración pública las Empresas Sociales del Estado</w:t>
      </w:r>
      <w:r>
        <w:rPr>
          <w:rFonts w:ascii="Verdana" w:hAnsi="Verdana" w:cs="Arial"/>
          <w:color w:val="000000" w:themeColor="text1"/>
        </w:rPr>
        <w:t>, según lo dispuesto en el artículo 194 de la Ley 100 de 1993,</w:t>
      </w:r>
      <w:r w:rsidRPr="00FF007A">
        <w:rPr>
          <w:rFonts w:ascii="Verdana" w:hAnsi="Verdana" w:cs="Arial"/>
          <w:color w:val="000000" w:themeColor="text1"/>
        </w:rPr>
        <w:t xml:space="preserve"> son las entidades encargadas de prestar el servicio de salud de manera directa</w:t>
      </w:r>
      <w:r>
        <w:rPr>
          <w:rStyle w:val="Refdenotaalpie"/>
          <w:rFonts w:ascii="Verdana" w:hAnsi="Verdana" w:cs="Arial"/>
          <w:color w:val="000000" w:themeColor="text1"/>
        </w:rPr>
        <w:footnoteReference w:id="36"/>
      </w:r>
      <w:r w:rsidRPr="00FF007A">
        <w:rPr>
          <w:rFonts w:ascii="Verdana" w:hAnsi="Verdana" w:cs="Arial"/>
          <w:color w:val="000000" w:themeColor="text1"/>
        </w:rPr>
        <w:t>. Además, el mismo artículo 197</w:t>
      </w:r>
      <w:r w:rsidRPr="00FF007A">
        <w:rPr>
          <w:rFonts w:ascii="Arial" w:hAnsi="Arial" w:cs="Arial"/>
          <w:color w:val="000000" w:themeColor="text1"/>
          <w:vertAlign w:val="superscript"/>
        </w:rPr>
        <w:footnoteReference w:id="37"/>
      </w:r>
      <w:r w:rsidRPr="00FF007A">
        <w:rPr>
          <w:rFonts w:ascii="Verdana" w:hAnsi="Verdana" w:cs="Arial"/>
          <w:color w:val="000000" w:themeColor="text1"/>
        </w:rPr>
        <w:t xml:space="preserve"> estableció el deber de reestructurar y transformar en Empresas Sociales del Estado a las entidades descentralizadas que, al momento de entrada en vigor de la ley referida, prestaban directamente este servicio. Así, se observa que la voluntad del legislador fue homogeneizar o unificar la naturaleza jurídica de las entidades públicas descentralizadas prestadoras del servicio de salud en Empresas Sociales del Estado. De ello da cuenta no solo la creación de la institución jurídica referida sino además la imposición del mandato de reestructuración de aquellas entidades. </w:t>
      </w:r>
    </w:p>
    <w:p w14:paraId="5FE355DB" w14:textId="77777777" w:rsidR="00590100" w:rsidRPr="00FF007A" w:rsidRDefault="00590100" w:rsidP="00590100">
      <w:pPr>
        <w:spacing w:before="120"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De otro lado, el artículo 2.8.8.1.1.3 del Decreto 780 de 2016, </w:t>
      </w:r>
      <w:r>
        <w:rPr>
          <w:rFonts w:ascii="Verdana" w:eastAsia="Arial" w:hAnsi="Verdana" w:cs="Arial"/>
          <w:bCs/>
          <w:color w:val="000000" w:themeColor="text1"/>
        </w:rPr>
        <w:t>“</w:t>
      </w:r>
      <w:r w:rsidRPr="00FF007A">
        <w:rPr>
          <w:rFonts w:ascii="Verdana" w:eastAsia="Arial" w:hAnsi="Verdana" w:cs="Arial"/>
          <w:bCs/>
          <w:color w:val="000000" w:themeColor="text1"/>
        </w:rPr>
        <w:t>Por medio del cual se expide el Decreto Único Reglamentario del Sector Salud y Protección Social</w:t>
      </w:r>
      <w:r>
        <w:rPr>
          <w:rFonts w:ascii="Verdana" w:eastAsia="Arial" w:hAnsi="Verdana" w:cs="Arial"/>
          <w:bCs/>
          <w:color w:val="000000" w:themeColor="text1"/>
        </w:rPr>
        <w:t>”</w:t>
      </w:r>
      <w:r w:rsidRPr="00FF007A">
        <w:rPr>
          <w:rFonts w:ascii="Verdana" w:eastAsia="Arial" w:hAnsi="Verdana" w:cs="Arial"/>
          <w:bCs/>
          <w:color w:val="000000" w:themeColor="text1"/>
        </w:rPr>
        <w:t xml:space="preserve">, definió a las </w:t>
      </w:r>
      <w:r w:rsidRPr="00FF007A">
        <w:rPr>
          <w:rFonts w:ascii="Verdana" w:eastAsia="Arial" w:hAnsi="Verdana" w:cs="Arial"/>
          <w:bCs/>
          <w:i/>
          <w:iCs/>
          <w:color w:val="000000" w:themeColor="text1"/>
        </w:rPr>
        <w:t>entidades sanitarias</w:t>
      </w:r>
      <w:r w:rsidRPr="00FF007A">
        <w:rPr>
          <w:rFonts w:ascii="Verdana" w:eastAsia="Arial" w:hAnsi="Verdana" w:cs="Arial"/>
          <w:bCs/>
          <w:color w:val="000000" w:themeColor="text1"/>
        </w:rPr>
        <w:t xml:space="preserve"> como</w:t>
      </w:r>
      <w:r>
        <w:rPr>
          <w:rFonts w:ascii="Verdana" w:eastAsia="Arial" w:hAnsi="Verdana" w:cs="Arial"/>
          <w:bCs/>
          <w:color w:val="000000" w:themeColor="text1"/>
        </w:rPr>
        <w:t xml:space="preserve"> las</w:t>
      </w:r>
      <w:r w:rsidRPr="00FF007A">
        <w:rPr>
          <w:rFonts w:ascii="Verdana" w:eastAsia="Arial" w:hAnsi="Verdana" w:cs="Arial"/>
          <w:bCs/>
          <w:color w:val="000000" w:themeColor="text1"/>
        </w:rPr>
        <w:t xml:space="preserve"> “Entidades del Estado que prestan servicios sanitarios o de sanidad con el propósito de preservar la salud humana y la salud pública”. El artículo citado también define las </w:t>
      </w:r>
      <w:r w:rsidRPr="00FF007A">
        <w:rPr>
          <w:rFonts w:ascii="Verdana" w:eastAsia="Arial" w:hAnsi="Verdana" w:cs="Arial"/>
          <w:bCs/>
          <w:i/>
          <w:iCs/>
          <w:color w:val="000000" w:themeColor="text1"/>
        </w:rPr>
        <w:t>autoridades sanitarias</w:t>
      </w:r>
      <w:r w:rsidRPr="00FF007A">
        <w:rPr>
          <w:rFonts w:ascii="Verdana" w:eastAsia="Arial" w:hAnsi="Verdana" w:cs="Arial"/>
          <w:bCs/>
          <w:color w:val="000000" w:themeColor="text1"/>
        </w:rPr>
        <w:t xml:space="preserve"> como </w:t>
      </w:r>
      <w:r>
        <w:rPr>
          <w:rFonts w:ascii="Verdana" w:eastAsia="Arial" w:hAnsi="Verdana" w:cs="Arial"/>
          <w:bCs/>
          <w:color w:val="000000" w:themeColor="text1"/>
        </w:rPr>
        <w:t xml:space="preserve">las </w:t>
      </w:r>
      <w:r w:rsidRPr="00FF007A">
        <w:rPr>
          <w:rFonts w:ascii="Verdana" w:eastAsia="Arial" w:hAnsi="Verdana" w:cs="Arial"/>
          <w:bCs/>
          <w:color w:val="000000" w:themeColor="text1"/>
        </w:rPr>
        <w:t>“Entidades jurídicas de carácter público con atribuciones para ejercer funciones de rectoría, regulación, inspección, vigilancia y control de los sectores público y privado en salud y adoptar medidas de prevención y seguimiento que garanticen la protección de la salud pública”</w:t>
      </w:r>
      <w:r w:rsidRPr="00FF007A">
        <w:rPr>
          <w:rFonts w:ascii="Verdana" w:eastAsia="Arial" w:hAnsi="Verdana" w:cs="Arial"/>
          <w:bCs/>
          <w:color w:val="000000" w:themeColor="text1"/>
          <w:vertAlign w:val="superscript"/>
        </w:rPr>
        <w:footnoteReference w:id="38"/>
      </w:r>
      <w:r w:rsidRPr="00FF007A">
        <w:rPr>
          <w:rFonts w:ascii="Verdana" w:eastAsia="Arial" w:hAnsi="Verdana" w:cs="Arial"/>
          <w:bCs/>
          <w:color w:val="000000" w:themeColor="text1"/>
        </w:rPr>
        <w:t xml:space="preserve">. De esta forma, </w:t>
      </w:r>
      <w:r>
        <w:rPr>
          <w:rFonts w:ascii="Verdana" w:eastAsia="Arial" w:hAnsi="Verdana" w:cs="Arial"/>
          <w:bCs/>
          <w:color w:val="000000" w:themeColor="text1"/>
        </w:rPr>
        <w:t xml:space="preserve">para efectos de la aplicación de la excepción, se debe verificar que se cumplan los requisitos del </w:t>
      </w:r>
      <w:r w:rsidRPr="00FF007A">
        <w:rPr>
          <w:rFonts w:ascii="Verdana" w:eastAsia="Arial" w:hAnsi="Verdana" w:cs="Arial"/>
          <w:bCs/>
          <w:color w:val="000000" w:themeColor="text1"/>
        </w:rPr>
        <w:t xml:space="preserve">artículo 33 de la Ley </w:t>
      </w:r>
      <w:r>
        <w:rPr>
          <w:rFonts w:ascii="Verdana" w:eastAsia="Arial" w:hAnsi="Verdana" w:cs="Arial"/>
          <w:bCs/>
          <w:color w:val="000000" w:themeColor="text1"/>
        </w:rPr>
        <w:t xml:space="preserve">996 de 2005. </w:t>
      </w:r>
    </w:p>
    <w:p w14:paraId="2F61ACB2" w14:textId="77777777" w:rsidR="00590100" w:rsidRPr="00017D8E" w:rsidRDefault="00590100" w:rsidP="00590100">
      <w:pPr>
        <w:spacing w:before="120"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Sobre lo anterior, el Consejo de Estado ha señalado que “las entidades que presten servicios tendientes a preservar la salud </w:t>
      </w:r>
      <w:r>
        <w:rPr>
          <w:rFonts w:ascii="Verdana" w:eastAsia="Arial" w:hAnsi="Verdana" w:cs="Arial"/>
          <w:bCs/>
          <w:color w:val="000000" w:themeColor="text1"/>
        </w:rPr>
        <w:t>pública</w:t>
      </w:r>
      <w:r w:rsidRPr="00FF007A">
        <w:rPr>
          <w:rFonts w:ascii="Verdana" w:eastAsia="Arial" w:hAnsi="Verdana" w:cs="Arial"/>
          <w:bCs/>
          <w:color w:val="000000" w:themeColor="text1"/>
        </w:rPr>
        <w:t xml:space="preserve"> o humana deben ser consideradas como entidades sanitarias y en principio estarían exceptuadas de la prohibición de contratación directa”</w:t>
      </w:r>
      <w:r w:rsidRPr="00FF007A">
        <w:rPr>
          <w:rStyle w:val="Refdenotaalpie"/>
          <w:rFonts w:ascii="Verdana" w:eastAsia="Arial" w:hAnsi="Verdana" w:cs="Arial"/>
          <w:bCs/>
          <w:color w:val="000000" w:themeColor="text1"/>
        </w:rPr>
        <w:footnoteReference w:id="39"/>
      </w:r>
      <w:r w:rsidRPr="00FF007A">
        <w:rPr>
          <w:rFonts w:ascii="Verdana" w:eastAsia="Arial" w:hAnsi="Verdana" w:cs="Arial"/>
          <w:bCs/>
          <w:color w:val="000000" w:themeColor="text1"/>
        </w:rPr>
        <w:t>. Sobre la excepción dirigida a las entidades hospitalarias de carácter público resaltó que “debe ser entendida solo en aquellos eventos en que ocurran emergencias sanitarias o de salubridad que requieran la atención o prestación inmediata y oportuna de los servicios de salud”, pues las excepciones buscan que la red hospitalaria no limite su actuación en la prestación del servicio de salud en eventos catastróficos o de urgencia que se presenten. En consecuencia, sostuvo que las excepciones no se extienden a “los contratos que habitual y ordinariamente celebran las entidades territoriales con las entidades hospitalarias, ya que dichos órganos deben planear y desarrollar su gestión contractual con suficiente antelación para que no sea cobijada por la prohibición de contratación que establece la ley de garantías”</w:t>
      </w:r>
      <w:r w:rsidRPr="00FF007A">
        <w:rPr>
          <w:rStyle w:val="Refdenotaalpie"/>
          <w:rFonts w:ascii="Verdana" w:eastAsia="Arial" w:hAnsi="Verdana" w:cs="Arial"/>
          <w:bCs/>
          <w:color w:val="000000" w:themeColor="text1"/>
        </w:rPr>
        <w:footnoteReference w:id="40"/>
      </w:r>
      <w:r w:rsidRPr="00FF007A">
        <w:rPr>
          <w:rFonts w:ascii="Verdana" w:eastAsia="Arial" w:hAnsi="Verdana" w:cs="Arial"/>
          <w:bCs/>
          <w:color w:val="000000" w:themeColor="text1"/>
        </w:rPr>
        <w:t xml:space="preserve">. </w:t>
      </w:r>
    </w:p>
    <w:p w14:paraId="512AF5FD" w14:textId="77777777" w:rsidR="00590100" w:rsidRDefault="00590100" w:rsidP="00590100">
      <w:pPr>
        <w:spacing w:after="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Conforme con lo expuesto, las entidades que requieran adelantar procesos de contratación directa durante el periodo de garantías electorales deberán analizar, primero, </w:t>
      </w:r>
      <w:r w:rsidRPr="006E6949">
        <w:rPr>
          <w:rFonts w:ascii="Verdana" w:eastAsia="Arial" w:hAnsi="Verdana" w:cs="Arial"/>
          <w:bCs/>
          <w:color w:val="000000" w:themeColor="text1"/>
        </w:rPr>
        <w:t xml:space="preserve">si se configuran los supuestos establecidos en </w:t>
      </w:r>
      <w:r w:rsidRPr="006E6949">
        <w:rPr>
          <w:rFonts w:ascii="Verdana" w:eastAsia="Arial" w:hAnsi="Verdana" w:cs="Arial"/>
          <w:bCs/>
          <w:i/>
          <w:iCs/>
          <w:color w:val="000000" w:themeColor="text1"/>
        </w:rPr>
        <w:t>el artículo 33</w:t>
      </w:r>
      <w:r w:rsidRPr="006E6949">
        <w:rPr>
          <w:rFonts w:ascii="Verdana" w:eastAsia="Arial" w:hAnsi="Verdana" w:cs="Arial"/>
          <w:bCs/>
          <w:color w:val="000000" w:themeColor="text1"/>
        </w:rPr>
        <w:t xml:space="preserve"> de la Ley 996 de 2005, es decir, si se trata de cualquier entidad pública que pretenda adelantar un proceso no competitivo. Adicionalmente, será pertinente analizar si se configura alguna de las excepciones previstas en la norma. </w:t>
      </w:r>
    </w:p>
    <w:p w14:paraId="782BD621" w14:textId="77777777" w:rsidR="00590100" w:rsidRDefault="00590100" w:rsidP="00590100">
      <w:pPr>
        <w:spacing w:after="0" w:line="240" w:lineRule="auto"/>
        <w:ind w:firstLine="709"/>
        <w:jc w:val="both"/>
        <w:rPr>
          <w:rFonts w:ascii="Verdana" w:eastAsia="Arial" w:hAnsi="Verdana" w:cs="Arial"/>
          <w:bCs/>
          <w:color w:val="000000" w:themeColor="text1"/>
        </w:rPr>
      </w:pPr>
    </w:p>
    <w:p w14:paraId="44C2AD6B" w14:textId="77777777" w:rsidR="00590100" w:rsidRDefault="00590100" w:rsidP="00590100">
      <w:pPr>
        <w:spacing w:after="0" w:line="276" w:lineRule="auto"/>
        <w:ind w:firstLine="709"/>
        <w:jc w:val="both"/>
        <w:rPr>
          <w:rFonts w:ascii="Verdana" w:eastAsia="Arial" w:hAnsi="Verdana" w:cs="Arial"/>
          <w:bCs/>
          <w:color w:val="000000" w:themeColor="text1"/>
        </w:rPr>
      </w:pPr>
      <w:r w:rsidRPr="006E6949">
        <w:rPr>
          <w:rFonts w:ascii="Verdana" w:eastAsia="Arial" w:hAnsi="Verdana" w:cs="Arial"/>
          <w:bCs/>
          <w:color w:val="000000" w:themeColor="text1"/>
        </w:rPr>
        <w:t>En este caso las actividades o equipos en salud son una estructura funcional y organizativa del talento humano en salud vinculado a una institución prestadora de servicios de salud. Su propósito es facilitar el acceso a los servicios e intervenciones en el continuo de la atención y contribuir a la garantía de las atenciones de promoción de la salud, prevención de la enfermedad, detección temprana de alteraciones y educación para la salud en todos los entornos. El EBS opera principalmente en modalidad extramural, sin perjuicio de que, de considerarse necesario, puedan integrarse las modalidades intramurales y de telemedicina, en el marco de la Red Integral de Prestación de Servicios de salud, en una lógica de gestión integral territorial en salud de acuerdo con la estrategia de Atención Primaria en Salud</w:t>
      </w:r>
      <w:r w:rsidRPr="006E6949">
        <w:rPr>
          <w:rStyle w:val="Refdenotaalpie"/>
          <w:rFonts w:ascii="Verdana" w:eastAsia="Arial" w:hAnsi="Verdana" w:cs="Arial"/>
          <w:bCs/>
          <w:color w:val="000000" w:themeColor="text1"/>
        </w:rPr>
        <w:footnoteReference w:id="41"/>
      </w:r>
      <w:r w:rsidRPr="006E6949">
        <w:rPr>
          <w:rFonts w:ascii="Verdana" w:eastAsia="Arial" w:hAnsi="Verdana" w:cs="Arial"/>
          <w:bCs/>
          <w:color w:val="000000" w:themeColor="text1"/>
        </w:rPr>
        <w:t>.</w:t>
      </w:r>
    </w:p>
    <w:p w14:paraId="7B83BE67" w14:textId="77777777" w:rsidR="00590100" w:rsidRDefault="00590100" w:rsidP="00590100">
      <w:pPr>
        <w:spacing w:after="0" w:line="240" w:lineRule="auto"/>
        <w:ind w:firstLine="709"/>
        <w:jc w:val="both"/>
        <w:rPr>
          <w:rFonts w:ascii="Verdana" w:eastAsia="Arial" w:hAnsi="Verdana" w:cs="Arial"/>
          <w:bCs/>
          <w:color w:val="000000" w:themeColor="text1"/>
        </w:rPr>
      </w:pPr>
    </w:p>
    <w:p w14:paraId="082C8223" w14:textId="77777777" w:rsidR="00590100" w:rsidRDefault="00590100" w:rsidP="00590100">
      <w:pPr>
        <w:spacing w:after="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Estas actividades están en cabeza, entre otras, de las empresas sociales del estado, las cuales tienen las siguientes actividades: </w:t>
      </w:r>
    </w:p>
    <w:p w14:paraId="2E8930FD" w14:textId="77777777" w:rsidR="00590100" w:rsidRDefault="00590100" w:rsidP="00590100">
      <w:pPr>
        <w:spacing w:after="0" w:line="240" w:lineRule="auto"/>
        <w:ind w:firstLine="709"/>
        <w:jc w:val="both"/>
        <w:rPr>
          <w:rFonts w:ascii="Verdana" w:eastAsia="Arial" w:hAnsi="Verdana" w:cs="Arial"/>
          <w:bCs/>
          <w:color w:val="000000" w:themeColor="text1"/>
        </w:rPr>
      </w:pPr>
    </w:p>
    <w:p w14:paraId="60291D32" w14:textId="77777777" w:rsidR="00590100"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CC27A8">
        <w:rPr>
          <w:rFonts w:ascii="Verdana" w:eastAsia="Arial" w:hAnsi="Verdana" w:cs="Arial"/>
          <w:bCs/>
          <w:color w:val="000000" w:themeColor="text1"/>
        </w:rPr>
        <w:t>Cumplir los lineamientos establecidos por el MSPS para la implementación del plan de trabajo y cronograma para la operación de los Equipos Básicos de Salud</w:t>
      </w:r>
      <w:r>
        <w:rPr>
          <w:rFonts w:ascii="Verdana" w:eastAsia="Arial" w:hAnsi="Verdana" w:cs="Arial"/>
          <w:bCs/>
          <w:color w:val="000000" w:themeColor="text1"/>
        </w:rPr>
        <w:t>.</w:t>
      </w:r>
      <w:r w:rsidRPr="00CC27A8">
        <w:rPr>
          <w:rFonts w:ascii="Verdana" w:eastAsia="Arial" w:hAnsi="Verdana" w:cs="Arial"/>
          <w:bCs/>
          <w:color w:val="000000" w:themeColor="text1"/>
        </w:rPr>
        <w:t xml:space="preserve"> </w:t>
      </w:r>
    </w:p>
    <w:p w14:paraId="2451E55A" w14:textId="77777777" w:rsidR="00590100"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CC27A8">
        <w:rPr>
          <w:rFonts w:ascii="Verdana" w:eastAsia="Arial" w:hAnsi="Verdana" w:cs="Arial"/>
          <w:bCs/>
          <w:color w:val="000000" w:themeColor="text1"/>
        </w:rPr>
        <w:t>Reconocer y apropiar los procesos de planeación territorial en salud; plan territorial, plan de acción, así como en plan operativo de los mismos y su integración con PDSP y el modelo de salud preventivo y predictivo.</w:t>
      </w:r>
    </w:p>
    <w:p w14:paraId="74D86D88" w14:textId="77777777" w:rsidR="00590100"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CC27A8">
        <w:rPr>
          <w:rFonts w:ascii="Verdana" w:eastAsia="Arial" w:hAnsi="Verdana" w:cs="Arial"/>
          <w:bCs/>
          <w:color w:val="000000" w:themeColor="text1"/>
        </w:rPr>
        <w:t xml:space="preserve">Definir los territorios y </w:t>
      </w:r>
      <w:proofErr w:type="spellStart"/>
      <w:r w:rsidRPr="00CC27A8">
        <w:rPr>
          <w:rFonts w:ascii="Verdana" w:eastAsia="Arial" w:hAnsi="Verdana" w:cs="Arial"/>
          <w:bCs/>
          <w:color w:val="000000" w:themeColor="text1"/>
        </w:rPr>
        <w:t>microterritorios</w:t>
      </w:r>
      <w:proofErr w:type="spellEnd"/>
      <w:r w:rsidRPr="00CC27A8">
        <w:rPr>
          <w:rFonts w:ascii="Verdana" w:eastAsia="Arial" w:hAnsi="Verdana" w:cs="Arial"/>
          <w:bCs/>
          <w:color w:val="000000" w:themeColor="text1"/>
        </w:rPr>
        <w:t xml:space="preserve"> donde operarán los EBS, según lineamiento y en coordinación con las Entidades Territoriales.  </w:t>
      </w:r>
    </w:p>
    <w:p w14:paraId="2DEEF152" w14:textId="77777777" w:rsidR="00590100" w:rsidRPr="002B0913" w:rsidRDefault="00590100" w:rsidP="00590100">
      <w:pPr>
        <w:pStyle w:val="Prrafodelista"/>
        <w:numPr>
          <w:ilvl w:val="0"/>
          <w:numId w:val="19"/>
        </w:numPr>
        <w:spacing w:after="0" w:line="276" w:lineRule="auto"/>
        <w:jc w:val="both"/>
        <w:rPr>
          <w:rFonts w:ascii="Verdana" w:eastAsia="Arial" w:hAnsi="Verdana" w:cs="Arial"/>
          <w:b/>
          <w:color w:val="000000" w:themeColor="text1"/>
          <w:u w:val="single"/>
        </w:rPr>
      </w:pPr>
      <w:r w:rsidRPr="002B0913">
        <w:rPr>
          <w:rFonts w:ascii="Verdana" w:eastAsia="Arial" w:hAnsi="Verdana" w:cs="Arial"/>
          <w:b/>
          <w:color w:val="000000" w:themeColor="text1"/>
          <w:u w:val="single"/>
          <w:lang w:val="es-CO"/>
        </w:rPr>
        <w:t xml:space="preserve">Conformar los EBS según lineamiento y en coordinación con las Entidades Territoriales. </w:t>
      </w:r>
    </w:p>
    <w:p w14:paraId="42AC9475" w14:textId="77777777" w:rsidR="00590100" w:rsidRPr="002B0913"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2B0913">
        <w:rPr>
          <w:rFonts w:ascii="Verdana" w:eastAsia="Arial" w:hAnsi="Verdana" w:cs="Arial"/>
          <w:bCs/>
          <w:color w:val="000000" w:themeColor="text1"/>
          <w:lang w:val="es-CO"/>
        </w:rPr>
        <w:t>Registrar información de los EBS y sus integrantes, así como la asociación del EBS al territorio donde operará, en el componente de gestión del SI-APS</w:t>
      </w:r>
      <w:r>
        <w:rPr>
          <w:rFonts w:ascii="Verdana" w:eastAsia="Arial" w:hAnsi="Verdana" w:cs="Arial"/>
          <w:bCs/>
          <w:color w:val="000000" w:themeColor="text1"/>
          <w:lang w:val="es-CO"/>
        </w:rPr>
        <w:t>.</w:t>
      </w:r>
    </w:p>
    <w:p w14:paraId="71C812C9" w14:textId="77777777" w:rsidR="00590100" w:rsidRPr="002B0913"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2B0913">
        <w:rPr>
          <w:rFonts w:ascii="Verdana" w:eastAsia="Arial" w:hAnsi="Verdana" w:cs="Arial"/>
          <w:bCs/>
          <w:color w:val="000000" w:themeColor="text1"/>
          <w:lang w:val="es-CO"/>
        </w:rPr>
        <w:t xml:space="preserve">Realizar los ajustes necesarios a los procesos, según resultados de seguimiento a la conformación y operación de los EBS. </w:t>
      </w:r>
    </w:p>
    <w:p w14:paraId="23859166" w14:textId="77777777" w:rsidR="00590100" w:rsidRPr="002B0913"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2B0913">
        <w:rPr>
          <w:rFonts w:ascii="Verdana" w:eastAsia="Arial" w:hAnsi="Verdana" w:cs="Arial"/>
          <w:bCs/>
          <w:color w:val="000000" w:themeColor="text1"/>
          <w:lang w:val="es-CO"/>
        </w:rPr>
        <w:t xml:space="preserve">Realizar el monitoreo y seguimiento técnico, financiero y administrativo eficaz y oportuno de los recursos asignados para la operación de los EBS, de acuerdo al lineamiento vigente, a través del mecanismo y los indicadores descritos en el presente documento e indicadores de resultados en salud. </w:t>
      </w:r>
    </w:p>
    <w:p w14:paraId="5627AA94" w14:textId="77777777" w:rsidR="00590100" w:rsidRPr="002B0913"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2B0913">
        <w:rPr>
          <w:rFonts w:ascii="Verdana" w:eastAsia="Arial" w:hAnsi="Verdana" w:cs="Arial"/>
          <w:bCs/>
          <w:color w:val="000000" w:themeColor="text1"/>
          <w:lang w:val="es-CO"/>
        </w:rPr>
        <w:t xml:space="preserve">Brindar al Ministerio de Salud y Protección Social, a la secretaría de salud departamental, distrital y municipal la información que se requiera, que dé cuenta de la ejecución técnica y financiera de los EBS operando. </w:t>
      </w:r>
    </w:p>
    <w:p w14:paraId="4AC7D644" w14:textId="77777777" w:rsidR="00590100" w:rsidRPr="002B0913" w:rsidRDefault="00590100" w:rsidP="00590100">
      <w:pPr>
        <w:pStyle w:val="Prrafodelista"/>
        <w:numPr>
          <w:ilvl w:val="0"/>
          <w:numId w:val="19"/>
        </w:numPr>
        <w:spacing w:after="0" w:line="276" w:lineRule="auto"/>
        <w:jc w:val="both"/>
        <w:rPr>
          <w:rFonts w:ascii="Verdana" w:eastAsia="Arial" w:hAnsi="Verdana" w:cs="Arial"/>
          <w:bCs/>
          <w:color w:val="000000" w:themeColor="text1"/>
        </w:rPr>
      </w:pPr>
      <w:r w:rsidRPr="002B0913">
        <w:rPr>
          <w:rFonts w:ascii="Verdana" w:eastAsia="Arial" w:hAnsi="Verdana" w:cs="Arial"/>
          <w:bCs/>
          <w:color w:val="000000" w:themeColor="text1"/>
          <w:lang w:val="es-CO"/>
        </w:rPr>
        <w:t>Consultar de manera periódica las retroalimentaciones y el informe final que remite el Ministerio de Salud y Protección Social mediante PISIS</w:t>
      </w:r>
      <w:r>
        <w:rPr>
          <w:rStyle w:val="Refdenotaalpie"/>
          <w:rFonts w:ascii="Verdana" w:eastAsia="Arial" w:hAnsi="Verdana" w:cs="Arial"/>
          <w:bCs/>
          <w:color w:val="000000" w:themeColor="text1"/>
          <w:lang w:val="es-CO"/>
        </w:rPr>
        <w:footnoteReference w:id="42"/>
      </w:r>
      <w:r>
        <w:rPr>
          <w:rFonts w:ascii="Verdana" w:eastAsia="Arial" w:hAnsi="Verdana" w:cs="Arial"/>
          <w:bCs/>
          <w:color w:val="000000" w:themeColor="text1"/>
          <w:lang w:val="es-CO"/>
        </w:rPr>
        <w:t>. (resaltado fuera de texto)</w:t>
      </w:r>
    </w:p>
    <w:p w14:paraId="6F73DB1F" w14:textId="77777777" w:rsidR="00590100" w:rsidRDefault="00590100" w:rsidP="00590100">
      <w:pPr>
        <w:spacing w:after="0" w:line="240" w:lineRule="auto"/>
        <w:ind w:firstLine="709"/>
        <w:jc w:val="both"/>
        <w:rPr>
          <w:rFonts w:ascii="Verdana" w:eastAsia="Arial" w:hAnsi="Verdana" w:cs="Arial"/>
          <w:bCs/>
          <w:color w:val="000000" w:themeColor="text1"/>
          <w:lang w:val="es-ES"/>
        </w:rPr>
      </w:pPr>
    </w:p>
    <w:p w14:paraId="4AAA2E18" w14:textId="77777777" w:rsidR="00590100" w:rsidRDefault="00590100" w:rsidP="00590100">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Teniendo en cuenta lo expuesto, </w:t>
      </w:r>
      <w:r w:rsidRPr="00FF007A">
        <w:rPr>
          <w:rFonts w:ascii="Verdana" w:eastAsia="Arial" w:hAnsi="Verdana" w:cs="Arial"/>
          <w:bCs/>
          <w:color w:val="000000" w:themeColor="text1"/>
        </w:rPr>
        <w:t>la entidad</w:t>
      </w:r>
      <w:r>
        <w:rPr>
          <w:rFonts w:ascii="Verdana" w:eastAsia="Arial" w:hAnsi="Verdana" w:cs="Arial"/>
          <w:bCs/>
          <w:color w:val="000000" w:themeColor="text1"/>
        </w:rPr>
        <w:t>,</w:t>
      </w:r>
      <w:r w:rsidRPr="00FF007A">
        <w:rPr>
          <w:rFonts w:ascii="Verdana" w:eastAsia="Arial" w:hAnsi="Verdana" w:cs="Arial"/>
          <w:bCs/>
          <w:color w:val="000000" w:themeColor="text1"/>
        </w:rPr>
        <w:t xml:space="preserve"> </w:t>
      </w:r>
      <w:r>
        <w:rPr>
          <w:rFonts w:ascii="Verdana" w:eastAsia="Arial" w:hAnsi="Verdana" w:cs="Arial"/>
          <w:bCs/>
          <w:color w:val="000000" w:themeColor="text1"/>
        </w:rPr>
        <w:t xml:space="preserve">previo análisis de las excepciones, podrá proceder en tal sentido y contratar directamente </w:t>
      </w:r>
      <w:r w:rsidRPr="00FF007A">
        <w:rPr>
          <w:rFonts w:ascii="Verdana" w:eastAsia="Arial" w:hAnsi="Verdana" w:cs="Arial"/>
          <w:bCs/>
          <w:color w:val="000000" w:themeColor="text1"/>
        </w:rPr>
        <w:t>a pesar de que haya iniciado el periodo de garantías electorales correspondiente al artículo 33 de la Ley 996 de 2005.</w:t>
      </w:r>
      <w:r>
        <w:rPr>
          <w:rFonts w:ascii="Verdana" w:eastAsia="Arial" w:hAnsi="Verdana" w:cs="Arial"/>
          <w:bCs/>
          <w:color w:val="000000" w:themeColor="text1"/>
        </w:rPr>
        <w:t xml:space="preserve"> </w:t>
      </w:r>
    </w:p>
    <w:p w14:paraId="7DB7360B" w14:textId="77777777" w:rsidR="00590100" w:rsidRPr="00A65838" w:rsidRDefault="00590100" w:rsidP="00590100">
      <w:pPr>
        <w:spacing w:after="120" w:line="276" w:lineRule="auto"/>
        <w:ind w:firstLine="709"/>
        <w:jc w:val="both"/>
        <w:rPr>
          <w:rFonts w:ascii="Verdana" w:eastAsia="Arial" w:hAnsi="Verdana" w:cs="Arial"/>
          <w:bCs/>
          <w:color w:val="000000" w:themeColor="text1"/>
        </w:rPr>
      </w:pPr>
      <w:r w:rsidRPr="00FF007A">
        <w:rPr>
          <w:rFonts w:ascii="Verdana" w:eastAsia="Arial" w:hAnsi="Verdana" w:cs="Arial"/>
          <w:bCs/>
          <w:color w:val="000000" w:themeColor="text1"/>
        </w:rPr>
        <w:t xml:space="preserve">Con respecto a la prohibición del </w:t>
      </w:r>
      <w:r w:rsidRPr="00FF007A">
        <w:rPr>
          <w:rFonts w:ascii="Verdana" w:eastAsia="Arial" w:hAnsi="Verdana" w:cs="Arial"/>
          <w:bCs/>
          <w:i/>
          <w:iCs/>
          <w:color w:val="000000" w:themeColor="text1"/>
        </w:rPr>
        <w:t>parágrafo del artículo 38</w:t>
      </w:r>
      <w:r w:rsidRPr="00FF007A">
        <w:rPr>
          <w:rFonts w:ascii="Verdana" w:eastAsia="Arial" w:hAnsi="Verdana" w:cs="Arial"/>
          <w:bCs/>
          <w:color w:val="000000" w:themeColor="text1"/>
        </w:rPr>
        <w:t xml:space="preserve">, es necesario verificar si la contratación es llevada a cabo por </w:t>
      </w:r>
      <w:r>
        <w:rPr>
          <w:rFonts w:ascii="Verdana" w:eastAsia="Arial" w:hAnsi="Verdana" w:cs="Arial"/>
          <w:bCs/>
          <w:color w:val="000000" w:themeColor="text1"/>
        </w:rPr>
        <w:t xml:space="preserve">los </w:t>
      </w:r>
      <w:r w:rsidRPr="00FF007A">
        <w:rPr>
          <w:rFonts w:ascii="Verdana" w:eastAsia="Arial" w:hAnsi="Verdana" w:cs="Arial"/>
          <w:bCs/>
          <w:color w:val="000000" w:themeColor="text1"/>
        </w:rPr>
        <w:t>“Alcaldes, Gobernadores, Secretarios, Gerentes y Directores de las entidades del orden municipal, departamental o distrital”; así como determinar si lo que pretende adelantar es un convenio interadministrativo para la ejecución de recursos públicos. Cuando este sea el caso, operará la restricción señalada en el parágrafo y estará prohibido llevar a cabo la c</w:t>
      </w:r>
      <w:r>
        <w:rPr>
          <w:rFonts w:ascii="Verdana" w:eastAsia="Arial" w:hAnsi="Verdana" w:cs="Arial"/>
          <w:bCs/>
          <w:color w:val="000000" w:themeColor="text1"/>
        </w:rPr>
        <w:t>elebración</w:t>
      </w:r>
      <w:r w:rsidRPr="00FF007A">
        <w:rPr>
          <w:rFonts w:ascii="Verdana" w:eastAsia="Arial" w:hAnsi="Verdana" w:cs="Arial"/>
          <w:bCs/>
          <w:color w:val="000000" w:themeColor="text1"/>
        </w:rPr>
        <w:t xml:space="preserve"> </w:t>
      </w:r>
      <w:r>
        <w:rPr>
          <w:rFonts w:ascii="Verdana" w:eastAsia="Arial" w:hAnsi="Verdana" w:cs="Arial"/>
          <w:bCs/>
          <w:color w:val="000000" w:themeColor="text1"/>
        </w:rPr>
        <w:t>de convenios interadministrativos</w:t>
      </w:r>
      <w:r>
        <w:rPr>
          <w:rStyle w:val="Refdenotaalpie"/>
          <w:rFonts w:ascii="Verdana" w:eastAsia="Arial" w:hAnsi="Verdana" w:cs="Arial"/>
          <w:bCs/>
          <w:color w:val="000000" w:themeColor="text1"/>
        </w:rPr>
        <w:footnoteReference w:id="43"/>
      </w:r>
      <w:r>
        <w:rPr>
          <w:rFonts w:ascii="Verdana" w:eastAsia="Arial" w:hAnsi="Verdana" w:cs="Arial"/>
          <w:bCs/>
          <w:color w:val="000000" w:themeColor="text1"/>
        </w:rPr>
        <w:t xml:space="preserve"> </w:t>
      </w:r>
      <w:r w:rsidRPr="00FF007A">
        <w:rPr>
          <w:rFonts w:ascii="Verdana" w:eastAsia="Arial" w:hAnsi="Verdana" w:cs="Arial"/>
          <w:bCs/>
          <w:color w:val="000000" w:themeColor="text1"/>
        </w:rPr>
        <w:t xml:space="preserve">en los cuatro meses anteriores a cualquier contienda electoral. </w:t>
      </w:r>
      <w:r w:rsidRPr="005B0452">
        <w:rPr>
          <w:rFonts w:ascii="Verdana" w:eastAsia="Arial" w:hAnsi="Verdana" w:cs="Arial"/>
          <w:bCs/>
          <w:color w:val="000000" w:themeColor="text1"/>
        </w:rPr>
        <w:t xml:space="preserve">En este aspecto, se encuentra que la restricción para la celebración de convenios interadministrativos para la ejecución de recursos públicos no puede aludirse a contratantes o contratistas, sino de partes cooperantes o colaboradoras. </w:t>
      </w:r>
      <w:r w:rsidRPr="005B0452">
        <w:rPr>
          <w:rFonts w:ascii="Verdana" w:eastAsia="Arial" w:hAnsi="Verdana" w:cs="Arial"/>
          <w:bCs/>
          <w:color w:val="000000" w:themeColor="text1"/>
          <w:lang w:val="es-MX"/>
        </w:rPr>
        <w:t xml:space="preserve">Esta restricción se extiende a las elecciones presidenciales que se celebrarán el 31 de mayo de 2026, así como una posible segunda vuelta tres semanas después, es decir, el 21 de junio de 2026. </w:t>
      </w:r>
    </w:p>
    <w:p w14:paraId="78A13057" w14:textId="77777777" w:rsidR="00590100" w:rsidRPr="005B0452" w:rsidRDefault="00590100" w:rsidP="00590100">
      <w:pPr>
        <w:spacing w:before="120" w:after="120" w:line="276" w:lineRule="auto"/>
        <w:jc w:val="both"/>
        <w:rPr>
          <w:rFonts w:ascii="Verdana" w:eastAsia="Arial" w:hAnsi="Verdana" w:cs="Arial"/>
          <w:bCs/>
          <w:color w:val="000000" w:themeColor="text1"/>
        </w:rPr>
      </w:pPr>
      <w:r>
        <w:rPr>
          <w:rFonts w:ascii="Verdana" w:eastAsia="Arial" w:hAnsi="Verdana" w:cs="Arial"/>
          <w:bCs/>
          <w:color w:val="000000" w:themeColor="text1"/>
          <w:lang w:val="es-MX"/>
        </w:rPr>
        <w:tab/>
        <w:t xml:space="preserve">En cuanto a la celebración de contratos interadministrativos ya no es aplicable la restricción del parágrafo del artículo 38, según la sentencia precitada en consideraciones previas, pero sujeto a las restricciones del artículo 33 si se adelanta la contratación de forma directa, esto es, un procedimiento no competitivo. </w:t>
      </w:r>
      <w:r w:rsidRPr="005B0452">
        <w:rPr>
          <w:rFonts w:ascii="Verdana" w:eastAsia="Arial" w:hAnsi="Verdana" w:cs="Arial"/>
          <w:bCs/>
          <w:color w:val="000000" w:themeColor="text1"/>
        </w:rPr>
        <w:t>En todo caso, vale anotar que es responsabilidad del respectivo ente del Estado examinar en cada caso la naturaleza de las actividades que adelanta y justificar si las mismas se enmarcan en alguna de las excepciones, de manera que pueda realizar la contratación directa durante el periodo de la prohibición. Igualmente, le corresponde a cada entidad establecer si el instrumento jurídico que se pretende suscribir tiene la naturaleza de contrato o de convenio interadministrativo para la ejecución de recursos públicos. En este último supuesto, resulta aplicable la prohibición contenida en el parágrafo del artículo 38 de la Ley de Garantías Electorales, conforme se explicó.</w:t>
      </w:r>
    </w:p>
    <w:p w14:paraId="5AC86C9E" w14:textId="77777777" w:rsidR="00590100" w:rsidRDefault="00590100" w:rsidP="00590100">
      <w:pPr>
        <w:spacing w:after="120" w:line="276" w:lineRule="auto"/>
        <w:ind w:firstLine="709"/>
        <w:jc w:val="both"/>
        <w:rPr>
          <w:rFonts w:ascii="Verdana" w:eastAsia="Calibri" w:hAnsi="Verdana" w:cs="Arial"/>
          <w:lang w:val="es-ES" w:eastAsia="es-ES"/>
        </w:rPr>
      </w:pPr>
      <w:r w:rsidRPr="00FF007A">
        <w:rPr>
          <w:rFonts w:ascii="Verdana" w:eastAsia="Calibri" w:hAnsi="Verdana" w:cs="Arial"/>
        </w:rPr>
        <w:t xml:space="preserve">En particular, </w:t>
      </w:r>
      <w:r>
        <w:rPr>
          <w:rFonts w:ascii="Verdana" w:eastAsia="Calibri" w:hAnsi="Verdana" w:cs="Arial"/>
        </w:rPr>
        <w:t>cada</w:t>
      </w:r>
      <w:r w:rsidRPr="00FF007A">
        <w:rPr>
          <w:rFonts w:ascii="Verdana" w:eastAsia="Calibri" w:hAnsi="Verdana" w:cs="Arial"/>
        </w:rPr>
        <w:t xml:space="preserve"> Entidad Estatal </w:t>
      </w:r>
      <w:r>
        <w:rPr>
          <w:rFonts w:ascii="Verdana" w:eastAsia="Calibri" w:hAnsi="Verdana" w:cs="Arial"/>
        </w:rPr>
        <w:t xml:space="preserve">deberá </w:t>
      </w:r>
      <w:r w:rsidRPr="00FF007A">
        <w:rPr>
          <w:rFonts w:ascii="Verdana" w:eastAsia="Calibri" w:hAnsi="Verdana" w:cs="Arial"/>
        </w:rPr>
        <w:t>realizar el correspondiente análisis para determinar si aplica o no una determinada excepción a la prohibición del artículo 33 de la Ley de Garantías Electorales, según la situación fáctica y jurídica particular del caso concreto, para lo cual las consideraciones expuestas en el presente concepto constituyen un instrumento orientador. De ser es procedente la excepción, la entidad podrá realizar la contratación directa justificando las razones que avalan su procedencia</w:t>
      </w:r>
      <w:r w:rsidRPr="00FF007A">
        <w:rPr>
          <w:rFonts w:ascii="Verdana" w:hAnsi="Verdana" w:cs="Arial"/>
          <w:lang w:eastAsia="es-CO"/>
        </w:rPr>
        <w:t>. Por el contrario, si el estudio determina que no aplica excepción alguna estará vedada la celebración de contratos de manera directa. Lo anterior, sin perjuicio de la prohibición establecida en el parágrafo del artículo 38 de la Ley de Garantías Electorales.</w:t>
      </w:r>
    </w:p>
    <w:p w14:paraId="55FBE2B5" w14:textId="77777777" w:rsidR="00590100" w:rsidRDefault="00590100" w:rsidP="00590100">
      <w:pPr>
        <w:spacing w:after="120" w:line="276" w:lineRule="auto"/>
        <w:ind w:firstLine="709"/>
        <w:jc w:val="both"/>
        <w:rPr>
          <w:rFonts w:ascii="Verdana" w:eastAsia="Times New Roman" w:hAnsi="Verdana" w:cs="Arial"/>
          <w:lang w:eastAsia="es-CO"/>
        </w:rPr>
      </w:pPr>
      <w:r w:rsidRPr="001450CA">
        <w:rPr>
          <w:rFonts w:ascii="Verdana"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B351684" w14:textId="77777777" w:rsidR="00590100" w:rsidRDefault="00590100" w:rsidP="00590100">
      <w:pPr>
        <w:spacing w:after="0" w:line="276" w:lineRule="auto"/>
        <w:ind w:firstLine="709"/>
        <w:jc w:val="both"/>
        <w:rPr>
          <w:rFonts w:ascii="Verdana" w:hAnsi="Verdana" w:cs="Arial"/>
          <w:bCs/>
          <w:color w:val="000000" w:themeColor="text1"/>
        </w:rPr>
      </w:pPr>
      <w:r w:rsidRPr="001450CA">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7F447B22" w14:textId="77777777" w:rsidR="00590100" w:rsidRPr="00820CEB" w:rsidRDefault="00590100" w:rsidP="007950B2">
      <w:pPr>
        <w:spacing w:after="0" w:line="276" w:lineRule="auto"/>
        <w:ind w:firstLine="709"/>
        <w:jc w:val="both"/>
        <w:rPr>
          <w:rFonts w:ascii="Verdana" w:eastAsia="Times New Roman" w:hAnsi="Verdana" w:cs="Arial"/>
          <w:lang w:eastAsia="es-CO"/>
        </w:rPr>
      </w:pPr>
    </w:p>
    <w:p w14:paraId="60960A09" w14:textId="77777777" w:rsidR="0080302B" w:rsidRPr="00820CEB" w:rsidRDefault="0080302B" w:rsidP="00820CEB">
      <w:pPr>
        <w:spacing w:after="0" w:line="276" w:lineRule="auto"/>
        <w:jc w:val="both"/>
        <w:rPr>
          <w:rFonts w:ascii="Verdana" w:eastAsia="Century Gothic" w:hAnsi="Verdana" w:cs="Century Gothic"/>
          <w:b/>
          <w:bCs/>
        </w:rPr>
      </w:pPr>
      <w:bookmarkStart w:id="4" w:name="_Hlk204854194"/>
      <w:r w:rsidRPr="00820CEB">
        <w:rPr>
          <w:rFonts w:ascii="Verdana" w:hAnsi="Verdana" w:cs="Arial"/>
          <w:b/>
          <w:color w:val="000000" w:themeColor="text1"/>
        </w:rPr>
        <w:t>4.</w:t>
      </w:r>
      <w:r w:rsidRPr="00820CEB">
        <w:rPr>
          <w:rFonts w:ascii="Verdana" w:hAnsi="Verdana" w:cs="Arial"/>
          <w:bCs/>
          <w:color w:val="000000" w:themeColor="text1"/>
        </w:rPr>
        <w:t xml:space="preserve"> </w:t>
      </w:r>
      <w:r w:rsidRPr="00820CEB">
        <w:rPr>
          <w:rFonts w:ascii="Verdana" w:eastAsia="Century Gothic" w:hAnsi="Verdana" w:cs="Century Gothic"/>
          <w:b/>
          <w:bCs/>
        </w:rPr>
        <w:t>Referencias normativas y jurisprudenciales:</w:t>
      </w:r>
      <w:bookmarkEnd w:id="4"/>
    </w:p>
    <w:p w14:paraId="666BCE7D" w14:textId="77777777" w:rsidR="007D67A9" w:rsidRPr="00820CEB" w:rsidRDefault="007D67A9" w:rsidP="00820CEB">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0302B" w:rsidRPr="00820CEB" w14:paraId="5C331418" w14:textId="77777777" w:rsidTr="00F14B94">
        <w:trPr>
          <w:trHeight w:val="56"/>
          <w:jc w:val="center"/>
        </w:trPr>
        <w:tc>
          <w:tcPr>
            <w:tcW w:w="8647" w:type="dxa"/>
          </w:tcPr>
          <w:p w14:paraId="770BDB2D"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 xml:space="preserve">Constitución Política. Artículos 69, 127. </w:t>
            </w:r>
          </w:p>
          <w:p w14:paraId="1CE43A5F"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Ley 996 de 2005. Artículos 33 y 38.</w:t>
            </w:r>
          </w:p>
          <w:p w14:paraId="7AA00D13"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 xml:space="preserve">Ley 60 de 1993 </w:t>
            </w:r>
          </w:p>
          <w:p w14:paraId="69228571"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Ley 715 de 2001. Artículos 11, 13.</w:t>
            </w:r>
          </w:p>
          <w:p w14:paraId="6C661D7C"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eastAsia="Arial" w:hAnsi="Verdana" w:cs="Arial"/>
                <w:lang w:eastAsia="es-MX"/>
              </w:rPr>
              <w:t>Decreto 1075 de 2015. Artículo 2.3.1.6.3.4, 2.3.1.6.3.5, 2.3.1.6.3.17.</w:t>
            </w:r>
          </w:p>
          <w:p w14:paraId="24860B4B"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 xml:space="preserve">Consejo de Estado. Sala de lo Contencioso Administrativo. Sección Primera. Sentencia de 3 de marzo de 2005. Radicado: 25001-23-15-000-2004-00823-01 (PI). C.P: Camilo Arciniegas Andrade. </w:t>
            </w:r>
          </w:p>
          <w:p w14:paraId="456C0FCB"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lo Contencioso Administrativo Sección Tercera. Sentencia de 22 de enero de 2002, expediente número 2001-0148-01.</w:t>
            </w:r>
          </w:p>
          <w:p w14:paraId="5DA6A687"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lo Contencioso Administrativo. Sección Tercera. Sentencia de 20 de noviembre de 2001, expediente número 2001-0130-01(PI).</w:t>
            </w:r>
          </w:p>
          <w:p w14:paraId="5D4F6355"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 xml:space="preserve">Consejo de Estado, Sala de Consulta y Servicio Civil. 24 de julio de 2013. Radicado: 11001-03-06-000-2013-00407-00 (2166). C.P. Álvaro Namén Vargas.  </w:t>
            </w:r>
          </w:p>
          <w:p w14:paraId="49A288FF"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Consulta y Servicio Civil. Concepto del 17 de febrero de 2015. Radicado: 11001-03-06-000-2015-00164-00 (2269). C.P. William Zambrano Cetina.</w:t>
            </w:r>
          </w:p>
          <w:p w14:paraId="7B6E85A9"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Consulta y Servicio Civil. Concepto del 2 de septiembre de 2013. Radicación número: 11001-03-06-000-2013-00412-00 (2168). C.P: Álvaro Namén Vargas.</w:t>
            </w:r>
          </w:p>
          <w:p w14:paraId="5A0A9B3B"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Consulta y Servicio Civil, Concepto de 8 de mayo de 2018. Radicación Número: 11001-03-06-000-2018-00095-00 (2382). C.P: Álvaro Namén Vargas.</w:t>
            </w:r>
          </w:p>
          <w:p w14:paraId="63F20391"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Consulta y Servicio Civil. Concepto de 20 de febrero de 2006. Radicación Número: 11001-03-06-000-2006-00026-00 (1727). C.P: Enrique José Arboleda Perdomo.</w:t>
            </w:r>
          </w:p>
          <w:p w14:paraId="567FC969"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Consulta y Servicio Civil. Concepto de 6 de abril de 2006. Radicación Número: 11001-03-06-000-2006-00038-00 (1738). C.P: Enrique José Arboleda Perdomo.</w:t>
            </w:r>
          </w:p>
          <w:p w14:paraId="7F5EA505"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Sala de Consulta y Servicio Civil. Concepto del 18 de febrero 2010. Rad. 11001-03-06-000-2010-00006-00 (1985). C.P. Enrique José Arboleda Perdomo.</w:t>
            </w:r>
          </w:p>
          <w:p w14:paraId="6CEDB5E3"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Consejo de Estado. Sección Tercera Subsección A. Sentencia del 12 de octubre de 2017. Radicación número: 68001-23-31-000-2005-03845-01(51.634). C.P: Marta Nubia Velásquez Rico.</w:t>
            </w:r>
          </w:p>
          <w:p w14:paraId="7667B614" w14:textId="77777777" w:rsidR="0080302B" w:rsidRPr="00820CEB" w:rsidRDefault="0080302B" w:rsidP="007950B2">
            <w:pPr>
              <w:pStyle w:val="Prrafodelista"/>
              <w:numPr>
                <w:ilvl w:val="0"/>
                <w:numId w:val="17"/>
              </w:numPr>
              <w:spacing w:line="276" w:lineRule="auto"/>
              <w:ind w:left="714" w:hanging="357"/>
              <w:contextualSpacing w:val="0"/>
              <w:jc w:val="both"/>
              <w:rPr>
                <w:rFonts w:ascii="Verdana" w:hAnsi="Verdana" w:cs="Arial"/>
                <w:lang w:eastAsia="es-ES"/>
              </w:rPr>
            </w:pPr>
            <w:r w:rsidRPr="00820CEB">
              <w:rPr>
                <w:rFonts w:ascii="Verdana" w:hAnsi="Verdana" w:cs="Arial"/>
                <w:lang w:eastAsia="es-ES"/>
              </w:rPr>
              <w:t>Corte Constitucional. Sentencia C- 1153 de 2005, M.P: Marco Gerardo Monroy Cabra.</w:t>
            </w:r>
            <w:r w:rsidRPr="00820CEB">
              <w:rPr>
                <w:rFonts w:ascii="Verdana" w:hAnsi="Verdana" w:cs="Arial"/>
                <w:lang w:eastAsia="es-ES"/>
              </w:rPr>
              <w:tab/>
            </w:r>
          </w:p>
          <w:p w14:paraId="03C11DC6"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Corte Constitucional. Sentencia C-233 de 4 de abril de 2002. M.P: Álvaro Tafur Galvis.</w:t>
            </w:r>
          </w:p>
          <w:p w14:paraId="229FD5D3"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Corte Constitucional. Sentencia C-551 de 9 de julio de 2003. M.P: Eduardo Montealegre Lynnet.</w:t>
            </w:r>
          </w:p>
          <w:p w14:paraId="68DACF86"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 xml:space="preserve">Corte Constitucional. Sentencia C-353 de 20 de mayo de 2009. M.P: Jorge Iván Palacio </w:t>
            </w:r>
            <w:proofErr w:type="spellStart"/>
            <w:r w:rsidRPr="00820CEB">
              <w:rPr>
                <w:rFonts w:ascii="Verdana" w:hAnsi="Verdana" w:cs="Arial"/>
                <w:lang w:eastAsia="es-ES"/>
              </w:rPr>
              <w:t>Palacio</w:t>
            </w:r>
            <w:proofErr w:type="spellEnd"/>
            <w:r w:rsidRPr="00820CEB">
              <w:rPr>
                <w:rFonts w:ascii="Verdana" w:hAnsi="Verdana" w:cs="Arial"/>
                <w:lang w:eastAsia="es-ES"/>
              </w:rPr>
              <w:t>.</w:t>
            </w:r>
          </w:p>
          <w:p w14:paraId="2D5839A6"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Corte Constitucional. Sentencia C-541 de 30 de junio de 2010. M.P: Gabriel Eduardo Mendoza Martelo.</w:t>
            </w:r>
          </w:p>
          <w:p w14:paraId="2CA85359"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Corte Constitucional. Sentencia C-121 de 2003. M.P. Clara Inés Vargas Hernández.</w:t>
            </w:r>
          </w:p>
          <w:p w14:paraId="50924018"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cs="Arial"/>
                <w:lang w:eastAsia="es-ES"/>
              </w:rPr>
              <w:t>Corte Constitucional. Sentencia C-1019 del 28 de noviembre de 2012. M.P. Mauricio González.</w:t>
            </w:r>
          </w:p>
          <w:p w14:paraId="15B1AC7E" w14:textId="77777777" w:rsidR="0080302B" w:rsidRPr="00820CEB" w:rsidRDefault="0080302B" w:rsidP="007950B2">
            <w:pPr>
              <w:pStyle w:val="Prrafodelista"/>
              <w:numPr>
                <w:ilvl w:val="0"/>
                <w:numId w:val="17"/>
              </w:numPr>
              <w:spacing w:line="276" w:lineRule="auto"/>
              <w:contextualSpacing w:val="0"/>
              <w:jc w:val="both"/>
              <w:rPr>
                <w:rFonts w:ascii="Verdana" w:hAnsi="Verdana" w:cs="Arial"/>
                <w:lang w:eastAsia="es-ES"/>
              </w:rPr>
            </w:pPr>
            <w:r w:rsidRPr="00820CEB">
              <w:rPr>
                <w:rFonts w:ascii="Verdana" w:hAnsi="Verdana"/>
              </w:rPr>
              <w:t xml:space="preserve">Agencia Nacional de Contratación Pública – Colombia Compra Eficiente. Circular Externa 006 del 25 de septiembre de 2025. Disponible en </w:t>
            </w:r>
            <w:hyperlink r:id="rId12" w:history="1">
              <w:r w:rsidRPr="00820CEB">
                <w:rPr>
                  <w:rStyle w:val="Hipervnculo"/>
                  <w:rFonts w:ascii="Verdana" w:hAnsi="Verdana"/>
                  <w:lang w:val="es-CO"/>
                </w:rPr>
                <w:t>006-de-2025-Circular-Externa-L996-ajustado-comentarios-BM-BID-Rev-ARSC-V3.d-1.pdf</w:t>
              </w:r>
            </w:hyperlink>
          </w:p>
        </w:tc>
      </w:tr>
    </w:tbl>
    <w:p w14:paraId="2E96D102" w14:textId="77777777" w:rsidR="0080302B" w:rsidRPr="00820CEB" w:rsidRDefault="0080302B" w:rsidP="00820CEB">
      <w:pPr>
        <w:tabs>
          <w:tab w:val="left" w:pos="142"/>
          <w:tab w:val="left" w:pos="284"/>
          <w:tab w:val="left" w:pos="3828"/>
        </w:tabs>
        <w:spacing w:after="0" w:line="276" w:lineRule="auto"/>
        <w:jc w:val="both"/>
        <w:rPr>
          <w:rFonts w:ascii="Verdana" w:eastAsia="Century Gothic" w:hAnsi="Verdana" w:cs="Century Gothic"/>
          <w:b/>
          <w:bCs/>
        </w:rPr>
      </w:pPr>
    </w:p>
    <w:p w14:paraId="6ADD0FF7" w14:textId="77777777" w:rsidR="0080302B" w:rsidRPr="00820CEB" w:rsidRDefault="0080302B" w:rsidP="00820CEB">
      <w:pPr>
        <w:tabs>
          <w:tab w:val="left" w:pos="142"/>
          <w:tab w:val="left" w:pos="284"/>
          <w:tab w:val="left" w:pos="3828"/>
        </w:tabs>
        <w:spacing w:after="0" w:line="276" w:lineRule="auto"/>
        <w:jc w:val="both"/>
        <w:rPr>
          <w:rFonts w:ascii="Verdana" w:eastAsia="Century Gothic" w:hAnsi="Verdana" w:cs="Century Gothic"/>
          <w:b/>
          <w:bCs/>
        </w:rPr>
      </w:pPr>
      <w:r w:rsidRPr="00820CEB">
        <w:rPr>
          <w:rFonts w:ascii="Verdana" w:eastAsia="Century Gothic" w:hAnsi="Verdana" w:cs="Century Gothic"/>
          <w:b/>
          <w:bCs/>
        </w:rPr>
        <w:t>5. Doctrina de la Agencia Nacional de Contratación Pública:</w:t>
      </w:r>
    </w:p>
    <w:p w14:paraId="3DBA798E" w14:textId="77777777" w:rsidR="0080302B" w:rsidRPr="00820CEB" w:rsidRDefault="0080302B" w:rsidP="007950B2">
      <w:pPr>
        <w:widowControl w:val="0"/>
        <w:autoSpaceDE w:val="0"/>
        <w:autoSpaceDN w:val="0"/>
        <w:spacing w:after="0" w:line="276" w:lineRule="auto"/>
        <w:jc w:val="both"/>
        <w:rPr>
          <w:rStyle w:val="normaltextrun"/>
          <w:rFonts w:ascii="Verdana" w:hAnsi="Verdana" w:cs="Arial"/>
          <w:shd w:val="clear" w:color="auto" w:fill="FFFFFF"/>
          <w:lang w:val="es-ES"/>
        </w:rPr>
      </w:pPr>
    </w:p>
    <w:p w14:paraId="35D61C1F" w14:textId="77777777" w:rsidR="0080302B" w:rsidRDefault="0080302B" w:rsidP="00820CEB">
      <w:pPr>
        <w:widowControl w:val="0"/>
        <w:autoSpaceDE w:val="0"/>
        <w:autoSpaceDN w:val="0"/>
        <w:spacing w:after="0" w:line="276" w:lineRule="auto"/>
        <w:jc w:val="both"/>
        <w:rPr>
          <w:rFonts w:ascii="Verdana" w:hAnsi="Verdana" w:cs="Arial"/>
          <w:color w:val="FF0000"/>
          <w:shd w:val="clear" w:color="auto" w:fill="FFFFFF"/>
        </w:rPr>
      </w:pPr>
      <w:r w:rsidRPr="00820CEB">
        <w:rPr>
          <w:rFonts w:ascii="Verdana" w:hAnsi="Verdana" w:cs="Arial"/>
          <w:shd w:val="clear" w:color="auto" w:fill="FFFFFF"/>
        </w:rPr>
        <w:t xml:space="preserve">Esta Subdirección se ha pronunciado sobre la Ley de Garantías Electorales en  los conceptos C-681 del 7 de diciembre de 2021, C-686 del 21 de diciembre de 2021, C-134 del 7 de abril de 2022, C-697 del 3 de enero de 2022, C-180 del 21 de marzo de 2025, C-317 del 25 de abril de 2025, C-510 del 4 de junio de 2025, C -635 del 27 de junio de 2025, C–750 de 17 de julio 2025, C-868 del 12 de agosto de 2025, C-1124 del 18 de septiembre de 2025, C-1174 del 29 de septiembre de 2025, C-1491 del 20 de noviembre de 2025, C- 1492 del </w:t>
      </w:r>
      <w:r w:rsidRPr="00820CEB">
        <w:rPr>
          <w:rFonts w:ascii="Verdana" w:hAnsi="Verdana"/>
        </w:rPr>
        <w:t>21 de noviembre del 2025, C-1629, C-1646 del 17 de diciembre de 2025, C-1662 del 22 de diciembre de 2025</w:t>
      </w:r>
      <w:r w:rsidRPr="00820CEB">
        <w:rPr>
          <w:rStyle w:val="normaltextrun"/>
          <w:rFonts w:ascii="Verdana" w:hAnsi="Verdana" w:cs="Arial"/>
          <w:shd w:val="clear" w:color="auto" w:fill="FFFFFF"/>
          <w:lang w:val="es-ES"/>
        </w:rPr>
        <w:t>, C- 102 del 16 de abril de 2026, C-063 del 23 de febrero de 2026, C-160 del 24 de febrero de 2026, C-108 del 4 de marzo de 2026, C-177 del 16 de marzo de 2026, entre otros</w:t>
      </w:r>
      <w:r w:rsidRPr="00820CEB">
        <w:rPr>
          <w:rFonts w:ascii="Verdana" w:hAnsi="Verdana" w:cs="Arial"/>
          <w:shd w:val="clear" w:color="auto" w:fill="FFFFFF"/>
          <w:lang w:val="es-ES"/>
        </w:rPr>
        <w:t xml:space="preserve">. </w:t>
      </w:r>
      <w:r w:rsidRPr="00820CEB">
        <w:rPr>
          <w:rFonts w:ascii="Verdana" w:hAnsi="Verdana" w:cs="Arial"/>
        </w:rPr>
        <w:t xml:space="preserve">Estos y otros </w:t>
      </w:r>
      <w:r w:rsidRPr="00820CEB">
        <w:rPr>
          <w:rFonts w:ascii="Verdana" w:hAnsi="Verdana"/>
        </w:rPr>
        <w:t>conceptos se encuentran disponibles para consulta en el Sistema de relatoría de la Agencia, al cual se puede acceder a través del siguiente enlace:</w:t>
      </w:r>
      <w:r w:rsidRPr="00820CEB">
        <w:rPr>
          <w:rFonts w:ascii="Verdana" w:hAnsi="Verdana" w:cs="Arial"/>
          <w:shd w:val="clear" w:color="auto" w:fill="FFFFFF"/>
        </w:rPr>
        <w:t xml:space="preserve"> </w:t>
      </w:r>
      <w:hyperlink r:id="rId13" w:history="1">
        <w:r w:rsidRPr="00820CEB">
          <w:rPr>
            <w:rFonts w:ascii="Verdana" w:hAnsi="Verdana" w:cs="Arial"/>
            <w:color w:val="0563C1" w:themeColor="hyperlink"/>
            <w:u w:val="single"/>
            <w:shd w:val="clear" w:color="auto" w:fill="FFFFFF"/>
          </w:rPr>
          <w:t>https://relatoria.colombiacompra.gov.co/busqueda/conceptos</w:t>
        </w:r>
      </w:hyperlink>
      <w:r w:rsidRPr="00820CEB">
        <w:rPr>
          <w:rFonts w:ascii="Verdana" w:hAnsi="Verdana" w:cs="Arial"/>
          <w:shd w:val="clear" w:color="auto" w:fill="FFFFFF"/>
        </w:rPr>
        <w:t>.</w:t>
      </w:r>
      <w:r w:rsidRPr="00820CEB">
        <w:rPr>
          <w:rFonts w:ascii="Verdana" w:hAnsi="Verdana" w:cs="Arial"/>
          <w:color w:val="FF0000"/>
          <w:shd w:val="clear" w:color="auto" w:fill="FFFFFF"/>
        </w:rPr>
        <w:t xml:space="preserve"> </w:t>
      </w:r>
    </w:p>
    <w:p w14:paraId="487EDF44" w14:textId="77777777" w:rsidR="00820CEB" w:rsidRPr="00820CEB" w:rsidRDefault="00820CEB" w:rsidP="007950B2">
      <w:pPr>
        <w:widowControl w:val="0"/>
        <w:autoSpaceDE w:val="0"/>
        <w:autoSpaceDN w:val="0"/>
        <w:spacing w:after="0" w:line="276" w:lineRule="auto"/>
        <w:jc w:val="both"/>
        <w:rPr>
          <w:rFonts w:ascii="Verdana" w:hAnsi="Verdana" w:cs="Arial"/>
          <w:color w:val="000000" w:themeColor="text1"/>
          <w:shd w:val="clear" w:color="auto" w:fill="FFFFFF"/>
        </w:rPr>
      </w:pPr>
    </w:p>
    <w:p w14:paraId="72019B70" w14:textId="77777777" w:rsidR="0080302B" w:rsidRDefault="0080302B" w:rsidP="00820CEB">
      <w:pPr>
        <w:widowControl w:val="0"/>
        <w:autoSpaceDE w:val="0"/>
        <w:autoSpaceDN w:val="0"/>
        <w:spacing w:after="0" w:line="276" w:lineRule="auto"/>
        <w:jc w:val="both"/>
        <w:rPr>
          <w:rFonts w:ascii="Verdana" w:hAnsi="Verdana"/>
        </w:rPr>
      </w:pPr>
      <w:r w:rsidRPr="00820CEB">
        <w:rPr>
          <w:rFonts w:ascii="Verdana" w:hAnsi="Verdana"/>
        </w:rPr>
        <w:t xml:space="preserve">La sostenibilidad no es una opción, es una obligación. Por ello, la Agencia Nacional de Contratación Pública –Colombia Compra Eficiente– te invita a realizar el </w:t>
      </w:r>
      <w:r w:rsidRPr="00820CEB">
        <w:rPr>
          <w:rFonts w:ascii="Verdana" w:hAnsi="Verdana"/>
          <w:b/>
          <w:bCs/>
        </w:rPr>
        <w:t>Curso de Contratación Pública Sostenible y Socialmente Responsable</w:t>
      </w:r>
      <w:r w:rsidRPr="00820CEB">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820CEB">
        <w:rPr>
          <w:rFonts w:ascii="Verdana" w:hAnsi="Verdana"/>
        </w:rPr>
        <w:br/>
      </w:r>
      <w:hyperlink r:id="rId14" w:tgtFrame="_new" w:history="1">
        <w:r w:rsidRPr="00820CEB">
          <w:rPr>
            <w:rStyle w:val="Hipervnculo"/>
            <w:rFonts w:ascii="Verdana" w:hAnsi="Verdana"/>
          </w:rPr>
          <w:t>https://formacionvirtual.colombiacompra.gov.co/mod/page/view.php?id=3718</w:t>
        </w:r>
      </w:hyperlink>
    </w:p>
    <w:p w14:paraId="2448FD58" w14:textId="77777777" w:rsidR="00820CEB" w:rsidRPr="00820CEB" w:rsidRDefault="00820CEB" w:rsidP="007950B2">
      <w:pPr>
        <w:widowControl w:val="0"/>
        <w:autoSpaceDE w:val="0"/>
        <w:autoSpaceDN w:val="0"/>
        <w:spacing w:after="0" w:line="276" w:lineRule="auto"/>
        <w:jc w:val="both"/>
        <w:rPr>
          <w:rFonts w:ascii="Verdana" w:hAnsi="Verdana" w:cs="Arial"/>
          <w:shd w:val="clear" w:color="auto" w:fill="FFFFFF"/>
        </w:rPr>
      </w:pPr>
    </w:p>
    <w:p w14:paraId="42B51125" w14:textId="77777777" w:rsidR="0080302B" w:rsidRDefault="0080302B" w:rsidP="00820CEB">
      <w:pPr>
        <w:widowControl w:val="0"/>
        <w:autoSpaceDE w:val="0"/>
        <w:autoSpaceDN w:val="0"/>
        <w:spacing w:after="0" w:line="276" w:lineRule="auto"/>
        <w:jc w:val="both"/>
        <w:rPr>
          <w:rFonts w:ascii="Verdana" w:hAnsi="Verdana"/>
        </w:rPr>
      </w:pPr>
      <w:r w:rsidRPr="00820CEB">
        <w:rPr>
          <w:rFonts w:ascii="Verdana" w:hAnsi="Verdana"/>
        </w:rPr>
        <w:t xml:space="preserve">De otro lado, te contamos que esta Agencia ha dado un paso decisivo en la estandarización y modernización del </w:t>
      </w:r>
      <w:r w:rsidRPr="00820CEB">
        <w:rPr>
          <w:rFonts w:ascii="Verdana" w:hAnsi="Verdana"/>
          <w:b/>
          <w:bCs/>
        </w:rPr>
        <w:t>sector social</w:t>
      </w:r>
      <w:r w:rsidRPr="00820CEB">
        <w:rPr>
          <w:rFonts w:ascii="Verdana" w:hAnsi="Verdana"/>
        </w:rPr>
        <w:t xml:space="preserve"> con la expedición de las </w:t>
      </w:r>
      <w:r w:rsidRPr="00820CEB">
        <w:rPr>
          <w:rFonts w:ascii="Verdana" w:hAnsi="Verdana"/>
          <w:b/>
          <w:bCs/>
        </w:rPr>
        <w:t>Resoluciones 539, 540, 541, 952 y 953 de 2025</w:t>
      </w:r>
      <w:r w:rsidRPr="00820CEB">
        <w:rPr>
          <w:rFonts w:ascii="Verdana" w:hAnsi="Verdana"/>
        </w:rPr>
        <w:t xml:space="preserve">, </w:t>
      </w:r>
      <w:r w:rsidRPr="00820CEB">
        <w:rPr>
          <w:rFonts w:ascii="Verdana" w:hAnsi="Verdana"/>
          <w:b/>
          <w:bCs/>
        </w:rPr>
        <w:t>mediante las cuales adoptó Documentos Tipo</w:t>
      </w:r>
      <w:r w:rsidRPr="00820CEB">
        <w:rPr>
          <w:rFonts w:ascii="Verdana" w:hAnsi="Verdana"/>
        </w:rPr>
        <w:t xml:space="preserve"> para las modalidades de selección de</w:t>
      </w:r>
      <w:r w:rsidRPr="00820CEB">
        <w:rPr>
          <w:rFonts w:ascii="Verdana" w:hAnsi="Verdana"/>
          <w:b/>
          <w:bCs/>
        </w:rPr>
        <w:t xml:space="preserve"> licitación pública (versión 2), selección abreviada de menor cuantía, mínima cuantía, consultoría e interventoría</w:t>
      </w:r>
      <w:r w:rsidRPr="00820CEB">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820CEB">
          <w:rPr>
            <w:rStyle w:val="Hipervnculo"/>
            <w:rFonts w:ascii="Verdana" w:hAnsi="Verdana"/>
          </w:rPr>
          <w:t>https://www.colombiacompra.gov.co/normativa-y-relatoria/documentos-tipo</w:t>
        </w:r>
      </w:hyperlink>
    </w:p>
    <w:p w14:paraId="4F7E5ABA" w14:textId="77777777" w:rsidR="00820CEB" w:rsidRPr="00820CEB" w:rsidRDefault="00820CEB" w:rsidP="007950B2">
      <w:pPr>
        <w:widowControl w:val="0"/>
        <w:autoSpaceDE w:val="0"/>
        <w:autoSpaceDN w:val="0"/>
        <w:spacing w:after="0" w:line="276" w:lineRule="auto"/>
        <w:jc w:val="both"/>
        <w:rPr>
          <w:rStyle w:val="Hipervnculo"/>
          <w:rFonts w:ascii="Verdana" w:hAnsi="Verdana" w:cs="Arial"/>
          <w:color w:val="auto"/>
          <w:u w:val="none"/>
        </w:rPr>
      </w:pPr>
    </w:p>
    <w:p w14:paraId="375FA337" w14:textId="77777777" w:rsidR="0080302B" w:rsidRDefault="0080302B" w:rsidP="00820CEB">
      <w:pPr>
        <w:widowControl w:val="0"/>
        <w:autoSpaceDE w:val="0"/>
        <w:autoSpaceDN w:val="0"/>
        <w:spacing w:after="0" w:line="276" w:lineRule="auto"/>
        <w:jc w:val="both"/>
        <w:rPr>
          <w:rFonts w:ascii="Verdana" w:hAnsi="Verdana"/>
        </w:rPr>
      </w:pPr>
      <w:r w:rsidRPr="00820CEB">
        <w:rPr>
          <w:rFonts w:ascii="Verdana" w:hAnsi="Verdana"/>
        </w:rPr>
        <w:t xml:space="preserve">Si quieres conocer más sobre la aplicación de Documentos Tipo puedes consultar la última versión de la </w:t>
      </w:r>
      <w:r w:rsidRPr="00820CEB">
        <w:rPr>
          <w:rFonts w:ascii="Verdana" w:hAnsi="Verdana"/>
          <w:b/>
          <w:bCs/>
        </w:rPr>
        <w:t>Guía para la comprensión e implementación de los Documentos Tipo de obra pública de infraestructura de transporte</w:t>
      </w:r>
      <w:r w:rsidRPr="00820CEB">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820CEB">
        <w:rPr>
          <w:rFonts w:ascii="Verdana" w:hAnsi="Verdana"/>
        </w:rPr>
        <w:br/>
      </w:r>
      <w:hyperlink r:id="rId16" w:tgtFrame="_new" w:history="1">
        <w:r w:rsidRPr="00820CEB">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696585A3" w14:textId="77777777" w:rsidR="00820CEB" w:rsidRPr="00820CEB" w:rsidRDefault="00820CEB" w:rsidP="007950B2">
      <w:pPr>
        <w:widowControl w:val="0"/>
        <w:autoSpaceDE w:val="0"/>
        <w:autoSpaceDN w:val="0"/>
        <w:spacing w:after="0" w:line="276" w:lineRule="auto"/>
        <w:jc w:val="both"/>
        <w:rPr>
          <w:rStyle w:val="Hipervnculo"/>
          <w:rFonts w:ascii="Verdana" w:hAnsi="Verdana" w:cs="Arial"/>
          <w:color w:val="auto"/>
          <w:u w:val="none"/>
        </w:rPr>
      </w:pPr>
    </w:p>
    <w:p w14:paraId="6B054899" w14:textId="77777777" w:rsidR="0080302B" w:rsidRDefault="0080302B" w:rsidP="00820CEB">
      <w:pPr>
        <w:widowControl w:val="0"/>
        <w:autoSpaceDE w:val="0"/>
        <w:autoSpaceDN w:val="0"/>
        <w:spacing w:after="0" w:line="276" w:lineRule="auto"/>
        <w:jc w:val="both"/>
        <w:rPr>
          <w:rFonts w:ascii="Verdana" w:hAnsi="Verdana"/>
        </w:rPr>
      </w:pPr>
      <w:r w:rsidRPr="00820CEB">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741E7BEA" w14:textId="77777777" w:rsidR="00820CEB" w:rsidRPr="00820CEB" w:rsidRDefault="00820CEB" w:rsidP="007950B2">
      <w:pPr>
        <w:widowControl w:val="0"/>
        <w:autoSpaceDE w:val="0"/>
        <w:autoSpaceDN w:val="0"/>
        <w:spacing w:after="0" w:line="276" w:lineRule="auto"/>
        <w:jc w:val="both"/>
        <w:rPr>
          <w:rFonts w:ascii="Verdana" w:hAnsi="Verdana" w:cs="Arial"/>
        </w:rPr>
      </w:pPr>
    </w:p>
    <w:p w14:paraId="44BF0AB2" w14:textId="77777777" w:rsidR="0080302B" w:rsidRPr="00820CEB" w:rsidRDefault="0080302B" w:rsidP="00820CEB">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820CEB">
        <w:rPr>
          <w:rFonts w:ascii="Verdana" w:eastAsia="Verdana" w:hAnsi="Verdana" w:cs="Verdana"/>
          <w:lang w:val="es-MX"/>
        </w:rPr>
        <w:t xml:space="preserve">Línea nacional gratuita o servicio a la ciudadanía (Mesa de servicio): </w:t>
      </w:r>
      <w:r w:rsidRPr="00820CEB">
        <w:rPr>
          <w:rStyle w:val="Hipervnculo"/>
          <w:rFonts w:ascii="Verdana" w:hAnsi="Verdana"/>
        </w:rPr>
        <w:t>01800 0520808</w:t>
      </w:r>
    </w:p>
    <w:p w14:paraId="700A24E7" w14:textId="77777777" w:rsidR="0080302B" w:rsidRPr="00820CEB" w:rsidRDefault="0080302B" w:rsidP="00820CEB">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820CEB">
        <w:rPr>
          <w:rFonts w:ascii="Verdana" w:eastAsia="Verdana" w:hAnsi="Verdana" w:cs="Verdana"/>
          <w:lang w:val="es-MX"/>
        </w:rPr>
        <w:t>Línea en Bogotá (Mesa de servicio</w:t>
      </w:r>
      <w:proofErr w:type="gramStart"/>
      <w:r w:rsidRPr="00820CEB">
        <w:rPr>
          <w:rFonts w:ascii="Verdana" w:eastAsia="Verdana" w:hAnsi="Verdana" w:cs="Verdana"/>
          <w:lang w:val="es-MX"/>
        </w:rPr>
        <w:t>):</w:t>
      </w:r>
      <w:r w:rsidRPr="00820CEB">
        <w:rPr>
          <w:rStyle w:val="Hipervnculo"/>
          <w:rFonts w:ascii="Verdana" w:hAnsi="Verdana"/>
        </w:rPr>
        <w:t>+</w:t>
      </w:r>
      <w:proofErr w:type="gramEnd"/>
      <w:r w:rsidRPr="00820CEB">
        <w:rPr>
          <w:rStyle w:val="Hipervnculo"/>
          <w:rFonts w:ascii="Verdana" w:hAnsi="Verdana"/>
        </w:rPr>
        <w:t>57 601 7456788</w:t>
      </w:r>
    </w:p>
    <w:p w14:paraId="5036B4BE" w14:textId="77777777" w:rsidR="0080302B" w:rsidRPr="00820CEB" w:rsidRDefault="0080302B" w:rsidP="00820CEB">
      <w:pPr>
        <w:pStyle w:val="Prrafodelista"/>
        <w:numPr>
          <w:ilvl w:val="0"/>
          <w:numId w:val="15"/>
        </w:numPr>
        <w:spacing w:after="0" w:line="276" w:lineRule="auto"/>
        <w:contextualSpacing w:val="0"/>
        <w:rPr>
          <w:rFonts w:ascii="Verdana" w:eastAsia="Verdana" w:hAnsi="Verdana" w:cs="Verdana"/>
          <w:color w:val="0000FF"/>
          <w:u w:val="single"/>
          <w:lang w:val="es-MX"/>
        </w:rPr>
      </w:pPr>
      <w:r w:rsidRPr="00820CEB">
        <w:rPr>
          <w:rFonts w:ascii="Verdana" w:eastAsia="Verdana" w:hAnsi="Verdana" w:cs="Verdana"/>
          <w:lang w:val="es-MX"/>
        </w:rPr>
        <w:t xml:space="preserve">Correo de radicación de correspondencia: </w:t>
      </w:r>
      <w:hyperlink r:id="rId17">
        <w:r w:rsidRPr="00820CEB">
          <w:rPr>
            <w:rStyle w:val="Hipervnculo"/>
            <w:rFonts w:ascii="Verdana" w:eastAsia="Verdana" w:hAnsi="Verdana" w:cs="Verdana"/>
            <w:lang w:val="es-MX"/>
          </w:rPr>
          <w:t>ventanilladeradicacion@colombiacompra.gov.co</w:t>
        </w:r>
      </w:hyperlink>
    </w:p>
    <w:p w14:paraId="5DC0BC8E" w14:textId="77777777" w:rsidR="0080302B" w:rsidRPr="00820CEB" w:rsidRDefault="0080302B" w:rsidP="00820CEB">
      <w:pPr>
        <w:pStyle w:val="Prrafodelista"/>
        <w:numPr>
          <w:ilvl w:val="0"/>
          <w:numId w:val="15"/>
        </w:numPr>
        <w:spacing w:after="0" w:line="276" w:lineRule="auto"/>
        <w:contextualSpacing w:val="0"/>
        <w:rPr>
          <w:rFonts w:ascii="Verdana" w:eastAsia="Verdana" w:hAnsi="Verdana" w:cs="Verdana"/>
          <w:color w:val="0000FF"/>
          <w:u w:val="single"/>
          <w:lang w:val="es-MX"/>
        </w:rPr>
      </w:pPr>
      <w:r w:rsidRPr="00820CEB">
        <w:rPr>
          <w:rFonts w:ascii="Verdana" w:eastAsia="Verdana" w:hAnsi="Verdana" w:cs="Verdana"/>
        </w:rPr>
        <w:t>Formulario web para</w:t>
      </w:r>
      <w:r w:rsidRPr="00820CEB">
        <w:rPr>
          <w:rFonts w:ascii="Verdana" w:eastAsia="Verdana" w:hAnsi="Verdana" w:cs="Verdana"/>
          <w:lang w:val="es"/>
        </w:rPr>
        <w:t xml:space="preserve"> PQRSD: </w:t>
      </w:r>
      <w:hyperlink r:id="rId18">
        <w:r w:rsidRPr="00820CEB">
          <w:rPr>
            <w:rStyle w:val="Hipervnculo"/>
            <w:rFonts w:ascii="Verdana" w:eastAsia="Verdana" w:hAnsi="Verdana" w:cs="Verdana"/>
            <w:lang w:val="es-MX"/>
          </w:rPr>
          <w:t>https://www.colombiacompra.gov.co/pqrsd/informacion-importante-antes-de-formular-una-pqrsd</w:t>
        </w:r>
      </w:hyperlink>
    </w:p>
    <w:p w14:paraId="5137F9ED" w14:textId="77777777" w:rsidR="00820CEB" w:rsidRDefault="00820CEB" w:rsidP="00820CEB">
      <w:pPr>
        <w:spacing w:after="0" w:line="276" w:lineRule="auto"/>
        <w:jc w:val="both"/>
        <w:rPr>
          <w:rFonts w:ascii="Verdana" w:hAnsi="Verdana"/>
        </w:rPr>
      </w:pPr>
    </w:p>
    <w:p w14:paraId="460E8421" w14:textId="5ECF4932" w:rsidR="0080302B" w:rsidRPr="00820CEB" w:rsidRDefault="0080302B" w:rsidP="00820CEB">
      <w:pPr>
        <w:spacing w:after="0" w:line="276" w:lineRule="auto"/>
        <w:jc w:val="both"/>
        <w:rPr>
          <w:rFonts w:ascii="Verdana" w:hAnsi="Verdana"/>
        </w:rPr>
      </w:pPr>
      <w:r w:rsidRPr="00820CEB">
        <w:rPr>
          <w:rFonts w:ascii="Verdana" w:hAnsi="Verdana"/>
        </w:rPr>
        <w:t xml:space="preserve">Evalúa el servicio que ofrece la Agencia por el canal de atención de PQRSD en el siguiente enlace: </w:t>
      </w:r>
      <w:hyperlink r:id="rId19" w:history="1">
        <w:r w:rsidRPr="00820CEB">
          <w:rPr>
            <w:rStyle w:val="Hipervnculo"/>
            <w:rFonts w:ascii="Verdana" w:eastAsia="Verdana" w:hAnsi="Verdana" w:cs="Verdana"/>
            <w:lang w:val="es-MX"/>
          </w:rPr>
          <w:t>https://forms.office.com/r/pPHyWVs2SZ</w:t>
        </w:r>
      </w:hyperlink>
      <w:r w:rsidRPr="00820CEB">
        <w:rPr>
          <w:rStyle w:val="Hipervnculo"/>
          <w:rFonts w:ascii="Verdana" w:eastAsia="Verdana" w:hAnsi="Verdana" w:cs="Verdana"/>
          <w:lang w:val="es-MX"/>
        </w:rPr>
        <w:t>.</w:t>
      </w:r>
      <w:r w:rsidRPr="00820CEB">
        <w:rPr>
          <w:rFonts w:ascii="Verdana" w:hAnsi="Verdana"/>
        </w:rPr>
        <w:t xml:space="preserve"> ¡Ayúdanos a mejorar porque el compromiso es de todos!</w:t>
      </w:r>
    </w:p>
    <w:p w14:paraId="35EFB916" w14:textId="77777777" w:rsidR="0080302B" w:rsidRPr="00820CEB" w:rsidRDefault="0080302B" w:rsidP="007950B2">
      <w:pPr>
        <w:spacing w:after="0" w:line="276" w:lineRule="auto"/>
        <w:jc w:val="both"/>
        <w:rPr>
          <w:rFonts w:ascii="Verdana" w:hAnsi="Verdana"/>
        </w:rPr>
      </w:pPr>
    </w:p>
    <w:p w14:paraId="489C4554" w14:textId="77777777" w:rsidR="0080302B" w:rsidRPr="00820CEB" w:rsidRDefault="0080302B" w:rsidP="00820CEB">
      <w:pPr>
        <w:spacing w:after="0" w:line="276" w:lineRule="auto"/>
        <w:jc w:val="both"/>
        <w:rPr>
          <w:rFonts w:ascii="Verdana" w:hAnsi="Verdana"/>
        </w:rPr>
      </w:pPr>
      <w:r w:rsidRPr="00820CEB">
        <w:rPr>
          <w:rFonts w:ascii="Verdana" w:hAnsi="Verdana"/>
        </w:rPr>
        <w:t xml:space="preserve">Por último, lo invitamos a seguirnos en las redes sociales en las cuales se difunde información institucional: </w:t>
      </w:r>
    </w:p>
    <w:p w14:paraId="2E1C742B" w14:textId="77777777" w:rsidR="0080302B" w:rsidRPr="00820CEB" w:rsidRDefault="0080302B" w:rsidP="007950B2">
      <w:pPr>
        <w:spacing w:after="0" w:line="276" w:lineRule="auto"/>
        <w:jc w:val="both"/>
        <w:rPr>
          <w:rFonts w:ascii="Verdana" w:hAnsi="Verdana"/>
        </w:rPr>
      </w:pPr>
    </w:p>
    <w:p w14:paraId="14A1687F" w14:textId="77777777" w:rsidR="0080302B" w:rsidRPr="00820CEB" w:rsidRDefault="0080302B" w:rsidP="00820CEB">
      <w:pPr>
        <w:spacing w:after="0" w:line="276" w:lineRule="auto"/>
        <w:jc w:val="both"/>
        <w:rPr>
          <w:rFonts w:ascii="Verdana" w:hAnsi="Verdana"/>
        </w:rPr>
      </w:pPr>
      <w:r w:rsidRPr="00820CEB">
        <w:rPr>
          <w:rFonts w:ascii="Verdana" w:hAnsi="Verdana"/>
        </w:rPr>
        <w:t xml:space="preserve">Twitter: </w:t>
      </w:r>
      <w:r w:rsidRPr="00820CEB">
        <w:rPr>
          <w:rStyle w:val="Hipervnculo"/>
          <w:rFonts w:ascii="Verdana" w:hAnsi="Verdana"/>
        </w:rPr>
        <w:t>@colombiacompra</w:t>
      </w:r>
      <w:r w:rsidRPr="00820CEB">
        <w:rPr>
          <w:rFonts w:ascii="Verdana" w:hAnsi="Verdana"/>
        </w:rPr>
        <w:t xml:space="preserve"> </w:t>
      </w:r>
    </w:p>
    <w:p w14:paraId="0F327F92" w14:textId="77777777" w:rsidR="0080302B" w:rsidRPr="00820CEB" w:rsidRDefault="0080302B" w:rsidP="00820CEB">
      <w:pPr>
        <w:spacing w:after="0" w:line="276" w:lineRule="auto"/>
        <w:jc w:val="both"/>
        <w:rPr>
          <w:rFonts w:ascii="Verdana" w:hAnsi="Verdana"/>
        </w:rPr>
      </w:pPr>
      <w:r w:rsidRPr="00820CEB">
        <w:rPr>
          <w:rFonts w:ascii="Verdana" w:hAnsi="Verdana"/>
        </w:rPr>
        <w:t xml:space="preserve">Facebook: </w:t>
      </w:r>
      <w:proofErr w:type="spellStart"/>
      <w:r w:rsidRPr="00820CEB">
        <w:rPr>
          <w:rStyle w:val="Hipervnculo"/>
          <w:rFonts w:ascii="Verdana" w:hAnsi="Verdana"/>
        </w:rPr>
        <w:t>ColombiaCompraEficiente</w:t>
      </w:r>
      <w:proofErr w:type="spellEnd"/>
    </w:p>
    <w:p w14:paraId="1F54B6B1" w14:textId="77777777" w:rsidR="0080302B" w:rsidRPr="00820CEB" w:rsidRDefault="0080302B" w:rsidP="00820CEB">
      <w:pPr>
        <w:spacing w:after="0" w:line="276" w:lineRule="auto"/>
        <w:jc w:val="both"/>
        <w:rPr>
          <w:rFonts w:ascii="Verdana" w:hAnsi="Verdana"/>
        </w:rPr>
      </w:pPr>
      <w:r w:rsidRPr="00820CEB">
        <w:rPr>
          <w:rFonts w:ascii="Verdana" w:hAnsi="Verdana"/>
        </w:rPr>
        <w:t xml:space="preserve">LinkedIn: </w:t>
      </w:r>
      <w:r w:rsidRPr="00820CEB">
        <w:rPr>
          <w:rStyle w:val="Hipervnculo"/>
          <w:rFonts w:ascii="Verdana" w:hAnsi="Verdana"/>
        </w:rPr>
        <w:t>Agencia Nacional de Contratación Pública - Colombia Compra Eficiente</w:t>
      </w:r>
      <w:r w:rsidRPr="00820CEB">
        <w:rPr>
          <w:rFonts w:ascii="Verdana" w:hAnsi="Verdana"/>
        </w:rPr>
        <w:t xml:space="preserve"> Instagram: </w:t>
      </w:r>
      <w:r w:rsidRPr="00820CEB">
        <w:rPr>
          <w:rStyle w:val="Hipervnculo"/>
          <w:rFonts w:ascii="Verdana" w:hAnsi="Verdana"/>
        </w:rPr>
        <w:t>@colombiacompraeficiente_cce</w:t>
      </w:r>
    </w:p>
    <w:p w14:paraId="0FF1760D" w14:textId="77777777" w:rsidR="0080302B" w:rsidRPr="007950B2" w:rsidRDefault="0080302B" w:rsidP="00820CEB">
      <w:pPr>
        <w:spacing w:after="0" w:line="276" w:lineRule="auto"/>
        <w:jc w:val="both"/>
        <w:rPr>
          <w:rFonts w:ascii="Verdana" w:eastAsia="Century Gothic" w:hAnsi="Verdana" w:cs="Century Gothic"/>
          <w:lang w:val="es-ES" w:eastAsia="es-ES_tradnl"/>
        </w:rPr>
      </w:pPr>
    </w:p>
    <w:p w14:paraId="3D4A8AB8" w14:textId="77777777" w:rsidR="0080302B" w:rsidRPr="00820CEB" w:rsidRDefault="0080302B" w:rsidP="00820CEB">
      <w:pPr>
        <w:spacing w:after="0" w:line="276" w:lineRule="auto"/>
        <w:jc w:val="both"/>
        <w:rPr>
          <w:rFonts w:ascii="Verdana" w:hAnsi="Verdana"/>
          <w:lang w:val="es-MX"/>
        </w:rPr>
      </w:pPr>
      <w:r w:rsidRPr="00820CEB">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FB87EF2" w14:textId="77777777" w:rsidR="0080302B" w:rsidRPr="00820CEB" w:rsidRDefault="0080302B" w:rsidP="00820CEB">
      <w:pPr>
        <w:spacing w:after="0" w:line="276" w:lineRule="auto"/>
        <w:jc w:val="both"/>
        <w:rPr>
          <w:rFonts w:ascii="Verdana" w:hAnsi="Verdana"/>
          <w:lang w:val="es-MX"/>
        </w:rPr>
      </w:pPr>
    </w:p>
    <w:p w14:paraId="13EAFC68" w14:textId="3834D093" w:rsidR="0080302B" w:rsidRPr="00820CEB" w:rsidRDefault="00432D23" w:rsidP="00820CEB">
      <w:pPr>
        <w:spacing w:after="0" w:line="276" w:lineRule="auto"/>
        <w:jc w:val="both"/>
        <w:rPr>
          <w:rFonts w:ascii="Verdana" w:hAnsi="Verdana"/>
          <w:lang w:val="es-MX"/>
        </w:rPr>
      </w:pPr>
      <w:r w:rsidRPr="004D5C25">
        <w:rPr>
          <w:rFonts w:ascii="Century Gothic" w:hAnsi="Century Gothic"/>
          <w:noProof/>
        </w:rPr>
        <w:drawing>
          <wp:anchor distT="0" distB="0" distL="114300" distR="114300" simplePos="0" relativeHeight="251662336" behindDoc="1" locked="0" layoutInCell="1" allowOverlap="1" wp14:anchorId="32E851BA" wp14:editId="0981AFA3">
            <wp:simplePos x="0" y="0"/>
            <wp:positionH relativeFrom="column">
              <wp:posOffset>1361057</wp:posOffset>
            </wp:positionH>
            <wp:positionV relativeFrom="paragraph">
              <wp:posOffset>161925</wp:posOffset>
            </wp:positionV>
            <wp:extent cx="3705225" cy="1181735"/>
            <wp:effectExtent l="0" t="0" r="9525" b="0"/>
            <wp:wrapTight wrapText="bothSides">
              <wp:wrapPolygon edited="0">
                <wp:start x="0" y="0"/>
                <wp:lineTo x="0" y="21240"/>
                <wp:lineTo x="21544" y="21240"/>
                <wp:lineTo x="21544" y="0"/>
                <wp:lineTo x="0" y="0"/>
              </wp:wrapPolygon>
            </wp:wrapTight>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3705225" cy="1181735"/>
                    </a:xfrm>
                    <a:prstGeom prst="rect">
                      <a:avLst/>
                    </a:prstGeom>
                  </pic:spPr>
                </pic:pic>
              </a:graphicData>
            </a:graphic>
            <wp14:sizeRelV relativeFrom="margin">
              <wp14:pctHeight>0</wp14:pctHeight>
            </wp14:sizeRelV>
          </wp:anchor>
        </w:drawing>
      </w:r>
      <w:r w:rsidR="0080302B" w:rsidRPr="00820CEB">
        <w:rPr>
          <w:rFonts w:ascii="Verdana" w:hAnsi="Verdana"/>
          <w:lang w:val="es-MX"/>
        </w:rPr>
        <w:t>Cordialmente,</w:t>
      </w:r>
      <w:r w:rsidR="00F83D6A" w:rsidRPr="00820CEB">
        <w:rPr>
          <w:rFonts w:ascii="Verdana" w:eastAsia="Calibri" w:hAnsi="Verdana" w:cs="Times New Roman"/>
          <w:noProof/>
          <w:color w:val="EE0000"/>
          <w14:ligatures w14:val="standardContextual"/>
        </w:rPr>
        <w:t xml:space="preserve"> </w:t>
      </w:r>
    </w:p>
    <w:p w14:paraId="2AED6E9C" w14:textId="357F9231" w:rsidR="00DC69A0" w:rsidRDefault="00DC69A0" w:rsidP="30821638">
      <w:pPr>
        <w:spacing w:after="0"/>
        <w:rPr>
          <w:rFonts w:ascii="Verdana" w:eastAsia="Verdana" w:hAnsi="Verdana" w:cs="Verdana"/>
          <w:lang w:val="es-ES_tradnl"/>
        </w:rPr>
      </w:pPr>
    </w:p>
    <w:p w14:paraId="7FA81605" w14:textId="7A01F584" w:rsidR="00595D9B" w:rsidRDefault="00595D9B" w:rsidP="30821638">
      <w:pPr>
        <w:spacing w:after="0"/>
        <w:rPr>
          <w:rFonts w:ascii="Verdana" w:eastAsia="Verdana" w:hAnsi="Verdana" w:cs="Verdana"/>
          <w:lang w:val="es-ES_tradnl"/>
        </w:rPr>
      </w:pPr>
    </w:p>
    <w:p w14:paraId="39169CDE" w14:textId="77777777" w:rsidR="00595D9B" w:rsidRPr="006D5C08" w:rsidRDefault="00595D9B" w:rsidP="30821638">
      <w:pPr>
        <w:spacing w:after="0"/>
        <w:rPr>
          <w:rFonts w:ascii="Verdana" w:eastAsia="Verdana" w:hAnsi="Verdana" w:cs="Verdana"/>
          <w:lang w:val="es-ES_tradnl"/>
        </w:rPr>
      </w:pPr>
    </w:p>
    <w:p w14:paraId="0E5CE09C" w14:textId="77777777" w:rsidR="003E44B0" w:rsidRDefault="003E44B0" w:rsidP="30821638">
      <w:pPr>
        <w:spacing w:after="0"/>
        <w:rPr>
          <w:rFonts w:ascii="Verdana" w:eastAsia="Verdana" w:hAnsi="Verdana" w:cs="Verdana"/>
          <w:lang w:val="es-MX"/>
        </w:rPr>
      </w:pPr>
    </w:p>
    <w:p w14:paraId="0CBB0DD1" w14:textId="77777777" w:rsidR="00871E11" w:rsidRDefault="00871E11" w:rsidP="00871E11">
      <w:pPr>
        <w:spacing w:after="120" w:line="276" w:lineRule="auto"/>
        <w:contextualSpacing/>
        <w:jc w:val="both"/>
        <w:rPr>
          <w:rFonts w:ascii="Verdana" w:eastAsia="Verdana" w:hAnsi="Verdana" w:cs="Verdana"/>
          <w:lang w:val="es-MX"/>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871E11" w:rsidRPr="004C0111" w14:paraId="0641C227" w14:textId="77777777" w:rsidTr="00F14B94">
        <w:trPr>
          <w:trHeight w:val="622"/>
        </w:trPr>
        <w:tc>
          <w:tcPr>
            <w:tcW w:w="893" w:type="dxa"/>
            <w:vAlign w:val="center"/>
            <w:hideMark/>
          </w:tcPr>
          <w:p w14:paraId="7F0DD45A" w14:textId="77777777" w:rsidR="00871E11" w:rsidRPr="004C0111" w:rsidRDefault="00871E11" w:rsidP="00F14B94">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871E11" w:rsidRPr="004C0111" w14:paraId="177216E5" w14:textId="77777777" w:rsidTr="00F14B94">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50988132" w14:textId="77777777" w:rsidR="00871E11" w:rsidRPr="004C0111" w:rsidRDefault="00871E11" w:rsidP="00F14B94">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05A148CA" w14:textId="77777777" w:rsidR="00871E11" w:rsidRPr="004C0111" w:rsidRDefault="00871E11" w:rsidP="00F14B94">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0EE51ACC" w14:textId="77777777" w:rsidR="00871E11" w:rsidRPr="004C0111" w:rsidRDefault="00871E11" w:rsidP="00F14B94">
            <w:pPr>
              <w:rPr>
                <w:rFonts w:ascii="Verdana" w:eastAsia="Calibri" w:hAnsi="Verdana" w:cs="Arial"/>
                <w:sz w:val="16"/>
                <w:szCs w:val="16"/>
                <w:lang w:val="es-MX"/>
              </w:rPr>
            </w:pPr>
          </w:p>
        </w:tc>
      </w:tr>
      <w:tr w:rsidR="00871E11" w:rsidRPr="004C0111" w14:paraId="212F2930" w14:textId="77777777" w:rsidTr="00F14B94">
        <w:trPr>
          <w:trHeight w:val="330"/>
        </w:trPr>
        <w:tc>
          <w:tcPr>
            <w:tcW w:w="893" w:type="dxa"/>
            <w:vAlign w:val="center"/>
            <w:hideMark/>
          </w:tcPr>
          <w:p w14:paraId="23C214EE" w14:textId="77777777" w:rsidR="00871E11" w:rsidRPr="004C0111" w:rsidRDefault="00871E11" w:rsidP="00F14B94">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67A9C23B" w14:textId="7F1DAE9C" w:rsidR="00871E11" w:rsidRPr="004C0111" w:rsidRDefault="00871E11" w:rsidP="00F14B94">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Diana Lucía Saavedra</w:t>
            </w:r>
          </w:p>
          <w:p w14:paraId="768D2E1E" w14:textId="77777777" w:rsidR="00871E11" w:rsidRPr="004C0111" w:rsidRDefault="00871E11" w:rsidP="00F14B94">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871E11" w:rsidRPr="004C0111" w14:paraId="38965B41" w14:textId="77777777" w:rsidTr="00F14B94">
        <w:trPr>
          <w:trHeight w:val="77"/>
        </w:trPr>
        <w:tc>
          <w:tcPr>
            <w:tcW w:w="893" w:type="dxa"/>
            <w:vAlign w:val="center"/>
          </w:tcPr>
          <w:p w14:paraId="294BECAF" w14:textId="77777777" w:rsidR="00871E11" w:rsidRPr="004C0111" w:rsidRDefault="00871E11" w:rsidP="00F14B94">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60C3ABAC" w14:textId="77777777" w:rsidR="00871E11" w:rsidRPr="002F2853" w:rsidRDefault="00871E11" w:rsidP="00F14B94">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4D9DC4DE" w14:textId="77777777" w:rsidR="00871E11" w:rsidRPr="004C0111" w:rsidRDefault="00871E11" w:rsidP="00F14B94">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bookmarkEnd w:id="0"/>
    </w:tbl>
    <w:p w14:paraId="69BC4D14" w14:textId="71E1B832"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DDBE" w14:textId="77777777" w:rsidR="00AA7D1B" w:rsidRDefault="00AA7D1B" w:rsidP="004A1847">
      <w:pPr>
        <w:spacing w:after="0" w:line="240" w:lineRule="auto"/>
      </w:pPr>
      <w:r>
        <w:separator/>
      </w:r>
    </w:p>
  </w:endnote>
  <w:endnote w:type="continuationSeparator" w:id="0">
    <w:p w14:paraId="5876EA01" w14:textId="77777777" w:rsidR="00AA7D1B" w:rsidRDefault="00AA7D1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80B5" w14:textId="77777777" w:rsidR="00AA7D1B" w:rsidRDefault="00AA7D1B" w:rsidP="004A1847">
      <w:pPr>
        <w:spacing w:after="0" w:line="240" w:lineRule="auto"/>
      </w:pPr>
      <w:r>
        <w:separator/>
      </w:r>
    </w:p>
  </w:footnote>
  <w:footnote w:type="continuationSeparator" w:id="0">
    <w:p w14:paraId="61230C56" w14:textId="77777777" w:rsidR="00AA7D1B" w:rsidRDefault="00AA7D1B" w:rsidP="004A1847">
      <w:pPr>
        <w:spacing w:after="0" w:line="240" w:lineRule="auto"/>
      </w:pPr>
      <w:r>
        <w:continuationSeparator/>
      </w:r>
    </w:p>
  </w:footnote>
  <w:footnote w:id="1">
    <w:p w14:paraId="7EAD9AD8"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651A48F4" w14:textId="77777777" w:rsidR="00590100" w:rsidRPr="007950B2" w:rsidRDefault="00590100" w:rsidP="00590100">
      <w:pPr>
        <w:pStyle w:val="Textonotapie"/>
        <w:ind w:firstLine="709"/>
        <w:jc w:val="both"/>
        <w:rPr>
          <w:rFonts w:ascii="Verdana" w:hAnsi="Verdana" w:cs="Arial"/>
          <w:sz w:val="16"/>
          <w:szCs w:val="16"/>
        </w:rPr>
      </w:pPr>
      <w:r w:rsidRPr="007950B2">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3C6D957A" w14:textId="77777777" w:rsidR="00590100" w:rsidRPr="007950B2" w:rsidRDefault="00590100" w:rsidP="00590100">
      <w:pPr>
        <w:pStyle w:val="Textonotapie"/>
        <w:ind w:firstLine="709"/>
        <w:jc w:val="both"/>
        <w:rPr>
          <w:rFonts w:ascii="Verdana" w:hAnsi="Verdana" w:cs="Arial"/>
          <w:sz w:val="16"/>
          <w:szCs w:val="16"/>
        </w:rPr>
      </w:pPr>
    </w:p>
  </w:footnote>
  <w:footnote w:id="2">
    <w:p w14:paraId="530C452E"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Gaceta del Congreso de la República No. 71 del 2005.</w:t>
      </w:r>
    </w:p>
    <w:p w14:paraId="18C6EA14" w14:textId="77777777" w:rsidR="00590100" w:rsidRPr="007950B2" w:rsidRDefault="00590100" w:rsidP="00590100">
      <w:pPr>
        <w:pStyle w:val="Textonotapie"/>
        <w:ind w:firstLine="709"/>
        <w:jc w:val="both"/>
        <w:rPr>
          <w:rFonts w:ascii="Verdana" w:hAnsi="Verdana" w:cs="Arial"/>
          <w:sz w:val="16"/>
          <w:szCs w:val="16"/>
        </w:rPr>
      </w:pPr>
    </w:p>
  </w:footnote>
  <w:footnote w:id="3">
    <w:p w14:paraId="220EB81E" w14:textId="77777777" w:rsidR="00590100" w:rsidRPr="007950B2" w:rsidRDefault="00590100" w:rsidP="00590100">
      <w:pPr>
        <w:pStyle w:val="Textonotapie"/>
        <w:tabs>
          <w:tab w:val="left" w:pos="8145"/>
        </w:tabs>
        <w:ind w:firstLine="709"/>
        <w:jc w:val="both"/>
        <w:rPr>
          <w:rFonts w:ascii="Verdana" w:hAnsi="Verdana" w:cs="Arial"/>
          <w:sz w:val="16"/>
          <w:szCs w:val="16"/>
          <w:lang w:val="pt-PT"/>
        </w:rPr>
      </w:pPr>
      <w:r w:rsidRPr="007950B2">
        <w:rPr>
          <w:rStyle w:val="Refdenotaalpie"/>
          <w:rFonts w:ascii="Verdana" w:hAnsi="Verdana" w:cs="Arial"/>
          <w:sz w:val="16"/>
          <w:szCs w:val="16"/>
        </w:rPr>
        <w:footnoteRef/>
      </w:r>
      <w:r w:rsidRPr="007950B2">
        <w:rPr>
          <w:rFonts w:ascii="Verdana" w:hAnsi="Verdana" w:cs="Arial"/>
          <w:sz w:val="16"/>
          <w:szCs w:val="16"/>
          <w:lang w:val="pt-PT"/>
        </w:rPr>
        <w:t xml:space="preserve"> Corte Constitucional. Sentencia C- 1153 de 2005, M.P: Marco Gerardo Monroy Cabra.</w:t>
      </w:r>
      <w:r w:rsidRPr="007950B2">
        <w:rPr>
          <w:rFonts w:ascii="Verdana" w:hAnsi="Verdana" w:cs="Arial"/>
          <w:sz w:val="16"/>
          <w:szCs w:val="16"/>
          <w:lang w:val="pt-PT"/>
        </w:rPr>
        <w:tab/>
      </w:r>
    </w:p>
    <w:p w14:paraId="29BA08E1" w14:textId="77777777" w:rsidR="00590100" w:rsidRPr="007950B2" w:rsidRDefault="00590100" w:rsidP="00590100">
      <w:pPr>
        <w:pStyle w:val="Textonotapie"/>
        <w:tabs>
          <w:tab w:val="left" w:pos="8145"/>
        </w:tabs>
        <w:ind w:firstLine="709"/>
        <w:jc w:val="both"/>
        <w:rPr>
          <w:rFonts w:ascii="Verdana" w:hAnsi="Verdana" w:cs="Arial"/>
          <w:sz w:val="16"/>
          <w:szCs w:val="16"/>
          <w:lang w:val="pt-PT"/>
        </w:rPr>
      </w:pPr>
    </w:p>
  </w:footnote>
  <w:footnote w:id="4">
    <w:p w14:paraId="60F35922" w14:textId="77777777" w:rsidR="00590100" w:rsidRPr="007950B2" w:rsidRDefault="00590100" w:rsidP="00590100">
      <w:pPr>
        <w:pStyle w:val="Textonotapie"/>
        <w:ind w:firstLine="709"/>
        <w:jc w:val="both"/>
        <w:rPr>
          <w:rFonts w:ascii="Verdana" w:hAnsi="Verdana" w:cs="Arial"/>
          <w:sz w:val="16"/>
          <w:szCs w:val="16"/>
          <w:lang w:val="pt-PT"/>
        </w:rPr>
      </w:pPr>
      <w:r w:rsidRPr="007950B2">
        <w:rPr>
          <w:rStyle w:val="Refdenotaalpie"/>
          <w:rFonts w:ascii="Verdana" w:hAnsi="Verdana" w:cs="Arial"/>
          <w:sz w:val="16"/>
          <w:szCs w:val="16"/>
        </w:rPr>
        <w:footnoteRef/>
      </w:r>
      <w:r w:rsidRPr="007950B2">
        <w:rPr>
          <w:rFonts w:ascii="Verdana" w:hAnsi="Verdana" w:cs="Arial"/>
          <w:sz w:val="16"/>
          <w:szCs w:val="16"/>
          <w:lang w:val="pt-PT"/>
        </w:rPr>
        <w:t xml:space="preserve"> </w:t>
      </w:r>
      <w:r w:rsidRPr="007950B2">
        <w:rPr>
          <w:rFonts w:ascii="Verdana" w:hAnsi="Verdana" w:cs="Arial"/>
          <w:sz w:val="16"/>
          <w:szCs w:val="16"/>
          <w:lang w:val="es-CO"/>
        </w:rPr>
        <w:t xml:space="preserve">Corte Constitucional. Sentencias: C-233 de 4 de abril de 2002. M.P: Álvaro Tafur Galvis; C-551 de 9 de julio de 2003. M.P: Eduardo Montealegre Lynnet; C-353 de 20 de mayo de 2009. M.P: Jorge Iván Palacio </w:t>
      </w:r>
      <w:proofErr w:type="spellStart"/>
      <w:r w:rsidRPr="007950B2">
        <w:rPr>
          <w:rFonts w:ascii="Verdana" w:hAnsi="Verdana" w:cs="Arial"/>
          <w:sz w:val="16"/>
          <w:szCs w:val="16"/>
          <w:lang w:val="es-CO"/>
        </w:rPr>
        <w:t>Palacio</w:t>
      </w:r>
      <w:proofErr w:type="spellEnd"/>
      <w:r w:rsidRPr="007950B2">
        <w:rPr>
          <w:rFonts w:ascii="Verdana" w:hAnsi="Verdana" w:cs="Arial"/>
          <w:sz w:val="16"/>
          <w:szCs w:val="16"/>
          <w:lang w:val="es-CO"/>
        </w:rPr>
        <w:t>; C-541 de 30 de junio de 2010. M.P: Gabriel Eduardo Mendoza Martelo; entre otras.</w:t>
      </w:r>
    </w:p>
    <w:p w14:paraId="72AF4C6F" w14:textId="77777777" w:rsidR="00590100" w:rsidRPr="007950B2" w:rsidRDefault="00590100" w:rsidP="00590100">
      <w:pPr>
        <w:pStyle w:val="Textonotapie"/>
        <w:ind w:firstLine="709"/>
        <w:jc w:val="both"/>
        <w:rPr>
          <w:rFonts w:ascii="Verdana" w:hAnsi="Verdana" w:cs="Arial"/>
          <w:sz w:val="16"/>
          <w:szCs w:val="16"/>
          <w:lang w:val="pt-PT"/>
        </w:rPr>
      </w:pPr>
    </w:p>
  </w:footnote>
  <w:footnote w:id="5">
    <w:p w14:paraId="4A142B6B" w14:textId="77777777" w:rsidR="00590100" w:rsidRPr="007950B2" w:rsidRDefault="00590100" w:rsidP="00590100">
      <w:pPr>
        <w:pStyle w:val="Textonotapie"/>
        <w:ind w:firstLine="709"/>
        <w:jc w:val="both"/>
        <w:rPr>
          <w:rFonts w:ascii="Verdana" w:hAnsi="Verdana" w:cs="Arial"/>
          <w:sz w:val="16"/>
          <w:szCs w:val="16"/>
          <w:lang w:val="es-CO"/>
        </w:rPr>
      </w:pPr>
      <w:r w:rsidRPr="007950B2">
        <w:rPr>
          <w:rStyle w:val="Refdenotaalpie"/>
          <w:rFonts w:ascii="Verdana" w:hAnsi="Verdana" w:cs="Arial"/>
          <w:sz w:val="16"/>
          <w:szCs w:val="16"/>
        </w:rPr>
        <w:footnoteRef/>
      </w:r>
      <w:r w:rsidRPr="007950B2">
        <w:rPr>
          <w:rFonts w:ascii="Verdana" w:hAnsi="Verdana" w:cs="Arial"/>
          <w:sz w:val="16"/>
          <w:szCs w:val="16"/>
          <w:lang w:val="es-CO"/>
        </w:rPr>
        <w:t xml:space="preserve"> Consejo de Estado. Sala de lo Contencioso Administrativo. Sección Primera. Sentencia de 3 de marzo de 2005. Radicado: </w:t>
      </w:r>
      <w:r w:rsidRPr="007950B2">
        <w:rPr>
          <w:rFonts w:ascii="Verdana" w:hAnsi="Verdana" w:cs="Arial"/>
          <w:sz w:val="16"/>
          <w:szCs w:val="16"/>
          <w:lang w:val="es-ES"/>
        </w:rPr>
        <w:t xml:space="preserve">25001-23-15-000-2004-00823-01 (PI). </w:t>
      </w:r>
      <w:r w:rsidRPr="007950B2">
        <w:rPr>
          <w:rFonts w:ascii="Verdana" w:hAnsi="Verdana" w:cs="Arial"/>
          <w:sz w:val="16"/>
          <w:szCs w:val="16"/>
          <w:lang w:val="es-CO"/>
        </w:rPr>
        <w:t>C.P: Camilo Arciniegas Andrade. Ver también, de la Sección Tercera. Sentencia de 22 de enero de 2002, expediente número 2001-0148-01 y, Sección Tercera. Sentencia de 20 de noviembre de 2001, expediente número 2001-0130-01(PI), entre otras.</w:t>
      </w:r>
    </w:p>
    <w:p w14:paraId="02D293B2" w14:textId="77777777" w:rsidR="00590100" w:rsidRPr="007950B2" w:rsidRDefault="00590100" w:rsidP="00590100">
      <w:pPr>
        <w:pStyle w:val="Textonotapie"/>
        <w:ind w:firstLine="709"/>
        <w:jc w:val="both"/>
        <w:rPr>
          <w:rFonts w:ascii="Verdana" w:hAnsi="Verdana" w:cs="Arial"/>
          <w:sz w:val="16"/>
          <w:szCs w:val="16"/>
          <w:lang w:val="es-CO"/>
        </w:rPr>
      </w:pPr>
    </w:p>
  </w:footnote>
  <w:footnote w:id="6">
    <w:p w14:paraId="6378D5C0"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Consejo de Estado, Sala de Consulta y Servicio Civil. 24 de julio de 2013. Radicado: </w:t>
      </w:r>
      <w:r w:rsidRPr="007950B2">
        <w:rPr>
          <w:rFonts w:ascii="Verdana" w:hAnsi="Verdana" w:cs="Arial"/>
          <w:sz w:val="16"/>
          <w:szCs w:val="16"/>
          <w:lang w:val="es-CO"/>
        </w:rPr>
        <w:t xml:space="preserve">11001-03-06-000-2013-00407-00 </w:t>
      </w:r>
      <w:r w:rsidRPr="007950B2">
        <w:rPr>
          <w:rFonts w:ascii="Verdana" w:hAnsi="Verdana" w:cs="Arial"/>
          <w:sz w:val="16"/>
          <w:szCs w:val="16"/>
        </w:rPr>
        <w:t xml:space="preserve">(2166). C.P. Álvaro Namén Vargas.  </w:t>
      </w:r>
    </w:p>
    <w:p w14:paraId="2DAD0889" w14:textId="77777777" w:rsidR="00590100" w:rsidRPr="007950B2" w:rsidRDefault="00590100" w:rsidP="00590100">
      <w:pPr>
        <w:pStyle w:val="Textonotapie"/>
        <w:ind w:firstLine="709"/>
        <w:jc w:val="both"/>
        <w:rPr>
          <w:rFonts w:ascii="Verdana" w:hAnsi="Verdana" w:cs="Arial"/>
          <w:sz w:val="16"/>
          <w:szCs w:val="16"/>
        </w:rPr>
      </w:pPr>
    </w:p>
  </w:footnote>
  <w:footnote w:id="7">
    <w:p w14:paraId="622D3BD2" w14:textId="77777777" w:rsidR="00590100" w:rsidRPr="007950B2" w:rsidRDefault="00590100" w:rsidP="00590100">
      <w:pPr>
        <w:spacing w:after="0" w:line="240" w:lineRule="auto"/>
        <w:ind w:firstLine="709"/>
        <w:jc w:val="both"/>
        <w:rPr>
          <w:rFonts w:ascii="Verdana" w:eastAsia="Times New Roman"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w:t>
      </w:r>
      <w:r w:rsidRPr="007950B2">
        <w:rPr>
          <w:rFonts w:ascii="Verdana" w:eastAsia="Calibri" w:hAnsi="Verdana" w:cs="Arial"/>
          <w:color w:val="000000"/>
          <w:sz w:val="16"/>
          <w:szCs w:val="16"/>
        </w:rPr>
        <w:t>“</w:t>
      </w:r>
      <w:r w:rsidRPr="007950B2">
        <w:rPr>
          <w:rFonts w:ascii="Verdana" w:eastAsia="Times New Roman" w:hAnsi="Verdana" w:cs="Arial"/>
          <w:sz w:val="16"/>
          <w:szCs w:val="16"/>
        </w:rPr>
        <w:t>Artículo 33. Restricciones a la contratación pública. Durante los cuatro (4) meses anteriores a la elección presidencial y hasta la realización de la elección en la segunda vuelta, si fuere el caso, queda prohibida la contratación directa por parte de todos los entes del Estado.</w:t>
      </w:r>
    </w:p>
    <w:p w14:paraId="7C5CCF23" w14:textId="77777777" w:rsidR="00590100" w:rsidRPr="007950B2" w:rsidRDefault="00590100" w:rsidP="00590100">
      <w:pPr>
        <w:spacing w:after="0" w:line="240" w:lineRule="auto"/>
        <w:ind w:firstLine="709"/>
        <w:jc w:val="both"/>
        <w:rPr>
          <w:rFonts w:ascii="Verdana" w:eastAsia="Times New Roman" w:hAnsi="Verdana" w:cs="Arial"/>
          <w:sz w:val="16"/>
          <w:szCs w:val="16"/>
        </w:rPr>
      </w:pPr>
      <w:r w:rsidRPr="007950B2">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0F83687B" w14:textId="77777777" w:rsidR="00590100" w:rsidRPr="007950B2" w:rsidRDefault="00590100" w:rsidP="00590100">
      <w:pPr>
        <w:spacing w:after="0" w:line="240" w:lineRule="auto"/>
        <w:ind w:firstLine="709"/>
        <w:jc w:val="both"/>
        <w:rPr>
          <w:rFonts w:ascii="Verdana" w:eastAsia="Times New Roman" w:hAnsi="Verdana" w:cs="Arial"/>
          <w:sz w:val="16"/>
          <w:szCs w:val="16"/>
        </w:rPr>
      </w:pPr>
    </w:p>
  </w:footnote>
  <w:footnote w:id="8">
    <w:p w14:paraId="3F4BE66A" w14:textId="77777777" w:rsidR="00590100" w:rsidRPr="007950B2" w:rsidRDefault="00590100" w:rsidP="00590100">
      <w:pPr>
        <w:pStyle w:val="NormalWeb"/>
        <w:spacing w:before="0" w:beforeAutospacing="0" w:after="0" w:afterAutospacing="0"/>
        <w:ind w:firstLine="709"/>
        <w:jc w:val="both"/>
        <w:rPr>
          <w:rFonts w:ascii="Verdana" w:hAnsi="Verdana" w:cs="Arial"/>
          <w:sz w:val="16"/>
          <w:szCs w:val="16"/>
          <w:lang w:val="es-MX"/>
        </w:rPr>
      </w:pPr>
      <w:r w:rsidRPr="007950B2">
        <w:rPr>
          <w:rStyle w:val="Refdenotaalpie"/>
          <w:rFonts w:ascii="Verdana" w:eastAsiaTheme="majorEastAsia" w:hAnsi="Verdana" w:cs="Arial"/>
          <w:sz w:val="16"/>
          <w:szCs w:val="16"/>
        </w:rPr>
        <w:footnoteRef/>
      </w:r>
      <w:r w:rsidRPr="007950B2">
        <w:rPr>
          <w:rFonts w:ascii="Verdana" w:hAnsi="Verdana" w:cs="Arial"/>
          <w:sz w:val="16"/>
          <w:szCs w:val="16"/>
        </w:rPr>
        <w:t xml:space="preserve"> </w:t>
      </w:r>
      <w:r w:rsidRPr="007950B2">
        <w:rPr>
          <w:rFonts w:ascii="Verdana" w:eastAsia="Calibri" w:hAnsi="Verdana" w:cs="Arial"/>
          <w:color w:val="000000"/>
          <w:sz w:val="16"/>
          <w:szCs w:val="16"/>
        </w:rPr>
        <w:t>“</w:t>
      </w:r>
      <w:r w:rsidRPr="007950B2">
        <w:rPr>
          <w:rFonts w:ascii="Verdana" w:hAnsi="Verdana" w:cs="Arial"/>
          <w:sz w:val="16"/>
          <w:szCs w:val="16"/>
          <w:lang w:val="es-MX"/>
        </w:rPr>
        <w:t>Artículo 38. Prohibiciones para los servidores públicos. A los empleados del Estado les está prohibido:</w:t>
      </w:r>
    </w:p>
    <w:p w14:paraId="5DD33F08" w14:textId="77777777" w:rsidR="00590100" w:rsidRPr="007950B2" w:rsidRDefault="00590100" w:rsidP="00590100">
      <w:pPr>
        <w:pStyle w:val="NormalWeb"/>
        <w:spacing w:before="0" w:beforeAutospacing="0" w:after="0" w:afterAutospacing="0"/>
        <w:ind w:firstLine="709"/>
        <w:jc w:val="both"/>
        <w:rPr>
          <w:rFonts w:ascii="Verdana" w:hAnsi="Verdana" w:cs="Arial"/>
          <w:sz w:val="16"/>
          <w:szCs w:val="16"/>
          <w:lang w:val="es-MX"/>
        </w:rPr>
      </w:pPr>
      <w:r w:rsidRPr="007950B2">
        <w:rPr>
          <w:rFonts w:ascii="Verdana" w:hAnsi="Verdana" w:cs="Arial"/>
          <w:sz w:val="16"/>
          <w:szCs w:val="16"/>
          <w:lang w:val="es-MX"/>
        </w:rPr>
        <w:t>(…)</w:t>
      </w:r>
    </w:p>
    <w:p w14:paraId="0C25FD89" w14:textId="77777777" w:rsidR="00590100" w:rsidRPr="007950B2" w:rsidRDefault="00590100" w:rsidP="00590100">
      <w:pPr>
        <w:pStyle w:val="NormalWeb"/>
        <w:spacing w:before="0" w:beforeAutospacing="0" w:after="0" w:afterAutospacing="0"/>
        <w:ind w:firstLine="709"/>
        <w:jc w:val="both"/>
        <w:rPr>
          <w:rFonts w:ascii="Verdana" w:eastAsia="Calibri" w:hAnsi="Verdana" w:cs="Arial"/>
          <w:color w:val="000000"/>
          <w:sz w:val="16"/>
          <w:szCs w:val="16"/>
        </w:rPr>
      </w:pPr>
      <w:r w:rsidRPr="007950B2">
        <w:rPr>
          <w:rStyle w:val="baj"/>
          <w:rFonts w:ascii="Verdana" w:hAnsi="Verdana" w:cs="Arial"/>
          <w:sz w:val="16"/>
          <w:szCs w:val="16"/>
          <w:lang w:val="es-MX"/>
        </w:rPr>
        <w:t>Parágrafo.</w:t>
      </w:r>
      <w:r w:rsidRPr="007950B2">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7950B2">
        <w:rPr>
          <w:rFonts w:ascii="Verdana" w:eastAsia="Calibri" w:hAnsi="Verdana" w:cs="Arial"/>
          <w:color w:val="000000"/>
          <w:sz w:val="16"/>
          <w:szCs w:val="16"/>
        </w:rPr>
        <w:t>”.</w:t>
      </w:r>
    </w:p>
    <w:p w14:paraId="287C2C44" w14:textId="77777777" w:rsidR="00590100" w:rsidRPr="007950B2" w:rsidRDefault="00590100" w:rsidP="00590100">
      <w:pPr>
        <w:pStyle w:val="NormalWeb"/>
        <w:spacing w:before="0" w:beforeAutospacing="0" w:after="0" w:afterAutospacing="0"/>
        <w:ind w:firstLine="709"/>
        <w:jc w:val="both"/>
        <w:rPr>
          <w:rFonts w:ascii="Verdana" w:hAnsi="Verdana" w:cs="Arial"/>
          <w:sz w:val="16"/>
          <w:szCs w:val="16"/>
          <w:lang w:val="es-MX"/>
        </w:rPr>
      </w:pPr>
    </w:p>
  </w:footnote>
  <w:footnote w:id="9">
    <w:p w14:paraId="3EBAE8B9" w14:textId="77777777" w:rsidR="00590100" w:rsidRPr="007950B2" w:rsidRDefault="00590100" w:rsidP="00590100">
      <w:pPr>
        <w:pStyle w:val="Textonotapie"/>
        <w:ind w:firstLine="708"/>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Colombia Compra Eficiente. Circular Externa Única. Numeral 16.5. </w:t>
      </w:r>
    </w:p>
  </w:footnote>
  <w:footnote w:id="10">
    <w:p w14:paraId="237EC7A4" w14:textId="77777777" w:rsidR="00590100" w:rsidRPr="007950B2" w:rsidRDefault="00590100" w:rsidP="00590100">
      <w:pPr>
        <w:tabs>
          <w:tab w:val="left" w:pos="2127"/>
        </w:tabs>
        <w:spacing w:after="0" w:line="240" w:lineRule="auto"/>
        <w:ind w:left="100" w:right="244"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Consejo de Estado. Sala de Consulta y Servicio Civil. Concepto del 17 de febrero de 2015. Radicado: 11001-03-06-000-2015-00164-00 (2269). C.P. William Zambrano Cetina.</w:t>
      </w:r>
    </w:p>
    <w:p w14:paraId="51BDAE87" w14:textId="77777777" w:rsidR="00590100" w:rsidRPr="007950B2" w:rsidRDefault="00590100" w:rsidP="00590100">
      <w:pPr>
        <w:spacing w:after="0" w:line="240" w:lineRule="auto"/>
        <w:ind w:left="100" w:right="244" w:firstLine="709"/>
        <w:jc w:val="both"/>
        <w:rPr>
          <w:rFonts w:ascii="Verdana" w:hAnsi="Verdana" w:cs="Arial"/>
          <w:sz w:val="16"/>
          <w:szCs w:val="16"/>
          <w:lang w:val="es-ES"/>
        </w:rPr>
      </w:pPr>
    </w:p>
  </w:footnote>
  <w:footnote w:id="11">
    <w:p w14:paraId="74DD439C"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w:t>
      </w:r>
      <w:r w:rsidRPr="007950B2">
        <w:rPr>
          <w:rFonts w:ascii="Verdana" w:hAnsi="Verdana" w:cs="Arial"/>
          <w:sz w:val="16"/>
          <w:szCs w:val="16"/>
          <w:lang w:val="es-ES"/>
        </w:rPr>
        <w:t xml:space="preserve">[25] </w:t>
      </w:r>
      <w:r w:rsidRPr="007950B2">
        <w:rPr>
          <w:rFonts w:ascii="Verdana" w:hAnsi="Verdana" w:cs="Arial"/>
          <w:sz w:val="16"/>
          <w:szCs w:val="16"/>
        </w:rPr>
        <w:t>Cfr. Consejo de Estado. Sección Tercera. Sentencia de 3 de diciembre de 2007. Radicados: 24.715, 25.206, 25.409, 24.524, 27.834, 25.410, 26.105, 28.244, 31.447 -acumulados</w:t>
      </w:r>
      <w:proofErr w:type="gramStart"/>
      <w:r w:rsidRPr="007950B2">
        <w:rPr>
          <w:rFonts w:ascii="Verdana" w:hAnsi="Verdana" w:cs="Arial"/>
          <w:sz w:val="16"/>
          <w:szCs w:val="16"/>
        </w:rPr>
        <w:t>-“</w:t>
      </w:r>
      <w:proofErr w:type="gramEnd"/>
      <w:r w:rsidRPr="007950B2">
        <w:rPr>
          <w:rFonts w:ascii="Verdana" w:hAnsi="Verdana" w:cs="Arial"/>
          <w:sz w:val="16"/>
          <w:szCs w:val="16"/>
        </w:rPr>
        <w:t>.</w:t>
      </w:r>
    </w:p>
    <w:p w14:paraId="6777BE51" w14:textId="77777777" w:rsidR="00590100" w:rsidRPr="007950B2" w:rsidRDefault="00590100" w:rsidP="00590100">
      <w:pPr>
        <w:pStyle w:val="Textonotapie"/>
        <w:ind w:firstLine="709"/>
        <w:jc w:val="both"/>
        <w:rPr>
          <w:rFonts w:ascii="Verdana" w:hAnsi="Verdana" w:cs="Arial"/>
          <w:sz w:val="16"/>
          <w:szCs w:val="16"/>
        </w:rPr>
      </w:pPr>
    </w:p>
  </w:footnote>
  <w:footnote w:id="12">
    <w:p w14:paraId="77CD12FF"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w:t>
      </w:r>
      <w:r w:rsidRPr="007950B2">
        <w:rPr>
          <w:rFonts w:ascii="Verdana" w:hAnsi="Verdana" w:cs="Arial"/>
          <w:sz w:val="16"/>
          <w:szCs w:val="16"/>
          <w:lang w:val="es-ES"/>
        </w:rPr>
        <w:t xml:space="preserve">[26] </w:t>
      </w:r>
      <w:r w:rsidRPr="007950B2">
        <w:rPr>
          <w:rFonts w:ascii="Verdana" w:hAnsi="Verdana" w:cs="Arial"/>
          <w:sz w:val="16"/>
          <w:szCs w:val="16"/>
        </w:rPr>
        <w:t>Al respecto ver el concepto 1712 de 2 de febrero de 2006. Consejo de Estado Sala de Consulta y Servicio Civil”.</w:t>
      </w:r>
    </w:p>
    <w:p w14:paraId="115EBE38" w14:textId="77777777" w:rsidR="00590100" w:rsidRPr="007950B2" w:rsidRDefault="00590100" w:rsidP="00590100">
      <w:pPr>
        <w:pStyle w:val="Textonotapie"/>
        <w:ind w:firstLine="709"/>
        <w:jc w:val="both"/>
        <w:rPr>
          <w:rFonts w:ascii="Verdana" w:hAnsi="Verdana" w:cs="Arial"/>
          <w:sz w:val="16"/>
          <w:szCs w:val="16"/>
        </w:rPr>
      </w:pPr>
    </w:p>
  </w:footnote>
  <w:footnote w:id="13">
    <w:p w14:paraId="7AB42E4D"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Consejo de Estado. Sala de Consulta y Servicio Civil. Concepto del 2 de septiembre de 2013. Radicación número: 11001-03-06-000-2013-00412-00 (2168). C.P: Álvaro Namén Vargas.</w:t>
      </w:r>
    </w:p>
    <w:p w14:paraId="6D613682" w14:textId="77777777" w:rsidR="00590100" w:rsidRPr="007950B2" w:rsidRDefault="00590100" w:rsidP="00590100">
      <w:pPr>
        <w:pStyle w:val="Textonotapie"/>
        <w:ind w:firstLine="709"/>
        <w:jc w:val="both"/>
        <w:rPr>
          <w:rFonts w:ascii="Verdana" w:hAnsi="Verdana" w:cs="Arial"/>
          <w:sz w:val="16"/>
          <w:szCs w:val="16"/>
        </w:rPr>
      </w:pPr>
    </w:p>
  </w:footnote>
  <w:footnote w:id="14">
    <w:p w14:paraId="457500DA" w14:textId="77777777" w:rsidR="00590100" w:rsidRPr="007950B2" w:rsidRDefault="00590100" w:rsidP="00590100">
      <w:pPr>
        <w:pStyle w:val="Textonotapie"/>
        <w:ind w:firstLine="709"/>
        <w:rPr>
          <w:rFonts w:ascii="Verdana" w:hAnsi="Verdana" w:cs="Arial"/>
          <w:sz w:val="16"/>
          <w:szCs w:val="16"/>
          <w:lang w:val="es-ES"/>
        </w:rPr>
      </w:pPr>
      <w:r w:rsidRPr="007950B2">
        <w:rPr>
          <w:rStyle w:val="Refdenotaalpie"/>
          <w:rFonts w:ascii="Verdana" w:hAnsi="Verdana" w:cs="Arial"/>
          <w:sz w:val="16"/>
          <w:szCs w:val="16"/>
        </w:rPr>
        <w:footnoteRef/>
      </w:r>
      <w:r w:rsidRPr="007950B2">
        <w:rPr>
          <w:rFonts w:ascii="Verdana" w:hAnsi="Verdana" w:cs="Arial"/>
          <w:sz w:val="16"/>
          <w:szCs w:val="16"/>
        </w:rPr>
        <w:t xml:space="preserve"> </w:t>
      </w:r>
      <w:r w:rsidRPr="007950B2">
        <w:rPr>
          <w:rFonts w:ascii="Verdana" w:hAnsi="Verdana" w:cs="Arial"/>
          <w:sz w:val="16"/>
          <w:szCs w:val="16"/>
          <w:lang w:val="es-ES"/>
        </w:rPr>
        <w:t xml:space="preserve">Artículo 2. </w:t>
      </w:r>
    </w:p>
    <w:p w14:paraId="34AE8D21" w14:textId="77777777" w:rsidR="00590100" w:rsidRPr="007950B2" w:rsidRDefault="00590100" w:rsidP="00590100">
      <w:pPr>
        <w:pStyle w:val="Textonotapie"/>
        <w:ind w:firstLine="709"/>
        <w:rPr>
          <w:rFonts w:ascii="Verdana" w:hAnsi="Verdana" w:cs="Arial"/>
          <w:sz w:val="16"/>
          <w:szCs w:val="16"/>
          <w:lang w:val="es-ES"/>
        </w:rPr>
      </w:pPr>
    </w:p>
  </w:footnote>
  <w:footnote w:id="15">
    <w:p w14:paraId="2768EDFA" w14:textId="77777777" w:rsidR="00590100" w:rsidRPr="007950B2" w:rsidRDefault="00590100" w:rsidP="00590100">
      <w:pPr>
        <w:pStyle w:val="Textonotapie"/>
        <w:ind w:firstLine="709"/>
        <w:rPr>
          <w:rFonts w:ascii="Verdana" w:hAnsi="Verdana" w:cs="Arial"/>
          <w:sz w:val="16"/>
          <w:szCs w:val="16"/>
          <w:lang w:val="es-ES"/>
        </w:rPr>
      </w:pPr>
      <w:r w:rsidRPr="007950B2">
        <w:rPr>
          <w:rStyle w:val="Refdenotaalpie"/>
          <w:rFonts w:ascii="Verdana" w:hAnsi="Verdana" w:cs="Arial"/>
          <w:sz w:val="16"/>
          <w:szCs w:val="16"/>
        </w:rPr>
        <w:footnoteRef/>
      </w:r>
      <w:r w:rsidRPr="007950B2">
        <w:rPr>
          <w:rFonts w:ascii="Verdana" w:hAnsi="Verdana" w:cs="Arial"/>
          <w:sz w:val="16"/>
          <w:szCs w:val="16"/>
        </w:rPr>
        <w:t xml:space="preserve"> </w:t>
      </w:r>
      <w:r w:rsidRPr="007950B2">
        <w:rPr>
          <w:rFonts w:ascii="Verdana" w:hAnsi="Verdana" w:cs="Arial"/>
          <w:i/>
          <w:sz w:val="16"/>
          <w:szCs w:val="16"/>
          <w:lang w:val="es-ES"/>
        </w:rPr>
        <w:t>Ídem</w:t>
      </w:r>
      <w:r w:rsidRPr="007950B2">
        <w:rPr>
          <w:rFonts w:ascii="Verdana" w:hAnsi="Verdana" w:cs="Arial"/>
          <w:sz w:val="16"/>
          <w:szCs w:val="16"/>
          <w:lang w:val="es-ES"/>
        </w:rPr>
        <w:t>.</w:t>
      </w:r>
    </w:p>
    <w:p w14:paraId="7F7E5221" w14:textId="77777777" w:rsidR="00590100" w:rsidRPr="007950B2" w:rsidRDefault="00590100" w:rsidP="00590100">
      <w:pPr>
        <w:pStyle w:val="Textonotapie"/>
        <w:ind w:firstLine="709"/>
        <w:rPr>
          <w:rFonts w:ascii="Verdana" w:hAnsi="Verdana" w:cs="Arial"/>
          <w:sz w:val="16"/>
          <w:szCs w:val="16"/>
          <w:lang w:val="es-ES"/>
        </w:rPr>
      </w:pPr>
    </w:p>
  </w:footnote>
  <w:footnote w:id="16">
    <w:p w14:paraId="2C21B2AD" w14:textId="77777777" w:rsidR="00590100" w:rsidRPr="007950B2" w:rsidRDefault="00590100" w:rsidP="00590100">
      <w:pPr>
        <w:pStyle w:val="Textonotapie"/>
        <w:ind w:firstLine="709"/>
        <w:rPr>
          <w:rFonts w:ascii="Verdana" w:hAnsi="Verdana" w:cs="Arial"/>
          <w:sz w:val="16"/>
          <w:szCs w:val="16"/>
          <w:lang w:val="es-ES"/>
        </w:rPr>
      </w:pPr>
      <w:r w:rsidRPr="007950B2">
        <w:rPr>
          <w:rStyle w:val="Refdenotaalpie"/>
          <w:rFonts w:ascii="Verdana" w:hAnsi="Verdana" w:cs="Arial"/>
          <w:sz w:val="16"/>
          <w:szCs w:val="16"/>
        </w:rPr>
        <w:footnoteRef/>
      </w:r>
      <w:r w:rsidRPr="007950B2">
        <w:rPr>
          <w:rStyle w:val="Refdenotaalpie"/>
          <w:rFonts w:ascii="Verdana" w:hAnsi="Verdana" w:cs="Arial"/>
          <w:sz w:val="16"/>
          <w:szCs w:val="16"/>
        </w:rPr>
        <w:t xml:space="preserve"> </w:t>
      </w:r>
      <w:r w:rsidRPr="007950B2">
        <w:rPr>
          <w:rFonts w:ascii="Verdana" w:hAnsi="Verdana" w:cs="Arial"/>
          <w:sz w:val="16"/>
          <w:szCs w:val="16"/>
          <w:lang w:val="es-ES"/>
        </w:rPr>
        <w:t xml:space="preserve">[…] A este respecto, cabe recordar que el artículo 860 del Código de Comercio regula la licitación en el derecho privado. </w:t>
      </w:r>
    </w:p>
    <w:p w14:paraId="23D065E6" w14:textId="77777777" w:rsidR="00590100" w:rsidRPr="007950B2" w:rsidRDefault="00590100" w:rsidP="00590100">
      <w:pPr>
        <w:pStyle w:val="Textonotapie"/>
        <w:ind w:firstLine="709"/>
        <w:rPr>
          <w:rFonts w:ascii="Verdana" w:hAnsi="Verdana" w:cs="Arial"/>
          <w:sz w:val="16"/>
          <w:szCs w:val="16"/>
          <w:lang w:val="es-ES"/>
        </w:rPr>
      </w:pPr>
    </w:p>
  </w:footnote>
  <w:footnote w:id="17">
    <w:p w14:paraId="0CE1F43C" w14:textId="77777777" w:rsidR="00590100" w:rsidRPr="007950B2" w:rsidRDefault="00590100" w:rsidP="00590100">
      <w:pPr>
        <w:shd w:val="clear" w:color="auto" w:fill="FFFFFF"/>
        <w:spacing w:after="0" w:line="240" w:lineRule="auto"/>
        <w:ind w:firstLine="709"/>
        <w:jc w:val="both"/>
        <w:rPr>
          <w:rFonts w:ascii="Verdana" w:hAnsi="Verdana" w:cs="Arial"/>
          <w:sz w:val="16"/>
          <w:szCs w:val="16"/>
          <w:lang w:val="es-ES"/>
        </w:rPr>
      </w:pPr>
      <w:r w:rsidRPr="007950B2">
        <w:rPr>
          <w:rStyle w:val="Refdenotaalpie"/>
          <w:rFonts w:ascii="Verdana" w:hAnsi="Verdana" w:cs="Arial"/>
          <w:sz w:val="16"/>
          <w:szCs w:val="16"/>
        </w:rPr>
        <w:footnoteRef/>
      </w:r>
      <w:r w:rsidRPr="007950B2">
        <w:rPr>
          <w:rStyle w:val="Refdenotaalpie"/>
          <w:rFonts w:ascii="Verdana" w:hAnsi="Verdana" w:cs="Arial"/>
          <w:sz w:val="16"/>
          <w:szCs w:val="16"/>
        </w:rPr>
        <w:t xml:space="preserve"> </w:t>
      </w:r>
      <w:r w:rsidRPr="007950B2">
        <w:rPr>
          <w:rFonts w:ascii="Verdana" w:hAnsi="Verdana" w:cs="Arial"/>
          <w:sz w:val="16"/>
          <w:szCs w:val="16"/>
          <w:lang w:val="es-ES"/>
        </w:rPr>
        <w:t>Consejo de Estado. Sala de Consulta y Servicio Civil, Concepto de 8 de mayo de 2018. Radicación Número: 11001-03-06-000-2018-00095-00 (2382). C.P: Álvaro Namén Vargas.</w:t>
      </w:r>
    </w:p>
    <w:p w14:paraId="536366CE" w14:textId="77777777" w:rsidR="00590100" w:rsidRPr="007950B2" w:rsidRDefault="00590100" w:rsidP="00590100">
      <w:pPr>
        <w:shd w:val="clear" w:color="auto" w:fill="FFFFFF"/>
        <w:spacing w:after="0" w:line="240" w:lineRule="auto"/>
        <w:ind w:firstLine="709"/>
        <w:jc w:val="both"/>
        <w:rPr>
          <w:rFonts w:ascii="Verdana" w:hAnsi="Verdana" w:cs="Arial"/>
          <w:sz w:val="16"/>
          <w:szCs w:val="16"/>
          <w:lang w:val="es-ES"/>
        </w:rPr>
      </w:pPr>
    </w:p>
  </w:footnote>
  <w:footnote w:id="18">
    <w:p w14:paraId="276BD1D7"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Consejo de Estado. Sala de Consulta y Servicio Civil. Concepto del 08 de mayo de 2018. Exp. 2.382. C.P. Álvaro Namén Vargas.</w:t>
      </w:r>
    </w:p>
    <w:p w14:paraId="6E5DF93F" w14:textId="77777777" w:rsidR="00590100" w:rsidRPr="007950B2" w:rsidRDefault="00590100" w:rsidP="00590100">
      <w:pPr>
        <w:pStyle w:val="Textonotapie"/>
        <w:ind w:firstLine="709"/>
        <w:jc w:val="both"/>
        <w:rPr>
          <w:rFonts w:ascii="Verdana" w:hAnsi="Verdana" w:cs="Arial"/>
          <w:sz w:val="16"/>
          <w:szCs w:val="16"/>
        </w:rPr>
      </w:pPr>
    </w:p>
  </w:footnote>
  <w:footnote w:id="19">
    <w:p w14:paraId="262FE56B" w14:textId="77777777" w:rsidR="00590100" w:rsidRPr="007950B2" w:rsidRDefault="00590100" w:rsidP="00590100">
      <w:pPr>
        <w:pStyle w:val="Textonotapie"/>
        <w:ind w:firstLine="709"/>
        <w:rPr>
          <w:rFonts w:ascii="Verdana" w:hAnsi="Verdana"/>
          <w:sz w:val="16"/>
          <w:szCs w:val="16"/>
          <w:lang w:val="es-ES"/>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hAnsi="Verdana"/>
          <w:sz w:val="16"/>
          <w:szCs w:val="16"/>
          <w:lang w:val="es-ES"/>
        </w:rPr>
        <w:t xml:space="preserve">Agencia Nacional de Contratación Pública. Circular Externa 006 del 25 de septiembre de 2025. Disponible en </w:t>
      </w:r>
      <w:hyperlink r:id="rId1" w:history="1">
        <w:r w:rsidRPr="007950B2">
          <w:rPr>
            <w:rStyle w:val="Hipervnculo"/>
            <w:rFonts w:ascii="Verdana" w:hAnsi="Verdana"/>
            <w:sz w:val="16"/>
            <w:szCs w:val="16"/>
            <w:lang w:val="es-CO"/>
          </w:rPr>
          <w:t>006-de-2025-Circular-Externa-L996-ajustado-comentarios-BM-BID-Rev-ARSC-V3.d-1.pdf</w:t>
        </w:r>
      </w:hyperlink>
    </w:p>
    <w:p w14:paraId="1680F358" w14:textId="77777777" w:rsidR="00590100" w:rsidRPr="007950B2" w:rsidRDefault="00590100" w:rsidP="00590100">
      <w:pPr>
        <w:pStyle w:val="Textonotapie"/>
        <w:rPr>
          <w:rFonts w:ascii="Verdana" w:hAnsi="Verdana"/>
          <w:sz w:val="16"/>
          <w:szCs w:val="16"/>
          <w:lang w:val="es-ES"/>
        </w:rPr>
      </w:pPr>
    </w:p>
  </w:footnote>
  <w:footnote w:id="20">
    <w:p w14:paraId="6C0436A8" w14:textId="77777777" w:rsidR="00590100" w:rsidRPr="007950B2" w:rsidRDefault="00590100" w:rsidP="00590100">
      <w:pPr>
        <w:spacing w:after="0" w:line="240" w:lineRule="auto"/>
        <w:ind w:firstLine="709"/>
        <w:jc w:val="both"/>
        <w:rPr>
          <w:rFonts w:ascii="Verdana" w:hAnsi="Verdana" w:cs="Arial"/>
          <w:color w:val="000000" w:themeColor="text1"/>
          <w:sz w:val="16"/>
          <w:szCs w:val="16"/>
        </w:rPr>
      </w:pPr>
      <w:r w:rsidRPr="007950B2">
        <w:rPr>
          <w:rStyle w:val="Refdenotaalpie"/>
          <w:rFonts w:ascii="Verdana" w:hAnsi="Verdana" w:cs="Arial"/>
          <w:color w:val="000000" w:themeColor="text1"/>
          <w:sz w:val="16"/>
          <w:szCs w:val="16"/>
        </w:rPr>
        <w:footnoteRef/>
      </w:r>
      <w:r w:rsidRPr="007950B2">
        <w:rPr>
          <w:rFonts w:ascii="Verdana" w:hAnsi="Verdana" w:cs="Arial"/>
          <w:color w:val="000000" w:themeColor="text1"/>
          <w:sz w:val="16"/>
          <w:szCs w:val="16"/>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p w14:paraId="78B1B401" w14:textId="77777777" w:rsidR="00590100" w:rsidRPr="007950B2" w:rsidRDefault="00590100" w:rsidP="00590100">
      <w:pPr>
        <w:spacing w:after="0" w:line="240" w:lineRule="auto"/>
        <w:ind w:firstLine="709"/>
        <w:jc w:val="both"/>
        <w:rPr>
          <w:rFonts w:ascii="Verdana" w:hAnsi="Verdana" w:cs="Arial"/>
          <w:color w:val="000000" w:themeColor="text1"/>
          <w:sz w:val="16"/>
          <w:szCs w:val="16"/>
        </w:rPr>
      </w:pPr>
    </w:p>
  </w:footnote>
  <w:footnote w:id="21">
    <w:p w14:paraId="545376A2" w14:textId="77777777" w:rsidR="00590100" w:rsidRPr="007950B2" w:rsidRDefault="00590100" w:rsidP="00590100">
      <w:pPr>
        <w:pStyle w:val="Textonotapie"/>
        <w:ind w:firstLine="709"/>
        <w:jc w:val="both"/>
        <w:rPr>
          <w:rFonts w:ascii="Verdana" w:eastAsia="Times New Roman" w:hAnsi="Verdana" w:cs="Arial"/>
          <w:color w:val="000000" w:themeColor="text1"/>
          <w:sz w:val="16"/>
          <w:szCs w:val="16"/>
          <w:lang w:eastAsia="x-none"/>
        </w:rPr>
      </w:pPr>
      <w:r w:rsidRPr="007950B2">
        <w:rPr>
          <w:rStyle w:val="Refdenotaalpie"/>
          <w:rFonts w:ascii="Verdana" w:hAnsi="Verdana" w:cs="Arial"/>
          <w:color w:val="000000" w:themeColor="text1"/>
          <w:sz w:val="16"/>
          <w:szCs w:val="16"/>
        </w:rPr>
        <w:footnoteRef/>
      </w:r>
      <w:r w:rsidRPr="007950B2">
        <w:rPr>
          <w:rFonts w:ascii="Verdana" w:hAnsi="Verdana" w:cs="Arial"/>
          <w:color w:val="000000" w:themeColor="text1"/>
          <w:sz w:val="16"/>
          <w:szCs w:val="16"/>
        </w:rPr>
        <w:t xml:space="preserve"> Consejo de Estado. Sala de Consulta y Servicio Civil. Concepto de 6 de abril de 2006. Radicación Número: 11001-03-06-000-2006-00038-00 (1738). C.P: Enrique José Arboleda Perdomo:</w:t>
      </w:r>
      <w:r w:rsidRPr="007950B2">
        <w:rPr>
          <w:rFonts w:ascii="Verdana" w:eastAsia="Times New Roman" w:hAnsi="Verdana" w:cs="Arial"/>
          <w:color w:val="000000" w:themeColor="text1"/>
          <w:sz w:val="16"/>
          <w:szCs w:val="16"/>
          <w:lang w:eastAsia="x-none"/>
        </w:rPr>
        <w:t xml:space="preserve"> “</w:t>
      </w:r>
      <w:r w:rsidRPr="007950B2">
        <w:rPr>
          <w:rFonts w:ascii="Verdana" w:hAnsi="Verdana" w:cs="Arial"/>
          <w:color w:val="000000" w:themeColor="text1"/>
          <w:sz w:val="16"/>
          <w:szCs w:val="16"/>
        </w:rPr>
        <w:t>Si bien en el tema del concepto del que se extractaron 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7950B2">
        <w:rPr>
          <w:rFonts w:ascii="Verdana" w:eastAsia="Times New Roman" w:hAnsi="Verdana" w:cs="Arial"/>
          <w:color w:val="000000" w:themeColor="text1"/>
          <w:sz w:val="16"/>
          <w:szCs w:val="16"/>
          <w:lang w:eastAsia="x-none"/>
        </w:rPr>
        <w:t>”.</w:t>
      </w:r>
    </w:p>
    <w:p w14:paraId="20FB10D3" w14:textId="77777777" w:rsidR="00590100" w:rsidRPr="007950B2" w:rsidRDefault="00590100" w:rsidP="00590100">
      <w:pPr>
        <w:pStyle w:val="Textonotapie"/>
        <w:ind w:firstLine="709"/>
        <w:jc w:val="both"/>
        <w:rPr>
          <w:rFonts w:ascii="Verdana" w:hAnsi="Verdana" w:cs="Arial"/>
          <w:color w:val="000000" w:themeColor="text1"/>
          <w:sz w:val="16"/>
          <w:szCs w:val="16"/>
        </w:rPr>
      </w:pPr>
    </w:p>
  </w:footnote>
  <w:footnote w:id="22">
    <w:p w14:paraId="5AC13EAD" w14:textId="77777777" w:rsidR="00590100" w:rsidRPr="007950B2" w:rsidRDefault="00590100" w:rsidP="00590100">
      <w:pPr>
        <w:spacing w:after="0" w:line="240" w:lineRule="auto"/>
        <w:ind w:firstLine="709"/>
        <w:jc w:val="both"/>
        <w:rPr>
          <w:rFonts w:ascii="Verdana" w:hAnsi="Verdana" w:cs="Arial"/>
          <w:color w:val="000000" w:themeColor="text1"/>
          <w:sz w:val="16"/>
          <w:szCs w:val="16"/>
        </w:rPr>
      </w:pPr>
      <w:r w:rsidRPr="007950B2">
        <w:rPr>
          <w:rStyle w:val="Refdenotaalpie"/>
          <w:rFonts w:ascii="Verdana" w:hAnsi="Verdana" w:cs="Arial"/>
          <w:color w:val="000000" w:themeColor="text1"/>
          <w:sz w:val="16"/>
          <w:szCs w:val="16"/>
        </w:rPr>
        <w:footnoteRef/>
      </w:r>
      <w:r w:rsidRPr="007950B2">
        <w:rPr>
          <w:rFonts w:ascii="Verdana" w:hAnsi="Verdana" w:cs="Arial"/>
          <w:color w:val="000000" w:themeColor="text1"/>
          <w:sz w:val="16"/>
          <w:szCs w:val="16"/>
        </w:rPr>
        <w:t xml:space="preserve"> Consejo de Estado. Sala de Consulta y Servicio Civil. Concepto de 6 de abril de 2006. Radicación Número: 11001-03-06-000-2006-00038-00(1738). C.P: Enrique José Arboleda Perdomo. </w:t>
      </w:r>
    </w:p>
    <w:p w14:paraId="428E4C63" w14:textId="77777777" w:rsidR="00590100" w:rsidRPr="007950B2" w:rsidRDefault="00590100" w:rsidP="00590100">
      <w:pPr>
        <w:spacing w:after="0" w:line="240" w:lineRule="auto"/>
        <w:ind w:firstLine="709"/>
        <w:jc w:val="both"/>
        <w:rPr>
          <w:rFonts w:ascii="Verdana" w:hAnsi="Verdana" w:cs="Arial"/>
          <w:color w:val="000000" w:themeColor="text1"/>
          <w:sz w:val="16"/>
          <w:szCs w:val="16"/>
        </w:rPr>
      </w:pPr>
    </w:p>
  </w:footnote>
  <w:footnote w:id="23">
    <w:p w14:paraId="68154E20" w14:textId="77777777" w:rsidR="00590100" w:rsidRPr="007950B2" w:rsidRDefault="00590100" w:rsidP="00590100">
      <w:pPr>
        <w:pStyle w:val="Textonotapie"/>
        <w:ind w:firstLine="709"/>
        <w:rPr>
          <w:rFonts w:ascii="Verdana" w:hAnsi="Verdana" w:cs="Arial"/>
          <w:color w:val="000000" w:themeColor="text1"/>
          <w:sz w:val="16"/>
          <w:szCs w:val="16"/>
        </w:rPr>
      </w:pPr>
      <w:r w:rsidRPr="007950B2">
        <w:rPr>
          <w:rStyle w:val="Refdenotaalpie"/>
          <w:rFonts w:ascii="Verdana" w:hAnsi="Verdana" w:cs="Arial"/>
          <w:color w:val="000000" w:themeColor="text1"/>
          <w:sz w:val="16"/>
          <w:szCs w:val="16"/>
        </w:rPr>
        <w:footnoteRef/>
      </w:r>
      <w:r w:rsidRPr="007950B2">
        <w:rPr>
          <w:rFonts w:ascii="Verdana" w:hAnsi="Verdana" w:cs="Arial"/>
          <w:color w:val="000000" w:themeColor="text1"/>
          <w:sz w:val="16"/>
          <w:szCs w:val="16"/>
        </w:rPr>
        <w:t xml:space="preserve"> Consejo de Estado. Sala de Consulta y Servicio Civil, ídem.</w:t>
      </w:r>
    </w:p>
    <w:p w14:paraId="14630B80" w14:textId="77777777" w:rsidR="00590100" w:rsidRPr="007950B2" w:rsidRDefault="00590100" w:rsidP="00590100">
      <w:pPr>
        <w:pStyle w:val="Textonotapie"/>
        <w:ind w:firstLine="709"/>
        <w:rPr>
          <w:rFonts w:ascii="Verdana" w:hAnsi="Verdana" w:cs="Arial"/>
          <w:color w:val="000000" w:themeColor="text1"/>
          <w:sz w:val="16"/>
          <w:szCs w:val="16"/>
        </w:rPr>
      </w:pPr>
    </w:p>
  </w:footnote>
  <w:footnote w:id="24">
    <w:p w14:paraId="36BCFA3A" w14:textId="77777777" w:rsidR="00590100" w:rsidRPr="007950B2" w:rsidRDefault="00590100" w:rsidP="00590100">
      <w:pPr>
        <w:pStyle w:val="Textonotapie"/>
        <w:ind w:firstLine="709"/>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p w14:paraId="0AD85CEA" w14:textId="77777777" w:rsidR="00590100" w:rsidRPr="007950B2" w:rsidRDefault="00590100" w:rsidP="00590100">
      <w:pPr>
        <w:pStyle w:val="Textonotapie"/>
        <w:ind w:firstLine="709"/>
        <w:jc w:val="both"/>
        <w:rPr>
          <w:rFonts w:ascii="Verdana" w:hAnsi="Verdana" w:cs="Arial"/>
          <w:sz w:val="16"/>
          <w:szCs w:val="16"/>
        </w:rPr>
      </w:pPr>
    </w:p>
  </w:footnote>
  <w:footnote w:id="25">
    <w:p w14:paraId="29712851" w14:textId="77777777" w:rsidR="00590100" w:rsidRPr="007950B2" w:rsidRDefault="00590100" w:rsidP="00590100">
      <w:pPr>
        <w:pStyle w:val="Textonotapie"/>
        <w:ind w:firstLine="708"/>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Consejo de Estado. Sala de Consulta y Servicio Civil. Concepto del 18 de febrero 2010. Rad. 11001-03-06-000-2010-00006-00 (1985). C.P. Enrique José Arboleda Perdomo.</w:t>
      </w:r>
    </w:p>
    <w:p w14:paraId="752484D0" w14:textId="77777777" w:rsidR="00590100" w:rsidRPr="007950B2" w:rsidRDefault="00590100" w:rsidP="00590100">
      <w:pPr>
        <w:pStyle w:val="Textonotapie"/>
        <w:ind w:firstLine="708"/>
        <w:jc w:val="both"/>
        <w:rPr>
          <w:rFonts w:ascii="Verdana" w:hAnsi="Verdana" w:cs="Arial"/>
          <w:sz w:val="16"/>
          <w:szCs w:val="16"/>
        </w:rPr>
      </w:pPr>
    </w:p>
  </w:footnote>
  <w:footnote w:id="26">
    <w:p w14:paraId="15081427" w14:textId="77777777" w:rsidR="00590100" w:rsidRPr="007950B2" w:rsidRDefault="00590100" w:rsidP="00590100">
      <w:pPr>
        <w:pStyle w:val="Textonotapie"/>
        <w:ind w:firstLine="708"/>
        <w:jc w:val="both"/>
        <w:rPr>
          <w:rFonts w:ascii="Verdana" w:hAnsi="Verdana" w:cs="Arial"/>
          <w:sz w:val="16"/>
          <w:szCs w:val="16"/>
        </w:rPr>
      </w:pPr>
      <w:r w:rsidRPr="007950B2">
        <w:rPr>
          <w:rStyle w:val="Refdenotaalpie"/>
          <w:rFonts w:ascii="Verdana" w:hAnsi="Verdana" w:cs="Arial"/>
          <w:sz w:val="16"/>
          <w:szCs w:val="16"/>
        </w:rPr>
        <w:footnoteRef/>
      </w:r>
      <w:r w:rsidRPr="007950B2">
        <w:rPr>
          <w:rFonts w:ascii="Verdana" w:hAnsi="Verdana" w:cs="Arial"/>
          <w:sz w:val="16"/>
          <w:szCs w:val="16"/>
        </w:rPr>
        <w:t xml:space="preserve"> Corte Constitucional. Sentencia C-1153 de 2005 M.P. Marco Gerardo Monroy Cabra. </w:t>
      </w:r>
    </w:p>
    <w:p w14:paraId="71F9E7EB" w14:textId="77777777" w:rsidR="00590100" w:rsidRPr="007950B2" w:rsidRDefault="00590100" w:rsidP="00590100">
      <w:pPr>
        <w:pStyle w:val="Textonotapie"/>
        <w:ind w:firstLine="708"/>
        <w:jc w:val="both"/>
        <w:rPr>
          <w:rFonts w:ascii="Verdana" w:hAnsi="Verdana" w:cs="Arial"/>
          <w:sz w:val="16"/>
          <w:szCs w:val="16"/>
        </w:rPr>
      </w:pPr>
    </w:p>
  </w:footnote>
  <w:footnote w:id="27">
    <w:p w14:paraId="1B4314B7" w14:textId="77777777" w:rsidR="00590100" w:rsidRPr="007950B2" w:rsidRDefault="00590100" w:rsidP="00590100">
      <w:pPr>
        <w:pStyle w:val="Textonotapie"/>
        <w:ind w:firstLine="709"/>
        <w:contextualSpacing/>
        <w:jc w:val="both"/>
        <w:rPr>
          <w:rFonts w:ascii="Verdana" w:hAnsi="Verdana" w:cs="Arial"/>
          <w:sz w:val="16"/>
          <w:szCs w:val="16"/>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hAnsi="Verdana" w:cs="Arial"/>
          <w:sz w:val="16"/>
          <w:szCs w:val="16"/>
        </w:rPr>
        <w:t>Consejo de Estado. Sala de lo Contencioso Administrativo. Sección Tercera. Sentencia del 21 de febrero de 2025. Exp. 68.280. CP: José Roberto Sáchica Méndez.</w:t>
      </w:r>
    </w:p>
    <w:p w14:paraId="777E6B25" w14:textId="77777777" w:rsidR="00590100" w:rsidRPr="00820CEB" w:rsidRDefault="00590100" w:rsidP="00590100">
      <w:pPr>
        <w:pStyle w:val="Textonotapie"/>
        <w:ind w:firstLine="709"/>
        <w:contextualSpacing/>
        <w:jc w:val="both"/>
        <w:rPr>
          <w:rFonts w:ascii="Verdana" w:hAnsi="Verdana" w:cs="Arial"/>
          <w:sz w:val="16"/>
          <w:szCs w:val="16"/>
        </w:rPr>
      </w:pPr>
    </w:p>
  </w:footnote>
  <w:footnote w:id="28">
    <w:p w14:paraId="47E17343" w14:textId="77777777" w:rsidR="00590100" w:rsidRPr="007950B2" w:rsidRDefault="00590100" w:rsidP="00590100">
      <w:pPr>
        <w:pStyle w:val="Textonotapie"/>
        <w:ind w:firstLine="709"/>
        <w:contextualSpacing/>
        <w:jc w:val="both"/>
        <w:rPr>
          <w:rFonts w:ascii="Verdana" w:hAnsi="Verdana" w:cs="Arial"/>
          <w:sz w:val="16"/>
          <w:szCs w:val="16"/>
        </w:rPr>
      </w:pPr>
      <w:r w:rsidRPr="007950B2">
        <w:rPr>
          <w:rFonts w:ascii="Verdana" w:hAnsi="Verdana"/>
          <w:sz w:val="16"/>
          <w:szCs w:val="16"/>
          <w:vertAlign w:val="superscript"/>
        </w:rPr>
        <w:footnoteRef/>
      </w:r>
      <w:r w:rsidRPr="007950B2">
        <w:rPr>
          <w:rFonts w:ascii="Verdana" w:hAnsi="Verdana"/>
          <w:sz w:val="16"/>
          <w:szCs w:val="16"/>
          <w:vertAlign w:val="superscript"/>
        </w:rPr>
        <w:t xml:space="preserve"> </w:t>
      </w:r>
      <w:r w:rsidRPr="007950B2">
        <w:rPr>
          <w:rFonts w:ascii="Verdana" w:hAnsi="Verdana" w:cs="Arial"/>
          <w:sz w:val="16"/>
          <w:szCs w:val="16"/>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2F0F9EE4" w14:textId="77777777" w:rsidR="00590100" w:rsidRPr="007950B2" w:rsidRDefault="00590100" w:rsidP="00590100">
      <w:pPr>
        <w:pStyle w:val="Textonotapie"/>
        <w:ind w:firstLine="709"/>
        <w:contextualSpacing/>
        <w:jc w:val="both"/>
        <w:rPr>
          <w:rFonts w:ascii="Verdana" w:hAnsi="Verdana" w:cs="Arial"/>
          <w:sz w:val="16"/>
          <w:szCs w:val="16"/>
        </w:rPr>
      </w:pPr>
    </w:p>
  </w:footnote>
  <w:footnote w:id="29">
    <w:p w14:paraId="054F6A99" w14:textId="77777777" w:rsidR="00590100" w:rsidRPr="007950B2" w:rsidRDefault="00590100" w:rsidP="00590100">
      <w:pPr>
        <w:pStyle w:val="Textonotapie"/>
        <w:ind w:firstLine="709"/>
        <w:contextualSpacing/>
        <w:jc w:val="both"/>
        <w:rPr>
          <w:rFonts w:ascii="Verdana" w:hAnsi="Verdana" w:cs="Arial"/>
          <w:sz w:val="16"/>
          <w:szCs w:val="16"/>
        </w:rPr>
      </w:pPr>
      <w:r w:rsidRPr="007950B2">
        <w:rPr>
          <w:rFonts w:ascii="Verdana" w:hAnsi="Verdana"/>
          <w:sz w:val="16"/>
          <w:szCs w:val="16"/>
          <w:vertAlign w:val="superscript"/>
        </w:rPr>
        <w:footnoteRef/>
      </w:r>
      <w:r w:rsidRPr="007950B2">
        <w:rPr>
          <w:rFonts w:ascii="Verdana" w:hAnsi="Verdana" w:cs="Arial"/>
          <w:sz w:val="16"/>
          <w:szCs w:val="16"/>
          <w:vertAlign w:val="superscript"/>
        </w:rPr>
        <w:t xml:space="preserve"> </w:t>
      </w:r>
      <w:r w:rsidRPr="007950B2">
        <w:rPr>
          <w:rFonts w:ascii="Verdana" w:hAnsi="Verdana" w:cs="Arial"/>
          <w:sz w:val="16"/>
          <w:szCs w:val="16"/>
        </w:rPr>
        <w:t>Ley 80 de 1993: “Artículo 41. Del perfeccionamiento del contrato. Los contratos del Estado se perfeccionan cuando se logre acuerdo sobre el objeto y la contraprestación y éste se eleve a escrito.</w:t>
      </w:r>
    </w:p>
    <w:p w14:paraId="52B913EC" w14:textId="77777777" w:rsidR="00590100" w:rsidRPr="007950B2" w:rsidRDefault="00590100" w:rsidP="00590100">
      <w:pPr>
        <w:pStyle w:val="Textonotapie"/>
        <w:ind w:firstLine="709"/>
        <w:contextualSpacing/>
        <w:jc w:val="both"/>
        <w:rPr>
          <w:rFonts w:ascii="Verdana" w:hAnsi="Verdana" w:cs="Arial"/>
          <w:sz w:val="16"/>
          <w:szCs w:val="16"/>
        </w:rPr>
      </w:pPr>
    </w:p>
  </w:footnote>
  <w:footnote w:id="30">
    <w:p w14:paraId="213E223F" w14:textId="77777777" w:rsidR="00590100" w:rsidRPr="007950B2" w:rsidRDefault="00590100" w:rsidP="00590100">
      <w:pPr>
        <w:pStyle w:val="Textonotapie"/>
        <w:ind w:firstLine="709"/>
        <w:contextualSpacing/>
        <w:jc w:val="both"/>
        <w:rPr>
          <w:rFonts w:ascii="Verdana" w:hAnsi="Verdana" w:cs="Arial"/>
          <w:sz w:val="16"/>
          <w:szCs w:val="16"/>
        </w:rPr>
      </w:pPr>
      <w:r w:rsidRPr="007950B2">
        <w:rPr>
          <w:rFonts w:ascii="Verdana" w:hAnsi="Verdana"/>
          <w:sz w:val="16"/>
          <w:szCs w:val="16"/>
          <w:vertAlign w:val="superscript"/>
        </w:rPr>
        <w:footnoteRef/>
      </w:r>
      <w:r w:rsidRPr="007950B2">
        <w:rPr>
          <w:rFonts w:ascii="Verdana" w:hAnsi="Verdana" w:cs="Arial"/>
          <w:sz w:val="16"/>
          <w:szCs w:val="16"/>
          <w:vertAlign w:val="superscript"/>
        </w:rPr>
        <w:t xml:space="preserve"> </w:t>
      </w:r>
      <w:r w:rsidRPr="007950B2">
        <w:rPr>
          <w:rFonts w:ascii="Verdana" w:hAnsi="Verdana" w:cs="Arial"/>
          <w:sz w:val="16"/>
          <w:szCs w:val="16"/>
        </w:rPr>
        <w:t>Código Civil: “Artículo 27. Cuando el sentido de la ley sea claro, no se desatenderá su tenor a pretexto de consultar su espíritu”.</w:t>
      </w:r>
    </w:p>
  </w:footnote>
  <w:footnote w:id="31">
    <w:p w14:paraId="67B498BC" w14:textId="77777777" w:rsidR="00590100" w:rsidRPr="007950B2" w:rsidRDefault="00590100" w:rsidP="00590100">
      <w:pPr>
        <w:pStyle w:val="Textonotapie"/>
        <w:ind w:firstLine="708"/>
        <w:jc w:val="both"/>
        <w:rPr>
          <w:rFonts w:ascii="Verdana" w:hAnsi="Verdana"/>
          <w:sz w:val="16"/>
          <w:szCs w:val="16"/>
          <w:lang w:val="es-ES"/>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hAnsi="Verdana"/>
          <w:sz w:val="16"/>
          <w:szCs w:val="16"/>
          <w:lang w:val="es-ES"/>
        </w:rPr>
        <w:t xml:space="preserve">La doctrina chilena ilustra su aplicación en los siguientes términos: “La ley se ha de entender general e indistintamente. Cuando la ley no hace excepción alguna, pudiendo haberla hecho, no podemos separarnos de su disposición general por medio de una distinción que ella no ha formulado. </w:t>
      </w:r>
      <w:proofErr w:type="spellStart"/>
      <w:r w:rsidRPr="007950B2">
        <w:rPr>
          <w:rFonts w:ascii="Verdana" w:hAnsi="Verdana"/>
          <w:i/>
          <w:iCs/>
          <w:sz w:val="16"/>
          <w:szCs w:val="16"/>
          <w:lang w:val="es-ES"/>
        </w:rPr>
        <w:t>Ubi</w:t>
      </w:r>
      <w:proofErr w:type="spellEnd"/>
      <w:r w:rsidRPr="007950B2">
        <w:rPr>
          <w:rFonts w:ascii="Verdana" w:hAnsi="Verdana"/>
          <w:i/>
          <w:iCs/>
          <w:sz w:val="16"/>
          <w:szCs w:val="16"/>
          <w:lang w:val="es-ES"/>
        </w:rPr>
        <w:t xml:space="preserve"> lex non </w:t>
      </w:r>
      <w:proofErr w:type="spellStart"/>
      <w:r w:rsidRPr="007950B2">
        <w:rPr>
          <w:rFonts w:ascii="Verdana" w:hAnsi="Verdana"/>
          <w:i/>
          <w:iCs/>
          <w:sz w:val="16"/>
          <w:szCs w:val="16"/>
          <w:lang w:val="es-ES"/>
        </w:rPr>
        <w:t>distinguit</w:t>
      </w:r>
      <w:proofErr w:type="spellEnd"/>
      <w:r w:rsidRPr="007950B2">
        <w:rPr>
          <w:rFonts w:ascii="Verdana" w:hAnsi="Verdana"/>
          <w:i/>
          <w:iCs/>
          <w:sz w:val="16"/>
          <w:szCs w:val="16"/>
          <w:lang w:val="es-ES"/>
        </w:rPr>
        <w:t xml:space="preserve"> </w:t>
      </w:r>
      <w:proofErr w:type="spellStart"/>
      <w:r w:rsidRPr="007950B2">
        <w:rPr>
          <w:rFonts w:ascii="Verdana" w:hAnsi="Verdana"/>
          <w:i/>
          <w:iCs/>
          <w:sz w:val="16"/>
          <w:szCs w:val="16"/>
          <w:lang w:val="es-ES"/>
        </w:rPr>
        <w:t>nec</w:t>
      </w:r>
      <w:proofErr w:type="spellEnd"/>
      <w:r w:rsidRPr="007950B2">
        <w:rPr>
          <w:rFonts w:ascii="Verdana" w:hAnsi="Verdana"/>
          <w:i/>
          <w:iCs/>
          <w:sz w:val="16"/>
          <w:szCs w:val="16"/>
          <w:lang w:val="es-ES"/>
        </w:rPr>
        <w:t xml:space="preserve"> nos </w:t>
      </w:r>
      <w:proofErr w:type="spellStart"/>
      <w:r w:rsidRPr="007950B2">
        <w:rPr>
          <w:rFonts w:ascii="Verdana" w:hAnsi="Verdana"/>
          <w:i/>
          <w:iCs/>
          <w:sz w:val="16"/>
          <w:szCs w:val="16"/>
          <w:lang w:val="es-ES"/>
        </w:rPr>
        <w:t>distinguere</w:t>
      </w:r>
      <w:proofErr w:type="spellEnd"/>
      <w:r w:rsidRPr="007950B2">
        <w:rPr>
          <w:rFonts w:ascii="Verdana" w:hAnsi="Verdana"/>
          <w:i/>
          <w:iCs/>
          <w:sz w:val="16"/>
          <w:szCs w:val="16"/>
          <w:lang w:val="es-ES"/>
        </w:rPr>
        <w:t xml:space="preserve"> </w:t>
      </w:r>
      <w:proofErr w:type="spellStart"/>
      <w:r w:rsidRPr="007950B2">
        <w:rPr>
          <w:rFonts w:ascii="Verdana" w:hAnsi="Verdana"/>
          <w:i/>
          <w:iCs/>
          <w:sz w:val="16"/>
          <w:szCs w:val="16"/>
          <w:lang w:val="es-ES"/>
        </w:rPr>
        <w:t>debemus</w:t>
      </w:r>
      <w:proofErr w:type="spellEnd"/>
      <w:r w:rsidRPr="007950B2">
        <w:rPr>
          <w:rFonts w:ascii="Verdana" w:hAnsi="Verdana"/>
          <w:sz w:val="16"/>
          <w:szCs w:val="16"/>
          <w:lang w:val="es-ES"/>
        </w:rPr>
        <w:t>, ‘donde la ley no distingue no puede el hombre distinguir’. ‘La extensión que deba dársele a la ley se determinará por su genuino sentido y según las reglas de interpretación precedentes’, dice el artículo 23.</w:t>
      </w:r>
    </w:p>
    <w:p w14:paraId="165459F0" w14:textId="77777777" w:rsidR="00590100" w:rsidRPr="007950B2" w:rsidRDefault="00590100" w:rsidP="00590100">
      <w:pPr>
        <w:pStyle w:val="Textonotapie"/>
        <w:ind w:firstLine="708"/>
        <w:jc w:val="both"/>
        <w:rPr>
          <w:rFonts w:ascii="Verdana" w:hAnsi="Verdana"/>
          <w:sz w:val="16"/>
          <w:szCs w:val="16"/>
        </w:rPr>
      </w:pPr>
      <w:r w:rsidRPr="007950B2">
        <w:rPr>
          <w:rFonts w:ascii="Verdana" w:hAnsi="Verdana"/>
          <w:sz w:val="16"/>
          <w:szCs w:val="16"/>
          <w:lang w:val="es-ES"/>
        </w:rPr>
        <w:t xml:space="preserve">En el derecho antiguo y en el derecho canónico se distinguían las leyes en favorables y odiosas, para ampliar o restringir su interpretación. </w:t>
      </w:r>
      <w:r w:rsidRPr="007950B2">
        <w:rPr>
          <w:rFonts w:ascii="Verdana" w:hAnsi="Verdana"/>
          <w:i/>
          <w:iCs/>
          <w:sz w:val="16"/>
          <w:szCs w:val="16"/>
          <w:lang w:val="es-ES"/>
        </w:rPr>
        <w:t xml:space="preserve">Odia restringí et favores </w:t>
      </w:r>
      <w:proofErr w:type="spellStart"/>
      <w:r w:rsidRPr="007950B2">
        <w:rPr>
          <w:rFonts w:ascii="Verdana" w:hAnsi="Verdana"/>
          <w:i/>
          <w:iCs/>
          <w:sz w:val="16"/>
          <w:szCs w:val="16"/>
          <w:lang w:val="es-ES"/>
        </w:rPr>
        <w:t>convenit</w:t>
      </w:r>
      <w:proofErr w:type="spellEnd"/>
      <w:r w:rsidRPr="007950B2">
        <w:rPr>
          <w:rFonts w:ascii="Verdana" w:hAnsi="Verdana"/>
          <w:i/>
          <w:iCs/>
          <w:sz w:val="16"/>
          <w:szCs w:val="16"/>
          <w:lang w:val="es-ES"/>
        </w:rPr>
        <w:t xml:space="preserve"> </w:t>
      </w:r>
      <w:proofErr w:type="spellStart"/>
      <w:r w:rsidRPr="007950B2">
        <w:rPr>
          <w:rFonts w:ascii="Verdana" w:hAnsi="Verdana"/>
          <w:i/>
          <w:iCs/>
          <w:sz w:val="16"/>
          <w:szCs w:val="16"/>
          <w:lang w:val="es-ES"/>
        </w:rPr>
        <w:t>ampliari</w:t>
      </w:r>
      <w:proofErr w:type="spellEnd"/>
      <w:r w:rsidRPr="007950B2">
        <w:rPr>
          <w:rFonts w:ascii="Verdana" w:hAnsi="Verdana"/>
          <w:sz w:val="16"/>
          <w:szCs w:val="16"/>
          <w:lang w:val="es-ES"/>
        </w:rPr>
        <w:t xml:space="preserve">. Según esto se tomaban las palabras en su más amplia y extensa significación en materia favorable y se procuraba limitar en lo posible, en caso de duda, en materia odiosa. Estas reglas de aplicación de las leyes eran contrarias a los principios de una correcta interpretación, que no tiene otro objeto que reconstruir el pensamiento del legislador y llegar por este medio al conocimiento completo de la ley. Por este motivo el Código no las admite […]” (Cfr. </w:t>
      </w:r>
      <w:r w:rsidRPr="007950B2">
        <w:rPr>
          <w:rFonts w:ascii="Verdana" w:hAnsi="Verdana"/>
          <w:sz w:val="16"/>
          <w:szCs w:val="16"/>
        </w:rPr>
        <w:t>CLARO SOLAR, Luis. Explicaciones de derecho civil chileno y comparado. Volumen I. Tomo I. Santiago: Editorial Jurídica de Chile, 2013. p. 119. Énfasis dentro del texto).</w:t>
      </w:r>
    </w:p>
    <w:p w14:paraId="3D0B0668" w14:textId="77777777" w:rsidR="00590100" w:rsidRPr="007950B2" w:rsidRDefault="00590100" w:rsidP="00590100">
      <w:pPr>
        <w:pStyle w:val="Textonotapie"/>
        <w:ind w:firstLine="708"/>
        <w:jc w:val="both"/>
        <w:rPr>
          <w:rFonts w:ascii="Verdana" w:hAnsi="Verdana"/>
          <w:sz w:val="16"/>
          <w:szCs w:val="16"/>
          <w:lang w:val="es-CO"/>
        </w:rPr>
      </w:pPr>
    </w:p>
  </w:footnote>
  <w:footnote w:id="32">
    <w:p w14:paraId="6B01A2CA" w14:textId="77777777" w:rsidR="00590100" w:rsidRPr="007950B2" w:rsidRDefault="00590100" w:rsidP="00590100">
      <w:pPr>
        <w:spacing w:after="0" w:line="240" w:lineRule="auto"/>
        <w:ind w:firstLine="709"/>
        <w:jc w:val="both"/>
        <w:rPr>
          <w:rFonts w:ascii="Verdana" w:hAnsi="Verdana" w:cs="Arial"/>
          <w:sz w:val="16"/>
          <w:szCs w:val="16"/>
          <w:lang w:eastAsia="es-ES"/>
        </w:rPr>
      </w:pPr>
      <w:r w:rsidRPr="007950B2">
        <w:rPr>
          <w:rStyle w:val="Refdenotaalpie"/>
          <w:rFonts w:ascii="Verdana" w:hAnsi="Verdana"/>
          <w:sz w:val="16"/>
          <w:szCs w:val="16"/>
        </w:rPr>
        <w:footnoteRef/>
      </w:r>
      <w:r w:rsidRPr="007950B2">
        <w:rPr>
          <w:rFonts w:ascii="Verdana" w:hAnsi="Verdana"/>
          <w:sz w:val="16"/>
          <w:szCs w:val="16"/>
        </w:rPr>
        <w:t xml:space="preserve"> Consejo de Estado. Sala de lo Contencioso Administrativo. Sección Tercera. Subsección B. Auto del 4 de octubre de 2024. Exp. 70.313. C.P: Fredy Ibarra Martínez.</w:t>
      </w:r>
    </w:p>
    <w:p w14:paraId="38CF0583" w14:textId="77777777" w:rsidR="00590100" w:rsidRPr="007950B2" w:rsidRDefault="00590100" w:rsidP="00590100">
      <w:pPr>
        <w:pStyle w:val="Textonotapie"/>
        <w:ind w:firstLine="709"/>
        <w:contextualSpacing/>
        <w:jc w:val="both"/>
        <w:rPr>
          <w:rFonts w:ascii="Verdana" w:hAnsi="Verdana"/>
          <w:sz w:val="16"/>
          <w:szCs w:val="16"/>
          <w:lang w:val="es-CO"/>
        </w:rPr>
      </w:pPr>
    </w:p>
  </w:footnote>
  <w:footnote w:id="33">
    <w:p w14:paraId="79133C3E" w14:textId="77777777" w:rsidR="00590100" w:rsidRPr="007950B2" w:rsidRDefault="00590100" w:rsidP="00590100">
      <w:pPr>
        <w:pStyle w:val="Textonotapie"/>
        <w:ind w:firstLine="709"/>
        <w:contextualSpacing/>
        <w:jc w:val="both"/>
        <w:rPr>
          <w:rFonts w:ascii="Verdana" w:hAnsi="Verdana"/>
          <w:sz w:val="16"/>
          <w:szCs w:val="16"/>
          <w:lang w:val="es-CO"/>
        </w:rPr>
      </w:pPr>
      <w:r w:rsidRPr="007950B2">
        <w:rPr>
          <w:rStyle w:val="Refdenotaalpie"/>
          <w:rFonts w:ascii="Verdana" w:hAnsi="Verdana"/>
          <w:sz w:val="16"/>
          <w:szCs w:val="16"/>
        </w:rPr>
        <w:footnoteRef/>
      </w:r>
      <w:r w:rsidRPr="007950B2">
        <w:rPr>
          <w:rFonts w:ascii="Verdana" w:hAnsi="Verdana"/>
          <w:sz w:val="16"/>
          <w:szCs w:val="16"/>
        </w:rPr>
        <w:t xml:space="preserve"> La parte resolutiva del auto dispone lo siguiente; “</w:t>
      </w:r>
      <w:r w:rsidRPr="007950B2">
        <w:rPr>
          <w:rFonts w:ascii="Verdana" w:hAnsi="Verdana"/>
          <w:b/>
          <w:sz w:val="16"/>
          <w:szCs w:val="16"/>
          <w:lang w:val="es-CO"/>
        </w:rPr>
        <w:t xml:space="preserve">PRIMERO: DECRETAR </w:t>
      </w:r>
      <w:r w:rsidRPr="007950B2">
        <w:rPr>
          <w:rFonts w:ascii="Verdana" w:hAnsi="Verdana"/>
          <w:sz w:val="16"/>
          <w:szCs w:val="16"/>
          <w:lang w:val="es-CO"/>
        </w:rPr>
        <w:t xml:space="preserve">la suspensión provisional de los apartes cuestionados del inciso segundo del numeral 16.2 de la Circular Externa única, versión 3 del 27 de diciembre de 2023, expedida por la Agencia Nacional de Contratación Pública – Colombia Compra Eficiente, según el cual </w:t>
      </w:r>
      <w:r w:rsidRPr="007950B2">
        <w:rPr>
          <w:rFonts w:ascii="Verdana" w:hAnsi="Verdana"/>
          <w:i/>
          <w:sz w:val="16"/>
          <w:szCs w:val="16"/>
          <w:lang w:val="es-CO"/>
        </w:rPr>
        <w:t>“[e]</w:t>
      </w:r>
      <w:proofErr w:type="spellStart"/>
      <w:r w:rsidRPr="007950B2">
        <w:rPr>
          <w:rFonts w:ascii="Verdana" w:hAnsi="Verdana"/>
          <w:i/>
          <w:sz w:val="16"/>
          <w:szCs w:val="16"/>
          <w:lang w:val="es-CO"/>
        </w:rPr>
        <w:t>sta</w:t>
      </w:r>
      <w:proofErr w:type="spellEnd"/>
      <w:r w:rsidRPr="007950B2">
        <w:rPr>
          <w:rFonts w:ascii="Verdana" w:hAnsi="Verdana"/>
          <w:i/>
          <w:sz w:val="16"/>
          <w:szCs w:val="16"/>
          <w:lang w:val="es-CO"/>
        </w:rPr>
        <w:t xml:space="preserve"> restricción es aplicable (…)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w:t>
      </w:r>
      <w:r w:rsidRPr="007950B2">
        <w:rPr>
          <w:rFonts w:ascii="Verdana" w:hAnsi="Verdana"/>
          <w:sz w:val="16"/>
          <w:szCs w:val="16"/>
          <w:lang w:val="es-CO"/>
        </w:rPr>
        <w:t xml:space="preserve">, por las razones expuestas en precedencia. </w:t>
      </w:r>
    </w:p>
    <w:p w14:paraId="71FB0591" w14:textId="77777777" w:rsidR="00590100" w:rsidRPr="00820CEB" w:rsidRDefault="00590100" w:rsidP="00590100">
      <w:pPr>
        <w:pStyle w:val="Textonotapie"/>
        <w:ind w:firstLine="709"/>
        <w:contextualSpacing/>
        <w:jc w:val="both"/>
        <w:rPr>
          <w:rFonts w:ascii="Verdana" w:hAnsi="Verdana"/>
          <w:sz w:val="16"/>
          <w:szCs w:val="16"/>
          <w:lang w:val="es-CO"/>
        </w:rPr>
      </w:pPr>
      <w:r w:rsidRPr="007950B2">
        <w:rPr>
          <w:rFonts w:ascii="Verdana" w:hAnsi="Verdana"/>
          <w:b/>
          <w:sz w:val="16"/>
          <w:szCs w:val="16"/>
          <w:lang w:val="es-CO"/>
        </w:rPr>
        <w:t xml:space="preserve">SEGUNDO: DECRETAR </w:t>
      </w:r>
      <w:r w:rsidRPr="007950B2">
        <w:rPr>
          <w:rFonts w:ascii="Verdana" w:hAnsi="Verdana"/>
          <w:sz w:val="16"/>
          <w:szCs w:val="16"/>
          <w:lang w:val="es-CO"/>
        </w:rPr>
        <w:t>la suspensión provisional de la expresión “</w:t>
      </w:r>
      <w:r w:rsidRPr="007950B2">
        <w:rPr>
          <w:rFonts w:ascii="Verdana" w:hAnsi="Verdana"/>
          <w:i/>
          <w:sz w:val="16"/>
          <w:szCs w:val="16"/>
          <w:lang w:val="es-CO"/>
        </w:rPr>
        <w:t>contratos</w:t>
      </w:r>
      <w:r w:rsidRPr="007950B2">
        <w:rPr>
          <w:rFonts w:ascii="Verdana" w:hAnsi="Verdana"/>
          <w:sz w:val="16"/>
          <w:szCs w:val="16"/>
          <w:lang w:val="es-CO"/>
        </w:rPr>
        <w:t xml:space="preserve">” y del párrafo </w:t>
      </w:r>
      <w:r w:rsidRPr="007950B2">
        <w:rPr>
          <w:rFonts w:ascii="Verdana" w:hAnsi="Verdana"/>
          <w:i/>
          <w:sz w:val="16"/>
          <w:szCs w:val="16"/>
          <w:lang w:val="es-CO"/>
        </w:rPr>
        <w:t>“[e]n este sentido, la prohibición que establece el parágrafo del artículo 38 de la Ley de Garantías consiste en evitar que los recursos del Estado se ejecuten para lograr apoyos indebidos mediante la suscripción de contratos (…) que, para efectos de la Ley de Garantías, tienen la misma connotación y propósito</w:t>
      </w:r>
      <w:r w:rsidRPr="007950B2">
        <w:rPr>
          <w:rFonts w:ascii="Verdana" w:hAnsi="Verdana"/>
          <w:sz w:val="16"/>
          <w:szCs w:val="16"/>
          <w:lang w:val="es-CO"/>
        </w:rPr>
        <w:t>”, contenidos en el inciso cuarto del numeral 16.2 de la Circular Externa única, versión 3 del 27 de diciembre de 2023, expedida por la Agencia Nacional de Contratación Pública – Colombia Compra Eficiente, por las razones expuestas de manera precedente”. Consejo de Estado, Sección Tercera. Auto del 6 de noviembre de 2025. Exp. 72.424. C.P: Fernando Alexei Pardo Flórez.</w:t>
      </w:r>
      <w:r w:rsidRPr="00820CEB">
        <w:rPr>
          <w:rFonts w:ascii="Verdana" w:hAnsi="Verdana"/>
          <w:sz w:val="16"/>
          <w:szCs w:val="16"/>
          <w:lang w:val="es-CO"/>
        </w:rPr>
        <w:t xml:space="preserve"> </w:t>
      </w:r>
    </w:p>
    <w:p w14:paraId="46116D02" w14:textId="77777777" w:rsidR="00590100" w:rsidRPr="00820CEB" w:rsidRDefault="00590100" w:rsidP="00590100">
      <w:pPr>
        <w:pStyle w:val="Textonotapie"/>
        <w:ind w:firstLine="709"/>
        <w:contextualSpacing/>
        <w:jc w:val="both"/>
        <w:rPr>
          <w:rFonts w:ascii="Verdana" w:hAnsi="Verdana"/>
          <w:sz w:val="16"/>
          <w:szCs w:val="16"/>
          <w:lang w:val="es-CO"/>
        </w:rPr>
      </w:pPr>
    </w:p>
  </w:footnote>
  <w:footnote w:id="34">
    <w:p w14:paraId="258FBDC5" w14:textId="77777777" w:rsidR="00590100" w:rsidRPr="007950B2" w:rsidRDefault="00590100" w:rsidP="00590100">
      <w:pPr>
        <w:spacing w:after="0" w:line="240" w:lineRule="auto"/>
        <w:ind w:firstLine="709"/>
        <w:contextualSpacing/>
        <w:jc w:val="both"/>
        <w:rPr>
          <w:rFonts w:ascii="Verdana" w:eastAsia="Times New Roman" w:hAnsi="Verdana" w:cs="Times New Roman"/>
          <w:sz w:val="16"/>
          <w:szCs w:val="16"/>
          <w:lang w:eastAsia="es-ES"/>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eastAsia="Times New Roman" w:hAnsi="Verdana" w:cs="Times New Roman"/>
          <w:sz w:val="16"/>
          <w:szCs w:val="16"/>
          <w:lang w:eastAsia="es-ES"/>
        </w:rPr>
        <w:t xml:space="preserve">Consejo de Estado. Sala de lo Contencioso Administrativo. Sección Tercera. Subsección B. 17 de octubre de 2025. C.P. Fredy Ibarra Martínez. </w:t>
      </w:r>
      <w:r w:rsidRPr="007950B2">
        <w:rPr>
          <w:rFonts w:ascii="Verdana" w:hAnsi="Verdana"/>
          <w:sz w:val="16"/>
          <w:szCs w:val="16"/>
        </w:rPr>
        <w:t xml:space="preserve">La parte de la providencia señala: </w:t>
      </w:r>
      <w:r w:rsidRPr="007950B2">
        <w:rPr>
          <w:rFonts w:ascii="Verdana" w:eastAsia="Times New Roman" w:hAnsi="Verdana" w:cs="Times New Roman"/>
          <w:sz w:val="16"/>
          <w:szCs w:val="16"/>
          <w:lang w:eastAsia="es-ES"/>
        </w:rPr>
        <w:t>Declárase la nulidad parcial del numeral 16.2 de la Circular Externa Única de 2022 expedida por la Agencia Nacional de Contratación Pública -Colombia Compra Eficiente-, concretamente, de los siguientes apartes normativos: i) el inciso tercero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ii) la expresión y el siguiente párrafo contenidos en el inciso quinto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w:t>
      </w:r>
    </w:p>
    <w:p w14:paraId="166FF274" w14:textId="77777777" w:rsidR="00590100" w:rsidRPr="007950B2" w:rsidRDefault="00590100" w:rsidP="00590100">
      <w:pPr>
        <w:spacing w:after="0" w:line="240" w:lineRule="auto"/>
        <w:ind w:firstLine="709"/>
        <w:contextualSpacing/>
        <w:jc w:val="both"/>
        <w:rPr>
          <w:rFonts w:ascii="Verdana" w:eastAsia="Times New Roman" w:hAnsi="Verdana" w:cs="Times New Roman"/>
          <w:sz w:val="16"/>
          <w:szCs w:val="16"/>
          <w:lang w:eastAsia="es-ES"/>
        </w:rPr>
      </w:pPr>
    </w:p>
  </w:footnote>
  <w:footnote w:id="35">
    <w:p w14:paraId="5FB51558" w14:textId="77777777" w:rsidR="00590100" w:rsidRPr="007950B2" w:rsidRDefault="00590100" w:rsidP="00590100">
      <w:pPr>
        <w:pStyle w:val="Textonotapie"/>
        <w:ind w:firstLine="709"/>
        <w:jc w:val="both"/>
        <w:rPr>
          <w:rFonts w:ascii="Verdana" w:hAnsi="Verdana"/>
          <w:sz w:val="16"/>
          <w:szCs w:val="16"/>
          <w:lang w:val="es-CO"/>
        </w:rPr>
      </w:pPr>
      <w:r w:rsidRPr="007950B2">
        <w:rPr>
          <w:rStyle w:val="Refdenotaalpie"/>
          <w:rFonts w:ascii="Verdana" w:hAnsi="Verdana"/>
          <w:sz w:val="16"/>
          <w:szCs w:val="16"/>
        </w:rPr>
        <w:footnoteRef/>
      </w:r>
      <w:r w:rsidRPr="007950B2">
        <w:rPr>
          <w:rFonts w:ascii="Verdana" w:hAnsi="Verdana"/>
          <w:sz w:val="16"/>
          <w:szCs w:val="16"/>
        </w:rPr>
        <w:t xml:space="preserve"> No obstante lo anterior, es importante mencionar que aún se encuentra por definir la demanda de nulidad simple, identificada con el Radicado número 11001-03-26-000-2025-00016-00, en la cual se cuestiona parcialmente el numeral 16.2 de la Circular Externa Única CCE-EICP-MA-06, Versión 03 del 27 de diciembre de 2023.</w:t>
      </w:r>
    </w:p>
  </w:footnote>
  <w:footnote w:id="36">
    <w:p w14:paraId="4100BC91" w14:textId="77777777" w:rsidR="00590100" w:rsidRPr="007950B2" w:rsidRDefault="00590100" w:rsidP="00590100">
      <w:pPr>
        <w:pStyle w:val="Textonotapie"/>
        <w:ind w:firstLine="709"/>
        <w:jc w:val="both"/>
        <w:rPr>
          <w:rFonts w:ascii="Verdana" w:hAnsi="Verdana"/>
          <w:sz w:val="16"/>
          <w:szCs w:val="16"/>
          <w:lang w:val="es-CO"/>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hAnsi="Verdana"/>
          <w:sz w:val="16"/>
          <w:szCs w:val="16"/>
          <w:lang w:val="es-ES"/>
        </w:rPr>
        <w:t xml:space="preserve">Ley 100 de 1993. </w:t>
      </w:r>
      <w:r w:rsidRPr="007950B2">
        <w:rPr>
          <w:rFonts w:ascii="Verdana" w:hAnsi="Verdana"/>
          <w:sz w:val="16"/>
          <w:szCs w:val="16"/>
          <w:lang w:val="es-CO"/>
        </w:rPr>
        <w:t>Artículo</w:t>
      </w:r>
      <w:bookmarkStart w:id="2" w:name="194"/>
      <w:bookmarkEnd w:id="2"/>
      <w:r w:rsidRPr="007950B2">
        <w:rPr>
          <w:rFonts w:ascii="Verdana" w:hAnsi="Verdana"/>
          <w:sz w:val="16"/>
          <w:szCs w:val="16"/>
          <w:lang w:val="es-CO"/>
        </w:rPr>
        <w:t> 194. Naturaleza. La prestación de servicios de salud en forma directa por la Nación o por las entidades territoriales, se hará a través de las Empresas Sociales del Estado, que constituyen una categoría especial de entidad pública descentralizada, con personería jurídica, patrimonio propio y autonomía administrativa, creadas por la</w:t>
      </w:r>
      <w:bookmarkStart w:id="3" w:name="LPHit237"/>
      <w:bookmarkEnd w:id="3"/>
      <w:r w:rsidRPr="007950B2">
        <w:rPr>
          <w:rFonts w:ascii="Verdana" w:hAnsi="Verdana"/>
          <w:sz w:val="16"/>
          <w:szCs w:val="16"/>
          <w:lang w:val="es-CO"/>
        </w:rPr>
        <w:t> Ley o por las asambleas o concejos, según el caso, sometidas al régimen jurídico previsto en este capítulo.</w:t>
      </w:r>
    </w:p>
    <w:p w14:paraId="544EDA38" w14:textId="77777777" w:rsidR="00590100" w:rsidRPr="007950B2" w:rsidRDefault="00590100" w:rsidP="00590100">
      <w:pPr>
        <w:pStyle w:val="Textonotapie"/>
        <w:ind w:firstLine="709"/>
        <w:jc w:val="both"/>
        <w:rPr>
          <w:rFonts w:ascii="Verdana" w:hAnsi="Verdana"/>
          <w:sz w:val="16"/>
          <w:szCs w:val="16"/>
          <w:lang w:val="es-CO"/>
        </w:rPr>
      </w:pPr>
    </w:p>
  </w:footnote>
  <w:footnote w:id="37">
    <w:p w14:paraId="7016847C" w14:textId="77777777" w:rsidR="00590100" w:rsidRPr="007950B2" w:rsidRDefault="00590100" w:rsidP="00590100">
      <w:pPr>
        <w:pStyle w:val="Textonotapie"/>
        <w:ind w:firstLine="708"/>
        <w:contextualSpacing/>
        <w:jc w:val="both"/>
        <w:rPr>
          <w:rFonts w:ascii="Verdana" w:hAnsi="Verdana" w:cs="Arial"/>
          <w:color w:val="000000" w:themeColor="text1"/>
          <w:sz w:val="16"/>
          <w:szCs w:val="16"/>
          <w:lang w:val="es-CO"/>
        </w:rPr>
      </w:pPr>
      <w:r w:rsidRPr="007950B2">
        <w:rPr>
          <w:rStyle w:val="Refdenotaalpie"/>
          <w:rFonts w:ascii="Verdana" w:hAnsi="Verdana" w:cs="Arial"/>
          <w:color w:val="000000" w:themeColor="text1"/>
          <w:sz w:val="16"/>
          <w:szCs w:val="16"/>
          <w:lang w:val="es-CO"/>
        </w:rPr>
        <w:footnoteRef/>
      </w:r>
      <w:r w:rsidRPr="007950B2">
        <w:rPr>
          <w:rFonts w:ascii="Verdana" w:hAnsi="Verdana" w:cs="Arial"/>
          <w:color w:val="000000" w:themeColor="text1"/>
          <w:sz w:val="16"/>
          <w:szCs w:val="16"/>
          <w:lang w:val="es-CO"/>
        </w:rPr>
        <w:t xml:space="preserve"> “Artículo 197. Empresas sociales de salud de carácter territorial. Las entidades territoriales deberán disponer, dentro de los seis (6) meses siguientes a la fecha de vigencia de esta Ley, la reestructuración de las entidades descentralizadas cuyo objeto principal sea la prestación de servicios de salud, con el fin de adecuarlas a lo dispuesto en este capítulo”.</w:t>
      </w:r>
    </w:p>
  </w:footnote>
  <w:footnote w:id="38">
    <w:p w14:paraId="2AE589B3" w14:textId="77777777" w:rsidR="00590100" w:rsidRPr="007950B2" w:rsidRDefault="00590100" w:rsidP="00590100">
      <w:pPr>
        <w:pStyle w:val="Textonotapie"/>
        <w:ind w:firstLine="708"/>
        <w:contextualSpacing/>
        <w:jc w:val="both"/>
        <w:rPr>
          <w:rFonts w:ascii="Verdana" w:hAnsi="Verdana" w:cs="Arial"/>
          <w:color w:val="000000" w:themeColor="text1"/>
          <w:sz w:val="16"/>
          <w:szCs w:val="16"/>
          <w:lang w:val="es-CO"/>
        </w:rPr>
      </w:pPr>
      <w:r w:rsidRPr="007950B2">
        <w:rPr>
          <w:rStyle w:val="Refdenotaalpie"/>
          <w:rFonts w:ascii="Verdana" w:hAnsi="Verdana" w:cs="Arial"/>
          <w:color w:val="000000" w:themeColor="text1"/>
          <w:sz w:val="16"/>
          <w:szCs w:val="16"/>
          <w:lang w:val="es-CO"/>
        </w:rPr>
        <w:footnoteRef/>
      </w:r>
      <w:r w:rsidRPr="007950B2">
        <w:rPr>
          <w:rFonts w:ascii="Verdana" w:hAnsi="Verdana" w:cs="Arial"/>
          <w:color w:val="000000" w:themeColor="text1"/>
          <w:sz w:val="16"/>
          <w:szCs w:val="16"/>
          <w:lang w:val="es-CO"/>
        </w:rPr>
        <w:t xml:space="preserve"> El artículo 2.8.8.1.4.2 del Decreto 780 de 2016 dispone que “Para efectos de la aplicación del presente Capítulo, entiéndase por Autoridades Sanitarias del </w:t>
      </w:r>
      <w:proofErr w:type="spellStart"/>
      <w:r w:rsidRPr="007950B2">
        <w:rPr>
          <w:rFonts w:ascii="Verdana" w:hAnsi="Verdana" w:cs="Arial"/>
          <w:color w:val="000000" w:themeColor="text1"/>
          <w:sz w:val="16"/>
          <w:szCs w:val="16"/>
          <w:lang w:val="es-CO"/>
        </w:rPr>
        <w:t>Sivigila</w:t>
      </w:r>
      <w:proofErr w:type="spellEnd"/>
      <w:r w:rsidRPr="007950B2">
        <w:rPr>
          <w:rFonts w:ascii="Verdana" w:hAnsi="Verdana" w:cs="Arial"/>
          <w:color w:val="000000" w:themeColor="text1"/>
          <w:sz w:val="16"/>
          <w:szCs w:val="16"/>
          <w:lang w:val="es-CO"/>
        </w:rPr>
        <w:t xml:space="preserve">, el Ministerio de Salud y Protección Social; el Instituto Nacional de Salud (INS); el Instituto Nacional de Vigilancia de Medicamentos y Alimentos (Invima), las Direcciones Territoriales de Salud, </w:t>
      </w:r>
      <w:r w:rsidRPr="007950B2">
        <w:rPr>
          <w:rFonts w:ascii="Verdana" w:hAnsi="Verdana" w:cs="Arial"/>
          <w:i/>
          <w:iCs/>
          <w:color w:val="000000" w:themeColor="text1"/>
          <w:sz w:val="16"/>
          <w:szCs w:val="16"/>
          <w:lang w:val="es-CO"/>
        </w:rPr>
        <w:t>y todas aquellas entidades que de acuerdo con la ley ejerzan funciones de vigilancia y control sanitario</w:t>
      </w:r>
      <w:r w:rsidRPr="007950B2">
        <w:rPr>
          <w:rFonts w:ascii="Verdana" w:hAnsi="Verdana" w:cs="Arial"/>
          <w:color w:val="000000" w:themeColor="text1"/>
          <w:sz w:val="16"/>
          <w:szCs w:val="16"/>
          <w:lang w:val="es-CO"/>
        </w:rPr>
        <w:t xml:space="preserve">, las cuales deben adoptar medidas sanitarias que garanticen la protección de la salud pública y el cumplimiento de lo dispuesto en esta norma, así como adelantar los procedimientos y aplicar las sanciones a que hubiere lugar» (Énfasis fuera de texto).  </w:t>
      </w:r>
    </w:p>
    <w:p w14:paraId="42E06D39" w14:textId="77777777" w:rsidR="00590100" w:rsidRPr="007950B2" w:rsidRDefault="00590100" w:rsidP="00590100">
      <w:pPr>
        <w:pStyle w:val="Textonotapie"/>
        <w:ind w:firstLine="708"/>
        <w:contextualSpacing/>
        <w:jc w:val="both"/>
        <w:rPr>
          <w:rFonts w:ascii="Verdana" w:hAnsi="Verdana" w:cs="Arial"/>
          <w:color w:val="000000" w:themeColor="text1"/>
          <w:sz w:val="16"/>
          <w:szCs w:val="16"/>
          <w:lang w:val="es-CO"/>
        </w:rPr>
      </w:pPr>
    </w:p>
  </w:footnote>
  <w:footnote w:id="39">
    <w:p w14:paraId="36CAEB57" w14:textId="77777777" w:rsidR="00590100" w:rsidRPr="007950B2" w:rsidRDefault="00590100" w:rsidP="00590100">
      <w:pPr>
        <w:pStyle w:val="Textonotapie"/>
        <w:ind w:firstLine="708"/>
        <w:contextualSpacing/>
        <w:jc w:val="both"/>
        <w:rPr>
          <w:rFonts w:ascii="Verdana" w:hAnsi="Verdana"/>
          <w:sz w:val="16"/>
          <w:szCs w:val="16"/>
          <w:lang w:val="es-CO"/>
        </w:rPr>
      </w:pPr>
      <w:r w:rsidRPr="007950B2">
        <w:rPr>
          <w:rStyle w:val="Refdenotaalpie"/>
          <w:rFonts w:ascii="Verdana" w:hAnsi="Verdana"/>
          <w:sz w:val="16"/>
          <w:szCs w:val="16"/>
          <w:lang w:val="es-CO"/>
        </w:rPr>
        <w:footnoteRef/>
      </w:r>
      <w:r w:rsidRPr="007950B2">
        <w:rPr>
          <w:rFonts w:ascii="Verdana" w:hAnsi="Verdana"/>
          <w:sz w:val="16"/>
          <w:szCs w:val="16"/>
          <w:lang w:val="es-CO"/>
        </w:rPr>
        <w:t xml:space="preserve"> Consejo de Estado. Sala de Consulta y Servicio Civil. Concepto del 12 de junio de 2018. Radicación: 11001-03-06-000-2018-0043-00. (2371). C.P: Oscar Darío Amaya Navas. </w:t>
      </w:r>
    </w:p>
    <w:p w14:paraId="21B334F6" w14:textId="77777777" w:rsidR="00590100" w:rsidRPr="007950B2" w:rsidRDefault="00590100" w:rsidP="00590100">
      <w:pPr>
        <w:pStyle w:val="Textonotapie"/>
        <w:ind w:firstLine="708"/>
        <w:contextualSpacing/>
        <w:jc w:val="both"/>
        <w:rPr>
          <w:rFonts w:ascii="Verdana" w:hAnsi="Verdana"/>
          <w:sz w:val="16"/>
          <w:szCs w:val="16"/>
          <w:lang w:val="es-CO"/>
        </w:rPr>
      </w:pPr>
    </w:p>
  </w:footnote>
  <w:footnote w:id="40">
    <w:p w14:paraId="7303785D" w14:textId="77777777" w:rsidR="00590100" w:rsidRPr="007950B2" w:rsidRDefault="00590100" w:rsidP="00590100">
      <w:pPr>
        <w:pStyle w:val="Textonotapie"/>
        <w:ind w:firstLine="708"/>
        <w:contextualSpacing/>
        <w:rPr>
          <w:rFonts w:ascii="Verdana" w:hAnsi="Verdana"/>
          <w:sz w:val="16"/>
          <w:szCs w:val="16"/>
          <w:lang w:val="es-CO"/>
        </w:rPr>
      </w:pPr>
      <w:r w:rsidRPr="007950B2">
        <w:rPr>
          <w:rStyle w:val="Refdenotaalpie"/>
          <w:rFonts w:ascii="Verdana" w:hAnsi="Verdana"/>
          <w:sz w:val="16"/>
          <w:szCs w:val="16"/>
          <w:lang w:val="es-CO"/>
        </w:rPr>
        <w:footnoteRef/>
      </w:r>
      <w:r w:rsidRPr="007950B2">
        <w:rPr>
          <w:rFonts w:ascii="Verdana" w:hAnsi="Verdana"/>
          <w:sz w:val="16"/>
          <w:szCs w:val="16"/>
          <w:lang w:val="es-CO"/>
        </w:rPr>
        <w:t xml:space="preserve"> Ibidem.</w:t>
      </w:r>
    </w:p>
    <w:p w14:paraId="672D6E0F" w14:textId="77777777" w:rsidR="00590100" w:rsidRPr="007950B2" w:rsidRDefault="00590100" w:rsidP="00590100">
      <w:pPr>
        <w:pStyle w:val="Textonotapie"/>
        <w:ind w:firstLine="708"/>
        <w:contextualSpacing/>
        <w:rPr>
          <w:rFonts w:ascii="Verdana" w:hAnsi="Verdana"/>
          <w:sz w:val="16"/>
          <w:szCs w:val="16"/>
          <w:lang w:val="es-CO"/>
        </w:rPr>
      </w:pPr>
    </w:p>
  </w:footnote>
  <w:footnote w:id="41">
    <w:p w14:paraId="54E43367" w14:textId="77777777" w:rsidR="00590100" w:rsidRPr="007950B2" w:rsidRDefault="00590100" w:rsidP="00590100">
      <w:pPr>
        <w:pStyle w:val="Textonotapie"/>
        <w:ind w:firstLine="709"/>
        <w:jc w:val="both"/>
        <w:rPr>
          <w:rFonts w:ascii="Verdana" w:hAnsi="Verdana"/>
          <w:sz w:val="16"/>
          <w:szCs w:val="16"/>
          <w:lang w:val="es-ES"/>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hAnsi="Verdana"/>
          <w:sz w:val="16"/>
          <w:szCs w:val="16"/>
          <w:lang w:val="es-ES"/>
        </w:rPr>
        <w:t xml:space="preserve">Lineamiento técnico- operativo de equipos básicos de salud: conformación, operación y seguimiento. Puede consultarse en </w:t>
      </w:r>
      <w:hyperlink r:id="rId2" w:history="1">
        <w:r w:rsidRPr="007950B2">
          <w:rPr>
            <w:rStyle w:val="Hipervnculo"/>
            <w:rFonts w:ascii="Verdana" w:hAnsi="Verdana"/>
            <w:sz w:val="16"/>
            <w:szCs w:val="16"/>
            <w:lang w:val="es-CO"/>
          </w:rPr>
          <w:t>Lineamientos para el fortalecimiento del nivel primario basado en Atención Primaria en Salud</w:t>
        </w:r>
      </w:hyperlink>
    </w:p>
  </w:footnote>
  <w:footnote w:id="42">
    <w:p w14:paraId="5194DD38" w14:textId="77777777" w:rsidR="00590100" w:rsidRPr="007950B2" w:rsidRDefault="00590100" w:rsidP="00590100">
      <w:pPr>
        <w:pStyle w:val="Textonotapie"/>
        <w:ind w:firstLine="709"/>
        <w:rPr>
          <w:rFonts w:ascii="Verdana" w:hAnsi="Verdana"/>
          <w:sz w:val="16"/>
          <w:szCs w:val="16"/>
          <w:lang w:val="es-ES"/>
        </w:rPr>
      </w:pPr>
      <w:r w:rsidRPr="007950B2">
        <w:rPr>
          <w:rStyle w:val="Refdenotaalpie"/>
          <w:rFonts w:ascii="Verdana" w:hAnsi="Verdana"/>
          <w:sz w:val="16"/>
          <w:szCs w:val="16"/>
        </w:rPr>
        <w:footnoteRef/>
      </w:r>
      <w:r w:rsidRPr="007950B2">
        <w:rPr>
          <w:rFonts w:ascii="Verdana" w:hAnsi="Verdana"/>
          <w:sz w:val="16"/>
          <w:szCs w:val="16"/>
        </w:rPr>
        <w:t xml:space="preserve"> </w:t>
      </w:r>
      <w:r w:rsidRPr="007950B2">
        <w:rPr>
          <w:rFonts w:ascii="Verdana" w:hAnsi="Verdana"/>
          <w:sz w:val="16"/>
          <w:szCs w:val="16"/>
          <w:lang w:val="es-ES"/>
        </w:rPr>
        <w:t xml:space="preserve">Ibídem. </w:t>
      </w:r>
    </w:p>
    <w:p w14:paraId="56F78F46" w14:textId="77777777" w:rsidR="00590100" w:rsidRPr="007950B2" w:rsidRDefault="00590100" w:rsidP="00590100">
      <w:pPr>
        <w:pStyle w:val="Textonotapie"/>
        <w:ind w:firstLine="709"/>
        <w:rPr>
          <w:rFonts w:ascii="Verdana" w:hAnsi="Verdana"/>
          <w:sz w:val="16"/>
          <w:szCs w:val="16"/>
          <w:lang w:val="es-ES"/>
        </w:rPr>
      </w:pPr>
    </w:p>
  </w:footnote>
  <w:footnote w:id="43">
    <w:p w14:paraId="724059C7" w14:textId="77777777" w:rsidR="00590100" w:rsidRPr="007950B2" w:rsidRDefault="00590100" w:rsidP="00590100">
      <w:pPr>
        <w:pStyle w:val="Textonotapie"/>
        <w:ind w:firstLine="709"/>
        <w:rPr>
          <w:rFonts w:ascii="Verdana" w:hAnsi="Verdana"/>
          <w:sz w:val="16"/>
          <w:szCs w:val="16"/>
        </w:rPr>
      </w:pPr>
      <w:r w:rsidRPr="007950B2">
        <w:rPr>
          <w:rStyle w:val="Refdenotaalpie"/>
          <w:rFonts w:ascii="Verdana" w:hAnsi="Verdana"/>
          <w:sz w:val="16"/>
          <w:szCs w:val="16"/>
        </w:rPr>
        <w:footnoteRef/>
      </w:r>
      <w:r w:rsidRPr="007950B2">
        <w:rPr>
          <w:rFonts w:ascii="Verdana" w:hAnsi="Verdana"/>
          <w:sz w:val="16"/>
          <w:szCs w:val="16"/>
        </w:rPr>
        <w:t xml:space="preserve"> Esto en el entendido de la posición de la Agencia Nacional descrito en la presente comunicación.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FBC25EC"/>
    <w:multiLevelType w:val="hybridMultilevel"/>
    <w:tmpl w:val="903CB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30246E"/>
    <w:multiLevelType w:val="hybridMultilevel"/>
    <w:tmpl w:val="5718B7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8960ED7"/>
    <w:multiLevelType w:val="hybridMultilevel"/>
    <w:tmpl w:val="FEC0A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1"/>
  </w:num>
  <w:num w:numId="16" w16cid:durableId="1330140246">
    <w:abstractNumId w:val="0"/>
  </w:num>
  <w:num w:numId="17" w16cid:durableId="1358431546">
    <w:abstractNumId w:val="3"/>
  </w:num>
  <w:num w:numId="18" w16cid:durableId="129062122">
    <w:abstractNumId w:val="10"/>
  </w:num>
  <w:num w:numId="19" w16cid:durableId="534537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52F8"/>
    <w:rsid w:val="00046945"/>
    <w:rsid w:val="00061A0F"/>
    <w:rsid w:val="00061B2A"/>
    <w:rsid w:val="00082362"/>
    <w:rsid w:val="000A683E"/>
    <w:rsid w:val="000B19B9"/>
    <w:rsid w:val="000D0334"/>
    <w:rsid w:val="000D5DA7"/>
    <w:rsid w:val="000D6F69"/>
    <w:rsid w:val="000F6486"/>
    <w:rsid w:val="001058C0"/>
    <w:rsid w:val="00116940"/>
    <w:rsid w:val="001174CF"/>
    <w:rsid w:val="00125105"/>
    <w:rsid w:val="00127233"/>
    <w:rsid w:val="001309B4"/>
    <w:rsid w:val="00154FA4"/>
    <w:rsid w:val="0015699B"/>
    <w:rsid w:val="0016410B"/>
    <w:rsid w:val="0017122D"/>
    <w:rsid w:val="001927D9"/>
    <w:rsid w:val="001A33BF"/>
    <w:rsid w:val="001B3816"/>
    <w:rsid w:val="001C3213"/>
    <w:rsid w:val="001E4177"/>
    <w:rsid w:val="001F0B24"/>
    <w:rsid w:val="001F7DC6"/>
    <w:rsid w:val="00201135"/>
    <w:rsid w:val="0022400B"/>
    <w:rsid w:val="0024004A"/>
    <w:rsid w:val="002421BB"/>
    <w:rsid w:val="0025796E"/>
    <w:rsid w:val="002707A2"/>
    <w:rsid w:val="00286FC1"/>
    <w:rsid w:val="002951A0"/>
    <w:rsid w:val="002962BC"/>
    <w:rsid w:val="002A093D"/>
    <w:rsid w:val="002A0DD0"/>
    <w:rsid w:val="002A495D"/>
    <w:rsid w:val="002A49AC"/>
    <w:rsid w:val="002A64FD"/>
    <w:rsid w:val="002C7A84"/>
    <w:rsid w:val="002E2BF8"/>
    <w:rsid w:val="002E4FD9"/>
    <w:rsid w:val="00302857"/>
    <w:rsid w:val="0030657A"/>
    <w:rsid w:val="003158E1"/>
    <w:rsid w:val="00322A85"/>
    <w:rsid w:val="00324168"/>
    <w:rsid w:val="00330834"/>
    <w:rsid w:val="003448F4"/>
    <w:rsid w:val="0036216B"/>
    <w:rsid w:val="00374F5E"/>
    <w:rsid w:val="00377E3E"/>
    <w:rsid w:val="003A779E"/>
    <w:rsid w:val="003D0F4D"/>
    <w:rsid w:val="003D5B0D"/>
    <w:rsid w:val="003E0499"/>
    <w:rsid w:val="003E44B0"/>
    <w:rsid w:val="003E4F80"/>
    <w:rsid w:val="003E6439"/>
    <w:rsid w:val="003F02DB"/>
    <w:rsid w:val="003F3941"/>
    <w:rsid w:val="00406575"/>
    <w:rsid w:val="00413E06"/>
    <w:rsid w:val="00414C74"/>
    <w:rsid w:val="0042722E"/>
    <w:rsid w:val="00432D23"/>
    <w:rsid w:val="004378C2"/>
    <w:rsid w:val="00441C7F"/>
    <w:rsid w:val="0044528D"/>
    <w:rsid w:val="00466E39"/>
    <w:rsid w:val="004750D5"/>
    <w:rsid w:val="00485430"/>
    <w:rsid w:val="004A1847"/>
    <w:rsid w:val="004A305D"/>
    <w:rsid w:val="004B4FDD"/>
    <w:rsid w:val="004C05A3"/>
    <w:rsid w:val="004F21C4"/>
    <w:rsid w:val="004F5CDD"/>
    <w:rsid w:val="004F685F"/>
    <w:rsid w:val="00504533"/>
    <w:rsid w:val="00517CB9"/>
    <w:rsid w:val="00522A07"/>
    <w:rsid w:val="005566E8"/>
    <w:rsid w:val="00565CF5"/>
    <w:rsid w:val="00574867"/>
    <w:rsid w:val="00575B40"/>
    <w:rsid w:val="00590100"/>
    <w:rsid w:val="00591460"/>
    <w:rsid w:val="00595D9B"/>
    <w:rsid w:val="005A65E0"/>
    <w:rsid w:val="005C3777"/>
    <w:rsid w:val="005C4C0A"/>
    <w:rsid w:val="005C5CDC"/>
    <w:rsid w:val="005D476C"/>
    <w:rsid w:val="005D6BC6"/>
    <w:rsid w:val="005F6F01"/>
    <w:rsid w:val="006200BF"/>
    <w:rsid w:val="006219F8"/>
    <w:rsid w:val="006302F7"/>
    <w:rsid w:val="00646B9F"/>
    <w:rsid w:val="006471A4"/>
    <w:rsid w:val="00663C0A"/>
    <w:rsid w:val="00665D70"/>
    <w:rsid w:val="00686EFB"/>
    <w:rsid w:val="006900D9"/>
    <w:rsid w:val="006D041A"/>
    <w:rsid w:val="006D5C08"/>
    <w:rsid w:val="00706C16"/>
    <w:rsid w:val="007340C3"/>
    <w:rsid w:val="0075235A"/>
    <w:rsid w:val="00753802"/>
    <w:rsid w:val="00756841"/>
    <w:rsid w:val="00761F90"/>
    <w:rsid w:val="007649AB"/>
    <w:rsid w:val="00771D0C"/>
    <w:rsid w:val="00776078"/>
    <w:rsid w:val="007833AC"/>
    <w:rsid w:val="007950B2"/>
    <w:rsid w:val="007A425C"/>
    <w:rsid w:val="007A5F1D"/>
    <w:rsid w:val="007B268C"/>
    <w:rsid w:val="007B7171"/>
    <w:rsid w:val="007C0C0F"/>
    <w:rsid w:val="007C3DC2"/>
    <w:rsid w:val="007C47D3"/>
    <w:rsid w:val="007C581D"/>
    <w:rsid w:val="007D67A9"/>
    <w:rsid w:val="007E14E4"/>
    <w:rsid w:val="007E5497"/>
    <w:rsid w:val="007F5E0A"/>
    <w:rsid w:val="00802091"/>
    <w:rsid w:val="0080302B"/>
    <w:rsid w:val="00806F5F"/>
    <w:rsid w:val="00820278"/>
    <w:rsid w:val="00820CEB"/>
    <w:rsid w:val="008258C9"/>
    <w:rsid w:val="008330DF"/>
    <w:rsid w:val="00843188"/>
    <w:rsid w:val="00844AE9"/>
    <w:rsid w:val="00867F95"/>
    <w:rsid w:val="00871E11"/>
    <w:rsid w:val="008843B6"/>
    <w:rsid w:val="00891928"/>
    <w:rsid w:val="008A3E2B"/>
    <w:rsid w:val="008A446D"/>
    <w:rsid w:val="008B25F1"/>
    <w:rsid w:val="008D180B"/>
    <w:rsid w:val="008E11B9"/>
    <w:rsid w:val="008F0EA7"/>
    <w:rsid w:val="0090542F"/>
    <w:rsid w:val="0091007D"/>
    <w:rsid w:val="00913F90"/>
    <w:rsid w:val="00915A46"/>
    <w:rsid w:val="00923EEF"/>
    <w:rsid w:val="00933FF3"/>
    <w:rsid w:val="009419F9"/>
    <w:rsid w:val="0094320B"/>
    <w:rsid w:val="0095685E"/>
    <w:rsid w:val="00961B09"/>
    <w:rsid w:val="00965334"/>
    <w:rsid w:val="0097093E"/>
    <w:rsid w:val="009A0DFA"/>
    <w:rsid w:val="009A1C6F"/>
    <w:rsid w:val="009A34E9"/>
    <w:rsid w:val="009B2D26"/>
    <w:rsid w:val="009C71FA"/>
    <w:rsid w:val="009C72E7"/>
    <w:rsid w:val="009C7F7E"/>
    <w:rsid w:val="009D3058"/>
    <w:rsid w:val="009E59CE"/>
    <w:rsid w:val="009E6C96"/>
    <w:rsid w:val="009F3A13"/>
    <w:rsid w:val="00A00F00"/>
    <w:rsid w:val="00A03F0A"/>
    <w:rsid w:val="00A04563"/>
    <w:rsid w:val="00A122D3"/>
    <w:rsid w:val="00A14468"/>
    <w:rsid w:val="00A17F13"/>
    <w:rsid w:val="00A20739"/>
    <w:rsid w:val="00A23AF9"/>
    <w:rsid w:val="00A23F78"/>
    <w:rsid w:val="00A30C98"/>
    <w:rsid w:val="00A33C78"/>
    <w:rsid w:val="00A361B1"/>
    <w:rsid w:val="00A47BC8"/>
    <w:rsid w:val="00A6341F"/>
    <w:rsid w:val="00A71986"/>
    <w:rsid w:val="00AA4DE3"/>
    <w:rsid w:val="00AA762A"/>
    <w:rsid w:val="00AA7D1B"/>
    <w:rsid w:val="00AB050D"/>
    <w:rsid w:val="00AB0ADB"/>
    <w:rsid w:val="00AC6754"/>
    <w:rsid w:val="00AE0BA5"/>
    <w:rsid w:val="00AE1DCA"/>
    <w:rsid w:val="00B00C0E"/>
    <w:rsid w:val="00B01B1A"/>
    <w:rsid w:val="00B0381D"/>
    <w:rsid w:val="00B27F34"/>
    <w:rsid w:val="00B3515E"/>
    <w:rsid w:val="00B43C52"/>
    <w:rsid w:val="00B44A47"/>
    <w:rsid w:val="00B72CD3"/>
    <w:rsid w:val="00B72FFF"/>
    <w:rsid w:val="00BB5F88"/>
    <w:rsid w:val="00BC3D36"/>
    <w:rsid w:val="00BD54A6"/>
    <w:rsid w:val="00BD7F72"/>
    <w:rsid w:val="00BF7425"/>
    <w:rsid w:val="00C04FB3"/>
    <w:rsid w:val="00C11D8B"/>
    <w:rsid w:val="00C15139"/>
    <w:rsid w:val="00C330EB"/>
    <w:rsid w:val="00C4005E"/>
    <w:rsid w:val="00C50494"/>
    <w:rsid w:val="00C50D69"/>
    <w:rsid w:val="00C5365C"/>
    <w:rsid w:val="00C53990"/>
    <w:rsid w:val="00C622CE"/>
    <w:rsid w:val="00C6581B"/>
    <w:rsid w:val="00C66DE3"/>
    <w:rsid w:val="00C754BE"/>
    <w:rsid w:val="00C76B1C"/>
    <w:rsid w:val="00C8410E"/>
    <w:rsid w:val="00C925AC"/>
    <w:rsid w:val="00CA1CF0"/>
    <w:rsid w:val="00CB6357"/>
    <w:rsid w:val="00CC1B26"/>
    <w:rsid w:val="00D04FC8"/>
    <w:rsid w:val="00D15A36"/>
    <w:rsid w:val="00D30F1E"/>
    <w:rsid w:val="00D361FD"/>
    <w:rsid w:val="00D37610"/>
    <w:rsid w:val="00D423A2"/>
    <w:rsid w:val="00D44E26"/>
    <w:rsid w:val="00D520D8"/>
    <w:rsid w:val="00D63AC2"/>
    <w:rsid w:val="00D7383B"/>
    <w:rsid w:val="00D75374"/>
    <w:rsid w:val="00D7788A"/>
    <w:rsid w:val="00D83424"/>
    <w:rsid w:val="00D94979"/>
    <w:rsid w:val="00DA081B"/>
    <w:rsid w:val="00DA231B"/>
    <w:rsid w:val="00DC1394"/>
    <w:rsid w:val="00DC39FC"/>
    <w:rsid w:val="00DC69A0"/>
    <w:rsid w:val="00DF24B9"/>
    <w:rsid w:val="00DF5254"/>
    <w:rsid w:val="00E02524"/>
    <w:rsid w:val="00E11DFB"/>
    <w:rsid w:val="00E13B0A"/>
    <w:rsid w:val="00E16408"/>
    <w:rsid w:val="00E20894"/>
    <w:rsid w:val="00E245AB"/>
    <w:rsid w:val="00E2764C"/>
    <w:rsid w:val="00E27F2E"/>
    <w:rsid w:val="00E50AFE"/>
    <w:rsid w:val="00E6165F"/>
    <w:rsid w:val="00E75C92"/>
    <w:rsid w:val="00E771DC"/>
    <w:rsid w:val="00E871D1"/>
    <w:rsid w:val="00E8772A"/>
    <w:rsid w:val="00E90452"/>
    <w:rsid w:val="00E90F6B"/>
    <w:rsid w:val="00E925AE"/>
    <w:rsid w:val="00E92C27"/>
    <w:rsid w:val="00E9617B"/>
    <w:rsid w:val="00EA0E3D"/>
    <w:rsid w:val="00EA6EDE"/>
    <w:rsid w:val="00EC38A7"/>
    <w:rsid w:val="00EE1AA8"/>
    <w:rsid w:val="00EF6D3E"/>
    <w:rsid w:val="00F04F67"/>
    <w:rsid w:val="00F23FEA"/>
    <w:rsid w:val="00F2504C"/>
    <w:rsid w:val="00F26CB2"/>
    <w:rsid w:val="00F31EDC"/>
    <w:rsid w:val="00F447B3"/>
    <w:rsid w:val="00F44AC0"/>
    <w:rsid w:val="00F462B3"/>
    <w:rsid w:val="00F5664F"/>
    <w:rsid w:val="00F666C4"/>
    <w:rsid w:val="00F73AD8"/>
    <w:rsid w:val="00F76AFC"/>
    <w:rsid w:val="00F81D05"/>
    <w:rsid w:val="00F83D6A"/>
    <w:rsid w:val="00FA47C0"/>
    <w:rsid w:val="00FB3BC1"/>
    <w:rsid w:val="00FB5DD1"/>
    <w:rsid w:val="00FC27A7"/>
    <w:rsid w:val="00FC2B5D"/>
    <w:rsid w:val="00FD06A5"/>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09EC8E2"/>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16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6D5C08"/>
    <w:pPr>
      <w:spacing w:after="0" w:line="240" w:lineRule="auto"/>
    </w:pPr>
    <w:tbl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80302B"/>
    <w:rPr>
      <w:rFonts w:ascii="Geomanist Light" w:hAnsi="Geomanist Light"/>
      <w:lang w:val="es-ES"/>
    </w:rPr>
  </w:style>
  <w:style w:type="paragraph" w:customStyle="1" w:styleId="Appelnotedebasde">
    <w:name w:val="Appel note de bas de..."/>
    <w:basedOn w:val="Normal"/>
    <w:link w:val="Refdenotaalpie"/>
    <w:uiPriority w:val="99"/>
    <w:rsid w:val="0080302B"/>
    <w:pPr>
      <w:spacing w:line="240" w:lineRule="exact"/>
    </w:pPr>
    <w:rPr>
      <w:vertAlign w:val="superscript"/>
    </w:rPr>
  </w:style>
  <w:style w:type="character" w:customStyle="1" w:styleId="NormalWebCar">
    <w:name w:val="Normal (Web) Car"/>
    <w:link w:val="NormalWeb"/>
    <w:uiPriority w:val="99"/>
    <w:locked/>
    <w:rsid w:val="0080302B"/>
    <w:rPr>
      <w:rFonts w:ascii="Times New Roman" w:eastAsia="Times New Roman" w:hAnsi="Times New Roman" w:cs="Times New Roman"/>
      <w:sz w:val="24"/>
      <w:szCs w:val="24"/>
      <w:lang w:eastAsia="es-CO"/>
    </w:rPr>
  </w:style>
  <w:style w:type="character" w:customStyle="1" w:styleId="baj">
    <w:name w:val="b_aj"/>
    <w:basedOn w:val="Fuentedeprrafopredeter"/>
    <w:rsid w:val="0080302B"/>
  </w:style>
  <w:style w:type="character" w:styleId="Refdecomentario">
    <w:name w:val="annotation reference"/>
    <w:basedOn w:val="Fuentedeprrafopredeter"/>
    <w:uiPriority w:val="99"/>
    <w:semiHidden/>
    <w:unhideWhenUsed/>
    <w:rsid w:val="00820CEB"/>
    <w:rPr>
      <w:sz w:val="16"/>
      <w:szCs w:val="16"/>
    </w:rPr>
  </w:style>
  <w:style w:type="paragraph" w:styleId="Textocomentario">
    <w:name w:val="annotation text"/>
    <w:basedOn w:val="Normal"/>
    <w:link w:val="TextocomentarioCar"/>
    <w:uiPriority w:val="99"/>
    <w:unhideWhenUsed/>
    <w:rsid w:val="00820CEB"/>
    <w:pPr>
      <w:spacing w:line="240" w:lineRule="auto"/>
    </w:pPr>
    <w:rPr>
      <w:sz w:val="20"/>
      <w:szCs w:val="20"/>
    </w:rPr>
  </w:style>
  <w:style w:type="character" w:customStyle="1" w:styleId="TextocomentarioCar">
    <w:name w:val="Texto comentario Car"/>
    <w:basedOn w:val="Fuentedeprrafopredeter"/>
    <w:link w:val="Textocomentario"/>
    <w:uiPriority w:val="99"/>
    <w:rsid w:val="00820CEB"/>
    <w:rPr>
      <w:sz w:val="20"/>
      <w:szCs w:val="20"/>
    </w:rPr>
  </w:style>
  <w:style w:type="paragraph" w:styleId="Asuntodelcomentario">
    <w:name w:val="annotation subject"/>
    <w:basedOn w:val="Textocomentario"/>
    <w:next w:val="Textocomentario"/>
    <w:link w:val="AsuntodelcomentarioCar"/>
    <w:uiPriority w:val="99"/>
    <w:semiHidden/>
    <w:unhideWhenUsed/>
    <w:rsid w:val="00820CEB"/>
    <w:rPr>
      <w:b/>
      <w:bCs/>
    </w:rPr>
  </w:style>
  <w:style w:type="character" w:customStyle="1" w:styleId="AsuntodelcomentarioCar">
    <w:name w:val="Asunto del comentario Car"/>
    <w:basedOn w:val="TextocomentarioCar"/>
    <w:link w:val="Asuntodelcomentario"/>
    <w:uiPriority w:val="99"/>
    <w:semiHidden/>
    <w:rsid w:val="00820C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064941015">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olombiacompra.gov.co/wp-content/uploads/2025/09/006-de-2025-Circular-Externa-L996-ajustado-comentarios-BM-BID-Rev-ARSC-V3.d-1.pdf"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enos@cesar.gov.c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insalud.gov.co/sites/rid/Lists/BibliotecaDigital/RIDE/VS/PP/lineamiento-tecnico-operativo-equipos-basicos-salud-modelo-pp.pdf" TargetMode="External"/><Relationship Id="rId1" Type="http://schemas.openxmlformats.org/officeDocument/2006/relationships/hyperlink" Target="https://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37751-15FE-46A1-864C-7CFAD239621D}"/>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39</Pages>
  <Words>12885</Words>
  <Characters>70873</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2023-01-10T21:18:00Z</cp:lastPrinted>
  <dcterms:created xsi:type="dcterms:W3CDTF">2026-06-30T16:05:00Z</dcterms:created>
  <dcterms:modified xsi:type="dcterms:W3CDTF">2026-06-30T16:05:00Z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