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3B035" w14:textId="77777777" w:rsidR="0029263A" w:rsidRPr="00AA6C46" w:rsidRDefault="0029263A" w:rsidP="00120F6B">
      <w:pPr>
        <w:spacing w:after="0" w:line="240" w:lineRule="auto"/>
        <w:jc w:val="both"/>
        <w:rPr>
          <w:rFonts w:ascii="Verdana" w:eastAsia="Verdana" w:hAnsi="Verdana" w:cs="Verdana"/>
          <w:b/>
          <w:bCs/>
          <w:lang w:val="es-ES_tradnl"/>
        </w:rPr>
      </w:pPr>
      <w:bookmarkStart w:id="0" w:name="_Hlk143780582"/>
      <w:r w:rsidRPr="00AA6C46">
        <w:rPr>
          <w:rFonts w:ascii="Verdana" w:eastAsia="Verdana" w:hAnsi="Verdana" w:cs="Verdana"/>
          <w:b/>
          <w:bCs/>
          <w:lang w:val="es-ES_tradnl"/>
        </w:rPr>
        <w:t xml:space="preserve">CLÁUSULAS EXCEPCIONALES – Noción- Alcance </w:t>
      </w:r>
    </w:p>
    <w:p w14:paraId="53287553" w14:textId="77777777" w:rsidR="0029263A" w:rsidRDefault="0029263A" w:rsidP="00120F6B">
      <w:pPr>
        <w:spacing w:after="0" w:line="240" w:lineRule="auto"/>
        <w:jc w:val="both"/>
        <w:rPr>
          <w:rFonts w:ascii="Verdana" w:eastAsia="Verdana" w:hAnsi="Verdana" w:cs="Verdana"/>
          <w:b/>
          <w:bCs/>
          <w:lang w:val="es-ES_tradnl"/>
        </w:rPr>
      </w:pPr>
    </w:p>
    <w:p w14:paraId="78C4E03C" w14:textId="737A3A30" w:rsidR="00AA6C46" w:rsidRPr="00653DF1" w:rsidRDefault="00653DF1" w:rsidP="00120F6B">
      <w:pPr>
        <w:spacing w:after="0" w:line="240" w:lineRule="auto"/>
        <w:jc w:val="both"/>
        <w:rPr>
          <w:rFonts w:ascii="Verdana" w:eastAsia="Verdana" w:hAnsi="Verdana" w:cs="Verdana"/>
          <w:sz w:val="20"/>
          <w:szCs w:val="20"/>
          <w:lang w:val="es-ES"/>
        </w:rPr>
      </w:pPr>
      <w:r w:rsidRPr="00653DF1">
        <w:rPr>
          <w:rFonts w:ascii="Verdana" w:eastAsia="Verdana" w:hAnsi="Verdana" w:cs="Verdana"/>
          <w:sz w:val="20"/>
          <w:szCs w:val="20"/>
          <w:lang w:val="es-ES"/>
        </w:rPr>
        <w:t xml:space="preserve">Durante la ejecución de los contratos, las Entidades Estatales sometidas al Estatuto General de Contratación de la Administración Pública –en adelante EGCAP– usualmente cuentan con distintas potestades exorbitantes o excepcionales, con base en las cuales ejercen la dirección general del contrato y realizan las actividades propias de vigilancia y control. Entre dichas potestades se encuentran: a) Las cláusulas excepcionales del </w:t>
      </w:r>
      <w:r w:rsidRPr="00653DF1">
        <w:rPr>
          <w:rFonts w:ascii="Verdana" w:eastAsia="Verdana" w:hAnsi="Verdana" w:cs="Verdana"/>
          <w:i/>
          <w:iCs/>
          <w:sz w:val="20"/>
          <w:szCs w:val="20"/>
          <w:lang w:val="es-ES"/>
        </w:rPr>
        <w:t>artículo 14</w:t>
      </w:r>
      <w:r w:rsidRPr="00653DF1">
        <w:rPr>
          <w:rFonts w:ascii="Verdana" w:eastAsia="Verdana" w:hAnsi="Verdana" w:cs="Verdana"/>
          <w:sz w:val="20"/>
          <w:szCs w:val="20"/>
          <w:lang w:val="es-ES"/>
        </w:rPr>
        <w:t xml:space="preserve"> de la Ley 80 de 1993, concepto que incluye la terminación unilateral, la interpretación unilateral, la modificación unilateral, la caducidad y la reversión. Dichas prerrogativas se desarrollan en los artículos 15 a 19 </w:t>
      </w:r>
      <w:r w:rsidRPr="00653DF1">
        <w:rPr>
          <w:rFonts w:ascii="Verdana" w:eastAsia="Verdana" w:hAnsi="Verdana" w:cs="Verdana"/>
          <w:i/>
          <w:iCs/>
          <w:sz w:val="20"/>
          <w:szCs w:val="20"/>
          <w:lang w:val="es-ES"/>
        </w:rPr>
        <w:t>ibidem</w:t>
      </w:r>
      <w:r w:rsidRPr="00653DF1">
        <w:rPr>
          <w:rFonts w:ascii="Verdana" w:eastAsia="Verdana" w:hAnsi="Verdana" w:cs="Verdana"/>
          <w:sz w:val="20"/>
          <w:szCs w:val="20"/>
          <w:lang w:val="es-ES"/>
        </w:rPr>
        <w:t xml:space="preserve">; b) Las cláusulas excepcionales de </w:t>
      </w:r>
      <w:r w:rsidRPr="00653DF1">
        <w:rPr>
          <w:rFonts w:ascii="Verdana" w:eastAsia="Verdana" w:hAnsi="Verdana" w:cs="Verdana"/>
          <w:i/>
          <w:iCs/>
          <w:sz w:val="20"/>
          <w:szCs w:val="20"/>
          <w:lang w:val="es-ES"/>
        </w:rPr>
        <w:t>imposición unilateral de las cláusulas penales y de multas</w:t>
      </w:r>
      <w:r w:rsidRPr="00653DF1">
        <w:rPr>
          <w:rFonts w:ascii="Verdana" w:eastAsia="Verdana" w:hAnsi="Verdana" w:cs="Verdana"/>
          <w:sz w:val="20"/>
          <w:szCs w:val="20"/>
          <w:lang w:val="es-ES"/>
        </w:rPr>
        <w:t xml:space="preserve">, según lo establecido en el artículo 17 de la Ley 1150 de 2007. En este caso su exorbitancia se refiere a la facultad de imposición unilateral, no a su pacto, que es posible en virtud de las normas civiles y comerciales; c) Las potestades establecidas en otras disposiciones como la liquidación unilateral y la </w:t>
      </w:r>
      <w:r w:rsidRPr="00653DF1">
        <w:rPr>
          <w:rFonts w:ascii="Verdana" w:eastAsia="Verdana" w:hAnsi="Verdana" w:cs="Verdana"/>
          <w:i/>
          <w:iCs/>
          <w:sz w:val="20"/>
          <w:szCs w:val="20"/>
          <w:lang w:val="es-ES"/>
        </w:rPr>
        <w:t>declaratoria unilateral del siniestro</w:t>
      </w:r>
      <w:r w:rsidRPr="00653DF1">
        <w:rPr>
          <w:rFonts w:ascii="Verdana" w:eastAsia="Verdana" w:hAnsi="Verdana" w:cs="Verdana"/>
          <w:sz w:val="20"/>
          <w:szCs w:val="20"/>
          <w:lang w:val="es-ES"/>
        </w:rPr>
        <w:t xml:space="preserve"> –artículos 7 y 11 de la Ley 1150 de 2007–.</w:t>
      </w:r>
    </w:p>
    <w:p w14:paraId="753F3314" w14:textId="77777777" w:rsidR="00653DF1" w:rsidRPr="00AA6C46" w:rsidRDefault="00653DF1" w:rsidP="00120F6B">
      <w:pPr>
        <w:spacing w:after="0" w:line="240" w:lineRule="auto"/>
        <w:jc w:val="both"/>
        <w:rPr>
          <w:rFonts w:ascii="Verdana" w:eastAsia="Verdana" w:hAnsi="Verdana" w:cs="Verdana"/>
          <w:b/>
          <w:bCs/>
          <w:lang w:val="es-ES_tradnl"/>
        </w:rPr>
      </w:pPr>
    </w:p>
    <w:p w14:paraId="4253C527" w14:textId="77777777" w:rsidR="0029263A" w:rsidRPr="00AA6C46" w:rsidRDefault="0029263A" w:rsidP="00120F6B">
      <w:pPr>
        <w:spacing w:after="0" w:line="240" w:lineRule="auto"/>
        <w:jc w:val="both"/>
        <w:rPr>
          <w:rFonts w:ascii="Verdana" w:eastAsia="Verdana" w:hAnsi="Verdana" w:cs="Verdana"/>
          <w:b/>
          <w:bCs/>
          <w:lang w:val="es-ES_tradnl"/>
        </w:rPr>
      </w:pPr>
      <w:r w:rsidRPr="00AA6C46">
        <w:rPr>
          <w:rFonts w:ascii="Verdana" w:eastAsia="Verdana" w:hAnsi="Verdana" w:cs="Verdana"/>
          <w:b/>
          <w:bCs/>
          <w:lang w:val="es-ES_tradnl"/>
        </w:rPr>
        <w:t xml:space="preserve">CLÁUSULAS EXCEPCIONALES – Potestades Exorbitantes – Artículo 14 – Ley 80 de 1993 </w:t>
      </w:r>
    </w:p>
    <w:p w14:paraId="20CA9AC2" w14:textId="77777777" w:rsidR="0029263A" w:rsidRPr="00AA6C46" w:rsidRDefault="0029263A" w:rsidP="00120F6B">
      <w:pPr>
        <w:spacing w:after="0" w:line="240" w:lineRule="auto"/>
        <w:jc w:val="both"/>
        <w:rPr>
          <w:rFonts w:ascii="Verdana" w:eastAsia="Verdana" w:hAnsi="Verdana" w:cs="Verdana"/>
          <w:b/>
          <w:bCs/>
          <w:lang w:val="es-ES_tradnl"/>
        </w:rPr>
      </w:pPr>
    </w:p>
    <w:p w14:paraId="62C58439" w14:textId="4716A891" w:rsidR="00807BE7" w:rsidRDefault="00807BE7" w:rsidP="00120F6B">
      <w:pPr>
        <w:spacing w:after="0" w:line="240" w:lineRule="auto"/>
        <w:jc w:val="both"/>
        <w:rPr>
          <w:rFonts w:ascii="Verdana" w:eastAsia="Verdana" w:hAnsi="Verdana" w:cs="Verdana"/>
          <w:sz w:val="20"/>
          <w:szCs w:val="20"/>
          <w:lang w:val="es-MX"/>
        </w:rPr>
      </w:pPr>
      <w:r w:rsidRPr="00807BE7">
        <w:rPr>
          <w:rFonts w:ascii="Verdana" w:eastAsia="Verdana" w:hAnsi="Verdana" w:cs="Verdana"/>
          <w:iCs/>
          <w:sz w:val="20"/>
          <w:szCs w:val="20"/>
          <w:lang w:val="es-MX"/>
        </w:rPr>
        <w:t xml:space="preserve">Las potestades exorbitantes son una manifestación del </w:t>
      </w:r>
      <w:proofErr w:type="spellStart"/>
      <w:r w:rsidRPr="00807BE7">
        <w:rPr>
          <w:rFonts w:ascii="Verdana" w:eastAsia="Verdana" w:hAnsi="Verdana" w:cs="Verdana"/>
          <w:i/>
          <w:iCs/>
          <w:sz w:val="20"/>
          <w:szCs w:val="20"/>
          <w:lang w:val="es-MX"/>
        </w:rPr>
        <w:t>imperium</w:t>
      </w:r>
      <w:proofErr w:type="spellEnd"/>
      <w:r w:rsidRPr="00807BE7">
        <w:rPr>
          <w:rFonts w:ascii="Verdana" w:eastAsia="Verdana" w:hAnsi="Verdana" w:cs="Verdana"/>
          <w:i/>
          <w:iCs/>
          <w:sz w:val="20"/>
          <w:szCs w:val="20"/>
          <w:lang w:val="es-MX"/>
        </w:rPr>
        <w:t xml:space="preserve"> </w:t>
      </w:r>
      <w:r w:rsidRPr="00807BE7">
        <w:rPr>
          <w:rFonts w:ascii="Verdana" w:eastAsia="Verdana" w:hAnsi="Verdana" w:cs="Verdana"/>
          <w:iCs/>
          <w:sz w:val="20"/>
          <w:szCs w:val="20"/>
          <w:lang w:val="es-MX"/>
        </w:rPr>
        <w:t xml:space="preserve">de la Administración en los procesos de contratación pública. En tal sentido, </w:t>
      </w:r>
      <w:r w:rsidRPr="00807BE7">
        <w:rPr>
          <w:rFonts w:ascii="Verdana" w:eastAsia="Verdana" w:hAnsi="Verdana" w:cs="Verdana"/>
          <w:sz w:val="20"/>
          <w:szCs w:val="20"/>
          <w:lang w:val="es-MX"/>
        </w:rPr>
        <w:t xml:space="preserve">la utilización de las cláusulas exorbitantes estaría justificada porque se convierte en un instrumento para salvaguardar el interés público involucrado en el cumplimiento de las prestaciones del contrato. A estas cláusulas también se les denomina como “exorbitantes”. Etimológicamente, esta palabra viene del latín: se compone del prefijo </w:t>
      </w:r>
      <w:r w:rsidRPr="00807BE7">
        <w:rPr>
          <w:rFonts w:ascii="Verdana" w:eastAsia="Verdana" w:hAnsi="Verdana" w:cs="Verdana"/>
          <w:i/>
          <w:iCs/>
          <w:sz w:val="20"/>
          <w:szCs w:val="20"/>
          <w:lang w:val="es-MX"/>
        </w:rPr>
        <w:t>ex</w:t>
      </w:r>
      <w:r w:rsidRPr="00807BE7">
        <w:rPr>
          <w:rFonts w:ascii="Verdana" w:eastAsia="Verdana" w:hAnsi="Verdana" w:cs="Verdana"/>
          <w:sz w:val="20"/>
          <w:szCs w:val="20"/>
          <w:lang w:val="es-MX"/>
        </w:rPr>
        <w:t xml:space="preserve">, que indica separación o movimiento de salida, y la raíz de la palabra </w:t>
      </w:r>
      <w:r w:rsidRPr="00807BE7">
        <w:rPr>
          <w:rFonts w:ascii="Verdana" w:eastAsia="Verdana" w:hAnsi="Verdana" w:cs="Verdana"/>
          <w:i/>
          <w:iCs/>
          <w:sz w:val="20"/>
          <w:szCs w:val="20"/>
          <w:lang w:val="es-MX"/>
        </w:rPr>
        <w:t>orbita</w:t>
      </w:r>
      <w:r w:rsidRPr="00807BE7">
        <w:rPr>
          <w:rFonts w:ascii="Verdana" w:eastAsia="Verdana" w:hAnsi="Verdana" w:cs="Verdana"/>
          <w:sz w:val="20"/>
          <w:szCs w:val="20"/>
          <w:lang w:val="es-MX"/>
        </w:rPr>
        <w:t xml:space="preserve">, relacionado con el curso de los astros, un derivado de la palabra </w:t>
      </w:r>
      <w:proofErr w:type="spellStart"/>
      <w:r w:rsidRPr="00807BE7">
        <w:rPr>
          <w:rFonts w:ascii="Verdana" w:eastAsia="Verdana" w:hAnsi="Verdana" w:cs="Verdana"/>
          <w:i/>
          <w:iCs/>
          <w:sz w:val="20"/>
          <w:szCs w:val="20"/>
          <w:lang w:val="es-MX"/>
        </w:rPr>
        <w:t>orbis</w:t>
      </w:r>
      <w:proofErr w:type="spellEnd"/>
      <w:r w:rsidRPr="00807BE7">
        <w:rPr>
          <w:rFonts w:ascii="Verdana" w:eastAsia="Verdana" w:hAnsi="Verdana" w:cs="Verdana"/>
          <w:sz w:val="20"/>
          <w:szCs w:val="20"/>
          <w:lang w:val="es-MX"/>
        </w:rPr>
        <w:t xml:space="preserve">, que significa circunferencia. En esta medida, lo exorbitante es lo que se sale excesivamente de su ritmo o medida habitual. Para la doctrina, estas cláusulas son exorbitantes bien porque son poco habituales en los contratos entre particulares o porque, pactadas en los mismos, están viciadas de nulidad. Por ser poco habituales, cláusulas como las de supervisión e interventoría tendrían esta naturaleza, las cuales –pese a la definición– pueden pactarse en los contratos entre particulares, pues no están expresamente prohibidas. </w:t>
      </w:r>
    </w:p>
    <w:p w14:paraId="7E6E439C" w14:textId="77777777" w:rsidR="00120F6B" w:rsidRPr="00807BE7" w:rsidRDefault="00120F6B" w:rsidP="00120F6B">
      <w:pPr>
        <w:spacing w:after="0" w:line="240" w:lineRule="auto"/>
        <w:jc w:val="both"/>
        <w:rPr>
          <w:rFonts w:ascii="Verdana" w:eastAsia="Verdana" w:hAnsi="Verdana" w:cs="Verdana"/>
          <w:sz w:val="20"/>
          <w:szCs w:val="20"/>
          <w:lang w:val="es-MX"/>
        </w:rPr>
      </w:pPr>
    </w:p>
    <w:p w14:paraId="6A51A468" w14:textId="4E6E747E" w:rsidR="0029263A" w:rsidRPr="00807BE7" w:rsidRDefault="00807BE7" w:rsidP="00120F6B">
      <w:pPr>
        <w:spacing w:after="0" w:line="240" w:lineRule="auto"/>
        <w:jc w:val="both"/>
        <w:rPr>
          <w:rFonts w:ascii="Verdana" w:eastAsia="Verdana" w:hAnsi="Verdana" w:cs="Verdana"/>
          <w:sz w:val="20"/>
          <w:szCs w:val="20"/>
        </w:rPr>
      </w:pPr>
      <w:r w:rsidRPr="00807BE7">
        <w:rPr>
          <w:rFonts w:ascii="Verdana" w:eastAsia="Verdana" w:hAnsi="Verdana" w:cs="Verdana"/>
          <w:sz w:val="20"/>
          <w:szCs w:val="20"/>
        </w:rPr>
        <w:t>En relación con estas potestades de carácter exorbitante, la versión original del artículo 14.2 de la Ley 80 de 1993 disponía que en los contratos cuyo objeto fuera el ejercicio de actividades constitutivas de monopolio estatal, la prestación de servicios públicos, la explotación y concesión de bienes del Estado, así como en los contratos de obra, debían pactarse las cláusulas excepcionales al derecho común de terminación, interpretación y modificación unilaterales, de sometimiento a las leyes nacionales y de caducidad. Asimismo, establecía que en los contratos de explotación y concesión de bienes del Estado debía incluirse la cláusula de reversión.</w:t>
      </w:r>
    </w:p>
    <w:p w14:paraId="1B4D24B8" w14:textId="77777777" w:rsidR="00807BE7" w:rsidRPr="00AA6C46" w:rsidRDefault="00807BE7" w:rsidP="00120F6B">
      <w:pPr>
        <w:spacing w:after="0" w:line="240" w:lineRule="auto"/>
        <w:jc w:val="both"/>
        <w:rPr>
          <w:rFonts w:ascii="Verdana" w:eastAsia="Verdana" w:hAnsi="Verdana" w:cs="Verdana"/>
          <w:b/>
          <w:bCs/>
          <w:lang w:val="es-ES_tradnl"/>
        </w:rPr>
      </w:pPr>
    </w:p>
    <w:p w14:paraId="1225566F" w14:textId="179FD8EC" w:rsidR="0029263A" w:rsidRPr="00AA6C46" w:rsidRDefault="0029263A" w:rsidP="00120F6B">
      <w:pPr>
        <w:spacing w:after="0" w:line="240" w:lineRule="auto"/>
        <w:jc w:val="both"/>
        <w:rPr>
          <w:rFonts w:ascii="Verdana" w:eastAsia="Verdana" w:hAnsi="Verdana" w:cs="Verdana"/>
          <w:b/>
          <w:bCs/>
          <w:lang w:val="es-ES_tradnl"/>
        </w:rPr>
      </w:pPr>
      <w:r w:rsidRPr="00AA6C46">
        <w:rPr>
          <w:rFonts w:ascii="Verdana" w:eastAsia="Verdana" w:hAnsi="Verdana" w:cs="Verdana"/>
          <w:b/>
          <w:bCs/>
          <w:lang w:val="es-ES_tradnl"/>
        </w:rPr>
        <w:lastRenderedPageBreak/>
        <w:t>POTESTADES EXORBITANTES – Elemento de la naturaleza</w:t>
      </w:r>
    </w:p>
    <w:p w14:paraId="4CE906FC" w14:textId="77777777" w:rsidR="0029263A" w:rsidRPr="00AA6C46" w:rsidRDefault="0029263A" w:rsidP="00120F6B">
      <w:pPr>
        <w:spacing w:after="0" w:line="240" w:lineRule="auto"/>
        <w:jc w:val="both"/>
        <w:rPr>
          <w:rFonts w:ascii="Verdana" w:eastAsia="Verdana" w:hAnsi="Verdana" w:cs="Verdana"/>
          <w:b/>
          <w:bCs/>
          <w:lang w:val="es-ES_tradnl"/>
        </w:rPr>
      </w:pPr>
    </w:p>
    <w:p w14:paraId="5DC2C720" w14:textId="4DB8FE89" w:rsidR="00857A7C" w:rsidRPr="002B49D2" w:rsidRDefault="00857A7C" w:rsidP="00120F6B">
      <w:pPr>
        <w:spacing w:after="0" w:line="240" w:lineRule="auto"/>
        <w:jc w:val="both"/>
        <w:rPr>
          <w:rFonts w:ascii="Verdana" w:eastAsia="Verdana" w:hAnsi="Verdana" w:cs="Verdana"/>
          <w:sz w:val="20"/>
          <w:szCs w:val="20"/>
        </w:rPr>
      </w:pPr>
      <w:r w:rsidRPr="002B49D2">
        <w:rPr>
          <w:rFonts w:ascii="Verdana" w:eastAsia="Verdana" w:hAnsi="Verdana" w:cs="Verdana"/>
          <w:sz w:val="20"/>
          <w:szCs w:val="20"/>
        </w:rPr>
        <w:t xml:space="preserve">Para mayor claridad, la jurisprudencia ha señalado que el artículo 14 de la Ley 80 de 1993 estructura cuatro grupos de contratos en los cuales el régimen aplicable a las potestades excepcionales varía según el tipo contractual. Esta clasificación permite comprender de manera sistemática cómo opera la inclusión legal de dichas facultades y cuáles son los alcances de la intervención unilateral de la Administración en cada categoría contractual. El </w:t>
      </w:r>
      <w:r w:rsidRPr="002B49D2">
        <w:rPr>
          <w:rFonts w:ascii="Verdana" w:eastAsia="Verdana" w:hAnsi="Verdana" w:cs="Verdana"/>
          <w:i/>
          <w:iCs/>
          <w:sz w:val="20"/>
          <w:szCs w:val="20"/>
        </w:rPr>
        <w:t>primer grupo</w:t>
      </w:r>
      <w:r w:rsidRPr="002B49D2">
        <w:rPr>
          <w:rFonts w:ascii="Verdana" w:eastAsia="Verdana" w:hAnsi="Verdana" w:cs="Verdana"/>
          <w:sz w:val="20"/>
          <w:szCs w:val="20"/>
        </w:rPr>
        <w:t xml:space="preserve"> corresponde a aquellos en los que es obligatorio incluir poderes exorbitantes, formado por aquellos que tengan por objeto el ejercicio de una actividad que constituya monopolio estatal, la prestación de servicios públicos, los contratos relacionados con el programa de alimentación escolar o la explotación y concesión de bienes del Estado, así como en los contratos de obra. En estas tipologías, conforme a la clasificación del artículo 1501 del Código Civil, los poderes corresponden a cláusulas de naturaleza, es decir, aquellas que –frente al silencio del pliego de condiciones o del contrato– forman parte del negocio en virtud de la ley. Considerando la relación directa de estos contratos con la eficiente prestación de los servicios públicos, los poderes exorbitantes de este grupo son irrenunciables. </w:t>
      </w:r>
    </w:p>
    <w:p w14:paraId="660268B4" w14:textId="77777777" w:rsidR="0029263A" w:rsidRPr="00857A7C" w:rsidRDefault="0029263A" w:rsidP="00120F6B">
      <w:pPr>
        <w:spacing w:after="0" w:line="240" w:lineRule="auto"/>
        <w:jc w:val="both"/>
        <w:rPr>
          <w:rFonts w:ascii="Verdana" w:eastAsia="Verdana" w:hAnsi="Verdana" w:cs="Verdana"/>
          <w:b/>
          <w:bCs/>
        </w:rPr>
      </w:pPr>
    </w:p>
    <w:p w14:paraId="4D508309" w14:textId="77777777" w:rsidR="0029263A" w:rsidRPr="00AA6C46" w:rsidRDefault="0029263A" w:rsidP="00120F6B">
      <w:pPr>
        <w:spacing w:after="0" w:line="240" w:lineRule="auto"/>
        <w:jc w:val="both"/>
        <w:rPr>
          <w:rFonts w:ascii="Verdana" w:eastAsia="Verdana" w:hAnsi="Verdana" w:cs="Verdana"/>
          <w:b/>
          <w:bCs/>
          <w:lang w:val="es-ES_tradnl"/>
        </w:rPr>
      </w:pPr>
      <w:r w:rsidRPr="00AA6C46">
        <w:rPr>
          <w:rFonts w:ascii="Verdana" w:eastAsia="Verdana" w:hAnsi="Verdana" w:cs="Verdana"/>
          <w:b/>
          <w:bCs/>
          <w:lang w:val="es-ES_tradnl"/>
        </w:rPr>
        <w:t xml:space="preserve"> CLÁUSULAS EXCEPCIONALES– Elemento accidental</w:t>
      </w:r>
    </w:p>
    <w:p w14:paraId="6C352BCA" w14:textId="77777777" w:rsidR="0029263A" w:rsidRPr="00AA6C46" w:rsidRDefault="0029263A" w:rsidP="00120F6B">
      <w:pPr>
        <w:spacing w:after="0" w:line="240" w:lineRule="auto"/>
        <w:jc w:val="both"/>
        <w:rPr>
          <w:rFonts w:ascii="Verdana" w:eastAsia="Verdana" w:hAnsi="Verdana" w:cs="Verdana"/>
          <w:b/>
          <w:bCs/>
          <w:lang w:val="es-ES_tradnl"/>
        </w:rPr>
      </w:pPr>
    </w:p>
    <w:p w14:paraId="78B6C24C" w14:textId="77777777" w:rsidR="00005CA9" w:rsidRPr="002B49D2" w:rsidRDefault="00005CA9" w:rsidP="00120F6B">
      <w:pPr>
        <w:spacing w:after="0" w:line="240" w:lineRule="auto"/>
        <w:jc w:val="both"/>
        <w:rPr>
          <w:rFonts w:ascii="Verdana" w:eastAsia="Verdana" w:hAnsi="Verdana" w:cs="Verdana"/>
          <w:sz w:val="20"/>
          <w:szCs w:val="20"/>
        </w:rPr>
      </w:pPr>
      <w:r w:rsidRPr="002B49D2">
        <w:rPr>
          <w:rFonts w:ascii="Verdana" w:eastAsia="Verdana" w:hAnsi="Verdana" w:cs="Verdana"/>
          <w:sz w:val="20"/>
          <w:szCs w:val="20"/>
        </w:rPr>
        <w:t xml:space="preserve">El </w:t>
      </w:r>
      <w:r w:rsidRPr="002B49D2">
        <w:rPr>
          <w:rFonts w:ascii="Verdana" w:eastAsia="Verdana" w:hAnsi="Verdana" w:cs="Verdana"/>
          <w:i/>
          <w:iCs/>
          <w:sz w:val="20"/>
          <w:szCs w:val="20"/>
        </w:rPr>
        <w:t>segundo grupo</w:t>
      </w:r>
      <w:r w:rsidRPr="002B49D2">
        <w:rPr>
          <w:rFonts w:ascii="Verdana" w:eastAsia="Verdana" w:hAnsi="Verdana" w:cs="Verdana"/>
          <w:sz w:val="20"/>
          <w:szCs w:val="20"/>
        </w:rPr>
        <w:t xml:space="preserve"> está conformado por los contratos en que estas facultades son potestativas, lo cual aplica a los contratos de suministro y de prestación de servicios. Si bien todas las entidades deben cumplir con los fines del artículo 3 de la Ley 80 de 1993, en este caso existe una relación indirecta con la prestación de los servicios públicos, por lo que estas cláusulas no son obligatorias. En este grupo, la ley no suple el silencio del pliego de condiciones o del contrato, pues –conforme al artículo 1501 del Código Civil– son elementos accidentales que requieren pacto expreso. </w:t>
      </w:r>
    </w:p>
    <w:p w14:paraId="312FA4E5" w14:textId="77777777" w:rsidR="0029263A" w:rsidRPr="00005CA9" w:rsidRDefault="0029263A" w:rsidP="00120F6B">
      <w:pPr>
        <w:spacing w:after="0" w:line="240" w:lineRule="auto"/>
        <w:jc w:val="both"/>
        <w:rPr>
          <w:rFonts w:ascii="Verdana" w:eastAsia="Verdana" w:hAnsi="Verdana" w:cs="Verdana"/>
          <w:b/>
          <w:bCs/>
        </w:rPr>
      </w:pPr>
    </w:p>
    <w:p w14:paraId="20DA2A9C" w14:textId="77777777" w:rsidR="0029263A" w:rsidRPr="00AA6C46" w:rsidRDefault="0029263A" w:rsidP="00120F6B">
      <w:pPr>
        <w:spacing w:after="0" w:line="240" w:lineRule="auto"/>
        <w:jc w:val="both"/>
        <w:rPr>
          <w:rFonts w:ascii="Verdana" w:eastAsia="Verdana" w:hAnsi="Verdana" w:cs="Verdana"/>
          <w:b/>
          <w:bCs/>
          <w:lang w:val="es-ES_tradnl"/>
        </w:rPr>
      </w:pPr>
      <w:r w:rsidRPr="00AA6C46">
        <w:rPr>
          <w:rFonts w:ascii="Verdana" w:eastAsia="Verdana" w:hAnsi="Verdana" w:cs="Verdana"/>
          <w:b/>
          <w:bCs/>
          <w:lang w:val="es-ES_tradnl"/>
        </w:rPr>
        <w:t xml:space="preserve">CLÁUSULAS EXCEPCIONALES – Cláusula prohibitiva </w:t>
      </w:r>
    </w:p>
    <w:p w14:paraId="098EA6A3" w14:textId="77777777" w:rsidR="0029263A" w:rsidRPr="00AA6C46" w:rsidRDefault="0029263A" w:rsidP="00120F6B">
      <w:pPr>
        <w:spacing w:after="0" w:line="240" w:lineRule="auto"/>
        <w:jc w:val="both"/>
        <w:rPr>
          <w:rFonts w:ascii="Verdana" w:eastAsia="Verdana" w:hAnsi="Verdana" w:cs="Verdana"/>
          <w:b/>
          <w:bCs/>
          <w:lang w:val="es-ES_tradnl"/>
        </w:rPr>
      </w:pPr>
    </w:p>
    <w:p w14:paraId="2F4412E6" w14:textId="77777777" w:rsidR="00005CA9" w:rsidRDefault="00005CA9" w:rsidP="00120F6B">
      <w:pPr>
        <w:spacing w:after="0" w:line="240" w:lineRule="auto"/>
        <w:jc w:val="both"/>
        <w:rPr>
          <w:rFonts w:ascii="Verdana" w:eastAsia="Verdana" w:hAnsi="Verdana" w:cs="Verdana"/>
          <w:sz w:val="20"/>
          <w:szCs w:val="20"/>
        </w:rPr>
      </w:pPr>
      <w:r w:rsidRPr="002B49D2">
        <w:rPr>
          <w:rFonts w:ascii="Verdana" w:eastAsia="Verdana" w:hAnsi="Verdana" w:cs="Verdana"/>
          <w:sz w:val="20"/>
          <w:szCs w:val="20"/>
        </w:rPr>
        <w:t xml:space="preserve">El </w:t>
      </w:r>
      <w:r w:rsidRPr="002B49D2">
        <w:rPr>
          <w:rFonts w:ascii="Verdana" w:eastAsia="Verdana" w:hAnsi="Verdana" w:cs="Verdana"/>
          <w:i/>
          <w:iCs/>
          <w:sz w:val="20"/>
          <w:szCs w:val="20"/>
        </w:rPr>
        <w:t>tercer grupo</w:t>
      </w:r>
      <w:r w:rsidRPr="002B49D2">
        <w:rPr>
          <w:rFonts w:ascii="Verdana" w:eastAsia="Verdana" w:hAnsi="Verdana" w:cs="Verdana"/>
          <w:sz w:val="20"/>
          <w:szCs w:val="20"/>
        </w:rPr>
        <w:t xml:space="preserve"> corresponde a los contratos del parágrafo del artículo 14 del Estatuto General donde la ley prohíbe pactar de estos poderes, so pena de nulidad absoluta por objeto ilícito. En esta categoría se ubican los contratos celebrados con personas públicas internacionales o aquellos de cooperación, ayuda o asistencia; los interadministrativos; los de empréstito, donación y arrendamiento; los contratos cuyo objeto sea el desarrollo de actividades comerciales o industriales de las entidades estatales que no correspondan a las previstas en el numeral 2 del artículo 14; los destinados al desarrollo directo de actividades científicas o tecnológicas; y los contratos de seguro tomados por las entidades estatales. </w:t>
      </w:r>
    </w:p>
    <w:p w14:paraId="07A08FA4" w14:textId="77777777" w:rsidR="002B49D2" w:rsidRPr="002B49D2" w:rsidRDefault="002B49D2" w:rsidP="00120F6B">
      <w:pPr>
        <w:spacing w:after="0" w:line="240" w:lineRule="auto"/>
        <w:jc w:val="both"/>
        <w:rPr>
          <w:rFonts w:ascii="Verdana" w:eastAsia="Verdana" w:hAnsi="Verdana" w:cs="Verdana"/>
          <w:sz w:val="20"/>
          <w:szCs w:val="20"/>
        </w:rPr>
      </w:pPr>
    </w:p>
    <w:p w14:paraId="6195C450" w14:textId="03105DF1" w:rsidR="00005CA9" w:rsidRPr="002B49D2" w:rsidRDefault="00005CA9" w:rsidP="00120F6B">
      <w:pPr>
        <w:spacing w:after="0" w:line="240" w:lineRule="auto"/>
        <w:jc w:val="both"/>
        <w:rPr>
          <w:rFonts w:ascii="Verdana" w:eastAsia="Verdana" w:hAnsi="Verdana" w:cs="Verdana"/>
          <w:sz w:val="20"/>
          <w:szCs w:val="20"/>
        </w:rPr>
      </w:pPr>
      <w:r w:rsidRPr="002B49D2">
        <w:rPr>
          <w:rFonts w:ascii="Verdana" w:eastAsia="Verdana" w:hAnsi="Verdana" w:cs="Verdana"/>
          <w:sz w:val="20"/>
          <w:szCs w:val="20"/>
        </w:rPr>
        <w:t xml:space="preserve">Finalmente, el </w:t>
      </w:r>
      <w:r w:rsidRPr="002B49D2">
        <w:rPr>
          <w:rFonts w:ascii="Verdana" w:eastAsia="Verdana" w:hAnsi="Verdana" w:cs="Verdana"/>
          <w:i/>
          <w:iCs/>
          <w:sz w:val="20"/>
          <w:szCs w:val="20"/>
        </w:rPr>
        <w:t>cuarto grupo</w:t>
      </w:r>
      <w:r w:rsidRPr="002B49D2">
        <w:rPr>
          <w:rFonts w:ascii="Verdana" w:eastAsia="Verdana" w:hAnsi="Verdana" w:cs="Verdana"/>
          <w:sz w:val="20"/>
          <w:szCs w:val="20"/>
        </w:rPr>
        <w:t xml:space="preserve"> está conformado por las tipologías que no se encuentran en alguno de los tres (3) grupos anteriormente comentados. Dado que la ley autoriza su ejercicio, no es posible fundamentar estos poderes en la autonomía de la voluntad. Por tanto, se entiende también están prohibidos en este último grupo, ya que: “De un lado </w:t>
      </w:r>
      <w:r w:rsidRPr="002B49D2">
        <w:rPr>
          <w:rFonts w:ascii="Verdana" w:eastAsia="Verdana" w:hAnsi="Verdana" w:cs="Verdana"/>
          <w:sz w:val="20"/>
          <w:szCs w:val="20"/>
        </w:rPr>
        <w:lastRenderedPageBreak/>
        <w:t>[…], este tipo de poderes requiere, cuando menos, autorización legal para su inclusión y posterior utilización, debido a la naturaleza que tienen estas prerrogativas -por su carácter extraordinario e inusual, en relación con el derecho común-, y, de otro, […] el legislador es el único que puede disponer competencias para la expedición de actos administrativos en desarrollo de los contratos estatales, actos que, como es sabido, constituyen el mecanismo de ejercicio de las exorbitancias contractuales”.</w:t>
      </w:r>
    </w:p>
    <w:p w14:paraId="26990679" w14:textId="77777777" w:rsidR="0029263A" w:rsidRPr="00005CA9" w:rsidRDefault="0029263A" w:rsidP="00120F6B">
      <w:pPr>
        <w:spacing w:after="0" w:line="240" w:lineRule="auto"/>
        <w:jc w:val="both"/>
        <w:rPr>
          <w:rFonts w:ascii="Verdana" w:eastAsia="Verdana" w:hAnsi="Verdana" w:cs="Verdana"/>
          <w:b/>
          <w:bCs/>
        </w:rPr>
      </w:pPr>
    </w:p>
    <w:p w14:paraId="41710BCF" w14:textId="0403F16A" w:rsidR="0029263A" w:rsidRPr="00AA6C46" w:rsidRDefault="0029263A" w:rsidP="00120F6B">
      <w:pPr>
        <w:spacing w:after="0" w:line="240" w:lineRule="auto"/>
        <w:jc w:val="both"/>
        <w:rPr>
          <w:rFonts w:ascii="Verdana" w:eastAsia="Verdana" w:hAnsi="Verdana" w:cs="Verdana"/>
          <w:b/>
          <w:bCs/>
          <w:lang w:val="es-ES_tradnl"/>
        </w:rPr>
      </w:pPr>
      <w:r w:rsidRPr="00AA6C46">
        <w:rPr>
          <w:rFonts w:ascii="Verdana" w:eastAsia="Verdana" w:hAnsi="Verdana" w:cs="Verdana"/>
          <w:b/>
          <w:bCs/>
          <w:lang w:val="es-ES_tradnl"/>
        </w:rPr>
        <w:t>CLÁUSULAS EXCEPCIONALES– Contrato – Explotación y Concesión – Bienes del Estado – Alcance</w:t>
      </w:r>
    </w:p>
    <w:p w14:paraId="3D6572C0" w14:textId="77777777" w:rsidR="009E5D9C" w:rsidRPr="0029263A" w:rsidRDefault="009E5D9C" w:rsidP="00120F6B">
      <w:pPr>
        <w:spacing w:after="0" w:line="240" w:lineRule="auto"/>
        <w:jc w:val="both"/>
        <w:rPr>
          <w:rFonts w:ascii="Verdana" w:eastAsia="Verdana" w:hAnsi="Verdana" w:cs="Verdana"/>
          <w:lang w:val="es-ES_tradnl"/>
        </w:rPr>
      </w:pPr>
    </w:p>
    <w:p w14:paraId="3A98E7FC" w14:textId="3197CC9E" w:rsidR="00A5146D" w:rsidRDefault="00A5146D" w:rsidP="00120F6B">
      <w:pPr>
        <w:spacing w:after="0" w:line="240" w:lineRule="auto"/>
        <w:jc w:val="both"/>
        <w:rPr>
          <w:rFonts w:ascii="Verdana" w:eastAsia="Verdana" w:hAnsi="Verdana" w:cs="Verdana"/>
          <w:sz w:val="20"/>
          <w:szCs w:val="20"/>
        </w:rPr>
      </w:pPr>
      <w:r>
        <w:rPr>
          <w:rFonts w:ascii="Verdana" w:eastAsia="Verdana" w:hAnsi="Verdana" w:cs="Verdana"/>
          <w:sz w:val="20"/>
          <w:szCs w:val="20"/>
        </w:rPr>
        <w:t xml:space="preserve">[…] </w:t>
      </w:r>
      <w:r w:rsidRPr="00A5146D">
        <w:rPr>
          <w:rFonts w:ascii="Verdana" w:eastAsia="Verdana" w:hAnsi="Verdana" w:cs="Verdana"/>
          <w:sz w:val="20"/>
          <w:szCs w:val="20"/>
        </w:rPr>
        <w:t>resulta necesario precisar el alcance de la expresión “explotación y concesión de bienes del Estado”. En particular, debe señalarse que dicha expresión no se limita, en sentido estricto, a los contratos tipificados en el artículo 32.4 de la Ley 80 de 1993 —referidos específicamente a los contratos de concesión—, sino que comprende otros contratos estatales que, aunque no estén previstos de manera expresa en dicha disposición, por su objeto y finalidad implican la utilización, aprovechamiento o administración de bienes estatales.</w:t>
      </w:r>
    </w:p>
    <w:p w14:paraId="149881BB" w14:textId="77777777" w:rsidR="00A5146D" w:rsidRPr="00A5146D" w:rsidRDefault="00A5146D" w:rsidP="00120F6B">
      <w:pPr>
        <w:spacing w:after="0" w:line="240" w:lineRule="auto"/>
        <w:jc w:val="both"/>
        <w:rPr>
          <w:rFonts w:ascii="Verdana" w:eastAsia="Verdana" w:hAnsi="Verdana" w:cs="Verdana"/>
          <w:sz w:val="20"/>
          <w:szCs w:val="20"/>
        </w:rPr>
      </w:pPr>
    </w:p>
    <w:p w14:paraId="170892E1" w14:textId="77777777" w:rsidR="00A5146D" w:rsidRDefault="00A5146D" w:rsidP="00120F6B">
      <w:pPr>
        <w:spacing w:after="0" w:line="240" w:lineRule="auto"/>
        <w:jc w:val="both"/>
        <w:rPr>
          <w:rFonts w:ascii="Verdana" w:eastAsia="Verdana" w:hAnsi="Verdana" w:cs="Verdana"/>
          <w:sz w:val="20"/>
          <w:szCs w:val="20"/>
        </w:rPr>
      </w:pPr>
      <w:r w:rsidRPr="00A5146D">
        <w:rPr>
          <w:rFonts w:ascii="Verdana" w:eastAsia="Verdana" w:hAnsi="Verdana" w:cs="Verdana"/>
          <w:sz w:val="20"/>
          <w:szCs w:val="20"/>
        </w:rPr>
        <w:t>En este contexto, la expresión “explotación y concesión de bienes del Estado” debe entenderse como una categoría amplia que abarca todos aquellos contratos mediante las cuales un particular asume la gestión, uso o aprovechamiento de bienes públicos, independientemente de la denominación contractual empleada. Lo determinante es la naturaleza de la actividad desarrollada y su vinculación con la administración o explotación de bienes estatales, y no la tipología contractual específica.</w:t>
      </w:r>
    </w:p>
    <w:p w14:paraId="05E7F0DD" w14:textId="77777777" w:rsidR="00A5146D" w:rsidRPr="00A5146D" w:rsidRDefault="00A5146D" w:rsidP="00120F6B">
      <w:pPr>
        <w:spacing w:after="0" w:line="240" w:lineRule="auto"/>
        <w:jc w:val="both"/>
        <w:rPr>
          <w:rFonts w:ascii="Verdana" w:eastAsia="Verdana" w:hAnsi="Verdana" w:cs="Verdana"/>
          <w:sz w:val="20"/>
          <w:szCs w:val="20"/>
        </w:rPr>
      </w:pPr>
    </w:p>
    <w:p w14:paraId="3EF77D88" w14:textId="2CC1065D" w:rsidR="00A5146D" w:rsidRDefault="00A5146D" w:rsidP="00120F6B">
      <w:pPr>
        <w:spacing w:after="0" w:line="240" w:lineRule="auto"/>
        <w:jc w:val="both"/>
        <w:rPr>
          <w:rFonts w:ascii="Verdana" w:eastAsia="Verdana" w:hAnsi="Verdana" w:cs="Verdana"/>
          <w:sz w:val="20"/>
          <w:szCs w:val="20"/>
        </w:rPr>
      </w:pPr>
      <w:r w:rsidRPr="00A5146D">
        <w:rPr>
          <w:rFonts w:ascii="Verdana" w:eastAsia="Verdana" w:hAnsi="Verdana" w:cs="Verdana"/>
          <w:sz w:val="20"/>
          <w:szCs w:val="20"/>
        </w:rPr>
        <w:t>Para efectos interpretativos, esta expresión debe analizarse conforme al sentido literal de las palabras, conforme a lo regulado en el artículo 28 del Código Civil, que prescribe: “Las palabras de la ley se entenderán en su sentido natural y obvio, según el uso general de las mismas palabras; pero cuando el legislador las haya definido expresamente para ciertas materias, se les dará en éstas su significado legal”. De esta manera, la interpretación debe partir del significado ordinario de los términos “explotación” y “concesión”, lo cual permite abarcar un espectro contractual más amplio que el previsto de manera taxativa en el artículo 32.4 de la Ley 80 de 1993, por lo que limitar su alcance a esa enumeración taxativa implicaría desconocer que, en la práctica administrativa, existen múltiples formas de gestión, aprovechamiento y administración de bienes estatales que no encajan de manera rígida a la categoría de concesión del artículo 32.4, pero que sí comparten su finalidad económica y su lógica de colaboración entre el Estado y los particulares.</w:t>
      </w:r>
    </w:p>
    <w:p w14:paraId="0C164DC9" w14:textId="77777777" w:rsidR="00120F6B" w:rsidRDefault="00120F6B" w:rsidP="00120F6B">
      <w:pPr>
        <w:spacing w:after="0" w:line="240" w:lineRule="auto"/>
        <w:jc w:val="both"/>
        <w:rPr>
          <w:rFonts w:ascii="Verdana" w:eastAsia="Verdana" w:hAnsi="Verdana" w:cs="Verdana"/>
          <w:sz w:val="20"/>
          <w:szCs w:val="20"/>
        </w:rPr>
      </w:pPr>
    </w:p>
    <w:p w14:paraId="3AFF26C7" w14:textId="77777777" w:rsidR="00120F6B" w:rsidRDefault="00120F6B" w:rsidP="00120F6B">
      <w:pPr>
        <w:spacing w:after="0" w:line="240" w:lineRule="auto"/>
        <w:jc w:val="both"/>
        <w:rPr>
          <w:rFonts w:ascii="Verdana" w:eastAsia="Verdana" w:hAnsi="Verdana" w:cs="Verdana"/>
          <w:sz w:val="20"/>
          <w:szCs w:val="20"/>
        </w:rPr>
      </w:pPr>
    </w:p>
    <w:p w14:paraId="5821972E" w14:textId="77777777" w:rsidR="00120F6B" w:rsidRDefault="00120F6B" w:rsidP="00120F6B">
      <w:pPr>
        <w:spacing w:after="0" w:line="240" w:lineRule="auto"/>
        <w:jc w:val="both"/>
        <w:rPr>
          <w:rFonts w:ascii="Verdana" w:eastAsia="Verdana" w:hAnsi="Verdana" w:cs="Verdana"/>
          <w:sz w:val="20"/>
          <w:szCs w:val="20"/>
        </w:rPr>
      </w:pPr>
    </w:p>
    <w:p w14:paraId="0A8163B0" w14:textId="77777777" w:rsidR="00120F6B" w:rsidRPr="00A5146D" w:rsidRDefault="00120F6B" w:rsidP="00120F6B">
      <w:pPr>
        <w:spacing w:after="0" w:line="240" w:lineRule="auto"/>
        <w:jc w:val="both"/>
        <w:rPr>
          <w:rFonts w:ascii="Verdana" w:eastAsia="Verdana" w:hAnsi="Verdana" w:cs="Verdana"/>
          <w:sz w:val="20"/>
          <w:szCs w:val="20"/>
        </w:rPr>
      </w:pPr>
    </w:p>
    <w:p w14:paraId="4B87DBBD" w14:textId="77777777" w:rsidR="009E5D9C" w:rsidRDefault="009E5D9C" w:rsidP="00120F6B">
      <w:pPr>
        <w:spacing w:after="0" w:line="240" w:lineRule="auto"/>
        <w:jc w:val="both"/>
        <w:rPr>
          <w:rFonts w:ascii="Verdana" w:eastAsia="Verdana" w:hAnsi="Verdana" w:cs="Verdana"/>
        </w:rPr>
      </w:pPr>
    </w:p>
    <w:p w14:paraId="7F7B44AD" w14:textId="502DDA0E" w:rsidR="00F503A8" w:rsidRPr="009037F6" w:rsidRDefault="00F503A8" w:rsidP="00F503A8">
      <w:pPr>
        <w:spacing w:after="0" w:line="240" w:lineRule="auto"/>
        <w:rPr>
          <w:rFonts w:ascii="Verdana" w:hAnsi="Verdana"/>
        </w:rPr>
      </w:pPr>
      <w:r w:rsidRPr="30821638">
        <w:rPr>
          <w:rFonts w:ascii="Verdana" w:eastAsia="Verdana" w:hAnsi="Verdana" w:cs="Verdana"/>
        </w:rPr>
        <w:lastRenderedPageBreak/>
        <w:t xml:space="preserve">Bogotá D.C., </w:t>
      </w:r>
      <w:r w:rsidR="00CB06B9">
        <w:rPr>
          <w:rFonts w:ascii="Verdana" w:eastAsia="Verdana" w:hAnsi="Verdana" w:cs="Verdana"/>
        </w:rPr>
        <w:t>1 de julio de 2026</w:t>
      </w:r>
      <w:r>
        <w:tab/>
      </w:r>
      <w:r>
        <w:br/>
      </w:r>
    </w:p>
    <w:p w14:paraId="3706A9D1" w14:textId="229DCC39" w:rsidR="00F503A8" w:rsidRPr="00D30087" w:rsidRDefault="00F503A8" w:rsidP="00F503A8">
      <w:pPr>
        <w:spacing w:after="0" w:line="240" w:lineRule="auto"/>
        <w:rPr>
          <w:rFonts w:ascii="Verdana" w:hAnsi="Verdana"/>
        </w:rPr>
      </w:pPr>
    </w:p>
    <w:p w14:paraId="15AD9244" w14:textId="1AB05E62" w:rsidR="00F503A8" w:rsidRPr="003C4E54" w:rsidRDefault="00786D45" w:rsidP="00F503A8">
      <w:pPr>
        <w:spacing w:after="0" w:line="240" w:lineRule="auto"/>
        <w:rPr>
          <w:rFonts w:ascii="Verdana" w:eastAsia="Calibri" w:hAnsi="Verdana" w:cs="Times New Roman"/>
          <w:lang w:val="pt-BR"/>
        </w:rPr>
      </w:pPr>
      <w:r w:rsidRPr="000A39AD">
        <w:rPr>
          <w:rFonts w:ascii="Verdana" w:hAnsi="Verdana"/>
          <w:noProof/>
        </w:rPr>
        <w:drawing>
          <wp:anchor distT="0" distB="0" distL="114300" distR="114300" simplePos="0" relativeHeight="251658240" behindDoc="0" locked="0" layoutInCell="1" allowOverlap="1" wp14:anchorId="2FEC1134" wp14:editId="7B218780">
            <wp:simplePos x="0" y="0"/>
            <wp:positionH relativeFrom="margin">
              <wp:align>right</wp:align>
            </wp:positionH>
            <wp:positionV relativeFrom="paragraph">
              <wp:posOffset>8835</wp:posOffset>
            </wp:positionV>
            <wp:extent cx="2416175" cy="755015"/>
            <wp:effectExtent l="0" t="0" r="3175" b="6985"/>
            <wp:wrapSquare wrapText="bothSides"/>
            <wp:docPr id="899757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617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3A8" w:rsidRPr="003C4E54">
        <w:rPr>
          <w:rFonts w:ascii="Verdana" w:eastAsia="Calibri" w:hAnsi="Verdana" w:cs="Times New Roman"/>
          <w:lang w:val="pt-BR"/>
        </w:rPr>
        <w:t>Señor</w:t>
      </w:r>
    </w:p>
    <w:p w14:paraId="3ED0FE4A" w14:textId="77777777" w:rsidR="00F503A8" w:rsidRPr="003C4E54" w:rsidRDefault="00F503A8" w:rsidP="00F503A8">
      <w:pPr>
        <w:spacing w:after="0" w:line="240" w:lineRule="auto"/>
        <w:rPr>
          <w:rFonts w:ascii="Verdana" w:eastAsia="Calibri" w:hAnsi="Verdana" w:cs="Times New Roman"/>
          <w:b/>
          <w:lang w:val="pt-BR"/>
        </w:rPr>
      </w:pPr>
      <w:r w:rsidRPr="003C4E54">
        <w:rPr>
          <w:rFonts w:ascii="Verdana" w:eastAsia="Calibri" w:hAnsi="Verdana" w:cs="Times New Roman"/>
          <w:b/>
          <w:lang w:val="pt-BR"/>
        </w:rPr>
        <w:t>Daniel Fernando Fajardo Restrepo</w:t>
      </w:r>
    </w:p>
    <w:p w14:paraId="72B83093" w14:textId="77777777" w:rsidR="00F503A8" w:rsidRPr="003C4E54" w:rsidRDefault="00F503A8" w:rsidP="00F503A8">
      <w:pPr>
        <w:spacing w:after="0" w:line="240" w:lineRule="auto"/>
        <w:rPr>
          <w:rFonts w:ascii="Verdana" w:eastAsia="Calibri" w:hAnsi="Verdana" w:cs="Times New Roman"/>
          <w:lang w:val="pt-BR"/>
        </w:rPr>
      </w:pPr>
      <w:hyperlink r:id="rId12" w:history="1">
        <w:r w:rsidRPr="003C4E54">
          <w:rPr>
            <w:rStyle w:val="Hipervnculo"/>
            <w:rFonts w:ascii="Verdana" w:eastAsia="Calibri" w:hAnsi="Verdana" w:cs="Times New Roman"/>
            <w:lang w:val="pt-BR"/>
          </w:rPr>
          <w:t>danielhfajardo@gmail.com</w:t>
        </w:r>
      </w:hyperlink>
      <w:r w:rsidRPr="003C4E54">
        <w:rPr>
          <w:rFonts w:ascii="Verdana" w:eastAsia="Calibri" w:hAnsi="Verdana" w:cs="Times New Roman"/>
          <w:lang w:val="pt-BR"/>
        </w:rPr>
        <w:t xml:space="preserve"> </w:t>
      </w:r>
    </w:p>
    <w:p w14:paraId="1F2C737C" w14:textId="77777777" w:rsidR="00F503A8" w:rsidRPr="003C4E54" w:rsidRDefault="00F503A8" w:rsidP="00F503A8">
      <w:pPr>
        <w:spacing w:after="0" w:line="240" w:lineRule="auto"/>
        <w:rPr>
          <w:rFonts w:ascii="Verdana" w:eastAsia="Calibri" w:hAnsi="Verdana" w:cs="Times New Roman"/>
          <w:lang w:val="pt-BR"/>
        </w:rPr>
      </w:pPr>
      <w:r w:rsidRPr="003C4E54">
        <w:rPr>
          <w:rFonts w:ascii="Verdana" w:eastAsia="Calibri" w:hAnsi="Verdana" w:cs="Times New Roman"/>
          <w:lang w:val="pt-BR"/>
        </w:rPr>
        <w:t>Bogotá D.C.</w:t>
      </w:r>
    </w:p>
    <w:p w14:paraId="07572E19" w14:textId="77777777" w:rsidR="00F503A8" w:rsidRPr="003C4E54" w:rsidRDefault="00F503A8" w:rsidP="00F503A8">
      <w:pPr>
        <w:spacing w:after="0" w:line="240" w:lineRule="auto"/>
        <w:rPr>
          <w:rFonts w:ascii="Verdana" w:eastAsia="Calibri" w:hAnsi="Verdana" w:cs="Times New Roman"/>
          <w:lang w:val="pt-BR"/>
        </w:rPr>
      </w:pPr>
    </w:p>
    <w:p w14:paraId="36902496" w14:textId="77777777" w:rsidR="00F503A8" w:rsidRPr="003C4E54" w:rsidRDefault="00F503A8" w:rsidP="00F503A8">
      <w:pPr>
        <w:spacing w:after="0" w:line="240" w:lineRule="auto"/>
        <w:rPr>
          <w:rFonts w:ascii="Verdana" w:eastAsia="Calibri" w:hAnsi="Verdana" w:cs="Times New Roman"/>
          <w:lang w:val="pt-BR"/>
        </w:rPr>
      </w:pPr>
    </w:p>
    <w:p w14:paraId="52D86E79" w14:textId="77777777" w:rsidR="00F503A8" w:rsidRPr="00D30087" w:rsidRDefault="00F503A8" w:rsidP="00F503A8">
      <w:pPr>
        <w:spacing w:after="0" w:line="256" w:lineRule="auto"/>
        <w:rPr>
          <w:rFonts w:ascii="Verdana" w:eastAsia="Calibri" w:hAnsi="Verdana" w:cs="Times New Roman"/>
          <w:b/>
          <w:bCs/>
          <w:lang w:val="es-ES"/>
        </w:rPr>
      </w:pPr>
      <w:r w:rsidRPr="003C4E54">
        <w:rPr>
          <w:rFonts w:ascii="Verdana" w:eastAsia="Calibri" w:hAnsi="Verdana" w:cs="Times New Roman"/>
          <w:b/>
          <w:lang w:val="pt-BR"/>
        </w:rPr>
        <w:t xml:space="preserve">                                    </w:t>
      </w:r>
      <w:r w:rsidRPr="00D30087">
        <w:rPr>
          <w:rFonts w:ascii="Verdana" w:eastAsia="Calibri" w:hAnsi="Verdana" w:cs="Times New Roman"/>
          <w:b/>
          <w:bCs/>
          <w:lang w:val="es-ES"/>
        </w:rPr>
        <w:t>Concepto C–834 de 2026</w:t>
      </w:r>
    </w:p>
    <w:p w14:paraId="54130BF2" w14:textId="77777777" w:rsidR="00F503A8" w:rsidRPr="00D30087" w:rsidRDefault="00F503A8" w:rsidP="00F503A8">
      <w:pPr>
        <w:spacing w:after="0" w:line="256"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F503A8" w:rsidRPr="00D30087" w14:paraId="4700FB7A" w14:textId="77777777" w:rsidTr="00B12B0F">
        <w:trPr>
          <w:trHeight w:val="645"/>
        </w:trPr>
        <w:tc>
          <w:tcPr>
            <w:tcW w:w="2685" w:type="dxa"/>
            <w:hideMark/>
          </w:tcPr>
          <w:p w14:paraId="79BE23A5" w14:textId="77777777" w:rsidR="00F503A8" w:rsidRPr="00D30087" w:rsidRDefault="00F503A8" w:rsidP="00B12B0F">
            <w:pPr>
              <w:spacing w:line="256" w:lineRule="auto"/>
              <w:rPr>
                <w:rFonts w:ascii="Verdana" w:hAnsi="Verdana"/>
                <w:b/>
                <w:bCs/>
                <w:lang w:val="es-ES_tradnl"/>
              </w:rPr>
            </w:pPr>
            <w:r w:rsidRPr="00D30087">
              <w:rPr>
                <w:rFonts w:ascii="Verdana" w:hAnsi="Verdana"/>
                <w:b/>
                <w:bCs/>
                <w:lang w:val="es-ES_tradnl"/>
              </w:rPr>
              <w:t xml:space="preserve">Temas:                  </w:t>
            </w:r>
          </w:p>
        </w:tc>
        <w:tc>
          <w:tcPr>
            <w:tcW w:w="6241" w:type="dxa"/>
            <w:hideMark/>
          </w:tcPr>
          <w:p w14:paraId="0E6A5DE4" w14:textId="2641BFDF" w:rsidR="00F503A8" w:rsidRPr="00D30087" w:rsidRDefault="00F503A8" w:rsidP="00B12B0F">
            <w:pPr>
              <w:snapToGrid w:val="0"/>
              <w:spacing w:line="276" w:lineRule="auto"/>
              <w:contextualSpacing/>
              <w:jc w:val="both"/>
              <w:rPr>
                <w:rFonts w:ascii="Verdana" w:hAnsi="Verdana" w:cs="Arial"/>
                <w:lang w:val="es-ES_tradnl" w:eastAsia="es-ES"/>
              </w:rPr>
            </w:pPr>
            <w:r w:rsidRPr="00D30087">
              <w:rPr>
                <w:rFonts w:ascii="Verdana" w:hAnsi="Verdana" w:cs="Arial"/>
                <w:lang w:val="es-ES_tradnl" w:eastAsia="es-ES"/>
              </w:rPr>
              <w:t xml:space="preserve">CLÁUSULAS EXCEPCIONALES – Noción- Alcance / </w:t>
            </w:r>
            <w:r>
              <w:rPr>
                <w:rFonts w:ascii="Verdana" w:hAnsi="Verdana" w:cs="Arial"/>
                <w:lang w:val="es-ES_tradnl" w:eastAsia="es-ES"/>
              </w:rPr>
              <w:t xml:space="preserve">CLÁUSULAS EXCEPCIONALES – Potestades Exorbitantes – Artículo 14 – Ley 80 de 1993 / POTESTADES EXORBITANTES – Elemento de la naturaleza / CLÁUSULAS EXCEPCIONALES– Elemento accidental / CLÁUSULAS EXCEPCIONALES – Cláusula prohibitiva / </w:t>
            </w:r>
            <w:r w:rsidRPr="00000B07">
              <w:rPr>
                <w:rFonts w:ascii="Verdana" w:hAnsi="Verdana" w:cs="Arial"/>
                <w:lang w:val="es-ES_tradnl" w:eastAsia="es-ES"/>
              </w:rPr>
              <w:t>CLÁUSULAS EXCEPCIONALES– Contrato – Explotación y Concesión – Bienes del Estado</w:t>
            </w:r>
            <w:r>
              <w:rPr>
                <w:rFonts w:ascii="Verdana" w:hAnsi="Verdana" w:cs="Arial"/>
                <w:lang w:val="es-ES_tradnl" w:eastAsia="es-ES"/>
              </w:rPr>
              <w:t xml:space="preserve"> – Alcance </w:t>
            </w:r>
          </w:p>
          <w:p w14:paraId="21A0AB81" w14:textId="77777777" w:rsidR="00F503A8" w:rsidRPr="00D30087" w:rsidRDefault="00F503A8" w:rsidP="00B12B0F">
            <w:pPr>
              <w:snapToGrid w:val="0"/>
              <w:spacing w:line="276" w:lineRule="auto"/>
              <w:contextualSpacing/>
              <w:jc w:val="both"/>
              <w:rPr>
                <w:rFonts w:ascii="Verdana" w:hAnsi="Verdana" w:cs="Arial"/>
                <w:lang w:val="es-ES_tradnl" w:eastAsia="es-ES"/>
              </w:rPr>
            </w:pPr>
          </w:p>
          <w:p w14:paraId="2BE025C4" w14:textId="77777777" w:rsidR="00F503A8" w:rsidRPr="00D30087" w:rsidRDefault="00F503A8" w:rsidP="00B12B0F">
            <w:pPr>
              <w:snapToGrid w:val="0"/>
              <w:spacing w:line="276" w:lineRule="auto"/>
              <w:contextualSpacing/>
              <w:jc w:val="both"/>
              <w:rPr>
                <w:rFonts w:ascii="Verdana" w:hAnsi="Verdana" w:cs="Arial"/>
                <w:bCs/>
                <w:lang w:val="es-ES_tradnl" w:eastAsia="es-ES"/>
              </w:rPr>
            </w:pPr>
          </w:p>
        </w:tc>
        <w:tc>
          <w:tcPr>
            <w:tcW w:w="6237" w:type="dxa"/>
          </w:tcPr>
          <w:p w14:paraId="5115A8FE" w14:textId="77777777" w:rsidR="00F503A8" w:rsidRPr="00D30087" w:rsidRDefault="00F503A8" w:rsidP="00B12B0F">
            <w:pPr>
              <w:spacing w:line="276" w:lineRule="auto"/>
              <w:rPr>
                <w:rFonts w:ascii="Verdana" w:hAnsi="Verdana"/>
                <w:lang w:val="es-ES"/>
              </w:rPr>
            </w:pPr>
          </w:p>
        </w:tc>
      </w:tr>
      <w:tr w:rsidR="00F503A8" w:rsidRPr="00D30087" w14:paraId="5DD51062" w14:textId="77777777" w:rsidTr="00B12B0F">
        <w:tc>
          <w:tcPr>
            <w:tcW w:w="2685" w:type="dxa"/>
          </w:tcPr>
          <w:p w14:paraId="0BBC640B" w14:textId="77777777" w:rsidR="00F503A8" w:rsidRPr="00D30087" w:rsidRDefault="00F503A8" w:rsidP="00B12B0F">
            <w:pPr>
              <w:spacing w:line="256" w:lineRule="auto"/>
              <w:rPr>
                <w:rFonts w:ascii="Verdana" w:hAnsi="Verdana"/>
                <w:b/>
                <w:bCs/>
                <w:lang w:val="es-ES_tradnl"/>
              </w:rPr>
            </w:pPr>
            <w:r w:rsidRPr="00D30087">
              <w:rPr>
                <w:rFonts w:ascii="Verdana" w:hAnsi="Verdana"/>
                <w:b/>
                <w:bCs/>
                <w:lang w:val="es-ES_tradnl"/>
              </w:rPr>
              <w:t xml:space="preserve">Radicación:               </w:t>
            </w:r>
          </w:p>
        </w:tc>
        <w:tc>
          <w:tcPr>
            <w:tcW w:w="6241" w:type="dxa"/>
          </w:tcPr>
          <w:p w14:paraId="5556C2FA" w14:textId="77777777" w:rsidR="00F503A8" w:rsidRPr="00D30087" w:rsidRDefault="00F503A8" w:rsidP="00B12B0F">
            <w:pPr>
              <w:spacing w:line="257" w:lineRule="auto"/>
              <w:jc w:val="both"/>
              <w:rPr>
                <w:rFonts w:ascii="Verdana" w:hAnsi="Verdana"/>
                <w:lang w:val="es-ES_tradnl"/>
              </w:rPr>
            </w:pPr>
            <w:r w:rsidRPr="00D30087">
              <w:rPr>
                <w:rFonts w:ascii="Verdana" w:hAnsi="Verdana"/>
                <w:lang w:val="es-ES_tradnl"/>
              </w:rPr>
              <w:t xml:space="preserve">Respuesta a consulta con Radicado No </w:t>
            </w:r>
            <w:r w:rsidRPr="00D30087">
              <w:rPr>
                <w:rFonts w:ascii="Verdana" w:hAnsi="Verdana"/>
              </w:rPr>
              <w:t>1_2026_05_20_006767</w:t>
            </w:r>
          </w:p>
          <w:p w14:paraId="7C82C782" w14:textId="77777777" w:rsidR="00F503A8" w:rsidRPr="00D30087" w:rsidRDefault="00F503A8" w:rsidP="00B12B0F">
            <w:pPr>
              <w:spacing w:line="257" w:lineRule="auto"/>
              <w:jc w:val="both"/>
              <w:rPr>
                <w:rFonts w:ascii="Verdana" w:hAnsi="Verdana"/>
              </w:rPr>
            </w:pPr>
          </w:p>
          <w:p w14:paraId="402CCC80" w14:textId="77777777" w:rsidR="00F503A8" w:rsidRPr="00D30087" w:rsidRDefault="00F503A8" w:rsidP="00B12B0F">
            <w:pPr>
              <w:spacing w:line="257" w:lineRule="auto"/>
              <w:jc w:val="both"/>
              <w:rPr>
                <w:rFonts w:ascii="Verdana" w:hAnsi="Verdana"/>
              </w:rPr>
            </w:pPr>
          </w:p>
        </w:tc>
        <w:tc>
          <w:tcPr>
            <w:tcW w:w="6237" w:type="dxa"/>
          </w:tcPr>
          <w:p w14:paraId="11AE1129" w14:textId="77777777" w:rsidR="00F503A8" w:rsidRPr="00D30087" w:rsidRDefault="00F503A8" w:rsidP="00B12B0F">
            <w:pPr>
              <w:spacing w:line="256" w:lineRule="auto"/>
              <w:rPr>
                <w:rFonts w:ascii="Verdana" w:hAnsi="Verdana"/>
              </w:rPr>
            </w:pPr>
          </w:p>
        </w:tc>
      </w:tr>
    </w:tbl>
    <w:p w14:paraId="51E26C2C" w14:textId="77777777" w:rsidR="00F503A8" w:rsidRPr="00D30087" w:rsidRDefault="00F503A8" w:rsidP="00F503A8">
      <w:pPr>
        <w:spacing w:after="0" w:line="256" w:lineRule="auto"/>
        <w:rPr>
          <w:rFonts w:ascii="Verdana" w:eastAsia="Calibri" w:hAnsi="Verdana" w:cs="Times New Roman"/>
          <w:lang w:val="es-ES"/>
        </w:rPr>
      </w:pPr>
      <w:r w:rsidRPr="00D30087">
        <w:rPr>
          <w:rFonts w:ascii="Verdana" w:eastAsia="Calibri" w:hAnsi="Verdana" w:cs="Times New Roman"/>
          <w:lang w:val="es-ES"/>
        </w:rPr>
        <w:t>Estimado Señor</w:t>
      </w:r>
      <w:r>
        <w:rPr>
          <w:rFonts w:ascii="Verdana" w:eastAsia="Calibri" w:hAnsi="Verdana" w:cs="Times New Roman"/>
          <w:lang w:val="es-ES"/>
        </w:rPr>
        <w:t xml:space="preserve"> Fajardo Restrepo</w:t>
      </w:r>
      <w:r w:rsidRPr="00D30087">
        <w:rPr>
          <w:rFonts w:ascii="Verdana" w:eastAsia="Calibri" w:hAnsi="Verdana" w:cs="Times New Roman"/>
          <w:lang w:val="es-ES"/>
        </w:rPr>
        <w:t xml:space="preserve">: </w:t>
      </w:r>
    </w:p>
    <w:p w14:paraId="765CB563" w14:textId="77777777" w:rsidR="00F503A8" w:rsidRPr="00D30087" w:rsidRDefault="00F503A8" w:rsidP="00F503A8">
      <w:pPr>
        <w:spacing w:after="0" w:line="256" w:lineRule="auto"/>
        <w:rPr>
          <w:rFonts w:ascii="Verdana" w:eastAsia="Calibri" w:hAnsi="Verdana" w:cs="Times New Roman"/>
          <w:lang w:val="es-ES"/>
        </w:rPr>
      </w:pPr>
    </w:p>
    <w:p w14:paraId="5DA79C43" w14:textId="77777777" w:rsidR="00F503A8" w:rsidRPr="00D30087" w:rsidRDefault="00F503A8" w:rsidP="00F503A8">
      <w:pPr>
        <w:spacing w:after="0" w:line="276" w:lineRule="auto"/>
        <w:jc w:val="both"/>
        <w:rPr>
          <w:rFonts w:ascii="Verdana" w:eastAsia="Calibri" w:hAnsi="Verdana" w:cs="Times New Roman"/>
          <w:bCs/>
          <w:lang w:val="es-ES" w:bidi="es-ES"/>
        </w:rPr>
      </w:pPr>
      <w:r w:rsidRPr="00D30087">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w:t>
      </w:r>
      <w:proofErr w:type="spellStart"/>
      <w:r w:rsidRPr="00D30087">
        <w:rPr>
          <w:rFonts w:ascii="Verdana" w:eastAsia="Calibri" w:hAnsi="Verdana" w:cs="Times New Roman"/>
          <w:bCs/>
          <w:lang w:bidi="es-ES"/>
        </w:rPr>
        <w:t>N°</w:t>
      </w:r>
      <w:proofErr w:type="spellEnd"/>
      <w:r w:rsidRPr="00D30087">
        <w:rPr>
          <w:rFonts w:ascii="Verdana" w:eastAsia="Calibri" w:hAnsi="Verdana" w:cs="Times New Roman"/>
          <w:bCs/>
          <w:lang w:bidi="es-ES"/>
        </w:rPr>
        <w:t xml:space="preserve"> 469 del 2025 expedida por esta Agencia, </w:t>
      </w:r>
      <w:r w:rsidRPr="00D30087">
        <w:rPr>
          <w:rFonts w:ascii="Verdana" w:eastAsia="Calibri" w:hAnsi="Verdana" w:cs="Times New Roman"/>
          <w:bCs/>
          <w:lang w:val="es-ES" w:bidi="es-ES"/>
        </w:rPr>
        <w:t xml:space="preserve">responde la solicitud de consulta del 20 de mayo de 2026, en la cual manifiesta: </w:t>
      </w:r>
    </w:p>
    <w:p w14:paraId="02229594" w14:textId="77777777" w:rsidR="00F503A8" w:rsidRPr="009037F6" w:rsidRDefault="00F503A8" w:rsidP="00F503A8">
      <w:pPr>
        <w:spacing w:after="0" w:line="240" w:lineRule="auto"/>
        <w:ind w:right="709"/>
        <w:jc w:val="both"/>
        <w:rPr>
          <w:rFonts w:ascii="Verdana" w:eastAsia="Calibri" w:hAnsi="Verdana" w:cs="Times New Roman"/>
          <w:bCs/>
          <w:sz w:val="20"/>
          <w:szCs w:val="20"/>
          <w:lang w:bidi="es-ES"/>
        </w:rPr>
      </w:pPr>
    </w:p>
    <w:p w14:paraId="03D0FD13" w14:textId="77777777" w:rsidR="00F503A8" w:rsidRPr="00084249" w:rsidRDefault="00F503A8" w:rsidP="00F503A8">
      <w:pPr>
        <w:spacing w:after="0" w:line="240" w:lineRule="auto"/>
        <w:ind w:left="709" w:right="709"/>
        <w:jc w:val="both"/>
        <w:rPr>
          <w:rFonts w:ascii="Verdana" w:eastAsia="Calibri" w:hAnsi="Verdana" w:cs="Times New Roman"/>
          <w:bCs/>
          <w:sz w:val="20"/>
          <w:szCs w:val="20"/>
          <w:lang w:bidi="es-ES"/>
        </w:rPr>
      </w:pPr>
      <w:r>
        <w:rPr>
          <w:rFonts w:ascii="Verdana" w:eastAsia="Calibri" w:hAnsi="Verdana" w:cs="Times New Roman"/>
          <w:bCs/>
          <w:sz w:val="20"/>
          <w:szCs w:val="20"/>
          <w:lang w:bidi="es-ES"/>
        </w:rPr>
        <w:t>“</w:t>
      </w:r>
      <w:r w:rsidRPr="00084249">
        <w:rPr>
          <w:rFonts w:ascii="Verdana" w:eastAsia="Calibri" w:hAnsi="Verdana" w:cs="Times New Roman"/>
          <w:bCs/>
          <w:sz w:val="20"/>
          <w:szCs w:val="20"/>
          <w:lang w:bidi="es-ES"/>
        </w:rPr>
        <w:t>Respetuosamente formulo consulta sobre el alcance y sentido de la expresión subrayada en</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el aparte transcrito. Al referirse a los contratos que tengan por objeto la “explotación y</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concesión de bienes del Estado” ¿Estas disposiciones deben ser entendidas como incluyendo</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únicamente a los contratos de concesión y explotación de bienes del Estado, contratos</w:t>
      </w:r>
    </w:p>
    <w:p w14:paraId="03897F20" w14:textId="77777777" w:rsidR="00F503A8" w:rsidRDefault="00F503A8" w:rsidP="00F503A8">
      <w:pPr>
        <w:spacing w:after="0" w:line="240" w:lineRule="auto"/>
        <w:ind w:left="709" w:right="709"/>
        <w:jc w:val="both"/>
        <w:rPr>
          <w:rFonts w:ascii="Verdana" w:eastAsia="Calibri" w:hAnsi="Verdana" w:cs="Times New Roman"/>
          <w:bCs/>
          <w:sz w:val="20"/>
          <w:szCs w:val="20"/>
          <w:lang w:bidi="es-ES"/>
        </w:rPr>
      </w:pPr>
      <w:r w:rsidRPr="00084249">
        <w:rPr>
          <w:rFonts w:ascii="Verdana" w:eastAsia="Calibri" w:hAnsi="Verdana" w:cs="Times New Roman"/>
          <w:bCs/>
          <w:sz w:val="20"/>
          <w:szCs w:val="20"/>
          <w:lang w:bidi="es-ES"/>
        </w:rPr>
        <w:lastRenderedPageBreak/>
        <w:t>nominados, consagrados y definidos por el numeral 4 del artículo 32 de la Ley 80? o, por el</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contrario, ¿comprenden cualquier contrato por el cual se realice la explotación de bienes del</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Estado y/o a través del cual estos bienes sean concesionados?</w:t>
      </w:r>
    </w:p>
    <w:p w14:paraId="4CDEA217" w14:textId="77777777" w:rsidR="00F503A8" w:rsidRPr="00084249" w:rsidRDefault="00F503A8" w:rsidP="00F503A8">
      <w:pPr>
        <w:spacing w:after="0" w:line="240" w:lineRule="auto"/>
        <w:ind w:left="709" w:right="709"/>
        <w:jc w:val="both"/>
        <w:rPr>
          <w:rFonts w:ascii="Verdana" w:eastAsia="Calibri" w:hAnsi="Verdana" w:cs="Times New Roman"/>
          <w:bCs/>
          <w:sz w:val="20"/>
          <w:szCs w:val="20"/>
          <w:lang w:bidi="es-ES"/>
        </w:rPr>
      </w:pPr>
    </w:p>
    <w:p w14:paraId="13FD3523" w14:textId="77777777" w:rsidR="00F503A8" w:rsidRPr="00084249" w:rsidRDefault="00F503A8" w:rsidP="00F503A8">
      <w:pPr>
        <w:spacing w:after="0" w:line="240" w:lineRule="auto"/>
        <w:ind w:left="709" w:right="709"/>
        <w:jc w:val="both"/>
        <w:rPr>
          <w:rFonts w:ascii="Verdana" w:eastAsia="Calibri" w:hAnsi="Verdana" w:cs="Times New Roman"/>
          <w:bCs/>
          <w:sz w:val="20"/>
          <w:szCs w:val="20"/>
          <w:lang w:bidi="es-ES"/>
        </w:rPr>
      </w:pPr>
      <w:r w:rsidRPr="00084249">
        <w:rPr>
          <w:rFonts w:ascii="Verdana" w:eastAsia="Calibri" w:hAnsi="Verdana" w:cs="Times New Roman"/>
          <w:bCs/>
          <w:sz w:val="20"/>
          <w:szCs w:val="20"/>
          <w:lang w:bidi="es-ES"/>
        </w:rPr>
        <w:t>La primera interpretación permite delimitar la aplicación de las cláusulas excepcionales a la</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tipología consagrada en el artículo 32 de la Ley 80 de 1993, sean los bienes concesionados</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bienes de uso público o bienes fiscales.</w:t>
      </w:r>
    </w:p>
    <w:p w14:paraId="73EC380F" w14:textId="77777777" w:rsidR="00F503A8" w:rsidRDefault="00F503A8" w:rsidP="00F503A8">
      <w:pPr>
        <w:spacing w:after="0" w:line="240" w:lineRule="auto"/>
        <w:ind w:left="709" w:right="709"/>
        <w:jc w:val="both"/>
        <w:rPr>
          <w:rFonts w:ascii="Verdana" w:eastAsia="Calibri" w:hAnsi="Verdana" w:cs="Times New Roman"/>
          <w:bCs/>
          <w:sz w:val="20"/>
          <w:szCs w:val="20"/>
          <w:lang w:bidi="es-ES"/>
        </w:rPr>
      </w:pPr>
    </w:p>
    <w:p w14:paraId="482F8811" w14:textId="77777777" w:rsidR="00F503A8" w:rsidRPr="00084249" w:rsidRDefault="00F503A8" w:rsidP="00F503A8">
      <w:pPr>
        <w:spacing w:after="0" w:line="240" w:lineRule="auto"/>
        <w:ind w:left="709" w:right="709"/>
        <w:jc w:val="both"/>
        <w:rPr>
          <w:rFonts w:ascii="Verdana" w:eastAsia="Calibri" w:hAnsi="Verdana" w:cs="Times New Roman"/>
          <w:bCs/>
          <w:sz w:val="20"/>
          <w:szCs w:val="20"/>
          <w:lang w:bidi="es-ES"/>
        </w:rPr>
      </w:pPr>
      <w:r w:rsidRPr="00084249">
        <w:rPr>
          <w:rFonts w:ascii="Verdana" w:eastAsia="Calibri" w:hAnsi="Verdana" w:cs="Times New Roman"/>
          <w:bCs/>
          <w:sz w:val="20"/>
          <w:szCs w:val="20"/>
          <w:lang w:bidi="es-ES"/>
        </w:rPr>
        <w:t>Por otro lado, la segunda interpretación – interpretación extensiva – implicaría el entender</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incorporadas las cláusulas excepcionales a todo contrato a través del cual se realice la</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explotación de bienes del Estado, sean estos bienes de uso público o bienes fiscales, a la</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excepción de los contratos de arrendamiento, de conformidad con el parágrafo del artículo</w:t>
      </w:r>
    </w:p>
    <w:p w14:paraId="6283CE50" w14:textId="77777777" w:rsidR="00F503A8" w:rsidRDefault="00F503A8" w:rsidP="00F503A8">
      <w:pPr>
        <w:spacing w:after="0" w:line="240" w:lineRule="auto"/>
        <w:ind w:left="709" w:right="709"/>
        <w:jc w:val="both"/>
        <w:rPr>
          <w:rFonts w:ascii="Verdana" w:eastAsia="Calibri" w:hAnsi="Verdana" w:cs="Times New Roman"/>
          <w:bCs/>
          <w:sz w:val="20"/>
          <w:szCs w:val="20"/>
          <w:lang w:bidi="es-ES"/>
        </w:rPr>
      </w:pPr>
      <w:r w:rsidRPr="00084249">
        <w:rPr>
          <w:rFonts w:ascii="Verdana" w:eastAsia="Calibri" w:hAnsi="Verdana" w:cs="Times New Roman"/>
          <w:bCs/>
          <w:sz w:val="20"/>
          <w:szCs w:val="20"/>
          <w:lang w:bidi="es-ES"/>
        </w:rPr>
        <w:t>14 de la ley 80 de 1993. En ese sentido, cualquier contrato a través del cual se confíe la</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explotación de bienes de propiedad pública implicaría la aplicación inherente de las cláusulas</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excepcionales. Eso implicaría reconocer que, a falta de legislación especial, en tipologías</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como los contratos de aprovechamiento económico del espacio público o, en cualquier</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tipología nominada o innominada, típica o atípica, que se celebre para autorizar una</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ocupación privativa y/o la explotación de bienes públicos, fiscales o de uso público, las</w:t>
      </w:r>
      <w:r>
        <w:rPr>
          <w:rFonts w:ascii="Verdana" w:eastAsia="Calibri" w:hAnsi="Verdana" w:cs="Times New Roman"/>
          <w:bCs/>
          <w:sz w:val="20"/>
          <w:szCs w:val="20"/>
          <w:lang w:bidi="es-ES"/>
        </w:rPr>
        <w:t xml:space="preserve"> </w:t>
      </w:r>
      <w:r w:rsidRPr="00084249">
        <w:rPr>
          <w:rFonts w:ascii="Verdana" w:eastAsia="Calibri" w:hAnsi="Verdana" w:cs="Times New Roman"/>
          <w:bCs/>
          <w:sz w:val="20"/>
          <w:szCs w:val="20"/>
          <w:lang w:bidi="es-ES"/>
        </w:rPr>
        <w:t>cláusulas excepcionales deban tenerse como incorporadas</w:t>
      </w:r>
      <w:r>
        <w:rPr>
          <w:rFonts w:ascii="Verdana" w:eastAsia="Calibri" w:hAnsi="Verdana" w:cs="Times New Roman"/>
          <w:bCs/>
          <w:sz w:val="20"/>
          <w:szCs w:val="20"/>
          <w:lang w:bidi="es-ES"/>
        </w:rPr>
        <w:t>”</w:t>
      </w:r>
      <w:r w:rsidRPr="00084249">
        <w:rPr>
          <w:rFonts w:ascii="Verdana" w:eastAsia="Calibri" w:hAnsi="Verdana" w:cs="Times New Roman"/>
          <w:bCs/>
          <w:sz w:val="20"/>
          <w:szCs w:val="20"/>
          <w:lang w:bidi="es-ES"/>
        </w:rPr>
        <w:t>.</w:t>
      </w:r>
    </w:p>
    <w:p w14:paraId="758EC09B" w14:textId="77777777" w:rsidR="00F503A8" w:rsidRPr="00084249" w:rsidRDefault="00F503A8" w:rsidP="00F503A8">
      <w:pPr>
        <w:spacing w:after="0" w:line="240" w:lineRule="auto"/>
        <w:ind w:left="709" w:right="709"/>
        <w:jc w:val="both"/>
        <w:rPr>
          <w:rFonts w:ascii="Verdana" w:eastAsia="Calibri" w:hAnsi="Verdana" w:cs="Times New Roman"/>
          <w:bCs/>
          <w:sz w:val="20"/>
          <w:szCs w:val="20"/>
          <w:lang w:bidi="es-ES"/>
        </w:rPr>
      </w:pPr>
    </w:p>
    <w:p w14:paraId="007FE995" w14:textId="77777777" w:rsidR="00F503A8" w:rsidRPr="009037F6" w:rsidRDefault="00F503A8" w:rsidP="00F503A8">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4630A290" w14:textId="77777777" w:rsidR="00F503A8" w:rsidRPr="009037F6" w:rsidRDefault="00F503A8" w:rsidP="00F503A8">
      <w:pPr>
        <w:spacing w:after="120" w:line="276" w:lineRule="auto"/>
        <w:ind w:firstLine="708"/>
        <w:jc w:val="both"/>
        <w:rPr>
          <w:rFonts w:ascii="Verdana" w:eastAsia="Calibri" w:hAnsi="Verdana" w:cs="Times New Roman"/>
          <w:lang w:val="es-ES"/>
        </w:rPr>
      </w:pPr>
      <w:r w:rsidRPr="009037F6">
        <w:rPr>
          <w:rFonts w:ascii="Verdana" w:eastAsia="Calibri" w:hAnsi="Verdana" w:cs="Times New Roman"/>
          <w:lang w:val="es-ES"/>
        </w:rPr>
        <w:lastRenderedPageBreak/>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w:t>
      </w:r>
      <w:r>
        <w:rPr>
          <w:rFonts w:ascii="Verdana" w:eastAsia="Calibri" w:hAnsi="Verdana" w:cs="Times New Roman"/>
          <w:lang w:val="es-ES"/>
        </w:rPr>
        <w:t xml:space="preserve"> el problema jurídico de su consulta</w:t>
      </w:r>
      <w:r w:rsidRPr="009037F6">
        <w:rPr>
          <w:rFonts w:ascii="Verdana" w:eastAsia="Calibri" w:hAnsi="Verdana" w:cs="Times New Roman"/>
          <w:lang w:val="es-ES"/>
        </w:rPr>
        <w:t xml:space="preserve">. </w:t>
      </w:r>
    </w:p>
    <w:p w14:paraId="52D9594F" w14:textId="77777777" w:rsidR="00F503A8" w:rsidRPr="009037F6" w:rsidRDefault="00F503A8" w:rsidP="00F503A8">
      <w:pPr>
        <w:spacing w:after="0" w:line="256" w:lineRule="auto"/>
        <w:rPr>
          <w:rFonts w:ascii="Verdana" w:eastAsia="Calibri" w:hAnsi="Verdana" w:cs="Times New Roman"/>
          <w:lang w:val="es-ES"/>
        </w:rPr>
      </w:pPr>
    </w:p>
    <w:p w14:paraId="77441FAF" w14:textId="77777777" w:rsidR="00F503A8" w:rsidRPr="009037F6" w:rsidRDefault="00F503A8" w:rsidP="00F503A8">
      <w:pPr>
        <w:numPr>
          <w:ilvl w:val="0"/>
          <w:numId w:val="16"/>
        </w:numPr>
        <w:spacing w:after="0" w:line="256" w:lineRule="auto"/>
        <w:contextualSpacing/>
        <w:rPr>
          <w:rFonts w:ascii="Verdana" w:eastAsia="Calibri" w:hAnsi="Verdana" w:cs="Times New Roman"/>
          <w:b/>
          <w:bCs/>
          <w:lang w:val="es-ES"/>
        </w:rPr>
      </w:pPr>
      <w:r w:rsidRPr="009037F6">
        <w:rPr>
          <w:rFonts w:ascii="Verdana" w:eastAsia="Calibri" w:hAnsi="Verdana" w:cs="Times New Roman"/>
          <w:b/>
          <w:bCs/>
          <w:lang w:val="es-ES"/>
        </w:rPr>
        <w:t>Problema planteado:</w:t>
      </w:r>
    </w:p>
    <w:p w14:paraId="0B8083AC" w14:textId="77777777" w:rsidR="00F503A8" w:rsidRPr="009037F6" w:rsidRDefault="00F503A8" w:rsidP="00F503A8">
      <w:pPr>
        <w:spacing w:after="0" w:line="256" w:lineRule="auto"/>
        <w:rPr>
          <w:rFonts w:ascii="Verdana" w:eastAsia="Calibri" w:hAnsi="Verdana" w:cs="Times New Roman"/>
        </w:rPr>
      </w:pPr>
    </w:p>
    <w:p w14:paraId="5C482424" w14:textId="77777777" w:rsidR="00F503A8" w:rsidRPr="009037F6" w:rsidRDefault="00F503A8" w:rsidP="00F503A8">
      <w:pPr>
        <w:spacing w:after="0" w:line="276" w:lineRule="auto"/>
        <w:jc w:val="both"/>
        <w:rPr>
          <w:rFonts w:ascii="Verdana" w:eastAsia="Calibri" w:hAnsi="Verdana" w:cs="Times New Roman"/>
          <w:iCs/>
          <w:lang w:val="es-ES"/>
        </w:rPr>
      </w:pPr>
      <w:r w:rsidRPr="009037F6">
        <w:rPr>
          <w:rFonts w:ascii="Verdana" w:eastAsia="Calibri" w:hAnsi="Verdana" w:cs="Times New Roman"/>
        </w:rPr>
        <w:t xml:space="preserve">De acuerdo con el contenido de sus solicitudes, esta Agencia procede a resolver </w:t>
      </w:r>
      <w:r>
        <w:rPr>
          <w:rFonts w:ascii="Verdana" w:eastAsia="Calibri" w:hAnsi="Verdana" w:cs="Times New Roman"/>
        </w:rPr>
        <w:t xml:space="preserve">el siguiente problema jurídico: </w:t>
      </w:r>
      <w:r w:rsidRPr="00084249">
        <w:rPr>
          <w:rFonts w:ascii="Verdana" w:eastAsia="Calibri" w:hAnsi="Verdana" w:cs="Times New Roman"/>
        </w:rPr>
        <w:t xml:space="preserve">¿Cuál es el alcance jurídico de la expresión </w:t>
      </w:r>
      <w:r w:rsidRPr="003C4E54">
        <w:rPr>
          <w:rFonts w:ascii="Verdana" w:eastAsia="Calibri" w:hAnsi="Verdana" w:cs="Times New Roman"/>
          <w:i/>
        </w:rPr>
        <w:t>“contratos que tengan por objeto la explotación y concesión de bienes del Estado</w:t>
      </w:r>
      <w:r w:rsidRPr="003C4E54">
        <w:rPr>
          <w:rFonts w:ascii="Verdana" w:eastAsia="Calibri" w:hAnsi="Verdana" w:cs="Times New Roman"/>
          <w:i/>
          <w:iCs/>
        </w:rPr>
        <w:t>”,</w:t>
      </w:r>
      <w:r>
        <w:rPr>
          <w:rFonts w:ascii="Verdana" w:eastAsia="Calibri" w:hAnsi="Verdana" w:cs="Times New Roman"/>
        </w:rPr>
        <w:t xml:space="preserve"> contenida en el numeral 2 del artículo 14 de </w:t>
      </w:r>
      <w:r w:rsidRPr="00084249">
        <w:rPr>
          <w:rFonts w:ascii="Verdana" w:eastAsia="Calibri" w:hAnsi="Verdana" w:cs="Times New Roman"/>
        </w:rPr>
        <w:t>la Ley 80 de 1993</w:t>
      </w:r>
      <w:r>
        <w:rPr>
          <w:rFonts w:ascii="Verdana" w:eastAsia="Calibri" w:hAnsi="Verdana" w:cs="Times New Roman"/>
        </w:rPr>
        <w:t>?</w:t>
      </w:r>
      <w:r w:rsidRPr="00084249">
        <w:rPr>
          <w:rFonts w:ascii="Verdana" w:eastAsia="Calibri" w:hAnsi="Verdana" w:cs="Times New Roman"/>
        </w:rPr>
        <w:t xml:space="preserve"> </w:t>
      </w:r>
      <w:r>
        <w:rPr>
          <w:rFonts w:ascii="Verdana" w:eastAsia="Calibri" w:hAnsi="Verdana" w:cs="Times New Roman"/>
        </w:rPr>
        <w:t>¿</w:t>
      </w:r>
      <w:r w:rsidRPr="00084249">
        <w:rPr>
          <w:rFonts w:ascii="Verdana" w:eastAsia="Calibri" w:hAnsi="Verdana" w:cs="Times New Roman"/>
        </w:rPr>
        <w:t>debe entenderse que las cláusulas excepcionales se incorporan únicamente a los contratos de concesión definidos en el artículo 32, numeral 4 o también a cualquier</w:t>
      </w:r>
      <w:r>
        <w:rPr>
          <w:rFonts w:ascii="Verdana" w:eastAsia="Calibri" w:hAnsi="Verdana" w:cs="Times New Roman"/>
        </w:rPr>
        <w:t xml:space="preserve"> tipo</w:t>
      </w:r>
      <w:r w:rsidRPr="00084249">
        <w:rPr>
          <w:rFonts w:ascii="Verdana" w:eastAsia="Calibri" w:hAnsi="Verdana" w:cs="Times New Roman"/>
        </w:rPr>
        <w:t xml:space="preserve"> contractual —nominada o innominada— mediante la cual se autorice la explotación, uso privativo o aprovechamiento económico de bienes</w:t>
      </w:r>
      <w:r>
        <w:rPr>
          <w:rFonts w:ascii="Verdana" w:eastAsia="Calibri" w:hAnsi="Verdana" w:cs="Times New Roman"/>
        </w:rPr>
        <w:t xml:space="preserve"> del Estado</w:t>
      </w:r>
      <w:r w:rsidRPr="00084249">
        <w:rPr>
          <w:rFonts w:ascii="Verdana" w:eastAsia="Calibri" w:hAnsi="Verdana" w:cs="Times New Roman"/>
        </w:rPr>
        <w:t>?</w:t>
      </w:r>
    </w:p>
    <w:p w14:paraId="569F5DEE" w14:textId="77777777" w:rsidR="00F503A8" w:rsidRPr="009037F6" w:rsidRDefault="00F503A8" w:rsidP="00F503A8">
      <w:pPr>
        <w:spacing w:after="0" w:line="276" w:lineRule="auto"/>
        <w:jc w:val="both"/>
        <w:rPr>
          <w:rFonts w:ascii="Verdana" w:eastAsia="Calibri" w:hAnsi="Verdana" w:cs="Times New Roman"/>
          <w:i/>
          <w:iCs/>
          <w:lang w:val="es-ES"/>
        </w:rPr>
      </w:pPr>
    </w:p>
    <w:p w14:paraId="3AE36008" w14:textId="77777777" w:rsidR="00F503A8" w:rsidRPr="009037F6" w:rsidRDefault="00F503A8" w:rsidP="00F503A8">
      <w:pPr>
        <w:numPr>
          <w:ilvl w:val="0"/>
          <w:numId w:val="16"/>
        </w:numPr>
        <w:spacing w:after="0" w:line="256" w:lineRule="auto"/>
        <w:contextualSpacing/>
        <w:rPr>
          <w:rFonts w:ascii="Verdana" w:eastAsia="Calibri" w:hAnsi="Verdana" w:cs="Times New Roman"/>
          <w:b/>
          <w:bCs/>
          <w:lang w:val="es-ES"/>
        </w:rPr>
      </w:pPr>
      <w:r w:rsidRPr="009037F6">
        <w:rPr>
          <w:rFonts w:ascii="Verdana" w:eastAsia="Calibri" w:hAnsi="Verdana" w:cs="Times New Roman"/>
          <w:b/>
          <w:bCs/>
          <w:lang w:val="es-ES"/>
        </w:rPr>
        <w:t>Respuesta:</w:t>
      </w:r>
    </w:p>
    <w:p w14:paraId="3FE7F450" w14:textId="77777777" w:rsidR="00F503A8" w:rsidRPr="009037F6" w:rsidRDefault="00F503A8" w:rsidP="00F503A8">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F503A8" w:rsidRPr="009037F6" w14:paraId="3DB4C34F" w14:textId="77777777" w:rsidTr="00B12B0F">
        <w:trPr>
          <w:trHeight w:val="345"/>
          <w:jc w:val="center"/>
        </w:trPr>
        <w:tc>
          <w:tcPr>
            <w:tcW w:w="8784" w:type="dxa"/>
            <w:tcBorders>
              <w:bottom w:val="single" w:sz="4" w:space="0" w:color="auto"/>
            </w:tcBorders>
          </w:tcPr>
          <w:p w14:paraId="40947FFF" w14:textId="77777777" w:rsidR="00F503A8" w:rsidRDefault="00F503A8" w:rsidP="00B12B0F">
            <w:pPr>
              <w:spacing w:after="120" w:line="276" w:lineRule="auto"/>
              <w:jc w:val="both"/>
              <w:rPr>
                <w:rFonts w:ascii="Verdana" w:eastAsia="Calibri" w:hAnsi="Verdana" w:cs="Arial"/>
                <w:color w:val="000000" w:themeColor="text1"/>
              </w:rPr>
            </w:pPr>
            <w:r w:rsidRPr="009037F6">
              <w:rPr>
                <w:rFonts w:ascii="Verdana" w:hAnsi="Verdana"/>
              </w:rPr>
              <w:t>En cuanto a</w:t>
            </w:r>
            <w:r>
              <w:rPr>
                <w:rFonts w:ascii="Verdana" w:hAnsi="Verdana"/>
              </w:rPr>
              <w:t>l problema jurídico de su consulta</w:t>
            </w:r>
            <w:r w:rsidRPr="009037F6">
              <w:rPr>
                <w:rFonts w:ascii="Verdana" w:hAnsi="Verdana"/>
              </w:rPr>
              <w:t xml:space="preserve"> </w:t>
            </w:r>
            <w:r w:rsidRPr="00B50C64">
              <w:rPr>
                <w:rFonts w:ascii="Verdana" w:eastAsia="Calibri" w:hAnsi="Verdana" w:cs="Arial"/>
                <w:color w:val="000000" w:themeColor="text1"/>
              </w:rPr>
              <w:t>se advierte que las potestades exorbitantes o cláusulas excepcionales pueden configurarse como elementos</w:t>
            </w:r>
            <w:r>
              <w:rPr>
                <w:rFonts w:ascii="Verdana" w:eastAsia="Calibri" w:hAnsi="Verdana" w:cs="Arial"/>
                <w:color w:val="000000" w:themeColor="text1"/>
              </w:rPr>
              <w:t xml:space="preserve"> de la naturaleza</w:t>
            </w:r>
            <w:r w:rsidRPr="00B50C64">
              <w:rPr>
                <w:rFonts w:ascii="Verdana" w:eastAsia="Calibri" w:hAnsi="Verdana" w:cs="Arial"/>
                <w:color w:val="000000" w:themeColor="text1"/>
              </w:rPr>
              <w:t xml:space="preserve">, accidentales o, en ciertos casos, prohibidos dentro de determinados contratos estatales. En este marco, adquiere especial relevancia el análisis de aquellos contratos cuyo objeto consiste en </w:t>
            </w:r>
            <w:r w:rsidRPr="003C4E54">
              <w:rPr>
                <w:rFonts w:ascii="Verdana" w:eastAsia="Calibri" w:hAnsi="Verdana" w:cs="Arial"/>
                <w:i/>
                <w:color w:val="000000" w:themeColor="text1"/>
              </w:rPr>
              <w:t>“la explotación o concesión de bienes del Estado</w:t>
            </w:r>
            <w:r>
              <w:rPr>
                <w:rFonts w:ascii="Verdana" w:eastAsia="Calibri" w:hAnsi="Verdana" w:cs="Arial"/>
                <w:color w:val="000000" w:themeColor="text1"/>
              </w:rPr>
              <w:t>”</w:t>
            </w:r>
            <w:r w:rsidRPr="00B50C64">
              <w:rPr>
                <w:rFonts w:ascii="Verdana" w:eastAsia="Calibri" w:hAnsi="Verdana" w:cs="Arial"/>
                <w:color w:val="000000" w:themeColor="text1"/>
              </w:rPr>
              <w:t>, pues</w:t>
            </w:r>
            <w:r>
              <w:rPr>
                <w:rFonts w:ascii="Verdana" w:eastAsia="Calibri" w:hAnsi="Verdana" w:cs="Arial"/>
                <w:color w:val="000000" w:themeColor="text1"/>
              </w:rPr>
              <w:t>to que, de conformidad con el numeral 2 del artículo 14 de la Ley 80 de 1993,</w:t>
            </w:r>
            <w:r w:rsidRPr="00B50C64">
              <w:rPr>
                <w:rFonts w:ascii="Verdana" w:eastAsia="Calibri" w:hAnsi="Verdana" w:cs="Arial"/>
                <w:color w:val="000000" w:themeColor="text1"/>
              </w:rPr>
              <w:t xml:space="preserve"> estos se encuentran sometidos al ejercicio de potestades excepcionales aun cuando tales prerrogativas no estén </w:t>
            </w:r>
            <w:r>
              <w:rPr>
                <w:rFonts w:ascii="Verdana" w:eastAsia="Calibri" w:hAnsi="Verdana" w:cs="Arial"/>
                <w:color w:val="000000" w:themeColor="text1"/>
              </w:rPr>
              <w:t xml:space="preserve">pactadas </w:t>
            </w:r>
            <w:r w:rsidRPr="00B50C64">
              <w:rPr>
                <w:rFonts w:ascii="Verdana" w:eastAsia="Calibri" w:hAnsi="Verdana" w:cs="Arial"/>
                <w:color w:val="000000" w:themeColor="text1"/>
              </w:rPr>
              <w:t xml:space="preserve">de manera expresa en </w:t>
            </w:r>
            <w:r>
              <w:rPr>
                <w:rFonts w:ascii="Verdana" w:eastAsia="Calibri" w:hAnsi="Verdana" w:cs="Arial"/>
                <w:color w:val="000000" w:themeColor="text1"/>
              </w:rPr>
              <w:t xml:space="preserve">el contrato. </w:t>
            </w:r>
          </w:p>
          <w:p w14:paraId="1BFF38CC" w14:textId="77777777" w:rsidR="00F503A8" w:rsidRPr="00B50C64" w:rsidRDefault="00F503A8" w:rsidP="00B12B0F">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 xml:space="preserve">Esto </w:t>
            </w:r>
            <w:r w:rsidRPr="00B50C64">
              <w:rPr>
                <w:rFonts w:ascii="Verdana" w:eastAsia="Calibri" w:hAnsi="Verdana" w:cs="Arial"/>
                <w:color w:val="000000" w:themeColor="text1"/>
              </w:rPr>
              <w:t xml:space="preserve">obedece a que, por su propia naturaleza, dichos contratos involucran la gestión, protección y aprovechamiento del patrimonio público, lo cual habilita a la Administración para ejercer </w:t>
            </w:r>
            <w:r>
              <w:rPr>
                <w:rFonts w:ascii="Verdana" w:eastAsia="Calibri" w:hAnsi="Verdana" w:cs="Arial"/>
                <w:color w:val="000000" w:themeColor="text1"/>
              </w:rPr>
              <w:t xml:space="preserve">potestades exorbitantes </w:t>
            </w:r>
            <w:r w:rsidRPr="00B50C64">
              <w:rPr>
                <w:rFonts w:ascii="Verdana" w:eastAsia="Calibri" w:hAnsi="Verdana" w:cs="Arial"/>
                <w:color w:val="000000" w:themeColor="text1"/>
              </w:rPr>
              <w:t xml:space="preserve">orientadas a salvaguardar el interés general. Así, la presencia de potestades exorbitantes no depende exclusivamente de su estipulación contractual, sino de la función pública comprometida en la explotación o concesión de bienes </w:t>
            </w:r>
            <w:r w:rsidRPr="00B50C64">
              <w:rPr>
                <w:rFonts w:ascii="Verdana" w:eastAsia="Calibri" w:hAnsi="Verdana" w:cs="Arial"/>
                <w:color w:val="000000" w:themeColor="text1"/>
              </w:rPr>
              <w:lastRenderedPageBreak/>
              <w:t>estatales, lo que justifica la aplicación de un régimen reforzado de dirección y control administrativo.</w:t>
            </w:r>
          </w:p>
          <w:p w14:paraId="2932B7D0" w14:textId="77777777" w:rsidR="00F503A8" w:rsidRPr="008F1A13" w:rsidRDefault="00F503A8" w:rsidP="00B12B0F">
            <w:pPr>
              <w:spacing w:after="120" w:line="276" w:lineRule="auto"/>
              <w:ind w:firstLine="709"/>
              <w:jc w:val="both"/>
              <w:rPr>
                <w:rFonts w:ascii="Verdana" w:eastAsia="Calibri" w:hAnsi="Verdana" w:cs="Arial"/>
                <w:color w:val="000000" w:themeColor="text1"/>
              </w:rPr>
            </w:pPr>
            <w:r w:rsidRPr="008F1A13">
              <w:rPr>
                <w:rFonts w:ascii="Verdana" w:eastAsia="Calibri" w:hAnsi="Verdana" w:cs="Arial"/>
                <w:color w:val="000000" w:themeColor="text1"/>
              </w:rPr>
              <w:t>No obstante, resulta necesario precisar el alcance de la expresión “explotación y concesión de bienes del Estado”. En particular, debe señalarse que dicha expresión no se limita, en sentido estricto, a los contratos tipificados en el artículo 32.4 de la Ley 80 de 1993 —referidos específicamente a los contratos de concesión—, sino que comprende otros contratos estatales que, aunque no estén previstos de manera expresa en dicha disposición, por su objeto y finalidad implican la utilización, aprovechamiento o administración de bienes estatales.</w:t>
            </w:r>
          </w:p>
          <w:p w14:paraId="19C267E7" w14:textId="77777777" w:rsidR="00F503A8" w:rsidRPr="008F1A13" w:rsidRDefault="00F503A8" w:rsidP="00B12B0F">
            <w:pPr>
              <w:spacing w:after="120" w:line="276" w:lineRule="auto"/>
              <w:ind w:firstLine="709"/>
              <w:jc w:val="both"/>
              <w:rPr>
                <w:rFonts w:ascii="Verdana" w:eastAsia="Calibri" w:hAnsi="Verdana" w:cs="Arial"/>
                <w:color w:val="000000" w:themeColor="text1"/>
              </w:rPr>
            </w:pPr>
            <w:r w:rsidRPr="008F1A13">
              <w:rPr>
                <w:rFonts w:ascii="Verdana" w:eastAsia="Calibri" w:hAnsi="Verdana" w:cs="Arial"/>
                <w:color w:val="000000" w:themeColor="text1"/>
              </w:rPr>
              <w:t xml:space="preserve">En este contexto, la </w:t>
            </w:r>
            <w:r w:rsidRPr="003C4E54">
              <w:rPr>
                <w:rFonts w:ascii="Verdana" w:eastAsia="Calibri" w:hAnsi="Verdana" w:cs="Arial"/>
                <w:i/>
                <w:color w:val="000000" w:themeColor="text1"/>
              </w:rPr>
              <w:t>expresión “explotación y concesión de bienes del Estado”</w:t>
            </w:r>
            <w:r w:rsidRPr="008F1A13">
              <w:rPr>
                <w:rFonts w:ascii="Verdana" w:eastAsia="Calibri" w:hAnsi="Verdana" w:cs="Arial"/>
                <w:color w:val="000000" w:themeColor="text1"/>
              </w:rPr>
              <w:t xml:space="preserve"> debe entenderse como una categoría amplia que abarca todos aquellos contratos</w:t>
            </w:r>
            <w:r>
              <w:rPr>
                <w:rFonts w:ascii="Verdana" w:eastAsia="Calibri" w:hAnsi="Verdana" w:cs="Arial"/>
                <w:color w:val="000000" w:themeColor="text1"/>
              </w:rPr>
              <w:t xml:space="preserve"> </w:t>
            </w:r>
            <w:r w:rsidRPr="008F1A13">
              <w:rPr>
                <w:rFonts w:ascii="Verdana" w:eastAsia="Calibri" w:hAnsi="Verdana" w:cs="Arial"/>
                <w:color w:val="000000" w:themeColor="text1"/>
              </w:rPr>
              <w:t>mediante las cuales un particular asume la gestión, uso o aprovechamiento de bienes públicos, independientemente de la denominación contractual empleada. Lo determinante es la naturaleza de la actividad desarrollada y su vinculación con la administración o explotación de bienes estatales, y no la tipología contractual específica.</w:t>
            </w:r>
          </w:p>
          <w:p w14:paraId="5218CB61" w14:textId="77777777" w:rsidR="00F503A8" w:rsidRDefault="00F503A8" w:rsidP="00B12B0F">
            <w:pPr>
              <w:spacing w:after="120" w:line="276" w:lineRule="auto"/>
              <w:ind w:firstLine="709"/>
              <w:jc w:val="both"/>
              <w:rPr>
                <w:rFonts w:ascii="Verdana" w:eastAsia="Calibri" w:hAnsi="Verdana" w:cs="Arial"/>
                <w:color w:val="000000" w:themeColor="text1"/>
              </w:rPr>
            </w:pPr>
            <w:r w:rsidRPr="008F1A13">
              <w:rPr>
                <w:rFonts w:ascii="Verdana" w:eastAsia="Calibri" w:hAnsi="Verdana" w:cs="Arial"/>
                <w:color w:val="000000" w:themeColor="text1"/>
              </w:rPr>
              <w:t xml:space="preserve">Para efectos interpretativos, esta expresión debe analizarse conforme al sentido literal de las palabras, </w:t>
            </w:r>
            <w:r>
              <w:rPr>
                <w:rFonts w:ascii="Verdana" w:eastAsia="Calibri" w:hAnsi="Verdana" w:cs="Arial"/>
                <w:color w:val="000000" w:themeColor="text1"/>
              </w:rPr>
              <w:t>conforme a lo regulado</w:t>
            </w:r>
            <w:r w:rsidRPr="008F1A13">
              <w:rPr>
                <w:rFonts w:ascii="Verdana" w:eastAsia="Calibri" w:hAnsi="Verdana" w:cs="Arial"/>
                <w:color w:val="000000" w:themeColor="text1"/>
              </w:rPr>
              <w:t xml:space="preserve"> en el artículo 28 del Código Civil, que prescribe: “Las palabras de la ley se entenderán en su sentido natural y obvio, según el uso general de las mismas palabras; pero cuando el legislador las haya definido expresamente para ciertas materias, se les dará en éstas su significado legal”. De esta manera, la interpretación debe partir del significado ordinario de los términos “explotación” y “concesión”, lo cual permite abarcar un espectro contractual más amplio que el previsto de manera taxativa en </w:t>
            </w:r>
            <w:r>
              <w:rPr>
                <w:rFonts w:ascii="Verdana" w:eastAsia="Calibri" w:hAnsi="Verdana" w:cs="Arial"/>
                <w:color w:val="000000" w:themeColor="text1"/>
              </w:rPr>
              <w:t>el artículo 32.4 de la</w:t>
            </w:r>
            <w:r w:rsidRPr="008F1A13">
              <w:rPr>
                <w:rFonts w:ascii="Verdana" w:eastAsia="Calibri" w:hAnsi="Verdana" w:cs="Arial"/>
                <w:color w:val="000000" w:themeColor="text1"/>
              </w:rPr>
              <w:t xml:space="preserve"> Ley 80 de 1993</w:t>
            </w:r>
            <w:r>
              <w:rPr>
                <w:rFonts w:ascii="Verdana" w:eastAsia="Calibri" w:hAnsi="Verdana" w:cs="Arial"/>
                <w:color w:val="000000" w:themeColor="text1"/>
              </w:rPr>
              <w:t>, por lo que l</w:t>
            </w:r>
            <w:r w:rsidRPr="002E05FE">
              <w:rPr>
                <w:rFonts w:ascii="Verdana" w:eastAsia="Calibri" w:hAnsi="Verdana" w:cs="Arial"/>
                <w:color w:val="000000" w:themeColor="text1"/>
              </w:rPr>
              <w:t xml:space="preserve">imitar su alcance a esa enumeración taxativa implicaría desconocer que, en la práctica administrativa, existen múltiples formas de gestión, aprovechamiento y administración de bienes estatales que no encajan de manera rígida </w:t>
            </w:r>
            <w:r>
              <w:rPr>
                <w:rFonts w:ascii="Verdana" w:eastAsia="Calibri" w:hAnsi="Verdana" w:cs="Arial"/>
                <w:color w:val="000000" w:themeColor="text1"/>
              </w:rPr>
              <w:t>a la categoría de concesión del artículo 32.4</w:t>
            </w:r>
            <w:r w:rsidRPr="002E05FE">
              <w:rPr>
                <w:rFonts w:ascii="Verdana" w:eastAsia="Calibri" w:hAnsi="Verdana" w:cs="Arial"/>
                <w:color w:val="000000" w:themeColor="text1"/>
              </w:rPr>
              <w:t>, pero que sí comparten su finalidad económica y su lógica de colaboración entre el Estado y los particulares.</w:t>
            </w:r>
          </w:p>
          <w:p w14:paraId="1C3F2680" w14:textId="77777777" w:rsidR="00F503A8" w:rsidRPr="005F5D6A" w:rsidRDefault="00F503A8" w:rsidP="00B12B0F">
            <w:pPr>
              <w:spacing w:after="120" w:line="276" w:lineRule="auto"/>
              <w:ind w:firstLine="709"/>
              <w:jc w:val="both"/>
              <w:rPr>
                <w:rFonts w:ascii="Verdana" w:eastAsia="Calibri" w:hAnsi="Verdana" w:cs="Arial"/>
                <w:color w:val="000000" w:themeColor="text1"/>
              </w:rPr>
            </w:pPr>
            <w:r w:rsidRPr="009037F6">
              <w:rPr>
                <w:rFonts w:ascii="Verdana" w:eastAsia="Calibri" w:hAnsi="Verdana" w:cs="Arial"/>
                <w:color w:val="000000" w:themeColor="text1"/>
                <w:lang w:val="es-ES"/>
              </w:rPr>
              <w:t xml:space="preserve">Al </w:t>
            </w:r>
            <w:r w:rsidRPr="009037F6">
              <w:rPr>
                <w:rFonts w:ascii="Verdana" w:hAnsi="Verdana" w:cs="Arial"/>
                <w:lang w:val="es-ES_tradnl" w:eastAsia="es-ES"/>
              </w:rPr>
              <w:t>margen de la explicación precedente debe advertirse que el análisis requerido para resolver p</w:t>
            </w:r>
            <w:r>
              <w:rPr>
                <w:rFonts w:ascii="Verdana" w:hAnsi="Verdana" w:cs="Arial"/>
                <w:lang w:val="es-ES_tradnl" w:eastAsia="es-ES"/>
              </w:rPr>
              <w:t xml:space="preserve">roblemas específicos en torno a la caducidad de la facultad sancionatoria y </w:t>
            </w:r>
            <w:r w:rsidRPr="009037F6">
              <w:rPr>
                <w:rFonts w:ascii="Verdana" w:hAnsi="Verdana" w:cs="Arial"/>
                <w:lang w:val="es-ES_tradnl" w:eastAsia="es-ES"/>
              </w:rPr>
              <w:t xml:space="preserve">sus procedimientos debe realizarse por quienes </w:t>
            </w:r>
            <w:r w:rsidRPr="009037F6">
              <w:rPr>
                <w:rFonts w:ascii="Verdana" w:hAnsi="Verdana" w:cs="Arial"/>
                <w:lang w:val="es-ES_tradnl" w:eastAsia="es-ES"/>
              </w:rPr>
              <w:lastRenderedPageBreak/>
              <w:t>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tc>
      </w:tr>
    </w:tbl>
    <w:p w14:paraId="5AB57A20" w14:textId="77777777" w:rsidR="00F503A8" w:rsidRPr="009037F6" w:rsidRDefault="00F503A8" w:rsidP="00F503A8">
      <w:pPr>
        <w:spacing w:after="0" w:line="276" w:lineRule="auto"/>
        <w:jc w:val="both"/>
        <w:rPr>
          <w:rFonts w:ascii="Verdana" w:eastAsia="Calibri" w:hAnsi="Verdana" w:cs="Arial"/>
          <w:bCs/>
          <w:color w:val="000000" w:themeColor="text1"/>
        </w:rPr>
      </w:pPr>
    </w:p>
    <w:p w14:paraId="7F1B01F3" w14:textId="77777777" w:rsidR="00F503A8" w:rsidRPr="009037F6" w:rsidRDefault="00F503A8" w:rsidP="00F503A8">
      <w:pPr>
        <w:numPr>
          <w:ilvl w:val="0"/>
          <w:numId w:val="16"/>
        </w:numPr>
        <w:tabs>
          <w:tab w:val="left" w:pos="2268"/>
        </w:tabs>
        <w:spacing w:after="0" w:line="256" w:lineRule="auto"/>
        <w:rPr>
          <w:rFonts w:ascii="Verdana" w:eastAsia="Calibri" w:hAnsi="Verdana" w:cs="Times New Roman"/>
          <w:b/>
          <w:bCs/>
          <w:lang w:val="es-ES"/>
        </w:rPr>
      </w:pPr>
      <w:r w:rsidRPr="009037F6">
        <w:rPr>
          <w:rFonts w:ascii="Verdana" w:eastAsia="Calibri" w:hAnsi="Verdana" w:cs="Times New Roman"/>
          <w:b/>
          <w:bCs/>
          <w:lang w:val="es-ES"/>
        </w:rPr>
        <w:t>Razones de la respuesta:</w:t>
      </w:r>
    </w:p>
    <w:p w14:paraId="4A26CFCC" w14:textId="77777777" w:rsidR="00F503A8" w:rsidRPr="009037F6" w:rsidRDefault="00F503A8" w:rsidP="00F503A8">
      <w:pPr>
        <w:spacing w:after="0" w:line="256" w:lineRule="auto"/>
        <w:rPr>
          <w:rFonts w:ascii="Verdana" w:eastAsia="Calibri" w:hAnsi="Verdana" w:cs="Times New Roman"/>
          <w:b/>
          <w:bCs/>
          <w:lang w:val="es-ES"/>
        </w:rPr>
      </w:pPr>
    </w:p>
    <w:p w14:paraId="4DFE9D26" w14:textId="77777777" w:rsidR="00F503A8" w:rsidRDefault="00F503A8" w:rsidP="00F503A8">
      <w:pPr>
        <w:spacing w:after="0" w:line="276" w:lineRule="auto"/>
        <w:jc w:val="both"/>
        <w:rPr>
          <w:rFonts w:ascii="Verdana" w:eastAsia="Calibri" w:hAnsi="Verdana" w:cs="Arial"/>
          <w:lang w:val="es-ES"/>
        </w:rPr>
      </w:pPr>
      <w:r w:rsidRPr="009037F6">
        <w:rPr>
          <w:rFonts w:ascii="Verdana" w:eastAsia="Calibri" w:hAnsi="Verdana" w:cs="Arial"/>
          <w:lang w:val="es-ES"/>
        </w:rPr>
        <w:t>Lo anterior se sustenta en las siguientes consideraciones:</w:t>
      </w:r>
      <w:bookmarkStart w:id="1" w:name="_Hlk78820161"/>
    </w:p>
    <w:p w14:paraId="3BDFA50E" w14:textId="77777777" w:rsidR="00F503A8" w:rsidRPr="00A93BC7" w:rsidRDefault="00F503A8" w:rsidP="00F503A8">
      <w:pPr>
        <w:spacing w:after="0" w:line="276" w:lineRule="auto"/>
        <w:jc w:val="both"/>
        <w:rPr>
          <w:rFonts w:ascii="Verdana" w:eastAsia="Calibri" w:hAnsi="Verdana" w:cs="Arial"/>
          <w:lang w:val="es-ES"/>
        </w:rPr>
      </w:pPr>
    </w:p>
    <w:p w14:paraId="0DCBD34B" w14:textId="77777777" w:rsidR="00F503A8" w:rsidRDefault="00F503A8" w:rsidP="00F503A8">
      <w:pPr>
        <w:spacing w:after="0" w:line="276" w:lineRule="auto"/>
        <w:jc w:val="both"/>
        <w:rPr>
          <w:rFonts w:ascii="Verdana" w:eastAsia="Times New Roman" w:hAnsi="Verdana" w:cs="Arial"/>
          <w:lang w:val="es-ES" w:eastAsia="es-ES"/>
          <w14:ligatures w14:val="standardContextual"/>
        </w:rPr>
      </w:pPr>
      <w:r>
        <w:rPr>
          <w:rFonts w:ascii="Verdana" w:eastAsia="Times New Roman" w:hAnsi="Verdana" w:cs="Arial"/>
          <w:color w:val="000000" w:themeColor="text1"/>
          <w:lang w:val="es-ES" w:eastAsia="es-CO"/>
        </w:rPr>
        <w:t xml:space="preserve">i. </w:t>
      </w:r>
      <w:r w:rsidRPr="009037F6">
        <w:rPr>
          <w:rFonts w:ascii="Verdana" w:eastAsia="Times New Roman" w:hAnsi="Verdana" w:cs="Arial"/>
          <w:lang w:val="es-ES" w:eastAsia="es-ES"/>
          <w14:ligatures w14:val="standardContextual"/>
        </w:rPr>
        <w:t xml:space="preserve">Durante la ejecución de los contratos, las Entidades Estatales sometidas al Estatuto General de Contratación de la Administración Pública –en adelante EGCAP– usualmente cuentan con distintas potestades exorbitantes o excepcionales, con base en las cuales ejercen la dirección general del contrato y realizan las actividades propias de vigilancia y control. Entre dichas potestades se encuentran: a) Las cláusulas excepcionales del </w:t>
      </w:r>
      <w:r w:rsidRPr="009037F6">
        <w:rPr>
          <w:rFonts w:ascii="Verdana" w:eastAsia="Times New Roman" w:hAnsi="Verdana" w:cs="Arial"/>
          <w:i/>
          <w:iCs/>
          <w:lang w:val="es-ES" w:eastAsia="es-ES"/>
          <w14:ligatures w14:val="standardContextual"/>
        </w:rPr>
        <w:t>artículo 14</w:t>
      </w:r>
      <w:r w:rsidRPr="009037F6">
        <w:rPr>
          <w:rFonts w:ascii="Verdana" w:eastAsia="Times New Roman" w:hAnsi="Verdana" w:cs="Arial"/>
          <w:lang w:val="es-ES" w:eastAsia="es-ES"/>
          <w14:ligatures w14:val="standardContextual"/>
        </w:rPr>
        <w:t xml:space="preserve"> de la Ley 80 de 1993, concepto que incluye la terminación unilateral, la interpretación unilateral, la modificación unilateral, la caducidad y la reversión. Dichas prerrogativas se desarrollan en los artículos 15 a 19 </w:t>
      </w:r>
      <w:r w:rsidRPr="009037F6">
        <w:rPr>
          <w:rFonts w:ascii="Verdana" w:eastAsia="Times New Roman" w:hAnsi="Verdana" w:cs="Arial"/>
          <w:i/>
          <w:iCs/>
          <w:lang w:val="es-ES" w:eastAsia="es-ES"/>
          <w14:ligatures w14:val="standardContextual"/>
        </w:rPr>
        <w:t>ibidem</w:t>
      </w:r>
      <w:r w:rsidRPr="009037F6">
        <w:rPr>
          <w:rFonts w:ascii="Verdana" w:eastAsia="Times New Roman" w:hAnsi="Verdana" w:cs="Arial"/>
          <w:lang w:val="es-ES" w:eastAsia="es-ES"/>
          <w14:ligatures w14:val="standardContextual"/>
        </w:rPr>
        <w:t xml:space="preserve">; b) Las cláusulas excepcionales de </w:t>
      </w:r>
      <w:r w:rsidRPr="009037F6">
        <w:rPr>
          <w:rFonts w:ascii="Verdana" w:eastAsia="Times New Roman" w:hAnsi="Verdana" w:cs="Arial"/>
          <w:i/>
          <w:iCs/>
          <w:lang w:val="es-ES" w:eastAsia="es-ES"/>
          <w14:ligatures w14:val="standardContextual"/>
        </w:rPr>
        <w:t>imposición unilateral de las cláusulas penales y de multas</w:t>
      </w:r>
      <w:r w:rsidRPr="009037F6">
        <w:rPr>
          <w:rFonts w:ascii="Verdana" w:eastAsia="Times New Roman" w:hAnsi="Verdana" w:cs="Arial"/>
          <w:lang w:val="es-ES" w:eastAsia="es-ES"/>
          <w14:ligatures w14:val="standardContextual"/>
        </w:rPr>
        <w:t xml:space="preserve">, según lo establecido en el artículo 17 de la Ley 1150 de 2007. En este caso su exorbitancia se refiere a la facultad de imposición unilateral, no a su pacto, que es posible en virtud de las normas civiles y comerciales; c) Las potestades establecidas en otras disposiciones como la liquidación unilateral y la </w:t>
      </w:r>
      <w:r w:rsidRPr="009037F6">
        <w:rPr>
          <w:rFonts w:ascii="Verdana" w:eastAsia="Times New Roman" w:hAnsi="Verdana" w:cs="Arial"/>
          <w:i/>
          <w:iCs/>
          <w:lang w:val="es-ES" w:eastAsia="es-ES"/>
          <w14:ligatures w14:val="standardContextual"/>
        </w:rPr>
        <w:t>declaratoria unilateral del siniestro</w:t>
      </w:r>
      <w:r w:rsidRPr="009037F6">
        <w:rPr>
          <w:rFonts w:ascii="Verdana" w:eastAsia="Times New Roman" w:hAnsi="Verdana" w:cs="Arial"/>
          <w:lang w:val="es-ES" w:eastAsia="es-ES"/>
          <w14:ligatures w14:val="standardContextual"/>
        </w:rPr>
        <w:t xml:space="preserve"> –artículos 7 y 11 de la Ley 1150 de 2007–.</w:t>
      </w:r>
    </w:p>
    <w:p w14:paraId="5F75A97A" w14:textId="77777777" w:rsidR="00F503A8" w:rsidRDefault="00F503A8" w:rsidP="00F503A8">
      <w:pPr>
        <w:spacing w:before="120" w:after="0" w:line="276" w:lineRule="auto"/>
        <w:ind w:firstLine="709"/>
        <w:jc w:val="both"/>
        <w:rPr>
          <w:rFonts w:ascii="Verdana" w:eastAsia="Times New Roman" w:hAnsi="Verdana" w:cs="Arial"/>
          <w:iCs/>
          <w:lang w:val="es-MX"/>
        </w:rPr>
      </w:pPr>
      <w:r w:rsidRPr="009037F6">
        <w:rPr>
          <w:rFonts w:ascii="Verdana" w:eastAsia="Times New Roman" w:hAnsi="Verdana" w:cs="Arial"/>
          <w:iCs/>
          <w:lang w:val="es-ES"/>
        </w:rPr>
        <w:t xml:space="preserve">Las primeras, esto es, las cláusulas excepcionales del artículo 14 de la Ley 80 de 1993, </w:t>
      </w:r>
      <w:r w:rsidRPr="008618E4">
        <w:rPr>
          <w:rFonts w:ascii="Verdana" w:eastAsia="Times New Roman" w:hAnsi="Verdana" w:cs="Arial"/>
          <w:iCs/>
          <w:lang w:val="es-MX"/>
        </w:rPr>
        <w:t xml:space="preserve">son denominadas por la jurisprudencia del Consejo de Estado y por la doctrina como estipulaciones de obligatoria inclusión en los contratos de concesión o explotación de bienes del Estado, obra, prestación de servicios públicos y aquellos que tengan por objeto el ejercicio de una actividad que constituya monopolio estatal. En estas tipologías contractuales, sin importar si se incorporaron o no dentro del contrato, se entienden incluidas por el ministerio de la ley. En torno a estas cláusulas excepcionales, la doctrina ha sostenido: </w:t>
      </w:r>
    </w:p>
    <w:p w14:paraId="3FF3A73B" w14:textId="77777777" w:rsidR="00F503A8" w:rsidRPr="008618E4" w:rsidRDefault="00F503A8" w:rsidP="00F503A8">
      <w:pPr>
        <w:spacing w:after="0" w:line="276" w:lineRule="auto"/>
        <w:ind w:firstLine="709"/>
        <w:jc w:val="both"/>
        <w:rPr>
          <w:rFonts w:ascii="Verdana" w:eastAsia="Times New Roman" w:hAnsi="Verdana" w:cs="Arial"/>
          <w:iCs/>
          <w:lang w:val="es-MX"/>
        </w:rPr>
      </w:pPr>
    </w:p>
    <w:p w14:paraId="01634A38" w14:textId="77777777" w:rsidR="00F503A8" w:rsidRPr="008618E4" w:rsidRDefault="00F503A8" w:rsidP="00F503A8">
      <w:pPr>
        <w:spacing w:after="0" w:line="240" w:lineRule="auto"/>
        <w:ind w:left="709" w:right="709"/>
        <w:jc w:val="both"/>
        <w:rPr>
          <w:rFonts w:ascii="Verdana" w:eastAsia="Times New Roman" w:hAnsi="Verdana" w:cs="Arial"/>
          <w:iCs/>
          <w:sz w:val="20"/>
          <w:szCs w:val="20"/>
          <w:lang w:val="es-MX"/>
        </w:rPr>
      </w:pPr>
      <w:r>
        <w:rPr>
          <w:rFonts w:ascii="Verdana" w:eastAsia="Times New Roman" w:hAnsi="Verdana" w:cs="Arial"/>
          <w:iCs/>
          <w:sz w:val="20"/>
          <w:szCs w:val="20"/>
          <w:lang w:val="es-MX"/>
        </w:rPr>
        <w:t>“</w:t>
      </w:r>
      <w:r w:rsidRPr="008618E4">
        <w:rPr>
          <w:rFonts w:ascii="Verdana" w:eastAsia="Times New Roman" w:hAnsi="Verdana" w:cs="Arial"/>
          <w:iCs/>
          <w:sz w:val="20"/>
          <w:szCs w:val="20"/>
          <w:lang w:val="es-MX"/>
        </w:rPr>
        <w:t xml:space="preserve">[…] podemos decir que se trata de un mecanismo encaminado a preservar la legalidad de las </w:t>
      </w:r>
      <w:proofErr w:type="gramStart"/>
      <w:r w:rsidRPr="008618E4">
        <w:rPr>
          <w:rFonts w:ascii="Verdana" w:eastAsia="Times New Roman" w:hAnsi="Verdana" w:cs="Arial"/>
          <w:iCs/>
          <w:sz w:val="20"/>
          <w:szCs w:val="20"/>
          <w:lang w:val="es-MX"/>
        </w:rPr>
        <w:t>autoridades públicas</w:t>
      </w:r>
      <w:proofErr w:type="gramEnd"/>
      <w:r w:rsidRPr="008618E4">
        <w:rPr>
          <w:rFonts w:ascii="Verdana" w:eastAsia="Times New Roman" w:hAnsi="Verdana" w:cs="Arial"/>
          <w:iCs/>
          <w:sz w:val="20"/>
          <w:szCs w:val="20"/>
          <w:lang w:val="es-MX"/>
        </w:rPr>
        <w:t xml:space="preserve">, comprendido por el conjunto de prerrogativas que ostenta la Administración en el ámbito contractual dirigido a tutelar el interés público de la comunidad. Estas potestades pueden ser ejercidas por la Administración como manifestación de su </w:t>
      </w:r>
      <w:proofErr w:type="spellStart"/>
      <w:r w:rsidRPr="008618E4">
        <w:rPr>
          <w:rFonts w:ascii="Verdana" w:eastAsia="Times New Roman" w:hAnsi="Verdana" w:cs="Arial"/>
          <w:i/>
          <w:iCs/>
          <w:sz w:val="20"/>
          <w:szCs w:val="20"/>
          <w:lang w:val="es-MX"/>
        </w:rPr>
        <w:t>imperium</w:t>
      </w:r>
      <w:proofErr w:type="spellEnd"/>
      <w:r w:rsidRPr="008618E4">
        <w:rPr>
          <w:rFonts w:ascii="Verdana" w:eastAsia="Times New Roman" w:hAnsi="Verdana" w:cs="Arial"/>
          <w:i/>
          <w:iCs/>
          <w:sz w:val="20"/>
          <w:szCs w:val="20"/>
          <w:lang w:val="es-MX"/>
        </w:rPr>
        <w:t xml:space="preserve"> </w:t>
      </w:r>
      <w:r w:rsidRPr="008618E4">
        <w:rPr>
          <w:rFonts w:ascii="Verdana" w:eastAsia="Times New Roman" w:hAnsi="Verdana" w:cs="Arial"/>
          <w:iCs/>
          <w:sz w:val="20"/>
          <w:szCs w:val="20"/>
          <w:lang w:val="es-MX"/>
        </w:rPr>
        <w:t>o poder del Estado, que se concreta en el poder jurídico para imponer coactivamente su voluntad, lo cual debe matizarse, dado que estas prerrogativas solo podrán ser ejercidas en las situaciones de hecho previamente establecidas por la ley y dentro de los límites señalados por la misma. Se trata de cláusulas excepcionales al derecho común, típicamente administrativas</w:t>
      </w:r>
      <w:r>
        <w:rPr>
          <w:rFonts w:ascii="Verdana" w:eastAsia="Times New Roman" w:hAnsi="Verdana" w:cs="Arial"/>
          <w:iCs/>
          <w:sz w:val="20"/>
          <w:szCs w:val="20"/>
          <w:lang w:val="es-MX"/>
        </w:rPr>
        <w:t>”</w:t>
      </w:r>
      <w:r w:rsidRPr="008618E4">
        <w:rPr>
          <w:rFonts w:ascii="Verdana" w:eastAsia="Times New Roman" w:hAnsi="Verdana" w:cs="Arial"/>
          <w:iCs/>
          <w:sz w:val="20"/>
          <w:szCs w:val="20"/>
          <w:vertAlign w:val="superscript"/>
          <w:lang w:val="es-MX"/>
        </w:rPr>
        <w:footnoteReference w:id="1"/>
      </w:r>
      <w:r w:rsidRPr="008618E4">
        <w:rPr>
          <w:rFonts w:ascii="Verdana" w:eastAsia="Times New Roman" w:hAnsi="Verdana" w:cs="Arial"/>
          <w:iCs/>
          <w:sz w:val="20"/>
          <w:szCs w:val="20"/>
          <w:lang w:val="es-MX"/>
        </w:rPr>
        <w:t xml:space="preserve">. </w:t>
      </w:r>
    </w:p>
    <w:p w14:paraId="5922FA45" w14:textId="77777777" w:rsidR="00F503A8" w:rsidRPr="00D24810" w:rsidRDefault="00F503A8" w:rsidP="00F503A8">
      <w:pPr>
        <w:spacing w:after="0" w:line="276" w:lineRule="auto"/>
        <w:jc w:val="both"/>
        <w:rPr>
          <w:rFonts w:ascii="Verdana" w:eastAsia="Calibri" w:hAnsi="Verdana" w:cs="Arial"/>
          <w:iCs/>
          <w:lang w:val="es-MX"/>
        </w:rPr>
      </w:pPr>
    </w:p>
    <w:p w14:paraId="2DE7FE30" w14:textId="77777777" w:rsidR="00F503A8" w:rsidRDefault="00F503A8" w:rsidP="00F503A8">
      <w:pPr>
        <w:spacing w:after="120" w:line="276" w:lineRule="auto"/>
        <w:ind w:firstLine="709"/>
        <w:jc w:val="both"/>
        <w:rPr>
          <w:rFonts w:ascii="Verdana" w:eastAsia="Calibri" w:hAnsi="Verdana" w:cs="Arial"/>
          <w:color w:val="000000"/>
          <w:lang w:val="es-MX"/>
        </w:rPr>
      </w:pPr>
      <w:r w:rsidRPr="00D24810">
        <w:rPr>
          <w:rFonts w:ascii="Verdana" w:eastAsia="Calibri" w:hAnsi="Verdana" w:cs="Arial"/>
          <w:iCs/>
          <w:lang w:val="es-MX"/>
        </w:rPr>
        <w:t xml:space="preserve">Las potestades exorbitantes son una manifestación del </w:t>
      </w:r>
      <w:proofErr w:type="spellStart"/>
      <w:r w:rsidRPr="00D24810">
        <w:rPr>
          <w:rFonts w:ascii="Verdana" w:eastAsia="Calibri" w:hAnsi="Verdana" w:cs="Arial"/>
          <w:i/>
          <w:iCs/>
          <w:lang w:val="es-MX"/>
        </w:rPr>
        <w:t>imperium</w:t>
      </w:r>
      <w:proofErr w:type="spellEnd"/>
      <w:r w:rsidRPr="00D24810">
        <w:rPr>
          <w:rFonts w:ascii="Verdana" w:eastAsia="Calibri" w:hAnsi="Verdana" w:cs="Arial"/>
          <w:i/>
          <w:iCs/>
          <w:lang w:val="es-MX"/>
        </w:rPr>
        <w:t xml:space="preserve"> </w:t>
      </w:r>
      <w:r w:rsidRPr="00D24810">
        <w:rPr>
          <w:rFonts w:ascii="Verdana" w:eastAsia="Calibri" w:hAnsi="Verdana" w:cs="Arial"/>
          <w:iCs/>
          <w:lang w:val="es-MX"/>
        </w:rPr>
        <w:t xml:space="preserve">de la Administración en los procesos de contratación pública. En tal sentido, </w:t>
      </w:r>
      <w:r w:rsidRPr="00D24810">
        <w:rPr>
          <w:rFonts w:ascii="Verdana" w:eastAsia="Calibri" w:hAnsi="Verdana" w:cs="Arial"/>
          <w:color w:val="000000"/>
          <w:lang w:val="es-MX"/>
        </w:rPr>
        <w:t xml:space="preserve">la utilización de las cláusulas exorbitantes estaría justificada porque se convierte en un instrumento para salvaguardar el interés público involucrado en el cumplimiento de las prestaciones del contrato. </w:t>
      </w:r>
      <w:r w:rsidRPr="0066269A">
        <w:rPr>
          <w:rFonts w:ascii="Verdana" w:eastAsia="Calibri" w:hAnsi="Verdana" w:cs="Arial"/>
          <w:color w:val="000000"/>
          <w:lang w:val="es-MX"/>
        </w:rPr>
        <w:t xml:space="preserve">A estas cláusulas también se les denomina como “exorbitantes”. Etimológicamente, esta palabra viene del latín: se compone del prefijo </w:t>
      </w:r>
      <w:r w:rsidRPr="0066269A">
        <w:rPr>
          <w:rFonts w:ascii="Verdana" w:eastAsia="Calibri" w:hAnsi="Verdana" w:cs="Arial"/>
          <w:i/>
          <w:iCs/>
          <w:color w:val="000000"/>
          <w:lang w:val="es-MX"/>
        </w:rPr>
        <w:t>ex</w:t>
      </w:r>
      <w:r w:rsidRPr="0066269A">
        <w:rPr>
          <w:rFonts w:ascii="Verdana" w:eastAsia="Calibri" w:hAnsi="Verdana" w:cs="Arial"/>
          <w:color w:val="000000"/>
          <w:lang w:val="es-MX"/>
        </w:rPr>
        <w:t xml:space="preserve">, que indica separación o movimiento de salida, y la raíz de la palabra </w:t>
      </w:r>
      <w:r w:rsidRPr="0066269A">
        <w:rPr>
          <w:rFonts w:ascii="Verdana" w:eastAsia="Calibri" w:hAnsi="Verdana" w:cs="Arial"/>
          <w:i/>
          <w:iCs/>
          <w:color w:val="000000"/>
          <w:lang w:val="es-MX"/>
        </w:rPr>
        <w:t>orbita</w:t>
      </w:r>
      <w:r w:rsidRPr="0066269A">
        <w:rPr>
          <w:rFonts w:ascii="Verdana" w:eastAsia="Calibri" w:hAnsi="Verdana" w:cs="Arial"/>
          <w:color w:val="000000"/>
          <w:lang w:val="es-MX"/>
        </w:rPr>
        <w:t xml:space="preserve">, relacionado con el curso de los astros, un derivado de la palabra </w:t>
      </w:r>
      <w:proofErr w:type="spellStart"/>
      <w:r w:rsidRPr="0066269A">
        <w:rPr>
          <w:rFonts w:ascii="Verdana" w:eastAsia="Calibri" w:hAnsi="Verdana" w:cs="Arial"/>
          <w:i/>
          <w:iCs/>
          <w:color w:val="000000"/>
          <w:lang w:val="es-MX"/>
        </w:rPr>
        <w:t>orbis</w:t>
      </w:r>
      <w:proofErr w:type="spellEnd"/>
      <w:r w:rsidRPr="0066269A">
        <w:rPr>
          <w:rFonts w:ascii="Verdana" w:eastAsia="Calibri" w:hAnsi="Verdana" w:cs="Arial"/>
          <w:color w:val="000000"/>
          <w:lang w:val="es-MX"/>
        </w:rPr>
        <w:t>, que significa circunferencia. En esta medida, lo exorbitante es lo que se sale excesivamente de su ritmo o medida habitual</w:t>
      </w:r>
      <w:r w:rsidRPr="0066269A">
        <w:rPr>
          <w:rFonts w:ascii="Verdana" w:eastAsia="Calibri" w:hAnsi="Verdana" w:cs="Arial"/>
          <w:color w:val="000000"/>
          <w:vertAlign w:val="superscript"/>
          <w:lang w:val="es-MX"/>
        </w:rPr>
        <w:footnoteReference w:id="2"/>
      </w:r>
      <w:r w:rsidRPr="0066269A">
        <w:rPr>
          <w:rFonts w:ascii="Verdana" w:eastAsia="Calibri" w:hAnsi="Verdana" w:cs="Arial"/>
          <w:color w:val="000000"/>
          <w:lang w:val="es-MX"/>
        </w:rPr>
        <w:t>. Para la doctrina, estas cláusulas son exorbitantes bien porque son poco habituales en los contratos entre particulares o porque, pactadas en los mismos, están viciadas de nulidad</w:t>
      </w:r>
      <w:r w:rsidRPr="0066269A">
        <w:rPr>
          <w:rFonts w:ascii="Verdana" w:eastAsia="Calibri" w:hAnsi="Verdana" w:cs="Arial"/>
          <w:color w:val="000000"/>
          <w:vertAlign w:val="superscript"/>
          <w:lang w:val="es-MX"/>
        </w:rPr>
        <w:footnoteReference w:id="3"/>
      </w:r>
      <w:r w:rsidRPr="0066269A">
        <w:rPr>
          <w:rFonts w:ascii="Verdana" w:eastAsia="Calibri" w:hAnsi="Verdana" w:cs="Arial"/>
          <w:color w:val="000000"/>
          <w:lang w:val="es-MX"/>
        </w:rPr>
        <w:t xml:space="preserve">. Por ser poco habituales, cláusulas como las de supervisión e interventoría tendrían esta naturaleza, las cuales –pese a la definición– pueden </w:t>
      </w:r>
      <w:r w:rsidRPr="0066269A">
        <w:rPr>
          <w:rFonts w:ascii="Verdana" w:eastAsia="Calibri" w:hAnsi="Verdana" w:cs="Arial"/>
          <w:color w:val="000000"/>
          <w:lang w:val="es-MX"/>
        </w:rPr>
        <w:lastRenderedPageBreak/>
        <w:t>pactarse en los contratos entre particulares, pues no están expresamente prohibida</w:t>
      </w:r>
      <w:r>
        <w:rPr>
          <w:rFonts w:ascii="Verdana" w:eastAsia="Calibri" w:hAnsi="Verdana" w:cs="Arial"/>
          <w:color w:val="000000"/>
          <w:lang w:val="es-MX"/>
        </w:rPr>
        <w:t xml:space="preserve">s. </w:t>
      </w:r>
    </w:p>
    <w:p w14:paraId="380F4391" w14:textId="77777777" w:rsidR="00F503A8" w:rsidRPr="00DB67AE" w:rsidRDefault="00F503A8" w:rsidP="00F503A8">
      <w:pPr>
        <w:spacing w:after="0" w:line="276" w:lineRule="auto"/>
        <w:ind w:firstLine="708"/>
        <w:jc w:val="both"/>
        <w:rPr>
          <w:rFonts w:ascii="Verdana" w:eastAsia="Calibri" w:hAnsi="Verdana" w:cs="Arial"/>
          <w:color w:val="000000"/>
        </w:rPr>
      </w:pPr>
      <w:r w:rsidRPr="00DB67AE">
        <w:rPr>
          <w:rFonts w:ascii="Verdana" w:eastAsia="Calibri" w:hAnsi="Verdana" w:cs="Arial"/>
          <w:color w:val="000000"/>
        </w:rPr>
        <w:t>En relación con estas potestades de carácter exorbitante, la versión original del artículo 14.2 de la Ley 80 de 1993 disponía que en los contratos cuyo objeto fuera el ejercicio de actividades constitutivas de monopolio estatal, la prestación de servicios públicos, la explotación y concesión de bienes del Estado, así como en los contratos de obra, debían pactarse las cláusulas excepcionales al derecho común de terminación, interpretación y modificación unilaterales, de sometimiento a las leyes nacionales y de caducidad.</w:t>
      </w:r>
      <w:r>
        <w:rPr>
          <w:rFonts w:ascii="Verdana" w:eastAsia="Calibri" w:hAnsi="Verdana" w:cs="Arial"/>
          <w:color w:val="000000"/>
        </w:rPr>
        <w:t xml:space="preserve"> </w:t>
      </w:r>
      <w:r w:rsidRPr="00DB67AE">
        <w:rPr>
          <w:rFonts w:ascii="Verdana" w:eastAsia="Calibri" w:hAnsi="Verdana" w:cs="Arial"/>
          <w:color w:val="000000"/>
        </w:rPr>
        <w:t>Asimismo, establecía que en los contratos de explotación y concesión de bienes del Estado debía incluirse la cláusula de reversión.</w:t>
      </w:r>
      <w:r>
        <w:rPr>
          <w:rFonts w:ascii="Verdana" w:eastAsia="Calibri" w:hAnsi="Verdana" w:cs="Arial"/>
          <w:color w:val="000000"/>
        </w:rPr>
        <w:t xml:space="preserve"> Al respecto, la doctrina expresa: </w:t>
      </w:r>
    </w:p>
    <w:p w14:paraId="3C9FDA22" w14:textId="77777777" w:rsidR="00F503A8" w:rsidRDefault="00F503A8" w:rsidP="00F503A8">
      <w:pPr>
        <w:spacing w:after="0" w:line="276" w:lineRule="auto"/>
        <w:jc w:val="both"/>
        <w:rPr>
          <w:rFonts w:ascii="Verdana" w:eastAsia="Calibri" w:hAnsi="Verdana" w:cs="Arial"/>
          <w:color w:val="000000"/>
        </w:rPr>
      </w:pPr>
    </w:p>
    <w:p w14:paraId="5B8016A1" w14:textId="77777777" w:rsidR="00F503A8" w:rsidRPr="007160D0" w:rsidRDefault="00F503A8" w:rsidP="00F503A8">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7160D0">
        <w:rPr>
          <w:rFonts w:ascii="Verdana" w:eastAsia="Calibri" w:hAnsi="Verdana" w:cs="Arial"/>
          <w:color w:val="000000"/>
          <w:sz w:val="20"/>
          <w:szCs w:val="20"/>
        </w:rPr>
        <w:t xml:space="preserve">Al analizar los eventos previstos por el artículo 14 de la Ley 80 de 1993, esta concepción salta a la vista. </w:t>
      </w:r>
      <w:r w:rsidRPr="00BF3A90">
        <w:rPr>
          <w:rFonts w:ascii="Verdana" w:eastAsia="Calibri" w:hAnsi="Verdana" w:cs="Arial"/>
          <w:i/>
          <w:iCs/>
          <w:color w:val="000000"/>
          <w:sz w:val="20"/>
          <w:szCs w:val="20"/>
        </w:rPr>
        <w:t>Los contratos que exigen la incorporación de cláusulas excepcionales son aquellos en los que resulta particularmente vinculada una actividad de trascendencia pública, como la prestación de servicios públicos, el ejercicio de una actividad que constituya monopolio estatal y las obras públicas, o aquellos en los que se le permite al contratista el provecho de una actividad de particular valor para el Estado, como la explotación y concesión de bienes públicos.</w:t>
      </w:r>
      <w:r w:rsidRPr="007160D0">
        <w:rPr>
          <w:rFonts w:ascii="Verdana" w:eastAsia="Calibri" w:hAnsi="Verdana" w:cs="Arial"/>
          <w:color w:val="000000"/>
          <w:sz w:val="20"/>
          <w:szCs w:val="20"/>
        </w:rPr>
        <w:t xml:space="preserve"> Por el contrario, los eventos en los que se prohíbe la inclusión de cláusulas excepcionales reflejan situaciones en las que la Administración ha de estar en un plano de igualdad con sus contratistas, bien por la calidad de estos, como en los contratos interadministrativos o los contratos suscritos con entidades internacionales de cooperación o los contratos de empréstito, o bien porque la actividad objeto del contrato hace aconsejable un trato igualitario entre las partes, como sucede en los contratos de las empresas industriales y comerciales del Estado y las sociedades de economía con capital público mayoritario, cuando desarrollan su objeto comercial o industrial, los contratos de seguros, tomados por las entidades estatales, o los contratos de ciencia y tecnología. Las actividades de colaboración propia de los convenios o las dinámicas comerciales en las que la entidad contratante está en competencia con otras empresas del sector privado hacen inconveniente la inclusión de esas potestades públicas (art. 14, </w:t>
      </w:r>
      <w:proofErr w:type="spellStart"/>
      <w:r w:rsidRPr="007160D0">
        <w:rPr>
          <w:rFonts w:ascii="Verdana" w:eastAsia="Calibri" w:hAnsi="Verdana" w:cs="Arial"/>
          <w:color w:val="000000"/>
          <w:sz w:val="20"/>
          <w:szCs w:val="20"/>
        </w:rPr>
        <w:t>parg</w:t>
      </w:r>
      <w:proofErr w:type="spellEnd"/>
      <w:r w:rsidRPr="007160D0">
        <w:rPr>
          <w:rFonts w:ascii="Verdana" w:eastAsia="Calibri" w:hAnsi="Verdana" w:cs="Arial"/>
          <w:color w:val="000000"/>
          <w:sz w:val="20"/>
          <w:szCs w:val="20"/>
        </w:rPr>
        <w:t>.)</w:t>
      </w:r>
      <w:r>
        <w:rPr>
          <w:rFonts w:ascii="Verdana" w:eastAsia="Calibri" w:hAnsi="Verdana" w:cs="Arial"/>
          <w:color w:val="000000"/>
          <w:sz w:val="20"/>
          <w:szCs w:val="20"/>
        </w:rPr>
        <w:t>”</w:t>
      </w:r>
      <w:r>
        <w:rPr>
          <w:rStyle w:val="Refdenotaalpie"/>
          <w:rFonts w:ascii="Verdana" w:eastAsia="Calibri" w:hAnsi="Verdana" w:cs="Arial"/>
          <w:color w:val="000000"/>
          <w:sz w:val="20"/>
          <w:szCs w:val="20"/>
        </w:rPr>
        <w:footnoteReference w:id="4"/>
      </w:r>
      <w:r w:rsidRPr="007160D0">
        <w:rPr>
          <w:rFonts w:ascii="Verdana" w:eastAsia="Calibri" w:hAnsi="Verdana" w:cs="Arial"/>
          <w:color w:val="000000"/>
          <w:sz w:val="20"/>
          <w:szCs w:val="20"/>
        </w:rPr>
        <w:t>.</w:t>
      </w:r>
      <w:r>
        <w:rPr>
          <w:rFonts w:ascii="Verdana" w:eastAsia="Calibri" w:hAnsi="Verdana" w:cs="Arial"/>
          <w:color w:val="000000"/>
          <w:sz w:val="20"/>
          <w:szCs w:val="20"/>
        </w:rPr>
        <w:t xml:space="preserve"> (énfasis fuera de texto). </w:t>
      </w:r>
    </w:p>
    <w:p w14:paraId="5BF0F4E1" w14:textId="77777777" w:rsidR="00F503A8" w:rsidRDefault="00F503A8" w:rsidP="00F503A8">
      <w:pPr>
        <w:spacing w:after="0" w:line="276" w:lineRule="auto"/>
        <w:ind w:firstLine="708"/>
        <w:jc w:val="both"/>
        <w:rPr>
          <w:rFonts w:ascii="Verdana" w:eastAsia="Calibri" w:hAnsi="Verdana" w:cs="Arial"/>
          <w:color w:val="000000"/>
        </w:rPr>
      </w:pPr>
    </w:p>
    <w:p w14:paraId="45EF4623" w14:textId="77777777" w:rsidR="00F503A8" w:rsidRPr="006F7D83" w:rsidRDefault="00F503A8" w:rsidP="00F503A8">
      <w:pPr>
        <w:spacing w:after="0" w:line="276" w:lineRule="auto"/>
        <w:ind w:firstLine="708"/>
        <w:jc w:val="both"/>
        <w:rPr>
          <w:rFonts w:ascii="Verdana" w:eastAsia="Calibri" w:hAnsi="Verdana" w:cs="Arial"/>
          <w:color w:val="000000"/>
          <w:lang w:val="es-MX"/>
        </w:rPr>
      </w:pPr>
      <w:r w:rsidRPr="006A2D9B">
        <w:rPr>
          <w:rFonts w:ascii="Verdana" w:eastAsia="Calibri" w:hAnsi="Verdana" w:cs="Arial"/>
          <w:color w:val="000000"/>
        </w:rPr>
        <w:lastRenderedPageBreak/>
        <w:t>Posteriormente, dicho artículo fue modificado por el artículo 52 de la Ley 2195 de 2022, el cual amplió el ámbito de aplicación de las cláusulas excepcionales para incluir los contratos relacionados con el Programa de Alimentación Escolar (PAE).</w:t>
      </w:r>
      <w:r>
        <w:rPr>
          <w:rFonts w:ascii="Verdana" w:eastAsia="Calibri" w:hAnsi="Verdana" w:cs="Arial"/>
          <w:color w:val="000000"/>
        </w:rPr>
        <w:t xml:space="preserve"> En tal sentido, el precitado artículo dispone:</w:t>
      </w:r>
    </w:p>
    <w:p w14:paraId="076283DC" w14:textId="77777777" w:rsidR="00F503A8" w:rsidRPr="00D24810" w:rsidRDefault="00F503A8" w:rsidP="00F503A8">
      <w:pPr>
        <w:spacing w:after="0" w:line="276" w:lineRule="auto"/>
        <w:jc w:val="both"/>
        <w:rPr>
          <w:rFonts w:ascii="Verdana" w:eastAsia="Calibri" w:hAnsi="Verdana" w:cs="Arial"/>
          <w:color w:val="000000"/>
          <w:lang w:val="es-MX"/>
        </w:rPr>
      </w:pPr>
    </w:p>
    <w:p w14:paraId="69694BE9" w14:textId="77777777" w:rsidR="00F503A8" w:rsidRPr="00717702" w:rsidRDefault="00F503A8" w:rsidP="00F503A8">
      <w:pPr>
        <w:spacing w:after="0" w:line="240" w:lineRule="auto"/>
        <w:ind w:left="709" w:right="709"/>
        <w:jc w:val="both"/>
        <w:rPr>
          <w:rFonts w:ascii="Verdana" w:eastAsia="Calibri" w:hAnsi="Verdana" w:cs="Arial"/>
          <w:color w:val="000000"/>
          <w:sz w:val="20"/>
          <w:szCs w:val="20"/>
        </w:rPr>
      </w:pPr>
      <w:r>
        <w:rPr>
          <w:rFonts w:ascii="Verdana" w:eastAsia="Calibri" w:hAnsi="Verdana" w:cs="Arial"/>
          <w:color w:val="000000"/>
          <w:sz w:val="20"/>
          <w:szCs w:val="20"/>
        </w:rPr>
        <w:t>“</w:t>
      </w:r>
      <w:r w:rsidRPr="00717702">
        <w:rPr>
          <w:rFonts w:ascii="Verdana" w:eastAsia="Calibri" w:hAnsi="Verdana" w:cs="Arial"/>
          <w:color w:val="000000"/>
          <w:sz w:val="20"/>
          <w:szCs w:val="20"/>
        </w:rPr>
        <w:t>ARTICULO 14. DE LOS MEDIOS QUE PUEDEN UTILIZAR LAS ENTIDADES ESTATALES PARA EL CUMPLIMIENTO DEL OBJETO CONTRACTUAL. Para el cumplimiento de los fines de la contratación, las entidades estatales al celebrar un contrato: </w:t>
      </w:r>
    </w:p>
    <w:p w14:paraId="0792244E" w14:textId="77777777" w:rsidR="00F503A8" w:rsidRPr="00717702" w:rsidRDefault="00F503A8" w:rsidP="00F503A8">
      <w:pPr>
        <w:spacing w:after="0" w:line="240" w:lineRule="auto"/>
        <w:ind w:left="709" w:right="709"/>
        <w:jc w:val="both"/>
        <w:rPr>
          <w:rFonts w:ascii="Verdana" w:eastAsia="Calibri" w:hAnsi="Verdana" w:cs="Arial"/>
          <w:color w:val="000000"/>
          <w:sz w:val="20"/>
          <w:szCs w:val="20"/>
        </w:rPr>
      </w:pPr>
      <w:r w:rsidRPr="00717702">
        <w:rPr>
          <w:rFonts w:ascii="Verdana" w:eastAsia="Calibri" w:hAnsi="Verdana" w:cs="Arial"/>
          <w:color w:val="000000"/>
          <w:sz w:val="20"/>
          <w:szCs w:val="20"/>
        </w:rPr>
        <w:t>[…]</w:t>
      </w:r>
    </w:p>
    <w:p w14:paraId="0C878514" w14:textId="77777777" w:rsidR="00F503A8" w:rsidRPr="00717702" w:rsidRDefault="00F503A8" w:rsidP="00F503A8">
      <w:pPr>
        <w:spacing w:after="0" w:line="240" w:lineRule="auto"/>
        <w:ind w:left="709" w:right="709"/>
        <w:jc w:val="both"/>
        <w:rPr>
          <w:rFonts w:ascii="Verdana" w:eastAsia="Calibri" w:hAnsi="Verdana" w:cs="Arial"/>
          <w:color w:val="000000"/>
          <w:sz w:val="20"/>
          <w:szCs w:val="20"/>
        </w:rPr>
      </w:pPr>
      <w:r w:rsidRPr="00717702">
        <w:rPr>
          <w:rFonts w:ascii="Verdana" w:eastAsia="Calibri" w:hAnsi="Verdana" w:cs="Arial"/>
          <w:color w:val="000000"/>
          <w:sz w:val="20"/>
          <w:szCs w:val="20"/>
        </w:rPr>
        <w:t>2o. Pactaran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los contratos relacionados con el programa de alimentación escolar o la explotación y concesión de bienes del Estado, así como en los contratos de obra. En los contratos de explotación y concesión de bienes del Estado se incluirá la cláusula de reversión.  </w:t>
      </w:r>
    </w:p>
    <w:p w14:paraId="46090158" w14:textId="77777777" w:rsidR="00F503A8" w:rsidRPr="00717702" w:rsidRDefault="00F503A8" w:rsidP="00F503A8">
      <w:pPr>
        <w:spacing w:after="0" w:line="240" w:lineRule="auto"/>
        <w:ind w:left="709" w:right="709"/>
        <w:jc w:val="both"/>
        <w:rPr>
          <w:rFonts w:ascii="Verdana" w:eastAsia="Calibri" w:hAnsi="Verdana" w:cs="Arial"/>
          <w:color w:val="000000"/>
          <w:sz w:val="20"/>
          <w:szCs w:val="20"/>
        </w:rPr>
      </w:pPr>
      <w:r w:rsidRPr="00717702">
        <w:rPr>
          <w:rFonts w:ascii="Verdana" w:eastAsia="Calibri" w:hAnsi="Verdana" w:cs="Arial"/>
          <w:color w:val="000000"/>
          <w:sz w:val="20"/>
          <w:szCs w:val="20"/>
        </w:rPr>
        <w:t>Las entidades estatales podrán pactar estas cláusulas en los contratos de suministro y de prestación de servicios.  </w:t>
      </w:r>
    </w:p>
    <w:p w14:paraId="628565D5" w14:textId="77777777" w:rsidR="00F503A8" w:rsidRPr="00717702" w:rsidRDefault="00F503A8" w:rsidP="00F503A8">
      <w:pPr>
        <w:spacing w:after="0" w:line="240" w:lineRule="auto"/>
        <w:ind w:left="709" w:right="709"/>
        <w:jc w:val="both"/>
        <w:rPr>
          <w:rFonts w:ascii="Verdana" w:eastAsia="Calibri" w:hAnsi="Verdana" w:cs="Arial"/>
          <w:color w:val="000000"/>
          <w:sz w:val="20"/>
          <w:szCs w:val="20"/>
        </w:rPr>
      </w:pPr>
      <w:r w:rsidRPr="00717702">
        <w:rPr>
          <w:rFonts w:ascii="Verdana" w:eastAsia="Calibri" w:hAnsi="Verdana" w:cs="Arial"/>
          <w:color w:val="000000"/>
          <w:sz w:val="20"/>
          <w:szCs w:val="20"/>
        </w:rPr>
        <w:t>En los casos previstos en este numeral, las cláusulas excepcionales se entienden pactadas aun cuando no se consignen expresamente.  </w:t>
      </w:r>
    </w:p>
    <w:p w14:paraId="32A0868E" w14:textId="77777777" w:rsidR="00F503A8" w:rsidRPr="00195F95" w:rsidRDefault="00F503A8" w:rsidP="00F503A8">
      <w:pPr>
        <w:spacing w:after="0" w:line="240" w:lineRule="auto"/>
        <w:ind w:left="709" w:right="709"/>
        <w:jc w:val="both"/>
        <w:rPr>
          <w:rFonts w:ascii="Verdana" w:eastAsia="Calibri" w:hAnsi="Verdana" w:cs="Arial"/>
          <w:color w:val="000000"/>
          <w:sz w:val="20"/>
          <w:szCs w:val="20"/>
        </w:rPr>
      </w:pPr>
      <w:r w:rsidRPr="00717702">
        <w:rPr>
          <w:rFonts w:ascii="Verdana" w:eastAsia="Calibri" w:hAnsi="Verdana" w:cs="Arial"/>
          <w:color w:val="000000"/>
          <w:sz w:val="20"/>
          <w:szCs w:val="20"/>
        </w:rPr>
        <w:t>PARAGRAFO. En los contratos que se celebren con personas públicas internacionales, o de cooperación, ayuda o asistencia; en los interadministrativos; en los de empréstito, donación y arrendamiento y en los contratos que tengan por objeto actividades comerciales o industriales de las entidades estatales que no correspondan a las señaladas en el numeral 2o. de este artículo, o que tengan por objeto el desarrollo directo de actividades científicas o tecnológicas, así como en los contratos de seguro tomados por las entidades estatales, se prescindirá de la utilización de las cláusulas o estipulaciones excepcionales</w:t>
      </w:r>
      <w:r>
        <w:rPr>
          <w:rFonts w:ascii="Verdana" w:eastAsia="Calibri" w:hAnsi="Verdana" w:cs="Arial"/>
          <w:color w:val="000000"/>
          <w:sz w:val="20"/>
          <w:szCs w:val="20"/>
        </w:rPr>
        <w:t>”</w:t>
      </w:r>
      <w:r w:rsidRPr="00717702">
        <w:rPr>
          <w:rFonts w:ascii="Verdana" w:eastAsia="Calibri" w:hAnsi="Verdana" w:cs="Arial"/>
          <w:color w:val="000000"/>
          <w:sz w:val="20"/>
          <w:szCs w:val="20"/>
        </w:rPr>
        <w:t>.</w:t>
      </w:r>
    </w:p>
    <w:p w14:paraId="5356B7D2" w14:textId="77777777" w:rsidR="00F503A8" w:rsidRPr="00D24810" w:rsidRDefault="00F503A8" w:rsidP="00F503A8">
      <w:pPr>
        <w:spacing w:after="0" w:line="276" w:lineRule="auto"/>
        <w:jc w:val="both"/>
        <w:rPr>
          <w:rFonts w:ascii="Verdana" w:eastAsia="Calibri" w:hAnsi="Verdana" w:cs="Arial"/>
          <w:color w:val="000000"/>
          <w:lang w:val="es-MX"/>
        </w:rPr>
      </w:pPr>
    </w:p>
    <w:p w14:paraId="40D6E302" w14:textId="77777777" w:rsidR="00F503A8" w:rsidRPr="00EB1920" w:rsidRDefault="00F503A8" w:rsidP="00F503A8">
      <w:pPr>
        <w:spacing w:after="120" w:line="276" w:lineRule="auto"/>
        <w:ind w:firstLine="709"/>
        <w:jc w:val="both"/>
        <w:rPr>
          <w:rFonts w:ascii="Verdana" w:eastAsia="Times New Roman" w:hAnsi="Verdana" w:cs="Arial"/>
          <w:iCs/>
        </w:rPr>
      </w:pPr>
      <w:r w:rsidRPr="00EB1920">
        <w:rPr>
          <w:rFonts w:ascii="Verdana" w:eastAsia="Times New Roman" w:hAnsi="Verdana" w:cs="Arial"/>
          <w:iCs/>
        </w:rPr>
        <w:t xml:space="preserve">A partir del artículo mencionado, las cláusulas excepcionales se configuran como estipulaciones virtuales y de obligatoria incorporación en los contratos de concesión, obra pública, prestación de servicios públicos, aquellos cuyo objeto consista en el ejercicio de una actividad sometida a monopolio estatal y en los contratos </w:t>
      </w:r>
      <w:r>
        <w:rPr>
          <w:rFonts w:ascii="Verdana" w:eastAsia="Times New Roman" w:hAnsi="Verdana" w:cs="Arial"/>
          <w:iCs/>
        </w:rPr>
        <w:t xml:space="preserve">relacionados </w:t>
      </w:r>
      <w:r w:rsidRPr="00EB1920">
        <w:rPr>
          <w:rFonts w:ascii="Verdana" w:eastAsia="Times New Roman" w:hAnsi="Verdana" w:cs="Arial"/>
          <w:iCs/>
        </w:rPr>
        <w:t xml:space="preserve">al Programa de Alimentación Escolar (PAE), conforme a la modificación </w:t>
      </w:r>
      <w:r>
        <w:rPr>
          <w:rFonts w:ascii="Verdana" w:eastAsia="Times New Roman" w:hAnsi="Verdana" w:cs="Arial"/>
          <w:iCs/>
        </w:rPr>
        <w:t>d</w:t>
      </w:r>
      <w:r w:rsidRPr="00EB1920">
        <w:rPr>
          <w:rFonts w:ascii="Verdana" w:eastAsia="Times New Roman" w:hAnsi="Verdana" w:cs="Arial"/>
          <w:iCs/>
        </w:rPr>
        <w:t xml:space="preserve">el artículo 52 de la Ley 2195 de 2022. En estos contratos, independientemente de que las partes las hayan incluido expresamente o no, las cláusulas excepcionales se entienden incorporadas por mandato legal, en los </w:t>
      </w:r>
      <w:r w:rsidRPr="00EB1920">
        <w:rPr>
          <w:rFonts w:ascii="Verdana" w:eastAsia="Times New Roman" w:hAnsi="Verdana" w:cs="Arial"/>
          <w:iCs/>
        </w:rPr>
        <w:lastRenderedPageBreak/>
        <w:t>términos previstos por el artículo 14 de la Ley 80 de 1993. De este modo, la Administración conserva las prerrogativas necesarias para asegurar la protección del interés general y la adecuada ejecución contractual.</w:t>
      </w:r>
    </w:p>
    <w:p w14:paraId="0ECF96E6" w14:textId="77777777" w:rsidR="00F503A8" w:rsidRDefault="00F503A8" w:rsidP="00F503A8">
      <w:pPr>
        <w:spacing w:after="120" w:line="276" w:lineRule="auto"/>
        <w:ind w:firstLine="709"/>
        <w:jc w:val="both"/>
        <w:rPr>
          <w:rFonts w:ascii="Verdana" w:eastAsia="Calibri" w:hAnsi="Verdana" w:cs="Arial"/>
          <w:color w:val="000000" w:themeColor="text1"/>
        </w:rPr>
      </w:pPr>
      <w:r w:rsidRPr="00496605">
        <w:rPr>
          <w:rFonts w:ascii="Verdana" w:eastAsia="Calibri" w:hAnsi="Verdana" w:cs="Arial"/>
          <w:color w:val="000000" w:themeColor="text1"/>
        </w:rPr>
        <w:t>Para mayor claridad, la jurisprudencia ha señalado que el artículo 14 de la Ley 80 de 1993 estructura cuatro grupos de contratos en los cuales el régimen aplicable a las potestades excepcionales varía según el tipo contractual</w:t>
      </w:r>
      <w:r w:rsidRPr="00CE2FA9">
        <w:rPr>
          <w:rStyle w:val="Refdenotaalpie"/>
          <w:rFonts w:ascii="Verdana" w:eastAsia="Calibri" w:hAnsi="Verdana" w:cs="Arial"/>
          <w:color w:val="000000" w:themeColor="text1"/>
        </w:rPr>
        <w:footnoteReference w:id="5"/>
      </w:r>
      <w:r w:rsidRPr="00496605">
        <w:rPr>
          <w:rFonts w:ascii="Verdana" w:eastAsia="Calibri" w:hAnsi="Verdana" w:cs="Arial"/>
          <w:color w:val="000000" w:themeColor="text1"/>
        </w:rPr>
        <w:t>. Esta clasificación permite comprender de manera sistemática cómo opera la inclusión legal de dichas facultades y cuáles son los alcances de la intervención unilateral de la Administración en cada categoría contractual.</w:t>
      </w:r>
      <w:r w:rsidRPr="00CE2FA9">
        <w:rPr>
          <w:rFonts w:ascii="Verdana" w:eastAsia="Calibri" w:hAnsi="Verdana" w:cs="Arial"/>
          <w:color w:val="000000" w:themeColor="text1"/>
        </w:rPr>
        <w:t xml:space="preserve"> El </w:t>
      </w:r>
      <w:r w:rsidRPr="00CE2FA9">
        <w:rPr>
          <w:rFonts w:ascii="Verdana" w:eastAsia="Calibri" w:hAnsi="Verdana" w:cs="Arial"/>
          <w:i/>
          <w:iCs/>
          <w:color w:val="000000" w:themeColor="text1"/>
        </w:rPr>
        <w:t>primer grupo</w:t>
      </w:r>
      <w:r w:rsidRPr="00CE2FA9">
        <w:rPr>
          <w:rFonts w:ascii="Verdana" w:eastAsia="Calibri" w:hAnsi="Verdana" w:cs="Arial"/>
          <w:color w:val="000000" w:themeColor="text1"/>
        </w:rPr>
        <w:t xml:space="preserve"> corresponde a aquellos en los que es obligatorio incluir poderes exorbitantes, formado por aquellos que tengan por objeto el ejercicio de una actividad que constituya monopolio estatal, la prestación de servicios públicos</w:t>
      </w:r>
      <w:r>
        <w:rPr>
          <w:rFonts w:ascii="Verdana" w:eastAsia="Calibri" w:hAnsi="Verdana" w:cs="Arial"/>
          <w:color w:val="000000" w:themeColor="text1"/>
        </w:rPr>
        <w:t xml:space="preserve">, </w:t>
      </w:r>
      <w:r w:rsidRPr="00F35EA2">
        <w:rPr>
          <w:rFonts w:ascii="Verdana" w:eastAsia="Calibri" w:hAnsi="Verdana" w:cs="Arial"/>
          <w:color w:val="000000" w:themeColor="text1"/>
        </w:rPr>
        <w:t>los contratos relacionados con el programa de alimentación escolar</w:t>
      </w:r>
      <w:r w:rsidRPr="00CE2FA9">
        <w:rPr>
          <w:rFonts w:ascii="Verdana" w:eastAsia="Calibri" w:hAnsi="Verdana" w:cs="Arial"/>
          <w:color w:val="000000" w:themeColor="text1"/>
        </w:rPr>
        <w:t xml:space="preserve"> o la explotación y concesión de bienes del Estado, así como en los contratos de obra. En estas tipologías, conforme a la clasificación </w:t>
      </w:r>
      <w:bookmarkStart w:id="2" w:name="_Hlk41077919"/>
      <w:r w:rsidRPr="00CE2FA9">
        <w:rPr>
          <w:rFonts w:ascii="Verdana" w:eastAsia="Calibri" w:hAnsi="Verdana" w:cs="Arial"/>
          <w:color w:val="000000" w:themeColor="text1"/>
        </w:rPr>
        <w:t>del artículo 1501 del Código Civil</w:t>
      </w:r>
      <w:bookmarkEnd w:id="2"/>
      <w:r w:rsidRPr="00CE2FA9">
        <w:rPr>
          <w:rFonts w:ascii="Verdana" w:eastAsia="Calibri" w:hAnsi="Verdana" w:cs="Arial"/>
          <w:color w:val="000000" w:themeColor="text1"/>
        </w:rPr>
        <w:t>, los poderes corresponden a cláusulas de naturaleza, es decir, aquellas que –frente al silencio del pliego de condiciones o del contrato– forman parte del negocio en virtud de la ley</w:t>
      </w:r>
      <w:r w:rsidRPr="00CE2FA9">
        <w:rPr>
          <w:rStyle w:val="Refdenotaalpie"/>
          <w:rFonts w:ascii="Verdana" w:eastAsia="Calibri" w:hAnsi="Verdana" w:cs="Arial"/>
          <w:color w:val="000000" w:themeColor="text1"/>
        </w:rPr>
        <w:footnoteReference w:id="6"/>
      </w:r>
      <w:r w:rsidRPr="00CE2FA9">
        <w:rPr>
          <w:rFonts w:ascii="Verdana" w:eastAsia="Calibri" w:hAnsi="Verdana" w:cs="Arial"/>
          <w:color w:val="000000" w:themeColor="text1"/>
        </w:rPr>
        <w:t xml:space="preserve">. Considerando la relación directa de estos contratos con la eficiente prestación de los servicios públicos, los poderes exorbitantes de este grupo son irrenunciables. </w:t>
      </w:r>
    </w:p>
    <w:p w14:paraId="4CDCC0DB" w14:textId="77777777" w:rsidR="00F503A8" w:rsidRDefault="00F503A8" w:rsidP="00F503A8">
      <w:pPr>
        <w:spacing w:after="120" w:line="276" w:lineRule="auto"/>
        <w:ind w:firstLine="709"/>
        <w:jc w:val="both"/>
        <w:rPr>
          <w:rFonts w:ascii="Verdana" w:eastAsia="Calibri" w:hAnsi="Verdana" w:cs="Arial"/>
          <w:color w:val="000000" w:themeColor="text1"/>
        </w:rPr>
      </w:pPr>
      <w:r w:rsidRPr="00CE2FA9">
        <w:rPr>
          <w:rFonts w:ascii="Verdana" w:eastAsia="Calibri" w:hAnsi="Verdana" w:cs="Arial"/>
          <w:color w:val="000000" w:themeColor="text1"/>
        </w:rPr>
        <w:t xml:space="preserve">El </w:t>
      </w:r>
      <w:r w:rsidRPr="00CE2FA9">
        <w:rPr>
          <w:rFonts w:ascii="Verdana" w:eastAsia="Calibri" w:hAnsi="Verdana" w:cs="Arial"/>
          <w:i/>
          <w:iCs/>
          <w:color w:val="000000" w:themeColor="text1"/>
        </w:rPr>
        <w:t>segundo grupo</w:t>
      </w:r>
      <w:r w:rsidRPr="00CE2FA9">
        <w:rPr>
          <w:rFonts w:ascii="Verdana" w:eastAsia="Calibri" w:hAnsi="Verdana" w:cs="Arial"/>
          <w:color w:val="000000" w:themeColor="text1"/>
        </w:rPr>
        <w:t xml:space="preserve"> está conformado por los contratos en que estas facultades son potestativas, lo cual aplica a los contratos de suministro y de prestación de servicios. Si bien todas las entidades deben cumplir con los fines del artículo 3 de la Ley 80 de 1993, en este caso existe una relación indirecta con la prestación de los servicios públicos, por lo que estas cláusulas no son obligatorias. En este grupo, la ley no suple el silencio del pliego de condiciones </w:t>
      </w:r>
      <w:r w:rsidRPr="00CE2FA9">
        <w:rPr>
          <w:rFonts w:ascii="Verdana" w:eastAsia="Calibri" w:hAnsi="Verdana" w:cs="Arial"/>
          <w:color w:val="000000" w:themeColor="text1"/>
        </w:rPr>
        <w:lastRenderedPageBreak/>
        <w:t>o del contrato, pues –conforme al artículo 1501 del Código Civil– son elementos accidentales que requieren pacto expreso.</w:t>
      </w:r>
      <w:r>
        <w:rPr>
          <w:rFonts w:ascii="Verdana" w:eastAsia="Calibri" w:hAnsi="Verdana" w:cs="Arial"/>
          <w:color w:val="000000" w:themeColor="text1"/>
        </w:rPr>
        <w:t xml:space="preserve"> </w:t>
      </w:r>
    </w:p>
    <w:p w14:paraId="4BDF8074" w14:textId="77777777" w:rsidR="00F503A8" w:rsidRPr="00EB4DA7" w:rsidRDefault="00F503A8" w:rsidP="00F503A8">
      <w:pPr>
        <w:spacing w:after="120" w:line="276" w:lineRule="auto"/>
        <w:ind w:firstLine="709"/>
        <w:jc w:val="both"/>
        <w:rPr>
          <w:rFonts w:ascii="Verdana" w:eastAsia="Calibri" w:hAnsi="Verdana" w:cs="Arial"/>
          <w:color w:val="000000" w:themeColor="text1"/>
        </w:rPr>
      </w:pPr>
      <w:r w:rsidRPr="00EB4DA7">
        <w:rPr>
          <w:rFonts w:ascii="Verdana" w:eastAsia="Calibri" w:hAnsi="Verdana" w:cs="Arial"/>
          <w:color w:val="000000" w:themeColor="text1"/>
        </w:rPr>
        <w:t xml:space="preserve">El </w:t>
      </w:r>
      <w:r w:rsidRPr="00EB4DA7">
        <w:rPr>
          <w:rFonts w:ascii="Verdana" w:eastAsia="Calibri" w:hAnsi="Verdana" w:cs="Arial"/>
          <w:i/>
          <w:iCs/>
          <w:color w:val="000000" w:themeColor="text1"/>
        </w:rPr>
        <w:t>tercer grupo</w:t>
      </w:r>
      <w:r w:rsidRPr="00EB4DA7">
        <w:rPr>
          <w:rFonts w:ascii="Verdana" w:eastAsia="Calibri" w:hAnsi="Verdana" w:cs="Arial"/>
          <w:color w:val="000000" w:themeColor="text1"/>
        </w:rPr>
        <w:t xml:space="preserve"> corresponde a los contratos del parágrafo del artículo 14 del Estatuto General donde la ley prohíbe pactar de estos poderes, so pena de nulidad absoluta por objeto ilícito. En esta categoría se ubican los contratos celebrados con personas públicas internacionales o aquellos de cooperación, ayuda o asistencia; los interadministrativos; los de empréstito, donación y arrendamiento; los contratos cuyo objeto sea el desarrollo de actividades comerciales o industriales de las entidades estatales que no correspondan a las previstas en el numeral 2 del artículo 14; los destinados al desarrollo directo de actividades científicas o tecnológicas; y los contratos de seguro tomados por las entidades estatales. </w:t>
      </w:r>
    </w:p>
    <w:p w14:paraId="584FB563" w14:textId="77777777" w:rsidR="00F503A8" w:rsidRDefault="00F503A8" w:rsidP="00F503A8">
      <w:pPr>
        <w:spacing w:after="120" w:line="276" w:lineRule="auto"/>
        <w:ind w:firstLine="709"/>
        <w:jc w:val="both"/>
        <w:rPr>
          <w:rFonts w:ascii="Verdana" w:eastAsia="Calibri" w:hAnsi="Verdana" w:cs="Arial"/>
          <w:color w:val="000000" w:themeColor="text1"/>
        </w:rPr>
      </w:pPr>
      <w:r w:rsidRPr="00F35EA2">
        <w:rPr>
          <w:rFonts w:ascii="Verdana" w:eastAsia="Calibri" w:hAnsi="Verdana" w:cs="Arial"/>
          <w:color w:val="000000" w:themeColor="text1"/>
        </w:rPr>
        <w:t xml:space="preserve">Finalmente, el </w:t>
      </w:r>
      <w:r w:rsidRPr="00F35EA2">
        <w:rPr>
          <w:rFonts w:ascii="Verdana" w:eastAsia="Calibri" w:hAnsi="Verdana" w:cs="Arial"/>
          <w:i/>
          <w:iCs/>
          <w:color w:val="000000" w:themeColor="text1"/>
        </w:rPr>
        <w:t>cuarto grupo</w:t>
      </w:r>
      <w:r w:rsidRPr="00F35EA2">
        <w:rPr>
          <w:rFonts w:ascii="Verdana" w:eastAsia="Calibri" w:hAnsi="Verdana" w:cs="Arial"/>
          <w:color w:val="000000" w:themeColor="text1"/>
        </w:rPr>
        <w:t xml:space="preserve"> está conformado por las tipologías que no se encuentran en alguno de los tres (3) grupos anteriormente comentados. Dado que la ley autoriza su ejercicio, no es posible fundamentar estos poderes en la autonomía de la voluntad. Por tanto, se entiende también están prohibidos en este último grupo, ya que: “De un lado […], este tipo de poderes requiere, cuando menos, autorización legal para su inclusión y posterior utilización, debido a la naturaleza que tienen estas prerrogativas -por su carácter extraordinario e inusual, en relación con el derecho común-, y, de otro, […] el legislador es el único que puede disponer competencias para la expedición de actos administrativos en desarrollo de los contratos estatales, actos que, como es sabido, constituyen el mecanismo de ejercicio de las exorbitancias contractuales”</w:t>
      </w:r>
      <w:r w:rsidRPr="00F35EA2">
        <w:rPr>
          <w:rStyle w:val="Refdenotaalpie"/>
          <w:rFonts w:ascii="Verdana" w:eastAsia="Calibri" w:hAnsi="Verdana" w:cs="Arial"/>
          <w:color w:val="000000" w:themeColor="text1"/>
        </w:rPr>
        <w:footnoteReference w:id="7"/>
      </w:r>
      <w:r w:rsidRPr="00F35EA2">
        <w:rPr>
          <w:rFonts w:ascii="Verdana" w:eastAsia="Calibri" w:hAnsi="Verdana" w:cs="Arial"/>
          <w:color w:val="000000" w:themeColor="text1"/>
        </w:rPr>
        <w:t>.</w:t>
      </w:r>
    </w:p>
    <w:p w14:paraId="04EE693D" w14:textId="77777777" w:rsidR="00F503A8" w:rsidRPr="009037F6" w:rsidRDefault="00F503A8" w:rsidP="00F503A8">
      <w:pPr>
        <w:spacing w:after="0" w:line="276" w:lineRule="auto"/>
        <w:jc w:val="both"/>
        <w:rPr>
          <w:rFonts w:ascii="Verdana" w:eastAsia="Calibri" w:hAnsi="Verdana" w:cs="Arial"/>
          <w:color w:val="000000" w:themeColor="text1"/>
          <w:lang w:val="es-ES"/>
        </w:rPr>
      </w:pPr>
      <w:bookmarkStart w:id="3" w:name="_Hlk37703813"/>
    </w:p>
    <w:bookmarkEnd w:id="1"/>
    <w:bookmarkEnd w:id="3"/>
    <w:p w14:paraId="49480D92" w14:textId="77777777" w:rsidR="00F503A8" w:rsidRDefault="00F503A8" w:rsidP="00F503A8">
      <w:pPr>
        <w:spacing w:after="120" w:line="276" w:lineRule="auto"/>
        <w:jc w:val="both"/>
        <w:rPr>
          <w:rFonts w:ascii="Verdana" w:eastAsia="Calibri" w:hAnsi="Verdana" w:cs="Arial"/>
          <w:color w:val="000000" w:themeColor="text1"/>
        </w:rPr>
      </w:pPr>
      <w:proofErr w:type="spellStart"/>
      <w:r>
        <w:rPr>
          <w:rFonts w:ascii="Verdana" w:eastAsia="Calibri" w:hAnsi="Verdana" w:cs="Arial"/>
          <w:color w:val="000000" w:themeColor="text1"/>
          <w:lang w:val="es-ES"/>
        </w:rPr>
        <w:t>ii</w:t>
      </w:r>
      <w:proofErr w:type="spellEnd"/>
      <w:r w:rsidRPr="009037F6">
        <w:rPr>
          <w:rFonts w:ascii="Verdana" w:eastAsia="Calibri" w:hAnsi="Verdana" w:cs="Arial"/>
          <w:color w:val="000000" w:themeColor="text1"/>
          <w:lang w:val="es-ES"/>
        </w:rPr>
        <w:t>.</w:t>
      </w:r>
      <w:r w:rsidRPr="00B50C64">
        <w:rPr>
          <w:rFonts w:ascii="Times New Roman" w:eastAsia="Times New Roman" w:hAnsi="Times New Roman" w:cs="Times New Roman"/>
          <w:sz w:val="24"/>
          <w:szCs w:val="24"/>
          <w:lang w:eastAsia="es-CO"/>
        </w:rPr>
        <w:t xml:space="preserve"> </w:t>
      </w:r>
      <w:r w:rsidRPr="00B50C64">
        <w:rPr>
          <w:rFonts w:ascii="Verdana" w:eastAsia="Calibri" w:hAnsi="Verdana" w:cs="Arial"/>
          <w:color w:val="000000" w:themeColor="text1"/>
        </w:rPr>
        <w:t>A partir de los considerandos expuestos, se advierte que las potestades exorbitantes o cláusulas excepcionales pueden configurarse como elementos</w:t>
      </w:r>
      <w:r>
        <w:rPr>
          <w:rFonts w:ascii="Verdana" w:eastAsia="Calibri" w:hAnsi="Verdana" w:cs="Arial"/>
          <w:color w:val="000000" w:themeColor="text1"/>
        </w:rPr>
        <w:t xml:space="preserve"> de la naturaleza</w:t>
      </w:r>
      <w:r w:rsidRPr="00B50C64">
        <w:rPr>
          <w:rFonts w:ascii="Verdana" w:eastAsia="Calibri" w:hAnsi="Verdana" w:cs="Arial"/>
          <w:color w:val="000000" w:themeColor="text1"/>
        </w:rPr>
        <w:t xml:space="preserve">, accidentales o, en ciertos casos, prohibidos dentro de determinados contratos estatales. En este marco, adquiere especial relevancia el análisis de aquellos contratos cuyo objeto consiste en </w:t>
      </w:r>
      <w:r>
        <w:rPr>
          <w:rFonts w:ascii="Verdana" w:eastAsia="Calibri" w:hAnsi="Verdana" w:cs="Arial"/>
          <w:color w:val="000000" w:themeColor="text1"/>
        </w:rPr>
        <w:t>“</w:t>
      </w:r>
      <w:r w:rsidRPr="00B50C64">
        <w:rPr>
          <w:rFonts w:ascii="Verdana" w:eastAsia="Calibri" w:hAnsi="Verdana" w:cs="Arial"/>
          <w:color w:val="000000" w:themeColor="text1"/>
        </w:rPr>
        <w:t>la explotación o concesión de bienes del Estado</w:t>
      </w:r>
      <w:r>
        <w:rPr>
          <w:rFonts w:ascii="Verdana" w:eastAsia="Calibri" w:hAnsi="Verdana" w:cs="Arial"/>
          <w:color w:val="000000" w:themeColor="text1"/>
        </w:rPr>
        <w:t>”</w:t>
      </w:r>
      <w:r w:rsidRPr="00B50C64">
        <w:rPr>
          <w:rFonts w:ascii="Verdana" w:eastAsia="Calibri" w:hAnsi="Verdana" w:cs="Arial"/>
          <w:color w:val="000000" w:themeColor="text1"/>
        </w:rPr>
        <w:t xml:space="preserve">, pues estos se encuentran sometidos al ejercicio </w:t>
      </w:r>
      <w:r w:rsidRPr="00B50C64">
        <w:rPr>
          <w:rFonts w:ascii="Verdana" w:eastAsia="Calibri" w:hAnsi="Verdana" w:cs="Arial"/>
          <w:color w:val="000000" w:themeColor="text1"/>
        </w:rPr>
        <w:lastRenderedPageBreak/>
        <w:t xml:space="preserve">de potestades excepcionales aun cuando tales prerrogativas no estén </w:t>
      </w:r>
      <w:r>
        <w:rPr>
          <w:rFonts w:ascii="Verdana" w:eastAsia="Calibri" w:hAnsi="Verdana" w:cs="Arial"/>
          <w:color w:val="000000" w:themeColor="text1"/>
        </w:rPr>
        <w:t xml:space="preserve">pactadas </w:t>
      </w:r>
      <w:r w:rsidRPr="00B50C64">
        <w:rPr>
          <w:rFonts w:ascii="Verdana" w:eastAsia="Calibri" w:hAnsi="Verdana" w:cs="Arial"/>
          <w:color w:val="000000" w:themeColor="text1"/>
        </w:rPr>
        <w:t xml:space="preserve">de manera expresa en </w:t>
      </w:r>
      <w:r>
        <w:rPr>
          <w:rFonts w:ascii="Verdana" w:eastAsia="Calibri" w:hAnsi="Verdana" w:cs="Arial"/>
          <w:color w:val="000000" w:themeColor="text1"/>
        </w:rPr>
        <w:t xml:space="preserve">el contrato. </w:t>
      </w:r>
    </w:p>
    <w:p w14:paraId="6C3D6DA8" w14:textId="77777777" w:rsidR="00F503A8" w:rsidRPr="00B50C64" w:rsidRDefault="00F503A8" w:rsidP="00F503A8">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 xml:space="preserve">Esto, </w:t>
      </w:r>
      <w:r w:rsidRPr="00B50C64">
        <w:rPr>
          <w:rFonts w:ascii="Verdana" w:eastAsia="Calibri" w:hAnsi="Verdana" w:cs="Arial"/>
          <w:color w:val="000000" w:themeColor="text1"/>
        </w:rPr>
        <w:t xml:space="preserve">obedece a que, por su propia naturaleza, dichos contratos involucran la gestión, protección y aprovechamiento del patrimonio público, lo cual habilita a la Administración para ejercer </w:t>
      </w:r>
      <w:r>
        <w:rPr>
          <w:rFonts w:ascii="Verdana" w:eastAsia="Calibri" w:hAnsi="Verdana" w:cs="Arial"/>
          <w:color w:val="000000" w:themeColor="text1"/>
        </w:rPr>
        <w:t xml:space="preserve">potestades exorbitantes </w:t>
      </w:r>
      <w:r w:rsidRPr="00B50C64">
        <w:rPr>
          <w:rFonts w:ascii="Verdana" w:eastAsia="Calibri" w:hAnsi="Verdana" w:cs="Arial"/>
          <w:color w:val="000000" w:themeColor="text1"/>
        </w:rPr>
        <w:t>orientadas a salvaguardar el interés general. Así, la presencia de potestades exorbitantes no depende exclusivamente de su estipulación contractual, sino de la función pública comprometida en la explotación o concesión de bienes estatales, lo que justifica la aplicación de un régimen reforzado de dirección y control administrativo.</w:t>
      </w:r>
    </w:p>
    <w:p w14:paraId="0BA4BB26" w14:textId="77777777" w:rsidR="00F503A8" w:rsidRPr="008F1A13" w:rsidRDefault="00F503A8" w:rsidP="00F503A8">
      <w:pPr>
        <w:spacing w:after="120" w:line="276" w:lineRule="auto"/>
        <w:ind w:firstLine="709"/>
        <w:jc w:val="both"/>
        <w:rPr>
          <w:rFonts w:ascii="Verdana" w:eastAsia="Calibri" w:hAnsi="Verdana" w:cs="Arial"/>
          <w:color w:val="000000" w:themeColor="text1"/>
        </w:rPr>
      </w:pPr>
      <w:r w:rsidRPr="008F1A13">
        <w:rPr>
          <w:rFonts w:ascii="Verdana" w:eastAsia="Calibri" w:hAnsi="Verdana" w:cs="Arial"/>
          <w:color w:val="000000" w:themeColor="text1"/>
        </w:rPr>
        <w:t>No obstante, resulta necesario precisar el alcance de la expresión “explotación y concesión de bienes del Estado”. En particular, debe señalarse que dicha expresión no se limita, en sentido estricto, a los contratos tipificados en el artículo 32.4 de la Ley 80 de 1993 —referidos específicamente a los contratos de concesión—, sino que comprende otros contratos estatales que, aunque no estén previstos de manera expresa en dicha disposición, por su objeto y finalidad implican la utilización, aprovechamiento o administración de bienes estatales.</w:t>
      </w:r>
    </w:p>
    <w:p w14:paraId="49AC50AF" w14:textId="77777777" w:rsidR="00F503A8" w:rsidRPr="008F1A13" w:rsidRDefault="00F503A8" w:rsidP="00F503A8">
      <w:pPr>
        <w:spacing w:after="120" w:line="276" w:lineRule="auto"/>
        <w:ind w:firstLine="709"/>
        <w:jc w:val="both"/>
        <w:rPr>
          <w:rFonts w:ascii="Verdana" w:eastAsia="Calibri" w:hAnsi="Verdana" w:cs="Arial"/>
          <w:color w:val="000000" w:themeColor="text1"/>
        </w:rPr>
      </w:pPr>
      <w:r w:rsidRPr="008F1A13">
        <w:rPr>
          <w:rFonts w:ascii="Verdana" w:eastAsia="Calibri" w:hAnsi="Verdana" w:cs="Arial"/>
          <w:color w:val="000000" w:themeColor="text1"/>
        </w:rPr>
        <w:t>En este contexto, la expresión “explotación y concesión de bienes del Estado” debe entenderse como una categoría amplia que abarca todos aquellos contratos</w:t>
      </w:r>
      <w:r>
        <w:rPr>
          <w:rFonts w:ascii="Verdana" w:eastAsia="Calibri" w:hAnsi="Verdana" w:cs="Arial"/>
          <w:color w:val="000000" w:themeColor="text1"/>
        </w:rPr>
        <w:t xml:space="preserve"> </w:t>
      </w:r>
      <w:r w:rsidRPr="008F1A13">
        <w:rPr>
          <w:rFonts w:ascii="Verdana" w:eastAsia="Calibri" w:hAnsi="Verdana" w:cs="Arial"/>
          <w:color w:val="000000" w:themeColor="text1"/>
        </w:rPr>
        <w:t>mediante las cuales un particular asume la gestión, uso o aprovechamiento de bienes públicos, independientemente de la denominación contractual empleada. Lo determinante es la naturaleza de la actividad desarrollada y su vinculación con la administración o explotación de bienes estatales, y no la tipología contractual específica.</w:t>
      </w:r>
    </w:p>
    <w:p w14:paraId="72A02608" w14:textId="77777777" w:rsidR="00F503A8" w:rsidRDefault="00F503A8" w:rsidP="00F503A8">
      <w:pPr>
        <w:spacing w:after="120" w:line="276" w:lineRule="auto"/>
        <w:ind w:firstLine="709"/>
        <w:jc w:val="both"/>
        <w:rPr>
          <w:rFonts w:ascii="Verdana" w:eastAsia="Calibri" w:hAnsi="Verdana" w:cs="Arial"/>
          <w:color w:val="000000" w:themeColor="text1"/>
        </w:rPr>
      </w:pPr>
      <w:r w:rsidRPr="008F1A13">
        <w:rPr>
          <w:rFonts w:ascii="Verdana" w:eastAsia="Calibri" w:hAnsi="Verdana" w:cs="Arial"/>
          <w:color w:val="000000" w:themeColor="text1"/>
        </w:rPr>
        <w:t xml:space="preserve">Para efectos interpretativos, esta expresión debe analizarse conforme al sentido literal de las palabras, </w:t>
      </w:r>
      <w:r>
        <w:rPr>
          <w:rFonts w:ascii="Verdana" w:eastAsia="Calibri" w:hAnsi="Verdana" w:cs="Arial"/>
          <w:color w:val="000000" w:themeColor="text1"/>
        </w:rPr>
        <w:t>conforme a lo regulado</w:t>
      </w:r>
      <w:r w:rsidRPr="008F1A13">
        <w:rPr>
          <w:rFonts w:ascii="Verdana" w:eastAsia="Calibri" w:hAnsi="Verdana" w:cs="Arial"/>
          <w:color w:val="000000" w:themeColor="text1"/>
        </w:rPr>
        <w:t xml:space="preserve"> en el artículo 28 del Código Civil, que prescribe: “Las palabras de la ley se entenderán en su sentido natural y obvio, según el uso general de las mismas palabras; pero cuando el legislador las haya definido expresamente para ciertas materias, se les dará en éstas su significado legal”. De esta manera, la interpretación debe partir del significado ordinario de los términos “explotación” y “concesión”, lo cual permite abarcar un espectro contractual más amplio que el previsto de manera taxativa en </w:t>
      </w:r>
      <w:r>
        <w:rPr>
          <w:rFonts w:ascii="Verdana" w:eastAsia="Calibri" w:hAnsi="Verdana" w:cs="Arial"/>
          <w:color w:val="000000" w:themeColor="text1"/>
        </w:rPr>
        <w:t xml:space="preserve">el </w:t>
      </w:r>
      <w:r>
        <w:rPr>
          <w:rFonts w:ascii="Verdana" w:eastAsia="Calibri" w:hAnsi="Verdana" w:cs="Arial"/>
          <w:color w:val="000000" w:themeColor="text1"/>
        </w:rPr>
        <w:lastRenderedPageBreak/>
        <w:t>artículo 32.4 de la</w:t>
      </w:r>
      <w:r w:rsidRPr="008F1A13">
        <w:rPr>
          <w:rFonts w:ascii="Verdana" w:eastAsia="Calibri" w:hAnsi="Verdana" w:cs="Arial"/>
          <w:color w:val="000000" w:themeColor="text1"/>
        </w:rPr>
        <w:t xml:space="preserve"> Ley 80 de 1993</w:t>
      </w:r>
      <w:r w:rsidRPr="00A87780">
        <w:rPr>
          <w:rStyle w:val="Refdenotaalpie"/>
          <w:rFonts w:ascii="Verdana" w:eastAsia="Calibri" w:hAnsi="Verdana" w:cs="Arial"/>
          <w:color w:val="000000" w:themeColor="text1"/>
        </w:rPr>
        <w:footnoteReference w:id="8"/>
      </w:r>
      <w:r>
        <w:rPr>
          <w:rFonts w:ascii="Verdana" w:eastAsia="Calibri" w:hAnsi="Verdana" w:cs="Arial"/>
          <w:color w:val="000000" w:themeColor="text1"/>
        </w:rPr>
        <w:t>, por lo que l</w:t>
      </w:r>
      <w:r w:rsidRPr="002E05FE">
        <w:rPr>
          <w:rFonts w:ascii="Verdana" w:eastAsia="Calibri" w:hAnsi="Verdana" w:cs="Arial"/>
          <w:color w:val="000000" w:themeColor="text1"/>
        </w:rPr>
        <w:t xml:space="preserve">imitar su alcance a esa enumeración taxativa implicaría desconocer que, en la práctica administrativa, existen múltiples formas de gestión, aprovechamiento y administración de bienes estatales que no encajan de manera rígida </w:t>
      </w:r>
      <w:r>
        <w:rPr>
          <w:rFonts w:ascii="Verdana" w:eastAsia="Calibri" w:hAnsi="Verdana" w:cs="Arial"/>
          <w:color w:val="000000" w:themeColor="text1"/>
        </w:rPr>
        <w:t>a la categoría de concesión del artículo 32.4</w:t>
      </w:r>
      <w:r w:rsidRPr="002E05FE">
        <w:rPr>
          <w:rFonts w:ascii="Verdana" w:eastAsia="Calibri" w:hAnsi="Verdana" w:cs="Arial"/>
          <w:color w:val="000000" w:themeColor="text1"/>
        </w:rPr>
        <w:t>, pero que sí comparten su finalidad económica y su lógica de colaboración entre el Estado y los particulares.</w:t>
      </w:r>
    </w:p>
    <w:p w14:paraId="04E006A8" w14:textId="77777777" w:rsidR="00F503A8" w:rsidRPr="00782650" w:rsidRDefault="00F503A8" w:rsidP="00F503A8">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 xml:space="preserve">Ejemplo de este entendimiento es lo expresado por Julián Pimiento cuando alude al contrato de aprovechamiento de bienes de uso público, en la que se permite a los municipios o distritos contratar con entidades privadas la administración, mantenimiento y aprovechamiento del espacio público, sin que implique para la ciudadanía la pérdida del uso, goce, disfrute y libre </w:t>
      </w:r>
      <w:proofErr w:type="spellStart"/>
      <w:r>
        <w:rPr>
          <w:rFonts w:ascii="Verdana" w:eastAsia="Calibri" w:hAnsi="Verdana" w:cs="Arial"/>
          <w:color w:val="000000" w:themeColor="text1"/>
        </w:rPr>
        <w:t>transito</w:t>
      </w:r>
      <w:proofErr w:type="spellEnd"/>
      <w:r>
        <w:rPr>
          <w:rStyle w:val="Refdenotaalpie"/>
          <w:rFonts w:ascii="Verdana" w:eastAsia="Calibri" w:hAnsi="Verdana" w:cs="Arial"/>
          <w:color w:val="000000" w:themeColor="text1"/>
        </w:rPr>
        <w:footnoteReference w:id="9"/>
      </w:r>
      <w:r w:rsidRPr="002E05FE">
        <w:rPr>
          <w:rFonts w:ascii="Verdana" w:eastAsia="Calibri" w:hAnsi="Verdana" w:cs="Arial"/>
          <w:color w:val="000000" w:themeColor="text1"/>
        </w:rPr>
        <w:t xml:space="preserve"> </w:t>
      </w:r>
      <w:r>
        <w:rPr>
          <w:rFonts w:ascii="Verdana" w:eastAsia="Calibri" w:hAnsi="Verdana" w:cs="Arial"/>
          <w:color w:val="000000" w:themeColor="text1"/>
        </w:rPr>
        <w:t xml:space="preserve">. Para el doctrinante en mención, este tipo de contratos se caracteriza por los siguientes elementos: </w:t>
      </w:r>
      <w:r w:rsidRPr="00731891">
        <w:rPr>
          <w:rFonts w:ascii="Verdana" w:eastAsia="Calibri" w:hAnsi="Verdana" w:cs="Arial"/>
          <w:color w:val="000000" w:themeColor="text1"/>
        </w:rPr>
        <w:t>a) la ocupación privativa, complementaria o compatible con el uso público del bien,- b) una remuneración a favor de la Administración propietaria por el uso privativo directamente ligado al beneficio financiero extraído de esta ocupación; c) la inclusión de una cláusula de protección de la afectación del bien, cláusulas excepcionales y de reversión; y d) la imposibilidad de reconocer derechos reales en ese caso</w:t>
      </w:r>
      <w:r w:rsidRPr="00731891">
        <w:rPr>
          <w:rFonts w:ascii="Verdana" w:eastAsia="Calibri" w:hAnsi="Verdana" w:cs="Arial"/>
          <w:color w:val="000000" w:themeColor="text1"/>
          <w:vertAlign w:val="superscript"/>
        </w:rPr>
        <w:footnoteReference w:id="10"/>
      </w:r>
      <w:r w:rsidRPr="00731891">
        <w:rPr>
          <w:rFonts w:ascii="Verdana" w:eastAsia="Calibri" w:hAnsi="Verdana" w:cs="Arial"/>
          <w:color w:val="000000" w:themeColor="text1"/>
        </w:rPr>
        <w:t xml:space="preserve">. </w:t>
      </w:r>
      <w:r>
        <w:rPr>
          <w:rFonts w:ascii="Verdana" w:eastAsia="Calibri" w:hAnsi="Verdana" w:cs="Arial"/>
          <w:color w:val="000000" w:themeColor="text1"/>
        </w:rPr>
        <w:t xml:space="preserve">Se infiere de que el planteamiento de que cuentan con potestades exorbitantes se funda en una interpretación sistemática del artículo 14 de la Ley 80 de 1993 sobre explotación y concesión </w:t>
      </w:r>
      <w:r>
        <w:rPr>
          <w:rFonts w:ascii="Verdana" w:eastAsia="Calibri" w:hAnsi="Verdana" w:cs="Arial"/>
          <w:color w:val="000000" w:themeColor="text1"/>
        </w:rPr>
        <w:lastRenderedPageBreak/>
        <w:t xml:space="preserve">de bienes del Estado y lo dispuesto en </w:t>
      </w:r>
      <w:r w:rsidRPr="00782650">
        <w:rPr>
          <w:rFonts w:ascii="Verdana" w:eastAsia="Calibri" w:hAnsi="Verdana" w:cs="Arial"/>
        </w:rPr>
        <w:t xml:space="preserve">el parágrafo 1 del artículo 7 de la Ley 9 de 1989, modificado por el artículo 40 de la Ley 2079 de 2020, establece que en los actos y contratos celebrados para el aprovechamiento económico del espacio público se presume de derecho la incorporación de la cláusula de reversión prevista en el artículo 14, numerales 2 y 19 de la Ley 80 de 1993, así como en el artículo 29 de la Ley 1150 de 2007. Dicha cláusula opera una vez se extinga el plazo fijado en los respectivos actos o contratos. </w:t>
      </w:r>
    </w:p>
    <w:p w14:paraId="216C175A" w14:textId="77777777" w:rsidR="00F503A8" w:rsidRPr="009A30E3" w:rsidRDefault="00F503A8" w:rsidP="00F503A8">
      <w:pPr>
        <w:spacing w:after="0" w:line="276" w:lineRule="auto"/>
        <w:jc w:val="both"/>
        <w:rPr>
          <w:rFonts w:ascii="Verdana" w:eastAsia="Calibri" w:hAnsi="Verdana" w:cs="Arial"/>
          <w:color w:val="000000" w:themeColor="text1"/>
        </w:rPr>
      </w:pPr>
      <w:r>
        <w:rPr>
          <w:rFonts w:ascii="Verdana" w:eastAsia="Calibri" w:hAnsi="Verdana" w:cs="Arial"/>
          <w:color w:val="000000" w:themeColor="text1"/>
        </w:rPr>
        <w:tab/>
      </w:r>
    </w:p>
    <w:p w14:paraId="4AC893A3" w14:textId="77777777" w:rsidR="00F503A8" w:rsidRPr="009037F6" w:rsidRDefault="00F503A8" w:rsidP="00F503A8">
      <w:pPr>
        <w:spacing w:after="120" w:line="276" w:lineRule="auto"/>
        <w:jc w:val="both"/>
        <w:rPr>
          <w:rFonts w:ascii="Verdana" w:eastAsia="Calibri" w:hAnsi="Verdana" w:cs="Arial"/>
          <w:color w:val="000000" w:themeColor="text1"/>
          <w:lang w:val="es-ES"/>
        </w:rPr>
      </w:pPr>
      <w:proofErr w:type="spellStart"/>
      <w:r>
        <w:rPr>
          <w:rFonts w:ascii="Verdana" w:eastAsia="Calibri" w:hAnsi="Verdana" w:cs="Arial"/>
          <w:color w:val="000000" w:themeColor="text1"/>
        </w:rPr>
        <w:t>iii</w:t>
      </w:r>
      <w:proofErr w:type="spellEnd"/>
      <w:r>
        <w:rPr>
          <w:rFonts w:ascii="Verdana" w:eastAsia="Calibri" w:hAnsi="Verdana" w:cs="Arial"/>
          <w:color w:val="000000" w:themeColor="text1"/>
        </w:rPr>
        <w:t xml:space="preserve">. </w:t>
      </w:r>
      <w:r w:rsidRPr="009037F6">
        <w:rPr>
          <w:rFonts w:ascii="Verdana" w:eastAsia="Calibri" w:hAnsi="Verdana" w:cs="Arial"/>
          <w:color w:val="000000" w:themeColor="text1"/>
          <w:lang w:val="es-ES"/>
        </w:rPr>
        <w:t xml:space="preserve">Al </w:t>
      </w:r>
      <w:r w:rsidRPr="009037F6">
        <w:rPr>
          <w:rFonts w:ascii="Verdana" w:hAnsi="Verdana" w:cs="Arial"/>
          <w:lang w:val="es-ES_tradnl" w:eastAsia="es-ES"/>
        </w:rPr>
        <w:t>margen de la explicación precedente debe advertirse que el análisis requerido para resolver p</w:t>
      </w:r>
      <w:r>
        <w:rPr>
          <w:rFonts w:ascii="Verdana" w:hAnsi="Verdana" w:cs="Arial"/>
          <w:lang w:val="es-ES_tradnl" w:eastAsia="es-ES"/>
        </w:rPr>
        <w:t xml:space="preserve">roblemas específicos en torno a la caducidad de la facultad sancionatoria y </w:t>
      </w:r>
      <w:r w:rsidRPr="009037F6">
        <w:rPr>
          <w:rFonts w:ascii="Verdana" w:hAnsi="Verdana" w:cs="Arial"/>
          <w:lang w:val="es-ES_tradnl" w:eastAsia="es-ES"/>
        </w:rPr>
        <w:t>sus procedimientos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BD4BA0C" w14:textId="77777777" w:rsidR="00F503A8" w:rsidRPr="009037F6" w:rsidRDefault="00F503A8" w:rsidP="00F503A8">
      <w:pPr>
        <w:spacing w:after="0" w:line="276" w:lineRule="auto"/>
        <w:ind w:firstLine="709"/>
        <w:jc w:val="both"/>
        <w:rPr>
          <w:rFonts w:ascii="Verdana" w:hAnsi="Verdana" w:cs="Arial"/>
          <w:lang w:val="es-ES" w:eastAsia="es-ES"/>
        </w:rPr>
      </w:pPr>
      <w:r w:rsidRPr="009037F6">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7AF20C10" w14:textId="77777777" w:rsidR="00F503A8" w:rsidRPr="009037F6" w:rsidRDefault="00F503A8" w:rsidP="00F503A8">
      <w:pPr>
        <w:spacing w:after="0" w:line="240" w:lineRule="auto"/>
        <w:jc w:val="both"/>
        <w:rPr>
          <w:rFonts w:ascii="Verdana" w:eastAsia="Calibri" w:hAnsi="Verdana" w:cs="Arial"/>
          <w:lang w:val="es-ES" w:eastAsia="es-MX"/>
        </w:rPr>
      </w:pPr>
    </w:p>
    <w:p w14:paraId="32C5BA60" w14:textId="77777777" w:rsidR="00F503A8" w:rsidRPr="009037F6" w:rsidRDefault="00F503A8" w:rsidP="00F503A8">
      <w:pPr>
        <w:numPr>
          <w:ilvl w:val="0"/>
          <w:numId w:val="16"/>
        </w:numPr>
        <w:tabs>
          <w:tab w:val="left" w:pos="142"/>
          <w:tab w:val="left" w:pos="284"/>
        </w:tabs>
        <w:spacing w:after="0" w:line="240"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 xml:space="preserve">Referencias normativas </w:t>
      </w:r>
    </w:p>
    <w:p w14:paraId="668BB264" w14:textId="77777777" w:rsidR="00F503A8" w:rsidRPr="009037F6" w:rsidRDefault="00F503A8" w:rsidP="00F503A8">
      <w:pPr>
        <w:widowControl w:val="0"/>
        <w:autoSpaceDE w:val="0"/>
        <w:autoSpaceDN w:val="0"/>
        <w:spacing w:after="0" w:line="240"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503A8" w:rsidRPr="009037F6" w14:paraId="7AB00053" w14:textId="77777777" w:rsidTr="00B12B0F">
        <w:trPr>
          <w:trHeight w:val="487"/>
          <w:jc w:val="center"/>
        </w:trPr>
        <w:tc>
          <w:tcPr>
            <w:tcW w:w="8647" w:type="dxa"/>
          </w:tcPr>
          <w:p w14:paraId="1847850A" w14:textId="77777777" w:rsidR="00F503A8" w:rsidRDefault="00F503A8" w:rsidP="00B12B0F">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Código Civil, artículo 1501. </w:t>
            </w:r>
          </w:p>
          <w:p w14:paraId="0AC79AE4" w14:textId="77777777" w:rsidR="00F503A8" w:rsidRDefault="00F503A8" w:rsidP="00B12B0F">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9 de 1989, artículo 7. </w:t>
            </w:r>
          </w:p>
          <w:p w14:paraId="268DD088" w14:textId="77777777" w:rsidR="00F503A8" w:rsidRPr="009037F6" w:rsidRDefault="00F503A8" w:rsidP="00B12B0F">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80 de 1993, artículos 14 a 19, 32. </w:t>
            </w:r>
          </w:p>
          <w:p w14:paraId="2985B19F" w14:textId="77777777" w:rsidR="00F503A8" w:rsidRDefault="00F503A8" w:rsidP="00B12B0F">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lastRenderedPageBreak/>
              <w:t xml:space="preserve">Ley 1150 de 2007, artículos 7, 11 y 17. </w:t>
            </w:r>
          </w:p>
          <w:p w14:paraId="08FBEDCB" w14:textId="77777777" w:rsidR="00F503A8" w:rsidRDefault="00F503A8" w:rsidP="00B12B0F">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1508 de 2012, artículo 22. </w:t>
            </w:r>
          </w:p>
          <w:p w14:paraId="43DE2DBB" w14:textId="77777777" w:rsidR="00F503A8" w:rsidRDefault="00F503A8" w:rsidP="00B12B0F">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2079 de 2020, artículo 40. </w:t>
            </w:r>
          </w:p>
          <w:p w14:paraId="3D8D467C" w14:textId="77777777" w:rsidR="00F503A8" w:rsidRDefault="00F503A8" w:rsidP="00B12B0F">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2195 de 2022, artículo 52. </w:t>
            </w:r>
          </w:p>
          <w:p w14:paraId="6FD5DDEF" w14:textId="77777777" w:rsidR="00F503A8" w:rsidRPr="008E2B0C" w:rsidRDefault="00F503A8" w:rsidP="00B12B0F">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Decreto 1077 de 2015, artículo </w:t>
            </w:r>
            <w:r w:rsidRPr="00F66CF3">
              <w:rPr>
                <w:rFonts w:ascii="Verdana" w:eastAsia="Arial MT" w:hAnsi="Verdana" w:cs="Arial"/>
                <w:lang w:eastAsia="es-ES" w:bidi="es-ES"/>
              </w:rPr>
              <w:t>2.2.3.3.3</w:t>
            </w:r>
            <w:r>
              <w:rPr>
                <w:rFonts w:ascii="Verdana" w:eastAsia="Arial MT" w:hAnsi="Verdana" w:cs="Arial"/>
                <w:lang w:eastAsia="es-ES" w:bidi="es-ES"/>
              </w:rPr>
              <w:t xml:space="preserve">. </w:t>
            </w:r>
          </w:p>
        </w:tc>
      </w:tr>
    </w:tbl>
    <w:p w14:paraId="2C7BA00F" w14:textId="77777777" w:rsidR="00F503A8" w:rsidRPr="009037F6" w:rsidRDefault="00F503A8" w:rsidP="00F503A8">
      <w:pPr>
        <w:widowControl w:val="0"/>
        <w:autoSpaceDE w:val="0"/>
        <w:autoSpaceDN w:val="0"/>
        <w:spacing w:after="0" w:line="240" w:lineRule="auto"/>
        <w:jc w:val="both"/>
        <w:rPr>
          <w:rFonts w:ascii="Verdana" w:hAnsi="Verdana" w:cs="Arial"/>
        </w:rPr>
      </w:pPr>
    </w:p>
    <w:p w14:paraId="1DB839E4" w14:textId="77777777" w:rsidR="00F503A8" w:rsidRPr="009037F6" w:rsidRDefault="00F503A8" w:rsidP="00F503A8">
      <w:pPr>
        <w:numPr>
          <w:ilvl w:val="0"/>
          <w:numId w:val="16"/>
        </w:numPr>
        <w:tabs>
          <w:tab w:val="left" w:pos="142"/>
          <w:tab w:val="left" w:pos="284"/>
        </w:tabs>
        <w:spacing w:after="0" w:line="240"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3F919C85" w14:textId="77777777" w:rsidR="00F503A8" w:rsidRPr="009037F6" w:rsidRDefault="00F503A8" w:rsidP="00F503A8">
      <w:pPr>
        <w:widowControl w:val="0"/>
        <w:autoSpaceDE w:val="0"/>
        <w:autoSpaceDN w:val="0"/>
        <w:spacing w:after="0" w:line="240" w:lineRule="auto"/>
        <w:jc w:val="both"/>
        <w:rPr>
          <w:rFonts w:ascii="Verdana" w:hAnsi="Verdana" w:cs="Arial"/>
        </w:rPr>
      </w:pPr>
    </w:p>
    <w:p w14:paraId="502E791A" w14:textId="77777777" w:rsidR="00F503A8" w:rsidRPr="009037F6" w:rsidRDefault="00F503A8" w:rsidP="00F503A8">
      <w:pPr>
        <w:widowControl w:val="0"/>
        <w:autoSpaceDE w:val="0"/>
        <w:autoSpaceDN w:val="0"/>
        <w:spacing w:after="0" w:line="276" w:lineRule="auto"/>
        <w:jc w:val="both"/>
        <w:rPr>
          <w:rFonts w:ascii="Verdana" w:hAnsi="Verdana" w:cs="Arial"/>
          <w:shd w:val="clear" w:color="auto" w:fill="FFFFFF"/>
        </w:rPr>
      </w:pPr>
      <w:r w:rsidRPr="009037F6">
        <w:rPr>
          <w:rFonts w:ascii="Verdana" w:eastAsia="Calibri" w:hAnsi="Verdana" w:cs="Arial"/>
          <w:lang w:val="es-ES"/>
        </w:rPr>
        <w:t xml:space="preserve">La Agencia Nacional de Contratación Pública – Colombia Compra Eficiente se ha pronunciado </w:t>
      </w:r>
      <w:r w:rsidRPr="009037F6">
        <w:rPr>
          <w:rFonts w:ascii="Verdana" w:eastAsia="Calibri" w:hAnsi="Verdana" w:cs="Arial"/>
          <w:shd w:val="clear" w:color="auto" w:fill="FFFFFF"/>
        </w:rPr>
        <w:t>sobre</w:t>
      </w:r>
      <w:r>
        <w:rPr>
          <w:rFonts w:ascii="Verdana" w:eastAsia="Calibri" w:hAnsi="Verdana" w:cs="Arial"/>
          <w:shd w:val="clear" w:color="auto" w:fill="FFFFFF"/>
        </w:rPr>
        <w:t xml:space="preserve"> las potestades exorbitantes en los Conceptos C-053 del 30 de enero de 2025, C- 1503 del 26 de noviembre de 2025, entre otros. Esto, sin perjuicio de nuevas consideraciones sobre las potestades exorbitantes y sobre los contratos en que se aplican</w:t>
      </w:r>
      <w:r w:rsidRPr="009037F6">
        <w:rPr>
          <w:rFonts w:ascii="Verdana" w:hAnsi="Verdana" w:cs="Arial"/>
          <w:bCs/>
          <w:shd w:val="clear" w:color="auto" w:fill="FFFFFF"/>
        </w:rPr>
        <w:t xml:space="preserve">. </w:t>
      </w:r>
      <w:r w:rsidRPr="009037F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21E8ABAB" w14:textId="77777777" w:rsidR="00F503A8" w:rsidRPr="009037F6" w:rsidRDefault="00F503A8" w:rsidP="00F503A8">
      <w:pPr>
        <w:spacing w:after="0" w:line="256" w:lineRule="auto"/>
        <w:jc w:val="both"/>
        <w:rPr>
          <w:rFonts w:ascii="Verdana" w:eastAsia="Calibri" w:hAnsi="Verdana" w:cs="Times New Roman"/>
        </w:rPr>
      </w:pPr>
      <w:hyperlink r:id="rId13" w:history="1">
        <w:r w:rsidRPr="009037F6">
          <w:rPr>
            <w:rFonts w:ascii="Verdana" w:eastAsia="Calibri" w:hAnsi="Verdana" w:cs="Times New Roman"/>
            <w:color w:val="0000FF"/>
            <w:u w:val="single"/>
            <w:lang w:val="es-ES"/>
          </w:rPr>
          <w:t>https://relatoria.colombiacompra.gov.co/busqueda/conceptos</w:t>
        </w:r>
      </w:hyperlink>
      <w:r w:rsidRPr="009037F6">
        <w:rPr>
          <w:rFonts w:ascii="Verdana" w:eastAsia="Calibri" w:hAnsi="Verdana" w:cs="Times New Roman"/>
        </w:rPr>
        <w:t xml:space="preserve">. </w:t>
      </w:r>
    </w:p>
    <w:p w14:paraId="760E9510" w14:textId="77777777" w:rsidR="00F503A8" w:rsidRPr="00096788" w:rsidRDefault="00F503A8" w:rsidP="00F503A8">
      <w:pPr>
        <w:widowControl w:val="0"/>
        <w:autoSpaceDE w:val="0"/>
        <w:autoSpaceDN w:val="0"/>
        <w:spacing w:after="0" w:line="276" w:lineRule="auto"/>
        <w:jc w:val="both"/>
        <w:rPr>
          <w:rFonts w:ascii="Verdana" w:hAnsi="Verdana" w:cs="Arial"/>
          <w:color w:val="000000" w:themeColor="text1"/>
          <w:shd w:val="clear" w:color="auto" w:fill="FFFFFF"/>
        </w:rPr>
      </w:pPr>
    </w:p>
    <w:p w14:paraId="28796DC4" w14:textId="77777777" w:rsidR="00F503A8" w:rsidRDefault="00F503A8" w:rsidP="00F503A8">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5574C1DB" w14:textId="77777777" w:rsidR="00F503A8" w:rsidRPr="009A385A" w:rsidRDefault="00F503A8" w:rsidP="00F503A8">
      <w:pPr>
        <w:spacing w:after="0"/>
        <w:jc w:val="both"/>
        <w:rPr>
          <w:rFonts w:ascii="Verdana" w:hAnsi="Verdana"/>
        </w:rPr>
      </w:pPr>
    </w:p>
    <w:p w14:paraId="7B3DDD99" w14:textId="77777777" w:rsidR="00F503A8" w:rsidRDefault="00F503A8" w:rsidP="00F503A8">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w:t>
      </w:r>
      <w:r w:rsidRPr="00635F16">
        <w:rPr>
          <w:rFonts w:ascii="Verdana" w:hAnsi="Verdana"/>
        </w:rPr>
        <w:lastRenderedPageBreak/>
        <w:t>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0F6B3E21" w14:textId="77777777" w:rsidR="00F503A8" w:rsidRDefault="00F503A8" w:rsidP="00F503A8">
      <w:pPr>
        <w:spacing w:after="0"/>
        <w:jc w:val="both"/>
        <w:rPr>
          <w:rFonts w:ascii="Verdana" w:hAnsi="Verdana"/>
        </w:rPr>
      </w:pPr>
    </w:p>
    <w:p w14:paraId="203B4218" w14:textId="77777777" w:rsidR="00F503A8" w:rsidRPr="008E1CD7" w:rsidRDefault="00F503A8" w:rsidP="00F503A8">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1C635ED9" w14:textId="77777777" w:rsidR="00F503A8" w:rsidRDefault="00F503A8" w:rsidP="00F503A8">
      <w:pPr>
        <w:shd w:val="clear" w:color="auto" w:fill="FFFFFF"/>
        <w:spacing w:after="0" w:line="276" w:lineRule="auto"/>
        <w:jc w:val="both"/>
        <w:rPr>
          <w:rFonts w:ascii="Verdana" w:hAnsi="Verdana"/>
          <w:color w:val="000000"/>
          <w:u w:val="single"/>
        </w:rPr>
      </w:pPr>
    </w:p>
    <w:p w14:paraId="2B3A734A" w14:textId="77777777" w:rsidR="00F503A8" w:rsidRPr="00116940" w:rsidRDefault="00F503A8" w:rsidP="00F503A8">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7C65AA28" w14:textId="77777777" w:rsidR="00F503A8" w:rsidRPr="00116940" w:rsidRDefault="00F503A8" w:rsidP="00F503A8">
      <w:pPr>
        <w:spacing w:after="0"/>
        <w:jc w:val="both"/>
        <w:rPr>
          <w:rFonts w:ascii="Verdana" w:hAnsi="Verdana"/>
        </w:rPr>
      </w:pPr>
    </w:p>
    <w:p w14:paraId="633DBD49" w14:textId="77777777" w:rsidR="00F503A8" w:rsidRPr="00116940" w:rsidRDefault="00F503A8" w:rsidP="00F503A8">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529383FE" w14:textId="77777777" w:rsidR="00F503A8" w:rsidRPr="00116940" w:rsidRDefault="00F503A8" w:rsidP="00F503A8">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003B8563" w14:textId="77777777" w:rsidR="00F503A8" w:rsidRPr="00116940" w:rsidRDefault="00F503A8" w:rsidP="00F503A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0678DFD7" w14:textId="77777777" w:rsidR="00F503A8" w:rsidRPr="00116940" w:rsidRDefault="00F503A8" w:rsidP="00F503A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662FE969" w14:textId="77777777" w:rsidR="00F503A8" w:rsidRPr="00116940" w:rsidRDefault="00F503A8" w:rsidP="00F503A8">
      <w:pPr>
        <w:spacing w:after="0" w:line="240" w:lineRule="auto"/>
        <w:ind w:left="720"/>
        <w:jc w:val="both"/>
        <w:rPr>
          <w:rFonts w:ascii="Verdana" w:hAnsi="Verdana"/>
        </w:rPr>
      </w:pPr>
    </w:p>
    <w:p w14:paraId="571A5318" w14:textId="77777777" w:rsidR="00F503A8" w:rsidRPr="00116940" w:rsidRDefault="00F503A8" w:rsidP="00F503A8">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27F2B3A2" w14:textId="77777777" w:rsidR="00F503A8" w:rsidRPr="00116940" w:rsidRDefault="00F503A8" w:rsidP="00F503A8">
      <w:pPr>
        <w:spacing w:after="0" w:line="240" w:lineRule="auto"/>
        <w:rPr>
          <w:rFonts w:ascii="Verdana" w:hAnsi="Verdana"/>
        </w:rPr>
      </w:pPr>
    </w:p>
    <w:p w14:paraId="24E2279E" w14:textId="77777777" w:rsidR="00F503A8" w:rsidRPr="00116940" w:rsidRDefault="00F503A8" w:rsidP="00F503A8">
      <w:pPr>
        <w:spacing w:after="0" w:line="240" w:lineRule="auto"/>
        <w:jc w:val="both"/>
        <w:rPr>
          <w:rFonts w:ascii="Verdana" w:hAnsi="Verdana"/>
        </w:rPr>
      </w:pPr>
      <w:r w:rsidRPr="00116940">
        <w:rPr>
          <w:rFonts w:ascii="Verdana" w:hAnsi="Verdana"/>
        </w:rPr>
        <w:lastRenderedPageBreak/>
        <w:t xml:space="preserve">Por último, lo invitamos a seguirnos en las redes sociales en las cuales se difunde información institucional: </w:t>
      </w:r>
    </w:p>
    <w:p w14:paraId="1316A31B" w14:textId="77777777" w:rsidR="00F503A8" w:rsidRPr="00116940" w:rsidRDefault="00F503A8" w:rsidP="00F503A8">
      <w:pPr>
        <w:spacing w:after="0" w:line="240" w:lineRule="auto"/>
        <w:jc w:val="both"/>
        <w:rPr>
          <w:rFonts w:ascii="Verdana" w:hAnsi="Verdana"/>
        </w:rPr>
      </w:pPr>
    </w:p>
    <w:p w14:paraId="667BF9F4" w14:textId="77777777" w:rsidR="00F503A8" w:rsidRPr="00116940" w:rsidRDefault="00F503A8" w:rsidP="00F503A8">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3D30F9DB" w14:textId="77777777" w:rsidR="00F503A8" w:rsidRPr="00116940" w:rsidRDefault="00F503A8" w:rsidP="00F503A8">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1AEE15D6" w14:textId="77777777" w:rsidR="00F503A8" w:rsidRPr="00116940" w:rsidRDefault="00F503A8" w:rsidP="00F503A8">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AC86CF6" w14:textId="77777777" w:rsidR="00F503A8" w:rsidRPr="009C4035" w:rsidRDefault="00F503A8" w:rsidP="00F503A8">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3608F861" w14:textId="77777777" w:rsidR="00F503A8" w:rsidRPr="00593A5F" w:rsidRDefault="00F503A8" w:rsidP="00F503A8">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112D6101" w14:textId="77777777" w:rsidR="00F503A8" w:rsidRPr="00B57A1B" w:rsidRDefault="00F503A8" w:rsidP="00F503A8">
      <w:pPr>
        <w:spacing w:after="0" w:line="256" w:lineRule="auto"/>
        <w:jc w:val="both"/>
        <w:rPr>
          <w:rFonts w:ascii="Verdana" w:eastAsia="Calibri" w:hAnsi="Verdana" w:cs="Times New Roman"/>
        </w:rPr>
      </w:pPr>
    </w:p>
    <w:p w14:paraId="14EF2CF2" w14:textId="77777777" w:rsidR="00F503A8" w:rsidRDefault="00F503A8" w:rsidP="00F503A8">
      <w:pPr>
        <w:spacing w:after="0" w:line="256" w:lineRule="auto"/>
        <w:jc w:val="both"/>
        <w:rPr>
          <w:rFonts w:ascii="Verdana" w:eastAsia="Calibri" w:hAnsi="Verdana" w:cs="Times New Roman"/>
        </w:rPr>
      </w:pPr>
      <w:r w:rsidRPr="00B57A1B">
        <w:rPr>
          <w:rFonts w:ascii="Verdana" w:eastAsia="Calibri" w:hAnsi="Verdana" w:cs="Times New Roman"/>
        </w:rPr>
        <w:t>Atentamente,</w:t>
      </w:r>
    </w:p>
    <w:p w14:paraId="369C01A1" w14:textId="77777777" w:rsidR="00F503A8" w:rsidRPr="00B57A1B" w:rsidRDefault="00F503A8" w:rsidP="00F503A8">
      <w:pPr>
        <w:spacing w:after="0" w:line="256" w:lineRule="auto"/>
        <w:jc w:val="both"/>
        <w:rPr>
          <w:rFonts w:ascii="Verdana" w:eastAsia="Calibri" w:hAnsi="Verdana" w:cs="Times New Roman"/>
        </w:rPr>
      </w:pPr>
    </w:p>
    <w:p w14:paraId="19F73C6E" w14:textId="3C7318CD" w:rsidR="00F503A8" w:rsidRDefault="009E5D9C" w:rsidP="00F503A8">
      <w:pPr>
        <w:spacing w:after="0" w:line="256" w:lineRule="auto"/>
        <w:jc w:val="center"/>
        <w:rPr>
          <w:noProof/>
          <w:lang w:val="en-US"/>
        </w:rPr>
      </w:pPr>
      <w:r w:rsidRPr="002C3AD6">
        <w:rPr>
          <w:rFonts w:ascii="Century Gothic" w:hAnsi="Century Gothic"/>
          <w:noProof/>
          <w:lang w:val="en-US"/>
        </w:rPr>
        <w:drawing>
          <wp:inline distT="0" distB="0" distL="0" distR="0" wp14:anchorId="268B3ABA" wp14:editId="4658CBA2">
            <wp:extent cx="3279697" cy="1217463"/>
            <wp:effectExtent l="0" t="0" r="0" b="190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0"/>
                    <a:stretch>
                      <a:fillRect/>
                    </a:stretch>
                  </pic:blipFill>
                  <pic:spPr>
                    <a:xfrm>
                      <a:off x="0" y="0"/>
                      <a:ext cx="3312722" cy="1229722"/>
                    </a:xfrm>
                    <a:prstGeom prst="rect">
                      <a:avLst/>
                    </a:prstGeom>
                  </pic:spPr>
                </pic:pic>
              </a:graphicData>
            </a:graphic>
          </wp:inline>
        </w:drawing>
      </w:r>
    </w:p>
    <w:p w14:paraId="56886E59" w14:textId="77777777" w:rsidR="009E5D9C" w:rsidRPr="008B7171" w:rsidRDefault="009E5D9C" w:rsidP="00F503A8">
      <w:pPr>
        <w:spacing w:after="0" w:line="256" w:lineRule="auto"/>
        <w:jc w:val="center"/>
        <w:rPr>
          <w:noProof/>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F503A8" w:rsidRPr="00B57A1B" w14:paraId="005760E3" w14:textId="77777777" w:rsidTr="00B12B0F">
        <w:trPr>
          <w:trHeight w:val="409"/>
        </w:trPr>
        <w:tc>
          <w:tcPr>
            <w:tcW w:w="817" w:type="dxa"/>
            <w:tcBorders>
              <w:top w:val="nil"/>
              <w:left w:val="nil"/>
              <w:bottom w:val="nil"/>
              <w:right w:val="nil"/>
            </w:tcBorders>
            <w:vAlign w:val="center"/>
            <w:hideMark/>
          </w:tcPr>
          <w:p w14:paraId="3CD6119E" w14:textId="77777777" w:rsidR="00F503A8" w:rsidRPr="00B57A1B" w:rsidRDefault="00F503A8"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7B6EA313" w14:textId="77777777" w:rsidR="00F503A8" w:rsidRPr="00B57A1B" w:rsidRDefault="00F503A8"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José Luis Sánchez Cardona</w:t>
            </w:r>
          </w:p>
          <w:p w14:paraId="5E731772" w14:textId="77777777" w:rsidR="00F503A8" w:rsidRPr="00B57A1B" w:rsidRDefault="00F503A8"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Contratista de la Subdirección de Gestión Contractual</w:t>
            </w:r>
          </w:p>
        </w:tc>
      </w:tr>
      <w:tr w:rsidR="00F503A8" w:rsidRPr="00B57A1B" w14:paraId="5AFE0D5E" w14:textId="77777777" w:rsidTr="00B12B0F">
        <w:trPr>
          <w:trHeight w:val="409"/>
        </w:trPr>
        <w:tc>
          <w:tcPr>
            <w:tcW w:w="817" w:type="dxa"/>
            <w:tcBorders>
              <w:top w:val="nil"/>
              <w:left w:val="nil"/>
              <w:bottom w:val="nil"/>
              <w:right w:val="nil"/>
            </w:tcBorders>
            <w:vAlign w:val="center"/>
            <w:hideMark/>
          </w:tcPr>
          <w:p w14:paraId="332C8A3B" w14:textId="77777777" w:rsidR="00F503A8" w:rsidRPr="00B57A1B" w:rsidRDefault="00F503A8"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EBFC1E4" w14:textId="77777777" w:rsidR="00F503A8" w:rsidRPr="00B57A1B" w:rsidRDefault="00F503A8"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Alejandro Sarmiento Cantillo</w:t>
            </w:r>
          </w:p>
          <w:p w14:paraId="2D7E227E" w14:textId="77777777" w:rsidR="00F503A8" w:rsidRPr="00B57A1B" w:rsidRDefault="00F503A8"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Gestor T1-15 de la Subdirección de Gestión Contractual </w:t>
            </w:r>
          </w:p>
        </w:tc>
      </w:tr>
      <w:tr w:rsidR="00F503A8" w:rsidRPr="00B57A1B" w14:paraId="0579944A" w14:textId="77777777" w:rsidTr="00B12B0F">
        <w:trPr>
          <w:trHeight w:val="389"/>
        </w:trPr>
        <w:tc>
          <w:tcPr>
            <w:tcW w:w="817" w:type="dxa"/>
            <w:tcBorders>
              <w:top w:val="nil"/>
              <w:left w:val="nil"/>
              <w:bottom w:val="nil"/>
              <w:right w:val="nil"/>
            </w:tcBorders>
            <w:vAlign w:val="center"/>
            <w:hideMark/>
          </w:tcPr>
          <w:p w14:paraId="5F53C7EE" w14:textId="77777777" w:rsidR="00F503A8" w:rsidRPr="00B57A1B" w:rsidRDefault="00F503A8"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2C29EE2C" w14:textId="77777777" w:rsidR="00F503A8" w:rsidRPr="00B57A1B" w:rsidRDefault="00F503A8"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Carolina Quintero Gacharná</w:t>
            </w:r>
          </w:p>
          <w:p w14:paraId="5FA2D95C" w14:textId="77777777" w:rsidR="00F503A8" w:rsidRPr="00B57A1B" w:rsidRDefault="00F503A8" w:rsidP="00B12B0F">
            <w:pPr>
              <w:spacing w:after="0" w:line="256" w:lineRule="auto"/>
              <w:rPr>
                <w:rFonts w:ascii="Verdana" w:eastAsia="Calibri" w:hAnsi="Verdana" w:cs="Times New Roman"/>
                <w:sz w:val="16"/>
                <w:szCs w:val="16"/>
              </w:rPr>
            </w:pPr>
            <w:r w:rsidRPr="00B57A1B">
              <w:rPr>
                <w:rFonts w:ascii="Verdana" w:eastAsia="Calibri" w:hAnsi="Verdana" w:cs="Times New Roman"/>
                <w:sz w:val="16"/>
                <w:szCs w:val="16"/>
              </w:rPr>
              <w:t>Subdirectora de Gestión Contractual ANCP – CCE</w:t>
            </w:r>
          </w:p>
        </w:tc>
      </w:tr>
    </w:tbl>
    <w:p w14:paraId="243A83A5" w14:textId="322A79F4" w:rsidR="00F503A8" w:rsidRPr="000E2B93" w:rsidRDefault="00F503A8" w:rsidP="00F503A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6943212" w14:textId="77777777" w:rsidR="00D14EC0" w:rsidRPr="00F503A8" w:rsidRDefault="00D14EC0" w:rsidP="00F503A8"/>
    <w:sectPr w:rsidR="00D14EC0" w:rsidRPr="00F503A8"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0FFB7" w14:textId="77777777" w:rsidR="002E51CA" w:rsidRDefault="002E51CA" w:rsidP="004A1847">
      <w:pPr>
        <w:spacing w:after="0" w:line="240" w:lineRule="auto"/>
      </w:pPr>
      <w:r>
        <w:separator/>
      </w:r>
    </w:p>
  </w:endnote>
  <w:endnote w:type="continuationSeparator" w:id="0">
    <w:p w14:paraId="7B5771C5" w14:textId="77777777" w:rsidR="002E51CA" w:rsidRDefault="002E51C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0D8D694F"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896D39" w:rsidRPr="00896D39">
      <w:rPr>
        <w:rFonts w:ascii="Verdana" w:eastAsiaTheme="minorEastAsia" w:hAnsi="Verdana"/>
        <w:b/>
        <w:bCs/>
        <w:noProof/>
        <w:sz w:val="16"/>
        <w:szCs w:val="16"/>
      </w:rPr>
      <w:t>4</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AF58" w14:textId="77777777" w:rsidR="002E51CA" w:rsidRDefault="002E51CA" w:rsidP="004A1847">
      <w:pPr>
        <w:spacing w:after="0" w:line="240" w:lineRule="auto"/>
      </w:pPr>
      <w:r>
        <w:separator/>
      </w:r>
    </w:p>
  </w:footnote>
  <w:footnote w:type="continuationSeparator" w:id="0">
    <w:p w14:paraId="287F9DF1" w14:textId="77777777" w:rsidR="002E51CA" w:rsidRDefault="002E51CA" w:rsidP="004A1847">
      <w:pPr>
        <w:spacing w:after="0" w:line="240" w:lineRule="auto"/>
      </w:pPr>
      <w:r>
        <w:continuationSeparator/>
      </w:r>
    </w:p>
  </w:footnote>
  <w:footnote w:id="1">
    <w:p w14:paraId="7215A434" w14:textId="77777777" w:rsidR="00F503A8" w:rsidRPr="00AE7C9E" w:rsidRDefault="00F503A8" w:rsidP="00F503A8">
      <w:pPr>
        <w:pStyle w:val="Textonotapie"/>
        <w:ind w:firstLine="708"/>
        <w:jc w:val="both"/>
        <w:rPr>
          <w:rFonts w:ascii="Verdana" w:hAnsi="Verdana" w:cs="Arial"/>
          <w:sz w:val="16"/>
          <w:szCs w:val="16"/>
          <w:lang w:val="es-ES"/>
        </w:rPr>
      </w:pPr>
      <w:r w:rsidRPr="00AE7C9E">
        <w:rPr>
          <w:rStyle w:val="Refdenotaalpie"/>
          <w:rFonts w:ascii="Verdana" w:hAnsi="Verdana" w:cs="Arial"/>
          <w:sz w:val="16"/>
          <w:szCs w:val="16"/>
        </w:rPr>
        <w:footnoteRef/>
      </w:r>
      <w:r w:rsidRPr="00AE7C9E">
        <w:rPr>
          <w:rFonts w:ascii="Verdana" w:hAnsi="Verdana" w:cs="Arial"/>
          <w:sz w:val="16"/>
          <w:szCs w:val="16"/>
        </w:rPr>
        <w:t xml:space="preserve"> EXPÓSITO VÉLEZ, Juan Carlos. Forma y contenido del contrato estatal. Bogotá: Universidad Externado de Colombia, 2013. p. </w:t>
      </w:r>
      <w:r w:rsidRPr="00AE7C9E">
        <w:rPr>
          <w:rFonts w:ascii="Verdana" w:hAnsi="Verdana" w:cs="Arial"/>
          <w:sz w:val="16"/>
          <w:szCs w:val="16"/>
          <w:lang w:val="es-ES"/>
        </w:rPr>
        <w:t>190.</w:t>
      </w:r>
    </w:p>
    <w:p w14:paraId="43496370" w14:textId="77777777" w:rsidR="00F503A8" w:rsidRPr="00AE7C9E" w:rsidRDefault="00F503A8" w:rsidP="00F503A8">
      <w:pPr>
        <w:pStyle w:val="Textonotapie"/>
        <w:ind w:firstLine="708"/>
        <w:jc w:val="both"/>
        <w:rPr>
          <w:rFonts w:ascii="Verdana" w:hAnsi="Verdana" w:cs="Arial"/>
          <w:sz w:val="16"/>
          <w:szCs w:val="16"/>
          <w:lang w:val="es-ES"/>
        </w:rPr>
      </w:pPr>
    </w:p>
  </w:footnote>
  <w:footnote w:id="2">
    <w:p w14:paraId="7178A5F6" w14:textId="77777777" w:rsidR="00F503A8" w:rsidRPr="00AE7C9E" w:rsidRDefault="00F503A8" w:rsidP="00F503A8">
      <w:pPr>
        <w:pStyle w:val="Textonotapie"/>
        <w:ind w:firstLine="708"/>
        <w:jc w:val="both"/>
        <w:rPr>
          <w:rFonts w:ascii="Verdana" w:hAnsi="Verdana" w:cs="Arial"/>
          <w:sz w:val="16"/>
          <w:szCs w:val="16"/>
        </w:rPr>
      </w:pPr>
      <w:r w:rsidRPr="00AE7C9E">
        <w:rPr>
          <w:rStyle w:val="Refdenotaalpie"/>
          <w:rFonts w:ascii="Verdana" w:hAnsi="Verdana" w:cs="Arial"/>
          <w:sz w:val="16"/>
          <w:szCs w:val="16"/>
        </w:rPr>
        <w:footnoteRef/>
      </w:r>
      <w:r w:rsidRPr="00AE7C9E">
        <w:rPr>
          <w:rFonts w:ascii="Verdana" w:hAnsi="Verdana" w:cs="Arial"/>
          <w:sz w:val="16"/>
          <w:szCs w:val="16"/>
        </w:rPr>
        <w:t xml:space="preserve"> Cfr. </w:t>
      </w:r>
      <w:hyperlink r:id="rId1" w:history="1">
        <w:r w:rsidRPr="00AE7C9E">
          <w:rPr>
            <w:rStyle w:val="Hipervnculo"/>
            <w:rFonts w:ascii="Verdana" w:hAnsi="Verdana" w:cs="Arial"/>
            <w:color w:val="auto"/>
            <w:sz w:val="16"/>
            <w:szCs w:val="16"/>
          </w:rPr>
          <w:t>http://etimologias.dechile.net/?exorbitante</w:t>
        </w:r>
      </w:hyperlink>
      <w:r w:rsidRPr="00AE7C9E">
        <w:rPr>
          <w:rFonts w:ascii="Verdana" w:hAnsi="Verdana" w:cs="Arial"/>
          <w:sz w:val="16"/>
          <w:szCs w:val="16"/>
        </w:rPr>
        <w:t xml:space="preserve">. Consultado el 30 de junio de 2026. </w:t>
      </w:r>
    </w:p>
    <w:p w14:paraId="3C83CC3F" w14:textId="77777777" w:rsidR="00F503A8" w:rsidRPr="00AE7C9E" w:rsidRDefault="00F503A8" w:rsidP="00F503A8">
      <w:pPr>
        <w:pStyle w:val="Textonotapie"/>
        <w:ind w:firstLine="708"/>
        <w:jc w:val="both"/>
        <w:rPr>
          <w:rFonts w:ascii="Verdana" w:hAnsi="Verdana" w:cs="Arial"/>
          <w:sz w:val="16"/>
          <w:szCs w:val="16"/>
        </w:rPr>
      </w:pPr>
    </w:p>
  </w:footnote>
  <w:footnote w:id="3">
    <w:p w14:paraId="273F6CB9" w14:textId="77777777" w:rsidR="00F503A8" w:rsidRPr="00AE7C9E" w:rsidRDefault="00F503A8" w:rsidP="00F503A8">
      <w:pPr>
        <w:pStyle w:val="Textonotapie"/>
        <w:ind w:firstLine="708"/>
        <w:jc w:val="both"/>
        <w:rPr>
          <w:rFonts w:ascii="Verdana" w:hAnsi="Verdana" w:cs="Arial"/>
          <w:sz w:val="16"/>
          <w:szCs w:val="16"/>
        </w:rPr>
      </w:pPr>
      <w:r w:rsidRPr="00AE7C9E">
        <w:rPr>
          <w:rStyle w:val="Refdenotaalpie"/>
          <w:rFonts w:ascii="Verdana" w:hAnsi="Verdana" w:cs="Arial"/>
          <w:sz w:val="16"/>
          <w:szCs w:val="16"/>
        </w:rPr>
        <w:footnoteRef/>
      </w:r>
      <w:r w:rsidRPr="00AE7C9E">
        <w:rPr>
          <w:rFonts w:ascii="Verdana" w:hAnsi="Verdana" w:cs="Arial"/>
          <w:sz w:val="16"/>
          <w:szCs w:val="16"/>
        </w:rPr>
        <w:t xml:space="preserve"> En efecto, “Se llaman así porque son evidentemente diferentes del derecho común. No se concebirían en los contratos civiles porque quedaría roto el principio de igualdad entre las partes y el de libertad contractual. Estas cláusulas exorbitantes del derecho común sobrepasan el ámbito de este derecho, ya sea porque son inusuales o porque incluidas en los contratos de derecho privado resultarían ilícitas por exceder el ámbito de la libertad contractual. Vale decir, en consecuencia, que las cláusulas exorbitantes pueden ser inusuales o ilícitas y en este caso por afectar el orden público” (DÍEZ, Manuel María. Manual de derecho administrativo. Tomo I. Décima Edición. Buenos Aires: Editorial Plus Ultra. p. 293. En el mismo sentido, RIVERÓ, Jean. Derecho Administrativo. Caracas: Universidad Central de Venezuela, 1984. pp. 128-129. VEDEL, George. Derecho administrativo. Madrid: Editorial Aguilar, 1980. p. 191).  </w:t>
      </w:r>
    </w:p>
  </w:footnote>
  <w:footnote w:id="4">
    <w:p w14:paraId="473AB4E5" w14:textId="77777777" w:rsidR="00F503A8" w:rsidRPr="00AE7C9E" w:rsidRDefault="00F503A8" w:rsidP="00F503A8">
      <w:pPr>
        <w:pStyle w:val="Textonotapie"/>
        <w:ind w:firstLine="708"/>
        <w:jc w:val="both"/>
        <w:rPr>
          <w:rFonts w:ascii="Verdana" w:hAnsi="Verdana"/>
          <w:sz w:val="16"/>
          <w:szCs w:val="16"/>
          <w:lang w:val="es-CO"/>
        </w:rPr>
      </w:pPr>
      <w:r w:rsidRPr="00AE7C9E">
        <w:rPr>
          <w:rStyle w:val="Refdenotaalpie"/>
          <w:rFonts w:ascii="Verdana" w:hAnsi="Verdana"/>
          <w:sz w:val="16"/>
          <w:szCs w:val="16"/>
        </w:rPr>
        <w:footnoteRef/>
      </w:r>
      <w:r w:rsidRPr="00AE7C9E">
        <w:rPr>
          <w:rFonts w:ascii="Verdana" w:hAnsi="Verdana"/>
          <w:sz w:val="16"/>
          <w:szCs w:val="16"/>
        </w:rPr>
        <w:t xml:space="preserve"> </w:t>
      </w:r>
      <w:r w:rsidRPr="00AE7C9E">
        <w:rPr>
          <w:rFonts w:ascii="Verdana" w:hAnsi="Verdana"/>
          <w:sz w:val="16"/>
          <w:szCs w:val="16"/>
          <w:lang w:val="es-CO"/>
        </w:rPr>
        <w:t xml:space="preserve">BENAVIDES RUSSI, José Luis. Cláusulas excepcionales, potestades públicas y poderes unilaterales de la Administración contratante: prerrogativas, derechos y cargas. En: Las Transformaciones de la Administración Pública y del Derecho Administrativo, 2019. p. 178. </w:t>
      </w:r>
    </w:p>
  </w:footnote>
  <w:footnote w:id="5">
    <w:p w14:paraId="323A9E2B" w14:textId="77777777" w:rsidR="00F503A8" w:rsidRPr="00AE7C9E" w:rsidRDefault="00F503A8" w:rsidP="00F503A8">
      <w:pPr>
        <w:pStyle w:val="Textonotapie"/>
        <w:ind w:firstLine="708"/>
        <w:jc w:val="both"/>
        <w:rPr>
          <w:rFonts w:ascii="Verdana" w:hAnsi="Verdana" w:cs="Arial"/>
          <w:sz w:val="16"/>
          <w:szCs w:val="16"/>
        </w:rPr>
      </w:pPr>
      <w:r w:rsidRPr="00AE7C9E">
        <w:rPr>
          <w:rStyle w:val="Refdenotaalpie"/>
          <w:rFonts w:ascii="Verdana" w:hAnsi="Verdana" w:cs="Arial"/>
          <w:sz w:val="16"/>
          <w:szCs w:val="16"/>
        </w:rPr>
        <w:footnoteRef/>
      </w:r>
      <w:r w:rsidRPr="00AE7C9E">
        <w:rPr>
          <w:rFonts w:ascii="Verdana" w:hAnsi="Verdana" w:cs="Arial"/>
          <w:sz w:val="16"/>
          <w:szCs w:val="16"/>
        </w:rPr>
        <w:t xml:space="preserve"> CONSEJO DE ESTADO. Sección Tercera. Sentencia del 30 de noviembre de 2006. Exp. 30.832. C.P. Alier Eduardo Hernández Enríquez. Idea reiterada en la Subsección A. Sentencia del 16 de agosto de 2012. Exp. 22.822. C.P. Mauricio Fajardo Gómez; Subsección A. Sentencia del 12 de noviembre de 2014. Exp. 30.251. C.P. Hernán Andrade Rincón; Subsección C. Sentencia del 13 de mayo de 2015. Exp. 32.492. C.P. Olga Mélida Valle de De La Hoz (E), entre otras. </w:t>
      </w:r>
    </w:p>
    <w:p w14:paraId="0DD29D75" w14:textId="77777777" w:rsidR="00F503A8" w:rsidRPr="00AE7C9E" w:rsidRDefault="00F503A8" w:rsidP="00F503A8">
      <w:pPr>
        <w:pStyle w:val="Textonotapie"/>
        <w:ind w:firstLine="708"/>
        <w:jc w:val="both"/>
        <w:rPr>
          <w:rFonts w:ascii="Verdana" w:hAnsi="Verdana" w:cs="Arial"/>
          <w:sz w:val="16"/>
          <w:szCs w:val="16"/>
        </w:rPr>
      </w:pPr>
    </w:p>
  </w:footnote>
  <w:footnote w:id="6">
    <w:p w14:paraId="63EF5011" w14:textId="77777777" w:rsidR="00F503A8" w:rsidRPr="00AE7C9E" w:rsidRDefault="00F503A8" w:rsidP="00F503A8">
      <w:pPr>
        <w:pStyle w:val="Textonotapie"/>
        <w:ind w:firstLine="708"/>
        <w:jc w:val="both"/>
        <w:rPr>
          <w:rFonts w:ascii="Verdana" w:hAnsi="Verdana" w:cs="Arial"/>
          <w:sz w:val="16"/>
          <w:szCs w:val="16"/>
        </w:rPr>
      </w:pPr>
      <w:r w:rsidRPr="00AE7C9E">
        <w:rPr>
          <w:rStyle w:val="Refdenotaalpie"/>
          <w:rFonts w:ascii="Verdana" w:hAnsi="Verdana" w:cs="Arial"/>
          <w:sz w:val="16"/>
          <w:szCs w:val="16"/>
        </w:rPr>
        <w:footnoteRef/>
      </w:r>
      <w:r w:rsidRPr="00AE7C9E">
        <w:rPr>
          <w:rFonts w:ascii="Verdana" w:hAnsi="Verdana" w:cs="Arial"/>
          <w:sz w:val="16"/>
          <w:szCs w:val="16"/>
        </w:rPr>
        <w:t xml:space="preserve"> El artículo 1501 del Código Civil prescribe lo siguiente: “Se distinguen en cada contrato las cosas que son de su esencia, las que son de su naturaleza, y las puramente accidentales. Son de la esencia de un contrato aquellas cosas sin las cuales, o no produce efecto alguno, o degeneran en otro contrato diferente; </w:t>
      </w:r>
      <w:r w:rsidRPr="00AE7C9E">
        <w:rPr>
          <w:rFonts w:ascii="Verdana" w:hAnsi="Verdana" w:cs="Arial"/>
          <w:i/>
          <w:iCs/>
          <w:sz w:val="16"/>
          <w:szCs w:val="16"/>
        </w:rPr>
        <w:t>son de la naturaleza de un contrato las que no siendo esenciales en él, se entienden pertenecerle, sin necesidad de una cláusula especial</w:t>
      </w:r>
      <w:r w:rsidRPr="00AE7C9E">
        <w:rPr>
          <w:rFonts w:ascii="Verdana" w:hAnsi="Verdana" w:cs="Arial"/>
          <w:sz w:val="16"/>
          <w:szCs w:val="16"/>
        </w:rPr>
        <w:t>; y son accidentales a un contrato aquellas que ni esencial ni naturalmente le pertenecen, y que se le agregan por medio de cláusulas especiales” (Énfasis fuera de texto).</w:t>
      </w:r>
    </w:p>
  </w:footnote>
  <w:footnote w:id="7">
    <w:p w14:paraId="6EDF8FB6" w14:textId="77777777" w:rsidR="00F503A8" w:rsidRPr="00AE7C9E" w:rsidRDefault="00F503A8" w:rsidP="00F503A8">
      <w:pPr>
        <w:pStyle w:val="Textonotapie"/>
        <w:ind w:firstLine="708"/>
        <w:jc w:val="both"/>
        <w:rPr>
          <w:rFonts w:ascii="Verdana" w:hAnsi="Verdana" w:cs="Arial"/>
          <w:sz w:val="16"/>
          <w:szCs w:val="16"/>
        </w:rPr>
      </w:pPr>
      <w:r w:rsidRPr="00AE7C9E">
        <w:rPr>
          <w:rStyle w:val="Refdenotaalpie"/>
          <w:rFonts w:ascii="Verdana" w:hAnsi="Verdana" w:cs="Arial"/>
          <w:sz w:val="16"/>
          <w:szCs w:val="16"/>
        </w:rPr>
        <w:footnoteRef/>
      </w:r>
      <w:r w:rsidRPr="00AE7C9E">
        <w:rPr>
          <w:rFonts w:ascii="Verdana" w:hAnsi="Verdana" w:cs="Arial"/>
          <w:sz w:val="16"/>
          <w:szCs w:val="16"/>
        </w:rPr>
        <w:t xml:space="preserve"> CONSEJO DE ESTADO. Sección Tercera. Sentencia del 30 de noviembre de 2006. Exp. 30.832. C.P. Alier Eduardo Hernández Enríquez.</w:t>
      </w:r>
    </w:p>
  </w:footnote>
  <w:footnote w:id="8">
    <w:p w14:paraId="11993CC5" w14:textId="77777777" w:rsidR="00F503A8" w:rsidRPr="00AE7C9E" w:rsidRDefault="00F503A8" w:rsidP="00F503A8">
      <w:pPr>
        <w:pStyle w:val="Textonotapie"/>
        <w:ind w:firstLine="708"/>
        <w:jc w:val="both"/>
        <w:rPr>
          <w:rFonts w:ascii="Verdana" w:hAnsi="Verdana"/>
          <w:sz w:val="16"/>
          <w:szCs w:val="16"/>
          <w:lang w:val="es-CO"/>
        </w:rPr>
      </w:pPr>
      <w:r w:rsidRPr="00AE7C9E">
        <w:rPr>
          <w:rStyle w:val="Refdenotaalpie"/>
          <w:rFonts w:ascii="Verdana" w:hAnsi="Verdana"/>
          <w:sz w:val="16"/>
          <w:szCs w:val="16"/>
        </w:rPr>
        <w:footnoteRef/>
      </w:r>
      <w:r w:rsidRPr="00AE7C9E">
        <w:rPr>
          <w:rFonts w:ascii="Verdana" w:hAnsi="Verdana"/>
          <w:b/>
          <w:bCs/>
          <w:sz w:val="16"/>
          <w:szCs w:val="16"/>
          <w:lang w:val="es-CO"/>
        </w:rPr>
        <w:t xml:space="preserve"> </w:t>
      </w:r>
      <w:r w:rsidRPr="00AE7C9E">
        <w:rPr>
          <w:rFonts w:ascii="Verdana" w:hAnsi="Verdana"/>
          <w:sz w:val="16"/>
          <w:szCs w:val="16"/>
          <w:lang w:val="es-CO"/>
        </w:rPr>
        <w:t>ARTICULO 32. DE LOS CONTRATOS ESTATALES.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w:t>
      </w:r>
    </w:p>
    <w:p w14:paraId="3EBD0A96" w14:textId="77777777" w:rsidR="00F503A8" w:rsidRPr="00AE7C9E" w:rsidRDefault="00F503A8" w:rsidP="00F503A8">
      <w:pPr>
        <w:pStyle w:val="Textonotapie"/>
        <w:ind w:firstLine="708"/>
        <w:jc w:val="both"/>
        <w:rPr>
          <w:rFonts w:ascii="Verdana" w:hAnsi="Verdana"/>
          <w:sz w:val="16"/>
          <w:szCs w:val="16"/>
          <w:lang w:val="es-CO"/>
        </w:rPr>
      </w:pPr>
      <w:r w:rsidRPr="00AE7C9E">
        <w:rPr>
          <w:rFonts w:ascii="Verdana" w:hAnsi="Verdana"/>
          <w:sz w:val="16"/>
          <w:szCs w:val="16"/>
          <w:lang w:val="es-CO"/>
        </w:rPr>
        <w:t>[…]</w:t>
      </w:r>
    </w:p>
    <w:p w14:paraId="754BFF18" w14:textId="77777777" w:rsidR="00F503A8" w:rsidRPr="00AE7C9E" w:rsidRDefault="00F503A8" w:rsidP="00F503A8">
      <w:pPr>
        <w:pStyle w:val="Textonotapie"/>
        <w:ind w:firstLine="708"/>
        <w:jc w:val="both"/>
        <w:rPr>
          <w:rFonts w:ascii="Verdana" w:hAnsi="Verdana"/>
          <w:sz w:val="16"/>
          <w:szCs w:val="16"/>
          <w:lang w:val="es-CO"/>
        </w:rPr>
      </w:pPr>
      <w:r w:rsidRPr="00AE7C9E">
        <w:rPr>
          <w:rFonts w:ascii="Verdana" w:hAnsi="Verdana"/>
          <w:sz w:val="16"/>
          <w:szCs w:val="16"/>
        </w:rPr>
        <w:t xml:space="preserve"> </w:t>
      </w:r>
      <w:r w:rsidRPr="00AE7C9E">
        <w:rPr>
          <w:rFonts w:ascii="Verdana" w:hAnsi="Verdana"/>
          <w:sz w:val="16"/>
          <w:szCs w:val="16"/>
          <w:lang w:val="es-CO"/>
        </w:rPr>
        <w:t>4o. Contrato de concesión </w:t>
      </w:r>
    </w:p>
    <w:p w14:paraId="7F863D6B" w14:textId="77777777" w:rsidR="00F503A8" w:rsidRPr="00AE7C9E" w:rsidRDefault="00F503A8" w:rsidP="00F503A8">
      <w:pPr>
        <w:pStyle w:val="Textonotapie"/>
        <w:ind w:firstLine="708"/>
        <w:jc w:val="both"/>
        <w:rPr>
          <w:rFonts w:ascii="Verdana" w:hAnsi="Verdana"/>
          <w:sz w:val="16"/>
          <w:szCs w:val="16"/>
          <w:lang w:val="es-CO"/>
        </w:rPr>
      </w:pPr>
      <w:r w:rsidRPr="00AE7C9E">
        <w:rPr>
          <w:rFonts w:ascii="Verdana" w:hAnsi="Verdana"/>
          <w:sz w:val="16"/>
          <w:szCs w:val="16"/>
          <w:lang w:val="es-CO"/>
        </w:rPr>
        <w:t>Son contratos de concesión los que celebran las entidades estatales con el objeto de otorgar a una persona llamada concesionario la prestación, operación, explotación, organización o gestión, total o parcial, de un servicio público, o la construcción, explotación o conservación total o parcial, de una obra o bien destinados al servicio o uso público, así como todas aquellas actividades necesarias para la adecuada prestación o funcionamiento de la obra o servicio por cuenta y riesgo del concesionario y bajo la vigilancia y control de la entidad concedente, a cambio de una remuneración que puede consistir en derechos, tarifas, tasas, valorización, o en la participación que se le otorgue en la explotación del bien, o en una suma periódica, única o porcentual y, en general, en cualquier otra modalidad de contraprestación que las partes acuerden. </w:t>
      </w:r>
    </w:p>
    <w:p w14:paraId="5BEF1BE5" w14:textId="77777777" w:rsidR="00F503A8" w:rsidRPr="00AE7C9E" w:rsidRDefault="00F503A8" w:rsidP="00F503A8">
      <w:pPr>
        <w:pStyle w:val="Textonotapie"/>
        <w:ind w:firstLine="708"/>
        <w:jc w:val="both"/>
        <w:rPr>
          <w:rFonts w:ascii="Verdana" w:hAnsi="Verdana"/>
          <w:sz w:val="16"/>
          <w:szCs w:val="16"/>
          <w:lang w:val="es-CO"/>
        </w:rPr>
      </w:pPr>
    </w:p>
  </w:footnote>
  <w:footnote w:id="9">
    <w:p w14:paraId="7F0DFAED" w14:textId="77777777" w:rsidR="00F503A8" w:rsidRPr="00AE7C9E" w:rsidRDefault="00F503A8" w:rsidP="00F503A8">
      <w:pPr>
        <w:pStyle w:val="Textonotapie"/>
        <w:ind w:firstLine="708"/>
        <w:jc w:val="both"/>
        <w:rPr>
          <w:rFonts w:ascii="Verdana" w:hAnsi="Verdana"/>
          <w:sz w:val="16"/>
          <w:szCs w:val="16"/>
          <w:lang w:val="es-CO"/>
        </w:rPr>
      </w:pPr>
      <w:r w:rsidRPr="00AE7C9E">
        <w:rPr>
          <w:rStyle w:val="Refdenotaalpie"/>
          <w:rFonts w:ascii="Verdana" w:hAnsi="Verdana"/>
          <w:sz w:val="16"/>
          <w:szCs w:val="16"/>
        </w:rPr>
        <w:footnoteRef/>
      </w:r>
      <w:r w:rsidRPr="00AE7C9E">
        <w:rPr>
          <w:rFonts w:ascii="Verdana" w:hAnsi="Verdana"/>
          <w:sz w:val="16"/>
          <w:szCs w:val="16"/>
        </w:rPr>
        <w:t xml:space="preserve"> Decreto 1077 de 2015. </w:t>
      </w:r>
      <w:r w:rsidRPr="00AE7C9E">
        <w:rPr>
          <w:rFonts w:ascii="Verdana" w:hAnsi="Verdana"/>
          <w:sz w:val="16"/>
          <w:szCs w:val="16"/>
          <w:lang w:val="es-CO"/>
        </w:rPr>
        <w:t>Artículo 2.2.3.3.3 </w:t>
      </w:r>
      <w:r w:rsidRPr="00AE7C9E">
        <w:rPr>
          <w:rFonts w:ascii="Verdana" w:hAnsi="Verdana"/>
          <w:i/>
          <w:iCs/>
          <w:sz w:val="16"/>
          <w:szCs w:val="16"/>
          <w:lang w:val="es-CO"/>
        </w:rPr>
        <w:t>Administración, mantenimiento y el aprovechamiento económico del espacio público. </w:t>
      </w:r>
      <w:r w:rsidRPr="00AE7C9E">
        <w:rPr>
          <w:rFonts w:ascii="Verdana" w:hAnsi="Verdana"/>
          <w:sz w:val="16"/>
          <w:szCs w:val="16"/>
          <w:lang w:val="es-CO"/>
        </w:rPr>
        <w:t>Los municipios y distritos podrán contratar con entidades privadas la administración, mantenimiento y el aprovechamiento económico para el municipio o distrito del espacio público, sin que impida a la ciudadanía de su uso, goce, disfrute visual y libre tránsito. </w:t>
      </w:r>
    </w:p>
    <w:p w14:paraId="56605506" w14:textId="77777777" w:rsidR="00F503A8" w:rsidRPr="00AE7C9E" w:rsidRDefault="00F503A8" w:rsidP="00F503A8">
      <w:pPr>
        <w:pStyle w:val="Textonotapie"/>
        <w:ind w:firstLine="708"/>
        <w:jc w:val="both"/>
        <w:rPr>
          <w:rFonts w:ascii="Verdana" w:hAnsi="Verdana"/>
          <w:sz w:val="16"/>
          <w:szCs w:val="16"/>
        </w:rPr>
      </w:pPr>
    </w:p>
  </w:footnote>
  <w:footnote w:id="10">
    <w:p w14:paraId="48AABBFE" w14:textId="77777777" w:rsidR="00F503A8" w:rsidRPr="003C4E54" w:rsidRDefault="00F503A8" w:rsidP="00F503A8">
      <w:pPr>
        <w:shd w:val="clear" w:color="auto" w:fill="FFFFFF"/>
        <w:spacing w:after="0" w:line="240" w:lineRule="auto"/>
        <w:ind w:firstLine="708"/>
        <w:contextualSpacing/>
        <w:jc w:val="both"/>
        <w:rPr>
          <w:rFonts w:ascii="Verdana" w:hAnsi="Verdana"/>
          <w:b/>
          <w:bCs/>
          <w:sz w:val="16"/>
          <w:szCs w:val="16"/>
        </w:rPr>
      </w:pPr>
      <w:r w:rsidRPr="00AE7C9E">
        <w:rPr>
          <w:rStyle w:val="Refdenotaalpie"/>
          <w:rFonts w:ascii="Verdana" w:hAnsi="Verdana"/>
          <w:sz w:val="16"/>
          <w:szCs w:val="16"/>
        </w:rPr>
        <w:footnoteRef/>
      </w:r>
      <w:r w:rsidRPr="00AE7C9E">
        <w:rPr>
          <w:rFonts w:ascii="Verdana" w:hAnsi="Verdana"/>
          <w:sz w:val="16"/>
          <w:szCs w:val="16"/>
        </w:rPr>
        <w:t xml:space="preserve"> PIMIENTO Echeverri, Julián. El aprovechamiento económico de los bienes de uso público. Reflexiones con ocasión del reciente fallo de unificación sobre la improcedencia del contrato de arrendamiento. En:</w:t>
      </w:r>
      <w:r w:rsidRPr="00AE7C9E">
        <w:rPr>
          <w:rFonts w:ascii="Verdana" w:hAnsi="Verdana"/>
          <w:b/>
          <w:bCs/>
          <w:sz w:val="16"/>
          <w:szCs w:val="16"/>
        </w:rPr>
        <w:t xml:space="preserve"> </w:t>
      </w:r>
      <w:r w:rsidRPr="00AE7C9E">
        <w:rPr>
          <w:rFonts w:ascii="Verdana" w:hAnsi="Verdana"/>
          <w:i/>
          <w:iCs/>
          <w:sz w:val="16"/>
          <w:szCs w:val="16"/>
        </w:rPr>
        <w:t xml:space="preserve">Revista Digital de Derecho Administrativo. Universidad Externado de Colombia. Diciembre. </w:t>
      </w:r>
      <w:r w:rsidRPr="00AE7C9E">
        <w:rPr>
          <w:rFonts w:ascii="Verdana" w:hAnsi="Verdana"/>
          <w:sz w:val="16"/>
          <w:szCs w:val="16"/>
        </w:rPr>
        <w:t>2019. p. 52.</w:t>
      </w:r>
      <w:r w:rsidRPr="003C4E54">
        <w:rPr>
          <w:rFonts w:ascii="Verdana" w:hAnsi="Verdana"/>
          <w:i/>
          <w:iC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18536518">
    <w:abstractNumId w:val="10"/>
  </w:num>
  <w:num w:numId="2" w16cid:durableId="310990829">
    <w:abstractNumId w:val="2"/>
  </w:num>
  <w:num w:numId="3" w16cid:durableId="1148597737">
    <w:abstractNumId w:val="8"/>
  </w:num>
  <w:num w:numId="4" w16cid:durableId="626931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6878783">
    <w:abstractNumId w:val="2"/>
  </w:num>
  <w:num w:numId="6" w16cid:durableId="2030567967">
    <w:abstractNumId w:val="17"/>
  </w:num>
  <w:num w:numId="7" w16cid:durableId="194853272">
    <w:abstractNumId w:val="9"/>
  </w:num>
  <w:num w:numId="8" w16cid:durableId="1916082724">
    <w:abstractNumId w:val="16"/>
  </w:num>
  <w:num w:numId="9" w16cid:durableId="1889998868">
    <w:abstractNumId w:val="11"/>
  </w:num>
  <w:num w:numId="10" w16cid:durableId="125240401">
    <w:abstractNumId w:val="15"/>
  </w:num>
  <w:num w:numId="11" w16cid:durableId="911697195">
    <w:abstractNumId w:val="12"/>
  </w:num>
  <w:num w:numId="12" w16cid:durableId="829831691">
    <w:abstractNumId w:val="0"/>
  </w:num>
  <w:num w:numId="13" w16cid:durableId="1630209249">
    <w:abstractNumId w:val="5"/>
  </w:num>
  <w:num w:numId="14" w16cid:durableId="1279413169">
    <w:abstractNumId w:val="18"/>
  </w:num>
  <w:num w:numId="15" w16cid:durableId="1424498871">
    <w:abstractNumId w:val="14"/>
  </w:num>
  <w:num w:numId="16" w16cid:durableId="1315985263">
    <w:abstractNumId w:val="6"/>
  </w:num>
  <w:num w:numId="17" w16cid:durableId="868641362">
    <w:abstractNumId w:val="13"/>
  </w:num>
  <w:num w:numId="18" w16cid:durableId="940605288">
    <w:abstractNumId w:val="20"/>
  </w:num>
  <w:num w:numId="19" w16cid:durableId="1657805326">
    <w:abstractNumId w:val="19"/>
  </w:num>
  <w:num w:numId="20" w16cid:durableId="999381415">
    <w:abstractNumId w:val="1"/>
  </w:num>
  <w:num w:numId="21" w16cid:durableId="1244147522">
    <w:abstractNumId w:val="4"/>
  </w:num>
  <w:num w:numId="22" w16cid:durableId="1451046734">
    <w:abstractNumId w:val="7"/>
  </w:num>
  <w:num w:numId="23" w16cid:durableId="1970472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0B07"/>
    <w:rsid w:val="00003A8E"/>
    <w:rsid w:val="00005CA9"/>
    <w:rsid w:val="000134D5"/>
    <w:rsid w:val="00016F78"/>
    <w:rsid w:val="000367F8"/>
    <w:rsid w:val="000410A1"/>
    <w:rsid w:val="00044790"/>
    <w:rsid w:val="00046945"/>
    <w:rsid w:val="00061B2A"/>
    <w:rsid w:val="00064258"/>
    <w:rsid w:val="0006646E"/>
    <w:rsid w:val="000711CF"/>
    <w:rsid w:val="00072AA3"/>
    <w:rsid w:val="00076D52"/>
    <w:rsid w:val="00082362"/>
    <w:rsid w:val="00084249"/>
    <w:rsid w:val="00085436"/>
    <w:rsid w:val="00096490"/>
    <w:rsid w:val="000A39AD"/>
    <w:rsid w:val="000A683E"/>
    <w:rsid w:val="000B0770"/>
    <w:rsid w:val="000B19B9"/>
    <w:rsid w:val="000B27F0"/>
    <w:rsid w:val="000C03D0"/>
    <w:rsid w:val="000C3253"/>
    <w:rsid w:val="000D0334"/>
    <w:rsid w:val="000D1DC8"/>
    <w:rsid w:val="000D5DA7"/>
    <w:rsid w:val="000E1999"/>
    <w:rsid w:val="000F078F"/>
    <w:rsid w:val="000F3159"/>
    <w:rsid w:val="000F3444"/>
    <w:rsid w:val="000F6486"/>
    <w:rsid w:val="0010158A"/>
    <w:rsid w:val="00105C57"/>
    <w:rsid w:val="00115204"/>
    <w:rsid w:val="001168F2"/>
    <w:rsid w:val="00116940"/>
    <w:rsid w:val="00120F6B"/>
    <w:rsid w:val="00122ABB"/>
    <w:rsid w:val="00125105"/>
    <w:rsid w:val="00127233"/>
    <w:rsid w:val="001328F3"/>
    <w:rsid w:val="001466B2"/>
    <w:rsid w:val="0015699B"/>
    <w:rsid w:val="0016229A"/>
    <w:rsid w:val="00162909"/>
    <w:rsid w:val="00167CD9"/>
    <w:rsid w:val="00171640"/>
    <w:rsid w:val="00174D6E"/>
    <w:rsid w:val="00175A4D"/>
    <w:rsid w:val="00193CA7"/>
    <w:rsid w:val="00194403"/>
    <w:rsid w:val="0019489F"/>
    <w:rsid w:val="00195F95"/>
    <w:rsid w:val="001A33BF"/>
    <w:rsid w:val="001A3F46"/>
    <w:rsid w:val="001B123E"/>
    <w:rsid w:val="001C096C"/>
    <w:rsid w:val="001C5AE4"/>
    <w:rsid w:val="001D5FBF"/>
    <w:rsid w:val="001E1145"/>
    <w:rsid w:val="001E2E05"/>
    <w:rsid w:val="001E4177"/>
    <w:rsid w:val="001E4185"/>
    <w:rsid w:val="001E5A62"/>
    <w:rsid w:val="001F0B24"/>
    <w:rsid w:val="001F7DC6"/>
    <w:rsid w:val="002209DE"/>
    <w:rsid w:val="0022231B"/>
    <w:rsid w:val="0022400B"/>
    <w:rsid w:val="00236FFC"/>
    <w:rsid w:val="00240443"/>
    <w:rsid w:val="002421BB"/>
    <w:rsid w:val="0024328E"/>
    <w:rsid w:val="00243CA2"/>
    <w:rsid w:val="002562ED"/>
    <w:rsid w:val="0025796E"/>
    <w:rsid w:val="002707A2"/>
    <w:rsid w:val="00275482"/>
    <w:rsid w:val="00284487"/>
    <w:rsid w:val="0028551C"/>
    <w:rsid w:val="0028778F"/>
    <w:rsid w:val="002912F7"/>
    <w:rsid w:val="0029263A"/>
    <w:rsid w:val="002951A0"/>
    <w:rsid w:val="002962BC"/>
    <w:rsid w:val="002A093D"/>
    <w:rsid w:val="002A0DD0"/>
    <w:rsid w:val="002A49AC"/>
    <w:rsid w:val="002A64FD"/>
    <w:rsid w:val="002B1333"/>
    <w:rsid w:val="002B49D2"/>
    <w:rsid w:val="002B6113"/>
    <w:rsid w:val="002B730F"/>
    <w:rsid w:val="002B74FD"/>
    <w:rsid w:val="002C7A84"/>
    <w:rsid w:val="002D6E05"/>
    <w:rsid w:val="002E05EF"/>
    <w:rsid w:val="002E05FE"/>
    <w:rsid w:val="002E2BF8"/>
    <w:rsid w:val="002E4FD9"/>
    <w:rsid w:val="002E51CA"/>
    <w:rsid w:val="002F0847"/>
    <w:rsid w:val="002F6144"/>
    <w:rsid w:val="0030657A"/>
    <w:rsid w:val="003136DC"/>
    <w:rsid w:val="00315063"/>
    <w:rsid w:val="00316053"/>
    <w:rsid w:val="00322714"/>
    <w:rsid w:val="00322A85"/>
    <w:rsid w:val="00322C00"/>
    <w:rsid w:val="00323700"/>
    <w:rsid w:val="00324168"/>
    <w:rsid w:val="00330834"/>
    <w:rsid w:val="003332A8"/>
    <w:rsid w:val="00336A15"/>
    <w:rsid w:val="003429E9"/>
    <w:rsid w:val="003448F4"/>
    <w:rsid w:val="00345CAB"/>
    <w:rsid w:val="003576EA"/>
    <w:rsid w:val="00371004"/>
    <w:rsid w:val="00374F5E"/>
    <w:rsid w:val="003769E1"/>
    <w:rsid w:val="00377E3E"/>
    <w:rsid w:val="00381BAB"/>
    <w:rsid w:val="0038251E"/>
    <w:rsid w:val="00390CF6"/>
    <w:rsid w:val="003A6AEB"/>
    <w:rsid w:val="003A779E"/>
    <w:rsid w:val="003C768B"/>
    <w:rsid w:val="003D0F4D"/>
    <w:rsid w:val="003D5B0D"/>
    <w:rsid w:val="003E0499"/>
    <w:rsid w:val="003E4F80"/>
    <w:rsid w:val="003E6439"/>
    <w:rsid w:val="003E6692"/>
    <w:rsid w:val="003F3941"/>
    <w:rsid w:val="00401068"/>
    <w:rsid w:val="00403EFA"/>
    <w:rsid w:val="00406575"/>
    <w:rsid w:val="004140B3"/>
    <w:rsid w:val="00414C74"/>
    <w:rsid w:val="004258EC"/>
    <w:rsid w:val="0042722E"/>
    <w:rsid w:val="004337EB"/>
    <w:rsid w:val="00435AF9"/>
    <w:rsid w:val="00437B88"/>
    <w:rsid w:val="0044528D"/>
    <w:rsid w:val="00451137"/>
    <w:rsid w:val="004521C6"/>
    <w:rsid w:val="004555EA"/>
    <w:rsid w:val="00461849"/>
    <w:rsid w:val="004630FD"/>
    <w:rsid w:val="0046391F"/>
    <w:rsid w:val="00466E39"/>
    <w:rsid w:val="0048263A"/>
    <w:rsid w:val="004841A5"/>
    <w:rsid w:val="0048787A"/>
    <w:rsid w:val="00494F04"/>
    <w:rsid w:val="00496605"/>
    <w:rsid w:val="004A0A0B"/>
    <w:rsid w:val="004A1847"/>
    <w:rsid w:val="004A305D"/>
    <w:rsid w:val="004B3DAC"/>
    <w:rsid w:val="004B6823"/>
    <w:rsid w:val="004C09F9"/>
    <w:rsid w:val="004C0DBB"/>
    <w:rsid w:val="004D0784"/>
    <w:rsid w:val="004E5A11"/>
    <w:rsid w:val="004F2170"/>
    <w:rsid w:val="004F21C4"/>
    <w:rsid w:val="004F3D11"/>
    <w:rsid w:val="004F685F"/>
    <w:rsid w:val="00501DA0"/>
    <w:rsid w:val="0050297A"/>
    <w:rsid w:val="00502CBB"/>
    <w:rsid w:val="00506CD7"/>
    <w:rsid w:val="00517955"/>
    <w:rsid w:val="005229DB"/>
    <w:rsid w:val="00525D3E"/>
    <w:rsid w:val="00530438"/>
    <w:rsid w:val="00534886"/>
    <w:rsid w:val="00536B9B"/>
    <w:rsid w:val="0054045D"/>
    <w:rsid w:val="00542038"/>
    <w:rsid w:val="0055522B"/>
    <w:rsid w:val="005566E8"/>
    <w:rsid w:val="0056059D"/>
    <w:rsid w:val="00564501"/>
    <w:rsid w:val="00574867"/>
    <w:rsid w:val="00574F95"/>
    <w:rsid w:val="00583250"/>
    <w:rsid w:val="00591460"/>
    <w:rsid w:val="005A01AA"/>
    <w:rsid w:val="005A4B06"/>
    <w:rsid w:val="005A5CFD"/>
    <w:rsid w:val="005A65E0"/>
    <w:rsid w:val="005B05EA"/>
    <w:rsid w:val="005B1416"/>
    <w:rsid w:val="005B3597"/>
    <w:rsid w:val="005C0881"/>
    <w:rsid w:val="005C3777"/>
    <w:rsid w:val="005C5CDC"/>
    <w:rsid w:val="005D2566"/>
    <w:rsid w:val="005D476C"/>
    <w:rsid w:val="005E5C97"/>
    <w:rsid w:val="005F0B55"/>
    <w:rsid w:val="005F20A4"/>
    <w:rsid w:val="005F5D6A"/>
    <w:rsid w:val="00600D92"/>
    <w:rsid w:val="00603C5B"/>
    <w:rsid w:val="006200BF"/>
    <w:rsid w:val="0062143E"/>
    <w:rsid w:val="006219F8"/>
    <w:rsid w:val="006302F7"/>
    <w:rsid w:val="0064338A"/>
    <w:rsid w:val="00646B9F"/>
    <w:rsid w:val="00653DF1"/>
    <w:rsid w:val="00653E51"/>
    <w:rsid w:val="00655730"/>
    <w:rsid w:val="0066269A"/>
    <w:rsid w:val="00665D70"/>
    <w:rsid w:val="006663DE"/>
    <w:rsid w:val="00671497"/>
    <w:rsid w:val="00671499"/>
    <w:rsid w:val="006848CC"/>
    <w:rsid w:val="00684F67"/>
    <w:rsid w:val="0068731A"/>
    <w:rsid w:val="006900D9"/>
    <w:rsid w:val="00691A22"/>
    <w:rsid w:val="0069259F"/>
    <w:rsid w:val="006943B5"/>
    <w:rsid w:val="006967DC"/>
    <w:rsid w:val="0069741A"/>
    <w:rsid w:val="006A2BE4"/>
    <w:rsid w:val="006A2D9B"/>
    <w:rsid w:val="006B4707"/>
    <w:rsid w:val="006D3329"/>
    <w:rsid w:val="006D591D"/>
    <w:rsid w:val="006F7D83"/>
    <w:rsid w:val="007009D7"/>
    <w:rsid w:val="007025D7"/>
    <w:rsid w:val="007040E8"/>
    <w:rsid w:val="00706C16"/>
    <w:rsid w:val="00711245"/>
    <w:rsid w:val="0071557C"/>
    <w:rsid w:val="00715C55"/>
    <w:rsid w:val="007160D0"/>
    <w:rsid w:val="00717702"/>
    <w:rsid w:val="007244EC"/>
    <w:rsid w:val="00731891"/>
    <w:rsid w:val="00731F30"/>
    <w:rsid w:val="007340C3"/>
    <w:rsid w:val="0073510E"/>
    <w:rsid w:val="007458D3"/>
    <w:rsid w:val="0075235A"/>
    <w:rsid w:val="00752CDB"/>
    <w:rsid w:val="0075557D"/>
    <w:rsid w:val="00756841"/>
    <w:rsid w:val="007649AB"/>
    <w:rsid w:val="00771D0C"/>
    <w:rsid w:val="00782650"/>
    <w:rsid w:val="007833AC"/>
    <w:rsid w:val="00786D45"/>
    <w:rsid w:val="00795086"/>
    <w:rsid w:val="007A1830"/>
    <w:rsid w:val="007B268C"/>
    <w:rsid w:val="007B7171"/>
    <w:rsid w:val="007C0C0F"/>
    <w:rsid w:val="007C2201"/>
    <w:rsid w:val="007C3DC2"/>
    <w:rsid w:val="007C4353"/>
    <w:rsid w:val="007D3058"/>
    <w:rsid w:val="007D4B12"/>
    <w:rsid w:val="007E5497"/>
    <w:rsid w:val="007F242A"/>
    <w:rsid w:val="007F4DD2"/>
    <w:rsid w:val="00805C43"/>
    <w:rsid w:val="00806F5F"/>
    <w:rsid w:val="00807BE7"/>
    <w:rsid w:val="008127F9"/>
    <w:rsid w:val="00814214"/>
    <w:rsid w:val="00820278"/>
    <w:rsid w:val="008258C9"/>
    <w:rsid w:val="0082701F"/>
    <w:rsid w:val="00833286"/>
    <w:rsid w:val="008333C0"/>
    <w:rsid w:val="00836232"/>
    <w:rsid w:val="00844AE9"/>
    <w:rsid w:val="0085545E"/>
    <w:rsid w:val="00855DDF"/>
    <w:rsid w:val="00857A7C"/>
    <w:rsid w:val="008618E4"/>
    <w:rsid w:val="00867F95"/>
    <w:rsid w:val="00870D9F"/>
    <w:rsid w:val="008843B6"/>
    <w:rsid w:val="00891928"/>
    <w:rsid w:val="00893F61"/>
    <w:rsid w:val="00896D39"/>
    <w:rsid w:val="008A446D"/>
    <w:rsid w:val="008A5C85"/>
    <w:rsid w:val="008B0D0F"/>
    <w:rsid w:val="008B25F1"/>
    <w:rsid w:val="008B470A"/>
    <w:rsid w:val="008B5A3D"/>
    <w:rsid w:val="008C11FD"/>
    <w:rsid w:val="008C4DD5"/>
    <w:rsid w:val="008C517A"/>
    <w:rsid w:val="008C6AE5"/>
    <w:rsid w:val="008D1660"/>
    <w:rsid w:val="008D180B"/>
    <w:rsid w:val="008E2B0C"/>
    <w:rsid w:val="008E5EF9"/>
    <w:rsid w:val="008F0EA7"/>
    <w:rsid w:val="008F17DC"/>
    <w:rsid w:val="008F1A13"/>
    <w:rsid w:val="008F4334"/>
    <w:rsid w:val="008F6705"/>
    <w:rsid w:val="00900D7F"/>
    <w:rsid w:val="00901D59"/>
    <w:rsid w:val="009037F6"/>
    <w:rsid w:val="00923EEF"/>
    <w:rsid w:val="00934F56"/>
    <w:rsid w:val="009419F9"/>
    <w:rsid w:val="00944662"/>
    <w:rsid w:val="0095685E"/>
    <w:rsid w:val="00960039"/>
    <w:rsid w:val="00961B09"/>
    <w:rsid w:val="00964321"/>
    <w:rsid w:val="00965334"/>
    <w:rsid w:val="0097093E"/>
    <w:rsid w:val="009722CC"/>
    <w:rsid w:val="00972D5A"/>
    <w:rsid w:val="0098306C"/>
    <w:rsid w:val="00992E19"/>
    <w:rsid w:val="00993C2C"/>
    <w:rsid w:val="009A0486"/>
    <w:rsid w:val="009A0DFA"/>
    <w:rsid w:val="009A30E3"/>
    <w:rsid w:val="009A79B8"/>
    <w:rsid w:val="009B2D26"/>
    <w:rsid w:val="009B587B"/>
    <w:rsid w:val="009B5B20"/>
    <w:rsid w:val="009C0FE9"/>
    <w:rsid w:val="009C71FA"/>
    <w:rsid w:val="009C72E7"/>
    <w:rsid w:val="009C7F7E"/>
    <w:rsid w:val="009D2BFA"/>
    <w:rsid w:val="009D3058"/>
    <w:rsid w:val="009D48B3"/>
    <w:rsid w:val="009E1F28"/>
    <w:rsid w:val="009E4900"/>
    <w:rsid w:val="009E5D9C"/>
    <w:rsid w:val="009F161C"/>
    <w:rsid w:val="009F3A13"/>
    <w:rsid w:val="00A0334B"/>
    <w:rsid w:val="00A122D3"/>
    <w:rsid w:val="00A14468"/>
    <w:rsid w:val="00A17F13"/>
    <w:rsid w:val="00A20739"/>
    <w:rsid w:val="00A23AF9"/>
    <w:rsid w:val="00A263C8"/>
    <w:rsid w:val="00A31A76"/>
    <w:rsid w:val="00A33C78"/>
    <w:rsid w:val="00A34AB8"/>
    <w:rsid w:val="00A37DDB"/>
    <w:rsid w:val="00A47355"/>
    <w:rsid w:val="00A50AF9"/>
    <w:rsid w:val="00A5146D"/>
    <w:rsid w:val="00A6043F"/>
    <w:rsid w:val="00A72986"/>
    <w:rsid w:val="00A73F45"/>
    <w:rsid w:val="00A82A6F"/>
    <w:rsid w:val="00A87780"/>
    <w:rsid w:val="00A93BC7"/>
    <w:rsid w:val="00AA54B2"/>
    <w:rsid w:val="00AA6C46"/>
    <w:rsid w:val="00AB0ADB"/>
    <w:rsid w:val="00AB436E"/>
    <w:rsid w:val="00AD7EF5"/>
    <w:rsid w:val="00AE3513"/>
    <w:rsid w:val="00AE66C5"/>
    <w:rsid w:val="00AF5A10"/>
    <w:rsid w:val="00B00C0E"/>
    <w:rsid w:val="00B01B1A"/>
    <w:rsid w:val="00B04DA1"/>
    <w:rsid w:val="00B069E8"/>
    <w:rsid w:val="00B170F0"/>
    <w:rsid w:val="00B26F0E"/>
    <w:rsid w:val="00B33EA4"/>
    <w:rsid w:val="00B4329F"/>
    <w:rsid w:val="00B44033"/>
    <w:rsid w:val="00B44A47"/>
    <w:rsid w:val="00B50C64"/>
    <w:rsid w:val="00B52AC3"/>
    <w:rsid w:val="00B54271"/>
    <w:rsid w:val="00B5550F"/>
    <w:rsid w:val="00B6033A"/>
    <w:rsid w:val="00B608D0"/>
    <w:rsid w:val="00B6149C"/>
    <w:rsid w:val="00B72CD3"/>
    <w:rsid w:val="00B72FFF"/>
    <w:rsid w:val="00B74092"/>
    <w:rsid w:val="00B95C6A"/>
    <w:rsid w:val="00B95DAC"/>
    <w:rsid w:val="00BA5400"/>
    <w:rsid w:val="00BA703D"/>
    <w:rsid w:val="00BC3D36"/>
    <w:rsid w:val="00BC70CB"/>
    <w:rsid w:val="00BD13AC"/>
    <w:rsid w:val="00BD54A6"/>
    <w:rsid w:val="00BD7F72"/>
    <w:rsid w:val="00BF0FA4"/>
    <w:rsid w:val="00BF228F"/>
    <w:rsid w:val="00BF3A90"/>
    <w:rsid w:val="00BF3D1A"/>
    <w:rsid w:val="00BF5C08"/>
    <w:rsid w:val="00BF7425"/>
    <w:rsid w:val="00C04FB3"/>
    <w:rsid w:val="00C07BBC"/>
    <w:rsid w:val="00C11549"/>
    <w:rsid w:val="00C11D8B"/>
    <w:rsid w:val="00C209A4"/>
    <w:rsid w:val="00C251B0"/>
    <w:rsid w:val="00C315F9"/>
    <w:rsid w:val="00C330EB"/>
    <w:rsid w:val="00C419DF"/>
    <w:rsid w:val="00C4305F"/>
    <w:rsid w:val="00C50D69"/>
    <w:rsid w:val="00C5365C"/>
    <w:rsid w:val="00C754BE"/>
    <w:rsid w:val="00C76B1C"/>
    <w:rsid w:val="00C85BC6"/>
    <w:rsid w:val="00C925AC"/>
    <w:rsid w:val="00C94828"/>
    <w:rsid w:val="00CA3C03"/>
    <w:rsid w:val="00CB06B9"/>
    <w:rsid w:val="00CB39BA"/>
    <w:rsid w:val="00CB3C6B"/>
    <w:rsid w:val="00CB6357"/>
    <w:rsid w:val="00CC1B26"/>
    <w:rsid w:val="00CC240B"/>
    <w:rsid w:val="00CC26C3"/>
    <w:rsid w:val="00CC3D8B"/>
    <w:rsid w:val="00CC4FA8"/>
    <w:rsid w:val="00CC6C42"/>
    <w:rsid w:val="00CD451C"/>
    <w:rsid w:val="00CE4026"/>
    <w:rsid w:val="00CE58C4"/>
    <w:rsid w:val="00CE7882"/>
    <w:rsid w:val="00CF070A"/>
    <w:rsid w:val="00D011D3"/>
    <w:rsid w:val="00D06146"/>
    <w:rsid w:val="00D0699E"/>
    <w:rsid w:val="00D116A9"/>
    <w:rsid w:val="00D1196F"/>
    <w:rsid w:val="00D12FA6"/>
    <w:rsid w:val="00D14EC0"/>
    <w:rsid w:val="00D22D2B"/>
    <w:rsid w:val="00D24537"/>
    <w:rsid w:val="00D24810"/>
    <w:rsid w:val="00D30087"/>
    <w:rsid w:val="00D325E7"/>
    <w:rsid w:val="00D334DD"/>
    <w:rsid w:val="00D361FD"/>
    <w:rsid w:val="00D423A2"/>
    <w:rsid w:val="00D44E26"/>
    <w:rsid w:val="00D51A5D"/>
    <w:rsid w:val="00D520D8"/>
    <w:rsid w:val="00D62B9C"/>
    <w:rsid w:val="00D63AC2"/>
    <w:rsid w:val="00D649DA"/>
    <w:rsid w:val="00D7383B"/>
    <w:rsid w:val="00D7788A"/>
    <w:rsid w:val="00D90725"/>
    <w:rsid w:val="00D92AAF"/>
    <w:rsid w:val="00D936A2"/>
    <w:rsid w:val="00DA1548"/>
    <w:rsid w:val="00DA231B"/>
    <w:rsid w:val="00DB55DA"/>
    <w:rsid w:val="00DB58B2"/>
    <w:rsid w:val="00DB67AE"/>
    <w:rsid w:val="00DC39FC"/>
    <w:rsid w:val="00DC7CCB"/>
    <w:rsid w:val="00DE3D35"/>
    <w:rsid w:val="00DF22E0"/>
    <w:rsid w:val="00DF5254"/>
    <w:rsid w:val="00E02524"/>
    <w:rsid w:val="00E1159D"/>
    <w:rsid w:val="00E1364A"/>
    <w:rsid w:val="00E16307"/>
    <w:rsid w:val="00E16408"/>
    <w:rsid w:val="00E20894"/>
    <w:rsid w:val="00E245AB"/>
    <w:rsid w:val="00E2764C"/>
    <w:rsid w:val="00E27F2E"/>
    <w:rsid w:val="00E31225"/>
    <w:rsid w:val="00E347BF"/>
    <w:rsid w:val="00E50AFE"/>
    <w:rsid w:val="00E577E2"/>
    <w:rsid w:val="00E6397C"/>
    <w:rsid w:val="00E75C92"/>
    <w:rsid w:val="00E771DC"/>
    <w:rsid w:val="00E85B49"/>
    <w:rsid w:val="00E8772A"/>
    <w:rsid w:val="00E87C18"/>
    <w:rsid w:val="00E903B2"/>
    <w:rsid w:val="00E90F6B"/>
    <w:rsid w:val="00E92C27"/>
    <w:rsid w:val="00E97C37"/>
    <w:rsid w:val="00EA0E3D"/>
    <w:rsid w:val="00EA12EC"/>
    <w:rsid w:val="00EA411D"/>
    <w:rsid w:val="00EA426C"/>
    <w:rsid w:val="00EB1920"/>
    <w:rsid w:val="00EB224C"/>
    <w:rsid w:val="00EB4DA7"/>
    <w:rsid w:val="00EC006D"/>
    <w:rsid w:val="00EC0AB5"/>
    <w:rsid w:val="00EC0AEA"/>
    <w:rsid w:val="00EC2522"/>
    <w:rsid w:val="00EC297F"/>
    <w:rsid w:val="00EC38A7"/>
    <w:rsid w:val="00EC7E2C"/>
    <w:rsid w:val="00ED2DD4"/>
    <w:rsid w:val="00ED4980"/>
    <w:rsid w:val="00ED7601"/>
    <w:rsid w:val="00EE1AA8"/>
    <w:rsid w:val="00EE56A7"/>
    <w:rsid w:val="00EE6E21"/>
    <w:rsid w:val="00EF0162"/>
    <w:rsid w:val="00EF1D4F"/>
    <w:rsid w:val="00EF50BA"/>
    <w:rsid w:val="00EF5E13"/>
    <w:rsid w:val="00EF647F"/>
    <w:rsid w:val="00EF77B9"/>
    <w:rsid w:val="00EF7C55"/>
    <w:rsid w:val="00F23FEA"/>
    <w:rsid w:val="00F27B7B"/>
    <w:rsid w:val="00F31EDC"/>
    <w:rsid w:val="00F34820"/>
    <w:rsid w:val="00F379B1"/>
    <w:rsid w:val="00F40769"/>
    <w:rsid w:val="00F43995"/>
    <w:rsid w:val="00F462B3"/>
    <w:rsid w:val="00F503A8"/>
    <w:rsid w:val="00F55ABB"/>
    <w:rsid w:val="00F5664F"/>
    <w:rsid w:val="00F666C4"/>
    <w:rsid w:val="00F66CF3"/>
    <w:rsid w:val="00F70DCF"/>
    <w:rsid w:val="00F76AFC"/>
    <w:rsid w:val="00F81BF0"/>
    <w:rsid w:val="00F82E88"/>
    <w:rsid w:val="00F86E11"/>
    <w:rsid w:val="00FA3F60"/>
    <w:rsid w:val="00FA47C0"/>
    <w:rsid w:val="00FA5FFD"/>
    <w:rsid w:val="00FA6F31"/>
    <w:rsid w:val="00FB116E"/>
    <w:rsid w:val="00FB5DD1"/>
    <w:rsid w:val="00FC023D"/>
    <w:rsid w:val="00FC14FD"/>
    <w:rsid w:val="00FC2B5D"/>
    <w:rsid w:val="00FD1DDC"/>
    <w:rsid w:val="00FD3AD2"/>
    <w:rsid w:val="00FE7047"/>
    <w:rsid w:val="00FF1449"/>
    <w:rsid w:val="00FF227D"/>
    <w:rsid w:val="00FF3201"/>
    <w:rsid w:val="00FF759F"/>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DD1A9FAE-E6B6-4C4C-A82F-A9920725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9B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D30087"/>
    <w:rPr>
      <w:color w:val="605E5C"/>
      <w:shd w:val="clear" w:color="auto" w:fill="E1DFDD"/>
    </w:rPr>
  </w:style>
  <w:style w:type="character" w:styleId="Fuerte">
    <w:name w:val="Strong"/>
    <w:basedOn w:val="Fuentedeprrafopredeter"/>
    <w:uiPriority w:val="22"/>
    <w:qFormat/>
    <w:rsid w:val="00B440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danielhfajardo@gmail.com"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timologias.dechile.net/?exorbitant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3C07C60E-A717-415B-964B-5A13F01B3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465CCEE7-541E-46A1-B20A-234967C5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6513</Words>
  <Characters>35822</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18</cp:revision>
  <cp:lastPrinted>2023-01-10T21:18:00Z</cp:lastPrinted>
  <dcterms:created xsi:type="dcterms:W3CDTF">2026-07-01T21:23:00Z</dcterms:created>
  <dcterms:modified xsi:type="dcterms:W3CDTF">2026-07-08T17:21:00Z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