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227473" w14:textId="77777777" w:rsidR="008A0B27" w:rsidRPr="00261C7D" w:rsidRDefault="008A0B27" w:rsidP="008A0B27">
      <w:pPr>
        <w:spacing w:after="0" w:line="276" w:lineRule="auto"/>
        <w:jc w:val="both"/>
        <w:rPr>
          <w:rFonts w:ascii="Verdana" w:eastAsia="Calibri" w:hAnsi="Verdana" w:cs="Arial"/>
          <w:b/>
          <w:bCs/>
          <w:color w:val="000000" w:themeColor="text1"/>
          <w:lang w:val="es-ES_tradnl" w:eastAsia="es-MX"/>
        </w:rPr>
      </w:pPr>
      <w:r w:rsidRPr="00261C7D">
        <w:rPr>
          <w:rFonts w:ascii="Verdana" w:eastAsia="Calibri" w:hAnsi="Verdana" w:cs="Arial"/>
          <w:b/>
          <w:bCs/>
          <w:color w:val="000000" w:themeColor="text1"/>
          <w:lang w:val="es-ES_tradnl" w:eastAsia="es-MX"/>
        </w:rPr>
        <w:t xml:space="preserve">DOCUMENTOS TIPO – Fundamento normativo – Obligatoriedad </w:t>
      </w:r>
    </w:p>
    <w:p w14:paraId="37DA0AB6" w14:textId="77777777" w:rsidR="008A0B27" w:rsidRPr="00261C7D" w:rsidRDefault="008A0B27" w:rsidP="008A0B27">
      <w:pPr>
        <w:spacing w:after="0" w:line="276" w:lineRule="auto"/>
        <w:jc w:val="both"/>
        <w:rPr>
          <w:rFonts w:ascii="Verdana" w:eastAsia="Calibri" w:hAnsi="Verdana" w:cs="Arial"/>
          <w:b/>
          <w:bCs/>
          <w:color w:val="000000" w:themeColor="text1"/>
          <w:sz w:val="20"/>
          <w:szCs w:val="20"/>
          <w:lang w:val="es-ES_tradnl" w:eastAsia="es-MX"/>
        </w:rPr>
      </w:pPr>
    </w:p>
    <w:p w14:paraId="42D9C507" w14:textId="77777777" w:rsidR="008A0B27" w:rsidRPr="00261C7D" w:rsidRDefault="008A0B27" w:rsidP="008A0B27">
      <w:pPr>
        <w:tabs>
          <w:tab w:val="left" w:pos="709"/>
        </w:tabs>
        <w:spacing w:after="0" w:line="240" w:lineRule="auto"/>
        <w:jc w:val="both"/>
        <w:rPr>
          <w:rFonts w:ascii="Verdana" w:eastAsia="Calibri" w:hAnsi="Verdana" w:cs="Arial"/>
          <w:color w:val="000000" w:themeColor="text1"/>
          <w:sz w:val="20"/>
          <w:szCs w:val="20"/>
          <w:lang w:val="es-ES" w:eastAsia="es-MX"/>
        </w:rPr>
      </w:pPr>
      <w:r w:rsidRPr="00261C7D">
        <w:rPr>
          <w:rFonts w:ascii="Verdana" w:eastAsia="Calibri" w:hAnsi="Verdana" w:cs="Arial"/>
          <w:color w:val="000000" w:themeColor="text1"/>
          <w:sz w:val="20"/>
          <w:szCs w:val="20"/>
          <w:lang w:val="es-ES" w:eastAsia="es-MX"/>
        </w:rPr>
        <w:t>El artículo 1 de la Ley 2022 de 2020 “Por la cual modifica el artículo 4 de la Ley 1882 de 2018 y se dictan otras disposiciones” otorga a la Agencia Nacional de Contratación Pública – Colombia Compra Eficiente la competencia para adoptar los documentos tipo que serán de obligatorio cumplimiento en la actividad contractual de todas las entidades sometidas al Estatuto General de la Administración Pública.</w:t>
      </w:r>
    </w:p>
    <w:p w14:paraId="37688060" w14:textId="77777777" w:rsidR="008A0B27" w:rsidRPr="00261C7D" w:rsidRDefault="008A0B27" w:rsidP="008A0B27">
      <w:pPr>
        <w:spacing w:after="0" w:line="276" w:lineRule="auto"/>
        <w:jc w:val="both"/>
        <w:rPr>
          <w:rFonts w:ascii="Verdana" w:eastAsia="Calibri" w:hAnsi="Verdana" w:cs="Arial"/>
          <w:b/>
          <w:bCs/>
          <w:color w:val="000000" w:themeColor="text1"/>
          <w:lang w:val="es-ES_tradnl" w:eastAsia="es-MX"/>
        </w:rPr>
      </w:pPr>
    </w:p>
    <w:p w14:paraId="3F11ACC1" w14:textId="77777777" w:rsidR="008A0B27" w:rsidRPr="00261C7D" w:rsidRDefault="008A0B27" w:rsidP="008A0B27">
      <w:pPr>
        <w:widowControl w:val="0"/>
        <w:autoSpaceDE w:val="0"/>
        <w:autoSpaceDN w:val="0"/>
        <w:spacing w:after="0" w:line="276" w:lineRule="auto"/>
        <w:jc w:val="both"/>
        <w:rPr>
          <w:rFonts w:ascii="Verdana" w:eastAsia="Calibri" w:hAnsi="Verdana" w:cs="Times New Roman"/>
          <w:b/>
          <w:bCs/>
          <w:color w:val="000000" w:themeColor="text1"/>
          <w:lang w:val="es-ES" w:eastAsia="es-MX"/>
        </w:rPr>
      </w:pPr>
      <w:r w:rsidRPr="00261C7D">
        <w:rPr>
          <w:rFonts w:ascii="Verdana" w:eastAsia="Calibri" w:hAnsi="Verdana" w:cs="Arial"/>
          <w:b/>
          <w:bCs/>
          <w:color w:val="000000" w:themeColor="text1"/>
          <w:lang w:val="es-ES_tradnl" w:eastAsia="es-MX"/>
        </w:rPr>
        <w:t>SECTOR SOCIAL</w:t>
      </w:r>
      <w:r w:rsidRPr="00261C7D">
        <w:rPr>
          <w:rFonts w:ascii="Verdana" w:eastAsia="Calibri" w:hAnsi="Verdana" w:cs="Times New Roman"/>
          <w:color w:val="000000" w:themeColor="text1"/>
          <w:lang w:val="es-ES" w:eastAsia="es-MX"/>
        </w:rPr>
        <w:t xml:space="preserve"> </w:t>
      </w:r>
      <w:r w:rsidRPr="00261C7D">
        <w:rPr>
          <w:rFonts w:ascii="Verdana" w:eastAsia="Calibri" w:hAnsi="Verdana" w:cs="Times New Roman"/>
          <w:b/>
          <w:bCs/>
          <w:color w:val="000000" w:themeColor="text1"/>
          <w:lang w:val="es-ES" w:eastAsia="es-MX"/>
        </w:rPr>
        <w:t>– Documentos tipo – Vigentes</w:t>
      </w:r>
    </w:p>
    <w:p w14:paraId="241D45B3" w14:textId="77777777" w:rsidR="008A0B27" w:rsidRPr="00261C7D" w:rsidRDefault="008A0B27" w:rsidP="008A0B27">
      <w:pPr>
        <w:widowControl w:val="0"/>
        <w:autoSpaceDE w:val="0"/>
        <w:autoSpaceDN w:val="0"/>
        <w:spacing w:after="0" w:line="276" w:lineRule="auto"/>
        <w:jc w:val="both"/>
        <w:rPr>
          <w:rFonts w:ascii="Verdana" w:eastAsia="Calibri" w:hAnsi="Verdana" w:cs="Times New Roman"/>
          <w:b/>
          <w:bCs/>
          <w:color w:val="000000" w:themeColor="text1"/>
          <w:lang w:val="es-ES" w:eastAsia="es-MX"/>
        </w:rPr>
      </w:pPr>
    </w:p>
    <w:p w14:paraId="1207B8D9" w14:textId="77777777" w:rsidR="008A0B27" w:rsidRPr="00261C7D" w:rsidRDefault="008A0B27" w:rsidP="008A0B27">
      <w:pPr>
        <w:widowControl w:val="0"/>
        <w:autoSpaceDE w:val="0"/>
        <w:autoSpaceDN w:val="0"/>
        <w:spacing w:after="0" w:line="240" w:lineRule="auto"/>
        <w:jc w:val="both"/>
        <w:rPr>
          <w:rFonts w:ascii="Verdana" w:eastAsia="Calibri" w:hAnsi="Verdana" w:cs="Times New Roman"/>
          <w:b/>
          <w:bCs/>
          <w:color w:val="000000" w:themeColor="text1"/>
          <w:sz w:val="20"/>
          <w:szCs w:val="20"/>
          <w:lang w:val="es-ES" w:eastAsia="es-MX"/>
        </w:rPr>
      </w:pPr>
      <w:r w:rsidRPr="00261C7D">
        <w:rPr>
          <w:rFonts w:ascii="Verdana" w:eastAsia="Aptos" w:hAnsi="Verdana" w:cs="Times New Roman"/>
          <w:color w:val="000000" w:themeColor="text1"/>
          <w:sz w:val="20"/>
          <w:szCs w:val="20"/>
          <w:lang w:eastAsia="es-MX"/>
        </w:rPr>
        <w:t xml:space="preserve">Las Resoluciones 539, 540 y 541 del 21 de agosto de 2025, así como las Resoluciones 952 y 953 del 15 de diciembre de 2025, adoptadas en el sector de infraestructura social, aplican de forma transversal a las modalidades de selección indicadas y a los proyectos de infraestructura, interventoría y consultoría enmarcados dentro de los sectores educativo, de salud, cultura, recreación y deporte, institucional y vivienda, en los procesos de selección cuyo aviso de convocatoria se publique a partir del 16 de febrero de 2026. </w:t>
      </w:r>
    </w:p>
    <w:p w14:paraId="4D4B27FC" w14:textId="77777777" w:rsidR="008A0B27" w:rsidRPr="00261C7D" w:rsidRDefault="008A0B27" w:rsidP="008A0B27">
      <w:pPr>
        <w:spacing w:after="0"/>
        <w:rPr>
          <w:rFonts w:ascii="Verdana" w:hAnsi="Verdana"/>
          <w:color w:val="000000" w:themeColor="text1"/>
          <w:lang w:val="es-ES"/>
        </w:rPr>
      </w:pPr>
    </w:p>
    <w:p w14:paraId="5749CF81" w14:textId="77777777" w:rsidR="008A0B27" w:rsidRPr="00261C7D" w:rsidRDefault="008A0B27" w:rsidP="008A0B27">
      <w:pPr>
        <w:spacing w:after="0" w:line="276" w:lineRule="auto"/>
        <w:jc w:val="both"/>
        <w:rPr>
          <w:rFonts w:ascii="Verdana" w:eastAsia="Calibri" w:hAnsi="Verdana" w:cs="Times New Roman"/>
          <w:color w:val="000000" w:themeColor="text1"/>
          <w:sz w:val="20"/>
          <w:szCs w:val="20"/>
          <w:lang w:val="es-ES" w:eastAsia="es-MX"/>
        </w:rPr>
      </w:pPr>
      <w:r w:rsidRPr="00261C7D">
        <w:rPr>
          <w:rFonts w:ascii="Verdana" w:eastAsia="Calibri" w:hAnsi="Verdana" w:cs="Times New Roman"/>
          <w:b/>
          <w:bCs/>
          <w:color w:val="000000" w:themeColor="text1"/>
          <w:lang w:val="es-ES" w:eastAsia="es-MX"/>
        </w:rPr>
        <w:t xml:space="preserve">DOCUMENTOS TIPO – Aplicación – Matriz de Experiencia </w:t>
      </w:r>
    </w:p>
    <w:p w14:paraId="45AA635A" w14:textId="77777777" w:rsidR="008A0B27" w:rsidRPr="00261C7D" w:rsidRDefault="008A0B27" w:rsidP="008A0B27">
      <w:pPr>
        <w:spacing w:after="0" w:line="240" w:lineRule="auto"/>
        <w:rPr>
          <w:rFonts w:ascii="Verdana" w:eastAsia="Geomanist Light" w:hAnsi="Verdana" w:cs="Arial"/>
          <w:color w:val="000000" w:themeColor="text1"/>
          <w:lang w:val="es-MX" w:eastAsia="es-MX"/>
        </w:rPr>
      </w:pPr>
    </w:p>
    <w:p w14:paraId="34B24538" w14:textId="77777777" w:rsidR="008A0B27" w:rsidRDefault="008A0B27" w:rsidP="008A0B27">
      <w:pPr>
        <w:spacing w:after="0" w:line="240" w:lineRule="auto"/>
        <w:jc w:val="both"/>
        <w:rPr>
          <w:rFonts w:ascii="Verdana" w:eastAsia="Calibri" w:hAnsi="Verdana" w:cs="Times New Roman"/>
          <w:color w:val="000000" w:themeColor="text1"/>
          <w:sz w:val="20"/>
          <w:szCs w:val="20"/>
          <w:lang w:val="es-ES" w:eastAsia="es-MX"/>
        </w:rPr>
      </w:pPr>
      <w:r w:rsidRPr="00DE7DAB">
        <w:rPr>
          <w:rFonts w:ascii="Verdana" w:eastAsia="Calibri" w:hAnsi="Verdana" w:cs="Times New Roman"/>
          <w:color w:val="000000" w:themeColor="text1"/>
          <w:sz w:val="20"/>
          <w:szCs w:val="20"/>
          <w:lang w:val="es-ES" w:eastAsia="es-MX"/>
        </w:rPr>
        <w:t>Para establecer si un objeto contractual está cobijado por los documentos tipo, la entidad debe verificar si se enmarca en los tipos de infraestructura, modalidades de selección y actividades estandarizadas en las matrices de experiencia.  La Matriz de Experiencia cumple una doble función. Por una parte, estandariza las condiciones de experiencia, de conformidad con el parágrafo 7 del artículo 2 de la Ley 1150 de 2007. Por otra, permite definir el ámbito de aplicación de los documentos tipo, ya que las actividades allí descritas son las que determinan su obligatoriedad. Por tanto, si el objeto contractual encaja materialmente en alguna de esas actividades, deberán aplicarse los documentos tipo del sector correspondiente; en caso contrario, su aplicación no será obligatoria.</w:t>
      </w:r>
    </w:p>
    <w:p w14:paraId="361640CC" w14:textId="77777777" w:rsidR="008A0B27" w:rsidRPr="00230A86" w:rsidRDefault="008A0B27" w:rsidP="008A0B27">
      <w:pPr>
        <w:spacing w:after="0" w:line="240" w:lineRule="auto"/>
        <w:jc w:val="both"/>
        <w:rPr>
          <w:rFonts w:ascii="Verdana" w:eastAsia="Calibri" w:hAnsi="Verdana" w:cs="Times New Roman"/>
          <w:color w:val="000000" w:themeColor="text1"/>
          <w:sz w:val="20"/>
          <w:szCs w:val="20"/>
          <w:lang w:val="es-ES" w:eastAsia="es-MX"/>
        </w:rPr>
      </w:pPr>
    </w:p>
    <w:p w14:paraId="0EC0A894" w14:textId="77777777" w:rsidR="008A0B27" w:rsidRPr="00230A86" w:rsidRDefault="008A0B27" w:rsidP="008A0B27">
      <w:pPr>
        <w:pStyle w:val="Textoindependiente"/>
        <w:spacing w:after="120"/>
        <w:ind w:firstLine="0"/>
        <w:jc w:val="both"/>
        <w:rPr>
          <w:rFonts w:cs="Arial"/>
          <w:sz w:val="20"/>
          <w:szCs w:val="20"/>
          <w:lang w:val="es-CO"/>
        </w:rPr>
      </w:pPr>
      <w:r w:rsidRPr="00310611">
        <w:rPr>
          <w:rFonts w:eastAsia="Calibri" w:cs="Arial"/>
          <w:color w:val="000000" w:themeColor="text1"/>
          <w:sz w:val="20"/>
          <w:szCs w:val="20"/>
        </w:rPr>
        <w:t>[…]</w:t>
      </w:r>
    </w:p>
    <w:p w14:paraId="101000C6" w14:textId="77777777" w:rsidR="008A0B27" w:rsidRPr="00DE7DAB" w:rsidRDefault="008A0B27" w:rsidP="008A0B27">
      <w:pPr>
        <w:spacing w:after="120" w:line="240" w:lineRule="auto"/>
        <w:jc w:val="both"/>
        <w:rPr>
          <w:rFonts w:ascii="Verdana" w:eastAsia="Calibri" w:hAnsi="Verdana" w:cs="Times New Roman"/>
          <w:sz w:val="20"/>
          <w:szCs w:val="20"/>
          <w:lang w:eastAsia="es-MX"/>
        </w:rPr>
      </w:pPr>
      <w:r w:rsidRPr="00DE7DAB">
        <w:rPr>
          <w:rFonts w:ascii="Verdana" w:eastAsia="Calibri" w:hAnsi="Verdana" w:cs="Times New Roman"/>
          <w:sz w:val="20"/>
          <w:szCs w:val="20"/>
          <w:lang w:eastAsia="es-MX"/>
        </w:rPr>
        <w:t xml:space="preserve">En el caso planteado en la petición, referido a la compraventa de bienes muebles, elementos de organización documental y apoyos operativos y ergonómicos requeridos para el funcionamiento y fortalecimiento de la gestión administrativa, el negocio jurídico se aproxima, en principio, a un contrato de compraventa. En este tipo de contrato, el objeto principal es la entrega de un bien existente o por producir para transferirlo al comprador y los documentos tipo aplican a contratos denominado como de “obra pública”. </w:t>
      </w:r>
    </w:p>
    <w:p w14:paraId="50FA5896" w14:textId="77777777" w:rsidR="008A0B27" w:rsidRPr="00DE7DAB" w:rsidRDefault="008A0B27" w:rsidP="008A0B27">
      <w:pPr>
        <w:spacing w:after="120" w:line="240" w:lineRule="auto"/>
        <w:jc w:val="both"/>
        <w:rPr>
          <w:rFonts w:ascii="Verdana" w:eastAsia="Calibri" w:hAnsi="Verdana" w:cs="Times New Roman"/>
          <w:sz w:val="20"/>
          <w:szCs w:val="20"/>
          <w:lang w:eastAsia="es-MX"/>
        </w:rPr>
      </w:pPr>
      <w:r w:rsidRPr="00DE7DAB">
        <w:rPr>
          <w:rFonts w:ascii="Verdana" w:eastAsia="Calibri" w:hAnsi="Verdana" w:cs="Times New Roman"/>
          <w:sz w:val="20"/>
          <w:szCs w:val="20"/>
          <w:lang w:eastAsia="es-MX"/>
        </w:rPr>
        <w:t xml:space="preserve">En tal sentido, el artículo 1 de cada una de las Resoluciones 539, 540 y 541 de 2025, se establece que estos documentos tipo aplican a: “(…) los procesos de obra pública de infraestructura social” que se adelanten en cada una de las modalidades que estas acogen. Es decir, que los documentos tipo señalados aplica, para los contratos “(…) que celebren las entidades estatales para la construcción, mantenimiento, instalación y, en </w:t>
      </w:r>
      <w:r w:rsidRPr="00DE7DAB">
        <w:rPr>
          <w:rFonts w:ascii="Verdana" w:eastAsia="Calibri" w:hAnsi="Verdana" w:cs="Times New Roman"/>
          <w:sz w:val="20"/>
          <w:szCs w:val="20"/>
          <w:lang w:eastAsia="es-MX"/>
        </w:rPr>
        <w:lastRenderedPageBreak/>
        <w:t>general, para la realización de cualquier otro trabajo material sobre bienes inmuebles, cualquiera que sea la modalidad de ejecución y pago”.</w:t>
      </w:r>
    </w:p>
    <w:p w14:paraId="2F255639" w14:textId="77777777" w:rsidR="008A0B27" w:rsidRPr="00310611" w:rsidRDefault="008A0B27" w:rsidP="008A0B27">
      <w:pPr>
        <w:pStyle w:val="Textoindependiente"/>
        <w:spacing w:after="240"/>
        <w:ind w:firstLine="0"/>
        <w:jc w:val="both"/>
        <w:rPr>
          <w:rFonts w:cs="Arial"/>
          <w:b/>
          <w:bCs/>
        </w:rPr>
      </w:pPr>
      <w:r w:rsidRPr="00310611">
        <w:rPr>
          <w:rFonts w:cs="Arial"/>
          <w:b/>
          <w:bCs/>
        </w:rPr>
        <w:t>CONTRATO DE COMPRAVENTA – Concepto – Elementos – Regulación</w:t>
      </w:r>
    </w:p>
    <w:p w14:paraId="4669997B" w14:textId="77777777" w:rsidR="008A0B27" w:rsidRPr="00310611" w:rsidRDefault="008A0B27" w:rsidP="008A0B27">
      <w:pPr>
        <w:pStyle w:val="Textoindependiente"/>
        <w:spacing w:after="120"/>
        <w:ind w:firstLine="0"/>
        <w:jc w:val="both"/>
        <w:rPr>
          <w:rFonts w:cs="Arial"/>
          <w:sz w:val="20"/>
          <w:szCs w:val="20"/>
          <w:lang w:val="es-CO"/>
        </w:rPr>
      </w:pPr>
      <w:r w:rsidRPr="00310611">
        <w:rPr>
          <w:rFonts w:cs="Arial"/>
          <w:sz w:val="20"/>
          <w:szCs w:val="20"/>
        </w:rPr>
        <w:t>El artículo 1849 del Código Civil define el contrato de compraventa como “</w:t>
      </w:r>
      <w:r w:rsidRPr="00310611">
        <w:rPr>
          <w:rFonts w:cs="Arial"/>
          <w:sz w:val="20"/>
          <w:szCs w:val="20"/>
          <w:lang w:val="es-CO"/>
        </w:rPr>
        <w:t>en que una de las partes se obliga a dar una cosa y la otra a pagarla en dinero. Aquélla se dice vender y ésta comprar. El dinero que el comprador da por la cosa vendida se llama precio</w:t>
      </w:r>
      <w:r w:rsidRPr="00310611">
        <w:rPr>
          <w:rFonts w:cs="Arial"/>
          <w:sz w:val="20"/>
          <w:szCs w:val="20"/>
        </w:rPr>
        <w:t xml:space="preserve">.” Se trata pues del acuerdo de voluntades en virtud del cual una parte </w:t>
      </w:r>
      <w:r w:rsidRPr="00310611">
        <w:rPr>
          <w:rFonts w:cs="Arial"/>
          <w:sz w:val="20"/>
          <w:szCs w:val="20"/>
          <w:lang w:val="es-CO"/>
        </w:rPr>
        <w:t xml:space="preserve">se obliga a dar una cosa y la otra a pagarla en dinero. Tratándose de bienes raíces, el contrato se perfecciona cuando el acuerdo sobre la cosa y el precio se eleva a escritura pública, por lo que se reputa solemne: si el acuerdo no se contiene en ese instrumento público, no produce los efectos que está llamado a generar. </w:t>
      </w:r>
    </w:p>
    <w:p w14:paraId="5C31D62E" w14:textId="77777777" w:rsidR="008A0B27" w:rsidRPr="00310611" w:rsidRDefault="008A0B27" w:rsidP="008A0B27">
      <w:pPr>
        <w:pStyle w:val="Textoindependiente"/>
        <w:spacing w:after="120"/>
        <w:ind w:firstLine="0"/>
        <w:jc w:val="both"/>
        <w:rPr>
          <w:rFonts w:cs="Arial"/>
          <w:sz w:val="20"/>
          <w:szCs w:val="20"/>
          <w:lang w:val="es-CO"/>
        </w:rPr>
      </w:pPr>
      <w:r w:rsidRPr="00310611">
        <w:rPr>
          <w:rFonts w:eastAsia="Calibri" w:cs="Arial"/>
          <w:color w:val="000000" w:themeColor="text1"/>
          <w:sz w:val="20"/>
          <w:szCs w:val="20"/>
        </w:rPr>
        <w:t>[…]</w:t>
      </w:r>
    </w:p>
    <w:p w14:paraId="7EF27C06" w14:textId="77777777" w:rsidR="008A0B27" w:rsidRPr="00310611" w:rsidRDefault="008A0B27" w:rsidP="008A0B27">
      <w:pPr>
        <w:pStyle w:val="Textoindependiente"/>
        <w:spacing w:after="120"/>
        <w:ind w:firstLine="0"/>
        <w:jc w:val="both"/>
        <w:rPr>
          <w:rFonts w:cs="Arial"/>
          <w:sz w:val="20"/>
          <w:szCs w:val="20"/>
          <w:lang w:val="es-CO"/>
        </w:rPr>
      </w:pPr>
      <w:r w:rsidRPr="00310611">
        <w:rPr>
          <w:rFonts w:eastAsia="Calibri" w:cs="Arial"/>
          <w:color w:val="000000" w:themeColor="text1"/>
          <w:sz w:val="20"/>
          <w:szCs w:val="20"/>
        </w:rPr>
        <w:t>Por otra parte, el artículo 905 del Código de Comercio preceptúa que la compraventa es un contrato “</w:t>
      </w:r>
      <w:r w:rsidRPr="00310611">
        <w:rPr>
          <w:rFonts w:eastAsia="Calibri" w:cs="Arial"/>
          <w:color w:val="000000" w:themeColor="text1"/>
          <w:sz w:val="20"/>
          <w:szCs w:val="20"/>
          <w:lang w:val="es-CO"/>
        </w:rPr>
        <w:t>en que una de las partes se obliga a trasmitir la propiedad de una cosa y la otra a pagarla en dinero. El dinero que el comprador da por la cosa vendida se llama precio.” Es decir, que el vendedor se obliga a entregar y transferir la propiedad.</w:t>
      </w:r>
    </w:p>
    <w:p w14:paraId="378CDFCD" w14:textId="77777777" w:rsidR="008A0B27" w:rsidRPr="00310611" w:rsidRDefault="008A0B27" w:rsidP="008A0B27">
      <w:pPr>
        <w:pStyle w:val="Textoindependiente"/>
        <w:ind w:firstLine="0"/>
        <w:jc w:val="both"/>
        <w:rPr>
          <w:rFonts w:cs="Arial"/>
          <w:sz w:val="20"/>
          <w:szCs w:val="20"/>
          <w:lang w:val="es-CO"/>
        </w:rPr>
      </w:pPr>
    </w:p>
    <w:p w14:paraId="32728B6C" w14:textId="77777777" w:rsidR="008A0B27" w:rsidRPr="00310611" w:rsidRDefault="008A0B27" w:rsidP="008A0B27">
      <w:pPr>
        <w:pStyle w:val="Textoindependiente"/>
        <w:ind w:firstLine="0"/>
        <w:jc w:val="both"/>
        <w:rPr>
          <w:rFonts w:cs="Arial"/>
          <w:sz w:val="20"/>
          <w:szCs w:val="20"/>
          <w:lang w:val="es-CO"/>
        </w:rPr>
      </w:pPr>
    </w:p>
    <w:p w14:paraId="6F5B80CE" w14:textId="77777777" w:rsidR="008A0B27" w:rsidRPr="00310611" w:rsidRDefault="008A0B27" w:rsidP="008A0B27">
      <w:pPr>
        <w:spacing w:after="0" w:line="240" w:lineRule="auto"/>
        <w:jc w:val="both"/>
        <w:rPr>
          <w:rFonts w:ascii="Verdana" w:eastAsia="Calibri" w:hAnsi="Verdana" w:cs="Arial"/>
          <w:b/>
          <w:bCs/>
          <w:color w:val="000000"/>
          <w:szCs w:val="24"/>
          <w:lang w:val="es-ES" w:eastAsia="es-ES_tradnl"/>
        </w:rPr>
      </w:pPr>
      <w:r w:rsidRPr="00310611">
        <w:rPr>
          <w:rFonts w:ascii="Verdana" w:eastAsia="Calibri" w:hAnsi="Verdana" w:cs="Arial"/>
          <w:b/>
          <w:bCs/>
          <w:color w:val="000000"/>
          <w:szCs w:val="24"/>
          <w:lang w:val="es-ES" w:eastAsia="es-ES_tradnl"/>
        </w:rPr>
        <w:t xml:space="preserve">CONTRATACIÓN DIRECTA </w:t>
      </w:r>
      <w:r w:rsidRPr="00310611">
        <w:rPr>
          <w:rFonts w:ascii="Verdana" w:eastAsia="Calibri" w:hAnsi="Verdana" w:cs="Arial"/>
          <w:b/>
          <w:bCs/>
          <w:color w:val="000000"/>
          <w:szCs w:val="24"/>
          <w:lang w:eastAsia="es-ES_tradnl"/>
        </w:rPr>
        <w:t>–</w:t>
      </w:r>
      <w:r w:rsidRPr="00310611">
        <w:rPr>
          <w:rFonts w:ascii="Verdana" w:eastAsia="Calibri" w:hAnsi="Verdana" w:cs="Arial"/>
          <w:b/>
          <w:bCs/>
          <w:color w:val="000000"/>
          <w:szCs w:val="24"/>
          <w:lang w:val="es-ES" w:eastAsia="es-ES_tradnl"/>
        </w:rPr>
        <w:t xml:space="preserve"> Características</w:t>
      </w:r>
    </w:p>
    <w:p w14:paraId="24693F1F" w14:textId="77777777" w:rsidR="008A0B27" w:rsidRPr="00310611" w:rsidRDefault="008A0B27" w:rsidP="008A0B27">
      <w:pPr>
        <w:spacing w:after="0" w:line="240" w:lineRule="auto"/>
        <w:jc w:val="both"/>
        <w:rPr>
          <w:rFonts w:ascii="Verdana" w:eastAsia="Calibri" w:hAnsi="Verdana" w:cs="Arial"/>
          <w:color w:val="000000"/>
          <w:sz w:val="20"/>
          <w:szCs w:val="20"/>
          <w:lang w:val="es-ES" w:eastAsia="es-ES_tradnl"/>
        </w:rPr>
      </w:pPr>
    </w:p>
    <w:p w14:paraId="74A74B78" w14:textId="77777777" w:rsidR="008A0B27" w:rsidRPr="00310611" w:rsidRDefault="008A0B27" w:rsidP="008A0B27">
      <w:pPr>
        <w:spacing w:after="0" w:line="240" w:lineRule="auto"/>
        <w:jc w:val="both"/>
        <w:rPr>
          <w:rFonts w:ascii="Verdana" w:eastAsia="Calibri" w:hAnsi="Verdana" w:cs="Arial"/>
          <w:color w:val="000000"/>
          <w:sz w:val="20"/>
          <w:szCs w:val="20"/>
          <w:lang w:val="es-ES" w:eastAsia="es-ES_tradnl"/>
        </w:rPr>
      </w:pPr>
      <w:r w:rsidRPr="00310611">
        <w:rPr>
          <w:rFonts w:ascii="Verdana" w:eastAsia="Calibri" w:hAnsi="Verdana" w:cs="Arial"/>
          <w:color w:val="000000"/>
          <w:sz w:val="20"/>
          <w:szCs w:val="20"/>
          <w:lang w:val="es-ES" w:eastAsia="es-ES_tradnl"/>
        </w:rPr>
        <w:t xml:space="preserve">Debe señalarse sobre la contratación directa, que esta modalidad de contratación es de aplicación restrictiva, esto es, solo procede por las causales señaladas taxativamente en el numeral 4 del artículo 2 de la Ley 1150 de 2007. Además, es una excepción al principio de libre concurrencia y competencia que aplica a los procesos de contratación, para que cualquier persona interesada en satisfacer la necesidad de una entidad pueda presentar una oferta. En la contratación directa no es necesario que la entidad reciba más de una oferta, la cual proviene de la persona que la entidad escoge directamente, </w:t>
      </w:r>
      <w:proofErr w:type="gramStart"/>
      <w:r w:rsidRPr="00310611">
        <w:rPr>
          <w:rFonts w:ascii="Verdana" w:eastAsia="Calibri" w:hAnsi="Verdana" w:cs="Arial"/>
          <w:color w:val="000000"/>
          <w:sz w:val="20"/>
          <w:szCs w:val="20"/>
          <w:lang w:val="es-ES" w:eastAsia="es-ES_tradnl"/>
        </w:rPr>
        <w:t>y</w:t>
      </w:r>
      <w:proofErr w:type="gramEnd"/>
      <w:r w:rsidRPr="00310611">
        <w:rPr>
          <w:rFonts w:ascii="Verdana" w:eastAsia="Calibri" w:hAnsi="Verdana" w:cs="Arial"/>
          <w:color w:val="000000"/>
          <w:sz w:val="20"/>
          <w:szCs w:val="20"/>
          <w:lang w:val="es-ES" w:eastAsia="es-ES_tradnl"/>
        </w:rPr>
        <w:t xml:space="preserve"> por ende, invita a ofertar el bien o servicio que se requiere. Lo anterior puede estar basado en que el proponente es único, o en que el legislador privilegió algunos objetos contractuales u oferentes para contratarlos de manera directa. De igual forma, esto implica que el proceso será simplificado, corto, ágil y expedito, por no exigir el agotamiento de una convocatoria pública o la realización de un proceso competitivo. Lo anterior no exime a las entidades estatales de garantizar los principios rectores de la contratación pública.</w:t>
      </w:r>
    </w:p>
    <w:p w14:paraId="5107382C" w14:textId="77777777" w:rsidR="008A0B27" w:rsidRPr="00230A86" w:rsidRDefault="008A0B27" w:rsidP="008A0B27">
      <w:pPr>
        <w:spacing w:after="0"/>
        <w:jc w:val="both"/>
        <w:rPr>
          <w:rFonts w:ascii="Verdana" w:eastAsia="Calibri" w:hAnsi="Verdana" w:cs="Times New Roman"/>
          <w:color w:val="00B0F0"/>
          <w:sz w:val="20"/>
          <w:szCs w:val="20"/>
          <w:lang w:val="es-ES" w:eastAsia="es-MX"/>
        </w:rPr>
      </w:pPr>
    </w:p>
    <w:p w14:paraId="1D02DA4F" w14:textId="77777777" w:rsidR="008A0B27" w:rsidRPr="00CC7242" w:rsidRDefault="008A0B27" w:rsidP="008A0B27">
      <w:pPr>
        <w:spacing w:after="0"/>
        <w:rPr>
          <w:rFonts w:ascii="Verdana" w:eastAsia="Calibri" w:hAnsi="Verdana" w:cs="Times New Roman"/>
          <w:b/>
          <w:bCs/>
          <w:color w:val="00B0F0"/>
          <w:lang w:val="es-ES" w:eastAsia="es-MX"/>
        </w:rPr>
      </w:pPr>
    </w:p>
    <w:p w14:paraId="117DD8E0" w14:textId="77777777" w:rsidR="008A0B27" w:rsidRDefault="008A0B27" w:rsidP="008A0B27">
      <w:pPr>
        <w:spacing w:after="0"/>
        <w:rPr>
          <w:rFonts w:ascii="Verdana" w:eastAsia="Calibri" w:hAnsi="Verdana" w:cs="Times New Roman"/>
          <w:b/>
          <w:bCs/>
          <w:color w:val="99CCFF"/>
          <w:lang w:val="es-ES" w:eastAsia="es-MX"/>
        </w:rPr>
      </w:pPr>
    </w:p>
    <w:p w14:paraId="23F5CA7D" w14:textId="77777777" w:rsidR="008A0B27" w:rsidRDefault="008A0B27" w:rsidP="008A0B27">
      <w:pPr>
        <w:spacing w:after="0"/>
        <w:rPr>
          <w:rFonts w:ascii="Verdana" w:eastAsia="Calibri" w:hAnsi="Verdana" w:cs="Times New Roman"/>
          <w:b/>
          <w:bCs/>
          <w:color w:val="99CCFF"/>
          <w:lang w:val="es-ES" w:eastAsia="es-MX"/>
        </w:rPr>
      </w:pPr>
    </w:p>
    <w:p w14:paraId="2765F155" w14:textId="77777777" w:rsidR="008A0B27" w:rsidRDefault="008A0B27" w:rsidP="008A0B27">
      <w:pPr>
        <w:spacing w:after="0"/>
        <w:rPr>
          <w:rFonts w:ascii="Verdana" w:eastAsia="Calibri" w:hAnsi="Verdana" w:cs="Times New Roman"/>
          <w:b/>
          <w:bCs/>
          <w:color w:val="99CCFF"/>
          <w:lang w:val="es-ES" w:eastAsia="es-MX"/>
        </w:rPr>
      </w:pPr>
    </w:p>
    <w:p w14:paraId="0CE80E24" w14:textId="77777777" w:rsidR="008A0B27" w:rsidRDefault="008A0B27" w:rsidP="008A0B27">
      <w:pPr>
        <w:spacing w:after="0"/>
        <w:rPr>
          <w:rFonts w:ascii="Verdana" w:eastAsia="Calibri" w:hAnsi="Verdana" w:cs="Times New Roman"/>
          <w:b/>
          <w:bCs/>
          <w:color w:val="99CCFF"/>
          <w:lang w:val="es-ES" w:eastAsia="es-MX"/>
        </w:rPr>
      </w:pPr>
    </w:p>
    <w:p w14:paraId="3D7340C3" w14:textId="77777777" w:rsidR="008A0B27" w:rsidRDefault="008A0B27" w:rsidP="008A0B27">
      <w:pPr>
        <w:spacing w:after="0"/>
        <w:rPr>
          <w:rFonts w:ascii="Verdana" w:eastAsia="Calibri" w:hAnsi="Verdana" w:cs="Times New Roman"/>
          <w:b/>
          <w:bCs/>
          <w:color w:val="99CCFF"/>
          <w:lang w:val="es-ES" w:eastAsia="es-MX"/>
        </w:rPr>
      </w:pPr>
    </w:p>
    <w:p w14:paraId="09884FD6" w14:textId="77777777" w:rsidR="008A0B27" w:rsidRDefault="008A0B27" w:rsidP="008A0B27">
      <w:pPr>
        <w:spacing w:after="0"/>
        <w:rPr>
          <w:rFonts w:ascii="Verdana" w:eastAsia="Calibri" w:hAnsi="Verdana" w:cs="Times New Roman"/>
          <w:b/>
          <w:bCs/>
          <w:color w:val="99CCFF"/>
          <w:lang w:val="es-ES" w:eastAsia="es-MX"/>
        </w:rPr>
      </w:pPr>
    </w:p>
    <w:p w14:paraId="5684E14B" w14:textId="7D621073" w:rsidR="008A0B27" w:rsidRPr="000A4050" w:rsidRDefault="000A4050" w:rsidP="008A0B27">
      <w:pPr>
        <w:spacing w:after="0"/>
        <w:rPr>
          <w:rFonts w:ascii="Verdana" w:hAnsi="Verdana"/>
          <w:lang w:val="es-ES"/>
        </w:rPr>
      </w:pPr>
      <w:r w:rsidRPr="000A4050">
        <w:rPr>
          <w:rFonts w:ascii="Verdana" w:hAnsi="Verdana"/>
        </w:rPr>
        <w:lastRenderedPageBreak/>
        <w:drawing>
          <wp:anchor distT="0" distB="0" distL="114300" distR="114300" simplePos="0" relativeHeight="251658240" behindDoc="0" locked="0" layoutInCell="1" allowOverlap="1" wp14:anchorId="4AD62649" wp14:editId="52C214A2">
            <wp:simplePos x="0" y="0"/>
            <wp:positionH relativeFrom="margin">
              <wp:posOffset>2739390</wp:posOffset>
            </wp:positionH>
            <wp:positionV relativeFrom="margin">
              <wp:posOffset>321945</wp:posOffset>
            </wp:positionV>
            <wp:extent cx="2949575" cy="856615"/>
            <wp:effectExtent l="0" t="0" r="0" b="0"/>
            <wp:wrapSquare wrapText="bothSides"/>
            <wp:docPr id="52602881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028813"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949575" cy="856615"/>
                    </a:xfrm>
                    <a:prstGeom prst="rect">
                      <a:avLst/>
                    </a:prstGeom>
                  </pic:spPr>
                </pic:pic>
              </a:graphicData>
            </a:graphic>
          </wp:anchor>
        </w:drawing>
      </w:r>
      <w:r w:rsidR="008A0B27" w:rsidRPr="00A11AA2">
        <w:rPr>
          <w:rFonts w:ascii="Verdana" w:hAnsi="Verdana"/>
        </w:rPr>
        <w:t xml:space="preserve">Bogotá D.C, </w:t>
      </w:r>
      <w:r>
        <w:rPr>
          <w:rFonts w:ascii="Verdana" w:hAnsi="Verdana"/>
        </w:rPr>
        <w:t>01 Julio 2026</w:t>
      </w:r>
    </w:p>
    <w:p w14:paraId="42C3D8BB" w14:textId="2A8AAF2C" w:rsidR="008A0B27" w:rsidRPr="00A11AA2" w:rsidRDefault="008A0B27" w:rsidP="008A0B27">
      <w:pPr>
        <w:spacing w:after="0"/>
        <w:rPr>
          <w:rFonts w:ascii="Verdana" w:hAnsi="Verdana"/>
        </w:rPr>
      </w:pPr>
    </w:p>
    <w:p w14:paraId="6E5E59A5" w14:textId="77777777" w:rsidR="008A0B27" w:rsidRPr="00862F4D" w:rsidRDefault="008A0B27" w:rsidP="008A0B27">
      <w:pPr>
        <w:spacing w:after="0" w:line="276" w:lineRule="auto"/>
        <w:rPr>
          <w:rFonts w:ascii="Verdana" w:eastAsia="Calibri" w:hAnsi="Verdana" w:cs="Arial"/>
          <w:lang w:val="es-ES" w:eastAsia="es-ES"/>
        </w:rPr>
      </w:pPr>
      <w:r w:rsidRPr="00862F4D">
        <w:rPr>
          <w:rFonts w:ascii="Verdana" w:eastAsia="Calibri" w:hAnsi="Verdana" w:cs="Arial"/>
          <w:lang w:val="es-ES" w:eastAsia="es-ES"/>
        </w:rPr>
        <w:t>Señora</w:t>
      </w:r>
    </w:p>
    <w:p w14:paraId="34A1F55F" w14:textId="77777777" w:rsidR="008A0B27" w:rsidRPr="00862F4D" w:rsidRDefault="008A0B27" w:rsidP="008A0B27">
      <w:pPr>
        <w:spacing w:after="0" w:line="276" w:lineRule="auto"/>
        <w:rPr>
          <w:rFonts w:ascii="Verdana" w:eastAsia="Calibri" w:hAnsi="Verdana" w:cs="Arial"/>
          <w:b/>
          <w:bCs/>
          <w:lang w:eastAsia="es-ES"/>
        </w:rPr>
      </w:pPr>
      <w:r w:rsidRPr="00862F4D">
        <w:rPr>
          <w:rFonts w:ascii="Verdana" w:eastAsia="Calibri" w:hAnsi="Verdana" w:cs="Arial"/>
          <w:b/>
          <w:bCs/>
          <w:lang w:eastAsia="es-ES"/>
        </w:rPr>
        <w:t>Andrea García</w:t>
      </w:r>
    </w:p>
    <w:p w14:paraId="444EFCAD" w14:textId="77777777" w:rsidR="008A0B27" w:rsidRPr="00862F4D" w:rsidRDefault="008A0B27" w:rsidP="008A0B27">
      <w:pPr>
        <w:spacing w:after="0" w:line="276" w:lineRule="auto"/>
        <w:rPr>
          <w:rFonts w:ascii="Verdana" w:hAnsi="Verdana"/>
        </w:rPr>
      </w:pPr>
      <w:hyperlink r:id="rId11" w:history="1">
        <w:r w:rsidRPr="00862F4D">
          <w:rPr>
            <w:rStyle w:val="Hipervnculo"/>
            <w:rFonts w:ascii="Verdana" w:hAnsi="Verdana"/>
          </w:rPr>
          <w:t>andreagarcia1781@hotmail.com</w:t>
        </w:r>
      </w:hyperlink>
    </w:p>
    <w:p w14:paraId="25405769" w14:textId="77777777" w:rsidR="008A0B27" w:rsidRPr="00862F4D" w:rsidRDefault="008A0B27" w:rsidP="008A0B27">
      <w:pPr>
        <w:spacing w:after="0" w:line="276" w:lineRule="auto"/>
        <w:rPr>
          <w:rFonts w:ascii="Verdana" w:hAnsi="Verdana"/>
        </w:rPr>
      </w:pPr>
      <w:r w:rsidRPr="00862F4D">
        <w:rPr>
          <w:rFonts w:ascii="Verdana" w:hAnsi="Verdana"/>
        </w:rPr>
        <w:t>Bogotá D.C.</w:t>
      </w:r>
    </w:p>
    <w:p w14:paraId="30661377" w14:textId="77777777" w:rsidR="008A0B27" w:rsidRPr="007E53B7" w:rsidRDefault="008A0B27" w:rsidP="008A0B27">
      <w:pPr>
        <w:spacing w:after="0" w:line="276" w:lineRule="auto"/>
        <w:rPr>
          <w:rFonts w:ascii="Verdana" w:eastAsia="Calibri" w:hAnsi="Verdana" w:cs="Arial"/>
          <w:b/>
          <w:bCs/>
          <w:color w:val="66CCFF"/>
          <w:lang w:val="es-ES_tradnl" w:eastAsia="es-ES_tradnl"/>
        </w:rPr>
      </w:pPr>
    </w:p>
    <w:tbl>
      <w:tblPr>
        <w:tblStyle w:val="Tablaconcuadrcula1"/>
        <w:tblW w:w="92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261"/>
        <w:gridCol w:w="5972"/>
      </w:tblGrid>
      <w:tr w:rsidR="008A0B27" w:rsidRPr="007E53B7" w14:paraId="3AB1A0A2" w14:textId="77777777" w:rsidTr="00302A7D">
        <w:trPr>
          <w:trHeight w:val="999"/>
        </w:trPr>
        <w:tc>
          <w:tcPr>
            <w:tcW w:w="3261" w:type="dxa"/>
          </w:tcPr>
          <w:p w14:paraId="5705782C" w14:textId="77777777" w:rsidR="008A0B27" w:rsidRPr="007E53B7" w:rsidRDefault="008A0B27" w:rsidP="00302A7D">
            <w:pPr>
              <w:spacing w:line="276" w:lineRule="auto"/>
              <w:jc w:val="both"/>
              <w:rPr>
                <w:rFonts w:ascii="Verdana" w:eastAsia="Calibri" w:hAnsi="Verdana" w:cs="Arial"/>
                <w:b/>
                <w:bCs/>
                <w:color w:val="66CCFF"/>
                <w:lang w:val="es-ES_tradnl" w:eastAsia="es-ES_tradnl"/>
              </w:rPr>
            </w:pPr>
          </w:p>
        </w:tc>
        <w:tc>
          <w:tcPr>
            <w:tcW w:w="5972" w:type="dxa"/>
            <w:hideMark/>
          </w:tcPr>
          <w:p w14:paraId="07E015D1" w14:textId="77777777" w:rsidR="008A0B27" w:rsidRPr="00DF2EA7" w:rsidRDefault="008A0B27" w:rsidP="00302A7D">
            <w:pPr>
              <w:spacing w:line="276" w:lineRule="auto"/>
              <w:jc w:val="both"/>
              <w:rPr>
                <w:rFonts w:ascii="Verdana" w:eastAsia="Calibri" w:hAnsi="Verdana" w:cs="Arial"/>
                <w:b/>
                <w:bCs/>
                <w:lang w:val="es-ES" w:eastAsia="es-ES"/>
              </w:rPr>
            </w:pPr>
            <w:r>
              <w:rPr>
                <w:rFonts w:ascii="Verdana" w:eastAsia="Calibri" w:hAnsi="Verdana" w:cs="Arial"/>
                <w:b/>
                <w:bCs/>
                <w:lang w:val="es-ES" w:eastAsia="es-ES"/>
              </w:rPr>
              <w:t>C</w:t>
            </w:r>
            <w:r w:rsidRPr="00DF2EA7">
              <w:rPr>
                <w:rFonts w:ascii="Verdana" w:eastAsia="Calibri" w:hAnsi="Verdana" w:cs="Arial"/>
                <w:b/>
                <w:bCs/>
                <w:lang w:val="es-ES" w:eastAsia="es-ES"/>
              </w:rPr>
              <w:t xml:space="preserve">oncepto C – </w:t>
            </w:r>
            <w:r>
              <w:rPr>
                <w:rFonts w:ascii="Verdana" w:eastAsia="Calibri" w:hAnsi="Verdana" w:cs="Arial"/>
                <w:b/>
                <w:bCs/>
                <w:lang w:val="es-ES" w:eastAsia="es-ES"/>
              </w:rPr>
              <w:t xml:space="preserve">835 </w:t>
            </w:r>
            <w:r w:rsidRPr="00DF2EA7">
              <w:rPr>
                <w:rFonts w:ascii="Verdana" w:eastAsia="Calibri" w:hAnsi="Verdana" w:cs="Arial"/>
                <w:b/>
                <w:bCs/>
                <w:lang w:val="es-ES" w:eastAsia="es-ES"/>
              </w:rPr>
              <w:t>de 2026</w:t>
            </w:r>
          </w:p>
        </w:tc>
      </w:tr>
      <w:tr w:rsidR="008A0B27" w:rsidRPr="00CC7242" w14:paraId="2F4FD260" w14:textId="77777777" w:rsidTr="00302A7D">
        <w:trPr>
          <w:trHeight w:val="1605"/>
        </w:trPr>
        <w:tc>
          <w:tcPr>
            <w:tcW w:w="3261" w:type="dxa"/>
            <w:hideMark/>
          </w:tcPr>
          <w:p w14:paraId="4B6C390C" w14:textId="77777777" w:rsidR="008A0B27" w:rsidRPr="00A11AA2" w:rsidRDefault="008A0B27" w:rsidP="00302A7D">
            <w:pPr>
              <w:spacing w:line="276" w:lineRule="auto"/>
              <w:jc w:val="both"/>
              <w:rPr>
                <w:rFonts w:ascii="Verdana" w:eastAsia="Calibri" w:hAnsi="Verdana" w:cs="Arial"/>
                <w:color w:val="66CCFF"/>
                <w:lang w:val="es-ES_tradnl" w:eastAsia="es-ES_tradnl"/>
              </w:rPr>
            </w:pPr>
            <w:r w:rsidRPr="00A11AA2">
              <w:rPr>
                <w:rFonts w:ascii="Verdana" w:eastAsia="Calibri" w:hAnsi="Verdana" w:cs="Arial"/>
                <w:b/>
                <w:lang w:val="es-ES_tradnl" w:eastAsia="es-ES_tradnl"/>
              </w:rPr>
              <w:t>Temas:</w:t>
            </w:r>
            <w:r w:rsidRPr="00A11AA2">
              <w:rPr>
                <w:rFonts w:ascii="Verdana" w:eastAsia="Calibri" w:hAnsi="Verdana" w:cs="Arial"/>
                <w:lang w:val="es-ES_tradnl" w:eastAsia="es-ES_tradnl"/>
              </w:rPr>
              <w:t xml:space="preserve">                  </w:t>
            </w:r>
          </w:p>
        </w:tc>
        <w:tc>
          <w:tcPr>
            <w:tcW w:w="5972" w:type="dxa"/>
          </w:tcPr>
          <w:p w14:paraId="11D5652B" w14:textId="77777777" w:rsidR="008A0B27" w:rsidRDefault="008A0B27" w:rsidP="00302A7D">
            <w:pPr>
              <w:jc w:val="both"/>
              <w:rPr>
                <w:rFonts w:ascii="Verdana" w:eastAsia="Calibri" w:hAnsi="Verdana" w:cs="Arial"/>
                <w:color w:val="000000" w:themeColor="text1"/>
                <w:szCs w:val="24"/>
                <w:lang w:val="es-ES" w:eastAsia="es-ES_tradnl"/>
              </w:rPr>
            </w:pPr>
            <w:r w:rsidRPr="00FA34B3">
              <w:rPr>
                <w:rFonts w:ascii="Verdana" w:eastAsia="Calibri" w:hAnsi="Verdana" w:cs="Arial"/>
                <w:color w:val="000000" w:themeColor="text1"/>
                <w:lang w:val="es-ES_tradnl" w:eastAsia="es-MX"/>
              </w:rPr>
              <w:t>DOCUMENTOS TIPO – Fundamento normativo – Obligatoriedad / SECTOR SOCIAL</w:t>
            </w:r>
            <w:r w:rsidRPr="00FA34B3">
              <w:rPr>
                <w:rFonts w:ascii="Verdana" w:eastAsia="Calibri" w:hAnsi="Verdana"/>
                <w:color w:val="000000" w:themeColor="text1"/>
                <w:lang w:val="es-ES" w:eastAsia="es-MX"/>
              </w:rPr>
              <w:t xml:space="preserve"> – Documentos tipo – Vigentes / DOCUMENTOS TIPO – Aplicación – Matriz de Experiencia / </w:t>
            </w:r>
            <w:r w:rsidRPr="00FA34B3">
              <w:rPr>
                <w:rFonts w:ascii="Verdana" w:hAnsi="Verdana" w:cs="Arial"/>
                <w:color w:val="000000" w:themeColor="text1"/>
              </w:rPr>
              <w:t>CONTRATO DE COMPRAVENTA – Concepto – Elementos – Regulación /</w:t>
            </w:r>
            <w:r w:rsidRPr="00FA34B3">
              <w:rPr>
                <w:rFonts w:ascii="Verdana" w:eastAsia="Calibri" w:hAnsi="Verdana" w:cs="Arial"/>
                <w:color w:val="000000" w:themeColor="text1"/>
                <w:szCs w:val="24"/>
                <w:lang w:val="es-ES" w:eastAsia="es-ES_tradnl"/>
              </w:rPr>
              <w:t xml:space="preserve"> CONTRATACIÓN DIRECTA </w:t>
            </w:r>
            <w:r w:rsidRPr="00FA34B3">
              <w:rPr>
                <w:rFonts w:ascii="Verdana" w:eastAsia="Calibri" w:hAnsi="Verdana" w:cs="Arial"/>
                <w:color w:val="000000" w:themeColor="text1"/>
                <w:szCs w:val="24"/>
                <w:lang w:eastAsia="es-ES_tradnl"/>
              </w:rPr>
              <w:t>–</w:t>
            </w:r>
            <w:r w:rsidRPr="00FA34B3">
              <w:rPr>
                <w:rFonts w:ascii="Verdana" w:eastAsia="Calibri" w:hAnsi="Verdana" w:cs="Arial"/>
                <w:color w:val="000000" w:themeColor="text1"/>
                <w:szCs w:val="24"/>
                <w:lang w:val="es-ES" w:eastAsia="es-ES_tradnl"/>
              </w:rPr>
              <w:t xml:space="preserve"> Características</w:t>
            </w:r>
            <w:r>
              <w:rPr>
                <w:rFonts w:ascii="Verdana" w:eastAsia="Calibri" w:hAnsi="Verdana" w:cs="Arial"/>
                <w:color w:val="000000" w:themeColor="text1"/>
                <w:szCs w:val="24"/>
                <w:lang w:val="es-ES" w:eastAsia="es-ES_tradnl"/>
              </w:rPr>
              <w:t>.</w:t>
            </w:r>
          </w:p>
          <w:p w14:paraId="4296D400" w14:textId="77777777" w:rsidR="008A0B27" w:rsidRPr="00FA34B3" w:rsidRDefault="008A0B27" w:rsidP="00302A7D">
            <w:pPr>
              <w:jc w:val="both"/>
              <w:rPr>
                <w:rFonts w:ascii="Verdana" w:eastAsia="Calibri" w:hAnsi="Verdana" w:cs="Arial"/>
                <w:color w:val="000000" w:themeColor="text1"/>
                <w:szCs w:val="24"/>
                <w:lang w:val="es-ES" w:eastAsia="es-ES_tradnl"/>
              </w:rPr>
            </w:pPr>
          </w:p>
        </w:tc>
      </w:tr>
      <w:tr w:rsidR="008A0B27" w:rsidRPr="00724695" w14:paraId="1BA599C7" w14:textId="77777777" w:rsidTr="00302A7D">
        <w:trPr>
          <w:trHeight w:val="597"/>
        </w:trPr>
        <w:tc>
          <w:tcPr>
            <w:tcW w:w="3261" w:type="dxa"/>
            <w:hideMark/>
          </w:tcPr>
          <w:p w14:paraId="24468691" w14:textId="77777777" w:rsidR="008A0B27" w:rsidRPr="008C5E3B" w:rsidRDefault="008A0B27" w:rsidP="00302A7D">
            <w:pPr>
              <w:spacing w:line="276" w:lineRule="auto"/>
              <w:jc w:val="both"/>
              <w:rPr>
                <w:rFonts w:ascii="Verdana" w:eastAsia="Calibri" w:hAnsi="Verdana" w:cs="Arial"/>
                <w:b/>
                <w:lang w:val="es-ES_tradnl" w:eastAsia="es-ES_tradnl"/>
              </w:rPr>
            </w:pPr>
            <w:r w:rsidRPr="008C5E3B">
              <w:rPr>
                <w:rFonts w:ascii="Verdana" w:eastAsia="Calibri" w:hAnsi="Verdana" w:cs="Arial"/>
                <w:b/>
                <w:lang w:val="es-ES_tradnl" w:eastAsia="es-ES_tradnl"/>
              </w:rPr>
              <w:t xml:space="preserve">Radicación:             </w:t>
            </w:r>
          </w:p>
        </w:tc>
        <w:tc>
          <w:tcPr>
            <w:tcW w:w="5972" w:type="dxa"/>
          </w:tcPr>
          <w:p w14:paraId="40A52C69" w14:textId="77777777" w:rsidR="008A0B27" w:rsidRPr="00724695" w:rsidRDefault="008A0B27" w:rsidP="00302A7D">
            <w:pPr>
              <w:spacing w:line="276" w:lineRule="auto"/>
              <w:jc w:val="both"/>
              <w:rPr>
                <w:rFonts w:ascii="Verdana" w:eastAsia="Calibri" w:hAnsi="Verdana" w:cs="Arial"/>
                <w:bCs/>
                <w:lang w:val="es-ES_tradnl" w:eastAsia="es-ES_tradnl"/>
              </w:rPr>
            </w:pPr>
            <w:r w:rsidRPr="00724695">
              <w:rPr>
                <w:rFonts w:ascii="Verdana" w:eastAsia="Calibri" w:hAnsi="Verdana" w:cs="Arial"/>
                <w:bCs/>
                <w:lang w:val="es-ES_tradnl" w:eastAsia="es-ES_tradnl"/>
              </w:rPr>
              <w:t xml:space="preserve">Respuesta a consulta con radicado </w:t>
            </w:r>
            <w:proofErr w:type="gramStart"/>
            <w:r w:rsidRPr="00724695">
              <w:rPr>
                <w:rFonts w:ascii="Verdana" w:eastAsia="Calibri" w:hAnsi="Verdana" w:cs="Arial"/>
                <w:bCs/>
                <w:lang w:eastAsia="es-ES_tradnl"/>
              </w:rPr>
              <w:t xml:space="preserve">No. </w:t>
            </w:r>
            <w:r w:rsidRPr="007B080E">
              <w:rPr>
                <w:rFonts w:ascii="Verdana" w:eastAsia="Calibri" w:hAnsi="Verdana" w:cs="Arial"/>
                <w:bCs/>
                <w:lang w:eastAsia="es-ES_tradnl"/>
              </w:rPr>
              <w:t> 1</w:t>
            </w:r>
            <w:proofErr w:type="gramEnd"/>
            <w:r w:rsidRPr="007B080E">
              <w:rPr>
                <w:rFonts w:ascii="Verdana" w:eastAsia="Calibri" w:hAnsi="Verdana" w:cs="Arial"/>
                <w:bCs/>
                <w:lang w:eastAsia="es-ES_tradnl"/>
              </w:rPr>
              <w:t>_2026_05_20_006777</w:t>
            </w:r>
          </w:p>
        </w:tc>
      </w:tr>
    </w:tbl>
    <w:p w14:paraId="3B0934C5" w14:textId="77777777" w:rsidR="008A0B27" w:rsidRPr="00AB5C52" w:rsidRDefault="008A0B27" w:rsidP="008A0B27">
      <w:pPr>
        <w:spacing w:after="0" w:line="276" w:lineRule="auto"/>
        <w:jc w:val="both"/>
        <w:rPr>
          <w:rFonts w:ascii="Verdana" w:eastAsia="Calibri" w:hAnsi="Verdana" w:cs="Arial"/>
          <w:bCs/>
          <w:lang w:val="es-ES_tradnl" w:eastAsia="es-ES_tradnl"/>
        </w:rPr>
      </w:pPr>
    </w:p>
    <w:p w14:paraId="6B3A3C5C" w14:textId="77777777" w:rsidR="008A0B27" w:rsidRPr="00AB5C52" w:rsidRDefault="008A0B27" w:rsidP="008A0B27">
      <w:pPr>
        <w:spacing w:after="0" w:line="276" w:lineRule="auto"/>
        <w:jc w:val="both"/>
        <w:rPr>
          <w:rFonts w:ascii="Verdana" w:eastAsia="Calibri" w:hAnsi="Verdana" w:cs="Arial"/>
          <w:bCs/>
          <w:lang w:val="es-ES" w:eastAsia="es-ES"/>
        </w:rPr>
      </w:pPr>
      <w:r w:rsidRPr="00AB5C52">
        <w:rPr>
          <w:rFonts w:ascii="Verdana" w:eastAsia="Calibri" w:hAnsi="Verdana" w:cs="Arial"/>
          <w:bCs/>
          <w:lang w:val="es-ES" w:eastAsia="es-ES"/>
        </w:rPr>
        <w:t xml:space="preserve">Estimada señora </w:t>
      </w:r>
      <w:r>
        <w:rPr>
          <w:rFonts w:ascii="Verdana" w:eastAsia="Calibri" w:hAnsi="Verdana" w:cs="Arial"/>
          <w:bCs/>
          <w:lang w:eastAsia="es-ES"/>
        </w:rPr>
        <w:t>Andrea</w:t>
      </w:r>
      <w:r w:rsidRPr="00AB5C52">
        <w:rPr>
          <w:rFonts w:ascii="Verdana" w:eastAsia="Calibri" w:hAnsi="Verdana" w:cs="Arial"/>
          <w:bCs/>
          <w:lang w:val="es-ES" w:eastAsia="es-ES"/>
        </w:rPr>
        <w:t xml:space="preserve">:  </w:t>
      </w:r>
    </w:p>
    <w:p w14:paraId="342A8A9C" w14:textId="77777777" w:rsidR="008A0B27" w:rsidRPr="00AB5C52" w:rsidRDefault="008A0B27" w:rsidP="008A0B27">
      <w:pPr>
        <w:tabs>
          <w:tab w:val="left" w:pos="3768"/>
        </w:tabs>
        <w:spacing w:after="0" w:line="276" w:lineRule="auto"/>
        <w:jc w:val="both"/>
        <w:rPr>
          <w:rFonts w:ascii="Verdana" w:eastAsia="Calibri" w:hAnsi="Verdana" w:cs="Arial"/>
          <w:bCs/>
          <w:lang w:val="es-ES" w:eastAsia="es-ES"/>
        </w:rPr>
      </w:pPr>
      <w:r w:rsidRPr="00AB5C52">
        <w:rPr>
          <w:rFonts w:ascii="Verdana" w:eastAsia="Calibri" w:hAnsi="Verdana" w:cs="Arial"/>
          <w:bCs/>
          <w:lang w:val="es-ES" w:eastAsia="es-ES"/>
        </w:rPr>
        <w:tab/>
      </w:r>
    </w:p>
    <w:p w14:paraId="5F145FCE" w14:textId="77777777" w:rsidR="008A0B27" w:rsidRPr="003125D1" w:rsidRDefault="008A0B27" w:rsidP="008A0B27">
      <w:pPr>
        <w:spacing w:after="0" w:line="276" w:lineRule="auto"/>
        <w:jc w:val="both"/>
        <w:rPr>
          <w:rFonts w:ascii="Verdana" w:eastAsia="Calibri" w:hAnsi="Verdana" w:cs="Arial"/>
          <w:lang w:val="es-ES" w:eastAsia="es-ES"/>
        </w:rPr>
      </w:pPr>
      <w:r w:rsidRPr="003125D1">
        <w:rPr>
          <w:rFonts w:ascii="Verdana" w:eastAsia="Calibri" w:hAnsi="Verdana" w:cs="Arial"/>
          <w:lang w:val="es-ES" w:eastAsia="es-ES"/>
        </w:rPr>
        <w:t>En ejercicio de la competencia otorgada por los artículos 3, numeral 5º, y 11, numeral 8º, del Decreto Ley 4170 de 2011,</w:t>
      </w:r>
      <w:r w:rsidRPr="003125D1">
        <w:rPr>
          <w:rFonts w:ascii="Verdana" w:eastAsia="Arial MT" w:hAnsi="Verdana" w:cs="Arial MT"/>
          <w:lang w:val="es-ES" w:eastAsia="es-ES"/>
        </w:rPr>
        <w:t xml:space="preserve"> </w:t>
      </w:r>
      <w:r w:rsidRPr="003125D1">
        <w:rPr>
          <w:rFonts w:ascii="Verdana" w:eastAsia="Calibri" w:hAnsi="Verdana" w:cs="Arial"/>
        </w:rPr>
        <w:t xml:space="preserve">así como lo establecido en el artículo 4 de la Resolución 1707 de 2018 expedida por esta Entidad, </w:t>
      </w:r>
      <w:r w:rsidRPr="003125D1">
        <w:rPr>
          <w:rFonts w:ascii="Verdana" w:eastAsia="Calibri" w:hAnsi="Verdana" w:cs="Arial"/>
          <w:lang w:val="es-ES" w:eastAsia="es-ES"/>
        </w:rPr>
        <w:t xml:space="preserve">la Agencia Nacional de Contratación Pública –Colombia Compra Eficiente– responde su solicitud de consulta de fecha </w:t>
      </w:r>
      <w:r>
        <w:rPr>
          <w:rFonts w:ascii="Verdana" w:eastAsia="Calibri" w:hAnsi="Verdana" w:cs="Arial"/>
          <w:lang w:val="es-ES" w:eastAsia="es-ES"/>
        </w:rPr>
        <w:t>20 de mayo</w:t>
      </w:r>
      <w:r w:rsidRPr="003125D1">
        <w:rPr>
          <w:rFonts w:ascii="Verdana" w:eastAsia="Calibri" w:hAnsi="Verdana" w:cs="Arial"/>
          <w:lang w:val="es-ES" w:eastAsia="es-ES"/>
        </w:rPr>
        <w:t xml:space="preserve"> de 2026, en la cual manifiesta lo siguiente: </w:t>
      </w:r>
      <w:bookmarkStart w:id="0" w:name="_Hlk95313578"/>
    </w:p>
    <w:p w14:paraId="2BAC5993" w14:textId="77777777" w:rsidR="008A0B27" w:rsidRPr="003125D1" w:rsidRDefault="008A0B27" w:rsidP="008A0B27">
      <w:pPr>
        <w:spacing w:after="0" w:line="276" w:lineRule="auto"/>
        <w:jc w:val="both"/>
        <w:rPr>
          <w:rFonts w:ascii="Verdana" w:eastAsia="Calibri" w:hAnsi="Verdana" w:cs="Arial"/>
          <w:bCs/>
          <w:lang w:val="es-ES" w:eastAsia="es-ES"/>
        </w:rPr>
      </w:pPr>
    </w:p>
    <w:bookmarkEnd w:id="0"/>
    <w:p w14:paraId="0DF519EC" w14:textId="77777777" w:rsidR="008A0B27" w:rsidRDefault="008A0B27" w:rsidP="008A0B27">
      <w:pPr>
        <w:spacing w:after="0" w:line="240" w:lineRule="auto"/>
        <w:ind w:left="709" w:right="709"/>
        <w:jc w:val="both"/>
        <w:rPr>
          <w:rFonts w:ascii="Verdana" w:eastAsia="Calibri" w:hAnsi="Verdana" w:cs="Arial"/>
          <w:i/>
          <w:iCs/>
          <w:sz w:val="20"/>
          <w:szCs w:val="20"/>
          <w:lang w:val="es-ES" w:eastAsia="es-ES"/>
        </w:rPr>
      </w:pPr>
      <w:r w:rsidRPr="008F18F2">
        <w:rPr>
          <w:rFonts w:ascii="Verdana" w:eastAsia="Calibri" w:hAnsi="Verdana" w:cs="Arial"/>
          <w:i/>
          <w:iCs/>
          <w:sz w:val="20"/>
          <w:szCs w:val="20"/>
          <w:lang w:val="es-ES" w:eastAsia="es-ES"/>
        </w:rPr>
        <w:t>“(…)</w:t>
      </w:r>
    </w:p>
    <w:p w14:paraId="0EF02B15" w14:textId="77777777" w:rsidR="008A0B27" w:rsidRDefault="008A0B27" w:rsidP="008A0B27">
      <w:pPr>
        <w:spacing w:after="0" w:line="240" w:lineRule="auto"/>
        <w:ind w:left="709" w:right="709"/>
        <w:jc w:val="both"/>
        <w:rPr>
          <w:rFonts w:ascii="Verdana" w:eastAsia="Calibri" w:hAnsi="Verdana" w:cs="Arial"/>
          <w:i/>
          <w:iCs/>
          <w:sz w:val="20"/>
          <w:szCs w:val="20"/>
          <w:lang w:val="es-ES" w:eastAsia="es-ES"/>
        </w:rPr>
      </w:pPr>
    </w:p>
    <w:p w14:paraId="2EB18EE2" w14:textId="77777777" w:rsidR="008A0B27" w:rsidRDefault="008A0B27" w:rsidP="008A0B27">
      <w:pPr>
        <w:spacing w:after="0" w:line="240" w:lineRule="auto"/>
        <w:ind w:left="709" w:right="709"/>
        <w:jc w:val="both"/>
        <w:rPr>
          <w:rFonts w:ascii="Verdana" w:eastAsia="Calibri" w:hAnsi="Verdana" w:cs="Arial"/>
          <w:i/>
          <w:iCs/>
          <w:sz w:val="20"/>
          <w:szCs w:val="20"/>
          <w:lang w:val="es-ES" w:eastAsia="es-ES"/>
        </w:rPr>
      </w:pPr>
      <w:r w:rsidRPr="00585335">
        <w:rPr>
          <w:rFonts w:ascii="Verdana" w:eastAsia="Calibri" w:hAnsi="Verdana" w:cs="Arial"/>
          <w:i/>
          <w:iCs/>
          <w:sz w:val="20"/>
          <w:szCs w:val="20"/>
          <w:lang w:val="es-ES" w:eastAsia="es-ES"/>
        </w:rPr>
        <w:t>En virtud de la entrada de los pliegos tipos y revisando las</w:t>
      </w:r>
      <w:r>
        <w:rPr>
          <w:rFonts w:ascii="Verdana" w:eastAsia="Calibri" w:hAnsi="Verdana" w:cs="Arial"/>
          <w:i/>
          <w:iCs/>
          <w:sz w:val="20"/>
          <w:szCs w:val="20"/>
          <w:lang w:val="es-ES" w:eastAsia="es-ES"/>
        </w:rPr>
        <w:t xml:space="preserve"> </w:t>
      </w:r>
      <w:proofErr w:type="spellStart"/>
      <w:r w:rsidRPr="00585335">
        <w:rPr>
          <w:rFonts w:ascii="Verdana" w:eastAsia="Calibri" w:hAnsi="Verdana" w:cs="Arial"/>
          <w:i/>
          <w:iCs/>
          <w:sz w:val="20"/>
          <w:szCs w:val="20"/>
          <w:lang w:val="es-ES" w:eastAsia="es-ES"/>
        </w:rPr>
        <w:t>actvidades</w:t>
      </w:r>
      <w:proofErr w:type="spellEnd"/>
      <w:r w:rsidRPr="00585335">
        <w:rPr>
          <w:rFonts w:ascii="Verdana" w:eastAsia="Calibri" w:hAnsi="Verdana" w:cs="Arial"/>
          <w:i/>
          <w:iCs/>
          <w:sz w:val="20"/>
          <w:szCs w:val="20"/>
          <w:lang w:val="es-ES" w:eastAsia="es-ES"/>
        </w:rPr>
        <w:t xml:space="preserve"> establecidas para los procesos de </w:t>
      </w:r>
      <w:proofErr w:type="spellStart"/>
      <w:r w:rsidRPr="00585335">
        <w:rPr>
          <w:rFonts w:ascii="Verdana" w:eastAsia="Calibri" w:hAnsi="Verdana" w:cs="Arial"/>
          <w:i/>
          <w:iCs/>
          <w:sz w:val="20"/>
          <w:szCs w:val="20"/>
          <w:lang w:val="es-ES" w:eastAsia="es-ES"/>
        </w:rPr>
        <w:t>minima</w:t>
      </w:r>
      <w:proofErr w:type="spellEnd"/>
      <w:r w:rsidRPr="00585335">
        <w:rPr>
          <w:rFonts w:ascii="Verdana" w:eastAsia="Calibri" w:hAnsi="Verdana" w:cs="Arial"/>
          <w:i/>
          <w:iCs/>
          <w:sz w:val="20"/>
          <w:szCs w:val="20"/>
          <w:lang w:val="es-ES" w:eastAsia="es-ES"/>
        </w:rPr>
        <w:t xml:space="preserve"> </w:t>
      </w:r>
      <w:proofErr w:type="spellStart"/>
      <w:r w:rsidRPr="00585335">
        <w:rPr>
          <w:rFonts w:ascii="Verdana" w:eastAsia="Calibri" w:hAnsi="Verdana" w:cs="Arial"/>
          <w:i/>
          <w:iCs/>
          <w:sz w:val="20"/>
          <w:szCs w:val="20"/>
          <w:lang w:val="es-ES" w:eastAsia="es-ES"/>
        </w:rPr>
        <w:t>cuantia</w:t>
      </w:r>
      <w:proofErr w:type="spellEnd"/>
      <w:r w:rsidRPr="00585335">
        <w:rPr>
          <w:rFonts w:ascii="Verdana" w:eastAsia="Calibri" w:hAnsi="Verdana" w:cs="Arial"/>
          <w:i/>
          <w:iCs/>
          <w:sz w:val="20"/>
          <w:szCs w:val="20"/>
          <w:lang w:val="es-ES" w:eastAsia="es-ES"/>
        </w:rPr>
        <w:t xml:space="preserve"> se</w:t>
      </w:r>
      <w:r>
        <w:rPr>
          <w:rFonts w:ascii="Verdana" w:eastAsia="Calibri" w:hAnsi="Verdana" w:cs="Arial"/>
          <w:i/>
          <w:iCs/>
          <w:sz w:val="20"/>
          <w:szCs w:val="20"/>
          <w:lang w:val="es-ES" w:eastAsia="es-ES"/>
        </w:rPr>
        <w:t xml:space="preserve"> </w:t>
      </w:r>
      <w:r w:rsidRPr="00585335">
        <w:rPr>
          <w:rFonts w:ascii="Verdana" w:eastAsia="Calibri" w:hAnsi="Verdana" w:cs="Arial"/>
          <w:i/>
          <w:iCs/>
          <w:sz w:val="20"/>
          <w:szCs w:val="20"/>
          <w:lang w:val="es-ES" w:eastAsia="es-ES"/>
        </w:rPr>
        <w:t>requiere precisar si la COMPRAVENTA DE BIENES MUEBLES,</w:t>
      </w:r>
      <w:r>
        <w:rPr>
          <w:rFonts w:ascii="Verdana" w:eastAsia="Calibri" w:hAnsi="Verdana" w:cs="Arial"/>
          <w:i/>
          <w:iCs/>
          <w:sz w:val="20"/>
          <w:szCs w:val="20"/>
          <w:lang w:val="es-ES" w:eastAsia="es-ES"/>
        </w:rPr>
        <w:t xml:space="preserve"> </w:t>
      </w:r>
      <w:r w:rsidRPr="00585335">
        <w:rPr>
          <w:rFonts w:ascii="Verdana" w:eastAsia="Calibri" w:hAnsi="Verdana" w:cs="Arial"/>
          <w:i/>
          <w:iCs/>
          <w:sz w:val="20"/>
          <w:szCs w:val="20"/>
          <w:lang w:val="es-ES" w:eastAsia="es-ES"/>
        </w:rPr>
        <w:t>ELEMENTOS DE ORGANIZACIÓN DOCUMENTAL, APOYO OPERATIVO Y</w:t>
      </w:r>
      <w:r>
        <w:rPr>
          <w:rFonts w:ascii="Verdana" w:eastAsia="Calibri" w:hAnsi="Verdana" w:cs="Arial"/>
          <w:i/>
          <w:iCs/>
          <w:sz w:val="20"/>
          <w:szCs w:val="20"/>
          <w:lang w:val="es-ES" w:eastAsia="es-ES"/>
        </w:rPr>
        <w:t xml:space="preserve"> </w:t>
      </w:r>
      <w:r w:rsidRPr="00585335">
        <w:rPr>
          <w:rFonts w:ascii="Verdana" w:eastAsia="Calibri" w:hAnsi="Verdana" w:cs="Arial"/>
          <w:i/>
          <w:iCs/>
          <w:sz w:val="20"/>
          <w:szCs w:val="20"/>
          <w:lang w:val="es-ES" w:eastAsia="es-ES"/>
        </w:rPr>
        <w:t>ERGONÓMICO REQUERIDOS PARA EL FUNCIONAMIENTO Y FORTALECIMIENTO</w:t>
      </w:r>
      <w:r>
        <w:rPr>
          <w:rFonts w:ascii="Verdana" w:eastAsia="Calibri" w:hAnsi="Verdana" w:cs="Arial"/>
          <w:i/>
          <w:iCs/>
          <w:sz w:val="20"/>
          <w:szCs w:val="20"/>
          <w:lang w:val="es-ES" w:eastAsia="es-ES"/>
        </w:rPr>
        <w:t xml:space="preserve"> </w:t>
      </w:r>
      <w:r w:rsidRPr="00585335">
        <w:rPr>
          <w:rFonts w:ascii="Verdana" w:eastAsia="Calibri" w:hAnsi="Verdana" w:cs="Arial"/>
          <w:i/>
          <w:iCs/>
          <w:sz w:val="20"/>
          <w:szCs w:val="20"/>
          <w:lang w:val="es-ES" w:eastAsia="es-ES"/>
        </w:rPr>
        <w:t>DE LA GESTIÓN</w:t>
      </w:r>
      <w:r>
        <w:rPr>
          <w:rFonts w:ascii="Verdana" w:eastAsia="Calibri" w:hAnsi="Verdana" w:cs="Arial"/>
          <w:i/>
          <w:iCs/>
          <w:sz w:val="20"/>
          <w:szCs w:val="20"/>
          <w:lang w:val="es-ES" w:eastAsia="es-ES"/>
        </w:rPr>
        <w:t xml:space="preserve"> </w:t>
      </w:r>
      <w:r w:rsidRPr="00585335">
        <w:rPr>
          <w:rFonts w:ascii="Verdana" w:eastAsia="Calibri" w:hAnsi="Verdana" w:cs="Arial"/>
          <w:i/>
          <w:iCs/>
          <w:sz w:val="20"/>
          <w:szCs w:val="20"/>
          <w:lang w:val="es-ES" w:eastAsia="es-ES"/>
        </w:rPr>
        <w:t>ADMINISTRATIVA en las instituciones se debe</w:t>
      </w:r>
      <w:r>
        <w:rPr>
          <w:rFonts w:ascii="Verdana" w:eastAsia="Calibri" w:hAnsi="Verdana" w:cs="Arial"/>
          <w:i/>
          <w:iCs/>
          <w:sz w:val="20"/>
          <w:szCs w:val="20"/>
          <w:lang w:val="es-ES" w:eastAsia="es-ES"/>
        </w:rPr>
        <w:t xml:space="preserve"> </w:t>
      </w:r>
      <w:r w:rsidRPr="00585335">
        <w:rPr>
          <w:rFonts w:ascii="Verdana" w:eastAsia="Calibri" w:hAnsi="Verdana" w:cs="Arial"/>
          <w:i/>
          <w:iCs/>
          <w:sz w:val="20"/>
          <w:szCs w:val="20"/>
          <w:lang w:val="es-ES" w:eastAsia="es-ES"/>
        </w:rPr>
        <w:t xml:space="preserve">realizar bajo este </w:t>
      </w:r>
      <w:r>
        <w:rPr>
          <w:rFonts w:ascii="Verdana" w:eastAsia="Calibri" w:hAnsi="Verdana" w:cs="Arial"/>
          <w:i/>
          <w:iCs/>
          <w:sz w:val="20"/>
          <w:szCs w:val="20"/>
          <w:lang w:val="es-ES" w:eastAsia="es-ES"/>
        </w:rPr>
        <w:t xml:space="preserve">régimen </w:t>
      </w:r>
      <w:r w:rsidRPr="00585335">
        <w:rPr>
          <w:rFonts w:ascii="Verdana" w:eastAsia="Calibri" w:hAnsi="Verdana" w:cs="Arial"/>
          <w:i/>
          <w:iCs/>
          <w:sz w:val="20"/>
          <w:szCs w:val="20"/>
          <w:lang w:val="es-ES" w:eastAsia="es-ES"/>
        </w:rPr>
        <w:t>o simplemente se puede realizar sin</w:t>
      </w:r>
      <w:r>
        <w:rPr>
          <w:rFonts w:ascii="Verdana" w:eastAsia="Calibri" w:hAnsi="Verdana" w:cs="Arial"/>
          <w:i/>
          <w:iCs/>
          <w:sz w:val="20"/>
          <w:szCs w:val="20"/>
          <w:lang w:val="es-ES" w:eastAsia="es-ES"/>
        </w:rPr>
        <w:t xml:space="preserve"> </w:t>
      </w:r>
      <w:r w:rsidRPr="00585335">
        <w:rPr>
          <w:rFonts w:ascii="Verdana" w:eastAsia="Calibri" w:hAnsi="Verdana" w:cs="Arial"/>
          <w:i/>
          <w:iCs/>
          <w:sz w:val="20"/>
          <w:szCs w:val="20"/>
          <w:lang w:val="es-ES" w:eastAsia="es-ES"/>
        </w:rPr>
        <w:t xml:space="preserve">la </w:t>
      </w:r>
      <w:proofErr w:type="spellStart"/>
      <w:r w:rsidRPr="00585335">
        <w:rPr>
          <w:rFonts w:ascii="Verdana" w:eastAsia="Calibri" w:hAnsi="Verdana" w:cs="Arial"/>
          <w:i/>
          <w:iCs/>
          <w:sz w:val="20"/>
          <w:szCs w:val="20"/>
          <w:lang w:val="es-ES" w:eastAsia="es-ES"/>
        </w:rPr>
        <w:t>aplicacion</w:t>
      </w:r>
      <w:proofErr w:type="spellEnd"/>
      <w:r w:rsidRPr="00585335">
        <w:rPr>
          <w:rFonts w:ascii="Verdana" w:eastAsia="Calibri" w:hAnsi="Verdana" w:cs="Arial"/>
          <w:i/>
          <w:iCs/>
          <w:sz w:val="20"/>
          <w:szCs w:val="20"/>
          <w:lang w:val="es-ES" w:eastAsia="es-ES"/>
        </w:rPr>
        <w:t xml:space="preserve"> de los </w:t>
      </w:r>
      <w:proofErr w:type="gramStart"/>
      <w:r w:rsidRPr="00585335">
        <w:rPr>
          <w:rFonts w:ascii="Verdana" w:eastAsia="Calibri" w:hAnsi="Verdana" w:cs="Arial"/>
          <w:i/>
          <w:iCs/>
          <w:sz w:val="20"/>
          <w:szCs w:val="20"/>
          <w:lang w:val="es-ES" w:eastAsia="es-ES"/>
        </w:rPr>
        <w:t>mismos</w:t>
      </w:r>
      <w:proofErr w:type="gramEnd"/>
      <w:r w:rsidRPr="00585335">
        <w:rPr>
          <w:rFonts w:ascii="Verdana" w:eastAsia="Calibri" w:hAnsi="Verdana" w:cs="Arial"/>
          <w:i/>
          <w:iCs/>
          <w:sz w:val="20"/>
          <w:szCs w:val="20"/>
          <w:lang w:val="es-ES" w:eastAsia="es-ES"/>
        </w:rPr>
        <w:t xml:space="preserve"> pero por modalidad de </w:t>
      </w:r>
      <w:r>
        <w:rPr>
          <w:rFonts w:ascii="Verdana" w:eastAsia="Calibri" w:hAnsi="Verdana" w:cs="Arial"/>
          <w:i/>
          <w:iCs/>
          <w:sz w:val="20"/>
          <w:szCs w:val="20"/>
          <w:lang w:val="es-ES" w:eastAsia="es-ES"/>
        </w:rPr>
        <w:t xml:space="preserve">mínima </w:t>
      </w:r>
      <w:proofErr w:type="spellStart"/>
      <w:r w:rsidRPr="00585335">
        <w:rPr>
          <w:rFonts w:ascii="Verdana" w:eastAsia="Calibri" w:hAnsi="Verdana" w:cs="Arial"/>
          <w:i/>
          <w:iCs/>
          <w:sz w:val="20"/>
          <w:szCs w:val="20"/>
          <w:lang w:val="es-ES" w:eastAsia="es-ES"/>
        </w:rPr>
        <w:t>cuantia</w:t>
      </w:r>
      <w:proofErr w:type="spellEnd"/>
      <w:r w:rsidRPr="00585335">
        <w:rPr>
          <w:rFonts w:ascii="Verdana" w:eastAsia="Calibri" w:hAnsi="Verdana" w:cs="Arial"/>
          <w:i/>
          <w:iCs/>
          <w:sz w:val="20"/>
          <w:szCs w:val="20"/>
          <w:lang w:val="es-ES" w:eastAsia="es-ES"/>
        </w:rPr>
        <w:t>:</w:t>
      </w:r>
    </w:p>
    <w:p w14:paraId="6CC34E2A" w14:textId="77777777" w:rsidR="008A0B27" w:rsidRPr="00585335" w:rsidRDefault="008A0B27" w:rsidP="008A0B27">
      <w:pPr>
        <w:spacing w:after="0" w:line="240" w:lineRule="auto"/>
        <w:ind w:left="709" w:right="709"/>
        <w:jc w:val="both"/>
        <w:rPr>
          <w:rFonts w:ascii="Verdana" w:eastAsia="Calibri" w:hAnsi="Verdana" w:cs="Arial"/>
          <w:i/>
          <w:iCs/>
          <w:sz w:val="20"/>
          <w:szCs w:val="20"/>
          <w:lang w:val="es-ES" w:eastAsia="es-ES"/>
        </w:rPr>
      </w:pPr>
    </w:p>
    <w:p w14:paraId="1B9A87D6" w14:textId="77777777" w:rsidR="008A0B27" w:rsidRPr="005277C6" w:rsidRDefault="008A0B27" w:rsidP="008A0B27">
      <w:pPr>
        <w:spacing w:after="0" w:line="240" w:lineRule="auto"/>
        <w:ind w:left="709" w:right="709"/>
        <w:jc w:val="both"/>
        <w:rPr>
          <w:rFonts w:ascii="Verdana" w:eastAsia="Calibri" w:hAnsi="Verdana" w:cs="Arial"/>
          <w:i/>
          <w:iCs/>
          <w:sz w:val="20"/>
          <w:szCs w:val="20"/>
          <w:lang w:val="es-ES" w:eastAsia="es-ES"/>
        </w:rPr>
      </w:pPr>
      <w:r w:rsidRPr="005277C6">
        <w:rPr>
          <w:rFonts w:ascii="Verdana" w:eastAsia="Calibri" w:hAnsi="Verdana" w:cs="Arial"/>
          <w:i/>
          <w:iCs/>
          <w:sz w:val="20"/>
          <w:szCs w:val="20"/>
          <w:lang w:val="es-ES" w:eastAsia="es-ES"/>
        </w:rPr>
        <w:lastRenderedPageBreak/>
        <w:t>(…)</w:t>
      </w:r>
      <w:r w:rsidRPr="005277C6">
        <w:rPr>
          <w:rFonts w:ascii="Verdana" w:eastAsia="Calibri" w:hAnsi="Verdana" w:cs="Arial"/>
          <w:i/>
          <w:iCs/>
          <w:sz w:val="20"/>
          <w:szCs w:val="20"/>
          <w:lang w:eastAsia="es-ES"/>
        </w:rPr>
        <w:t>”</w:t>
      </w:r>
    </w:p>
    <w:p w14:paraId="1259E9D9" w14:textId="77777777" w:rsidR="008A0B27" w:rsidRPr="00FC181B" w:rsidRDefault="008A0B27" w:rsidP="008A0B27">
      <w:pPr>
        <w:spacing w:after="0" w:line="276" w:lineRule="auto"/>
        <w:ind w:left="709" w:right="709"/>
        <w:jc w:val="both"/>
        <w:rPr>
          <w:rFonts w:ascii="Verdana" w:eastAsia="Times New Roman" w:hAnsi="Verdana" w:cs="Times New Roman"/>
          <w:sz w:val="20"/>
          <w:szCs w:val="20"/>
          <w:lang w:eastAsia="es-CO"/>
        </w:rPr>
      </w:pPr>
    </w:p>
    <w:p w14:paraId="1E6CD9CA" w14:textId="77777777" w:rsidR="008A0B27" w:rsidRPr="003125D1" w:rsidRDefault="008A0B27" w:rsidP="008A0B27">
      <w:pPr>
        <w:spacing w:after="120" w:line="276" w:lineRule="auto"/>
        <w:ind w:firstLine="709"/>
        <w:jc w:val="both"/>
        <w:rPr>
          <w:rFonts w:ascii="Verdana" w:eastAsia="Calibri" w:hAnsi="Verdana" w:cs="Arial"/>
          <w:lang w:val="es-ES_tradnl" w:eastAsia="es-ES_tradnl"/>
        </w:rPr>
      </w:pPr>
      <w:r w:rsidRPr="003125D1">
        <w:rPr>
          <w:rFonts w:ascii="Verdana" w:eastAsia="Calibri" w:hAnsi="Verdana" w:cs="Arial"/>
          <w:lang w:val="es-ES" w:eastAsia="es-ES"/>
        </w:rPr>
        <w:t xml:space="preserve">De manera preliminar, resulta necesario resaltar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r w:rsidRPr="003125D1">
        <w:rPr>
          <w:rFonts w:ascii="Verdana" w:eastAsia="Calibri" w:hAnsi="Verdana" w:cs="Arial"/>
          <w:lang w:val="es-ES_tradnl" w:eastAsia="es-ES_tradnl"/>
        </w:rPr>
        <w:tab/>
      </w:r>
    </w:p>
    <w:p w14:paraId="50EBD773" w14:textId="77777777" w:rsidR="008A0B27" w:rsidRPr="003125D1" w:rsidRDefault="008A0B27" w:rsidP="008A0B27">
      <w:pPr>
        <w:spacing w:after="0" w:line="276" w:lineRule="auto"/>
        <w:ind w:firstLine="708"/>
        <w:jc w:val="both"/>
        <w:rPr>
          <w:rFonts w:ascii="Verdana" w:eastAsia="Calibri" w:hAnsi="Verdana" w:cs="Arial"/>
          <w:lang w:val="es-ES" w:eastAsia="es-ES"/>
        </w:rPr>
      </w:pPr>
      <w:r w:rsidRPr="003125D1">
        <w:rPr>
          <w:rFonts w:ascii="Verdana" w:eastAsia="Calibri" w:hAnsi="Verdana" w:cs="Arial"/>
          <w:lang w:val="es-ES" w:eastAsia="es-ES"/>
        </w:rPr>
        <w:t>Conforme lo expuesto, en aras de satisfacer el derecho fundamental de petición se resolverá su consulta dentro de los límites de la referida competencia consultiva, esto es, haciendo abstracción de las circunstancias particulares y concretas mencionadas en su petición, pero haciendo unas consideraciones sobre las normas generales relacionadas con el problema jurídico de su consulta.</w:t>
      </w:r>
    </w:p>
    <w:p w14:paraId="02B5320B" w14:textId="77777777" w:rsidR="008A0B27" w:rsidRPr="003125D1" w:rsidRDefault="008A0B27" w:rsidP="008A0B27">
      <w:pPr>
        <w:spacing w:after="0" w:line="276" w:lineRule="auto"/>
        <w:ind w:firstLine="709"/>
        <w:jc w:val="both"/>
        <w:rPr>
          <w:rFonts w:ascii="Verdana" w:eastAsia="Calibri" w:hAnsi="Verdana" w:cs="Arial"/>
          <w:lang w:val="es-ES" w:eastAsia="es-ES"/>
        </w:rPr>
      </w:pPr>
    </w:p>
    <w:p w14:paraId="7C4D8C9C" w14:textId="77777777" w:rsidR="008A0B27" w:rsidRPr="003125D1" w:rsidRDefault="008A0B27" w:rsidP="008A0B27">
      <w:pPr>
        <w:numPr>
          <w:ilvl w:val="0"/>
          <w:numId w:val="16"/>
        </w:numPr>
        <w:tabs>
          <w:tab w:val="left" w:pos="142"/>
          <w:tab w:val="left" w:pos="284"/>
        </w:tabs>
        <w:spacing w:after="0" w:line="276" w:lineRule="auto"/>
        <w:contextualSpacing/>
        <w:jc w:val="both"/>
        <w:rPr>
          <w:rFonts w:ascii="Verdana" w:eastAsia="Century Gothic" w:hAnsi="Verdana" w:cs="Century Gothic"/>
          <w:b/>
          <w:bCs/>
          <w:lang w:val="es-ES"/>
        </w:rPr>
      </w:pPr>
      <w:r w:rsidRPr="003125D1">
        <w:rPr>
          <w:rFonts w:ascii="Verdana" w:eastAsia="Century Gothic" w:hAnsi="Verdana" w:cs="Century Gothic"/>
          <w:b/>
          <w:bCs/>
          <w:lang w:val="es-ES"/>
        </w:rPr>
        <w:t>Problema planteado:</w:t>
      </w:r>
    </w:p>
    <w:p w14:paraId="46183ADA" w14:textId="77777777" w:rsidR="008A0B27" w:rsidRPr="003125D1" w:rsidRDefault="008A0B27" w:rsidP="008A0B27">
      <w:pPr>
        <w:tabs>
          <w:tab w:val="left" w:pos="426"/>
        </w:tabs>
        <w:spacing w:after="0" w:line="276" w:lineRule="auto"/>
        <w:jc w:val="both"/>
        <w:rPr>
          <w:rFonts w:ascii="Verdana" w:eastAsia="Century Gothic" w:hAnsi="Verdana" w:cs="Century Gothic"/>
          <w:lang w:val="es-ES"/>
        </w:rPr>
      </w:pPr>
    </w:p>
    <w:p w14:paraId="2A96A978" w14:textId="77777777" w:rsidR="008A0B27" w:rsidRDefault="008A0B27" w:rsidP="008A0B27">
      <w:pPr>
        <w:spacing w:line="276" w:lineRule="auto"/>
        <w:jc w:val="both"/>
        <w:rPr>
          <w:rFonts w:ascii="Verdana" w:eastAsia="Century Gothic" w:hAnsi="Verdana" w:cs="Century Gothic"/>
        </w:rPr>
      </w:pPr>
      <w:r w:rsidRPr="003125D1">
        <w:rPr>
          <w:rFonts w:ascii="Verdana" w:eastAsia="Century Gothic" w:hAnsi="Verdana" w:cs="Century Gothic"/>
        </w:rPr>
        <w:t>De acuerdo con el contenido de su solicitud, esta Agencia resolverá el siguiente problema jurídico:</w:t>
      </w:r>
    </w:p>
    <w:p w14:paraId="70F02620" w14:textId="77777777" w:rsidR="008A0B27" w:rsidRPr="00844624" w:rsidRDefault="008A0B27" w:rsidP="008A0B27">
      <w:pPr>
        <w:pStyle w:val="Prrafodelista"/>
        <w:numPr>
          <w:ilvl w:val="0"/>
          <w:numId w:val="19"/>
        </w:numPr>
        <w:spacing w:line="276" w:lineRule="auto"/>
        <w:jc w:val="both"/>
        <w:rPr>
          <w:rFonts w:ascii="Verdana" w:eastAsia="Century Gothic" w:hAnsi="Verdana" w:cs="Century Gothic"/>
          <w:lang w:val="es-CO"/>
        </w:rPr>
      </w:pPr>
      <w:r w:rsidRPr="00C6147E">
        <w:rPr>
          <w:rFonts w:ascii="Verdana" w:eastAsia="Century Gothic" w:hAnsi="Verdana" w:cs="Century Gothic"/>
          <w:lang w:val="es-CO"/>
        </w:rPr>
        <w:t>¿</w:t>
      </w:r>
      <w:r>
        <w:rPr>
          <w:rFonts w:ascii="Verdana" w:eastAsia="Century Gothic" w:hAnsi="Verdana" w:cs="Century Gothic"/>
          <w:lang w:val="es-CO"/>
        </w:rPr>
        <w:t>E</w:t>
      </w:r>
      <w:r w:rsidRPr="00C6147E">
        <w:rPr>
          <w:rFonts w:ascii="Verdana" w:eastAsia="Century Gothic" w:hAnsi="Verdana" w:cs="Century Gothic"/>
          <w:lang w:val="es-CO"/>
        </w:rPr>
        <w:t>s obligatoria la aplicación de los documentos tipo en los procesos de selección adelantados para la</w:t>
      </w:r>
      <w:r>
        <w:rPr>
          <w:rFonts w:ascii="Verdana" w:eastAsia="Century Gothic" w:hAnsi="Verdana" w:cs="Century Gothic"/>
          <w:lang w:val="es-CO"/>
        </w:rPr>
        <w:t xml:space="preserve"> </w:t>
      </w:r>
      <w:r w:rsidRPr="00416115">
        <w:rPr>
          <w:rFonts w:ascii="Verdana" w:eastAsia="Century Gothic" w:hAnsi="Verdana" w:cs="Century Gothic"/>
          <w:lang w:val="es-CO"/>
        </w:rPr>
        <w:t>compraventa de bienes muebles,</w:t>
      </w:r>
      <w:r w:rsidRPr="00844624">
        <w:t xml:space="preserve"> </w:t>
      </w:r>
      <w:r w:rsidRPr="00844624">
        <w:rPr>
          <w:rFonts w:ascii="Verdana" w:eastAsia="Century Gothic" w:hAnsi="Verdana" w:cs="Century Gothic"/>
          <w:lang w:val="es-CO"/>
        </w:rPr>
        <w:t>elementos de organización documental, apoyo operativo y</w:t>
      </w:r>
      <w:r>
        <w:rPr>
          <w:rFonts w:ascii="Verdana" w:eastAsia="Century Gothic" w:hAnsi="Verdana" w:cs="Century Gothic"/>
          <w:lang w:val="es-CO"/>
        </w:rPr>
        <w:t xml:space="preserve"> </w:t>
      </w:r>
      <w:r w:rsidRPr="00844624">
        <w:rPr>
          <w:rFonts w:ascii="Verdana" w:eastAsia="Century Gothic" w:hAnsi="Verdana" w:cs="Century Gothic"/>
        </w:rPr>
        <w:t>ergonómico requeridos para el funcionamiento y fortalecimiento</w:t>
      </w:r>
      <w:r>
        <w:rPr>
          <w:rFonts w:ascii="Verdana" w:eastAsia="Century Gothic" w:hAnsi="Verdana" w:cs="Century Gothic"/>
        </w:rPr>
        <w:t xml:space="preserve"> </w:t>
      </w:r>
      <w:r w:rsidRPr="00844624">
        <w:rPr>
          <w:rFonts w:ascii="Verdana" w:eastAsia="Century Gothic" w:hAnsi="Verdana" w:cs="Century Gothic"/>
        </w:rPr>
        <w:t>de la gestión administrativa</w:t>
      </w:r>
      <w:r>
        <w:rPr>
          <w:rFonts w:ascii="Verdana" w:eastAsia="Century Gothic" w:hAnsi="Verdana" w:cs="Century Gothic"/>
        </w:rPr>
        <w:t>?</w:t>
      </w:r>
    </w:p>
    <w:p w14:paraId="47F3890B" w14:textId="77777777" w:rsidR="008A0B27" w:rsidRPr="003125D1" w:rsidRDefault="008A0B27" w:rsidP="008A0B27">
      <w:pPr>
        <w:numPr>
          <w:ilvl w:val="0"/>
          <w:numId w:val="16"/>
        </w:numPr>
        <w:tabs>
          <w:tab w:val="left" w:pos="142"/>
          <w:tab w:val="left" w:pos="284"/>
        </w:tabs>
        <w:spacing w:after="0" w:line="276" w:lineRule="auto"/>
        <w:contextualSpacing/>
        <w:jc w:val="both"/>
        <w:rPr>
          <w:rFonts w:ascii="Verdana" w:eastAsia="Century Gothic" w:hAnsi="Verdana" w:cs="Century Gothic"/>
          <w:b/>
          <w:bCs/>
          <w:lang w:val="es-ES"/>
        </w:rPr>
      </w:pPr>
      <w:r w:rsidRPr="003125D1">
        <w:rPr>
          <w:rFonts w:ascii="Verdana" w:eastAsia="Century Gothic" w:hAnsi="Verdana" w:cs="Century Gothic"/>
          <w:b/>
          <w:bCs/>
          <w:lang w:val="es-ES"/>
        </w:rPr>
        <w:t>Respuesta:</w:t>
      </w:r>
    </w:p>
    <w:p w14:paraId="64DD48BB" w14:textId="77777777" w:rsidR="008A0B27" w:rsidRPr="00AB496C" w:rsidRDefault="008A0B27" w:rsidP="008A0B27">
      <w:pPr>
        <w:tabs>
          <w:tab w:val="left" w:pos="142"/>
          <w:tab w:val="left" w:pos="284"/>
        </w:tabs>
        <w:spacing w:line="276" w:lineRule="auto"/>
        <w:contextualSpacing/>
        <w:jc w:val="both"/>
        <w:rPr>
          <w:rFonts w:ascii="Verdana" w:eastAsia="Century Gothic" w:hAnsi="Verdana" w:cs="Century Gothic"/>
          <w:b/>
          <w:bCs/>
          <w:lang w:val="es-ES"/>
        </w:rPr>
      </w:pPr>
    </w:p>
    <w:tbl>
      <w:tblPr>
        <w:tblStyle w:val="Tablaconcuadrcula1"/>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8A0B27" w:rsidRPr="00AB496C" w14:paraId="2911CCC8" w14:textId="77777777" w:rsidTr="00302A7D">
        <w:trPr>
          <w:trHeight w:val="1057"/>
        </w:trPr>
        <w:tc>
          <w:tcPr>
            <w:tcW w:w="8828" w:type="dxa"/>
            <w:tcBorders>
              <w:top w:val="dotted" w:sz="4" w:space="0" w:color="auto"/>
              <w:left w:val="dotted" w:sz="4" w:space="0" w:color="auto"/>
              <w:bottom w:val="dotted" w:sz="4" w:space="0" w:color="auto"/>
              <w:right w:val="dotted" w:sz="4" w:space="0" w:color="auto"/>
            </w:tcBorders>
          </w:tcPr>
          <w:p w14:paraId="183C10B1" w14:textId="77777777" w:rsidR="008A0B27" w:rsidRDefault="008A0B27" w:rsidP="00302A7D">
            <w:pPr>
              <w:widowControl w:val="0"/>
              <w:autoSpaceDE w:val="0"/>
              <w:autoSpaceDN w:val="0"/>
              <w:spacing w:after="120" w:line="276" w:lineRule="auto"/>
              <w:jc w:val="both"/>
              <w:rPr>
                <w:rFonts w:ascii="Verdana" w:eastAsia="Calibri" w:hAnsi="Verdana" w:cs="Times New Roman"/>
                <w:lang w:eastAsia="es-MX"/>
              </w:rPr>
            </w:pPr>
            <w:r w:rsidRPr="00C2011E">
              <w:rPr>
                <w:rFonts w:ascii="Verdana" w:eastAsia="Calibri" w:hAnsi="Verdana" w:cs="Times New Roman"/>
                <w:lang w:eastAsia="es-MX"/>
              </w:rPr>
              <w:t xml:space="preserve">Para establecer si un objeto contractual está cobijado por los documentos tipo, la entidad debe verificar si se enmarca en los tipos de infraestructura, modalidades de selección y actividades estandarizadas en las matrices de experiencia.  La Matriz de Experiencia cumple una doble función. Por una parte, estandariza las condiciones de experiencia, de conformidad con el </w:t>
            </w:r>
            <w:r w:rsidRPr="00C2011E">
              <w:rPr>
                <w:rFonts w:ascii="Verdana" w:eastAsia="Calibri" w:hAnsi="Verdana" w:cs="Times New Roman"/>
                <w:lang w:eastAsia="es-MX"/>
              </w:rPr>
              <w:lastRenderedPageBreak/>
              <w:t>parágrafo 7 del artículo 2 de la Ley 1150 de 2007. Por otra, permite definir el ámbito de aplicación de los documentos tipo, ya que las actividades allí descritas son las que determinan su obligatoriedad. Por tanto, si el objeto contractual encaja materialmente en alguna de esas actividades, deberán aplicarse los documentos tipo del sector correspondiente; en caso contrario, su aplicación no será obligatoria.</w:t>
            </w:r>
          </w:p>
          <w:p w14:paraId="53591936" w14:textId="77777777" w:rsidR="008A0B27" w:rsidRPr="0006395C" w:rsidRDefault="008A0B27" w:rsidP="00302A7D">
            <w:pPr>
              <w:widowControl w:val="0"/>
              <w:autoSpaceDE w:val="0"/>
              <w:autoSpaceDN w:val="0"/>
              <w:spacing w:after="120" w:line="276" w:lineRule="auto"/>
              <w:ind w:firstLine="708"/>
              <w:jc w:val="both"/>
              <w:rPr>
                <w:rFonts w:ascii="Verdana" w:eastAsia="Calibri" w:hAnsi="Verdana" w:cs="Times New Roman"/>
                <w:lang w:eastAsia="es-MX"/>
              </w:rPr>
            </w:pPr>
            <w:r w:rsidRPr="00E5289F">
              <w:rPr>
                <w:rFonts w:ascii="Verdana" w:eastAsia="Calibri" w:hAnsi="Verdana" w:cs="Times New Roman"/>
                <w:lang w:eastAsia="es-MX"/>
              </w:rPr>
              <w:t xml:space="preserve">Por ejemplo, la entidad podrá revisar si en las siguientes actividades incluidas en el capítulo 2. </w:t>
            </w:r>
            <w:r w:rsidRPr="00E5289F">
              <w:rPr>
                <w:rFonts w:ascii="Verdana" w:eastAsia="Calibri" w:hAnsi="Verdana" w:cs="Times New Roman"/>
                <w:i/>
                <w:iCs/>
                <w:lang w:eastAsia="es-MX"/>
              </w:rPr>
              <w:t>Obras en proyectos de infraestructura institucional de servicio público</w:t>
            </w:r>
            <w:r w:rsidRPr="00E5289F">
              <w:rPr>
                <w:rFonts w:ascii="Verdana" w:eastAsia="Calibri" w:hAnsi="Verdana" w:cs="Times New Roman"/>
                <w:lang w:eastAsia="es-MX"/>
              </w:rPr>
              <w:t xml:space="preserve"> de la matriz del sector Institucional, se podría enmarcar el objeto de la consulta:</w:t>
            </w:r>
          </w:p>
          <w:p w14:paraId="1C290E54" w14:textId="77777777" w:rsidR="008A0B27" w:rsidRPr="0006395C" w:rsidRDefault="008A0B27" w:rsidP="00302A7D">
            <w:pPr>
              <w:spacing w:after="120" w:line="276" w:lineRule="auto"/>
              <w:ind w:left="709" w:right="709"/>
              <w:jc w:val="both"/>
              <w:rPr>
                <w:rFonts w:ascii="Verdana" w:eastAsia="Calibri" w:hAnsi="Verdana" w:cs="Times New Roman"/>
                <w:sz w:val="21"/>
                <w:szCs w:val="21"/>
                <w:lang w:val="es-ES" w:eastAsia="es-MX"/>
              </w:rPr>
            </w:pPr>
            <w:r>
              <w:rPr>
                <w:rFonts w:ascii="Verdana" w:eastAsia="Calibri" w:hAnsi="Verdana" w:cs="Times New Roman"/>
                <w:sz w:val="21"/>
                <w:szCs w:val="21"/>
                <w:lang w:val="es-ES" w:eastAsia="es-MX"/>
              </w:rPr>
              <w:t>“</w:t>
            </w:r>
            <w:r w:rsidRPr="0006395C">
              <w:rPr>
                <w:rFonts w:ascii="Verdana" w:eastAsia="Calibri" w:hAnsi="Verdana" w:cs="Times New Roman"/>
                <w:sz w:val="21"/>
                <w:szCs w:val="21"/>
                <w:lang w:val="es-ES" w:eastAsia="es-MX"/>
              </w:rPr>
              <w:t>2.1. Proyectos de construcción y/o ampliación y/o reconstrucción de infraestructura de servicio público.</w:t>
            </w:r>
          </w:p>
          <w:p w14:paraId="6E175A98" w14:textId="77777777" w:rsidR="008A0B27" w:rsidRPr="0006395C" w:rsidRDefault="008A0B27" w:rsidP="00302A7D">
            <w:pPr>
              <w:spacing w:after="120" w:line="276" w:lineRule="auto"/>
              <w:ind w:left="709" w:right="709"/>
              <w:jc w:val="both"/>
              <w:rPr>
                <w:rFonts w:ascii="Verdana" w:eastAsia="Calibri" w:hAnsi="Verdana" w:cs="Times New Roman"/>
                <w:sz w:val="21"/>
                <w:szCs w:val="21"/>
                <w:lang w:val="es-ES" w:eastAsia="es-MX"/>
              </w:rPr>
            </w:pPr>
            <w:r w:rsidRPr="0006395C">
              <w:rPr>
                <w:rFonts w:ascii="Verdana" w:eastAsia="Calibri" w:hAnsi="Verdana" w:cs="Times New Roman"/>
                <w:sz w:val="21"/>
                <w:szCs w:val="21"/>
                <w:lang w:val="es-ES" w:eastAsia="es-MX"/>
              </w:rPr>
              <w:t>2.2. Proyectos de adecuación, conservación, intervención, instalación, mantenimiento, mejoramiento, modificación u optimización, rehabilitación, remodelación, reposición, reparación locativa, restauración, restitución o terminación de infraestructura de servicio público.</w:t>
            </w:r>
          </w:p>
          <w:p w14:paraId="10FB6E43" w14:textId="77777777" w:rsidR="008A0B27" w:rsidRPr="0006395C" w:rsidRDefault="008A0B27" w:rsidP="00302A7D">
            <w:pPr>
              <w:spacing w:after="120" w:line="276" w:lineRule="auto"/>
              <w:ind w:left="709" w:right="709"/>
              <w:jc w:val="both"/>
              <w:rPr>
                <w:rFonts w:ascii="Verdana" w:eastAsia="Calibri" w:hAnsi="Verdana" w:cs="Times New Roman"/>
                <w:sz w:val="21"/>
                <w:szCs w:val="21"/>
                <w:lang w:val="es-ES" w:eastAsia="es-MX"/>
              </w:rPr>
            </w:pPr>
            <w:r w:rsidRPr="0006395C">
              <w:rPr>
                <w:rFonts w:ascii="Verdana" w:eastAsia="Calibri" w:hAnsi="Verdana" w:cs="Times New Roman"/>
                <w:sz w:val="21"/>
                <w:szCs w:val="21"/>
                <w:lang w:val="es-ES" w:eastAsia="es-MX"/>
              </w:rPr>
              <w:t>2.11. Suministro y/o instalación de dotación y/o de mobiliario interno o externo para infraestructura de servicio público.</w:t>
            </w:r>
          </w:p>
          <w:p w14:paraId="18C1A92E" w14:textId="77777777" w:rsidR="008A0B27" w:rsidRPr="0006395C" w:rsidRDefault="008A0B27" w:rsidP="00302A7D">
            <w:pPr>
              <w:spacing w:after="120" w:line="276" w:lineRule="auto"/>
              <w:ind w:left="709" w:right="709"/>
              <w:jc w:val="both"/>
              <w:rPr>
                <w:rFonts w:ascii="Verdana" w:eastAsia="Calibri" w:hAnsi="Verdana" w:cs="Times New Roman"/>
                <w:sz w:val="21"/>
                <w:szCs w:val="21"/>
                <w:lang w:val="es-ES" w:eastAsia="es-MX"/>
              </w:rPr>
            </w:pPr>
            <w:r w:rsidRPr="0006395C">
              <w:rPr>
                <w:rFonts w:ascii="Verdana" w:eastAsia="Calibri" w:hAnsi="Verdana" w:cs="Times New Roman"/>
                <w:sz w:val="21"/>
                <w:szCs w:val="21"/>
                <w:lang w:val="es-ES" w:eastAsia="es-MX"/>
              </w:rPr>
              <w:t>2.12. Proyectos de suministro y/o instalación de equipos especiales, electromecánicos, electrónicos, maquinaria u otros tipos de equipos para infraestructura de servicio público</w:t>
            </w:r>
            <w:r>
              <w:rPr>
                <w:rFonts w:ascii="Verdana" w:eastAsia="Calibri" w:hAnsi="Verdana" w:cs="Times New Roman"/>
                <w:sz w:val="21"/>
                <w:szCs w:val="21"/>
                <w:lang w:val="es-ES" w:eastAsia="es-MX"/>
              </w:rPr>
              <w:t>”.</w:t>
            </w:r>
          </w:p>
          <w:p w14:paraId="5883FCF6" w14:textId="77777777" w:rsidR="008A0B27" w:rsidRPr="00A259BD" w:rsidRDefault="008A0B27" w:rsidP="00302A7D">
            <w:pPr>
              <w:spacing w:after="120" w:line="276" w:lineRule="auto"/>
              <w:ind w:firstLine="708"/>
              <w:jc w:val="both"/>
              <w:rPr>
                <w:rFonts w:ascii="Verdana" w:eastAsia="Calibri" w:hAnsi="Verdana" w:cs="Times New Roman"/>
                <w:lang w:eastAsia="es-MX"/>
              </w:rPr>
            </w:pPr>
            <w:r w:rsidRPr="00A259BD">
              <w:rPr>
                <w:rFonts w:ascii="Verdana" w:eastAsia="Calibri" w:hAnsi="Verdana" w:cs="Times New Roman"/>
                <w:lang w:eastAsia="es-MX"/>
              </w:rPr>
              <w:t xml:space="preserve">En el caso planteado en la petición, referido a la compraventa de bienes muebles, elementos de organización documental y apoyos operativos y ergonómicos requeridos para el funcionamiento y fortalecimiento de la gestión administrativa, el negocio jurídico se aproxima, en principio, a un contrato de compraventa. En este tipo de contrato, el objeto principal es la entrega de un bien existente o por producir para transferirlo al comprador y los documentos tipo aplican a contratos denominado como de “obra pública”. </w:t>
            </w:r>
          </w:p>
          <w:p w14:paraId="5A8C4C7F" w14:textId="77777777" w:rsidR="008A0B27" w:rsidRDefault="008A0B27" w:rsidP="00302A7D">
            <w:pPr>
              <w:spacing w:after="120" w:line="276" w:lineRule="auto"/>
              <w:ind w:firstLine="708"/>
              <w:jc w:val="both"/>
              <w:rPr>
                <w:rFonts w:ascii="Verdana" w:eastAsia="Calibri" w:hAnsi="Verdana" w:cs="Times New Roman"/>
                <w:lang w:eastAsia="es-MX"/>
              </w:rPr>
            </w:pPr>
            <w:r w:rsidRPr="00A259BD">
              <w:rPr>
                <w:rFonts w:ascii="Verdana" w:eastAsia="Calibri" w:hAnsi="Verdana" w:cs="Times New Roman"/>
                <w:lang w:eastAsia="es-MX"/>
              </w:rPr>
              <w:t xml:space="preserve">En tal sentido, el artículo 1 de cada una de las Resoluciones 539, 540 y 541 de 2025, se establece que estos documentos tipo aplican a: </w:t>
            </w:r>
            <w:r w:rsidRPr="00945175">
              <w:rPr>
                <w:rFonts w:ascii="Verdana" w:eastAsia="Calibri" w:hAnsi="Verdana" w:cs="Times New Roman"/>
                <w:b/>
                <w:bCs/>
                <w:i/>
                <w:iCs/>
                <w:lang w:eastAsia="es-MX"/>
              </w:rPr>
              <w:t>“(…) los procesos de obra pública de infraestructura social”</w:t>
            </w:r>
            <w:r w:rsidRPr="00A259BD">
              <w:rPr>
                <w:rFonts w:ascii="Verdana" w:eastAsia="Calibri" w:hAnsi="Verdana" w:cs="Times New Roman"/>
                <w:lang w:eastAsia="es-MX"/>
              </w:rPr>
              <w:t xml:space="preserve"> que se adelanten en cada una de las modalidades que estas acogen. Es decir, que los documentos tipo señalados aplica, para los contratos “(…) que celebren las entidades </w:t>
            </w:r>
            <w:r w:rsidRPr="00A259BD">
              <w:rPr>
                <w:rFonts w:ascii="Verdana" w:eastAsia="Calibri" w:hAnsi="Verdana" w:cs="Times New Roman"/>
                <w:lang w:eastAsia="es-MX"/>
              </w:rPr>
              <w:lastRenderedPageBreak/>
              <w:t>estatales para la construcción, mantenimiento, instalación y, en general, para la realización de cualquier otro trabajo material sobre bienes inmuebles, cualquiera que sea la modalidad de ejecución y pago”.</w:t>
            </w:r>
          </w:p>
          <w:p w14:paraId="535F89E3" w14:textId="77777777" w:rsidR="008A0B27" w:rsidRPr="00A259BD" w:rsidRDefault="008A0B27" w:rsidP="00302A7D">
            <w:pPr>
              <w:spacing w:after="120" w:line="276" w:lineRule="auto"/>
              <w:ind w:firstLine="708"/>
              <w:jc w:val="both"/>
              <w:rPr>
                <w:rFonts w:ascii="Verdana" w:eastAsia="Calibri" w:hAnsi="Verdana" w:cs="Times New Roman"/>
                <w:lang w:eastAsia="es-MX"/>
              </w:rPr>
            </w:pPr>
            <w:r w:rsidRPr="00A259BD">
              <w:rPr>
                <w:rFonts w:ascii="Verdana" w:eastAsia="Calibri" w:hAnsi="Verdana" w:cs="Times New Roman"/>
                <w:lang w:eastAsia="es-MX"/>
              </w:rPr>
              <w:t>En consecuencia, esta Agencia considera necesario que la entidad realice una valoración integral de las actividades y obligaciones del contrato para determinar el régimen contractual y jurídico aplicable y, con ello, establecer si le corresponde o no utilizar los documentos tipo del sector institucional.</w:t>
            </w:r>
          </w:p>
          <w:p w14:paraId="1339BCEF" w14:textId="77777777" w:rsidR="008A0B27" w:rsidRPr="000533D0" w:rsidRDefault="008A0B27" w:rsidP="00302A7D">
            <w:pPr>
              <w:spacing w:after="120" w:line="276" w:lineRule="auto"/>
              <w:jc w:val="both"/>
              <w:rPr>
                <w:rFonts w:ascii="Verdana" w:hAnsi="Verdana" w:cs="Arial"/>
                <w:color w:val="000000" w:themeColor="text1"/>
              </w:rPr>
            </w:pPr>
          </w:p>
        </w:tc>
      </w:tr>
    </w:tbl>
    <w:p w14:paraId="2AE9D1B9" w14:textId="77777777" w:rsidR="008A0B27" w:rsidRPr="0010023F" w:rsidRDefault="008A0B27" w:rsidP="008A0B27">
      <w:pPr>
        <w:tabs>
          <w:tab w:val="left" w:pos="142"/>
          <w:tab w:val="left" w:pos="284"/>
        </w:tabs>
        <w:spacing w:after="0" w:line="276" w:lineRule="auto"/>
        <w:ind w:left="142" w:hanging="142"/>
        <w:jc w:val="both"/>
        <w:rPr>
          <w:rFonts w:ascii="Verdana" w:eastAsia="Century Gothic" w:hAnsi="Verdana" w:cs="Century Gothic"/>
          <w:b/>
          <w:bCs/>
          <w:lang w:val="es-ES"/>
        </w:rPr>
      </w:pPr>
    </w:p>
    <w:p w14:paraId="671F8178" w14:textId="77777777" w:rsidR="008A0B27" w:rsidRPr="0010023F" w:rsidRDefault="008A0B27" w:rsidP="008A0B27">
      <w:pPr>
        <w:numPr>
          <w:ilvl w:val="0"/>
          <w:numId w:val="16"/>
        </w:numPr>
        <w:tabs>
          <w:tab w:val="left" w:pos="142"/>
          <w:tab w:val="left" w:pos="284"/>
        </w:tabs>
        <w:spacing w:after="0" w:line="276" w:lineRule="auto"/>
        <w:contextualSpacing/>
        <w:jc w:val="both"/>
        <w:rPr>
          <w:rFonts w:ascii="Verdana" w:eastAsia="Calibri" w:hAnsi="Verdana" w:cs="Arial"/>
          <w:lang w:val="es-ES" w:eastAsia="es-MX"/>
        </w:rPr>
      </w:pPr>
      <w:r w:rsidRPr="0010023F">
        <w:rPr>
          <w:rFonts w:ascii="Verdana" w:eastAsia="Century Gothic" w:hAnsi="Verdana" w:cs="Century Gothic"/>
          <w:b/>
          <w:bCs/>
          <w:lang w:val="es-ES"/>
        </w:rPr>
        <w:t>Razones de la respuesta:</w:t>
      </w:r>
    </w:p>
    <w:p w14:paraId="3EB6BB93" w14:textId="77777777" w:rsidR="008A0B27" w:rsidRPr="0010023F" w:rsidRDefault="008A0B27" w:rsidP="008A0B27">
      <w:pPr>
        <w:tabs>
          <w:tab w:val="left" w:pos="142"/>
          <w:tab w:val="left" w:pos="284"/>
        </w:tabs>
        <w:spacing w:after="0" w:line="276" w:lineRule="auto"/>
        <w:contextualSpacing/>
        <w:jc w:val="both"/>
        <w:rPr>
          <w:rFonts w:ascii="Verdana" w:eastAsia="Century Gothic" w:hAnsi="Verdana" w:cs="Century Gothic"/>
          <w:b/>
          <w:bCs/>
          <w:lang w:val="es-ES"/>
        </w:rPr>
      </w:pPr>
    </w:p>
    <w:p w14:paraId="0346CE39" w14:textId="77777777" w:rsidR="008A0B27" w:rsidRPr="0010023F" w:rsidRDefault="008A0B27" w:rsidP="008A0B27">
      <w:pPr>
        <w:tabs>
          <w:tab w:val="left" w:pos="142"/>
          <w:tab w:val="left" w:pos="284"/>
        </w:tabs>
        <w:spacing w:after="0" w:line="276" w:lineRule="auto"/>
        <w:contextualSpacing/>
        <w:jc w:val="both"/>
        <w:rPr>
          <w:rFonts w:ascii="Verdana" w:eastAsia="Calibri" w:hAnsi="Verdana" w:cs="Arial"/>
          <w:lang w:val="es-ES" w:eastAsia="es-MX"/>
        </w:rPr>
      </w:pPr>
      <w:r w:rsidRPr="0010023F">
        <w:rPr>
          <w:rFonts w:ascii="Verdana" w:eastAsia="Calibri" w:hAnsi="Verdana" w:cs="Arial"/>
          <w:lang w:val="es-ES" w:eastAsia="es-MX"/>
        </w:rPr>
        <w:t xml:space="preserve">Lo anterior se sustenta en las siguientes consideraciones: </w:t>
      </w:r>
    </w:p>
    <w:p w14:paraId="4E620FB0" w14:textId="77777777" w:rsidR="008A0B27" w:rsidRPr="0010023F" w:rsidRDefault="008A0B27" w:rsidP="008A0B27">
      <w:pPr>
        <w:spacing w:after="0" w:line="276" w:lineRule="auto"/>
        <w:jc w:val="both"/>
        <w:rPr>
          <w:rFonts w:ascii="Verdana" w:eastAsia="Calibri" w:hAnsi="Verdana" w:cs="Arial"/>
          <w:lang w:val="es-ES" w:eastAsia="es-MX"/>
        </w:rPr>
      </w:pPr>
    </w:p>
    <w:p w14:paraId="2300A883" w14:textId="77777777" w:rsidR="008A0B27" w:rsidRPr="0010023F" w:rsidRDefault="008A0B27" w:rsidP="008A0B27">
      <w:pPr>
        <w:spacing w:after="120" w:line="276" w:lineRule="auto"/>
        <w:jc w:val="both"/>
        <w:rPr>
          <w:rFonts w:ascii="Verdana" w:eastAsia="Aptos" w:hAnsi="Verdana" w:cs="Arial"/>
          <w:lang w:eastAsia="es-MX"/>
        </w:rPr>
      </w:pPr>
      <w:r w:rsidRPr="0010023F">
        <w:rPr>
          <w:rFonts w:ascii="Verdana" w:eastAsia="Aptos" w:hAnsi="Verdana" w:cs="Arial"/>
          <w:lang w:eastAsia="es-MX"/>
        </w:rPr>
        <w:t>I). El artículo 1 de la Ley 2022 de 2020 “Por la cual modifica el artículo 4 de la Ley 1882 de 2018 y se dictan otras disposiciones” otorga a la Agencia Nacional de Contratación Pública – Colombia Compra Eficiente la competencia para adoptar los documentos tipo que serán de obligatorio cumplimiento en la actividad contractual de todas las entidades sometidas al Estatuto General de la Administración Pública.</w:t>
      </w:r>
    </w:p>
    <w:p w14:paraId="6B4D5E56" w14:textId="77777777" w:rsidR="008A0B27" w:rsidRPr="0010023F" w:rsidRDefault="008A0B27" w:rsidP="008A0B27">
      <w:pPr>
        <w:spacing w:after="120" w:line="276" w:lineRule="auto"/>
        <w:ind w:firstLine="708"/>
        <w:jc w:val="both"/>
        <w:rPr>
          <w:rFonts w:ascii="Verdana" w:eastAsia="Aptos" w:hAnsi="Verdana" w:cs="Arial"/>
          <w:lang w:eastAsia="es-MX"/>
        </w:rPr>
      </w:pPr>
      <w:r w:rsidRPr="0010023F">
        <w:rPr>
          <w:rFonts w:ascii="Verdana" w:eastAsia="Aptos" w:hAnsi="Verdana" w:cs="Arial"/>
          <w:lang w:val="es-ES" w:eastAsia="es-MX"/>
        </w:rPr>
        <w:t>Con sustento en esta competencia, esta Agencia expidió diversos grupos de documentos tipo aplicables principalmente a la contratación de obras públicas de infraestructura de transporte, de agua potable y saneamiento básico y social, para interventoría y consultoría de estudios de ingeniería, pero también, para la celebración de convenios solidarios con Juntas de Acción Comunal y para los procesos de gestión catastral con enfoque multipropósito. De conformidad con las modalidades de selección establecidas en el artículo 2 de la Ley 1150 de 2007, estos documentos tipo se han expedido para las modalidades de selección de licitación pública, selección abreviada de menor cuantía, mínima cuantía, concurso de méritos y contratación directa.</w:t>
      </w:r>
    </w:p>
    <w:p w14:paraId="122904A7" w14:textId="77777777" w:rsidR="008A0B27" w:rsidRPr="0010023F" w:rsidRDefault="008A0B27" w:rsidP="008A0B27">
      <w:pPr>
        <w:spacing w:after="120" w:line="276" w:lineRule="auto"/>
        <w:ind w:firstLine="708"/>
        <w:jc w:val="both"/>
        <w:rPr>
          <w:rFonts w:ascii="Verdana" w:eastAsia="Times New Roman" w:hAnsi="Verdana" w:cs="Times New Roman"/>
          <w:lang w:eastAsia="es-CO"/>
        </w:rPr>
      </w:pPr>
      <w:r w:rsidRPr="0010023F">
        <w:rPr>
          <w:rFonts w:ascii="Verdana" w:eastAsia="Aptos" w:hAnsi="Verdana" w:cs="Arial"/>
          <w:lang w:eastAsia="es-MX"/>
        </w:rPr>
        <w:t xml:space="preserve">En el sector social, </w:t>
      </w:r>
      <w:r w:rsidRPr="0010023F">
        <w:rPr>
          <w:rFonts w:ascii="Verdana" w:eastAsia="Calibri" w:hAnsi="Verdana" w:cs="Arial"/>
          <w:lang w:val="es-MX" w:eastAsia="es-MX"/>
        </w:rPr>
        <w:t xml:space="preserve">la Agencia Nacional de Contratación Pública – Colombia Compra </w:t>
      </w:r>
      <w:r w:rsidRPr="0010023F">
        <w:rPr>
          <w:rFonts w:ascii="Verdana" w:eastAsia="Calibri" w:hAnsi="Verdana" w:cs="Arial"/>
          <w:lang w:eastAsia="es-MX"/>
        </w:rPr>
        <w:t xml:space="preserve">Eficiente </w:t>
      </w:r>
      <w:r w:rsidRPr="0010023F">
        <w:rPr>
          <w:rFonts w:ascii="Verdana" w:eastAsia="Times New Roman" w:hAnsi="Verdana" w:cs="Times New Roman"/>
          <w:lang w:eastAsia="es-CO"/>
        </w:rPr>
        <w:t>en el segundo semestre del año 2025 adoptó las siguientes Resoluciones para contratar obra pública y concurso de méritos:</w:t>
      </w:r>
    </w:p>
    <w:p w14:paraId="4AA43470" w14:textId="77777777" w:rsidR="008A0B27" w:rsidRPr="0010023F" w:rsidRDefault="008A0B27" w:rsidP="008A0B27">
      <w:pPr>
        <w:spacing w:after="120" w:line="276" w:lineRule="auto"/>
        <w:ind w:firstLine="708"/>
        <w:jc w:val="both"/>
        <w:rPr>
          <w:rFonts w:ascii="Verdana" w:eastAsia="Times New Roman" w:hAnsi="Verdana" w:cs="Times New Roman"/>
          <w:lang w:eastAsia="es-CO"/>
        </w:rPr>
      </w:pPr>
      <w:r w:rsidRPr="0010023F">
        <w:rPr>
          <w:rFonts w:ascii="Verdana" w:eastAsia="Times New Roman" w:hAnsi="Verdana" w:cs="Times New Roman"/>
          <w:lang w:eastAsia="es-CO"/>
        </w:rPr>
        <w:lastRenderedPageBreak/>
        <w:t>i) Resolución 539 del 21 de agosto de 2015 "Por la cual se adopta la versión -2- de los documentos tipo para los procesos de selección de licitación de obra pública del sector de infraestructura social y se deroga la Resolución 219 de 2021; se adoptan los documentos tipo complementarios para los procesos de licitación de obra pública de infraestructura social relacionados con los sectores de educación, salud, cultura, recreación y deporte - versión 2 y se derogan las Resoluciones 220, 392 у 454 de 2021; y se adoptan los documentos tipo complementarios para los procesos de licitación de obra pública de infraestructura social relacionados con los sectores institucional y vivienda".</w:t>
      </w:r>
    </w:p>
    <w:p w14:paraId="187C8841" w14:textId="77777777" w:rsidR="008A0B27" w:rsidRPr="0010023F" w:rsidRDefault="008A0B27" w:rsidP="008A0B27">
      <w:pPr>
        <w:spacing w:after="120" w:line="276" w:lineRule="auto"/>
        <w:ind w:firstLine="708"/>
        <w:jc w:val="both"/>
        <w:rPr>
          <w:rFonts w:ascii="Verdana" w:eastAsia="Times New Roman" w:hAnsi="Verdana" w:cs="Times New Roman"/>
          <w:lang w:eastAsia="es-CO"/>
        </w:rPr>
      </w:pPr>
      <w:r w:rsidRPr="0010023F">
        <w:rPr>
          <w:rFonts w:ascii="Verdana" w:eastAsia="Times New Roman" w:hAnsi="Verdana" w:cs="Times New Roman"/>
          <w:lang w:eastAsia="es-CO"/>
        </w:rPr>
        <w:t xml:space="preserve"> </w:t>
      </w:r>
      <w:proofErr w:type="spellStart"/>
      <w:r w:rsidRPr="0010023F">
        <w:rPr>
          <w:rFonts w:ascii="Verdana" w:eastAsia="Times New Roman" w:hAnsi="Verdana" w:cs="Times New Roman"/>
          <w:lang w:eastAsia="es-CO"/>
        </w:rPr>
        <w:t>ii</w:t>
      </w:r>
      <w:proofErr w:type="spellEnd"/>
      <w:r w:rsidRPr="0010023F">
        <w:rPr>
          <w:rFonts w:ascii="Verdana" w:eastAsia="Times New Roman" w:hAnsi="Verdana" w:cs="Times New Roman"/>
          <w:lang w:eastAsia="es-CO"/>
        </w:rPr>
        <w:t>) Resolución 540 del 21 de agosto de 2025 "Por la cual se adoptan los Documentos Tipo para los procesos de selección abreviada de menor cuantía de obra pública de infraestructura social; y los Documentos Tipo complementarios para los procesos de selección abreviada de menor cuantía de obra pública de infraestructura social relacionados con los sectores educación, salud, cultura, recreación y deporte, institucional y vivienda".</w:t>
      </w:r>
    </w:p>
    <w:p w14:paraId="7C83D7BD" w14:textId="77777777" w:rsidR="008A0B27" w:rsidRPr="0010023F" w:rsidRDefault="008A0B27" w:rsidP="008A0B27">
      <w:pPr>
        <w:spacing w:after="120" w:line="276" w:lineRule="auto"/>
        <w:ind w:firstLine="708"/>
        <w:jc w:val="both"/>
        <w:rPr>
          <w:rFonts w:ascii="Verdana" w:eastAsia="Times New Roman" w:hAnsi="Verdana" w:cs="Times New Roman"/>
          <w:lang w:eastAsia="es-CO"/>
        </w:rPr>
      </w:pPr>
      <w:proofErr w:type="spellStart"/>
      <w:r w:rsidRPr="0010023F">
        <w:rPr>
          <w:rFonts w:ascii="Verdana" w:eastAsia="Times New Roman" w:hAnsi="Verdana" w:cs="Times New Roman"/>
          <w:lang w:eastAsia="es-CO"/>
        </w:rPr>
        <w:t>iii</w:t>
      </w:r>
      <w:proofErr w:type="spellEnd"/>
      <w:r w:rsidRPr="0010023F">
        <w:rPr>
          <w:rFonts w:ascii="Verdana" w:eastAsia="Times New Roman" w:hAnsi="Verdana" w:cs="Times New Roman"/>
          <w:lang w:eastAsia="es-CO"/>
        </w:rPr>
        <w:t xml:space="preserve">) Resolución 541 del 21 de agosto de 2025 “Por la cual se adoptan los documentos tipo para los procesos de mínima cuantía de obra pública de infraestructura social; y los documentos tipo complementarios para los procesos de mínima cuantía de obra pública de infraestructura social relacionados con los sectores educación, salud, cultura, recreación y deporte, institucional y vivienda”. </w:t>
      </w:r>
    </w:p>
    <w:p w14:paraId="68F85B5A" w14:textId="77777777" w:rsidR="008A0B27" w:rsidRPr="0010023F" w:rsidRDefault="008A0B27" w:rsidP="008A0B27">
      <w:pPr>
        <w:spacing w:after="120" w:line="276" w:lineRule="auto"/>
        <w:ind w:firstLine="708"/>
        <w:jc w:val="both"/>
        <w:rPr>
          <w:rFonts w:ascii="Verdana" w:eastAsia="Times New Roman" w:hAnsi="Verdana" w:cs="Times New Roman"/>
          <w:lang w:eastAsia="es-CO"/>
        </w:rPr>
      </w:pPr>
      <w:proofErr w:type="spellStart"/>
      <w:r w:rsidRPr="0010023F">
        <w:rPr>
          <w:rFonts w:ascii="Verdana" w:eastAsia="Times New Roman" w:hAnsi="Verdana" w:cs="Times New Roman"/>
          <w:lang w:eastAsia="es-CO"/>
        </w:rPr>
        <w:t>iv</w:t>
      </w:r>
      <w:proofErr w:type="spellEnd"/>
      <w:r w:rsidRPr="0010023F">
        <w:rPr>
          <w:rFonts w:ascii="Verdana" w:eastAsia="Times New Roman" w:hAnsi="Verdana" w:cs="Times New Roman"/>
          <w:lang w:eastAsia="es-CO"/>
        </w:rPr>
        <w:t>) Resolución 952 del 15 de diciembre de 2025 “Por la cual se adoptan los documentos tipo para los procesos de selección de concurso de méritos, para contratar la consultoría de estudios de ingeniería de infraestructura social; que agrupa los sectores de educación, salud, cultura, recreación y deporte, institucional y vivienda”.</w:t>
      </w:r>
    </w:p>
    <w:p w14:paraId="1AD588E7" w14:textId="77777777" w:rsidR="008A0B27" w:rsidRPr="0010023F" w:rsidRDefault="008A0B27" w:rsidP="008A0B27">
      <w:pPr>
        <w:spacing w:after="120" w:line="276" w:lineRule="auto"/>
        <w:ind w:firstLine="708"/>
        <w:jc w:val="both"/>
        <w:rPr>
          <w:rFonts w:ascii="Verdana" w:eastAsia="Times New Roman" w:hAnsi="Verdana" w:cs="Times New Roman"/>
          <w:lang w:eastAsia="es-CO"/>
        </w:rPr>
      </w:pPr>
      <w:r w:rsidRPr="0010023F">
        <w:rPr>
          <w:rFonts w:ascii="Verdana" w:eastAsia="Times New Roman" w:hAnsi="Verdana" w:cs="Times New Roman"/>
          <w:lang w:eastAsia="es-CO"/>
        </w:rPr>
        <w:t>v) Resolución 953 del 15 de diciembre de 2025 “Por la cual se adopta la versión - 2 de los documentos tipo transversales para los procesos de concurso de méritos para contratar la interventoría de obras públicas de infraestructura social, los documentos tipo complementarios para los procesos de concurso de méritos para contratar la interventoría de obras públicas de infraestructura social relacionados con el sector educación, salud, cultura, recreación y deporte, institucional y vivienda y se deroga la Resolución 798 del 29 de diciembre de 2023".</w:t>
      </w:r>
      <w:r w:rsidRPr="0010023F">
        <w:rPr>
          <w:rFonts w:ascii="Verdana" w:eastAsia="Aptos" w:hAnsi="Verdana" w:cs="Times New Roman"/>
          <w:lang w:eastAsia="es-MX"/>
        </w:rPr>
        <w:t xml:space="preserve"> </w:t>
      </w:r>
    </w:p>
    <w:p w14:paraId="0CF1CD67" w14:textId="77777777" w:rsidR="008A0B27" w:rsidRPr="0010023F" w:rsidRDefault="008A0B27" w:rsidP="008A0B27">
      <w:pPr>
        <w:spacing w:after="120" w:line="276" w:lineRule="auto"/>
        <w:ind w:firstLine="708"/>
        <w:jc w:val="both"/>
        <w:textAlignment w:val="baseline"/>
        <w:rPr>
          <w:rFonts w:ascii="Verdana" w:eastAsia="Calibri" w:hAnsi="Verdana" w:cs="Arial"/>
          <w:lang w:eastAsia="es-MX"/>
        </w:rPr>
      </w:pPr>
      <w:r w:rsidRPr="0010023F">
        <w:rPr>
          <w:rFonts w:ascii="Verdana" w:eastAsia="Aptos" w:hAnsi="Verdana" w:cs="Times New Roman"/>
          <w:lang w:eastAsia="es-MX"/>
        </w:rPr>
        <w:lastRenderedPageBreak/>
        <w:t>Las Resoluciones 539, 540 y 541 del 21 de agosto de 2025, así como las Resoluciones 952 y 953 del 15 de diciembre de 2025, adoptadas en el sector de infraestructura social, aplican de forma transversal a las modalidades de selección indicadas y a los proyectos de infraestructura, interventoría y consultoría enmarcados dentro de los sectores educativo, salud, cultura, recreación y deporte, institucional y vivienda, en los procesos de selección cuyo aviso de convocatoria se publique a partir del 16 de febrero de 2026</w:t>
      </w:r>
      <w:r w:rsidRPr="0010023F">
        <w:rPr>
          <w:rFonts w:ascii="Verdana" w:eastAsia="Calibri" w:hAnsi="Verdana" w:cs="Arial"/>
          <w:vertAlign w:val="superscript"/>
          <w:lang w:eastAsia="es-MX"/>
        </w:rPr>
        <w:footnoteReference w:id="1"/>
      </w:r>
      <w:r w:rsidRPr="0010023F">
        <w:rPr>
          <w:rFonts w:ascii="Verdana" w:eastAsia="Calibri" w:hAnsi="Verdana" w:cs="Arial"/>
          <w:lang w:eastAsia="es-MX"/>
        </w:rPr>
        <w:t>.</w:t>
      </w:r>
    </w:p>
    <w:p w14:paraId="3361A6D6" w14:textId="77777777" w:rsidR="008A0B27" w:rsidRPr="0010023F" w:rsidRDefault="008A0B27" w:rsidP="008A0B27">
      <w:pPr>
        <w:widowControl w:val="0"/>
        <w:autoSpaceDE w:val="0"/>
        <w:autoSpaceDN w:val="0"/>
        <w:spacing w:after="120" w:line="276" w:lineRule="auto"/>
        <w:ind w:firstLine="708"/>
        <w:jc w:val="both"/>
        <w:rPr>
          <w:rFonts w:ascii="Verdana" w:eastAsia="Calibri" w:hAnsi="Verdana" w:cs="Arial"/>
          <w:kern w:val="2"/>
          <w14:ligatures w14:val="standardContextual"/>
        </w:rPr>
      </w:pPr>
      <w:r w:rsidRPr="0010023F">
        <w:rPr>
          <w:rFonts w:ascii="Verdana" w:eastAsia="Calibri" w:hAnsi="Verdana" w:cs="Arial"/>
          <w:kern w:val="2"/>
          <w14:ligatures w14:val="standardContextual"/>
        </w:rPr>
        <w:t xml:space="preserve">De acuerdo con el artículo tercero de las Resoluciones 539, 540 y 541 del 21 de agosto de 2025, los Documentos Tipo que estas adoptan son de carácter obligatorio en la actividad contractual de las Entidades Estatales sometidas al Estatuto General de Contratación de la Administración Pública. Asimismo, su aplicación es exigible a los patrimonios autónomos y a las personas naturales o jurídicas de derecho público que, por mandato legal, estén obligadas a su implementación. </w:t>
      </w:r>
    </w:p>
    <w:p w14:paraId="444A1EFB" w14:textId="77777777" w:rsidR="008A0B27" w:rsidRDefault="008A0B27" w:rsidP="008A0B27">
      <w:pPr>
        <w:widowControl w:val="0"/>
        <w:autoSpaceDE w:val="0"/>
        <w:autoSpaceDN w:val="0"/>
        <w:spacing w:after="120" w:line="276" w:lineRule="auto"/>
        <w:ind w:firstLine="708"/>
        <w:jc w:val="both"/>
        <w:rPr>
          <w:rFonts w:ascii="Verdana" w:eastAsia="Calibri" w:hAnsi="Verdana" w:cs="Times New Roman"/>
          <w:lang w:eastAsia="es-MX"/>
        </w:rPr>
      </w:pPr>
      <w:r w:rsidRPr="00C2011E">
        <w:rPr>
          <w:rFonts w:ascii="Verdana" w:eastAsia="Calibri" w:hAnsi="Verdana" w:cs="Times New Roman"/>
          <w:lang w:eastAsia="es-MX"/>
        </w:rPr>
        <w:lastRenderedPageBreak/>
        <w:t>Para establecer si un objeto contractual está cobijado por los documentos tipo, la entidad debe verificar si se enmarca en los tipos de infraestructura, modalidades de selección y actividades estandarizadas en las matrices de experiencia.  La Matriz de Experiencia cumple una doble función. Por una parte, estandariza las condiciones de experiencia, de conformidad con el parágrafo 7 del artículo 2 de la Ley 1150 de 2007. Por otra, permite definir el ámbito de aplicación de los documentos tipo, ya que las actividades allí descritas son las que determinan su obligatoriedad. Por tanto, si el objeto contractual encaja materialmente en alguna de esas actividades, deberán aplicarse los documentos tipo del sector correspondiente; en caso contrario, su aplicación no será obligatoria.</w:t>
      </w:r>
    </w:p>
    <w:p w14:paraId="6A9368B6" w14:textId="77777777" w:rsidR="008A0B27" w:rsidRPr="0006395C" w:rsidRDefault="008A0B27" w:rsidP="008A0B27">
      <w:pPr>
        <w:widowControl w:val="0"/>
        <w:autoSpaceDE w:val="0"/>
        <w:autoSpaceDN w:val="0"/>
        <w:spacing w:after="120" w:line="276" w:lineRule="auto"/>
        <w:ind w:firstLine="708"/>
        <w:jc w:val="both"/>
        <w:rPr>
          <w:rFonts w:ascii="Verdana" w:eastAsia="Calibri" w:hAnsi="Verdana" w:cs="Times New Roman"/>
          <w:lang w:eastAsia="es-MX"/>
        </w:rPr>
      </w:pPr>
      <w:r w:rsidRPr="00E5289F">
        <w:rPr>
          <w:rFonts w:ascii="Verdana" w:eastAsia="Calibri" w:hAnsi="Verdana" w:cs="Times New Roman"/>
          <w:lang w:eastAsia="es-MX"/>
        </w:rPr>
        <w:t xml:space="preserve">Por ejemplo, la entidad podrá revisar si en las siguientes actividades incluidas en el capítulo 2. </w:t>
      </w:r>
      <w:r w:rsidRPr="00E5289F">
        <w:rPr>
          <w:rFonts w:ascii="Verdana" w:eastAsia="Calibri" w:hAnsi="Verdana" w:cs="Times New Roman"/>
          <w:i/>
          <w:iCs/>
          <w:lang w:eastAsia="es-MX"/>
        </w:rPr>
        <w:t>Obras en proyectos de infraestructura institucional de servicio público</w:t>
      </w:r>
      <w:r w:rsidRPr="00E5289F">
        <w:rPr>
          <w:rFonts w:ascii="Verdana" w:eastAsia="Calibri" w:hAnsi="Verdana" w:cs="Times New Roman"/>
          <w:lang w:eastAsia="es-MX"/>
        </w:rPr>
        <w:t xml:space="preserve"> de la matriz del sector Institucional, se podría enmarcar el objeto de la consulta:</w:t>
      </w:r>
    </w:p>
    <w:p w14:paraId="3424ECAE" w14:textId="77777777" w:rsidR="008A0B27" w:rsidRPr="0006395C" w:rsidRDefault="008A0B27" w:rsidP="008A0B27">
      <w:pPr>
        <w:spacing w:after="120" w:line="276" w:lineRule="auto"/>
        <w:ind w:left="709" w:right="709"/>
        <w:jc w:val="both"/>
        <w:rPr>
          <w:rFonts w:ascii="Verdana" w:eastAsia="Calibri" w:hAnsi="Verdana" w:cs="Times New Roman"/>
          <w:sz w:val="21"/>
          <w:szCs w:val="21"/>
          <w:lang w:val="es-ES" w:eastAsia="es-MX"/>
        </w:rPr>
      </w:pPr>
      <w:r>
        <w:rPr>
          <w:rFonts w:ascii="Verdana" w:eastAsia="Calibri" w:hAnsi="Verdana" w:cs="Times New Roman"/>
          <w:sz w:val="21"/>
          <w:szCs w:val="21"/>
          <w:lang w:val="es-ES" w:eastAsia="es-MX"/>
        </w:rPr>
        <w:t>“</w:t>
      </w:r>
      <w:r w:rsidRPr="0006395C">
        <w:rPr>
          <w:rFonts w:ascii="Verdana" w:eastAsia="Calibri" w:hAnsi="Verdana" w:cs="Times New Roman"/>
          <w:sz w:val="21"/>
          <w:szCs w:val="21"/>
          <w:lang w:val="es-ES" w:eastAsia="es-MX"/>
        </w:rPr>
        <w:t>2.1. Proyectos de construcción y/o ampliación y/o reconstrucción de infraestructura de servicio público.</w:t>
      </w:r>
    </w:p>
    <w:p w14:paraId="07988B88" w14:textId="77777777" w:rsidR="008A0B27" w:rsidRPr="0006395C" w:rsidRDefault="008A0B27" w:rsidP="008A0B27">
      <w:pPr>
        <w:spacing w:after="120" w:line="276" w:lineRule="auto"/>
        <w:ind w:left="709" w:right="709"/>
        <w:jc w:val="both"/>
        <w:rPr>
          <w:rFonts w:ascii="Verdana" w:eastAsia="Calibri" w:hAnsi="Verdana" w:cs="Times New Roman"/>
          <w:sz w:val="21"/>
          <w:szCs w:val="21"/>
          <w:lang w:val="es-ES" w:eastAsia="es-MX"/>
        </w:rPr>
      </w:pPr>
      <w:r w:rsidRPr="0006395C">
        <w:rPr>
          <w:rFonts w:ascii="Verdana" w:eastAsia="Calibri" w:hAnsi="Verdana" w:cs="Times New Roman"/>
          <w:sz w:val="21"/>
          <w:szCs w:val="21"/>
          <w:lang w:val="es-ES" w:eastAsia="es-MX"/>
        </w:rPr>
        <w:t>2.2. Proyectos de adecuación, conservación, intervención, instalación, mantenimiento, mejoramiento, modificación u optimización, rehabilitación, remodelación, reposición, reparación locativa, restauración, restitución o terminación de infraestructura de servicio público.</w:t>
      </w:r>
    </w:p>
    <w:p w14:paraId="022D9C5A" w14:textId="77777777" w:rsidR="008A0B27" w:rsidRPr="0006395C" w:rsidRDefault="008A0B27" w:rsidP="008A0B27">
      <w:pPr>
        <w:spacing w:after="120" w:line="276" w:lineRule="auto"/>
        <w:ind w:left="709" w:right="709"/>
        <w:jc w:val="both"/>
        <w:rPr>
          <w:rFonts w:ascii="Verdana" w:eastAsia="Calibri" w:hAnsi="Verdana" w:cs="Times New Roman"/>
          <w:sz w:val="21"/>
          <w:szCs w:val="21"/>
          <w:lang w:val="es-ES" w:eastAsia="es-MX"/>
        </w:rPr>
      </w:pPr>
      <w:r w:rsidRPr="0006395C">
        <w:rPr>
          <w:rFonts w:ascii="Verdana" w:eastAsia="Calibri" w:hAnsi="Verdana" w:cs="Times New Roman"/>
          <w:sz w:val="21"/>
          <w:szCs w:val="21"/>
          <w:lang w:val="es-ES" w:eastAsia="es-MX"/>
        </w:rPr>
        <w:t>2.11. Suministro y/o instalación de dotación y/o de mobiliario interno o externo para infraestructura de servicio público.</w:t>
      </w:r>
    </w:p>
    <w:p w14:paraId="2AD3E829" w14:textId="77777777" w:rsidR="008A0B27" w:rsidRDefault="008A0B27" w:rsidP="008A0B27">
      <w:pPr>
        <w:spacing w:after="120" w:line="276" w:lineRule="auto"/>
        <w:ind w:left="709" w:right="709"/>
        <w:jc w:val="both"/>
        <w:rPr>
          <w:rFonts w:ascii="Verdana" w:eastAsia="Calibri" w:hAnsi="Verdana" w:cs="Times New Roman"/>
          <w:sz w:val="21"/>
          <w:szCs w:val="21"/>
          <w:lang w:val="es-ES" w:eastAsia="es-MX"/>
        </w:rPr>
      </w:pPr>
      <w:r w:rsidRPr="0006395C">
        <w:rPr>
          <w:rFonts w:ascii="Verdana" w:eastAsia="Calibri" w:hAnsi="Verdana" w:cs="Times New Roman"/>
          <w:sz w:val="21"/>
          <w:szCs w:val="21"/>
          <w:lang w:val="es-ES" w:eastAsia="es-MX"/>
        </w:rPr>
        <w:t>2.12. Proyectos de suministro y/o instalación de equipos especiales, electromecánicos, electrónicos, maquinaria u otros tipos de equipos para infraestructura de servicio público</w:t>
      </w:r>
      <w:r>
        <w:rPr>
          <w:rFonts w:ascii="Verdana" w:eastAsia="Calibri" w:hAnsi="Verdana" w:cs="Times New Roman"/>
          <w:sz w:val="21"/>
          <w:szCs w:val="21"/>
          <w:lang w:val="es-ES" w:eastAsia="es-MX"/>
        </w:rPr>
        <w:t>”.</w:t>
      </w:r>
    </w:p>
    <w:p w14:paraId="1E7E40F8" w14:textId="77777777" w:rsidR="008A0B27" w:rsidRPr="0006395C" w:rsidRDefault="008A0B27" w:rsidP="008A0B27">
      <w:pPr>
        <w:spacing w:after="120" w:line="276" w:lineRule="auto"/>
        <w:ind w:left="709" w:right="709"/>
        <w:jc w:val="both"/>
        <w:rPr>
          <w:rFonts w:ascii="Verdana" w:eastAsia="Calibri" w:hAnsi="Verdana" w:cs="Times New Roman"/>
          <w:sz w:val="21"/>
          <w:szCs w:val="21"/>
          <w:lang w:val="es-ES" w:eastAsia="es-MX"/>
        </w:rPr>
      </w:pPr>
    </w:p>
    <w:p w14:paraId="6C8F2CED" w14:textId="77777777" w:rsidR="008A0B27" w:rsidRPr="00A259BD" w:rsidRDefault="008A0B27" w:rsidP="008A0B27">
      <w:pPr>
        <w:spacing w:after="120" w:line="276" w:lineRule="auto"/>
        <w:ind w:firstLine="708"/>
        <w:jc w:val="both"/>
        <w:rPr>
          <w:rFonts w:ascii="Verdana" w:eastAsia="Calibri" w:hAnsi="Verdana" w:cs="Times New Roman"/>
          <w:lang w:eastAsia="es-MX"/>
        </w:rPr>
      </w:pPr>
      <w:r w:rsidRPr="00A259BD">
        <w:rPr>
          <w:rFonts w:ascii="Verdana" w:eastAsia="Calibri" w:hAnsi="Verdana" w:cs="Times New Roman"/>
          <w:lang w:eastAsia="es-MX"/>
        </w:rPr>
        <w:t xml:space="preserve">En el caso planteado en la petición, referido a la compraventa de bienes muebles, elementos de organización documental y apoyos operativos y ergonómicos requeridos para el funcionamiento y fortalecimiento de la gestión administrativa, el negocio jurídico se aproxima, en principio, a un contrato de compraventa. En este tipo de contrato, el objeto principal es la entrega de un </w:t>
      </w:r>
      <w:r w:rsidRPr="00A259BD">
        <w:rPr>
          <w:rFonts w:ascii="Verdana" w:eastAsia="Calibri" w:hAnsi="Verdana" w:cs="Times New Roman"/>
          <w:lang w:eastAsia="es-MX"/>
        </w:rPr>
        <w:lastRenderedPageBreak/>
        <w:t xml:space="preserve">bien existente o por producir para transferirlo al comprador y los documentos tipo aplican a contratos denominado como de “obra pública”. </w:t>
      </w:r>
    </w:p>
    <w:p w14:paraId="4BBB8133" w14:textId="77777777" w:rsidR="008A0B27" w:rsidRDefault="008A0B27" w:rsidP="008A0B27">
      <w:pPr>
        <w:spacing w:after="120" w:line="276" w:lineRule="auto"/>
        <w:ind w:firstLine="708"/>
        <w:jc w:val="both"/>
        <w:rPr>
          <w:rFonts w:ascii="Verdana" w:eastAsia="Calibri" w:hAnsi="Verdana" w:cs="Times New Roman"/>
          <w:lang w:eastAsia="es-MX"/>
        </w:rPr>
      </w:pPr>
      <w:r w:rsidRPr="00A259BD">
        <w:rPr>
          <w:rFonts w:ascii="Verdana" w:eastAsia="Calibri" w:hAnsi="Verdana" w:cs="Times New Roman"/>
          <w:lang w:eastAsia="es-MX"/>
        </w:rPr>
        <w:t>En tal sentido, el artículo 1 de cada una de las Resoluciones 539, 540 y 541 de 2025, se establece que estos documentos tipo aplican a: “(…) los procesos de obra pública de infraestructura social” que se adelanten en cada una de las modalidades que estas acogen. Es decir, que los documentos tipo señalados aplica, para los contratos “(…) que celebren las entidades estatales para la construcción, mantenimiento, instalación y, en general, para la realización de cualquier otro trabajo material sobre bienes inmuebles, cualquiera que sea la modalidad de ejecución y pago”.</w:t>
      </w:r>
    </w:p>
    <w:p w14:paraId="73585A2A" w14:textId="77777777" w:rsidR="008A0B27" w:rsidRPr="00A259BD" w:rsidRDefault="008A0B27" w:rsidP="008A0B27">
      <w:pPr>
        <w:spacing w:after="120" w:line="276" w:lineRule="auto"/>
        <w:ind w:firstLine="708"/>
        <w:jc w:val="both"/>
        <w:rPr>
          <w:rFonts w:ascii="Verdana" w:eastAsia="Calibri" w:hAnsi="Verdana" w:cs="Times New Roman"/>
          <w:lang w:eastAsia="es-MX"/>
        </w:rPr>
      </w:pPr>
      <w:r w:rsidRPr="00A259BD">
        <w:rPr>
          <w:rFonts w:ascii="Verdana" w:eastAsia="Calibri" w:hAnsi="Verdana" w:cs="Times New Roman"/>
          <w:lang w:eastAsia="es-MX"/>
        </w:rPr>
        <w:t>En consecuencia, esta Agencia considera necesario que la entidad realice una valoración integral de las actividades y obligaciones del contrato para determinar el régimen contractual y jurídico aplicable y, con ello, establecer si le corresponde o no utilizar los documentos tipo del sector institucional.</w:t>
      </w:r>
    </w:p>
    <w:p w14:paraId="1F87F8E4" w14:textId="77777777" w:rsidR="008A0B27" w:rsidRPr="00310611" w:rsidRDefault="008A0B27" w:rsidP="008A0B27">
      <w:pPr>
        <w:spacing w:after="120" w:line="276" w:lineRule="auto"/>
        <w:jc w:val="both"/>
        <w:rPr>
          <w:rFonts w:ascii="Verdana" w:eastAsia="Century Gothic" w:hAnsi="Verdana" w:cs="Century Gothic"/>
          <w:lang w:val="es-ES"/>
        </w:rPr>
      </w:pPr>
      <w:r>
        <w:rPr>
          <w:rFonts w:ascii="Verdana" w:eastAsia="Calibri" w:hAnsi="Verdana" w:cs="Times New Roman"/>
          <w:lang w:eastAsia="es-MX"/>
        </w:rPr>
        <w:t xml:space="preserve">II). </w:t>
      </w:r>
      <w:r w:rsidRPr="00310611">
        <w:rPr>
          <w:rFonts w:ascii="Verdana" w:eastAsia="Arial" w:hAnsi="Verdana" w:cs="Arial"/>
          <w:color w:val="000000" w:themeColor="text1"/>
          <w:lang w:val="es-ES"/>
        </w:rPr>
        <w:t xml:space="preserve">El artículo 1º de la Ley 80 de 1993 – Estatuto General de Contratación de la Administración Pública, en adelante EGCAP– determina que su objetivo es disponer de reglas y principios que rigen los contratos de las Entidades Estatales. En ese sentido, el artículo 32 </w:t>
      </w:r>
      <w:r w:rsidRPr="00310611">
        <w:rPr>
          <w:rFonts w:ascii="Verdana" w:eastAsia="Arial" w:hAnsi="Verdana" w:cs="Arial"/>
          <w:i/>
          <w:iCs/>
          <w:color w:val="000000" w:themeColor="text1"/>
          <w:lang w:val="es-ES"/>
        </w:rPr>
        <w:t>ibidem</w:t>
      </w:r>
      <w:r w:rsidRPr="00310611">
        <w:rPr>
          <w:rFonts w:ascii="Verdana" w:eastAsia="Arial" w:hAnsi="Verdana" w:cs="Arial"/>
          <w:color w:val="000000" w:themeColor="text1"/>
          <w:lang w:val="es-ES"/>
        </w:rPr>
        <w:t xml:space="preserve"> define los contratos estatales como “todos los actos jurídicos, generadores de obligaciones que celebren las entidades a que se refiere este estatuto [artículo 2], previstos en el derecho privado o en disposiciones especiales, o derivados del ejercicio de la autonomía de la voluntad”. </w:t>
      </w:r>
      <w:r w:rsidRPr="00310611">
        <w:rPr>
          <w:rFonts w:ascii="Verdana" w:eastAsia="Arial" w:hAnsi="Verdana" w:cs="Arial"/>
          <w:color w:val="000000" w:themeColor="text1"/>
          <w:lang w:val="es-ES"/>
        </w:rPr>
        <w:tab/>
      </w:r>
    </w:p>
    <w:p w14:paraId="3E64116E" w14:textId="77777777" w:rsidR="008A0B27" w:rsidRPr="00310611" w:rsidRDefault="008A0B27" w:rsidP="008A0B27">
      <w:pPr>
        <w:pStyle w:val="Textoindependiente"/>
        <w:spacing w:line="276" w:lineRule="auto"/>
        <w:ind w:firstLine="708"/>
        <w:jc w:val="both"/>
      </w:pPr>
      <w:r w:rsidRPr="00310611">
        <w:t xml:space="preserve">De acuerdo con lo anterior, </w:t>
      </w:r>
      <w:bookmarkStart w:id="1" w:name="_Hlk150759794"/>
      <w:r w:rsidRPr="00310611">
        <w:t>para la definición de contrato estatal basta con que una de las Entidades que enumera el artículo 2º de la Ley 80 de 1993</w:t>
      </w:r>
      <w:r w:rsidRPr="00310611">
        <w:rPr>
          <w:vertAlign w:val="superscript"/>
        </w:rPr>
        <w:footnoteReference w:id="2"/>
      </w:r>
      <w:r w:rsidRPr="00310611">
        <w:t xml:space="preserve"> </w:t>
      </w:r>
      <w:r w:rsidRPr="00310611">
        <w:lastRenderedPageBreak/>
        <w:t>sea una de las partes, sin importar el extremo de la relación jurídico negocial que</w:t>
      </w:r>
      <w:r w:rsidRPr="00310611">
        <w:rPr>
          <w:spacing w:val="-14"/>
        </w:rPr>
        <w:t xml:space="preserve"> </w:t>
      </w:r>
      <w:r w:rsidRPr="00310611">
        <w:t>asuma. Al respecto, el Consejo de Estado ha sostenido que el criterio definitorio de un contrato estatal es que haya sido celebrado por una Entidad Estatal</w:t>
      </w:r>
      <w:bookmarkEnd w:id="1"/>
      <w:r w:rsidRPr="00310611">
        <w:t>:</w:t>
      </w:r>
    </w:p>
    <w:p w14:paraId="1FFD7132" w14:textId="77777777" w:rsidR="008A0B27" w:rsidRPr="00310611" w:rsidRDefault="008A0B27" w:rsidP="008A0B27">
      <w:pPr>
        <w:pStyle w:val="Textoindependiente"/>
        <w:spacing w:line="276" w:lineRule="auto"/>
        <w:ind w:firstLine="708"/>
        <w:jc w:val="both"/>
      </w:pPr>
    </w:p>
    <w:p w14:paraId="58EC4289" w14:textId="77777777" w:rsidR="008A0B27" w:rsidRPr="00310611" w:rsidRDefault="008A0B27" w:rsidP="008A0B27">
      <w:pPr>
        <w:widowControl w:val="0"/>
        <w:tabs>
          <w:tab w:val="left" w:pos="7797"/>
        </w:tabs>
        <w:autoSpaceDE w:val="0"/>
        <w:autoSpaceDN w:val="0"/>
        <w:spacing w:after="0" w:line="240" w:lineRule="auto"/>
        <w:ind w:left="709" w:right="709"/>
        <w:contextualSpacing/>
        <w:jc w:val="both"/>
        <w:rPr>
          <w:rFonts w:ascii="Verdana" w:eastAsia="Arial" w:hAnsi="Verdana" w:cs="Arial"/>
          <w:color w:val="000000" w:themeColor="text1"/>
          <w:sz w:val="20"/>
          <w:szCs w:val="20"/>
          <w:lang w:val="es-ES"/>
        </w:rPr>
      </w:pPr>
      <w:r w:rsidRPr="00310611">
        <w:rPr>
          <w:rFonts w:ascii="Verdana" w:eastAsia="Arial" w:hAnsi="Verdana" w:cs="Arial"/>
          <w:color w:val="000000" w:themeColor="text1"/>
          <w:sz w:val="20"/>
          <w:szCs w:val="20"/>
          <w:lang w:val="es-ES"/>
        </w:rPr>
        <w:t>“Nótese cómo, elemento esencial para calificar de estatal un contrato, es que haya sido celebrado por una entidad estatal, es decir, una entidad pública con capacidad legal para celebrarlo. Dicho de otro modo, no existen contratos estatales celebrados entre particulares, ni siquiera cuando éstos han sido habilitados legalmente para el ejercicio de funciones</w:t>
      </w:r>
      <w:r w:rsidRPr="00310611">
        <w:rPr>
          <w:rFonts w:ascii="Verdana" w:eastAsia="Arial" w:hAnsi="Verdana" w:cs="Arial"/>
          <w:color w:val="000000" w:themeColor="text1"/>
          <w:spacing w:val="-4"/>
          <w:sz w:val="20"/>
          <w:szCs w:val="20"/>
          <w:lang w:val="es-ES"/>
        </w:rPr>
        <w:t xml:space="preserve"> </w:t>
      </w:r>
      <w:r w:rsidRPr="00310611">
        <w:rPr>
          <w:rFonts w:ascii="Verdana" w:eastAsia="Arial" w:hAnsi="Verdana" w:cs="Arial"/>
          <w:color w:val="000000" w:themeColor="text1"/>
          <w:sz w:val="20"/>
          <w:szCs w:val="20"/>
          <w:lang w:val="es-ES"/>
        </w:rPr>
        <w:t>públicas”</w:t>
      </w:r>
      <w:r w:rsidRPr="00310611">
        <w:rPr>
          <w:rFonts w:ascii="Verdana" w:eastAsia="Arial" w:hAnsi="Verdana" w:cs="Arial"/>
          <w:color w:val="000000" w:themeColor="text1"/>
          <w:sz w:val="20"/>
          <w:szCs w:val="20"/>
          <w:vertAlign w:val="superscript"/>
          <w:lang w:val="es-ES"/>
        </w:rPr>
        <w:footnoteReference w:id="3"/>
      </w:r>
      <w:r w:rsidRPr="00310611">
        <w:rPr>
          <w:rFonts w:ascii="Verdana" w:eastAsia="Arial" w:hAnsi="Verdana" w:cs="Arial"/>
          <w:color w:val="000000" w:themeColor="text1"/>
          <w:sz w:val="20"/>
          <w:szCs w:val="20"/>
          <w:lang w:val="es-ES"/>
        </w:rPr>
        <w:t>.</w:t>
      </w:r>
    </w:p>
    <w:p w14:paraId="7AC16486" w14:textId="77777777" w:rsidR="008A0B27" w:rsidRPr="00310611" w:rsidRDefault="008A0B27" w:rsidP="008A0B27">
      <w:pPr>
        <w:widowControl w:val="0"/>
        <w:tabs>
          <w:tab w:val="left" w:pos="7797"/>
        </w:tabs>
        <w:autoSpaceDE w:val="0"/>
        <w:autoSpaceDN w:val="0"/>
        <w:spacing w:after="0" w:line="276" w:lineRule="auto"/>
        <w:ind w:left="709" w:right="709"/>
        <w:contextualSpacing/>
        <w:jc w:val="both"/>
        <w:rPr>
          <w:rFonts w:ascii="Verdana" w:eastAsia="Arial" w:hAnsi="Verdana" w:cs="Arial"/>
          <w:color w:val="000000" w:themeColor="text1"/>
          <w:lang w:val="es-ES"/>
        </w:rPr>
      </w:pPr>
    </w:p>
    <w:p w14:paraId="683A51F4" w14:textId="77777777" w:rsidR="008A0B27" w:rsidRPr="00310611" w:rsidRDefault="008A0B27" w:rsidP="008A0B27">
      <w:pPr>
        <w:widowControl w:val="0"/>
        <w:autoSpaceDE w:val="0"/>
        <w:autoSpaceDN w:val="0"/>
        <w:spacing w:after="120" w:line="276" w:lineRule="auto"/>
        <w:ind w:firstLine="607"/>
        <w:jc w:val="both"/>
        <w:rPr>
          <w:rFonts w:ascii="Verdana" w:eastAsia="Arial" w:hAnsi="Verdana" w:cs="Arial"/>
          <w:color w:val="000000" w:themeColor="text1"/>
          <w:lang w:val="es-ES"/>
        </w:rPr>
      </w:pPr>
      <w:r w:rsidRPr="00310611">
        <w:rPr>
          <w:rFonts w:ascii="Verdana" w:eastAsia="Arial" w:hAnsi="Verdana" w:cs="Arial"/>
          <w:color w:val="000000" w:themeColor="text1"/>
          <w:lang w:val="es-ES"/>
        </w:rPr>
        <w:t xml:space="preserve">Así pues, el contrato estatal es el acto jurídico creador de obligaciones en cuya celebración concurre una de las Entidades Estatales, independientemente de que se trate de contratos previstos o tipificados en el derecho privado, en disposiciones especiales o que sencillamente resulten del ejercicio de la autonomía de la voluntad, como sucede con los que se clasifican como atípicos e innominados –artículo 32 de la Ley 80–. </w:t>
      </w:r>
    </w:p>
    <w:p w14:paraId="2066DF6D" w14:textId="77777777" w:rsidR="008A0B27" w:rsidRPr="00310611" w:rsidRDefault="008A0B27" w:rsidP="008A0B27">
      <w:pPr>
        <w:widowControl w:val="0"/>
        <w:autoSpaceDE w:val="0"/>
        <w:autoSpaceDN w:val="0"/>
        <w:spacing w:after="120" w:line="276" w:lineRule="auto"/>
        <w:ind w:firstLine="607"/>
        <w:jc w:val="both"/>
        <w:rPr>
          <w:rFonts w:ascii="Verdana" w:eastAsia="Arial" w:hAnsi="Verdana" w:cs="Arial"/>
          <w:color w:val="000000" w:themeColor="text1"/>
          <w:lang w:val="es-ES"/>
        </w:rPr>
      </w:pPr>
      <w:r w:rsidRPr="00310611">
        <w:rPr>
          <w:rFonts w:ascii="Verdana" w:eastAsia="Arial" w:hAnsi="Verdana" w:cs="Arial"/>
          <w:color w:val="000000" w:themeColor="text1"/>
          <w:lang w:val="es-ES"/>
        </w:rPr>
        <w:t>Los artículos 13 y 40 de la Ley 80 de 1993 integran al derecho contractual estatal “las disposiciones comerciales y civiles pertinentes”, cuando indican que estos se regirán de forma supletiva por ese régimen jurídico, salvo en las materias expresa y particularmente reguladas por el EGCAP. Lo anterior, permite concluir que “mediante la Ley 80, se pretendió que la actividad contractual del Estado quedará</w:t>
      </w:r>
      <w:r w:rsidRPr="00310611">
        <w:rPr>
          <w:rFonts w:ascii="Verdana" w:eastAsia="Arial" w:hAnsi="Verdana" w:cs="Arial"/>
          <w:lang w:val="es-ES"/>
        </w:rPr>
        <w:t xml:space="preserve"> </w:t>
      </w:r>
      <w:r w:rsidRPr="00310611">
        <w:rPr>
          <w:rFonts w:ascii="Verdana" w:eastAsia="Arial" w:hAnsi="Verdana" w:cs="Arial"/>
          <w:color w:val="000000" w:themeColor="text1"/>
          <w:lang w:val="es-ES"/>
        </w:rPr>
        <w:t>bajo la égida del contrato estatal, caracterizado por tener un régimen jurídico mixto, integrado por normas de derecho público y derecho privado”</w:t>
      </w:r>
      <w:r w:rsidRPr="00310611">
        <w:rPr>
          <w:rFonts w:ascii="Verdana" w:eastAsia="Arial" w:hAnsi="Verdana" w:cs="Arial"/>
          <w:color w:val="000000" w:themeColor="text1"/>
          <w:vertAlign w:val="superscript"/>
          <w:lang w:val="es-ES"/>
        </w:rPr>
        <w:footnoteReference w:id="4"/>
      </w:r>
      <w:r w:rsidRPr="00310611">
        <w:rPr>
          <w:rFonts w:ascii="Verdana" w:eastAsia="Arial" w:hAnsi="Verdana" w:cs="Arial"/>
          <w:color w:val="000000" w:themeColor="text1"/>
          <w:lang w:val="es-ES"/>
        </w:rPr>
        <w:t xml:space="preserve">. </w:t>
      </w:r>
    </w:p>
    <w:p w14:paraId="25960DA6" w14:textId="77777777" w:rsidR="008A0B27" w:rsidRPr="00310611" w:rsidRDefault="008A0B27" w:rsidP="008A0B27">
      <w:pPr>
        <w:spacing w:after="120" w:line="276" w:lineRule="auto"/>
        <w:ind w:firstLine="709"/>
        <w:jc w:val="both"/>
        <w:rPr>
          <w:rFonts w:ascii="Verdana" w:eastAsia="Calibri" w:hAnsi="Verdana" w:cs="Arial"/>
          <w:lang w:val="es-ES"/>
        </w:rPr>
      </w:pPr>
      <w:bookmarkStart w:id="2" w:name="_Hlk121750642"/>
      <w:r w:rsidRPr="00310611">
        <w:rPr>
          <w:rFonts w:ascii="Verdana" w:hAnsi="Verdana" w:cs="Arial"/>
          <w:color w:val="000000" w:themeColor="text1"/>
          <w:lang w:val="es-ES"/>
        </w:rPr>
        <w:t xml:space="preserve">Ahora bien, es preciso mencionar que las </w:t>
      </w:r>
      <w:r w:rsidRPr="00310611">
        <w:rPr>
          <w:rFonts w:ascii="Verdana" w:eastAsia="Calibri" w:hAnsi="Verdana" w:cs="Arial"/>
          <w:lang w:val="es-ES"/>
        </w:rPr>
        <w:t xml:space="preserve">Entidades Estatales regidas por el EGCAP están habilitadas para celebrar los contratos que suelen celebrar los particulares entre sí, en ejercicio de la autonomía de la voluntad privada. En ese sentido, puede ocurrir que dentro de la gestión ordinaria de sus competencias las entidades tengan necesidades que deban ser satisfechas a través de contratos como la compraventa – al que se refiere en su consulta –, comodato </w:t>
      </w:r>
      <w:r w:rsidRPr="00310611">
        <w:rPr>
          <w:rFonts w:ascii="Verdana" w:eastAsia="Calibri" w:hAnsi="Verdana" w:cs="Arial"/>
          <w:lang w:val="es-ES"/>
        </w:rPr>
        <w:lastRenderedPageBreak/>
        <w:t xml:space="preserve">o administración, en los que además de las disposiciones del EGCAP deberán aplicarse en su mayoría normas de derecho privado, lo que de ninguna manera desvirtúa la calidad de estatal de dichos contratos. </w:t>
      </w:r>
      <w:bookmarkEnd w:id="2"/>
    </w:p>
    <w:p w14:paraId="089663DD" w14:textId="77777777" w:rsidR="008A0B27" w:rsidRPr="00310611" w:rsidRDefault="008A0B27" w:rsidP="008A0B27">
      <w:pPr>
        <w:spacing w:after="120" w:line="276" w:lineRule="auto"/>
        <w:ind w:firstLine="709"/>
        <w:jc w:val="both"/>
        <w:rPr>
          <w:rFonts w:ascii="Verdana" w:eastAsia="Calibri" w:hAnsi="Verdana" w:cs="Arial"/>
          <w:lang w:val="es-ES"/>
        </w:rPr>
      </w:pPr>
      <w:r w:rsidRPr="00310611">
        <w:rPr>
          <w:rFonts w:ascii="Verdana" w:eastAsia="Calibri" w:hAnsi="Verdana" w:cs="Arial"/>
          <w:color w:val="000000" w:themeColor="text1"/>
          <w:lang w:val="es-ES"/>
        </w:rPr>
        <w:t xml:space="preserve">Teniendo en cuenta el objeto de su consulta, es pertinente indicar que </w:t>
      </w:r>
      <w:r w:rsidRPr="00310611">
        <w:rPr>
          <w:rFonts w:ascii="Verdana" w:hAnsi="Verdana" w:cs="Arial"/>
          <w:bCs/>
          <w:color w:val="000000" w:themeColor="text1"/>
          <w:lang w:val="es-ES"/>
        </w:rPr>
        <w:t>la Ley 80 de 1993</w:t>
      </w:r>
      <w:r w:rsidRPr="00310611">
        <w:rPr>
          <w:rFonts w:ascii="Verdana" w:hAnsi="Verdana" w:cs="Arial"/>
          <w:lang w:val="es-ES"/>
        </w:rPr>
        <w:t xml:space="preserve"> define los contratos estatales en el artículo 32 y establece un listado enunciativo. De acuerdo con esta disposición, todos los actos jurídicos, cualquiera que sea su denominación, que celebren las entidades a las que se refiere el EGCAP y que generen obligaciones, son contratos estatales</w:t>
      </w:r>
      <w:r w:rsidRPr="00310611">
        <w:rPr>
          <w:rStyle w:val="Refdenotaalpie"/>
          <w:rFonts w:ascii="Verdana" w:hAnsi="Verdana" w:cs="Arial"/>
          <w:bCs/>
          <w:color w:val="000000" w:themeColor="text1"/>
          <w:lang w:val="es-ES"/>
        </w:rPr>
        <w:footnoteReference w:id="5"/>
      </w:r>
      <w:r w:rsidRPr="00310611">
        <w:rPr>
          <w:rFonts w:ascii="Verdana" w:hAnsi="Verdana" w:cs="Arial"/>
          <w:lang w:val="es-ES"/>
        </w:rPr>
        <w:t xml:space="preserve">. Entre los contratos que enuncia el artículo 32 </w:t>
      </w:r>
      <w:r w:rsidRPr="00310611">
        <w:rPr>
          <w:rFonts w:ascii="Verdana" w:hAnsi="Verdana" w:cs="Arial"/>
          <w:i/>
          <w:iCs/>
          <w:lang w:val="es-ES"/>
        </w:rPr>
        <w:t>ibidem</w:t>
      </w:r>
      <w:r w:rsidRPr="00310611">
        <w:rPr>
          <w:rFonts w:ascii="Verdana" w:hAnsi="Verdana" w:cs="Arial"/>
          <w:lang w:val="es-ES"/>
        </w:rPr>
        <w:t xml:space="preserve"> se encuentran el contrato de obra, el contrato de consultoría, el contrato de prestación de servicios, el contrato de concesión y los encargos fiduciarios y fiducia pública. </w:t>
      </w:r>
    </w:p>
    <w:p w14:paraId="0C81BE80" w14:textId="77777777" w:rsidR="008A0B27" w:rsidRPr="00310611" w:rsidRDefault="008A0B27" w:rsidP="008A0B27">
      <w:pPr>
        <w:spacing w:after="120" w:line="276" w:lineRule="auto"/>
        <w:ind w:firstLine="708"/>
        <w:jc w:val="both"/>
        <w:rPr>
          <w:rFonts w:ascii="Verdana" w:hAnsi="Verdana" w:cs="Arial"/>
          <w:bCs/>
          <w:color w:val="000000" w:themeColor="text1"/>
          <w:lang w:val="es-ES"/>
        </w:rPr>
      </w:pPr>
      <w:r w:rsidRPr="00310611">
        <w:rPr>
          <w:rFonts w:ascii="Verdana" w:hAnsi="Verdana" w:cs="Arial"/>
          <w:lang w:val="es-ES" w:eastAsia="es-MX"/>
        </w:rPr>
        <w:t>Aunque el contrato de compraventa no hace parte del listado enunciativo del</w:t>
      </w:r>
      <w:r w:rsidRPr="00310611">
        <w:rPr>
          <w:rFonts w:ascii="Verdana" w:hAnsi="Verdana" w:cs="Arial"/>
          <w:bCs/>
          <w:color w:val="000000" w:themeColor="text1"/>
          <w:lang w:val="es-ES"/>
        </w:rPr>
        <w:t xml:space="preserve"> artículo 32 de la Ley 80 de 1993, su regulación se encuentra en el Código Civil y en el Código de Comercio, principalmente, los artículos 1849 y siguientes del Código Civil que lo desarrollan. Particularmente, </w:t>
      </w:r>
      <w:r w:rsidRPr="00310611">
        <w:rPr>
          <w:rFonts w:ascii="Verdana" w:eastAsia="Calibri" w:hAnsi="Verdana" w:cs="Arial"/>
          <w:color w:val="000000" w:themeColor="text1"/>
          <w:lang w:val="es-ES"/>
        </w:rPr>
        <w:t xml:space="preserve">el artículo </w:t>
      </w:r>
      <w:r w:rsidRPr="00310611">
        <w:rPr>
          <w:rFonts w:ascii="Verdana" w:hAnsi="Verdana" w:cs="Arial"/>
          <w:bCs/>
          <w:color w:val="000000" w:themeColor="text1"/>
          <w:lang w:val="es-ES"/>
        </w:rPr>
        <w:t xml:space="preserve">1849 </w:t>
      </w:r>
      <w:r w:rsidRPr="00310611">
        <w:rPr>
          <w:rFonts w:ascii="Verdana" w:eastAsia="Calibri" w:hAnsi="Verdana" w:cs="Arial"/>
          <w:color w:val="000000" w:themeColor="text1"/>
          <w:lang w:val="es-ES"/>
        </w:rPr>
        <w:t xml:space="preserve">del Código Civil define el contrato de </w:t>
      </w:r>
      <w:r w:rsidRPr="00310611">
        <w:rPr>
          <w:rFonts w:ascii="Verdana" w:hAnsi="Verdana" w:cs="Arial"/>
          <w:lang w:val="es-ES" w:eastAsia="es-MX"/>
        </w:rPr>
        <w:t xml:space="preserve">compraventa </w:t>
      </w:r>
      <w:r w:rsidRPr="00310611">
        <w:rPr>
          <w:rFonts w:ascii="Verdana" w:eastAsia="Calibri" w:hAnsi="Verdana" w:cs="Arial"/>
          <w:color w:val="000000" w:themeColor="text1"/>
          <w:lang w:val="es-ES"/>
        </w:rPr>
        <w:t>como aquel “[…] en que una de las partes se obliga a dar una cosa y la otra a pagarla en dinero. Aquélla se dice vender y ésta comprar. El dinero que el comprador da por la cosa vendida se llama precio”. Por otra parte, el artículo 905 del Código de Comercio preceptúa que la compraventa es un contrato “[…]en que una de las partes se obliga a trasmitir la propiedad de una cosa y la otra a pagarla en dinero. El dinero que el comprador da por la cosa vendida se llama precio.” Se trata pues del acuerdo de voluntades en virtud del cual una parte se obliga a dar una cosa y la otra a pagarla en dinero. Tratándose de bienes raíces, el contrato se perfecciona cuando el acuerdo sobre la cosa y el precio se eleva a escritura pública, por lo que se reputa solemne: si el acuerdo no se contiene en ese instrumento público, no produce los efectos que está llamado a generar.</w:t>
      </w:r>
    </w:p>
    <w:p w14:paraId="6875E43A" w14:textId="77777777" w:rsidR="008A0B27" w:rsidRPr="00310611" w:rsidRDefault="008A0B27" w:rsidP="008A0B27">
      <w:pPr>
        <w:spacing w:after="120" w:line="276" w:lineRule="auto"/>
        <w:ind w:firstLine="708"/>
        <w:jc w:val="both"/>
        <w:rPr>
          <w:rFonts w:ascii="Verdana" w:eastAsia="Calibri" w:hAnsi="Verdana" w:cs="Arial"/>
          <w:color w:val="000000" w:themeColor="text1"/>
          <w:lang w:val="es-ES"/>
        </w:rPr>
      </w:pPr>
      <w:r w:rsidRPr="00310611">
        <w:rPr>
          <w:rFonts w:ascii="Verdana" w:eastAsia="Calibri" w:hAnsi="Verdana" w:cs="Arial"/>
          <w:color w:val="000000" w:themeColor="text1"/>
          <w:lang w:val="es-ES"/>
        </w:rPr>
        <w:t xml:space="preserve">En cuanto a los elementos esenciales particulares del contrato de compraventa, de suerte que si falta uno no hay contrato o degenera en uno distinto, son: a) la cosa u objeto mismo del contrato; y b) el precio convenido; la cosa vendida, que es el objeto de la obligación del vendedor, debe existir o </w:t>
      </w:r>
      <w:r w:rsidRPr="00310611">
        <w:rPr>
          <w:rFonts w:ascii="Verdana" w:eastAsia="Calibri" w:hAnsi="Verdana" w:cs="Arial"/>
          <w:color w:val="000000" w:themeColor="text1"/>
          <w:lang w:val="es-ES"/>
        </w:rPr>
        <w:lastRenderedPageBreak/>
        <w:t xml:space="preserve">esperarse que exista, ser susceptible de ser vendida (comerciable) y singularizada (determinada); y el precio, que es la obligación del comprador, y debe ser en dinero o su equivalente, real, determinado y serio. Cuando se trate de la compraventa de bienes inmuebles, también es requisito la escritura pública, solemnidad constitutiva o ad </w:t>
      </w:r>
      <w:proofErr w:type="spellStart"/>
      <w:r w:rsidRPr="00310611">
        <w:rPr>
          <w:rFonts w:ascii="Verdana" w:eastAsia="Calibri" w:hAnsi="Verdana" w:cs="Arial"/>
          <w:color w:val="000000" w:themeColor="text1"/>
          <w:lang w:val="es-ES"/>
        </w:rPr>
        <w:t>substantiam</w:t>
      </w:r>
      <w:proofErr w:type="spellEnd"/>
      <w:r w:rsidRPr="00310611">
        <w:rPr>
          <w:rFonts w:ascii="Verdana" w:eastAsia="Calibri" w:hAnsi="Verdana" w:cs="Arial"/>
          <w:color w:val="000000" w:themeColor="text1"/>
          <w:lang w:val="es-ES"/>
        </w:rPr>
        <w:t xml:space="preserve"> </w:t>
      </w:r>
      <w:proofErr w:type="spellStart"/>
      <w:r w:rsidRPr="00310611">
        <w:rPr>
          <w:rFonts w:ascii="Verdana" w:eastAsia="Calibri" w:hAnsi="Verdana" w:cs="Arial"/>
          <w:color w:val="000000" w:themeColor="text1"/>
          <w:lang w:val="es-ES"/>
        </w:rPr>
        <w:t>actus</w:t>
      </w:r>
      <w:proofErr w:type="spellEnd"/>
      <w:r w:rsidRPr="00310611">
        <w:rPr>
          <w:rFonts w:ascii="Verdana" w:eastAsia="Calibri" w:hAnsi="Verdana" w:cs="Arial"/>
          <w:color w:val="000000" w:themeColor="text1"/>
          <w:lang w:val="es-ES"/>
        </w:rPr>
        <w:t xml:space="preserve"> y ad </w:t>
      </w:r>
      <w:proofErr w:type="spellStart"/>
      <w:r w:rsidRPr="00310611">
        <w:rPr>
          <w:rFonts w:ascii="Verdana" w:eastAsia="Calibri" w:hAnsi="Verdana" w:cs="Arial"/>
          <w:color w:val="000000" w:themeColor="text1"/>
          <w:lang w:val="es-ES"/>
        </w:rPr>
        <w:t>probationem</w:t>
      </w:r>
      <w:proofErr w:type="spellEnd"/>
      <w:r w:rsidRPr="00310611">
        <w:rPr>
          <w:rFonts w:ascii="Verdana" w:eastAsia="Calibri" w:hAnsi="Verdana" w:cs="Arial"/>
          <w:color w:val="000000" w:themeColor="text1"/>
          <w:lang w:val="es-ES"/>
        </w:rPr>
        <w:t>, según el artículo 1857 del Código Civil, por cuya inteligencia “[l]a venta se reputa perfecta desde que las partes han convenido en la cosa y en el precio, salvo las excepciones siguientes: la venta de los bienes raíces y servidumbres y la de una sucesión hereditaria, no se reputan perfectas ante la ley, mientras no se ha otorgado escritura pública</w:t>
      </w:r>
      <w:r w:rsidRPr="00310611">
        <w:rPr>
          <w:rStyle w:val="Refdenotaalpie"/>
          <w:rFonts w:ascii="Verdana" w:eastAsia="Calibri" w:hAnsi="Verdana" w:cs="Arial"/>
          <w:color w:val="000000" w:themeColor="text1"/>
          <w:lang w:val="es-ES"/>
        </w:rPr>
        <w:footnoteReference w:id="6"/>
      </w:r>
      <w:r w:rsidRPr="00310611">
        <w:rPr>
          <w:rFonts w:ascii="Verdana" w:eastAsia="Calibri" w:hAnsi="Verdana" w:cs="Arial"/>
          <w:color w:val="000000" w:themeColor="text1"/>
          <w:lang w:val="es-ES"/>
        </w:rPr>
        <w:t>.”</w:t>
      </w:r>
    </w:p>
    <w:p w14:paraId="0DC179F6" w14:textId="77777777" w:rsidR="008A0B27" w:rsidRPr="00310611" w:rsidRDefault="008A0B27" w:rsidP="008A0B27">
      <w:pPr>
        <w:spacing w:after="120" w:line="276" w:lineRule="auto"/>
        <w:ind w:firstLine="708"/>
        <w:jc w:val="both"/>
        <w:rPr>
          <w:rFonts w:ascii="Verdana" w:eastAsia="Calibri" w:hAnsi="Verdana" w:cs="Arial"/>
          <w:color w:val="000000" w:themeColor="text1"/>
        </w:rPr>
      </w:pPr>
      <w:r w:rsidRPr="00310611">
        <w:rPr>
          <w:rFonts w:ascii="Verdana" w:eastAsia="Calibri" w:hAnsi="Verdana" w:cs="Arial"/>
          <w:color w:val="000000" w:themeColor="text1"/>
        </w:rPr>
        <w:t xml:space="preserve">De manera pues, que para que exista el contrato de venta se requiere un precio convenido entre las partes, “sine </w:t>
      </w:r>
      <w:proofErr w:type="spellStart"/>
      <w:r w:rsidRPr="00310611">
        <w:rPr>
          <w:rFonts w:ascii="Verdana" w:eastAsia="Calibri" w:hAnsi="Verdana" w:cs="Arial"/>
          <w:color w:val="000000" w:themeColor="text1"/>
        </w:rPr>
        <w:t>pretio</w:t>
      </w:r>
      <w:proofErr w:type="spellEnd"/>
      <w:r w:rsidRPr="00310611">
        <w:rPr>
          <w:rFonts w:ascii="Verdana" w:eastAsia="Calibri" w:hAnsi="Verdana" w:cs="Arial"/>
          <w:color w:val="000000" w:themeColor="text1"/>
        </w:rPr>
        <w:t xml:space="preserve"> </w:t>
      </w:r>
      <w:proofErr w:type="spellStart"/>
      <w:r w:rsidRPr="00310611">
        <w:rPr>
          <w:rFonts w:ascii="Verdana" w:eastAsia="Calibri" w:hAnsi="Verdana" w:cs="Arial"/>
          <w:color w:val="000000" w:themeColor="text1"/>
        </w:rPr>
        <w:t>nulla</w:t>
      </w:r>
      <w:proofErr w:type="spellEnd"/>
      <w:r w:rsidRPr="00310611">
        <w:rPr>
          <w:rFonts w:ascii="Verdana" w:eastAsia="Calibri" w:hAnsi="Verdana" w:cs="Arial"/>
          <w:color w:val="000000" w:themeColor="text1"/>
        </w:rPr>
        <w:t xml:space="preserve"> </w:t>
      </w:r>
      <w:proofErr w:type="spellStart"/>
      <w:r w:rsidRPr="00310611">
        <w:rPr>
          <w:rFonts w:ascii="Verdana" w:eastAsia="Calibri" w:hAnsi="Verdana" w:cs="Arial"/>
          <w:color w:val="000000" w:themeColor="text1"/>
        </w:rPr>
        <w:t>venditio</w:t>
      </w:r>
      <w:proofErr w:type="spellEnd"/>
      <w:r w:rsidRPr="00310611">
        <w:rPr>
          <w:rFonts w:ascii="Verdana" w:eastAsia="Calibri" w:hAnsi="Verdana" w:cs="Arial"/>
          <w:color w:val="000000" w:themeColor="text1"/>
        </w:rPr>
        <w:t xml:space="preserve"> </w:t>
      </w:r>
      <w:proofErr w:type="spellStart"/>
      <w:r w:rsidRPr="00310611">
        <w:rPr>
          <w:rFonts w:ascii="Verdana" w:eastAsia="Calibri" w:hAnsi="Verdana" w:cs="Arial"/>
          <w:color w:val="000000" w:themeColor="text1"/>
        </w:rPr>
        <w:t>est</w:t>
      </w:r>
      <w:proofErr w:type="spellEnd"/>
      <w:r w:rsidRPr="00310611">
        <w:rPr>
          <w:rFonts w:ascii="Verdana" w:eastAsia="Calibri" w:hAnsi="Verdana" w:cs="Arial"/>
          <w:color w:val="000000" w:themeColor="text1"/>
        </w:rPr>
        <w:t>”, que significa en las voces del artículo 1849 del Código Civil “el dinero que el comprador da por la cosa vendida”, y que debe estipularse por la cosa al menos en su mitad (art. 1850 C.C.). Para que el precio sea válido y eficaz: (i) debe ser cierto, esto es, determinado o determinable; (</w:t>
      </w:r>
      <w:proofErr w:type="spellStart"/>
      <w:r w:rsidRPr="00310611">
        <w:rPr>
          <w:rFonts w:ascii="Verdana" w:eastAsia="Calibri" w:hAnsi="Verdana" w:cs="Arial"/>
          <w:color w:val="000000" w:themeColor="text1"/>
        </w:rPr>
        <w:t>ii</w:t>
      </w:r>
      <w:proofErr w:type="spellEnd"/>
      <w:r w:rsidRPr="00310611">
        <w:rPr>
          <w:rFonts w:ascii="Verdana" w:eastAsia="Calibri" w:hAnsi="Verdana" w:cs="Arial"/>
          <w:color w:val="000000" w:themeColor="text1"/>
        </w:rPr>
        <w:t>) debe ser justo, significa que no debe ser inferior su cuantía a la mitad del justo valor de la cosa que se compra, para que no sea injusto o vil y no quede, como se verá más adelante, afectado por lesión enorme si se trata de la compraventa de bienes inmuebles, que permite pedir su rescisión (art. 1946 C.C.); (</w:t>
      </w:r>
      <w:proofErr w:type="spellStart"/>
      <w:r w:rsidRPr="00310611">
        <w:rPr>
          <w:rFonts w:ascii="Verdana" w:eastAsia="Calibri" w:hAnsi="Verdana" w:cs="Arial"/>
          <w:color w:val="000000" w:themeColor="text1"/>
        </w:rPr>
        <w:t>iii</w:t>
      </w:r>
      <w:proofErr w:type="spellEnd"/>
      <w:r w:rsidRPr="00310611">
        <w:rPr>
          <w:rFonts w:ascii="Verdana" w:eastAsia="Calibri" w:hAnsi="Verdana" w:cs="Arial"/>
          <w:color w:val="000000" w:themeColor="text1"/>
        </w:rPr>
        <w:t>) debe ser serio, por oposición a irrisorio, esto es, cuando exista una manifiesta desproporción, o aparezca ridículo, y (</w:t>
      </w:r>
      <w:proofErr w:type="spellStart"/>
      <w:r w:rsidRPr="00310611">
        <w:rPr>
          <w:rFonts w:ascii="Verdana" w:eastAsia="Calibri" w:hAnsi="Verdana" w:cs="Arial"/>
          <w:color w:val="000000" w:themeColor="text1"/>
        </w:rPr>
        <w:t>iv</w:t>
      </w:r>
      <w:proofErr w:type="spellEnd"/>
      <w:r w:rsidRPr="00310611">
        <w:rPr>
          <w:rFonts w:ascii="Verdana" w:eastAsia="Calibri" w:hAnsi="Verdana" w:cs="Arial"/>
          <w:color w:val="000000" w:themeColor="text1"/>
        </w:rPr>
        <w:t>) debe ser real, verdadero, esto es, con la intención de ser pagado por el vendedor y exigido por el comprador, lo cual excluye que sea simulado</w:t>
      </w:r>
      <w:r w:rsidRPr="00310611">
        <w:rPr>
          <w:rStyle w:val="Refdenotaalpie"/>
          <w:rFonts w:ascii="Verdana" w:eastAsia="Calibri" w:hAnsi="Verdana" w:cs="Arial"/>
          <w:color w:val="000000" w:themeColor="text1"/>
        </w:rPr>
        <w:footnoteReference w:id="7"/>
      </w:r>
      <w:r w:rsidRPr="00310611">
        <w:rPr>
          <w:rFonts w:ascii="Verdana" w:eastAsia="Calibri" w:hAnsi="Verdana" w:cs="Arial"/>
          <w:color w:val="000000" w:themeColor="text1"/>
        </w:rPr>
        <w:t>.</w:t>
      </w:r>
    </w:p>
    <w:p w14:paraId="527093A1" w14:textId="77777777" w:rsidR="008A0B27" w:rsidRPr="00310611" w:rsidRDefault="008A0B27" w:rsidP="008A0B27">
      <w:pPr>
        <w:spacing w:after="120" w:line="276" w:lineRule="auto"/>
        <w:ind w:firstLine="708"/>
        <w:jc w:val="both"/>
        <w:rPr>
          <w:rFonts w:ascii="Verdana" w:eastAsia="Calibri" w:hAnsi="Verdana" w:cs="Arial"/>
          <w:color w:val="000000" w:themeColor="text1"/>
          <w:lang w:val="es-ES"/>
        </w:rPr>
      </w:pPr>
      <w:r w:rsidRPr="00310611">
        <w:rPr>
          <w:rFonts w:ascii="Verdana" w:eastAsia="Calibri" w:hAnsi="Verdana" w:cs="Arial"/>
          <w:color w:val="000000" w:themeColor="text1"/>
          <w:lang w:val="es-ES"/>
        </w:rPr>
        <w:t xml:space="preserve">Ahora bien, frente a la consulta planteada debe precisarse que la modalidad de selección aplicable a los contratos de compraventa de bienes inmuebles depende del régimen jurídico que rija a la Entidad Estatal. Si la entidad se rige por el derecho privado, es decir, si está exceptuada del Estatuto General de Contratación de la Administración Pública, en principio debe aplicar las normas civiles y comerciales pertinentes, que permiten la celebración directa del contrato de compraventa. No obstante, si el reglamento o manual interno de </w:t>
      </w:r>
      <w:r w:rsidRPr="00310611">
        <w:rPr>
          <w:rFonts w:ascii="Verdana" w:eastAsia="Calibri" w:hAnsi="Verdana" w:cs="Arial"/>
          <w:color w:val="000000" w:themeColor="text1"/>
          <w:lang w:val="es-ES"/>
        </w:rPr>
        <w:lastRenderedPageBreak/>
        <w:t>contratación de la entidad establece un procedimiento especial, este prevalece sobre la regla general.</w:t>
      </w:r>
    </w:p>
    <w:p w14:paraId="43DC6958" w14:textId="77777777" w:rsidR="008A0B27" w:rsidRPr="00310611" w:rsidRDefault="008A0B27" w:rsidP="008A0B27">
      <w:pPr>
        <w:spacing w:after="120" w:line="276" w:lineRule="auto"/>
        <w:ind w:firstLine="708"/>
        <w:jc w:val="both"/>
        <w:rPr>
          <w:rFonts w:ascii="Verdana" w:eastAsia="Calibri" w:hAnsi="Verdana" w:cs="Arial"/>
          <w:color w:val="000000" w:themeColor="text1"/>
          <w:lang w:val="es-ES"/>
        </w:rPr>
      </w:pPr>
      <w:r w:rsidRPr="00310611">
        <w:rPr>
          <w:rFonts w:ascii="Verdana" w:eastAsia="Calibri" w:hAnsi="Verdana" w:cs="Arial"/>
          <w:color w:val="000000" w:themeColor="text1"/>
          <w:lang w:val="es-ES"/>
        </w:rPr>
        <w:t>En contraste, si la entidad se encuentra sometida al Estatuto General de Contratación de la Administración Pública, deberá acudir a la modalidad de contratación directa, dado que el artículo 2º, numeral 4°, literal i) de la Ley 1150 de 2007 dispone expresamente como causal de este procedimiento el “arrendamiento o adquisición de inmuebles”.</w:t>
      </w:r>
    </w:p>
    <w:p w14:paraId="79C23759" w14:textId="77777777" w:rsidR="008A0B27" w:rsidRPr="00310611" w:rsidRDefault="008A0B27" w:rsidP="008A0B27">
      <w:pPr>
        <w:spacing w:after="120" w:line="276" w:lineRule="auto"/>
        <w:jc w:val="both"/>
        <w:rPr>
          <w:rFonts w:ascii="Verdana" w:eastAsia="Century Gothic" w:hAnsi="Verdana" w:cs="Century Gothic"/>
          <w:lang w:val="es-ES"/>
        </w:rPr>
      </w:pPr>
      <w:r>
        <w:rPr>
          <w:rFonts w:ascii="Verdana" w:eastAsia="Calibri" w:hAnsi="Verdana" w:cs="Arial"/>
          <w:bCs/>
          <w:noProof/>
          <w:color w:val="000000"/>
          <w:lang w:val="es-ES" w:eastAsia="es-ES_tradnl"/>
        </w:rPr>
        <w:t xml:space="preserve">II). </w:t>
      </w:r>
      <w:r w:rsidRPr="00310611">
        <w:rPr>
          <w:rFonts w:ascii="Verdana" w:eastAsia="Arial" w:hAnsi="Verdana" w:cs="Arial"/>
          <w:color w:val="000000" w:themeColor="text1"/>
          <w:lang w:val="es-ES"/>
        </w:rPr>
        <w:t xml:space="preserve">El artículo 1º de la Ley 80 de 1993 – Estatuto General de Contratación de la Administración Pública, en adelante EGCAP– determina que su objetivo es disponer de reglas y principios que rigen los contratos de las Entidades Estatales. En ese sentido, el artículo 32 </w:t>
      </w:r>
      <w:r w:rsidRPr="00310611">
        <w:rPr>
          <w:rFonts w:ascii="Verdana" w:eastAsia="Arial" w:hAnsi="Verdana" w:cs="Arial"/>
          <w:i/>
          <w:iCs/>
          <w:color w:val="000000" w:themeColor="text1"/>
          <w:lang w:val="es-ES"/>
        </w:rPr>
        <w:t>ibidem</w:t>
      </w:r>
      <w:r w:rsidRPr="00310611">
        <w:rPr>
          <w:rFonts w:ascii="Verdana" w:eastAsia="Arial" w:hAnsi="Verdana" w:cs="Arial"/>
          <w:color w:val="000000" w:themeColor="text1"/>
          <w:lang w:val="es-ES"/>
        </w:rPr>
        <w:t xml:space="preserve"> define los contratos estatales como “todos los actos jurídicos, generadores de obligaciones que celebren las entidades a que se refiere este estatuto [artículo 2], previstos en el derecho privado o en disposiciones especiales, o derivados del ejercicio de la autonomía de la voluntad”. </w:t>
      </w:r>
      <w:r w:rsidRPr="00310611">
        <w:rPr>
          <w:rFonts w:ascii="Verdana" w:eastAsia="Arial" w:hAnsi="Verdana" w:cs="Arial"/>
          <w:color w:val="000000" w:themeColor="text1"/>
          <w:lang w:val="es-ES"/>
        </w:rPr>
        <w:tab/>
      </w:r>
    </w:p>
    <w:p w14:paraId="2AD23E21" w14:textId="77777777" w:rsidR="008A0B27" w:rsidRPr="00310611" w:rsidRDefault="008A0B27" w:rsidP="008A0B27">
      <w:pPr>
        <w:pStyle w:val="Textoindependiente"/>
        <w:spacing w:line="276" w:lineRule="auto"/>
        <w:ind w:firstLine="708"/>
        <w:jc w:val="both"/>
      </w:pPr>
      <w:r w:rsidRPr="00310611">
        <w:t>De acuerdo con lo anterior, para la definición de contrato estatal basta con que una de las Entidades que enumera el artículo 2º de la Ley 80 de 1993</w:t>
      </w:r>
      <w:r w:rsidRPr="00310611">
        <w:rPr>
          <w:vertAlign w:val="superscript"/>
        </w:rPr>
        <w:footnoteReference w:id="8"/>
      </w:r>
      <w:r w:rsidRPr="00310611">
        <w:t xml:space="preserve"> sea una de las partes, sin importar el extremo de la relación jurídico negocial que</w:t>
      </w:r>
      <w:r w:rsidRPr="00310611">
        <w:rPr>
          <w:spacing w:val="-14"/>
        </w:rPr>
        <w:t xml:space="preserve"> </w:t>
      </w:r>
      <w:r w:rsidRPr="00310611">
        <w:t>asuma. Al respecto, el Consejo de Estado ha sostenido que el criterio definitorio de un contrato estatal es que haya sido celebrado por una Entidad Estatal:</w:t>
      </w:r>
    </w:p>
    <w:p w14:paraId="5EA647EF" w14:textId="77777777" w:rsidR="008A0B27" w:rsidRPr="00310611" w:rsidRDefault="008A0B27" w:rsidP="008A0B27">
      <w:pPr>
        <w:pStyle w:val="Textoindependiente"/>
        <w:spacing w:line="276" w:lineRule="auto"/>
        <w:ind w:firstLine="708"/>
        <w:jc w:val="both"/>
      </w:pPr>
    </w:p>
    <w:p w14:paraId="2C2294C3" w14:textId="77777777" w:rsidR="008A0B27" w:rsidRPr="00310611" w:rsidRDefault="008A0B27" w:rsidP="008A0B27">
      <w:pPr>
        <w:widowControl w:val="0"/>
        <w:tabs>
          <w:tab w:val="left" w:pos="7797"/>
        </w:tabs>
        <w:autoSpaceDE w:val="0"/>
        <w:autoSpaceDN w:val="0"/>
        <w:spacing w:after="0" w:line="240" w:lineRule="auto"/>
        <w:ind w:left="709" w:right="709"/>
        <w:contextualSpacing/>
        <w:jc w:val="both"/>
        <w:rPr>
          <w:rFonts w:ascii="Verdana" w:eastAsia="Arial" w:hAnsi="Verdana" w:cs="Arial"/>
          <w:color w:val="000000" w:themeColor="text1"/>
          <w:sz w:val="20"/>
          <w:szCs w:val="20"/>
          <w:lang w:val="es-ES"/>
        </w:rPr>
      </w:pPr>
      <w:r w:rsidRPr="00310611">
        <w:rPr>
          <w:rFonts w:ascii="Verdana" w:eastAsia="Arial" w:hAnsi="Verdana" w:cs="Arial"/>
          <w:color w:val="000000" w:themeColor="text1"/>
          <w:sz w:val="20"/>
          <w:szCs w:val="20"/>
          <w:lang w:val="es-ES"/>
        </w:rPr>
        <w:t xml:space="preserve">“Nótese cómo, elemento esencial para calificar de estatal un contrato, es que haya sido celebrado por una entidad estatal, es decir, una entidad </w:t>
      </w:r>
      <w:r w:rsidRPr="00310611">
        <w:rPr>
          <w:rFonts w:ascii="Verdana" w:eastAsia="Arial" w:hAnsi="Verdana" w:cs="Arial"/>
          <w:color w:val="000000" w:themeColor="text1"/>
          <w:sz w:val="20"/>
          <w:szCs w:val="20"/>
          <w:lang w:val="es-ES"/>
        </w:rPr>
        <w:lastRenderedPageBreak/>
        <w:t>pública con capacidad legal para celebrarlo. Dicho de otro modo, no existen contratos estatales celebrados entre particulares, ni siquiera cuando éstos han sido habilitados legalmente para el ejercicio de funciones</w:t>
      </w:r>
      <w:r w:rsidRPr="00310611">
        <w:rPr>
          <w:rFonts w:ascii="Verdana" w:eastAsia="Arial" w:hAnsi="Verdana" w:cs="Arial"/>
          <w:color w:val="000000" w:themeColor="text1"/>
          <w:spacing w:val="-4"/>
          <w:sz w:val="20"/>
          <w:szCs w:val="20"/>
          <w:lang w:val="es-ES"/>
        </w:rPr>
        <w:t xml:space="preserve"> </w:t>
      </w:r>
      <w:r w:rsidRPr="00310611">
        <w:rPr>
          <w:rFonts w:ascii="Verdana" w:eastAsia="Arial" w:hAnsi="Verdana" w:cs="Arial"/>
          <w:color w:val="000000" w:themeColor="text1"/>
          <w:sz w:val="20"/>
          <w:szCs w:val="20"/>
          <w:lang w:val="es-ES"/>
        </w:rPr>
        <w:t>públicas”</w:t>
      </w:r>
      <w:r w:rsidRPr="00310611">
        <w:rPr>
          <w:rFonts w:ascii="Verdana" w:eastAsia="Arial" w:hAnsi="Verdana" w:cs="Arial"/>
          <w:color w:val="000000" w:themeColor="text1"/>
          <w:sz w:val="20"/>
          <w:szCs w:val="20"/>
          <w:vertAlign w:val="superscript"/>
          <w:lang w:val="es-ES"/>
        </w:rPr>
        <w:footnoteReference w:id="9"/>
      </w:r>
      <w:r w:rsidRPr="00310611">
        <w:rPr>
          <w:rFonts w:ascii="Verdana" w:eastAsia="Arial" w:hAnsi="Verdana" w:cs="Arial"/>
          <w:color w:val="000000" w:themeColor="text1"/>
          <w:sz w:val="20"/>
          <w:szCs w:val="20"/>
          <w:lang w:val="es-ES"/>
        </w:rPr>
        <w:t>.</w:t>
      </w:r>
    </w:p>
    <w:p w14:paraId="45B1B6C2" w14:textId="77777777" w:rsidR="008A0B27" w:rsidRPr="00310611" w:rsidRDefault="008A0B27" w:rsidP="008A0B27">
      <w:pPr>
        <w:widowControl w:val="0"/>
        <w:tabs>
          <w:tab w:val="left" w:pos="7797"/>
        </w:tabs>
        <w:autoSpaceDE w:val="0"/>
        <w:autoSpaceDN w:val="0"/>
        <w:spacing w:after="0" w:line="276" w:lineRule="auto"/>
        <w:ind w:left="709" w:right="709"/>
        <w:contextualSpacing/>
        <w:jc w:val="both"/>
        <w:rPr>
          <w:rFonts w:ascii="Verdana" w:eastAsia="Arial" w:hAnsi="Verdana" w:cs="Arial"/>
          <w:color w:val="000000" w:themeColor="text1"/>
          <w:lang w:val="es-ES"/>
        </w:rPr>
      </w:pPr>
    </w:p>
    <w:p w14:paraId="4DBD19FA" w14:textId="77777777" w:rsidR="008A0B27" w:rsidRPr="00310611" w:rsidRDefault="008A0B27" w:rsidP="008A0B27">
      <w:pPr>
        <w:widowControl w:val="0"/>
        <w:autoSpaceDE w:val="0"/>
        <w:autoSpaceDN w:val="0"/>
        <w:spacing w:after="120" w:line="276" w:lineRule="auto"/>
        <w:ind w:firstLine="607"/>
        <w:jc w:val="both"/>
        <w:rPr>
          <w:rFonts w:ascii="Verdana" w:eastAsia="Arial" w:hAnsi="Verdana" w:cs="Arial"/>
          <w:color w:val="000000" w:themeColor="text1"/>
          <w:lang w:val="es-ES"/>
        </w:rPr>
      </w:pPr>
      <w:r w:rsidRPr="00310611">
        <w:rPr>
          <w:rFonts w:ascii="Verdana" w:eastAsia="Arial" w:hAnsi="Verdana" w:cs="Arial"/>
          <w:color w:val="000000" w:themeColor="text1"/>
          <w:lang w:val="es-ES"/>
        </w:rPr>
        <w:t xml:space="preserve">Así pues, el contrato estatal es el acto jurídico creador de obligaciones en cuya celebración concurre una de las Entidades Estatales, independientemente de que se trate de contratos previstos o tipificados en el derecho privado, en disposiciones especiales o que sencillamente resulten del ejercicio de la autonomía de la voluntad, como sucede con los que se clasifican como atípicos e innominados –artículo 32 de la Ley 80–. </w:t>
      </w:r>
    </w:p>
    <w:p w14:paraId="6A9A5C11" w14:textId="77777777" w:rsidR="008A0B27" w:rsidRPr="00310611" w:rsidRDefault="008A0B27" w:rsidP="008A0B27">
      <w:pPr>
        <w:widowControl w:val="0"/>
        <w:autoSpaceDE w:val="0"/>
        <w:autoSpaceDN w:val="0"/>
        <w:spacing w:after="120" w:line="276" w:lineRule="auto"/>
        <w:ind w:firstLine="607"/>
        <w:jc w:val="both"/>
        <w:rPr>
          <w:rFonts w:ascii="Verdana" w:eastAsia="Arial" w:hAnsi="Verdana" w:cs="Arial"/>
          <w:color w:val="000000" w:themeColor="text1"/>
          <w:lang w:val="es-ES"/>
        </w:rPr>
      </w:pPr>
      <w:r w:rsidRPr="00310611">
        <w:rPr>
          <w:rFonts w:ascii="Verdana" w:eastAsia="Arial" w:hAnsi="Verdana" w:cs="Arial"/>
          <w:color w:val="000000" w:themeColor="text1"/>
          <w:lang w:val="es-ES"/>
        </w:rPr>
        <w:t>Los artículos 13 y 40 de la Ley 80 de 1993 integran al derecho contractual estatal “las disposiciones comerciales y civiles pertinentes”, cuando indican que estos se regirán de forma supletiva por ese régimen jurídico, salvo en las materias expresa y particularmente reguladas por el EGCAP. Lo anterior, permite concluir que “mediante la Ley 80, se pretendió que la actividad contractual del Estado quedará</w:t>
      </w:r>
      <w:r w:rsidRPr="00310611">
        <w:rPr>
          <w:rFonts w:ascii="Verdana" w:eastAsia="Arial" w:hAnsi="Verdana" w:cs="Arial"/>
          <w:lang w:val="es-ES"/>
        </w:rPr>
        <w:t xml:space="preserve"> </w:t>
      </w:r>
      <w:r w:rsidRPr="00310611">
        <w:rPr>
          <w:rFonts w:ascii="Verdana" w:eastAsia="Arial" w:hAnsi="Verdana" w:cs="Arial"/>
          <w:color w:val="000000" w:themeColor="text1"/>
          <w:lang w:val="es-ES"/>
        </w:rPr>
        <w:t>bajo la égida del contrato estatal, caracterizado por tener un régimen jurídico mixto, integrado por normas de derecho público y derecho privado”</w:t>
      </w:r>
      <w:r w:rsidRPr="00310611">
        <w:rPr>
          <w:rFonts w:ascii="Verdana" w:eastAsia="Arial" w:hAnsi="Verdana" w:cs="Arial"/>
          <w:color w:val="000000" w:themeColor="text1"/>
          <w:vertAlign w:val="superscript"/>
          <w:lang w:val="es-ES"/>
        </w:rPr>
        <w:footnoteReference w:id="10"/>
      </w:r>
      <w:r w:rsidRPr="00310611">
        <w:rPr>
          <w:rFonts w:ascii="Verdana" w:eastAsia="Arial" w:hAnsi="Verdana" w:cs="Arial"/>
          <w:color w:val="000000" w:themeColor="text1"/>
          <w:lang w:val="es-ES"/>
        </w:rPr>
        <w:t xml:space="preserve">. </w:t>
      </w:r>
    </w:p>
    <w:p w14:paraId="3ECAE69F" w14:textId="77777777" w:rsidR="008A0B27" w:rsidRPr="00310611" w:rsidRDefault="008A0B27" w:rsidP="008A0B27">
      <w:pPr>
        <w:spacing w:after="120" w:line="276" w:lineRule="auto"/>
        <w:ind w:firstLine="709"/>
        <w:jc w:val="both"/>
        <w:rPr>
          <w:rFonts w:ascii="Verdana" w:eastAsia="Calibri" w:hAnsi="Verdana" w:cs="Arial"/>
          <w:lang w:val="es-ES"/>
        </w:rPr>
      </w:pPr>
      <w:r w:rsidRPr="00310611">
        <w:rPr>
          <w:rFonts w:ascii="Verdana" w:hAnsi="Verdana" w:cs="Arial"/>
          <w:color w:val="000000" w:themeColor="text1"/>
          <w:lang w:val="es-ES"/>
        </w:rPr>
        <w:t xml:space="preserve">Ahora bien, es preciso mencionar que las </w:t>
      </w:r>
      <w:r w:rsidRPr="00310611">
        <w:rPr>
          <w:rFonts w:ascii="Verdana" w:eastAsia="Calibri" w:hAnsi="Verdana" w:cs="Arial"/>
          <w:lang w:val="es-ES"/>
        </w:rPr>
        <w:t xml:space="preserve">Entidades Estatales regidas por el EGCAP están habilitadas para celebrar los contratos que suelen celebrar los particulares entre sí, en ejercicio de la autonomía de la voluntad privada. En ese sentido, puede ocurrir que dentro de la gestión ordinaria de sus competencias las entidades tengan necesidades que deban ser satisfechas a través de contratos como la compraventa – al que se refiere en su consulta –, comodato o administración, en los que además de las disposiciones del EGCAP deberán aplicarse en su mayoría normas de derecho privado, lo que de ninguna manera desvirtúa la calidad de estatal de dichos contratos. </w:t>
      </w:r>
    </w:p>
    <w:p w14:paraId="08FE3190" w14:textId="77777777" w:rsidR="008A0B27" w:rsidRPr="00310611" w:rsidRDefault="008A0B27" w:rsidP="008A0B27">
      <w:pPr>
        <w:spacing w:after="120" w:line="276" w:lineRule="auto"/>
        <w:ind w:firstLine="709"/>
        <w:jc w:val="both"/>
        <w:rPr>
          <w:rFonts w:ascii="Verdana" w:eastAsia="Calibri" w:hAnsi="Verdana" w:cs="Arial"/>
          <w:lang w:val="es-ES"/>
        </w:rPr>
      </w:pPr>
      <w:r w:rsidRPr="00310611">
        <w:rPr>
          <w:rFonts w:ascii="Verdana" w:eastAsia="Calibri" w:hAnsi="Verdana" w:cs="Arial"/>
          <w:color w:val="000000" w:themeColor="text1"/>
          <w:lang w:val="es-ES"/>
        </w:rPr>
        <w:t xml:space="preserve">Teniendo en cuenta el objeto de su consulta, es pertinente indicar que </w:t>
      </w:r>
      <w:r w:rsidRPr="00310611">
        <w:rPr>
          <w:rFonts w:ascii="Verdana" w:hAnsi="Verdana" w:cs="Arial"/>
          <w:bCs/>
          <w:color w:val="000000" w:themeColor="text1"/>
          <w:lang w:val="es-ES"/>
        </w:rPr>
        <w:t>la Ley 80 de 1993</w:t>
      </w:r>
      <w:r w:rsidRPr="00310611">
        <w:rPr>
          <w:rFonts w:ascii="Verdana" w:hAnsi="Verdana" w:cs="Arial"/>
          <w:lang w:val="es-ES"/>
        </w:rPr>
        <w:t xml:space="preserve"> define los contratos estatales en el artículo 32 y establece un listado enunciativo. De acuerdo con esta disposición, todos los actos jurídicos, </w:t>
      </w:r>
      <w:r w:rsidRPr="00310611">
        <w:rPr>
          <w:rFonts w:ascii="Verdana" w:hAnsi="Verdana" w:cs="Arial"/>
          <w:lang w:val="es-ES"/>
        </w:rPr>
        <w:lastRenderedPageBreak/>
        <w:t>cualquiera que sea su denominación, que celebren las entidades a las que se refiere el EGCAP y que generen obligaciones, son contratos estatales</w:t>
      </w:r>
      <w:r w:rsidRPr="00310611">
        <w:rPr>
          <w:rStyle w:val="Refdenotaalpie"/>
          <w:rFonts w:ascii="Verdana" w:hAnsi="Verdana" w:cs="Arial"/>
          <w:bCs/>
          <w:color w:val="000000" w:themeColor="text1"/>
          <w:lang w:val="es-ES"/>
        </w:rPr>
        <w:footnoteReference w:id="11"/>
      </w:r>
      <w:r w:rsidRPr="00310611">
        <w:rPr>
          <w:rFonts w:ascii="Verdana" w:hAnsi="Verdana" w:cs="Arial"/>
          <w:lang w:val="es-ES"/>
        </w:rPr>
        <w:t xml:space="preserve">. Entre los contratos que enuncia el artículo 32 </w:t>
      </w:r>
      <w:r w:rsidRPr="00310611">
        <w:rPr>
          <w:rFonts w:ascii="Verdana" w:hAnsi="Verdana" w:cs="Arial"/>
          <w:i/>
          <w:iCs/>
          <w:lang w:val="es-ES"/>
        </w:rPr>
        <w:t>ibidem</w:t>
      </w:r>
      <w:r w:rsidRPr="00310611">
        <w:rPr>
          <w:rFonts w:ascii="Verdana" w:hAnsi="Verdana" w:cs="Arial"/>
          <w:lang w:val="es-ES"/>
        </w:rPr>
        <w:t xml:space="preserve"> se encuentran el contrato de obra, el contrato de consultoría, el contrato de prestación de servicios, el contrato de concesión y los encargos fiduciarios y fiducia pública. </w:t>
      </w:r>
    </w:p>
    <w:p w14:paraId="1AC025F3" w14:textId="77777777" w:rsidR="008A0B27" w:rsidRPr="00310611" w:rsidRDefault="008A0B27" w:rsidP="008A0B27">
      <w:pPr>
        <w:spacing w:after="120" w:line="276" w:lineRule="auto"/>
        <w:ind w:firstLine="708"/>
        <w:jc w:val="both"/>
        <w:rPr>
          <w:rFonts w:ascii="Verdana" w:hAnsi="Verdana" w:cs="Arial"/>
          <w:bCs/>
          <w:color w:val="000000" w:themeColor="text1"/>
          <w:lang w:val="es-ES"/>
        </w:rPr>
      </w:pPr>
      <w:r w:rsidRPr="00310611">
        <w:rPr>
          <w:rFonts w:ascii="Verdana" w:hAnsi="Verdana" w:cs="Arial"/>
          <w:lang w:val="es-ES" w:eastAsia="es-MX"/>
        </w:rPr>
        <w:t>Aunque el contrato de compraventa no hace parte del listado enunciativo del</w:t>
      </w:r>
      <w:r w:rsidRPr="00310611">
        <w:rPr>
          <w:rFonts w:ascii="Verdana" w:hAnsi="Verdana" w:cs="Arial"/>
          <w:bCs/>
          <w:color w:val="000000" w:themeColor="text1"/>
          <w:lang w:val="es-ES"/>
        </w:rPr>
        <w:t xml:space="preserve"> artículo 32 de la Ley 80 de 1993, su regulación se encuentra en el Código Civil y en el Código de Comercio, principalmente, los artículos 1849 y siguientes del Código Civil que lo desarrollan. Particularmente, </w:t>
      </w:r>
      <w:r w:rsidRPr="00310611">
        <w:rPr>
          <w:rFonts w:ascii="Verdana" w:eastAsia="Calibri" w:hAnsi="Verdana" w:cs="Arial"/>
          <w:color w:val="000000" w:themeColor="text1"/>
          <w:lang w:val="es-ES"/>
        </w:rPr>
        <w:t xml:space="preserve">el artículo </w:t>
      </w:r>
      <w:r w:rsidRPr="00310611">
        <w:rPr>
          <w:rFonts w:ascii="Verdana" w:hAnsi="Verdana" w:cs="Arial"/>
          <w:bCs/>
          <w:color w:val="000000" w:themeColor="text1"/>
          <w:lang w:val="es-ES"/>
        </w:rPr>
        <w:t xml:space="preserve">1849 </w:t>
      </w:r>
      <w:r w:rsidRPr="00310611">
        <w:rPr>
          <w:rFonts w:ascii="Verdana" w:eastAsia="Calibri" w:hAnsi="Verdana" w:cs="Arial"/>
          <w:color w:val="000000" w:themeColor="text1"/>
          <w:lang w:val="es-ES"/>
        </w:rPr>
        <w:t xml:space="preserve">del Código Civil define el contrato de </w:t>
      </w:r>
      <w:r w:rsidRPr="00310611">
        <w:rPr>
          <w:rFonts w:ascii="Verdana" w:hAnsi="Verdana" w:cs="Arial"/>
          <w:lang w:val="es-ES" w:eastAsia="es-MX"/>
        </w:rPr>
        <w:t xml:space="preserve">compraventa </w:t>
      </w:r>
      <w:r w:rsidRPr="00310611">
        <w:rPr>
          <w:rFonts w:ascii="Verdana" w:eastAsia="Calibri" w:hAnsi="Verdana" w:cs="Arial"/>
          <w:color w:val="000000" w:themeColor="text1"/>
          <w:lang w:val="es-ES"/>
        </w:rPr>
        <w:t>como aquel “[…] en que una de las partes se obliga a dar una cosa y la otra a pagarla en dinero. Aquélla se dice vender y ésta comprar. El dinero que el comprador da por la cosa vendida se llama precio”. Por otra parte, el artículo 905 del Código de Comercio preceptúa que la compraventa es un contrato “[…]en que una de las partes se obliga a trasmitir la propiedad de una cosa y la otra a pagarla en dinero. El dinero que el comprador da por la cosa vendida se llama precio.” Se trata pues del acuerdo de voluntades en virtud del cual una parte se obliga a dar una cosa y la otra a pagarla en dinero. Tratándose de bienes raíces, el contrato se perfecciona cuando el acuerdo sobre la cosa y el precio se eleva a escritura pública, por lo que se reputa solemne: si el acuerdo no se contiene en ese instrumento público, no produce los efectos que está llamado a generar.</w:t>
      </w:r>
    </w:p>
    <w:p w14:paraId="587C9D70" w14:textId="77777777" w:rsidR="008A0B27" w:rsidRPr="00310611" w:rsidRDefault="008A0B27" w:rsidP="008A0B27">
      <w:pPr>
        <w:spacing w:after="120" w:line="276" w:lineRule="auto"/>
        <w:ind w:firstLine="708"/>
        <w:jc w:val="both"/>
        <w:rPr>
          <w:rFonts w:ascii="Verdana" w:eastAsia="Calibri" w:hAnsi="Verdana" w:cs="Arial"/>
          <w:color w:val="000000" w:themeColor="text1"/>
          <w:lang w:val="es-ES"/>
        </w:rPr>
      </w:pPr>
      <w:r w:rsidRPr="00310611">
        <w:rPr>
          <w:rFonts w:ascii="Verdana" w:eastAsia="Calibri" w:hAnsi="Verdana" w:cs="Arial"/>
          <w:color w:val="000000" w:themeColor="text1"/>
          <w:lang w:val="es-ES"/>
        </w:rPr>
        <w:t xml:space="preserve">En cuanto a los elementos esenciales particulares del contrato de compraventa, de suerte que si falta uno no hay contrato o degenera en uno distinto, son: a) la cosa u objeto mismo del contrato; y b) el precio convenido; la cosa vendida, que es el objeto de la obligación del vendedor, debe existir o esperarse que exista, ser susceptible de ser vendida (comerciable) y singularizada (determinada); y el precio, que es la obligación del comprador, y debe ser en dinero o su equivalente, real, determinado y serio. Cuando se trate de la compraventa de bienes inmuebles, también es requisito la escritura pública, solemnidad constitutiva o ad </w:t>
      </w:r>
      <w:proofErr w:type="spellStart"/>
      <w:r w:rsidRPr="00310611">
        <w:rPr>
          <w:rFonts w:ascii="Verdana" w:eastAsia="Calibri" w:hAnsi="Verdana" w:cs="Arial"/>
          <w:color w:val="000000" w:themeColor="text1"/>
          <w:lang w:val="es-ES"/>
        </w:rPr>
        <w:t>substantiam</w:t>
      </w:r>
      <w:proofErr w:type="spellEnd"/>
      <w:r w:rsidRPr="00310611">
        <w:rPr>
          <w:rFonts w:ascii="Verdana" w:eastAsia="Calibri" w:hAnsi="Verdana" w:cs="Arial"/>
          <w:color w:val="000000" w:themeColor="text1"/>
          <w:lang w:val="es-ES"/>
        </w:rPr>
        <w:t xml:space="preserve"> </w:t>
      </w:r>
      <w:proofErr w:type="spellStart"/>
      <w:r w:rsidRPr="00310611">
        <w:rPr>
          <w:rFonts w:ascii="Verdana" w:eastAsia="Calibri" w:hAnsi="Verdana" w:cs="Arial"/>
          <w:color w:val="000000" w:themeColor="text1"/>
          <w:lang w:val="es-ES"/>
        </w:rPr>
        <w:t>actus</w:t>
      </w:r>
      <w:proofErr w:type="spellEnd"/>
      <w:r w:rsidRPr="00310611">
        <w:rPr>
          <w:rFonts w:ascii="Verdana" w:eastAsia="Calibri" w:hAnsi="Verdana" w:cs="Arial"/>
          <w:color w:val="000000" w:themeColor="text1"/>
          <w:lang w:val="es-ES"/>
        </w:rPr>
        <w:t xml:space="preserve"> y ad </w:t>
      </w:r>
      <w:proofErr w:type="spellStart"/>
      <w:r w:rsidRPr="00310611">
        <w:rPr>
          <w:rFonts w:ascii="Verdana" w:eastAsia="Calibri" w:hAnsi="Verdana" w:cs="Arial"/>
          <w:color w:val="000000" w:themeColor="text1"/>
          <w:lang w:val="es-ES"/>
        </w:rPr>
        <w:t>probationem</w:t>
      </w:r>
      <w:proofErr w:type="spellEnd"/>
      <w:r w:rsidRPr="00310611">
        <w:rPr>
          <w:rFonts w:ascii="Verdana" w:eastAsia="Calibri" w:hAnsi="Verdana" w:cs="Arial"/>
          <w:color w:val="000000" w:themeColor="text1"/>
          <w:lang w:val="es-ES"/>
        </w:rPr>
        <w:t xml:space="preserve">, según el artículo 1857 del Código Civil, por cuya inteligencia “[l]a venta se reputa </w:t>
      </w:r>
      <w:r w:rsidRPr="00310611">
        <w:rPr>
          <w:rFonts w:ascii="Verdana" w:eastAsia="Calibri" w:hAnsi="Verdana" w:cs="Arial"/>
          <w:color w:val="000000" w:themeColor="text1"/>
          <w:lang w:val="es-ES"/>
        </w:rPr>
        <w:lastRenderedPageBreak/>
        <w:t>perfecta desde que las partes han convenido en la cosa y en el precio, salvo las excepciones siguientes: la venta de los bienes raíces y servidumbres y la de una sucesión hereditaria, no se reputan perfectas ante la ley, mientras no se ha otorgado escritura pública</w:t>
      </w:r>
      <w:r w:rsidRPr="00310611">
        <w:rPr>
          <w:rStyle w:val="Refdenotaalpie"/>
          <w:rFonts w:ascii="Verdana" w:eastAsia="Calibri" w:hAnsi="Verdana" w:cs="Arial"/>
          <w:color w:val="000000" w:themeColor="text1"/>
          <w:lang w:val="es-ES"/>
        </w:rPr>
        <w:footnoteReference w:id="12"/>
      </w:r>
      <w:r w:rsidRPr="00310611">
        <w:rPr>
          <w:rFonts w:ascii="Verdana" w:eastAsia="Calibri" w:hAnsi="Verdana" w:cs="Arial"/>
          <w:color w:val="000000" w:themeColor="text1"/>
          <w:lang w:val="es-ES"/>
        </w:rPr>
        <w:t>.”</w:t>
      </w:r>
    </w:p>
    <w:p w14:paraId="3FB0BA70" w14:textId="77777777" w:rsidR="008A0B27" w:rsidRPr="00310611" w:rsidRDefault="008A0B27" w:rsidP="008A0B27">
      <w:pPr>
        <w:spacing w:after="120" w:line="276" w:lineRule="auto"/>
        <w:ind w:firstLine="708"/>
        <w:jc w:val="both"/>
        <w:rPr>
          <w:rFonts w:ascii="Verdana" w:eastAsia="Calibri" w:hAnsi="Verdana" w:cs="Arial"/>
          <w:color w:val="000000" w:themeColor="text1"/>
        </w:rPr>
      </w:pPr>
      <w:r w:rsidRPr="00310611">
        <w:rPr>
          <w:rFonts w:ascii="Verdana" w:eastAsia="Calibri" w:hAnsi="Verdana" w:cs="Arial"/>
          <w:color w:val="000000" w:themeColor="text1"/>
        </w:rPr>
        <w:t xml:space="preserve">De manera pues, que para que exista el contrato de venta se requiere un precio convenido entre las partes, “sine </w:t>
      </w:r>
      <w:proofErr w:type="spellStart"/>
      <w:r w:rsidRPr="00310611">
        <w:rPr>
          <w:rFonts w:ascii="Verdana" w:eastAsia="Calibri" w:hAnsi="Verdana" w:cs="Arial"/>
          <w:color w:val="000000" w:themeColor="text1"/>
        </w:rPr>
        <w:t>pretio</w:t>
      </w:r>
      <w:proofErr w:type="spellEnd"/>
      <w:r w:rsidRPr="00310611">
        <w:rPr>
          <w:rFonts w:ascii="Verdana" w:eastAsia="Calibri" w:hAnsi="Verdana" w:cs="Arial"/>
          <w:color w:val="000000" w:themeColor="text1"/>
        </w:rPr>
        <w:t xml:space="preserve"> </w:t>
      </w:r>
      <w:proofErr w:type="spellStart"/>
      <w:r w:rsidRPr="00310611">
        <w:rPr>
          <w:rFonts w:ascii="Verdana" w:eastAsia="Calibri" w:hAnsi="Verdana" w:cs="Arial"/>
          <w:color w:val="000000" w:themeColor="text1"/>
        </w:rPr>
        <w:t>nulla</w:t>
      </w:r>
      <w:proofErr w:type="spellEnd"/>
      <w:r w:rsidRPr="00310611">
        <w:rPr>
          <w:rFonts w:ascii="Verdana" w:eastAsia="Calibri" w:hAnsi="Verdana" w:cs="Arial"/>
          <w:color w:val="000000" w:themeColor="text1"/>
        </w:rPr>
        <w:t xml:space="preserve"> </w:t>
      </w:r>
      <w:proofErr w:type="spellStart"/>
      <w:r w:rsidRPr="00310611">
        <w:rPr>
          <w:rFonts w:ascii="Verdana" w:eastAsia="Calibri" w:hAnsi="Verdana" w:cs="Arial"/>
          <w:color w:val="000000" w:themeColor="text1"/>
        </w:rPr>
        <w:t>venditio</w:t>
      </w:r>
      <w:proofErr w:type="spellEnd"/>
      <w:r w:rsidRPr="00310611">
        <w:rPr>
          <w:rFonts w:ascii="Verdana" w:eastAsia="Calibri" w:hAnsi="Verdana" w:cs="Arial"/>
          <w:color w:val="000000" w:themeColor="text1"/>
        </w:rPr>
        <w:t xml:space="preserve"> </w:t>
      </w:r>
      <w:proofErr w:type="spellStart"/>
      <w:r w:rsidRPr="00310611">
        <w:rPr>
          <w:rFonts w:ascii="Verdana" w:eastAsia="Calibri" w:hAnsi="Verdana" w:cs="Arial"/>
          <w:color w:val="000000" w:themeColor="text1"/>
        </w:rPr>
        <w:t>est</w:t>
      </w:r>
      <w:proofErr w:type="spellEnd"/>
      <w:r w:rsidRPr="00310611">
        <w:rPr>
          <w:rFonts w:ascii="Verdana" w:eastAsia="Calibri" w:hAnsi="Verdana" w:cs="Arial"/>
          <w:color w:val="000000" w:themeColor="text1"/>
        </w:rPr>
        <w:t>”, que significa en las voces del artículo 1849 del Código Civil “el dinero que el comprador da por la cosa vendida”, y que debe estipularse por la cosa al menos en su mitad (art. 1850 C.C.). Para que el precio sea válido y eficaz: (i) debe ser cierto, esto es, determinado o determinable; (</w:t>
      </w:r>
      <w:proofErr w:type="spellStart"/>
      <w:r w:rsidRPr="00310611">
        <w:rPr>
          <w:rFonts w:ascii="Verdana" w:eastAsia="Calibri" w:hAnsi="Verdana" w:cs="Arial"/>
          <w:color w:val="000000" w:themeColor="text1"/>
        </w:rPr>
        <w:t>ii</w:t>
      </w:r>
      <w:proofErr w:type="spellEnd"/>
      <w:r w:rsidRPr="00310611">
        <w:rPr>
          <w:rFonts w:ascii="Verdana" w:eastAsia="Calibri" w:hAnsi="Verdana" w:cs="Arial"/>
          <w:color w:val="000000" w:themeColor="text1"/>
        </w:rPr>
        <w:t>) debe ser justo, significa que no debe ser inferior su cuantía a la mitad del justo valor de la cosa que se compra, para que no sea injusto o vil y no quede, como se verá más adelante, afectado por lesión enorme si se trata de la compraventa de bienes inmuebles, que permite pedir su rescisión (art. 1946 C.C.); (</w:t>
      </w:r>
      <w:proofErr w:type="spellStart"/>
      <w:r w:rsidRPr="00310611">
        <w:rPr>
          <w:rFonts w:ascii="Verdana" w:eastAsia="Calibri" w:hAnsi="Verdana" w:cs="Arial"/>
          <w:color w:val="000000" w:themeColor="text1"/>
        </w:rPr>
        <w:t>iii</w:t>
      </w:r>
      <w:proofErr w:type="spellEnd"/>
      <w:r w:rsidRPr="00310611">
        <w:rPr>
          <w:rFonts w:ascii="Verdana" w:eastAsia="Calibri" w:hAnsi="Verdana" w:cs="Arial"/>
          <w:color w:val="000000" w:themeColor="text1"/>
        </w:rPr>
        <w:t>) debe ser serio, por oposición a irrisorio, esto es, cuando exista una manifiesta desproporción, o aparezca ridículo, y (</w:t>
      </w:r>
      <w:proofErr w:type="spellStart"/>
      <w:r w:rsidRPr="00310611">
        <w:rPr>
          <w:rFonts w:ascii="Verdana" w:eastAsia="Calibri" w:hAnsi="Verdana" w:cs="Arial"/>
          <w:color w:val="000000" w:themeColor="text1"/>
        </w:rPr>
        <w:t>iv</w:t>
      </w:r>
      <w:proofErr w:type="spellEnd"/>
      <w:r w:rsidRPr="00310611">
        <w:rPr>
          <w:rFonts w:ascii="Verdana" w:eastAsia="Calibri" w:hAnsi="Verdana" w:cs="Arial"/>
          <w:color w:val="000000" w:themeColor="text1"/>
        </w:rPr>
        <w:t>) debe ser real, verdadero, esto es, con la intención de ser pagado por el vendedor y exigido por el comprador, lo cual excluye que sea simulado</w:t>
      </w:r>
      <w:r w:rsidRPr="00310611">
        <w:rPr>
          <w:rStyle w:val="Refdenotaalpie"/>
          <w:rFonts w:ascii="Verdana" w:eastAsia="Calibri" w:hAnsi="Verdana" w:cs="Arial"/>
          <w:color w:val="000000" w:themeColor="text1"/>
        </w:rPr>
        <w:footnoteReference w:id="13"/>
      </w:r>
      <w:r w:rsidRPr="00310611">
        <w:rPr>
          <w:rFonts w:ascii="Verdana" w:eastAsia="Calibri" w:hAnsi="Verdana" w:cs="Arial"/>
          <w:color w:val="000000" w:themeColor="text1"/>
        </w:rPr>
        <w:t>.</w:t>
      </w:r>
    </w:p>
    <w:p w14:paraId="79ED31FA" w14:textId="77777777" w:rsidR="008A0B27" w:rsidRPr="00310611" w:rsidRDefault="008A0B27" w:rsidP="008A0B27">
      <w:pPr>
        <w:spacing w:after="120" w:line="276" w:lineRule="auto"/>
        <w:ind w:firstLine="708"/>
        <w:jc w:val="both"/>
        <w:rPr>
          <w:rFonts w:ascii="Verdana" w:eastAsia="Calibri" w:hAnsi="Verdana" w:cs="Arial"/>
          <w:color w:val="000000" w:themeColor="text1"/>
          <w:lang w:val="es-ES"/>
        </w:rPr>
      </w:pPr>
      <w:r w:rsidRPr="00310611">
        <w:rPr>
          <w:rFonts w:ascii="Verdana" w:eastAsia="Calibri" w:hAnsi="Verdana" w:cs="Arial"/>
          <w:color w:val="000000" w:themeColor="text1"/>
          <w:lang w:val="es-ES"/>
        </w:rPr>
        <w:t>Ahora bien, frente a la consulta planteada debe precisarse que la modalidad de selección aplicable a los contratos de compraventa de bienes inmuebles depende del régimen jurídico que rija a la Entidad Estatal. Si la entidad se rige por el derecho privado, es decir, si está exceptuada del Estatuto General de Contratación de la Administración Pública, en principio debe aplicar las normas civiles y comerciales pertinentes, que permiten la celebración directa del contrato de compraventa. No obstante, si el reglamento o manual interno de contratación de la entidad establece un procedimiento especial, este prevalece sobre la regla general.</w:t>
      </w:r>
    </w:p>
    <w:p w14:paraId="1BA3351D" w14:textId="77777777" w:rsidR="008A0B27" w:rsidRPr="00310611" w:rsidRDefault="008A0B27" w:rsidP="008A0B27">
      <w:pPr>
        <w:spacing w:after="120" w:line="276" w:lineRule="auto"/>
        <w:jc w:val="both"/>
        <w:rPr>
          <w:rFonts w:ascii="Verdana" w:eastAsia="Calibri" w:hAnsi="Verdana" w:cs="Arial"/>
          <w:lang w:val="es-ES" w:eastAsia="es-ES_tradnl"/>
        </w:rPr>
      </w:pPr>
      <w:r w:rsidRPr="0032576D">
        <w:rPr>
          <w:rFonts w:ascii="Verdana" w:eastAsia="Calibri" w:hAnsi="Verdana" w:cs="Arial"/>
          <w:noProof/>
          <w:color w:val="000000"/>
          <w:lang w:val="es-ES_tradnl" w:eastAsia="es-ES_tradnl"/>
        </w:rPr>
        <w:t>III).</w:t>
      </w:r>
      <w:r w:rsidRPr="00310611">
        <w:rPr>
          <w:rFonts w:ascii="Verdana" w:eastAsia="Calibri" w:hAnsi="Verdana" w:cs="Arial"/>
          <w:b/>
          <w:bCs/>
          <w:noProof/>
          <w:color w:val="000000"/>
          <w:lang w:val="es-ES_tradnl" w:eastAsia="es-ES_tradnl"/>
        </w:rPr>
        <w:t xml:space="preserve"> </w:t>
      </w:r>
      <w:r w:rsidRPr="00310611">
        <w:rPr>
          <w:rFonts w:ascii="Verdana" w:eastAsia="Calibri" w:hAnsi="Verdana" w:cs="Arial"/>
          <w:lang w:eastAsia="es-ES_tradnl"/>
        </w:rPr>
        <w:t xml:space="preserve">La Ley 1150 de 2007, en el artículo 2, establece 5 modalidades de selección para la escogencia del contratista, y fija las reglas de cada modalidad: licitación pública, selección abreviada, concurso de méritos, mínima cuantía y contratación directa. Por su parte, la exposición de motivos de la Ley 1150 de 2007 señala </w:t>
      </w:r>
      <w:r w:rsidRPr="00310611">
        <w:rPr>
          <w:rFonts w:ascii="Verdana" w:eastAsia="Calibri" w:hAnsi="Verdana" w:cs="Arial"/>
          <w:lang w:eastAsia="es-ES_tradnl"/>
        </w:rPr>
        <w:lastRenderedPageBreak/>
        <w:t>las razones por las cuales se establecieron las modalidades de selección del artículo 2: “A ese respecto es claro que las experiencias exitosas a nivel internacional demuestran que el criterio de distinción que debe gobernar un esquema contractual eficiente es el de modular las modalidades de selección en razón a las características del objeto”.</w:t>
      </w:r>
    </w:p>
    <w:p w14:paraId="5F396596" w14:textId="77777777" w:rsidR="008A0B27" w:rsidRPr="00310611" w:rsidRDefault="008A0B27" w:rsidP="008A0B27">
      <w:pPr>
        <w:spacing w:after="120" w:line="276" w:lineRule="auto"/>
        <w:ind w:firstLine="709"/>
        <w:jc w:val="both"/>
        <w:rPr>
          <w:rFonts w:ascii="Verdana" w:eastAsia="Calibri" w:hAnsi="Verdana" w:cs="Arial"/>
          <w:lang w:eastAsia="es-ES_tradnl"/>
        </w:rPr>
      </w:pPr>
      <w:r w:rsidRPr="00310611">
        <w:rPr>
          <w:rFonts w:ascii="Verdana" w:eastAsia="Calibri" w:hAnsi="Verdana" w:cs="Arial"/>
          <w:lang w:eastAsia="es-ES_tradnl"/>
        </w:rPr>
        <w:t xml:space="preserve">Ahora bien, las modalidades de selección pueden dividirse doctrinariamente en i) competitivas y </w:t>
      </w:r>
      <w:proofErr w:type="spellStart"/>
      <w:r w:rsidRPr="00310611">
        <w:rPr>
          <w:rFonts w:ascii="Verdana" w:eastAsia="Calibri" w:hAnsi="Verdana" w:cs="Arial"/>
          <w:lang w:eastAsia="es-ES_tradnl"/>
        </w:rPr>
        <w:t>ii</w:t>
      </w:r>
      <w:proofErr w:type="spellEnd"/>
      <w:r w:rsidRPr="00310611">
        <w:rPr>
          <w:rFonts w:ascii="Verdana" w:eastAsia="Calibri" w:hAnsi="Verdana" w:cs="Arial"/>
          <w:lang w:eastAsia="es-ES_tradnl"/>
        </w:rPr>
        <w:t>) no competitivas. La Guía de competencia en las compras públicas de la Agencia Nacional de Contratación Pública – Colombia Compra Eficiente señala que: “[…] la competencia, entendida como rivalidad efectiva entre empresas de un mismo mercado, incentiva la reducción de precios, el aumento de la calidad, la lucha contra la corrupción y la innovación por parte del sector privado”</w:t>
      </w:r>
      <w:r w:rsidRPr="00310611">
        <w:rPr>
          <w:rFonts w:ascii="Verdana" w:eastAsia="Calibri" w:hAnsi="Verdana" w:cs="Arial"/>
          <w:vertAlign w:val="superscript"/>
          <w:lang w:eastAsia="es-ES_tradnl"/>
        </w:rPr>
        <w:footnoteReference w:id="14"/>
      </w:r>
      <w:r w:rsidRPr="00310611">
        <w:rPr>
          <w:rFonts w:ascii="Verdana" w:eastAsia="Calibri" w:hAnsi="Verdana" w:cs="Arial"/>
          <w:lang w:eastAsia="es-ES_tradnl"/>
        </w:rPr>
        <w:t xml:space="preserve">. </w:t>
      </w:r>
    </w:p>
    <w:p w14:paraId="37FB1358" w14:textId="77777777" w:rsidR="008A0B27" w:rsidRPr="00310611" w:rsidRDefault="008A0B27" w:rsidP="008A0B27">
      <w:pPr>
        <w:spacing w:after="120" w:line="276" w:lineRule="auto"/>
        <w:ind w:firstLine="709"/>
        <w:jc w:val="both"/>
        <w:rPr>
          <w:rFonts w:ascii="Verdana" w:eastAsia="Calibri" w:hAnsi="Verdana" w:cs="Arial"/>
          <w:lang w:eastAsia="es-ES_tradnl"/>
        </w:rPr>
      </w:pPr>
      <w:r w:rsidRPr="00310611">
        <w:rPr>
          <w:rFonts w:ascii="Verdana" w:eastAsia="Calibri" w:hAnsi="Verdana" w:cs="Arial"/>
          <w:lang w:eastAsia="es-ES_tradnl"/>
        </w:rPr>
        <w:t xml:space="preserve">Por tanto, modalidades como la licitación pública, la selección abreviada, el concurso de méritos y la mínima cuantía son modalidades de selección competitivas o abiertas a competencia, ya que en ellas tiene lugar la participación de varios proponentes en una fase pública de presentación de ofertas. Esto permite que todas las personas interesadas concurran al proceso en igualdad de condiciones y compitan en el mismo. </w:t>
      </w:r>
    </w:p>
    <w:p w14:paraId="3621E75E" w14:textId="77777777" w:rsidR="008A0B27" w:rsidRPr="00310611" w:rsidRDefault="008A0B27" w:rsidP="008A0B27">
      <w:pPr>
        <w:spacing w:after="120" w:line="276" w:lineRule="auto"/>
        <w:ind w:firstLine="709"/>
        <w:jc w:val="both"/>
        <w:rPr>
          <w:rFonts w:ascii="Verdana" w:eastAsia="Calibri" w:hAnsi="Verdana" w:cs="Arial"/>
          <w:lang w:eastAsia="es-ES_tradnl"/>
        </w:rPr>
      </w:pPr>
      <w:r w:rsidRPr="00310611">
        <w:rPr>
          <w:rFonts w:ascii="Verdana" w:eastAsia="Calibri" w:hAnsi="Verdana" w:cs="Arial"/>
          <w:lang w:eastAsia="es-ES_tradnl"/>
        </w:rPr>
        <w:t>Lo contrario ocurre con la modalidad de selección de contratación directa que no es competitiva, es decir, que no es abierta a los proponentes para que los interesados presenten sus ofertas. En esta, es la entidad la que determina, de forma directa, la persona que puede participar y que será seleccionada.</w:t>
      </w:r>
    </w:p>
    <w:p w14:paraId="4DB5D72A" w14:textId="77777777" w:rsidR="008A0B27" w:rsidRPr="00310611" w:rsidRDefault="008A0B27" w:rsidP="008A0B27">
      <w:pPr>
        <w:spacing w:after="120" w:line="276" w:lineRule="auto"/>
        <w:ind w:firstLine="708"/>
        <w:jc w:val="both"/>
        <w:rPr>
          <w:rFonts w:ascii="Verdana" w:eastAsia="Calibri" w:hAnsi="Verdana" w:cs="Arial"/>
          <w:lang w:eastAsia="es-ES_tradnl"/>
        </w:rPr>
      </w:pPr>
      <w:r w:rsidRPr="00310611">
        <w:rPr>
          <w:rFonts w:ascii="Verdana" w:eastAsia="Calibri" w:hAnsi="Verdana" w:cs="Arial"/>
          <w:lang w:eastAsia="es-ES_tradnl"/>
        </w:rPr>
        <w:t xml:space="preserve">Lo anterior se complementa con lo expuesto por la Corte Constitucional, en Sentencia C-713 de 2009, que estudió la constitucionalidad de los artículos 2 –parcial– y 5 –parcial– de la Ley 1150 de 2007. En la decisión judicial mencionada analizó los principios de libre concurrencia y selección objetiva en la contratación pública, como expresiones del derecho a la igualdad de oportunidades para quienes tengan interés en participar en la contratación estatal. </w:t>
      </w:r>
    </w:p>
    <w:p w14:paraId="540C542D" w14:textId="77777777" w:rsidR="008A0B27" w:rsidRPr="00310611" w:rsidRDefault="008A0B27" w:rsidP="008A0B27">
      <w:pPr>
        <w:spacing w:after="120" w:line="276" w:lineRule="auto"/>
        <w:ind w:firstLine="708"/>
        <w:jc w:val="both"/>
        <w:rPr>
          <w:rFonts w:ascii="Verdana" w:eastAsia="Calibri" w:hAnsi="Verdana" w:cs="Arial"/>
          <w:lang w:eastAsia="es-ES_tradnl"/>
        </w:rPr>
      </w:pPr>
      <w:r w:rsidRPr="00310611">
        <w:rPr>
          <w:rFonts w:ascii="Verdana" w:eastAsia="Calibri" w:hAnsi="Verdana" w:cs="Arial"/>
          <w:lang w:eastAsia="es-ES_tradnl"/>
        </w:rPr>
        <w:lastRenderedPageBreak/>
        <w:t>Esos principios se manifiestan en que no exista discriminación y en que las entidades no impongan limitaciones mediante reglas que impidan la concurrencia para obtener mejores condiciones de contratación. Esto permite excepciones que busquen condiciones del contratista que sean favorables a los intereses del Estado y aseguren la transparencia del procedimiento como, por ejemplo, la inexistencia de las inhabilidades e incompatibilidades que también aplican en los supuestos de contratación directa</w:t>
      </w:r>
      <w:r w:rsidRPr="00310611">
        <w:rPr>
          <w:rFonts w:ascii="Verdana" w:eastAsia="Calibri" w:hAnsi="Verdana" w:cs="Arial"/>
          <w:vertAlign w:val="superscript"/>
          <w:lang w:eastAsia="es-ES_tradnl"/>
        </w:rPr>
        <w:footnoteReference w:id="15"/>
      </w:r>
      <w:r w:rsidRPr="00310611">
        <w:rPr>
          <w:rFonts w:ascii="Verdana" w:eastAsia="Calibri" w:hAnsi="Verdana" w:cs="Arial"/>
          <w:lang w:eastAsia="es-ES_tradnl"/>
        </w:rPr>
        <w:t>.</w:t>
      </w:r>
    </w:p>
    <w:p w14:paraId="78062E17" w14:textId="77777777" w:rsidR="008A0B27" w:rsidRPr="00310611" w:rsidRDefault="008A0B27" w:rsidP="008A0B27">
      <w:pPr>
        <w:spacing w:after="120" w:line="276" w:lineRule="auto"/>
        <w:ind w:firstLine="708"/>
        <w:jc w:val="both"/>
        <w:rPr>
          <w:rFonts w:ascii="Verdana" w:eastAsia="Calibri" w:hAnsi="Verdana" w:cs="Arial"/>
          <w:lang w:eastAsia="es-ES_tradnl"/>
        </w:rPr>
      </w:pPr>
      <w:r w:rsidRPr="00310611">
        <w:rPr>
          <w:rFonts w:ascii="Verdana" w:eastAsia="Calibri" w:hAnsi="Verdana" w:cs="Arial"/>
          <w:lang w:eastAsia="es-ES_tradnl"/>
        </w:rPr>
        <w:t xml:space="preserve">Debe señalarse sobre la contratación directa, que esta modalidad de contratación es de aplicación restrictiva, esto es, solo procede por las causales prescritas taxativamente en el numeral 4 del artículo 2 de la Ley 1150 de 2007. Además, es una excepción al principio de libre concurrencia y competencia que aplica a los procesos de contratación, para que cualquier persona interesada en satisfacer la necesidad de una entidad pueda presentar una oferta. </w:t>
      </w:r>
    </w:p>
    <w:p w14:paraId="20233034" w14:textId="77777777" w:rsidR="008A0B27" w:rsidRPr="00310611" w:rsidRDefault="008A0B27" w:rsidP="008A0B27">
      <w:pPr>
        <w:spacing w:after="120" w:line="276" w:lineRule="auto"/>
        <w:ind w:firstLine="708"/>
        <w:jc w:val="both"/>
        <w:rPr>
          <w:rFonts w:ascii="Verdana" w:eastAsia="Calibri" w:hAnsi="Verdana" w:cs="Arial"/>
          <w:lang w:eastAsia="es-ES_tradnl"/>
        </w:rPr>
      </w:pPr>
      <w:r w:rsidRPr="00310611">
        <w:rPr>
          <w:rFonts w:ascii="Verdana" w:eastAsia="Calibri" w:hAnsi="Verdana" w:cs="Arial"/>
          <w:lang w:eastAsia="es-ES_tradnl"/>
        </w:rPr>
        <w:t>En la contratación directa no es necesario que la entidad reciba más de una oferta, la cual proviene de la persona que la entidad escoge directamente, y por ende, invita a ofertar el bien o servicio que se requiere. Lo anterior puede estar basado en que el proponente es único, o en que el legislador privilegió algunos objetos contractuales u oferentes para contratarlos de manera directa. De igual forma, esto implica que el proceso será simplificado, corto, ágil y expedito, por no exigir el agotamiento de una convocatoria pública o la realización de un proceso competitivo. Lo anterior no exime a las entidades estatales de garantizar los principios rectores de la contratación pública.</w:t>
      </w:r>
    </w:p>
    <w:p w14:paraId="00FCFA82" w14:textId="77777777" w:rsidR="008A0B27" w:rsidRPr="00310611" w:rsidRDefault="008A0B27" w:rsidP="008A0B27">
      <w:pPr>
        <w:spacing w:after="0" w:line="276" w:lineRule="auto"/>
        <w:ind w:firstLine="708"/>
        <w:jc w:val="both"/>
        <w:rPr>
          <w:rFonts w:ascii="Verdana" w:eastAsia="Calibri" w:hAnsi="Verdana" w:cs="Arial"/>
          <w:lang w:eastAsia="es-ES_tradnl"/>
        </w:rPr>
      </w:pPr>
      <w:r w:rsidRPr="00310611">
        <w:rPr>
          <w:rFonts w:ascii="Verdana" w:eastAsia="Calibri" w:hAnsi="Verdana" w:cs="Arial"/>
          <w:lang w:eastAsia="es-ES_tradnl"/>
        </w:rPr>
        <w:t xml:space="preserve">Debe destacarse que existe otra diferencia fundamental con las modalidades de selección competitivas mencionadas: en la contratación directa no se otorga puntaje a las ofertas para ponderarlas y elegir el ofrecimiento más favorable, pues la entidad recibe solo una oferta. Lo anterior es explicado por el Consejo de Estado, en los siguientes términos: </w:t>
      </w:r>
    </w:p>
    <w:p w14:paraId="042308E0" w14:textId="77777777" w:rsidR="008A0B27" w:rsidRPr="00310611" w:rsidRDefault="008A0B27" w:rsidP="008A0B27">
      <w:pPr>
        <w:spacing w:after="0" w:line="276" w:lineRule="auto"/>
        <w:jc w:val="both"/>
        <w:rPr>
          <w:rFonts w:ascii="Verdana" w:eastAsia="Calibri" w:hAnsi="Verdana" w:cs="Arial"/>
          <w:lang w:eastAsia="es-ES_tradnl"/>
        </w:rPr>
      </w:pPr>
    </w:p>
    <w:p w14:paraId="4F181CF7" w14:textId="77777777" w:rsidR="008A0B27" w:rsidRPr="00310611" w:rsidRDefault="008A0B27" w:rsidP="008A0B27">
      <w:pPr>
        <w:spacing w:after="0" w:line="240" w:lineRule="auto"/>
        <w:ind w:left="708" w:right="709"/>
        <w:jc w:val="both"/>
        <w:rPr>
          <w:rFonts w:ascii="Verdana" w:eastAsia="Calibri" w:hAnsi="Verdana" w:cs="Arial"/>
          <w:sz w:val="20"/>
          <w:szCs w:val="20"/>
          <w:lang w:eastAsia="es-ES_tradnl"/>
        </w:rPr>
      </w:pPr>
      <w:r w:rsidRPr="00310611">
        <w:rPr>
          <w:rFonts w:ascii="Verdana" w:eastAsia="Calibri" w:hAnsi="Verdana" w:cs="Arial"/>
          <w:sz w:val="20"/>
          <w:szCs w:val="20"/>
          <w:lang w:eastAsia="es-ES_tradnl"/>
        </w:rPr>
        <w:t xml:space="preserve">Se define la expresión contratación directa entendida como cualquier mecanismo de escogencia del contratista en el que se prescinde de la licitación o concurso, sin que se tenga en cuenta por el legislador estatutario el régimen de contratación aplicable, ya sea contenido en el Estatuto General de Contratación de la Administración Pública - ley 80 de </w:t>
      </w:r>
      <w:r w:rsidRPr="00310611">
        <w:rPr>
          <w:rFonts w:ascii="Verdana" w:eastAsia="Calibri" w:hAnsi="Verdana" w:cs="Arial"/>
          <w:sz w:val="20"/>
          <w:szCs w:val="20"/>
          <w:lang w:eastAsia="es-ES_tradnl"/>
        </w:rPr>
        <w:lastRenderedPageBreak/>
        <w:t>1993 -, o uno especial en razón del objeto del contrato o del órgano que contrata</w:t>
      </w:r>
      <w:r w:rsidRPr="00310611">
        <w:rPr>
          <w:rFonts w:ascii="Verdana" w:eastAsia="Calibri" w:hAnsi="Verdana" w:cs="Arial"/>
          <w:sz w:val="20"/>
          <w:szCs w:val="20"/>
          <w:vertAlign w:val="superscript"/>
          <w:lang w:eastAsia="es-ES_tradnl"/>
        </w:rPr>
        <w:footnoteReference w:id="16"/>
      </w:r>
      <w:r w:rsidRPr="00310611">
        <w:rPr>
          <w:rFonts w:ascii="Verdana" w:eastAsia="Calibri" w:hAnsi="Verdana" w:cs="Arial"/>
          <w:sz w:val="20"/>
          <w:szCs w:val="20"/>
          <w:lang w:eastAsia="es-ES_tradnl"/>
        </w:rPr>
        <w:t>.</w:t>
      </w:r>
    </w:p>
    <w:p w14:paraId="6B1C1FC9" w14:textId="77777777" w:rsidR="008A0B27" w:rsidRPr="00310611" w:rsidRDefault="008A0B27" w:rsidP="008A0B27">
      <w:pPr>
        <w:spacing w:after="0" w:line="276" w:lineRule="auto"/>
        <w:jc w:val="both"/>
        <w:rPr>
          <w:rFonts w:ascii="Verdana" w:eastAsia="Calibri" w:hAnsi="Verdana" w:cs="Arial"/>
          <w:lang w:val="es-ES" w:eastAsia="es-ES_tradnl"/>
        </w:rPr>
      </w:pPr>
    </w:p>
    <w:p w14:paraId="30FC4168" w14:textId="77777777" w:rsidR="008A0B27" w:rsidRPr="00310611" w:rsidRDefault="008A0B27" w:rsidP="008A0B27">
      <w:pPr>
        <w:spacing w:after="120" w:line="276" w:lineRule="auto"/>
        <w:ind w:firstLine="709"/>
        <w:jc w:val="both"/>
        <w:rPr>
          <w:rFonts w:ascii="Verdana" w:eastAsia="Times New Roman" w:hAnsi="Verdana" w:cs="Arial"/>
          <w:lang w:eastAsia="es-ES_tradnl"/>
        </w:rPr>
      </w:pPr>
      <w:r w:rsidRPr="00310611">
        <w:rPr>
          <w:rFonts w:ascii="Verdana" w:eastAsia="Times New Roman" w:hAnsi="Verdana" w:cs="Arial"/>
          <w:lang w:eastAsia="es-ES_tradnl"/>
        </w:rPr>
        <w:t xml:space="preserve">Por consiguiente, en la contratación directa la entidad no establece puntaje para ponderar ofertas, porque se presenta una sola, que corresponde a la de la persona a quien la entidad invitó y seleccionó en forma directa, teniendo en todo caso que garantizar el cumplimiento de los principios de la función administrativa y la gestión fiscal. En este sentido, la potestad discrecional de la Administración pública para la elección de un proveedor en la contratación directa se relaciona con los principios de moralidad administrativa y transparencia. </w:t>
      </w:r>
    </w:p>
    <w:p w14:paraId="5865EF19" w14:textId="77777777" w:rsidR="008A0B27" w:rsidRDefault="008A0B27" w:rsidP="008A0B27">
      <w:pPr>
        <w:spacing w:after="120" w:line="276" w:lineRule="auto"/>
        <w:ind w:firstLine="709"/>
        <w:jc w:val="both"/>
        <w:rPr>
          <w:rFonts w:ascii="Verdana" w:eastAsia="Times New Roman" w:hAnsi="Verdana" w:cs="Arial"/>
          <w:lang w:eastAsia="es-ES_tradnl"/>
        </w:rPr>
      </w:pPr>
      <w:r w:rsidRPr="00310611">
        <w:rPr>
          <w:rFonts w:ascii="Verdana" w:eastAsia="Times New Roman" w:hAnsi="Verdana" w:cs="Arial"/>
          <w:lang w:eastAsia="es-ES_tradnl"/>
        </w:rPr>
        <w:t xml:space="preserve">Así las cosas, la contratación directa no es asimilable a los procesos de selección públicos y abiertos, como la licitación pública, selección abreviada, concurso de méritos y mínima cuantía, pero no significa que no se sujetan a las reglas para el cumplimiento de los principios de la contratación estatal y de la función administrativa. </w:t>
      </w:r>
    </w:p>
    <w:p w14:paraId="59927463" w14:textId="77777777" w:rsidR="008A0B27" w:rsidRPr="0032576D" w:rsidRDefault="008A0B27" w:rsidP="008A0B27">
      <w:pPr>
        <w:spacing w:after="120" w:line="276" w:lineRule="auto"/>
        <w:jc w:val="both"/>
        <w:rPr>
          <w:rFonts w:ascii="Verdana" w:eastAsia="Times New Roman" w:hAnsi="Verdana" w:cs="Arial"/>
          <w:lang w:eastAsia="es-ES_tradnl"/>
        </w:rPr>
      </w:pPr>
      <w:r>
        <w:rPr>
          <w:rFonts w:ascii="Verdana" w:eastAsia="Times New Roman" w:hAnsi="Verdana" w:cs="Arial"/>
          <w:lang w:eastAsia="es-ES_tradnl"/>
        </w:rPr>
        <w:t>IV</w:t>
      </w:r>
      <w:r w:rsidRPr="0010521B">
        <w:rPr>
          <w:rFonts w:ascii="Verdana" w:eastAsia="Calibri" w:hAnsi="Verdana" w:cs="Arial"/>
          <w:color w:val="000000" w:themeColor="text1"/>
          <w:shd w:val="clear" w:color="auto" w:fill="FFFFFF"/>
          <w:lang w:val="es-ES"/>
        </w:rPr>
        <w:t xml:space="preserve">). </w:t>
      </w:r>
      <w:r w:rsidRPr="0010521B">
        <w:rPr>
          <w:rFonts w:ascii="Verdana" w:eastAsia="Calibri" w:hAnsi="Verdana" w:cs="Arial"/>
          <w:bCs/>
          <w:color w:val="000000"/>
          <w:kern w:val="2"/>
          <w14:ligatures w14:val="standardContextual"/>
        </w:rPr>
        <w:t>Al margen de la explicación precedente debe advertirse que el análisis requerido para resolver problemas específicos en torno a la gestión contractual de las entidades públicas debe ser realizado por quienes tengan interés en ello, de acuerdo con lo explicado la aclaración preliminar del presente oficio. De esta manera, las afirmaciones aquí realizadas no pueden ser interpretadas como juicios de valor sobre circunstancias concretas relacionadas con los hechos que motivan la consulta. Por lo anterior, previo concepto de sus asesores, la solución de situaciones particulares corresponde a los interesados adoptar la decisión correspondiente y, en caso de conflicto, a las autoridades judiciales, fiscales y disciplinarias.</w:t>
      </w:r>
    </w:p>
    <w:p w14:paraId="6287DFCA" w14:textId="77777777" w:rsidR="008A0B27" w:rsidRPr="0010521B" w:rsidRDefault="008A0B27" w:rsidP="008A0B27">
      <w:pPr>
        <w:spacing w:after="0" w:line="276" w:lineRule="auto"/>
        <w:ind w:firstLine="708"/>
        <w:jc w:val="both"/>
        <w:rPr>
          <w:rFonts w:ascii="Verdana" w:eastAsia="Calibri" w:hAnsi="Verdana" w:cs="Arial"/>
          <w:bCs/>
          <w:color w:val="000000"/>
          <w:kern w:val="2"/>
          <w14:ligatures w14:val="standardContextual"/>
        </w:rPr>
      </w:pPr>
      <w:r w:rsidRPr="0010521B">
        <w:rPr>
          <w:rFonts w:ascii="Verdana" w:eastAsia="Calibri" w:hAnsi="Verdana" w:cs="Arial"/>
          <w:bCs/>
          <w:color w:val="000000"/>
          <w:kern w:val="2"/>
          <w14:ligatures w14:val="standardContextual"/>
        </w:rPr>
        <w:t xml:space="preserve">Dentro de este marco, la entidad contratante definirá en cada caso concreto lo relacionado con el tema objeto de consulta. Al tratarse de un análisis que debe realizarse en el procedimiento contractual específico, la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w:t>
      </w:r>
      <w:r w:rsidRPr="0010521B">
        <w:rPr>
          <w:rFonts w:ascii="Verdana" w:eastAsia="Calibri" w:hAnsi="Verdana" w:cs="Arial"/>
          <w:bCs/>
          <w:color w:val="000000"/>
          <w:kern w:val="2"/>
          <w14:ligatures w14:val="standardContextual"/>
        </w:rPr>
        <w:lastRenderedPageBreak/>
        <w:t xml:space="preserve">gestión contractual, sin que sea atribución de Colombia Compra Eficiente validar sus actuaciones. </w:t>
      </w:r>
    </w:p>
    <w:p w14:paraId="11A142D2" w14:textId="77777777" w:rsidR="008A0B27" w:rsidRPr="005C2320" w:rsidRDefault="008A0B27" w:rsidP="008A0B27">
      <w:pPr>
        <w:spacing w:after="120" w:line="276" w:lineRule="auto"/>
        <w:ind w:right="49"/>
        <w:jc w:val="both"/>
        <w:rPr>
          <w:rFonts w:ascii="Verdana" w:eastAsia="Calibri" w:hAnsi="Verdana" w:cs="Arial"/>
          <w:color w:val="01AEFC"/>
          <w:sz w:val="20"/>
          <w:szCs w:val="20"/>
          <w:shd w:val="clear" w:color="auto" w:fill="FFFFFF"/>
          <w:lang w:val="es-ES"/>
        </w:rPr>
      </w:pPr>
    </w:p>
    <w:p w14:paraId="728D1E1F" w14:textId="77777777" w:rsidR="008A0B27" w:rsidRPr="004D7523" w:rsidRDefault="008A0B27" w:rsidP="008A0B27">
      <w:pPr>
        <w:numPr>
          <w:ilvl w:val="0"/>
          <w:numId w:val="18"/>
        </w:numPr>
        <w:tabs>
          <w:tab w:val="left" w:pos="142"/>
          <w:tab w:val="left" w:pos="284"/>
        </w:tabs>
        <w:snapToGrid w:val="0"/>
        <w:spacing w:after="0" w:line="276" w:lineRule="auto"/>
        <w:ind w:left="357" w:hanging="357"/>
        <w:jc w:val="both"/>
        <w:rPr>
          <w:rFonts w:ascii="Verdana" w:eastAsia="Century Gothic" w:hAnsi="Verdana" w:cs="Century Gothic"/>
          <w:b/>
          <w:bCs/>
          <w:lang w:val="es-ES_tradnl"/>
        </w:rPr>
      </w:pPr>
      <w:r w:rsidRPr="004D7523">
        <w:rPr>
          <w:rFonts w:ascii="Verdana" w:eastAsia="Century Gothic" w:hAnsi="Verdana" w:cs="Century Gothic"/>
          <w:b/>
          <w:bCs/>
          <w:lang w:val="es-ES_tradnl"/>
        </w:rPr>
        <w:t>Referencias normativas, jurisprudenciales y otras fuentes:</w:t>
      </w:r>
    </w:p>
    <w:p w14:paraId="2AC96F11" w14:textId="77777777" w:rsidR="008A0B27" w:rsidRPr="004D7523" w:rsidRDefault="008A0B27" w:rsidP="008A0B27">
      <w:pPr>
        <w:tabs>
          <w:tab w:val="left" w:pos="970"/>
        </w:tabs>
        <w:spacing w:after="0" w:line="276" w:lineRule="auto"/>
        <w:ind w:left="-15840"/>
        <w:jc w:val="both"/>
        <w:rPr>
          <w:rFonts w:ascii="Verdana" w:eastAsia="Calibri" w:hAnsi="Verdana" w:cs="Arial"/>
          <w:b/>
          <w:bCs/>
        </w:rPr>
      </w:pPr>
      <w:r w:rsidRPr="004D7523">
        <w:rPr>
          <w:rFonts w:ascii="Verdana" w:eastAsia="Calibri" w:hAnsi="Verdana" w:cs="Arial"/>
          <w:b/>
          <w:bCs/>
        </w:rPr>
        <w:t>4. Referencias normativas, jurisprudenciales y otras fuentes:</w:t>
      </w:r>
      <w:r w:rsidRPr="004D7523">
        <w:rPr>
          <w:rFonts w:ascii="Verdana" w:eastAsia="Calibri" w:hAnsi="Verdana" w:cs="Arial"/>
          <w:b/>
          <w:bCs/>
        </w:rPr>
        <w:tab/>
      </w:r>
    </w:p>
    <w:tbl>
      <w:tblPr>
        <w:tblStyle w:val="Tablaconcuadrcula1"/>
        <w:tblW w:w="8640" w:type="dxa"/>
        <w:tblInd w:w="1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0"/>
      </w:tblGrid>
      <w:tr w:rsidR="008A0B27" w:rsidRPr="00D56B2A" w14:paraId="1BA540A9" w14:textId="77777777" w:rsidTr="00302A7D">
        <w:trPr>
          <w:trHeight w:val="242"/>
        </w:trPr>
        <w:tc>
          <w:tcPr>
            <w:tcW w:w="8647" w:type="dxa"/>
            <w:tcBorders>
              <w:top w:val="dotted" w:sz="4" w:space="0" w:color="auto"/>
              <w:left w:val="dotted" w:sz="4" w:space="0" w:color="auto"/>
              <w:bottom w:val="dotted" w:sz="4" w:space="0" w:color="auto"/>
              <w:right w:val="dotted" w:sz="4" w:space="0" w:color="auto"/>
            </w:tcBorders>
          </w:tcPr>
          <w:p w14:paraId="0CB6B6EC" w14:textId="77777777" w:rsidR="008A0B27" w:rsidRPr="00D56B2A" w:rsidRDefault="008A0B27" w:rsidP="00302A7D">
            <w:pPr>
              <w:widowControl w:val="0"/>
              <w:autoSpaceDE w:val="0"/>
              <w:autoSpaceDN w:val="0"/>
              <w:snapToGrid w:val="0"/>
              <w:spacing w:after="120" w:line="276" w:lineRule="auto"/>
              <w:ind w:left="714"/>
              <w:jc w:val="both"/>
              <w:rPr>
                <w:rFonts w:ascii="Verdana" w:eastAsia="Calibri" w:hAnsi="Verdana" w:cs="Arial"/>
                <w:color w:val="3399FF"/>
                <w:lang w:val="es-ES_tradnl"/>
              </w:rPr>
            </w:pPr>
          </w:p>
          <w:p w14:paraId="589423BF" w14:textId="77777777" w:rsidR="008A0B27" w:rsidRPr="00310611" w:rsidRDefault="008A0B27" w:rsidP="008A0B27">
            <w:pPr>
              <w:widowControl w:val="0"/>
              <w:numPr>
                <w:ilvl w:val="0"/>
                <w:numId w:val="17"/>
              </w:numPr>
              <w:autoSpaceDE w:val="0"/>
              <w:autoSpaceDN w:val="0"/>
              <w:spacing w:before="120" w:after="120" w:line="276" w:lineRule="auto"/>
              <w:jc w:val="both"/>
              <w:rPr>
                <w:rFonts w:ascii="Verdana" w:eastAsia="Arial MT" w:hAnsi="Verdana" w:cs="Arial"/>
                <w:lang w:val="es-ES" w:eastAsia="es-ES" w:bidi="es-ES"/>
              </w:rPr>
            </w:pPr>
            <w:r w:rsidRPr="00310611">
              <w:rPr>
                <w:rFonts w:ascii="Verdana" w:eastAsia="Arial MT" w:hAnsi="Verdana" w:cs="Arial"/>
                <w:lang w:val="es-ES" w:eastAsia="es-ES" w:bidi="es-ES"/>
              </w:rPr>
              <w:t>Ley 80 de 1993. Artículos 1, 13, 21, 23, 24, 32, 40</w:t>
            </w:r>
          </w:p>
          <w:p w14:paraId="462C3013" w14:textId="77777777" w:rsidR="008A0B27" w:rsidRPr="00DA2A79" w:rsidRDefault="008A0B27" w:rsidP="008A0B27">
            <w:pPr>
              <w:widowControl w:val="0"/>
              <w:numPr>
                <w:ilvl w:val="0"/>
                <w:numId w:val="17"/>
              </w:numPr>
              <w:autoSpaceDE w:val="0"/>
              <w:autoSpaceDN w:val="0"/>
              <w:spacing w:after="160" w:line="276" w:lineRule="auto"/>
              <w:ind w:left="714" w:hanging="357"/>
              <w:jc w:val="both"/>
              <w:rPr>
                <w:rFonts w:ascii="Verdana" w:eastAsia="Calibri" w:hAnsi="Verdana" w:cs="Arial"/>
                <w:lang w:val="es-ES_tradnl" w:eastAsia="es-MX"/>
              </w:rPr>
            </w:pPr>
            <w:r w:rsidRPr="00DA2A79">
              <w:rPr>
                <w:rFonts w:ascii="Verdana" w:eastAsia="Calibri" w:hAnsi="Verdana" w:cs="Arial"/>
                <w:lang w:val="es-ES_tradnl" w:eastAsia="es-MX"/>
              </w:rPr>
              <w:t xml:space="preserve">Ley 2022 de 2020, artículo 1. </w:t>
            </w:r>
          </w:p>
          <w:p w14:paraId="283D3301" w14:textId="77777777" w:rsidR="008A0B27" w:rsidRDefault="008A0B27" w:rsidP="008A0B27">
            <w:pPr>
              <w:widowControl w:val="0"/>
              <w:numPr>
                <w:ilvl w:val="0"/>
                <w:numId w:val="17"/>
              </w:numPr>
              <w:autoSpaceDE w:val="0"/>
              <w:autoSpaceDN w:val="0"/>
              <w:spacing w:after="160" w:line="276" w:lineRule="auto"/>
              <w:jc w:val="both"/>
              <w:rPr>
                <w:rFonts w:ascii="Verdana" w:eastAsia="Calibri" w:hAnsi="Verdana" w:cs="Arial"/>
                <w:lang w:eastAsia="es-MX"/>
              </w:rPr>
            </w:pPr>
            <w:r w:rsidRPr="00DA2A79">
              <w:rPr>
                <w:rFonts w:ascii="Verdana" w:eastAsia="Calibri" w:hAnsi="Verdana" w:cs="Arial"/>
                <w:lang w:eastAsia="es-MX"/>
              </w:rPr>
              <w:t>Ley 1150 de 2007, artículo 2.</w:t>
            </w:r>
          </w:p>
          <w:p w14:paraId="4EDA68A2" w14:textId="77777777" w:rsidR="008A0B27" w:rsidRPr="00310611" w:rsidRDefault="008A0B27" w:rsidP="008A0B27">
            <w:pPr>
              <w:pStyle w:val="Prrafodelista"/>
              <w:widowControl w:val="0"/>
              <w:numPr>
                <w:ilvl w:val="0"/>
                <w:numId w:val="17"/>
              </w:numPr>
              <w:tabs>
                <w:tab w:val="left" w:pos="8419"/>
              </w:tabs>
              <w:autoSpaceDE w:val="0"/>
              <w:autoSpaceDN w:val="0"/>
              <w:spacing w:after="120" w:line="276" w:lineRule="auto"/>
              <w:contextualSpacing w:val="0"/>
              <w:jc w:val="both"/>
              <w:rPr>
                <w:rFonts w:ascii="Verdana" w:hAnsi="Verdana" w:cs="Arial"/>
              </w:rPr>
            </w:pPr>
            <w:r w:rsidRPr="00310611">
              <w:rPr>
                <w:rFonts w:ascii="Verdana" w:hAnsi="Verdana" w:cs="Arial"/>
              </w:rPr>
              <w:t xml:space="preserve">Código Civil. </w:t>
            </w:r>
            <w:r w:rsidRPr="00310611">
              <w:rPr>
                <w:rFonts w:ascii="Verdana" w:hAnsi="Verdana" w:cs="Arial"/>
                <w:bCs/>
                <w:color w:val="000000" w:themeColor="text1"/>
              </w:rPr>
              <w:t>Artículo 1849 y siguientes.</w:t>
            </w:r>
          </w:p>
          <w:p w14:paraId="2BECDC54" w14:textId="77777777" w:rsidR="008A0B27" w:rsidRPr="00C26341" w:rsidRDefault="008A0B27" w:rsidP="008A0B27">
            <w:pPr>
              <w:widowControl w:val="0"/>
              <w:numPr>
                <w:ilvl w:val="0"/>
                <w:numId w:val="17"/>
              </w:numPr>
              <w:autoSpaceDE w:val="0"/>
              <w:autoSpaceDN w:val="0"/>
              <w:spacing w:after="160" w:line="276" w:lineRule="auto"/>
              <w:jc w:val="both"/>
              <w:rPr>
                <w:rFonts w:ascii="Verdana" w:eastAsia="Calibri" w:hAnsi="Verdana" w:cs="Arial"/>
                <w:lang w:eastAsia="es-MX"/>
              </w:rPr>
            </w:pPr>
            <w:r w:rsidRPr="00310611">
              <w:rPr>
                <w:rFonts w:ascii="Verdana" w:hAnsi="Verdana" w:cs="Arial"/>
                <w:bCs/>
                <w:color w:val="000000" w:themeColor="text1"/>
              </w:rPr>
              <w:t>Código de Comercio. Artículo 905 y siguientes.</w:t>
            </w:r>
          </w:p>
          <w:p w14:paraId="38CD5550" w14:textId="77777777" w:rsidR="008A0B27" w:rsidRDefault="008A0B27" w:rsidP="008A0B27">
            <w:pPr>
              <w:pStyle w:val="Prrafodelista"/>
              <w:widowControl w:val="0"/>
              <w:numPr>
                <w:ilvl w:val="0"/>
                <w:numId w:val="17"/>
              </w:numPr>
              <w:tabs>
                <w:tab w:val="left" w:pos="8419"/>
              </w:tabs>
              <w:autoSpaceDE w:val="0"/>
              <w:autoSpaceDN w:val="0"/>
              <w:spacing w:after="120" w:line="276" w:lineRule="auto"/>
              <w:contextualSpacing w:val="0"/>
              <w:jc w:val="both"/>
              <w:rPr>
                <w:rFonts w:ascii="Verdana" w:hAnsi="Verdana" w:cs="Arial"/>
              </w:rPr>
            </w:pPr>
            <w:r w:rsidRPr="00310611">
              <w:rPr>
                <w:rFonts w:ascii="Verdana" w:hAnsi="Verdana" w:cs="Arial"/>
              </w:rPr>
              <w:t xml:space="preserve">Consejo de Estado. Sala de consulta y servicio civil. Sentencia del 20 de febrero de 2006. </w:t>
            </w:r>
            <w:proofErr w:type="spellStart"/>
            <w:r w:rsidRPr="00310611">
              <w:rPr>
                <w:rFonts w:ascii="Verdana" w:hAnsi="Verdana" w:cs="Arial"/>
              </w:rPr>
              <w:t>Exp</w:t>
            </w:r>
            <w:proofErr w:type="spellEnd"/>
            <w:r w:rsidRPr="00310611">
              <w:rPr>
                <w:rFonts w:ascii="Verdana" w:hAnsi="Verdana" w:cs="Arial"/>
              </w:rPr>
              <w:t>. 1.727. C.P. Enrique José Arboleda Perdomo.</w:t>
            </w:r>
          </w:p>
          <w:p w14:paraId="384EACE3" w14:textId="77777777" w:rsidR="008A0B27" w:rsidRDefault="008A0B27" w:rsidP="008A0B27">
            <w:pPr>
              <w:pStyle w:val="Prrafodelista"/>
              <w:widowControl w:val="0"/>
              <w:numPr>
                <w:ilvl w:val="0"/>
                <w:numId w:val="17"/>
              </w:numPr>
              <w:tabs>
                <w:tab w:val="left" w:pos="8419"/>
              </w:tabs>
              <w:autoSpaceDE w:val="0"/>
              <w:autoSpaceDN w:val="0"/>
              <w:spacing w:after="120" w:line="276" w:lineRule="auto"/>
              <w:contextualSpacing w:val="0"/>
              <w:jc w:val="both"/>
              <w:rPr>
                <w:rFonts w:ascii="Verdana" w:hAnsi="Verdana" w:cs="Arial"/>
              </w:rPr>
            </w:pPr>
            <w:r w:rsidRPr="00310611">
              <w:rPr>
                <w:rFonts w:ascii="Verdana" w:hAnsi="Verdana" w:cs="Arial"/>
              </w:rPr>
              <w:t>Consejo de Estado. Sala de lo Contencioso Administrativo. Sección Tercera. Subsección B. Sentencia del 28 de febrero del 2023. Radicación número: 20001-23-31-000-1996-02988-01(24131). CP. Danilo Rojas Betancourth</w:t>
            </w:r>
          </w:p>
          <w:p w14:paraId="3D4B5D9A" w14:textId="77777777" w:rsidR="008A0B27" w:rsidRPr="00A554FE" w:rsidRDefault="008A0B27" w:rsidP="008A0B27">
            <w:pPr>
              <w:pStyle w:val="Prrafodelista"/>
              <w:widowControl w:val="0"/>
              <w:numPr>
                <w:ilvl w:val="0"/>
                <w:numId w:val="17"/>
              </w:numPr>
              <w:tabs>
                <w:tab w:val="left" w:pos="8419"/>
              </w:tabs>
              <w:autoSpaceDE w:val="0"/>
              <w:autoSpaceDN w:val="0"/>
              <w:spacing w:after="120" w:line="276" w:lineRule="auto"/>
              <w:jc w:val="both"/>
              <w:rPr>
                <w:rFonts w:ascii="Verdana" w:hAnsi="Verdana" w:cs="Arial"/>
              </w:rPr>
            </w:pPr>
            <w:r w:rsidRPr="00A554FE">
              <w:rPr>
                <w:rFonts w:ascii="Verdana" w:hAnsi="Verdana" w:cs="Arial"/>
              </w:rPr>
              <w:t>Consejo de Estado. Sección Tercera. Sentencia del 4 de abril de 2002, M.P. Alier E. Hernández Enríquez. Rad. 1999-0290-01 (17.244).</w:t>
            </w:r>
          </w:p>
          <w:p w14:paraId="0F52AE52" w14:textId="77777777" w:rsidR="008A0B27" w:rsidRPr="00D14275" w:rsidRDefault="008A0B27" w:rsidP="008A0B27">
            <w:pPr>
              <w:pStyle w:val="Prrafodelista"/>
              <w:widowControl w:val="0"/>
              <w:numPr>
                <w:ilvl w:val="0"/>
                <w:numId w:val="17"/>
              </w:numPr>
              <w:tabs>
                <w:tab w:val="left" w:pos="8419"/>
              </w:tabs>
              <w:autoSpaceDE w:val="0"/>
              <w:autoSpaceDN w:val="0"/>
              <w:spacing w:after="120" w:line="276" w:lineRule="auto"/>
              <w:contextualSpacing w:val="0"/>
              <w:jc w:val="both"/>
              <w:rPr>
                <w:rFonts w:ascii="Verdana" w:hAnsi="Verdana" w:cs="Arial"/>
              </w:rPr>
            </w:pPr>
            <w:r w:rsidRPr="00A554FE">
              <w:rPr>
                <w:rFonts w:ascii="Verdana" w:hAnsi="Verdana" w:cs="Arial"/>
              </w:rPr>
              <w:t>Consejo de Estado, Sección Tercera. Sentencia de 23 de septiembre de 1997, Rad. S-701.</w:t>
            </w:r>
          </w:p>
          <w:p w14:paraId="71F63D4D" w14:textId="77777777" w:rsidR="008A0B27" w:rsidRDefault="008A0B27" w:rsidP="008A0B27">
            <w:pPr>
              <w:pStyle w:val="Prrafodelista"/>
              <w:widowControl w:val="0"/>
              <w:numPr>
                <w:ilvl w:val="0"/>
                <w:numId w:val="17"/>
              </w:numPr>
              <w:tabs>
                <w:tab w:val="left" w:pos="8419"/>
              </w:tabs>
              <w:autoSpaceDE w:val="0"/>
              <w:autoSpaceDN w:val="0"/>
              <w:spacing w:after="120" w:line="276" w:lineRule="auto"/>
              <w:contextualSpacing w:val="0"/>
              <w:jc w:val="both"/>
              <w:rPr>
                <w:rFonts w:ascii="Verdana" w:hAnsi="Verdana" w:cs="Arial"/>
              </w:rPr>
            </w:pPr>
            <w:r w:rsidRPr="00310611">
              <w:rPr>
                <w:rFonts w:ascii="Verdana" w:hAnsi="Verdana" w:cs="Arial"/>
              </w:rPr>
              <w:t>Corte Constitucional. Sentencia C-713 de 2009. M.P. María Victoria Calle Correa.</w:t>
            </w:r>
          </w:p>
          <w:p w14:paraId="0E9AB80C" w14:textId="77777777" w:rsidR="008A0B27" w:rsidRPr="00C26341" w:rsidRDefault="008A0B27" w:rsidP="008A0B27">
            <w:pPr>
              <w:pStyle w:val="Prrafodelista"/>
              <w:widowControl w:val="0"/>
              <w:numPr>
                <w:ilvl w:val="0"/>
                <w:numId w:val="17"/>
              </w:numPr>
              <w:tabs>
                <w:tab w:val="left" w:pos="8419"/>
              </w:tabs>
              <w:autoSpaceDE w:val="0"/>
              <w:autoSpaceDN w:val="0"/>
              <w:spacing w:after="120" w:line="276" w:lineRule="auto"/>
              <w:contextualSpacing w:val="0"/>
              <w:jc w:val="both"/>
              <w:rPr>
                <w:rFonts w:ascii="Verdana" w:hAnsi="Verdana" w:cs="Arial"/>
              </w:rPr>
            </w:pPr>
          </w:p>
          <w:p w14:paraId="60936E9D" w14:textId="77777777" w:rsidR="008A0B27" w:rsidRPr="00D56B2A" w:rsidRDefault="008A0B27" w:rsidP="008A0B27">
            <w:pPr>
              <w:widowControl w:val="0"/>
              <w:numPr>
                <w:ilvl w:val="0"/>
                <w:numId w:val="17"/>
              </w:numPr>
              <w:autoSpaceDE w:val="0"/>
              <w:autoSpaceDN w:val="0"/>
              <w:spacing w:after="120" w:line="276" w:lineRule="auto"/>
              <w:jc w:val="both"/>
              <w:rPr>
                <w:rFonts w:ascii="Verdana" w:hAnsi="Verdana" w:cs="Arial"/>
                <w:color w:val="3399FF"/>
              </w:rPr>
            </w:pPr>
            <w:r w:rsidRPr="00DA2A79">
              <w:rPr>
                <w:rFonts w:ascii="Verdana" w:eastAsia="Calibri" w:hAnsi="Verdana" w:cs="Arial"/>
                <w:lang w:val="es-ES_tradnl" w:eastAsia="es-MX"/>
              </w:rPr>
              <w:t xml:space="preserve">Documentos Tipo. Disponibles en: </w:t>
            </w:r>
            <w:hyperlink r:id="rId12" w:history="1">
              <w:r w:rsidRPr="00DA2A79">
                <w:rPr>
                  <w:rFonts w:ascii="Verdana" w:eastAsia="Calibri" w:hAnsi="Verdana" w:cs="Arial"/>
                  <w:color w:val="0000FF"/>
                  <w:u w:val="single"/>
                  <w:lang w:val="es-ES_tradnl" w:eastAsia="es-MX"/>
                </w:rPr>
                <w:t>https://www.colombiacompra.gov.co/documentos-tipo/documentos-tipo</w:t>
              </w:r>
            </w:hyperlink>
            <w:r w:rsidRPr="00DA2A79">
              <w:rPr>
                <w:rFonts w:ascii="Verdana" w:eastAsia="Calibri" w:hAnsi="Verdana" w:cs="Arial"/>
                <w:lang w:val="es-ES_tradnl" w:eastAsia="es-MX"/>
              </w:rPr>
              <w:t>.</w:t>
            </w:r>
          </w:p>
          <w:p w14:paraId="1307571A" w14:textId="77777777" w:rsidR="008A0B27" w:rsidRPr="00D56B2A" w:rsidRDefault="008A0B27" w:rsidP="00302A7D">
            <w:pPr>
              <w:widowControl w:val="0"/>
              <w:autoSpaceDE w:val="0"/>
              <w:autoSpaceDN w:val="0"/>
              <w:spacing w:after="120" w:line="276" w:lineRule="auto"/>
              <w:ind w:left="720"/>
              <w:jc w:val="both"/>
              <w:rPr>
                <w:rFonts w:ascii="Verdana" w:hAnsi="Verdana" w:cs="Arial"/>
                <w:color w:val="3399FF"/>
              </w:rPr>
            </w:pPr>
          </w:p>
        </w:tc>
      </w:tr>
    </w:tbl>
    <w:p w14:paraId="2DAE606C" w14:textId="77777777" w:rsidR="008A0B27" w:rsidRPr="00155CC1" w:rsidRDefault="008A0B27" w:rsidP="008A0B27">
      <w:pPr>
        <w:tabs>
          <w:tab w:val="left" w:pos="142"/>
          <w:tab w:val="left" w:pos="284"/>
        </w:tabs>
        <w:spacing w:after="0" w:line="276" w:lineRule="auto"/>
        <w:jc w:val="both"/>
        <w:rPr>
          <w:rFonts w:ascii="Verdana" w:eastAsia="Calibri" w:hAnsi="Verdana" w:cs="Arial"/>
          <w:color w:val="6699FF"/>
        </w:rPr>
      </w:pPr>
    </w:p>
    <w:p w14:paraId="15B5DE96" w14:textId="77777777" w:rsidR="008A0B27" w:rsidRPr="0026211F" w:rsidRDefault="008A0B27" w:rsidP="008A0B27">
      <w:pPr>
        <w:tabs>
          <w:tab w:val="left" w:pos="142"/>
          <w:tab w:val="left" w:pos="284"/>
        </w:tabs>
        <w:spacing w:after="0" w:line="276" w:lineRule="auto"/>
        <w:jc w:val="both"/>
        <w:rPr>
          <w:rFonts w:ascii="Verdana" w:eastAsia="Century Gothic" w:hAnsi="Verdana" w:cs="Century Gothic"/>
          <w:b/>
          <w:bCs/>
          <w:lang w:val="es-ES"/>
        </w:rPr>
      </w:pPr>
      <w:r w:rsidRPr="0026211F">
        <w:rPr>
          <w:rFonts w:ascii="Verdana" w:eastAsia="Calibri" w:hAnsi="Verdana" w:cs="Arial"/>
          <w:b/>
          <w:bCs/>
        </w:rPr>
        <w:t>5</w:t>
      </w:r>
      <w:r w:rsidRPr="0026211F">
        <w:rPr>
          <w:rFonts w:ascii="Verdana" w:eastAsia="Calibri" w:hAnsi="Verdana" w:cs="Arial"/>
        </w:rPr>
        <w:t>.</w:t>
      </w:r>
      <w:r w:rsidRPr="0026211F">
        <w:rPr>
          <w:rFonts w:ascii="Verdana" w:eastAsia="Century Gothic" w:hAnsi="Verdana" w:cs="Century Gothic"/>
          <w:b/>
          <w:bCs/>
          <w:lang w:val="es-ES"/>
        </w:rPr>
        <w:t>Doctrina de la Agencia Nacional de Contratación Pública:</w:t>
      </w:r>
    </w:p>
    <w:p w14:paraId="7D28E1AD" w14:textId="77777777" w:rsidR="008A0B27" w:rsidRPr="00DA2A79" w:rsidRDefault="008A0B27" w:rsidP="008A0B27">
      <w:pPr>
        <w:widowControl w:val="0"/>
        <w:autoSpaceDE w:val="0"/>
        <w:autoSpaceDN w:val="0"/>
        <w:spacing w:after="0" w:line="276" w:lineRule="auto"/>
        <w:jc w:val="both"/>
        <w:rPr>
          <w:rFonts w:ascii="Verdana" w:eastAsia="Calibri" w:hAnsi="Verdana" w:cs="Arial"/>
          <w:lang w:eastAsia="es-MX"/>
        </w:rPr>
      </w:pPr>
    </w:p>
    <w:p w14:paraId="2466AB1A" w14:textId="77777777" w:rsidR="008A0B27" w:rsidRDefault="008A0B27" w:rsidP="008A0B27">
      <w:pPr>
        <w:spacing w:after="0" w:line="276" w:lineRule="auto"/>
        <w:jc w:val="both"/>
        <w:rPr>
          <w:rFonts w:ascii="Verdana" w:eastAsia="Calibri" w:hAnsi="Verdana" w:cs="Arial"/>
          <w:shd w:val="clear" w:color="auto" w:fill="FFFFFF"/>
          <w:lang w:val="es-ES" w:eastAsia="es-MX"/>
        </w:rPr>
      </w:pPr>
      <w:r w:rsidRPr="00C15B51">
        <w:rPr>
          <w:rFonts w:ascii="Verdana" w:eastAsia="Calibri" w:hAnsi="Verdana" w:cs="Arial"/>
          <w:shd w:val="clear" w:color="auto" w:fill="FFFFFF"/>
          <w:lang w:val="es-ES" w:eastAsia="es-MX"/>
        </w:rPr>
        <w:t>La Agencia Nacional de Contratación Pública – Colombia Compra Eficiente se pronunció</w:t>
      </w:r>
      <w:r w:rsidRPr="00C15B51">
        <w:rPr>
          <w:rFonts w:ascii="Verdana" w:eastAsia="Calibri" w:hAnsi="Verdana" w:cs="Times New Roman"/>
          <w:lang w:eastAsia="es-MX"/>
        </w:rPr>
        <w:t xml:space="preserve"> </w:t>
      </w:r>
      <w:r w:rsidRPr="00C15B51">
        <w:rPr>
          <w:rFonts w:ascii="Verdana" w:eastAsia="Calibri" w:hAnsi="Verdana" w:cs="Arial"/>
          <w:shd w:val="clear" w:color="auto" w:fill="FFFFFF"/>
          <w:lang w:val="es-ES" w:eastAsia="es-MX"/>
        </w:rPr>
        <w:t>sobre el ámbito de aplicación de los documentos tipo de infraestructura social, en los conceptos C-375 del 27 de septiembre de 2021, C-536 del 29 de septiembre de 2021, P20210826007696 del 6 de octubre de 2021, C-729 del 24 de enero de 2022, C-090 del 16 de marzo de 2022, C-287 del 11 de mayo de 2022, C-334 del 25 de mayo de 2022, C-344 del 9 de junio de 2022, C-436 del 6 de julio de 2022, C-951 del 18 enero de 2023,C-231 del 30 de junio de 2023, C-587 del 23 de octubre de 2024,</w:t>
      </w:r>
      <w:r w:rsidRPr="00C15B51">
        <w:rPr>
          <w:rFonts w:ascii="Verdana" w:eastAsia="Calibri" w:hAnsi="Verdana" w:cs="Arial"/>
          <w:shd w:val="clear" w:color="auto" w:fill="FFFFFF"/>
          <w:lang w:val="es-ES" w:eastAsia="es-MX"/>
        </w:rPr>
        <w:tab/>
        <w:t xml:space="preserve">C-636 del 1 de noviembre de 2024, C-777 del 9 de diciembre de 2024, C-971 del 21 de enero de 2025, C-1813 del 31 de diciembre de 2025, C-182 del 19 de marzo de 2026, C-246 del 12 de marzo de 2026, C-258 del 19 de marzo de 2026, C-385 del </w:t>
      </w:r>
      <w:r w:rsidRPr="00C15B51">
        <w:rPr>
          <w:rFonts w:ascii="Verdana" w:eastAsia="Aptos" w:hAnsi="Verdana" w:cs="Times New Roman"/>
          <w:kern w:val="2"/>
          <w14:ligatures w14:val="standardContextual"/>
        </w:rPr>
        <w:t>15 de abril del 2025</w:t>
      </w:r>
      <w:r>
        <w:rPr>
          <w:rFonts w:ascii="Verdana" w:eastAsia="Aptos" w:hAnsi="Verdana" w:cs="Times New Roman"/>
          <w:kern w:val="2"/>
          <w14:ligatures w14:val="standardContextual"/>
        </w:rPr>
        <w:t xml:space="preserve">, C-453 del 04 de mayo de 2025, C-452 del 04 de mayo de 2025, </w:t>
      </w:r>
      <w:r w:rsidRPr="00C15B51">
        <w:rPr>
          <w:rFonts w:ascii="Verdana" w:eastAsia="Calibri" w:hAnsi="Verdana" w:cs="Arial"/>
          <w:shd w:val="clear" w:color="auto" w:fill="FFFFFF"/>
          <w:lang w:val="es-ES" w:eastAsia="es-MX"/>
        </w:rPr>
        <w:t xml:space="preserve">entre otros. </w:t>
      </w:r>
    </w:p>
    <w:p w14:paraId="11BEC4A9" w14:textId="77777777" w:rsidR="008A0B27" w:rsidRPr="00310611" w:rsidRDefault="008A0B27" w:rsidP="008A0B27">
      <w:pPr>
        <w:widowControl w:val="0"/>
        <w:autoSpaceDE w:val="0"/>
        <w:autoSpaceDN w:val="0"/>
        <w:spacing w:after="0" w:line="276" w:lineRule="auto"/>
        <w:jc w:val="both"/>
        <w:rPr>
          <w:rFonts w:ascii="Verdana" w:hAnsi="Verdana" w:cs="Arial"/>
          <w:highlight w:val="cyan"/>
        </w:rPr>
      </w:pPr>
    </w:p>
    <w:p w14:paraId="5E8B546B" w14:textId="77777777" w:rsidR="008A0B27" w:rsidRPr="00C15B51" w:rsidRDefault="008A0B27" w:rsidP="008A0B27">
      <w:pPr>
        <w:spacing w:after="0" w:line="276" w:lineRule="auto"/>
        <w:jc w:val="both"/>
        <w:rPr>
          <w:rFonts w:ascii="Verdana" w:eastAsia="Calibri" w:hAnsi="Verdana" w:cs="Arial"/>
          <w:shd w:val="clear" w:color="auto" w:fill="FFFFFF"/>
          <w:lang w:val="es-ES" w:eastAsia="es-MX"/>
        </w:rPr>
      </w:pPr>
      <w:r w:rsidRPr="00310611">
        <w:rPr>
          <w:rFonts w:ascii="Verdana" w:hAnsi="Verdana" w:cs="Arial"/>
          <w:shd w:val="clear" w:color="auto" w:fill="FFFFFF"/>
        </w:rPr>
        <w:t xml:space="preserve">Esta Subdirección se ha pronunciado </w:t>
      </w:r>
      <w:r w:rsidRPr="00310611">
        <w:rPr>
          <w:rFonts w:ascii="Verdana" w:hAnsi="Verdana" w:cs="Arial"/>
          <w:shd w:val="clear" w:color="auto" w:fill="FFFFFF"/>
          <w:lang w:val="es-ES_tradnl"/>
        </w:rPr>
        <w:t>sobre la modalidad de selección del contratista por contratación directa y los principios de la contratación estatal en los conceptos No. 4201912000006310 del 9 de octubre de 2019, C-223 del 29 de abril de 2020, C-443 del 7 de julio de 2020 y, en particular, en los conceptos C-701 de 7 de diciembre de 2020, C-726 de 14 de diciembre de 2020</w:t>
      </w:r>
      <w:r w:rsidRPr="00310611">
        <w:rPr>
          <w:rFonts w:ascii="Verdana" w:hAnsi="Verdana" w:cs="Arial"/>
          <w:shd w:val="clear" w:color="auto" w:fill="FFFFFF"/>
        </w:rPr>
        <w:t xml:space="preserve"> y C-150 del 9 de abril de 2021, C-418 del 18 de agosto de 2021, C-561 del 8 de octubre de 202</w:t>
      </w:r>
      <w:r>
        <w:rPr>
          <w:rFonts w:ascii="Verdana" w:hAnsi="Verdana" w:cs="Arial"/>
          <w:shd w:val="clear" w:color="auto" w:fill="FFFFFF"/>
        </w:rPr>
        <w:t>1,</w:t>
      </w:r>
      <w:r w:rsidRPr="00310611">
        <w:rPr>
          <w:rFonts w:ascii="Verdana" w:hAnsi="Verdana" w:cs="Arial"/>
          <w:shd w:val="clear" w:color="auto" w:fill="FFFFFF"/>
        </w:rPr>
        <w:t xml:space="preserve"> C-564 del 30 de mayo del 2025</w:t>
      </w:r>
      <w:r>
        <w:rPr>
          <w:rFonts w:ascii="Verdana" w:hAnsi="Verdana" w:cs="Arial"/>
          <w:shd w:val="clear" w:color="auto" w:fill="FFFFFF"/>
        </w:rPr>
        <w:t xml:space="preserve">, C-738 del </w:t>
      </w:r>
      <w:r w:rsidRPr="00310611">
        <w:rPr>
          <w:rFonts w:ascii="Verdana" w:eastAsia="Verdana" w:hAnsi="Verdana" w:cs="Verdana"/>
        </w:rPr>
        <w:t>25 de mayo del 2026</w:t>
      </w:r>
      <w:r>
        <w:rPr>
          <w:rFonts w:ascii="Verdana" w:eastAsia="Verdana" w:hAnsi="Verdana" w:cs="Verdana"/>
        </w:rPr>
        <w:t>, entre otros</w:t>
      </w:r>
      <w:r w:rsidRPr="00310611">
        <w:rPr>
          <w:rFonts w:ascii="Verdana" w:hAnsi="Verdana" w:cs="Arial"/>
          <w:shd w:val="clear" w:color="auto" w:fill="FFFFFF"/>
        </w:rPr>
        <w:t>.</w:t>
      </w:r>
    </w:p>
    <w:p w14:paraId="22328296" w14:textId="77777777" w:rsidR="008A0B27" w:rsidRDefault="008A0B27" w:rsidP="008A0B27">
      <w:pPr>
        <w:spacing w:after="0" w:line="276" w:lineRule="auto"/>
        <w:jc w:val="both"/>
        <w:rPr>
          <w:rFonts w:ascii="Verdana" w:eastAsia="Calibri" w:hAnsi="Verdana" w:cs="Arial"/>
          <w:lang w:val="es-ES"/>
        </w:rPr>
      </w:pPr>
    </w:p>
    <w:p w14:paraId="06C875AF" w14:textId="77777777" w:rsidR="008A0B27" w:rsidRPr="003C2A6A" w:rsidRDefault="008A0B27" w:rsidP="008A0B27">
      <w:pPr>
        <w:spacing w:after="0" w:line="276" w:lineRule="auto"/>
        <w:jc w:val="both"/>
        <w:rPr>
          <w:rFonts w:ascii="Verdana" w:eastAsia="Calibri" w:hAnsi="Verdana" w:cs="Arial"/>
        </w:rPr>
      </w:pPr>
      <w:r w:rsidRPr="00240C45">
        <w:rPr>
          <w:rFonts w:ascii="Verdana" w:eastAsia="Calibri" w:hAnsi="Verdana" w:cs="Arial"/>
        </w:rPr>
        <w:t xml:space="preserve">Estos y otros conceptos se encuentran disponibles para consulta en el Sistema de relatoría de la Agencia, al cual se puede acceder a través del siguiente enlace: </w:t>
      </w:r>
      <w:hyperlink r:id="rId13" w:history="1">
        <w:r w:rsidRPr="00DE636B">
          <w:rPr>
            <w:rStyle w:val="Hipervnculo"/>
            <w:rFonts w:ascii="Verdana" w:eastAsia="Calibri" w:hAnsi="Verdana" w:cs="Arial"/>
          </w:rPr>
          <w:t>https://relatoria.colombiacompra.gov.co/busqueda/conceptos</w:t>
        </w:r>
      </w:hyperlink>
      <w:r w:rsidRPr="00240C45">
        <w:rPr>
          <w:rFonts w:ascii="Verdana" w:eastAsia="Calibri" w:hAnsi="Verdana" w:cs="Arial"/>
        </w:rPr>
        <w:t>.</w:t>
      </w:r>
    </w:p>
    <w:p w14:paraId="53576F19" w14:textId="77777777" w:rsidR="008A0B27" w:rsidRPr="00EF54B1" w:rsidRDefault="008A0B27" w:rsidP="008A0B27">
      <w:pPr>
        <w:spacing w:after="0" w:line="240" w:lineRule="auto"/>
        <w:jc w:val="both"/>
        <w:rPr>
          <w:rFonts w:ascii="Verdana" w:eastAsia="Calibri" w:hAnsi="Verdana" w:cs="Arial"/>
          <w:color w:val="000000" w:themeColor="text1"/>
          <w:shd w:val="clear" w:color="auto" w:fill="FFFFFF"/>
        </w:rPr>
      </w:pPr>
    </w:p>
    <w:p w14:paraId="5C4DF895" w14:textId="77777777" w:rsidR="008A0B27" w:rsidRDefault="008A0B27" w:rsidP="008A0B27">
      <w:pPr>
        <w:widowControl w:val="0"/>
        <w:autoSpaceDE w:val="0"/>
        <w:autoSpaceDN w:val="0"/>
        <w:spacing w:after="0" w:line="276" w:lineRule="auto"/>
        <w:jc w:val="both"/>
        <w:rPr>
          <w:rFonts w:ascii="Verdana" w:eastAsia="Calibri" w:hAnsi="Verdana" w:cs="Arial"/>
          <w:color w:val="000000" w:themeColor="text1"/>
          <w:kern w:val="2"/>
          <w:shd w:val="clear" w:color="auto" w:fill="FFFFFF"/>
          <w:lang w:val="es-ES_tradnl"/>
          <w14:ligatures w14:val="standardContextual"/>
        </w:rPr>
      </w:pPr>
      <w:r w:rsidRPr="00EF54B1">
        <w:rPr>
          <w:rFonts w:ascii="Verdana" w:eastAsia="Calibri" w:hAnsi="Verdana" w:cs="Arial"/>
          <w:color w:val="000000" w:themeColor="text1"/>
          <w:kern w:val="2"/>
          <w:shd w:val="clear" w:color="auto" w:fill="FFFFFF"/>
          <w:lang w:val="es-ES_tradnl"/>
          <w14:ligatures w14:val="standardContextual"/>
        </w:rPr>
        <w:t>La</w:t>
      </w:r>
      <w:r w:rsidRPr="00EF54B1">
        <w:rPr>
          <w:rFonts w:ascii="Verdana" w:eastAsia="Calibri" w:hAnsi="Verdana" w:cs="Arial"/>
          <w:b/>
          <w:bCs/>
          <w:color w:val="000000" w:themeColor="text1"/>
          <w:kern w:val="2"/>
          <w:shd w:val="clear" w:color="auto" w:fill="FFFFFF"/>
          <w:lang w:val="es-ES_tradnl"/>
          <w14:ligatures w14:val="standardContextual"/>
        </w:rPr>
        <w:t xml:space="preserve"> Agencia Nacional de Contratación Pública - Colombia Compra Eficiente</w:t>
      </w:r>
      <w:r w:rsidRPr="00EF54B1">
        <w:rPr>
          <w:rFonts w:ascii="Verdana" w:eastAsia="Calibri" w:hAnsi="Verdana" w:cs="Arial"/>
          <w:color w:val="000000" w:themeColor="text1"/>
          <w:kern w:val="2"/>
          <w:shd w:val="clear" w:color="auto" w:fill="FFFFFF"/>
          <w:lang w:val="es-ES_tradnl"/>
          <w14:ligatures w14:val="standardContextual"/>
        </w:rPr>
        <w:t> recomienda a todas las entidades públicas, independientemente de su naturaleza, que gestionan recursos públicos, la aplicación de los </w:t>
      </w:r>
      <w:r w:rsidRPr="00EF54B1">
        <w:rPr>
          <w:rFonts w:ascii="Verdana" w:eastAsia="Calibri" w:hAnsi="Verdana" w:cs="Arial"/>
          <w:b/>
          <w:bCs/>
          <w:color w:val="000000" w:themeColor="text1"/>
          <w:kern w:val="2"/>
          <w:shd w:val="clear" w:color="auto" w:fill="FFFFFF"/>
          <w:lang w:val="es-ES_tradnl"/>
          <w14:ligatures w14:val="standardContextual"/>
        </w:rPr>
        <w:t>Documentos Tipo</w:t>
      </w:r>
      <w:r w:rsidRPr="00EF54B1">
        <w:rPr>
          <w:rFonts w:ascii="Verdana" w:eastAsia="Calibri" w:hAnsi="Verdana" w:cs="Arial"/>
          <w:color w:val="000000" w:themeColor="text1"/>
          <w:kern w:val="2"/>
          <w:shd w:val="clear" w:color="auto" w:fill="FFFFFF"/>
          <w:lang w:val="es-ES_tradnl"/>
          <w14:ligatures w14:val="standardContextual"/>
        </w:rPr>
        <w:t>. Esta recomendación es válida tanto para su uso obligatorio, cuando así lo establezca la normatividad vigente, como para su implementación como una buena práctica. El objetivo es garantizar la </w:t>
      </w:r>
      <w:r w:rsidRPr="00EF54B1">
        <w:rPr>
          <w:rFonts w:ascii="Verdana" w:eastAsia="Calibri" w:hAnsi="Verdana" w:cs="Arial"/>
          <w:b/>
          <w:bCs/>
          <w:color w:val="000000" w:themeColor="text1"/>
          <w:kern w:val="2"/>
          <w:shd w:val="clear" w:color="auto" w:fill="FFFFFF"/>
          <w:lang w:val="es-ES_tradnl"/>
          <w14:ligatures w14:val="standardContextual"/>
        </w:rPr>
        <w:t>transparencia</w:t>
      </w:r>
      <w:r w:rsidRPr="00EF54B1">
        <w:rPr>
          <w:rFonts w:ascii="Verdana" w:eastAsia="Calibri" w:hAnsi="Verdana" w:cs="Arial"/>
          <w:color w:val="000000" w:themeColor="text1"/>
          <w:kern w:val="2"/>
          <w:shd w:val="clear" w:color="auto" w:fill="FFFFFF"/>
          <w:lang w:val="es-ES_tradnl"/>
          <w14:ligatures w14:val="standardContextual"/>
        </w:rPr>
        <w:t> y promover un proceso de </w:t>
      </w:r>
      <w:r w:rsidRPr="00EF54B1">
        <w:rPr>
          <w:rFonts w:ascii="Verdana" w:eastAsia="Calibri" w:hAnsi="Verdana" w:cs="Arial"/>
          <w:b/>
          <w:bCs/>
          <w:color w:val="000000" w:themeColor="text1"/>
          <w:kern w:val="2"/>
          <w:shd w:val="clear" w:color="auto" w:fill="FFFFFF"/>
          <w:lang w:val="es-ES_tradnl"/>
          <w14:ligatures w14:val="standardContextual"/>
        </w:rPr>
        <w:t>selección objetiva</w:t>
      </w:r>
      <w:r w:rsidRPr="00EF54B1">
        <w:rPr>
          <w:rFonts w:ascii="Verdana" w:eastAsia="Calibri" w:hAnsi="Verdana" w:cs="Arial"/>
          <w:color w:val="000000" w:themeColor="text1"/>
          <w:kern w:val="2"/>
          <w:shd w:val="clear" w:color="auto" w:fill="FFFFFF"/>
          <w:lang w:val="es-ES_tradnl"/>
          <w14:ligatures w14:val="standardContextual"/>
        </w:rPr>
        <w:t> en la contratación pública, contribuyendo así a mejorar la eficiencia, la competencia y la confianza en el manejo de los recursos del Estado.</w:t>
      </w:r>
    </w:p>
    <w:p w14:paraId="3646588D" w14:textId="77777777" w:rsidR="008A0B27" w:rsidRDefault="008A0B27" w:rsidP="008A0B27">
      <w:pPr>
        <w:widowControl w:val="0"/>
        <w:autoSpaceDE w:val="0"/>
        <w:autoSpaceDN w:val="0"/>
        <w:spacing w:after="0" w:line="276" w:lineRule="auto"/>
        <w:jc w:val="both"/>
        <w:rPr>
          <w:rFonts w:ascii="Verdana" w:eastAsia="Calibri" w:hAnsi="Verdana" w:cs="Arial"/>
          <w:color w:val="000000" w:themeColor="text1"/>
          <w:kern w:val="2"/>
          <w:shd w:val="clear" w:color="auto" w:fill="FFFFFF"/>
          <w:lang w:val="es-ES_tradnl"/>
          <w14:ligatures w14:val="standardContextual"/>
        </w:rPr>
      </w:pPr>
    </w:p>
    <w:p w14:paraId="43BFECB1" w14:textId="77777777" w:rsidR="008A0B27" w:rsidRPr="00B774CC" w:rsidRDefault="008A0B27" w:rsidP="008A0B27">
      <w:pPr>
        <w:widowControl w:val="0"/>
        <w:autoSpaceDE w:val="0"/>
        <w:autoSpaceDN w:val="0"/>
        <w:spacing w:after="0" w:line="276" w:lineRule="auto"/>
        <w:jc w:val="both"/>
        <w:rPr>
          <w:rFonts w:ascii="Verdana" w:eastAsia="Calibri" w:hAnsi="Verdana" w:cs="Arial"/>
          <w:color w:val="000000" w:themeColor="text1"/>
          <w:kern w:val="2"/>
          <w:shd w:val="clear" w:color="auto" w:fill="FFFFFF"/>
          <w14:ligatures w14:val="standardContextual"/>
        </w:rPr>
      </w:pPr>
      <w:r w:rsidRPr="00B774CC">
        <w:rPr>
          <w:rFonts w:ascii="Verdana" w:eastAsia="Calibri" w:hAnsi="Verdana" w:cs="Arial"/>
          <w:color w:val="000000" w:themeColor="text1"/>
          <w:kern w:val="2"/>
          <w:shd w:val="clear" w:color="auto" w:fill="FFFFFF"/>
          <w14:ligatures w14:val="standardContextual"/>
        </w:rPr>
        <w:t>La sostenibilidad no es una opción, es una obligación. Por ello, la Agencia Nacional de Contratación Pública –Colombia Compra Eficiente– te invita a realizar el </w:t>
      </w:r>
      <w:r w:rsidRPr="00B774CC">
        <w:rPr>
          <w:rFonts w:ascii="Verdana" w:eastAsia="Calibri" w:hAnsi="Verdana" w:cs="Arial"/>
          <w:b/>
          <w:bCs/>
          <w:color w:val="000000" w:themeColor="text1"/>
          <w:kern w:val="2"/>
          <w:shd w:val="clear" w:color="auto" w:fill="FFFFFF"/>
          <w14:ligatures w14:val="standardContextual"/>
        </w:rPr>
        <w:t>Curso de Contratación Pública Sostenible y Socialmente Responsable</w:t>
      </w:r>
      <w:r w:rsidRPr="00B774CC">
        <w:rPr>
          <w:rFonts w:ascii="Verdana" w:eastAsia="Calibri" w:hAnsi="Verdana" w:cs="Arial"/>
          <w:color w:val="000000" w:themeColor="text1"/>
          <w:kern w:val="2"/>
          <w:shd w:val="clear" w:color="auto" w:fill="FFFFFF"/>
          <w14:ligatures w14:val="standardContextual"/>
        </w:rPr>
        <w:t>, una herramienta clave para fortalecer las capacidades de todos los compradores públicos, proveedores, servidores públicos y para generar mayor valor público. Accede al curso y aprende como implementar criterios sociales y ambientales en las diferentes etapas del proceso de contratación: </w:t>
      </w:r>
      <w:r w:rsidRPr="00B774CC">
        <w:rPr>
          <w:rFonts w:ascii="Verdana" w:eastAsia="Calibri" w:hAnsi="Verdana" w:cs="Arial"/>
          <w:color w:val="000000" w:themeColor="text1"/>
          <w:kern w:val="2"/>
          <w:shd w:val="clear" w:color="auto" w:fill="FFFFFF"/>
          <w14:ligatures w14:val="standardContextual"/>
        </w:rPr>
        <w:br/>
      </w:r>
      <w:hyperlink r:id="rId14" w:tgtFrame="_blank" w:history="1">
        <w:r w:rsidRPr="00B774CC">
          <w:rPr>
            <w:rStyle w:val="Hipervnculo"/>
            <w:rFonts w:ascii="Verdana" w:eastAsia="Calibri" w:hAnsi="Verdana" w:cs="Arial"/>
            <w:kern w:val="2"/>
            <w:shd w:val="clear" w:color="auto" w:fill="FFFFFF"/>
            <w14:ligatures w14:val="standardContextual"/>
          </w:rPr>
          <w:t>https://formacionvirtual.colombiacompra.gov.co/mod/page/view.php?id=3718</w:t>
        </w:r>
      </w:hyperlink>
      <w:r w:rsidRPr="00B774CC">
        <w:rPr>
          <w:rFonts w:ascii="Verdana" w:eastAsia="Calibri" w:hAnsi="Verdana" w:cs="Arial"/>
          <w:color w:val="000000" w:themeColor="text1"/>
          <w:kern w:val="2"/>
          <w:shd w:val="clear" w:color="auto" w:fill="FFFFFF"/>
          <w14:ligatures w14:val="standardContextual"/>
        </w:rPr>
        <w:t> </w:t>
      </w:r>
    </w:p>
    <w:p w14:paraId="34E8297A" w14:textId="77777777" w:rsidR="008A0B27" w:rsidRPr="00B774CC" w:rsidRDefault="008A0B27" w:rsidP="008A0B27">
      <w:pPr>
        <w:widowControl w:val="0"/>
        <w:autoSpaceDE w:val="0"/>
        <w:autoSpaceDN w:val="0"/>
        <w:spacing w:after="0" w:line="276" w:lineRule="auto"/>
        <w:jc w:val="both"/>
        <w:rPr>
          <w:rFonts w:ascii="Verdana" w:eastAsia="Calibri" w:hAnsi="Verdana" w:cs="Arial"/>
          <w:color w:val="000000" w:themeColor="text1"/>
          <w:kern w:val="2"/>
          <w:shd w:val="clear" w:color="auto" w:fill="FFFFFF"/>
          <w14:ligatures w14:val="standardContextual"/>
        </w:rPr>
      </w:pPr>
      <w:r w:rsidRPr="00B774CC">
        <w:rPr>
          <w:rFonts w:ascii="Verdana" w:eastAsia="Calibri" w:hAnsi="Verdana" w:cs="Arial"/>
          <w:color w:val="000000" w:themeColor="text1"/>
          <w:kern w:val="2"/>
          <w:shd w:val="clear" w:color="auto" w:fill="FFFFFF"/>
          <w14:ligatures w14:val="standardContextual"/>
        </w:rPr>
        <w:t> </w:t>
      </w:r>
    </w:p>
    <w:p w14:paraId="498C0BBB" w14:textId="77777777" w:rsidR="008A0B27" w:rsidRPr="00B774CC" w:rsidRDefault="008A0B27" w:rsidP="008A0B27">
      <w:pPr>
        <w:widowControl w:val="0"/>
        <w:autoSpaceDE w:val="0"/>
        <w:autoSpaceDN w:val="0"/>
        <w:spacing w:after="0" w:line="276" w:lineRule="auto"/>
        <w:jc w:val="both"/>
        <w:rPr>
          <w:rFonts w:ascii="Verdana" w:eastAsia="Calibri" w:hAnsi="Verdana" w:cs="Arial"/>
          <w:color w:val="000000" w:themeColor="text1"/>
          <w:kern w:val="2"/>
          <w:shd w:val="clear" w:color="auto" w:fill="FFFFFF"/>
          <w14:ligatures w14:val="standardContextual"/>
        </w:rPr>
      </w:pPr>
      <w:r w:rsidRPr="00B774CC">
        <w:rPr>
          <w:rFonts w:ascii="Verdana" w:eastAsia="Calibri" w:hAnsi="Verdana" w:cs="Arial"/>
          <w:color w:val="000000" w:themeColor="text1"/>
          <w:kern w:val="2"/>
          <w:shd w:val="clear" w:color="auto" w:fill="FFFFFF"/>
          <w14:ligatures w14:val="standardContextual"/>
        </w:rPr>
        <w:t>De otro lado, te contamos que esta Agencia ha da un paso decisivo en la estandarización y modernización del </w:t>
      </w:r>
      <w:r w:rsidRPr="00B774CC">
        <w:rPr>
          <w:rFonts w:ascii="Verdana" w:eastAsia="Calibri" w:hAnsi="Verdana" w:cs="Arial"/>
          <w:b/>
          <w:bCs/>
          <w:color w:val="000000" w:themeColor="text1"/>
          <w:kern w:val="2"/>
          <w:shd w:val="clear" w:color="auto" w:fill="FFFFFF"/>
          <w14:ligatures w14:val="standardContextual"/>
        </w:rPr>
        <w:t>sector  social</w:t>
      </w:r>
      <w:r w:rsidRPr="00B774CC">
        <w:rPr>
          <w:rFonts w:ascii="Verdana" w:eastAsia="Calibri" w:hAnsi="Verdana" w:cs="Arial"/>
          <w:color w:val="000000" w:themeColor="text1"/>
          <w:kern w:val="2"/>
          <w:shd w:val="clear" w:color="auto" w:fill="FFFFFF"/>
          <w14:ligatures w14:val="standardContextual"/>
        </w:rPr>
        <w:t> con la expedición de las </w:t>
      </w:r>
      <w:r w:rsidRPr="00B774CC">
        <w:rPr>
          <w:rFonts w:ascii="Verdana" w:eastAsia="Calibri" w:hAnsi="Verdana" w:cs="Arial"/>
          <w:b/>
          <w:bCs/>
          <w:color w:val="000000" w:themeColor="text1"/>
          <w:kern w:val="2"/>
          <w:shd w:val="clear" w:color="auto" w:fill="FFFFFF"/>
          <w14:ligatures w14:val="standardContextual"/>
        </w:rPr>
        <w:t>Resoluciones 539, 540, 541, 952 y 953 de 2025</w:t>
      </w:r>
      <w:r w:rsidRPr="00B774CC">
        <w:rPr>
          <w:rFonts w:ascii="Verdana" w:eastAsia="Calibri" w:hAnsi="Verdana" w:cs="Arial"/>
          <w:color w:val="000000" w:themeColor="text1"/>
          <w:kern w:val="2"/>
          <w:shd w:val="clear" w:color="auto" w:fill="FFFFFF"/>
          <w14:ligatures w14:val="standardContextual"/>
        </w:rPr>
        <w:t>, </w:t>
      </w:r>
      <w:r w:rsidRPr="00B774CC">
        <w:rPr>
          <w:rFonts w:ascii="Verdana" w:eastAsia="Calibri" w:hAnsi="Verdana" w:cs="Arial"/>
          <w:b/>
          <w:bCs/>
          <w:color w:val="000000" w:themeColor="text1"/>
          <w:kern w:val="2"/>
          <w:shd w:val="clear" w:color="auto" w:fill="FFFFFF"/>
          <w14:ligatures w14:val="standardContextual"/>
        </w:rPr>
        <w:t>mediante las cuales adoptó Documentos Tipo</w:t>
      </w:r>
      <w:r w:rsidRPr="00B774CC">
        <w:rPr>
          <w:rFonts w:ascii="Verdana" w:eastAsia="Calibri" w:hAnsi="Verdana" w:cs="Arial"/>
          <w:color w:val="000000" w:themeColor="text1"/>
          <w:kern w:val="2"/>
          <w:shd w:val="clear" w:color="auto" w:fill="FFFFFF"/>
          <w14:ligatures w14:val="standardContextual"/>
        </w:rPr>
        <w:t> para las modalidades de selección de</w:t>
      </w:r>
      <w:r w:rsidRPr="00B774CC">
        <w:rPr>
          <w:rFonts w:ascii="Verdana" w:eastAsia="Calibri" w:hAnsi="Verdana" w:cs="Arial"/>
          <w:b/>
          <w:bCs/>
          <w:color w:val="000000" w:themeColor="text1"/>
          <w:kern w:val="2"/>
          <w:shd w:val="clear" w:color="auto" w:fill="FFFFFF"/>
          <w14:ligatures w14:val="standardContextual"/>
        </w:rPr>
        <w:t> licitación pública (versión 2), selección abreviada de menor cuantía, mínima cuantía, consultoría e interventoría</w:t>
      </w:r>
      <w:r w:rsidRPr="00B774CC">
        <w:rPr>
          <w:rFonts w:ascii="Verdana" w:eastAsia="Calibri" w:hAnsi="Verdana" w:cs="Arial"/>
          <w:color w:val="000000" w:themeColor="text1"/>
          <w:kern w:val="2"/>
          <w:shd w:val="clear" w:color="auto" w:fill="FFFFFF"/>
          <w14:ligatures w14:val="standardContextual"/>
        </w:rPr>
        <w:t>, promoviendo procesos más transparentes, eficientes  competitivos y sostenibles en sectores estratégicos como educación, salud, cultura, recreación, deporte, institucional y vivienda. Consulta y descarga los documentos aquí: </w:t>
      </w:r>
      <w:hyperlink r:id="rId15" w:tgtFrame="_blank" w:history="1">
        <w:r w:rsidRPr="00B774CC">
          <w:rPr>
            <w:rStyle w:val="Hipervnculo"/>
            <w:rFonts w:ascii="Verdana" w:eastAsia="Calibri" w:hAnsi="Verdana" w:cs="Arial"/>
            <w:kern w:val="2"/>
            <w:shd w:val="clear" w:color="auto" w:fill="FFFFFF"/>
            <w14:ligatures w14:val="standardContextual"/>
          </w:rPr>
          <w:t>https://www.colombiacompra.gov.co/normativa-y-relatoria/documentos-tipo</w:t>
        </w:r>
      </w:hyperlink>
      <w:r w:rsidRPr="00B774CC">
        <w:rPr>
          <w:rFonts w:ascii="Verdana" w:eastAsia="Calibri" w:hAnsi="Verdana" w:cs="Arial"/>
          <w:color w:val="000000" w:themeColor="text1"/>
          <w:kern w:val="2"/>
          <w:shd w:val="clear" w:color="auto" w:fill="FFFFFF"/>
          <w14:ligatures w14:val="standardContextual"/>
        </w:rPr>
        <w:t> </w:t>
      </w:r>
    </w:p>
    <w:p w14:paraId="1CAAD9AE" w14:textId="77777777" w:rsidR="008A0B27" w:rsidRPr="00B774CC" w:rsidRDefault="008A0B27" w:rsidP="008A0B27">
      <w:pPr>
        <w:widowControl w:val="0"/>
        <w:autoSpaceDE w:val="0"/>
        <w:autoSpaceDN w:val="0"/>
        <w:spacing w:after="0" w:line="276" w:lineRule="auto"/>
        <w:jc w:val="both"/>
        <w:rPr>
          <w:rFonts w:ascii="Verdana" w:eastAsia="Calibri" w:hAnsi="Verdana" w:cs="Arial"/>
          <w:color w:val="000000" w:themeColor="text1"/>
          <w:kern w:val="2"/>
          <w:shd w:val="clear" w:color="auto" w:fill="FFFFFF"/>
          <w14:ligatures w14:val="standardContextual"/>
        </w:rPr>
      </w:pPr>
      <w:r w:rsidRPr="00B774CC">
        <w:rPr>
          <w:rFonts w:ascii="Verdana" w:eastAsia="Calibri" w:hAnsi="Verdana" w:cs="Arial"/>
          <w:color w:val="000000" w:themeColor="text1"/>
          <w:kern w:val="2"/>
          <w:shd w:val="clear" w:color="auto" w:fill="FFFFFF"/>
          <w14:ligatures w14:val="standardContextual"/>
        </w:rPr>
        <w:t> </w:t>
      </w:r>
    </w:p>
    <w:p w14:paraId="616DAC65" w14:textId="77777777" w:rsidR="008A0B27" w:rsidRPr="00B774CC" w:rsidRDefault="008A0B27" w:rsidP="008A0B27">
      <w:pPr>
        <w:widowControl w:val="0"/>
        <w:autoSpaceDE w:val="0"/>
        <w:autoSpaceDN w:val="0"/>
        <w:spacing w:after="0" w:line="276" w:lineRule="auto"/>
        <w:jc w:val="both"/>
        <w:rPr>
          <w:rFonts w:ascii="Verdana" w:eastAsia="Calibri" w:hAnsi="Verdana" w:cs="Arial"/>
          <w:color w:val="000000" w:themeColor="text1"/>
          <w:kern w:val="2"/>
          <w:shd w:val="clear" w:color="auto" w:fill="FFFFFF"/>
          <w14:ligatures w14:val="standardContextual"/>
        </w:rPr>
      </w:pPr>
      <w:r w:rsidRPr="00B774CC">
        <w:rPr>
          <w:rFonts w:ascii="Verdana" w:eastAsia="Calibri" w:hAnsi="Verdana" w:cs="Arial"/>
          <w:color w:val="000000" w:themeColor="text1"/>
          <w:kern w:val="2"/>
          <w:shd w:val="clear" w:color="auto" w:fill="FFFFFF"/>
          <w14:ligatures w14:val="standardContextual"/>
        </w:rPr>
        <w:t>Si quieres conocer más sobre la aplicación de Documentos Tipo puedes consultar la última versión de la </w:t>
      </w:r>
      <w:r w:rsidRPr="00B774CC">
        <w:rPr>
          <w:rFonts w:ascii="Verdana" w:eastAsia="Calibri" w:hAnsi="Verdana" w:cs="Arial"/>
          <w:b/>
          <w:bCs/>
          <w:color w:val="000000" w:themeColor="text1"/>
          <w:kern w:val="2"/>
          <w:shd w:val="clear" w:color="auto" w:fill="FFFFFF"/>
          <w14:ligatures w14:val="standardContextual"/>
        </w:rPr>
        <w:t>Guía para la comprensión e implementación de los Documentos Tipo de obra pública de infraestructura de transporte</w:t>
      </w:r>
      <w:r w:rsidRPr="00B774CC">
        <w:rPr>
          <w:rFonts w:ascii="Verdana" w:eastAsia="Calibri" w:hAnsi="Verdana" w:cs="Arial"/>
          <w:color w:val="000000" w:themeColor="text1"/>
          <w:kern w:val="2"/>
          <w:shd w:val="clear" w:color="auto" w:fill="FFFFFF"/>
          <w14:ligatures w14:val="standardContextual"/>
        </w:rPr>
        <w:t>. En esta actualización se incorporaron orientaciones prácticas dirigidas a entidades públicas, proveedores, organismos de control y demás interesados, con el propósito de facilitar la adecuada implementación de estos instrumentos en los procesos contractuales. Además se incluyeron lineamientos que orientan la implementación de los criterios ambientales y sociales incluidos en los documentos tipo: Consulta la guía aquí: </w:t>
      </w:r>
      <w:r w:rsidRPr="00B774CC">
        <w:rPr>
          <w:rFonts w:ascii="Verdana" w:eastAsia="Calibri" w:hAnsi="Verdana" w:cs="Arial"/>
          <w:color w:val="000000" w:themeColor="text1"/>
          <w:kern w:val="2"/>
          <w:shd w:val="clear" w:color="auto" w:fill="FFFFFF"/>
          <w14:ligatures w14:val="standardContextual"/>
        </w:rPr>
        <w:br/>
      </w:r>
      <w:hyperlink r:id="rId16" w:tgtFrame="_blank" w:history="1">
        <w:r w:rsidRPr="00B774CC">
          <w:rPr>
            <w:rStyle w:val="Hipervnculo"/>
            <w:rFonts w:ascii="Verdana" w:eastAsia="Calibri" w:hAnsi="Verdana" w:cs="Arial"/>
            <w:kern w:val="2"/>
            <w:shd w:val="clear" w:color="auto" w:fill="FFFFFF"/>
            <w14:ligatures w14:val="standardContextual"/>
          </w:rPr>
          <w:t>https://www.colombiacompra.gov.co/archivos/manual/guia-para-la-comprension-e-implementacion-de-los-documentos-tipo-de-obra-publica-de-infraestructura-de-transporte-bajo-las-diferentes-modalidades-de-contratacion-vigentes</w:t>
        </w:r>
      </w:hyperlink>
      <w:r w:rsidRPr="00B774CC">
        <w:rPr>
          <w:rFonts w:ascii="Verdana" w:eastAsia="Calibri" w:hAnsi="Verdana" w:cs="Arial"/>
          <w:color w:val="000000" w:themeColor="text1"/>
          <w:kern w:val="2"/>
          <w:shd w:val="clear" w:color="auto" w:fill="FFFFFF"/>
          <w14:ligatures w14:val="standardContextual"/>
        </w:rPr>
        <w:t> </w:t>
      </w:r>
    </w:p>
    <w:p w14:paraId="477B83C5" w14:textId="77777777" w:rsidR="008A0B27" w:rsidRPr="00EF54B1" w:rsidRDefault="008A0B27" w:rsidP="008A0B27">
      <w:pPr>
        <w:widowControl w:val="0"/>
        <w:autoSpaceDE w:val="0"/>
        <w:autoSpaceDN w:val="0"/>
        <w:spacing w:after="0" w:line="276" w:lineRule="auto"/>
        <w:jc w:val="both"/>
        <w:rPr>
          <w:rFonts w:ascii="Verdana" w:eastAsia="Calibri" w:hAnsi="Verdana" w:cs="Arial"/>
          <w:color w:val="000000" w:themeColor="text1"/>
          <w:kern w:val="2"/>
          <w:shd w:val="clear" w:color="auto" w:fill="FFFFFF"/>
          <w:lang w:val="es-ES_tradnl"/>
          <w14:ligatures w14:val="standardContextual"/>
        </w:rPr>
      </w:pPr>
    </w:p>
    <w:p w14:paraId="687AF7AD" w14:textId="77777777" w:rsidR="008A0B27" w:rsidRPr="009552C8" w:rsidRDefault="008A0B27" w:rsidP="008A0B27">
      <w:pPr>
        <w:spacing w:after="0" w:line="240" w:lineRule="auto"/>
        <w:jc w:val="both"/>
        <w:rPr>
          <w:rFonts w:ascii="Verdana" w:eastAsia="Calibri" w:hAnsi="Verdana" w:cs="Times New Roman"/>
          <w:kern w:val="2"/>
          <w14:ligatures w14:val="standardContextual"/>
        </w:rPr>
      </w:pPr>
      <w:r w:rsidRPr="009552C8">
        <w:rPr>
          <w:rFonts w:ascii="Verdana" w:eastAsia="Aptos" w:hAnsi="Verdana" w:cs="Times New Roman"/>
          <w:kern w:val="2"/>
          <w14:ligatures w14:val="standardContextual"/>
        </w:rPr>
        <w:lastRenderedPageBreak/>
        <w:t xml:space="preserve">Por último, lo invitamos a seguirnos en las redes sociales en las cuales se difunde información institucional: </w:t>
      </w:r>
    </w:p>
    <w:p w14:paraId="507CA341" w14:textId="77777777" w:rsidR="008A0B27" w:rsidRPr="009552C8" w:rsidRDefault="008A0B27" w:rsidP="008A0B27">
      <w:pPr>
        <w:spacing w:after="0" w:line="240" w:lineRule="auto"/>
        <w:jc w:val="both"/>
        <w:rPr>
          <w:rFonts w:ascii="Verdana" w:eastAsia="Aptos" w:hAnsi="Verdana" w:cs="Times New Roman"/>
          <w:kern w:val="2"/>
          <w14:ligatures w14:val="standardContextual"/>
        </w:rPr>
      </w:pPr>
    </w:p>
    <w:p w14:paraId="588FD4AC" w14:textId="77777777" w:rsidR="008A0B27" w:rsidRPr="009552C8" w:rsidRDefault="008A0B27" w:rsidP="008A0B27">
      <w:pPr>
        <w:spacing w:after="0" w:line="240" w:lineRule="auto"/>
        <w:jc w:val="both"/>
        <w:rPr>
          <w:rFonts w:ascii="Verdana" w:eastAsia="Aptos" w:hAnsi="Verdana" w:cs="Times New Roman"/>
          <w:kern w:val="2"/>
          <w14:ligatures w14:val="standardContextual"/>
        </w:rPr>
      </w:pPr>
      <w:r w:rsidRPr="009552C8">
        <w:rPr>
          <w:rFonts w:ascii="Verdana" w:eastAsia="Aptos" w:hAnsi="Verdana" w:cs="Times New Roman"/>
          <w:kern w:val="2"/>
          <w14:ligatures w14:val="standardContextual"/>
        </w:rPr>
        <w:t xml:space="preserve">Twitter: </w:t>
      </w:r>
      <w:r w:rsidRPr="007603CE">
        <w:rPr>
          <w:rFonts w:ascii="Verdana" w:eastAsia="Calibri" w:hAnsi="Verdana" w:cs="Times New Roman"/>
          <w:color w:val="0000FF"/>
          <w:kern w:val="2"/>
          <w:u w:val="single"/>
          <w14:ligatures w14:val="standardContextual"/>
        </w:rPr>
        <w:t>@colombiacompra</w:t>
      </w:r>
      <w:r w:rsidRPr="007603CE">
        <w:rPr>
          <w:rFonts w:ascii="Verdana" w:eastAsia="Calibri" w:hAnsi="Verdana" w:cs="Times New Roman"/>
          <w:color w:val="0000FF"/>
          <w:kern w:val="2"/>
          <w14:ligatures w14:val="standardContextual"/>
        </w:rPr>
        <w:t xml:space="preserve"> </w:t>
      </w:r>
    </w:p>
    <w:p w14:paraId="20DE9F15" w14:textId="77777777" w:rsidR="008A0B27" w:rsidRPr="009552C8" w:rsidRDefault="008A0B27" w:rsidP="008A0B27">
      <w:pPr>
        <w:spacing w:after="0" w:line="240" w:lineRule="auto"/>
        <w:jc w:val="both"/>
        <w:rPr>
          <w:rFonts w:ascii="Verdana" w:eastAsia="Aptos" w:hAnsi="Verdana" w:cs="Times New Roman"/>
          <w:kern w:val="2"/>
          <w14:ligatures w14:val="standardContextual"/>
        </w:rPr>
      </w:pPr>
      <w:r w:rsidRPr="009552C8">
        <w:rPr>
          <w:rFonts w:ascii="Verdana" w:eastAsia="Aptos" w:hAnsi="Verdana" w:cs="Times New Roman"/>
          <w:kern w:val="2"/>
          <w14:ligatures w14:val="standardContextual"/>
        </w:rPr>
        <w:t xml:space="preserve">Facebook: </w:t>
      </w:r>
      <w:r w:rsidRPr="007603CE">
        <w:rPr>
          <w:rFonts w:ascii="Verdana" w:eastAsia="Calibri" w:hAnsi="Verdana" w:cs="Times New Roman"/>
          <w:color w:val="0000FF"/>
          <w:kern w:val="2"/>
          <w:u w:val="single"/>
          <w14:ligatures w14:val="standardContextual"/>
        </w:rPr>
        <w:t>ColombiaCompraEficiente</w:t>
      </w:r>
    </w:p>
    <w:p w14:paraId="17899EE1" w14:textId="77777777" w:rsidR="008A0B27" w:rsidRPr="009552C8" w:rsidRDefault="008A0B27" w:rsidP="008A0B27">
      <w:pPr>
        <w:spacing w:after="0" w:line="240" w:lineRule="auto"/>
        <w:jc w:val="both"/>
        <w:rPr>
          <w:rFonts w:ascii="Verdana" w:eastAsia="Aptos" w:hAnsi="Verdana" w:cs="Times New Roman"/>
          <w:kern w:val="2"/>
          <w14:ligatures w14:val="standardContextual"/>
        </w:rPr>
      </w:pPr>
      <w:r w:rsidRPr="009552C8">
        <w:rPr>
          <w:rFonts w:ascii="Verdana" w:eastAsia="Aptos" w:hAnsi="Verdana" w:cs="Times New Roman"/>
          <w:kern w:val="2"/>
          <w14:ligatures w14:val="standardContextual"/>
        </w:rPr>
        <w:t xml:space="preserve">LinkedIn: </w:t>
      </w:r>
      <w:r w:rsidRPr="007603CE">
        <w:rPr>
          <w:rFonts w:ascii="Verdana" w:eastAsia="Calibri" w:hAnsi="Verdana" w:cs="Times New Roman"/>
          <w:color w:val="0000FF"/>
          <w:kern w:val="2"/>
          <w:u w:val="single"/>
          <w14:ligatures w14:val="standardContextual"/>
        </w:rPr>
        <w:t>Agencia Nacional de Contratación Pública - Colombia Compra Eficiente</w:t>
      </w:r>
      <w:r w:rsidRPr="007603CE">
        <w:rPr>
          <w:rFonts w:ascii="Verdana" w:eastAsia="Calibri" w:hAnsi="Verdana" w:cs="Times New Roman"/>
          <w:color w:val="0000FF"/>
          <w:kern w:val="2"/>
          <w14:ligatures w14:val="standardContextual"/>
        </w:rPr>
        <w:t xml:space="preserve"> </w:t>
      </w:r>
      <w:r w:rsidRPr="009552C8">
        <w:rPr>
          <w:rFonts w:ascii="Verdana" w:eastAsia="Aptos" w:hAnsi="Verdana" w:cs="Times New Roman"/>
          <w:kern w:val="2"/>
          <w14:ligatures w14:val="standardContextual"/>
        </w:rPr>
        <w:t xml:space="preserve">Instagram: </w:t>
      </w:r>
      <w:r w:rsidRPr="007603CE">
        <w:rPr>
          <w:rFonts w:ascii="Verdana" w:eastAsia="Calibri" w:hAnsi="Verdana" w:cs="Times New Roman"/>
          <w:color w:val="0000FF"/>
          <w:kern w:val="2"/>
          <w:u w:val="single"/>
          <w14:ligatures w14:val="standardContextual"/>
        </w:rPr>
        <w:t>@colombiacompraeficiente_cce</w:t>
      </w:r>
    </w:p>
    <w:p w14:paraId="15A0E4B3" w14:textId="77777777" w:rsidR="008A0B27" w:rsidRPr="005D21BF" w:rsidRDefault="008A0B27" w:rsidP="008A0B27">
      <w:pPr>
        <w:widowControl w:val="0"/>
        <w:autoSpaceDE w:val="0"/>
        <w:autoSpaceDN w:val="0"/>
        <w:spacing w:after="0" w:line="276" w:lineRule="auto"/>
        <w:jc w:val="both"/>
        <w:rPr>
          <w:rFonts w:ascii="Verdana" w:eastAsia="Calibri" w:hAnsi="Verdana" w:cs="Arial"/>
          <w:color w:val="000000" w:themeColor="text1"/>
          <w:kern w:val="2"/>
          <w14:ligatures w14:val="standardContextual"/>
        </w:rPr>
      </w:pPr>
    </w:p>
    <w:p w14:paraId="58725B07" w14:textId="77777777" w:rsidR="008A0B27" w:rsidRDefault="008A0B27" w:rsidP="008A0B27">
      <w:pPr>
        <w:widowControl w:val="0"/>
        <w:autoSpaceDE w:val="0"/>
        <w:autoSpaceDN w:val="0"/>
        <w:spacing w:after="0" w:line="276" w:lineRule="auto"/>
        <w:jc w:val="both"/>
        <w:rPr>
          <w:rFonts w:ascii="Verdana" w:eastAsia="Calibri" w:hAnsi="Verdana" w:cs="Arial"/>
          <w:color w:val="000000" w:themeColor="text1"/>
          <w:kern w:val="2"/>
          <w:lang w:val="es-ES_tradnl"/>
          <w14:ligatures w14:val="standardContextual"/>
        </w:rPr>
      </w:pPr>
      <w:r w:rsidRPr="00EF54B1">
        <w:rPr>
          <w:rFonts w:ascii="Verdana" w:eastAsia="Calibri" w:hAnsi="Verdana" w:cs="Arial"/>
          <w:color w:val="000000" w:themeColor="text1"/>
          <w:kern w:val="2"/>
          <w:lang w:val="es-ES_tradnl"/>
          <w14:ligatures w14:val="standardContextual"/>
        </w:rPr>
        <w:t>Este concepto tiene el alcance previsto en el artículo 28 del Código de Procedimiento Administrativo y de lo Contencioso Administrativo y las expresiones aquí utilizadas con mayúscula inicial deben ser entendidas con el significado que les otorga el artículo 2.2.1.1.1.3.1. del Decreto 1082 de 2015.</w:t>
      </w:r>
    </w:p>
    <w:p w14:paraId="361AF7A1" w14:textId="0FD5E01D" w:rsidR="008A0B27" w:rsidRPr="00EF54B1" w:rsidRDefault="008A0B27" w:rsidP="008A0B27">
      <w:pPr>
        <w:widowControl w:val="0"/>
        <w:autoSpaceDE w:val="0"/>
        <w:autoSpaceDN w:val="0"/>
        <w:spacing w:after="0" w:line="276" w:lineRule="auto"/>
        <w:jc w:val="both"/>
        <w:rPr>
          <w:rFonts w:ascii="Verdana" w:eastAsia="Calibri" w:hAnsi="Verdana" w:cs="Arial"/>
          <w:color w:val="000000" w:themeColor="text1"/>
        </w:rPr>
      </w:pPr>
    </w:p>
    <w:p w14:paraId="439ABE65" w14:textId="51AA1633" w:rsidR="008A0B27" w:rsidRPr="00EF54B1" w:rsidRDefault="000A4050" w:rsidP="008A0B27">
      <w:pPr>
        <w:spacing w:after="0" w:line="240" w:lineRule="auto"/>
        <w:rPr>
          <w:rFonts w:ascii="Verdana" w:eastAsia="Calibri" w:hAnsi="Verdana" w:cs="Arial"/>
          <w:color w:val="000000" w:themeColor="text1"/>
          <w:lang w:eastAsia="es-CO"/>
        </w:rPr>
      </w:pPr>
      <w:r w:rsidRPr="002C3AD6">
        <w:rPr>
          <w:rFonts w:ascii="Century Gothic" w:hAnsi="Century Gothic"/>
          <w:noProof/>
        </w:rPr>
        <w:drawing>
          <wp:anchor distT="0" distB="0" distL="114300" distR="114300" simplePos="0" relativeHeight="251660288" behindDoc="0" locked="0" layoutInCell="1" allowOverlap="1" wp14:anchorId="42487614" wp14:editId="5A78437E">
            <wp:simplePos x="0" y="0"/>
            <wp:positionH relativeFrom="column">
              <wp:posOffset>928844</wp:posOffset>
            </wp:positionH>
            <wp:positionV relativeFrom="paragraph">
              <wp:posOffset>174151</wp:posOffset>
            </wp:positionV>
            <wp:extent cx="3258185" cy="1209040"/>
            <wp:effectExtent l="0" t="0" r="5715" b="0"/>
            <wp:wrapSquare wrapText="bothSides"/>
            <wp:docPr id="1780277293"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277293" name="Imagen 1" descr="Texto&#10;&#10;Descripción generada automáticamente"/>
                    <pic:cNvPicPr/>
                  </pic:nvPicPr>
                  <pic:blipFill>
                    <a:blip r:embed="rId17">
                      <a:extLst>
                        <a:ext uri="{28A0092B-C50C-407E-A947-70E740481C1C}">
                          <a14:useLocalDpi xmlns:a14="http://schemas.microsoft.com/office/drawing/2010/main" val="0"/>
                        </a:ext>
                      </a:extLst>
                    </a:blip>
                    <a:stretch>
                      <a:fillRect/>
                    </a:stretch>
                  </pic:blipFill>
                  <pic:spPr>
                    <a:xfrm>
                      <a:off x="0" y="0"/>
                      <a:ext cx="3258185" cy="1209040"/>
                    </a:xfrm>
                    <a:prstGeom prst="rect">
                      <a:avLst/>
                    </a:prstGeom>
                  </pic:spPr>
                </pic:pic>
              </a:graphicData>
            </a:graphic>
            <wp14:sizeRelH relativeFrom="page">
              <wp14:pctWidth>0</wp14:pctWidth>
            </wp14:sizeRelH>
            <wp14:sizeRelV relativeFrom="page">
              <wp14:pctHeight>0</wp14:pctHeight>
            </wp14:sizeRelV>
          </wp:anchor>
        </w:drawing>
      </w:r>
      <w:r w:rsidR="008A0B27" w:rsidRPr="00EF54B1">
        <w:rPr>
          <w:rFonts w:ascii="Verdana" w:eastAsia="Times New Roman" w:hAnsi="Verdana" w:cs="Arial"/>
          <w:color w:val="000000" w:themeColor="text1"/>
          <w:lang w:eastAsia="es-CO"/>
        </w:rPr>
        <w:t>Atentamente,</w:t>
      </w:r>
      <w:r w:rsidR="008A0B27" w:rsidRPr="00EF54B1">
        <w:rPr>
          <w:rFonts w:ascii="Verdana" w:eastAsia="Calibri" w:hAnsi="Verdana" w:cs="Arial"/>
          <w:color w:val="000000" w:themeColor="text1"/>
          <w:lang w:eastAsia="es-CO"/>
        </w:rPr>
        <w:t xml:space="preserve"> </w:t>
      </w:r>
    </w:p>
    <w:p w14:paraId="2286F98B" w14:textId="383B2FEB" w:rsidR="008A0B27" w:rsidRDefault="008A0B27" w:rsidP="008A0B27">
      <w:pPr>
        <w:tabs>
          <w:tab w:val="left" w:pos="1320"/>
        </w:tabs>
        <w:rPr>
          <w:noProof/>
        </w:rPr>
      </w:pPr>
    </w:p>
    <w:p w14:paraId="7085BC27" w14:textId="350F1613" w:rsidR="000A4050" w:rsidRDefault="000A4050" w:rsidP="008A0B27">
      <w:pPr>
        <w:tabs>
          <w:tab w:val="left" w:pos="1320"/>
        </w:tabs>
        <w:rPr>
          <w:noProof/>
        </w:rPr>
      </w:pPr>
    </w:p>
    <w:p w14:paraId="792A4EC6" w14:textId="361E150C" w:rsidR="008A0B27" w:rsidRDefault="008A0B27" w:rsidP="008A0B27">
      <w:pPr>
        <w:tabs>
          <w:tab w:val="left" w:pos="1320"/>
        </w:tabs>
        <w:jc w:val="center"/>
        <w:rPr>
          <w:noProof/>
        </w:rPr>
      </w:pPr>
    </w:p>
    <w:p w14:paraId="28CBB948" w14:textId="77777777" w:rsidR="000A4050" w:rsidRPr="008A0B27" w:rsidRDefault="000A4050" w:rsidP="008A0B27">
      <w:pPr>
        <w:tabs>
          <w:tab w:val="left" w:pos="1320"/>
        </w:tabs>
        <w:jc w:val="center"/>
        <w:rPr>
          <w:noProof/>
        </w:rPr>
      </w:pPr>
    </w:p>
    <w:tbl>
      <w:tblPr>
        <w:tblStyle w:val="Tablaconcuadrcula"/>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185"/>
        <w:gridCol w:w="5925"/>
      </w:tblGrid>
      <w:tr w:rsidR="008A0B27" w14:paraId="3BFEB4FE" w14:textId="77777777" w:rsidTr="00302A7D">
        <w:trPr>
          <w:trHeight w:val="315"/>
        </w:trPr>
        <w:tc>
          <w:tcPr>
            <w:tcW w:w="1185" w:type="dxa"/>
            <w:tcBorders>
              <w:top w:val="nil"/>
              <w:left w:val="nil"/>
              <w:bottom w:val="nil"/>
              <w:right w:val="nil"/>
            </w:tcBorders>
            <w:tcMar>
              <w:left w:w="105" w:type="dxa"/>
              <w:right w:w="105" w:type="dxa"/>
            </w:tcMar>
            <w:vAlign w:val="center"/>
          </w:tcPr>
          <w:p w14:paraId="671CEFEC" w14:textId="77777777" w:rsidR="008A0B27" w:rsidRDefault="008A0B27" w:rsidP="00302A7D">
            <w:pPr>
              <w:rPr>
                <w:rFonts w:ascii="Verdana" w:eastAsia="Verdana" w:hAnsi="Verdana" w:cs="Verdana"/>
                <w:sz w:val="16"/>
                <w:szCs w:val="16"/>
              </w:rPr>
            </w:pPr>
            <w:r w:rsidRPr="3F869DD7">
              <w:rPr>
                <w:rFonts w:ascii="Verdana" w:eastAsia="Verdana" w:hAnsi="Verdana" w:cs="Verdana"/>
                <w:sz w:val="16"/>
                <w:szCs w:val="16"/>
              </w:rPr>
              <w:t>Elabor</w:t>
            </w:r>
            <w:r>
              <w:rPr>
                <w:rFonts w:ascii="Verdana" w:eastAsia="Verdana" w:hAnsi="Verdana" w:cs="Verdana"/>
                <w:sz w:val="16"/>
                <w:szCs w:val="16"/>
              </w:rPr>
              <w:t>o</w:t>
            </w:r>
            <w:r w:rsidRPr="3F869DD7">
              <w:rPr>
                <w:rFonts w:ascii="Verdana" w:eastAsia="Verdana" w:hAnsi="Verdana" w:cs="Verdana"/>
                <w:sz w:val="16"/>
                <w:szCs w:val="16"/>
              </w:rPr>
              <w:t>:</w:t>
            </w:r>
          </w:p>
        </w:tc>
        <w:tc>
          <w:tcPr>
            <w:tcW w:w="5925" w:type="dxa"/>
            <w:tcBorders>
              <w:top w:val="nil"/>
              <w:left w:val="nil"/>
              <w:bottom w:val="dotted" w:sz="4" w:space="0" w:color="7F7F7F" w:themeColor="text1" w:themeTint="80"/>
              <w:right w:val="nil"/>
            </w:tcBorders>
            <w:tcMar>
              <w:left w:w="105" w:type="dxa"/>
              <w:right w:w="105" w:type="dxa"/>
            </w:tcMar>
            <w:vAlign w:val="center"/>
          </w:tcPr>
          <w:p w14:paraId="5C2D2373" w14:textId="77777777" w:rsidR="008A0B27" w:rsidRDefault="008A0B27" w:rsidP="00302A7D">
            <w:pPr>
              <w:rPr>
                <w:rFonts w:ascii="Verdana" w:eastAsia="Times New Roman" w:hAnsi="Verdana" w:cs="Segoe UI"/>
                <w:color w:val="000000" w:themeColor="text1"/>
                <w:sz w:val="16"/>
                <w:szCs w:val="16"/>
                <w:lang w:eastAsia="es-ES"/>
              </w:rPr>
            </w:pPr>
            <w:r w:rsidRPr="3F869DD7">
              <w:rPr>
                <w:rFonts w:ascii="Verdana" w:eastAsia="Arial" w:hAnsi="Verdana" w:cs="Arial"/>
                <w:color w:val="000000" w:themeColor="text1"/>
                <w:sz w:val="16"/>
                <w:szCs w:val="16"/>
                <w:lang w:val="es-ES"/>
              </w:rPr>
              <w:t>Denis Andrea Cárdenas Hernández</w:t>
            </w:r>
          </w:p>
          <w:p w14:paraId="4AB5D023" w14:textId="77777777" w:rsidR="008A0B27" w:rsidRPr="00AE4414" w:rsidRDefault="008A0B27" w:rsidP="00302A7D">
            <w:pPr>
              <w:rPr>
                <w:rFonts w:ascii="Verdana" w:eastAsia="Arial" w:hAnsi="Verdana" w:cs="Arial"/>
                <w:color w:val="000000" w:themeColor="text1"/>
                <w:sz w:val="16"/>
                <w:szCs w:val="16"/>
                <w:lang w:val="es-ES"/>
              </w:rPr>
            </w:pPr>
            <w:r w:rsidRPr="3F869DD7">
              <w:rPr>
                <w:rFonts w:ascii="Verdana" w:eastAsia="Arial" w:hAnsi="Verdana" w:cs="Arial"/>
                <w:color w:val="000000" w:themeColor="text1"/>
                <w:sz w:val="16"/>
                <w:szCs w:val="16"/>
                <w:lang w:val="es-ES"/>
              </w:rPr>
              <w:t>Analista T2-01 de la Subdirección de Gestión Contractual</w:t>
            </w:r>
          </w:p>
        </w:tc>
      </w:tr>
      <w:tr w:rsidR="008A0B27" w14:paraId="0618B3E2" w14:textId="77777777" w:rsidTr="00302A7D">
        <w:trPr>
          <w:trHeight w:val="315"/>
        </w:trPr>
        <w:tc>
          <w:tcPr>
            <w:tcW w:w="1185" w:type="dxa"/>
            <w:tcBorders>
              <w:top w:val="nil"/>
              <w:left w:val="nil"/>
              <w:bottom w:val="nil"/>
              <w:right w:val="nil"/>
            </w:tcBorders>
            <w:tcMar>
              <w:left w:w="105" w:type="dxa"/>
              <w:right w:w="105" w:type="dxa"/>
            </w:tcMar>
            <w:vAlign w:val="center"/>
          </w:tcPr>
          <w:p w14:paraId="35724BCA" w14:textId="77777777" w:rsidR="008A0B27" w:rsidRDefault="008A0B27" w:rsidP="00302A7D">
            <w:pPr>
              <w:rPr>
                <w:rFonts w:ascii="Verdana" w:eastAsia="Verdana" w:hAnsi="Verdana" w:cs="Verdana"/>
                <w:sz w:val="16"/>
                <w:szCs w:val="16"/>
              </w:rPr>
            </w:pPr>
            <w:r w:rsidRPr="3F869DD7">
              <w:rPr>
                <w:rFonts w:ascii="Verdana" w:eastAsia="Verdana" w:hAnsi="Verdana" w:cs="Verdana"/>
                <w:sz w:val="16"/>
                <w:szCs w:val="16"/>
              </w:rPr>
              <w:t>Revisó:</w:t>
            </w:r>
          </w:p>
        </w:tc>
        <w:tc>
          <w:tcPr>
            <w:tcW w:w="5925" w:type="dxa"/>
            <w:tcBorders>
              <w:top w:val="dotted" w:sz="4" w:space="0" w:color="7F7F7F" w:themeColor="text1" w:themeTint="80"/>
              <w:left w:val="nil"/>
              <w:bottom w:val="dotted" w:sz="4" w:space="0" w:color="7F7F7F" w:themeColor="text1" w:themeTint="80"/>
              <w:right w:val="nil"/>
            </w:tcBorders>
            <w:tcMar>
              <w:left w:w="105" w:type="dxa"/>
              <w:right w:w="105" w:type="dxa"/>
            </w:tcMar>
            <w:vAlign w:val="center"/>
          </w:tcPr>
          <w:p w14:paraId="7CD26436" w14:textId="77777777" w:rsidR="008A0B27" w:rsidRDefault="008A0B27" w:rsidP="00302A7D">
            <w:pPr>
              <w:rPr>
                <w:rFonts w:ascii="Verdana" w:eastAsia="Verdana" w:hAnsi="Verdana" w:cs="Verdana"/>
                <w:sz w:val="16"/>
                <w:szCs w:val="16"/>
              </w:rPr>
            </w:pPr>
            <w:r w:rsidRPr="3F869DD7">
              <w:rPr>
                <w:rFonts w:ascii="Verdana" w:eastAsia="Verdana" w:hAnsi="Verdana" w:cs="Verdana"/>
                <w:sz w:val="16"/>
                <w:szCs w:val="16"/>
              </w:rPr>
              <w:t xml:space="preserve">Juan David Cárdenas Cabeza </w:t>
            </w:r>
          </w:p>
          <w:p w14:paraId="2E5B7809" w14:textId="77777777" w:rsidR="008A0B27" w:rsidRDefault="008A0B27" w:rsidP="00302A7D">
            <w:pPr>
              <w:rPr>
                <w:rFonts w:ascii="Verdana" w:eastAsia="Verdana" w:hAnsi="Verdana" w:cs="Verdana"/>
                <w:sz w:val="16"/>
                <w:szCs w:val="16"/>
              </w:rPr>
            </w:pPr>
            <w:r w:rsidRPr="3F869DD7">
              <w:rPr>
                <w:rFonts w:ascii="Verdana" w:eastAsia="Verdana" w:hAnsi="Verdana" w:cs="Verdana"/>
                <w:sz w:val="16"/>
                <w:szCs w:val="16"/>
              </w:rPr>
              <w:t>Contratista de la Subdirección de Gestión Contractual</w:t>
            </w:r>
          </w:p>
        </w:tc>
      </w:tr>
      <w:tr w:rsidR="008A0B27" w14:paraId="1F08781E" w14:textId="77777777" w:rsidTr="00302A7D">
        <w:trPr>
          <w:trHeight w:val="300"/>
        </w:trPr>
        <w:tc>
          <w:tcPr>
            <w:tcW w:w="1185" w:type="dxa"/>
            <w:tcBorders>
              <w:top w:val="nil"/>
              <w:left w:val="nil"/>
              <w:bottom w:val="nil"/>
              <w:right w:val="nil"/>
            </w:tcBorders>
            <w:tcMar>
              <w:left w:w="105" w:type="dxa"/>
              <w:right w:w="105" w:type="dxa"/>
            </w:tcMar>
            <w:vAlign w:val="center"/>
          </w:tcPr>
          <w:p w14:paraId="7CB9AAEE" w14:textId="77777777" w:rsidR="008A0B27" w:rsidRDefault="008A0B27" w:rsidP="00302A7D">
            <w:pPr>
              <w:rPr>
                <w:rFonts w:ascii="Verdana" w:eastAsia="Verdana" w:hAnsi="Verdana" w:cs="Verdana"/>
                <w:sz w:val="16"/>
                <w:szCs w:val="16"/>
              </w:rPr>
            </w:pPr>
            <w:r w:rsidRPr="3F869DD7">
              <w:rPr>
                <w:rFonts w:ascii="Verdana" w:eastAsia="Verdana" w:hAnsi="Verdana" w:cs="Verdana"/>
                <w:sz w:val="16"/>
                <w:szCs w:val="16"/>
              </w:rPr>
              <w:t>Aprobó:</w:t>
            </w:r>
          </w:p>
        </w:tc>
        <w:tc>
          <w:tcPr>
            <w:tcW w:w="5925" w:type="dxa"/>
            <w:tcBorders>
              <w:top w:val="dotted" w:sz="4" w:space="0" w:color="7F7F7F" w:themeColor="text1" w:themeTint="80"/>
              <w:left w:val="nil"/>
              <w:bottom w:val="dotted" w:sz="4" w:space="0" w:color="7F7F7F" w:themeColor="text1" w:themeTint="80"/>
              <w:right w:val="nil"/>
            </w:tcBorders>
            <w:tcMar>
              <w:left w:w="105" w:type="dxa"/>
              <w:right w:w="105" w:type="dxa"/>
            </w:tcMar>
            <w:vAlign w:val="center"/>
          </w:tcPr>
          <w:p w14:paraId="79DF77C0" w14:textId="77777777" w:rsidR="008A0B27" w:rsidRDefault="008A0B27" w:rsidP="00302A7D">
            <w:pPr>
              <w:rPr>
                <w:rFonts w:ascii="Verdana" w:eastAsia="Verdana" w:hAnsi="Verdana" w:cs="Verdana"/>
                <w:sz w:val="16"/>
                <w:szCs w:val="16"/>
              </w:rPr>
            </w:pPr>
            <w:r w:rsidRPr="3F869DD7">
              <w:rPr>
                <w:rFonts w:ascii="Verdana" w:eastAsia="Verdana" w:hAnsi="Verdana" w:cs="Verdana"/>
                <w:sz w:val="16"/>
                <w:szCs w:val="16"/>
              </w:rPr>
              <w:t>Carolina Quintero Gacharná</w:t>
            </w:r>
          </w:p>
          <w:p w14:paraId="0D01F45E" w14:textId="77777777" w:rsidR="008A0B27" w:rsidRDefault="008A0B27" w:rsidP="00302A7D">
            <w:pPr>
              <w:rPr>
                <w:rFonts w:ascii="Verdana" w:eastAsia="Verdana" w:hAnsi="Verdana" w:cs="Verdana"/>
                <w:sz w:val="16"/>
                <w:szCs w:val="16"/>
              </w:rPr>
            </w:pPr>
            <w:r w:rsidRPr="3F869DD7">
              <w:rPr>
                <w:rFonts w:ascii="Verdana" w:eastAsia="Verdana" w:hAnsi="Verdana" w:cs="Verdana"/>
                <w:sz w:val="16"/>
                <w:szCs w:val="16"/>
              </w:rPr>
              <w:t>Subdirectora de Gestión Contractual ANCP – CCE</w:t>
            </w:r>
          </w:p>
        </w:tc>
      </w:tr>
    </w:tbl>
    <w:p w14:paraId="22F4D2B1" w14:textId="77777777" w:rsidR="008A0B27" w:rsidRPr="000E2B93" w:rsidRDefault="008A0B27" w:rsidP="008A0B27">
      <w:pPr>
        <w:spacing w:after="0" w:line="240" w:lineRule="auto"/>
        <w:jc w:val="both"/>
        <w:textAlignment w:val="baseline"/>
        <w:rPr>
          <w:rFonts w:ascii="Verdana" w:eastAsia="Verdana" w:hAnsi="Verdana" w:cs="Verdana"/>
          <w:lang w:eastAsia="es-CO"/>
        </w:rPr>
      </w:pPr>
    </w:p>
    <w:p w14:paraId="2543A832" w14:textId="3B1A3E35" w:rsidR="008A0B27" w:rsidRPr="000E2B93" w:rsidRDefault="008A0B27" w:rsidP="008A0B27">
      <w:pPr>
        <w:spacing w:after="0" w:line="240" w:lineRule="auto"/>
        <w:textAlignment w:val="baseline"/>
        <w:rPr>
          <w:rFonts w:ascii="Verdana" w:eastAsia="Verdana" w:hAnsi="Verdana" w:cs="Verdana"/>
          <w:lang w:eastAsia="es-CO"/>
        </w:rPr>
      </w:pPr>
      <w:r w:rsidRPr="30821638">
        <w:rPr>
          <w:rFonts w:ascii="Verdana" w:eastAsia="Verdana" w:hAnsi="Verdana" w:cs="Verdana"/>
          <w:lang w:eastAsia="es-CO"/>
        </w:rPr>
        <w:t> </w:t>
      </w:r>
    </w:p>
    <w:p w14:paraId="2F983C1D" w14:textId="77777777" w:rsidR="008A0B27" w:rsidRDefault="008A0B27" w:rsidP="008A0B27"/>
    <w:p w14:paraId="7E46F5FB" w14:textId="77777777" w:rsidR="008A0B27" w:rsidRPr="00E02524" w:rsidRDefault="008A0B27" w:rsidP="008A0B27">
      <w:pPr>
        <w:spacing w:after="0"/>
        <w:jc w:val="both"/>
        <w:rPr>
          <w:rFonts w:ascii="Verdana" w:eastAsia="Verdana" w:hAnsi="Verdana" w:cs="Verdana"/>
          <w:lang w:val="es-ES"/>
        </w:rPr>
      </w:pPr>
    </w:p>
    <w:p w14:paraId="0F293BF4" w14:textId="43350518" w:rsidR="00127233" w:rsidRPr="008A0B27" w:rsidRDefault="00127233" w:rsidP="008A0B27"/>
    <w:sectPr w:rsidR="00127233" w:rsidRPr="008A0B27" w:rsidSect="007C0C0F">
      <w:headerReference w:type="default" r:id="rId18"/>
      <w:footerReference w:type="default" r:id="rId19"/>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5C79AC" w14:textId="77777777" w:rsidR="004E1E81" w:rsidRDefault="004E1E81" w:rsidP="004A1847">
      <w:pPr>
        <w:spacing w:after="0" w:line="240" w:lineRule="auto"/>
      </w:pPr>
      <w:r>
        <w:separator/>
      </w:r>
    </w:p>
  </w:endnote>
  <w:endnote w:type="continuationSeparator" w:id="0">
    <w:p w14:paraId="6AA0027E" w14:textId="77777777" w:rsidR="004E1E81" w:rsidRDefault="004E1E81" w:rsidP="004A1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20B0604020202020204"/>
    <w:charset w:val="00"/>
    <w:family w:val="modern"/>
    <w:notTrueType/>
    <w:pitch w:val="variable"/>
    <w:sig w:usb0="A000002F" w:usb1="1000004A" w:usb2="00000000" w:usb3="00000000" w:csb0="00000193" w:csb1="00000000"/>
  </w:font>
  <w:font w:name="Geomanist">
    <w:altName w:val="Calibri"/>
    <w:panose1 w:val="020B0604020202020204"/>
    <w:charset w:val="00"/>
    <w:family w:val="modern"/>
    <w:notTrueType/>
    <w:pitch w:val="variable"/>
    <w:sig w:usb0="A000002F" w:usb1="1000004A" w:usb2="00000000" w:usb3="00000000" w:csb0="00000193" w:csb1="00000000"/>
  </w:font>
  <w:font w:name="Verdana">
    <w:panose1 w:val="020B0604030504040204"/>
    <w:charset w:val="00"/>
    <w:family w:val="swiss"/>
    <w:pitch w:val="variable"/>
    <w:sig w:usb0="A10006FF" w:usb1="4000205B" w:usb2="00000010" w:usb3="00000000" w:csb0="0000019F" w:csb1="00000000"/>
  </w:font>
  <w:font w:name="Aptos">
    <w:panose1 w:val="020B0004020202020204"/>
    <w:charset w:val="00"/>
    <w:family w:val="swiss"/>
    <w:pitch w:val="variable"/>
    <w:sig w:usb0="20000287" w:usb1="00000003" w:usb2="00000000" w:usb3="00000000" w:csb0="0000019F" w:csb1="00000000"/>
  </w:font>
  <w:font w:name="Arial MT">
    <w:altName w:val="Arial"/>
    <w:panose1 w:val="020B0604020202020204"/>
    <w:charset w:val="01"/>
    <w:family w:val="swiss"/>
    <w:pitch w:val="variable"/>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Geomanist Bold">
    <w:altName w:val="Calibri"/>
    <w:panose1 w:val="020B0604020202020204"/>
    <w:charset w:val="00"/>
    <w:family w:val="modern"/>
    <w:notTrueType/>
    <w:pitch w:val="variable"/>
    <w:sig w:usb0="A000002F" w:usb1="1000004A" w:usb2="00000000" w:usb3="00000000" w:csb0="00000193" w:csb1="00000000"/>
  </w:font>
  <w:font w:name="Geo">
    <w:altName w:val="Calibri"/>
    <w:panose1 w:val="020B0604020202020204"/>
    <w:charset w:val="00"/>
    <w:family w:val="auto"/>
    <w:pitch w:val="variable"/>
    <w:sig w:usb0="8000002F" w:usb1="40000048"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C5E18C" w14:textId="77777777" w:rsidR="004E1E81" w:rsidRDefault="004E1E81" w:rsidP="004A1847">
      <w:pPr>
        <w:spacing w:after="0" w:line="240" w:lineRule="auto"/>
      </w:pPr>
      <w:r>
        <w:separator/>
      </w:r>
    </w:p>
  </w:footnote>
  <w:footnote w:type="continuationSeparator" w:id="0">
    <w:p w14:paraId="355E3B04" w14:textId="77777777" w:rsidR="004E1E81" w:rsidRDefault="004E1E81" w:rsidP="004A1847">
      <w:pPr>
        <w:spacing w:after="0" w:line="240" w:lineRule="auto"/>
      </w:pPr>
      <w:r>
        <w:continuationSeparator/>
      </w:r>
    </w:p>
  </w:footnote>
  <w:footnote w:id="1">
    <w:p w14:paraId="0066AE70" w14:textId="77777777" w:rsidR="008A0B27" w:rsidRPr="00EB1E25" w:rsidRDefault="008A0B27" w:rsidP="008A0B27">
      <w:pPr>
        <w:pStyle w:val="Textonotapie"/>
        <w:ind w:firstLine="708"/>
        <w:jc w:val="both"/>
        <w:rPr>
          <w:rFonts w:ascii="Verdana" w:hAnsi="Verdana"/>
          <w:sz w:val="18"/>
          <w:szCs w:val="18"/>
        </w:rPr>
      </w:pPr>
      <w:r w:rsidRPr="00EB1E25">
        <w:rPr>
          <w:rStyle w:val="Refdenotaalpie"/>
          <w:rFonts w:ascii="Verdana" w:hAnsi="Verdana"/>
          <w:sz w:val="18"/>
          <w:szCs w:val="18"/>
        </w:rPr>
        <w:footnoteRef/>
      </w:r>
      <w:r w:rsidRPr="00EB1E25">
        <w:rPr>
          <w:rFonts w:ascii="Verdana" w:hAnsi="Verdana"/>
          <w:sz w:val="18"/>
          <w:szCs w:val="18"/>
        </w:rPr>
        <w:t xml:space="preserve"> Resolución 539 del 21 de agosto de 2025, artículo 23. “Vigencia. La presente resolución rige a partir de su publicación y aplicará a los procedimientos de selección de licitación de obra pública de infraestructura social en los sectores educación, salud, cultura, recreación y deporte, institucional y vivienda, cuyo aviso de convocatoria sea publicado a partir del 16 de febrero de 2026”.</w:t>
      </w:r>
    </w:p>
    <w:p w14:paraId="7E3EAE30" w14:textId="77777777" w:rsidR="008A0B27" w:rsidRPr="00EB1E25" w:rsidRDefault="008A0B27" w:rsidP="008A0B27">
      <w:pPr>
        <w:pStyle w:val="Textonotapie"/>
        <w:ind w:firstLine="708"/>
        <w:jc w:val="both"/>
        <w:rPr>
          <w:rFonts w:ascii="Verdana" w:hAnsi="Verdana"/>
          <w:sz w:val="18"/>
          <w:szCs w:val="18"/>
        </w:rPr>
      </w:pPr>
    </w:p>
    <w:p w14:paraId="45AD6DC9" w14:textId="77777777" w:rsidR="008A0B27" w:rsidRPr="00EB1E25" w:rsidRDefault="008A0B27" w:rsidP="008A0B27">
      <w:pPr>
        <w:pStyle w:val="Textonotapie"/>
        <w:ind w:firstLine="708"/>
        <w:jc w:val="both"/>
        <w:rPr>
          <w:rFonts w:ascii="Verdana" w:hAnsi="Verdana"/>
          <w:sz w:val="18"/>
          <w:szCs w:val="18"/>
        </w:rPr>
      </w:pPr>
      <w:r w:rsidRPr="00EB1E25">
        <w:rPr>
          <w:rFonts w:ascii="Verdana" w:hAnsi="Verdana"/>
          <w:sz w:val="18"/>
          <w:szCs w:val="18"/>
        </w:rPr>
        <w:t>Resolución 540 del 21 de agosto de 2025, artículo 22. Vigencia. La presente resolución rige a partir de su publicación y aplicará a los procedimientos de selección abreviada de menor cuantía de obra pública de infraestructura social de los sectores educación, salud, cultura, recreación y deporte, institucional y vivienda, cuyo aviso de convocatoria sea publicado a partir del 16 de febrero de 2026.</w:t>
      </w:r>
    </w:p>
    <w:p w14:paraId="295993F5" w14:textId="77777777" w:rsidR="008A0B27" w:rsidRPr="00EB1E25" w:rsidRDefault="008A0B27" w:rsidP="008A0B27">
      <w:pPr>
        <w:pStyle w:val="Textonotapie"/>
        <w:ind w:firstLine="708"/>
        <w:jc w:val="both"/>
        <w:rPr>
          <w:rFonts w:ascii="Verdana" w:hAnsi="Verdana"/>
          <w:sz w:val="18"/>
          <w:szCs w:val="18"/>
        </w:rPr>
      </w:pPr>
    </w:p>
    <w:p w14:paraId="6C8DF2F8" w14:textId="77777777" w:rsidR="008A0B27" w:rsidRPr="00EB1E25" w:rsidRDefault="008A0B27" w:rsidP="008A0B27">
      <w:pPr>
        <w:pStyle w:val="Textonotapie"/>
        <w:ind w:firstLine="708"/>
        <w:jc w:val="both"/>
        <w:rPr>
          <w:rFonts w:ascii="Verdana" w:hAnsi="Verdana"/>
          <w:sz w:val="18"/>
          <w:szCs w:val="18"/>
        </w:rPr>
      </w:pPr>
      <w:r w:rsidRPr="00EB1E25">
        <w:rPr>
          <w:rFonts w:ascii="Verdana" w:hAnsi="Verdana"/>
          <w:sz w:val="18"/>
          <w:szCs w:val="18"/>
        </w:rPr>
        <w:t>Resolución 541 del 21 de agosto de 2025, artículo 22. Vigencia. La presente resolución rige a partir de su publicación y aplicará a los procedimientos de mínima cuantía de obra pública de infraestructura de los sectores educación, salud, cultura, recreación y deporte, institucional y vivienda, cuyo aviso de convocatoria sea publicado a partir del 16 de febrero de 2026.</w:t>
      </w:r>
    </w:p>
    <w:p w14:paraId="1CAF138D" w14:textId="77777777" w:rsidR="008A0B27" w:rsidRPr="00EB1E25" w:rsidRDefault="008A0B27" w:rsidP="008A0B27">
      <w:pPr>
        <w:pStyle w:val="Textonotapie"/>
        <w:ind w:firstLine="708"/>
        <w:jc w:val="both"/>
        <w:rPr>
          <w:rFonts w:ascii="Verdana" w:hAnsi="Verdana"/>
          <w:sz w:val="18"/>
          <w:szCs w:val="18"/>
        </w:rPr>
      </w:pPr>
    </w:p>
    <w:p w14:paraId="038DBAA7" w14:textId="77777777" w:rsidR="008A0B27" w:rsidRPr="00EB1E25" w:rsidRDefault="008A0B27" w:rsidP="008A0B27">
      <w:pPr>
        <w:pStyle w:val="Textonotapie"/>
        <w:ind w:firstLine="708"/>
        <w:jc w:val="both"/>
        <w:rPr>
          <w:rFonts w:ascii="Verdana" w:hAnsi="Verdana"/>
          <w:sz w:val="18"/>
          <w:szCs w:val="18"/>
        </w:rPr>
      </w:pPr>
      <w:r w:rsidRPr="00EB1E25">
        <w:rPr>
          <w:rFonts w:ascii="Verdana" w:hAnsi="Verdana"/>
          <w:sz w:val="18"/>
          <w:szCs w:val="18"/>
        </w:rPr>
        <w:t>Resolución 952 del 15 de diciembre de 2025, artículo 22. Vigencia. La presente resolución rige a partir de su publicación, y aplicará para los procesos de selección de concurso de méritos para contratar la consultoría de estudios de ingeniería de infraestructura social en los sectores educación, salud, cultura, recreación y deporte, institucional y vivienda, cuyo aviso de convocatoria se publique a partir del 16 de febrero de 2026.</w:t>
      </w:r>
    </w:p>
    <w:p w14:paraId="6F3E5582" w14:textId="77777777" w:rsidR="008A0B27" w:rsidRPr="00EB1E25" w:rsidRDefault="008A0B27" w:rsidP="008A0B27">
      <w:pPr>
        <w:pStyle w:val="Textonotapie"/>
        <w:ind w:firstLine="708"/>
        <w:jc w:val="both"/>
        <w:rPr>
          <w:rFonts w:ascii="Verdana" w:hAnsi="Verdana"/>
          <w:sz w:val="18"/>
          <w:szCs w:val="18"/>
        </w:rPr>
      </w:pPr>
    </w:p>
    <w:p w14:paraId="456348F3" w14:textId="77777777" w:rsidR="008A0B27" w:rsidRPr="00EB1E25" w:rsidRDefault="008A0B27" w:rsidP="008A0B27">
      <w:pPr>
        <w:pStyle w:val="Textonotapie"/>
        <w:ind w:firstLine="708"/>
        <w:jc w:val="both"/>
        <w:rPr>
          <w:rFonts w:ascii="Verdana" w:hAnsi="Verdana"/>
          <w:sz w:val="18"/>
          <w:szCs w:val="18"/>
        </w:rPr>
      </w:pPr>
      <w:r w:rsidRPr="00EB1E25">
        <w:rPr>
          <w:rFonts w:ascii="Verdana" w:hAnsi="Verdana"/>
          <w:sz w:val="18"/>
          <w:szCs w:val="18"/>
        </w:rPr>
        <w:t>Resolución 953 del 15 de diciembre de 2025, artículo 22. Vigencia y derogatorias. La presente resolución rige a partir de su publicación, deroga la Resolución 798 del 29 de diciembre de 2023 y sus modificaciones posteriores, y aplicará para los procesos de selección de concurso de méritos para contratar la interventoría de obras públicas de infraestructura social en los sectores educación, salud, cultura, recreación y deporte, institucional y vivienda, cuyo aviso de convocatoria se publique a partir del 16 de febrero de 2026.</w:t>
      </w:r>
    </w:p>
  </w:footnote>
  <w:footnote w:id="2">
    <w:p w14:paraId="0CF25B56" w14:textId="77777777" w:rsidR="008A0B27" w:rsidRPr="009249AF" w:rsidRDefault="008A0B27" w:rsidP="008A0B27">
      <w:pPr>
        <w:pStyle w:val="Textoindependiente"/>
        <w:snapToGrid w:val="0"/>
        <w:ind w:firstLine="708"/>
        <w:contextualSpacing/>
        <w:jc w:val="both"/>
        <w:rPr>
          <w:rFonts w:cs="Arial"/>
          <w:sz w:val="18"/>
          <w:szCs w:val="18"/>
        </w:rPr>
      </w:pPr>
      <w:r w:rsidRPr="009249AF">
        <w:rPr>
          <w:rStyle w:val="Refdenotaalpie"/>
          <w:rFonts w:cs="Arial"/>
          <w:sz w:val="18"/>
          <w:szCs w:val="18"/>
        </w:rPr>
        <w:footnoteRef/>
      </w:r>
      <w:r w:rsidRPr="009249AF">
        <w:rPr>
          <w:rFonts w:cs="Arial"/>
          <w:sz w:val="18"/>
          <w:szCs w:val="18"/>
        </w:rPr>
        <w:t xml:space="preserve"> </w:t>
      </w:r>
      <w:r w:rsidRPr="009249AF">
        <w:rPr>
          <w:rFonts w:cs="Arial"/>
          <w:sz w:val="18"/>
          <w:szCs w:val="18"/>
          <w:lang w:val="es-ES_tradnl"/>
        </w:rPr>
        <w:t xml:space="preserve">El artículo 2º define, para los efectos del ámbito de sujeción del estatuto, que se denominan entidades estatales: a) </w:t>
      </w:r>
      <w:r w:rsidRPr="009249AF">
        <w:rPr>
          <w:rFonts w:cs="Arial"/>
          <w:sz w:val="18"/>
          <w:szCs w:val="18"/>
        </w:rPr>
        <w:t>La Nación, las regiones, los departamentos, las provincias, el distrito capital y los distritos especiales, las áreas metropolitanas, las asociaciones de municipios, los territorios indígenas y los municipios; los establecimientos públicos, las empresas industriales y comerciales del Estado, las sociedades de economía mixta en las que el Estado tenga participación superior al cincuenta por ciento (50%), así como las entidades descentralizadas indirectas y las demás personas jurídicas en las que exista dicha participación pública mayoritaria, cualquiera sea la denominación que ellas adopten, en todos los órdenes y niveles. b) El Senado de la República, la Cámara de Representantes, el Consejo Superior de la Judicatura, la Fiscalía General de la Nación, la Contraloría General de la República, las contralorías departamentales, distritales y municipales, la Procuraduría General de la Nación, la Registraduría Nacional del Estado Civil, los ministerios, los departamentos administrativos, las superintendencias, las unidades administrativas especiales y, en general, los organismos o dependencias del Estado a los que la ley otorgue capacidad para celebrar contratos.</w:t>
      </w:r>
    </w:p>
    <w:p w14:paraId="48A6A98A" w14:textId="77777777" w:rsidR="008A0B27" w:rsidRPr="009249AF" w:rsidRDefault="008A0B27" w:rsidP="008A0B27">
      <w:pPr>
        <w:pStyle w:val="Textoindependiente"/>
        <w:snapToGrid w:val="0"/>
        <w:ind w:firstLine="708"/>
        <w:contextualSpacing/>
        <w:jc w:val="both"/>
        <w:rPr>
          <w:rFonts w:cs="Arial"/>
          <w:sz w:val="18"/>
          <w:szCs w:val="18"/>
        </w:rPr>
      </w:pPr>
    </w:p>
  </w:footnote>
  <w:footnote w:id="3">
    <w:p w14:paraId="3CC2EEEC" w14:textId="77777777" w:rsidR="008A0B27" w:rsidRPr="009249AF" w:rsidRDefault="008A0B27" w:rsidP="008A0B27">
      <w:pPr>
        <w:pStyle w:val="Textonotapie"/>
        <w:snapToGrid w:val="0"/>
        <w:ind w:firstLine="720"/>
        <w:contextualSpacing/>
        <w:jc w:val="both"/>
        <w:rPr>
          <w:rFonts w:ascii="Verdana" w:hAnsi="Verdana" w:cs="Arial"/>
          <w:sz w:val="18"/>
          <w:szCs w:val="18"/>
        </w:rPr>
      </w:pPr>
      <w:r w:rsidRPr="009249AF">
        <w:rPr>
          <w:rStyle w:val="Refdenotaalpie"/>
          <w:rFonts w:ascii="Verdana" w:hAnsi="Verdana" w:cs="Arial"/>
          <w:sz w:val="18"/>
          <w:szCs w:val="18"/>
        </w:rPr>
        <w:footnoteRef/>
      </w:r>
      <w:r w:rsidRPr="009249AF">
        <w:rPr>
          <w:rFonts w:ascii="Verdana" w:hAnsi="Verdana" w:cs="Arial"/>
          <w:sz w:val="18"/>
          <w:szCs w:val="18"/>
        </w:rPr>
        <w:t xml:space="preserve"> Consejo de Estado. Sección Tercera. Sentencia del 4 de abril de 2002, M.P. Alier E. Hernández Enríquez. Rad. 1999-0290-01 (17.244).</w:t>
      </w:r>
    </w:p>
  </w:footnote>
  <w:footnote w:id="4">
    <w:p w14:paraId="1D549AC5" w14:textId="77777777" w:rsidR="008A0B27" w:rsidRPr="009249AF" w:rsidRDefault="008A0B27" w:rsidP="008A0B27">
      <w:pPr>
        <w:snapToGrid w:val="0"/>
        <w:spacing w:after="0" w:line="240" w:lineRule="auto"/>
        <w:ind w:firstLine="707"/>
        <w:contextualSpacing/>
        <w:jc w:val="both"/>
        <w:rPr>
          <w:rFonts w:ascii="Verdana" w:hAnsi="Verdana" w:cs="Arial"/>
          <w:sz w:val="18"/>
          <w:szCs w:val="18"/>
        </w:rPr>
      </w:pPr>
      <w:r w:rsidRPr="009249AF">
        <w:rPr>
          <w:rStyle w:val="Refdenotaalpie"/>
          <w:rFonts w:ascii="Verdana" w:hAnsi="Verdana" w:cs="Arial"/>
          <w:sz w:val="18"/>
          <w:szCs w:val="18"/>
        </w:rPr>
        <w:footnoteRef/>
      </w:r>
      <w:r w:rsidRPr="009249AF">
        <w:rPr>
          <w:rFonts w:ascii="Verdana" w:hAnsi="Verdana" w:cs="Arial"/>
          <w:sz w:val="18"/>
          <w:szCs w:val="18"/>
        </w:rPr>
        <w:t xml:space="preserve"> Consejo de Estado, Sección Tercera. Sentencia de 23 de septiembre de 1997, Rad. S-701.</w:t>
      </w:r>
    </w:p>
    <w:p w14:paraId="51C23289" w14:textId="77777777" w:rsidR="008A0B27" w:rsidRPr="009249AF" w:rsidRDefault="008A0B27" w:rsidP="008A0B27">
      <w:pPr>
        <w:snapToGrid w:val="0"/>
        <w:spacing w:after="0" w:line="240" w:lineRule="auto"/>
        <w:ind w:firstLine="707"/>
        <w:contextualSpacing/>
        <w:jc w:val="both"/>
        <w:rPr>
          <w:rFonts w:ascii="Verdana" w:hAnsi="Verdana" w:cs="Arial"/>
          <w:sz w:val="18"/>
          <w:szCs w:val="18"/>
        </w:rPr>
      </w:pPr>
    </w:p>
  </w:footnote>
  <w:footnote w:id="5">
    <w:p w14:paraId="221989BD" w14:textId="77777777" w:rsidR="008A0B27" w:rsidRPr="009249AF" w:rsidRDefault="008A0B27" w:rsidP="008A0B27">
      <w:pPr>
        <w:snapToGrid w:val="0"/>
        <w:spacing w:after="0" w:line="240" w:lineRule="auto"/>
        <w:ind w:firstLine="708"/>
        <w:contextualSpacing/>
        <w:jc w:val="both"/>
        <w:rPr>
          <w:rFonts w:ascii="Verdana" w:hAnsi="Verdana" w:cs="Arial"/>
          <w:color w:val="000000" w:themeColor="text1"/>
          <w:sz w:val="18"/>
          <w:szCs w:val="18"/>
          <w:lang w:val="es-ES"/>
        </w:rPr>
      </w:pPr>
      <w:r w:rsidRPr="009249AF">
        <w:rPr>
          <w:rStyle w:val="Refdenotaalpie"/>
          <w:rFonts w:ascii="Verdana" w:hAnsi="Verdana" w:cs="Arial"/>
          <w:sz w:val="18"/>
          <w:szCs w:val="18"/>
        </w:rPr>
        <w:footnoteRef/>
      </w:r>
      <w:r w:rsidRPr="009249AF">
        <w:rPr>
          <w:rFonts w:ascii="Verdana" w:hAnsi="Verdana" w:cs="Arial"/>
          <w:sz w:val="18"/>
          <w:szCs w:val="18"/>
        </w:rPr>
        <w:t xml:space="preserve"> Ley 80 de 1993. “</w:t>
      </w:r>
      <w:r w:rsidRPr="009249AF">
        <w:rPr>
          <w:rFonts w:ascii="Verdana" w:hAnsi="Verdana" w:cs="Arial"/>
          <w:color w:val="000000" w:themeColor="text1"/>
          <w:sz w:val="18"/>
          <w:szCs w:val="18"/>
          <w:lang w:val="es-ES"/>
        </w:rPr>
        <w:t>ARTÍCULO 32. DE LOS CONTRATOS ESTATALES. Son contratos estatales todos los actos jurídicos generadores de obligaciones que celebren las entidades a que se refiere el presente estatuto, previstos en el derecho privado o en disposiciones especiales, o derivados del ejercicio de la autonomía de la voluntad, así como los que, a título enunciativo, se definen a continuación […]”.</w:t>
      </w:r>
    </w:p>
  </w:footnote>
  <w:footnote w:id="6">
    <w:p w14:paraId="48C5D494" w14:textId="77777777" w:rsidR="008A0B27" w:rsidRPr="009249AF" w:rsidRDefault="008A0B27" w:rsidP="008A0B27">
      <w:pPr>
        <w:pStyle w:val="Textonotapie"/>
        <w:ind w:firstLine="708"/>
        <w:jc w:val="both"/>
        <w:rPr>
          <w:rFonts w:ascii="Verdana" w:hAnsi="Verdana"/>
          <w:sz w:val="18"/>
          <w:szCs w:val="18"/>
        </w:rPr>
      </w:pPr>
      <w:r w:rsidRPr="009249AF">
        <w:rPr>
          <w:rStyle w:val="Refdenotaalpie"/>
          <w:rFonts w:ascii="Verdana" w:hAnsi="Verdana"/>
          <w:sz w:val="18"/>
          <w:szCs w:val="18"/>
        </w:rPr>
        <w:footnoteRef/>
      </w:r>
      <w:r w:rsidRPr="009249AF">
        <w:rPr>
          <w:rFonts w:ascii="Verdana" w:hAnsi="Verdana"/>
          <w:sz w:val="18"/>
          <w:szCs w:val="18"/>
        </w:rPr>
        <w:t xml:space="preserve"> Consejo de Estado. Sala de lo Contencioso Administrativo. Sección Tercera. Subsección B. Sentencia del 28 de febrero del 2023. Radicación número: 20001-23-31-000-1996-02988-01(24131). C.P. Danilo Rojas Betancourth </w:t>
      </w:r>
    </w:p>
    <w:p w14:paraId="6878FF17" w14:textId="77777777" w:rsidR="008A0B27" w:rsidRPr="009249AF" w:rsidRDefault="008A0B27" w:rsidP="008A0B27">
      <w:pPr>
        <w:pStyle w:val="Textonotapie"/>
        <w:ind w:firstLine="708"/>
        <w:jc w:val="both"/>
        <w:rPr>
          <w:rFonts w:ascii="Verdana" w:hAnsi="Verdana"/>
          <w:sz w:val="18"/>
          <w:szCs w:val="18"/>
        </w:rPr>
      </w:pPr>
    </w:p>
  </w:footnote>
  <w:footnote w:id="7">
    <w:p w14:paraId="04DF0095" w14:textId="77777777" w:rsidR="008A0B27" w:rsidRPr="009249AF" w:rsidRDefault="008A0B27" w:rsidP="008A0B27">
      <w:pPr>
        <w:pStyle w:val="Textonotapie"/>
        <w:ind w:firstLine="708"/>
        <w:jc w:val="both"/>
        <w:rPr>
          <w:rFonts w:ascii="Verdana" w:hAnsi="Verdana"/>
          <w:sz w:val="18"/>
          <w:szCs w:val="18"/>
        </w:rPr>
      </w:pPr>
      <w:r w:rsidRPr="009249AF">
        <w:rPr>
          <w:rStyle w:val="Refdenotaalpie"/>
          <w:rFonts w:ascii="Verdana" w:hAnsi="Verdana"/>
          <w:sz w:val="18"/>
          <w:szCs w:val="18"/>
        </w:rPr>
        <w:footnoteRef/>
      </w:r>
      <w:r w:rsidRPr="009249AF">
        <w:rPr>
          <w:rFonts w:ascii="Verdana" w:hAnsi="Verdana"/>
          <w:sz w:val="18"/>
          <w:szCs w:val="18"/>
        </w:rPr>
        <w:t xml:space="preserve"> Gómez, Estrada, Cesar, Los Principales Contratos Civiles, Ed. Temis, Cuarta Edición, Bogotá, 2008, p. 31 y ss.</w:t>
      </w:r>
    </w:p>
  </w:footnote>
  <w:footnote w:id="8">
    <w:p w14:paraId="7A2604D4" w14:textId="77777777" w:rsidR="008A0B27" w:rsidRPr="009249AF" w:rsidRDefault="008A0B27" w:rsidP="008A0B27">
      <w:pPr>
        <w:pStyle w:val="Textoindependiente"/>
        <w:snapToGrid w:val="0"/>
        <w:ind w:firstLine="708"/>
        <w:contextualSpacing/>
        <w:jc w:val="both"/>
        <w:rPr>
          <w:rFonts w:cs="Arial"/>
          <w:sz w:val="18"/>
          <w:szCs w:val="18"/>
        </w:rPr>
      </w:pPr>
      <w:r w:rsidRPr="009249AF">
        <w:rPr>
          <w:rStyle w:val="Refdenotaalpie"/>
          <w:rFonts w:cs="Arial"/>
          <w:sz w:val="18"/>
          <w:szCs w:val="18"/>
        </w:rPr>
        <w:footnoteRef/>
      </w:r>
      <w:r w:rsidRPr="009249AF">
        <w:rPr>
          <w:rFonts w:cs="Arial"/>
          <w:sz w:val="18"/>
          <w:szCs w:val="18"/>
        </w:rPr>
        <w:t xml:space="preserve"> </w:t>
      </w:r>
      <w:r w:rsidRPr="009249AF">
        <w:rPr>
          <w:rFonts w:cs="Arial"/>
          <w:sz w:val="18"/>
          <w:szCs w:val="18"/>
          <w:lang w:val="es-ES_tradnl"/>
        </w:rPr>
        <w:t xml:space="preserve">El artículo 2º define, para los efectos del ámbito de sujeción del estatuto, que se denominan entidades estatales: a) </w:t>
      </w:r>
      <w:r w:rsidRPr="009249AF">
        <w:rPr>
          <w:rFonts w:cs="Arial"/>
          <w:sz w:val="18"/>
          <w:szCs w:val="18"/>
        </w:rPr>
        <w:t>La Nación, las regiones, los departamentos, las provincias, el distrito capital y los distritos especiales, las áreas metropolitanas, las asociaciones de municipios, los territorios indígenas y los municipios; los establecimientos públicos, las empresas industriales y comerciales del Estado, las sociedades de economía mixta en las que el Estado tenga participación superior al cincuenta por ciento (50%), así como las entidades descentralizadas indirectas y las demás personas jurídicas en las que exista dicha participación pública mayoritaria, cualquiera sea la denominación que ellas adopten, en todos los órdenes y niveles. b) El Senado de la República, la Cámara de Representantes, el Consejo Superior de la Judicatura, la Fiscalía General de la Nación, la Contraloría General de la República, las contralorías departamentales, distritales y municipales, la Procuraduría General de la Nación, la Registraduría Nacional del Estado Civil, los ministerios, los departamentos administrativos, las superintendencias, las unidades administrativas especiales y, en general, los organismos o dependencias del Estado a los que la ley otorgue capacidad para celebrar contratos.</w:t>
      </w:r>
    </w:p>
    <w:p w14:paraId="1F943BC5" w14:textId="77777777" w:rsidR="008A0B27" w:rsidRPr="009249AF" w:rsidRDefault="008A0B27" w:rsidP="008A0B27">
      <w:pPr>
        <w:pStyle w:val="Textoindependiente"/>
        <w:snapToGrid w:val="0"/>
        <w:ind w:firstLine="708"/>
        <w:contextualSpacing/>
        <w:jc w:val="both"/>
        <w:rPr>
          <w:rFonts w:cs="Arial"/>
          <w:sz w:val="18"/>
          <w:szCs w:val="18"/>
        </w:rPr>
      </w:pPr>
    </w:p>
  </w:footnote>
  <w:footnote w:id="9">
    <w:p w14:paraId="14C5A6B2" w14:textId="77777777" w:rsidR="008A0B27" w:rsidRPr="009249AF" w:rsidRDefault="008A0B27" w:rsidP="008A0B27">
      <w:pPr>
        <w:pStyle w:val="Textonotapie"/>
        <w:snapToGrid w:val="0"/>
        <w:ind w:firstLine="720"/>
        <w:contextualSpacing/>
        <w:jc w:val="both"/>
        <w:rPr>
          <w:rFonts w:ascii="Verdana" w:hAnsi="Verdana" w:cs="Arial"/>
          <w:sz w:val="18"/>
          <w:szCs w:val="18"/>
        </w:rPr>
      </w:pPr>
      <w:r w:rsidRPr="009249AF">
        <w:rPr>
          <w:rStyle w:val="Refdenotaalpie"/>
          <w:rFonts w:ascii="Verdana" w:hAnsi="Verdana" w:cs="Arial"/>
          <w:sz w:val="18"/>
          <w:szCs w:val="18"/>
        </w:rPr>
        <w:footnoteRef/>
      </w:r>
      <w:r w:rsidRPr="009249AF">
        <w:rPr>
          <w:rFonts w:ascii="Verdana" w:hAnsi="Verdana" w:cs="Arial"/>
          <w:sz w:val="18"/>
          <w:szCs w:val="18"/>
        </w:rPr>
        <w:t xml:space="preserve"> Consejo de Estado. Sección Tercera. Sentencia del 4 de abril de 2002, M.P. Alier E. Hernández Enríquez. Rad. 1999-0290-01 (17.244).</w:t>
      </w:r>
    </w:p>
  </w:footnote>
  <w:footnote w:id="10">
    <w:p w14:paraId="7D98C1FE" w14:textId="77777777" w:rsidR="008A0B27" w:rsidRPr="009249AF" w:rsidRDefault="008A0B27" w:rsidP="008A0B27">
      <w:pPr>
        <w:snapToGrid w:val="0"/>
        <w:spacing w:after="0" w:line="240" w:lineRule="auto"/>
        <w:ind w:firstLine="707"/>
        <w:contextualSpacing/>
        <w:jc w:val="both"/>
        <w:rPr>
          <w:rFonts w:ascii="Verdana" w:hAnsi="Verdana" w:cs="Arial"/>
          <w:sz w:val="18"/>
          <w:szCs w:val="18"/>
        </w:rPr>
      </w:pPr>
      <w:r w:rsidRPr="009249AF">
        <w:rPr>
          <w:rStyle w:val="Refdenotaalpie"/>
          <w:rFonts w:ascii="Verdana" w:hAnsi="Verdana" w:cs="Arial"/>
          <w:sz w:val="18"/>
          <w:szCs w:val="18"/>
        </w:rPr>
        <w:footnoteRef/>
      </w:r>
      <w:r w:rsidRPr="009249AF">
        <w:rPr>
          <w:rFonts w:ascii="Verdana" w:hAnsi="Verdana" w:cs="Arial"/>
          <w:sz w:val="18"/>
          <w:szCs w:val="18"/>
        </w:rPr>
        <w:t xml:space="preserve"> Consejo de Estado, Sección Tercera. Sentencia de 23 de septiembre de 1997, Rad. S-701.</w:t>
      </w:r>
    </w:p>
    <w:p w14:paraId="68572A7A" w14:textId="77777777" w:rsidR="008A0B27" w:rsidRPr="009249AF" w:rsidRDefault="008A0B27" w:rsidP="008A0B27">
      <w:pPr>
        <w:snapToGrid w:val="0"/>
        <w:spacing w:after="0" w:line="240" w:lineRule="auto"/>
        <w:ind w:firstLine="707"/>
        <w:contextualSpacing/>
        <w:jc w:val="both"/>
        <w:rPr>
          <w:rFonts w:ascii="Verdana" w:hAnsi="Verdana" w:cs="Arial"/>
          <w:sz w:val="18"/>
          <w:szCs w:val="18"/>
        </w:rPr>
      </w:pPr>
    </w:p>
  </w:footnote>
  <w:footnote w:id="11">
    <w:p w14:paraId="7305783D" w14:textId="77777777" w:rsidR="008A0B27" w:rsidRPr="009249AF" w:rsidRDefault="008A0B27" w:rsidP="008A0B27">
      <w:pPr>
        <w:snapToGrid w:val="0"/>
        <w:spacing w:after="0" w:line="240" w:lineRule="auto"/>
        <w:ind w:firstLine="708"/>
        <w:contextualSpacing/>
        <w:jc w:val="both"/>
        <w:rPr>
          <w:rFonts w:ascii="Verdana" w:hAnsi="Verdana" w:cs="Arial"/>
          <w:color w:val="000000" w:themeColor="text1"/>
          <w:sz w:val="18"/>
          <w:szCs w:val="18"/>
          <w:lang w:val="es-ES"/>
        </w:rPr>
      </w:pPr>
      <w:r w:rsidRPr="009249AF">
        <w:rPr>
          <w:rStyle w:val="Refdenotaalpie"/>
          <w:rFonts w:ascii="Verdana" w:hAnsi="Verdana" w:cs="Arial"/>
          <w:sz w:val="18"/>
          <w:szCs w:val="18"/>
        </w:rPr>
        <w:footnoteRef/>
      </w:r>
      <w:r w:rsidRPr="009249AF">
        <w:rPr>
          <w:rFonts w:ascii="Verdana" w:hAnsi="Verdana" w:cs="Arial"/>
          <w:sz w:val="18"/>
          <w:szCs w:val="18"/>
        </w:rPr>
        <w:t xml:space="preserve"> Ley 80 de 1993. “</w:t>
      </w:r>
      <w:r w:rsidRPr="009249AF">
        <w:rPr>
          <w:rFonts w:ascii="Verdana" w:hAnsi="Verdana" w:cs="Arial"/>
          <w:color w:val="000000" w:themeColor="text1"/>
          <w:sz w:val="18"/>
          <w:szCs w:val="18"/>
          <w:lang w:val="es-ES"/>
        </w:rPr>
        <w:t>ARTÍCULO 32. DE LOS CONTRATOS ESTATALES. Son contratos estatales todos los actos jurídicos generadores de obligaciones que celebren las entidades a que se refiere el presente estatuto, previstos en el derecho privado o en disposiciones especiales, o derivados del ejercicio de la autonomía de la voluntad, así como los que, a título enunciativo, se definen a continuación […]”.</w:t>
      </w:r>
    </w:p>
  </w:footnote>
  <w:footnote w:id="12">
    <w:p w14:paraId="33E2A7E8" w14:textId="77777777" w:rsidR="008A0B27" w:rsidRPr="009249AF" w:rsidRDefault="008A0B27" w:rsidP="008A0B27">
      <w:pPr>
        <w:pStyle w:val="Textonotapie"/>
        <w:ind w:firstLine="708"/>
        <w:jc w:val="both"/>
        <w:rPr>
          <w:rFonts w:ascii="Verdana" w:hAnsi="Verdana"/>
          <w:sz w:val="18"/>
          <w:szCs w:val="18"/>
        </w:rPr>
      </w:pPr>
      <w:r w:rsidRPr="009249AF">
        <w:rPr>
          <w:rStyle w:val="Refdenotaalpie"/>
          <w:rFonts w:ascii="Verdana" w:hAnsi="Verdana"/>
          <w:sz w:val="18"/>
          <w:szCs w:val="18"/>
        </w:rPr>
        <w:footnoteRef/>
      </w:r>
      <w:r w:rsidRPr="009249AF">
        <w:rPr>
          <w:rFonts w:ascii="Verdana" w:hAnsi="Verdana"/>
          <w:sz w:val="18"/>
          <w:szCs w:val="18"/>
        </w:rPr>
        <w:t xml:space="preserve"> Consejo de Estado. Sala de lo Contencioso Administrativo. Sección Tercera. Subsección B. Sentencia del 28 de febrero del 2023. Radicación número: 20001-23-31-000-1996-02988-01(24131). C.P. Danilo Rojas Betancourth </w:t>
      </w:r>
    </w:p>
    <w:p w14:paraId="195050C4" w14:textId="77777777" w:rsidR="008A0B27" w:rsidRPr="009249AF" w:rsidRDefault="008A0B27" w:rsidP="008A0B27">
      <w:pPr>
        <w:pStyle w:val="Textonotapie"/>
        <w:ind w:firstLine="708"/>
        <w:jc w:val="both"/>
        <w:rPr>
          <w:rFonts w:ascii="Verdana" w:hAnsi="Verdana"/>
          <w:sz w:val="18"/>
          <w:szCs w:val="18"/>
        </w:rPr>
      </w:pPr>
    </w:p>
  </w:footnote>
  <w:footnote w:id="13">
    <w:p w14:paraId="39372EBE" w14:textId="77777777" w:rsidR="008A0B27" w:rsidRPr="009249AF" w:rsidRDefault="008A0B27" w:rsidP="008A0B27">
      <w:pPr>
        <w:pStyle w:val="Textonotapie"/>
        <w:ind w:firstLine="708"/>
        <w:jc w:val="both"/>
        <w:rPr>
          <w:rFonts w:ascii="Verdana" w:hAnsi="Verdana"/>
          <w:sz w:val="18"/>
          <w:szCs w:val="18"/>
        </w:rPr>
      </w:pPr>
      <w:r w:rsidRPr="009249AF">
        <w:rPr>
          <w:rStyle w:val="Refdenotaalpie"/>
          <w:rFonts w:ascii="Verdana" w:hAnsi="Verdana"/>
          <w:sz w:val="18"/>
          <w:szCs w:val="18"/>
        </w:rPr>
        <w:footnoteRef/>
      </w:r>
      <w:r w:rsidRPr="009249AF">
        <w:rPr>
          <w:rFonts w:ascii="Verdana" w:hAnsi="Verdana"/>
          <w:sz w:val="18"/>
          <w:szCs w:val="18"/>
        </w:rPr>
        <w:t xml:space="preserve"> Gómez, Estrada, Cesar, Los Principales Contratos Civiles, Ed. Temis, Cuarta Edición, Bogotá, 2008, p. 31 y ss.</w:t>
      </w:r>
    </w:p>
  </w:footnote>
  <w:footnote w:id="14">
    <w:p w14:paraId="15090A10" w14:textId="77777777" w:rsidR="008A0B27" w:rsidRPr="009249AF" w:rsidRDefault="008A0B27" w:rsidP="008A0B27">
      <w:pPr>
        <w:pStyle w:val="Textonotapie"/>
        <w:ind w:firstLine="708"/>
        <w:jc w:val="both"/>
        <w:rPr>
          <w:rFonts w:ascii="Verdana" w:hAnsi="Verdana"/>
          <w:sz w:val="18"/>
          <w:szCs w:val="18"/>
        </w:rPr>
      </w:pPr>
      <w:r w:rsidRPr="009249AF">
        <w:rPr>
          <w:rStyle w:val="Refdenotaalpie"/>
          <w:rFonts w:ascii="Verdana" w:hAnsi="Verdana"/>
          <w:sz w:val="18"/>
          <w:szCs w:val="18"/>
        </w:rPr>
        <w:footnoteRef/>
      </w:r>
      <w:r w:rsidRPr="009249AF">
        <w:rPr>
          <w:rFonts w:ascii="Verdana" w:hAnsi="Verdana"/>
          <w:sz w:val="18"/>
          <w:szCs w:val="18"/>
        </w:rPr>
        <w:t xml:space="preserve"> Agencia Nacional de Contratación Pública –Colombia Compra Eficiente. Guía de competencia en las compras públicas, 2018. p. 4. Disponible en línea: </w:t>
      </w:r>
      <w:hyperlink r:id="rId1" w:history="1">
        <w:r w:rsidRPr="009249AF">
          <w:rPr>
            <w:rStyle w:val="Hipervnculo"/>
            <w:rFonts w:ascii="Verdana" w:hAnsi="Verdana"/>
            <w:sz w:val="18"/>
            <w:szCs w:val="18"/>
          </w:rPr>
          <w:t>https://www.colombiacompra.gov.co/archivos/manual/guia-de-competencia-en-las-compras-publicas</w:t>
        </w:r>
      </w:hyperlink>
      <w:r w:rsidRPr="009249AF">
        <w:rPr>
          <w:rFonts w:ascii="Verdana" w:hAnsi="Verdana"/>
          <w:sz w:val="18"/>
          <w:szCs w:val="18"/>
        </w:rPr>
        <w:t xml:space="preserve"> </w:t>
      </w:r>
    </w:p>
    <w:p w14:paraId="16D3D5E4" w14:textId="77777777" w:rsidR="008A0B27" w:rsidRPr="009249AF" w:rsidRDefault="008A0B27" w:rsidP="008A0B27">
      <w:pPr>
        <w:pStyle w:val="Textonotapie"/>
        <w:ind w:firstLine="708"/>
        <w:jc w:val="both"/>
        <w:rPr>
          <w:rFonts w:ascii="Verdana" w:hAnsi="Verdana"/>
          <w:sz w:val="18"/>
          <w:szCs w:val="18"/>
          <w:lang w:val="es-ES"/>
        </w:rPr>
      </w:pPr>
    </w:p>
  </w:footnote>
  <w:footnote w:id="15">
    <w:p w14:paraId="57C149A5" w14:textId="77777777" w:rsidR="008A0B27" w:rsidRPr="009249AF" w:rsidRDefault="008A0B27" w:rsidP="008A0B27">
      <w:pPr>
        <w:pStyle w:val="Textonotapie"/>
        <w:ind w:firstLine="708"/>
        <w:jc w:val="both"/>
        <w:rPr>
          <w:rFonts w:ascii="Verdana" w:hAnsi="Verdana" w:cs="Arial"/>
          <w:sz w:val="18"/>
          <w:szCs w:val="18"/>
        </w:rPr>
      </w:pPr>
      <w:r w:rsidRPr="009249AF">
        <w:rPr>
          <w:rStyle w:val="Refdenotaalpie"/>
          <w:rFonts w:ascii="Verdana" w:hAnsi="Verdana" w:cs="Arial"/>
          <w:sz w:val="18"/>
          <w:szCs w:val="18"/>
        </w:rPr>
        <w:footnoteRef/>
      </w:r>
      <w:r w:rsidRPr="009249AF">
        <w:rPr>
          <w:rFonts w:ascii="Verdana" w:hAnsi="Verdana" w:cs="Arial"/>
          <w:sz w:val="18"/>
          <w:szCs w:val="18"/>
          <w:lang w:val="pt-BR"/>
        </w:rPr>
        <w:t xml:space="preserve"> Corte Constitucional. Sentencia C-713 de 2009. </w:t>
      </w:r>
      <w:r w:rsidRPr="009249AF">
        <w:rPr>
          <w:rFonts w:ascii="Verdana" w:hAnsi="Verdana" w:cs="Arial"/>
          <w:sz w:val="18"/>
          <w:szCs w:val="18"/>
        </w:rPr>
        <w:t>M.P. María Victoria Calle Correa.</w:t>
      </w:r>
    </w:p>
  </w:footnote>
  <w:footnote w:id="16">
    <w:p w14:paraId="2D33132A" w14:textId="77777777" w:rsidR="008A0B27" w:rsidRPr="009249AF" w:rsidRDefault="008A0B27" w:rsidP="008A0B27">
      <w:pPr>
        <w:pStyle w:val="Textonotapie"/>
        <w:ind w:firstLine="708"/>
        <w:jc w:val="both"/>
        <w:rPr>
          <w:rFonts w:ascii="Verdana" w:hAnsi="Verdana" w:cs="Arial"/>
          <w:sz w:val="18"/>
          <w:szCs w:val="18"/>
          <w:lang w:val="es-CO"/>
        </w:rPr>
      </w:pPr>
      <w:r w:rsidRPr="009249AF">
        <w:rPr>
          <w:rStyle w:val="Refdenotaalpie"/>
          <w:rFonts w:ascii="Verdana" w:hAnsi="Verdana" w:cs="Arial"/>
          <w:sz w:val="18"/>
          <w:szCs w:val="18"/>
        </w:rPr>
        <w:footnoteRef/>
      </w:r>
      <w:r w:rsidRPr="009249AF">
        <w:rPr>
          <w:rFonts w:ascii="Verdana" w:hAnsi="Verdana" w:cs="Arial"/>
          <w:sz w:val="18"/>
          <w:szCs w:val="18"/>
        </w:rPr>
        <w:t xml:space="preserve"> Consejo de Estado. Sala de consulta y servicio civil. Sentencia del 20 de febrero de 2006. Exp. 1.727. C.P. Enrique José Arboleda Perdomo.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65408"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6336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92" type="#_x0000_t75" style="width:12.15pt;height:12.15pt" o:bullet="t">
        <v:imagedata r:id="rId1" o:title="mso1B13"/>
      </v:shape>
    </w:pict>
  </w:numPicBullet>
  <w:abstractNum w:abstractNumId="0" w15:restartNumberingAfterBreak="0">
    <w:nsid w:val="01C06310"/>
    <w:multiLevelType w:val="multilevel"/>
    <w:tmpl w:val="9B2EAF2E"/>
    <w:lvl w:ilvl="0">
      <w:start w:val="1"/>
      <w:numFmt w:val="decimal"/>
      <w:lvlText w:val="%1."/>
      <w:lvlJc w:val="left"/>
      <w:pPr>
        <w:ind w:left="360" w:hanging="360"/>
      </w:pPr>
      <w:rPr>
        <w:b/>
        <w:color w:val="auto"/>
      </w:rPr>
    </w:lvl>
    <w:lvl w:ilvl="1">
      <w:start w:val="2"/>
      <w:numFmt w:val="decimal"/>
      <w:isLgl/>
      <w:lvlText w:val="%1.%2"/>
      <w:lvlJc w:val="left"/>
      <w:pPr>
        <w:ind w:left="0" w:hanging="360"/>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1"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19CE3728"/>
    <w:multiLevelType w:val="hybridMultilevel"/>
    <w:tmpl w:val="4DF6293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9D726F5"/>
    <w:multiLevelType w:val="hybridMultilevel"/>
    <w:tmpl w:val="EE8E77B4"/>
    <w:lvl w:ilvl="0" w:tplc="C1D210D2">
      <w:start w:val="1"/>
      <w:numFmt w:val="bullet"/>
      <w:lvlText w:val=""/>
      <w:lvlJc w:val="left"/>
      <w:pPr>
        <w:ind w:left="720" w:hanging="360"/>
      </w:pPr>
      <w:rPr>
        <w:rFonts w:ascii="Symbol" w:hAnsi="Symbol" w:hint="default"/>
        <w:color w:val="auto"/>
      </w:rPr>
    </w:lvl>
    <w:lvl w:ilvl="1" w:tplc="040A0003">
      <w:start w:val="1"/>
      <w:numFmt w:val="bullet"/>
      <w:lvlText w:val="o"/>
      <w:lvlJc w:val="left"/>
      <w:pPr>
        <w:ind w:left="1440" w:hanging="360"/>
      </w:pPr>
      <w:rPr>
        <w:rFonts w:ascii="Courier New" w:hAnsi="Courier New" w:cs="Courier New" w:hint="default"/>
      </w:rPr>
    </w:lvl>
    <w:lvl w:ilvl="2" w:tplc="040A0005">
      <w:start w:val="1"/>
      <w:numFmt w:val="bullet"/>
      <w:lvlText w:val=""/>
      <w:lvlJc w:val="left"/>
      <w:pPr>
        <w:ind w:left="2160" w:hanging="360"/>
      </w:pPr>
      <w:rPr>
        <w:rFonts w:ascii="Wingdings" w:hAnsi="Wingdings" w:hint="default"/>
      </w:rPr>
    </w:lvl>
    <w:lvl w:ilvl="3" w:tplc="040A0001">
      <w:start w:val="1"/>
      <w:numFmt w:val="bullet"/>
      <w:lvlText w:val=""/>
      <w:lvlJc w:val="left"/>
      <w:pPr>
        <w:ind w:left="2880" w:hanging="360"/>
      </w:pPr>
      <w:rPr>
        <w:rFonts w:ascii="Symbol" w:hAnsi="Symbol" w:hint="default"/>
      </w:rPr>
    </w:lvl>
    <w:lvl w:ilvl="4" w:tplc="040A0003">
      <w:start w:val="1"/>
      <w:numFmt w:val="bullet"/>
      <w:lvlText w:val="o"/>
      <w:lvlJc w:val="left"/>
      <w:pPr>
        <w:ind w:left="3600" w:hanging="360"/>
      </w:pPr>
      <w:rPr>
        <w:rFonts w:ascii="Courier New" w:hAnsi="Courier New" w:cs="Courier New" w:hint="default"/>
      </w:rPr>
    </w:lvl>
    <w:lvl w:ilvl="5" w:tplc="040A0005">
      <w:start w:val="1"/>
      <w:numFmt w:val="bullet"/>
      <w:lvlText w:val=""/>
      <w:lvlJc w:val="left"/>
      <w:pPr>
        <w:ind w:left="4320" w:hanging="360"/>
      </w:pPr>
      <w:rPr>
        <w:rFonts w:ascii="Wingdings" w:hAnsi="Wingdings" w:hint="default"/>
      </w:rPr>
    </w:lvl>
    <w:lvl w:ilvl="6" w:tplc="040A0001">
      <w:start w:val="1"/>
      <w:numFmt w:val="bullet"/>
      <w:lvlText w:val=""/>
      <w:lvlJc w:val="left"/>
      <w:pPr>
        <w:ind w:left="5040" w:hanging="360"/>
      </w:pPr>
      <w:rPr>
        <w:rFonts w:ascii="Symbol" w:hAnsi="Symbol" w:hint="default"/>
      </w:rPr>
    </w:lvl>
    <w:lvl w:ilvl="7" w:tplc="040A0003">
      <w:start w:val="1"/>
      <w:numFmt w:val="bullet"/>
      <w:lvlText w:val="o"/>
      <w:lvlJc w:val="left"/>
      <w:pPr>
        <w:ind w:left="5760" w:hanging="360"/>
      </w:pPr>
      <w:rPr>
        <w:rFonts w:ascii="Courier New" w:hAnsi="Courier New" w:cs="Courier New" w:hint="default"/>
      </w:rPr>
    </w:lvl>
    <w:lvl w:ilvl="8" w:tplc="040A0005">
      <w:start w:val="1"/>
      <w:numFmt w:val="bullet"/>
      <w:lvlText w:val=""/>
      <w:lvlJc w:val="left"/>
      <w:pPr>
        <w:ind w:left="6480" w:hanging="360"/>
      </w:pPr>
      <w:rPr>
        <w:rFonts w:ascii="Wingdings" w:hAnsi="Wingdings" w:hint="default"/>
      </w:rPr>
    </w:lvl>
  </w:abstractNum>
  <w:abstractNum w:abstractNumId="11"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2"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8779781">
    <w:abstractNumId w:val="7"/>
  </w:num>
  <w:num w:numId="2" w16cid:durableId="19822139">
    <w:abstractNumId w:val="2"/>
  </w:num>
  <w:num w:numId="3" w16cid:durableId="876742304">
    <w:abstractNumId w:val="5"/>
  </w:num>
  <w:num w:numId="4" w16cid:durableId="24518640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2"/>
  </w:num>
  <w:num w:numId="6" w16cid:durableId="316692925">
    <w:abstractNumId w:val="14"/>
  </w:num>
  <w:num w:numId="7" w16cid:durableId="1946422806">
    <w:abstractNumId w:val="6"/>
  </w:num>
  <w:num w:numId="8" w16cid:durableId="152644682">
    <w:abstractNumId w:val="13"/>
  </w:num>
  <w:num w:numId="9" w16cid:durableId="1317221377">
    <w:abstractNumId w:val="8"/>
  </w:num>
  <w:num w:numId="10" w16cid:durableId="1471245386">
    <w:abstractNumId w:val="12"/>
  </w:num>
  <w:num w:numId="11" w16cid:durableId="289172385">
    <w:abstractNumId w:val="9"/>
  </w:num>
  <w:num w:numId="12" w16cid:durableId="1470781324">
    <w:abstractNumId w:val="1"/>
  </w:num>
  <w:num w:numId="13" w16cid:durableId="1512908409">
    <w:abstractNumId w:val="4"/>
  </w:num>
  <w:num w:numId="14" w16cid:durableId="895897244">
    <w:abstractNumId w:val="15"/>
  </w:num>
  <w:num w:numId="15" w16cid:durableId="390349800">
    <w:abstractNumId w:val="11"/>
  </w:num>
  <w:num w:numId="16" w16cid:durableId="1699816028">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27985604">
    <w:abstractNumId w:val="10"/>
  </w:num>
  <w:num w:numId="18" w16cid:durableId="341274352">
    <w:abstractNumId w:val="0"/>
  </w:num>
  <w:num w:numId="19" w16cid:durableId="7353205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16F78"/>
    <w:rsid w:val="00046945"/>
    <w:rsid w:val="00061B2A"/>
    <w:rsid w:val="00082362"/>
    <w:rsid w:val="000A4050"/>
    <w:rsid w:val="000A683E"/>
    <w:rsid w:val="000B19B9"/>
    <w:rsid w:val="000D0334"/>
    <w:rsid w:val="000D5DA7"/>
    <w:rsid w:val="000F6486"/>
    <w:rsid w:val="00116940"/>
    <w:rsid w:val="00125105"/>
    <w:rsid w:val="00127233"/>
    <w:rsid w:val="0015699B"/>
    <w:rsid w:val="001A33BF"/>
    <w:rsid w:val="001E4177"/>
    <w:rsid w:val="001F0B24"/>
    <w:rsid w:val="001F7DC6"/>
    <w:rsid w:val="0022400B"/>
    <w:rsid w:val="002421BB"/>
    <w:rsid w:val="0025796E"/>
    <w:rsid w:val="002707A2"/>
    <w:rsid w:val="002951A0"/>
    <w:rsid w:val="002962BC"/>
    <w:rsid w:val="002A093D"/>
    <w:rsid w:val="002A0DD0"/>
    <w:rsid w:val="002A49AC"/>
    <w:rsid w:val="002A64FD"/>
    <w:rsid w:val="002C7A84"/>
    <w:rsid w:val="002E2BF8"/>
    <w:rsid w:val="002E4FD9"/>
    <w:rsid w:val="0030657A"/>
    <w:rsid w:val="00322A85"/>
    <w:rsid w:val="00324168"/>
    <w:rsid w:val="00330834"/>
    <w:rsid w:val="003448F4"/>
    <w:rsid w:val="00374F5E"/>
    <w:rsid w:val="00377E3E"/>
    <w:rsid w:val="003A779E"/>
    <w:rsid w:val="003D0F4D"/>
    <w:rsid w:val="003D5B0D"/>
    <w:rsid w:val="003E0499"/>
    <w:rsid w:val="003E4F80"/>
    <w:rsid w:val="003E6439"/>
    <w:rsid w:val="003F3941"/>
    <w:rsid w:val="00406575"/>
    <w:rsid w:val="00414C74"/>
    <w:rsid w:val="0042722E"/>
    <w:rsid w:val="0044528D"/>
    <w:rsid w:val="00466E39"/>
    <w:rsid w:val="004A1847"/>
    <w:rsid w:val="004A305D"/>
    <w:rsid w:val="004A50C9"/>
    <w:rsid w:val="004B73EC"/>
    <w:rsid w:val="004E1E81"/>
    <w:rsid w:val="004F21C4"/>
    <w:rsid w:val="004F685F"/>
    <w:rsid w:val="005566E8"/>
    <w:rsid w:val="0055720E"/>
    <w:rsid w:val="00574867"/>
    <w:rsid w:val="00591460"/>
    <w:rsid w:val="005A65E0"/>
    <w:rsid w:val="005C3777"/>
    <w:rsid w:val="005C5CDC"/>
    <w:rsid w:val="005D476C"/>
    <w:rsid w:val="006200BF"/>
    <w:rsid w:val="006219F8"/>
    <w:rsid w:val="006302F7"/>
    <w:rsid w:val="00646B9F"/>
    <w:rsid w:val="00665D70"/>
    <w:rsid w:val="006900D9"/>
    <w:rsid w:val="00706C16"/>
    <w:rsid w:val="007340C3"/>
    <w:rsid w:val="00734CEB"/>
    <w:rsid w:val="0075235A"/>
    <w:rsid w:val="00756841"/>
    <w:rsid w:val="007649AB"/>
    <w:rsid w:val="00771D0C"/>
    <w:rsid w:val="007833AC"/>
    <w:rsid w:val="007B268C"/>
    <w:rsid w:val="007B7171"/>
    <w:rsid w:val="007C0C0F"/>
    <w:rsid w:val="007C3DC2"/>
    <w:rsid w:val="007E5497"/>
    <w:rsid w:val="00806F5F"/>
    <w:rsid w:val="00820278"/>
    <w:rsid w:val="008258C9"/>
    <w:rsid w:val="00844AE9"/>
    <w:rsid w:val="00867F95"/>
    <w:rsid w:val="008843B6"/>
    <w:rsid w:val="00891928"/>
    <w:rsid w:val="008A0B27"/>
    <w:rsid w:val="008A446D"/>
    <w:rsid w:val="008B25F1"/>
    <w:rsid w:val="008D180B"/>
    <w:rsid w:val="008F0EA7"/>
    <w:rsid w:val="00923EEF"/>
    <w:rsid w:val="009419F9"/>
    <w:rsid w:val="0095685E"/>
    <w:rsid w:val="00961B09"/>
    <w:rsid w:val="00965334"/>
    <w:rsid w:val="0097093E"/>
    <w:rsid w:val="009A0DFA"/>
    <w:rsid w:val="009A1C6F"/>
    <w:rsid w:val="009B2D26"/>
    <w:rsid w:val="009C71FA"/>
    <w:rsid w:val="009C72E7"/>
    <w:rsid w:val="009C7F7E"/>
    <w:rsid w:val="009D3058"/>
    <w:rsid w:val="009F3A13"/>
    <w:rsid w:val="00A122D3"/>
    <w:rsid w:val="00A14468"/>
    <w:rsid w:val="00A17F13"/>
    <w:rsid w:val="00A20739"/>
    <w:rsid w:val="00A23AF9"/>
    <w:rsid w:val="00A33C78"/>
    <w:rsid w:val="00AB0ADB"/>
    <w:rsid w:val="00B00C0E"/>
    <w:rsid w:val="00B01B1A"/>
    <w:rsid w:val="00B0381D"/>
    <w:rsid w:val="00B44A47"/>
    <w:rsid w:val="00B72CD3"/>
    <w:rsid w:val="00B72FFF"/>
    <w:rsid w:val="00BC3D36"/>
    <w:rsid w:val="00BD54A6"/>
    <w:rsid w:val="00BD7F72"/>
    <w:rsid w:val="00BF7425"/>
    <w:rsid w:val="00C04FB3"/>
    <w:rsid w:val="00C11D8B"/>
    <w:rsid w:val="00C15139"/>
    <w:rsid w:val="00C330EB"/>
    <w:rsid w:val="00C50D69"/>
    <w:rsid w:val="00C5365C"/>
    <w:rsid w:val="00C754BE"/>
    <w:rsid w:val="00C76B1C"/>
    <w:rsid w:val="00C925AC"/>
    <w:rsid w:val="00CB6357"/>
    <w:rsid w:val="00CC1B26"/>
    <w:rsid w:val="00CE7D51"/>
    <w:rsid w:val="00D361FD"/>
    <w:rsid w:val="00D423A2"/>
    <w:rsid w:val="00D44E26"/>
    <w:rsid w:val="00D520D8"/>
    <w:rsid w:val="00D63AC2"/>
    <w:rsid w:val="00D7383B"/>
    <w:rsid w:val="00D7788A"/>
    <w:rsid w:val="00DA231B"/>
    <w:rsid w:val="00DC39FC"/>
    <w:rsid w:val="00DF5254"/>
    <w:rsid w:val="00E02524"/>
    <w:rsid w:val="00E16408"/>
    <w:rsid w:val="00E20894"/>
    <w:rsid w:val="00E245AB"/>
    <w:rsid w:val="00E2764C"/>
    <w:rsid w:val="00E27F2E"/>
    <w:rsid w:val="00E50AFE"/>
    <w:rsid w:val="00E57963"/>
    <w:rsid w:val="00E75C92"/>
    <w:rsid w:val="00E771DC"/>
    <w:rsid w:val="00E8772A"/>
    <w:rsid w:val="00E90D3A"/>
    <w:rsid w:val="00E90F6B"/>
    <w:rsid w:val="00E92C27"/>
    <w:rsid w:val="00EA0E3D"/>
    <w:rsid w:val="00EC38A7"/>
    <w:rsid w:val="00EE1AA8"/>
    <w:rsid w:val="00F23FEA"/>
    <w:rsid w:val="00F31EDC"/>
    <w:rsid w:val="00F462B3"/>
    <w:rsid w:val="00F5664F"/>
    <w:rsid w:val="00F666C4"/>
    <w:rsid w:val="00F76AFC"/>
    <w:rsid w:val="00F90DEA"/>
    <w:rsid w:val="00FA47C0"/>
    <w:rsid w:val="00FB5DD1"/>
    <w:rsid w:val="00FC2B5D"/>
    <w:rsid w:val="00FF1449"/>
    <w:rsid w:val="00FF7963"/>
    <w:rsid w:val="071B8F93"/>
    <w:rsid w:val="07C73DD1"/>
    <w:rsid w:val="09908A09"/>
    <w:rsid w:val="0E0AF0F4"/>
    <w:rsid w:val="0EFE6349"/>
    <w:rsid w:val="0FF4CCA8"/>
    <w:rsid w:val="13CFC91B"/>
    <w:rsid w:val="19A2EC2C"/>
    <w:rsid w:val="21779BE6"/>
    <w:rsid w:val="2859CA1B"/>
    <w:rsid w:val="2C4D2425"/>
    <w:rsid w:val="2EE1E026"/>
    <w:rsid w:val="2F44F38F"/>
    <w:rsid w:val="30821638"/>
    <w:rsid w:val="32A4F9CF"/>
    <w:rsid w:val="33A1FF93"/>
    <w:rsid w:val="356CEDFD"/>
    <w:rsid w:val="3C591AFD"/>
    <w:rsid w:val="42183F0A"/>
    <w:rsid w:val="545B112A"/>
    <w:rsid w:val="5BEB1497"/>
    <w:rsid w:val="69614A15"/>
    <w:rsid w:val="74BA017B"/>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AA18BD11-F4B5-4A67-BA3F-63EFCCB4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Foot"/>
    <w:basedOn w:val="Normal"/>
    <w:link w:val="PrrafodelistaCar"/>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uiPriority w:val="99"/>
    <w:semiHidden/>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table" w:customStyle="1" w:styleId="Tablaconcuadrcula1">
    <w:name w:val="Tabla con cuadrícula1"/>
    <w:basedOn w:val="Tablanormal"/>
    <w:next w:val="Tablaconcuadrcula"/>
    <w:uiPriority w:val="39"/>
    <w:qFormat/>
    <w:rsid w:val="008A0B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elnotedebasde">
    <w:name w:val="Appel note de bas de..."/>
    <w:basedOn w:val="Normal"/>
    <w:link w:val="Refdenotaalpie"/>
    <w:uiPriority w:val="99"/>
    <w:rsid w:val="008A0B27"/>
    <w:pPr>
      <w:spacing w:line="240" w:lineRule="exact"/>
    </w:pPr>
    <w:rPr>
      <w:vertAlign w:val="superscript"/>
    </w:r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8A0B27"/>
    <w:rPr>
      <w:rFonts w:ascii="Geomanist Light" w:hAnsi="Geomanist Light"/>
      <w:lang w:val="es-ES"/>
    </w:rPr>
  </w:style>
  <w:style w:type="paragraph" w:styleId="Textoindependiente">
    <w:name w:val="Body Text"/>
    <w:basedOn w:val="Normal"/>
    <w:link w:val="TextoindependienteCar"/>
    <w:uiPriority w:val="1"/>
    <w:qFormat/>
    <w:rsid w:val="008A0B27"/>
    <w:pPr>
      <w:widowControl w:val="0"/>
      <w:autoSpaceDE w:val="0"/>
      <w:autoSpaceDN w:val="0"/>
      <w:spacing w:after="0" w:line="240" w:lineRule="auto"/>
      <w:ind w:firstLine="709"/>
    </w:pPr>
    <w:rPr>
      <w:rFonts w:ascii="Verdana" w:eastAsia="Verdana" w:hAnsi="Verdana" w:cs="Verdana"/>
      <w:lang w:val="es-ES"/>
    </w:rPr>
  </w:style>
  <w:style w:type="character" w:customStyle="1" w:styleId="TextoindependienteCar">
    <w:name w:val="Texto independiente Car"/>
    <w:basedOn w:val="Fuentedeprrafopredeter"/>
    <w:link w:val="Textoindependiente"/>
    <w:uiPriority w:val="1"/>
    <w:rsid w:val="008A0B27"/>
    <w:rPr>
      <w:rFonts w:ascii="Verdana" w:eastAsia="Verdana" w:hAnsi="Verdana" w:cs="Verdana"/>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1814251553">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1134103737">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24454764">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2120836280">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193293042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916237550">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1112624978">
                      <w:marLeft w:val="0"/>
                      <w:marRight w:val="0"/>
                      <w:marTop w:val="0"/>
                      <w:marBottom w:val="0"/>
                      <w:divBdr>
                        <w:top w:val="none" w:sz="0" w:space="0" w:color="auto"/>
                        <w:left w:val="none" w:sz="0" w:space="0" w:color="auto"/>
                        <w:bottom w:val="none" w:sz="0" w:space="0" w:color="auto"/>
                        <w:right w:val="none" w:sz="0" w:space="0" w:color="auto"/>
                      </w:divBdr>
                    </w:div>
                    <w:div w:id="539319864">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71884">
          <w:marLeft w:val="0"/>
          <w:marRight w:val="0"/>
          <w:marTop w:val="0"/>
          <w:marBottom w:val="0"/>
          <w:divBdr>
            <w:top w:val="none" w:sz="0" w:space="0" w:color="auto"/>
            <w:left w:val="none" w:sz="0" w:space="0" w:color="auto"/>
            <w:bottom w:val="none" w:sz="0" w:space="0" w:color="auto"/>
            <w:right w:val="none" w:sz="0" w:space="0" w:color="auto"/>
          </w:divBdr>
        </w:div>
        <w:div w:id="1002320289">
          <w:marLeft w:val="0"/>
          <w:marRight w:val="0"/>
          <w:marTop w:val="0"/>
          <w:marBottom w:val="0"/>
          <w:divBdr>
            <w:top w:val="none" w:sz="0" w:space="0" w:color="auto"/>
            <w:left w:val="none" w:sz="0" w:space="0" w:color="auto"/>
            <w:bottom w:val="none" w:sz="0" w:space="0" w:color="auto"/>
            <w:right w:val="none" w:sz="0" w:space="0" w:color="auto"/>
          </w:divBdr>
        </w:div>
        <w:div w:id="2033648475">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1192113255">
              <w:marLeft w:val="0"/>
              <w:marRight w:val="0"/>
              <w:marTop w:val="0"/>
              <w:marBottom w:val="0"/>
              <w:divBdr>
                <w:top w:val="none" w:sz="0" w:space="0" w:color="auto"/>
                <w:left w:val="none" w:sz="0" w:space="0" w:color="auto"/>
                <w:bottom w:val="none" w:sz="0" w:space="0" w:color="auto"/>
                <w:right w:val="none" w:sz="0" w:space="0" w:color="auto"/>
              </w:divBdr>
            </w:div>
            <w:div w:id="524707673">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791318772">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375154655">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52644634">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sChild>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1153059618">
              <w:marLeft w:val="0"/>
              <w:marRight w:val="0"/>
              <w:marTop w:val="0"/>
              <w:marBottom w:val="0"/>
              <w:divBdr>
                <w:top w:val="none" w:sz="0" w:space="0" w:color="auto"/>
                <w:left w:val="none" w:sz="0" w:space="0" w:color="auto"/>
                <w:bottom w:val="none" w:sz="0" w:space="0" w:color="auto"/>
                <w:right w:val="none" w:sz="0" w:space="0" w:color="auto"/>
              </w:divBdr>
            </w:div>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953637238">
          <w:marLeft w:val="0"/>
          <w:marRight w:val="0"/>
          <w:marTop w:val="0"/>
          <w:marBottom w:val="0"/>
          <w:divBdr>
            <w:top w:val="none" w:sz="0" w:space="0" w:color="auto"/>
            <w:left w:val="none" w:sz="0" w:space="0" w:color="auto"/>
            <w:bottom w:val="none" w:sz="0" w:space="0" w:color="auto"/>
            <w:right w:val="none" w:sz="0" w:space="0" w:color="auto"/>
          </w:divBdr>
          <w:divsChild>
            <w:div w:id="330067371">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220364327">
              <w:marLeft w:val="0"/>
              <w:marRight w:val="0"/>
              <w:marTop w:val="0"/>
              <w:marBottom w:val="0"/>
              <w:divBdr>
                <w:top w:val="none" w:sz="0" w:space="0" w:color="auto"/>
                <w:left w:val="none" w:sz="0" w:space="0" w:color="auto"/>
                <w:bottom w:val="none" w:sz="0" w:space="0" w:color="auto"/>
                <w:right w:val="none" w:sz="0" w:space="0" w:color="auto"/>
              </w:divBdr>
            </w:div>
          </w:divsChild>
        </w:div>
        <w:div w:id="568075362">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669867117">
                      <w:marLeft w:val="0"/>
                      <w:marRight w:val="0"/>
                      <w:marTop w:val="0"/>
                      <w:marBottom w:val="0"/>
                      <w:divBdr>
                        <w:top w:val="none" w:sz="0" w:space="0" w:color="auto"/>
                        <w:left w:val="none" w:sz="0" w:space="0" w:color="auto"/>
                        <w:bottom w:val="none" w:sz="0" w:space="0" w:color="auto"/>
                        <w:right w:val="none" w:sz="0" w:space="0" w:color="auto"/>
                      </w:divBdr>
                    </w:div>
                    <w:div w:id="1061059177">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1617329362">
                      <w:marLeft w:val="0"/>
                      <w:marRight w:val="0"/>
                      <w:marTop w:val="0"/>
                      <w:marBottom w:val="0"/>
                      <w:divBdr>
                        <w:top w:val="none" w:sz="0" w:space="0" w:color="auto"/>
                        <w:left w:val="none" w:sz="0" w:space="0" w:color="auto"/>
                        <w:bottom w:val="none" w:sz="0" w:space="0" w:color="auto"/>
                        <w:right w:val="none" w:sz="0" w:space="0" w:color="auto"/>
                      </w:divBdr>
                    </w:div>
                    <w:div w:id="521668105">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relatoria.colombiacompra.gov.co/busqueda/conceptos"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www.colombiacompra.gov.co/documentos-tipo/documentos-tipo" TargetMode="Externa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hyperlink" Target="https://www.colombiacompra.gov.co/archivos/manual/guia-para-la-comprension-e-implementacion-de-los-documentos-tipo-de-obra-publica-de-infraestructura-de-transporte-bajo-las-diferentes-modalidades-de-contratacion-vigente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ndreagarcia1781@hotmail.com" TargetMode="External"/><Relationship Id="rId5" Type="http://schemas.openxmlformats.org/officeDocument/2006/relationships/styles" Target="styles.xml"/><Relationship Id="rId15" Type="http://schemas.openxmlformats.org/officeDocument/2006/relationships/hyperlink" Target="https://www.colombiacompra.gov.co/normativa-y-relatoria/documentos-tipo" TargetMode="External"/><Relationship Id="rId10" Type="http://schemas.openxmlformats.org/officeDocument/2006/relationships/image" Target="media/image2.png"/><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formacionvirtual.colombiacompra.gov.co/mod/page/view.php?id=3718"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colombiacompra.gov.co/archivos/manual/guia-de-competencia-en-las-compras-publicas"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A22E11E-D837-40C8-8C61-F94708055BDD}"/>
</file>

<file path=customXml/itemProps2.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3.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24</Pages>
  <Words>7539</Words>
  <Characters>41468</Characters>
  <Application>Microsoft Office Word</Application>
  <DocSecurity>0</DocSecurity>
  <Lines>345</Lines>
  <Paragraphs>97</Paragraphs>
  <ScaleCrop>false</ScaleCrop>
  <Company/>
  <LinksUpToDate>false</LinksUpToDate>
  <CharactersWithSpaces>48910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Denis Andrea Cárdenas Hernández</cp:lastModifiedBy>
  <cp:revision>3</cp:revision>
  <cp:lastPrinted>2023-01-10T21:18:00Z</cp:lastPrinted>
  <dcterms:created xsi:type="dcterms:W3CDTF">2026-07-02T14:28:00Z</dcterms:created>
  <dcterms:modified xsi:type="dcterms:W3CDTF">2026-07-02T14:32:00Z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