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B080" w14:textId="77777777" w:rsidR="0033656A" w:rsidRPr="00523FAD" w:rsidRDefault="0033656A" w:rsidP="0033656A">
      <w:pPr>
        <w:spacing w:after="0" w:line="240" w:lineRule="auto"/>
        <w:rPr>
          <w:rFonts w:ascii="Verdana" w:eastAsia="Calibri" w:hAnsi="Verdana" w:cs="Arial"/>
          <w:b/>
          <w:color w:val="000000" w:themeColor="text1"/>
          <w:lang w:val="es-ES_tradnl"/>
        </w:rPr>
      </w:pPr>
      <w:bookmarkStart w:id="0" w:name="_Hlk143780582"/>
      <w:r w:rsidRPr="00523FAD">
        <w:rPr>
          <w:rFonts w:ascii="Verdana" w:eastAsia="Calibri" w:hAnsi="Verdana" w:cs="Arial"/>
          <w:b/>
          <w:color w:val="000000" w:themeColor="text1"/>
          <w:lang w:val="es-ES_tradnl"/>
        </w:rPr>
        <w:t xml:space="preserve">LEY DE GARANTÍAS ELECTORALES ‒ Tipos de restricciones ‒ Ámbito temporal </w:t>
      </w:r>
    </w:p>
    <w:p w14:paraId="1FDFE1F0" w14:textId="77777777" w:rsidR="0033656A" w:rsidRPr="00523FAD" w:rsidRDefault="0033656A" w:rsidP="0033656A">
      <w:pPr>
        <w:spacing w:after="0" w:line="240" w:lineRule="auto"/>
        <w:rPr>
          <w:rFonts w:ascii="Verdana" w:eastAsia="Calibri" w:hAnsi="Verdana" w:cs="Arial"/>
          <w:b/>
          <w:color w:val="000000" w:themeColor="text1"/>
          <w:lang w:val="es-ES_tradnl"/>
        </w:rPr>
      </w:pPr>
    </w:p>
    <w:p w14:paraId="6AEB79F2" w14:textId="77777777" w:rsidR="0033656A" w:rsidRPr="00523FAD" w:rsidRDefault="0033656A" w:rsidP="0033656A">
      <w:pPr>
        <w:spacing w:after="0" w:line="240" w:lineRule="auto"/>
        <w:jc w:val="both"/>
        <w:rPr>
          <w:rFonts w:ascii="Verdana" w:eastAsia="Calibri" w:hAnsi="Verdana" w:cs="Arial"/>
          <w:color w:val="000000" w:themeColor="text1"/>
          <w:lang w:val="es-ES"/>
        </w:rPr>
      </w:pPr>
      <w:r w:rsidRPr="00523FAD">
        <w:rPr>
          <w:rFonts w:ascii="Verdana" w:eastAsia="Calibri" w:hAnsi="Verdana" w:cs="Arial"/>
          <w:color w:val="000000" w:themeColor="text1"/>
          <w:lang w:val="es-ES"/>
        </w:rPr>
        <w:t>[…] la Ley 996 de 2005 establece dos (2) tipos de restricciones en materia de contratación, las cuales coinciden parcialmente. En primer lugar,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En segundo lugar,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66B216DF" w14:textId="77777777" w:rsidR="0033656A" w:rsidRPr="00084AA2" w:rsidRDefault="0033656A" w:rsidP="0033656A">
      <w:pPr>
        <w:spacing w:after="0" w:line="240" w:lineRule="auto"/>
        <w:rPr>
          <w:rFonts w:ascii="Verdana" w:eastAsia="Calibri" w:hAnsi="Verdana" w:cs="Arial"/>
          <w:b/>
          <w:bCs/>
          <w:color w:val="000000" w:themeColor="text1"/>
          <w:lang w:val="es-ES_tradnl"/>
        </w:rPr>
      </w:pPr>
    </w:p>
    <w:p w14:paraId="63A34323" w14:textId="5C416752" w:rsidR="0033656A" w:rsidRPr="00084AA2" w:rsidRDefault="00084AA2" w:rsidP="0033656A">
      <w:pPr>
        <w:spacing w:after="0" w:line="240" w:lineRule="auto"/>
        <w:rPr>
          <w:rFonts w:ascii="Verdana" w:eastAsia="Calibri" w:hAnsi="Verdana" w:cs="Arial"/>
          <w:b/>
          <w:bCs/>
          <w:lang w:val="es-ES" w:eastAsia="es-ES"/>
        </w:rPr>
      </w:pPr>
      <w:r w:rsidRPr="00084AA2">
        <w:rPr>
          <w:rFonts w:ascii="Verdana" w:eastAsia="Calibri" w:hAnsi="Verdana" w:cs="Arial"/>
          <w:b/>
          <w:bCs/>
          <w:lang w:val="es-ES" w:eastAsia="es-ES"/>
        </w:rPr>
        <w:t>INSTITUCIONES EDUCATIVAS – Fondos de servicios educativos</w:t>
      </w:r>
    </w:p>
    <w:p w14:paraId="18A83DD6" w14:textId="77777777" w:rsidR="00084AA2" w:rsidRDefault="00084AA2" w:rsidP="0033656A">
      <w:pPr>
        <w:spacing w:after="0" w:line="240" w:lineRule="auto"/>
        <w:rPr>
          <w:rFonts w:ascii="Verdana" w:eastAsia="Calibri" w:hAnsi="Verdana" w:cs="Arial"/>
          <w:lang w:val="es-ES" w:eastAsia="es-ES"/>
        </w:rPr>
      </w:pPr>
    </w:p>
    <w:p w14:paraId="3386CE37" w14:textId="77777777" w:rsidR="00084AA2" w:rsidRPr="00523FAD" w:rsidRDefault="00084AA2" w:rsidP="0033656A">
      <w:pPr>
        <w:spacing w:after="0" w:line="240" w:lineRule="auto"/>
        <w:rPr>
          <w:rFonts w:ascii="Verdana" w:eastAsia="Calibri" w:hAnsi="Verdana" w:cs="Arial"/>
          <w:b/>
          <w:color w:val="000000" w:themeColor="text1"/>
          <w:lang w:val="es-ES_tradnl"/>
        </w:rPr>
      </w:pPr>
    </w:p>
    <w:p w14:paraId="0953704F" w14:textId="46FA496F" w:rsidR="0033656A" w:rsidRPr="00523FAD" w:rsidRDefault="0033656A" w:rsidP="0033656A">
      <w:pPr>
        <w:spacing w:after="0" w:line="240" w:lineRule="auto"/>
        <w:jc w:val="both"/>
        <w:rPr>
          <w:rFonts w:ascii="Verdana" w:eastAsia="Calibri" w:hAnsi="Verdana" w:cs="Arial"/>
          <w:color w:val="000000" w:themeColor="text1"/>
          <w:lang w:val="es-ES"/>
        </w:rPr>
      </w:pPr>
      <w:r w:rsidRPr="00523FAD">
        <w:rPr>
          <w:rFonts w:ascii="Verdana" w:eastAsia="Calibri" w:hAnsi="Verdana" w:cs="Arial"/>
          <w:color w:val="000000" w:themeColor="text1"/>
          <w:lang w:val="es-ES"/>
        </w:rPr>
        <w:t xml:space="preserve">[…] la prohibición del artículo 33 de la Ley de Garantías Electorales se refiere a «cualquier sistema que no implique convocatoria pública y posibilidad de pluralidad de oferentes», por lo que excluye las demás modalidades de contratación previstas en la Ley 1150 de 2007, es decir, la licitación pública, la selección abreviada y el concurso de méritos u otros previstos en normas especiales. Esta posición es congruente con la expedición de la Ley 1150 de 2007 que, entre otras reformas, introdujo la selección abreviada, rediseñó el concurso de </w:t>
      </w:r>
      <w:r w:rsidR="00084AA2" w:rsidRPr="00523FAD">
        <w:rPr>
          <w:rFonts w:ascii="Verdana" w:eastAsia="Calibri" w:hAnsi="Verdana" w:cs="Arial"/>
          <w:color w:val="000000" w:themeColor="text1"/>
          <w:lang w:val="es-ES"/>
        </w:rPr>
        <w:t>méritos y</w:t>
      </w:r>
      <w:r w:rsidRPr="00523FAD">
        <w:rPr>
          <w:rFonts w:ascii="Verdana" w:eastAsia="Calibri" w:hAnsi="Verdana" w:cs="Arial"/>
          <w:color w:val="000000" w:themeColor="text1"/>
          <w:lang w:val="es-ES"/>
        </w:rPr>
        <w:t xml:space="preserve"> sistematizó las causales de contratación directa.</w:t>
      </w:r>
    </w:p>
    <w:p w14:paraId="61082AF6" w14:textId="77777777" w:rsidR="0033656A" w:rsidRPr="00523FAD" w:rsidRDefault="0033656A" w:rsidP="0033656A">
      <w:pPr>
        <w:spacing w:after="0" w:line="240" w:lineRule="auto"/>
        <w:jc w:val="both"/>
        <w:rPr>
          <w:rFonts w:ascii="Verdana" w:eastAsia="Calibri" w:hAnsi="Verdana" w:cs="Arial"/>
          <w:bCs/>
          <w:color w:val="000000" w:themeColor="text1"/>
          <w:lang w:val="es-ES_tradnl"/>
        </w:rPr>
      </w:pPr>
    </w:p>
    <w:p w14:paraId="11651C47" w14:textId="77777777" w:rsidR="0033656A" w:rsidRPr="00523FAD" w:rsidRDefault="0033656A" w:rsidP="0033656A">
      <w:pPr>
        <w:spacing w:after="0" w:line="240" w:lineRule="auto"/>
        <w:jc w:val="both"/>
        <w:rPr>
          <w:rFonts w:ascii="Verdana" w:eastAsia="Calibri" w:hAnsi="Verdana" w:cs="Arial"/>
          <w:color w:val="000000" w:themeColor="text1"/>
          <w:lang w:val="es-ES"/>
        </w:rPr>
      </w:pPr>
      <w:r w:rsidRPr="00523FAD">
        <w:rPr>
          <w:rFonts w:ascii="Verdana" w:eastAsia="Calibri" w:hAnsi="Verdana" w:cs="Arial"/>
          <w:color w:val="000000" w:themeColor="text1"/>
          <w:lang w:val="es-ES"/>
        </w:rPr>
        <w:t xml:space="preserve">[…] las excepciones a la restricción prevista en la Ley de Garantías,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ii) los contratos de crédito público; iii) los requeridos para cubrir las emergencias educativas, sanitarias y desastres; </w:t>
      </w:r>
      <w:proofErr w:type="spellStart"/>
      <w:r w:rsidRPr="00523FAD">
        <w:rPr>
          <w:rFonts w:ascii="Verdana" w:eastAsia="Calibri" w:hAnsi="Verdana" w:cs="Arial"/>
          <w:color w:val="000000" w:themeColor="text1"/>
          <w:lang w:val="es-ES"/>
        </w:rPr>
        <w:t>iv</w:t>
      </w:r>
      <w:proofErr w:type="spellEnd"/>
      <w:r w:rsidRPr="00523FAD">
        <w:rPr>
          <w:rFonts w:ascii="Verdana" w:eastAsia="Calibri" w:hAnsi="Verdana" w:cs="Arial"/>
          <w:color w:val="000000" w:themeColor="text1"/>
          <w:lang w:val="es-ES"/>
        </w:rPr>
        <w:t xml:space="preserve">) los utilizados para la reconstrucción de vías, puentes, carreteras, infraestructura energética y de comunicaciones, en caso de que hayan sido objeto de atentados, acciones terroristas, desastres naturales o casos de fuerza mayor; y, v) los que deban </w:t>
      </w:r>
      <w:r w:rsidRPr="00523FAD">
        <w:rPr>
          <w:rFonts w:ascii="Verdana" w:eastAsia="Calibri" w:hAnsi="Verdana" w:cs="Arial"/>
          <w:color w:val="000000" w:themeColor="text1"/>
          <w:lang w:val="es-ES"/>
        </w:rPr>
        <w:lastRenderedPageBreak/>
        <w:t>realizar las entidades sanitarias y hospitalarias.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6EFA7B66" w14:textId="77777777" w:rsidR="0033656A" w:rsidRPr="00523FAD" w:rsidRDefault="0033656A" w:rsidP="0033656A">
      <w:pPr>
        <w:spacing w:after="0" w:line="240" w:lineRule="auto"/>
        <w:jc w:val="both"/>
        <w:rPr>
          <w:rFonts w:ascii="Verdana" w:eastAsia="Calibri" w:hAnsi="Verdana" w:cs="Arial"/>
          <w:b/>
          <w:color w:val="000000" w:themeColor="text1"/>
          <w:lang w:val="es-ES_tradnl"/>
        </w:rPr>
      </w:pPr>
    </w:p>
    <w:p w14:paraId="7A09209A" w14:textId="57A5339E" w:rsidR="0033656A" w:rsidRPr="00084AA2" w:rsidRDefault="00084AA2" w:rsidP="0033656A">
      <w:pPr>
        <w:spacing w:after="0" w:line="240" w:lineRule="auto"/>
        <w:jc w:val="both"/>
        <w:rPr>
          <w:rFonts w:ascii="Verdana" w:eastAsia="Calibri" w:hAnsi="Verdana" w:cs="Arial"/>
          <w:b/>
          <w:bCs/>
          <w:lang w:val="es-ES" w:eastAsia="es-ES"/>
        </w:rPr>
      </w:pPr>
      <w:r w:rsidRPr="00084AA2">
        <w:rPr>
          <w:rFonts w:ascii="Verdana" w:eastAsia="Calibri" w:hAnsi="Verdana" w:cs="Arial"/>
          <w:b/>
          <w:bCs/>
          <w:lang w:val="es-ES" w:eastAsia="es-ES"/>
        </w:rPr>
        <w:t>DESTINATARIOS – Artículo 33 Ley 996 de 2005 – Ley de Garantías</w:t>
      </w:r>
    </w:p>
    <w:p w14:paraId="6EB96C83" w14:textId="77777777" w:rsidR="00084AA2" w:rsidRPr="00523FAD" w:rsidRDefault="00084AA2" w:rsidP="0033656A">
      <w:pPr>
        <w:spacing w:after="0" w:line="240" w:lineRule="auto"/>
        <w:jc w:val="both"/>
        <w:rPr>
          <w:rFonts w:ascii="Verdana" w:eastAsia="Calibri" w:hAnsi="Verdana" w:cs="Arial"/>
          <w:bCs/>
          <w:color w:val="000000" w:themeColor="text1"/>
          <w:lang w:val="es-ES_tradnl"/>
        </w:rPr>
      </w:pPr>
    </w:p>
    <w:p w14:paraId="4B34AE87" w14:textId="77777777" w:rsidR="0033656A" w:rsidRPr="00523FAD" w:rsidRDefault="0033656A" w:rsidP="0033656A">
      <w:pPr>
        <w:spacing w:after="0" w:line="240" w:lineRule="auto"/>
        <w:jc w:val="both"/>
        <w:rPr>
          <w:rFonts w:ascii="Verdana" w:eastAsia="Calibri" w:hAnsi="Verdana" w:cs="Arial"/>
          <w:color w:val="000000" w:themeColor="text1"/>
          <w:lang w:val="es-ES"/>
        </w:rPr>
      </w:pPr>
      <w:r w:rsidRPr="00523FAD">
        <w:rPr>
          <w:rFonts w:ascii="Verdana" w:eastAsia="Calibri" w:hAnsi="Verdana" w:cs="Arial"/>
          <w:color w:val="000000" w:themeColor="text1"/>
          <w:lang w:val="es-ES"/>
        </w:rPr>
        <w:t>El artículo 33 de la Ley 996 de 2005 señala expresamente a los destinatarios de la prohibición, en el sentido de que son “todos los entes del Estado”,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3F18512D" w14:textId="77777777" w:rsidR="0033656A" w:rsidRPr="00084AA2" w:rsidRDefault="0033656A" w:rsidP="0033656A">
      <w:pPr>
        <w:jc w:val="both"/>
        <w:rPr>
          <w:rFonts w:ascii="Verdana" w:eastAsia="Calibri" w:hAnsi="Verdana" w:cs="Arial"/>
          <w:b/>
          <w:bCs/>
          <w:lang w:val="es-ES"/>
        </w:rPr>
      </w:pPr>
    </w:p>
    <w:p w14:paraId="392FCA88" w14:textId="77777777" w:rsidR="00084AA2" w:rsidRPr="00084AA2" w:rsidRDefault="00084AA2" w:rsidP="0033656A">
      <w:pPr>
        <w:jc w:val="both"/>
        <w:rPr>
          <w:rFonts w:ascii="Verdana" w:eastAsia="Calibri" w:hAnsi="Verdana" w:cs="Arial"/>
          <w:b/>
          <w:bCs/>
          <w:lang w:val="es-ES" w:eastAsia="es-ES"/>
        </w:rPr>
      </w:pPr>
      <w:r w:rsidRPr="00084AA2">
        <w:rPr>
          <w:rFonts w:ascii="Verdana" w:eastAsia="Calibri" w:hAnsi="Verdana" w:cs="Arial"/>
          <w:b/>
          <w:bCs/>
          <w:lang w:val="es-ES" w:eastAsia="es-ES"/>
        </w:rPr>
        <w:t xml:space="preserve">INSTITUCIONES EDUCATIVAS OFICIALES – Ley de Garantías Electorales – Restricciones </w:t>
      </w:r>
    </w:p>
    <w:p w14:paraId="46E8F122" w14:textId="2DCD5482" w:rsidR="0033656A" w:rsidRPr="00523FAD" w:rsidRDefault="0033656A" w:rsidP="0033656A">
      <w:pPr>
        <w:jc w:val="both"/>
        <w:rPr>
          <w:rFonts w:ascii="Verdana" w:eastAsia="Calibri" w:hAnsi="Verdana" w:cs="Arial"/>
          <w:b/>
          <w:bCs/>
          <w:color w:val="000000" w:themeColor="text1"/>
          <w:lang w:val="es-ES_tradnl"/>
        </w:rPr>
      </w:pPr>
      <w:r w:rsidRPr="00523FAD">
        <w:rPr>
          <w:rFonts w:ascii="Verdana" w:eastAsia="Calibri" w:hAnsi="Verdana" w:cs="Arial"/>
          <w:color w:val="000000" w:themeColor="text1"/>
          <w:lang w:val="es-ES"/>
        </w:rPr>
        <w:t xml:space="preserve">[…] </w:t>
      </w:r>
      <w:r w:rsidRPr="00523FAD">
        <w:rPr>
          <w:rFonts w:ascii="Verdana" w:hAnsi="Verdana" w:cs="Arial"/>
          <w:bCs/>
          <w:color w:val="000000" w:themeColor="text1"/>
          <w:lang w:eastAsia="es-ES_tradnl"/>
        </w:rPr>
        <w:t>En el caso de las instituciones educativas oficiales, si bien estas carecen de personería jurídica, administran recursos públicos a través de los Fondos de Servicios Educativos (FSE), conforme a lo previsto en el artículo 13 de la Ley 715 de 2001 y el artículo 2.3.1.6.3.17 del Decreto 1075 de 2015. En virtud de dichas normas, los FSE pueden celebrar contratos bajo dos escenarios: i) cuando la cuantía no supera los veinte (20) salarios mínimos mensuales legales vigentes, aplican el reglamento interno adoptado por el consejo directivo de la institución; y ii) cuando excede dicho monto, deben sujetarse a las reglas del Estatuto General de Contratación de la Administración Pública. Sin perjuicio de lo anterior, la aplicación de la Ley de Garantías Electorales no depende del régimen contractual sino de la modalidad de selección utilizada. En ese sentido, la prohibición del artículo 33 recae sobre toda modalidad que no garantice convocatoria pública ni pluralidad de oferentes. Por tanto, las instituciones educativas oficiales no pueden celebrar contratos directos durante los cuatro meses previos a las elecciones presidenciales, salvo que se configure una de las excepciones establecidas en la ley, tales como las relacionadas con defensa y seguridad nacional, crédito público, emergencias educativas, sanitarias o desastres, entre otras.</w:t>
      </w:r>
      <w:r w:rsidRPr="00523FAD">
        <w:rPr>
          <w:rFonts w:ascii="Verdana" w:eastAsia="Calibri" w:hAnsi="Verdana" w:cs="Arial"/>
          <w:b/>
          <w:bCs/>
          <w:lang w:val="es-ES"/>
        </w:rPr>
        <w:t xml:space="preserve">  </w:t>
      </w:r>
    </w:p>
    <w:p w14:paraId="7177930B" w14:textId="77777777" w:rsidR="0033656A" w:rsidRPr="00523FAD" w:rsidRDefault="0033656A" w:rsidP="0033656A">
      <w:pPr>
        <w:spacing w:after="120" w:line="276" w:lineRule="auto"/>
        <w:jc w:val="both"/>
        <w:rPr>
          <w:rFonts w:ascii="Verdana" w:hAnsi="Verdana" w:cs="Arial"/>
          <w:bCs/>
          <w:color w:val="000000" w:themeColor="text1"/>
          <w:lang w:eastAsia="es-ES_tradnl"/>
        </w:rPr>
      </w:pPr>
      <w:r w:rsidRPr="00523FAD">
        <w:rPr>
          <w:rFonts w:ascii="Verdana" w:hAnsi="Verdana" w:cs="Arial"/>
          <w:bCs/>
          <w:color w:val="000000" w:themeColor="text1"/>
          <w:lang w:eastAsia="es-ES_tradnl"/>
        </w:rPr>
        <w:t>Así mismo, el parágrafo del artículo 38 resulta aplicable cuando las instituciones educativas, a través de sus rectores u ordenadores del gasto, suscriben convenios interadministrativos con otras entidades públicas para la ejecución de recursos públicos, dado que dichas actuaciones tienen la naturaleza de convenios entre entidades estatales. En consecuencia, durante los cuatro meses anteriores a cualquier elección, no podrán celebrarse este tipo de convenios, sin perjuicio de que la entidad pueda adelantar procedimientos con pluralidad de oferentes que garanticen la participación y la transparencia en la contratación.</w:t>
      </w:r>
      <w:r w:rsidRPr="00523FAD">
        <w:rPr>
          <w:rFonts w:ascii="Verdana" w:eastAsia="Calibri" w:hAnsi="Verdana" w:cs="Arial"/>
          <w:color w:val="000000" w:themeColor="text1"/>
          <w:lang w:val="es-ES"/>
        </w:rPr>
        <w:t xml:space="preserve"> […]</w:t>
      </w:r>
    </w:p>
    <w:p w14:paraId="13510A34" w14:textId="77777777" w:rsidR="0033656A" w:rsidRPr="00523FAD" w:rsidRDefault="0033656A" w:rsidP="0033656A">
      <w:pPr>
        <w:spacing w:after="0" w:line="240" w:lineRule="auto"/>
        <w:jc w:val="both"/>
        <w:rPr>
          <w:rFonts w:ascii="Verdana" w:eastAsia="Calibri" w:hAnsi="Verdana" w:cs="Arial"/>
          <w:color w:val="000000" w:themeColor="text1"/>
          <w:lang w:val="es-ES"/>
        </w:rPr>
      </w:pPr>
    </w:p>
    <w:p w14:paraId="27013473" w14:textId="77777777" w:rsidR="0033656A" w:rsidRPr="006F60F9" w:rsidRDefault="0033656A" w:rsidP="0033656A">
      <w:pPr>
        <w:spacing w:after="0" w:line="240" w:lineRule="auto"/>
        <w:jc w:val="both"/>
        <w:rPr>
          <w:rFonts w:ascii="Verdana" w:eastAsia="Calibri" w:hAnsi="Verdana" w:cs="Arial"/>
          <w:color w:val="000000" w:themeColor="text1"/>
          <w:sz w:val="20"/>
          <w:szCs w:val="20"/>
          <w:lang w:val="es-ES"/>
        </w:rPr>
      </w:pPr>
    </w:p>
    <w:p w14:paraId="7445E528" w14:textId="77777777" w:rsidR="0033656A" w:rsidRPr="006F60F9" w:rsidRDefault="0033656A" w:rsidP="0033656A">
      <w:pPr>
        <w:spacing w:after="0" w:line="240" w:lineRule="auto"/>
        <w:jc w:val="both"/>
        <w:rPr>
          <w:rFonts w:ascii="Verdana" w:eastAsia="Calibri" w:hAnsi="Verdana" w:cs="Arial"/>
          <w:color w:val="000000" w:themeColor="text1"/>
          <w:sz w:val="20"/>
          <w:szCs w:val="20"/>
          <w:lang w:val="es-ES"/>
        </w:rPr>
      </w:pPr>
    </w:p>
    <w:p w14:paraId="4174835F" w14:textId="77777777" w:rsidR="0033656A" w:rsidRDefault="0033656A">
      <w:pPr>
        <w:rPr>
          <w:rFonts w:ascii="Verdana" w:eastAsia="Verdana" w:hAnsi="Verdana" w:cs="Verdana"/>
        </w:rPr>
      </w:pPr>
      <w:r>
        <w:rPr>
          <w:rFonts w:ascii="Verdana" w:eastAsia="Verdana" w:hAnsi="Verdana" w:cs="Verdana"/>
        </w:rPr>
        <w:br w:type="page"/>
      </w:r>
    </w:p>
    <w:p w14:paraId="12443EE0" w14:textId="61DB52C4" w:rsidR="00C15139" w:rsidRPr="0024624F" w:rsidRDefault="006474CF" w:rsidP="30821638">
      <w:pPr>
        <w:spacing w:after="0"/>
        <w:rPr>
          <w:rFonts w:ascii="Verdana" w:eastAsia="Verdana" w:hAnsi="Verdana" w:cs="Verdana"/>
        </w:rPr>
      </w:pPr>
      <w:r w:rsidRPr="006474CF">
        <w:rPr>
          <w:rFonts w:ascii="Verdana" w:eastAsia="Verdana" w:hAnsi="Verdana" w:cs="Verdana"/>
          <w:noProof/>
        </w:rPr>
        <w:drawing>
          <wp:anchor distT="0" distB="0" distL="114300" distR="114300" simplePos="0" relativeHeight="251659264" behindDoc="1" locked="0" layoutInCell="1" allowOverlap="1" wp14:anchorId="60E3F97F" wp14:editId="493324B2">
            <wp:simplePos x="0" y="0"/>
            <wp:positionH relativeFrom="column">
              <wp:posOffset>3646805</wp:posOffset>
            </wp:positionH>
            <wp:positionV relativeFrom="paragraph">
              <wp:posOffset>0</wp:posOffset>
            </wp:positionV>
            <wp:extent cx="2497455" cy="836295"/>
            <wp:effectExtent l="0" t="0" r="0" b="1905"/>
            <wp:wrapTight wrapText="bothSides">
              <wp:wrapPolygon edited="0">
                <wp:start x="0" y="0"/>
                <wp:lineTo x="0" y="21157"/>
                <wp:lineTo x="21419" y="21157"/>
                <wp:lineTo x="21419" y="0"/>
                <wp:lineTo x="0" y="0"/>
              </wp:wrapPolygon>
            </wp:wrapTight>
            <wp:docPr id="577021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7455" cy="836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30 junio 2026</w:t>
      </w:r>
      <w:r w:rsidR="00C15139">
        <w:tab/>
      </w:r>
      <w:r w:rsidR="00C15139">
        <w:br/>
      </w:r>
      <w:r w:rsidR="00C15139">
        <w:tab/>
      </w:r>
    </w:p>
    <w:p w14:paraId="649F1565" w14:textId="41278619" w:rsidR="00414C5C" w:rsidRDefault="00C15139" w:rsidP="00372698">
      <w:pPr>
        <w:spacing w:after="0"/>
        <w:rPr>
          <w:rFonts w:ascii="Verdana" w:eastAsia="Verdana" w:hAnsi="Verdana" w:cs="Verdana"/>
          <w:lang w:val="es-MX"/>
        </w:rPr>
      </w:pPr>
      <w:r w:rsidRPr="30821638">
        <w:rPr>
          <w:rFonts w:ascii="Verdana" w:eastAsia="Verdana" w:hAnsi="Verdana" w:cs="Verdana"/>
          <w:lang w:val="es-MX"/>
        </w:rPr>
        <w:t>Señor</w:t>
      </w:r>
      <w:r w:rsidR="000B1571">
        <w:rPr>
          <w:rFonts w:ascii="Verdana" w:eastAsia="Verdana" w:hAnsi="Verdana" w:cs="Verdana"/>
          <w:lang w:val="es-MX"/>
        </w:rPr>
        <w:t xml:space="preserve">a </w:t>
      </w:r>
    </w:p>
    <w:p w14:paraId="69535B4A" w14:textId="77777777" w:rsidR="00F15E4C" w:rsidRPr="00A14A7F" w:rsidRDefault="00F15E4C" w:rsidP="00372698">
      <w:pPr>
        <w:spacing w:after="0"/>
        <w:rPr>
          <w:rFonts w:ascii="Verdana" w:eastAsia="Verdana" w:hAnsi="Verdana" w:cs="Verdana"/>
          <w:b/>
          <w:bCs/>
          <w:lang w:val="es-MX"/>
        </w:rPr>
      </w:pPr>
      <w:r w:rsidRPr="00A14A7F">
        <w:rPr>
          <w:rFonts w:ascii="Verdana" w:eastAsia="Verdana" w:hAnsi="Verdana" w:cs="Verdana"/>
          <w:b/>
          <w:bCs/>
          <w:lang w:val="es-MX"/>
        </w:rPr>
        <w:t xml:space="preserve">Laura </w:t>
      </w:r>
      <w:r w:rsidR="000B1571" w:rsidRPr="00A14A7F">
        <w:rPr>
          <w:rFonts w:ascii="Verdana" w:eastAsia="Verdana" w:hAnsi="Verdana" w:cs="Verdana"/>
          <w:b/>
          <w:bCs/>
          <w:lang w:val="es-MX"/>
        </w:rPr>
        <w:t>Anaix</w:t>
      </w:r>
      <w:r w:rsidRPr="00A14A7F">
        <w:rPr>
          <w:rFonts w:ascii="Verdana" w:eastAsia="Verdana" w:hAnsi="Verdana" w:cs="Verdana"/>
          <w:b/>
          <w:bCs/>
          <w:lang w:val="es-MX"/>
        </w:rPr>
        <w:t xml:space="preserve"> Escobar Morales </w:t>
      </w:r>
    </w:p>
    <w:p w14:paraId="36756988" w14:textId="32B1080D" w:rsidR="007C7449" w:rsidRDefault="00D570EC" w:rsidP="00372698">
      <w:pPr>
        <w:spacing w:after="0"/>
        <w:rPr>
          <w:rFonts w:ascii="Verdana" w:eastAsia="Verdana" w:hAnsi="Verdana" w:cs="Verdana"/>
          <w:lang w:val="es-MX"/>
        </w:rPr>
      </w:pPr>
      <w:hyperlink r:id="rId11" w:history="1">
        <w:r w:rsidRPr="008424F6">
          <w:rPr>
            <w:rStyle w:val="Hipervnculo"/>
            <w:rFonts w:ascii="Verdana" w:eastAsia="Verdana" w:hAnsi="Verdana" w:cs="Verdana"/>
            <w:lang w:val="es-MX"/>
          </w:rPr>
          <w:t>gerencia@dataservice.com</w:t>
        </w:r>
      </w:hyperlink>
      <w:r>
        <w:rPr>
          <w:rFonts w:ascii="Verdana" w:eastAsia="Verdana" w:hAnsi="Verdana" w:cs="Verdana"/>
          <w:lang w:val="es-MX"/>
        </w:rPr>
        <w:t xml:space="preserve"> </w:t>
      </w:r>
    </w:p>
    <w:p w14:paraId="17DA9BBD" w14:textId="77777777" w:rsidR="007C7449" w:rsidRPr="00A14A7F" w:rsidRDefault="007C7449" w:rsidP="00372698">
      <w:pPr>
        <w:spacing w:after="0"/>
        <w:rPr>
          <w:rFonts w:ascii="Verdana" w:eastAsia="Verdana" w:hAnsi="Verdana" w:cs="Verdana"/>
          <w:b/>
          <w:bCs/>
          <w:lang w:val="es-MX"/>
        </w:rPr>
      </w:pPr>
      <w:r w:rsidRPr="00A14A7F">
        <w:rPr>
          <w:rFonts w:ascii="Verdana" w:eastAsia="Verdana" w:hAnsi="Verdana" w:cs="Verdana"/>
          <w:b/>
          <w:bCs/>
          <w:lang w:val="es-MX"/>
        </w:rPr>
        <w:t xml:space="preserve">Representante legal </w:t>
      </w:r>
    </w:p>
    <w:p w14:paraId="116E3443" w14:textId="77777777" w:rsidR="00A14A7F" w:rsidRPr="00A14A7F" w:rsidRDefault="007C7449" w:rsidP="00372698">
      <w:pPr>
        <w:spacing w:after="0"/>
        <w:rPr>
          <w:rFonts w:ascii="Verdana" w:eastAsia="Verdana" w:hAnsi="Verdana" w:cs="Verdana"/>
          <w:b/>
          <w:bCs/>
          <w:lang w:val="es-MX"/>
        </w:rPr>
      </w:pPr>
      <w:r w:rsidRPr="00A14A7F">
        <w:rPr>
          <w:rFonts w:ascii="Verdana" w:eastAsia="Verdana" w:hAnsi="Verdana" w:cs="Verdana"/>
          <w:b/>
          <w:bCs/>
          <w:lang w:val="es-MX"/>
        </w:rPr>
        <w:t xml:space="preserve">Grupo </w:t>
      </w:r>
      <w:r w:rsidR="00A14A7F" w:rsidRPr="00A14A7F">
        <w:rPr>
          <w:rFonts w:ascii="Verdana" w:eastAsia="Verdana" w:hAnsi="Verdana" w:cs="Verdana"/>
          <w:b/>
          <w:bCs/>
          <w:lang w:val="es-MX"/>
        </w:rPr>
        <w:t>Corporativo Dataservice</w:t>
      </w:r>
    </w:p>
    <w:p w14:paraId="34BB148E" w14:textId="5EBF7CEF" w:rsidR="000B1571" w:rsidRDefault="00A14A7F" w:rsidP="00372698">
      <w:pPr>
        <w:spacing w:after="0"/>
        <w:rPr>
          <w:rFonts w:ascii="Verdana" w:eastAsia="Verdana" w:hAnsi="Verdana" w:cs="Verdana"/>
          <w:lang w:val="es-MX"/>
        </w:rPr>
      </w:pPr>
      <w:r>
        <w:rPr>
          <w:rFonts w:ascii="Verdana" w:eastAsia="Verdana" w:hAnsi="Verdana" w:cs="Verdana"/>
          <w:lang w:val="es-MX"/>
        </w:rPr>
        <w:t>Ciudad</w:t>
      </w:r>
      <w:r w:rsidR="000B1571">
        <w:rPr>
          <w:rFonts w:ascii="Verdana" w:eastAsia="Verdana" w:hAnsi="Verdana" w:cs="Verdana"/>
          <w:lang w:val="es-MX"/>
        </w:rPr>
        <w:t xml:space="preserve"> </w:t>
      </w:r>
    </w:p>
    <w:p w14:paraId="77091471" w14:textId="77777777" w:rsidR="00A14A7F" w:rsidRDefault="00A14A7F" w:rsidP="00372698">
      <w:pPr>
        <w:spacing w:after="0"/>
        <w:rPr>
          <w:rFonts w:ascii="Verdana" w:eastAsia="Verdana" w:hAnsi="Verdana" w:cs="Verdana"/>
          <w:lang w:val="es-MX"/>
        </w:rPr>
      </w:pPr>
    </w:p>
    <w:p w14:paraId="7855C466" w14:textId="77777777" w:rsidR="00A14A7F" w:rsidRDefault="00A14A7F" w:rsidP="00372698">
      <w:pPr>
        <w:spacing w:after="0"/>
        <w:rPr>
          <w:rFonts w:ascii="Verdana" w:eastAsia="Verdana" w:hAnsi="Verdana" w:cs="Verdana"/>
          <w:lang w:val="es-MX"/>
        </w:rPr>
      </w:pPr>
    </w:p>
    <w:p w14:paraId="77F26C9C" w14:textId="77777777" w:rsidR="00346067" w:rsidRPr="00FE3DEC" w:rsidRDefault="00346067" w:rsidP="00346067">
      <w:pPr>
        <w:spacing w:after="0" w:line="240" w:lineRule="auto"/>
        <w:rPr>
          <w:rFonts w:ascii="Verdana" w:eastAsia="Calibri" w:hAnsi="Verdana" w:cs="Arial"/>
          <w:color w:val="000000"/>
          <w:lang w:val="es-ES_tradnl" w:eastAsia="es-ES_tradnl"/>
        </w:rPr>
      </w:pPr>
    </w:p>
    <w:tbl>
      <w:tblPr>
        <w:tblStyle w:val="Tablaconcuadrcula"/>
        <w:tblW w:w="8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95"/>
        <w:gridCol w:w="6481"/>
      </w:tblGrid>
      <w:tr w:rsidR="00346067" w:rsidRPr="00593A5F" w14:paraId="672200B2" w14:textId="77777777" w:rsidTr="0D22A0AB">
        <w:trPr>
          <w:trHeight w:val="273"/>
        </w:trPr>
        <w:tc>
          <w:tcPr>
            <w:tcW w:w="2295" w:type="dxa"/>
          </w:tcPr>
          <w:p w14:paraId="2A3D9A8E" w14:textId="77777777" w:rsidR="00346067" w:rsidRPr="00E5644F" w:rsidRDefault="00346067" w:rsidP="00821185">
            <w:pPr>
              <w:jc w:val="both"/>
              <w:rPr>
                <w:rFonts w:ascii="Verdana" w:eastAsia="Calibri" w:hAnsi="Verdana" w:cs="Arial"/>
                <w:b/>
                <w:bCs/>
                <w:color w:val="7030A0"/>
                <w:lang w:val="es-ES_tradnl" w:eastAsia="es-ES_tradnl"/>
              </w:rPr>
            </w:pPr>
          </w:p>
        </w:tc>
        <w:tc>
          <w:tcPr>
            <w:tcW w:w="6481" w:type="dxa"/>
          </w:tcPr>
          <w:p w14:paraId="185F0172" w14:textId="0F476010" w:rsidR="00346067" w:rsidRDefault="00346067" w:rsidP="00821185">
            <w:pPr>
              <w:jc w:val="both"/>
              <w:rPr>
                <w:rFonts w:ascii="Verdana" w:eastAsia="Calibri" w:hAnsi="Verdana" w:cs="Arial"/>
                <w:b/>
                <w:bCs/>
                <w:lang w:val="es-ES" w:eastAsia="es-ES"/>
              </w:rPr>
            </w:pPr>
            <w:r w:rsidRPr="00E5644F">
              <w:rPr>
                <w:rFonts w:ascii="Verdana" w:eastAsia="Calibri" w:hAnsi="Verdana" w:cs="Arial"/>
                <w:b/>
                <w:bCs/>
                <w:lang w:val="es-ES" w:eastAsia="es-ES"/>
              </w:rPr>
              <w:t xml:space="preserve">Concepto C- </w:t>
            </w:r>
            <w:r w:rsidR="00D570EC">
              <w:rPr>
                <w:rFonts w:ascii="Verdana" w:eastAsia="Calibri" w:hAnsi="Verdana" w:cs="Arial"/>
                <w:b/>
                <w:bCs/>
                <w:lang w:val="es-ES" w:eastAsia="es-ES"/>
              </w:rPr>
              <w:t>837 de 2026</w:t>
            </w:r>
          </w:p>
          <w:p w14:paraId="0FC72D50" w14:textId="77777777" w:rsidR="00346067" w:rsidRPr="00E5644F" w:rsidRDefault="00346067" w:rsidP="00821185">
            <w:pPr>
              <w:jc w:val="both"/>
              <w:rPr>
                <w:rFonts w:ascii="Verdana" w:eastAsia="Calibri" w:hAnsi="Verdana" w:cs="Arial"/>
                <w:b/>
                <w:bCs/>
                <w:color w:val="7030A0"/>
                <w:lang w:val="es-ES" w:eastAsia="es-ES"/>
              </w:rPr>
            </w:pPr>
          </w:p>
        </w:tc>
      </w:tr>
      <w:tr w:rsidR="00346067" w:rsidRPr="00280D79" w14:paraId="5D1158F8" w14:textId="77777777" w:rsidTr="0D22A0AB">
        <w:trPr>
          <w:trHeight w:val="1583"/>
        </w:trPr>
        <w:tc>
          <w:tcPr>
            <w:tcW w:w="2295" w:type="dxa"/>
          </w:tcPr>
          <w:p w14:paraId="1E819411" w14:textId="77777777" w:rsidR="00346067" w:rsidRPr="00593A5F" w:rsidRDefault="00346067" w:rsidP="00821185">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481" w:type="dxa"/>
          </w:tcPr>
          <w:p w14:paraId="6C1A1D20" w14:textId="662639FE" w:rsidR="00346067" w:rsidRDefault="00346067" w:rsidP="00821185">
            <w:pPr>
              <w:jc w:val="both"/>
              <w:rPr>
                <w:rFonts w:ascii="Verdana" w:eastAsia="Calibri" w:hAnsi="Verdana" w:cs="Arial"/>
                <w:lang w:val="es-ES"/>
              </w:rPr>
            </w:pPr>
            <w:r w:rsidRPr="007C11D3">
              <w:rPr>
                <w:rFonts w:ascii="Verdana" w:eastAsia="Calibri" w:hAnsi="Verdana" w:cs="Arial"/>
                <w:lang w:val="es-ES" w:eastAsia="es-ES"/>
              </w:rPr>
              <w:t xml:space="preserve">LEY DE GARANTÍAS ELECTORALES ‒ Tipos de restricciones ‒ Ámbito temporal / </w:t>
            </w:r>
            <w:r w:rsidR="009C6955">
              <w:rPr>
                <w:rFonts w:ascii="Verdana" w:eastAsia="Calibri" w:hAnsi="Verdana" w:cs="Arial"/>
                <w:lang w:val="es-ES" w:eastAsia="es-ES"/>
              </w:rPr>
              <w:t>INSTITUCIONES EDUCATIVAS – Fondos de servicios educativos</w:t>
            </w:r>
            <w:r w:rsidR="006920D1">
              <w:rPr>
                <w:rFonts w:ascii="Verdana" w:eastAsia="Calibri" w:hAnsi="Verdana" w:cs="Arial"/>
                <w:lang w:val="es-ES" w:eastAsia="es-ES"/>
              </w:rPr>
              <w:t xml:space="preserve"> / DESTINATARIOS – Artículo 33 Ley 996 de 2005 – Ley de Garantías </w:t>
            </w:r>
            <w:r w:rsidR="002F6B3C">
              <w:rPr>
                <w:rFonts w:ascii="Verdana" w:eastAsia="Calibri" w:hAnsi="Verdana" w:cs="Arial"/>
                <w:lang w:val="es-ES" w:eastAsia="es-ES"/>
              </w:rPr>
              <w:t xml:space="preserve">/ DESTINATARIOS – Artículo 38 Ley 996 de 2005 </w:t>
            </w:r>
            <w:r w:rsidR="00B95391">
              <w:rPr>
                <w:rFonts w:ascii="Verdana" w:eastAsia="Calibri" w:hAnsi="Verdana" w:cs="Arial"/>
                <w:lang w:val="es-ES" w:eastAsia="es-ES"/>
              </w:rPr>
              <w:t xml:space="preserve">/ INSTITUCIONES EDUCATIVAS OFICIALES – Ley de Garantías Electorales – Restricciones </w:t>
            </w:r>
          </w:p>
          <w:p w14:paraId="40DC435F" w14:textId="77777777" w:rsidR="00346067" w:rsidRPr="00280D79" w:rsidRDefault="00346067" w:rsidP="00821185">
            <w:pPr>
              <w:jc w:val="both"/>
              <w:rPr>
                <w:rFonts w:ascii="Verdana" w:eastAsia="Calibri" w:hAnsi="Verdana" w:cs="Arial"/>
                <w:b/>
                <w:highlight w:val="yellow"/>
                <w:lang w:val="es-ES" w:eastAsia="es-ES"/>
              </w:rPr>
            </w:pPr>
          </w:p>
        </w:tc>
      </w:tr>
      <w:tr w:rsidR="00346067" w:rsidRPr="00593A5F" w14:paraId="1D0B7748" w14:textId="77777777" w:rsidTr="0D22A0AB">
        <w:trPr>
          <w:trHeight w:val="545"/>
        </w:trPr>
        <w:tc>
          <w:tcPr>
            <w:tcW w:w="2295" w:type="dxa"/>
          </w:tcPr>
          <w:p w14:paraId="7D8F0A8A" w14:textId="77777777" w:rsidR="00346067" w:rsidRPr="006730E9" w:rsidRDefault="00346067" w:rsidP="00821185">
            <w:pPr>
              <w:jc w:val="both"/>
              <w:rPr>
                <w:rFonts w:ascii="Verdana" w:eastAsia="Calibri" w:hAnsi="Verdana" w:cs="Arial"/>
                <w:b/>
                <w:lang w:val="es-ES_tradnl" w:eastAsia="es-ES_tradnl"/>
              </w:rPr>
            </w:pPr>
            <w:r w:rsidRPr="006730E9">
              <w:rPr>
                <w:rFonts w:ascii="Verdana" w:eastAsia="Calibri" w:hAnsi="Verdana" w:cs="Arial"/>
                <w:b/>
                <w:lang w:val="es-ES_tradnl" w:eastAsia="es-ES_tradnl"/>
              </w:rPr>
              <w:t>Radicación:</w:t>
            </w:r>
            <w:r w:rsidRPr="006730E9">
              <w:rPr>
                <w:rFonts w:ascii="Verdana" w:eastAsia="Calibri" w:hAnsi="Verdana" w:cs="Arial"/>
                <w:lang w:val="es-ES_tradnl" w:eastAsia="es-ES_tradnl"/>
              </w:rPr>
              <w:t xml:space="preserve">               </w:t>
            </w:r>
          </w:p>
        </w:tc>
        <w:tc>
          <w:tcPr>
            <w:tcW w:w="6481" w:type="dxa"/>
          </w:tcPr>
          <w:p w14:paraId="283632A2" w14:textId="3F221994" w:rsidR="006D45E3" w:rsidRPr="007121A5" w:rsidRDefault="00346067" w:rsidP="0D22A0AB">
            <w:pPr>
              <w:jc w:val="both"/>
              <w:rPr>
                <w:rFonts w:ascii="Verdana" w:eastAsia="Calibri" w:hAnsi="Verdana" w:cs="Arial"/>
                <w:lang w:val="es-ES" w:eastAsia="es-ES"/>
              </w:rPr>
            </w:pPr>
            <w:r w:rsidRPr="0D22A0AB">
              <w:rPr>
                <w:rFonts w:ascii="Verdana" w:eastAsia="Calibri" w:hAnsi="Verdana" w:cs="Arial"/>
                <w:lang w:val="es-ES" w:eastAsia="es-ES"/>
              </w:rPr>
              <w:t>Respuesta a consulta</w:t>
            </w:r>
            <w:r w:rsidR="006D45E3" w:rsidRPr="0D22A0AB">
              <w:rPr>
                <w:rFonts w:ascii="Verdana" w:eastAsia="Calibri" w:hAnsi="Verdana" w:cs="Arial"/>
                <w:lang w:val="es-ES" w:eastAsia="es-ES"/>
              </w:rPr>
              <w:t>s acumuladas</w:t>
            </w:r>
            <w:r w:rsidRPr="0D22A0AB">
              <w:rPr>
                <w:rFonts w:ascii="Verdana" w:eastAsia="Calibri" w:hAnsi="Verdana" w:cs="Arial"/>
                <w:lang w:val="es-ES" w:eastAsia="es-ES"/>
              </w:rPr>
              <w:t xml:space="preserve"> con radicado</w:t>
            </w:r>
            <w:r w:rsidR="00C94E70" w:rsidRPr="0D22A0AB">
              <w:rPr>
                <w:rFonts w:ascii="Verdana" w:eastAsia="Calibri" w:hAnsi="Verdana" w:cs="Arial"/>
                <w:lang w:val="es-ES" w:eastAsia="es-ES"/>
              </w:rPr>
              <w:t>s</w:t>
            </w:r>
            <w:r w:rsidRPr="0D22A0AB">
              <w:rPr>
                <w:rFonts w:ascii="Verdana" w:eastAsia="Calibri" w:hAnsi="Verdana" w:cs="Arial"/>
                <w:lang w:val="es-ES" w:eastAsia="es-ES"/>
              </w:rPr>
              <w:t xml:space="preserve"> N</w:t>
            </w:r>
            <w:r w:rsidR="00C94E70" w:rsidRPr="0D22A0AB">
              <w:rPr>
                <w:rFonts w:ascii="Verdana" w:eastAsia="Calibri" w:hAnsi="Verdana" w:cs="Arial"/>
                <w:lang w:val="es-ES" w:eastAsia="es-ES"/>
              </w:rPr>
              <w:t>r</w:t>
            </w:r>
            <w:r w:rsidRPr="0D22A0AB">
              <w:rPr>
                <w:rFonts w:ascii="Verdana" w:eastAsia="Calibri" w:hAnsi="Verdana" w:cs="Arial"/>
                <w:lang w:val="es-ES" w:eastAsia="es-ES"/>
              </w:rPr>
              <w:t>o</w:t>
            </w:r>
            <w:r w:rsidR="00C94E70" w:rsidRPr="0D22A0AB">
              <w:rPr>
                <w:rFonts w:ascii="Verdana" w:eastAsia="Calibri" w:hAnsi="Verdana" w:cs="Arial"/>
                <w:lang w:val="es-ES" w:eastAsia="es-ES"/>
              </w:rPr>
              <w:t>s</w:t>
            </w:r>
            <w:r w:rsidRPr="0D22A0AB">
              <w:rPr>
                <w:rFonts w:ascii="Verdana" w:eastAsia="Calibri" w:hAnsi="Verdana" w:cs="Arial"/>
                <w:lang w:val="es-ES" w:eastAsia="es-ES"/>
              </w:rPr>
              <w:t>.</w:t>
            </w:r>
            <w:r w:rsidR="006D45E3" w:rsidRPr="0D22A0AB">
              <w:rPr>
                <w:rFonts w:ascii="Verdana" w:eastAsia="Calibri" w:hAnsi="Verdana" w:cs="Arial"/>
                <w:lang w:val="es-ES" w:eastAsia="es-ES"/>
              </w:rPr>
              <w:t xml:space="preserve"> </w:t>
            </w:r>
          </w:p>
          <w:p w14:paraId="12876FD9" w14:textId="509FAD21" w:rsidR="00C94E70" w:rsidRPr="00C94E70" w:rsidRDefault="006D45E3" w:rsidP="00C94E70">
            <w:pPr>
              <w:jc w:val="both"/>
              <w:rPr>
                <w:rFonts w:ascii="Verdana" w:hAnsi="Verdana" w:cs="Calibri"/>
              </w:rPr>
            </w:pPr>
            <w:r>
              <w:rPr>
                <w:rFonts w:ascii="Verdana" w:hAnsi="Verdana" w:cs="Calibri"/>
              </w:rPr>
              <w:t xml:space="preserve">1_2026_05_20_006795 - </w:t>
            </w:r>
            <w:r w:rsidR="00C94E70">
              <w:rPr>
                <w:rFonts w:ascii="Verdana" w:hAnsi="Verdana" w:cs="Calibri"/>
                <w:color w:val="242424"/>
              </w:rPr>
              <w:t>1_2026_05_20_006807</w:t>
            </w:r>
          </w:p>
          <w:p w14:paraId="73138CA0" w14:textId="57865413" w:rsidR="006D45E3" w:rsidRDefault="006D45E3" w:rsidP="006D45E3">
            <w:pPr>
              <w:jc w:val="both"/>
              <w:rPr>
                <w:rFonts w:ascii="Verdana" w:hAnsi="Verdana" w:cs="Calibri"/>
              </w:rPr>
            </w:pPr>
          </w:p>
          <w:p w14:paraId="73945846" w14:textId="7333E071" w:rsidR="00346067" w:rsidRPr="006730E9" w:rsidRDefault="00346067" w:rsidP="00821185">
            <w:pPr>
              <w:jc w:val="both"/>
              <w:rPr>
                <w:rFonts w:ascii="Verdana" w:eastAsia="Calibri" w:hAnsi="Verdana" w:cs="Arial"/>
                <w:lang w:val="es-ES_tradnl" w:eastAsia="es-ES_tradnl"/>
              </w:rPr>
            </w:pPr>
            <w:r w:rsidRPr="007121A5">
              <w:rPr>
                <w:rFonts w:ascii="Verdana" w:eastAsia="Calibri" w:hAnsi="Verdana" w:cs="Arial"/>
                <w:lang w:val="es-ES_tradnl" w:eastAsia="es-ES_tradnl"/>
              </w:rPr>
              <w:t xml:space="preserve"> </w:t>
            </w:r>
          </w:p>
        </w:tc>
      </w:tr>
    </w:tbl>
    <w:p w14:paraId="25CF2662" w14:textId="77777777" w:rsidR="00C94E70" w:rsidRDefault="00C94E70" w:rsidP="00346067">
      <w:pPr>
        <w:spacing w:after="0" w:line="276" w:lineRule="auto"/>
        <w:jc w:val="both"/>
        <w:rPr>
          <w:rFonts w:ascii="Verdana" w:eastAsia="Calibri" w:hAnsi="Verdana" w:cs="Arial"/>
          <w:lang w:val="es-ES" w:eastAsia="es-ES"/>
        </w:rPr>
      </w:pPr>
      <w:r>
        <w:rPr>
          <w:rFonts w:ascii="Verdana" w:eastAsia="Calibri" w:hAnsi="Verdana" w:cs="Arial"/>
          <w:lang w:val="es-ES" w:eastAsia="es-ES"/>
        </w:rPr>
        <w:t xml:space="preserve">  </w:t>
      </w:r>
    </w:p>
    <w:p w14:paraId="7FC062E8" w14:textId="77777777" w:rsidR="00C94E70" w:rsidRDefault="00C94E70" w:rsidP="00346067">
      <w:pPr>
        <w:spacing w:after="0" w:line="276" w:lineRule="auto"/>
        <w:jc w:val="both"/>
        <w:rPr>
          <w:rFonts w:ascii="Verdana" w:eastAsia="Calibri" w:hAnsi="Verdana" w:cs="Arial"/>
          <w:lang w:val="es-ES" w:eastAsia="es-ES"/>
        </w:rPr>
      </w:pPr>
    </w:p>
    <w:p w14:paraId="7484385C" w14:textId="5E71963F" w:rsidR="003D0D52" w:rsidRPr="006730E9" w:rsidRDefault="00346067" w:rsidP="00346067">
      <w:pPr>
        <w:spacing w:after="0" w:line="276" w:lineRule="auto"/>
        <w:jc w:val="both"/>
        <w:rPr>
          <w:rFonts w:ascii="Verdana" w:eastAsia="Calibri" w:hAnsi="Verdana" w:cs="Arial"/>
          <w:lang w:val="es-ES" w:eastAsia="es-ES"/>
        </w:rPr>
      </w:pPr>
      <w:r w:rsidRPr="006730E9">
        <w:rPr>
          <w:rFonts w:ascii="Verdana" w:eastAsia="Calibri" w:hAnsi="Verdana" w:cs="Arial"/>
          <w:lang w:val="es-ES" w:eastAsia="es-ES"/>
        </w:rPr>
        <w:t>Estimad</w:t>
      </w:r>
      <w:r w:rsidR="00C94E70">
        <w:rPr>
          <w:rFonts w:ascii="Verdana" w:eastAsia="Calibri" w:hAnsi="Verdana" w:cs="Arial"/>
          <w:lang w:val="es-ES" w:eastAsia="es-ES"/>
        </w:rPr>
        <w:t>a</w:t>
      </w:r>
      <w:r>
        <w:rPr>
          <w:rFonts w:ascii="Verdana" w:eastAsia="Calibri" w:hAnsi="Verdana" w:cs="Arial"/>
          <w:lang w:val="es-ES" w:eastAsia="es-ES"/>
        </w:rPr>
        <w:t xml:space="preserve"> </w:t>
      </w:r>
      <w:r w:rsidRPr="006730E9">
        <w:rPr>
          <w:rFonts w:ascii="Verdana" w:eastAsia="Calibri" w:hAnsi="Verdana" w:cs="Arial"/>
          <w:lang w:val="es-ES" w:eastAsia="es-ES"/>
        </w:rPr>
        <w:t>señor</w:t>
      </w:r>
      <w:r w:rsidR="003D0D52">
        <w:rPr>
          <w:rFonts w:ascii="Verdana" w:eastAsia="Calibri" w:hAnsi="Verdana" w:cs="Arial"/>
          <w:lang w:val="es-ES" w:eastAsia="es-ES"/>
        </w:rPr>
        <w:t xml:space="preserve">a Escobar Morales: </w:t>
      </w:r>
    </w:p>
    <w:p w14:paraId="3D625847" w14:textId="77777777" w:rsidR="00346067" w:rsidRDefault="00346067" w:rsidP="00346067">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ab/>
      </w:r>
    </w:p>
    <w:p w14:paraId="00E176CC" w14:textId="5E423EC6" w:rsidR="00346067" w:rsidRPr="006730E9" w:rsidRDefault="00346067" w:rsidP="00346067">
      <w:pPr>
        <w:spacing w:after="0" w:line="276" w:lineRule="auto"/>
        <w:jc w:val="both"/>
        <w:rPr>
          <w:rFonts w:ascii="Verdana" w:eastAsia="Calibri" w:hAnsi="Verdana" w:cs="Arial"/>
          <w:lang w:val="es-ES" w:eastAsia="es-ES"/>
        </w:rPr>
      </w:pPr>
      <w:r w:rsidRPr="006730E9">
        <w:rPr>
          <w:rFonts w:ascii="Verdana" w:eastAsia="Calibri" w:hAnsi="Verdana" w:cs="Arial"/>
          <w:lang w:val="es-ES" w:eastAsia="es-ES"/>
        </w:rPr>
        <w:t>En ejercicio de la competencia otorgada por los artículos 3, numeral 5º, y 11, numeral 8º, del Decreto Ley 4170 de 2011,</w:t>
      </w:r>
      <w:r w:rsidRPr="006730E9">
        <w:rPr>
          <w:rFonts w:ascii="Verdana" w:eastAsia="Arial MT" w:hAnsi="Verdana" w:cs="Arial MT"/>
          <w:lang w:val="es-ES" w:eastAsia="es-ES"/>
        </w:rPr>
        <w:t xml:space="preserve"> </w:t>
      </w:r>
      <w:r w:rsidRPr="006730E9">
        <w:rPr>
          <w:rFonts w:ascii="Verdana" w:hAnsi="Verdana" w:cs="Arial"/>
        </w:rPr>
        <w:t xml:space="preserve">así como lo establecido en el artículo 4 de la Resolución 1707 de 2018 expedida por esta Entidad, </w:t>
      </w:r>
      <w:r w:rsidRPr="006730E9">
        <w:rPr>
          <w:rFonts w:ascii="Verdana" w:eastAsia="Calibri" w:hAnsi="Verdana" w:cs="Arial"/>
          <w:lang w:val="es-ES" w:eastAsia="es-ES"/>
        </w:rPr>
        <w:t>la Agencia Nacional de Contratación Pública –Colombia Compra Eficiente– responde su solicitud</w:t>
      </w:r>
      <w:r>
        <w:rPr>
          <w:rFonts w:ascii="Verdana" w:eastAsia="Calibri" w:hAnsi="Verdana" w:cs="Arial"/>
          <w:lang w:val="es-ES" w:eastAsia="es-ES"/>
        </w:rPr>
        <w:t xml:space="preserve"> radicada en esta entidad </w:t>
      </w:r>
      <w:r w:rsidRPr="00E5644F">
        <w:rPr>
          <w:rFonts w:ascii="Verdana" w:eastAsia="Calibri" w:hAnsi="Verdana" w:cs="Arial"/>
          <w:lang w:val="es-ES" w:eastAsia="es-ES"/>
        </w:rPr>
        <w:t xml:space="preserve">el </w:t>
      </w:r>
      <w:r w:rsidR="003D0D52">
        <w:rPr>
          <w:rFonts w:ascii="Verdana" w:eastAsia="Calibri" w:hAnsi="Verdana" w:cs="Arial"/>
          <w:lang w:val="es-ES" w:eastAsia="es-ES"/>
        </w:rPr>
        <w:t>20</w:t>
      </w:r>
      <w:r>
        <w:rPr>
          <w:rFonts w:ascii="Verdana" w:eastAsia="Calibri" w:hAnsi="Verdana" w:cs="Arial"/>
          <w:lang w:val="es-ES" w:eastAsia="es-ES"/>
        </w:rPr>
        <w:t xml:space="preserve"> </w:t>
      </w:r>
      <w:r w:rsidRPr="00656A22">
        <w:rPr>
          <w:rFonts w:ascii="Verdana" w:eastAsia="Calibri" w:hAnsi="Verdana" w:cs="Arial"/>
          <w:lang w:val="es-ES" w:eastAsia="es-ES"/>
        </w:rPr>
        <w:t xml:space="preserve">de </w:t>
      </w:r>
      <w:r w:rsidR="003D0D52">
        <w:rPr>
          <w:rFonts w:ascii="Verdana" w:eastAsia="Calibri" w:hAnsi="Verdana" w:cs="Arial"/>
          <w:lang w:val="es-ES" w:eastAsia="es-ES"/>
        </w:rPr>
        <w:t>mayo</w:t>
      </w:r>
      <w:r w:rsidRPr="00656A22">
        <w:rPr>
          <w:rFonts w:ascii="Verdana" w:eastAsia="Calibri" w:hAnsi="Verdana" w:cs="Arial"/>
          <w:lang w:val="es-ES" w:eastAsia="es-ES"/>
        </w:rPr>
        <w:t xml:space="preserve"> de 202</w:t>
      </w:r>
      <w:r w:rsidR="003D0D52">
        <w:rPr>
          <w:rFonts w:ascii="Verdana" w:eastAsia="Calibri" w:hAnsi="Verdana" w:cs="Arial"/>
          <w:lang w:val="es-ES" w:eastAsia="es-ES"/>
        </w:rPr>
        <w:t>6</w:t>
      </w:r>
      <w:r w:rsidRPr="00656A22">
        <w:rPr>
          <w:rFonts w:ascii="Verdana" w:eastAsia="Calibri" w:hAnsi="Verdana" w:cs="Arial"/>
          <w:lang w:val="es-ES" w:eastAsia="es-ES"/>
        </w:rPr>
        <w:t>,</w:t>
      </w:r>
      <w:r w:rsidRPr="00E5644F">
        <w:rPr>
          <w:rFonts w:ascii="Verdana" w:eastAsia="Calibri" w:hAnsi="Verdana" w:cs="Arial"/>
          <w:lang w:val="es-ES" w:eastAsia="es-ES"/>
        </w:rPr>
        <w:t xml:space="preserve"> en</w:t>
      </w:r>
      <w:r w:rsidRPr="006730E9">
        <w:rPr>
          <w:rFonts w:ascii="Verdana" w:eastAsia="Calibri" w:hAnsi="Verdana" w:cs="Arial"/>
          <w:lang w:val="es-ES" w:eastAsia="es-ES"/>
        </w:rPr>
        <w:t xml:space="preserve"> la cual manifiesta lo siguiente: </w:t>
      </w:r>
    </w:p>
    <w:p w14:paraId="6497278E" w14:textId="77777777" w:rsidR="00346067" w:rsidRPr="00326382" w:rsidRDefault="00346067" w:rsidP="00346067">
      <w:pPr>
        <w:spacing w:after="0" w:line="276" w:lineRule="auto"/>
        <w:ind w:left="709" w:right="474"/>
        <w:jc w:val="both"/>
        <w:rPr>
          <w:rFonts w:ascii="Verdana" w:hAnsi="Verdana" w:cs="Arial"/>
          <w:sz w:val="20"/>
          <w:szCs w:val="20"/>
          <w:shd w:val="clear" w:color="auto" w:fill="FFFFFF"/>
        </w:rPr>
      </w:pPr>
      <w:bookmarkStart w:id="1" w:name="_Hlk95313578"/>
    </w:p>
    <w:bookmarkEnd w:id="1"/>
    <w:p w14:paraId="15D55C50" w14:textId="6185B46D" w:rsidR="00D13176" w:rsidRPr="00C33A16" w:rsidRDefault="00346067"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sidRPr="000E4F6E">
        <w:rPr>
          <w:rFonts w:ascii="Verdana" w:eastAsia="Century Gothic" w:hAnsi="Verdana" w:cs="Century Gothic"/>
          <w:i/>
          <w:iCs/>
          <w:sz w:val="21"/>
          <w:szCs w:val="21"/>
        </w:rPr>
        <w:t xml:space="preserve">   </w:t>
      </w:r>
      <w:r w:rsidRPr="00C33A16">
        <w:rPr>
          <w:rFonts w:ascii="Verdana" w:eastAsia="Century Gothic" w:hAnsi="Verdana" w:cs="Century Gothic"/>
          <w:i/>
          <w:iCs/>
          <w:sz w:val="21"/>
          <w:szCs w:val="21"/>
        </w:rPr>
        <w:t>“</w:t>
      </w:r>
      <w:r w:rsidR="000E4F6E" w:rsidRPr="00C33A16">
        <w:rPr>
          <w:rFonts w:ascii="Verdana" w:eastAsia="Century Gothic" w:hAnsi="Verdana" w:cs="Century Gothic"/>
          <w:i/>
          <w:iCs/>
          <w:sz w:val="21"/>
          <w:szCs w:val="21"/>
        </w:rPr>
        <w:t>[…]</w:t>
      </w:r>
    </w:p>
    <w:p w14:paraId="07EE84F0" w14:textId="77777777" w:rsidR="00C33A16" w:rsidRPr="00C33A16" w:rsidRDefault="00C33A1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p>
    <w:p w14:paraId="242B95FD" w14:textId="0B333950" w:rsidR="00346067" w:rsidRDefault="00D1317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sidRPr="00C33A16">
        <w:rPr>
          <w:rFonts w:ascii="Verdana" w:eastAsia="Century Gothic" w:hAnsi="Verdana" w:cs="Century Gothic"/>
          <w:i/>
          <w:iCs/>
          <w:sz w:val="21"/>
          <w:szCs w:val="21"/>
        </w:rPr>
        <w:t xml:space="preserve">PRONUNCIARSE sobre </w:t>
      </w:r>
      <w:r w:rsidR="00C33A16">
        <w:rPr>
          <w:rFonts w:ascii="Verdana" w:eastAsia="Century Gothic" w:hAnsi="Verdana" w:cs="Century Gothic"/>
          <w:i/>
          <w:iCs/>
          <w:sz w:val="21"/>
          <w:szCs w:val="21"/>
        </w:rPr>
        <w:t>si las interpretaciones institucionales que instruyen la abstención total de contratar con recursos FSE durante el periodo de la Ley de Garantías son conformes con el ordenamiento</w:t>
      </w:r>
      <w:r w:rsidR="00E87103">
        <w:rPr>
          <w:rFonts w:ascii="Verdana" w:eastAsia="Century Gothic" w:hAnsi="Verdana" w:cs="Century Gothic"/>
          <w:i/>
          <w:iCs/>
          <w:sz w:val="21"/>
          <w:szCs w:val="21"/>
        </w:rPr>
        <w:t xml:space="preserve"> jurídico</w:t>
      </w:r>
      <w:r w:rsidR="00F37523">
        <w:rPr>
          <w:rFonts w:ascii="Verdana" w:eastAsia="Century Gothic" w:hAnsi="Verdana" w:cs="Century Gothic"/>
          <w:i/>
          <w:iCs/>
          <w:sz w:val="21"/>
          <w:szCs w:val="21"/>
        </w:rPr>
        <w:t>, en particular con el artículo 33 de la Ley 996</w:t>
      </w:r>
      <w:r w:rsidR="009A23D1">
        <w:rPr>
          <w:rFonts w:ascii="Verdana" w:eastAsia="Century Gothic" w:hAnsi="Verdana" w:cs="Century Gothic"/>
          <w:i/>
          <w:iCs/>
          <w:sz w:val="21"/>
          <w:szCs w:val="21"/>
        </w:rPr>
        <w:t xml:space="preserve"> de 2005</w:t>
      </w:r>
      <w:r w:rsidR="00B30D4C">
        <w:rPr>
          <w:rFonts w:ascii="Verdana" w:eastAsia="Century Gothic" w:hAnsi="Verdana" w:cs="Century Gothic"/>
          <w:i/>
          <w:iCs/>
          <w:sz w:val="21"/>
          <w:szCs w:val="21"/>
        </w:rPr>
        <w:t xml:space="preserve"> en concordancia con el artículo 13 de la Ley 715 de 2001 y el artículo 2.3.1.6.</w:t>
      </w:r>
      <w:r w:rsidR="002360DE">
        <w:rPr>
          <w:rFonts w:ascii="Verdana" w:eastAsia="Century Gothic" w:hAnsi="Verdana" w:cs="Century Gothic"/>
          <w:i/>
          <w:iCs/>
          <w:sz w:val="21"/>
          <w:szCs w:val="21"/>
        </w:rPr>
        <w:t xml:space="preserve">3.17 del Decreto 1075 de 2015. </w:t>
      </w:r>
    </w:p>
    <w:p w14:paraId="401615D9" w14:textId="6DA63004" w:rsidR="002360DE" w:rsidRDefault="002360DE"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2. ORIENTAR </w:t>
      </w:r>
      <w:r w:rsidR="004C2A2D">
        <w:rPr>
          <w:rFonts w:ascii="Verdana" w:eastAsia="Century Gothic" w:hAnsi="Verdana" w:cs="Century Gothic"/>
          <w:i/>
          <w:iCs/>
          <w:sz w:val="21"/>
          <w:szCs w:val="21"/>
        </w:rPr>
        <w:t>de manera preventiva sobre los limites de la función asesora de las Secretarías de Educaci</w:t>
      </w:r>
      <w:r w:rsidR="00B44D60">
        <w:rPr>
          <w:rFonts w:ascii="Verdana" w:eastAsia="Century Gothic" w:hAnsi="Verdana" w:cs="Century Gothic"/>
          <w:i/>
          <w:iCs/>
          <w:sz w:val="21"/>
          <w:szCs w:val="21"/>
        </w:rPr>
        <w:t>ón en materia contractual (Art. 2.3.1.6.3.18 Decreto 1075</w:t>
      </w:r>
      <w:r w:rsidR="00556AB2">
        <w:rPr>
          <w:rFonts w:ascii="Verdana" w:eastAsia="Century Gothic" w:hAnsi="Verdana" w:cs="Century Gothic"/>
          <w:i/>
          <w:iCs/>
          <w:sz w:val="21"/>
          <w:szCs w:val="21"/>
        </w:rPr>
        <w:t>/2015), con el propósito de que sus conceptos establezcan</w:t>
      </w:r>
      <w:r w:rsidR="002F0B73">
        <w:rPr>
          <w:rFonts w:ascii="Verdana" w:eastAsia="Century Gothic" w:hAnsi="Verdana" w:cs="Century Gothic"/>
          <w:i/>
          <w:iCs/>
          <w:sz w:val="21"/>
          <w:szCs w:val="21"/>
        </w:rPr>
        <w:t xml:space="preserve"> con </w:t>
      </w:r>
      <w:r w:rsidR="00000786">
        <w:rPr>
          <w:rFonts w:ascii="Verdana" w:eastAsia="Century Gothic" w:hAnsi="Verdana" w:cs="Century Gothic"/>
          <w:i/>
          <w:iCs/>
          <w:sz w:val="21"/>
          <w:szCs w:val="21"/>
        </w:rPr>
        <w:t xml:space="preserve">precisión la distinción legal entre: (a) procesos FSE con pluralidad de oferentes </w:t>
      </w:r>
      <w:r w:rsidR="00533354">
        <w:rPr>
          <w:rFonts w:ascii="Verdana" w:eastAsia="Century Gothic" w:hAnsi="Verdana" w:cs="Century Gothic"/>
          <w:i/>
          <w:iCs/>
          <w:sz w:val="21"/>
          <w:szCs w:val="21"/>
        </w:rPr>
        <w:t>–</w:t>
      </w:r>
      <w:r w:rsidR="00000786">
        <w:rPr>
          <w:rFonts w:ascii="Verdana" w:eastAsia="Century Gothic" w:hAnsi="Verdana" w:cs="Century Gothic"/>
          <w:i/>
          <w:iCs/>
          <w:sz w:val="21"/>
          <w:szCs w:val="21"/>
        </w:rPr>
        <w:t xml:space="preserve"> PERMITIDOS</w:t>
      </w:r>
      <w:r w:rsidR="00533354">
        <w:rPr>
          <w:rFonts w:ascii="Verdana" w:eastAsia="Century Gothic" w:hAnsi="Verdana" w:cs="Century Gothic"/>
          <w:i/>
          <w:iCs/>
          <w:sz w:val="21"/>
          <w:szCs w:val="21"/>
        </w:rPr>
        <w:t xml:space="preserve">; (b) excepción de emergencia educativa – APLICABLE previo sustento técnico del rector; </w:t>
      </w:r>
      <w:r w:rsidR="00CA5353">
        <w:rPr>
          <w:rFonts w:ascii="Verdana" w:eastAsia="Century Gothic" w:hAnsi="Verdana" w:cs="Century Gothic"/>
          <w:i/>
          <w:iCs/>
          <w:sz w:val="21"/>
          <w:szCs w:val="21"/>
        </w:rPr>
        <w:t xml:space="preserve">y (c) contratación directa sin pluralidad – PROHIBIDA. </w:t>
      </w:r>
    </w:p>
    <w:p w14:paraId="09FAE356" w14:textId="6FB1E316" w:rsidR="00CA5353" w:rsidRDefault="005D6445"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3. EMITIR directriz preventiva </w:t>
      </w:r>
      <w:r w:rsidR="00EA0179">
        <w:rPr>
          <w:rFonts w:ascii="Verdana" w:eastAsia="Century Gothic" w:hAnsi="Verdana" w:cs="Century Gothic"/>
          <w:i/>
          <w:iCs/>
          <w:sz w:val="21"/>
          <w:szCs w:val="21"/>
        </w:rPr>
        <w:t>de alcance nacional para todos los actores del sector educativo público sobre el correcto</w:t>
      </w:r>
      <w:r w:rsidR="003C4AD7">
        <w:rPr>
          <w:rFonts w:ascii="Verdana" w:eastAsia="Century Gothic" w:hAnsi="Verdana" w:cs="Century Gothic"/>
          <w:i/>
          <w:iCs/>
          <w:sz w:val="21"/>
          <w:szCs w:val="21"/>
        </w:rPr>
        <w:t xml:space="preserve"> </w:t>
      </w:r>
      <w:r w:rsidR="00AE1AF9">
        <w:rPr>
          <w:rFonts w:ascii="Verdana" w:eastAsia="Century Gothic" w:hAnsi="Verdana" w:cs="Century Gothic"/>
          <w:i/>
          <w:iCs/>
          <w:sz w:val="21"/>
          <w:szCs w:val="21"/>
        </w:rPr>
        <w:t>entendimiento</w:t>
      </w:r>
      <w:r w:rsidR="00272793">
        <w:rPr>
          <w:rFonts w:ascii="Verdana" w:eastAsia="Century Gothic" w:hAnsi="Verdana" w:cs="Century Gothic"/>
          <w:i/>
          <w:iCs/>
          <w:sz w:val="21"/>
          <w:szCs w:val="21"/>
        </w:rPr>
        <w:t xml:space="preserve"> de la restricción contractual en periodo de Ley de Garantías, precisando que la pro</w:t>
      </w:r>
      <w:r w:rsidR="00971057">
        <w:rPr>
          <w:rFonts w:ascii="Verdana" w:eastAsia="Century Gothic" w:hAnsi="Verdana" w:cs="Century Gothic"/>
          <w:i/>
          <w:iCs/>
          <w:sz w:val="21"/>
          <w:szCs w:val="21"/>
        </w:rPr>
        <w:t>hi</w:t>
      </w:r>
      <w:r w:rsidR="00272793">
        <w:rPr>
          <w:rFonts w:ascii="Verdana" w:eastAsia="Century Gothic" w:hAnsi="Verdana" w:cs="Century Gothic"/>
          <w:i/>
          <w:iCs/>
          <w:sz w:val="21"/>
          <w:szCs w:val="21"/>
        </w:rPr>
        <w:t>bició</w:t>
      </w:r>
      <w:r w:rsidR="00971057">
        <w:rPr>
          <w:rFonts w:ascii="Verdana" w:eastAsia="Century Gothic" w:hAnsi="Verdana" w:cs="Century Gothic"/>
          <w:i/>
          <w:iCs/>
          <w:sz w:val="21"/>
          <w:szCs w:val="21"/>
        </w:rPr>
        <w:t xml:space="preserve">n del artículo 33 de la Ley 996 de 2005 recae sobre la </w:t>
      </w:r>
      <w:r w:rsidR="009C0CA6">
        <w:rPr>
          <w:rFonts w:ascii="Verdana" w:eastAsia="Century Gothic" w:hAnsi="Verdana" w:cs="Century Gothic"/>
          <w:i/>
          <w:iCs/>
          <w:sz w:val="21"/>
          <w:szCs w:val="21"/>
        </w:rPr>
        <w:t xml:space="preserve">contratación directa en sentido jurídico y no sobre toda forma de contratación FSE. </w:t>
      </w:r>
    </w:p>
    <w:p w14:paraId="4002E17B" w14:textId="571D10DA" w:rsidR="009C0CA6" w:rsidRDefault="009C0CA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4. ORIENTAR </w:t>
      </w:r>
      <w:r w:rsidR="00D327FE">
        <w:rPr>
          <w:rFonts w:ascii="Verdana" w:eastAsia="Century Gothic" w:hAnsi="Verdana" w:cs="Century Gothic"/>
          <w:i/>
          <w:iCs/>
          <w:sz w:val="21"/>
          <w:szCs w:val="21"/>
        </w:rPr>
        <w:t>preventivamente sobre las consecuencias disciplinarias para los directivos docentes que, siguiendo</w:t>
      </w:r>
      <w:r w:rsidR="00ED4756">
        <w:rPr>
          <w:rFonts w:ascii="Verdana" w:eastAsia="Century Gothic" w:hAnsi="Verdana" w:cs="Century Gothic"/>
          <w:i/>
          <w:iCs/>
          <w:sz w:val="21"/>
          <w:szCs w:val="21"/>
        </w:rPr>
        <w:t xml:space="preserve"> interpretaciones territoriales que exceden el alcance legal, omitan sus obligaciones de reporte al corte del I Trimestre 2026.</w:t>
      </w:r>
    </w:p>
    <w:p w14:paraId="06281542" w14:textId="77777777" w:rsidR="00ED4756" w:rsidRDefault="00ED475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p>
    <w:p w14:paraId="631E5E2D" w14:textId="6F642A9F" w:rsidR="00ED4756" w:rsidRDefault="00ED475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w:t>
      </w:r>
      <w:r w:rsidR="00D46546">
        <w:rPr>
          <w:rFonts w:ascii="Verdana" w:eastAsia="Century Gothic" w:hAnsi="Verdana" w:cs="Century Gothic"/>
          <w:i/>
          <w:iCs/>
          <w:sz w:val="21"/>
          <w:szCs w:val="21"/>
        </w:rPr>
        <w:t xml:space="preserve">…] </w:t>
      </w:r>
    </w:p>
    <w:p w14:paraId="2C12E758" w14:textId="77777777" w:rsidR="00D46546" w:rsidRDefault="00D4654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p>
    <w:p w14:paraId="39B576BC" w14:textId="354D33ED" w:rsidR="00D46546" w:rsidRDefault="00D46546" w:rsidP="00C33A16">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9. Dar respuesta de fondo a la presente petición en el término máximo de DIEZ (10) DÍAS HÁBILES, habida cuenta de la urgencia </w:t>
      </w:r>
      <w:r w:rsidR="008A7482">
        <w:rPr>
          <w:rFonts w:ascii="Verdana" w:eastAsia="Century Gothic" w:hAnsi="Verdana" w:cs="Century Gothic"/>
          <w:i/>
          <w:iCs/>
          <w:sz w:val="21"/>
          <w:szCs w:val="21"/>
        </w:rPr>
        <w:t>acreditada y del impacto directo sobre el servicio público educativo (Art. 14 CPACA</w:t>
      </w:r>
      <w:r w:rsidR="000302FC">
        <w:rPr>
          <w:rFonts w:ascii="Verdana" w:eastAsia="Century Gothic" w:hAnsi="Verdana" w:cs="Century Gothic"/>
          <w:i/>
          <w:iCs/>
          <w:sz w:val="21"/>
          <w:szCs w:val="21"/>
        </w:rPr>
        <w:t xml:space="preserve">, modificado por la Ley 1755/2015; excepción por urgencia </w:t>
      </w:r>
      <w:r w:rsidR="007B3A49">
        <w:rPr>
          <w:rFonts w:ascii="Verdana" w:eastAsia="Century Gothic" w:hAnsi="Verdana" w:cs="Century Gothic"/>
          <w:i/>
          <w:iCs/>
          <w:sz w:val="21"/>
          <w:szCs w:val="21"/>
        </w:rPr>
        <w:t>manifiesta)</w:t>
      </w:r>
    </w:p>
    <w:p w14:paraId="39075294" w14:textId="09C74987" w:rsidR="00C33A16" w:rsidRDefault="007B3A49" w:rsidP="0050455F">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10. Pronunciarse sobre la legalidad de los conceptos institucionales que prohíben </w:t>
      </w:r>
      <w:r w:rsidR="00C72325">
        <w:rPr>
          <w:rFonts w:ascii="Verdana" w:eastAsia="Century Gothic" w:hAnsi="Verdana" w:cs="Century Gothic"/>
          <w:i/>
          <w:iCs/>
          <w:sz w:val="21"/>
          <w:szCs w:val="21"/>
        </w:rPr>
        <w:t>totalmente la contratación FSE durante la Ley de Garantías, sin distinguir</w:t>
      </w:r>
      <w:r w:rsidR="002C0763">
        <w:rPr>
          <w:rFonts w:ascii="Verdana" w:eastAsia="Century Gothic" w:hAnsi="Verdana" w:cs="Century Gothic"/>
          <w:i/>
          <w:iCs/>
          <w:sz w:val="21"/>
          <w:szCs w:val="21"/>
        </w:rPr>
        <w:t xml:space="preserve"> entre modalidades con y sin pluralidad de oferentes</w:t>
      </w:r>
      <w:r w:rsidR="0050455F">
        <w:rPr>
          <w:rFonts w:ascii="Verdana" w:eastAsia="Century Gothic" w:hAnsi="Verdana" w:cs="Century Gothic"/>
          <w:i/>
          <w:iCs/>
          <w:sz w:val="21"/>
          <w:szCs w:val="21"/>
        </w:rPr>
        <w:t xml:space="preserve">. </w:t>
      </w:r>
    </w:p>
    <w:p w14:paraId="1FA2FD29" w14:textId="7606A154" w:rsidR="0050455F" w:rsidRDefault="0050455F" w:rsidP="0050455F">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11. Confirmar o rectificar si la excepción de emergencia educativa del artículo 33 de la Ley 996 de 2005</w:t>
      </w:r>
      <w:r w:rsidR="00CF5C48">
        <w:rPr>
          <w:rFonts w:ascii="Verdana" w:eastAsia="Century Gothic" w:hAnsi="Verdana" w:cs="Century Gothic"/>
          <w:i/>
          <w:iCs/>
          <w:sz w:val="21"/>
          <w:szCs w:val="21"/>
        </w:rPr>
        <w:t xml:space="preserve"> a la contratación del personal de apoyo contable necesario para cumplir las obligaciones de reporte al </w:t>
      </w:r>
      <w:r w:rsidR="006A477A">
        <w:rPr>
          <w:rFonts w:ascii="Verdana" w:eastAsia="Century Gothic" w:hAnsi="Verdana" w:cs="Century Gothic"/>
          <w:i/>
          <w:iCs/>
          <w:sz w:val="21"/>
          <w:szCs w:val="21"/>
        </w:rPr>
        <w:t xml:space="preserve">corte del I Trimestre 2026. </w:t>
      </w:r>
    </w:p>
    <w:p w14:paraId="6E986DDD" w14:textId="2F49E7B1" w:rsidR="006A477A" w:rsidRPr="00C33A16" w:rsidRDefault="006A477A" w:rsidP="0050455F">
      <w:pPr>
        <w:tabs>
          <w:tab w:val="left" w:pos="142"/>
          <w:tab w:val="left" w:pos="567"/>
        </w:tabs>
        <w:spacing w:after="0" w:line="240" w:lineRule="auto"/>
        <w:ind w:left="709" w:right="709"/>
        <w:jc w:val="both"/>
        <w:rPr>
          <w:rFonts w:ascii="Verdana" w:eastAsia="Century Gothic" w:hAnsi="Verdana" w:cs="Century Gothic"/>
          <w:i/>
          <w:iCs/>
          <w:sz w:val="21"/>
          <w:szCs w:val="21"/>
        </w:rPr>
      </w:pPr>
      <w:r>
        <w:rPr>
          <w:rFonts w:ascii="Verdana" w:eastAsia="Century Gothic" w:hAnsi="Verdana" w:cs="Century Gothic"/>
          <w:i/>
          <w:iCs/>
          <w:sz w:val="21"/>
          <w:szCs w:val="21"/>
        </w:rPr>
        <w:t xml:space="preserve">12. Expedir, si lo considera procedente, una DIRECTRIZ PREVENTIVA de alcance nacional dirigida </w:t>
      </w:r>
      <w:r w:rsidR="00B37AF7">
        <w:rPr>
          <w:rFonts w:ascii="Verdana" w:eastAsia="Century Gothic" w:hAnsi="Verdana" w:cs="Century Gothic"/>
          <w:i/>
          <w:iCs/>
          <w:sz w:val="21"/>
          <w:szCs w:val="21"/>
        </w:rPr>
        <w:t xml:space="preserve">a las </w:t>
      </w:r>
      <w:r w:rsidR="002107C3">
        <w:rPr>
          <w:rFonts w:ascii="Verdana" w:eastAsia="Century Gothic" w:hAnsi="Verdana" w:cs="Century Gothic"/>
          <w:i/>
          <w:iCs/>
          <w:sz w:val="21"/>
          <w:szCs w:val="21"/>
        </w:rPr>
        <w:t>S</w:t>
      </w:r>
      <w:r w:rsidR="00B37AF7">
        <w:rPr>
          <w:rFonts w:ascii="Verdana" w:eastAsia="Century Gothic" w:hAnsi="Verdana" w:cs="Century Gothic"/>
          <w:i/>
          <w:iCs/>
          <w:sz w:val="21"/>
          <w:szCs w:val="21"/>
        </w:rPr>
        <w:t>ecretar</w:t>
      </w:r>
      <w:r w:rsidR="002107C3">
        <w:rPr>
          <w:rFonts w:ascii="Verdana" w:eastAsia="Century Gothic" w:hAnsi="Verdana" w:cs="Century Gothic"/>
          <w:i/>
          <w:iCs/>
          <w:sz w:val="21"/>
          <w:szCs w:val="21"/>
        </w:rPr>
        <w:t>í</w:t>
      </w:r>
      <w:r w:rsidR="00B37AF7">
        <w:rPr>
          <w:rFonts w:ascii="Verdana" w:eastAsia="Century Gothic" w:hAnsi="Verdana" w:cs="Century Gothic"/>
          <w:i/>
          <w:iCs/>
          <w:sz w:val="21"/>
          <w:szCs w:val="21"/>
        </w:rPr>
        <w:t>as</w:t>
      </w:r>
      <w:r w:rsidR="00211F8F">
        <w:rPr>
          <w:rFonts w:ascii="Verdana" w:eastAsia="Century Gothic" w:hAnsi="Verdana" w:cs="Century Gothic"/>
          <w:i/>
          <w:iCs/>
          <w:sz w:val="21"/>
          <w:szCs w:val="21"/>
        </w:rPr>
        <w:t xml:space="preserve"> de Educación de las entidades territoriales certificadas, precisando los límites correctos de la </w:t>
      </w:r>
      <w:r w:rsidR="00C16CCF">
        <w:rPr>
          <w:rFonts w:ascii="Verdana" w:eastAsia="Century Gothic" w:hAnsi="Verdana" w:cs="Century Gothic"/>
          <w:i/>
          <w:iCs/>
          <w:sz w:val="21"/>
          <w:szCs w:val="21"/>
        </w:rPr>
        <w:t xml:space="preserve">restricción contractual durante la Ley de Garantías en los FSE” (SIC). </w:t>
      </w:r>
    </w:p>
    <w:p w14:paraId="2C0FC4A4" w14:textId="77777777" w:rsidR="00A14A7F" w:rsidRPr="00346067" w:rsidRDefault="00A14A7F" w:rsidP="00372698">
      <w:pPr>
        <w:spacing w:after="0"/>
        <w:rPr>
          <w:rFonts w:ascii="Verdana" w:eastAsia="Verdana" w:hAnsi="Verdana" w:cs="Verdana"/>
        </w:rPr>
      </w:pPr>
    </w:p>
    <w:p w14:paraId="3E047884" w14:textId="77777777" w:rsidR="006B0180" w:rsidRPr="00AA3B9F" w:rsidRDefault="006B0180" w:rsidP="006B0180">
      <w:pPr>
        <w:spacing w:after="120" w:line="276" w:lineRule="auto"/>
        <w:ind w:firstLine="709"/>
        <w:jc w:val="both"/>
        <w:rPr>
          <w:rFonts w:ascii="Verdana" w:eastAsia="Calibri" w:hAnsi="Verdana" w:cs="Arial"/>
          <w:lang w:val="es-ES_tradnl" w:eastAsia="es-ES_tradnl"/>
        </w:rPr>
      </w:pPr>
      <w:r w:rsidRPr="00AA3B9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lang w:val="es-ES" w:eastAsia="es-ES"/>
        </w:rPr>
        <w:t>la Agencia Nacional de Contratación Pública –</w:t>
      </w:r>
      <w:r w:rsidRPr="00AA3B9F">
        <w:rPr>
          <w:rFonts w:ascii="Verdana" w:eastAsia="Calibri" w:hAnsi="Verdana" w:cs="Arial"/>
          <w:lang w:val="es-ES" w:eastAsia="es-ES"/>
        </w:rPr>
        <w:t xml:space="preserve">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w:t>
      </w:r>
      <w:r>
        <w:rPr>
          <w:rFonts w:ascii="Verdana" w:eastAsia="Calibri" w:hAnsi="Verdana" w:cs="Arial"/>
          <w:lang w:val="es-ES" w:eastAsia="es-ES"/>
        </w:rPr>
        <w:t>E</w:t>
      </w:r>
      <w:r w:rsidRPr="00AA3B9F">
        <w:rPr>
          <w:rFonts w:ascii="Verdana" w:eastAsia="Calibri" w:hAnsi="Verdana" w:cs="Arial"/>
          <w:lang w:val="es-ES" w:eastAsia="es-ES"/>
        </w:rPr>
        <w:t xml:space="preserve">ntidades </w:t>
      </w:r>
      <w:r>
        <w:rPr>
          <w:rFonts w:ascii="Verdana" w:eastAsia="Calibri" w:hAnsi="Verdana" w:cs="Arial"/>
          <w:lang w:val="es-ES" w:eastAsia="es-ES"/>
        </w:rPr>
        <w:t xml:space="preserve">Estatales </w:t>
      </w:r>
      <w:r w:rsidRPr="00AA3B9F">
        <w:rPr>
          <w:rFonts w:ascii="Verdana" w:eastAsia="Calibri" w:hAnsi="Verdana" w:cs="Arial"/>
          <w:lang w:val="es-ES" w:eastAsia="es-ES"/>
        </w:rPr>
        <w:t>o de los demás participantes de la contratación pública. Esta competencia de interpretación de normas generales, por definición, no puede extenderse a la resolución de controversias, ni a brindar asesorías sobre casos puntuales.</w:t>
      </w:r>
    </w:p>
    <w:p w14:paraId="4C903F1D" w14:textId="77777777" w:rsidR="006B0180" w:rsidRDefault="006B0180" w:rsidP="006B0180">
      <w:pPr>
        <w:spacing w:after="120" w:line="276" w:lineRule="auto"/>
        <w:ind w:firstLine="709"/>
        <w:jc w:val="both"/>
      </w:pPr>
      <w:r w:rsidRPr="00AA3B9F">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Pr>
          <w:rFonts w:ascii="Verdana" w:eastAsia="Calibri" w:hAnsi="Verdana" w:cs="Arial"/>
          <w:lang w:val="es-ES" w:eastAsia="es-ES"/>
        </w:rPr>
        <w:t>señala</w:t>
      </w:r>
      <w:r w:rsidRPr="00AA3B9F">
        <w:rPr>
          <w:rFonts w:ascii="Verdana" w:eastAsia="Calibri" w:hAnsi="Verdana" w:cs="Arial"/>
          <w:lang w:val="es-ES" w:eastAsia="es-ES"/>
        </w:rPr>
        <w:t>ndo unas consideraciones sobre las normas generales</w:t>
      </w:r>
      <w:r>
        <w:rPr>
          <w:rFonts w:ascii="Verdana" w:eastAsia="Calibri" w:hAnsi="Verdana" w:cs="Arial"/>
          <w:lang w:val="es-ES" w:eastAsia="es-ES"/>
        </w:rPr>
        <w:t xml:space="preserve"> que rigen el Sistema de Compras y Contratación Pública</w:t>
      </w:r>
      <w:r w:rsidRPr="00AA3B9F">
        <w:rPr>
          <w:rFonts w:ascii="Verdana" w:eastAsia="Calibri" w:hAnsi="Verdana" w:cs="Arial"/>
          <w:lang w:val="es-ES" w:eastAsia="es-ES"/>
        </w:rPr>
        <w:t xml:space="preserve"> relacionadas con los problemas jurídicos de su consulta.</w:t>
      </w:r>
      <w:r w:rsidRPr="00E21BD1">
        <w:t xml:space="preserve"> </w:t>
      </w:r>
    </w:p>
    <w:p w14:paraId="54D214B3" w14:textId="77777777" w:rsidR="006B0180" w:rsidRDefault="006B0180" w:rsidP="006B0180">
      <w:pPr>
        <w:pStyle w:val="Prrafodelista"/>
        <w:tabs>
          <w:tab w:val="left" w:pos="142"/>
          <w:tab w:val="left" w:pos="284"/>
        </w:tabs>
        <w:spacing w:after="0" w:line="240" w:lineRule="auto"/>
        <w:ind w:left="425" w:right="1185"/>
        <w:jc w:val="both"/>
        <w:rPr>
          <w:rFonts w:ascii="Verdana" w:eastAsia="Century Gothic" w:hAnsi="Verdana" w:cs="Century Gothic"/>
          <w:i/>
          <w:iCs/>
          <w:lang w:val="es-CO"/>
        </w:rPr>
      </w:pPr>
    </w:p>
    <w:p w14:paraId="1A70F6B7" w14:textId="4149B8E6" w:rsidR="006B0180" w:rsidRDefault="006B0180" w:rsidP="006B0180">
      <w:pPr>
        <w:pStyle w:val="Prrafodelista"/>
        <w:numPr>
          <w:ilvl w:val="0"/>
          <w:numId w:val="17"/>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 xml:space="preserve"> jurídico </w:t>
      </w:r>
      <w:r w:rsidRPr="00593A5F">
        <w:rPr>
          <w:rFonts w:ascii="Verdana" w:eastAsia="Century Gothic" w:hAnsi="Verdana" w:cs="Century Gothic"/>
          <w:b/>
          <w:bCs/>
        </w:rPr>
        <w:t>planteado:</w:t>
      </w:r>
      <w:r>
        <w:rPr>
          <w:rFonts w:ascii="Verdana" w:eastAsia="Century Gothic" w:hAnsi="Verdana" w:cs="Century Gothic"/>
          <w:b/>
          <w:bCs/>
        </w:rPr>
        <w:t xml:space="preserve"> </w:t>
      </w:r>
    </w:p>
    <w:p w14:paraId="07261DF8" w14:textId="77777777" w:rsidR="005955DD" w:rsidRDefault="005955DD" w:rsidP="005955DD">
      <w:pPr>
        <w:tabs>
          <w:tab w:val="left" w:pos="142"/>
          <w:tab w:val="left" w:pos="284"/>
        </w:tabs>
        <w:spacing w:after="120" w:line="276" w:lineRule="auto"/>
        <w:jc w:val="both"/>
        <w:rPr>
          <w:rFonts w:ascii="Verdana" w:eastAsia="Century Gothic" w:hAnsi="Verdana" w:cs="Century Gothic"/>
          <w:b/>
          <w:bCs/>
        </w:rPr>
      </w:pPr>
    </w:p>
    <w:p w14:paraId="18AFFEC1" w14:textId="4BEE1764" w:rsidR="005955DD" w:rsidRDefault="005955DD" w:rsidP="005955DD">
      <w:pPr>
        <w:tabs>
          <w:tab w:val="left" w:pos="142"/>
          <w:tab w:val="left" w:pos="284"/>
        </w:tabs>
        <w:spacing w:after="120" w:line="276" w:lineRule="auto"/>
        <w:jc w:val="both"/>
        <w:rPr>
          <w:rFonts w:ascii="Verdana" w:eastAsia="Century Gothic" w:hAnsi="Verdana" w:cs="Century Gothic"/>
        </w:rPr>
      </w:pPr>
      <w:r w:rsidRPr="00E21BD1">
        <w:rPr>
          <w:rFonts w:ascii="Verdana" w:eastAsia="Calibri" w:hAnsi="Verdana" w:cs="Arial"/>
          <w:lang w:eastAsia="es-ES"/>
        </w:rPr>
        <w:t xml:space="preserve">De acuerdo con el contenido de su solicitud, esta Agencia resolverá </w:t>
      </w:r>
      <w:r>
        <w:rPr>
          <w:rFonts w:ascii="Verdana" w:eastAsia="Calibri" w:hAnsi="Verdana" w:cs="Arial"/>
          <w:lang w:eastAsia="es-ES"/>
        </w:rPr>
        <w:t xml:space="preserve">los </w:t>
      </w:r>
      <w:r w:rsidRPr="00E21BD1">
        <w:rPr>
          <w:rFonts w:ascii="Verdana" w:eastAsia="Calibri" w:hAnsi="Verdana" w:cs="Arial"/>
          <w:lang w:eastAsia="es-ES"/>
        </w:rPr>
        <w:t>siguiente</w:t>
      </w:r>
      <w:r>
        <w:rPr>
          <w:rFonts w:ascii="Verdana" w:eastAsia="Calibri" w:hAnsi="Verdana" w:cs="Arial"/>
          <w:lang w:eastAsia="es-ES"/>
        </w:rPr>
        <w:t>s</w:t>
      </w:r>
      <w:r w:rsidRPr="00E21BD1">
        <w:rPr>
          <w:rFonts w:ascii="Verdana" w:eastAsia="Calibri" w:hAnsi="Verdana" w:cs="Arial"/>
          <w:lang w:eastAsia="es-ES"/>
        </w:rPr>
        <w:t xml:space="preserve"> problema</w:t>
      </w:r>
      <w:r>
        <w:rPr>
          <w:rFonts w:ascii="Verdana" w:eastAsia="Calibri" w:hAnsi="Verdana" w:cs="Arial"/>
          <w:lang w:eastAsia="es-ES"/>
        </w:rPr>
        <w:t>s</w:t>
      </w:r>
      <w:r w:rsidRPr="00E21BD1">
        <w:rPr>
          <w:rFonts w:ascii="Verdana" w:eastAsia="Calibri" w:hAnsi="Verdana" w:cs="Arial"/>
          <w:lang w:eastAsia="es-ES"/>
        </w:rPr>
        <w:t xml:space="preserve"> jurídico</w:t>
      </w:r>
      <w:r>
        <w:rPr>
          <w:rFonts w:ascii="Verdana" w:eastAsia="Calibri" w:hAnsi="Verdana" w:cs="Arial"/>
          <w:lang w:eastAsia="es-ES"/>
        </w:rPr>
        <w:t>s</w:t>
      </w:r>
      <w:r w:rsidRPr="00E21BD1">
        <w:rPr>
          <w:rFonts w:ascii="Verdana" w:eastAsia="Calibri" w:hAnsi="Verdana" w:cs="Arial"/>
          <w:lang w:eastAsia="es-ES"/>
        </w:rPr>
        <w:t>:</w:t>
      </w:r>
      <w:r>
        <w:rPr>
          <w:rFonts w:ascii="Verdana" w:eastAsia="Calibri" w:hAnsi="Verdana" w:cs="Arial"/>
          <w:lang w:eastAsia="es-ES"/>
        </w:rPr>
        <w:t xml:space="preserve"> </w:t>
      </w:r>
      <w:r w:rsidR="00F60D5D">
        <w:rPr>
          <w:rFonts w:ascii="Verdana" w:eastAsia="Century Gothic" w:hAnsi="Verdana" w:cs="Century Gothic"/>
        </w:rPr>
        <w:t>¿</w:t>
      </w:r>
      <w:r w:rsidR="00242B0B">
        <w:rPr>
          <w:rFonts w:ascii="Verdana" w:eastAsia="Century Gothic" w:hAnsi="Verdana" w:cs="Century Gothic"/>
        </w:rPr>
        <w:t>la restricción del artículo 33 de la Ley 996 de 2005</w:t>
      </w:r>
      <w:r w:rsidR="00FA463B">
        <w:rPr>
          <w:rFonts w:ascii="Verdana" w:eastAsia="Century Gothic" w:hAnsi="Verdana" w:cs="Century Gothic"/>
        </w:rPr>
        <w:t xml:space="preserve"> impide la celebración de cualquier contrato con</w:t>
      </w:r>
      <w:r w:rsidR="00327B24">
        <w:rPr>
          <w:rFonts w:ascii="Verdana" w:eastAsia="Century Gothic" w:hAnsi="Verdana" w:cs="Century Gothic"/>
        </w:rPr>
        <w:t xml:space="preserve"> recurso de los Fondos de Servicios Educativos</w:t>
      </w:r>
      <w:r w:rsidR="00A0166D">
        <w:rPr>
          <w:rFonts w:ascii="Verdana" w:eastAsia="Century Gothic" w:hAnsi="Verdana" w:cs="Century Gothic"/>
        </w:rPr>
        <w:t xml:space="preserve"> </w:t>
      </w:r>
      <w:r w:rsidR="00BB6C61">
        <w:rPr>
          <w:rFonts w:ascii="Verdana" w:eastAsia="Century Gothic" w:hAnsi="Verdana" w:cs="Century Gothic"/>
        </w:rPr>
        <w:t>(FSE)</w:t>
      </w:r>
      <w:r w:rsidR="00327B24">
        <w:rPr>
          <w:rFonts w:ascii="Verdana" w:eastAsia="Century Gothic" w:hAnsi="Verdana" w:cs="Century Gothic"/>
        </w:rPr>
        <w:t xml:space="preserve"> </w:t>
      </w:r>
      <w:r w:rsidR="00DE564A">
        <w:rPr>
          <w:rFonts w:ascii="Verdana" w:eastAsia="Century Gothic" w:hAnsi="Verdana" w:cs="Century Gothic"/>
        </w:rPr>
        <w:t xml:space="preserve">durante el período de la Ley de Garantías Electorales o únicamente prohíbe la contratación directa </w:t>
      </w:r>
      <w:r w:rsidR="00317B4A">
        <w:rPr>
          <w:rFonts w:ascii="Verdana" w:eastAsia="Century Gothic" w:hAnsi="Verdana" w:cs="Century Gothic"/>
        </w:rPr>
        <w:t>manteniéndose permitidos los procesos que</w:t>
      </w:r>
      <w:r w:rsidR="00BE2625">
        <w:rPr>
          <w:rFonts w:ascii="Verdana" w:eastAsia="Century Gothic" w:hAnsi="Verdana" w:cs="Century Gothic"/>
        </w:rPr>
        <w:t xml:space="preserve"> aseguren la pluralidad de oferentes y las excepciones legalmente previstas?</w:t>
      </w:r>
    </w:p>
    <w:p w14:paraId="5D319D5B" w14:textId="77777777" w:rsidR="00705161" w:rsidRDefault="00705161" w:rsidP="005955DD">
      <w:pPr>
        <w:tabs>
          <w:tab w:val="left" w:pos="142"/>
          <w:tab w:val="left" w:pos="284"/>
        </w:tabs>
        <w:spacing w:after="120" w:line="276" w:lineRule="auto"/>
        <w:jc w:val="both"/>
        <w:rPr>
          <w:rFonts w:ascii="Verdana" w:eastAsia="Century Gothic" w:hAnsi="Verdana" w:cs="Century Gothic"/>
        </w:rPr>
      </w:pPr>
    </w:p>
    <w:p w14:paraId="479CD3D6" w14:textId="1D8A8123" w:rsidR="00B63000" w:rsidRPr="00117F24" w:rsidRDefault="00117F24" w:rsidP="00117F24">
      <w:pPr>
        <w:tabs>
          <w:tab w:val="left" w:pos="142"/>
          <w:tab w:val="left" w:pos="284"/>
        </w:tabs>
        <w:spacing w:after="120" w:line="276" w:lineRule="auto"/>
        <w:jc w:val="both"/>
        <w:rPr>
          <w:rFonts w:ascii="Verdana" w:eastAsia="Century Gothic" w:hAnsi="Verdana" w:cs="Century Gothic"/>
          <w:b/>
          <w:bCs/>
        </w:rPr>
      </w:pPr>
      <w:r>
        <w:rPr>
          <w:rFonts w:ascii="Verdana" w:eastAsia="Century Gothic" w:hAnsi="Verdana" w:cs="Century Gothic"/>
          <w:b/>
          <w:bCs/>
        </w:rPr>
        <w:t xml:space="preserve">2. Respuesta: </w:t>
      </w:r>
    </w:p>
    <w:p w14:paraId="4F04C477" w14:textId="5CA41F66" w:rsidR="00117F24" w:rsidRDefault="00117F24"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sidRPr="00117F24">
        <w:rPr>
          <w:rFonts w:ascii="Verdana" w:eastAsia="Century Gothic" w:hAnsi="Verdana" w:cs="Century Gothic"/>
        </w:rPr>
        <w:t>Conforme a la interpretación de las normas generales del sistema de compras y contratación pública, para la restricción del artículo 33 de la Ley 996 de 2005</w:t>
      </w:r>
      <w:r w:rsidR="00A0166D">
        <w:rPr>
          <w:rFonts w:ascii="Verdana" w:eastAsia="Century Gothic" w:hAnsi="Verdana" w:cs="Century Gothic"/>
        </w:rPr>
        <w:t xml:space="preserve"> es necesario considerar que el artículo 13 de la Ley 715 de 2001 consagra un régimen jurídico que exceptúa la aplicación de la Ley 80 de 1993 en los contratos de los Fondos </w:t>
      </w:r>
      <w:r w:rsidR="00BB6C61">
        <w:rPr>
          <w:rFonts w:ascii="Verdana" w:eastAsia="Century Gothic" w:hAnsi="Verdana" w:cs="Century Gothic"/>
        </w:rPr>
        <w:t>de Servicios Educativos (FSE)</w:t>
      </w:r>
      <w:r w:rsidR="007E5F50">
        <w:rPr>
          <w:rFonts w:ascii="Verdana" w:eastAsia="Century Gothic" w:hAnsi="Verdana" w:cs="Century Gothic"/>
        </w:rPr>
        <w:t xml:space="preserve"> </w:t>
      </w:r>
      <w:r w:rsidR="00191ACE">
        <w:rPr>
          <w:rFonts w:ascii="Verdana" w:eastAsia="Century Gothic" w:hAnsi="Verdana" w:cs="Century Gothic"/>
        </w:rPr>
        <w:t>con el objetivo de flexibilizar el régimen contractual aplicable. Pese a lo anterior</w:t>
      </w:r>
      <w:r w:rsidR="007E0FB3">
        <w:rPr>
          <w:rFonts w:ascii="Verdana" w:eastAsia="Century Gothic" w:hAnsi="Verdana" w:cs="Century Gothic"/>
        </w:rPr>
        <w:t>, la prohibición de contratación directa de la Ley de Garantías Electorales es independiente del régimen contractua</w:t>
      </w:r>
      <w:r w:rsidR="0081209C">
        <w:rPr>
          <w:rFonts w:ascii="Verdana" w:eastAsia="Century Gothic" w:hAnsi="Verdana" w:cs="Century Gothic"/>
        </w:rPr>
        <w:t xml:space="preserve">l, por lo que se extiende a los contratos celebrados con cargo a los fondos de servicios educativos. </w:t>
      </w:r>
    </w:p>
    <w:p w14:paraId="2B1E8943" w14:textId="031F928A" w:rsidR="0081209C" w:rsidRDefault="00AB0E37"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Ahora bien, frente al problema jurídico planteado, debe precisarse que la restricción prevista en el artículo 33 de la Ley 996 de 2005 aplica a todos los entes del Estado</w:t>
      </w:r>
      <w:r w:rsidR="008257DB">
        <w:rPr>
          <w:rFonts w:ascii="Verdana" w:eastAsia="Century Gothic" w:hAnsi="Verdana" w:cs="Century Gothic"/>
        </w:rPr>
        <w:t>, sin distinción de su régimen contractual</w:t>
      </w:r>
      <w:r w:rsidR="00A2048B">
        <w:rPr>
          <w:rFonts w:ascii="Verdana" w:eastAsia="Century Gothic" w:hAnsi="Verdana" w:cs="Century Gothic"/>
        </w:rPr>
        <w:t xml:space="preserve"> o del nivel administrativo al que pertenezcan. En esa medida, las instituciones educativas oficiales, en tanto son administradoras de recursos públicos a través de los Fondos de Servicios Educativos (FSE), </w:t>
      </w:r>
      <w:r w:rsidR="00A0647A">
        <w:rPr>
          <w:rFonts w:ascii="Verdana" w:eastAsia="Century Gothic" w:hAnsi="Verdana" w:cs="Century Gothic"/>
        </w:rPr>
        <w:t xml:space="preserve">también se encuentran sujetas a dicha disposición, toda vez que actúan por delegación de la entidad territorial certificada en educación. </w:t>
      </w:r>
    </w:p>
    <w:p w14:paraId="1C6903E6" w14:textId="67F3E319" w:rsidR="00A0647A" w:rsidRDefault="00A0647A"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En consecuencia, durante los cuatro (4) meses previos a las elecciones presidenciales, las instituciones educativas </w:t>
      </w:r>
      <w:r w:rsidR="00E17FEF">
        <w:rPr>
          <w:rFonts w:ascii="Verdana" w:eastAsia="Century Gothic" w:hAnsi="Verdana" w:cs="Century Gothic"/>
        </w:rPr>
        <w:t>oficiales no pueden celebrar contratos mediante la modalidad de contratación directa</w:t>
      </w:r>
      <w:r w:rsidR="001F5BD8">
        <w:rPr>
          <w:rFonts w:ascii="Verdana" w:eastAsia="Century Gothic" w:hAnsi="Verdana" w:cs="Century Gothic"/>
        </w:rPr>
        <w:t>, salvo</w:t>
      </w:r>
      <w:r w:rsidR="006444A9">
        <w:rPr>
          <w:rFonts w:ascii="Verdana" w:eastAsia="Century Gothic" w:hAnsi="Verdana" w:cs="Century Gothic"/>
        </w:rPr>
        <w:t xml:space="preserve"> que se configure alguna de las excepciones expresamente previstas en la Ley. No obstante, </w:t>
      </w:r>
      <w:r w:rsidR="00613F77">
        <w:rPr>
          <w:rFonts w:ascii="Verdana" w:eastAsia="Century Gothic" w:hAnsi="Verdana" w:cs="Century Gothic"/>
        </w:rPr>
        <w:t xml:space="preserve">pueden adelantar procesos que aseguren la pluralidad de oferentes conforme a las normas que rigen su gestión contractual. </w:t>
      </w:r>
    </w:p>
    <w:p w14:paraId="743FBB59" w14:textId="2E74B581" w:rsidR="00613F77" w:rsidRDefault="00613F77"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Por su parte, el parágrafo del </w:t>
      </w:r>
      <w:r w:rsidR="009A077F">
        <w:rPr>
          <w:rFonts w:ascii="Verdana" w:eastAsia="Century Gothic" w:hAnsi="Verdana" w:cs="Century Gothic"/>
        </w:rPr>
        <w:t xml:space="preserve">artículo 38 de la misma ley dispone que los gobernadores, alcaldes y directivos de entidades descentralizadas de los órdenes departamental. Distrital o municipal no pueden celebrar convenios interadministrativos para la ejecución de recursos </w:t>
      </w:r>
      <w:r w:rsidR="00CF0678">
        <w:rPr>
          <w:rFonts w:ascii="Verdana" w:eastAsia="Century Gothic" w:hAnsi="Verdana" w:cs="Century Gothic"/>
        </w:rPr>
        <w:t xml:space="preserve">públicos </w:t>
      </w:r>
      <w:r w:rsidR="00AB7DE0">
        <w:rPr>
          <w:rFonts w:ascii="Verdana" w:eastAsia="Century Gothic" w:hAnsi="Verdana" w:cs="Century Gothic"/>
        </w:rPr>
        <w:t xml:space="preserve">durante los cuatro (4) meses previos a cualquier elección. En virtud de lo anterior, los establecimientos educativos territoriales que actúan como dependencias adscritas a entidades descentralizadas o que participan en convenios financiados con recursos públicos también deben observar esta restricción cuando se trate de convenios interadministrativos suscritos con otras entidades públicas. </w:t>
      </w:r>
    </w:p>
    <w:p w14:paraId="69CD6220" w14:textId="73AF26B6" w:rsidR="00AB7DE0" w:rsidRDefault="00F31325"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De esta forma, las institucione educativas oficiales se encuentran sujetas a las limitaciones previstas en los artículos 33 y 38 de la Ley 996 de 2005, dependiendo del tipo de proceso y del nivel de elección de que se trate. </w:t>
      </w:r>
    </w:p>
    <w:p w14:paraId="71975530" w14:textId="35C55E6E" w:rsidR="00F31325" w:rsidRDefault="00F31325"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Por lo anterior </w:t>
      </w:r>
      <w:r w:rsidR="007120F6">
        <w:rPr>
          <w:rFonts w:ascii="Verdana" w:eastAsia="Century Gothic" w:hAnsi="Verdana" w:cs="Century Gothic"/>
        </w:rPr>
        <w:t xml:space="preserve">es jurídicamente procedente que la Entidad celebre contratos de forma directa posterior al 8 de noviembre </w:t>
      </w:r>
      <w:r w:rsidR="008A0C29">
        <w:rPr>
          <w:rFonts w:ascii="Verdana" w:eastAsia="Century Gothic" w:hAnsi="Verdana" w:cs="Century Gothic"/>
        </w:rPr>
        <w:t>de 2025; esto debido a que la restricción para suscribir contratos a través de esta modalidad rige a partir del 31 de enero de 2026 teniendo en cuenta la fecha prevista para las elecciones presidenciales, esto es, el 31 de mayo de 2026.</w:t>
      </w:r>
      <w:r w:rsidR="007120F6">
        <w:rPr>
          <w:rFonts w:ascii="Verdana" w:eastAsia="Century Gothic" w:hAnsi="Verdana" w:cs="Century Gothic"/>
        </w:rPr>
        <w:t xml:space="preserve"> </w:t>
      </w:r>
    </w:p>
    <w:p w14:paraId="3A4D0A55" w14:textId="77777777" w:rsidR="00EC6273" w:rsidRDefault="001D5C87"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En el mismo sentido, se </w:t>
      </w:r>
      <w:r w:rsidR="001F490A">
        <w:rPr>
          <w:rFonts w:ascii="Verdana" w:eastAsia="Century Gothic" w:hAnsi="Verdana" w:cs="Century Gothic"/>
        </w:rPr>
        <w:t xml:space="preserve">aclara que la restricción para la suscripción de Convenios Interadministrativos con recursos por parte de Gobernadores, Alcaldes Municipales y/o </w:t>
      </w:r>
      <w:r w:rsidR="00461D43">
        <w:rPr>
          <w:rFonts w:ascii="Verdana" w:eastAsia="Century Gothic" w:hAnsi="Verdana" w:cs="Century Gothic"/>
        </w:rPr>
        <w:t>Distritales, Secretarios, Gerentes y Directores de Entidades Descentralizadas del orden municipal</w:t>
      </w:r>
      <w:r w:rsidR="007A5353">
        <w:rPr>
          <w:rFonts w:ascii="Verdana" w:eastAsia="Century Gothic" w:hAnsi="Verdana" w:cs="Century Gothic"/>
        </w:rPr>
        <w:t xml:space="preserve">, departamental o distrital, entró a regir desde el 8 de noviembre de 2025, en atención a la fecha prevista para las elecciones a Congreso </w:t>
      </w:r>
      <w:r w:rsidR="00EC6273">
        <w:rPr>
          <w:rFonts w:ascii="Verdana" w:eastAsia="Century Gothic" w:hAnsi="Verdana" w:cs="Century Gothic"/>
        </w:rPr>
        <w:t xml:space="preserve">de la República, esto es, el 8 de marzo de 2026. </w:t>
      </w:r>
    </w:p>
    <w:p w14:paraId="4B2AEF68" w14:textId="77777777" w:rsidR="00EC6273" w:rsidRDefault="00EC6273"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Finalmente, debe advertirse que el análisis en torno a un proceso de contratación especifico debe ser realizado por quienes tengan interés en ello. De esta forma, las afirmaciones aquí realizadas no pueden ser interpretadas con juicios de valor sobre las circunstancias concretas relacionada con los hechos que motivan la consulta. Por lo anterior, previo concepto de sus asesores, la solución de situaciones particulares corresponderá a los interesados de adoptar la decisión y, en caso de conflicto, a las autoridades judiciales, fiscale y disciplinarias. </w:t>
      </w:r>
    </w:p>
    <w:p w14:paraId="0FCED44A" w14:textId="168C8998" w:rsidR="00F31325" w:rsidRPr="00117F24" w:rsidRDefault="00EC6273" w:rsidP="0064201E">
      <w:pPr>
        <w:pBdr>
          <w:top w:val="single" w:sz="4" w:space="1" w:color="auto"/>
          <w:left w:val="single" w:sz="4" w:space="4" w:color="auto"/>
          <w:bottom w:val="single" w:sz="4" w:space="1" w:color="auto"/>
          <w:right w:val="single" w:sz="4" w:space="4" w:color="auto"/>
        </w:pBdr>
        <w:tabs>
          <w:tab w:val="left" w:pos="142"/>
          <w:tab w:val="left" w:pos="284"/>
        </w:tabs>
        <w:spacing w:after="120" w:line="276" w:lineRule="auto"/>
        <w:ind w:firstLine="709"/>
        <w:jc w:val="both"/>
        <w:rPr>
          <w:rFonts w:ascii="Verdana" w:eastAsia="Century Gothic" w:hAnsi="Verdana" w:cs="Century Gothic"/>
        </w:rPr>
      </w:pPr>
      <w:r>
        <w:rPr>
          <w:rFonts w:ascii="Verdana" w:eastAsia="Century Gothic" w:hAnsi="Verdana" w:cs="Century Gothic"/>
        </w:rPr>
        <w:t xml:space="preserve">En ese sentido, al tratarse de un </w:t>
      </w:r>
      <w:r w:rsidR="009C524A">
        <w:rPr>
          <w:rFonts w:ascii="Verdana" w:eastAsia="Century Gothic" w:hAnsi="Verdana" w:cs="Century Gothic"/>
        </w:rPr>
        <w:t>análisis</w:t>
      </w:r>
      <w:r>
        <w:rPr>
          <w:rFonts w:ascii="Verdana" w:eastAsia="Century Gothic" w:hAnsi="Verdana" w:cs="Century Gothic"/>
        </w:rPr>
        <w:t xml:space="preserve"> que debe realizarse en un procedimiento contractual especifico, esta Agencia no puede definir un criterio universal y absoluto por vía consultiva</w:t>
      </w:r>
      <w:r w:rsidR="005F2D2E">
        <w:rPr>
          <w:rFonts w:ascii="Verdana" w:eastAsia="Century Gothic" w:hAnsi="Verdana" w:cs="Century Gothic"/>
        </w:rPr>
        <w:t>, sino que brinda elementos de carácter general para que los participes del Sistema de Compras y Contratación Pública adopten la decisión que corresponda, lo cual es acorde con el principio de juridicidad. Así cada entidad definirá la forma de adelantar su gestión contractual, sin que sea atribución</w:t>
      </w:r>
      <w:r w:rsidR="00B2742F">
        <w:rPr>
          <w:rFonts w:ascii="Verdana" w:eastAsia="Century Gothic" w:hAnsi="Verdana" w:cs="Century Gothic"/>
        </w:rPr>
        <w:t xml:space="preserve"> de la Agencia Nacional de </w:t>
      </w:r>
      <w:r w:rsidR="00CF0ABD">
        <w:rPr>
          <w:rFonts w:ascii="Verdana" w:eastAsia="Century Gothic" w:hAnsi="Verdana" w:cs="Century Gothic"/>
        </w:rPr>
        <w:t>Contratación</w:t>
      </w:r>
      <w:r w:rsidR="00B2742F">
        <w:rPr>
          <w:rFonts w:ascii="Verdana" w:eastAsia="Century Gothic" w:hAnsi="Verdana" w:cs="Century Gothic"/>
        </w:rPr>
        <w:t xml:space="preserve"> Pública – Colombia Compra Eficiente</w:t>
      </w:r>
      <w:r w:rsidR="00CF0ABD">
        <w:rPr>
          <w:rFonts w:ascii="Verdana" w:eastAsia="Century Gothic" w:hAnsi="Verdana" w:cs="Century Gothic"/>
        </w:rPr>
        <w:t xml:space="preserve">, validar sus actuaciones. </w:t>
      </w:r>
    </w:p>
    <w:p w14:paraId="7C9026E2" w14:textId="0A0F314A" w:rsidR="002A0DD0" w:rsidRDefault="00CF0ABD" w:rsidP="30821638">
      <w:pPr>
        <w:spacing w:after="0" w:line="240" w:lineRule="auto"/>
        <w:jc w:val="both"/>
        <w:rPr>
          <w:rFonts w:ascii="Verdana" w:eastAsia="Verdana" w:hAnsi="Verdana" w:cs="Verdana"/>
          <w:b/>
          <w:bCs/>
          <w:lang w:val="es-MX"/>
        </w:rPr>
      </w:pPr>
      <w:r>
        <w:rPr>
          <w:rFonts w:ascii="Verdana" w:eastAsia="Verdana" w:hAnsi="Verdana" w:cs="Verdana"/>
          <w:b/>
          <w:bCs/>
          <w:lang w:val="es-MX"/>
        </w:rPr>
        <w:t>3. Razones de la res</w:t>
      </w:r>
      <w:r w:rsidR="00A37F2E">
        <w:rPr>
          <w:rFonts w:ascii="Verdana" w:eastAsia="Verdana" w:hAnsi="Verdana" w:cs="Verdana"/>
          <w:b/>
          <w:bCs/>
          <w:lang w:val="es-MX"/>
        </w:rPr>
        <w:t xml:space="preserve">puesta: </w:t>
      </w:r>
    </w:p>
    <w:p w14:paraId="2898C1CB" w14:textId="77777777" w:rsidR="00A37F2E" w:rsidRDefault="00A37F2E" w:rsidP="30821638">
      <w:pPr>
        <w:spacing w:after="0" w:line="240" w:lineRule="auto"/>
        <w:jc w:val="both"/>
        <w:rPr>
          <w:rFonts w:ascii="Verdana" w:eastAsia="Verdana" w:hAnsi="Verdana" w:cs="Verdana"/>
          <w:lang w:val="es-MX"/>
        </w:rPr>
      </w:pPr>
    </w:p>
    <w:p w14:paraId="067B403C" w14:textId="35D92E4F" w:rsidR="00A37F2E" w:rsidRDefault="00A37F2E" w:rsidP="30821638">
      <w:pPr>
        <w:spacing w:after="0" w:line="240" w:lineRule="auto"/>
        <w:jc w:val="both"/>
        <w:rPr>
          <w:rFonts w:ascii="Verdana" w:eastAsia="Verdana" w:hAnsi="Verdana" w:cs="Verdana"/>
          <w:lang w:val="es-MX"/>
        </w:rPr>
      </w:pPr>
      <w:r>
        <w:rPr>
          <w:rFonts w:ascii="Verdana" w:eastAsia="Verdana" w:hAnsi="Verdana" w:cs="Verdana"/>
          <w:lang w:val="es-MX"/>
        </w:rPr>
        <w:t xml:space="preserve">Lo anterior se sustenta en las siguientes consideraciones: </w:t>
      </w:r>
    </w:p>
    <w:p w14:paraId="0CA939D6" w14:textId="77777777" w:rsidR="00A37F2E" w:rsidRDefault="00A37F2E" w:rsidP="30821638">
      <w:pPr>
        <w:spacing w:after="0" w:line="240" w:lineRule="auto"/>
        <w:jc w:val="both"/>
        <w:rPr>
          <w:rFonts w:ascii="Verdana" w:eastAsia="Verdana" w:hAnsi="Verdana" w:cs="Verdana"/>
          <w:lang w:val="es-MX"/>
        </w:rPr>
      </w:pPr>
    </w:p>
    <w:p w14:paraId="00A4D144" w14:textId="77777777" w:rsidR="00277B7A" w:rsidRPr="00F10E52" w:rsidRDefault="00277B7A" w:rsidP="0064201E">
      <w:pPr>
        <w:tabs>
          <w:tab w:val="left" w:pos="426"/>
        </w:tabs>
        <w:spacing w:after="120" w:line="276" w:lineRule="auto"/>
        <w:ind w:firstLine="425"/>
        <w:jc w:val="both"/>
        <w:rPr>
          <w:rFonts w:ascii="Verdana" w:eastAsia="Times New Roman" w:hAnsi="Verdana" w:cs="Arial"/>
          <w:bCs/>
          <w:lang w:eastAsia="es-CO"/>
        </w:rPr>
      </w:pPr>
      <w:r w:rsidRPr="00F10E52">
        <w:rPr>
          <w:rFonts w:ascii="Verdana" w:eastAsia="Calibri" w:hAnsi="Verdana" w:cs="Arial"/>
          <w:bCs/>
        </w:rPr>
        <w:t>El ordenamiento jurídico colombiano contempla previsiones claras para evitar la obtención de beneficios personales en asuntos propios de la administración pública</w:t>
      </w:r>
      <w:r w:rsidRPr="00F10E52">
        <w:rPr>
          <w:rFonts w:ascii="Verdana" w:eastAsia="Calibri" w:hAnsi="Verdana" w:cs="Arial"/>
          <w:bCs/>
          <w:i/>
          <w:iCs/>
        </w:rPr>
        <w:t xml:space="preserve">. </w:t>
      </w:r>
      <w:r w:rsidRPr="00F10E52">
        <w:rPr>
          <w:rFonts w:ascii="Verdana" w:eastAsia="Calibri" w:hAnsi="Verdana" w:cs="Arial"/>
          <w:bCs/>
        </w:rPr>
        <w:t>Por ejemplo, el artículo 127 de la Constitución Política establece una prohibición contractual a los servidores públicos y</w:t>
      </w:r>
      <w:r>
        <w:rPr>
          <w:rFonts w:ascii="Verdana" w:eastAsia="Calibri" w:hAnsi="Verdana" w:cs="Arial"/>
          <w:bCs/>
        </w:rPr>
        <w:t>,</w:t>
      </w:r>
      <w:r w:rsidRPr="00F10E52">
        <w:rPr>
          <w:rFonts w:ascii="Verdana" w:eastAsia="Calibri" w:hAnsi="Verdana" w:cs="Arial"/>
          <w:bCs/>
        </w:rPr>
        <w:t xml:space="preserve"> en cuanto</w:t>
      </w:r>
      <w:r>
        <w:rPr>
          <w:rFonts w:ascii="Verdana" w:eastAsia="Calibri" w:hAnsi="Verdana" w:cs="Arial"/>
          <w:bCs/>
        </w:rPr>
        <w:t>,</w:t>
      </w:r>
      <w:r w:rsidRPr="00F10E52">
        <w:rPr>
          <w:rFonts w:ascii="Verdana" w:eastAsia="Calibri" w:hAnsi="Verdana" w:cs="Arial"/>
          <w:bCs/>
        </w:rPr>
        <w:t xml:space="preserve"> a aspectos políticos establece restricciones a ciertos empleados del Estado, incluso en época no electoral</w:t>
      </w:r>
      <w:r w:rsidRPr="00F10E52">
        <w:rPr>
          <w:rStyle w:val="Refdenotaalpie"/>
          <w:rFonts w:ascii="Verdana" w:eastAsia="Calibri" w:hAnsi="Verdana" w:cs="Arial"/>
          <w:bCs/>
        </w:rPr>
        <w:footnoteReference w:id="1"/>
      </w:r>
      <w:r w:rsidRPr="00F10E52">
        <w:rPr>
          <w:rFonts w:ascii="Verdana" w:eastAsia="Calibri" w:hAnsi="Verdana" w:cs="Arial"/>
          <w:bCs/>
        </w:rPr>
        <w:t xml:space="preserve">. </w:t>
      </w:r>
    </w:p>
    <w:p w14:paraId="4DFCDA65" w14:textId="77777777" w:rsidR="00277B7A" w:rsidRDefault="00277B7A" w:rsidP="0064201E">
      <w:pPr>
        <w:tabs>
          <w:tab w:val="left" w:pos="426"/>
        </w:tabs>
        <w:spacing w:after="120" w:line="276" w:lineRule="auto"/>
        <w:ind w:firstLine="425"/>
        <w:jc w:val="both"/>
        <w:rPr>
          <w:rFonts w:ascii="Verdana" w:eastAsia="Calibri" w:hAnsi="Verdana" w:cs="Arial"/>
          <w:noProof/>
          <w:lang w:val="es-ES_tradnl"/>
        </w:rPr>
      </w:pPr>
      <w:r w:rsidRPr="00F10E52">
        <w:rPr>
          <w:rFonts w:ascii="Verdana" w:eastAsia="Times New Roman" w:hAnsi="Verdana" w:cs="Arial"/>
          <w:bCs/>
          <w:lang w:eastAsia="es-CO"/>
        </w:rPr>
        <w:t xml:space="preserve">En el mismo sentido, la Ley 996 de 2005, conocida como </w:t>
      </w:r>
      <w:r>
        <w:rPr>
          <w:rFonts w:ascii="Verdana" w:eastAsia="Times New Roman" w:hAnsi="Verdana" w:cs="Arial"/>
          <w:bCs/>
          <w:lang w:eastAsia="es-CO"/>
        </w:rPr>
        <w:t>“</w:t>
      </w:r>
      <w:r w:rsidRPr="00F10E52">
        <w:rPr>
          <w:rFonts w:ascii="Verdana" w:eastAsia="Times New Roman" w:hAnsi="Verdana" w:cs="Arial"/>
          <w:bCs/>
          <w:lang w:eastAsia="es-CO"/>
        </w:rPr>
        <w:t>Ley de Garantías Electorales</w:t>
      </w:r>
      <w:r>
        <w:rPr>
          <w:rFonts w:ascii="Verdana" w:eastAsia="Times New Roman" w:hAnsi="Verdana" w:cs="Arial"/>
          <w:bCs/>
          <w:lang w:eastAsia="es-CO"/>
        </w:rPr>
        <w:t>”</w:t>
      </w:r>
      <w:r w:rsidRPr="00F10E52">
        <w:rPr>
          <w:rFonts w:ascii="Verdana" w:eastAsia="Times New Roman" w:hAnsi="Verdana" w:cs="Arial"/>
          <w:bCs/>
          <w:lang w:eastAsia="es-CO"/>
        </w:rPr>
        <w:t>,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F10E52">
        <w:rPr>
          <w:rStyle w:val="Refdenotaalpie"/>
          <w:rFonts w:ascii="Verdana" w:eastAsia="Times New Roman" w:hAnsi="Verdana" w:cs="Arial"/>
          <w:bCs/>
          <w:lang w:eastAsia="es-CO"/>
        </w:rPr>
        <w:footnoteReference w:id="2"/>
      </w:r>
      <w:r w:rsidRPr="00F10E52">
        <w:rPr>
          <w:rFonts w:ascii="Verdana" w:eastAsia="Times New Roman" w:hAnsi="Verdana"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F10E52">
        <w:rPr>
          <w:rFonts w:ascii="Verdana" w:eastAsia="Calibri" w:hAnsi="Verdana" w:cs="Arial"/>
          <w:noProof/>
          <w:lang w:val="es-ES_tradnl"/>
        </w:rPr>
        <w:t xml:space="preserve"> </w:t>
      </w:r>
    </w:p>
    <w:p w14:paraId="78533379" w14:textId="77777777" w:rsidR="00277B7A" w:rsidRPr="00F10E52" w:rsidRDefault="00277B7A" w:rsidP="0064201E">
      <w:pPr>
        <w:tabs>
          <w:tab w:val="left" w:pos="426"/>
        </w:tabs>
        <w:spacing w:after="120" w:line="276" w:lineRule="auto"/>
        <w:ind w:firstLine="425"/>
        <w:jc w:val="both"/>
        <w:rPr>
          <w:rFonts w:ascii="Verdana" w:eastAsia="Times New Roman" w:hAnsi="Verdana" w:cs="Arial"/>
          <w:bCs/>
          <w:lang w:eastAsia="es-CO"/>
        </w:rPr>
      </w:pPr>
      <w:r w:rsidRPr="00F10E52">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2AEAAC02" w14:textId="77777777" w:rsidR="00277B7A" w:rsidRDefault="00277B7A" w:rsidP="00277B7A">
      <w:pPr>
        <w:spacing w:after="0" w:line="276" w:lineRule="auto"/>
        <w:ind w:left="709" w:right="709"/>
        <w:jc w:val="both"/>
        <w:rPr>
          <w:rFonts w:ascii="Verdana" w:eastAsia="Times New Roman" w:hAnsi="Verdana" w:cs="Arial"/>
          <w:lang w:val="es-ES" w:eastAsia="es-CO"/>
        </w:rPr>
      </w:pPr>
    </w:p>
    <w:p w14:paraId="07D596BB" w14:textId="77777777" w:rsidR="00277B7A" w:rsidRPr="0064201E" w:rsidRDefault="00277B7A" w:rsidP="0064201E">
      <w:pPr>
        <w:spacing w:after="0" w:line="240" w:lineRule="auto"/>
        <w:ind w:left="709" w:right="709"/>
        <w:jc w:val="both"/>
        <w:rPr>
          <w:rFonts w:ascii="Verdana" w:eastAsia="Times New Roman" w:hAnsi="Verdana" w:cs="Arial"/>
          <w:sz w:val="21"/>
          <w:szCs w:val="21"/>
          <w:lang w:val="es-ES" w:eastAsia="es-CO"/>
        </w:rPr>
      </w:pPr>
      <w:r w:rsidRPr="0064201E">
        <w:rPr>
          <w:rFonts w:ascii="Verdana" w:eastAsia="Times New Roman" w:hAnsi="Verdana" w:cs="Arial"/>
          <w:sz w:val="21"/>
          <w:szCs w:val="21"/>
          <w:lang w:val="es-ES" w:eastAsia="es-CO"/>
        </w:rPr>
        <w:t xml:space="preserve">“[…] </w:t>
      </w:r>
    </w:p>
    <w:p w14:paraId="28043AC8" w14:textId="77777777" w:rsidR="00277B7A" w:rsidRPr="0064201E" w:rsidRDefault="00277B7A" w:rsidP="0064201E">
      <w:pPr>
        <w:spacing w:after="0" w:line="240" w:lineRule="auto"/>
        <w:ind w:left="709" w:right="709"/>
        <w:jc w:val="both"/>
        <w:rPr>
          <w:rFonts w:ascii="Verdana" w:eastAsia="Times New Roman" w:hAnsi="Verdana" w:cs="Arial"/>
          <w:bCs/>
          <w:sz w:val="21"/>
          <w:szCs w:val="21"/>
          <w:lang w:eastAsia="es-CO"/>
        </w:rPr>
      </w:pPr>
      <w:r w:rsidRPr="0064201E">
        <w:rPr>
          <w:rFonts w:ascii="Verdana" w:eastAsia="Times New Roman" w:hAnsi="Verdana" w:cs="Arial"/>
          <w:bCs/>
          <w:sz w:val="21"/>
          <w:szCs w:val="21"/>
          <w:lang w:eastAsia="es-CO"/>
        </w:rPr>
        <w:t>La definición de reglas claras que permitan acceder a los canales de expresión democrática de manera efectiva e igualitaria. El objetivo de una ley de garantías es definir esas reglas.</w:t>
      </w:r>
    </w:p>
    <w:p w14:paraId="454FE2FF" w14:textId="77777777" w:rsidR="00277B7A" w:rsidRPr="0064201E" w:rsidRDefault="00277B7A" w:rsidP="0064201E">
      <w:pPr>
        <w:spacing w:after="0" w:line="240" w:lineRule="auto"/>
        <w:ind w:left="709" w:right="709"/>
        <w:jc w:val="both"/>
        <w:rPr>
          <w:rFonts w:ascii="Verdana" w:eastAsia="Times New Roman" w:hAnsi="Verdana" w:cs="Arial"/>
          <w:bCs/>
          <w:sz w:val="21"/>
          <w:szCs w:val="21"/>
          <w:lang w:eastAsia="es-CO"/>
        </w:rPr>
      </w:pPr>
    </w:p>
    <w:p w14:paraId="24C43066" w14:textId="77777777" w:rsidR="00277B7A" w:rsidRPr="0064201E" w:rsidRDefault="00277B7A" w:rsidP="0064201E">
      <w:pPr>
        <w:spacing w:after="0" w:line="240" w:lineRule="auto"/>
        <w:ind w:left="709" w:right="709"/>
        <w:jc w:val="both"/>
        <w:rPr>
          <w:rFonts w:ascii="Verdana" w:eastAsia="Times New Roman" w:hAnsi="Verdana" w:cs="Arial"/>
          <w:sz w:val="21"/>
          <w:szCs w:val="21"/>
          <w:lang w:eastAsia="es-CO"/>
        </w:rPr>
      </w:pPr>
      <w:r w:rsidRPr="0064201E">
        <w:rPr>
          <w:rFonts w:ascii="Verdana" w:eastAsia="Times New Roman" w:hAnsi="Verdana" w:cs="Arial"/>
          <w:bCs/>
          <w:sz w:val="21"/>
          <w:szCs w:val="21"/>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64201E">
        <w:rPr>
          <w:rStyle w:val="Refdenotaalpie"/>
          <w:rFonts w:ascii="Verdana" w:hAnsi="Verdana" w:cs="Arial"/>
          <w:sz w:val="21"/>
          <w:szCs w:val="21"/>
        </w:rPr>
        <w:footnoteReference w:id="3"/>
      </w:r>
      <w:r w:rsidRPr="0064201E">
        <w:rPr>
          <w:rFonts w:ascii="Verdana" w:eastAsia="Times New Roman" w:hAnsi="Verdana" w:cs="Arial"/>
          <w:bCs/>
          <w:sz w:val="21"/>
          <w:szCs w:val="21"/>
          <w:lang w:eastAsia="es-CO"/>
        </w:rPr>
        <w:t xml:space="preserve"> […]” </w:t>
      </w:r>
    </w:p>
    <w:p w14:paraId="158171C7" w14:textId="77777777" w:rsidR="00277B7A" w:rsidRDefault="00277B7A" w:rsidP="00277B7A">
      <w:pPr>
        <w:spacing w:after="0" w:line="276" w:lineRule="auto"/>
        <w:ind w:firstLine="709"/>
        <w:jc w:val="both"/>
        <w:rPr>
          <w:rFonts w:ascii="Verdana" w:eastAsia="Times New Roman" w:hAnsi="Verdana" w:cs="Arial"/>
          <w:bCs/>
          <w:lang w:eastAsia="es-CO"/>
        </w:rPr>
      </w:pPr>
      <w:bookmarkStart w:id="2" w:name="_Hlk78818186"/>
    </w:p>
    <w:p w14:paraId="21F6A607" w14:textId="77777777" w:rsidR="00277B7A" w:rsidRDefault="00277B7A" w:rsidP="0064201E">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w:t>
      </w:r>
      <w:bookmarkEnd w:id="2"/>
      <w:r w:rsidRPr="00F10E52">
        <w:rPr>
          <w:rFonts w:ascii="Verdana" w:eastAsia="Times New Roman" w:hAnsi="Verdana" w:cs="Arial"/>
          <w:bCs/>
          <w:lang w:eastAsia="es-CO"/>
        </w:rPr>
        <w:t xml:space="preserve">Por ello, varias de las disposiciones de la Ley 996 de 2005, al contener normas prohibitivas, no admiten una interpretación amplia, sino que deben interpretarse restrictivamente. </w:t>
      </w:r>
    </w:p>
    <w:p w14:paraId="0E4C2001" w14:textId="77777777" w:rsidR="00277B7A" w:rsidRPr="00F10E52" w:rsidRDefault="00277B7A" w:rsidP="0064201E">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es-CO"/>
        </w:rPr>
        <w:t>En efecto, la Sala de Consulta y Servicio Civil del Consejo de Estado al analizar la referida ley, precisó lo siguiente:</w:t>
      </w:r>
    </w:p>
    <w:p w14:paraId="19748874" w14:textId="77777777" w:rsidR="00277B7A" w:rsidRPr="00F10E52" w:rsidRDefault="00277B7A" w:rsidP="00277B7A">
      <w:pPr>
        <w:spacing w:after="0" w:line="276" w:lineRule="auto"/>
        <w:ind w:firstLine="709"/>
        <w:jc w:val="both"/>
        <w:rPr>
          <w:rFonts w:ascii="Verdana" w:eastAsia="Times New Roman" w:hAnsi="Verdana" w:cs="Arial"/>
          <w:bCs/>
          <w:lang w:eastAsia="es-CO"/>
        </w:rPr>
      </w:pPr>
    </w:p>
    <w:p w14:paraId="26A38590" w14:textId="77777777" w:rsidR="00277B7A" w:rsidRPr="0064201E" w:rsidRDefault="00277B7A" w:rsidP="0064201E">
      <w:pPr>
        <w:spacing w:after="0" w:line="240" w:lineRule="auto"/>
        <w:ind w:left="709" w:right="709"/>
        <w:jc w:val="both"/>
        <w:rPr>
          <w:rFonts w:ascii="Verdana" w:eastAsia="Times New Roman" w:hAnsi="Verdana" w:cs="Arial"/>
          <w:bCs/>
          <w:sz w:val="21"/>
          <w:szCs w:val="21"/>
          <w:lang w:eastAsia="es-CO"/>
        </w:rPr>
      </w:pPr>
      <w:r w:rsidRPr="0064201E">
        <w:rPr>
          <w:rFonts w:ascii="Verdana" w:eastAsia="Times New Roman" w:hAnsi="Verdana" w:cs="Arial"/>
          <w:bCs/>
          <w:sz w:val="21"/>
          <w:szCs w:val="21"/>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A479A5C" w14:textId="77777777" w:rsidR="00277B7A" w:rsidRPr="0064201E" w:rsidRDefault="00277B7A" w:rsidP="0064201E">
      <w:pPr>
        <w:spacing w:after="0" w:line="240" w:lineRule="auto"/>
        <w:ind w:left="709" w:right="709"/>
        <w:jc w:val="both"/>
        <w:rPr>
          <w:rFonts w:ascii="Verdana" w:eastAsia="Times New Roman" w:hAnsi="Verdana" w:cs="Arial"/>
          <w:bCs/>
          <w:sz w:val="21"/>
          <w:szCs w:val="21"/>
          <w:lang w:eastAsia="es-CO"/>
        </w:rPr>
      </w:pPr>
    </w:p>
    <w:p w14:paraId="57F9AC56" w14:textId="77777777" w:rsidR="00277B7A" w:rsidRPr="0064201E" w:rsidRDefault="00277B7A" w:rsidP="0064201E">
      <w:pPr>
        <w:spacing w:after="0" w:line="240" w:lineRule="auto"/>
        <w:ind w:left="709" w:right="709"/>
        <w:jc w:val="both"/>
        <w:rPr>
          <w:rFonts w:ascii="Verdana" w:eastAsia="Times New Roman" w:hAnsi="Verdana" w:cs="Arial"/>
          <w:bCs/>
          <w:sz w:val="21"/>
          <w:szCs w:val="21"/>
          <w:lang w:eastAsia="es-CO"/>
        </w:rPr>
      </w:pPr>
      <w:r w:rsidRPr="0064201E">
        <w:rPr>
          <w:rFonts w:ascii="Verdana" w:eastAsia="Times New Roman" w:hAnsi="Verdana" w:cs="Arial"/>
          <w:bCs/>
          <w:sz w:val="21"/>
          <w:szCs w:val="21"/>
          <w:lang w:eastAsia="es-CO"/>
        </w:rPr>
        <w:t>La jurisprudencia de la Corte Constitucional</w:t>
      </w:r>
      <w:r w:rsidRPr="0064201E">
        <w:rPr>
          <w:rStyle w:val="Refdenotaalpie"/>
          <w:rFonts w:ascii="Verdana" w:eastAsia="Times New Roman" w:hAnsi="Verdana" w:cs="Arial"/>
          <w:bCs/>
          <w:sz w:val="21"/>
          <w:szCs w:val="21"/>
          <w:lang w:eastAsia="es-CO"/>
        </w:rPr>
        <w:footnoteReference w:id="4"/>
      </w:r>
      <w:r w:rsidRPr="0064201E">
        <w:rPr>
          <w:rFonts w:ascii="Verdana" w:eastAsia="Times New Roman" w:hAnsi="Verdana" w:cs="Arial"/>
          <w:bCs/>
          <w:sz w:val="21"/>
          <w:szCs w:val="21"/>
          <w:lang w:eastAsia="es-CO"/>
        </w:rPr>
        <w:t> y del Consejo de Estado</w:t>
      </w:r>
      <w:r w:rsidRPr="0064201E">
        <w:rPr>
          <w:rStyle w:val="Refdenotaalpie"/>
          <w:rFonts w:ascii="Verdana" w:eastAsia="Times New Roman" w:hAnsi="Verdana" w:cs="Arial"/>
          <w:bCs/>
          <w:sz w:val="21"/>
          <w:szCs w:val="21"/>
          <w:lang w:eastAsia="es-CO"/>
        </w:rPr>
        <w:footnoteReference w:id="5"/>
      </w:r>
      <w:r w:rsidRPr="0064201E">
        <w:rPr>
          <w:rFonts w:ascii="Verdana" w:eastAsia="Times New Roman" w:hAnsi="Verdana" w:cs="Arial"/>
          <w:bCs/>
          <w:sz w:val="21"/>
          <w:szCs w:val="21"/>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64201E">
        <w:rPr>
          <w:rStyle w:val="Refdenotaalpie"/>
          <w:rFonts w:ascii="Verdana" w:eastAsia="Times New Roman" w:hAnsi="Verdana" w:cs="Arial"/>
          <w:bCs/>
          <w:sz w:val="21"/>
          <w:szCs w:val="21"/>
          <w:lang w:eastAsia="es-CO"/>
        </w:rPr>
        <w:footnoteReference w:id="6"/>
      </w:r>
      <w:r w:rsidRPr="0064201E">
        <w:rPr>
          <w:rFonts w:ascii="Verdana" w:eastAsia="Times New Roman" w:hAnsi="Verdana" w:cs="Arial"/>
          <w:bCs/>
          <w:sz w:val="21"/>
          <w:szCs w:val="21"/>
          <w:lang w:eastAsia="es-CO"/>
        </w:rPr>
        <w:t>.</w:t>
      </w:r>
    </w:p>
    <w:p w14:paraId="2055552E" w14:textId="77777777" w:rsidR="00277B7A" w:rsidRPr="009B20C5" w:rsidRDefault="00277B7A" w:rsidP="00277B7A">
      <w:pPr>
        <w:spacing w:after="0" w:line="240" w:lineRule="auto"/>
        <w:ind w:left="709" w:right="709"/>
        <w:jc w:val="both"/>
        <w:rPr>
          <w:rFonts w:ascii="Verdana" w:eastAsia="Times New Roman" w:hAnsi="Verdana" w:cs="Arial"/>
          <w:bCs/>
          <w:sz w:val="20"/>
          <w:szCs w:val="20"/>
          <w:lang w:eastAsia="es-CO"/>
        </w:rPr>
      </w:pPr>
    </w:p>
    <w:p w14:paraId="04B19BCF" w14:textId="77777777" w:rsidR="00277B7A" w:rsidRPr="00F10E52" w:rsidRDefault="00277B7A" w:rsidP="00735F89">
      <w:pPr>
        <w:spacing w:after="120" w:line="276" w:lineRule="auto"/>
        <w:ind w:firstLine="709"/>
        <w:jc w:val="both"/>
        <w:rPr>
          <w:rFonts w:ascii="Verdana" w:eastAsia="Arial" w:hAnsi="Verdana" w:cs="Arial"/>
          <w:lang w:val="es-ES" w:eastAsia="es-ES" w:bidi="es-ES"/>
        </w:rPr>
      </w:pPr>
      <w:r w:rsidRPr="00F10E52">
        <w:rPr>
          <w:rFonts w:ascii="Verdana" w:eastAsia="Times New Roman" w:hAnsi="Verdana" w:cs="Arial"/>
          <w:bCs/>
          <w:lang w:eastAsia="es-CO"/>
        </w:rPr>
        <w:tab/>
        <w:t>De</w:t>
      </w:r>
      <w:r w:rsidRPr="00F10E52">
        <w:rPr>
          <w:rFonts w:ascii="Verdana" w:eastAsia="Arial" w:hAnsi="Verdana" w:cs="Arial"/>
          <w:lang w:val="es-ES" w:eastAsia="es-ES" w:bidi="es-ES"/>
        </w:rPr>
        <w:t xml:space="preserve"> conformidad con lo anterior, </w:t>
      </w:r>
      <w:bookmarkStart w:id="3" w:name="_Hlk77236098"/>
      <w:r w:rsidRPr="00F10E52">
        <w:rPr>
          <w:rFonts w:ascii="Verdana" w:eastAsia="Arial" w:hAnsi="Verdana" w:cs="Arial"/>
          <w:lang w:val="es-ES" w:eastAsia="es-ES" w:bidi="es-ES"/>
        </w:rPr>
        <w:t>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3"/>
    </w:p>
    <w:p w14:paraId="2CB2FC5D" w14:textId="77777777" w:rsidR="00277B7A" w:rsidRPr="00F10E52" w:rsidRDefault="00277B7A" w:rsidP="00735F89">
      <w:pPr>
        <w:spacing w:after="120" w:line="276" w:lineRule="auto"/>
        <w:ind w:firstLine="709"/>
        <w:jc w:val="both"/>
        <w:rPr>
          <w:rFonts w:ascii="Verdana" w:eastAsia="Calibri" w:hAnsi="Verdana" w:cs="Arial"/>
        </w:rPr>
      </w:pPr>
      <w:r w:rsidRPr="00F10E52">
        <w:rPr>
          <w:rFonts w:ascii="Verdana" w:eastAsia="Calibri" w:hAnsi="Verdana" w:cs="Arial"/>
        </w:rPr>
        <w:t xml:space="preserve">Por un lado, el artículo 33 de la Ley 996 de 2005 prohíbe </w:t>
      </w:r>
      <w:r>
        <w:rPr>
          <w:rFonts w:ascii="Verdana" w:eastAsia="Calibri" w:hAnsi="Verdana" w:cs="Arial"/>
        </w:rPr>
        <w:t>“</w:t>
      </w:r>
      <w:r w:rsidRPr="00F10E52">
        <w:rPr>
          <w:rFonts w:ascii="Verdana" w:eastAsia="Calibri" w:hAnsi="Verdana" w:cs="Arial"/>
          <w:bCs/>
        </w:rPr>
        <w:t xml:space="preserve">[…] </w:t>
      </w:r>
      <w:r w:rsidRPr="00F10E52">
        <w:rPr>
          <w:rFonts w:ascii="Verdana" w:eastAsia="Calibri" w:hAnsi="Verdana" w:cs="Arial"/>
        </w:rPr>
        <w:t>la contratación directa por parte de todos los entes del Estado</w:t>
      </w:r>
      <w:r>
        <w:rPr>
          <w:rFonts w:ascii="Verdana" w:eastAsia="Calibri" w:hAnsi="Verdana" w:cs="Arial"/>
          <w:bCs/>
        </w:rPr>
        <w:t>”</w:t>
      </w:r>
      <w:r w:rsidRPr="00F10E52">
        <w:rPr>
          <w:rFonts w:ascii="Verdana" w:eastAsia="Calibri" w:hAnsi="Verdana" w:cs="Arial"/>
        </w:rPr>
        <w:t xml:space="preserve"> durante los cuatro (4) meses anteriores a las elecciones presidenciales, salvo </w:t>
      </w:r>
      <w:r>
        <w:rPr>
          <w:rFonts w:ascii="Verdana" w:eastAsia="Calibri" w:hAnsi="Verdana" w:cs="Arial"/>
          <w:bCs/>
        </w:rPr>
        <w:t>“</w:t>
      </w:r>
      <w:r w:rsidRPr="00F10E52">
        <w:rPr>
          <w:rFonts w:ascii="Verdana" w:eastAsia="Calibri" w:hAnsi="Verdana" w:cs="Arial"/>
          <w:bCs/>
        </w:rPr>
        <w:t xml:space="preserve">[…] </w:t>
      </w:r>
      <w:r w:rsidRPr="00F10E52">
        <w:rPr>
          <w:rFonts w:ascii="Verdana" w:eastAsia="Calibri" w:hAnsi="Verdana" w:cs="Arial"/>
        </w:rPr>
        <w:t xml:space="preserve">lo referente a la defensa y seguridad del Estado, los contratos de crédito público, los requeridos para cubrir las </w:t>
      </w:r>
      <w:r w:rsidRPr="003D0447">
        <w:rPr>
          <w:rFonts w:ascii="Verdana" w:eastAsia="Calibri" w:hAnsi="Verdana" w:cs="Arial"/>
          <w:i/>
        </w:rPr>
        <w:t>emergencias educativas</w:t>
      </w:r>
      <w:r w:rsidRPr="00F10E52">
        <w:rPr>
          <w:rFonts w:ascii="Verdana" w:eastAsia="Calibri" w:hAnsi="Verdana" w:cs="Arial"/>
        </w:rPr>
        <w:t>,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Pr>
          <w:rFonts w:ascii="Verdana" w:eastAsia="Calibri" w:hAnsi="Verdana" w:cs="Arial"/>
          <w:bCs/>
        </w:rPr>
        <w:t>”</w:t>
      </w:r>
      <w:r w:rsidRPr="00F10E52">
        <w:rPr>
          <w:rFonts w:ascii="Verdana" w:eastAsia="Calibri" w:hAnsi="Verdana" w:cs="Arial"/>
        </w:rPr>
        <w:t>.</w:t>
      </w:r>
    </w:p>
    <w:p w14:paraId="69883D0C" w14:textId="77777777" w:rsidR="00277B7A" w:rsidRDefault="00277B7A" w:rsidP="00735F89">
      <w:pPr>
        <w:widowControl w:val="0"/>
        <w:autoSpaceDE w:val="0"/>
        <w:autoSpaceDN w:val="0"/>
        <w:spacing w:after="120" w:line="276" w:lineRule="auto"/>
        <w:ind w:firstLine="709"/>
        <w:jc w:val="both"/>
        <w:rPr>
          <w:rFonts w:ascii="Verdana" w:eastAsia="Arial" w:hAnsi="Verdana" w:cs="Arial"/>
          <w:lang w:val="es-ES" w:eastAsia="es-ES" w:bidi="es-ES"/>
        </w:rPr>
      </w:pPr>
      <w:r w:rsidRPr="00F10E52">
        <w:rPr>
          <w:rFonts w:ascii="Verdana" w:eastAsia="Calibri" w:hAnsi="Verdana" w:cs="Aria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Pr>
          <w:rFonts w:ascii="Verdana" w:eastAsia="Calibri" w:hAnsi="Verdana" w:cs="Arial"/>
          <w:bCs/>
        </w:rPr>
        <w:t>“</w:t>
      </w:r>
      <w:r w:rsidRPr="00F10E52">
        <w:rPr>
          <w:rFonts w:ascii="Verdana" w:eastAsia="Calibri" w:hAnsi="Verdana" w:cs="Arial"/>
          <w:bCs/>
        </w:rPr>
        <w:t xml:space="preserve">[…] </w:t>
      </w:r>
      <w:r w:rsidRPr="00F10E52">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Calibri" w:hAnsi="Verdana" w:cs="Arial"/>
          <w:bCs/>
        </w:rPr>
        <w:t>”</w:t>
      </w:r>
      <w:r w:rsidRPr="00F10E52">
        <w:rPr>
          <w:rFonts w:ascii="Verdana" w:eastAsia="Calibri" w:hAnsi="Verdana" w:cs="Arial"/>
        </w:rPr>
        <w:t>.</w:t>
      </w:r>
      <w:r w:rsidRPr="00F10E52">
        <w:rPr>
          <w:rFonts w:ascii="Verdana" w:eastAsia="Arial" w:hAnsi="Verdana" w:cs="Arial"/>
          <w:lang w:val="es-ES" w:eastAsia="es-ES" w:bidi="es-ES"/>
        </w:rPr>
        <w:t xml:space="preserve"> </w:t>
      </w:r>
    </w:p>
    <w:p w14:paraId="2A9AD738" w14:textId="77777777" w:rsidR="00277B7A" w:rsidRPr="00F10E52" w:rsidRDefault="00277B7A" w:rsidP="00735F89">
      <w:pPr>
        <w:widowControl w:val="0"/>
        <w:autoSpaceDE w:val="0"/>
        <w:autoSpaceDN w:val="0"/>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113F3B5D" w14:textId="77777777" w:rsidR="00277B7A" w:rsidRPr="003D0447" w:rsidRDefault="00277B7A" w:rsidP="00277B7A">
      <w:pPr>
        <w:widowControl w:val="0"/>
        <w:autoSpaceDE w:val="0"/>
        <w:autoSpaceDN w:val="0"/>
        <w:spacing w:after="0" w:line="276" w:lineRule="auto"/>
        <w:ind w:left="709" w:right="709"/>
        <w:jc w:val="both"/>
        <w:rPr>
          <w:rFonts w:ascii="Verdana" w:eastAsia="Arial" w:hAnsi="Verdana" w:cs="Arial"/>
          <w:lang w:val="es-ES" w:eastAsia="es-ES" w:bidi="es-ES"/>
        </w:rPr>
      </w:pPr>
    </w:p>
    <w:p w14:paraId="41D52538" w14:textId="77777777" w:rsidR="00277B7A" w:rsidRPr="00735F89" w:rsidRDefault="00277B7A" w:rsidP="00735F89">
      <w:pPr>
        <w:widowControl w:val="0"/>
        <w:autoSpaceDE w:val="0"/>
        <w:autoSpaceDN w:val="0"/>
        <w:spacing w:after="0" w:line="240" w:lineRule="auto"/>
        <w:ind w:left="709" w:right="709"/>
        <w:jc w:val="both"/>
        <w:rPr>
          <w:rFonts w:ascii="Verdana" w:eastAsia="Arial" w:hAnsi="Verdana" w:cs="Arial"/>
          <w:sz w:val="21"/>
          <w:szCs w:val="21"/>
          <w:lang w:eastAsia="es-ES" w:bidi="es-ES"/>
        </w:rPr>
      </w:pPr>
      <w:r w:rsidRPr="00735F89">
        <w:rPr>
          <w:rFonts w:ascii="Verdana" w:eastAsia="Arial" w:hAnsi="Verdana" w:cs="Arial"/>
          <w:sz w:val="21"/>
          <w:szCs w:val="21"/>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4" w:name="_Hlk76109421"/>
      <w:r w:rsidRPr="00735F89">
        <w:rPr>
          <w:rFonts w:ascii="Verdana" w:eastAsia="Arial" w:hAnsi="Verdana" w:cs="Arial"/>
          <w:sz w:val="21"/>
          <w:szCs w:val="21"/>
          <w:lang w:eastAsia="es-ES" w:bidi="es-ES"/>
        </w:rPr>
        <w:t>se integran parcialmente</w:t>
      </w:r>
      <w:bookmarkEnd w:id="4"/>
      <w:r w:rsidRPr="00735F89">
        <w:rPr>
          <w:rFonts w:ascii="Verdana" w:eastAsia="Arial" w:hAnsi="Verdana" w:cs="Arial"/>
          <w:sz w:val="21"/>
          <w:szCs w:val="21"/>
          <w:lang w:eastAsia="es-ES" w:bidi="es-ES"/>
        </w:rPr>
        <w:t>,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735F89">
        <w:rPr>
          <w:rFonts w:ascii="Verdana" w:eastAsia="Arial" w:hAnsi="Verdana" w:cs="Arial"/>
          <w:sz w:val="21"/>
          <w:szCs w:val="21"/>
          <w:vertAlign w:val="superscript"/>
          <w:lang w:eastAsia="es-ES" w:bidi="es-ES"/>
        </w:rPr>
        <w:footnoteReference w:id="7"/>
      </w:r>
    </w:p>
    <w:p w14:paraId="2901A54B" w14:textId="77777777" w:rsidR="00277B7A" w:rsidRDefault="00277B7A" w:rsidP="00277B7A">
      <w:pPr>
        <w:spacing w:after="0" w:line="276" w:lineRule="auto"/>
        <w:ind w:firstLine="709"/>
        <w:jc w:val="both"/>
        <w:rPr>
          <w:rFonts w:ascii="Verdana" w:eastAsia="Arial" w:hAnsi="Verdana" w:cs="Arial"/>
          <w:lang w:val="es-ES" w:eastAsia="es-ES" w:bidi="es-ES"/>
        </w:rPr>
      </w:pPr>
    </w:p>
    <w:p w14:paraId="3F2F00D1" w14:textId="77777777" w:rsidR="00277B7A" w:rsidRPr="00F10E52" w:rsidRDefault="00277B7A" w:rsidP="00735F89">
      <w:pPr>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De conformidad con lo anterior</w:t>
      </w:r>
      <w:bookmarkStart w:id="5" w:name="_Hlk99438241"/>
      <w:r w:rsidRPr="00F10E52">
        <w:rPr>
          <w:rFonts w:ascii="Verdana" w:eastAsia="Arial" w:hAnsi="Verdana" w:cs="Arial"/>
          <w:lang w:val="es-ES" w:eastAsia="es-ES" w:bidi="es-ES"/>
        </w:rPr>
        <w:t xml:space="preserve">, </w:t>
      </w:r>
      <w:bookmarkStart w:id="6" w:name="_Hlk77236420"/>
      <w:bookmarkStart w:id="7" w:name="_Hlk78818435"/>
      <w:bookmarkStart w:id="8" w:name="_Hlk75780333"/>
      <w:r w:rsidRPr="00F10E52">
        <w:rPr>
          <w:rFonts w:ascii="Verdana" w:eastAsia="Arial" w:hAnsi="Verdana" w:cs="Arial"/>
          <w:lang w:val="es-ES" w:eastAsia="es-ES" w:bidi="es-ES"/>
        </w:rPr>
        <w:t xml:space="preserve">la Ley 996 de 2005 establece dos (2) tipos de restricciones en materia de contratación, las cuales coinciden parcialmente. </w:t>
      </w:r>
      <w:r w:rsidRPr="00F10E52">
        <w:rPr>
          <w:rFonts w:ascii="Verdana" w:eastAsia="Arial" w:hAnsi="Verdana" w:cs="Arial"/>
          <w:i/>
          <w:iCs/>
          <w:lang w:val="es-ES" w:eastAsia="es-ES" w:bidi="es-ES"/>
        </w:rPr>
        <w:t>En primer lugar</w:t>
      </w:r>
      <w:r w:rsidRPr="00F10E52">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F10E52">
        <w:rPr>
          <w:rFonts w:ascii="Verdana" w:eastAsia="Arial" w:hAnsi="Verdana" w:cs="Arial"/>
          <w:i/>
          <w:iCs/>
          <w:lang w:val="es-ES" w:eastAsia="es-ES" w:bidi="es-ES"/>
        </w:rPr>
        <w:t>En segundo lugar</w:t>
      </w:r>
      <w:r w:rsidRPr="00F10E52">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6"/>
    </w:p>
    <w:bookmarkEnd w:id="5"/>
    <w:bookmarkEnd w:id="7"/>
    <w:p w14:paraId="093F3236" w14:textId="77777777" w:rsidR="00277B7A" w:rsidRPr="00F10E52" w:rsidRDefault="00277B7A" w:rsidP="00735F89">
      <w:pPr>
        <w:spacing w:after="120" w:line="276" w:lineRule="auto"/>
        <w:ind w:firstLine="709"/>
        <w:jc w:val="both"/>
        <w:rPr>
          <w:rFonts w:ascii="Verdana" w:eastAsia="Arial" w:hAnsi="Verdana" w:cs="Arial"/>
          <w:lang w:val="es-ES" w:eastAsia="es-ES" w:bidi="es-ES"/>
        </w:rPr>
      </w:pPr>
      <w:r w:rsidRPr="00F10E52">
        <w:rPr>
          <w:rFonts w:ascii="Verdana" w:eastAsia="Arial" w:hAnsi="Verdana" w:cs="Arial"/>
          <w:lang w:val="es-ES" w:eastAsia="es-ES" w:bidi="es-ES"/>
        </w:rPr>
        <w:t xml:space="preserve">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w:t>
      </w:r>
    </w:p>
    <w:bookmarkEnd w:id="8"/>
    <w:p w14:paraId="587604C0" w14:textId="77777777" w:rsidR="00277B7A" w:rsidRPr="003D0447" w:rsidRDefault="00277B7A" w:rsidP="00735F89">
      <w:pPr>
        <w:spacing w:after="120" w:line="276" w:lineRule="auto"/>
        <w:ind w:firstLine="709"/>
        <w:jc w:val="both"/>
        <w:rPr>
          <w:rFonts w:ascii="Verdana" w:hAnsi="Verdana" w:cs="Arial"/>
          <w:b/>
          <w:color w:val="000000" w:themeColor="text1"/>
          <w:lang w:eastAsia="es-ES_tradnl"/>
        </w:rPr>
      </w:pPr>
      <w:r w:rsidRPr="003D0447">
        <w:rPr>
          <w:rFonts w:ascii="Verdana" w:hAnsi="Verdana" w:cs="Arial"/>
          <w:bCs/>
          <w:color w:val="000000"/>
          <w:lang w:val="es-ES" w:eastAsia="es-CO"/>
        </w:rPr>
        <w:t xml:space="preserve">Teniendo en cuenta la consulta planteada, </w:t>
      </w:r>
      <w:r w:rsidRPr="003D0447">
        <w:rPr>
          <w:rFonts w:ascii="Verdana" w:hAnsi="Verdana" w:cs="Arial"/>
          <w:bCs/>
          <w:color w:val="000000"/>
          <w:lang w:eastAsia="es-CO"/>
        </w:rPr>
        <w:t>es importante analizar las restricciones aplicables a cada una de estas elecciones, pues presentan importantes diferencias, como su fundamento jurídico. Con esa finalidad, en primer lugar, se analizarán las restricciones aplicables frente a las elecciones presidenciales, y, posteriormente, las referentes a los demás cargos de elección popular.</w:t>
      </w:r>
    </w:p>
    <w:p w14:paraId="42A1305D" w14:textId="77777777" w:rsidR="00277B7A" w:rsidRPr="00F10E52" w:rsidRDefault="00277B7A" w:rsidP="00735F89">
      <w:pPr>
        <w:spacing w:after="120" w:line="276" w:lineRule="auto"/>
        <w:ind w:firstLine="709"/>
        <w:jc w:val="both"/>
        <w:rPr>
          <w:rFonts w:ascii="Verdana" w:eastAsia="Times New Roman" w:hAnsi="Verdana" w:cs="Arial"/>
          <w:lang w:eastAsia="es-CO"/>
        </w:rPr>
      </w:pPr>
      <w:r w:rsidRPr="6C2E595E">
        <w:rPr>
          <w:rFonts w:ascii="Verdana" w:eastAsia="Times New Roman" w:hAnsi="Verdana" w:cs="Arial"/>
          <w:lang w:val="es-ES" w:eastAsia="es-CO"/>
        </w:rPr>
        <w:t>E</w:t>
      </w:r>
      <w:r w:rsidRPr="6C2E595E">
        <w:rPr>
          <w:rFonts w:ascii="Verdana" w:eastAsia="Times New Roman" w:hAnsi="Verdana" w:cs="Arial"/>
        </w:rPr>
        <w:t xml:space="preserve">l ámbito material de la prohibición contenida </w:t>
      </w:r>
      <w:bookmarkStart w:id="9" w:name="_Hlk75628761"/>
      <w:r w:rsidRPr="6C2E595E">
        <w:rPr>
          <w:rFonts w:ascii="Verdana" w:eastAsia="Times New Roman" w:hAnsi="Verdana" w:cs="Arial"/>
        </w:rPr>
        <w:t>en el artículo 33 de la Ley 996 de 2005</w:t>
      </w:r>
    </w:p>
    <w:p w14:paraId="3CC927DE" w14:textId="77777777" w:rsidR="00277B7A" w:rsidRPr="00F10E52" w:rsidRDefault="00277B7A" w:rsidP="00735F89">
      <w:pPr>
        <w:spacing w:after="120" w:line="276" w:lineRule="auto"/>
        <w:ind w:firstLine="709"/>
        <w:jc w:val="both"/>
        <w:rPr>
          <w:rFonts w:ascii="Verdana" w:eastAsia="Times New Roman" w:hAnsi="Verdana" w:cs="Arial"/>
          <w:bCs/>
          <w:lang w:eastAsia="es-CO"/>
        </w:rPr>
      </w:pPr>
      <w:r w:rsidRPr="6C2E595E">
        <w:rPr>
          <w:rFonts w:ascii="Verdana" w:eastAsia="Times New Roman" w:hAnsi="Verdana" w:cs="Arial"/>
        </w:rPr>
        <w:t xml:space="preserve"> </w:t>
      </w:r>
      <w:bookmarkEnd w:id="9"/>
      <w:r w:rsidRPr="6C2E595E">
        <w:rPr>
          <w:rFonts w:ascii="Verdana" w:eastAsia="Times New Roman" w:hAnsi="Verdana" w:cs="Arial"/>
        </w:rPr>
        <w:t xml:space="preserve">está delimitado por la expresión </w:t>
      </w:r>
      <w:r>
        <w:rPr>
          <w:rFonts w:ascii="Verdana" w:eastAsia="Calibri" w:hAnsi="Verdana" w:cs="Arial"/>
          <w:bCs/>
        </w:rPr>
        <w:t>“</w:t>
      </w:r>
      <w:r w:rsidRPr="6C2E595E">
        <w:rPr>
          <w:rFonts w:ascii="Verdana" w:eastAsia="Times New Roman" w:hAnsi="Verdana" w:cs="Arial"/>
        </w:rPr>
        <w:t>queda prohibida la contratación directa</w:t>
      </w:r>
      <w:r>
        <w:rPr>
          <w:rFonts w:ascii="Verdana" w:hAnsi="Verdana" w:cs="Arial"/>
        </w:rPr>
        <w:t>”</w:t>
      </w:r>
      <w:r w:rsidRPr="6C2E595E">
        <w:rPr>
          <w:rFonts w:ascii="Verdana" w:eastAsia="Times New Roman" w:hAnsi="Verdana" w:cs="Arial"/>
        </w:rPr>
        <w:t>.</w:t>
      </w:r>
      <w:r w:rsidRPr="00F10E52">
        <w:rPr>
          <w:rFonts w:ascii="Verdana" w:eastAsia="Times New Roman" w:hAnsi="Verdana" w:cs="Arial"/>
          <w:lang w:eastAsia="es-CO"/>
        </w:rPr>
        <w:t xml:space="preserve"> A propósito de esta restricción de la Ley de Garantías Electorales, la Sala de Consulta y Servicio Civil del Consejo de Estado ha considerado que:</w:t>
      </w:r>
    </w:p>
    <w:p w14:paraId="0C0B3F73" w14:textId="77777777" w:rsidR="00277B7A" w:rsidRPr="00735F89" w:rsidRDefault="00277B7A" w:rsidP="00735F89">
      <w:pPr>
        <w:spacing w:after="0" w:line="240" w:lineRule="auto"/>
        <w:ind w:left="709" w:right="709"/>
        <w:jc w:val="both"/>
        <w:rPr>
          <w:rFonts w:ascii="Verdana" w:hAnsi="Verdana" w:cs="Arial"/>
          <w:sz w:val="21"/>
          <w:szCs w:val="21"/>
        </w:rPr>
      </w:pPr>
    </w:p>
    <w:p w14:paraId="268DE36A" w14:textId="77777777" w:rsidR="00277B7A" w:rsidRPr="00735F89" w:rsidRDefault="00277B7A" w:rsidP="00735F89">
      <w:pPr>
        <w:spacing w:after="0" w:line="240" w:lineRule="auto"/>
        <w:ind w:left="709" w:right="709"/>
        <w:jc w:val="both"/>
        <w:rPr>
          <w:rFonts w:ascii="Verdana" w:hAnsi="Verdana" w:cs="Arial"/>
          <w:sz w:val="21"/>
          <w:szCs w:val="21"/>
        </w:rPr>
      </w:pPr>
      <w:r w:rsidRPr="00735F89">
        <w:rPr>
          <w:rFonts w:ascii="Verdana" w:hAnsi="Verdana" w:cs="Arial"/>
          <w:sz w:val="21"/>
          <w:szCs w:val="21"/>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735F89">
        <w:rPr>
          <w:rFonts w:ascii="Verdana" w:eastAsia="Times New Roman" w:hAnsi="Verdana" w:cs="Arial"/>
          <w:sz w:val="21"/>
          <w:szCs w:val="21"/>
          <w:vertAlign w:val="superscript"/>
          <w:lang w:eastAsia="es-CO"/>
        </w:rPr>
        <w:footnoteReference w:id="8"/>
      </w:r>
      <w:r w:rsidRPr="00735F89">
        <w:rPr>
          <w:rFonts w:ascii="Verdana" w:hAnsi="Verdana" w:cs="Arial"/>
          <w:sz w:val="21"/>
          <w:szCs w:val="21"/>
        </w:rPr>
        <w:t>.</w:t>
      </w:r>
    </w:p>
    <w:p w14:paraId="2C5A1BAC" w14:textId="77777777" w:rsidR="00277B7A" w:rsidRPr="00735F89" w:rsidRDefault="00277B7A" w:rsidP="00735F89">
      <w:pPr>
        <w:spacing w:after="0" w:line="240" w:lineRule="auto"/>
        <w:ind w:left="709" w:right="709"/>
        <w:jc w:val="both"/>
        <w:rPr>
          <w:rFonts w:ascii="Verdana" w:hAnsi="Verdana" w:cs="Arial"/>
          <w:sz w:val="21"/>
          <w:szCs w:val="21"/>
        </w:rPr>
      </w:pPr>
    </w:p>
    <w:p w14:paraId="17E457E0" w14:textId="77777777" w:rsidR="00277B7A" w:rsidRPr="00735F89" w:rsidRDefault="00277B7A" w:rsidP="00735F89">
      <w:pPr>
        <w:spacing w:after="0" w:line="240" w:lineRule="auto"/>
        <w:ind w:left="709" w:right="709"/>
        <w:jc w:val="both"/>
        <w:rPr>
          <w:rFonts w:ascii="Verdana" w:hAnsi="Verdana" w:cs="Arial"/>
          <w:sz w:val="21"/>
          <w:szCs w:val="21"/>
        </w:rPr>
      </w:pPr>
      <w:r w:rsidRPr="00735F89">
        <w:rPr>
          <w:rFonts w:ascii="Verdana" w:hAnsi="Verdana" w:cs="Arial"/>
          <w:sz w:val="21"/>
          <w:szCs w:val="21"/>
        </w:rPr>
        <w:t xml:space="preserve">Esta Sala ha entendido que para los efectos de la ley de garantías, y dada su finalidad, el enunciado ´contratación directa´ es sinónimo </w:t>
      </w:r>
      <w:bookmarkStart w:id="12" w:name="_Hlk75741738"/>
      <w:r w:rsidRPr="00735F89">
        <w:rPr>
          <w:rFonts w:ascii="Verdana" w:hAnsi="Verdana" w:cs="Arial"/>
          <w:sz w:val="21"/>
          <w:szCs w:val="21"/>
        </w:rPr>
        <w:t xml:space="preserve">de cualquier sistema que no implique convocatoria pública y posibilidad de pluralidad de oferentes, </w:t>
      </w:r>
      <w:bookmarkEnd w:id="12"/>
      <w:r w:rsidRPr="00735F89">
        <w:rPr>
          <w:rFonts w:ascii="Verdana" w:hAnsi="Verdana" w:cs="Arial"/>
          <w:sz w:val="21"/>
          <w:szCs w:val="21"/>
        </w:rPr>
        <w:t>y que, además, no necesariamente hace referencia al procedimiento especial regulado por la ley de contratación estatal, sino a cualquier otro que prescinda de un proceso de licitación pública o concurso</w:t>
      </w:r>
      <w:r w:rsidRPr="00735F89">
        <w:rPr>
          <w:rFonts w:ascii="Verdana" w:eastAsia="Times New Roman" w:hAnsi="Verdana" w:cs="Arial"/>
          <w:sz w:val="21"/>
          <w:szCs w:val="21"/>
          <w:vertAlign w:val="superscript"/>
        </w:rPr>
        <w:footnoteReference w:id="9"/>
      </w:r>
      <w:r w:rsidRPr="00735F89">
        <w:rPr>
          <w:rFonts w:ascii="Verdana" w:eastAsia="Times New Roman" w:hAnsi="Verdana" w:cs="Arial"/>
          <w:sz w:val="21"/>
          <w:szCs w:val="21"/>
          <w:vertAlign w:val="superscript"/>
        </w:rPr>
        <w:t>.</w:t>
      </w:r>
      <w:r w:rsidRPr="00735F89">
        <w:rPr>
          <w:rFonts w:ascii="Verdana" w:hAnsi="Verdana" w:cs="Arial"/>
          <w:sz w:val="21"/>
          <w:szCs w:val="21"/>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735F89">
        <w:rPr>
          <w:rFonts w:ascii="Verdana" w:eastAsia="Times New Roman" w:hAnsi="Verdana" w:cs="Arial"/>
          <w:sz w:val="21"/>
          <w:szCs w:val="21"/>
          <w:vertAlign w:val="superscript"/>
          <w:lang w:eastAsia="es-CO"/>
        </w:rPr>
        <w:footnoteReference w:id="10"/>
      </w:r>
      <w:r w:rsidRPr="00735F89">
        <w:rPr>
          <w:rFonts w:ascii="Verdana" w:hAnsi="Verdana" w:cs="Arial"/>
          <w:sz w:val="21"/>
          <w:szCs w:val="21"/>
        </w:rPr>
        <w:t xml:space="preserve"> .</w:t>
      </w:r>
    </w:p>
    <w:p w14:paraId="2E0BDD4E" w14:textId="77777777" w:rsidR="00277B7A" w:rsidRDefault="00277B7A" w:rsidP="00277B7A">
      <w:pPr>
        <w:spacing w:after="0" w:line="276" w:lineRule="auto"/>
        <w:ind w:firstLine="708"/>
        <w:jc w:val="both"/>
        <w:rPr>
          <w:rFonts w:ascii="Verdana" w:eastAsia="Times New Roman" w:hAnsi="Verdana" w:cs="Arial"/>
          <w:lang w:eastAsia="x-none"/>
        </w:rPr>
      </w:pPr>
      <w:bookmarkStart w:id="13" w:name="_Hlk94521748"/>
    </w:p>
    <w:p w14:paraId="1835C444" w14:textId="77777777" w:rsidR="00277B7A" w:rsidRPr="00F10E52" w:rsidRDefault="00277B7A" w:rsidP="00735F89">
      <w:pPr>
        <w:spacing w:after="120" w:line="276" w:lineRule="auto"/>
        <w:ind w:firstLine="709"/>
        <w:jc w:val="both"/>
        <w:rPr>
          <w:rFonts w:ascii="Verdana" w:eastAsia="Times New Roman" w:hAnsi="Verdana" w:cs="Arial"/>
          <w:bCs/>
          <w:lang w:eastAsia="x-none"/>
        </w:rPr>
      </w:pPr>
      <w:r w:rsidRPr="00F10E52">
        <w:rPr>
          <w:rFonts w:ascii="Verdana" w:eastAsia="Times New Roman" w:hAnsi="Verdana" w:cs="Arial"/>
          <w:lang w:eastAsia="x-none"/>
        </w:rPr>
        <w:t xml:space="preserve">De conformidad con el citado concepto, </w:t>
      </w:r>
      <w:bookmarkStart w:id="14" w:name="_Hlk78818702"/>
      <w:r w:rsidRPr="00F10E52">
        <w:rPr>
          <w:rFonts w:ascii="Verdana" w:eastAsia="Times New Roman" w:hAnsi="Verdana" w:cs="Arial"/>
          <w:lang w:eastAsia="x-none"/>
        </w:rPr>
        <w:t xml:space="preserve">la prohibición del artículo 33 de la Ley de Garantías Electorales se refiere a </w:t>
      </w:r>
      <w:bookmarkStart w:id="15" w:name="_Hlk74294635"/>
      <w:r>
        <w:rPr>
          <w:rFonts w:ascii="Verdana" w:eastAsia="Times New Roman" w:hAnsi="Verdana" w:cs="Arial"/>
          <w:lang w:eastAsia="en-GB"/>
        </w:rPr>
        <w:t>“</w:t>
      </w:r>
      <w:bookmarkEnd w:id="15"/>
      <w:r w:rsidRPr="00F10E52">
        <w:rPr>
          <w:rFonts w:ascii="Verdana" w:eastAsia="Times New Roman" w:hAnsi="Verdana" w:cs="Arial"/>
          <w:lang w:eastAsia="x-none"/>
        </w:rPr>
        <w:t>cualquier sistema que no implique convocatoria pública y posibilidad de pluralidad de oferentes</w:t>
      </w:r>
      <w:bookmarkStart w:id="16" w:name="_Hlk74404754"/>
      <w:r>
        <w:rPr>
          <w:rFonts w:ascii="Verdana" w:eastAsia="Times New Roman" w:hAnsi="Verdana" w:cs="Arial"/>
          <w:lang w:eastAsia="en-GB"/>
        </w:rPr>
        <w:t>”</w:t>
      </w:r>
      <w:bookmarkEnd w:id="16"/>
      <w:r w:rsidRPr="00F10E52">
        <w:rPr>
          <w:rFonts w:ascii="Verdana" w:eastAsia="Times New Roman" w:hAnsi="Verdana" w:cs="Arial"/>
          <w:lang w:eastAsia="x-none"/>
        </w:rPr>
        <w:t xml:space="preserve">, por lo que excluye las demás modalidades de contratación previstas en la Ley 1150 de 2007, es decir, la licitación pública, la selección abreviada y el concurso de méritos u otros previstos en normas especiales. </w:t>
      </w:r>
      <w:bookmarkEnd w:id="13"/>
      <w:bookmarkEnd w:id="14"/>
      <w:r w:rsidRPr="00F10E52">
        <w:rPr>
          <w:rFonts w:ascii="Verdana" w:eastAsia="Times New Roman" w:hAnsi="Verdana" w:cs="Arial"/>
          <w:lang w:eastAsia="x-none"/>
        </w:rPr>
        <w:t>Esta posición es congruente con la expedición de la Ley 1150 de 2007 que, entre otras reformas, introdujo la selección abreviada, rediseñó el concurso de méritos</w:t>
      </w:r>
      <w:r w:rsidRPr="00F10E52">
        <w:rPr>
          <w:rFonts w:ascii="Verdana" w:eastAsia="Times New Roman" w:hAnsi="Verdana" w:cs="Arial"/>
          <w:vertAlign w:val="superscript"/>
          <w:lang w:val="en-GB" w:eastAsia="x-none"/>
        </w:rPr>
        <w:footnoteReference w:id="11"/>
      </w:r>
      <w:r w:rsidRPr="00F10E52">
        <w:rPr>
          <w:rFonts w:ascii="Verdana" w:eastAsia="Times New Roman" w:hAnsi="Verdana" w:cs="Arial"/>
          <w:lang w:eastAsia="x-none"/>
        </w:rPr>
        <w:t xml:space="preserve"> y sistematizó las causales de contratación directa</w:t>
      </w:r>
      <w:r w:rsidRPr="00F10E52">
        <w:rPr>
          <w:rFonts w:ascii="Verdana" w:eastAsia="Times New Roman" w:hAnsi="Verdana" w:cs="Arial"/>
          <w:vertAlign w:val="superscript"/>
          <w:lang w:val="en-GB" w:eastAsia="x-none"/>
        </w:rPr>
        <w:footnoteReference w:id="12"/>
      </w:r>
      <w:r w:rsidRPr="00F10E52">
        <w:rPr>
          <w:rFonts w:ascii="Verdana" w:eastAsia="Times New Roman" w:hAnsi="Verdana" w:cs="Arial"/>
          <w:lang w:eastAsia="x-none"/>
        </w:rPr>
        <w:t xml:space="preserve">. </w:t>
      </w:r>
    </w:p>
    <w:p w14:paraId="61B730C1" w14:textId="77777777" w:rsidR="00277B7A" w:rsidRPr="00F10E52" w:rsidRDefault="00277B7A" w:rsidP="00735F89">
      <w:pPr>
        <w:spacing w:after="120" w:line="276" w:lineRule="auto"/>
        <w:ind w:firstLine="709"/>
        <w:jc w:val="both"/>
        <w:rPr>
          <w:rFonts w:ascii="Verdana" w:eastAsia="Times New Roman" w:hAnsi="Verdana" w:cs="Arial"/>
          <w:lang w:eastAsia="x-none"/>
        </w:rPr>
      </w:pPr>
      <w:r w:rsidRPr="00F10E52">
        <w:rPr>
          <w:rFonts w:ascii="Verdana" w:eastAsia="Times New Roman" w:hAnsi="Verdana" w:cs="Arial"/>
          <w:lang w:eastAsia="x-none"/>
        </w:rPr>
        <w:t xml:space="preserve">De esta forma, se ha depurado la noción de </w:t>
      </w:r>
      <w:r>
        <w:rPr>
          <w:rFonts w:ascii="Verdana" w:eastAsia="Times New Roman" w:hAnsi="Verdana" w:cs="Arial"/>
          <w:lang w:eastAsia="en-GB"/>
        </w:rPr>
        <w:t>“</w:t>
      </w:r>
      <w:r w:rsidRPr="00F10E52">
        <w:rPr>
          <w:rFonts w:ascii="Verdana" w:eastAsia="Times New Roman" w:hAnsi="Verdana" w:cs="Arial"/>
          <w:lang w:eastAsia="x-none"/>
        </w:rPr>
        <w:t>contratación directa</w:t>
      </w:r>
      <w:r>
        <w:rPr>
          <w:rFonts w:ascii="Verdana" w:eastAsia="Times New Roman" w:hAnsi="Verdana" w:cs="Arial"/>
          <w:lang w:eastAsia="en-GB"/>
        </w:rPr>
        <w:t>”</w:t>
      </w:r>
      <w:r w:rsidRPr="00F10E52">
        <w:rPr>
          <w:rFonts w:ascii="Verdana" w:eastAsia="Times New Roman" w:hAnsi="Verdana" w:cs="Arial"/>
          <w:lang w:eastAsia="x-none"/>
        </w:rPr>
        <w:t xml:space="preserve">, precisando el Consejo de Estado –en el concepto citado– que, </w:t>
      </w:r>
      <w:r>
        <w:rPr>
          <w:rFonts w:ascii="Verdana" w:eastAsia="Times New Roman" w:hAnsi="Verdana" w:cs="Arial"/>
          <w:lang w:eastAsia="x-none"/>
        </w:rPr>
        <w:t>“</w:t>
      </w:r>
      <w:r w:rsidRPr="00F10E52">
        <w:rPr>
          <w:rFonts w:ascii="Verdana" w:eastAsia="Times New Roman" w:hAnsi="Verdana" w:cs="Arial"/>
          <w:lang w:eastAsia="x-none"/>
        </w:rPr>
        <w:t>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F10E52">
        <w:rPr>
          <w:rFonts w:ascii="Verdana" w:eastAsia="Times New Roman" w:hAnsi="Verdana" w:cs="Arial"/>
          <w:vertAlign w:val="superscript"/>
          <w:lang w:val="en-GB" w:eastAsia="x-none"/>
        </w:rPr>
        <w:footnoteReference w:id="13"/>
      </w:r>
      <w:r w:rsidRPr="00F10E52">
        <w:rPr>
          <w:rFonts w:ascii="Verdana" w:eastAsia="Times New Roman" w:hAnsi="Verdana" w:cs="Arial"/>
          <w:lang w:eastAsia="x-none"/>
        </w:rPr>
        <w:t>, han establecido sistemas de contratación que implican convocatoria pública y participación de varios oferentes</w:t>
      </w:r>
      <w:r>
        <w:rPr>
          <w:rFonts w:ascii="Verdana" w:eastAsia="Times New Roman" w:hAnsi="Verdana" w:cs="Arial"/>
          <w:lang w:eastAsia="en-GB"/>
        </w:rPr>
        <w:t>”</w:t>
      </w:r>
      <w:r w:rsidRPr="00F10E52">
        <w:rPr>
          <w:rFonts w:ascii="Verdana" w:eastAsia="Times New Roman" w:hAnsi="Verdana" w:cs="Arial"/>
          <w:lang w:eastAsia="x-none"/>
        </w:rPr>
        <w:t xml:space="preserve">. </w:t>
      </w:r>
    </w:p>
    <w:p w14:paraId="4BD643F7" w14:textId="77777777" w:rsidR="00277B7A" w:rsidRPr="00F10E52" w:rsidRDefault="00277B7A" w:rsidP="00735F89">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x-none"/>
        </w:rPr>
        <w:t>E</w:t>
      </w:r>
      <w:r w:rsidRPr="00F10E52">
        <w:rPr>
          <w:rFonts w:ascii="Verdana" w:eastAsia="Times New Roman" w:hAnsi="Verdana" w:cs="Arial"/>
          <w:lang w:eastAsia="x-none"/>
        </w:rPr>
        <w:t xml:space="preserve">n efecto, vale la pena mencionar que, </w:t>
      </w:r>
      <w:bookmarkStart w:id="17" w:name="_Hlk75636073"/>
      <w:r w:rsidRPr="00F10E52">
        <w:rPr>
          <w:rFonts w:ascii="Verdana" w:eastAsia="Times New Roman" w:hAnsi="Verdana" w:cs="Arial"/>
          <w:lang w:eastAsia="x-none"/>
        </w:rPr>
        <w:t xml:space="preserve">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Pr>
          <w:rFonts w:ascii="Verdana" w:eastAsia="Times New Roman" w:hAnsi="Verdana" w:cs="Arial"/>
          <w:lang w:eastAsia="x-none"/>
        </w:rPr>
        <w:t>“</w:t>
      </w:r>
      <w:r w:rsidRPr="00F10E52">
        <w:rPr>
          <w:rFonts w:ascii="Verdana" w:eastAsia="Times New Roman" w:hAnsi="Verdana" w:cs="Arial"/>
          <w:lang w:eastAsia="x-none"/>
        </w:rPr>
        <w:t>contratación directa</w:t>
      </w:r>
      <w:r>
        <w:rPr>
          <w:rFonts w:ascii="Verdana" w:eastAsia="Times New Roman" w:hAnsi="Verdana" w:cs="Arial"/>
          <w:lang w:eastAsia="x-none"/>
        </w:rPr>
        <w:t>”</w:t>
      </w:r>
      <w:r w:rsidRPr="00F10E52">
        <w:rPr>
          <w:rFonts w:ascii="Verdana" w:eastAsia="Times New Roman" w:hAnsi="Verdana" w:cs="Arial"/>
          <w:lang w:eastAsia="x-none"/>
        </w:rPr>
        <w:t>, es que la convocatoria para inscribirse en forma previa se haga de manera pública, y que se permita la participación de una pluralidad de oferentes</w:t>
      </w:r>
      <w:bookmarkEnd w:id="17"/>
      <w:r w:rsidRPr="00F10E52">
        <w:rPr>
          <w:rFonts w:ascii="Verdana" w:eastAsia="Times New Roman" w:hAnsi="Verdana" w:cs="Arial"/>
          <w:vertAlign w:val="superscript"/>
          <w:lang w:eastAsia="x-none"/>
        </w:rPr>
        <w:footnoteReference w:id="14"/>
      </w:r>
      <w:r w:rsidRPr="00F10E52">
        <w:rPr>
          <w:rFonts w:ascii="Verdana" w:eastAsia="Times New Roman" w:hAnsi="Verdana" w:cs="Arial"/>
          <w:lang w:eastAsia="x-none"/>
        </w:rPr>
        <w:t xml:space="preserve">. </w:t>
      </w:r>
    </w:p>
    <w:p w14:paraId="75FA2B20" w14:textId="77777777" w:rsidR="00277B7A" w:rsidRPr="00F10E52" w:rsidRDefault="00277B7A" w:rsidP="00735F89">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es-CO"/>
        </w:rPr>
        <w:t>Como se advierte de lo anterior, el Consejo de Estado realiza una interpretación amplia de la contratación directa, para efectos de aplicar las restricciones establecidas en la Ley de Garantías</w:t>
      </w:r>
      <w:r>
        <w:rPr>
          <w:rFonts w:ascii="Verdana" w:eastAsia="Times New Roman" w:hAnsi="Verdana" w:cs="Arial"/>
          <w:bCs/>
          <w:lang w:eastAsia="es-CO"/>
        </w:rPr>
        <w:t xml:space="preserve"> Electorales</w:t>
      </w:r>
      <w:r w:rsidRPr="00F10E52">
        <w:rPr>
          <w:rFonts w:ascii="Verdana" w:eastAsia="Times New Roman" w:hAnsi="Verdana" w:cs="Arial"/>
          <w:bCs/>
          <w:lang w:eastAsia="es-CO"/>
        </w:rPr>
        <w:t xml:space="preserve">,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Pr>
          <w:rFonts w:ascii="Verdana" w:eastAsia="Times New Roman" w:hAnsi="Verdana" w:cs="Arial"/>
          <w:bCs/>
          <w:lang w:eastAsia="es-CO"/>
        </w:rPr>
        <w:t>“</w:t>
      </w:r>
      <w:r w:rsidRPr="00F10E52">
        <w:rPr>
          <w:rFonts w:ascii="Verdana" w:eastAsia="Times New Roman" w:hAnsi="Verdana" w:cs="Arial"/>
          <w:bCs/>
          <w:lang w:eastAsia="es-CO"/>
        </w:rPr>
        <w:t>contratación directa</w:t>
      </w:r>
      <w:r>
        <w:rPr>
          <w:rFonts w:ascii="Verdana" w:eastAsia="Times New Roman" w:hAnsi="Verdana" w:cs="Arial"/>
          <w:bCs/>
          <w:lang w:eastAsia="es-CO"/>
        </w:rPr>
        <w:t>”</w:t>
      </w:r>
      <w:r w:rsidRPr="00F10E52">
        <w:rPr>
          <w:rFonts w:ascii="Verdana" w:eastAsia="Times New Roman" w:hAnsi="Verdana" w:cs="Arial"/>
          <w:bCs/>
          <w:lang w:eastAsia="es-CO"/>
        </w:rPr>
        <w:t>.</w:t>
      </w:r>
    </w:p>
    <w:p w14:paraId="19556702" w14:textId="77777777" w:rsidR="00277B7A" w:rsidRPr="00F10E52" w:rsidRDefault="00277B7A" w:rsidP="00735F89">
      <w:pPr>
        <w:spacing w:after="120" w:line="276" w:lineRule="auto"/>
        <w:ind w:firstLine="709"/>
        <w:jc w:val="both"/>
        <w:rPr>
          <w:rFonts w:ascii="Verdana" w:eastAsia="Times New Roman" w:hAnsi="Verdana" w:cs="Arial"/>
          <w:bCs/>
          <w:lang w:eastAsia="x-none"/>
        </w:rPr>
      </w:pPr>
      <w:bookmarkStart w:id="18" w:name="_Hlk78818796"/>
      <w:r w:rsidRPr="00F10E52">
        <w:rPr>
          <w:rFonts w:ascii="Verdana" w:eastAsia="Times New Roman" w:hAnsi="Verdana" w:cs="Arial"/>
          <w:bCs/>
          <w:lang w:eastAsia="x-none"/>
        </w:rPr>
        <w:t xml:space="preserve">Así las cosas, ha de entenderse que, para los efectos de la Ley de Garantías Electorales y, en particular, para la prohibición o restricción temporal contenida en su artículo 33, </w:t>
      </w:r>
      <w:r>
        <w:rPr>
          <w:rFonts w:ascii="Verdana" w:eastAsia="Times New Roman" w:hAnsi="Verdana" w:cs="Arial"/>
          <w:bCs/>
          <w:lang w:eastAsia="x-none"/>
        </w:rPr>
        <w:t>“</w:t>
      </w:r>
      <w:r w:rsidRPr="00F10E52">
        <w:rPr>
          <w:rFonts w:ascii="Verdana" w:eastAsia="Times New Roman" w:hAnsi="Verdana" w:cs="Arial"/>
          <w:bCs/>
          <w:lang w:eastAsia="x-none"/>
        </w:rPr>
        <w:t>contratación directa</w:t>
      </w:r>
      <w:r>
        <w:rPr>
          <w:rFonts w:ascii="Verdana" w:eastAsia="Times New Roman" w:hAnsi="Verdana" w:cs="Arial"/>
          <w:bCs/>
          <w:lang w:eastAsia="x-none"/>
        </w:rPr>
        <w:t>”</w:t>
      </w:r>
      <w:r w:rsidRPr="00F10E52">
        <w:rPr>
          <w:rFonts w:ascii="Verdana" w:eastAsia="Times New Roman" w:hAnsi="Verdana" w:cs="Arial"/>
          <w:bCs/>
          <w:lang w:eastAsia="x-none"/>
        </w:rPr>
        <w:t xml:space="preserve"> es cualquier sistema de selección o procedimiento de contratación utilizado por las entidades estatales que no incluya la convocatoria pública en alguna de sus etapas, ni permita la participación de una pluralidad de oferentes</w:t>
      </w:r>
      <w:r w:rsidRPr="00F10E52">
        <w:rPr>
          <w:rFonts w:ascii="Verdana" w:eastAsia="Times New Roman" w:hAnsi="Verdana" w:cs="Arial"/>
          <w:vertAlign w:val="superscript"/>
          <w:lang w:eastAsia="x-none"/>
        </w:rPr>
        <w:footnoteReference w:id="15"/>
      </w:r>
      <w:r w:rsidRPr="00F10E52">
        <w:rPr>
          <w:rFonts w:ascii="Verdana" w:eastAsia="Times New Roman" w:hAnsi="Verdana" w:cs="Arial"/>
          <w:bCs/>
          <w:lang w:eastAsia="x-none"/>
        </w:rPr>
        <w:t>.</w:t>
      </w:r>
      <w:r w:rsidRPr="00F10E52">
        <w:rPr>
          <w:rFonts w:ascii="Verdana" w:eastAsia="Times New Roman" w:hAnsi="Verdana" w:cs="Arial"/>
          <w:vertAlign w:val="superscript"/>
          <w:lang w:eastAsia="x-none"/>
        </w:rPr>
        <w:t xml:space="preserve"> </w:t>
      </w:r>
    </w:p>
    <w:bookmarkEnd w:id="18"/>
    <w:p w14:paraId="7C5D7F48" w14:textId="77777777" w:rsidR="00277B7A" w:rsidRPr="00F10E52" w:rsidRDefault="00277B7A" w:rsidP="00735F89">
      <w:pPr>
        <w:spacing w:after="120" w:line="276" w:lineRule="auto"/>
        <w:ind w:firstLine="709"/>
        <w:jc w:val="both"/>
        <w:rPr>
          <w:rFonts w:ascii="Verdana" w:eastAsia="Times New Roman" w:hAnsi="Verdana" w:cs="Arial"/>
          <w:lang w:eastAsia="x-none"/>
        </w:rPr>
      </w:pPr>
      <w:r w:rsidRPr="00F10E52">
        <w:rPr>
          <w:rFonts w:ascii="Verdana" w:eastAsia="Times New Roman" w:hAnsi="Verdana"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F10E52">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y la selección abreviada, razón por la cual en ese período preelectoral de que trata la disposición pueden las entidades públicas seguir contratando bajo estos sistemas.</w:t>
      </w:r>
    </w:p>
    <w:p w14:paraId="29E8D8E8" w14:textId="77777777" w:rsidR="00277B7A" w:rsidRPr="00F10E52" w:rsidRDefault="00277B7A" w:rsidP="00735F89">
      <w:pPr>
        <w:spacing w:after="120" w:line="276" w:lineRule="auto"/>
        <w:ind w:firstLine="709"/>
        <w:jc w:val="both"/>
        <w:rPr>
          <w:rFonts w:ascii="Verdana" w:eastAsia="Times New Roman" w:hAnsi="Verdana" w:cs="Arial"/>
          <w:bCs/>
          <w:lang w:eastAsia="x-none"/>
        </w:rPr>
      </w:pPr>
      <w:bookmarkStart w:id="19" w:name="_Hlk77237094"/>
      <w:r w:rsidRPr="00F10E52">
        <w:rPr>
          <w:rFonts w:ascii="Verdana" w:eastAsia="Times New Roman" w:hAnsi="Verdana" w:cs="Arial"/>
          <w:bCs/>
          <w:lang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w:t>
      </w:r>
      <w:r>
        <w:rPr>
          <w:rFonts w:ascii="Verdana" w:eastAsia="Times New Roman" w:hAnsi="Verdana" w:cs="Arial"/>
          <w:bCs/>
          <w:lang w:eastAsia="es-CO"/>
        </w:rPr>
        <w:t xml:space="preserve"> Electorales</w:t>
      </w:r>
      <w:r w:rsidRPr="00F10E52">
        <w:rPr>
          <w:rFonts w:ascii="Verdana" w:eastAsia="Times New Roman" w:hAnsi="Verdana" w:cs="Arial"/>
          <w:bCs/>
          <w:lang w:eastAsia="es-CO"/>
        </w:rPr>
        <w:t>, sin que ello haga nugatoria la restricción de la contratación directa y siempre que cumplan los principios de planeación, transparencia y responsabilidad.</w:t>
      </w:r>
      <w:bookmarkEnd w:id="19"/>
    </w:p>
    <w:p w14:paraId="64D5F78C" w14:textId="77777777" w:rsidR="00277B7A" w:rsidRPr="00F10E52" w:rsidRDefault="00277B7A" w:rsidP="00735F89">
      <w:pPr>
        <w:spacing w:after="120" w:line="276" w:lineRule="auto"/>
        <w:ind w:firstLine="709"/>
        <w:jc w:val="both"/>
        <w:rPr>
          <w:rFonts w:ascii="Verdana" w:eastAsia="Times New Roman" w:hAnsi="Verdana" w:cs="Arial"/>
          <w:bCs/>
          <w:lang w:eastAsia="es-CO"/>
        </w:rPr>
      </w:pPr>
      <w:r w:rsidRPr="00F10E52">
        <w:rPr>
          <w:rFonts w:ascii="Verdana" w:eastAsia="Times New Roman" w:hAnsi="Verdana" w:cs="Arial"/>
          <w:bCs/>
          <w:lang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ii) los contratos de crédito público; iii) los requeridos para cubrir las </w:t>
      </w:r>
      <w:r w:rsidRPr="003D0447">
        <w:rPr>
          <w:rFonts w:ascii="Verdana" w:eastAsia="Times New Roman" w:hAnsi="Verdana" w:cs="Arial"/>
          <w:i/>
          <w:lang w:eastAsia="x-none"/>
        </w:rPr>
        <w:t>emergencias educativas</w:t>
      </w:r>
      <w:r w:rsidRPr="00F10E52">
        <w:rPr>
          <w:rFonts w:ascii="Verdana" w:eastAsia="Times New Roman" w:hAnsi="Verdana" w:cs="Arial"/>
          <w:bCs/>
          <w:lang w:eastAsia="x-none"/>
        </w:rPr>
        <w:t xml:space="preserve">, sanitarias y desastres; </w:t>
      </w:r>
      <w:proofErr w:type="spellStart"/>
      <w:r w:rsidRPr="00F10E52">
        <w:rPr>
          <w:rFonts w:ascii="Verdana" w:eastAsia="Times New Roman" w:hAnsi="Verdana" w:cs="Arial"/>
          <w:bCs/>
          <w:lang w:eastAsia="x-none"/>
        </w:rPr>
        <w:t>iv</w:t>
      </w:r>
      <w:proofErr w:type="spellEnd"/>
      <w:r w:rsidRPr="00F10E52">
        <w:rPr>
          <w:rFonts w:ascii="Verdana" w:eastAsia="Times New Roman" w:hAnsi="Verdana" w:cs="Arial"/>
          <w:bCs/>
          <w:lang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F10E52">
        <w:rPr>
          <w:rFonts w:ascii="Verdana" w:eastAsia="Times New Roman" w:hAnsi="Verdana" w:cs="Arial"/>
          <w:bCs/>
          <w:lang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7F86A9B2" w14:textId="77777777" w:rsidR="00277B7A" w:rsidRPr="00F10E52" w:rsidRDefault="00277B7A" w:rsidP="00735F89">
      <w:pPr>
        <w:spacing w:after="120" w:line="276" w:lineRule="auto"/>
        <w:ind w:firstLine="709"/>
        <w:jc w:val="both"/>
        <w:rPr>
          <w:rFonts w:ascii="Verdana" w:eastAsia="Times New Roman" w:hAnsi="Verdana" w:cs="Arial"/>
          <w:bCs/>
          <w:lang w:eastAsia="x-none"/>
        </w:rPr>
      </w:pPr>
      <w:r w:rsidRPr="00F10E52">
        <w:rPr>
          <w:rFonts w:ascii="Verdana" w:eastAsia="Times New Roman" w:hAnsi="Verdana" w:cs="Arial"/>
          <w:bCs/>
          <w:lang w:eastAsia="x-none"/>
        </w:rPr>
        <w:t>En esta labor es importante tener en cuenta, como lo anotó la Corte Constitucional, en Sentencia C-1153 de noviembre 11 de 2005</w:t>
      </w:r>
      <w:r w:rsidRPr="00F10E52">
        <w:rPr>
          <w:rStyle w:val="Refdenotaalpie"/>
          <w:rFonts w:ascii="Verdana" w:hAnsi="Verdana"/>
        </w:rPr>
        <w:t>,</w:t>
      </w:r>
      <w:r w:rsidRPr="00F10E52">
        <w:rPr>
          <w:rFonts w:ascii="Verdana" w:eastAsia="Times New Roman" w:hAnsi="Verdana" w:cs="Arial"/>
          <w:bCs/>
          <w:lang w:eastAsia="x-none"/>
        </w:rPr>
        <w:t xml:space="preserve"> </w:t>
      </w:r>
      <w:bookmarkStart w:id="20" w:name="_Hlk74309042"/>
      <w:r w:rsidRPr="00F10E52">
        <w:rPr>
          <w:rFonts w:ascii="Verdana" w:eastAsia="Times New Roman" w:hAnsi="Verdana" w:cs="Arial"/>
          <w:bCs/>
          <w:lang w:eastAsia="x-none"/>
        </w:rPr>
        <w:t xml:space="preserve">que </w:t>
      </w:r>
      <w:bookmarkEnd w:id="20"/>
      <w:r>
        <w:rPr>
          <w:rFonts w:ascii="Verdana" w:eastAsia="Times New Roman" w:hAnsi="Verdana" w:cs="Arial"/>
          <w:bCs/>
          <w:lang w:eastAsia="x-none"/>
        </w:rPr>
        <w:t>“</w:t>
      </w:r>
      <w:r w:rsidRPr="00F10E52">
        <w:rPr>
          <w:rFonts w:ascii="Verdana" w:eastAsia="Times New Roman" w:hAnsi="Verdana" w:cs="Arial"/>
          <w:bCs/>
          <w:lang w:eastAsia="x-none"/>
        </w:rPr>
        <w:t xml:space="preserve">si bien la limitación garantiza la igualdad de condiciones, también es necesario que tal limitación que pretende la igualdad </w:t>
      </w:r>
      <w:bookmarkStart w:id="21" w:name="_Hlk75768308"/>
      <w:r w:rsidRPr="00F10E52">
        <w:rPr>
          <w:rFonts w:ascii="Verdana" w:eastAsia="Times New Roman" w:hAnsi="Verdana" w:cs="Arial"/>
          <w:bCs/>
          <w:lang w:eastAsia="x-none"/>
        </w:rPr>
        <w:t>no termine yendo en detrimento de intereses públicos, cuya garantía está en cabeza del ejecutivo, como son los inmersos en las excepciones para la prohibición de contratación</w:t>
      </w:r>
      <w:r>
        <w:rPr>
          <w:rFonts w:ascii="Verdana" w:eastAsia="Times New Roman" w:hAnsi="Verdana" w:cs="Arial"/>
          <w:bCs/>
          <w:lang w:eastAsia="x-none"/>
        </w:rPr>
        <w:t>”</w:t>
      </w:r>
      <w:r w:rsidRPr="00F10E52">
        <w:rPr>
          <w:rStyle w:val="Refdenotaalpie"/>
          <w:rFonts w:ascii="Verdana" w:hAnsi="Verdana" w:cs="Arial"/>
        </w:rPr>
        <w:footnoteReference w:id="16"/>
      </w:r>
      <w:r w:rsidRPr="00F10E52">
        <w:rPr>
          <w:rFonts w:ascii="Verdana" w:eastAsia="Times New Roman" w:hAnsi="Verdana" w:cs="Arial"/>
          <w:bCs/>
          <w:lang w:eastAsia="x-none"/>
        </w:rPr>
        <w:t>. De ahí que la Corte haya hecho particular énfasis en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Start w:id="22" w:name="_Hlk75783800"/>
      <w:bookmarkEnd w:id="21"/>
    </w:p>
    <w:p w14:paraId="6C290AD2" w14:textId="77777777" w:rsidR="00277B7A" w:rsidRPr="00F10E52" w:rsidRDefault="00277B7A" w:rsidP="00735F89">
      <w:pPr>
        <w:spacing w:after="120" w:line="276" w:lineRule="auto"/>
        <w:ind w:firstLine="709"/>
        <w:jc w:val="both"/>
        <w:rPr>
          <w:rFonts w:ascii="Verdana" w:eastAsia="Times New Roman" w:hAnsi="Verdana" w:cs="Arial"/>
          <w:bCs/>
          <w:lang w:eastAsia="x-none"/>
        </w:rPr>
      </w:pPr>
      <w:bookmarkStart w:id="23" w:name="_Hlk99438356"/>
      <w:r>
        <w:rPr>
          <w:rFonts w:ascii="Verdana" w:eastAsia="Times New Roman" w:hAnsi="Verdana" w:cs="Arial"/>
          <w:bCs/>
          <w:lang w:eastAsia="x-none"/>
        </w:rPr>
        <w:t>Ahora bien, e</w:t>
      </w:r>
      <w:r w:rsidRPr="00F10E52">
        <w:rPr>
          <w:rFonts w:ascii="Verdana" w:eastAsia="Times New Roman" w:hAnsi="Verdana" w:cs="Arial"/>
          <w:bCs/>
          <w:lang w:eastAsia="x-none"/>
        </w:rPr>
        <w:t xml:space="preserve">l artículo 33 de la Ley 996 de 2005 señala expresamente a los destinatarios de la prohibición, en el sentido de que son </w:t>
      </w:r>
      <w:r>
        <w:rPr>
          <w:rFonts w:ascii="Verdana" w:eastAsia="Times New Roman" w:hAnsi="Verdana" w:cs="Arial"/>
          <w:bCs/>
          <w:lang w:eastAsia="x-none"/>
        </w:rPr>
        <w:t>“</w:t>
      </w:r>
      <w:r w:rsidRPr="00F10E52">
        <w:rPr>
          <w:rFonts w:ascii="Verdana" w:eastAsia="Times New Roman" w:hAnsi="Verdana" w:cs="Arial"/>
          <w:bCs/>
          <w:lang w:eastAsia="x-none"/>
        </w:rPr>
        <w:t>todos los entes del Estado</w:t>
      </w:r>
      <w:r>
        <w:rPr>
          <w:rFonts w:ascii="Verdana" w:eastAsia="Times New Roman" w:hAnsi="Verdana" w:cs="Arial"/>
          <w:bCs/>
          <w:lang w:eastAsia="x-none"/>
        </w:rPr>
        <w:t>”</w:t>
      </w:r>
      <w:r w:rsidRPr="00F10E52">
        <w:rPr>
          <w:rFonts w:ascii="Verdana" w:eastAsia="Times New Roman" w:hAnsi="Verdana" w:cs="Arial"/>
          <w:bCs/>
          <w:lang w:eastAsia="x-none"/>
        </w:rPr>
        <w:t>, expresión que contempla a los diferentes organismos o entidades autorizadas por la ley para suscribir contratos.</w:t>
      </w:r>
      <w:r w:rsidRPr="00F10E52">
        <w:rPr>
          <w:rFonts w:ascii="Verdana" w:hAnsi="Verdana"/>
        </w:rPr>
        <w:t xml:space="preserve"> </w:t>
      </w:r>
      <w:r w:rsidRPr="00F10E52">
        <w:rPr>
          <w:rFonts w:ascii="Verdana" w:eastAsia="Times New Roman" w:hAnsi="Verdana" w:cs="Arial"/>
          <w:bCs/>
          <w:lang w:eastAsia="x-none"/>
        </w:rPr>
        <w:t xml:space="preserve">En efecto, tal como lo ha sostenido el Consejo de Estado, el vocablo </w:t>
      </w:r>
      <w:r>
        <w:rPr>
          <w:rFonts w:ascii="Verdana" w:eastAsia="Times New Roman" w:hAnsi="Verdana" w:cs="Arial"/>
          <w:bCs/>
          <w:lang w:eastAsia="x-none"/>
        </w:rPr>
        <w:t>“</w:t>
      </w:r>
      <w:r w:rsidRPr="00F10E52">
        <w:rPr>
          <w:rFonts w:ascii="Verdana" w:eastAsia="Times New Roman" w:hAnsi="Verdana" w:cs="Arial"/>
          <w:bCs/>
          <w:lang w:eastAsia="x-none"/>
        </w:rPr>
        <w:t>todos</w:t>
      </w:r>
      <w:r>
        <w:rPr>
          <w:rFonts w:ascii="Verdana" w:eastAsia="Times New Roman" w:hAnsi="Verdana" w:cs="Arial"/>
          <w:bCs/>
          <w:lang w:eastAsia="x-none"/>
        </w:rPr>
        <w:t>”</w:t>
      </w:r>
      <w:r w:rsidRPr="00F10E52">
        <w:rPr>
          <w:rFonts w:ascii="Verdana" w:eastAsia="Times New Roman" w:hAnsi="Verdana" w:cs="Arial"/>
          <w:bCs/>
          <w:lang w:eastAsia="x-none"/>
        </w:rPr>
        <w:t xml:space="preserve"> utilizado por el legislador comprende</w:t>
      </w:r>
      <w:r w:rsidRPr="00F10E52">
        <w:rPr>
          <w:rFonts w:ascii="Verdana" w:hAnsi="Verdana"/>
        </w:rPr>
        <w:t xml:space="preserve"> </w:t>
      </w:r>
      <w:r w:rsidRPr="00F10E52">
        <w:rPr>
          <w:rFonts w:ascii="Verdana" w:eastAsia="Times New Roman" w:hAnsi="Verdana" w:cs="Arial"/>
          <w:bCs/>
          <w:lang w:eastAsia="x-none"/>
        </w:rPr>
        <w:t>a la totalidad de los entes del Estado, sin distinción del régimen jurídico, forma de organización o naturaleza, su pertenencia a una u otra rama del poder público o su autonomía</w:t>
      </w:r>
      <w:bookmarkEnd w:id="22"/>
      <w:r w:rsidRPr="00F10E52">
        <w:rPr>
          <w:rFonts w:ascii="Verdana" w:eastAsia="Times New Roman" w:hAnsi="Verdana" w:cs="Arial"/>
          <w:bCs/>
          <w:lang w:eastAsia="x-none"/>
        </w:rPr>
        <w:t xml:space="preserve">, e incluso si las entidades estatales tienen régimen especial de contratación y están exceptuadas del ámbito de aplicación del Estatuto General de Contratación de la Administración Pública. </w:t>
      </w:r>
      <w:bookmarkEnd w:id="23"/>
      <w:r w:rsidRPr="00F10E52">
        <w:rPr>
          <w:rFonts w:ascii="Verdana" w:eastAsia="Times New Roman" w:hAnsi="Verdana" w:cs="Arial"/>
          <w:bCs/>
          <w:lang w:eastAsia="x-none"/>
        </w:rPr>
        <w:t xml:space="preserve">El Consejo de Estado, en Concepto con radicado 1727 de fecha 20 de febrero de 2006, consideró que: </w:t>
      </w:r>
    </w:p>
    <w:p w14:paraId="7D910F8C" w14:textId="77777777" w:rsidR="00277B7A" w:rsidRDefault="00277B7A" w:rsidP="00277B7A">
      <w:pPr>
        <w:spacing w:after="0" w:line="240" w:lineRule="auto"/>
        <w:ind w:left="709" w:right="709"/>
        <w:jc w:val="both"/>
        <w:rPr>
          <w:rFonts w:ascii="Verdana" w:eastAsia="Times New Roman" w:hAnsi="Verdana" w:cs="Arial"/>
          <w:bCs/>
          <w:sz w:val="20"/>
          <w:szCs w:val="20"/>
          <w:lang w:eastAsia="x-none"/>
        </w:rPr>
      </w:pPr>
    </w:p>
    <w:p w14:paraId="410E7867" w14:textId="77777777" w:rsidR="00277B7A" w:rsidRPr="00735F89" w:rsidRDefault="00277B7A" w:rsidP="00735F89">
      <w:pPr>
        <w:spacing w:after="0" w:line="240" w:lineRule="auto"/>
        <w:ind w:left="709" w:right="709"/>
        <w:jc w:val="both"/>
        <w:rPr>
          <w:rFonts w:ascii="Verdana" w:eastAsia="Times New Roman" w:hAnsi="Verdana" w:cs="Arial"/>
          <w:bCs/>
          <w:sz w:val="21"/>
          <w:szCs w:val="21"/>
          <w:lang w:eastAsia="es-CO"/>
        </w:rPr>
      </w:pPr>
      <w:r w:rsidRPr="00735F89">
        <w:rPr>
          <w:rFonts w:ascii="Verdana" w:eastAsia="Times New Roman" w:hAnsi="Verdana" w:cs="Arial"/>
          <w:bCs/>
          <w:sz w:val="21"/>
          <w:szCs w:val="21"/>
          <w:lang w:eastAsia="x-none"/>
        </w:rPr>
        <w:t xml:space="preserve">“El artículo 33 de la ley 996 de 2005, </w:t>
      </w:r>
      <w:bookmarkStart w:id="24" w:name="_Hlk75787147"/>
      <w:r w:rsidRPr="00735F89">
        <w:rPr>
          <w:rFonts w:ascii="Verdana" w:eastAsia="Times New Roman" w:hAnsi="Verdana" w:cs="Arial"/>
          <w:bCs/>
          <w:sz w:val="21"/>
          <w:szCs w:val="21"/>
          <w:lang w:eastAsia="x-none"/>
        </w:rPr>
        <w:t xml:space="preserve">efectivamente se aplica </w:t>
      </w:r>
      <w:bookmarkStart w:id="25" w:name="_Hlk76074089"/>
      <w:r w:rsidRPr="00735F89">
        <w:rPr>
          <w:rFonts w:ascii="Verdana" w:eastAsia="Times New Roman" w:hAnsi="Verdana" w:cs="Arial"/>
          <w:bCs/>
          <w:sz w:val="21"/>
          <w:szCs w:val="21"/>
          <w:lang w:eastAsia="x-none"/>
        </w:rPr>
        <w:t>incluso a las entidades estatales con régimen especial de contratación y que están exceptuadas del ámbito de aplicación del Estatuto General de Contratación de la Administración Pública</w:t>
      </w:r>
      <w:bookmarkEnd w:id="25"/>
      <w:r w:rsidRPr="00735F89">
        <w:rPr>
          <w:rFonts w:ascii="Verdana" w:eastAsia="Times New Roman" w:hAnsi="Verdana" w:cs="Arial"/>
          <w:bCs/>
          <w:sz w:val="21"/>
          <w:szCs w:val="21"/>
          <w:lang w:eastAsia="x-none"/>
        </w:rPr>
        <w:t>,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735F89">
        <w:rPr>
          <w:rStyle w:val="Refdenotaalpie"/>
          <w:rFonts w:ascii="Verdana" w:eastAsia="Times New Roman" w:hAnsi="Verdana" w:cs="Arial"/>
          <w:bCs/>
          <w:sz w:val="21"/>
          <w:szCs w:val="21"/>
          <w:lang w:eastAsia="x-none"/>
        </w:rPr>
        <w:footnoteReference w:id="17"/>
      </w:r>
      <w:r w:rsidRPr="00735F89">
        <w:rPr>
          <w:rFonts w:ascii="Verdana" w:eastAsia="Times New Roman" w:hAnsi="Verdana" w:cs="Arial"/>
          <w:bCs/>
          <w:sz w:val="21"/>
          <w:szCs w:val="21"/>
          <w:lang w:eastAsia="x-none"/>
        </w:rPr>
        <w:t>.</w:t>
      </w:r>
      <w:r w:rsidRPr="00735F89">
        <w:rPr>
          <w:rFonts w:ascii="Verdana" w:eastAsia="Times New Roman" w:hAnsi="Verdana" w:cs="Arial"/>
          <w:bCs/>
          <w:sz w:val="21"/>
          <w:szCs w:val="21"/>
          <w:lang w:eastAsia="es-CO"/>
        </w:rPr>
        <w:t xml:space="preserve"> </w:t>
      </w:r>
    </w:p>
    <w:p w14:paraId="632DDBB6" w14:textId="77777777" w:rsidR="00277B7A" w:rsidRDefault="00277B7A" w:rsidP="00277B7A">
      <w:pPr>
        <w:spacing w:after="0" w:line="276" w:lineRule="auto"/>
        <w:ind w:firstLine="709"/>
        <w:jc w:val="both"/>
        <w:rPr>
          <w:rFonts w:ascii="Verdana" w:eastAsia="Times New Roman" w:hAnsi="Verdana" w:cs="Arial"/>
          <w:bCs/>
          <w:lang w:eastAsia="x-none"/>
        </w:rPr>
      </w:pPr>
    </w:p>
    <w:p w14:paraId="7152BC37" w14:textId="77777777" w:rsidR="00277B7A" w:rsidRDefault="00277B7A" w:rsidP="00735F89">
      <w:pPr>
        <w:spacing w:after="120" w:line="276" w:lineRule="auto"/>
        <w:ind w:firstLine="709"/>
        <w:jc w:val="both"/>
        <w:rPr>
          <w:rFonts w:ascii="Verdana" w:eastAsia="Times New Roman" w:hAnsi="Verdana" w:cs="Arial"/>
          <w:bCs/>
          <w:lang w:eastAsia="x-none"/>
        </w:rPr>
      </w:pPr>
      <w:bookmarkStart w:id="26" w:name="_Hlk77237229"/>
      <w:bookmarkEnd w:id="24"/>
      <w:r w:rsidRPr="00345E20">
        <w:rPr>
          <w:rFonts w:ascii="Verdana" w:hAnsi="Verdana" w:cs="Arial"/>
        </w:rPr>
        <w:t xml:space="preserve">Por lo tanto, la restricción prevista en la Ley 996 de 2005, </w:t>
      </w:r>
      <w:r w:rsidRPr="00345E20">
        <w:rPr>
          <w:rFonts w:ascii="Verdana" w:eastAsia="Times New Roman" w:hAnsi="Verdana" w:cs="Arial"/>
          <w:bCs/>
          <w:lang w:eastAsia="x-none"/>
        </w:rPr>
        <w:t>teniendo en cuenta la finalidad de la Ley de Garantías Electorales, cobija a cualquier ente público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w:t>
      </w:r>
    </w:p>
    <w:p w14:paraId="0E0B87CA" w14:textId="77777777" w:rsidR="00277B7A" w:rsidRDefault="00277B7A" w:rsidP="00735F89">
      <w:pPr>
        <w:spacing w:after="120" w:line="276" w:lineRule="auto"/>
        <w:ind w:firstLine="709"/>
        <w:jc w:val="both"/>
        <w:rPr>
          <w:rFonts w:ascii="Verdana" w:hAnsi="Verdana" w:cs="Arial"/>
          <w:color w:val="000000" w:themeColor="text1"/>
          <w:lang w:eastAsia="es-ES"/>
        </w:rPr>
      </w:pPr>
      <w:r w:rsidRPr="0056665D">
        <w:rPr>
          <w:rFonts w:ascii="Verdana" w:eastAsia="Times New Roman" w:hAnsi="Verdana" w:cs="Arial"/>
          <w:lang w:eastAsia="es-CO"/>
        </w:rPr>
        <w:t>Ahora bien, con el fin de dar respuesta a su consulta</w:t>
      </w:r>
      <w:r>
        <w:rPr>
          <w:rFonts w:ascii="Verdana" w:eastAsia="Times New Roman" w:hAnsi="Verdana" w:cs="Arial"/>
          <w:lang w:eastAsia="es-CO"/>
        </w:rPr>
        <w:t xml:space="preserve"> es de preciar que en</w:t>
      </w:r>
      <w:r w:rsidRPr="6C2E595E">
        <w:rPr>
          <w:rFonts w:ascii="Verdana" w:hAnsi="Verdana" w:cs="Arial"/>
          <w:color w:val="000000" w:themeColor="text1"/>
          <w:lang w:eastAsia="es-ES"/>
        </w:rPr>
        <w:t xml:space="preserve"> el caso de las instituciones educativas oficiales, si bien estas carecen de personería jurídica, administran recursos públicos a través de los Fondos de Servicios Educativos (FSE), conforme a lo previsto en el artículo 13 de la Ley 715 de 2001 y el artículo 2.3.1.6.3.17 del Decreto 1075 de 2015. En virtud de dichas normas, los FSE pueden celebrar contratos bajo dos escenarios:</w:t>
      </w:r>
    </w:p>
    <w:p w14:paraId="6B6502F5" w14:textId="77777777" w:rsidR="00277B7A" w:rsidRPr="00070BF0" w:rsidRDefault="00277B7A" w:rsidP="00735F89">
      <w:pPr>
        <w:pStyle w:val="Prrafodelista"/>
        <w:numPr>
          <w:ilvl w:val="0"/>
          <w:numId w:val="18"/>
        </w:numPr>
        <w:spacing w:after="120" w:line="276" w:lineRule="auto"/>
        <w:ind w:left="1429"/>
        <w:jc w:val="both"/>
        <w:rPr>
          <w:rFonts w:ascii="Verdana" w:hAnsi="Verdana" w:cs="Arial"/>
          <w:bCs/>
          <w:color w:val="000000" w:themeColor="text1"/>
          <w:lang w:eastAsia="es-ES_tradnl"/>
        </w:rPr>
      </w:pPr>
      <w:r w:rsidRPr="00070BF0">
        <w:rPr>
          <w:rFonts w:ascii="Verdana" w:hAnsi="Verdana" w:cs="Arial"/>
          <w:bCs/>
          <w:color w:val="000000" w:themeColor="text1"/>
          <w:lang w:eastAsia="es-ES_tradnl"/>
        </w:rPr>
        <w:t>cuando la cuantía no supera los veinte (20) salarios mínimos mensuales legales vigentes, aplican el reglamento interno adoptado por el consejo directivo de la institución; y</w:t>
      </w:r>
    </w:p>
    <w:p w14:paraId="1D2F6226" w14:textId="77777777" w:rsidR="00277B7A" w:rsidRPr="00070BF0" w:rsidRDefault="00277B7A" w:rsidP="00735F89">
      <w:pPr>
        <w:pStyle w:val="Prrafodelista"/>
        <w:numPr>
          <w:ilvl w:val="0"/>
          <w:numId w:val="18"/>
        </w:numPr>
        <w:spacing w:after="120" w:line="276" w:lineRule="auto"/>
        <w:ind w:left="1429"/>
        <w:jc w:val="both"/>
        <w:rPr>
          <w:rFonts w:ascii="Verdana" w:hAnsi="Verdana" w:cs="Arial"/>
          <w:bCs/>
          <w:color w:val="000000" w:themeColor="text1"/>
          <w:lang w:eastAsia="es-ES_tradnl"/>
        </w:rPr>
      </w:pPr>
      <w:r w:rsidRPr="00070BF0">
        <w:rPr>
          <w:rFonts w:ascii="Verdana" w:hAnsi="Verdana" w:cs="Arial"/>
          <w:bCs/>
          <w:color w:val="000000" w:themeColor="text1"/>
          <w:lang w:eastAsia="es-ES_tradnl"/>
        </w:rPr>
        <w:t>ii) cuando excede dicho monto, deben sujetarse a las reglas del Estatuto General de Contratación de la Administración Pública.</w:t>
      </w:r>
    </w:p>
    <w:p w14:paraId="3DD50A12" w14:textId="77777777" w:rsidR="00277B7A" w:rsidRPr="0056665D" w:rsidRDefault="00277B7A" w:rsidP="00735F89">
      <w:pPr>
        <w:spacing w:after="120" w:line="276" w:lineRule="auto"/>
        <w:ind w:firstLine="709"/>
        <w:jc w:val="both"/>
        <w:rPr>
          <w:rFonts w:ascii="Verdana" w:hAnsi="Verdana" w:cs="Arial"/>
          <w:bCs/>
          <w:color w:val="000000" w:themeColor="text1"/>
          <w:lang w:eastAsia="es-ES_tradnl"/>
        </w:rPr>
      </w:pPr>
      <w:r w:rsidRPr="0056665D">
        <w:rPr>
          <w:rFonts w:ascii="Verdana" w:hAnsi="Verdana" w:cs="Arial"/>
          <w:bCs/>
          <w:color w:val="000000" w:themeColor="text1"/>
          <w:lang w:eastAsia="es-ES_tradnl"/>
        </w:rPr>
        <w:t>Sin perjuicio de lo anterior, la aplicación de la Ley de Garantías Electorales no depende del régimen contractual sino de la modalidad de selección utilizada. En ese sentido, la prohibición del artículo 33 recae sobre toda modalidad que no garantice convocatoria pública ni pluralidad de oferentes. Por tanto, las instituciones educativas oficiales no pueden celebrar contratos directos durante los cuatro meses previos a las elecciones presidenciales, salvo que se configure una de las excepciones establecidas en la ley, tales como las relacionadas con defensa y seguridad nacional, crédito público, emergencias educativas, sanitarias o desastres, entre otras.</w:t>
      </w:r>
    </w:p>
    <w:p w14:paraId="30F02C35" w14:textId="77777777" w:rsidR="00277B7A" w:rsidRPr="0056665D" w:rsidRDefault="00277B7A" w:rsidP="00735F89">
      <w:pPr>
        <w:spacing w:after="120" w:line="276" w:lineRule="auto"/>
        <w:ind w:firstLine="709"/>
        <w:jc w:val="both"/>
        <w:rPr>
          <w:rFonts w:ascii="Verdana" w:hAnsi="Verdana" w:cs="Arial"/>
          <w:bCs/>
          <w:color w:val="000000" w:themeColor="text1"/>
          <w:lang w:eastAsia="es-ES_tradnl"/>
        </w:rPr>
      </w:pPr>
      <w:r w:rsidRPr="0056665D">
        <w:rPr>
          <w:rFonts w:ascii="Verdana" w:hAnsi="Verdana" w:cs="Arial"/>
          <w:bCs/>
          <w:color w:val="000000" w:themeColor="text1"/>
          <w:lang w:eastAsia="es-ES_tradnl"/>
        </w:rPr>
        <w:t>Así mismo, el parágrafo del artículo 38 resulta aplicable cuando las instituciones educativas, a través de sus rectores u ordenadores del gasto, suscriben convenios interadministrativos con otras entidades públicas para la ejecución de recursos públicos, dado que dichas actuaciones tienen la naturaleza de convenios entre entidades estatales. En consecuencia, durante los cuatro meses anteriores a cualquier elección, no podrán celebrarse este tipo de convenios, sin perjuicio de que la entidad pueda adelantar procedimientos con pluralidad de oferentes que garanticen la participación y la transparencia en la contratación.</w:t>
      </w:r>
    </w:p>
    <w:p w14:paraId="08DCB4AA" w14:textId="77777777" w:rsidR="00277B7A" w:rsidRPr="003D0447" w:rsidRDefault="00277B7A" w:rsidP="00735F89">
      <w:pPr>
        <w:spacing w:after="120" w:line="276" w:lineRule="auto"/>
        <w:ind w:firstLine="709"/>
        <w:jc w:val="both"/>
        <w:rPr>
          <w:rFonts w:ascii="Verdana" w:hAnsi="Verdana" w:cs="Arial"/>
          <w:bCs/>
          <w:color w:val="000000" w:themeColor="text1"/>
          <w:lang w:eastAsia="es-ES_tradnl"/>
        </w:rPr>
      </w:pPr>
      <w:r w:rsidRPr="0056665D">
        <w:rPr>
          <w:rFonts w:ascii="Verdana" w:hAnsi="Verdana" w:cs="Arial"/>
          <w:bCs/>
          <w:color w:val="000000" w:themeColor="text1"/>
          <w:lang w:eastAsia="es-ES_tradnl"/>
        </w:rPr>
        <w:t>En conclusión, la celebración de contratos o convenios durante los periodos de Ley de Garantías Electorales no está prohibida de manera absoluta, pero sí sujeta a las limitaciones de los artículos 33 y 38 de la Ley 996 de 2005. Por tanto, corresponde a cada entidad estatal verificar el tipo de elección, la naturaleza jurídica de la contraparte y la modalidad de selección aplicable, con el fin de garantizar el respeto por los principios de transparencia, igualdad, responsabilidad y neutralidad electoral que orientan la contratación pública.</w:t>
      </w:r>
    </w:p>
    <w:bookmarkEnd w:id="26"/>
    <w:p w14:paraId="160B9535" w14:textId="77777777" w:rsidR="00277B7A" w:rsidRPr="00DB4737" w:rsidRDefault="00277B7A" w:rsidP="00735F89">
      <w:pPr>
        <w:spacing w:after="120" w:line="276" w:lineRule="auto"/>
        <w:ind w:firstLine="709"/>
        <w:contextualSpacing/>
        <w:jc w:val="both"/>
        <w:rPr>
          <w:rFonts w:ascii="Verdana" w:eastAsia="Calibri" w:hAnsi="Verdana" w:cs="Times New Roman"/>
          <w:lang w:val="es-ES"/>
        </w:rPr>
      </w:pPr>
      <w:r>
        <w:rPr>
          <w:rFonts w:ascii="Verdana" w:eastAsia="Calibri" w:hAnsi="Verdana" w:cs="Arial"/>
          <w:bCs/>
          <w:color w:val="000000" w:themeColor="text1"/>
        </w:rPr>
        <w:t>Finalmente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r>
        <w:t xml:space="preserve"> </w:t>
      </w:r>
    </w:p>
    <w:p w14:paraId="5567D59D" w14:textId="77777777" w:rsidR="00277B7A" w:rsidRDefault="00277B7A" w:rsidP="00735F89">
      <w:pPr>
        <w:spacing w:after="120" w:line="276" w:lineRule="auto"/>
        <w:ind w:firstLine="709"/>
        <w:contextualSpacing/>
        <w:jc w:val="both"/>
        <w:rPr>
          <w:rFonts w:ascii="Verdana" w:eastAsia="Calibri" w:hAnsi="Verdana" w:cs="Times New Roman"/>
          <w:lang w:val="es-ES"/>
        </w:rPr>
      </w:pPr>
    </w:p>
    <w:p w14:paraId="0B7ACD31" w14:textId="77777777" w:rsidR="00277B7A" w:rsidRDefault="00277B7A" w:rsidP="00735F89">
      <w:pPr>
        <w:spacing w:after="120" w:line="276" w:lineRule="auto"/>
        <w:ind w:firstLine="709"/>
        <w:jc w:val="both"/>
        <w:rPr>
          <w:rFonts w:ascii="Verdana" w:hAnsi="Verdana" w:cs="Arial"/>
          <w:color w:val="000000" w:themeColor="text1"/>
          <w:lang w:val="es-ES_tradnl"/>
        </w:rPr>
      </w:pPr>
      <w:r>
        <w:rPr>
          <w:rFonts w:ascii="Verdana" w:eastAsia="Calibri" w:hAnsi="Verdana" w:cs="Times New Roman"/>
          <w:lang w:val="es-ES"/>
        </w:rPr>
        <w:t xml:space="preserve">        </w:t>
      </w:r>
      <w:r w:rsidRPr="00DB4737">
        <w:rPr>
          <w:rFonts w:ascii="Verdana" w:eastAsia="Calibri" w:hAnsi="Verdana" w:cs="Times New Roman"/>
          <w:lang w:val="es-ES"/>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011E8C86" w14:textId="77777777" w:rsidR="00277B7A" w:rsidRDefault="00277B7A" w:rsidP="00277B7A">
      <w:pPr>
        <w:spacing w:after="120" w:line="276" w:lineRule="auto"/>
        <w:jc w:val="both"/>
        <w:rPr>
          <w:rFonts w:ascii="Verdana" w:hAnsi="Verdana" w:cs="Arial"/>
          <w:color w:val="000000" w:themeColor="text1"/>
          <w:lang w:val="es-ES_tradnl"/>
        </w:rPr>
      </w:pPr>
    </w:p>
    <w:p w14:paraId="0C019B3E" w14:textId="6ACA11BF" w:rsidR="00277B7A" w:rsidRPr="0060676F" w:rsidRDefault="00735F89" w:rsidP="00277B7A">
      <w:pPr>
        <w:spacing w:after="120" w:line="276" w:lineRule="auto"/>
        <w:jc w:val="both"/>
        <w:rPr>
          <w:rFonts w:ascii="Verdana" w:eastAsia="Century Gothic" w:hAnsi="Verdana" w:cs="Century Gothic"/>
          <w:b/>
          <w:bCs/>
        </w:rPr>
      </w:pPr>
      <w:r>
        <w:rPr>
          <w:rFonts w:ascii="Verdana" w:eastAsia="Century Gothic" w:hAnsi="Verdana" w:cs="Century Gothic"/>
          <w:b/>
          <w:bCs/>
        </w:rPr>
        <w:t xml:space="preserve">4. </w:t>
      </w:r>
      <w:r w:rsidR="00277B7A" w:rsidRPr="0060676F">
        <w:rPr>
          <w:rFonts w:ascii="Verdana" w:eastAsia="Century Gothic" w:hAnsi="Verdana" w:cs="Century Gothic"/>
          <w:b/>
          <w:bCs/>
        </w:rPr>
        <w:t>Referencias normativas, jurisprudenciales y otras fuentes:</w:t>
      </w:r>
    </w:p>
    <w:p w14:paraId="34AD5398" w14:textId="77777777" w:rsidR="00277B7A" w:rsidRPr="00593A5F" w:rsidRDefault="00277B7A" w:rsidP="00277B7A">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77B7A" w:rsidRPr="00593A5F" w14:paraId="1681D48D" w14:textId="77777777" w:rsidTr="00821185">
        <w:trPr>
          <w:trHeight w:val="870"/>
        </w:trPr>
        <w:tc>
          <w:tcPr>
            <w:tcW w:w="8647" w:type="dxa"/>
          </w:tcPr>
          <w:p w14:paraId="786CCACA" w14:textId="77777777" w:rsidR="00277B7A" w:rsidRDefault="00277B7A" w:rsidP="00277B7A">
            <w:pPr>
              <w:widowControl w:val="0"/>
              <w:numPr>
                <w:ilvl w:val="0"/>
                <w:numId w:val="19"/>
              </w:numPr>
              <w:autoSpaceDE w:val="0"/>
              <w:autoSpaceDN w:val="0"/>
              <w:spacing w:line="276" w:lineRule="auto"/>
              <w:jc w:val="both"/>
              <w:rPr>
                <w:rFonts w:ascii="Verdana" w:hAnsi="Verdana" w:cs="Arial"/>
                <w:lang w:val="es-ES"/>
              </w:rPr>
            </w:pPr>
            <w:r w:rsidRPr="00377B05">
              <w:rPr>
                <w:rFonts w:ascii="Verdana" w:hAnsi="Verdana" w:cs="Arial"/>
                <w:lang w:val="es-ES"/>
              </w:rPr>
              <w:t>Constitución Política: Artículo 127.</w:t>
            </w:r>
          </w:p>
          <w:p w14:paraId="00ACA468" w14:textId="77777777" w:rsidR="00277B7A" w:rsidRPr="00377B05" w:rsidRDefault="00277B7A" w:rsidP="00277B7A">
            <w:pPr>
              <w:widowControl w:val="0"/>
              <w:numPr>
                <w:ilvl w:val="0"/>
                <w:numId w:val="19"/>
              </w:numPr>
              <w:autoSpaceDE w:val="0"/>
              <w:autoSpaceDN w:val="0"/>
              <w:spacing w:line="276" w:lineRule="auto"/>
              <w:jc w:val="both"/>
              <w:rPr>
                <w:rFonts w:ascii="Verdana" w:hAnsi="Verdana" w:cs="Arial"/>
                <w:lang w:val="es-ES"/>
              </w:rPr>
            </w:pPr>
            <w:r w:rsidRPr="00377B05">
              <w:rPr>
                <w:rFonts w:ascii="Verdana" w:hAnsi="Verdana" w:cs="Arial"/>
                <w:lang w:val="es-ES"/>
              </w:rPr>
              <w:t>Ley 996 de 2005: artículos 33 y 38 parágrafo.</w:t>
            </w:r>
          </w:p>
          <w:p w14:paraId="7A2BCCC5" w14:textId="77777777" w:rsidR="00277B7A" w:rsidRDefault="00277B7A" w:rsidP="00277B7A">
            <w:pPr>
              <w:widowControl w:val="0"/>
              <w:numPr>
                <w:ilvl w:val="0"/>
                <w:numId w:val="19"/>
              </w:numPr>
              <w:autoSpaceDE w:val="0"/>
              <w:autoSpaceDN w:val="0"/>
              <w:spacing w:line="276" w:lineRule="auto"/>
              <w:jc w:val="both"/>
              <w:rPr>
                <w:rFonts w:ascii="Verdana" w:hAnsi="Verdana" w:cs="Arial"/>
                <w:lang w:val="es-ES"/>
              </w:rPr>
            </w:pPr>
            <w:r w:rsidRPr="00377B05">
              <w:rPr>
                <w:rFonts w:ascii="Verdana" w:hAnsi="Verdana" w:cs="Arial"/>
                <w:lang w:val="es-ES"/>
              </w:rPr>
              <w:t>Ley 1150 de 2007, Artículo 2, numeral 4.</w:t>
            </w:r>
          </w:p>
          <w:p w14:paraId="7D5B9B19"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Corte Constitucional, Sentencia C-233 de 4 de abril de 2002, Exp. D-3704.</w:t>
            </w:r>
          </w:p>
          <w:p w14:paraId="3E5A0B4A"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lo Contencioso Administrativo, Sección Tercera, Sentencia de 20 de noviembre de 2001, Exp. 2001-0130-01(PI).</w:t>
            </w:r>
          </w:p>
          <w:p w14:paraId="1F6FDD71"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lo Contencioso Administrativo, Sección Tercera, Sentencia de 22 de enero de 2002, Exp. 2001-0148-01.</w:t>
            </w:r>
          </w:p>
          <w:p w14:paraId="218EFD70"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Corte Constitucional, Sentencia C-551 de 9 de julio de 2003, Exp. CRF-001 de 9 de julio de 2003.</w:t>
            </w:r>
          </w:p>
          <w:p w14:paraId="059D6CCF"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Corte Constitucional, Sentencia C-652 de 5 de agosto de 2003, Exp. D-4330.</w:t>
            </w:r>
          </w:p>
          <w:p w14:paraId="036400BE" w14:textId="77777777" w:rsidR="00277B7A" w:rsidRPr="00BA4B56" w:rsidRDefault="00277B7A" w:rsidP="00277B7A">
            <w:pPr>
              <w:widowControl w:val="0"/>
              <w:numPr>
                <w:ilvl w:val="0"/>
                <w:numId w:val="19"/>
              </w:numPr>
              <w:autoSpaceDE w:val="0"/>
              <w:autoSpaceDN w:val="0"/>
              <w:spacing w:line="276" w:lineRule="auto"/>
              <w:jc w:val="both"/>
              <w:rPr>
                <w:rFonts w:ascii="Verdana" w:hAnsi="Verdana" w:cs="Arial"/>
                <w:lang w:val="es-ES"/>
              </w:rPr>
            </w:pPr>
            <w:r w:rsidRPr="00BA4B56">
              <w:rPr>
                <w:rFonts w:ascii="Verdana" w:hAnsi="Verdana" w:cs="Arial"/>
                <w:lang w:val="es-ES"/>
              </w:rPr>
              <w:t>Corte Constitucional, Sentencia C-1153 de 11 de noviembre de 2005, M.P. Marco Gerardo Monroy Cabra.</w:t>
            </w:r>
          </w:p>
          <w:p w14:paraId="2E7D2DB3" w14:textId="77777777" w:rsidR="00277B7A" w:rsidRPr="00BA4B56" w:rsidRDefault="00277B7A" w:rsidP="00277B7A">
            <w:pPr>
              <w:widowControl w:val="0"/>
              <w:numPr>
                <w:ilvl w:val="0"/>
                <w:numId w:val="19"/>
              </w:numPr>
              <w:autoSpaceDE w:val="0"/>
              <w:autoSpaceDN w:val="0"/>
              <w:spacing w:line="276" w:lineRule="auto"/>
              <w:jc w:val="both"/>
              <w:rPr>
                <w:rFonts w:ascii="Verdana" w:hAnsi="Verdana" w:cs="Arial"/>
                <w:lang w:val="es-ES"/>
              </w:rPr>
            </w:pPr>
            <w:r w:rsidRPr="00BA4B56">
              <w:rPr>
                <w:rFonts w:ascii="Verdana" w:hAnsi="Verdana" w:cs="Arial"/>
                <w:lang w:val="es-ES"/>
              </w:rPr>
              <w:t>Corte Constitucional, Sentencia C-736 de 2007, M.P. Marco Gerardo Monroy Cabra.</w:t>
            </w:r>
          </w:p>
          <w:p w14:paraId="134EFA1B"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lo Contencioso Administrativo, Sección Primera, Sentencia de 3 de marzo de 2005, Exp. 2004-00823-01(PI).</w:t>
            </w:r>
          </w:p>
          <w:p w14:paraId="57DD9BA0"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2 de febrero de 2006, Rad. 1712.</w:t>
            </w:r>
          </w:p>
          <w:p w14:paraId="6BA81D58"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20 de febrero de 2006, Rad. 1727, C.P. Enrique José Arboleda Perdomo.</w:t>
            </w:r>
          </w:p>
          <w:p w14:paraId="2B7A991A"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6 de abril de 2006, Rad. 1738, C.P. Enrique José Arboleda Perdomo.</w:t>
            </w:r>
          </w:p>
          <w:p w14:paraId="19505616" w14:textId="77777777" w:rsidR="00277B7A" w:rsidRPr="00BA4B56" w:rsidRDefault="00277B7A" w:rsidP="00277B7A">
            <w:pPr>
              <w:widowControl w:val="0"/>
              <w:numPr>
                <w:ilvl w:val="0"/>
                <w:numId w:val="19"/>
              </w:numPr>
              <w:autoSpaceDE w:val="0"/>
              <w:autoSpaceDN w:val="0"/>
              <w:spacing w:line="276" w:lineRule="auto"/>
              <w:jc w:val="both"/>
              <w:rPr>
                <w:rFonts w:ascii="Verdana" w:hAnsi="Verdana" w:cs="Arial"/>
                <w:lang w:val="es-ES"/>
              </w:rPr>
            </w:pPr>
            <w:r w:rsidRPr="00BA4B56">
              <w:rPr>
                <w:rFonts w:ascii="Verdana" w:hAnsi="Verdana" w:cs="Arial"/>
                <w:lang w:val="es-ES"/>
              </w:rPr>
              <w:t>Consejo de Estado, Sala de lo Contencioso Administrativo, Sección Tercera, Sentencia de 3 de diciembre de 2007, Exp. 24.715, 25.206, 25.409, 24.524, 27.834, 25.410, 26.105, 28.244, 31.447 (acumulados).</w:t>
            </w:r>
          </w:p>
          <w:p w14:paraId="3A034317"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Corte Constitucional, Sentencia C-353 de 20 de mayo de 2009, Exp. D-7518.</w:t>
            </w:r>
          </w:p>
          <w:p w14:paraId="2A318C91"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Corte Constitucional, Sentencia C-541 de 30 de junio de 2010, Exp. D-7966.</w:t>
            </w:r>
          </w:p>
          <w:p w14:paraId="49EA6DE4"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24 de julio de 2013, Rad. 2166, C.P. Álvaro Namén Vargas.</w:t>
            </w:r>
          </w:p>
          <w:p w14:paraId="4186AE27"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2 de septiembre de 2013, Rad. 2168, C.P. Álvaro Namén Vargas.</w:t>
            </w:r>
          </w:p>
          <w:p w14:paraId="66D3DE57" w14:textId="77777777" w:rsidR="00277B7A" w:rsidRPr="0092765E" w:rsidRDefault="00277B7A" w:rsidP="00277B7A">
            <w:pPr>
              <w:widowControl w:val="0"/>
              <w:numPr>
                <w:ilvl w:val="0"/>
                <w:numId w:val="19"/>
              </w:numPr>
              <w:autoSpaceDE w:val="0"/>
              <w:autoSpaceDN w:val="0"/>
              <w:spacing w:line="276" w:lineRule="auto"/>
              <w:jc w:val="both"/>
              <w:rPr>
                <w:rFonts w:ascii="Verdana" w:hAnsi="Verdana" w:cs="Arial"/>
                <w:lang w:val="es-ES"/>
              </w:rPr>
            </w:pPr>
            <w:r w:rsidRPr="0092765E">
              <w:rPr>
                <w:rFonts w:ascii="Verdana" w:hAnsi="Verdana" w:cs="Arial"/>
                <w:lang w:val="es-ES"/>
              </w:rPr>
              <w:t>Consejo de Estado, Sala de Consulta y Servicio Civil, Concepto de 17 de febrero de 2015, Rad. 2269, C.P. William Zambrano Cetina.</w:t>
            </w:r>
          </w:p>
          <w:p w14:paraId="69059714" w14:textId="77777777" w:rsidR="00277B7A" w:rsidRPr="0003480F" w:rsidRDefault="00277B7A" w:rsidP="00821185">
            <w:pPr>
              <w:widowControl w:val="0"/>
              <w:autoSpaceDE w:val="0"/>
              <w:autoSpaceDN w:val="0"/>
              <w:spacing w:after="120" w:line="276" w:lineRule="auto"/>
              <w:ind w:left="720"/>
              <w:jc w:val="both"/>
              <w:rPr>
                <w:rFonts w:ascii="Verdana" w:hAnsi="Verdana" w:cs="Arial"/>
                <w:color w:val="000000" w:themeColor="text1"/>
              </w:rPr>
            </w:pPr>
            <w:r w:rsidRPr="0092765E">
              <w:rPr>
                <w:rFonts w:ascii="Verdana" w:hAnsi="Verdana" w:cs="Arial"/>
                <w:lang w:val="es-ES"/>
              </w:rPr>
              <w:t>Consejo de Estado, Sala de Consulta y Servicio Civil, Concepto de 8 de mayo de 2018, Rad. 2382, C.P. Álvaro Namén Vargas.</w:t>
            </w:r>
          </w:p>
        </w:tc>
      </w:tr>
    </w:tbl>
    <w:p w14:paraId="0DC3E97C" w14:textId="77777777" w:rsidR="00277B7A" w:rsidRDefault="00277B7A" w:rsidP="00277B7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2FE0FFBB" w14:textId="6A898E25" w:rsidR="00277B7A" w:rsidRPr="00735F89" w:rsidRDefault="00735F89" w:rsidP="00735F89">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00277B7A" w:rsidRPr="00735F89">
        <w:rPr>
          <w:rFonts w:ascii="Verdana" w:eastAsia="Century Gothic" w:hAnsi="Verdana" w:cs="Century Gothic"/>
          <w:b/>
          <w:bCs/>
        </w:rPr>
        <w:t>Doctrina de la Agencia Nacional de Contratación Pública:</w:t>
      </w:r>
    </w:p>
    <w:p w14:paraId="65BF7FEC" w14:textId="77777777" w:rsidR="00277B7A" w:rsidRPr="00593A5F" w:rsidRDefault="00277B7A" w:rsidP="00277B7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7E9B7C83" w14:textId="77777777" w:rsidR="00277B7A" w:rsidRPr="00735F89" w:rsidRDefault="00277B7A" w:rsidP="00735F89">
      <w:pPr>
        <w:widowControl w:val="0"/>
        <w:autoSpaceDE w:val="0"/>
        <w:autoSpaceDN w:val="0"/>
        <w:spacing w:after="120" w:line="276" w:lineRule="auto"/>
        <w:jc w:val="both"/>
        <w:rPr>
          <w:rFonts w:ascii="Verdana" w:eastAsia="Arial" w:hAnsi="Verdana" w:cs="Arial"/>
          <w:lang w:val="es-MX" w:eastAsia="es-ES"/>
        </w:rPr>
      </w:pPr>
      <w:r w:rsidRPr="00735F89">
        <w:rPr>
          <w:rFonts w:ascii="Verdana" w:hAnsi="Verdana" w:cs="Arial"/>
          <w:shd w:val="clear" w:color="auto" w:fill="FFFFFF"/>
        </w:rPr>
        <w:t xml:space="preserve">Sobre la finalidad y propósito de la Ley de Garantías Electorales, la ANCP- CCE se ha pronunciado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C-163 del 29 de marzo de 2022, C-180 del 21 de marzo de 2025, C-317 del 25 de abril de 2025, C-510 del 4 de junio de 2025, C -635 del 27 de junio de 2025, C–750 de 17 de julio 2025 y C-1411 del 07 de noviembre de 2025, </w:t>
      </w:r>
      <w:r w:rsidRPr="00735F89">
        <w:rPr>
          <w:rFonts w:ascii="Verdana" w:eastAsia="Aptos" w:hAnsi="Verdana" w:cs="Arial"/>
          <w:shd w:val="clear" w:color="auto" w:fill="FFFFFF"/>
          <w:lang w:val="es-ES"/>
        </w:rPr>
        <w:t>entre otros</w:t>
      </w:r>
      <w:r w:rsidRPr="00735F89">
        <w:rPr>
          <w:rFonts w:ascii="Verdana" w:eastAsia="Calibri" w:hAnsi="Verdana" w:cs="Arial"/>
          <w:lang w:val="es-ES" w:eastAsia="es-ES_tradnl"/>
        </w:rPr>
        <w:t>;</w:t>
      </w:r>
      <w:r w:rsidRPr="00735F89">
        <w:rPr>
          <w:rFonts w:ascii="Verdana" w:hAnsi="Verdana" w:cs="Arial"/>
          <w:shd w:val="clear" w:color="auto" w:fill="FFFFFF"/>
        </w:rPr>
        <w:t xml:space="preserve">. </w:t>
      </w:r>
      <w:r w:rsidRPr="00735F89">
        <w:rPr>
          <w:rFonts w:ascii="Verdana" w:eastAsia="Calibri" w:hAnsi="Verdana" w:cs="Times New Roman"/>
        </w:rPr>
        <w:t>Estos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E04B07E" w14:textId="77777777" w:rsidR="00277B7A" w:rsidRDefault="00277B7A" w:rsidP="00735F89">
      <w:pPr>
        <w:widowControl w:val="0"/>
        <w:autoSpaceDE w:val="0"/>
        <w:autoSpaceDN w:val="0"/>
        <w:spacing w:after="120" w:line="276" w:lineRule="auto"/>
        <w:jc w:val="both"/>
        <w:rPr>
          <w:rFonts w:ascii="Verdana" w:eastAsia="Calibri" w:hAnsi="Verdana" w:cs="Times New Roman"/>
        </w:rPr>
      </w:pPr>
      <w:hyperlink r:id="rId12" w:history="1">
        <w:r w:rsidRPr="00735F89">
          <w:rPr>
            <w:rStyle w:val="Hipervnculo"/>
            <w:rFonts w:ascii="Verdana" w:eastAsia="Calibri" w:hAnsi="Verdana" w:cs="Times New Roman"/>
            <w:lang w:val="es-ES"/>
          </w:rPr>
          <w:t>https://relatoria.colombiacompra.gov.co/busqueda/conceptos</w:t>
        </w:r>
      </w:hyperlink>
      <w:r w:rsidRPr="00735F89">
        <w:rPr>
          <w:rFonts w:ascii="Verdana" w:eastAsia="Calibri" w:hAnsi="Verdana" w:cs="Times New Roman"/>
        </w:rPr>
        <w:t>.</w:t>
      </w:r>
    </w:p>
    <w:p w14:paraId="2C82A6DD" w14:textId="77777777" w:rsidR="0064201E" w:rsidRDefault="0064201E" w:rsidP="00735F89">
      <w:pPr>
        <w:widowControl w:val="0"/>
        <w:autoSpaceDE w:val="0"/>
        <w:autoSpaceDN w:val="0"/>
        <w:spacing w:after="120" w:line="276" w:lineRule="auto"/>
        <w:jc w:val="both"/>
        <w:rPr>
          <w:rFonts w:ascii="Verdana" w:eastAsia="Calibri" w:hAnsi="Verdana" w:cs="Times New Roman"/>
        </w:rPr>
      </w:pPr>
    </w:p>
    <w:p w14:paraId="52647356" w14:textId="77777777" w:rsidR="00576E4D" w:rsidRPr="00B41764" w:rsidRDefault="00576E4D" w:rsidP="00576E4D">
      <w:pPr>
        <w:spacing w:after="0" w:line="276" w:lineRule="auto"/>
        <w:jc w:val="both"/>
        <w:rPr>
          <w:rFonts w:ascii="Verdana" w:hAnsi="Verdana"/>
        </w:rPr>
      </w:pPr>
      <w:r w:rsidRPr="00B41764">
        <w:rPr>
          <w:rFonts w:ascii="Verdana" w:hAnsi="Verdana"/>
        </w:rPr>
        <w:t xml:space="preserve">La sostenibilidad no es una opción, es una obligación. Por ello, la Agencia Nacional de Contratación Pública –Colombia Compra Eficiente– te invita a realizar el </w:t>
      </w:r>
      <w:r w:rsidRPr="00B41764">
        <w:rPr>
          <w:rFonts w:ascii="Verdana" w:hAnsi="Verdana"/>
          <w:b/>
          <w:bCs/>
        </w:rPr>
        <w:t>Curso de Contratación Pública Sostenible y Socialmente Responsable</w:t>
      </w:r>
      <w:r w:rsidRPr="00B41764">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B41764">
        <w:rPr>
          <w:rFonts w:ascii="Verdana" w:hAnsi="Verdana"/>
        </w:rPr>
        <w:br/>
      </w:r>
      <w:hyperlink r:id="rId13" w:tgtFrame="_new" w:history="1">
        <w:r w:rsidRPr="00B41764">
          <w:rPr>
            <w:rStyle w:val="Hipervnculo"/>
            <w:rFonts w:ascii="Verdana" w:hAnsi="Verdana"/>
          </w:rPr>
          <w:t>https://formacionvirtual.colombiacompra.gov.co/mod/page/view.php?id=3718</w:t>
        </w:r>
      </w:hyperlink>
    </w:p>
    <w:p w14:paraId="72A97E16" w14:textId="77777777" w:rsidR="00576E4D" w:rsidRDefault="00576E4D" w:rsidP="00576E4D">
      <w:pPr>
        <w:spacing w:after="0" w:line="276" w:lineRule="auto"/>
        <w:jc w:val="both"/>
        <w:rPr>
          <w:rFonts w:ascii="Verdana" w:hAnsi="Verdana"/>
        </w:rPr>
      </w:pPr>
    </w:p>
    <w:p w14:paraId="6B56F5A5" w14:textId="77777777" w:rsidR="00576E4D" w:rsidRPr="00B41764" w:rsidRDefault="00576E4D" w:rsidP="00576E4D">
      <w:pPr>
        <w:spacing w:after="0" w:line="276" w:lineRule="auto"/>
        <w:jc w:val="both"/>
        <w:rPr>
          <w:rFonts w:ascii="Verdana" w:hAnsi="Verdana"/>
        </w:rPr>
      </w:pPr>
      <w:r w:rsidRPr="00B41764">
        <w:rPr>
          <w:rFonts w:ascii="Verdana" w:hAnsi="Verdana"/>
        </w:rPr>
        <w:t xml:space="preserve">De otro lado, te contamos que esta Agencia ha da un paso decisivo en la estandarización y modernización del </w:t>
      </w:r>
      <w:r w:rsidRPr="00B41764">
        <w:rPr>
          <w:rFonts w:ascii="Verdana" w:hAnsi="Verdana"/>
          <w:b/>
          <w:bCs/>
        </w:rPr>
        <w:t>sector  social</w:t>
      </w:r>
      <w:r w:rsidRPr="00B41764">
        <w:rPr>
          <w:rFonts w:ascii="Verdana" w:hAnsi="Verdana"/>
        </w:rPr>
        <w:t xml:space="preserve"> con la expedición de las </w:t>
      </w:r>
      <w:r w:rsidRPr="00B41764">
        <w:rPr>
          <w:rFonts w:ascii="Verdana" w:hAnsi="Verdana"/>
          <w:b/>
          <w:bCs/>
        </w:rPr>
        <w:t>Resoluciones 539, 540, 541, 952 y 953 de 2025</w:t>
      </w:r>
      <w:r w:rsidRPr="00B41764">
        <w:rPr>
          <w:rFonts w:ascii="Verdana" w:hAnsi="Verdana"/>
        </w:rPr>
        <w:t xml:space="preserve">, </w:t>
      </w:r>
      <w:r w:rsidRPr="00B41764">
        <w:rPr>
          <w:rFonts w:ascii="Verdana" w:hAnsi="Verdana"/>
          <w:b/>
          <w:bCs/>
        </w:rPr>
        <w:t>mediante las cuales adoptó Documentos Tipo</w:t>
      </w:r>
      <w:r w:rsidRPr="00B41764">
        <w:rPr>
          <w:rFonts w:ascii="Verdana" w:hAnsi="Verdana"/>
        </w:rPr>
        <w:t xml:space="preserve"> para las modalidades de selección de</w:t>
      </w:r>
      <w:r w:rsidRPr="00B41764">
        <w:rPr>
          <w:rFonts w:ascii="Verdana" w:hAnsi="Verdana"/>
          <w:b/>
          <w:bCs/>
        </w:rPr>
        <w:t xml:space="preserve"> licitación pública (versión 2), selección abreviada de menor cuantía, mínima cuantía, consultoría e interventoría</w:t>
      </w:r>
      <w:r w:rsidRPr="00B41764">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B41764">
          <w:rPr>
            <w:rStyle w:val="Hipervnculo"/>
            <w:rFonts w:ascii="Verdana" w:hAnsi="Verdana"/>
          </w:rPr>
          <w:t>https://www.colombiacompra.gov.co/normativa-y-relatoria/documentos-tipo</w:t>
        </w:r>
      </w:hyperlink>
    </w:p>
    <w:p w14:paraId="021AAB43" w14:textId="77777777" w:rsidR="00576E4D" w:rsidRPr="00B41764" w:rsidRDefault="00576E4D" w:rsidP="00576E4D">
      <w:pPr>
        <w:spacing w:after="0" w:line="276" w:lineRule="auto"/>
        <w:jc w:val="both"/>
        <w:rPr>
          <w:rFonts w:ascii="Verdana" w:hAnsi="Verdana"/>
        </w:rPr>
      </w:pPr>
    </w:p>
    <w:p w14:paraId="5428E79B" w14:textId="77777777" w:rsidR="00576E4D" w:rsidRDefault="00576E4D" w:rsidP="00576E4D">
      <w:pPr>
        <w:spacing w:after="0" w:line="276" w:lineRule="auto"/>
        <w:jc w:val="both"/>
        <w:rPr>
          <w:rFonts w:ascii="Verdana" w:hAnsi="Verdana"/>
        </w:rPr>
      </w:pPr>
      <w:r w:rsidRPr="00B41764">
        <w:rPr>
          <w:rFonts w:ascii="Verdana" w:hAnsi="Verdana"/>
        </w:rPr>
        <w:t xml:space="preserve">Si quieres conocer más sobre la aplicación de Documentos Tipo puedes consultar la última versión de la </w:t>
      </w:r>
      <w:r w:rsidRPr="00B41764">
        <w:rPr>
          <w:rFonts w:ascii="Verdana" w:hAnsi="Verdana"/>
          <w:b/>
          <w:bCs/>
        </w:rPr>
        <w:t>Guía para la comprensión e implementación de los Documentos Tipo de obra pública de infraestructura de transporte</w:t>
      </w:r>
      <w:r w:rsidRPr="00B41764">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B41764">
        <w:rPr>
          <w:rFonts w:ascii="Verdana" w:hAnsi="Verdana"/>
        </w:rPr>
        <w:br/>
      </w:r>
      <w:hyperlink r:id="rId15" w:tgtFrame="_new" w:history="1">
        <w:r w:rsidRPr="00B41764">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049FCFA" w14:textId="77777777" w:rsidR="00576E4D" w:rsidRPr="00B41764" w:rsidRDefault="00576E4D" w:rsidP="00576E4D">
      <w:pPr>
        <w:spacing w:after="0" w:line="276" w:lineRule="auto"/>
        <w:jc w:val="both"/>
        <w:rPr>
          <w:rFonts w:ascii="Verdana" w:hAnsi="Verdana"/>
        </w:rPr>
      </w:pPr>
    </w:p>
    <w:p w14:paraId="717AE13A" w14:textId="77777777" w:rsidR="00576E4D" w:rsidRPr="00B41764" w:rsidRDefault="00576E4D" w:rsidP="00576E4D">
      <w:pPr>
        <w:spacing w:after="0" w:line="276" w:lineRule="auto"/>
        <w:jc w:val="both"/>
        <w:rPr>
          <w:rFonts w:ascii="Verdana" w:hAnsi="Verdana"/>
        </w:rPr>
      </w:pPr>
      <w:r w:rsidRPr="00B41764">
        <w:rPr>
          <w:rFonts w:ascii="Verdana" w:hAnsi="Verdana" w:cs="Arial"/>
          <w:shd w:val="clear" w:color="auto" w:fill="FFFFFF"/>
        </w:rPr>
        <w:t xml:space="preserve">Por último, lo invitamos a seguirnos en las redes sociales en las cuales se difunde información institucional: </w:t>
      </w:r>
    </w:p>
    <w:p w14:paraId="121F692E" w14:textId="77777777" w:rsidR="00576E4D" w:rsidRPr="00B41764" w:rsidRDefault="00576E4D" w:rsidP="00576E4D">
      <w:pPr>
        <w:spacing w:after="0" w:line="276" w:lineRule="auto"/>
        <w:jc w:val="both"/>
        <w:rPr>
          <w:rFonts w:ascii="Verdana" w:hAnsi="Verdana" w:cs="Arial"/>
          <w:shd w:val="clear" w:color="auto" w:fill="FFFFFF"/>
        </w:rPr>
      </w:pPr>
    </w:p>
    <w:p w14:paraId="5A12CDF8" w14:textId="77777777" w:rsidR="00576E4D" w:rsidRPr="00B41764" w:rsidRDefault="00576E4D" w:rsidP="00576E4D">
      <w:pPr>
        <w:spacing w:after="0" w:line="276" w:lineRule="auto"/>
        <w:jc w:val="both"/>
        <w:rPr>
          <w:rFonts w:ascii="Verdana" w:hAnsi="Verdana" w:cs="Arial"/>
          <w:shd w:val="clear" w:color="auto" w:fill="FFFFFF"/>
        </w:rPr>
      </w:pPr>
      <w:r w:rsidRPr="00B41764">
        <w:rPr>
          <w:rFonts w:ascii="Verdana" w:hAnsi="Verdana" w:cs="Arial"/>
          <w:shd w:val="clear" w:color="auto" w:fill="FFFFFF"/>
        </w:rPr>
        <w:t xml:space="preserve">Twitter: </w:t>
      </w:r>
      <w:r w:rsidRPr="00B41764">
        <w:rPr>
          <w:rStyle w:val="Hipervnculo"/>
          <w:rFonts w:ascii="Verdana" w:hAnsi="Verdana"/>
          <w:lang w:val="es-ES"/>
        </w:rPr>
        <w:t xml:space="preserve">@colombiacompra </w:t>
      </w:r>
    </w:p>
    <w:p w14:paraId="1E748F25" w14:textId="77777777" w:rsidR="00576E4D" w:rsidRPr="00B41764" w:rsidRDefault="00576E4D" w:rsidP="00576E4D">
      <w:pPr>
        <w:spacing w:after="0" w:line="276" w:lineRule="auto"/>
        <w:jc w:val="both"/>
        <w:rPr>
          <w:rFonts w:ascii="Verdana" w:hAnsi="Verdana" w:cs="Arial"/>
          <w:shd w:val="clear" w:color="auto" w:fill="FFFFFF"/>
        </w:rPr>
      </w:pPr>
      <w:r w:rsidRPr="00B41764">
        <w:rPr>
          <w:rFonts w:ascii="Verdana" w:hAnsi="Verdana" w:cs="Arial"/>
          <w:shd w:val="clear" w:color="auto" w:fill="FFFFFF"/>
        </w:rPr>
        <w:t>Facebook:</w:t>
      </w:r>
      <w:r w:rsidRPr="00B41764">
        <w:rPr>
          <w:rStyle w:val="Hipervnculo"/>
          <w:rFonts w:ascii="Verdana" w:hAnsi="Verdana"/>
          <w:color w:val="auto"/>
          <w:lang w:val="es-ES"/>
        </w:rPr>
        <w:t xml:space="preserve"> </w:t>
      </w:r>
      <w:proofErr w:type="spellStart"/>
      <w:r w:rsidRPr="00B41764">
        <w:rPr>
          <w:rStyle w:val="Hipervnculo"/>
          <w:rFonts w:ascii="Verdana" w:hAnsi="Verdana"/>
          <w:lang w:val="es-ES"/>
        </w:rPr>
        <w:t>ColombiaCompraEficiente</w:t>
      </w:r>
      <w:proofErr w:type="spellEnd"/>
    </w:p>
    <w:p w14:paraId="78A42F11" w14:textId="77777777" w:rsidR="00576E4D" w:rsidRPr="00B41764" w:rsidRDefault="00576E4D" w:rsidP="00576E4D">
      <w:pPr>
        <w:spacing w:after="0" w:line="276" w:lineRule="auto"/>
        <w:jc w:val="both"/>
        <w:rPr>
          <w:rFonts w:ascii="Verdana" w:hAnsi="Verdana" w:cs="Arial"/>
          <w:color w:val="0000FF"/>
          <w:shd w:val="clear" w:color="auto" w:fill="FFFFFF"/>
        </w:rPr>
      </w:pPr>
      <w:r w:rsidRPr="00B41764">
        <w:rPr>
          <w:rFonts w:ascii="Verdana" w:hAnsi="Verdana" w:cs="Arial"/>
          <w:shd w:val="clear" w:color="auto" w:fill="FFFFFF"/>
        </w:rPr>
        <w:t xml:space="preserve">LinkedIn: </w:t>
      </w:r>
      <w:r w:rsidRPr="00B41764">
        <w:rPr>
          <w:rStyle w:val="Hipervnculo"/>
          <w:rFonts w:ascii="Verdana" w:hAnsi="Verdana"/>
          <w:lang w:val="es-ES"/>
        </w:rPr>
        <w:t>Agencia Nacional de Contratación Pública - Colombia Compra Eficiente</w:t>
      </w:r>
      <w:r w:rsidRPr="00B41764">
        <w:rPr>
          <w:rFonts w:ascii="Verdana" w:hAnsi="Verdana" w:cs="Arial"/>
          <w:color w:val="0000FF"/>
          <w:shd w:val="clear" w:color="auto" w:fill="FFFFFF"/>
        </w:rPr>
        <w:t xml:space="preserve"> </w:t>
      </w:r>
    </w:p>
    <w:p w14:paraId="4DAE9AF5" w14:textId="77777777" w:rsidR="00576E4D" w:rsidRPr="00B41764" w:rsidRDefault="00576E4D" w:rsidP="00576E4D">
      <w:pPr>
        <w:spacing w:after="0" w:line="276" w:lineRule="auto"/>
        <w:jc w:val="both"/>
        <w:rPr>
          <w:rFonts w:ascii="Verdana" w:hAnsi="Verdana" w:cs="Arial"/>
          <w:shd w:val="clear" w:color="auto" w:fill="FFFFFF"/>
        </w:rPr>
      </w:pPr>
      <w:r w:rsidRPr="00B41764">
        <w:rPr>
          <w:rFonts w:ascii="Verdana" w:hAnsi="Verdana" w:cs="Arial"/>
          <w:shd w:val="clear" w:color="auto" w:fill="FFFFFF"/>
        </w:rPr>
        <w:t xml:space="preserve">Instagram: </w:t>
      </w:r>
      <w:r w:rsidRPr="00B41764">
        <w:rPr>
          <w:rStyle w:val="Hipervnculo"/>
          <w:rFonts w:ascii="Verdana" w:hAnsi="Verdana"/>
          <w:lang w:val="es-ES"/>
        </w:rPr>
        <w:t>@colombiacompraeficiente_cce</w:t>
      </w:r>
    </w:p>
    <w:p w14:paraId="3E7B858A" w14:textId="77777777" w:rsidR="00576E4D" w:rsidRPr="00B41764" w:rsidRDefault="00576E4D" w:rsidP="00576E4D">
      <w:pPr>
        <w:widowControl w:val="0"/>
        <w:autoSpaceDE w:val="0"/>
        <w:autoSpaceDN w:val="0"/>
        <w:spacing w:after="0" w:line="276" w:lineRule="auto"/>
        <w:jc w:val="both"/>
        <w:rPr>
          <w:rFonts w:ascii="Verdana" w:hAnsi="Verdana" w:cs="Arial"/>
          <w:lang w:val="es-ES"/>
        </w:rPr>
      </w:pPr>
    </w:p>
    <w:p w14:paraId="23BEE57D" w14:textId="77777777" w:rsidR="00576E4D" w:rsidRPr="00B41764" w:rsidRDefault="00576E4D" w:rsidP="00576E4D">
      <w:pPr>
        <w:widowControl w:val="0"/>
        <w:autoSpaceDE w:val="0"/>
        <w:autoSpaceDN w:val="0"/>
        <w:spacing w:after="0" w:line="276" w:lineRule="auto"/>
        <w:jc w:val="both"/>
        <w:rPr>
          <w:rFonts w:ascii="Verdana" w:hAnsi="Verdana" w:cs="Arial"/>
          <w:lang w:val="es-ES"/>
        </w:rPr>
      </w:pPr>
      <w:r w:rsidRPr="00B41764">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D76A487" w14:textId="77777777" w:rsidR="00576E4D" w:rsidRPr="00B41764" w:rsidRDefault="00576E4D" w:rsidP="00576E4D">
      <w:pPr>
        <w:spacing w:after="0" w:line="276" w:lineRule="auto"/>
        <w:jc w:val="both"/>
        <w:rPr>
          <w:rFonts w:ascii="Verdana" w:eastAsia="Verdana" w:hAnsi="Verdana" w:cs="Verdana"/>
        </w:rPr>
      </w:pPr>
    </w:p>
    <w:p w14:paraId="1AC82C0F" w14:textId="355B5738" w:rsidR="3CFC2224" w:rsidRDefault="3CFC2224" w:rsidP="3CFC2224">
      <w:pPr>
        <w:spacing w:after="0" w:line="276" w:lineRule="auto"/>
        <w:rPr>
          <w:rFonts w:ascii="Verdana" w:eastAsia="Verdana" w:hAnsi="Verdana" w:cs="Verdana"/>
        </w:rPr>
      </w:pPr>
    </w:p>
    <w:p w14:paraId="29CAA6A5" w14:textId="52372ED3" w:rsidR="3CFC2224" w:rsidRDefault="3CFC2224" w:rsidP="3CFC2224">
      <w:pPr>
        <w:spacing w:after="0" w:line="276" w:lineRule="auto"/>
        <w:rPr>
          <w:rFonts w:ascii="Verdana" w:eastAsia="Verdana" w:hAnsi="Verdana" w:cs="Verdana"/>
        </w:rPr>
      </w:pPr>
    </w:p>
    <w:p w14:paraId="0B928DDA" w14:textId="29833011" w:rsidR="3CFC2224" w:rsidRDefault="3CFC2224" w:rsidP="3CFC2224">
      <w:pPr>
        <w:spacing w:after="0" w:line="276" w:lineRule="auto"/>
        <w:rPr>
          <w:rFonts w:ascii="Verdana" w:eastAsia="Verdana" w:hAnsi="Verdana" w:cs="Verdana"/>
        </w:rPr>
      </w:pPr>
    </w:p>
    <w:p w14:paraId="37728E6F" w14:textId="6D587131" w:rsidR="3CFC2224" w:rsidRDefault="3CFC2224" w:rsidP="3CFC2224">
      <w:pPr>
        <w:spacing w:after="0" w:line="276" w:lineRule="auto"/>
        <w:rPr>
          <w:rFonts w:ascii="Verdana" w:eastAsia="Verdana" w:hAnsi="Verdana" w:cs="Verdana"/>
        </w:rPr>
      </w:pPr>
    </w:p>
    <w:p w14:paraId="058506CE" w14:textId="14D96B73" w:rsidR="3CFC2224" w:rsidRDefault="3CFC2224" w:rsidP="3CFC2224">
      <w:pPr>
        <w:spacing w:after="0" w:line="276" w:lineRule="auto"/>
        <w:rPr>
          <w:rFonts w:ascii="Verdana" w:eastAsia="Verdana" w:hAnsi="Verdana" w:cs="Verdana"/>
        </w:rPr>
      </w:pPr>
    </w:p>
    <w:p w14:paraId="76C3B204" w14:textId="7BD565EA" w:rsidR="3CFC2224" w:rsidRDefault="3CFC2224" w:rsidP="3CFC2224">
      <w:pPr>
        <w:spacing w:after="0" w:line="276" w:lineRule="auto"/>
        <w:rPr>
          <w:rFonts w:ascii="Verdana" w:eastAsia="Verdana" w:hAnsi="Verdana" w:cs="Verdana"/>
        </w:rPr>
      </w:pPr>
    </w:p>
    <w:p w14:paraId="2A5C9066" w14:textId="5D0C1816" w:rsidR="3CFC2224" w:rsidRDefault="3CFC2224" w:rsidP="3CFC2224">
      <w:pPr>
        <w:spacing w:after="0" w:line="276" w:lineRule="auto"/>
        <w:rPr>
          <w:rFonts w:ascii="Verdana" w:eastAsia="Verdana" w:hAnsi="Verdana" w:cs="Verdana"/>
        </w:rPr>
      </w:pPr>
    </w:p>
    <w:p w14:paraId="55B300CD" w14:textId="0FDCD83F" w:rsidR="3CFC2224" w:rsidRDefault="3CFC2224" w:rsidP="3CFC2224">
      <w:pPr>
        <w:spacing w:after="0" w:line="276" w:lineRule="auto"/>
        <w:rPr>
          <w:rFonts w:ascii="Verdana" w:eastAsia="Verdana" w:hAnsi="Verdana" w:cs="Verdana"/>
        </w:rPr>
      </w:pPr>
    </w:p>
    <w:p w14:paraId="35A89EB4" w14:textId="6374B352" w:rsidR="3CFC2224" w:rsidRDefault="3CFC2224" w:rsidP="3CFC2224">
      <w:pPr>
        <w:spacing w:after="0" w:line="276" w:lineRule="auto"/>
        <w:rPr>
          <w:rFonts w:ascii="Verdana" w:eastAsia="Verdana" w:hAnsi="Verdana" w:cs="Verdana"/>
        </w:rPr>
      </w:pPr>
    </w:p>
    <w:p w14:paraId="7D8C51FF" w14:textId="7431398A" w:rsidR="3CFC2224" w:rsidRDefault="3CFC2224" w:rsidP="3CFC2224">
      <w:pPr>
        <w:spacing w:after="0" w:line="276" w:lineRule="auto"/>
        <w:rPr>
          <w:rFonts w:ascii="Verdana" w:eastAsia="Verdana" w:hAnsi="Verdana" w:cs="Verdana"/>
        </w:rPr>
      </w:pPr>
    </w:p>
    <w:p w14:paraId="295539AA" w14:textId="67C8B5FA" w:rsidR="3CFC2224" w:rsidRDefault="3CFC2224" w:rsidP="3CFC2224">
      <w:pPr>
        <w:spacing w:after="0" w:line="276" w:lineRule="auto"/>
        <w:rPr>
          <w:rFonts w:ascii="Verdana" w:eastAsia="Verdana" w:hAnsi="Verdana" w:cs="Verdana"/>
        </w:rPr>
      </w:pPr>
    </w:p>
    <w:p w14:paraId="5BDFA28B" w14:textId="4F01E76A" w:rsidR="3CFC2224" w:rsidRDefault="3CFC2224" w:rsidP="3CFC2224">
      <w:pPr>
        <w:spacing w:after="0" w:line="276" w:lineRule="auto"/>
        <w:rPr>
          <w:rFonts w:ascii="Verdana" w:eastAsia="Verdana" w:hAnsi="Verdana" w:cs="Verdana"/>
        </w:rPr>
      </w:pPr>
    </w:p>
    <w:p w14:paraId="6DD67D92" w14:textId="5BB39354" w:rsidR="3CFC2224" w:rsidRDefault="3CFC2224" w:rsidP="3CFC2224">
      <w:pPr>
        <w:spacing w:after="0" w:line="276" w:lineRule="auto"/>
        <w:rPr>
          <w:rFonts w:ascii="Verdana" w:eastAsia="Verdana" w:hAnsi="Verdana" w:cs="Verdana"/>
        </w:rPr>
      </w:pPr>
    </w:p>
    <w:p w14:paraId="6BBB4529" w14:textId="554F9F27" w:rsidR="3CFC2224" w:rsidRDefault="3CFC2224" w:rsidP="3CFC2224">
      <w:pPr>
        <w:spacing w:after="0" w:line="276" w:lineRule="auto"/>
        <w:rPr>
          <w:rFonts w:ascii="Verdana" w:eastAsia="Verdana" w:hAnsi="Verdana" w:cs="Verdana"/>
        </w:rPr>
      </w:pPr>
    </w:p>
    <w:p w14:paraId="5CAE3C2A" w14:textId="2FD5E719" w:rsidR="3CFC2224" w:rsidRDefault="3CFC2224" w:rsidP="3CFC2224">
      <w:pPr>
        <w:spacing w:after="0" w:line="276" w:lineRule="auto"/>
        <w:rPr>
          <w:rFonts w:ascii="Verdana" w:eastAsia="Verdana" w:hAnsi="Verdana" w:cs="Verdana"/>
        </w:rPr>
      </w:pPr>
    </w:p>
    <w:p w14:paraId="4883EEFC" w14:textId="765DE75A" w:rsidR="3CFC2224" w:rsidRDefault="3CFC2224" w:rsidP="3CFC2224">
      <w:pPr>
        <w:spacing w:after="0" w:line="276" w:lineRule="auto"/>
        <w:rPr>
          <w:rFonts w:ascii="Verdana" w:eastAsia="Verdana" w:hAnsi="Verdana" w:cs="Verdana"/>
        </w:rPr>
      </w:pPr>
    </w:p>
    <w:p w14:paraId="1C5BFFBE" w14:textId="3D397966" w:rsidR="3CFC2224" w:rsidRDefault="3CFC2224" w:rsidP="3CFC2224">
      <w:pPr>
        <w:spacing w:after="0" w:line="276" w:lineRule="auto"/>
        <w:rPr>
          <w:rFonts w:ascii="Verdana" w:eastAsia="Verdana" w:hAnsi="Verdana" w:cs="Verdana"/>
        </w:rPr>
      </w:pPr>
    </w:p>
    <w:p w14:paraId="142F7A48" w14:textId="292C1285" w:rsidR="3CFC2224" w:rsidRDefault="3CFC2224" w:rsidP="3CFC2224">
      <w:pPr>
        <w:spacing w:after="0" w:line="276" w:lineRule="auto"/>
        <w:rPr>
          <w:rFonts w:ascii="Verdana" w:eastAsia="Verdana" w:hAnsi="Verdana" w:cs="Verdana"/>
        </w:rPr>
      </w:pPr>
    </w:p>
    <w:p w14:paraId="211A6395" w14:textId="6867E3D6" w:rsidR="3CFC2224" w:rsidRDefault="3CFC2224" w:rsidP="3CFC2224">
      <w:pPr>
        <w:spacing w:after="0" w:line="276" w:lineRule="auto"/>
        <w:rPr>
          <w:rFonts w:ascii="Verdana" w:eastAsia="Verdana" w:hAnsi="Verdana" w:cs="Verdana"/>
        </w:rPr>
      </w:pPr>
    </w:p>
    <w:p w14:paraId="02251984" w14:textId="33AADBA5" w:rsidR="3CFC2224" w:rsidRDefault="3CFC2224" w:rsidP="3CFC2224">
      <w:pPr>
        <w:spacing w:after="0" w:line="276" w:lineRule="auto"/>
        <w:rPr>
          <w:rFonts w:ascii="Verdana" w:eastAsia="Verdana" w:hAnsi="Verdana" w:cs="Verdana"/>
        </w:rPr>
      </w:pPr>
    </w:p>
    <w:p w14:paraId="15F85293" w14:textId="6B4325C8" w:rsidR="3CFC2224" w:rsidRDefault="3CFC2224" w:rsidP="3CFC2224">
      <w:pPr>
        <w:spacing w:after="0" w:line="276" w:lineRule="auto"/>
        <w:rPr>
          <w:rFonts w:ascii="Verdana" w:eastAsia="Verdana" w:hAnsi="Verdana" w:cs="Verdana"/>
        </w:rPr>
      </w:pPr>
    </w:p>
    <w:p w14:paraId="7B92D11D" w14:textId="77777777" w:rsidR="00576E4D" w:rsidRPr="00B41764" w:rsidRDefault="00576E4D" w:rsidP="00576E4D">
      <w:pPr>
        <w:spacing w:after="0" w:line="276" w:lineRule="auto"/>
        <w:rPr>
          <w:rFonts w:ascii="Verdana" w:eastAsia="Verdana" w:hAnsi="Verdana" w:cs="Verdana"/>
        </w:rPr>
      </w:pPr>
      <w:r w:rsidRPr="00B41764">
        <w:rPr>
          <w:rFonts w:ascii="Verdana" w:eastAsia="Verdana" w:hAnsi="Verdana" w:cs="Verdana"/>
        </w:rPr>
        <w:t xml:space="preserve">Evalúa el servicio que ofrece la Agencia por el canal de atención de PQRSD en el siguiente enlace: </w:t>
      </w:r>
      <w:hyperlink r:id="rId16" w:history="1">
        <w:r w:rsidRPr="00B41764">
          <w:rPr>
            <w:rStyle w:val="Hipervnculo"/>
            <w:rFonts w:ascii="Verdana" w:eastAsia="Verdana" w:hAnsi="Verdana" w:cs="Verdana"/>
          </w:rPr>
          <w:t>https://forms.office.com/r/pPHyWVs2SZ</w:t>
        </w:r>
      </w:hyperlink>
      <w:r w:rsidRPr="00B41764">
        <w:rPr>
          <w:rFonts w:ascii="Verdana" w:eastAsia="Verdana" w:hAnsi="Verdana" w:cs="Verdana"/>
        </w:rPr>
        <w:t xml:space="preserve"> .¡Ayúdanos a mejorar porque el compromiso es de todos!</w:t>
      </w:r>
    </w:p>
    <w:p w14:paraId="0B55D23A" w14:textId="77777777" w:rsidR="0064201E" w:rsidRDefault="0064201E" w:rsidP="00735F89">
      <w:pPr>
        <w:widowControl w:val="0"/>
        <w:autoSpaceDE w:val="0"/>
        <w:autoSpaceDN w:val="0"/>
        <w:spacing w:after="120" w:line="276" w:lineRule="auto"/>
        <w:jc w:val="both"/>
        <w:rPr>
          <w:rStyle w:val="normaltextrun"/>
          <w:rFonts w:ascii="Verdana" w:eastAsia="Calibri" w:hAnsi="Verdana" w:cs="Arial"/>
          <w:lang w:eastAsia="en-GB"/>
        </w:rPr>
      </w:pPr>
    </w:p>
    <w:p w14:paraId="15C29AC7" w14:textId="02C8CF6C" w:rsidR="00576E4D" w:rsidRDefault="00576E4D" w:rsidP="00735F89">
      <w:pPr>
        <w:widowControl w:val="0"/>
        <w:autoSpaceDE w:val="0"/>
        <w:autoSpaceDN w:val="0"/>
        <w:spacing w:after="120" w:line="276" w:lineRule="auto"/>
        <w:jc w:val="both"/>
        <w:rPr>
          <w:rStyle w:val="normaltextrun"/>
          <w:rFonts w:ascii="Verdana" w:eastAsia="Calibri" w:hAnsi="Verdana" w:cs="Arial"/>
          <w:lang w:eastAsia="en-GB"/>
        </w:rPr>
      </w:pPr>
      <w:r>
        <w:rPr>
          <w:rStyle w:val="normaltextrun"/>
          <w:rFonts w:ascii="Verdana" w:eastAsia="Calibri" w:hAnsi="Verdana" w:cs="Arial"/>
          <w:lang w:eastAsia="en-GB"/>
        </w:rPr>
        <w:t xml:space="preserve">Atentamente, </w:t>
      </w:r>
    </w:p>
    <w:p w14:paraId="3BF338D9" w14:textId="392ADD90" w:rsidR="00D658DB" w:rsidRDefault="006474CF" w:rsidP="00735F89">
      <w:pPr>
        <w:widowControl w:val="0"/>
        <w:autoSpaceDE w:val="0"/>
        <w:autoSpaceDN w:val="0"/>
        <w:spacing w:after="120" w:line="276" w:lineRule="auto"/>
        <w:jc w:val="both"/>
        <w:rPr>
          <w:rStyle w:val="normaltextrun"/>
          <w:rFonts w:ascii="Verdana" w:eastAsia="Calibri" w:hAnsi="Verdana" w:cs="Arial"/>
          <w:lang w:eastAsia="en-GB"/>
        </w:rPr>
      </w:pPr>
      <w:r w:rsidRPr="004D5C25">
        <w:rPr>
          <w:rFonts w:ascii="Century Gothic" w:hAnsi="Century Gothic"/>
          <w:noProof/>
        </w:rPr>
        <w:drawing>
          <wp:anchor distT="0" distB="0" distL="114300" distR="114300" simplePos="0" relativeHeight="251660288" behindDoc="1" locked="0" layoutInCell="1" allowOverlap="1" wp14:anchorId="716EE03E" wp14:editId="20ED0E76">
            <wp:simplePos x="0" y="0"/>
            <wp:positionH relativeFrom="column">
              <wp:posOffset>1231265</wp:posOffset>
            </wp:positionH>
            <wp:positionV relativeFrom="paragraph">
              <wp:posOffset>8255</wp:posOffset>
            </wp:positionV>
            <wp:extent cx="3705225" cy="1181735"/>
            <wp:effectExtent l="0" t="0" r="9525" b="0"/>
            <wp:wrapTight wrapText="bothSides">
              <wp:wrapPolygon edited="0">
                <wp:start x="0" y="0"/>
                <wp:lineTo x="0" y="21240"/>
                <wp:lineTo x="21544" y="21240"/>
                <wp:lineTo x="21544" y="0"/>
                <wp:lineTo x="0" y="0"/>
              </wp:wrapPolygon>
            </wp:wrapTight>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705225" cy="1181735"/>
                    </a:xfrm>
                    <a:prstGeom prst="rect">
                      <a:avLst/>
                    </a:prstGeom>
                  </pic:spPr>
                </pic:pic>
              </a:graphicData>
            </a:graphic>
            <wp14:sizeRelV relativeFrom="margin">
              <wp14:pctHeight>0</wp14:pctHeight>
            </wp14:sizeRelV>
          </wp:anchor>
        </w:drawing>
      </w:r>
    </w:p>
    <w:p w14:paraId="59EC0193" w14:textId="33E800A6" w:rsidR="00D658DB" w:rsidRDefault="00D658DB" w:rsidP="00D658DB">
      <w:pPr>
        <w:spacing w:after="0" w:line="276" w:lineRule="auto"/>
        <w:jc w:val="both"/>
        <w:rPr>
          <w:rFonts w:ascii="Verdana" w:eastAsia="Verdana" w:hAnsi="Verdana" w:cs="Verdana"/>
          <w:lang w:val="es-MX"/>
        </w:rPr>
      </w:pPr>
    </w:p>
    <w:p w14:paraId="4E053EC4" w14:textId="23C434D0" w:rsidR="00D658DB" w:rsidRDefault="00D658DB" w:rsidP="00D658DB">
      <w:pPr>
        <w:spacing w:after="0" w:line="276" w:lineRule="auto"/>
        <w:jc w:val="both"/>
        <w:rPr>
          <w:rFonts w:ascii="Verdana" w:eastAsia="Century Gothic" w:hAnsi="Verdana" w:cs="Century Gothic"/>
        </w:rPr>
      </w:pPr>
    </w:p>
    <w:p w14:paraId="3A45C14A" w14:textId="77777777" w:rsidR="00D658DB" w:rsidRDefault="00D658DB" w:rsidP="00D658DB">
      <w:pPr>
        <w:spacing w:after="0" w:line="276" w:lineRule="auto"/>
        <w:jc w:val="both"/>
        <w:rPr>
          <w:rFonts w:ascii="Verdana" w:eastAsia="Century Gothic" w:hAnsi="Verdana" w:cs="Century Gothic"/>
        </w:rPr>
      </w:pPr>
    </w:p>
    <w:p w14:paraId="53CCF4E6" w14:textId="77777777" w:rsidR="00D658DB" w:rsidRDefault="00D658DB" w:rsidP="00D658DB">
      <w:pPr>
        <w:spacing w:after="0" w:line="276" w:lineRule="auto"/>
        <w:jc w:val="both"/>
        <w:rPr>
          <w:rFonts w:ascii="Verdana" w:eastAsia="Century Gothic" w:hAnsi="Verdana" w:cs="Century Gothic"/>
        </w:rPr>
      </w:pPr>
    </w:p>
    <w:p w14:paraId="78DBF0BF" w14:textId="77777777" w:rsidR="00D658DB" w:rsidRDefault="00D658DB" w:rsidP="00D658DB">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D658DB" w:rsidRPr="004C0111" w14:paraId="37AF5951" w14:textId="77777777" w:rsidTr="00821185">
        <w:trPr>
          <w:trHeight w:val="622"/>
        </w:trPr>
        <w:tc>
          <w:tcPr>
            <w:tcW w:w="893" w:type="dxa"/>
            <w:vAlign w:val="center"/>
            <w:hideMark/>
          </w:tcPr>
          <w:p w14:paraId="28AFBD62" w14:textId="77777777" w:rsidR="00D658DB" w:rsidRPr="004C0111" w:rsidRDefault="00D658DB" w:rsidP="00821185">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D658DB" w:rsidRPr="004C0111" w14:paraId="07CF206E" w14:textId="77777777" w:rsidTr="00821185">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790124F3" w14:textId="77777777" w:rsidR="00D658DB" w:rsidRPr="004C0111" w:rsidRDefault="00D658DB" w:rsidP="00821185">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3BF38200" w14:textId="77777777" w:rsidR="00D658DB" w:rsidRPr="004C0111" w:rsidRDefault="00D658DB" w:rsidP="00821185">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301BDB0D" w14:textId="77777777" w:rsidR="00D658DB" w:rsidRPr="004C0111" w:rsidRDefault="00D658DB" w:rsidP="00821185">
            <w:pPr>
              <w:rPr>
                <w:rFonts w:ascii="Verdana" w:eastAsia="Calibri" w:hAnsi="Verdana" w:cs="Arial"/>
                <w:sz w:val="16"/>
                <w:szCs w:val="16"/>
                <w:lang w:val="es-MX"/>
              </w:rPr>
            </w:pPr>
          </w:p>
        </w:tc>
      </w:tr>
      <w:tr w:rsidR="00D658DB" w:rsidRPr="004C0111" w14:paraId="177BC231" w14:textId="77777777" w:rsidTr="00821185">
        <w:trPr>
          <w:trHeight w:val="330"/>
        </w:trPr>
        <w:tc>
          <w:tcPr>
            <w:tcW w:w="893" w:type="dxa"/>
            <w:vAlign w:val="center"/>
            <w:hideMark/>
          </w:tcPr>
          <w:p w14:paraId="5D0238DD" w14:textId="77777777" w:rsidR="00D658DB" w:rsidRPr="004C0111" w:rsidRDefault="00D658DB" w:rsidP="00821185">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394C5838" w14:textId="77777777" w:rsidR="00D658DB" w:rsidRPr="004C0111" w:rsidRDefault="00D658DB" w:rsidP="00821185">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Adriana López Rodríguez</w:t>
            </w:r>
          </w:p>
          <w:p w14:paraId="40E11F54" w14:textId="77777777" w:rsidR="00D658DB" w:rsidRPr="004C0111" w:rsidRDefault="00D658DB" w:rsidP="00821185">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D658DB" w:rsidRPr="004C0111" w14:paraId="52C20321" w14:textId="77777777" w:rsidTr="00821185">
        <w:trPr>
          <w:trHeight w:val="77"/>
        </w:trPr>
        <w:tc>
          <w:tcPr>
            <w:tcW w:w="893" w:type="dxa"/>
            <w:vAlign w:val="center"/>
          </w:tcPr>
          <w:p w14:paraId="01D5A221" w14:textId="77777777" w:rsidR="00D658DB" w:rsidRPr="004C0111" w:rsidRDefault="00D658DB" w:rsidP="00821185">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7BB974AC" w14:textId="77777777" w:rsidR="00D658DB" w:rsidRPr="002F2853" w:rsidRDefault="00D658DB" w:rsidP="00821185">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14BDDC88" w14:textId="77777777" w:rsidR="00D658DB" w:rsidRPr="004C0111" w:rsidRDefault="00D658DB" w:rsidP="00821185">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0669E971" w14:textId="77777777" w:rsidR="00A37F2E" w:rsidRPr="00277B7A" w:rsidRDefault="00A37F2E" w:rsidP="30821638">
      <w:pPr>
        <w:spacing w:after="0" w:line="240" w:lineRule="auto"/>
        <w:jc w:val="both"/>
        <w:rPr>
          <w:rFonts w:ascii="Verdana" w:eastAsia="Verdana" w:hAnsi="Verdana" w:cs="Verdana"/>
          <w:lang w:val="es-ES_tradnl"/>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4150909F"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06BC6" w14:textId="77777777" w:rsidR="004C5EFA" w:rsidRDefault="004C5EFA" w:rsidP="004A1847">
      <w:pPr>
        <w:spacing w:after="0" w:line="240" w:lineRule="auto"/>
      </w:pPr>
      <w:r>
        <w:separator/>
      </w:r>
    </w:p>
  </w:endnote>
  <w:endnote w:type="continuationSeparator" w:id="0">
    <w:p w14:paraId="037987E5" w14:textId="77777777" w:rsidR="004C5EFA" w:rsidRDefault="004C5EF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F9BB7" w14:textId="77777777" w:rsidR="004C5EFA" w:rsidRDefault="004C5EFA" w:rsidP="004A1847">
      <w:pPr>
        <w:spacing w:after="0" w:line="240" w:lineRule="auto"/>
      </w:pPr>
      <w:r>
        <w:separator/>
      </w:r>
    </w:p>
  </w:footnote>
  <w:footnote w:type="continuationSeparator" w:id="0">
    <w:p w14:paraId="7E5EEEC0" w14:textId="77777777" w:rsidR="004C5EFA" w:rsidRDefault="004C5EFA" w:rsidP="004A1847">
      <w:pPr>
        <w:spacing w:after="0" w:line="240" w:lineRule="auto"/>
      </w:pPr>
      <w:r>
        <w:continuationSeparator/>
      </w:r>
    </w:p>
  </w:footnote>
  <w:footnote w:id="1">
    <w:p w14:paraId="04F391D7"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El artículo 127 de la Constitución Política señala: </w:t>
      </w:r>
      <w:r>
        <w:rPr>
          <w:rFonts w:ascii="Verdana" w:hAnsi="Verdana" w:cs="Arial"/>
          <w:sz w:val="16"/>
          <w:szCs w:val="16"/>
        </w:rPr>
        <w:t>“</w:t>
      </w:r>
      <w:r w:rsidRPr="009B20C5">
        <w:rPr>
          <w:rFonts w:ascii="Verdana" w:hAnsi="Verdana" w:cs="Arial"/>
          <w:sz w:val="16"/>
          <w:szCs w:val="16"/>
        </w:rPr>
        <w:t xml:space="preserve">Los servidores públicos no podrán celebrar, por si o por interpuesta persona, o en representación de otro, contrato alguno con entidades públicas o con personas privadas que manejen o administren recursos públicos, salvo las excepciones legales. </w:t>
      </w:r>
    </w:p>
    <w:p w14:paraId="0F2EA433" w14:textId="77777777" w:rsidR="00277B7A" w:rsidRPr="009B20C5" w:rsidRDefault="00277B7A" w:rsidP="00277B7A">
      <w:pPr>
        <w:pStyle w:val="Textonotapie"/>
        <w:ind w:firstLine="709"/>
        <w:jc w:val="both"/>
        <w:rPr>
          <w:rFonts w:ascii="Verdana" w:hAnsi="Verdana" w:cs="Arial"/>
          <w:sz w:val="16"/>
          <w:szCs w:val="16"/>
        </w:rPr>
      </w:pPr>
      <w:r w:rsidRPr="009B20C5">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r>
        <w:rPr>
          <w:rFonts w:ascii="Verdana" w:hAnsi="Verdana" w:cs="Arial"/>
          <w:sz w:val="16"/>
          <w:szCs w:val="16"/>
        </w:rPr>
        <w:t>”</w:t>
      </w:r>
      <w:r w:rsidRPr="0069134B">
        <w:rPr>
          <w:rFonts w:ascii="Verdana" w:hAnsi="Verdana" w:cs="Arial"/>
          <w:sz w:val="16"/>
          <w:szCs w:val="16"/>
        </w:rPr>
        <w:t>.</w:t>
      </w:r>
    </w:p>
  </w:footnote>
  <w:footnote w:id="2">
    <w:p w14:paraId="0B5DE9C2"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Gaceta del Congreso de la República No. 71 del 2005.</w:t>
      </w:r>
    </w:p>
    <w:p w14:paraId="2CDD77EB" w14:textId="77777777" w:rsidR="00277B7A" w:rsidRPr="009B20C5" w:rsidRDefault="00277B7A" w:rsidP="00277B7A">
      <w:pPr>
        <w:pStyle w:val="Textonotapie"/>
        <w:ind w:firstLine="709"/>
        <w:jc w:val="both"/>
        <w:rPr>
          <w:rFonts w:ascii="Verdana" w:hAnsi="Verdana" w:cs="Arial"/>
          <w:sz w:val="16"/>
          <w:szCs w:val="16"/>
        </w:rPr>
      </w:pPr>
    </w:p>
  </w:footnote>
  <w:footnote w:id="3">
    <w:p w14:paraId="474E2DF0"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Corte Constitucional, Sentencia C- 1153 de 2005, M.P. Marco Gerardo Monroy Cabra.</w:t>
      </w:r>
    </w:p>
  </w:footnote>
  <w:footnote w:id="4">
    <w:p w14:paraId="1D45398A"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5">
    <w:p w14:paraId="03BD2573" w14:textId="77777777" w:rsidR="00277B7A" w:rsidRDefault="00277B7A" w:rsidP="00277B7A">
      <w:pPr>
        <w:pStyle w:val="Textonotapie"/>
        <w:ind w:firstLine="709"/>
        <w:jc w:val="both"/>
        <w:rPr>
          <w:rFonts w:ascii="Verdana" w:hAnsi="Verdana" w:cs="Arial"/>
          <w:sz w:val="16"/>
          <w:szCs w:val="16"/>
          <w:lang w:val="es-CO"/>
        </w:rPr>
      </w:pPr>
      <w:r w:rsidRPr="009B20C5">
        <w:rPr>
          <w:rStyle w:val="Refdenotaalpie"/>
          <w:rFonts w:ascii="Verdana" w:hAnsi="Verdana" w:cs="Arial"/>
          <w:sz w:val="16"/>
          <w:szCs w:val="16"/>
        </w:rPr>
        <w:footnoteRef/>
      </w:r>
      <w:r w:rsidRPr="009B20C5">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r w:rsidRPr="0069134B">
        <w:rPr>
          <w:rFonts w:ascii="Verdana" w:hAnsi="Verdana" w:cs="Arial"/>
          <w:sz w:val="16"/>
          <w:szCs w:val="16"/>
          <w:lang w:val="es-CO"/>
        </w:rPr>
        <w:t>.</w:t>
      </w:r>
      <w:r>
        <w:rPr>
          <w:rFonts w:ascii="Verdana" w:hAnsi="Verdana" w:cs="Arial"/>
          <w:sz w:val="16"/>
          <w:szCs w:val="16"/>
          <w:lang w:val="es-CO"/>
        </w:rPr>
        <w:t>.</w:t>
      </w:r>
    </w:p>
    <w:p w14:paraId="0A5256BE" w14:textId="77777777" w:rsidR="00277B7A" w:rsidRPr="009B20C5" w:rsidRDefault="00277B7A" w:rsidP="00277B7A">
      <w:pPr>
        <w:pStyle w:val="Textonotapie"/>
        <w:ind w:firstLine="709"/>
        <w:jc w:val="both"/>
        <w:rPr>
          <w:rFonts w:ascii="Verdana" w:hAnsi="Verdana" w:cs="Arial"/>
          <w:sz w:val="16"/>
          <w:szCs w:val="16"/>
          <w:lang w:val="es-CO"/>
        </w:rPr>
      </w:pPr>
    </w:p>
  </w:footnote>
  <w:footnote w:id="6">
    <w:p w14:paraId="13D65FB6" w14:textId="77777777" w:rsidR="00277B7A"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Consejo de Estado, Sala de Consulta y Servicio Civil de fecha 24 de julio de 2013, radicado 2166, Consejero Ponente: Álvaro Namén Vargas.  </w:t>
      </w:r>
    </w:p>
    <w:p w14:paraId="222294CC" w14:textId="77777777" w:rsidR="00277B7A" w:rsidRPr="009B20C5" w:rsidRDefault="00277B7A" w:rsidP="00277B7A">
      <w:pPr>
        <w:pStyle w:val="Textonotapie"/>
        <w:ind w:firstLine="709"/>
        <w:jc w:val="both"/>
        <w:rPr>
          <w:rFonts w:ascii="Verdana" w:hAnsi="Verdana" w:cs="Arial"/>
          <w:sz w:val="16"/>
          <w:szCs w:val="16"/>
        </w:rPr>
      </w:pPr>
    </w:p>
  </w:footnote>
  <w:footnote w:id="7">
    <w:p w14:paraId="23B31B1F" w14:textId="77777777" w:rsidR="00277B7A" w:rsidRDefault="00277B7A" w:rsidP="00277B7A">
      <w:pPr>
        <w:spacing w:after="0" w:line="240" w:lineRule="auto"/>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Consejo de Estado. Sala de Consulta y Servicio Civil. Concepto del 17 de febrero de 2015. C.P. William Zambrano Cetina. Radicación No. 11001-03-06-000-2015-00164-00(2269).</w:t>
      </w:r>
    </w:p>
    <w:p w14:paraId="292432E7" w14:textId="77777777" w:rsidR="00277B7A" w:rsidRPr="0069134B" w:rsidRDefault="00277B7A" w:rsidP="00277B7A">
      <w:pPr>
        <w:spacing w:after="0" w:line="240" w:lineRule="auto"/>
        <w:ind w:firstLine="709"/>
        <w:jc w:val="both"/>
        <w:rPr>
          <w:rFonts w:ascii="Verdana" w:hAnsi="Verdana" w:cs="Arial"/>
          <w:sz w:val="16"/>
          <w:szCs w:val="16"/>
          <w:lang w:val="es-ES"/>
        </w:rPr>
      </w:pPr>
    </w:p>
  </w:footnote>
  <w:footnote w:id="8">
    <w:p w14:paraId="6CC19C0F"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w:t>
      </w:r>
      <w:bookmarkStart w:id="10" w:name="_Hlk74272731"/>
      <w:r>
        <w:rPr>
          <w:rFonts w:ascii="Verdana" w:hAnsi="Verdana" w:cs="Arial"/>
          <w:sz w:val="16"/>
          <w:szCs w:val="16"/>
        </w:rPr>
        <w:t>“</w:t>
      </w:r>
      <w:bookmarkEnd w:id="10"/>
      <w:r w:rsidRPr="009B20C5">
        <w:rPr>
          <w:rFonts w:ascii="Verdana" w:hAnsi="Verdana" w:cs="Arial"/>
          <w:sz w:val="16"/>
          <w:szCs w:val="16"/>
          <w:lang w:val="es-ES"/>
        </w:rPr>
        <w:t xml:space="preserve">[25] </w:t>
      </w:r>
      <w:r w:rsidRPr="009B20C5">
        <w:rPr>
          <w:rFonts w:ascii="Verdana" w:hAnsi="Verdana" w:cs="Arial"/>
          <w:sz w:val="16"/>
          <w:szCs w:val="16"/>
        </w:rPr>
        <w:t>Cfr. Consejo de Estado. Sección Tercera. Sentencia de 3 de diciembre de 2007. Radicados: 24.715, 25.206, 25.409, 24.524, 27.834, 25.410, 26.105, 28.244, 31.447 -acumulados</w:t>
      </w:r>
      <w:r w:rsidRPr="0069134B">
        <w:rPr>
          <w:rFonts w:ascii="Verdana" w:hAnsi="Verdana" w:cs="Arial"/>
          <w:sz w:val="16"/>
          <w:szCs w:val="16"/>
        </w:rPr>
        <w:t>-</w:t>
      </w:r>
      <w:bookmarkStart w:id="11" w:name="_Hlk74271358"/>
      <w:r>
        <w:rPr>
          <w:rFonts w:ascii="Verdana" w:hAnsi="Verdana" w:cs="Arial"/>
          <w:sz w:val="16"/>
          <w:szCs w:val="16"/>
        </w:rPr>
        <w:t>“</w:t>
      </w:r>
      <w:bookmarkEnd w:id="11"/>
      <w:r w:rsidRPr="0069134B">
        <w:rPr>
          <w:rFonts w:ascii="Verdana" w:hAnsi="Verdana" w:cs="Arial"/>
          <w:sz w:val="16"/>
          <w:szCs w:val="16"/>
        </w:rPr>
        <w:t>.</w:t>
      </w:r>
    </w:p>
  </w:footnote>
  <w:footnote w:id="9">
    <w:p w14:paraId="5A8CEAFA" w14:textId="77777777" w:rsidR="00277B7A" w:rsidRPr="009B20C5"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Al respecto ver el concepto 1712 de 2 de febrero de 2006. Consejo de Estado Sala de Consulta y Servicio Civil</w:t>
      </w:r>
      <w:r w:rsidRPr="0069134B">
        <w:rPr>
          <w:rFonts w:ascii="Verdana" w:hAnsi="Verdana" w:cs="Arial"/>
          <w:sz w:val="16"/>
          <w:szCs w:val="16"/>
        </w:rPr>
        <w:t>.</w:t>
      </w:r>
    </w:p>
  </w:footnote>
  <w:footnote w:id="10">
    <w:p w14:paraId="6B1F58A7" w14:textId="77777777" w:rsidR="00277B7A" w:rsidRDefault="00277B7A" w:rsidP="00277B7A">
      <w:pPr>
        <w:pStyle w:val="Textonotapie"/>
        <w:ind w:firstLine="709"/>
        <w:jc w:val="both"/>
        <w:rPr>
          <w:rFonts w:ascii="Verdana" w:hAnsi="Verdana" w:cs="Arial"/>
          <w:sz w:val="16"/>
          <w:szCs w:val="16"/>
        </w:rPr>
      </w:pPr>
      <w:r w:rsidRPr="0069134B">
        <w:rPr>
          <w:rStyle w:val="Refdenotaalpie"/>
          <w:rFonts w:ascii="Verdana" w:hAnsi="Verdana" w:cs="Arial"/>
          <w:sz w:val="16"/>
          <w:szCs w:val="16"/>
        </w:rPr>
        <w:footnoteRef/>
      </w:r>
      <w:r w:rsidRPr="0069134B">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p w14:paraId="2C98E4B9" w14:textId="77777777" w:rsidR="00277B7A" w:rsidRPr="0069134B" w:rsidRDefault="00277B7A" w:rsidP="00277B7A">
      <w:pPr>
        <w:pStyle w:val="Textonotapie"/>
        <w:ind w:firstLine="709"/>
        <w:jc w:val="both"/>
        <w:rPr>
          <w:rFonts w:ascii="Verdana" w:hAnsi="Verdana" w:cs="Arial"/>
          <w:sz w:val="16"/>
          <w:szCs w:val="16"/>
        </w:rPr>
      </w:pPr>
    </w:p>
  </w:footnote>
  <w:footnote w:id="11">
    <w:p w14:paraId="008B4FF9" w14:textId="77777777" w:rsidR="00277B7A" w:rsidRPr="009B20C5" w:rsidRDefault="00277B7A" w:rsidP="00277B7A">
      <w:pPr>
        <w:pStyle w:val="Textonotapie"/>
        <w:ind w:firstLine="709"/>
        <w:jc w:val="both"/>
        <w:rPr>
          <w:rFonts w:ascii="Verdana" w:hAnsi="Verdana" w:cs="Arial"/>
          <w:sz w:val="16"/>
          <w:szCs w:val="16"/>
          <w:lang w:val="es-ES"/>
        </w:rPr>
      </w:pPr>
      <w:r w:rsidRPr="009B20C5">
        <w:rPr>
          <w:rStyle w:val="Refdenotaalpie"/>
          <w:rFonts w:ascii="Verdana" w:hAnsi="Verdana" w:cs="Arial"/>
          <w:sz w:val="16"/>
          <w:szCs w:val="16"/>
        </w:rPr>
        <w:footnoteRef/>
      </w:r>
      <w:r w:rsidRPr="009B20C5">
        <w:rPr>
          <w:rFonts w:ascii="Verdana" w:hAnsi="Verdana" w:cs="Arial"/>
          <w:sz w:val="16"/>
          <w:szCs w:val="16"/>
        </w:rPr>
        <w:t xml:space="preserve"> </w:t>
      </w:r>
      <w:r w:rsidRPr="009B20C5">
        <w:rPr>
          <w:rFonts w:ascii="Verdana" w:hAnsi="Verdana" w:cs="Arial"/>
          <w:sz w:val="16"/>
          <w:szCs w:val="16"/>
          <w:lang w:val="es-ES"/>
        </w:rPr>
        <w:t>Artículo 2.</w:t>
      </w:r>
    </w:p>
  </w:footnote>
  <w:footnote w:id="12">
    <w:p w14:paraId="7B87B0DC" w14:textId="77777777" w:rsidR="00277B7A" w:rsidRPr="009B20C5" w:rsidRDefault="00277B7A" w:rsidP="00277B7A">
      <w:pPr>
        <w:pStyle w:val="Textonotapie"/>
        <w:ind w:firstLine="709"/>
        <w:jc w:val="both"/>
        <w:rPr>
          <w:rFonts w:ascii="Verdana" w:hAnsi="Verdana" w:cs="Arial"/>
          <w:sz w:val="16"/>
          <w:szCs w:val="16"/>
          <w:lang w:val="es-ES"/>
        </w:rPr>
      </w:pPr>
      <w:r w:rsidRPr="009B20C5">
        <w:rPr>
          <w:rStyle w:val="Refdenotaalpie"/>
          <w:rFonts w:ascii="Verdana" w:hAnsi="Verdana" w:cs="Arial"/>
          <w:sz w:val="16"/>
          <w:szCs w:val="16"/>
        </w:rPr>
        <w:footnoteRef/>
      </w:r>
      <w:r w:rsidRPr="009B20C5">
        <w:rPr>
          <w:rFonts w:ascii="Verdana" w:hAnsi="Verdana" w:cs="Arial"/>
          <w:sz w:val="16"/>
          <w:szCs w:val="16"/>
        </w:rPr>
        <w:t xml:space="preserve"> </w:t>
      </w:r>
      <w:r w:rsidRPr="009B20C5">
        <w:rPr>
          <w:rFonts w:ascii="Verdana" w:hAnsi="Verdana" w:cs="Arial"/>
          <w:i/>
          <w:sz w:val="16"/>
          <w:szCs w:val="16"/>
          <w:lang w:val="es-ES"/>
        </w:rPr>
        <w:t>Ídem</w:t>
      </w:r>
      <w:r w:rsidRPr="009B20C5">
        <w:rPr>
          <w:rFonts w:ascii="Verdana" w:hAnsi="Verdana" w:cs="Arial"/>
          <w:sz w:val="16"/>
          <w:szCs w:val="16"/>
          <w:lang w:val="es-ES"/>
        </w:rPr>
        <w:t>.</w:t>
      </w:r>
    </w:p>
  </w:footnote>
  <w:footnote w:id="13">
    <w:p w14:paraId="1F98EAFA" w14:textId="77777777" w:rsidR="00277B7A" w:rsidRPr="009B20C5" w:rsidRDefault="00277B7A" w:rsidP="00277B7A">
      <w:pPr>
        <w:pStyle w:val="Textonotapie"/>
        <w:ind w:firstLine="709"/>
        <w:jc w:val="both"/>
        <w:rPr>
          <w:rFonts w:ascii="Verdana" w:hAnsi="Verdana" w:cs="Arial"/>
          <w:sz w:val="16"/>
          <w:szCs w:val="16"/>
          <w:lang w:val="es-ES"/>
        </w:rPr>
      </w:pPr>
      <w:r w:rsidRPr="009B20C5">
        <w:rPr>
          <w:rStyle w:val="Refdenotaalpie"/>
          <w:rFonts w:ascii="Verdana" w:hAnsi="Verdana" w:cs="Arial"/>
          <w:sz w:val="16"/>
          <w:szCs w:val="16"/>
        </w:rPr>
        <w:footnoteRef/>
      </w:r>
      <w:r w:rsidRPr="009B20C5">
        <w:rPr>
          <w:rStyle w:val="Refdenotaalpie"/>
          <w:rFonts w:ascii="Verdana" w:hAnsi="Verdana" w:cs="Arial"/>
          <w:sz w:val="16"/>
          <w:szCs w:val="16"/>
        </w:rPr>
        <w:t xml:space="preserve"> </w:t>
      </w:r>
      <w:r w:rsidRPr="009B20C5">
        <w:rPr>
          <w:rFonts w:ascii="Verdana" w:hAnsi="Verdana" w:cs="Arial"/>
          <w:sz w:val="16"/>
          <w:szCs w:val="16"/>
          <w:lang w:val="es-ES"/>
        </w:rPr>
        <w:t>[…] A este respecto, cabe recordar que el artículo 860 del Código de Comercio regula la licitación en el derecho privado.</w:t>
      </w:r>
    </w:p>
  </w:footnote>
  <w:footnote w:id="14">
    <w:p w14:paraId="487B2BFF" w14:textId="77777777" w:rsidR="00277B7A" w:rsidRDefault="00277B7A" w:rsidP="00277B7A">
      <w:pPr>
        <w:shd w:val="clear" w:color="auto" w:fill="FFFFFF"/>
        <w:spacing w:after="0" w:line="240" w:lineRule="auto"/>
        <w:ind w:firstLine="709"/>
        <w:jc w:val="both"/>
        <w:rPr>
          <w:rFonts w:ascii="Verdana" w:hAnsi="Verdana" w:cs="Arial"/>
          <w:sz w:val="16"/>
          <w:szCs w:val="16"/>
          <w:lang w:val="es-ES"/>
        </w:rPr>
      </w:pPr>
      <w:r w:rsidRPr="009B20C5">
        <w:rPr>
          <w:rStyle w:val="Refdenotaalpie"/>
          <w:rFonts w:ascii="Verdana" w:hAnsi="Verdana" w:cs="Arial"/>
          <w:sz w:val="16"/>
          <w:szCs w:val="16"/>
        </w:rPr>
        <w:footnoteRef/>
      </w:r>
      <w:r w:rsidRPr="009B20C5">
        <w:rPr>
          <w:rStyle w:val="Refdenotaalpie"/>
          <w:rFonts w:ascii="Verdana" w:hAnsi="Verdana" w:cs="Arial"/>
          <w:sz w:val="16"/>
          <w:szCs w:val="16"/>
        </w:rPr>
        <w:t xml:space="preserve"> </w:t>
      </w:r>
      <w:r w:rsidRPr="009B20C5">
        <w:rPr>
          <w:rFonts w:ascii="Verdana" w:hAnsi="Verdana" w:cs="Arial"/>
          <w:sz w:val="16"/>
          <w:szCs w:val="16"/>
          <w:lang w:val="es-ES"/>
        </w:rPr>
        <w:t>Consejo de Estado. Sala de Consulta y Servicio Civil, Concepto de 8 de mayo de 2018. Radicación Número: 11001-03-06-000-2018-00095-00(2382). Consejero Ponente: Álvaro Namén Vargas.</w:t>
      </w:r>
    </w:p>
    <w:p w14:paraId="3853B1CD" w14:textId="77777777" w:rsidR="00277B7A" w:rsidRPr="009B20C5" w:rsidRDefault="00277B7A" w:rsidP="00277B7A">
      <w:pPr>
        <w:shd w:val="clear" w:color="auto" w:fill="FFFFFF"/>
        <w:spacing w:after="0" w:line="240" w:lineRule="auto"/>
        <w:ind w:firstLine="709"/>
        <w:jc w:val="both"/>
        <w:rPr>
          <w:rFonts w:ascii="Verdana" w:hAnsi="Verdana" w:cs="Arial"/>
          <w:sz w:val="16"/>
          <w:szCs w:val="16"/>
          <w:lang w:val="es-ES"/>
        </w:rPr>
      </w:pPr>
    </w:p>
  </w:footnote>
  <w:footnote w:id="15">
    <w:p w14:paraId="7DD8C8FB" w14:textId="77777777" w:rsidR="00277B7A"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Consejo de Estado. Sala de Consulta y Servicio Civil. Concepto del 08 de mayo de 2018. Exp. 2.382. C.P. Álvaro Namén Vargas.</w:t>
      </w:r>
    </w:p>
    <w:p w14:paraId="00A33847" w14:textId="77777777" w:rsidR="00277B7A" w:rsidRPr="009B20C5" w:rsidRDefault="00277B7A" w:rsidP="00277B7A">
      <w:pPr>
        <w:pStyle w:val="Textonotapie"/>
        <w:ind w:firstLine="709"/>
        <w:jc w:val="both"/>
        <w:rPr>
          <w:rFonts w:ascii="Verdana" w:hAnsi="Verdana" w:cs="Arial"/>
          <w:sz w:val="16"/>
          <w:szCs w:val="16"/>
        </w:rPr>
      </w:pPr>
    </w:p>
  </w:footnote>
  <w:footnote w:id="16">
    <w:p w14:paraId="10B2AF46" w14:textId="77777777" w:rsidR="00277B7A" w:rsidRDefault="00277B7A" w:rsidP="00277B7A">
      <w:pPr>
        <w:pStyle w:val="Textonotapie"/>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14:paraId="31FABBBE" w14:textId="77777777" w:rsidR="00277B7A" w:rsidRPr="009B20C5" w:rsidRDefault="00277B7A" w:rsidP="00277B7A">
      <w:pPr>
        <w:pStyle w:val="Textonotapie"/>
        <w:ind w:firstLine="709"/>
        <w:jc w:val="both"/>
        <w:rPr>
          <w:rFonts w:ascii="Verdana" w:hAnsi="Verdana" w:cs="Arial"/>
          <w:sz w:val="16"/>
          <w:szCs w:val="16"/>
        </w:rPr>
      </w:pPr>
    </w:p>
  </w:footnote>
  <w:footnote w:id="17">
    <w:p w14:paraId="7B01268C" w14:textId="77777777" w:rsidR="00277B7A" w:rsidRDefault="00277B7A" w:rsidP="00277B7A">
      <w:pPr>
        <w:spacing w:after="0" w:line="240" w:lineRule="auto"/>
        <w:ind w:firstLine="709"/>
        <w:jc w:val="both"/>
        <w:rPr>
          <w:rFonts w:ascii="Verdana" w:hAnsi="Verdana" w:cs="Arial"/>
          <w:sz w:val="16"/>
          <w:szCs w:val="16"/>
        </w:rPr>
      </w:pPr>
      <w:r w:rsidRPr="009B20C5">
        <w:rPr>
          <w:rStyle w:val="Refdenotaalpie"/>
          <w:rFonts w:ascii="Verdana" w:hAnsi="Verdana" w:cs="Arial"/>
          <w:sz w:val="16"/>
          <w:szCs w:val="16"/>
        </w:rPr>
        <w:footnoteRef/>
      </w:r>
      <w:r w:rsidRPr="009B20C5">
        <w:rPr>
          <w:rFonts w:ascii="Verdana" w:hAnsi="Verdana" w:cs="Arial"/>
          <w:sz w:val="16"/>
          <w:szCs w:val="16"/>
        </w:rPr>
        <w:t xml:space="preserve"> Consejo de Estado. Sala de Consulta y Servicio Civil. Concepto de 20 de febrero de 2006. Radicación Número: 11001-03-06-000-2006-00026-00(1727). Consejero Ponente: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14:paraId="7630CC18" w14:textId="77777777" w:rsidR="00277B7A" w:rsidRPr="009B20C5" w:rsidRDefault="00277B7A" w:rsidP="00277B7A">
      <w:pPr>
        <w:spacing w:after="0" w:line="240" w:lineRule="auto"/>
        <w:ind w:firstLine="709"/>
        <w:jc w:val="both"/>
        <w:rPr>
          <w:rFonts w:ascii="Verdana" w:hAnsi="Verdana"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C190F4B"/>
    <w:multiLevelType w:val="hybridMultilevel"/>
    <w:tmpl w:val="CB563672"/>
    <w:lvl w:ilvl="0" w:tplc="E17CFDE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1F14433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8679D0"/>
    <w:multiLevelType w:val="hybridMultilevel"/>
    <w:tmpl w:val="F2F43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7"/>
  </w:num>
  <w:num w:numId="8" w16cid:durableId="152644682">
    <w:abstractNumId w:val="14"/>
  </w:num>
  <w:num w:numId="9" w16cid:durableId="1317221377">
    <w:abstractNumId w:val="9"/>
  </w:num>
  <w:num w:numId="10" w16cid:durableId="1471245386">
    <w:abstractNumId w:val="13"/>
  </w:num>
  <w:num w:numId="11" w16cid:durableId="289172385">
    <w:abstractNumId w:val="10"/>
  </w:num>
  <w:num w:numId="12" w16cid:durableId="1470781324">
    <w:abstractNumId w:val="1"/>
  </w:num>
  <w:num w:numId="13" w16cid:durableId="1512908409">
    <w:abstractNumId w:val="5"/>
  </w:num>
  <w:num w:numId="14" w16cid:durableId="895897244">
    <w:abstractNumId w:val="16"/>
  </w:num>
  <w:num w:numId="15" w16cid:durableId="390349800">
    <w:abstractNumId w:val="12"/>
  </w:num>
  <w:num w:numId="16" w16cid:durableId="1291937697">
    <w:abstractNumId w:val="4"/>
  </w:num>
  <w:num w:numId="17" w16cid:durableId="320426048">
    <w:abstractNumId w:val="0"/>
  </w:num>
  <w:num w:numId="18" w16cid:durableId="254287823">
    <w:abstractNumId w:val="3"/>
  </w:num>
  <w:num w:numId="19" w16cid:durableId="17502283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786"/>
    <w:rsid w:val="00016F78"/>
    <w:rsid w:val="000254F9"/>
    <w:rsid w:val="000302FC"/>
    <w:rsid w:val="00046945"/>
    <w:rsid w:val="00061B2A"/>
    <w:rsid w:val="00082362"/>
    <w:rsid w:val="00084AA2"/>
    <w:rsid w:val="000A683E"/>
    <w:rsid w:val="000B1571"/>
    <w:rsid w:val="000B19B9"/>
    <w:rsid w:val="000D0334"/>
    <w:rsid w:val="000D5DA7"/>
    <w:rsid w:val="000E4F6E"/>
    <w:rsid w:val="000F6486"/>
    <w:rsid w:val="00105663"/>
    <w:rsid w:val="00116940"/>
    <w:rsid w:val="00117F24"/>
    <w:rsid w:val="00125105"/>
    <w:rsid w:val="00127233"/>
    <w:rsid w:val="0015699B"/>
    <w:rsid w:val="00191ACE"/>
    <w:rsid w:val="00191BD5"/>
    <w:rsid w:val="001A33BF"/>
    <w:rsid w:val="001D5C87"/>
    <w:rsid w:val="001E4177"/>
    <w:rsid w:val="001F0B24"/>
    <w:rsid w:val="001F490A"/>
    <w:rsid w:val="001F5BD8"/>
    <w:rsid w:val="001F7DC6"/>
    <w:rsid w:val="002107C3"/>
    <w:rsid w:val="00211F8F"/>
    <w:rsid w:val="0022400B"/>
    <w:rsid w:val="002360DE"/>
    <w:rsid w:val="002421BB"/>
    <w:rsid w:val="00242B0B"/>
    <w:rsid w:val="0025796E"/>
    <w:rsid w:val="002707A2"/>
    <w:rsid w:val="00272793"/>
    <w:rsid w:val="00277B7A"/>
    <w:rsid w:val="00293A2E"/>
    <w:rsid w:val="002951A0"/>
    <w:rsid w:val="002962BC"/>
    <w:rsid w:val="002A093D"/>
    <w:rsid w:val="002A0C07"/>
    <w:rsid w:val="002A0DD0"/>
    <w:rsid w:val="002A49AC"/>
    <w:rsid w:val="002A64FD"/>
    <w:rsid w:val="002C0763"/>
    <w:rsid w:val="002C7A84"/>
    <w:rsid w:val="002E18D4"/>
    <w:rsid w:val="002E2BF8"/>
    <w:rsid w:val="002E40F1"/>
    <w:rsid w:val="002E4FD9"/>
    <w:rsid w:val="002F0B73"/>
    <w:rsid w:val="002F6B3C"/>
    <w:rsid w:val="0030657A"/>
    <w:rsid w:val="00317B4A"/>
    <w:rsid w:val="00322A85"/>
    <w:rsid w:val="00324168"/>
    <w:rsid w:val="00327B24"/>
    <w:rsid w:val="00330834"/>
    <w:rsid w:val="0033656A"/>
    <w:rsid w:val="003448F4"/>
    <w:rsid w:val="00346067"/>
    <w:rsid w:val="00372698"/>
    <w:rsid w:val="00374F5E"/>
    <w:rsid w:val="00377E3E"/>
    <w:rsid w:val="003A779E"/>
    <w:rsid w:val="003B12DE"/>
    <w:rsid w:val="003C4AD7"/>
    <w:rsid w:val="003D0D52"/>
    <w:rsid w:val="003D0F4D"/>
    <w:rsid w:val="003D5B0D"/>
    <w:rsid w:val="003E0499"/>
    <w:rsid w:val="003E4F80"/>
    <w:rsid w:val="003E6439"/>
    <w:rsid w:val="003F3941"/>
    <w:rsid w:val="003F6F44"/>
    <w:rsid w:val="00406575"/>
    <w:rsid w:val="00413E06"/>
    <w:rsid w:val="00414C5C"/>
    <w:rsid w:val="00414C74"/>
    <w:rsid w:val="0042722E"/>
    <w:rsid w:val="0044528D"/>
    <w:rsid w:val="00450EAB"/>
    <w:rsid w:val="00461584"/>
    <w:rsid w:val="00461D43"/>
    <w:rsid w:val="00466E39"/>
    <w:rsid w:val="004A1847"/>
    <w:rsid w:val="004A305D"/>
    <w:rsid w:val="004C2A2D"/>
    <w:rsid w:val="004C5EFA"/>
    <w:rsid w:val="004F21C4"/>
    <w:rsid w:val="004F685F"/>
    <w:rsid w:val="0050455F"/>
    <w:rsid w:val="00533354"/>
    <w:rsid w:val="005566E8"/>
    <w:rsid w:val="00556AB2"/>
    <w:rsid w:val="00556D22"/>
    <w:rsid w:val="0056624E"/>
    <w:rsid w:val="00574867"/>
    <w:rsid w:val="00576E4D"/>
    <w:rsid w:val="00591460"/>
    <w:rsid w:val="005955DD"/>
    <w:rsid w:val="005A13B1"/>
    <w:rsid w:val="005A65E0"/>
    <w:rsid w:val="005C3777"/>
    <w:rsid w:val="005C5CDC"/>
    <w:rsid w:val="005D476C"/>
    <w:rsid w:val="005D6445"/>
    <w:rsid w:val="005F2D2E"/>
    <w:rsid w:val="00613F77"/>
    <w:rsid w:val="006200BF"/>
    <w:rsid w:val="006219F8"/>
    <w:rsid w:val="006302F7"/>
    <w:rsid w:val="0064201E"/>
    <w:rsid w:val="006444A9"/>
    <w:rsid w:val="00646B9F"/>
    <w:rsid w:val="006474CF"/>
    <w:rsid w:val="00650E18"/>
    <w:rsid w:val="00665D70"/>
    <w:rsid w:val="006705E4"/>
    <w:rsid w:val="006900D9"/>
    <w:rsid w:val="006920D1"/>
    <w:rsid w:val="006A477A"/>
    <w:rsid w:val="006B0180"/>
    <w:rsid w:val="006D45E3"/>
    <w:rsid w:val="00705161"/>
    <w:rsid w:val="00706C16"/>
    <w:rsid w:val="007120F6"/>
    <w:rsid w:val="007215DB"/>
    <w:rsid w:val="00725085"/>
    <w:rsid w:val="007340C3"/>
    <w:rsid w:val="00735F89"/>
    <w:rsid w:val="0075235A"/>
    <w:rsid w:val="00756841"/>
    <w:rsid w:val="007649AB"/>
    <w:rsid w:val="00771D0C"/>
    <w:rsid w:val="007833AC"/>
    <w:rsid w:val="007A5353"/>
    <w:rsid w:val="007B1D50"/>
    <w:rsid w:val="007B268C"/>
    <w:rsid w:val="007B3A49"/>
    <w:rsid w:val="007B498E"/>
    <w:rsid w:val="007B7171"/>
    <w:rsid w:val="007C0C0F"/>
    <w:rsid w:val="007C3DC2"/>
    <w:rsid w:val="007C7449"/>
    <w:rsid w:val="007E0FB3"/>
    <w:rsid w:val="007E5497"/>
    <w:rsid w:val="007E5F50"/>
    <w:rsid w:val="00806F5F"/>
    <w:rsid w:val="0081209C"/>
    <w:rsid w:val="00820278"/>
    <w:rsid w:val="00821185"/>
    <w:rsid w:val="008257DB"/>
    <w:rsid w:val="008258C9"/>
    <w:rsid w:val="00844AE9"/>
    <w:rsid w:val="00867F95"/>
    <w:rsid w:val="008843B6"/>
    <w:rsid w:val="00891928"/>
    <w:rsid w:val="008A0C29"/>
    <w:rsid w:val="008A446D"/>
    <w:rsid w:val="008A7482"/>
    <w:rsid w:val="008B25F1"/>
    <w:rsid w:val="008D180B"/>
    <w:rsid w:val="008F0EA7"/>
    <w:rsid w:val="00923EEF"/>
    <w:rsid w:val="009419F9"/>
    <w:rsid w:val="0095685E"/>
    <w:rsid w:val="00961B09"/>
    <w:rsid w:val="00965334"/>
    <w:rsid w:val="0097093E"/>
    <w:rsid w:val="00971057"/>
    <w:rsid w:val="009A077F"/>
    <w:rsid w:val="009A0DFA"/>
    <w:rsid w:val="009A1C6F"/>
    <w:rsid w:val="009A23D1"/>
    <w:rsid w:val="009B2D26"/>
    <w:rsid w:val="009C0CA6"/>
    <w:rsid w:val="009C524A"/>
    <w:rsid w:val="009C6955"/>
    <w:rsid w:val="009C71FA"/>
    <w:rsid w:val="009C72E7"/>
    <w:rsid w:val="009C7F7E"/>
    <w:rsid w:val="009D3058"/>
    <w:rsid w:val="009F3A13"/>
    <w:rsid w:val="00A01008"/>
    <w:rsid w:val="00A0166D"/>
    <w:rsid w:val="00A0647A"/>
    <w:rsid w:val="00A122D3"/>
    <w:rsid w:val="00A14468"/>
    <w:rsid w:val="00A14A7F"/>
    <w:rsid w:val="00A17F13"/>
    <w:rsid w:val="00A2048B"/>
    <w:rsid w:val="00A20739"/>
    <w:rsid w:val="00A23AF9"/>
    <w:rsid w:val="00A33C78"/>
    <w:rsid w:val="00A37F2E"/>
    <w:rsid w:val="00AB0ADB"/>
    <w:rsid w:val="00AB0E37"/>
    <w:rsid w:val="00AB7DE0"/>
    <w:rsid w:val="00AE1AF9"/>
    <w:rsid w:val="00AF5EBB"/>
    <w:rsid w:val="00B00C0E"/>
    <w:rsid w:val="00B01B1A"/>
    <w:rsid w:val="00B0381D"/>
    <w:rsid w:val="00B2742F"/>
    <w:rsid w:val="00B30D4C"/>
    <w:rsid w:val="00B37AF7"/>
    <w:rsid w:val="00B44A47"/>
    <w:rsid w:val="00B44D60"/>
    <w:rsid w:val="00B63000"/>
    <w:rsid w:val="00B72CD3"/>
    <w:rsid w:val="00B72FFF"/>
    <w:rsid w:val="00B95391"/>
    <w:rsid w:val="00BB6C61"/>
    <w:rsid w:val="00BC3D36"/>
    <w:rsid w:val="00BD54A6"/>
    <w:rsid w:val="00BD7F72"/>
    <w:rsid w:val="00BE2625"/>
    <w:rsid w:val="00BF7425"/>
    <w:rsid w:val="00C04FB3"/>
    <w:rsid w:val="00C11D8B"/>
    <w:rsid w:val="00C15139"/>
    <w:rsid w:val="00C16CCF"/>
    <w:rsid w:val="00C330EB"/>
    <w:rsid w:val="00C33A16"/>
    <w:rsid w:val="00C50D69"/>
    <w:rsid w:val="00C5365C"/>
    <w:rsid w:val="00C72325"/>
    <w:rsid w:val="00C754BE"/>
    <w:rsid w:val="00C76B1C"/>
    <w:rsid w:val="00C925AC"/>
    <w:rsid w:val="00C94E70"/>
    <w:rsid w:val="00CA5353"/>
    <w:rsid w:val="00CB6357"/>
    <w:rsid w:val="00CC1B26"/>
    <w:rsid w:val="00CF0678"/>
    <w:rsid w:val="00CF0ABD"/>
    <w:rsid w:val="00CF5C48"/>
    <w:rsid w:val="00D13176"/>
    <w:rsid w:val="00D27B1C"/>
    <w:rsid w:val="00D327FE"/>
    <w:rsid w:val="00D361FD"/>
    <w:rsid w:val="00D423A2"/>
    <w:rsid w:val="00D44E26"/>
    <w:rsid w:val="00D46546"/>
    <w:rsid w:val="00D520D8"/>
    <w:rsid w:val="00D570EC"/>
    <w:rsid w:val="00D63AC2"/>
    <w:rsid w:val="00D658DB"/>
    <w:rsid w:val="00D7383B"/>
    <w:rsid w:val="00D7788A"/>
    <w:rsid w:val="00DA231B"/>
    <w:rsid w:val="00DC39FC"/>
    <w:rsid w:val="00DE564A"/>
    <w:rsid w:val="00DF5254"/>
    <w:rsid w:val="00E02524"/>
    <w:rsid w:val="00E07864"/>
    <w:rsid w:val="00E15E2B"/>
    <w:rsid w:val="00E16408"/>
    <w:rsid w:val="00E17FEF"/>
    <w:rsid w:val="00E20894"/>
    <w:rsid w:val="00E245AB"/>
    <w:rsid w:val="00E2764C"/>
    <w:rsid w:val="00E27F2E"/>
    <w:rsid w:val="00E50AFE"/>
    <w:rsid w:val="00E75C92"/>
    <w:rsid w:val="00E771DC"/>
    <w:rsid w:val="00E87103"/>
    <w:rsid w:val="00E8772A"/>
    <w:rsid w:val="00E90F6B"/>
    <w:rsid w:val="00E92C27"/>
    <w:rsid w:val="00EA0179"/>
    <w:rsid w:val="00EA0E3D"/>
    <w:rsid w:val="00EC38A7"/>
    <w:rsid w:val="00EC6273"/>
    <w:rsid w:val="00ED4756"/>
    <w:rsid w:val="00EE1AA8"/>
    <w:rsid w:val="00F15E4C"/>
    <w:rsid w:val="00F17F9B"/>
    <w:rsid w:val="00F23FEA"/>
    <w:rsid w:val="00F31325"/>
    <w:rsid w:val="00F31EDC"/>
    <w:rsid w:val="00F37523"/>
    <w:rsid w:val="00F462B3"/>
    <w:rsid w:val="00F4688C"/>
    <w:rsid w:val="00F5664F"/>
    <w:rsid w:val="00F60D5D"/>
    <w:rsid w:val="00F64834"/>
    <w:rsid w:val="00F666C4"/>
    <w:rsid w:val="00F76AFC"/>
    <w:rsid w:val="00F85471"/>
    <w:rsid w:val="00FA463B"/>
    <w:rsid w:val="00FA47C0"/>
    <w:rsid w:val="00FB5DD1"/>
    <w:rsid w:val="00FC2B5D"/>
    <w:rsid w:val="00FF1449"/>
    <w:rsid w:val="00FF7963"/>
    <w:rsid w:val="071B8F93"/>
    <w:rsid w:val="07C73DD1"/>
    <w:rsid w:val="09908A09"/>
    <w:rsid w:val="0D22A0AB"/>
    <w:rsid w:val="0EFE6349"/>
    <w:rsid w:val="0FF4CCA8"/>
    <w:rsid w:val="13CFC91B"/>
    <w:rsid w:val="19A2EC2C"/>
    <w:rsid w:val="21779BE6"/>
    <w:rsid w:val="2859CA1B"/>
    <w:rsid w:val="2C4D2425"/>
    <w:rsid w:val="2EE1E026"/>
    <w:rsid w:val="2F44F38F"/>
    <w:rsid w:val="30821638"/>
    <w:rsid w:val="32A4F9CF"/>
    <w:rsid w:val="33A1FF93"/>
    <w:rsid w:val="356CEDFD"/>
    <w:rsid w:val="3C45A5D5"/>
    <w:rsid w:val="3C591AFD"/>
    <w:rsid w:val="3CFC2224"/>
    <w:rsid w:val="42183F0A"/>
    <w:rsid w:val="545B112A"/>
    <w:rsid w:val="56B34408"/>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720A4F4-BA33-4C48-A97D-0063EFA3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B0180"/>
    <w:rPr>
      <w:rFonts w:ascii="Geomanist Light" w:hAnsi="Geomanist Light"/>
      <w:lang w:val="es-ES"/>
    </w:rPr>
  </w:style>
  <w:style w:type="paragraph" w:customStyle="1" w:styleId="Appelnotedebasde">
    <w:name w:val="Appel note de bas de..."/>
    <w:basedOn w:val="Normal"/>
    <w:link w:val="Refdenotaalpie"/>
    <w:uiPriority w:val="99"/>
    <w:rsid w:val="00277B7A"/>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31537">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 w:id="21405621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rencia@dataservice.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05600-A85C-4DF7-8293-04A14D3C13C5}"/>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7202</Words>
  <Characters>39614</Characters>
  <Application>Microsoft Office Word</Application>
  <DocSecurity>0</DocSecurity>
  <Lines>330</Lines>
  <Paragraphs>93</Paragraphs>
  <ScaleCrop>false</ScaleCrop>
  <Company/>
  <LinksUpToDate>false</LinksUpToDate>
  <CharactersWithSpaces>46723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2026-06-30T15:33:00Z</dcterms:created>
  <dcterms:modified xsi:type="dcterms:W3CDTF">2026-06-30T15:33:00Z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