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5AF81" w14:textId="77777777" w:rsidR="00057F73" w:rsidRDefault="00057F73" w:rsidP="00057F73">
      <w:pPr>
        <w:jc w:val="both"/>
        <w:rPr>
          <w:rFonts w:ascii="Verdana" w:eastAsia="Calibri" w:hAnsi="Verdana" w:cs="Arial"/>
          <w:b/>
          <w:bCs/>
          <w:lang w:eastAsia="es-ES"/>
        </w:rPr>
      </w:pPr>
      <w:bookmarkStart w:id="0" w:name="_Hlk143780582"/>
      <w:r w:rsidRPr="00057F73">
        <w:rPr>
          <w:rFonts w:ascii="Verdana" w:eastAsia="Calibri" w:hAnsi="Verdana" w:cs="Arial"/>
          <w:b/>
          <w:bCs/>
          <w:lang w:eastAsia="es-ES"/>
        </w:rPr>
        <w:t xml:space="preserve">LEY DE GARANTÍAS ELECTORALES ‒ Finalidad </w:t>
      </w:r>
    </w:p>
    <w:p w14:paraId="238B8249" w14:textId="6259E2BB" w:rsidR="00057F73" w:rsidRPr="00C6206E" w:rsidRDefault="00C6206E" w:rsidP="00C6206E">
      <w:pPr>
        <w:spacing w:after="0" w:line="240" w:lineRule="auto"/>
        <w:jc w:val="both"/>
        <w:rPr>
          <w:rFonts w:ascii="Verdana" w:eastAsia="Times New Roman" w:hAnsi="Verdana" w:cs="Arial"/>
          <w:sz w:val="20"/>
          <w:szCs w:val="20"/>
          <w:lang w:val="es-MX" w:eastAsia="es-CO"/>
        </w:rPr>
      </w:pPr>
      <w:r w:rsidRPr="00C6206E">
        <w:rPr>
          <w:rFonts w:ascii="Verdana" w:eastAsia="Times New Roman" w:hAnsi="Verdana" w:cs="Arial"/>
          <w:sz w:val="20"/>
          <w:szCs w:val="20"/>
          <w:lang w:val="es-MX"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63022295" w14:textId="77777777" w:rsidR="00C6206E" w:rsidRPr="00057F73" w:rsidRDefault="00C6206E" w:rsidP="00057F73">
      <w:pPr>
        <w:spacing w:after="0" w:line="240" w:lineRule="auto"/>
        <w:jc w:val="both"/>
        <w:rPr>
          <w:rFonts w:ascii="Verdana" w:eastAsia="Calibri" w:hAnsi="Verdana" w:cs="Arial"/>
          <w:lang w:eastAsia="es-ES"/>
        </w:rPr>
      </w:pPr>
    </w:p>
    <w:p w14:paraId="3600329F" w14:textId="77777777" w:rsidR="00C6206E" w:rsidRDefault="00057F73" w:rsidP="003E2D44">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LEY DE GARANTÍAS ELECTORALES ‒ Tipos de restricciones ‒ Ámbito temporal – celebración- límite </w:t>
      </w:r>
    </w:p>
    <w:p w14:paraId="2360839F" w14:textId="77777777" w:rsidR="003E2D44" w:rsidRDefault="003E2D44" w:rsidP="00C6206E">
      <w:pPr>
        <w:spacing w:after="0" w:line="240" w:lineRule="auto"/>
        <w:jc w:val="both"/>
        <w:rPr>
          <w:rFonts w:ascii="Verdana" w:eastAsia="Arial" w:hAnsi="Verdana" w:cs="Arial"/>
          <w:sz w:val="20"/>
          <w:szCs w:val="20"/>
          <w:lang w:eastAsia="es-ES" w:bidi="es-ES"/>
        </w:rPr>
      </w:pPr>
    </w:p>
    <w:p w14:paraId="7806363C" w14:textId="69D4CA44" w:rsidR="00C6206E" w:rsidRPr="00C6206E" w:rsidRDefault="00C6206E" w:rsidP="00C6206E">
      <w:pPr>
        <w:spacing w:after="0" w:line="240" w:lineRule="auto"/>
        <w:jc w:val="both"/>
        <w:rPr>
          <w:rFonts w:ascii="Verdana" w:eastAsia="Calibri" w:hAnsi="Verdana" w:cs="Arial"/>
          <w:b/>
          <w:bCs/>
          <w:lang w:eastAsia="es-ES"/>
        </w:rPr>
      </w:pPr>
      <w:r>
        <w:rPr>
          <w:rFonts w:ascii="Verdana" w:eastAsia="Arial" w:hAnsi="Verdana" w:cs="Arial"/>
          <w:sz w:val="20"/>
          <w:szCs w:val="20"/>
          <w:lang w:val="es-ES" w:eastAsia="es-ES" w:bidi="es-ES"/>
        </w:rPr>
        <w:t xml:space="preserve">[…] </w:t>
      </w:r>
      <w:r w:rsidRPr="00C6206E">
        <w:rPr>
          <w:rFonts w:ascii="Verdana" w:eastAsia="Arial" w:hAnsi="Verdana" w:cs="Arial"/>
          <w:sz w:val="20"/>
          <w:szCs w:val="20"/>
          <w:lang w:val="es-ES" w:eastAsia="es-ES" w:bidi="es-ES"/>
        </w:rPr>
        <w:t>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568F6BB8" w14:textId="77777777" w:rsidR="00C6206E" w:rsidRDefault="00C6206E" w:rsidP="00C6206E">
      <w:pPr>
        <w:spacing w:after="0" w:line="240" w:lineRule="auto"/>
        <w:jc w:val="both"/>
        <w:rPr>
          <w:rFonts w:ascii="Verdana" w:eastAsia="Calibri" w:hAnsi="Verdana" w:cs="Arial"/>
          <w:sz w:val="20"/>
          <w:szCs w:val="20"/>
        </w:rPr>
      </w:pPr>
    </w:p>
    <w:p w14:paraId="215BA106" w14:textId="5AE53DE9" w:rsidR="00C6206E" w:rsidRPr="00C6206E" w:rsidRDefault="00C6206E" w:rsidP="00C6206E">
      <w:pPr>
        <w:spacing w:after="0" w:line="240" w:lineRule="auto"/>
        <w:jc w:val="both"/>
        <w:rPr>
          <w:rFonts w:ascii="Verdana" w:eastAsia="Arial" w:hAnsi="Verdana" w:cs="Arial"/>
          <w:sz w:val="20"/>
          <w:szCs w:val="20"/>
          <w:lang w:val="es-ES" w:eastAsia="es-ES" w:bidi="es-ES"/>
        </w:rPr>
      </w:pPr>
      <w:r w:rsidRPr="00C6206E">
        <w:rPr>
          <w:rFonts w:ascii="Verdana" w:eastAsia="Calibri" w:hAnsi="Verdana" w:cs="Arial"/>
          <w:sz w:val="20"/>
          <w:szCs w:val="20"/>
        </w:rPr>
        <w:t xml:space="preserve">Por un lado, el </w:t>
      </w:r>
      <w:r w:rsidRPr="00C6206E">
        <w:rPr>
          <w:rFonts w:ascii="Verdana" w:eastAsia="Calibri" w:hAnsi="Verdana" w:cs="Arial"/>
          <w:i/>
          <w:iCs/>
          <w:sz w:val="20"/>
          <w:szCs w:val="20"/>
        </w:rPr>
        <w:t>artículo 33 de la Ley 996 de 2005</w:t>
      </w:r>
      <w:r w:rsidRPr="00C6206E">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46BDF21" w14:textId="77777777" w:rsidR="00C6206E" w:rsidRDefault="00C6206E" w:rsidP="00C6206E">
      <w:pPr>
        <w:widowControl w:val="0"/>
        <w:autoSpaceDE w:val="0"/>
        <w:autoSpaceDN w:val="0"/>
        <w:spacing w:after="0" w:line="240" w:lineRule="auto"/>
        <w:ind w:right="113"/>
        <w:jc w:val="both"/>
        <w:rPr>
          <w:rFonts w:ascii="Verdana" w:eastAsia="Calibri" w:hAnsi="Verdana" w:cs="Arial"/>
          <w:sz w:val="20"/>
          <w:szCs w:val="20"/>
          <w:lang w:val="es-ES"/>
        </w:rPr>
      </w:pPr>
    </w:p>
    <w:p w14:paraId="787CFF03" w14:textId="77777777" w:rsidR="00C6206E" w:rsidRDefault="00C6206E" w:rsidP="00C6206E">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C6206E">
        <w:rPr>
          <w:rFonts w:ascii="Verdana" w:eastAsia="Calibri" w:hAnsi="Verdana" w:cs="Arial"/>
          <w:sz w:val="20"/>
          <w:szCs w:val="20"/>
        </w:rPr>
        <w:t xml:space="preserve">Por otro lado, </w:t>
      </w:r>
      <w:r w:rsidRPr="00C6206E">
        <w:rPr>
          <w:rFonts w:ascii="Verdana" w:eastAsia="Calibri" w:hAnsi="Verdana" w:cs="Arial"/>
          <w:i/>
          <w:iCs/>
          <w:sz w:val="20"/>
          <w:szCs w:val="20"/>
        </w:rPr>
        <w:t>el parágrafo del artículo 38 de la Ley 996 de 2005</w:t>
      </w:r>
      <w:r w:rsidRPr="00C6206E">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6206E">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6206E">
        <w:rPr>
          <w:rFonts w:ascii="Verdana" w:eastAsia="Calibri" w:hAnsi="Verdana" w:cs="Arial"/>
          <w:sz w:val="20"/>
          <w:szCs w:val="20"/>
        </w:rPr>
        <w:t>”</w:t>
      </w:r>
      <w:r w:rsidRPr="00C6206E">
        <w:rPr>
          <w:rFonts w:ascii="Verdana" w:eastAsia="Calibri" w:hAnsi="Verdana" w:cs="Arial"/>
          <w:sz w:val="20"/>
          <w:szCs w:val="20"/>
          <w:lang w:val="es-MX"/>
        </w:rPr>
        <w:t>.</w:t>
      </w:r>
      <w:r w:rsidRPr="00C6206E">
        <w:rPr>
          <w:rFonts w:ascii="Verdana" w:eastAsia="Arial" w:hAnsi="Verdana" w:cs="Arial"/>
          <w:sz w:val="20"/>
          <w:szCs w:val="20"/>
          <w:lang w:val="es-ES" w:eastAsia="es-ES" w:bidi="es-ES"/>
        </w:rPr>
        <w:t xml:space="preserve"> </w:t>
      </w:r>
    </w:p>
    <w:p w14:paraId="0F85A33D" w14:textId="77777777" w:rsidR="00C6206E" w:rsidRDefault="00C6206E" w:rsidP="00C6206E">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3CC4BD3A" w14:textId="6E500967" w:rsidR="00C6206E" w:rsidRPr="00C6206E" w:rsidRDefault="00C6206E" w:rsidP="00C6206E">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C6206E">
        <w:rPr>
          <w:rFonts w:ascii="Verdana" w:eastAsia="Calibri" w:hAnsi="Verdana" w:cs="Arial"/>
          <w:sz w:val="20"/>
          <w:szCs w:val="20"/>
          <w:lang w:eastAsia="es-ES"/>
        </w:rPr>
        <w:t xml:space="preserve">Para entender el momento de aplicación de estas restricciones, es preciso señalar que el vocablo “celebrar” es definido por el Diccionario Panhispánico del Español Jurídico como: “1. Gral. Otorgar o firmar un contrato. 2. </w:t>
      </w:r>
      <w:proofErr w:type="spellStart"/>
      <w:r w:rsidRPr="00C6206E">
        <w:rPr>
          <w:rFonts w:ascii="Verdana" w:eastAsia="Calibri" w:hAnsi="Verdana" w:cs="Arial"/>
          <w:sz w:val="20"/>
          <w:szCs w:val="20"/>
          <w:lang w:eastAsia="es-ES"/>
        </w:rPr>
        <w:t>Proc</w:t>
      </w:r>
      <w:proofErr w:type="spellEnd"/>
      <w:r w:rsidRPr="00C6206E">
        <w:rPr>
          <w:rFonts w:ascii="Verdana" w:eastAsia="Calibri" w:hAnsi="Verdana" w:cs="Arial"/>
          <w:sz w:val="20"/>
          <w:szCs w:val="20"/>
          <w:lang w:eastAsia="es-ES"/>
        </w:rPr>
        <w:t>. Realizar los actos procesales propios de un juicio o vista”. Dentro de las dos definiciones, la que se acerca a la expresión “celebrar” en el contexto de la Ley de Garantías Electorales es la primera, esto es, al perfeccionamiento del contrato.</w:t>
      </w:r>
    </w:p>
    <w:p w14:paraId="57D64CFC" w14:textId="77777777" w:rsidR="00C6206E" w:rsidRPr="00057F73" w:rsidRDefault="00C6206E" w:rsidP="00057F73">
      <w:pPr>
        <w:spacing w:after="0" w:line="240" w:lineRule="auto"/>
        <w:jc w:val="both"/>
        <w:rPr>
          <w:rFonts w:ascii="Verdana" w:eastAsia="Calibri" w:hAnsi="Verdana" w:cs="Arial"/>
          <w:b/>
          <w:bCs/>
          <w:lang w:eastAsia="es-ES"/>
        </w:rPr>
      </w:pPr>
    </w:p>
    <w:p w14:paraId="74952177" w14:textId="77777777" w:rsidR="00057F73" w:rsidRDefault="00057F73" w:rsidP="00C6206E">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LEY DE GARANTÍAS ELECTORALES – Prohibición artículo 33 – Contratación directa – Alcance </w:t>
      </w:r>
    </w:p>
    <w:p w14:paraId="1C17758C" w14:textId="77777777" w:rsidR="00C6206E" w:rsidRDefault="00C6206E" w:rsidP="00C6206E">
      <w:pPr>
        <w:jc w:val="both"/>
        <w:rPr>
          <w:rFonts w:ascii="Verdana" w:eastAsia="Times New Roman" w:hAnsi="Verdana" w:cs="Arial"/>
          <w:bCs/>
          <w:sz w:val="20"/>
          <w:szCs w:val="20"/>
          <w:lang w:eastAsia="x-none"/>
        </w:rPr>
      </w:pPr>
    </w:p>
    <w:p w14:paraId="34C5EEF9" w14:textId="77777777" w:rsidR="00C6206E" w:rsidRDefault="00C6206E" w:rsidP="00C6206E">
      <w:pPr>
        <w:jc w:val="both"/>
        <w:rPr>
          <w:rFonts w:ascii="Verdana" w:eastAsia="Times New Roman" w:hAnsi="Verdana" w:cs="Arial"/>
          <w:sz w:val="20"/>
          <w:szCs w:val="20"/>
          <w:lang w:eastAsia="es-CO"/>
        </w:rPr>
      </w:pPr>
      <w:r w:rsidRPr="00C6206E">
        <w:rPr>
          <w:rFonts w:ascii="Verdana" w:eastAsia="Times New Roman" w:hAnsi="Verdana" w:cs="Arial"/>
          <w:bCs/>
          <w:sz w:val="20"/>
          <w:szCs w:val="20"/>
          <w:lang w:eastAsia="x-none"/>
        </w:rPr>
        <w:lastRenderedPageBreak/>
        <w:t xml:space="preserve">El ámbito material de la prohibición contenida en el artículo 33 de la Ley 996 de 2005 está delimitado por la expresión </w:t>
      </w:r>
      <w:r w:rsidRPr="00C6206E">
        <w:rPr>
          <w:rFonts w:ascii="Verdana" w:eastAsia="Calibri" w:hAnsi="Verdana" w:cs="Arial"/>
          <w:bCs/>
          <w:sz w:val="20"/>
          <w:szCs w:val="20"/>
        </w:rPr>
        <w:t>“</w:t>
      </w:r>
      <w:r w:rsidRPr="00C6206E">
        <w:rPr>
          <w:rFonts w:ascii="Verdana" w:eastAsia="Times New Roman" w:hAnsi="Verdana" w:cs="Arial"/>
          <w:bCs/>
          <w:sz w:val="20"/>
          <w:szCs w:val="20"/>
          <w:lang w:eastAsia="x-none"/>
        </w:rPr>
        <w:t>queda prohibida la contratación directa</w:t>
      </w:r>
      <w:r w:rsidRPr="00C6206E">
        <w:rPr>
          <w:rFonts w:ascii="Verdana" w:eastAsia="Calibri" w:hAnsi="Verdana" w:cs="Arial"/>
          <w:sz w:val="20"/>
          <w:szCs w:val="20"/>
        </w:rPr>
        <w:t>”</w:t>
      </w:r>
      <w:r w:rsidRPr="00C6206E">
        <w:rPr>
          <w:rFonts w:ascii="Verdana" w:eastAsia="Times New Roman" w:hAnsi="Verdana" w:cs="Arial"/>
          <w:bCs/>
          <w:sz w:val="20"/>
          <w:szCs w:val="20"/>
          <w:lang w:eastAsia="x-none"/>
        </w:rPr>
        <w:t xml:space="preserve">. </w:t>
      </w:r>
      <w:r w:rsidRPr="00C6206E">
        <w:rPr>
          <w:rFonts w:ascii="Verdana" w:eastAsia="Times New Roman" w:hAnsi="Verdana" w:cs="Arial"/>
          <w:sz w:val="20"/>
          <w:szCs w:val="20"/>
          <w:lang w:eastAsia="es-CO"/>
        </w:rPr>
        <w:t xml:space="preserve"> </w:t>
      </w:r>
    </w:p>
    <w:p w14:paraId="7AB178F1" w14:textId="77777777" w:rsidR="00C6206E" w:rsidRDefault="00C6206E" w:rsidP="00C6206E">
      <w:pPr>
        <w:jc w:val="both"/>
        <w:rPr>
          <w:rFonts w:ascii="Verdana" w:eastAsia="Times New Roman" w:hAnsi="Verdana" w:cs="Arial"/>
          <w:sz w:val="20"/>
          <w:szCs w:val="20"/>
          <w:lang w:eastAsia="es-CO"/>
        </w:rPr>
      </w:pPr>
      <w:r>
        <w:rPr>
          <w:rFonts w:ascii="Verdana" w:eastAsia="Times New Roman" w:hAnsi="Verdana" w:cs="Arial"/>
          <w:sz w:val="20"/>
          <w:szCs w:val="20"/>
          <w:lang w:eastAsia="es-CO"/>
        </w:rPr>
        <w:t xml:space="preserve">[…] </w:t>
      </w:r>
      <w:r w:rsidRPr="00C6206E">
        <w:rPr>
          <w:rFonts w:ascii="Verdana" w:eastAsia="Times New Roman" w:hAnsi="Verdana" w:cs="Arial"/>
          <w:sz w:val="20"/>
          <w:szCs w:val="20"/>
          <w:lang w:eastAsia="es-CO"/>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w:t>
      </w:r>
      <w:r>
        <w:rPr>
          <w:rFonts w:ascii="Verdana" w:eastAsia="Times New Roman" w:hAnsi="Verdana" w:cs="Arial"/>
          <w:sz w:val="20"/>
          <w:szCs w:val="20"/>
          <w:lang w:eastAsia="es-CO"/>
        </w:rPr>
        <w:t>.</w:t>
      </w:r>
    </w:p>
    <w:p w14:paraId="0BE49267" w14:textId="77777777" w:rsidR="00C6206E" w:rsidRDefault="00C6206E" w:rsidP="00C6206E">
      <w:pPr>
        <w:jc w:val="both"/>
        <w:rPr>
          <w:rFonts w:ascii="Verdana" w:eastAsia="Times New Roman" w:hAnsi="Verdana" w:cs="Arial"/>
          <w:sz w:val="20"/>
          <w:szCs w:val="20"/>
          <w:lang w:eastAsia="es-CO"/>
        </w:rPr>
      </w:pPr>
      <w:r>
        <w:rPr>
          <w:rFonts w:ascii="Verdana" w:eastAsia="Times New Roman" w:hAnsi="Verdana" w:cs="Arial"/>
          <w:sz w:val="20"/>
          <w:szCs w:val="20"/>
          <w:lang w:eastAsia="es-CO"/>
        </w:rPr>
        <w:t xml:space="preserve">[…] </w:t>
      </w:r>
      <w:r w:rsidRPr="00C6206E">
        <w:rPr>
          <w:rFonts w:ascii="Verdana" w:eastAsia="Times New Roman" w:hAnsi="Verdana" w:cs="Arial"/>
          <w:sz w:val="20"/>
          <w:szCs w:val="20"/>
          <w:lang w:eastAsia="es-CO"/>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p>
    <w:p w14:paraId="66F93717" w14:textId="04F37BE4" w:rsidR="00C6206E" w:rsidRDefault="00057F73" w:rsidP="005C1529">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LEY DE GARANTÍAS ELECTORALES – Prohibición del artículo 33 – Destinatarios </w:t>
      </w:r>
    </w:p>
    <w:p w14:paraId="3AAE38EA" w14:textId="77777777" w:rsidR="005C1529" w:rsidRDefault="005C1529" w:rsidP="005C1529">
      <w:pPr>
        <w:spacing w:after="0" w:line="240" w:lineRule="auto"/>
        <w:jc w:val="both"/>
        <w:rPr>
          <w:rFonts w:ascii="Verdana" w:eastAsia="Times New Roman" w:hAnsi="Verdana" w:cs="Arial"/>
          <w:bCs/>
          <w:sz w:val="20"/>
          <w:szCs w:val="20"/>
          <w:lang w:eastAsia="x-none"/>
        </w:rPr>
      </w:pPr>
    </w:p>
    <w:p w14:paraId="7AF31EE0" w14:textId="518D7429" w:rsidR="005C1529" w:rsidRPr="005C1529" w:rsidRDefault="005C1529" w:rsidP="005C1529">
      <w:pPr>
        <w:spacing w:after="0" w:line="240" w:lineRule="auto"/>
        <w:jc w:val="both"/>
        <w:rPr>
          <w:rFonts w:ascii="Verdana" w:eastAsia="Calibri" w:hAnsi="Verdana" w:cs="Arial"/>
          <w:b/>
          <w:bCs/>
          <w:sz w:val="20"/>
          <w:szCs w:val="20"/>
          <w:lang w:eastAsia="es-ES"/>
        </w:rPr>
      </w:pPr>
      <w:r w:rsidRPr="005C1529">
        <w:rPr>
          <w:rFonts w:ascii="Verdana" w:eastAsia="Times New Roman" w:hAnsi="Verdana" w:cs="Arial"/>
          <w:bCs/>
          <w:sz w:val="20"/>
          <w:szCs w:val="20"/>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5C1529">
        <w:rPr>
          <w:rFonts w:ascii="Verdana" w:eastAsia="Calibri" w:hAnsi="Verdana" w:cs="Arial"/>
          <w:sz w:val="20"/>
          <w:szCs w:val="20"/>
        </w:rPr>
        <w:t xml:space="preserve"> </w:t>
      </w:r>
      <w:r w:rsidRPr="005C1529">
        <w:rPr>
          <w:rFonts w:ascii="Verdana" w:eastAsia="Times New Roman" w:hAnsi="Verdana" w:cs="Arial"/>
          <w:bCs/>
          <w:sz w:val="20"/>
          <w:szCs w:val="20"/>
          <w:lang w:eastAsia="x-none"/>
        </w:rPr>
        <w:t>En efecto, tal como lo ha sostenido el Consejo de Estado, el vocablo “todos” utilizado por el legislador comprende</w:t>
      </w:r>
      <w:r w:rsidRPr="005C1529">
        <w:rPr>
          <w:rFonts w:ascii="Verdana" w:eastAsia="Calibri" w:hAnsi="Verdana" w:cs="Arial"/>
          <w:sz w:val="20"/>
          <w:szCs w:val="20"/>
        </w:rPr>
        <w:t xml:space="preserve"> </w:t>
      </w:r>
      <w:r w:rsidRPr="005C1529">
        <w:rPr>
          <w:rFonts w:ascii="Verdana" w:eastAsia="Times New Roman" w:hAnsi="Verdana" w:cs="Arial"/>
          <w:bCs/>
          <w:sz w:val="20"/>
          <w:szCs w:val="20"/>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0892601" w14:textId="77777777" w:rsidR="00C6206E" w:rsidRDefault="00C6206E" w:rsidP="00C6206E">
      <w:pPr>
        <w:spacing w:after="0" w:line="240" w:lineRule="auto"/>
        <w:jc w:val="both"/>
        <w:rPr>
          <w:rFonts w:ascii="Verdana" w:eastAsia="Calibri" w:hAnsi="Verdana" w:cs="Arial"/>
          <w:b/>
          <w:bCs/>
          <w:lang w:eastAsia="es-ES"/>
        </w:rPr>
      </w:pPr>
    </w:p>
    <w:p w14:paraId="79BFF7C4" w14:textId="01C35283" w:rsidR="00057F73" w:rsidRDefault="00057F73" w:rsidP="00057F73">
      <w:pPr>
        <w:jc w:val="both"/>
        <w:rPr>
          <w:rFonts w:ascii="Verdana" w:eastAsia="Calibri" w:hAnsi="Verdana" w:cs="Arial"/>
          <w:b/>
          <w:bCs/>
          <w:lang w:eastAsia="es-ES"/>
        </w:rPr>
      </w:pPr>
      <w:r w:rsidRPr="00057F73">
        <w:rPr>
          <w:rFonts w:ascii="Verdana" w:eastAsia="Calibri" w:hAnsi="Verdana" w:cs="Arial"/>
          <w:b/>
          <w:bCs/>
          <w:lang w:eastAsia="es-ES"/>
        </w:rPr>
        <w:t xml:space="preserve">LEY DE GARANTÍAS ELECTORALES – Excepciones </w:t>
      </w:r>
    </w:p>
    <w:p w14:paraId="1F98EB6C" w14:textId="77777777" w:rsidR="005C1529" w:rsidRDefault="005C1529" w:rsidP="00057F73">
      <w:pPr>
        <w:spacing w:after="0" w:line="240" w:lineRule="auto"/>
        <w:jc w:val="both"/>
        <w:rPr>
          <w:rFonts w:ascii="Verdana" w:eastAsia="Times New Roman" w:hAnsi="Verdana" w:cs="Arial"/>
          <w:bCs/>
          <w:sz w:val="20"/>
          <w:szCs w:val="20"/>
          <w:lang w:eastAsia="es-CO"/>
        </w:rPr>
      </w:pPr>
      <w:r w:rsidRPr="005C1529">
        <w:rPr>
          <w:rFonts w:ascii="Verdana" w:eastAsia="Times New Roman" w:hAnsi="Verdana" w:cs="Arial"/>
          <w:bCs/>
          <w:sz w:val="20"/>
          <w:szCs w:val="20"/>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C1529">
        <w:rPr>
          <w:rFonts w:ascii="Verdana" w:eastAsia="Times New Roman" w:hAnsi="Verdana" w:cs="Arial"/>
          <w:bCs/>
          <w:sz w:val="20"/>
          <w:szCs w:val="20"/>
          <w:lang w:eastAsia="x-none"/>
        </w:rPr>
        <w:t>ii</w:t>
      </w:r>
      <w:proofErr w:type="spellEnd"/>
      <w:r w:rsidRPr="005C1529">
        <w:rPr>
          <w:rFonts w:ascii="Verdana" w:eastAsia="Times New Roman" w:hAnsi="Verdana" w:cs="Arial"/>
          <w:bCs/>
          <w:sz w:val="20"/>
          <w:szCs w:val="20"/>
          <w:lang w:eastAsia="x-none"/>
        </w:rPr>
        <w:t xml:space="preserve">) los contratos de crédito público; </w:t>
      </w:r>
      <w:proofErr w:type="spellStart"/>
      <w:r w:rsidRPr="005C1529">
        <w:rPr>
          <w:rFonts w:ascii="Verdana" w:eastAsia="Times New Roman" w:hAnsi="Verdana" w:cs="Arial"/>
          <w:bCs/>
          <w:sz w:val="20"/>
          <w:szCs w:val="20"/>
          <w:lang w:eastAsia="x-none"/>
        </w:rPr>
        <w:t>iii</w:t>
      </w:r>
      <w:proofErr w:type="spellEnd"/>
      <w:r w:rsidRPr="005C1529">
        <w:rPr>
          <w:rFonts w:ascii="Verdana" w:eastAsia="Times New Roman" w:hAnsi="Verdana" w:cs="Arial"/>
          <w:bCs/>
          <w:sz w:val="20"/>
          <w:szCs w:val="20"/>
          <w:lang w:eastAsia="x-none"/>
        </w:rPr>
        <w:t xml:space="preserve">) los requeridos para cubrir las emergencias educativas, sanitarias y desastres; </w:t>
      </w:r>
      <w:proofErr w:type="spellStart"/>
      <w:r w:rsidRPr="005C1529">
        <w:rPr>
          <w:rFonts w:ascii="Verdana" w:eastAsia="Times New Roman" w:hAnsi="Verdana" w:cs="Arial"/>
          <w:bCs/>
          <w:sz w:val="20"/>
          <w:szCs w:val="20"/>
          <w:lang w:eastAsia="x-none"/>
        </w:rPr>
        <w:t>iv</w:t>
      </w:r>
      <w:proofErr w:type="spellEnd"/>
      <w:r w:rsidRPr="005C1529">
        <w:rPr>
          <w:rFonts w:ascii="Verdana" w:eastAsia="Times New Roman" w:hAnsi="Verdana" w:cs="Arial"/>
          <w:bCs/>
          <w:sz w:val="20"/>
          <w:szCs w:val="20"/>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C1529">
        <w:rPr>
          <w:rFonts w:ascii="Verdana" w:eastAsia="Times New Roman" w:hAnsi="Verdana" w:cs="Arial"/>
          <w:bCs/>
          <w:sz w:val="20"/>
          <w:szCs w:val="20"/>
          <w:lang w:eastAsia="es-CO"/>
        </w:rPr>
        <w:t xml:space="preserve"> En el marco de lo expuesto, es responsabilidad del respectivo ente del Estado, examinar en cada caso la naturaleza de las actividades que adelanta y determinar si las mismas se enmarcan en alguna de las mencionadas excepciones, de manera que se le permita realizar la contratación que necesite de forma directa. </w:t>
      </w:r>
    </w:p>
    <w:p w14:paraId="2CBA3209" w14:textId="4603EC9C" w:rsidR="00057F73" w:rsidRPr="005C1529" w:rsidRDefault="00057F73" w:rsidP="00057F73">
      <w:pPr>
        <w:spacing w:after="0" w:line="240" w:lineRule="auto"/>
        <w:jc w:val="both"/>
        <w:rPr>
          <w:rFonts w:ascii="Verdana" w:eastAsia="Times New Roman" w:hAnsi="Verdana" w:cs="Arial"/>
          <w:bCs/>
          <w:sz w:val="20"/>
          <w:szCs w:val="20"/>
          <w:lang w:eastAsia="es-CO"/>
        </w:rPr>
      </w:pPr>
      <w:r w:rsidRPr="00057F73">
        <w:rPr>
          <w:rFonts w:ascii="Verdana" w:eastAsia="Calibri" w:hAnsi="Verdana" w:cs="Arial"/>
          <w:b/>
          <w:bCs/>
          <w:lang w:eastAsia="es-ES"/>
        </w:rPr>
        <w:t xml:space="preserve">LEY DE GARANTÍAS ELECTORALES – Excepciones – Posturas de la Sala de Consulta y Servicio del Consejo de Estado </w:t>
      </w:r>
    </w:p>
    <w:p w14:paraId="52D0971D" w14:textId="77777777" w:rsidR="005C1529" w:rsidRDefault="005C1529" w:rsidP="005C1529">
      <w:pPr>
        <w:spacing w:after="0" w:line="240" w:lineRule="auto"/>
        <w:jc w:val="both"/>
        <w:rPr>
          <w:rFonts w:ascii="Verdana" w:eastAsia="Verdana" w:hAnsi="Verdana" w:cs="Verdana"/>
          <w:sz w:val="20"/>
          <w:lang w:bidi="es-ES"/>
        </w:rPr>
      </w:pPr>
    </w:p>
    <w:p w14:paraId="6E06C274" w14:textId="3967811A" w:rsidR="005C1529" w:rsidRDefault="005C1529" w:rsidP="005C1529">
      <w:pPr>
        <w:spacing w:after="0" w:line="240" w:lineRule="auto"/>
        <w:jc w:val="both"/>
        <w:rPr>
          <w:rFonts w:ascii="Verdana" w:eastAsia="Verdana" w:hAnsi="Verdana" w:cs="Verdana"/>
          <w:sz w:val="20"/>
        </w:rPr>
      </w:pPr>
      <w:r w:rsidRPr="00865A1B">
        <w:rPr>
          <w:rFonts w:ascii="Verdana" w:eastAsia="Verdana" w:hAnsi="Verdana" w:cs="Verdana"/>
          <w:sz w:val="20"/>
          <w:lang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865A1B">
        <w:rPr>
          <w:rFonts w:ascii="Verdana" w:eastAsia="Verdana" w:hAnsi="Verdana" w:cs="Verdana"/>
          <w:sz w:val="20"/>
        </w:rPr>
        <w:t>el contrato no puede ser violatorio de la restricción a la contratación directa contenida en el artículo 33 de la Ley 996 de 2005.</w:t>
      </w:r>
    </w:p>
    <w:p w14:paraId="145EE078" w14:textId="77777777" w:rsidR="005C1529" w:rsidRPr="00865A1B" w:rsidRDefault="005C1529" w:rsidP="005C1529">
      <w:pPr>
        <w:spacing w:after="0" w:line="240" w:lineRule="auto"/>
        <w:jc w:val="both"/>
        <w:rPr>
          <w:rFonts w:ascii="Verdana" w:eastAsia="Verdana" w:hAnsi="Verdana" w:cs="Verdana"/>
          <w:sz w:val="20"/>
        </w:rPr>
      </w:pPr>
      <w:r w:rsidRPr="00865A1B">
        <w:rPr>
          <w:rFonts w:ascii="Verdana" w:eastAsia="Verdana" w:hAnsi="Verdana" w:cs="Verdana"/>
          <w:sz w:val="20"/>
        </w:rPr>
        <w:t xml:space="preserve"> </w:t>
      </w:r>
    </w:p>
    <w:p w14:paraId="16D606AE" w14:textId="77777777" w:rsidR="005C1529" w:rsidRDefault="005C1529" w:rsidP="005C1529">
      <w:pPr>
        <w:spacing w:after="0" w:line="240" w:lineRule="auto"/>
        <w:jc w:val="both"/>
        <w:rPr>
          <w:rFonts w:ascii="Verdana" w:eastAsia="Verdana" w:hAnsi="Verdana" w:cs="Verdana"/>
          <w:sz w:val="20"/>
          <w:lang w:bidi="es-ES"/>
        </w:rPr>
      </w:pPr>
      <w:r w:rsidRPr="00865A1B">
        <w:rPr>
          <w:rFonts w:ascii="Verdana" w:eastAsia="Verdana" w:hAnsi="Verdana" w:cs="Verdana"/>
          <w:sz w:val="20"/>
          <w:lang w:val="es-ES_tradnl"/>
        </w:rPr>
        <w:t>También la Sala de Consulta y Servicio Civil del Consejo de Estado ha presentado supuestos de excepción a la restricción de los artículos 33 y 38 cuando la contratación se enmarca en una providencia judicial</w:t>
      </w:r>
      <w:r w:rsidRPr="00865A1B">
        <w:rPr>
          <w:rFonts w:ascii="Verdana" w:eastAsia="Verdana" w:hAnsi="Verdana" w:cs="Verdana"/>
          <w:sz w:val="20"/>
          <w:lang w:bidi="es-ES"/>
        </w:rPr>
        <w:t>, pues en dicho caso debe tenerse en cuenta que las decisiones judiciales tienen fuerza vinculante y cumplirse en virtud del principio de supremacía constitucional y del derecho fundamental de acceso a la administración de justicia. La celebración de un contrato de forma directa o de un convenio interadministrativo para la ejecución de recursos públicos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2BCB05B2" w14:textId="77777777" w:rsidR="005C1529" w:rsidRPr="00865A1B" w:rsidRDefault="005C1529" w:rsidP="005C1529">
      <w:pPr>
        <w:spacing w:after="0" w:line="240" w:lineRule="auto"/>
        <w:jc w:val="both"/>
        <w:rPr>
          <w:rFonts w:ascii="Verdana" w:eastAsia="Verdana" w:hAnsi="Verdana" w:cs="Verdana"/>
          <w:sz w:val="20"/>
          <w:lang w:bidi="es-ES"/>
        </w:rPr>
      </w:pPr>
    </w:p>
    <w:p w14:paraId="4AF181DC" w14:textId="77777777" w:rsidR="004F1252" w:rsidRDefault="005C1529" w:rsidP="00057F73">
      <w:pPr>
        <w:spacing w:after="0" w:line="240" w:lineRule="auto"/>
        <w:jc w:val="both"/>
        <w:rPr>
          <w:rFonts w:ascii="Verdana" w:eastAsia="Verdana" w:hAnsi="Verdana" w:cs="Verdana"/>
          <w:sz w:val="20"/>
          <w:lang w:bidi="es-ES"/>
        </w:rPr>
      </w:pPr>
      <w:r w:rsidRPr="00865A1B">
        <w:rPr>
          <w:rFonts w:ascii="Verdana" w:eastAsia="Verdana" w:hAnsi="Verdana" w:cs="Verdana"/>
          <w:sz w:val="20"/>
          <w:lang w:bidi="es-ES"/>
        </w:rPr>
        <w:t>En este asunto, es importante resaltar que la Sala de Consulta y Servicio Civil del Consejo de Estado mediante Concepto con Radicado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2DC3DD14" w14:textId="77777777" w:rsidR="004F1252" w:rsidRDefault="004F1252" w:rsidP="00057F73">
      <w:pPr>
        <w:spacing w:after="0" w:line="240" w:lineRule="auto"/>
        <w:jc w:val="both"/>
        <w:rPr>
          <w:rFonts w:ascii="Verdana" w:eastAsia="Verdana" w:hAnsi="Verdana" w:cs="Verdana"/>
          <w:sz w:val="20"/>
          <w:lang w:bidi="es-ES"/>
        </w:rPr>
      </w:pPr>
    </w:p>
    <w:p w14:paraId="59F29124" w14:textId="77777777" w:rsidR="004F1252" w:rsidRDefault="00057F73" w:rsidP="004F1252">
      <w:pPr>
        <w:spacing w:after="0" w:line="240" w:lineRule="auto"/>
        <w:jc w:val="both"/>
        <w:rPr>
          <w:rFonts w:ascii="Verdana" w:eastAsia="Verdana" w:hAnsi="Verdana" w:cs="Verdana"/>
          <w:sz w:val="20"/>
          <w:lang w:bidi="es-ES"/>
        </w:rPr>
      </w:pPr>
      <w:r w:rsidRPr="00057F73">
        <w:rPr>
          <w:rFonts w:ascii="Verdana" w:eastAsia="Calibri" w:hAnsi="Verdana" w:cs="Arial"/>
          <w:b/>
          <w:bCs/>
          <w:lang w:eastAsia="es-ES"/>
        </w:rPr>
        <w:t xml:space="preserve">RÉGIMEN EXCEPCIONAL – Justificación – Criterios de clasificación </w:t>
      </w:r>
    </w:p>
    <w:p w14:paraId="0CFAC037" w14:textId="77777777" w:rsidR="004F1252" w:rsidRDefault="004F1252" w:rsidP="004F1252">
      <w:pPr>
        <w:spacing w:after="0" w:line="240" w:lineRule="auto"/>
        <w:jc w:val="both"/>
        <w:rPr>
          <w:rFonts w:ascii="Verdana" w:eastAsia="Verdana" w:hAnsi="Verdana" w:cs="Verdana"/>
          <w:sz w:val="20"/>
          <w:lang w:bidi="es-ES"/>
        </w:rPr>
      </w:pPr>
    </w:p>
    <w:p w14:paraId="025AC086" w14:textId="6E919E80" w:rsidR="004F1252" w:rsidRDefault="004F1252" w:rsidP="00057F73">
      <w:pPr>
        <w:spacing w:after="0" w:line="240" w:lineRule="auto"/>
        <w:jc w:val="both"/>
        <w:rPr>
          <w:rFonts w:ascii="Verdana" w:hAnsi="Verdana" w:cs="Arial"/>
          <w:bCs/>
          <w:sz w:val="20"/>
          <w:szCs w:val="20"/>
          <w:lang w:val="es-MX"/>
        </w:rPr>
      </w:pPr>
      <w:r>
        <w:rPr>
          <w:rFonts w:ascii="Verdana" w:eastAsia="Verdana" w:hAnsi="Verdana" w:cs="Verdana"/>
          <w:sz w:val="20"/>
          <w:lang w:bidi="es-ES"/>
        </w:rPr>
        <w:t xml:space="preserve">[…] </w:t>
      </w:r>
      <w:r w:rsidRPr="004F1252">
        <w:rPr>
          <w:rFonts w:ascii="Verdana" w:eastAsia="Calibri" w:hAnsi="Verdana" w:cs="Arial"/>
          <w:sz w:val="20"/>
          <w:szCs w:val="20"/>
          <w:lang w:val="es-ES"/>
        </w:rPr>
        <w:t>e</w:t>
      </w:r>
      <w:r w:rsidRPr="004F1252">
        <w:rPr>
          <w:rFonts w:ascii="Verdana" w:hAnsi="Verdana" w:cs="Arial"/>
          <w:bCs/>
          <w:sz w:val="20"/>
          <w:szCs w:val="20"/>
          <w:lang w:val="es-MX"/>
        </w:rPr>
        <w:t xml:space="preserv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4F1252">
        <w:rPr>
          <w:rFonts w:ascii="Verdana" w:hAnsi="Verdana" w:cs="Arial"/>
          <w:bCs/>
          <w:i/>
          <w:iCs/>
          <w:sz w:val="20"/>
          <w:szCs w:val="20"/>
          <w:lang w:val="es-MX"/>
        </w:rPr>
        <w:t>entidades estatales que prestan los servicios públicos</w:t>
      </w:r>
      <w:r w:rsidRPr="004F1252">
        <w:rPr>
          <w:rFonts w:ascii="Verdana" w:hAnsi="Verdana" w:cs="Arial"/>
          <w:bCs/>
          <w:sz w:val="20"/>
          <w:szCs w:val="20"/>
          <w:lang w:val="es-MX"/>
        </w:rPr>
        <w:t xml:space="preserve"> a los que se refiere esta ley no estarán sujetos a las disposiciones del Estatuto General de Contratación de la Administración Pública, salvo en lo que la presente ley disponga otra cosa”</w:t>
      </w:r>
      <w:r w:rsidR="003E2D44">
        <w:rPr>
          <w:rFonts w:ascii="Verdana" w:hAnsi="Verdana" w:cs="Arial"/>
          <w:bCs/>
          <w:sz w:val="20"/>
          <w:szCs w:val="20"/>
          <w:lang w:val="es-MX"/>
        </w:rPr>
        <w:t>.</w:t>
      </w:r>
    </w:p>
    <w:p w14:paraId="299EF7F7" w14:textId="77777777" w:rsidR="004F1252" w:rsidRDefault="004F1252" w:rsidP="00057F73">
      <w:pPr>
        <w:spacing w:after="0" w:line="240" w:lineRule="auto"/>
        <w:jc w:val="both"/>
        <w:rPr>
          <w:rFonts w:ascii="Verdana" w:eastAsia="Verdana" w:hAnsi="Verdana" w:cs="Verdana"/>
          <w:sz w:val="20"/>
          <w:lang w:bidi="es-ES"/>
        </w:rPr>
      </w:pPr>
    </w:p>
    <w:p w14:paraId="4035CFD6" w14:textId="123B6DB8" w:rsidR="00057F73" w:rsidRPr="004F1252" w:rsidRDefault="00057F73" w:rsidP="00057F73">
      <w:pPr>
        <w:spacing w:after="0" w:line="240" w:lineRule="auto"/>
        <w:jc w:val="both"/>
        <w:rPr>
          <w:rFonts w:ascii="Verdana" w:eastAsia="Verdana" w:hAnsi="Verdana" w:cs="Verdana"/>
          <w:sz w:val="20"/>
          <w:lang w:bidi="es-ES"/>
        </w:rPr>
      </w:pPr>
      <w:r w:rsidRPr="00057F73">
        <w:rPr>
          <w:rFonts w:ascii="Verdana" w:eastAsia="Calibri" w:hAnsi="Verdana" w:cs="Arial"/>
          <w:b/>
          <w:bCs/>
          <w:lang w:eastAsia="es-ES"/>
        </w:rPr>
        <w:t xml:space="preserve">EMPRESAS DE SERVICIOS PÚBLICOS – Naturaleza – </w:t>
      </w:r>
      <w:r w:rsidR="003E2D44">
        <w:rPr>
          <w:rFonts w:ascii="Verdana" w:eastAsia="Calibri" w:hAnsi="Verdana" w:cs="Arial"/>
          <w:b/>
          <w:bCs/>
          <w:lang w:eastAsia="es-ES"/>
        </w:rPr>
        <w:t>R</w:t>
      </w:r>
      <w:r w:rsidRPr="00057F73">
        <w:rPr>
          <w:rFonts w:ascii="Verdana" w:eastAsia="Calibri" w:hAnsi="Verdana" w:cs="Arial"/>
          <w:b/>
          <w:bCs/>
          <w:lang w:eastAsia="es-ES"/>
        </w:rPr>
        <w:t xml:space="preserve">égimen especial </w:t>
      </w:r>
    </w:p>
    <w:p w14:paraId="6A02F6DA" w14:textId="77777777" w:rsidR="004F1252" w:rsidRDefault="004F1252" w:rsidP="00057F73">
      <w:pPr>
        <w:jc w:val="both"/>
        <w:rPr>
          <w:rFonts w:ascii="Verdana" w:eastAsia="Calibri" w:hAnsi="Verdana" w:cs="Arial"/>
          <w:b/>
          <w:bCs/>
          <w:lang w:eastAsia="es-ES"/>
        </w:rPr>
      </w:pPr>
    </w:p>
    <w:p w14:paraId="27CB0076" w14:textId="77777777" w:rsidR="003E2D44" w:rsidRPr="000C7D33" w:rsidRDefault="004F1252" w:rsidP="003E2D44">
      <w:pPr>
        <w:spacing w:after="0" w:line="240" w:lineRule="auto"/>
        <w:jc w:val="both"/>
        <w:rPr>
          <w:rFonts w:ascii="Verdana" w:eastAsia="Verdana" w:hAnsi="Verdana" w:cs="Verdana"/>
          <w:sz w:val="20"/>
        </w:rPr>
      </w:pPr>
      <w:r w:rsidRPr="004F1252">
        <w:rPr>
          <w:rFonts w:ascii="Verdana" w:hAnsi="Verdana" w:cs="Arial"/>
          <w:bCs/>
          <w:sz w:val="20"/>
          <w:szCs w:val="20"/>
          <w:lang w:val="es-MX"/>
        </w:rPr>
        <w:t xml:space="preserve">Asimismo, el inciso primero del artículo 32 </w:t>
      </w:r>
      <w:r w:rsidRPr="004F1252">
        <w:rPr>
          <w:rFonts w:ascii="Verdana" w:hAnsi="Verdana" w:cs="Arial"/>
          <w:bCs/>
          <w:i/>
          <w:iCs/>
          <w:sz w:val="20"/>
          <w:szCs w:val="20"/>
          <w:lang w:val="es-MX"/>
        </w:rPr>
        <w:t>ibidem</w:t>
      </w:r>
      <w:r w:rsidRPr="004F1252">
        <w:rPr>
          <w:rFonts w:ascii="Verdana" w:hAnsi="Verdana" w:cs="Arial"/>
          <w:bCs/>
          <w:sz w:val="20"/>
          <w:szCs w:val="20"/>
          <w:lang w:val="es-MX"/>
        </w:rPr>
        <w:t xml:space="preserve"> precisa lo siguiente: “Salvo en cuanto la Constitución Política o esta Ley dispongan expresamente lo contrario, la constitución, y los actos de todas las </w:t>
      </w:r>
      <w:r w:rsidRPr="004F1252">
        <w:rPr>
          <w:rFonts w:ascii="Verdana" w:hAnsi="Verdana" w:cs="Arial"/>
          <w:bCs/>
          <w:i/>
          <w:iCs/>
          <w:sz w:val="20"/>
          <w:szCs w:val="20"/>
          <w:lang w:val="es-MX"/>
        </w:rPr>
        <w:t>empresas de servicios públicos</w:t>
      </w:r>
      <w:r w:rsidRPr="004F1252">
        <w:rPr>
          <w:rFonts w:ascii="Verdana" w:hAnsi="Verdana" w:cs="Arial"/>
          <w:bCs/>
          <w:sz w:val="20"/>
          <w:szCs w:val="20"/>
          <w:lang w:val="es-MX"/>
        </w:rPr>
        <w:t>, así como los requeridos para la administración y el ejercicio de los derechos de todas las personas que sean socias de ellas, en lo no dispuesto en esta Ley, se regirán exclusivamente por las reglas del derecho privado”.</w:t>
      </w:r>
      <w:r w:rsidR="003E2D44">
        <w:rPr>
          <w:rFonts w:ascii="Verdana" w:hAnsi="Verdana" w:cs="Arial"/>
          <w:bCs/>
          <w:sz w:val="20"/>
          <w:szCs w:val="20"/>
          <w:lang w:val="es-MX"/>
        </w:rPr>
        <w:t xml:space="preserve"> </w:t>
      </w:r>
      <w:r w:rsidR="003E2D44" w:rsidRPr="000C7D33">
        <w:rPr>
          <w:rFonts w:ascii="Verdana" w:eastAsia="Verdana" w:hAnsi="Verdana" w:cs="Verdana"/>
          <w:sz w:val="20"/>
          <w:lang w:val="es-ES"/>
        </w:rPr>
        <w:t xml:space="preserve">De esta manera, el máximo órgano de la Jurisdicción de lo Contencioso Administrativo considera que: “En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504C7810" w14:textId="31DD69FD" w:rsidR="003E2D44" w:rsidRPr="003E2D44" w:rsidRDefault="003E2D44" w:rsidP="00057F73">
      <w:pPr>
        <w:spacing w:after="0" w:line="240" w:lineRule="auto"/>
        <w:jc w:val="both"/>
        <w:rPr>
          <w:rFonts w:ascii="Verdana" w:eastAsia="Verdana" w:hAnsi="Verdana" w:cs="Verdana"/>
          <w:sz w:val="20"/>
          <w:lang w:bidi="es-ES"/>
        </w:rPr>
      </w:pPr>
    </w:p>
    <w:p w14:paraId="56B11E53" w14:textId="20A6ECA2" w:rsidR="00057F73" w:rsidRDefault="00057F73" w:rsidP="00057F73">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EMPRESAS DE SERVICIOS PÚBLICOS – Mixtas – Privadas con participación estatal – Entidades descentralizadas por servicios – Sentencia C-736 de 2007</w:t>
      </w:r>
    </w:p>
    <w:p w14:paraId="0922B284" w14:textId="77777777" w:rsidR="003E2D44" w:rsidRDefault="003E2D44" w:rsidP="00057F73">
      <w:pPr>
        <w:spacing w:after="0" w:line="240" w:lineRule="auto"/>
        <w:jc w:val="both"/>
        <w:rPr>
          <w:rFonts w:ascii="Verdana" w:eastAsia="Calibri" w:hAnsi="Verdana" w:cs="Arial"/>
          <w:b/>
          <w:bCs/>
          <w:lang w:eastAsia="es-ES"/>
        </w:rPr>
      </w:pPr>
    </w:p>
    <w:p w14:paraId="440E7534" w14:textId="1B66689D" w:rsidR="003E2D44" w:rsidRPr="003E2D44" w:rsidRDefault="003E2D44" w:rsidP="003E2D44">
      <w:pPr>
        <w:spacing w:after="0" w:line="240" w:lineRule="auto"/>
        <w:jc w:val="both"/>
        <w:rPr>
          <w:rFonts w:ascii="Verdana" w:eastAsia="Verdana" w:hAnsi="Verdana" w:cs="Verdana"/>
          <w:sz w:val="20"/>
          <w:lang w:bidi="es-ES"/>
        </w:rPr>
      </w:pPr>
      <w:r w:rsidRPr="003E2D44">
        <w:rPr>
          <w:rFonts w:ascii="Verdana" w:eastAsia="Verdana" w:hAnsi="Verdana" w:cs="Verdana"/>
          <w:sz w:val="20"/>
          <w:lang w:bidi="es-ES"/>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oficiales, mixtas o privadas, estas tres especies ingresan en la categoría de las entidades descentralizadas por servicios, es decir, hacen parte de la Rama Ejecutiva del Orden Público.  </w:t>
      </w:r>
    </w:p>
    <w:p w14:paraId="77AB03F9" w14:textId="77777777" w:rsidR="003E2D44" w:rsidRDefault="003E2D44" w:rsidP="003E2D44">
      <w:pPr>
        <w:spacing w:after="0" w:line="240" w:lineRule="auto"/>
        <w:jc w:val="both"/>
        <w:rPr>
          <w:rFonts w:ascii="Verdana" w:eastAsia="Verdana" w:hAnsi="Verdana" w:cs="Verdana"/>
          <w:sz w:val="20"/>
          <w:lang w:bidi="es-ES"/>
        </w:rPr>
      </w:pPr>
    </w:p>
    <w:p w14:paraId="436667B9" w14:textId="77777777" w:rsidR="003E2D44" w:rsidRDefault="003E2D44" w:rsidP="00057F73">
      <w:pPr>
        <w:spacing w:after="0" w:line="240" w:lineRule="auto"/>
        <w:jc w:val="both"/>
        <w:rPr>
          <w:rFonts w:ascii="Verdana" w:eastAsia="Verdana" w:hAnsi="Verdana" w:cs="Verdana"/>
          <w:sz w:val="20"/>
          <w:lang w:bidi="es-ES"/>
        </w:rPr>
      </w:pPr>
      <w:r w:rsidRPr="003E2D44">
        <w:rPr>
          <w:rFonts w:ascii="Verdana" w:eastAsia="Verdana" w:hAnsi="Verdana" w:cs="Verdana"/>
          <w:sz w:val="20"/>
          <w:lang w:bidi="es-ES"/>
        </w:rPr>
        <w:t>Al respecto, debe recordarse que en dicha Sentencia el alto tribunal afirmó que las empresas prestadoras de servicios públicos domiciliarios mixtas y privadas con aportes estatales son tipos especiales de entidades descentralizadas por servicios que, por tanto, no pueden enmarcarse en las otras especies de entidades descentralizadas por servicios enlistadas en el artículo 38 de la Ley 489 de 1998, es decir, que no cabe considerarlas, verbigracia, dentro de las sociedades públicas ni en las sociedades de economía mixta.</w:t>
      </w:r>
    </w:p>
    <w:p w14:paraId="5DB0DCCA" w14:textId="77777777" w:rsidR="003E2D44" w:rsidRDefault="003E2D44" w:rsidP="00057F73">
      <w:pPr>
        <w:spacing w:after="0" w:line="240" w:lineRule="auto"/>
        <w:jc w:val="both"/>
        <w:rPr>
          <w:rFonts w:ascii="Verdana" w:eastAsia="Verdana" w:hAnsi="Verdana" w:cs="Verdana"/>
          <w:sz w:val="20"/>
          <w:lang w:bidi="es-ES"/>
        </w:rPr>
      </w:pPr>
    </w:p>
    <w:p w14:paraId="6C35A697" w14:textId="4AA6023E" w:rsidR="00057F73" w:rsidRDefault="00057F73" w:rsidP="00057F73">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EMPRESAS PRIVADAS DE SERVICIOS PÚBLICOS – Capital – 100% privadas – Naturaleza </w:t>
      </w:r>
    </w:p>
    <w:p w14:paraId="267A1D31" w14:textId="77777777" w:rsidR="003E2D44" w:rsidRDefault="003E2D44" w:rsidP="00057F73">
      <w:pPr>
        <w:spacing w:after="0" w:line="240" w:lineRule="auto"/>
        <w:jc w:val="both"/>
        <w:rPr>
          <w:rFonts w:ascii="Verdana" w:eastAsia="Calibri" w:hAnsi="Verdana" w:cs="Arial"/>
          <w:b/>
          <w:bCs/>
          <w:lang w:eastAsia="es-ES"/>
        </w:rPr>
      </w:pPr>
    </w:p>
    <w:p w14:paraId="7B50CB80" w14:textId="77777777" w:rsidR="003E2D44" w:rsidRPr="00ED0AD9" w:rsidRDefault="003E2D44" w:rsidP="003E2D44">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659BE83B" w14:textId="77777777" w:rsidR="003E2D44" w:rsidRPr="00ED0AD9" w:rsidRDefault="003E2D44" w:rsidP="003E2D44">
      <w:pPr>
        <w:spacing w:after="0" w:line="240" w:lineRule="auto"/>
        <w:jc w:val="both"/>
        <w:rPr>
          <w:rFonts w:ascii="Verdana" w:eastAsia="Verdana" w:hAnsi="Verdana" w:cs="Verdana"/>
          <w:sz w:val="20"/>
          <w:lang w:val="es-ES"/>
        </w:rPr>
      </w:pPr>
    </w:p>
    <w:p w14:paraId="29290DA8" w14:textId="77777777" w:rsidR="003E2D44" w:rsidRPr="00ED0AD9" w:rsidRDefault="003E2D44" w:rsidP="003E2D44">
      <w:pPr>
        <w:spacing w:after="0" w:line="240" w:lineRule="auto"/>
        <w:jc w:val="both"/>
        <w:rPr>
          <w:rFonts w:ascii="Verdana" w:eastAsia="Verdana" w:hAnsi="Verdana" w:cs="Verdana"/>
          <w:sz w:val="20"/>
        </w:rPr>
      </w:pPr>
      <w:r w:rsidRPr="00ED0AD9">
        <w:rPr>
          <w:rFonts w:ascii="Verdana" w:eastAsia="Verdana" w:hAnsi="Verdana" w:cs="Verdana"/>
          <w:sz w:val="20"/>
          <w:lang w:val="es-ES"/>
        </w:rPr>
        <w:t>La primera postura es la que resalta la doctrina, donde se expone que el pronunciamiento de constitucionalidad implica que lo dispuesto en el literal g) se subsumen las empresas de servicios públicos mixtas o privadas</w:t>
      </w:r>
      <w:r w:rsidRPr="00ED0AD9">
        <w:rPr>
          <w:rFonts w:ascii="Verdana" w:eastAsia="Verdana" w:hAnsi="Verdana" w:cs="Verdana"/>
          <w:sz w:val="20"/>
        </w:rPr>
        <w:t xml:space="preserve"> (en torno a las últimas ya no precisa si tienen aporte estatal) como parte de la Rama Ejecutiva en su sector descentralizado. </w:t>
      </w:r>
    </w:p>
    <w:p w14:paraId="26FDA0ED" w14:textId="77777777" w:rsidR="003E2D44" w:rsidRPr="00ED0AD9" w:rsidRDefault="003E2D44" w:rsidP="003E2D44">
      <w:pPr>
        <w:spacing w:after="0" w:line="240" w:lineRule="auto"/>
        <w:jc w:val="both"/>
        <w:rPr>
          <w:rFonts w:ascii="Verdana" w:eastAsia="Verdana" w:hAnsi="Verdana" w:cs="Verdana"/>
          <w:sz w:val="20"/>
        </w:rPr>
      </w:pPr>
    </w:p>
    <w:p w14:paraId="14C59B92" w14:textId="175D968F" w:rsidR="003E2D44" w:rsidRDefault="003E2D44" w:rsidP="003E2D44">
      <w:pPr>
        <w:spacing w:after="0" w:line="240" w:lineRule="auto"/>
        <w:jc w:val="both"/>
        <w:rPr>
          <w:rFonts w:ascii="Verdana" w:eastAsia="Verdana" w:hAnsi="Verdana" w:cs="Verdana"/>
          <w:sz w:val="20"/>
          <w:lang w:val="es-ES"/>
        </w:rPr>
      </w:pPr>
      <w:r>
        <w:rPr>
          <w:rFonts w:ascii="Verdana" w:eastAsia="Verdana" w:hAnsi="Verdana" w:cs="Verdana"/>
          <w:sz w:val="20"/>
          <w:lang w:val="es-ES"/>
        </w:rPr>
        <w:t>[…]</w:t>
      </w:r>
    </w:p>
    <w:p w14:paraId="613A6EEC" w14:textId="77777777" w:rsidR="003E2D44" w:rsidRDefault="003E2D44" w:rsidP="003E2D44">
      <w:pPr>
        <w:spacing w:after="0" w:line="240" w:lineRule="auto"/>
        <w:jc w:val="both"/>
        <w:rPr>
          <w:rFonts w:ascii="Verdana" w:eastAsia="Verdana" w:hAnsi="Verdana" w:cs="Verdana"/>
          <w:sz w:val="20"/>
          <w:lang w:val="es-ES"/>
        </w:rPr>
      </w:pPr>
    </w:p>
    <w:p w14:paraId="6B137518" w14:textId="694B9CA7" w:rsidR="003E2D44" w:rsidRPr="00ED0AD9" w:rsidRDefault="003E2D44" w:rsidP="003E2D44">
      <w:pPr>
        <w:spacing w:after="0" w:line="240" w:lineRule="auto"/>
        <w:jc w:val="both"/>
        <w:rPr>
          <w:rFonts w:ascii="Verdana" w:eastAsia="Verdana" w:hAnsi="Verdana" w:cs="Verdana"/>
          <w:sz w:val="20"/>
        </w:rPr>
      </w:pPr>
      <w:r w:rsidRPr="00ED0AD9">
        <w:rPr>
          <w:rFonts w:ascii="Verdana" w:eastAsia="Verdana" w:hAnsi="Verdana" w:cs="Verdana"/>
          <w:sz w:val="20"/>
          <w:lang w:val="es-ES"/>
        </w:rPr>
        <w:t>La segunda postura que también se deriva de la interpretación de la sentencia es que la Corte Constitucional</w:t>
      </w:r>
      <w:r w:rsidRPr="00ED0AD9">
        <w:rPr>
          <w:rFonts w:ascii="Verdana" w:eastAsia="Verdana" w:hAnsi="Verdana" w:cs="Verdana"/>
          <w:sz w:val="20"/>
        </w:rPr>
        <w:t xml:space="preserve"> </w:t>
      </w:r>
      <w:r w:rsidRPr="00ED0AD9">
        <w:rPr>
          <w:rFonts w:ascii="Verdana" w:eastAsia="Verdana" w:hAnsi="Verdana" w:cs="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ED0AD9">
        <w:rPr>
          <w:rFonts w:ascii="Verdana" w:eastAsia="Verdana" w:hAnsi="Verdana" w:cs="Verdana"/>
          <w:bCs/>
          <w:sz w:val="20"/>
          <w:lang w:val="es-ES"/>
        </w:rPr>
        <w:t xml:space="preserve">empresas de servicios públicos mixtas y privadas en las cuales haya cualquier porcentaje de participación pública. </w:t>
      </w:r>
      <w:r w:rsidRPr="00ED0AD9">
        <w:rPr>
          <w:rFonts w:ascii="Verdana" w:eastAsia="Verdana" w:hAnsi="Verdana" w:cs="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ED0AD9">
        <w:rPr>
          <w:rFonts w:ascii="Verdana" w:eastAsia="Verdana" w:hAnsi="Verdana" w:cs="Verdana"/>
          <w:sz w:val="20"/>
        </w:rPr>
        <w:t>aquella cuyo capital pertenece mayoritariamente a particulares o a entidades internacionales que se acogen al régimen privado, lo que implica una participación minoritaria del Estado.</w:t>
      </w:r>
    </w:p>
    <w:p w14:paraId="6480011E" w14:textId="77777777" w:rsidR="003E2D44" w:rsidRPr="00ED0AD9" w:rsidRDefault="003E2D44" w:rsidP="003E2D44">
      <w:pPr>
        <w:spacing w:after="0" w:line="240" w:lineRule="auto"/>
        <w:jc w:val="both"/>
        <w:rPr>
          <w:rFonts w:ascii="Verdana" w:eastAsia="Verdana" w:hAnsi="Verdana" w:cs="Verdana"/>
          <w:sz w:val="20"/>
        </w:rPr>
      </w:pPr>
    </w:p>
    <w:p w14:paraId="1DB7CF37" w14:textId="77777777" w:rsidR="003E2D44" w:rsidRPr="00ED0AD9" w:rsidRDefault="003E2D44" w:rsidP="003E2D44">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6E1F98DF" w14:textId="77777777" w:rsidR="003E2D44" w:rsidRPr="003E2D44" w:rsidRDefault="003E2D44" w:rsidP="00057F73">
      <w:pPr>
        <w:spacing w:after="0" w:line="240" w:lineRule="auto"/>
        <w:jc w:val="both"/>
        <w:rPr>
          <w:rFonts w:ascii="Verdana" w:eastAsia="Verdana" w:hAnsi="Verdana" w:cs="Verdana"/>
          <w:sz w:val="20"/>
          <w:lang w:val="es-ES" w:bidi="es-ES"/>
        </w:rPr>
      </w:pPr>
    </w:p>
    <w:p w14:paraId="7FE71A9D" w14:textId="77777777" w:rsidR="003E2D44" w:rsidRDefault="00057F73" w:rsidP="003E2D44">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EMPRESAS DE SERVICIOS PÚBLICOS– Aplicación - Artículo 13 de la Ley 1150 de 2007 </w:t>
      </w:r>
    </w:p>
    <w:p w14:paraId="52979BAA" w14:textId="77777777" w:rsidR="003E2D44" w:rsidRDefault="003E2D44" w:rsidP="003E2D44">
      <w:pPr>
        <w:spacing w:after="0" w:line="240" w:lineRule="auto"/>
        <w:jc w:val="both"/>
        <w:rPr>
          <w:rFonts w:ascii="Verdana" w:eastAsia="Calibri" w:hAnsi="Verdana" w:cs="Arial"/>
          <w:b/>
          <w:bCs/>
          <w:lang w:eastAsia="es-ES"/>
        </w:rPr>
      </w:pPr>
    </w:p>
    <w:p w14:paraId="4F96D630" w14:textId="35476E4E" w:rsidR="004F1252" w:rsidRPr="003E2D44" w:rsidRDefault="003E2D44" w:rsidP="003E2D44">
      <w:pPr>
        <w:spacing w:after="0" w:line="240" w:lineRule="auto"/>
        <w:jc w:val="both"/>
        <w:rPr>
          <w:rFonts w:ascii="Verdana" w:eastAsia="Calibri" w:hAnsi="Verdana" w:cs="Arial"/>
          <w:b/>
          <w:bCs/>
          <w:lang w:eastAsia="es-ES"/>
        </w:rPr>
      </w:pPr>
      <w:r w:rsidRPr="003E2D44">
        <w:rPr>
          <w:rFonts w:ascii="Verdana" w:eastAsia="Calibri" w:hAnsi="Verdana" w:cs="Arial"/>
          <w:sz w:val="20"/>
          <w:szCs w:val="20"/>
          <w:lang w:eastAsia="es-ES"/>
        </w:rPr>
        <w:t>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de 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 Esto, sin perjuicio de las demás reglas que les aplique a las empresas de servicios públicos domiciliarios, que otorgan a las Comisiones de Regulación de hacer obligatoria la inclusión, en ciertos tipos de contratos de cualquier empresa de servicios públicos, de cláusulas exorbitantes y posibilitar la facultad, previa consulta expresa por parte de las estas empresas, que se incluyan en los demás</w:t>
      </w:r>
      <w:r>
        <w:rPr>
          <w:rFonts w:ascii="Verdana" w:eastAsia="Calibri" w:hAnsi="Verdana" w:cs="Arial"/>
          <w:sz w:val="20"/>
          <w:szCs w:val="20"/>
          <w:lang w:eastAsia="es-ES"/>
        </w:rPr>
        <w:t>.</w:t>
      </w:r>
    </w:p>
    <w:p w14:paraId="150D2B6B" w14:textId="77777777" w:rsidR="003E2D44" w:rsidRDefault="003E2D44" w:rsidP="00057F73">
      <w:pPr>
        <w:spacing w:after="0" w:line="240" w:lineRule="auto"/>
        <w:jc w:val="both"/>
        <w:rPr>
          <w:rFonts w:ascii="Verdana" w:eastAsia="Calibri" w:hAnsi="Verdana" w:cs="Arial"/>
          <w:b/>
          <w:bCs/>
          <w:lang w:eastAsia="es-ES"/>
        </w:rPr>
      </w:pPr>
    </w:p>
    <w:p w14:paraId="2106D1B7" w14:textId="1D3BAA9E" w:rsidR="00057F73" w:rsidRPr="00057F73" w:rsidRDefault="00057F73" w:rsidP="00057F73">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EMPRESAS DE SERVICIOS PÚBLICAS – Guía para la gestión contractual de las entidades estatales con régimen especial – Alcance </w:t>
      </w:r>
    </w:p>
    <w:p w14:paraId="7078A2ED" w14:textId="77777777" w:rsidR="004F1252" w:rsidRDefault="004F1252" w:rsidP="00057F73">
      <w:pPr>
        <w:jc w:val="both"/>
        <w:rPr>
          <w:rFonts w:ascii="Verdana" w:eastAsia="Calibri" w:hAnsi="Verdana" w:cs="Arial"/>
          <w:b/>
          <w:bCs/>
          <w:lang w:eastAsia="es-ES"/>
        </w:rPr>
      </w:pPr>
    </w:p>
    <w:p w14:paraId="7EFB4FAB" w14:textId="6243205D" w:rsidR="00F94B5C" w:rsidRDefault="00F94B5C" w:rsidP="00F94B5C">
      <w:pPr>
        <w:spacing w:after="0" w:line="240" w:lineRule="auto"/>
        <w:jc w:val="both"/>
        <w:rPr>
          <w:rFonts w:ascii="Verdana" w:eastAsia="Verdana" w:hAnsi="Verdana" w:cs="Verdana"/>
          <w:sz w:val="20"/>
          <w:szCs w:val="20"/>
        </w:rPr>
      </w:pPr>
      <w:r w:rsidRPr="00F94B5C">
        <w:rPr>
          <w:rFonts w:ascii="Verdana" w:eastAsia="Verdana" w:hAnsi="Verdana" w:cs="Verdana"/>
          <w:sz w:val="20"/>
          <w:szCs w:val="20"/>
          <w:lang w:val="es-ES"/>
        </w:rPr>
        <w:t>Esta</w:t>
      </w:r>
      <w:r w:rsidRPr="00F94B5C">
        <w:rPr>
          <w:rFonts w:ascii="Verdana" w:eastAsia="Verdana" w:hAnsi="Verdana" w:cs="Verdana"/>
          <w:spacing w:val="-10"/>
          <w:sz w:val="20"/>
          <w:szCs w:val="20"/>
          <w:lang w:val="es-ES"/>
        </w:rPr>
        <w:t xml:space="preserve"> </w:t>
      </w:r>
      <w:r w:rsidRPr="00F94B5C">
        <w:rPr>
          <w:rFonts w:ascii="Verdana" w:eastAsia="Verdana" w:hAnsi="Verdana" w:cs="Verdana"/>
          <w:sz w:val="20"/>
          <w:szCs w:val="20"/>
          <w:lang w:val="es-ES"/>
        </w:rPr>
        <w:t>Agencia</w:t>
      </w:r>
      <w:r w:rsidRPr="00F94B5C">
        <w:rPr>
          <w:rFonts w:ascii="Verdana" w:eastAsia="Verdana" w:hAnsi="Verdana" w:cs="Verdana"/>
          <w:spacing w:val="-9"/>
          <w:sz w:val="20"/>
          <w:szCs w:val="20"/>
          <w:lang w:val="es-ES"/>
        </w:rPr>
        <w:t xml:space="preserve"> </w:t>
      </w:r>
      <w:r w:rsidRPr="00F94B5C">
        <w:rPr>
          <w:rFonts w:ascii="Verdana" w:eastAsia="Verdana" w:hAnsi="Verdana" w:cs="Verdana"/>
          <w:sz w:val="20"/>
          <w:szCs w:val="20"/>
          <w:lang w:val="es-ES"/>
        </w:rPr>
        <w:t>Nacional</w:t>
      </w:r>
      <w:r w:rsidRPr="00F94B5C">
        <w:rPr>
          <w:rFonts w:ascii="Verdana" w:eastAsia="Verdana" w:hAnsi="Verdana" w:cs="Verdana"/>
          <w:spacing w:val="-8"/>
          <w:sz w:val="20"/>
          <w:szCs w:val="20"/>
          <w:lang w:val="es-ES"/>
        </w:rPr>
        <w:t xml:space="preserve"> </w:t>
      </w:r>
      <w:r w:rsidRPr="00F94B5C">
        <w:rPr>
          <w:rFonts w:ascii="Verdana" w:eastAsia="Verdana" w:hAnsi="Verdana" w:cs="Verdana"/>
          <w:sz w:val="20"/>
          <w:szCs w:val="20"/>
          <w:lang w:val="es-ES"/>
        </w:rPr>
        <w:t>de</w:t>
      </w:r>
      <w:r w:rsidRPr="00F94B5C">
        <w:rPr>
          <w:rFonts w:ascii="Verdana" w:eastAsia="Verdana" w:hAnsi="Verdana" w:cs="Verdana"/>
          <w:spacing w:val="-10"/>
          <w:sz w:val="20"/>
          <w:szCs w:val="20"/>
          <w:lang w:val="es-ES"/>
        </w:rPr>
        <w:t xml:space="preserve"> </w:t>
      </w:r>
      <w:r w:rsidRPr="00F94B5C">
        <w:rPr>
          <w:rFonts w:ascii="Verdana" w:eastAsia="Verdana" w:hAnsi="Verdana" w:cs="Verdana"/>
          <w:sz w:val="20"/>
          <w:szCs w:val="20"/>
          <w:lang w:val="es-ES"/>
        </w:rPr>
        <w:t>Contratación</w:t>
      </w:r>
      <w:r w:rsidRPr="00F94B5C">
        <w:rPr>
          <w:rFonts w:ascii="Verdana" w:eastAsia="Verdana" w:hAnsi="Verdana" w:cs="Verdana"/>
          <w:spacing w:val="-7"/>
          <w:sz w:val="20"/>
          <w:szCs w:val="20"/>
          <w:lang w:val="es-ES"/>
        </w:rPr>
        <w:t xml:space="preserve"> </w:t>
      </w:r>
      <w:r w:rsidRPr="00F94B5C">
        <w:rPr>
          <w:rFonts w:ascii="Verdana" w:eastAsia="Verdana" w:hAnsi="Verdana" w:cs="Verdana"/>
          <w:sz w:val="20"/>
          <w:szCs w:val="20"/>
          <w:lang w:val="es-ES"/>
        </w:rPr>
        <w:t>Publica</w:t>
      </w:r>
      <w:r w:rsidRPr="00F94B5C">
        <w:rPr>
          <w:rFonts w:ascii="Verdana" w:eastAsia="Verdana" w:hAnsi="Verdana" w:cs="Verdana"/>
          <w:spacing w:val="-9"/>
          <w:sz w:val="20"/>
          <w:szCs w:val="20"/>
          <w:lang w:val="es-ES"/>
        </w:rPr>
        <w:t xml:space="preserve"> </w:t>
      </w:r>
      <w:r w:rsidRPr="00F94B5C">
        <w:rPr>
          <w:rFonts w:ascii="Verdana" w:eastAsia="Verdana" w:hAnsi="Verdana" w:cs="Verdana"/>
          <w:sz w:val="20"/>
          <w:szCs w:val="20"/>
          <w:lang w:val="es-ES"/>
        </w:rPr>
        <w:t>Colombia</w:t>
      </w:r>
      <w:r w:rsidRPr="00F94B5C">
        <w:rPr>
          <w:rFonts w:ascii="Verdana" w:eastAsia="Verdana" w:hAnsi="Verdana" w:cs="Verdana"/>
          <w:spacing w:val="-9"/>
          <w:sz w:val="20"/>
          <w:szCs w:val="20"/>
          <w:lang w:val="es-ES"/>
        </w:rPr>
        <w:t xml:space="preserve"> </w:t>
      </w:r>
      <w:r w:rsidRPr="00F94B5C">
        <w:rPr>
          <w:rFonts w:ascii="Verdana" w:eastAsia="Verdana" w:hAnsi="Verdana" w:cs="Verdana"/>
          <w:sz w:val="20"/>
          <w:szCs w:val="20"/>
          <w:lang w:val="es-ES"/>
        </w:rPr>
        <w:t>Compra</w:t>
      </w:r>
      <w:r w:rsidRPr="00F94B5C">
        <w:rPr>
          <w:rFonts w:ascii="Verdana" w:eastAsia="Verdana" w:hAnsi="Verdana" w:cs="Verdana"/>
          <w:spacing w:val="-9"/>
          <w:sz w:val="20"/>
          <w:szCs w:val="20"/>
          <w:lang w:val="es-ES"/>
        </w:rPr>
        <w:t xml:space="preserve"> </w:t>
      </w:r>
      <w:r w:rsidRPr="00F94B5C">
        <w:rPr>
          <w:rFonts w:ascii="Verdana" w:eastAsia="Verdana" w:hAnsi="Verdana" w:cs="Verdana"/>
          <w:sz w:val="20"/>
          <w:szCs w:val="20"/>
          <w:lang w:val="es-ES"/>
        </w:rPr>
        <w:t xml:space="preserve">Eficiente, en la “Guía para la gestión contractual de las entidades estatales con régimen especial”, se precisó que a pesar que las Entidades Estatales </w:t>
      </w:r>
      <w:r w:rsidRPr="00F94B5C">
        <w:rPr>
          <w:rFonts w:ascii="Verdana" w:eastAsia="Verdana" w:hAnsi="Verdana" w:cs="Verdana"/>
          <w:bCs/>
          <w:sz w:val="20"/>
          <w:szCs w:val="20"/>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F94B5C">
        <w:rPr>
          <w:rFonts w:ascii="Verdana" w:eastAsia="Verdana" w:hAnsi="Verdana" w:cs="Verdana"/>
          <w:sz w:val="20"/>
          <w:szCs w:val="20"/>
        </w:rPr>
        <w:t xml:space="preserve">, tales como: a) los principios de la función administrativa; b) los principios de la gestión fiscal; c) el régimen de inhabilidades e incompatibilidades; d) el uso del SECOP II o la plataforma que haga sus veces; e) la promoción y acceso de las </w:t>
      </w:r>
      <w:proofErr w:type="spellStart"/>
      <w:r w:rsidRPr="00F94B5C">
        <w:rPr>
          <w:rFonts w:ascii="Verdana" w:eastAsia="Verdana" w:hAnsi="Verdana" w:cs="Verdana"/>
          <w:sz w:val="20"/>
          <w:szCs w:val="20"/>
        </w:rPr>
        <w:t>Mipymes</w:t>
      </w:r>
      <w:proofErr w:type="spellEnd"/>
      <w:r w:rsidRPr="00F94B5C">
        <w:rPr>
          <w:rFonts w:ascii="Verdana" w:eastAsia="Verdana" w:hAnsi="Verdana" w:cs="Verdana"/>
          <w:sz w:val="20"/>
          <w:szCs w:val="20"/>
        </w:rPr>
        <w:t xml:space="preserve">;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w:t>
      </w:r>
      <w:proofErr w:type="spellStart"/>
      <w:r w:rsidRPr="00F94B5C">
        <w:rPr>
          <w:rFonts w:ascii="Verdana" w:eastAsia="Verdana" w:hAnsi="Verdana" w:cs="Verdana"/>
          <w:sz w:val="20"/>
          <w:szCs w:val="20"/>
        </w:rPr>
        <w:t>Mipymes</w:t>
      </w:r>
      <w:proofErr w:type="spellEnd"/>
      <w:r w:rsidRPr="00F94B5C">
        <w:rPr>
          <w:rFonts w:ascii="Verdana" w:eastAsia="Verdana" w:hAnsi="Verdana" w:cs="Verdana"/>
          <w:sz w:val="20"/>
          <w:szCs w:val="20"/>
        </w:rPr>
        <w:t>,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w:t>
      </w:r>
      <w:r w:rsidRPr="00F94B5C">
        <w:rPr>
          <w:rFonts w:ascii="Verdana" w:eastAsia="Verdana" w:hAnsi="Verdana" w:cs="Verdana"/>
          <w:sz w:val="20"/>
          <w:szCs w:val="20"/>
        </w:rPr>
        <w:t>.</w:t>
      </w:r>
    </w:p>
    <w:p w14:paraId="39FDB0BB" w14:textId="77777777" w:rsidR="00F94B5C" w:rsidRPr="00F94B5C" w:rsidRDefault="00F94B5C" w:rsidP="00F94B5C">
      <w:pPr>
        <w:spacing w:after="0" w:line="240" w:lineRule="auto"/>
        <w:jc w:val="both"/>
        <w:rPr>
          <w:rFonts w:ascii="Verdana" w:eastAsia="Calibri" w:hAnsi="Verdana" w:cs="Arial"/>
          <w:b/>
          <w:bCs/>
          <w:sz w:val="20"/>
          <w:szCs w:val="20"/>
          <w:lang w:eastAsia="es-ES"/>
        </w:rPr>
      </w:pPr>
    </w:p>
    <w:p w14:paraId="17AA6EFD" w14:textId="68A3D6E9" w:rsidR="00057F73" w:rsidRDefault="00057F73" w:rsidP="00057F73">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MANUALES DE CONTRATACIÓN – Alcance – Límites – Obligatoriedad </w:t>
      </w:r>
    </w:p>
    <w:p w14:paraId="6F4E6083" w14:textId="77777777" w:rsidR="003716CA" w:rsidRPr="003716CA" w:rsidRDefault="003716CA" w:rsidP="003716CA">
      <w:pPr>
        <w:spacing w:after="0" w:line="240" w:lineRule="auto"/>
        <w:jc w:val="both"/>
        <w:rPr>
          <w:rFonts w:ascii="Verdana" w:eastAsia="Calibri" w:hAnsi="Verdana" w:cs="Arial"/>
          <w:b/>
          <w:bCs/>
          <w:sz w:val="20"/>
          <w:szCs w:val="20"/>
          <w:lang w:eastAsia="es-ES"/>
        </w:rPr>
      </w:pPr>
    </w:p>
    <w:p w14:paraId="2847FDBA" w14:textId="50833897" w:rsidR="003716CA" w:rsidRPr="003716CA" w:rsidRDefault="003716CA" w:rsidP="003716CA">
      <w:pPr>
        <w:spacing w:after="0" w:line="240" w:lineRule="auto"/>
        <w:jc w:val="both"/>
        <w:rPr>
          <w:rFonts w:ascii="Verdana" w:eastAsia="Calibri" w:hAnsi="Verdana" w:cs="Times New Roman"/>
          <w:sz w:val="20"/>
          <w:szCs w:val="20"/>
          <w:lang w:val="es-ES"/>
        </w:rPr>
      </w:pPr>
      <w:r w:rsidRPr="003716CA">
        <w:rPr>
          <w:rFonts w:ascii="Verdana" w:eastAsia="Verdana" w:hAnsi="Verdana" w:cs="Verdana"/>
          <w:sz w:val="20"/>
          <w:szCs w:val="20"/>
          <w:lang w:val="es-ES"/>
        </w:rPr>
        <w:t xml:space="preserve">Ahora bien, las empresas de servicios públicos domiciliarios deben adelantar su contratación, mediante los procedimientos y reglas propias del manual de contratación institucional y/o cumplir la normativa de carácter especial, si procede. Haciendo claridad que el manual, así como los pliegos de condiciones deben contener los principios de la función administrativa y de la gestión fiscal, determinándose la manera concreta como dichos principios moldearán el derecho privado en el ejercicio de la actividad contractual. </w:t>
      </w:r>
      <w:r w:rsidRPr="003716CA">
        <w:rPr>
          <w:rFonts w:ascii="Verdana" w:eastAsia="Verdana" w:hAnsi="Verdana" w:cs="Verdana"/>
          <w:spacing w:val="-2"/>
          <w:sz w:val="20"/>
          <w:szCs w:val="20"/>
          <w:lang w:val="es-ES"/>
        </w:rPr>
        <w:t>Sobre</w:t>
      </w:r>
      <w:r w:rsidRPr="003716CA">
        <w:rPr>
          <w:rFonts w:ascii="Verdana" w:eastAsia="Verdana" w:hAnsi="Verdana" w:cs="Verdana"/>
          <w:spacing w:val="-10"/>
          <w:sz w:val="20"/>
          <w:szCs w:val="20"/>
          <w:lang w:val="es-ES"/>
        </w:rPr>
        <w:t xml:space="preserve"> </w:t>
      </w:r>
      <w:r w:rsidRPr="003716CA">
        <w:rPr>
          <w:rFonts w:ascii="Verdana" w:eastAsia="Verdana" w:hAnsi="Verdana" w:cs="Verdana"/>
          <w:spacing w:val="-2"/>
          <w:sz w:val="20"/>
          <w:szCs w:val="20"/>
          <w:lang w:val="es-ES"/>
        </w:rPr>
        <w:t>este</w:t>
      </w:r>
      <w:r w:rsidRPr="003716CA">
        <w:rPr>
          <w:rFonts w:ascii="Verdana" w:eastAsia="Verdana" w:hAnsi="Verdana" w:cs="Verdana"/>
          <w:spacing w:val="-11"/>
          <w:sz w:val="20"/>
          <w:szCs w:val="20"/>
          <w:lang w:val="es-ES"/>
        </w:rPr>
        <w:t xml:space="preserve"> </w:t>
      </w:r>
      <w:r w:rsidRPr="003716CA">
        <w:rPr>
          <w:rFonts w:ascii="Verdana" w:eastAsia="Verdana" w:hAnsi="Verdana" w:cs="Verdana"/>
          <w:spacing w:val="-2"/>
          <w:sz w:val="20"/>
          <w:szCs w:val="20"/>
          <w:lang w:val="es-ES"/>
        </w:rPr>
        <w:t>punto</w:t>
      </w:r>
      <w:r w:rsidRPr="003716CA">
        <w:rPr>
          <w:rFonts w:ascii="Verdana" w:eastAsia="Verdana" w:hAnsi="Verdana" w:cs="Verdana"/>
          <w:spacing w:val="-11"/>
          <w:sz w:val="20"/>
          <w:szCs w:val="20"/>
          <w:lang w:val="es-ES"/>
        </w:rPr>
        <w:t xml:space="preserve"> </w:t>
      </w:r>
      <w:r w:rsidRPr="003716CA">
        <w:rPr>
          <w:rFonts w:ascii="Verdana" w:eastAsia="Verdana" w:hAnsi="Verdana" w:cs="Verdana"/>
          <w:spacing w:val="-2"/>
          <w:sz w:val="20"/>
          <w:szCs w:val="20"/>
          <w:lang w:val="es-ES"/>
        </w:rPr>
        <w:t>particular</w:t>
      </w:r>
      <w:r w:rsidRPr="003716CA">
        <w:rPr>
          <w:rFonts w:ascii="Verdana" w:eastAsia="Verdana" w:hAnsi="Verdana" w:cs="Verdana"/>
          <w:spacing w:val="-8"/>
          <w:sz w:val="20"/>
          <w:szCs w:val="20"/>
          <w:lang w:val="es-ES"/>
        </w:rPr>
        <w:t xml:space="preserve"> </w:t>
      </w:r>
      <w:r w:rsidRPr="003716CA">
        <w:rPr>
          <w:rFonts w:ascii="Verdana" w:eastAsia="Verdana" w:hAnsi="Verdana" w:cs="Verdana"/>
          <w:spacing w:val="-2"/>
          <w:sz w:val="20"/>
          <w:szCs w:val="20"/>
          <w:lang w:val="es-ES"/>
        </w:rPr>
        <w:t>es</w:t>
      </w:r>
      <w:r w:rsidRPr="003716CA">
        <w:rPr>
          <w:rFonts w:ascii="Verdana" w:eastAsia="Verdana" w:hAnsi="Verdana" w:cs="Verdana"/>
          <w:spacing w:val="-11"/>
          <w:sz w:val="20"/>
          <w:szCs w:val="20"/>
          <w:lang w:val="es-ES"/>
        </w:rPr>
        <w:t xml:space="preserve"> </w:t>
      </w:r>
      <w:r w:rsidRPr="003716CA">
        <w:rPr>
          <w:rFonts w:ascii="Verdana" w:eastAsia="Verdana" w:hAnsi="Verdana" w:cs="Verdana"/>
          <w:spacing w:val="-2"/>
          <w:sz w:val="20"/>
          <w:szCs w:val="20"/>
          <w:lang w:val="es-ES"/>
        </w:rPr>
        <w:t>preciso</w:t>
      </w:r>
      <w:r w:rsidRPr="003716CA">
        <w:rPr>
          <w:rFonts w:ascii="Verdana" w:eastAsia="Verdana" w:hAnsi="Verdana" w:cs="Verdana"/>
          <w:spacing w:val="-8"/>
          <w:sz w:val="20"/>
          <w:szCs w:val="20"/>
          <w:lang w:val="es-ES"/>
        </w:rPr>
        <w:t xml:space="preserve"> </w:t>
      </w:r>
      <w:r w:rsidRPr="003716CA">
        <w:rPr>
          <w:rFonts w:ascii="Verdana" w:eastAsia="Verdana" w:hAnsi="Verdana" w:cs="Verdana"/>
          <w:spacing w:val="-2"/>
          <w:sz w:val="20"/>
          <w:szCs w:val="20"/>
          <w:lang w:val="es-ES"/>
        </w:rPr>
        <w:t>destacar</w:t>
      </w:r>
      <w:r w:rsidRPr="003716CA">
        <w:rPr>
          <w:rFonts w:ascii="Verdana" w:eastAsia="Verdana" w:hAnsi="Verdana" w:cs="Verdana"/>
          <w:spacing w:val="-10"/>
          <w:sz w:val="20"/>
          <w:szCs w:val="20"/>
          <w:lang w:val="es-ES"/>
        </w:rPr>
        <w:t xml:space="preserve"> </w:t>
      </w:r>
      <w:r w:rsidRPr="003716CA">
        <w:rPr>
          <w:rFonts w:ascii="Verdana" w:eastAsia="Verdana" w:hAnsi="Verdana" w:cs="Verdana"/>
          <w:spacing w:val="-2"/>
          <w:sz w:val="20"/>
          <w:szCs w:val="20"/>
          <w:lang w:val="es-ES"/>
        </w:rPr>
        <w:t>que</w:t>
      </w:r>
      <w:r w:rsidRPr="003716CA">
        <w:rPr>
          <w:rFonts w:ascii="Verdana" w:eastAsia="Verdana" w:hAnsi="Verdana" w:cs="Verdana"/>
          <w:spacing w:val="-11"/>
          <w:sz w:val="20"/>
          <w:szCs w:val="20"/>
          <w:lang w:val="es-ES"/>
        </w:rPr>
        <w:t xml:space="preserve"> </w:t>
      </w:r>
      <w:r w:rsidRPr="003716CA">
        <w:rPr>
          <w:rFonts w:ascii="Verdana" w:eastAsia="Verdana" w:hAnsi="Verdana" w:cs="Verdana"/>
          <w:spacing w:val="-2"/>
          <w:sz w:val="20"/>
          <w:szCs w:val="20"/>
          <w:lang w:val="es-ES"/>
        </w:rPr>
        <w:t xml:space="preserve">las entidades de régimen especial </w:t>
      </w:r>
      <w:r w:rsidRPr="003716CA">
        <w:rPr>
          <w:rFonts w:ascii="Verdana" w:eastAsia="Verdana" w:hAnsi="Verdana" w:cs="Verdana"/>
          <w:sz w:val="20"/>
          <w:szCs w:val="20"/>
          <w:lang w:val="es-ES"/>
        </w:rPr>
        <w:t>tienen</w:t>
      </w:r>
      <w:r w:rsidRPr="003716CA">
        <w:rPr>
          <w:rFonts w:ascii="Verdana" w:eastAsia="Verdana" w:hAnsi="Verdana" w:cs="Verdana"/>
          <w:spacing w:val="-16"/>
          <w:sz w:val="20"/>
          <w:szCs w:val="20"/>
          <w:lang w:val="es-ES"/>
        </w:rPr>
        <w:t xml:space="preserve"> </w:t>
      </w:r>
      <w:r w:rsidRPr="003716CA">
        <w:rPr>
          <w:rFonts w:ascii="Verdana" w:eastAsia="Verdana" w:hAnsi="Verdana" w:cs="Verdana"/>
          <w:sz w:val="20"/>
          <w:szCs w:val="20"/>
          <w:lang w:val="es-ES"/>
        </w:rPr>
        <w:t>una</w:t>
      </w:r>
      <w:r w:rsidRPr="003716CA">
        <w:rPr>
          <w:rFonts w:ascii="Verdana" w:eastAsia="Verdana" w:hAnsi="Verdana" w:cs="Verdana"/>
          <w:spacing w:val="-17"/>
          <w:sz w:val="20"/>
          <w:szCs w:val="20"/>
          <w:lang w:val="es-ES"/>
        </w:rPr>
        <w:t xml:space="preserve"> </w:t>
      </w:r>
      <w:r w:rsidRPr="003716CA">
        <w:rPr>
          <w:rFonts w:ascii="Verdana" w:eastAsia="Verdana" w:hAnsi="Verdana" w:cs="Verdana"/>
          <w:sz w:val="20"/>
          <w:szCs w:val="20"/>
          <w:lang w:val="es-ES"/>
        </w:rPr>
        <w:t>amplia</w:t>
      </w:r>
      <w:r w:rsidRPr="003716CA">
        <w:rPr>
          <w:rFonts w:ascii="Verdana" w:eastAsia="Verdana" w:hAnsi="Verdana" w:cs="Verdana"/>
          <w:spacing w:val="-16"/>
          <w:sz w:val="20"/>
          <w:szCs w:val="20"/>
          <w:lang w:val="es-ES"/>
        </w:rPr>
        <w:t xml:space="preserve"> </w:t>
      </w:r>
      <w:r w:rsidRPr="003716CA">
        <w:rPr>
          <w:rFonts w:ascii="Verdana" w:eastAsia="Verdana" w:hAnsi="Verdana" w:cs="Verdana"/>
          <w:sz w:val="20"/>
          <w:szCs w:val="20"/>
          <w:lang w:val="es-ES"/>
        </w:rPr>
        <w:t>libertad</w:t>
      </w:r>
      <w:r w:rsidRPr="003716CA">
        <w:rPr>
          <w:rFonts w:ascii="Verdana" w:eastAsia="Calibri" w:hAnsi="Verdana" w:cs="Times New Roman"/>
          <w:sz w:val="20"/>
          <w:szCs w:val="20"/>
          <w:lang w:val="es-ES"/>
        </w:rPr>
        <w:t xml:space="preserve"> d</w:t>
      </w:r>
      <w:r w:rsidRPr="003716CA">
        <w:rPr>
          <w:rFonts w:ascii="Verdana" w:eastAsia="Verdana" w:hAnsi="Verdana" w:cs="Verdana"/>
          <w:sz w:val="20"/>
          <w:szCs w:val="20"/>
          <w:lang w:val="es-ES"/>
        </w:rPr>
        <w:t>e configuración del contenido del manual de contratación y el nivel de detalle, salvo aquellas materias que sean de reserva legal. Esta libertad se deriva del principio de autonomía de la voluntad reconocida a estas entidades, que les permite establecer la manera en que adelantarán sus procesos de contratación. Ahora bien, dicha libertad es similar a la reconocida a los particulares por el</w:t>
      </w:r>
      <w:r w:rsidRPr="003716CA">
        <w:rPr>
          <w:rFonts w:ascii="Verdana" w:eastAsia="Verdana" w:hAnsi="Verdana" w:cs="Verdana"/>
          <w:spacing w:val="-1"/>
          <w:sz w:val="20"/>
          <w:szCs w:val="20"/>
          <w:lang w:val="es-ES"/>
        </w:rPr>
        <w:t xml:space="preserve"> </w:t>
      </w:r>
      <w:r w:rsidRPr="003716CA">
        <w:rPr>
          <w:rFonts w:ascii="Verdana" w:eastAsia="Verdana" w:hAnsi="Verdana" w:cs="Verdana"/>
          <w:sz w:val="20"/>
          <w:szCs w:val="20"/>
          <w:lang w:val="es-ES"/>
        </w:rPr>
        <w:t>derecho privado, pero no</w:t>
      </w:r>
      <w:r w:rsidRPr="003716CA">
        <w:rPr>
          <w:rFonts w:ascii="Verdana" w:eastAsia="Verdana" w:hAnsi="Verdana" w:cs="Verdana"/>
          <w:spacing w:val="-1"/>
          <w:sz w:val="20"/>
          <w:szCs w:val="20"/>
          <w:lang w:val="es-ES"/>
        </w:rPr>
        <w:t xml:space="preserve"> </w:t>
      </w:r>
      <w:r w:rsidRPr="003716CA">
        <w:rPr>
          <w:rFonts w:ascii="Verdana" w:eastAsia="Verdana" w:hAnsi="Verdana" w:cs="Verdana"/>
          <w:sz w:val="20"/>
          <w:szCs w:val="20"/>
          <w:lang w:val="es-ES"/>
        </w:rPr>
        <w:t>es</w:t>
      </w:r>
      <w:r w:rsidRPr="003716CA">
        <w:rPr>
          <w:rFonts w:ascii="Verdana" w:eastAsia="Verdana" w:hAnsi="Verdana" w:cs="Verdana"/>
          <w:spacing w:val="-1"/>
          <w:sz w:val="20"/>
          <w:szCs w:val="20"/>
          <w:lang w:val="es-ES"/>
        </w:rPr>
        <w:t xml:space="preserve"> </w:t>
      </w:r>
      <w:r w:rsidRPr="003716CA">
        <w:rPr>
          <w:rFonts w:ascii="Verdana" w:eastAsia="Verdana" w:hAnsi="Verdana" w:cs="Verdana"/>
          <w:sz w:val="20"/>
          <w:szCs w:val="20"/>
          <w:lang w:val="es-ES"/>
        </w:rPr>
        <w:t>idéntica a</w:t>
      </w:r>
      <w:r w:rsidRPr="003716CA">
        <w:rPr>
          <w:rFonts w:ascii="Verdana" w:eastAsia="Verdana" w:hAnsi="Verdana" w:cs="Verdana"/>
          <w:spacing w:val="-1"/>
          <w:sz w:val="20"/>
          <w:szCs w:val="20"/>
          <w:lang w:val="es-ES"/>
        </w:rPr>
        <w:t xml:space="preserve"> </w:t>
      </w:r>
      <w:r w:rsidRPr="003716CA">
        <w:rPr>
          <w:rFonts w:ascii="Verdana" w:eastAsia="Verdana" w:hAnsi="Verdana" w:cs="Verdana"/>
          <w:sz w:val="20"/>
          <w:szCs w:val="20"/>
          <w:lang w:val="es-ES"/>
        </w:rPr>
        <w:t>aquella, en</w:t>
      </w:r>
      <w:r w:rsidRPr="003716CA">
        <w:rPr>
          <w:rFonts w:ascii="Verdana" w:eastAsia="Verdana" w:hAnsi="Verdana" w:cs="Verdana"/>
          <w:spacing w:val="-1"/>
          <w:sz w:val="20"/>
          <w:szCs w:val="20"/>
          <w:lang w:val="es-ES"/>
        </w:rPr>
        <w:t xml:space="preserve"> </w:t>
      </w:r>
      <w:r w:rsidRPr="003716CA">
        <w:rPr>
          <w:rFonts w:ascii="Verdana" w:eastAsia="Verdana" w:hAnsi="Verdana" w:cs="Verdana"/>
          <w:sz w:val="20"/>
          <w:szCs w:val="20"/>
          <w:lang w:val="es-ES"/>
        </w:rPr>
        <w:t>la</w:t>
      </w:r>
      <w:r w:rsidRPr="003716CA">
        <w:rPr>
          <w:rFonts w:ascii="Verdana" w:eastAsia="Verdana" w:hAnsi="Verdana" w:cs="Verdana"/>
          <w:spacing w:val="-1"/>
          <w:sz w:val="20"/>
          <w:szCs w:val="20"/>
          <w:lang w:val="es-ES"/>
        </w:rPr>
        <w:t xml:space="preserve"> </w:t>
      </w:r>
      <w:r w:rsidRPr="003716CA">
        <w:rPr>
          <w:rFonts w:ascii="Verdana" w:eastAsia="Verdana" w:hAnsi="Verdana" w:cs="Verdana"/>
          <w:sz w:val="20"/>
          <w:szCs w:val="20"/>
          <w:lang w:val="es-ES"/>
        </w:rPr>
        <w:t>medida en que encuentra importantes limitantes, ya sea por contenidos que son derivados de la reserva legal o por exigencia del cumplimiento de deberes y reglas establecidos por el ordenamiento jurídico.</w:t>
      </w:r>
      <w:r w:rsidRPr="003716CA">
        <w:rPr>
          <w:rFonts w:ascii="Verdana" w:eastAsia="Calibri" w:hAnsi="Verdana" w:cs="Times New Roman"/>
          <w:sz w:val="20"/>
          <w:szCs w:val="20"/>
          <w:lang w:val="es-ES"/>
        </w:rPr>
        <w:t xml:space="preserve"> </w:t>
      </w:r>
    </w:p>
    <w:p w14:paraId="2CBD184B" w14:textId="77777777" w:rsidR="003716CA" w:rsidRPr="003716CA" w:rsidRDefault="003716CA" w:rsidP="00057F73">
      <w:pPr>
        <w:spacing w:after="0" w:line="240" w:lineRule="auto"/>
        <w:jc w:val="both"/>
        <w:rPr>
          <w:rFonts w:ascii="Verdana" w:eastAsia="Calibri" w:hAnsi="Verdana" w:cs="Arial"/>
          <w:b/>
          <w:bCs/>
          <w:lang w:val="es-ES" w:eastAsia="es-ES"/>
        </w:rPr>
      </w:pPr>
    </w:p>
    <w:p w14:paraId="18EB1AD2" w14:textId="5F0F48B8" w:rsidR="00057F73" w:rsidRPr="00057F73" w:rsidRDefault="00057F73" w:rsidP="00057F73">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PRINCIPIOS DE LA FUNCIÓN ADMINISTRATIVA – Aplicación </w:t>
      </w:r>
    </w:p>
    <w:p w14:paraId="2BBBA48D" w14:textId="77777777" w:rsidR="003716CA" w:rsidRDefault="003716CA" w:rsidP="003716CA">
      <w:pPr>
        <w:spacing w:after="0" w:line="240" w:lineRule="auto"/>
        <w:jc w:val="both"/>
        <w:rPr>
          <w:rFonts w:ascii="Verdana" w:eastAsia="Verdana" w:hAnsi="Verdana" w:cs="Verdana"/>
          <w:sz w:val="20"/>
          <w:lang w:val="es-ES"/>
        </w:rPr>
      </w:pPr>
    </w:p>
    <w:p w14:paraId="1B689BF7" w14:textId="7B7DFF64" w:rsidR="003716CA" w:rsidRPr="009223AD" w:rsidRDefault="003716CA" w:rsidP="003716CA">
      <w:pPr>
        <w:spacing w:after="0" w:line="240" w:lineRule="auto"/>
        <w:jc w:val="both"/>
        <w:rPr>
          <w:rFonts w:ascii="Verdana" w:eastAsia="Verdana" w:hAnsi="Verdana" w:cs="Verdana"/>
          <w:sz w:val="20"/>
        </w:rPr>
      </w:pPr>
      <w:r w:rsidRPr="009223AD">
        <w:rPr>
          <w:rFonts w:ascii="Verdana" w:eastAsia="Verdana" w:hAnsi="Verdana" w:cs="Verdana"/>
          <w:sz w:val="20"/>
          <w:lang w:val="es-ES"/>
        </w:rPr>
        <w:t xml:space="preserve">En esta perspectiva, se destaca que los principios de la función administrativa </w:t>
      </w:r>
      <w:r w:rsidRPr="009223AD">
        <w:rPr>
          <w:rFonts w:ascii="Verdana" w:eastAsia="Verdana" w:hAnsi="Verdana" w:cs="Verdana"/>
          <w:sz w:val="20"/>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w:t>
      </w:r>
      <w:proofErr w:type="gramStart"/>
      <w:r w:rsidRPr="009223AD">
        <w:rPr>
          <w:rFonts w:ascii="Verdana" w:eastAsia="Verdana" w:hAnsi="Verdana" w:cs="Verdana"/>
          <w:sz w:val="20"/>
        </w:rPr>
        <w:t>especial,</w:t>
      </w:r>
      <w:proofErr w:type="gramEnd"/>
      <w:r w:rsidRPr="009223AD">
        <w:rPr>
          <w:rFonts w:ascii="Verdana" w:eastAsia="Verdana" w:hAnsi="Verdana" w:cs="Verdana"/>
          <w:sz w:val="20"/>
        </w:rPr>
        <w:t xml:space="preserve"> pueden escoger entre una variedad de alternativas para el cumplimiento de estos, por lo que no implica que deban sujetarse a la forma cómo es aplicado en el EGCAP. </w:t>
      </w:r>
    </w:p>
    <w:p w14:paraId="1734206F" w14:textId="77777777" w:rsidR="003716CA" w:rsidRDefault="003716CA" w:rsidP="003716CA">
      <w:pPr>
        <w:spacing w:after="0" w:line="240" w:lineRule="auto"/>
        <w:jc w:val="both"/>
        <w:rPr>
          <w:rFonts w:ascii="Verdana" w:eastAsia="Verdana" w:hAnsi="Verdana" w:cs="Verdana"/>
          <w:bCs/>
          <w:sz w:val="20"/>
        </w:rPr>
      </w:pPr>
    </w:p>
    <w:p w14:paraId="096242DC" w14:textId="77777777" w:rsidR="003716CA" w:rsidRDefault="003716CA" w:rsidP="00057F73">
      <w:pPr>
        <w:spacing w:after="0" w:line="240" w:lineRule="auto"/>
        <w:jc w:val="both"/>
        <w:rPr>
          <w:rFonts w:ascii="Verdana" w:eastAsia="Verdana" w:hAnsi="Verdana" w:cs="Verdana"/>
          <w:sz w:val="20"/>
          <w:lang w:val="es-ES"/>
        </w:rPr>
      </w:pPr>
      <w:r w:rsidRPr="009223AD">
        <w:rPr>
          <w:rFonts w:ascii="Verdana" w:eastAsia="Verdana" w:hAnsi="Verdana" w:cs="Verdana"/>
          <w:sz w:val="20"/>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conforme al sector,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6BA6ECB0" w14:textId="77777777" w:rsidR="003716CA" w:rsidRDefault="003716CA" w:rsidP="00057F73">
      <w:pPr>
        <w:spacing w:after="0" w:line="240" w:lineRule="auto"/>
        <w:jc w:val="both"/>
        <w:rPr>
          <w:rFonts w:ascii="Verdana" w:eastAsia="Verdana" w:hAnsi="Verdana" w:cs="Verdana"/>
          <w:sz w:val="20"/>
          <w:lang w:val="es-ES"/>
        </w:rPr>
      </w:pPr>
    </w:p>
    <w:p w14:paraId="4A84D855" w14:textId="19ABB762" w:rsidR="00057F73" w:rsidRDefault="00057F73" w:rsidP="00057F73">
      <w:pPr>
        <w:spacing w:after="0" w:line="240" w:lineRule="auto"/>
        <w:jc w:val="both"/>
        <w:rPr>
          <w:rFonts w:ascii="Verdana" w:eastAsia="Calibri" w:hAnsi="Verdana" w:cs="Arial"/>
          <w:b/>
          <w:bCs/>
          <w:lang w:eastAsia="es-ES"/>
        </w:rPr>
      </w:pPr>
      <w:r w:rsidRPr="00057F73">
        <w:rPr>
          <w:rFonts w:ascii="Verdana" w:eastAsia="Calibri" w:hAnsi="Verdana" w:cs="Arial"/>
          <w:b/>
          <w:bCs/>
          <w:lang w:eastAsia="es-ES"/>
        </w:rPr>
        <w:t xml:space="preserve">LEY DE GARANTÍAS ELECTORALES – Aplicación </w:t>
      </w:r>
    </w:p>
    <w:p w14:paraId="54154EF7" w14:textId="77777777" w:rsidR="003716CA" w:rsidRDefault="003716CA" w:rsidP="003716CA">
      <w:pPr>
        <w:widowControl w:val="0"/>
        <w:autoSpaceDE w:val="0"/>
        <w:autoSpaceDN w:val="0"/>
        <w:spacing w:after="0" w:line="240" w:lineRule="auto"/>
        <w:jc w:val="both"/>
        <w:rPr>
          <w:rFonts w:ascii="Verdana" w:hAnsi="Verdana"/>
          <w:sz w:val="20"/>
          <w:szCs w:val="20"/>
        </w:rPr>
      </w:pPr>
    </w:p>
    <w:p w14:paraId="52B16DE6"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r w:rsidRPr="003716CA">
        <w:rPr>
          <w:rFonts w:ascii="Verdana" w:hAnsi="Verdana"/>
          <w:sz w:val="20"/>
          <w:szCs w:val="20"/>
        </w:rPr>
        <w:t xml:space="preserve">En este contexto, debe precisarse que, para los efectos de dicha ley y, en particular, de la prohibición o limitación temporal consagrada en su artículo 33, la noción de “contratación directa” comprende </w:t>
      </w:r>
      <w:r w:rsidRPr="003716CA">
        <w:rPr>
          <w:rFonts w:ascii="Verdana" w:hAnsi="Verdana"/>
          <w:bCs/>
          <w:sz w:val="20"/>
          <w:szCs w:val="20"/>
        </w:rPr>
        <w:t>todo mecanismo de selección o procedimiento contractual</w:t>
      </w:r>
      <w:r w:rsidRPr="003716CA">
        <w:rPr>
          <w:rFonts w:ascii="Verdana" w:hAnsi="Verdana"/>
          <w:sz w:val="20"/>
          <w:szCs w:val="20"/>
        </w:rPr>
        <w:t xml:space="preserve"> empleado por las entidades estatales, con independencia del régimen jurídico que las rija siempre que dicho mecanismo no contemple la realización de una convocatoria pública en ninguna de sus etapas ni permita la concurrencia de una pluralidad de oferentes</w:t>
      </w:r>
      <w:r w:rsidRPr="003716CA">
        <w:rPr>
          <w:rFonts w:ascii="Verdana" w:eastAsia="Times New Roman" w:hAnsi="Verdana" w:cs="Arial"/>
          <w:sz w:val="20"/>
          <w:szCs w:val="20"/>
          <w:vertAlign w:val="superscript"/>
          <w:lang w:eastAsia="x-none"/>
        </w:rPr>
        <w:footnoteReference w:id="1"/>
      </w:r>
      <w:r w:rsidRPr="003716CA">
        <w:rPr>
          <w:rFonts w:ascii="Verdana" w:eastAsia="Times New Roman" w:hAnsi="Verdana" w:cs="Arial"/>
          <w:bCs/>
          <w:sz w:val="20"/>
          <w:szCs w:val="20"/>
          <w:lang w:val="es-MX" w:eastAsia="x-none"/>
        </w:rPr>
        <w:t xml:space="preserve">. </w:t>
      </w:r>
      <w:r w:rsidRPr="003716CA">
        <w:rPr>
          <w:rFonts w:ascii="Verdana" w:eastAsia="Times New Roman" w:hAnsi="Verdana" w:cs="Arial"/>
          <w:bCs/>
          <w:sz w:val="20"/>
          <w:szCs w:val="20"/>
          <w:lang w:eastAsia="x-none"/>
        </w:rPr>
        <w:t>De lo anterior se concluye que la restricción prevista en el artículo 33 de la Ley de Garantías Electorales es aplicable a todas las entidades estatales, sin distinción del régimen jurídico que las gobierne, y sin perjuicio de las excepciones expresamente consagradas en la misma norma. En consecuencia, dicha limitación opera frente a la celebración de cualquier contrato mediante la modalidad de contratación directa, ya sea bajo el marco de la Ley 80 de 1993 o de regímenes especiales como los previstos en las Leyes 142 y 143 de 1994, entre otros, siempre que no exista un procedimiento de selección abierto, público y competitivo que garantice la participación de una pluralidad de oferentes.</w:t>
      </w:r>
    </w:p>
    <w:p w14:paraId="41B7B83B"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p>
    <w:p w14:paraId="19CDBD06"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r w:rsidRPr="003716CA">
        <w:rPr>
          <w:rFonts w:ascii="Verdana" w:eastAsia="Calibri" w:hAnsi="Verdana" w:cs="Times New Roman"/>
          <w:bCs/>
          <w:iCs/>
          <w:sz w:val="20"/>
          <w:szCs w:val="20"/>
          <w:lang w:val="es-MX"/>
        </w:rPr>
        <w:t xml:space="preserve">En ese contexto,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20C1B778"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p>
    <w:p w14:paraId="0FFD87B0"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r w:rsidRPr="003716CA">
        <w:rPr>
          <w:rFonts w:ascii="Verdana" w:eastAsia="Calibri" w:hAnsi="Verdana" w:cs="Times New Roman"/>
          <w:bCs/>
          <w:iCs/>
          <w:sz w:val="20"/>
          <w:szCs w:val="20"/>
          <w:lang w:val="es-MX"/>
        </w:rPr>
        <w:t xml:space="preserve">Así mismo, es importante resaltar que, </w:t>
      </w:r>
      <w:r w:rsidRPr="003716CA">
        <w:rPr>
          <w:rFonts w:ascii="Verdana" w:eastAsia="Times New Roman" w:hAnsi="Verdana" w:cs="Segoe UI"/>
          <w:sz w:val="20"/>
          <w:szCs w:val="20"/>
          <w:lang w:eastAsia="es-ES_tradnl"/>
        </w:rPr>
        <w:t>de acuerdo con la interpretación de la Sala de Consulta y Servicio Civil del Consejo de Estado, la Ley de Garantías Electorales sí resulta aplicable a las empresas de servicios públicos domiciliarios, incluso cuando estas se rigen por el derecho privado, en lo relativo a la restricción de la contratación directa. No obstante, dicha aplicación no es absoluta ni puede conducir a la paralización de la prestación de los servicios públicos. Por el contrario, debe armonizarse con la naturaleza esencial de estos servicios y con los derechos de los usuarios.</w:t>
      </w:r>
    </w:p>
    <w:p w14:paraId="3C4FF259"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p>
    <w:p w14:paraId="4EA7E6E3"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r w:rsidRPr="003716CA">
        <w:rPr>
          <w:rFonts w:ascii="Verdana" w:eastAsia="Times New Roman" w:hAnsi="Verdana" w:cs="Segoe UI"/>
          <w:sz w:val="20"/>
          <w:szCs w:val="20"/>
          <w:lang w:eastAsia="es-ES_tradnl"/>
        </w:rPr>
        <w:t>En consecuencia, mientras que las empresas deben sujetarse a las restricciones de contratación en aquellos casos en que actúan como adquirentes de bienes o servicios, estas limitaciones ceden cuando su aplicación compromete la continuidad, eficiencia y universalidad en la prestación del servicio público. Así, resulta jurídicamente viable acudir a la contratación directa de manera excepcional cuando sea indispensable para evitar la interrupción de servicios esenciales, en atención a razones de orden público, salubridad y protección de derechos fundamentales.</w:t>
      </w:r>
    </w:p>
    <w:p w14:paraId="41E8502C" w14:textId="77777777" w:rsid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p>
    <w:p w14:paraId="757F8C30" w14:textId="1A517453" w:rsidR="003716CA" w:rsidRPr="003716CA" w:rsidRDefault="003716CA" w:rsidP="003716CA">
      <w:pPr>
        <w:widowControl w:val="0"/>
        <w:autoSpaceDE w:val="0"/>
        <w:autoSpaceDN w:val="0"/>
        <w:spacing w:after="0" w:line="240" w:lineRule="auto"/>
        <w:jc w:val="both"/>
        <w:rPr>
          <w:rFonts w:ascii="Verdana" w:eastAsia="Verdana" w:hAnsi="Verdana" w:cs="Verdana"/>
          <w:sz w:val="20"/>
          <w:szCs w:val="20"/>
          <w:lang w:val="es-ES"/>
        </w:rPr>
      </w:pPr>
      <w:r w:rsidRPr="003716CA">
        <w:rPr>
          <w:rFonts w:ascii="Verdana" w:eastAsia="Times New Roman" w:hAnsi="Verdana" w:cs="Segoe UI"/>
          <w:sz w:val="20"/>
          <w:szCs w:val="20"/>
          <w:lang w:eastAsia="es-ES_tradnl"/>
        </w:rPr>
        <w:t>De este modo, la aplicación de la Ley de Garantías en este ámbito exige una interpretación sistemática y finalista, que permita garantizar tanto la transparencia en la gestión contractual como la adecuada y continua prestación de los servicios públicos domiciliarios.</w:t>
      </w:r>
    </w:p>
    <w:p w14:paraId="451EC362" w14:textId="77777777" w:rsidR="003716CA" w:rsidRDefault="003716CA" w:rsidP="00057F73">
      <w:pPr>
        <w:spacing w:after="0" w:line="240" w:lineRule="auto"/>
        <w:jc w:val="both"/>
        <w:rPr>
          <w:rFonts w:ascii="Verdana" w:eastAsia="Calibri" w:hAnsi="Verdana" w:cs="Arial"/>
          <w:b/>
          <w:bCs/>
          <w:lang w:eastAsia="es-ES"/>
        </w:rPr>
      </w:pPr>
    </w:p>
    <w:p w14:paraId="4E36FFBE" w14:textId="77777777" w:rsidR="003716CA" w:rsidRDefault="003716CA" w:rsidP="00057F73">
      <w:pPr>
        <w:spacing w:after="0" w:line="240" w:lineRule="auto"/>
        <w:jc w:val="both"/>
        <w:rPr>
          <w:rFonts w:ascii="Verdana" w:eastAsia="Calibri" w:hAnsi="Verdana" w:cs="Arial"/>
          <w:b/>
          <w:bCs/>
          <w:lang w:eastAsia="es-ES"/>
        </w:rPr>
      </w:pPr>
    </w:p>
    <w:p w14:paraId="5EAE7DE3" w14:textId="77777777" w:rsidR="003716CA" w:rsidRPr="003716CA" w:rsidRDefault="003716CA" w:rsidP="00057F73">
      <w:pPr>
        <w:spacing w:after="0" w:line="240" w:lineRule="auto"/>
        <w:jc w:val="both"/>
        <w:rPr>
          <w:rFonts w:ascii="Verdana" w:eastAsia="Verdana" w:hAnsi="Verdana" w:cs="Verdana"/>
          <w:sz w:val="20"/>
          <w:lang w:val="es-ES"/>
        </w:rPr>
      </w:pPr>
    </w:p>
    <w:p w14:paraId="0B5B29B4" w14:textId="77777777" w:rsidR="00057F73" w:rsidRDefault="00057F73" w:rsidP="00DD12AD">
      <w:pPr>
        <w:spacing w:after="0" w:line="240" w:lineRule="auto"/>
        <w:rPr>
          <w:rFonts w:ascii="Verdana" w:eastAsia="Verdana" w:hAnsi="Verdana" w:cs="Verdana"/>
        </w:rPr>
      </w:pPr>
    </w:p>
    <w:p w14:paraId="225C5755" w14:textId="77777777" w:rsidR="003716CA" w:rsidRDefault="003716CA" w:rsidP="00DD12AD">
      <w:pPr>
        <w:spacing w:after="0" w:line="240" w:lineRule="auto"/>
        <w:rPr>
          <w:rFonts w:ascii="Verdana" w:eastAsia="Verdana" w:hAnsi="Verdana" w:cs="Verdana"/>
        </w:rPr>
      </w:pPr>
    </w:p>
    <w:p w14:paraId="4390CED2" w14:textId="77777777" w:rsidR="003716CA" w:rsidRDefault="003716CA" w:rsidP="00DD12AD">
      <w:pPr>
        <w:spacing w:after="0" w:line="240" w:lineRule="auto"/>
        <w:rPr>
          <w:rFonts w:ascii="Verdana" w:eastAsia="Verdana" w:hAnsi="Verdana" w:cs="Verdana"/>
        </w:rPr>
      </w:pPr>
    </w:p>
    <w:p w14:paraId="34087835" w14:textId="77777777" w:rsidR="003716CA" w:rsidRDefault="003716CA" w:rsidP="00DD12AD">
      <w:pPr>
        <w:spacing w:after="0" w:line="240" w:lineRule="auto"/>
        <w:rPr>
          <w:rFonts w:ascii="Verdana" w:eastAsia="Verdana" w:hAnsi="Verdana" w:cs="Verdana"/>
        </w:rPr>
      </w:pPr>
    </w:p>
    <w:p w14:paraId="27976894" w14:textId="77777777" w:rsidR="003716CA" w:rsidRDefault="003716CA" w:rsidP="00DD12AD">
      <w:pPr>
        <w:spacing w:after="0" w:line="240" w:lineRule="auto"/>
        <w:rPr>
          <w:rFonts w:ascii="Verdana" w:eastAsia="Verdana" w:hAnsi="Verdana" w:cs="Verdana"/>
        </w:rPr>
      </w:pPr>
    </w:p>
    <w:p w14:paraId="1CE6FDA2" w14:textId="77777777" w:rsidR="003716CA" w:rsidRDefault="003716CA" w:rsidP="00DD12AD">
      <w:pPr>
        <w:spacing w:after="0" w:line="240" w:lineRule="auto"/>
        <w:rPr>
          <w:rFonts w:ascii="Verdana" w:eastAsia="Verdana" w:hAnsi="Verdana" w:cs="Verdana"/>
        </w:rPr>
      </w:pPr>
    </w:p>
    <w:p w14:paraId="745F0171" w14:textId="77777777" w:rsidR="003716CA" w:rsidRDefault="003716CA" w:rsidP="00DD12AD">
      <w:pPr>
        <w:spacing w:after="0" w:line="240" w:lineRule="auto"/>
        <w:rPr>
          <w:rFonts w:ascii="Verdana" w:eastAsia="Verdana" w:hAnsi="Verdana" w:cs="Verdana"/>
        </w:rPr>
      </w:pPr>
    </w:p>
    <w:p w14:paraId="23A35AF4" w14:textId="77777777" w:rsidR="003716CA" w:rsidRDefault="003716CA" w:rsidP="00DD12AD">
      <w:pPr>
        <w:spacing w:after="0" w:line="240" w:lineRule="auto"/>
        <w:rPr>
          <w:rFonts w:ascii="Verdana" w:eastAsia="Verdana" w:hAnsi="Verdana" w:cs="Verdana"/>
        </w:rPr>
      </w:pPr>
    </w:p>
    <w:p w14:paraId="2D816618" w14:textId="77777777" w:rsidR="00057F73" w:rsidRDefault="00057F73" w:rsidP="00DD12AD">
      <w:pPr>
        <w:spacing w:after="0" w:line="240" w:lineRule="auto"/>
        <w:rPr>
          <w:rFonts w:ascii="Verdana" w:eastAsia="Verdana" w:hAnsi="Verdana" w:cs="Verdana"/>
        </w:rPr>
      </w:pPr>
    </w:p>
    <w:p w14:paraId="423E9478" w14:textId="435BA2CD" w:rsidR="00057F73" w:rsidRDefault="00503275" w:rsidP="00DD12AD">
      <w:pPr>
        <w:spacing w:after="0" w:line="240" w:lineRule="auto"/>
        <w:rPr>
          <w:rFonts w:ascii="Verdana" w:eastAsia="Verdana" w:hAnsi="Verdana" w:cs="Verdana"/>
        </w:rPr>
      </w:pPr>
      <w:r w:rsidRPr="009E5C6E">
        <w:rPr>
          <w:rFonts w:ascii="Verdana" w:eastAsia="Verdana" w:hAnsi="Verdana" w:cs="Verdana"/>
        </w:rPr>
        <w:t>Bogotá D.C</w:t>
      </w:r>
      <w:r w:rsidR="00057F73">
        <w:rPr>
          <w:rFonts w:ascii="Verdana" w:eastAsia="Verdana" w:hAnsi="Verdana" w:cs="Verdana"/>
        </w:rPr>
        <w:t xml:space="preserve">, 01 Julio 2026 </w:t>
      </w:r>
    </w:p>
    <w:p w14:paraId="28472C2D" w14:textId="14D05E8D" w:rsidR="00057F73" w:rsidRDefault="00057F73" w:rsidP="00057F73">
      <w:pPr>
        <w:spacing w:after="0" w:line="240" w:lineRule="auto"/>
        <w:jc w:val="right"/>
        <w:rPr>
          <w:rFonts w:ascii="Verdana" w:eastAsia="Verdana" w:hAnsi="Verdana" w:cs="Verdana"/>
        </w:rPr>
      </w:pPr>
      <w:r w:rsidRPr="00057F73">
        <w:rPr>
          <w:rFonts w:ascii="Verdana" w:hAnsi="Verdana"/>
          <w:noProof/>
        </w:rPr>
        <w:drawing>
          <wp:inline distT="0" distB="0" distL="0" distR="0" wp14:anchorId="18C816F3" wp14:editId="6C209CFB">
            <wp:extent cx="1781780" cy="401320"/>
            <wp:effectExtent l="0" t="0" r="9525" b="0"/>
            <wp:docPr id="9529469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946966" name=""/>
                    <pic:cNvPicPr/>
                  </pic:nvPicPr>
                  <pic:blipFill>
                    <a:blip r:embed="rId10"/>
                    <a:stretch>
                      <a:fillRect/>
                    </a:stretch>
                  </pic:blipFill>
                  <pic:spPr>
                    <a:xfrm>
                      <a:off x="0" y="0"/>
                      <a:ext cx="1817335" cy="409328"/>
                    </a:xfrm>
                    <a:prstGeom prst="rect">
                      <a:avLst/>
                    </a:prstGeom>
                  </pic:spPr>
                </pic:pic>
              </a:graphicData>
            </a:graphic>
          </wp:inline>
        </w:drawing>
      </w:r>
    </w:p>
    <w:p w14:paraId="186352C5" w14:textId="3E0FD708" w:rsidR="00503275" w:rsidRPr="00434C57" w:rsidRDefault="00503275" w:rsidP="00057F73">
      <w:pPr>
        <w:spacing w:after="0" w:line="240" w:lineRule="auto"/>
        <w:jc w:val="right"/>
        <w:rPr>
          <w:rFonts w:ascii="Verdana" w:hAnsi="Verdana"/>
        </w:rPr>
      </w:pPr>
      <w:r w:rsidRPr="00434C57">
        <w:rPr>
          <w:rFonts w:ascii="Verdana" w:hAnsi="Verdana"/>
        </w:rPr>
        <w:br/>
      </w:r>
      <w:bookmarkEnd w:id="0"/>
      <w:r w:rsidRPr="00434C57">
        <w:rPr>
          <w:rFonts w:ascii="Verdana" w:hAnsi="Verdana"/>
        </w:rPr>
        <w:tab/>
      </w:r>
    </w:p>
    <w:p w14:paraId="356B0418" w14:textId="77777777" w:rsidR="00503275" w:rsidRPr="00F439B2" w:rsidRDefault="00503275">
      <w:pPr>
        <w:spacing w:after="0" w:line="240" w:lineRule="auto"/>
        <w:jc w:val="both"/>
        <w:rPr>
          <w:rFonts w:ascii="Verdana" w:eastAsia="Calibri" w:hAnsi="Verdana" w:cs="Arial"/>
          <w:b/>
          <w:bCs/>
          <w:lang w:eastAsia="es-ES"/>
        </w:rPr>
      </w:pPr>
      <w:bookmarkStart w:id="1" w:name="_Hlk214366482"/>
      <w:r w:rsidRPr="00F439B2">
        <w:rPr>
          <w:rFonts w:ascii="Verdana" w:eastAsia="Calibri" w:hAnsi="Verdana" w:cs="Arial"/>
          <w:b/>
          <w:bCs/>
          <w:lang w:eastAsia="es-ES"/>
        </w:rPr>
        <w:t>Señor</w:t>
      </w:r>
    </w:p>
    <w:p w14:paraId="6588CCDB" w14:textId="77777777" w:rsidR="00503275" w:rsidRPr="00F439B2" w:rsidRDefault="00503275">
      <w:pPr>
        <w:spacing w:after="0" w:line="240" w:lineRule="auto"/>
        <w:jc w:val="both"/>
        <w:rPr>
          <w:rFonts w:ascii="Verdana" w:eastAsia="Calibri" w:hAnsi="Verdana" w:cs="Arial"/>
          <w:b/>
          <w:bCs/>
          <w:lang w:eastAsia="es-ES"/>
        </w:rPr>
      </w:pPr>
      <w:r w:rsidRPr="00F439B2">
        <w:rPr>
          <w:rFonts w:ascii="Verdana" w:eastAsia="Calibri" w:hAnsi="Verdana" w:cs="Arial"/>
          <w:b/>
          <w:bCs/>
          <w:lang w:eastAsia="es-ES"/>
        </w:rPr>
        <w:t xml:space="preserve">Jesús David Orozco Arteta </w:t>
      </w:r>
    </w:p>
    <w:p w14:paraId="4C27D9FB" w14:textId="77777777" w:rsidR="00503275" w:rsidRPr="00F439B2" w:rsidRDefault="00503275">
      <w:pPr>
        <w:spacing w:after="0" w:line="240" w:lineRule="auto"/>
        <w:jc w:val="both"/>
        <w:rPr>
          <w:rFonts w:ascii="Verdana" w:hAnsi="Verdana"/>
          <w:b/>
          <w:bCs/>
        </w:rPr>
      </w:pPr>
      <w:hyperlink r:id="rId11" w:history="1">
        <w:r w:rsidRPr="00F439B2">
          <w:rPr>
            <w:rStyle w:val="Hipervnculo"/>
            <w:rFonts w:ascii="Verdana" w:hAnsi="Verdana"/>
            <w:b/>
            <w:bCs/>
          </w:rPr>
          <w:t>jesusdavidorozcoartet@gmail.com</w:t>
        </w:r>
      </w:hyperlink>
    </w:p>
    <w:p w14:paraId="2FE245A8" w14:textId="77777777" w:rsidR="00503275" w:rsidRPr="00F439B2" w:rsidRDefault="00503275">
      <w:pPr>
        <w:spacing w:after="0" w:line="240" w:lineRule="auto"/>
        <w:jc w:val="both"/>
        <w:rPr>
          <w:rFonts w:ascii="Verdana" w:hAnsi="Verdana"/>
        </w:rPr>
      </w:pPr>
      <w:r w:rsidRPr="00F439B2">
        <w:rPr>
          <w:rFonts w:ascii="Verdana" w:hAnsi="Verdana"/>
        </w:rPr>
        <w:t xml:space="preserve">Barranquilla – Atlántico </w:t>
      </w:r>
    </w:p>
    <w:p w14:paraId="1696FED9" w14:textId="77777777" w:rsidR="00503275" w:rsidRPr="00F439B2" w:rsidRDefault="00503275">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03275" w:rsidRPr="00F439B2" w14:paraId="09D08784" w14:textId="77777777" w:rsidTr="00CE5BA6">
        <w:trPr>
          <w:trHeight w:val="162"/>
        </w:trPr>
        <w:tc>
          <w:tcPr>
            <w:tcW w:w="3119" w:type="dxa"/>
          </w:tcPr>
          <w:p w14:paraId="39BB82E1" w14:textId="77777777" w:rsidR="00503275" w:rsidRPr="00F439B2" w:rsidRDefault="00503275">
            <w:pPr>
              <w:jc w:val="both"/>
              <w:rPr>
                <w:rFonts w:ascii="Verdana" w:eastAsia="Calibri" w:hAnsi="Verdana" w:cs="Arial"/>
                <w:b/>
                <w:bCs/>
                <w:color w:val="7030A0"/>
                <w:lang w:eastAsia="es-ES_tradnl"/>
              </w:rPr>
            </w:pPr>
          </w:p>
        </w:tc>
        <w:tc>
          <w:tcPr>
            <w:tcW w:w="5670" w:type="dxa"/>
          </w:tcPr>
          <w:p w14:paraId="6998C67B" w14:textId="77777777" w:rsidR="00503275" w:rsidRPr="00F439B2" w:rsidRDefault="00503275">
            <w:pPr>
              <w:jc w:val="both"/>
              <w:rPr>
                <w:rFonts w:ascii="Verdana" w:eastAsia="Calibri" w:hAnsi="Verdana" w:cs="Arial"/>
                <w:b/>
                <w:bCs/>
                <w:lang w:eastAsia="es-ES"/>
              </w:rPr>
            </w:pPr>
            <w:r w:rsidRPr="00F439B2">
              <w:rPr>
                <w:rFonts w:ascii="Verdana" w:eastAsia="Calibri" w:hAnsi="Verdana" w:cs="Arial"/>
                <w:b/>
                <w:bCs/>
                <w:lang w:eastAsia="es-ES"/>
              </w:rPr>
              <w:t>Concepto C-838 de 2026</w:t>
            </w:r>
          </w:p>
          <w:p w14:paraId="2503473C" w14:textId="77777777" w:rsidR="00503275" w:rsidRPr="00F439B2" w:rsidRDefault="00503275">
            <w:pPr>
              <w:jc w:val="both"/>
              <w:rPr>
                <w:rFonts w:ascii="Verdana" w:eastAsia="Calibri" w:hAnsi="Verdana" w:cs="Arial"/>
                <w:b/>
                <w:bCs/>
                <w:color w:val="7030A0"/>
                <w:lang w:eastAsia="es-ES"/>
              </w:rPr>
            </w:pPr>
          </w:p>
        </w:tc>
      </w:tr>
      <w:tr w:rsidR="00503275" w:rsidRPr="00F439B2" w14:paraId="0CBF5763" w14:textId="77777777" w:rsidTr="00CE5BA6">
        <w:trPr>
          <w:trHeight w:val="884"/>
        </w:trPr>
        <w:tc>
          <w:tcPr>
            <w:tcW w:w="3119" w:type="dxa"/>
          </w:tcPr>
          <w:p w14:paraId="1FEB87B4" w14:textId="77777777" w:rsidR="00503275" w:rsidRPr="00F439B2" w:rsidRDefault="00503275">
            <w:pPr>
              <w:jc w:val="both"/>
              <w:rPr>
                <w:rFonts w:ascii="Verdana" w:eastAsia="Calibri" w:hAnsi="Verdana" w:cs="Arial"/>
                <w:color w:val="000000"/>
                <w:lang w:eastAsia="es-ES_tradnl"/>
              </w:rPr>
            </w:pPr>
            <w:r w:rsidRPr="00F439B2">
              <w:rPr>
                <w:rFonts w:ascii="Verdana" w:eastAsia="Calibri" w:hAnsi="Verdana" w:cs="Arial"/>
                <w:b/>
                <w:color w:val="000000"/>
                <w:lang w:eastAsia="es-ES_tradnl"/>
              </w:rPr>
              <w:t>Temas:</w:t>
            </w:r>
            <w:r w:rsidRPr="00F439B2">
              <w:rPr>
                <w:rFonts w:ascii="Verdana" w:eastAsia="Calibri" w:hAnsi="Verdana" w:cs="Arial"/>
                <w:color w:val="000000"/>
                <w:lang w:eastAsia="es-ES_tradnl"/>
              </w:rPr>
              <w:t xml:space="preserve">                   </w:t>
            </w:r>
          </w:p>
        </w:tc>
        <w:tc>
          <w:tcPr>
            <w:tcW w:w="5670" w:type="dxa"/>
          </w:tcPr>
          <w:p w14:paraId="5527FD4B" w14:textId="77777777" w:rsidR="00503275" w:rsidRDefault="00503275" w:rsidP="00F439B2">
            <w:pPr>
              <w:jc w:val="both"/>
              <w:rPr>
                <w:rFonts w:ascii="Verdana" w:eastAsia="Calibri" w:hAnsi="Verdana" w:cs="Arial"/>
                <w:lang w:eastAsia="es-ES"/>
              </w:rPr>
            </w:pPr>
            <w:r w:rsidRPr="00F439B2">
              <w:rPr>
                <w:rFonts w:ascii="Verdana" w:eastAsia="Calibri" w:hAnsi="Verdana" w:cs="Arial"/>
                <w:lang w:eastAsia="es-ES"/>
              </w:rPr>
              <w:t xml:space="preserve">LEY DE GARANTÍAS ELECTORALES ‒ Finalidad / LEY DE GARANTÍAS ELECTORALES ‒ Tipos de restricciones ‒ Ámbito temporal – celebración- límite / LEY DE GARANTÍAS ELECTORALES – Prohibición artículo 33 – Contratación directa – Alcance / LEY DE GARANTÍAS ELECTORALES – Prohibición del artículo 33 – Destinatarios / LEY DE GARANTÍAS ELECTORALES – Excepciones / LEY DE GARANTÍAS ELECTORALES – Excepciones – Posturas de la Sala de Consulta y Servicio del Consejo de Estado / RÉGIMEN EXCEPCIONAL – Justificación – Criterios de clasificación / EMPRESAS DE SERVICIOS PÚBLICOS – Naturaleza – régimen especial / EMPRESAS DE SERVICIOS PÚBLICOS – Mixtas – Privadas con participación estatal – Entidades descentralizadas por servicios – Sentencia C-736 de 2007 / EMPRESAS PRIVADAS DE SERVICIOS PÚBLICOS – Capital – 100% privadas – Naturaleza / EMPRESAS DE SERVICIOS PÚBLICOS– Aplicación - Artículo 13 de la Ley 1150 de 2007 / EMPRESAS DE SERVICIOS PÚBLICAS – Guía para la gestión contractual de las entidades estatales con régimen especial – Alcance / MANUALES DE CONTRATACIÓN – Alcance – Límites – Obligatoriedad / PRINCIPIOS DE LA FUNCIÓN ADMINISTRATIVA – Aplicación / LEY DE GARANTÍAS ELECTORALES – Aplicación </w:t>
            </w:r>
          </w:p>
          <w:p w14:paraId="29C1D970" w14:textId="1A5F4D5F" w:rsidR="00F439B2" w:rsidRPr="00F439B2" w:rsidRDefault="00F439B2" w:rsidP="00DD12AD">
            <w:pPr>
              <w:jc w:val="both"/>
              <w:rPr>
                <w:rFonts w:ascii="Verdana" w:eastAsia="Calibri" w:hAnsi="Verdana" w:cs="Arial"/>
                <w:lang w:eastAsia="es-ES"/>
              </w:rPr>
            </w:pPr>
          </w:p>
        </w:tc>
      </w:tr>
      <w:tr w:rsidR="00503275" w:rsidRPr="00F439B2" w14:paraId="7CAEA23F" w14:textId="77777777" w:rsidTr="00CE5BA6">
        <w:tc>
          <w:tcPr>
            <w:tcW w:w="3119" w:type="dxa"/>
          </w:tcPr>
          <w:p w14:paraId="23881F33" w14:textId="77777777" w:rsidR="00503275" w:rsidRPr="00F439B2" w:rsidRDefault="00503275">
            <w:pPr>
              <w:jc w:val="both"/>
              <w:rPr>
                <w:rFonts w:ascii="Verdana" w:eastAsia="Calibri" w:hAnsi="Verdana" w:cs="Arial"/>
                <w:b/>
                <w:lang w:eastAsia="es-ES_tradnl"/>
              </w:rPr>
            </w:pPr>
            <w:r w:rsidRPr="00F439B2">
              <w:rPr>
                <w:rFonts w:ascii="Verdana" w:eastAsia="Calibri" w:hAnsi="Verdana" w:cs="Arial"/>
                <w:b/>
                <w:lang w:eastAsia="es-ES_tradnl"/>
              </w:rPr>
              <w:t>Radicación:</w:t>
            </w:r>
            <w:r w:rsidRPr="00F439B2">
              <w:rPr>
                <w:rFonts w:ascii="Verdana" w:eastAsia="Calibri" w:hAnsi="Verdana" w:cs="Arial"/>
                <w:lang w:eastAsia="es-ES_tradnl"/>
              </w:rPr>
              <w:t xml:space="preserve">               </w:t>
            </w:r>
          </w:p>
        </w:tc>
        <w:tc>
          <w:tcPr>
            <w:tcW w:w="5670" w:type="dxa"/>
          </w:tcPr>
          <w:p w14:paraId="38219DC7" w14:textId="77777777" w:rsidR="00503275" w:rsidRPr="00F439B2" w:rsidRDefault="00503275">
            <w:pPr>
              <w:jc w:val="both"/>
              <w:rPr>
                <w:rFonts w:ascii="Verdana" w:eastAsia="Calibri" w:hAnsi="Verdana" w:cs="Arial"/>
                <w:lang w:eastAsia="es-ES"/>
              </w:rPr>
            </w:pPr>
            <w:r w:rsidRPr="00F439B2">
              <w:rPr>
                <w:rFonts w:ascii="Verdana" w:eastAsia="Calibri" w:hAnsi="Verdana" w:cs="Arial"/>
                <w:lang w:eastAsia="es-ES"/>
              </w:rPr>
              <w:t>Respuesta a consulta con radicado 1_2026_05_20_006797 y 1_2026_05_21_006839 (acumuladas)</w:t>
            </w:r>
          </w:p>
        </w:tc>
      </w:tr>
    </w:tbl>
    <w:p w14:paraId="52934B9D" w14:textId="485032EA" w:rsidR="00503275" w:rsidRDefault="00503275" w:rsidP="00F439B2">
      <w:pPr>
        <w:spacing w:after="0" w:line="240" w:lineRule="auto"/>
        <w:jc w:val="both"/>
        <w:rPr>
          <w:rFonts w:ascii="Verdana" w:eastAsia="Calibri" w:hAnsi="Verdana" w:cs="Arial"/>
          <w:lang w:eastAsia="es-ES_tradnl"/>
        </w:rPr>
      </w:pPr>
    </w:p>
    <w:p w14:paraId="77C8A245" w14:textId="58303E1B" w:rsidR="00503275" w:rsidRPr="00F439B2" w:rsidRDefault="00503275">
      <w:pPr>
        <w:spacing w:after="0" w:line="276" w:lineRule="auto"/>
        <w:jc w:val="both"/>
        <w:rPr>
          <w:rFonts w:ascii="Verdana" w:eastAsia="Calibri" w:hAnsi="Verdana" w:cs="Arial"/>
          <w:lang w:eastAsia="es-ES"/>
        </w:rPr>
      </w:pPr>
      <w:r w:rsidRPr="00F439B2">
        <w:rPr>
          <w:rFonts w:ascii="Verdana" w:eastAsia="Calibri" w:hAnsi="Verdana" w:cs="Arial"/>
          <w:lang w:eastAsia="es-ES"/>
        </w:rPr>
        <w:t>Estimad</w:t>
      </w:r>
      <w:r w:rsidR="00023F9D" w:rsidRPr="00F439B2">
        <w:rPr>
          <w:rFonts w:ascii="Verdana" w:eastAsia="Calibri" w:hAnsi="Verdana" w:cs="Arial"/>
          <w:lang w:eastAsia="es-ES"/>
        </w:rPr>
        <w:t>o señor Orozco:</w:t>
      </w:r>
    </w:p>
    <w:p w14:paraId="670621E8" w14:textId="77777777" w:rsidR="00503275" w:rsidRPr="00F439B2" w:rsidRDefault="00503275" w:rsidP="00DD12AD">
      <w:pPr>
        <w:spacing w:after="0" w:line="276" w:lineRule="auto"/>
        <w:jc w:val="both"/>
        <w:rPr>
          <w:rFonts w:ascii="Verdana" w:hAnsi="Verdana"/>
          <w:lang w:val="es-MX"/>
        </w:rPr>
      </w:pPr>
    </w:p>
    <w:p w14:paraId="714FB066" w14:textId="70335178" w:rsidR="00503275" w:rsidRDefault="00503275" w:rsidP="009E5C6E">
      <w:pPr>
        <w:spacing w:after="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N° 469 del 2025 expedida por esta Agencia, responde </w:t>
      </w:r>
      <w:r>
        <w:rPr>
          <w:rFonts w:ascii="Verdana" w:hAnsi="Verdana"/>
        </w:rPr>
        <w:t xml:space="preserve">sus </w:t>
      </w:r>
      <w:r w:rsidRPr="0084712D">
        <w:rPr>
          <w:rFonts w:ascii="Verdana" w:hAnsi="Verdana"/>
        </w:rPr>
        <w:t>solicitud</w:t>
      </w:r>
      <w:r>
        <w:rPr>
          <w:rFonts w:ascii="Verdana" w:hAnsi="Verdana"/>
        </w:rPr>
        <w:t>es</w:t>
      </w:r>
      <w:r w:rsidRPr="0084712D">
        <w:rPr>
          <w:rFonts w:ascii="Verdana" w:hAnsi="Verdana"/>
        </w:rPr>
        <w:t xml:space="preserve"> de consulta</w:t>
      </w:r>
      <w:r>
        <w:rPr>
          <w:rFonts w:ascii="Verdana" w:hAnsi="Verdana"/>
        </w:rPr>
        <w:t xml:space="preserve"> del 20 y 21 de mayo de 2026</w:t>
      </w:r>
      <w:r w:rsidRPr="0084712D">
        <w:rPr>
          <w:rFonts w:ascii="Verdana" w:hAnsi="Verdana"/>
        </w:rPr>
        <w:t>, en la</w:t>
      </w:r>
      <w:r>
        <w:rPr>
          <w:rFonts w:ascii="Verdana" w:hAnsi="Verdana"/>
        </w:rPr>
        <w:t>s</w:t>
      </w:r>
      <w:r w:rsidRPr="0084712D">
        <w:rPr>
          <w:rFonts w:ascii="Verdana" w:hAnsi="Verdana"/>
        </w:rPr>
        <w:t xml:space="preserve"> cual</w:t>
      </w:r>
      <w:r>
        <w:rPr>
          <w:rFonts w:ascii="Verdana" w:hAnsi="Verdana"/>
        </w:rPr>
        <w:t>es</w:t>
      </w:r>
      <w:r w:rsidRPr="0084712D">
        <w:rPr>
          <w:rFonts w:ascii="Verdana" w:hAnsi="Verdana"/>
        </w:rPr>
        <w:t xml:space="preserve"> manifiesta lo siguiente:</w:t>
      </w:r>
    </w:p>
    <w:p w14:paraId="7BC96EF0" w14:textId="77777777" w:rsidR="009E5C6E" w:rsidRPr="0084712D" w:rsidRDefault="009E5C6E" w:rsidP="00DD12AD">
      <w:pPr>
        <w:spacing w:after="0" w:line="276" w:lineRule="auto"/>
        <w:jc w:val="both"/>
        <w:rPr>
          <w:rFonts w:ascii="Verdana" w:hAnsi="Verdana"/>
        </w:rPr>
      </w:pPr>
    </w:p>
    <w:p w14:paraId="192F2135" w14:textId="77777777" w:rsidR="00503275" w:rsidRDefault="00503275" w:rsidP="00DD12AD">
      <w:pPr>
        <w:spacing w:after="0" w:line="276" w:lineRule="auto"/>
        <w:jc w:val="both"/>
        <w:rPr>
          <w:rFonts w:ascii="Verdana" w:hAnsi="Verdana"/>
        </w:rPr>
      </w:pPr>
      <w:r w:rsidRPr="00E02524">
        <w:rPr>
          <w:rFonts w:ascii="Verdana" w:hAnsi="Verdana"/>
        </w:rPr>
        <w:t xml:space="preserve">PETICIÓN REALIZADA </w:t>
      </w:r>
    </w:p>
    <w:p w14:paraId="381B3C07" w14:textId="77777777" w:rsidR="009E5C6E" w:rsidRDefault="009E5C6E" w:rsidP="00503275">
      <w:pPr>
        <w:spacing w:after="0" w:line="240" w:lineRule="auto"/>
        <w:ind w:left="851" w:right="758"/>
        <w:jc w:val="both"/>
        <w:rPr>
          <w:rFonts w:ascii="Verdana" w:hAnsi="Verdana"/>
          <w:sz w:val="20"/>
          <w:szCs w:val="20"/>
        </w:rPr>
      </w:pPr>
    </w:p>
    <w:p w14:paraId="4019B450" w14:textId="080DF422" w:rsidR="00503275" w:rsidRDefault="009E5C6E" w:rsidP="00DD12AD">
      <w:pPr>
        <w:spacing w:after="0" w:line="240" w:lineRule="auto"/>
        <w:ind w:left="709" w:right="709"/>
        <w:jc w:val="both"/>
        <w:rPr>
          <w:rFonts w:ascii="Verdana" w:hAnsi="Verdana"/>
          <w:sz w:val="20"/>
          <w:szCs w:val="20"/>
        </w:rPr>
      </w:pPr>
      <w:r>
        <w:rPr>
          <w:rFonts w:ascii="Verdana" w:hAnsi="Verdana"/>
          <w:sz w:val="20"/>
          <w:szCs w:val="20"/>
        </w:rPr>
        <w:t>“</w:t>
      </w:r>
      <w:r w:rsidR="00503275" w:rsidRPr="007E7A2E">
        <w:rPr>
          <w:rFonts w:ascii="Verdana" w:hAnsi="Verdana"/>
          <w:sz w:val="20"/>
          <w:szCs w:val="20"/>
        </w:rPr>
        <w:t xml:space="preserve">Una de empresa de servicios públicos mixtas que su régimen de contratación es el derecho privado, y dentro de su objeto social principal comprende la generación y comercialización de energía eléctrica, requiere, con la finalidad de la continuidad, eficiencia y suficiencia en la prestación del servicio público a su cargo, así como su sostenibilidad financiera y competitiva, vender energía eléctrica a una empresa que genera, comercializa y distribuye energía eléctrica en el periodo de ley de garantías que contempla la ley 996 de 2005, por tanto, se plantea la siguiente consulta: </w:t>
      </w:r>
    </w:p>
    <w:p w14:paraId="35273489" w14:textId="77777777" w:rsidR="00503275" w:rsidRDefault="00503275" w:rsidP="00DD12AD">
      <w:pPr>
        <w:spacing w:after="0" w:line="240" w:lineRule="auto"/>
        <w:ind w:left="709" w:right="709"/>
        <w:jc w:val="both"/>
        <w:rPr>
          <w:rFonts w:ascii="Verdana" w:hAnsi="Verdana"/>
          <w:sz w:val="20"/>
          <w:szCs w:val="20"/>
        </w:rPr>
      </w:pPr>
    </w:p>
    <w:p w14:paraId="3C172C95" w14:textId="77777777" w:rsidR="00503275" w:rsidRDefault="00503275" w:rsidP="00DD12AD">
      <w:pPr>
        <w:spacing w:after="0" w:line="240" w:lineRule="auto"/>
        <w:ind w:left="709" w:right="709"/>
        <w:jc w:val="both"/>
        <w:rPr>
          <w:rFonts w:ascii="Verdana" w:hAnsi="Verdana"/>
          <w:sz w:val="20"/>
          <w:szCs w:val="20"/>
        </w:rPr>
      </w:pPr>
      <w:r w:rsidRPr="007E7A2E">
        <w:rPr>
          <w:rFonts w:ascii="Verdana" w:hAnsi="Verdana"/>
          <w:sz w:val="20"/>
          <w:szCs w:val="20"/>
        </w:rPr>
        <w:t xml:space="preserve">1. ¿La celebración de contratos de venta de energía eléctrica por parte de una ESP mixta generadora a favor de una empresa generadora, comercializadora y distribuidora, orientada a garantizar sus ingresos, sostenibilidad financiera y competitividad, se enmarca dentro de las operaciones del giro ordinario de sus negocios y, por ende, queda excluida de las restricciones de contratación directa de la Ley 996 de 2005? </w:t>
      </w:r>
    </w:p>
    <w:p w14:paraId="60162E89" w14:textId="77777777" w:rsidR="00503275" w:rsidRDefault="00503275" w:rsidP="00DD12AD">
      <w:pPr>
        <w:spacing w:after="0" w:line="240" w:lineRule="auto"/>
        <w:ind w:left="709" w:right="709"/>
        <w:jc w:val="both"/>
        <w:rPr>
          <w:rFonts w:ascii="Verdana" w:hAnsi="Verdana"/>
          <w:sz w:val="20"/>
          <w:szCs w:val="20"/>
        </w:rPr>
      </w:pPr>
    </w:p>
    <w:p w14:paraId="4E0438E0" w14:textId="77777777" w:rsidR="00503275" w:rsidRDefault="00503275" w:rsidP="00DD12AD">
      <w:pPr>
        <w:spacing w:after="0" w:line="240" w:lineRule="auto"/>
        <w:ind w:left="709" w:right="709"/>
        <w:jc w:val="both"/>
        <w:rPr>
          <w:rFonts w:ascii="Verdana" w:hAnsi="Verdana"/>
          <w:sz w:val="20"/>
          <w:szCs w:val="20"/>
        </w:rPr>
      </w:pPr>
      <w:r w:rsidRPr="007E7A2E">
        <w:rPr>
          <w:rFonts w:ascii="Verdana" w:hAnsi="Verdana"/>
          <w:sz w:val="20"/>
          <w:szCs w:val="20"/>
        </w:rPr>
        <w:t xml:space="preserve">2. Teniendo en cuenta que, en un contrato de venta de energía, la ESP mixta actúa como proveedora/vendedora (es decir, recibe ingresos de un tercero y no ejecuta presupuesto estatal ni realiza erogaciones públicas para adquirir bienes o servicios), ¿configura este tipo de negocio jurídico una vulneración a la finalidad de la Ley 996 de 2005, o se encuentra fuera del ámbito de aplicación de su prohibición? </w:t>
      </w:r>
    </w:p>
    <w:p w14:paraId="1306D3ED" w14:textId="77777777" w:rsidR="00503275" w:rsidRDefault="00503275" w:rsidP="00DD12AD">
      <w:pPr>
        <w:spacing w:after="0" w:line="240" w:lineRule="auto"/>
        <w:ind w:left="709" w:right="709"/>
        <w:jc w:val="both"/>
        <w:rPr>
          <w:rFonts w:ascii="Verdana" w:hAnsi="Verdana"/>
          <w:sz w:val="20"/>
          <w:szCs w:val="20"/>
        </w:rPr>
      </w:pPr>
    </w:p>
    <w:p w14:paraId="07FCE9D1" w14:textId="77777777" w:rsidR="00503275" w:rsidRPr="00D5132D" w:rsidRDefault="00503275" w:rsidP="00DD12AD">
      <w:pPr>
        <w:spacing w:after="0" w:line="240" w:lineRule="auto"/>
        <w:ind w:left="709" w:right="709"/>
        <w:jc w:val="both"/>
        <w:rPr>
          <w:rFonts w:ascii="Verdana" w:hAnsi="Verdana"/>
          <w:sz w:val="20"/>
          <w:szCs w:val="20"/>
        </w:rPr>
      </w:pPr>
      <w:r w:rsidRPr="007E7A2E">
        <w:rPr>
          <w:rFonts w:ascii="Verdana" w:hAnsi="Verdana"/>
          <w:sz w:val="20"/>
          <w:szCs w:val="20"/>
        </w:rPr>
        <w:t>3. Por último, en el eventual caso que la empresa que requiera comprar la energía eléctrica sea para destinarla para la comercialización y distribución de una región</w:t>
      </w:r>
      <w:r>
        <w:rPr>
          <w:rFonts w:ascii="Verdana" w:hAnsi="Verdana"/>
          <w:sz w:val="20"/>
          <w:szCs w:val="20"/>
        </w:rPr>
        <w:t xml:space="preserve"> </w:t>
      </w:r>
      <w:r w:rsidRPr="007E7A2E">
        <w:rPr>
          <w:rFonts w:ascii="Verdana" w:hAnsi="Verdana"/>
          <w:sz w:val="20"/>
          <w:szCs w:val="20"/>
        </w:rPr>
        <w:t xml:space="preserve">y permita que los usuarios gocen del derecho fundamental a los servicios públicos domiciliarios, existe alguna restricción, ¿a pesar de que la no venta de dicha energía pueda causar una afectación general? </w:t>
      </w:r>
      <w:r w:rsidRPr="00D5132D">
        <w:rPr>
          <w:rFonts w:ascii="Verdana" w:hAnsi="Verdana"/>
          <w:sz w:val="20"/>
          <w:szCs w:val="20"/>
        </w:rPr>
        <w:t>(…)”.</w:t>
      </w:r>
    </w:p>
    <w:p w14:paraId="0CA2ABAE" w14:textId="77777777" w:rsidR="00503275" w:rsidRPr="00647D77" w:rsidRDefault="00503275" w:rsidP="00503275">
      <w:pPr>
        <w:spacing w:after="0" w:line="240" w:lineRule="auto"/>
        <w:ind w:right="709"/>
        <w:jc w:val="both"/>
        <w:rPr>
          <w:rFonts w:ascii="Verdana" w:hAnsi="Verdana"/>
        </w:rPr>
      </w:pPr>
    </w:p>
    <w:p w14:paraId="57A0E0E4" w14:textId="77777777" w:rsidR="00503275" w:rsidRPr="00F64722" w:rsidRDefault="00503275" w:rsidP="00503275">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1E06AE3" w14:textId="1A5B7EF7" w:rsidR="00503275" w:rsidRDefault="00503275" w:rsidP="0059165C">
      <w:pPr>
        <w:spacing w:after="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w:t>
      </w:r>
      <w:r w:rsidRPr="00A954E9">
        <w:rPr>
          <w:rFonts w:ascii="Verdana" w:eastAsia="Calibri" w:hAnsi="Verdana" w:cs="Arial"/>
          <w:color w:val="000000"/>
          <w:lang w:eastAsia="es-ES"/>
        </w:rPr>
        <w:t xml:space="preserve">pero </w:t>
      </w:r>
      <w:r w:rsidRPr="00B2657F">
        <w:rPr>
          <w:rFonts w:ascii="Verdana" w:eastAsia="Calibri" w:hAnsi="Verdana" w:cs="Arial"/>
          <w:color w:val="000000"/>
          <w:lang w:eastAsia="es-ES"/>
        </w:rPr>
        <w:t>señalando algunas consideraciones sobre las normas generales relacionadas al problema jurídico de su consulta.</w:t>
      </w:r>
      <w:r w:rsidRPr="00B2657F">
        <w:rPr>
          <w:rFonts w:ascii="Verdana" w:eastAsia="Calibri" w:hAnsi="Verdana" w:cs="Arial"/>
          <w:lang w:eastAsia="es-ES"/>
        </w:rPr>
        <w:t xml:space="preserve"> </w:t>
      </w:r>
    </w:p>
    <w:p w14:paraId="43228F90" w14:textId="77777777" w:rsidR="0059165C" w:rsidRPr="00B2657F" w:rsidRDefault="0059165C" w:rsidP="00DD12AD">
      <w:pPr>
        <w:spacing w:after="0" w:line="276" w:lineRule="auto"/>
        <w:ind w:firstLine="709"/>
        <w:jc w:val="both"/>
        <w:rPr>
          <w:rFonts w:ascii="Verdana" w:eastAsia="Calibri" w:hAnsi="Verdana" w:cs="Arial"/>
          <w:lang w:eastAsia="es-ES"/>
        </w:rPr>
      </w:pPr>
    </w:p>
    <w:p w14:paraId="29715B10" w14:textId="77777777" w:rsidR="00503275" w:rsidRPr="00B2657F" w:rsidRDefault="00503275" w:rsidP="00DD12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57F">
        <w:rPr>
          <w:rFonts w:ascii="Verdana" w:eastAsia="Century Gothic" w:hAnsi="Verdana" w:cs="Century Gothic"/>
          <w:b/>
          <w:bCs/>
        </w:rPr>
        <w:t>Problema planteado:</w:t>
      </w:r>
    </w:p>
    <w:p w14:paraId="7CBF2B0F" w14:textId="77777777" w:rsidR="00503275" w:rsidRPr="00B2657F" w:rsidRDefault="00503275">
      <w:pPr>
        <w:spacing w:after="0" w:line="240" w:lineRule="auto"/>
        <w:jc w:val="both"/>
        <w:rPr>
          <w:rFonts w:ascii="Verdana" w:eastAsia="Calibri" w:hAnsi="Verdana" w:cs="Arial"/>
          <w:color w:val="000000"/>
          <w:lang w:eastAsia="es-ES"/>
        </w:rPr>
      </w:pPr>
    </w:p>
    <w:p w14:paraId="4CE3CBC5" w14:textId="386048F3" w:rsidR="00503275" w:rsidRPr="00A721FE" w:rsidRDefault="00503275" w:rsidP="00DD12AD">
      <w:pPr>
        <w:spacing w:after="0" w:line="276" w:lineRule="auto"/>
        <w:jc w:val="both"/>
        <w:rPr>
          <w:rFonts w:ascii="Verdana" w:eastAsia="Century Gothic" w:hAnsi="Verdana" w:cs="Century Gothic"/>
        </w:rPr>
      </w:pPr>
      <w:r w:rsidRPr="00B2657F">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w:t>
      </w:r>
      <w:r w:rsidRPr="00B2657F">
        <w:rPr>
          <w:rFonts w:ascii="Verdana" w:eastAsia="Calibri" w:hAnsi="Verdana" w:cs="Arial"/>
          <w:color w:val="000000"/>
          <w:lang w:eastAsia="es-ES"/>
        </w:rPr>
        <w:t>l siguiente problema jurídico: ¿</w:t>
      </w:r>
      <w:r w:rsidR="0059165C">
        <w:rPr>
          <w:rFonts w:ascii="Verdana" w:eastAsia="Calibri" w:hAnsi="Verdana" w:cs="Arial"/>
          <w:color w:val="000000"/>
          <w:lang w:eastAsia="es-ES"/>
        </w:rPr>
        <w:t>A l</w:t>
      </w:r>
      <w:r w:rsidRPr="00B2657F">
        <w:rPr>
          <w:rFonts w:ascii="Verdana" w:eastAsia="Calibri" w:hAnsi="Verdana" w:cs="Arial"/>
          <w:color w:val="000000"/>
          <w:lang w:eastAsia="es-ES"/>
        </w:rPr>
        <w:t>a celebración de contratos de venta de energía eléctrica por parte de una empresa de servicios domiciliarios mixta generadora de energía le son aplicables las restricciones contenidas en la Ley</w:t>
      </w:r>
      <w:r>
        <w:rPr>
          <w:rFonts w:ascii="Verdana" w:eastAsia="Calibri" w:hAnsi="Verdana" w:cs="Arial"/>
          <w:color w:val="000000"/>
          <w:lang w:eastAsia="es-ES"/>
        </w:rPr>
        <w:t xml:space="preserve"> 996 de 2005?  </w:t>
      </w:r>
    </w:p>
    <w:p w14:paraId="5A0D1F01" w14:textId="77777777" w:rsidR="00503275" w:rsidRDefault="00503275">
      <w:pPr>
        <w:spacing w:after="0" w:line="240" w:lineRule="auto"/>
        <w:jc w:val="both"/>
        <w:rPr>
          <w:rFonts w:ascii="Verdana" w:eastAsia="Century Gothic" w:hAnsi="Verdana" w:cs="Century Gothic"/>
          <w:b/>
          <w:bCs/>
        </w:rPr>
      </w:pPr>
    </w:p>
    <w:p w14:paraId="446B4C6B" w14:textId="77777777" w:rsidR="00503275" w:rsidRPr="00C97CA6" w:rsidRDefault="00503275">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635F83A7" w14:textId="77777777" w:rsidR="00503275" w:rsidRPr="005644FE" w:rsidRDefault="00503275">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03275" w:rsidRPr="00120A72" w14:paraId="19E1668D" w14:textId="77777777" w:rsidTr="00CE5BA6">
        <w:tc>
          <w:tcPr>
            <w:tcW w:w="8828" w:type="dxa"/>
          </w:tcPr>
          <w:p w14:paraId="624A9540" w14:textId="77777777" w:rsidR="00503275" w:rsidRPr="00120A72" w:rsidRDefault="00503275" w:rsidP="00CE5BA6">
            <w:pPr>
              <w:spacing w:after="120" w:line="276" w:lineRule="auto"/>
              <w:jc w:val="both"/>
              <w:rPr>
                <w:rFonts w:ascii="Verdana" w:eastAsia="Arial" w:hAnsi="Verdana" w:cs="Arial"/>
                <w:lang w:val="es-ES" w:eastAsia="es-ES" w:bidi="es-ES"/>
              </w:rPr>
            </w:pPr>
            <w:r w:rsidRPr="00120A72">
              <w:rPr>
                <w:rFonts w:ascii="Verdana" w:eastAsia="Times New Roman" w:hAnsi="Verdana" w:cs="Arial"/>
                <w:lang w:val="es-MX" w:eastAsia="es-CO"/>
              </w:rPr>
              <w:t xml:space="preserve">La Ley 996 de 2005, conocida como “Ley de Garantías Electorales”, </w:t>
            </w:r>
            <w:r w:rsidRPr="00120A72">
              <w:rPr>
                <w:rFonts w:ascii="Verdana" w:eastAsia="Arial" w:hAnsi="Verdana" w:cs="Arial"/>
                <w:lang w:val="es-ES" w:eastAsia="es-ES" w:bidi="es-ES"/>
              </w:rPr>
              <w:t>establece diferenciadas: las presidenciales y las demás que se adelanten para la elección de los demás cargos de elección popular, tanto a nivel nacional como territorial.</w:t>
            </w:r>
          </w:p>
          <w:p w14:paraId="624CB48E" w14:textId="77777777" w:rsidR="00503275" w:rsidRPr="00120A72" w:rsidRDefault="00503275" w:rsidP="00CE5BA6">
            <w:pPr>
              <w:spacing w:after="120" w:line="276" w:lineRule="auto"/>
              <w:ind w:firstLine="709"/>
              <w:jc w:val="both"/>
              <w:rPr>
                <w:rFonts w:ascii="Verdana" w:eastAsia="Arial" w:hAnsi="Verdana" w:cs="Arial"/>
                <w:lang w:val="es-ES" w:eastAsia="es-ES" w:bidi="es-ES"/>
              </w:rPr>
            </w:pPr>
            <w:r w:rsidRPr="00120A72">
              <w:rPr>
                <w:rFonts w:ascii="Verdana" w:eastAsia="Calibri" w:hAnsi="Verdana" w:cs="Arial"/>
              </w:rPr>
              <w:t xml:space="preserve">Por un lado, el </w:t>
            </w:r>
            <w:r w:rsidRPr="00120A72">
              <w:rPr>
                <w:rFonts w:ascii="Verdana" w:eastAsia="Calibri" w:hAnsi="Verdana" w:cs="Arial"/>
                <w:i/>
                <w:iCs/>
              </w:rPr>
              <w:t>artículo 33 de la Ley 996 de 2005</w:t>
            </w:r>
            <w:r w:rsidRPr="00120A72">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3B7928A" w14:textId="77777777" w:rsidR="00503275" w:rsidRPr="00120A72" w:rsidRDefault="00503275" w:rsidP="00CE5BA6">
            <w:pPr>
              <w:widowControl w:val="0"/>
              <w:autoSpaceDE w:val="0"/>
              <w:autoSpaceDN w:val="0"/>
              <w:spacing w:after="120" w:line="276" w:lineRule="auto"/>
              <w:ind w:right="113" w:firstLine="709"/>
              <w:jc w:val="both"/>
              <w:rPr>
                <w:rFonts w:ascii="Verdana" w:eastAsia="Arial" w:hAnsi="Verdana" w:cs="Arial"/>
                <w:lang w:val="es-ES" w:eastAsia="es-ES" w:bidi="es-ES"/>
              </w:rPr>
            </w:pPr>
            <w:r w:rsidRPr="00120A72">
              <w:rPr>
                <w:rFonts w:ascii="Verdana" w:eastAsia="Calibri" w:hAnsi="Verdana" w:cs="Arial"/>
              </w:rPr>
              <w:t xml:space="preserve">Por otro lado, </w:t>
            </w:r>
            <w:r w:rsidRPr="00120A72">
              <w:rPr>
                <w:rFonts w:ascii="Verdana" w:eastAsia="Calibri" w:hAnsi="Verdana" w:cs="Arial"/>
                <w:i/>
                <w:iCs/>
              </w:rPr>
              <w:t>el parágrafo del artículo 38 de la Ley 996 de 2005</w:t>
            </w:r>
            <w:r w:rsidRPr="00120A72">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120A72">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20A72">
              <w:rPr>
                <w:rFonts w:ascii="Verdana" w:eastAsia="Calibri" w:hAnsi="Verdana" w:cs="Arial"/>
              </w:rPr>
              <w:t>”</w:t>
            </w:r>
            <w:r w:rsidRPr="00120A72">
              <w:rPr>
                <w:rFonts w:ascii="Verdana" w:eastAsia="Calibri" w:hAnsi="Verdana" w:cs="Arial"/>
                <w:lang w:val="es-MX"/>
              </w:rPr>
              <w:t>.</w:t>
            </w:r>
            <w:r w:rsidRPr="00120A72">
              <w:rPr>
                <w:rFonts w:ascii="Verdana" w:eastAsia="Arial" w:hAnsi="Verdana" w:cs="Arial"/>
                <w:lang w:val="es-ES" w:eastAsia="es-ES" w:bidi="es-ES"/>
              </w:rPr>
              <w:t xml:space="preserve"> </w:t>
            </w:r>
          </w:p>
          <w:p w14:paraId="780C8F90" w14:textId="77D03537" w:rsidR="00985DB4" w:rsidRDefault="00503275">
            <w:pPr>
              <w:widowControl w:val="0"/>
              <w:autoSpaceDE w:val="0"/>
              <w:autoSpaceDN w:val="0"/>
              <w:spacing w:after="120" w:line="276" w:lineRule="auto"/>
              <w:ind w:right="113" w:firstLine="709"/>
              <w:jc w:val="both"/>
              <w:rPr>
                <w:rFonts w:ascii="Verdana" w:eastAsia="Times New Roman" w:hAnsi="Verdana" w:cs="Arial"/>
                <w:vertAlign w:val="superscript"/>
                <w:lang w:eastAsia="x-none"/>
              </w:rPr>
            </w:pPr>
            <w:r w:rsidRPr="00120A72">
              <w:rPr>
                <w:rFonts w:ascii="Verdana" w:eastAsia="Times New Roman" w:hAnsi="Verdana" w:cs="Arial"/>
                <w:bCs/>
                <w:lang w:eastAsia="x-none"/>
              </w:rPr>
              <w:t xml:space="preserve">El ámbito material de la prohibición contenida en el artículo 33 de la ley 996 de 2005 está delimitado por la expresión </w:t>
            </w:r>
            <w:r w:rsidRPr="00DD12AD">
              <w:rPr>
                <w:rFonts w:ascii="Verdana" w:eastAsia="Calibri" w:hAnsi="Verdana" w:cs="Arial"/>
                <w:bCs/>
              </w:rPr>
              <w:t>“</w:t>
            </w:r>
            <w:r w:rsidRPr="00120A72">
              <w:rPr>
                <w:rFonts w:ascii="Verdana" w:eastAsia="Times New Roman" w:hAnsi="Verdana" w:cs="Arial"/>
                <w:bCs/>
                <w:lang w:eastAsia="x-none"/>
              </w:rPr>
              <w:t>queda prohibida la contratación directa</w:t>
            </w:r>
            <w:r w:rsidRPr="00DD12AD">
              <w:rPr>
                <w:rFonts w:ascii="Verdana" w:eastAsia="Calibri" w:hAnsi="Verdana" w:cs="Arial"/>
              </w:rPr>
              <w:t xml:space="preserve">” esto es, </w:t>
            </w:r>
            <w:r w:rsidRPr="00120A72">
              <w:rPr>
                <w:rFonts w:ascii="Verdana" w:eastAsia="Times New Roman" w:hAnsi="Verdana" w:cs="Arial"/>
                <w:lang w:eastAsia="x-none"/>
              </w:rPr>
              <w:t xml:space="preserve">se refiere a </w:t>
            </w:r>
            <w:r w:rsidRPr="00DD12AD">
              <w:rPr>
                <w:rFonts w:ascii="Verdana" w:eastAsia="Times New Roman" w:hAnsi="Verdana" w:cs="Arial"/>
                <w:lang w:eastAsia="en-GB"/>
              </w:rPr>
              <w:t>“</w:t>
            </w:r>
            <w:r w:rsidRPr="00120A72">
              <w:rPr>
                <w:rFonts w:ascii="Verdana" w:eastAsia="Times New Roman" w:hAnsi="Verdana" w:cs="Arial"/>
                <w:lang w:eastAsia="x-none"/>
              </w:rPr>
              <w:t>cualquier sistema que no implique convocatoria pública y posibilidad de pluralidad de oferentes</w:t>
            </w:r>
            <w:r w:rsidRPr="00120A72">
              <w:rPr>
                <w:rFonts w:ascii="Verdana" w:eastAsia="Times New Roman" w:hAnsi="Verdana" w:cs="Arial"/>
                <w:lang w:eastAsia="en-GB"/>
              </w:rPr>
              <w:t>”</w:t>
            </w:r>
            <w:r w:rsidRPr="00120A72">
              <w:rPr>
                <w:rFonts w:ascii="Verdana" w:eastAsia="Times New Roman" w:hAnsi="Verdana" w:cs="Arial"/>
                <w:lang w:eastAsia="x-none"/>
              </w:rPr>
              <w:t>, por lo que excluye las demás modalidades de contratación previstas en la Ley 1150 de 2007, es decir, la licitación pública, la selección abreviada, el concurso de méritos y la mínima cuantía</w:t>
            </w:r>
            <w:r w:rsidRPr="00120A72" w:rsidDel="00A85D9F">
              <w:rPr>
                <w:rFonts w:ascii="Verdana" w:eastAsia="Times New Roman" w:hAnsi="Verdana" w:cs="Arial"/>
                <w:lang w:eastAsia="x-none"/>
              </w:rPr>
              <w:t xml:space="preserve"> </w:t>
            </w:r>
            <w:r w:rsidRPr="00120A72">
              <w:rPr>
                <w:rFonts w:ascii="Verdana" w:eastAsia="Times New Roman" w:hAnsi="Verdana" w:cs="Arial"/>
                <w:lang w:eastAsia="x-none"/>
              </w:rPr>
              <w:t>u otros previstos en normas especiales.</w:t>
            </w:r>
            <w:r w:rsidRPr="00120A72">
              <w:rPr>
                <w:rFonts w:ascii="Verdana" w:eastAsia="Times New Roman" w:hAnsi="Verdana" w:cs="Arial"/>
                <w:bCs/>
                <w:lang w:eastAsia="x-none"/>
              </w:rPr>
              <w:t xml:space="preserve"> </w:t>
            </w:r>
            <w:r w:rsidRPr="00120A72">
              <w:rPr>
                <w:rFonts w:ascii="Verdana" w:eastAsia="Times New Roman" w:hAnsi="Verdana" w:cs="Arial"/>
                <w:lang w:eastAsia="es-CO"/>
              </w:rPr>
              <w:t xml:space="preserve"> </w:t>
            </w:r>
            <w:r w:rsidRPr="00120A72">
              <w:rPr>
                <w:rFonts w:ascii="Verdana" w:eastAsia="Times New Roman" w:hAnsi="Verdana" w:cs="Arial"/>
                <w:bCs/>
                <w:lang w:eastAsia="x-none"/>
              </w:rPr>
              <w:t>Por lo tanto,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120A72">
              <w:rPr>
                <w:rFonts w:ascii="Verdana" w:eastAsia="Times New Roman" w:hAnsi="Verdana" w:cs="Arial"/>
                <w:vertAlign w:val="superscript"/>
                <w:lang w:eastAsia="x-none"/>
              </w:rPr>
              <w:t xml:space="preserve"> </w:t>
            </w:r>
          </w:p>
          <w:p w14:paraId="266C4741" w14:textId="79294D28" w:rsidR="003063C6" w:rsidRPr="00D07EDC" w:rsidRDefault="00503275" w:rsidP="00D07EDC">
            <w:pPr>
              <w:widowControl w:val="0"/>
              <w:autoSpaceDE w:val="0"/>
              <w:autoSpaceDN w:val="0"/>
              <w:spacing w:after="120" w:line="276" w:lineRule="auto"/>
              <w:ind w:right="113" w:firstLine="709"/>
              <w:jc w:val="both"/>
              <w:rPr>
                <w:rFonts w:ascii="Verdana" w:eastAsia="Calibri" w:hAnsi="Verdana" w:cs="Times New Roman"/>
                <w:bCs/>
                <w:iCs/>
              </w:rPr>
            </w:pPr>
            <w:r w:rsidRPr="00120A72">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p>
          <w:p w14:paraId="33A141B9" w14:textId="77777777" w:rsidR="003063C6" w:rsidRPr="00840EE4" w:rsidRDefault="003063C6" w:rsidP="003063C6">
            <w:pPr>
              <w:widowControl w:val="0"/>
              <w:autoSpaceDE w:val="0"/>
              <w:autoSpaceDN w:val="0"/>
              <w:spacing w:after="120" w:line="276" w:lineRule="auto"/>
              <w:ind w:right="113" w:firstLine="709"/>
              <w:jc w:val="both"/>
              <w:rPr>
                <w:rFonts w:ascii="Verdana" w:eastAsia="Times New Roman" w:hAnsi="Verdana" w:cs="Arial"/>
                <w:bCs/>
                <w:lang w:eastAsia="es-CO"/>
              </w:rPr>
            </w:pPr>
            <w:r w:rsidRPr="00840EE4">
              <w:rPr>
                <w:rFonts w:ascii="Verdana" w:eastAsia="Times New Roman" w:hAnsi="Verdana" w:cs="Arial"/>
                <w:bCs/>
                <w:lang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840EE4">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de forma directa.</w:t>
            </w:r>
          </w:p>
          <w:p w14:paraId="22F65677" w14:textId="1636AE92" w:rsidR="003063C6" w:rsidRPr="00000D4A" w:rsidRDefault="003063C6" w:rsidP="003063C6">
            <w:pPr>
              <w:widowControl w:val="0"/>
              <w:autoSpaceDE w:val="0"/>
              <w:autoSpaceDN w:val="0"/>
              <w:spacing w:after="120" w:line="276" w:lineRule="auto"/>
              <w:ind w:firstLine="709"/>
              <w:jc w:val="both"/>
              <w:rPr>
                <w:rFonts w:ascii="Verdana" w:eastAsia="Verdana" w:hAnsi="Verdana" w:cs="Verdana"/>
                <w:lang w:val="es-ES"/>
              </w:rPr>
            </w:pPr>
            <w:r w:rsidRPr="0053288C">
              <w:rPr>
                <w:rFonts w:ascii="Verdana" w:eastAsia="Times New Roman" w:hAnsi="Verdana" w:cs="Arial"/>
                <w:bCs/>
                <w:lang w:eastAsia="x-none"/>
              </w:rPr>
              <w:t>De lo anterior se concluye que</w:t>
            </w:r>
            <w:r>
              <w:rPr>
                <w:rFonts w:ascii="Verdana" w:eastAsia="Times New Roman" w:hAnsi="Verdana" w:cs="Arial"/>
                <w:bCs/>
                <w:lang w:eastAsia="x-none"/>
              </w:rPr>
              <w:t>,</w:t>
            </w:r>
            <w:r w:rsidRPr="0053288C">
              <w:rPr>
                <w:rFonts w:ascii="Verdana" w:eastAsia="Times New Roman" w:hAnsi="Verdana" w:cs="Arial"/>
                <w:bCs/>
                <w:lang w:eastAsia="x-none"/>
              </w:rPr>
              <w:t xml:space="preserve"> la restricción prevista en el artículo 33 de la Ley de Garantías Electorales es aplicable a todas las entidades estatales, sin distinción del régimen jurídico que las gobierne, y sin perjuicio de las excepciones expresamente consagradas en la misma norma. En consecuencia, dicha limitación opera frente a la celebración de cualquier contrato mediante la modalidad de contratación directa, ya sea bajo el marco de la Ley 80 de 1993 o de regímenes especiales como los previstos en las Leyes 142 y 143 de 1994, entre otros, siempre que no exista un procedimiento de selección abierto, público y competitivo que garantice la participación de una pluralidad de oferentes.</w:t>
            </w:r>
          </w:p>
          <w:p w14:paraId="07D1A76D" w14:textId="6D31E0A1" w:rsidR="003063C6" w:rsidRPr="009A1D4F" w:rsidRDefault="003063C6" w:rsidP="003063C6">
            <w:pPr>
              <w:spacing w:after="120" w:line="276" w:lineRule="auto"/>
              <w:ind w:firstLine="709"/>
              <w:jc w:val="both"/>
              <w:rPr>
                <w:rFonts w:ascii="Verdana" w:eastAsia="Calibri" w:hAnsi="Verdana" w:cs="Times New Roman"/>
                <w:bCs/>
                <w:iCs/>
                <w:lang w:val="es-MX"/>
              </w:rPr>
            </w:pPr>
            <w:r>
              <w:rPr>
                <w:rFonts w:ascii="Verdana" w:eastAsia="Calibri" w:hAnsi="Verdana" w:cs="Times New Roman"/>
                <w:bCs/>
                <w:iCs/>
                <w:lang w:val="es-MX"/>
              </w:rPr>
              <w:t>Ahora bien, teniendo en cuenta el objeto de su consulta</w:t>
            </w:r>
            <w:r w:rsidRPr="009A1D4F">
              <w:rPr>
                <w:rFonts w:ascii="Verdana" w:eastAsia="Calibri" w:hAnsi="Verdana" w:cs="Times New Roman"/>
                <w:bCs/>
                <w:iCs/>
                <w:lang w:val="es-MX"/>
              </w:rPr>
              <w:t xml:space="preserve">, es importante resaltar que, </w:t>
            </w:r>
            <w:r w:rsidRPr="009A1D4F">
              <w:rPr>
                <w:rFonts w:ascii="Verdana" w:eastAsia="Times New Roman" w:hAnsi="Verdana" w:cs="Segoe UI"/>
                <w:lang w:eastAsia="es-ES_tradnl"/>
              </w:rPr>
              <w:t>de acuerdo con la interpretación de la Sala de Consulta y Servicio Civil del Consejo de Estado, la Ley de Garantías Electorales sí resulta aplicable a las empresas de servicios públicos domiciliarios, incluso cuando estas se rigen por el derecho privado, en lo relativo a la restricción de la contratación directa. No obstante, dicha aplicación no es absoluta ni puede conducir a la paralización de la prestación de los servicios públicos. Por el contrario, debe armonizarse con la naturaleza esencial de estos servicios y con los derechos de los usuarios.</w:t>
            </w:r>
          </w:p>
          <w:p w14:paraId="1110C05D" w14:textId="77777777" w:rsidR="003063C6" w:rsidRPr="009A1D4F" w:rsidRDefault="003063C6" w:rsidP="003063C6">
            <w:pPr>
              <w:spacing w:after="120" w:line="276" w:lineRule="auto"/>
              <w:ind w:firstLine="709"/>
              <w:jc w:val="both"/>
              <w:rPr>
                <w:rFonts w:ascii="Verdana" w:eastAsia="Times New Roman" w:hAnsi="Verdana" w:cs="Segoe UI"/>
                <w:lang w:eastAsia="es-ES_tradnl"/>
              </w:rPr>
            </w:pPr>
            <w:r w:rsidRPr="009A1D4F">
              <w:rPr>
                <w:rFonts w:ascii="Verdana" w:eastAsia="Times New Roman" w:hAnsi="Verdana" w:cs="Segoe UI"/>
                <w:lang w:eastAsia="es-ES_tradnl"/>
              </w:rPr>
              <w:t>En consecuencia, mientras que las empresas deben sujetarse a las restricciones de contratación en aquellos casos en que actúan como adquirentes de bienes o servicios, estas limitaciones ceden cuando su aplicación compromete la continuidad, eficiencia y universalidad en la prestación del servicio público. Así, resulta jurídicamente viable acudir a la contratación directa de manera excepcional cuando sea indispensable para evitar la interrupción de servicios esenciales, en atención a razones de orden público, salubridad y protección de derechos fundamentales.</w:t>
            </w:r>
          </w:p>
          <w:p w14:paraId="4AB0795D" w14:textId="77777777" w:rsidR="003063C6" w:rsidRPr="009A1D4F" w:rsidRDefault="003063C6" w:rsidP="003063C6">
            <w:pPr>
              <w:spacing w:after="120" w:line="276" w:lineRule="auto"/>
              <w:ind w:firstLine="709"/>
              <w:jc w:val="both"/>
              <w:rPr>
                <w:rFonts w:ascii="Verdana" w:eastAsia="Times New Roman" w:hAnsi="Verdana" w:cs="Segoe UI"/>
                <w:lang w:eastAsia="es-ES_tradnl"/>
              </w:rPr>
            </w:pPr>
            <w:r w:rsidRPr="009A1D4F">
              <w:rPr>
                <w:rFonts w:ascii="Verdana" w:eastAsia="Times New Roman" w:hAnsi="Verdana" w:cs="Segoe UI"/>
                <w:lang w:eastAsia="es-ES_tradnl"/>
              </w:rPr>
              <w:t>De este modo, la aplicación de la Ley de Garantías en este ámbito exige una interpretación sistemática y finalista, que permita garantizar tanto la transparencia en la gestión contractual como la adecuada y continua prestación de los servicios públicos domiciliarios.</w:t>
            </w:r>
          </w:p>
          <w:p w14:paraId="24BBF93A" w14:textId="77777777" w:rsidR="003063C6" w:rsidRPr="00283E77" w:rsidRDefault="003063C6" w:rsidP="003063C6">
            <w:pPr>
              <w:spacing w:after="120" w:line="276" w:lineRule="auto"/>
              <w:ind w:firstLine="709"/>
              <w:jc w:val="both"/>
              <w:rPr>
                <w:rFonts w:ascii="Verdana" w:hAnsi="Verdana" w:cs="Arial"/>
              </w:rPr>
            </w:pPr>
            <w:r w:rsidRPr="00380CA4">
              <w:rPr>
                <w:rFonts w:ascii="Verdana" w:hAnsi="Verdana" w:cs="Arial"/>
                <w:lang w:eastAsia="es-ES"/>
              </w:rPr>
              <w:t>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7613C6" w14:textId="4CE51117" w:rsidR="003063C6" w:rsidRPr="003716CA" w:rsidRDefault="003063C6" w:rsidP="003716CA">
            <w:pPr>
              <w:spacing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7727FDF8" w14:textId="77777777" w:rsidR="00503275" w:rsidRDefault="00503275" w:rsidP="00503275">
      <w:pPr>
        <w:tabs>
          <w:tab w:val="left" w:pos="142"/>
          <w:tab w:val="left" w:pos="284"/>
        </w:tabs>
        <w:spacing w:after="0" w:line="276" w:lineRule="auto"/>
        <w:jc w:val="both"/>
        <w:rPr>
          <w:rFonts w:ascii="Verdana" w:eastAsia="Century Gothic" w:hAnsi="Verdana" w:cs="Century Gothic"/>
          <w:b/>
          <w:bCs/>
        </w:rPr>
      </w:pPr>
    </w:p>
    <w:p w14:paraId="54470FA0" w14:textId="77777777" w:rsidR="00503275" w:rsidRDefault="00503275" w:rsidP="00503275">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52F42C5" w14:textId="77777777" w:rsidR="00503275" w:rsidRPr="005644FE" w:rsidRDefault="00503275" w:rsidP="00503275">
      <w:pPr>
        <w:tabs>
          <w:tab w:val="left" w:pos="142"/>
          <w:tab w:val="left" w:pos="284"/>
        </w:tabs>
        <w:spacing w:after="0" w:line="276" w:lineRule="auto"/>
        <w:jc w:val="both"/>
        <w:rPr>
          <w:rFonts w:ascii="Verdana" w:eastAsia="Century Gothic" w:hAnsi="Verdana" w:cs="Century Gothic"/>
          <w:b/>
          <w:bCs/>
        </w:rPr>
      </w:pPr>
    </w:p>
    <w:p w14:paraId="41214AA5" w14:textId="77777777" w:rsidR="00503275" w:rsidRDefault="00503275" w:rsidP="00503275">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353975EE" w14:textId="77777777" w:rsidR="00503275" w:rsidRDefault="00503275" w:rsidP="00503275">
      <w:pPr>
        <w:tabs>
          <w:tab w:val="left" w:pos="142"/>
          <w:tab w:val="left" w:pos="284"/>
          <w:tab w:val="left" w:pos="6975"/>
        </w:tabs>
        <w:spacing w:after="0" w:line="276" w:lineRule="auto"/>
        <w:jc w:val="both"/>
        <w:rPr>
          <w:rFonts w:ascii="Verdana" w:eastAsia="Calibri" w:hAnsi="Verdana" w:cs="Arial"/>
        </w:rPr>
      </w:pPr>
    </w:p>
    <w:p w14:paraId="786E0B11" w14:textId="77777777" w:rsidR="00503275" w:rsidRPr="002D6B43" w:rsidRDefault="00503275" w:rsidP="00503275">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30AB82B0" w14:textId="0DA24ECD" w:rsidR="00503275" w:rsidRDefault="00503275" w:rsidP="00995F7A">
      <w:pPr>
        <w:tabs>
          <w:tab w:val="left" w:pos="426"/>
        </w:tabs>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6B5BA4F" w14:textId="77777777" w:rsidR="00995F7A" w:rsidRPr="00811B9B" w:rsidRDefault="00995F7A" w:rsidP="00D07EDC">
      <w:pPr>
        <w:tabs>
          <w:tab w:val="left" w:pos="426"/>
        </w:tabs>
        <w:spacing w:after="0" w:line="276" w:lineRule="auto"/>
        <w:ind w:firstLine="709"/>
        <w:jc w:val="both"/>
        <w:rPr>
          <w:rFonts w:ascii="Verdana" w:eastAsia="Calibri" w:hAnsi="Verdana" w:cs="Arial"/>
          <w:lang w:val="es-ES_tradnl"/>
        </w:rPr>
      </w:pPr>
    </w:p>
    <w:p w14:paraId="3EC168FD" w14:textId="77777777" w:rsidR="00503275" w:rsidRPr="00E2397D" w:rsidRDefault="00503275" w:rsidP="0050327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CE57D97" w14:textId="77777777" w:rsidR="00503275" w:rsidRPr="008E17DE" w:rsidRDefault="00503275" w:rsidP="00503275">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87FD94B" w14:textId="43D7D29E" w:rsidR="00503275" w:rsidRPr="0007322F" w:rsidRDefault="00503275" w:rsidP="0007322F">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08B4D912" w14:textId="77777777" w:rsidR="003716CA" w:rsidRDefault="003716CA" w:rsidP="00995F7A">
      <w:pPr>
        <w:spacing w:after="0" w:line="276" w:lineRule="auto"/>
        <w:ind w:firstLine="709"/>
        <w:jc w:val="both"/>
        <w:rPr>
          <w:rFonts w:ascii="Verdana" w:eastAsia="Times New Roman" w:hAnsi="Verdana" w:cs="Arial"/>
          <w:lang w:val="es-MX" w:eastAsia="es-CO"/>
        </w:rPr>
      </w:pPr>
    </w:p>
    <w:p w14:paraId="7BBFC006" w14:textId="0ACD8004" w:rsidR="00503275" w:rsidRDefault="00503275" w:rsidP="00995F7A">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6DF90AD1" w14:textId="77777777" w:rsidR="00995F7A" w:rsidRPr="00886C02" w:rsidRDefault="00995F7A" w:rsidP="00D07EDC">
      <w:pPr>
        <w:spacing w:after="0" w:line="276" w:lineRule="auto"/>
        <w:ind w:firstLine="709"/>
        <w:jc w:val="both"/>
        <w:rPr>
          <w:rFonts w:ascii="Verdana" w:eastAsia="Times New Roman" w:hAnsi="Verdana" w:cs="Arial"/>
          <w:lang w:val="es-MX" w:eastAsia="es-CO"/>
        </w:rPr>
      </w:pPr>
    </w:p>
    <w:p w14:paraId="0636A5B6" w14:textId="77777777" w:rsidR="00503275" w:rsidRPr="00E2397D" w:rsidRDefault="00503275" w:rsidP="0050327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7FF096" w14:textId="77777777" w:rsidR="00503275" w:rsidRPr="000B35C5" w:rsidRDefault="00503275" w:rsidP="00503275">
      <w:pPr>
        <w:spacing w:after="0" w:line="240" w:lineRule="auto"/>
        <w:ind w:right="709"/>
        <w:contextualSpacing/>
        <w:jc w:val="both"/>
        <w:rPr>
          <w:rFonts w:ascii="Verdana" w:eastAsia="Times New Roman" w:hAnsi="Verdana" w:cs="Arial"/>
          <w:sz w:val="12"/>
          <w:szCs w:val="12"/>
          <w:lang w:val="es-MX" w:eastAsia="es-CO"/>
        </w:rPr>
      </w:pPr>
    </w:p>
    <w:p w14:paraId="3C3D908C" w14:textId="77777777" w:rsidR="00503275" w:rsidRPr="00E2397D" w:rsidRDefault="00503275" w:rsidP="0050327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20DF0D9F" w14:textId="77777777" w:rsidR="00503275" w:rsidRPr="00E2397D" w:rsidRDefault="00503275" w:rsidP="00503275">
      <w:pPr>
        <w:spacing w:after="0" w:line="276" w:lineRule="auto"/>
        <w:jc w:val="both"/>
        <w:rPr>
          <w:rFonts w:ascii="Verdana" w:eastAsia="Calibri" w:hAnsi="Verdana" w:cs="Arial"/>
          <w:bCs/>
          <w:lang w:val="es-ES_tradnl"/>
        </w:rPr>
      </w:pPr>
    </w:p>
    <w:p w14:paraId="281A6089" w14:textId="77777777" w:rsidR="00503275" w:rsidRDefault="00503275" w:rsidP="00503275">
      <w:pPr>
        <w:spacing w:after="12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6F61E18" w14:textId="77777777" w:rsidR="00503275" w:rsidRDefault="00503275" w:rsidP="0050327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7AED4CA4" w14:textId="77777777" w:rsidR="00503275" w:rsidRPr="000A7487" w:rsidRDefault="00503275" w:rsidP="00503275">
      <w:pPr>
        <w:spacing w:after="120" w:line="276" w:lineRule="auto"/>
        <w:ind w:firstLine="709"/>
        <w:jc w:val="both"/>
        <w:rPr>
          <w:rFonts w:ascii="Verdana" w:eastAsia="Arial" w:hAnsi="Verdana" w:cs="Arial"/>
          <w:lang w:val="es-ES" w:eastAsia="es-ES" w:bidi="es-ES"/>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7CA22C2E" w14:textId="77777777" w:rsidR="00503275" w:rsidRDefault="00503275" w:rsidP="00503275">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485E39C" w14:textId="77777777" w:rsidR="00503275" w:rsidRDefault="00503275" w:rsidP="00503275">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4F79BE19" w14:textId="77777777" w:rsidR="00503275" w:rsidRDefault="00503275" w:rsidP="0050327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0C7EAA9D" w14:textId="77777777" w:rsidR="00503275" w:rsidRDefault="00503275" w:rsidP="0050327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7264013B" w14:textId="208CCD97" w:rsidR="00503275" w:rsidRDefault="00503275" w:rsidP="007F5AAE">
      <w:pPr>
        <w:spacing w:after="0"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54B7E59B" w14:textId="77777777" w:rsidR="007F5AAE" w:rsidRPr="00811B9B" w:rsidRDefault="007F5AAE" w:rsidP="00D07EDC">
      <w:pPr>
        <w:spacing w:after="0" w:line="276" w:lineRule="auto"/>
        <w:ind w:firstLine="708"/>
        <w:jc w:val="both"/>
        <w:rPr>
          <w:rFonts w:ascii="Verdana" w:eastAsia="Times New Roman" w:hAnsi="Verdana" w:cs="Arial"/>
          <w:bCs/>
          <w:lang w:val="es-ES" w:eastAsia="es-CO"/>
        </w:rPr>
      </w:pPr>
    </w:p>
    <w:p w14:paraId="0190171E" w14:textId="77777777" w:rsidR="00503275" w:rsidRPr="00E2397D" w:rsidRDefault="00503275" w:rsidP="00503275">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0FD395EB" w14:textId="77777777" w:rsidR="00503275" w:rsidRPr="00E2397D" w:rsidRDefault="00503275" w:rsidP="00503275">
      <w:pPr>
        <w:widowControl w:val="0"/>
        <w:autoSpaceDE w:val="0"/>
        <w:autoSpaceDN w:val="0"/>
        <w:spacing w:after="0" w:line="276" w:lineRule="auto"/>
        <w:contextualSpacing/>
        <w:rPr>
          <w:rFonts w:ascii="Verdana" w:eastAsia="Arial" w:hAnsi="Verdana" w:cs="Arial"/>
          <w:lang w:val="es-ES" w:eastAsia="es-ES" w:bidi="es-ES"/>
        </w:rPr>
      </w:pPr>
    </w:p>
    <w:p w14:paraId="432B1ECE" w14:textId="77777777" w:rsidR="00503275" w:rsidRPr="00E2397D" w:rsidRDefault="00503275" w:rsidP="0050327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849A049" w14:textId="77777777" w:rsidR="00503275" w:rsidRPr="00E2397D" w:rsidRDefault="00503275" w:rsidP="0050327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B96F1C6" w14:textId="77777777" w:rsidR="00503275" w:rsidRDefault="00503275" w:rsidP="0050327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bookmarkStart w:id="2" w:name="_Hlk78820161"/>
    </w:p>
    <w:p w14:paraId="18C6304B" w14:textId="0CFB86F3" w:rsidR="00503275" w:rsidRDefault="00503275" w:rsidP="007F5AAE">
      <w:pPr>
        <w:spacing w:after="0" w:line="276" w:lineRule="auto"/>
        <w:ind w:firstLine="709"/>
        <w:jc w:val="both"/>
        <w:rPr>
          <w:rFonts w:ascii="Verdana" w:eastAsia="Times New Roman" w:hAnsi="Verdana" w:cs="Arial"/>
          <w:lang w:eastAsia="es-CO"/>
        </w:rPr>
      </w:pPr>
      <w:r w:rsidRPr="00380CA4">
        <w:rPr>
          <w:rFonts w:ascii="Verdana" w:eastAsia="Times New Roman" w:hAnsi="Verdana" w:cs="Arial"/>
          <w:bCs/>
          <w:lang w:eastAsia="x-none"/>
        </w:rPr>
        <w:t xml:space="preserve">El ámbito material de la prohibición contenida en el artículo 33 de la </w:t>
      </w:r>
      <w:r w:rsidR="00945950">
        <w:rPr>
          <w:rFonts w:ascii="Verdana" w:eastAsia="Times New Roman" w:hAnsi="Verdana" w:cs="Arial"/>
          <w:bCs/>
          <w:lang w:eastAsia="x-none"/>
        </w:rPr>
        <w:t>L</w:t>
      </w:r>
      <w:r w:rsidRPr="00380CA4">
        <w:rPr>
          <w:rFonts w:ascii="Verdana" w:eastAsia="Times New Roman" w:hAnsi="Verdana" w:cs="Arial"/>
          <w:bCs/>
          <w:lang w:eastAsia="x-none"/>
        </w:rPr>
        <w:t xml:space="preserve">ey 996 de 2005 está delimitado por la expresión </w:t>
      </w:r>
      <w:r w:rsidRPr="00380CA4">
        <w:rPr>
          <w:rFonts w:ascii="Verdana" w:eastAsia="Calibri" w:hAnsi="Verdana" w:cs="Arial"/>
          <w:bCs/>
          <w:sz w:val="20"/>
          <w:szCs w:val="20"/>
        </w:rPr>
        <w:t>“</w:t>
      </w:r>
      <w:r w:rsidRPr="00380CA4">
        <w:rPr>
          <w:rFonts w:ascii="Verdana" w:eastAsia="Times New Roman" w:hAnsi="Verdana" w:cs="Arial"/>
          <w:bCs/>
          <w:lang w:eastAsia="x-none"/>
        </w:rPr>
        <w:t>queda prohibida la contratación directa</w:t>
      </w:r>
      <w:r w:rsidRPr="00380CA4">
        <w:rPr>
          <w:rFonts w:ascii="Verdana" w:eastAsia="Calibri" w:hAnsi="Verdana" w:cs="Arial"/>
          <w:sz w:val="20"/>
          <w:szCs w:val="20"/>
        </w:rPr>
        <w:t>”</w:t>
      </w:r>
      <w:r w:rsidRPr="00380CA4">
        <w:rPr>
          <w:rFonts w:ascii="Verdana" w:eastAsia="Times New Roman" w:hAnsi="Verdana" w:cs="Arial"/>
          <w:bCs/>
          <w:lang w:eastAsia="x-none"/>
        </w:rPr>
        <w:t xml:space="preserve">. </w:t>
      </w:r>
      <w:r w:rsidRPr="00380CA4">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79458A2F" w14:textId="77777777" w:rsidR="007F5AAE" w:rsidRPr="00811B9B" w:rsidRDefault="007F5AAE" w:rsidP="00D07EDC">
      <w:pPr>
        <w:spacing w:after="0" w:line="276" w:lineRule="auto"/>
        <w:ind w:firstLine="709"/>
        <w:jc w:val="both"/>
        <w:rPr>
          <w:rFonts w:ascii="Verdana" w:eastAsia="Arial" w:hAnsi="Verdana" w:cs="Arial"/>
          <w:lang w:val="es-ES" w:eastAsia="es-ES" w:bidi="es-ES"/>
        </w:rPr>
      </w:pPr>
    </w:p>
    <w:p w14:paraId="06376E5D" w14:textId="0C822676" w:rsidR="00503275" w:rsidRDefault="007F5AAE" w:rsidP="00503275">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r w:rsidR="00503275" w:rsidRPr="00380CA4">
        <w:rPr>
          <w:rFonts w:ascii="Verdana" w:eastAsia="Calibri"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00503275" w:rsidRPr="00380CA4">
        <w:rPr>
          <w:rFonts w:ascii="Verdana" w:eastAsia="Times New Roman" w:hAnsi="Verdana" w:cs="Arial"/>
          <w:sz w:val="20"/>
          <w:szCs w:val="20"/>
          <w:vertAlign w:val="superscript"/>
          <w:lang w:eastAsia="es-CO"/>
        </w:rPr>
        <w:footnoteReference w:id="12"/>
      </w:r>
      <w:r w:rsidR="00503275" w:rsidRPr="00380CA4">
        <w:rPr>
          <w:rFonts w:ascii="Verdana" w:eastAsia="Calibri" w:hAnsi="Verdana" w:cs="Arial"/>
          <w:sz w:val="20"/>
          <w:szCs w:val="20"/>
        </w:rPr>
        <w:t>.</w:t>
      </w:r>
    </w:p>
    <w:p w14:paraId="17919358" w14:textId="77777777" w:rsidR="00503275" w:rsidRPr="00380CA4" w:rsidRDefault="00503275" w:rsidP="00503275">
      <w:pPr>
        <w:spacing w:after="0" w:line="240" w:lineRule="auto"/>
        <w:ind w:left="709" w:right="709"/>
        <w:jc w:val="both"/>
        <w:rPr>
          <w:rFonts w:ascii="Verdana" w:eastAsia="Calibri" w:hAnsi="Verdana" w:cs="Arial"/>
          <w:sz w:val="20"/>
          <w:szCs w:val="20"/>
        </w:rPr>
      </w:pPr>
    </w:p>
    <w:p w14:paraId="46CE5B3A" w14:textId="1EDAFE68" w:rsidR="00503275" w:rsidRPr="00723F6D" w:rsidRDefault="00503275" w:rsidP="00503275">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80CA4">
        <w:rPr>
          <w:rFonts w:ascii="Verdana" w:eastAsia="Times New Roman" w:hAnsi="Verdana" w:cs="Arial"/>
          <w:sz w:val="20"/>
          <w:szCs w:val="20"/>
          <w:vertAlign w:val="superscript"/>
        </w:rPr>
        <w:footnoteReference w:id="13"/>
      </w:r>
      <w:r w:rsidRPr="00380CA4">
        <w:rPr>
          <w:rFonts w:ascii="Verdana" w:eastAsia="Times New Roman" w:hAnsi="Verdana" w:cs="Arial"/>
          <w:sz w:val="20"/>
          <w:szCs w:val="20"/>
          <w:vertAlign w:val="superscript"/>
        </w:rPr>
        <w:t>.</w:t>
      </w:r>
      <w:r w:rsidRPr="00380CA4">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945950">
        <w:rPr>
          <w:rFonts w:ascii="Verdana" w:eastAsia="Calibri" w:hAnsi="Verdana" w:cs="Arial"/>
          <w:sz w:val="20"/>
          <w:szCs w:val="20"/>
        </w:rPr>
        <w:t>”</w:t>
      </w:r>
      <w:r w:rsidRPr="00380CA4">
        <w:rPr>
          <w:rFonts w:ascii="Verdana" w:eastAsia="Times New Roman" w:hAnsi="Verdana" w:cs="Arial"/>
          <w:sz w:val="20"/>
          <w:szCs w:val="20"/>
          <w:vertAlign w:val="superscript"/>
          <w:lang w:eastAsia="es-CO"/>
        </w:rPr>
        <w:footnoteReference w:id="14"/>
      </w:r>
      <w:r w:rsidRPr="00380CA4">
        <w:rPr>
          <w:rFonts w:ascii="Verdana" w:eastAsia="Calibri" w:hAnsi="Verdana" w:cs="Arial"/>
          <w:sz w:val="20"/>
          <w:szCs w:val="20"/>
        </w:rPr>
        <w:t xml:space="preserve"> .</w:t>
      </w:r>
    </w:p>
    <w:p w14:paraId="758EAC1D" w14:textId="77777777" w:rsidR="00503275" w:rsidRDefault="00503275" w:rsidP="00503275">
      <w:pPr>
        <w:spacing w:after="0" w:line="240" w:lineRule="auto"/>
        <w:ind w:firstLine="709"/>
        <w:jc w:val="both"/>
        <w:rPr>
          <w:rFonts w:ascii="Verdana" w:eastAsia="Times New Roman" w:hAnsi="Verdana" w:cs="Arial"/>
          <w:lang w:eastAsia="x-none"/>
        </w:rPr>
      </w:pPr>
    </w:p>
    <w:p w14:paraId="7D6DD1E3" w14:textId="77777777" w:rsidR="00503275" w:rsidRPr="00380CA4" w:rsidRDefault="00503275" w:rsidP="00503275">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x-none"/>
        </w:rPr>
        <w:t xml:space="preserve">De acuerdo con el citado concepto, la prohibición del artículo 33 de la Ley de Garantías Electorales se refiere a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cualquier sistema que no implique convocatoria pública y posibilidad de pluralidad de oferentes</w:t>
      </w:r>
      <w:r w:rsidRPr="00380CA4">
        <w:rPr>
          <w:rFonts w:ascii="Verdana" w:eastAsia="Times New Roman" w:hAnsi="Verdana" w:cs="Arial"/>
          <w:lang w:eastAsia="en-GB"/>
        </w:rPr>
        <w:t>”</w:t>
      </w:r>
      <w:r w:rsidRPr="00380CA4">
        <w:rPr>
          <w:rFonts w:ascii="Verdana" w:eastAsia="Times New Roman" w:hAnsi="Verdana" w:cs="Arial"/>
          <w:lang w:eastAsia="x-none"/>
        </w:rPr>
        <w:t>, por lo que excluye las demás modalidades de contratación previstas en la Ley 1150 de 2007, es decir, la licitación pública, la selección abreviada, el concurso de méritos y la mínima cuantía</w:t>
      </w:r>
      <w:r w:rsidRPr="00380CA4" w:rsidDel="00A85D9F">
        <w:rPr>
          <w:rFonts w:ascii="Verdana" w:eastAsia="Times New Roman" w:hAnsi="Verdana" w:cs="Arial"/>
          <w:lang w:eastAsia="x-none"/>
        </w:rPr>
        <w:t xml:space="preserve"> </w:t>
      </w:r>
      <w:r w:rsidRPr="00380CA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0CA4">
        <w:rPr>
          <w:rFonts w:ascii="Verdana" w:eastAsia="Times New Roman" w:hAnsi="Verdana" w:cs="Arial"/>
          <w:vertAlign w:val="superscript"/>
          <w:lang w:eastAsia="x-none"/>
        </w:rPr>
        <w:footnoteReference w:id="15"/>
      </w:r>
      <w:r w:rsidRPr="00380CA4">
        <w:rPr>
          <w:rFonts w:ascii="Verdana" w:eastAsia="Times New Roman" w:hAnsi="Verdana" w:cs="Arial"/>
          <w:lang w:eastAsia="x-none"/>
        </w:rPr>
        <w:t xml:space="preserve"> y sistematizó las causales de contratación directa</w:t>
      </w:r>
      <w:r w:rsidRPr="00380CA4">
        <w:rPr>
          <w:rFonts w:ascii="Verdana" w:eastAsia="Times New Roman" w:hAnsi="Verdana" w:cs="Arial"/>
          <w:vertAlign w:val="superscript"/>
          <w:lang w:eastAsia="x-none"/>
        </w:rPr>
        <w:footnoteReference w:id="16"/>
      </w:r>
      <w:r w:rsidRPr="00380CA4">
        <w:rPr>
          <w:rFonts w:ascii="Verdana" w:eastAsia="Times New Roman" w:hAnsi="Verdana" w:cs="Arial"/>
          <w:lang w:eastAsia="x-none"/>
        </w:rPr>
        <w:t xml:space="preserve">, </w:t>
      </w:r>
      <w:r w:rsidRPr="00380CA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919ED51" w14:textId="77777777" w:rsidR="00503275" w:rsidRPr="00F04D58" w:rsidRDefault="00503275" w:rsidP="00503275">
      <w:pPr>
        <w:spacing w:after="120" w:line="276" w:lineRule="auto"/>
        <w:ind w:firstLine="709"/>
        <w:jc w:val="both"/>
        <w:rPr>
          <w:rFonts w:ascii="Verdana" w:eastAsia="Times New Roman" w:hAnsi="Verdana" w:cs="Arial"/>
          <w:lang w:eastAsia="en-GB"/>
        </w:rPr>
      </w:pPr>
      <w:r w:rsidRPr="00380CA4">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380CA4">
        <w:rPr>
          <w:rFonts w:ascii="Verdana" w:eastAsia="Times New Roman" w:hAnsi="Verdana" w:cs="Arial"/>
          <w:lang w:eastAsia="x-none"/>
        </w:rPr>
        <w:t>contratación directa</w:t>
      </w:r>
      <w:r>
        <w:rPr>
          <w:rFonts w:ascii="Verdana" w:eastAsia="Times New Roman" w:hAnsi="Verdana" w:cs="Arial"/>
          <w:lang w:eastAsia="en-GB"/>
        </w:rPr>
        <w:t>”</w:t>
      </w:r>
      <w:r w:rsidRPr="00380CA4">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380CA4">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80CA4">
        <w:rPr>
          <w:rFonts w:ascii="Verdana" w:eastAsia="Times New Roman" w:hAnsi="Verdana" w:cs="Arial"/>
          <w:vertAlign w:val="superscript"/>
          <w:lang w:eastAsia="x-none"/>
        </w:rPr>
        <w:footnoteReference w:id="17"/>
      </w:r>
      <w:r w:rsidRPr="00380CA4">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380CA4">
        <w:rPr>
          <w:rFonts w:ascii="Verdana" w:eastAsia="Times New Roman" w:hAnsi="Verdana" w:cs="Arial"/>
          <w:lang w:eastAsia="x-none"/>
        </w:rPr>
        <w:t xml:space="preserve">. </w:t>
      </w:r>
    </w:p>
    <w:p w14:paraId="72B2465E" w14:textId="77777777" w:rsidR="00503275" w:rsidRPr="00380CA4" w:rsidRDefault="00503275" w:rsidP="00503275">
      <w:pPr>
        <w:spacing w:after="120" w:line="276" w:lineRule="auto"/>
        <w:ind w:firstLine="709"/>
        <w:jc w:val="both"/>
        <w:rPr>
          <w:rFonts w:ascii="Verdana" w:eastAsia="Times New Roman" w:hAnsi="Verdana" w:cs="Arial"/>
          <w:bCs/>
          <w:lang w:eastAsia="es-CO"/>
        </w:rPr>
      </w:pPr>
      <w:r w:rsidRPr="00380CA4">
        <w:rPr>
          <w:rFonts w:ascii="Verdana" w:eastAsia="Times New Roman" w:hAnsi="Verdana" w:cs="Arial"/>
          <w:bCs/>
          <w:lang w:eastAsia="x-none"/>
        </w:rPr>
        <w:t>E</w:t>
      </w:r>
      <w:r w:rsidRPr="00380CA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0CA4">
        <w:rPr>
          <w:rFonts w:ascii="Verdana" w:eastAsia="Times New Roman" w:hAnsi="Verdana" w:cs="Arial"/>
          <w:vertAlign w:val="superscript"/>
          <w:lang w:eastAsia="x-none"/>
        </w:rPr>
        <w:footnoteReference w:id="18"/>
      </w:r>
      <w:r w:rsidRPr="00380CA4">
        <w:rPr>
          <w:rFonts w:ascii="Verdana" w:eastAsia="Times New Roman" w:hAnsi="Verdana" w:cs="Arial"/>
          <w:lang w:eastAsia="x-none"/>
        </w:rPr>
        <w:t xml:space="preserve">. </w:t>
      </w:r>
    </w:p>
    <w:p w14:paraId="3C426D6C" w14:textId="71982D80" w:rsidR="00503275" w:rsidRPr="00380CA4" w:rsidRDefault="00503275" w:rsidP="00503275">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sidR="00EF3F82">
        <w:rPr>
          <w:rFonts w:ascii="Verdana" w:eastAsia="Times New Roman" w:hAnsi="Verdana" w:cs="Arial"/>
          <w:bCs/>
          <w:lang w:eastAsia="es-CO"/>
        </w:rPr>
        <w:t xml:space="preserve"> Electorales</w:t>
      </w:r>
      <w:r w:rsidRPr="00380CA4">
        <w:rPr>
          <w:rFonts w:ascii="Verdana" w:eastAsia="Times New Roman" w:hAnsi="Verdana" w:cs="Arial"/>
          <w:bCs/>
          <w:lang w:eastAsia="es-CO"/>
        </w:rPr>
        <w:t>,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eastAsia="es-CO"/>
        </w:rPr>
        <w:t xml:space="preserve"> mayor precisión el término de “contratación directa”</w:t>
      </w:r>
      <w:r w:rsidRPr="00380CA4">
        <w:rPr>
          <w:rFonts w:ascii="Verdana" w:eastAsia="Times New Roman" w:hAnsi="Verdana" w:cs="Arial"/>
          <w:bCs/>
          <w:lang w:eastAsia="es-CO"/>
        </w:rPr>
        <w:t>.</w:t>
      </w:r>
    </w:p>
    <w:p w14:paraId="5B6CAA04" w14:textId="1AA5F74E" w:rsidR="00503275" w:rsidRDefault="00503275">
      <w:pPr>
        <w:spacing w:after="120" w:line="276" w:lineRule="auto"/>
        <w:ind w:firstLine="709"/>
        <w:jc w:val="both"/>
        <w:rPr>
          <w:rFonts w:ascii="Verdana" w:hAnsi="Verdana" w:cs="Arial"/>
          <w:lang w:eastAsia="x-none"/>
        </w:rPr>
      </w:pPr>
      <w:r w:rsidRPr="00380CA4">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80CA4">
        <w:rPr>
          <w:rFonts w:ascii="Verdana" w:eastAsia="Times New Roman" w:hAnsi="Verdana" w:cs="Arial"/>
          <w:vertAlign w:val="superscript"/>
          <w:lang w:eastAsia="x-none"/>
        </w:rPr>
        <w:footnoteReference w:id="19"/>
      </w:r>
      <w:r w:rsidRPr="00380CA4">
        <w:rPr>
          <w:rFonts w:ascii="Verdana" w:eastAsia="Times New Roman" w:hAnsi="Verdana" w:cs="Arial"/>
          <w:bCs/>
          <w:lang w:eastAsia="x-none"/>
        </w:rPr>
        <w:t>.</w:t>
      </w:r>
      <w:r w:rsidRPr="00380CA4">
        <w:rPr>
          <w:rFonts w:ascii="Verdana" w:eastAsia="Times New Roman" w:hAnsi="Verdana" w:cs="Arial"/>
          <w:vertAlign w:val="superscript"/>
          <w:lang w:eastAsia="x-none"/>
        </w:rPr>
        <w:t xml:space="preserve"> </w:t>
      </w:r>
      <w:r w:rsidRPr="00AD17FF">
        <w:rPr>
          <w:rFonts w:ascii="Verdana" w:hAnsi="Verdana" w:cs="Arial"/>
          <w:lang w:eastAsia="x-none"/>
        </w:rPr>
        <w:t xml:space="preserve">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w:t>
      </w:r>
      <w:r w:rsidR="00EF3F82">
        <w:rPr>
          <w:rFonts w:ascii="Verdana" w:hAnsi="Verdana" w:cs="Arial"/>
          <w:lang w:eastAsia="x-none"/>
        </w:rPr>
        <w:t>La anterior</w:t>
      </w:r>
      <w:r w:rsidR="00EF3F82" w:rsidRPr="00AD17FF">
        <w:rPr>
          <w:rFonts w:ascii="Verdana" w:hAnsi="Verdana" w:cs="Arial"/>
          <w:lang w:eastAsia="x-none"/>
        </w:rPr>
        <w:t xml:space="preserve"> </w:t>
      </w:r>
      <w:r w:rsidRPr="00AD17FF">
        <w:rPr>
          <w:rFonts w:ascii="Verdana" w:hAnsi="Verdana" w:cs="Arial"/>
          <w:lang w:eastAsia="x-none"/>
        </w:rPr>
        <w:t>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20"/>
      </w:r>
      <w:r w:rsidRPr="00AD17FF">
        <w:rPr>
          <w:rFonts w:ascii="Verdana" w:hAnsi="Verdana" w:cs="Arial"/>
          <w:lang w:eastAsia="x-none"/>
        </w:rPr>
        <w:t>.</w:t>
      </w:r>
    </w:p>
    <w:p w14:paraId="72C336DD" w14:textId="5017B9E6" w:rsidR="00503275" w:rsidRDefault="00503275" w:rsidP="00503275">
      <w:pPr>
        <w:spacing w:after="120" w:line="276" w:lineRule="auto"/>
        <w:ind w:firstLine="709"/>
        <w:jc w:val="both"/>
        <w:rPr>
          <w:rFonts w:ascii="Verdana" w:hAnsi="Verdana" w:cs="Arial"/>
          <w:lang w:eastAsia="x-none"/>
        </w:rPr>
      </w:pPr>
      <w:r>
        <w:rPr>
          <w:rFonts w:ascii="Verdana" w:hAnsi="Verdana" w:cs="Arial"/>
          <w:lang w:eastAsia="x-none"/>
        </w:rPr>
        <w:t>En este sentido</w:t>
      </w:r>
      <w:r w:rsidR="00EF3F82">
        <w:rPr>
          <w:rFonts w:ascii="Verdana" w:hAnsi="Verdana" w:cs="Arial"/>
          <w:lang w:eastAsia="x-none"/>
        </w:rPr>
        <w:t>,</w:t>
      </w:r>
      <w:r>
        <w:rPr>
          <w:rFonts w:ascii="Verdana" w:hAnsi="Verdana" w:cs="Arial"/>
          <w:lang w:eastAsia="x-none"/>
        </w:rPr>
        <w:t xml:space="preserve"> la Agencia Nacional de Contratación Pública </w:t>
      </w:r>
      <w:r w:rsidRPr="00066B32">
        <w:rPr>
          <w:rFonts w:ascii="Verdana" w:hAnsi="Verdana" w:cs="Arial"/>
          <w:lang w:eastAsia="x-none"/>
        </w:rPr>
        <w:t xml:space="preserve">– Colombia </w:t>
      </w:r>
      <w:r w:rsidRPr="00360AB5">
        <w:rPr>
          <w:rFonts w:ascii="Verdana" w:hAnsi="Verdana" w:cs="Arial"/>
          <w:lang w:eastAsia="x-none"/>
        </w:rPr>
        <w:t>Compra Eficiente,</w:t>
      </w:r>
      <w:r w:rsidRPr="001D6D08">
        <w:rPr>
          <w:rFonts w:ascii="Verdana" w:hAnsi="Verdana" w:cs="Arial"/>
          <w:lang w:eastAsia="x-none"/>
        </w:rPr>
        <w:t xml:space="preserve"> en </w:t>
      </w:r>
      <w:r w:rsidRPr="00A53A1E">
        <w:rPr>
          <w:rFonts w:ascii="Verdana" w:hAnsi="Verdana" w:cs="Arial"/>
          <w:lang w:eastAsia="x-none"/>
        </w:rPr>
        <w:t>el</w:t>
      </w:r>
      <w:r>
        <w:rPr>
          <w:rFonts w:ascii="Verdana" w:hAnsi="Verdana" w:cs="Arial"/>
          <w:lang w:eastAsia="x-none"/>
        </w:rPr>
        <w:t xml:space="preserve"> concepto </w:t>
      </w:r>
      <w:r w:rsidRPr="004A2E70">
        <w:rPr>
          <w:rFonts w:ascii="Verdana" w:eastAsia="Verdana" w:hAnsi="Verdana" w:cs="Verdana"/>
          <w:bCs/>
        </w:rPr>
        <w:t>C-048 de 2026</w:t>
      </w:r>
      <w:r w:rsidRPr="004A2E70">
        <w:rPr>
          <w:rStyle w:val="Refdenotaalpie"/>
          <w:rFonts w:ascii="Verdana" w:eastAsia="Verdana" w:hAnsi="Verdana" w:cs="Verdana"/>
          <w:bCs/>
        </w:rPr>
        <w:footnoteReference w:id="21"/>
      </w:r>
      <w:r w:rsidRPr="00130C72">
        <w:rPr>
          <w:rFonts w:ascii="Verdana" w:eastAsia="Verdana" w:hAnsi="Verdana" w:cs="Verdana"/>
          <w:bCs/>
        </w:rPr>
        <w:t>,</w:t>
      </w:r>
      <w:r>
        <w:rPr>
          <w:rFonts w:ascii="Verdana" w:eastAsia="Verdana" w:hAnsi="Verdana" w:cs="Verdana"/>
          <w:bCs/>
        </w:rPr>
        <w:t xml:space="preserve"> reitera la anterior postura al sostener que</w:t>
      </w:r>
      <w:r w:rsidRPr="004A2E70">
        <w:rPr>
          <w:rFonts w:ascii="Verdana" w:eastAsia="Verdana" w:hAnsi="Verdana" w:cs="Verdana"/>
          <w:bCs/>
        </w:rPr>
        <w:t xml:space="preserve"> </w:t>
      </w:r>
      <w:r w:rsidRPr="00647D77">
        <w:rPr>
          <w:rFonts w:ascii="Verdana" w:eastAsia="Verdana" w:hAnsi="Verdana" w:cs="Verdana"/>
          <w:i/>
        </w:rPr>
        <w:t>“</w:t>
      </w:r>
      <w:r w:rsidRPr="00095A89">
        <w:rPr>
          <w:rFonts w:ascii="Verdana" w:eastAsia="Times New Roman" w:hAnsi="Verdana" w:cs="Arial"/>
          <w:bCs/>
          <w:lang w:eastAsia="x-none"/>
        </w:rPr>
        <w:t xml:space="preserve">para determinar la aplicación de la restricción prevista en el artículo 33 de la Ley de Garantías Electorales en aquellos sistemas de contratación en los cuales se invita a presentar propuesta […]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461CAD34" w14:textId="77777777" w:rsidR="00503275" w:rsidRPr="00095A89" w:rsidRDefault="00503275" w:rsidP="00503275">
      <w:pPr>
        <w:spacing w:after="120" w:line="276" w:lineRule="auto"/>
        <w:ind w:firstLine="709"/>
        <w:jc w:val="both"/>
        <w:rPr>
          <w:rFonts w:ascii="Verdana" w:hAnsi="Verdana" w:cs="Arial"/>
          <w:lang w:eastAsia="x-none"/>
        </w:rPr>
      </w:pPr>
      <w:r w:rsidRPr="00095A89">
        <w:rPr>
          <w:rFonts w:ascii="Verdana" w:eastAsia="Verdana" w:hAnsi="Verdana" w:cs="Verdana"/>
          <w:bCs/>
        </w:rPr>
        <w:t>“</w:t>
      </w:r>
      <w:r w:rsidRPr="00095A89">
        <w:rPr>
          <w:rFonts w:ascii="Verdana" w:eastAsia="Times New Roman" w:hAnsi="Verdana" w:cs="Arial"/>
          <w:bCs/>
          <w:lang w:eastAsia="x-none"/>
        </w:rPr>
        <w:t xml:space="preserve">En todo caso, las entidades sometidas a regímenes especiales o al derecho privado son responsables de evaluar, en cada caso concreto, si la 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p w14:paraId="552D738A" w14:textId="77777777" w:rsidR="00503275" w:rsidRDefault="00503275" w:rsidP="00503275">
      <w:pPr>
        <w:spacing w:after="120" w:line="276" w:lineRule="auto"/>
        <w:ind w:firstLine="709"/>
        <w:jc w:val="both"/>
        <w:rPr>
          <w:rFonts w:ascii="Verdana" w:hAnsi="Verdana" w:cs="Arial"/>
          <w:lang w:eastAsia="x-none"/>
        </w:rPr>
      </w:pPr>
      <w:r w:rsidRPr="00195E24">
        <w:rPr>
          <w:rFonts w:ascii="Verdana" w:hAnsi="Verdana" w:cs="Arial"/>
          <w:bCs/>
          <w:lang w:eastAsia="x-none"/>
        </w:rPr>
        <w:t xml:space="preserve">De lo anterior se desprende que la restricción aplica, sin perjuicio de las excepciones establecidas en la misma </w:t>
      </w:r>
      <w:r w:rsidRPr="00130C72">
        <w:rPr>
          <w:rFonts w:ascii="Verdana" w:hAnsi="Verdana" w:cs="Arial"/>
          <w:bCs/>
          <w:lang w:eastAsia="x-none"/>
        </w:rPr>
        <w:t>L</w:t>
      </w:r>
      <w:r w:rsidRPr="00195E24">
        <w:rPr>
          <w:rFonts w:ascii="Verdana" w:hAnsi="Verdana" w:cs="Arial"/>
          <w:bCs/>
          <w:lang w:eastAsia="x-none"/>
        </w:rPr>
        <w:t>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r>
        <w:rPr>
          <w:rFonts w:ascii="Verdana" w:hAnsi="Verdana" w:cs="Arial"/>
          <w:lang w:eastAsia="x-none"/>
        </w:rPr>
        <w:t xml:space="preserve"> </w:t>
      </w:r>
    </w:p>
    <w:p w14:paraId="4BB65232" w14:textId="77777777" w:rsidR="00503275" w:rsidRPr="001C073C" w:rsidRDefault="00503275" w:rsidP="00503275">
      <w:pPr>
        <w:spacing w:after="120" w:line="276" w:lineRule="auto"/>
        <w:ind w:firstLine="709"/>
        <w:jc w:val="both"/>
        <w:rPr>
          <w:rFonts w:ascii="Verdana" w:eastAsia="Arial" w:hAnsi="Verdana" w:cs="Arial"/>
          <w:color w:val="1A1A1A" w:themeColor="background1" w:themeShade="1A"/>
          <w:lang w:val="es-ES_tradnl"/>
        </w:rPr>
      </w:pPr>
      <w:r>
        <w:rPr>
          <w:rFonts w:ascii="Verdana" w:hAnsi="Verdana" w:cs="Arial"/>
          <w:lang w:eastAsia="x-none"/>
        </w:rPr>
        <w:t xml:space="preserve">De acuerdo con lo anterior, la celebración del contrato entre una entidad pública y una persona jurídica de naturaleza privada podrá realizarse en el periodo de restricciones electorales de que trata el artículo 33 de la Ley 996 de 2005 siempre que dicha contratación se derive de un proceso de selección distinto a la contratación directa. </w:t>
      </w:r>
      <w:r>
        <w:rPr>
          <w:rFonts w:ascii="Verdana" w:hAnsi="Verdana" w:cs="Arial"/>
          <w:color w:val="1A1A1A" w:themeColor="background1" w:themeShade="1A"/>
          <w:shd w:val="clear" w:color="auto" w:fill="FFFFFF"/>
          <w:lang w:val="es-ES_tradnl"/>
        </w:rPr>
        <w:t>Por lo tanto,</w:t>
      </w:r>
      <w:r w:rsidRPr="008363F8">
        <w:rPr>
          <w:rFonts w:ascii="Verdana" w:hAnsi="Verdana" w:cs="Arial"/>
          <w:color w:val="1A1A1A" w:themeColor="background1" w:themeShade="1A"/>
          <w:shd w:val="clear" w:color="auto" w:fill="FFFFFF"/>
          <w:lang w:val="es-ES_tradnl"/>
        </w:rPr>
        <w:t xml:space="preserve"> en principio </w:t>
      </w:r>
      <w:r>
        <w:rPr>
          <w:rFonts w:ascii="Verdana" w:hAnsi="Verdana" w:cs="Arial"/>
          <w:color w:val="1A1A1A" w:themeColor="background1" w:themeShade="1A"/>
          <w:shd w:val="clear" w:color="auto" w:fill="FFFFFF"/>
          <w:lang w:val="es-ES_tradnl"/>
        </w:rPr>
        <w:t>lo que</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color w:val="1A1A1A" w:themeColor="background1" w:themeShade="1A"/>
          <w:shd w:val="clear" w:color="auto" w:fill="FFFFFF"/>
          <w:lang w:val="es-ES_tradnl"/>
        </w:rPr>
        <w:t xml:space="preserve">está prohibida </w:t>
      </w:r>
      <w:r>
        <w:rPr>
          <w:rFonts w:ascii="Verdana" w:hAnsi="Verdana" w:cs="Arial"/>
          <w:color w:val="1A1A1A" w:themeColor="background1" w:themeShade="1A"/>
          <w:shd w:val="clear" w:color="auto" w:fill="FFFFFF"/>
          <w:lang w:val="es-ES_tradnl"/>
        </w:rPr>
        <w:t>es</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i/>
          <w:iCs/>
          <w:color w:val="1A1A1A" w:themeColor="background1" w:themeShade="1A"/>
          <w:shd w:val="clear" w:color="auto" w:fill="FFFFFF"/>
          <w:lang w:val="es-ES_tradnl"/>
        </w:rPr>
        <w:t>la contratación directa</w:t>
      </w:r>
      <w:r w:rsidRPr="008363F8">
        <w:rPr>
          <w:rFonts w:ascii="Verdana" w:hAnsi="Verdana" w:cs="Arial"/>
          <w:color w:val="1A1A1A" w:themeColor="background1" w:themeShade="1A"/>
          <w:shd w:val="clear" w:color="auto" w:fill="FFFFFF"/>
          <w:lang w:val="es-ES_tradnl"/>
        </w:rPr>
        <w:t xml:space="preserve">, salvo que </w:t>
      </w:r>
      <w:r>
        <w:rPr>
          <w:rFonts w:ascii="Verdana" w:hAnsi="Verdana" w:cs="Arial"/>
          <w:color w:val="1A1A1A" w:themeColor="background1" w:themeShade="1A"/>
          <w:shd w:val="clear" w:color="auto" w:fill="FFFFFF"/>
          <w:lang w:val="es-ES_tradnl"/>
        </w:rPr>
        <w:t>la contratación que se va a realizar se encuadre en alguna de las excepciones consagradas en el mismo artículo. Lo que está permitido en dicha época son los contratos que se</w:t>
      </w:r>
      <w:r w:rsidRPr="00AD294A">
        <w:rPr>
          <w:rFonts w:ascii="Verdana" w:hAnsi="Verdana" w:cs="Arial"/>
          <w:color w:val="1A1A1A" w:themeColor="background1" w:themeShade="1A"/>
          <w:shd w:val="clear" w:color="auto" w:fill="FFFFFF"/>
          <w:lang w:val="es-ES_tradnl"/>
        </w:rPr>
        <w:t xml:space="preserve"> celebr</w:t>
      </w:r>
      <w:r>
        <w:rPr>
          <w:rFonts w:ascii="Verdana" w:hAnsi="Verdana" w:cs="Arial"/>
          <w:color w:val="1A1A1A" w:themeColor="background1" w:themeShade="1A"/>
          <w:shd w:val="clear" w:color="auto" w:fill="FFFFFF"/>
          <w:lang w:val="es-ES_tradnl"/>
        </w:rPr>
        <w:t xml:space="preserve">en </w:t>
      </w:r>
      <w:r w:rsidRPr="008363F8">
        <w:rPr>
          <w:rFonts w:ascii="Verdana" w:hAnsi="Verdana" w:cs="Arial"/>
          <w:i/>
          <w:iCs/>
          <w:color w:val="1A1A1A" w:themeColor="background1" w:themeShade="1A"/>
          <w:shd w:val="clear" w:color="auto" w:fill="FFFFFF"/>
          <w:lang w:val="es-ES_tradnl"/>
        </w:rPr>
        <w:t>de manera competitiva</w:t>
      </w:r>
      <w:r>
        <w:rPr>
          <w:rFonts w:ascii="Verdana" w:hAnsi="Verdana" w:cs="Arial"/>
          <w:i/>
          <w:iCs/>
          <w:color w:val="1A1A1A" w:themeColor="background1" w:themeShade="1A"/>
          <w:shd w:val="clear" w:color="auto" w:fill="FFFFFF"/>
          <w:lang w:val="es-ES_tradnl"/>
        </w:rPr>
        <w:t xml:space="preserve">. </w:t>
      </w:r>
    </w:p>
    <w:p w14:paraId="3F467D03" w14:textId="40980B53" w:rsidR="00C80DC7" w:rsidRDefault="00503275" w:rsidP="00503275">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80CA4">
        <w:rPr>
          <w:rFonts w:ascii="Verdana" w:eastAsia="Times New Roman" w:hAnsi="Verdana" w:cs="Arial"/>
          <w:bCs/>
          <w:lang w:eastAsia="es-CO"/>
        </w:rPr>
        <w:t xml:space="preserve"> </w:t>
      </w:r>
      <w:r w:rsidR="00C80DC7">
        <w:rPr>
          <w:rFonts w:ascii="Verdana" w:eastAsia="Times New Roman" w:hAnsi="Verdana" w:cs="Arial"/>
          <w:bCs/>
          <w:lang w:eastAsia="es-CO"/>
        </w:rPr>
        <w:t>En el marco de lo expuesto, e</w:t>
      </w:r>
      <w:r w:rsidR="00C80DC7" w:rsidRPr="00380CA4">
        <w:rPr>
          <w:rFonts w:ascii="Verdana" w:eastAsia="Times New Roman" w:hAnsi="Verdana" w:cs="Arial"/>
          <w:bCs/>
          <w:lang w:eastAsia="es-CO"/>
        </w:rPr>
        <w:t xml:space="preserve">s </w:t>
      </w:r>
      <w:r w:rsidRPr="00380CA4">
        <w:rPr>
          <w:rFonts w:ascii="Verdana" w:eastAsia="Times New Roman" w:hAnsi="Verdana" w:cs="Arial"/>
          <w:bCs/>
          <w:lang w:eastAsia="es-CO"/>
        </w:rPr>
        <w:t xml:space="preserve">responsabilidad del respectivo ente del Estado, examinar en cada caso la naturaleza de las actividades que adelanta y determinar si las mismas se enmarcan en alguna de las mencionadas excepciones, de manera que se le permita realizar </w:t>
      </w:r>
      <w:r>
        <w:rPr>
          <w:rFonts w:ascii="Verdana" w:eastAsia="Times New Roman" w:hAnsi="Verdana" w:cs="Arial"/>
          <w:bCs/>
          <w:lang w:eastAsia="es-CO"/>
        </w:rPr>
        <w:t xml:space="preserve">la contratación que necesite de </w:t>
      </w:r>
      <w:r w:rsidRPr="00380CA4">
        <w:rPr>
          <w:rFonts w:ascii="Verdana" w:eastAsia="Times New Roman" w:hAnsi="Verdana" w:cs="Arial"/>
          <w:bCs/>
          <w:lang w:eastAsia="es-CO"/>
        </w:rPr>
        <w:t>forma directa.</w:t>
      </w:r>
      <w:r>
        <w:rPr>
          <w:rFonts w:ascii="Verdana" w:eastAsia="Times New Roman" w:hAnsi="Verdana" w:cs="Arial"/>
          <w:bCs/>
          <w:lang w:eastAsia="es-CO"/>
        </w:rPr>
        <w:t xml:space="preserve"> </w:t>
      </w:r>
    </w:p>
    <w:p w14:paraId="64AE1ABA" w14:textId="6FC21DB8" w:rsidR="00C80DC7" w:rsidRDefault="00C80DC7" w:rsidP="00342D6A">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80CA4">
        <w:rPr>
          <w:rFonts w:ascii="Verdana" w:eastAsia="Calibri" w:hAnsi="Verdana" w:cs="Arial"/>
          <w:vertAlign w:val="superscript"/>
        </w:rPr>
        <w:footnoteReference w:id="22"/>
      </w:r>
      <w:r w:rsidRPr="00380CA4">
        <w:rPr>
          <w:rFonts w:ascii="Verdana" w:eastAsia="Times New Roman" w:hAnsi="Verdana" w:cs="Arial"/>
          <w:bCs/>
          <w:lang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C7C1292" w14:textId="4330B96E" w:rsidR="00503275" w:rsidRPr="00380CA4" w:rsidRDefault="00503275" w:rsidP="00503275">
      <w:pPr>
        <w:spacing w:after="120" w:line="276" w:lineRule="auto"/>
        <w:ind w:firstLine="708"/>
        <w:jc w:val="both"/>
        <w:rPr>
          <w:rFonts w:ascii="Verdana" w:eastAsia="Times New Roman" w:hAnsi="Verdana" w:cs="Arial"/>
          <w:bCs/>
          <w:lang w:eastAsia="es-CO"/>
        </w:rPr>
      </w:pPr>
      <w:r w:rsidRPr="00BB6120">
        <w:rPr>
          <w:rFonts w:ascii="Verdana" w:eastAsia="Times New Roman" w:hAnsi="Verdana" w:cs="Arial"/>
          <w:bCs/>
          <w:lang w:val="es-MX" w:eastAsia="es-CO"/>
        </w:rPr>
        <w:t xml:space="preserve">Así mismo, la Corte Constitucional en la Sentencia C-1153 de 2005 señaló que la expresión </w:t>
      </w:r>
      <w:r w:rsidRPr="00BB6120">
        <w:rPr>
          <w:rFonts w:ascii="Verdana" w:eastAsia="Times New Roman" w:hAnsi="Verdana" w:cs="Times New Roman"/>
          <w:i/>
          <w:iCs/>
          <w:lang w:val="es-ES" w:eastAsia="es-ES"/>
        </w:rPr>
        <w:t xml:space="preserve">“adicionalmente se exceptúan aquellos gastos inaplazables e imprescindibles que afecten el normal funcionamiento de la administración” </w:t>
      </w:r>
      <w:r w:rsidRPr="00BB6120">
        <w:rPr>
          <w:rFonts w:ascii="Verdana" w:eastAsia="Times New Roman" w:hAnsi="Verdana" w:cs="Times New Roman"/>
          <w:iCs/>
          <w:lang w:val="es-ES" w:eastAsia="es-ES"/>
        </w:rPr>
        <w:t>regulada como excepción en el artículo 33</w:t>
      </w:r>
      <w:r w:rsidRPr="00BB6120">
        <w:rPr>
          <w:rFonts w:ascii="Verdana" w:eastAsia="Times New Roman" w:hAnsi="Verdana" w:cs="Times New Roman"/>
          <w:i/>
          <w:iCs/>
          <w:lang w:val="es-ES" w:eastAsia="es-ES"/>
        </w:rPr>
        <w:t xml:space="preserve"> </w:t>
      </w:r>
      <w:r w:rsidRPr="00BB6120">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BB6120">
        <w:rPr>
          <w:rFonts w:ascii="Verdana" w:eastAsia="Times New Roman" w:hAnsi="Verdana" w:cs="Times New Roman"/>
          <w:i/>
          <w:iCs/>
          <w:lang w:val="es-ES" w:eastAsia="es-ES"/>
        </w:rPr>
        <w:t xml:space="preserve"> </w:t>
      </w:r>
      <w:r w:rsidRPr="00BB6120">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0F7BC730" w14:textId="5B56D8A3" w:rsidR="00503275" w:rsidRDefault="00503275" w:rsidP="00C80DC7">
      <w:pPr>
        <w:spacing w:after="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0CA4">
        <w:rPr>
          <w:rFonts w:ascii="Verdana" w:eastAsia="Calibri" w:hAnsi="Verdana" w:cs="Arial"/>
          <w:sz w:val="24"/>
        </w:rPr>
        <w:t xml:space="preserve"> </w:t>
      </w:r>
      <w:r w:rsidRPr="00380CA4">
        <w:rPr>
          <w:rFonts w:ascii="Verdana" w:eastAsia="Times New Roman" w:hAnsi="Verdana" w:cs="Arial"/>
          <w:bCs/>
          <w:lang w:eastAsia="x-none"/>
        </w:rPr>
        <w:t>En efecto, tal como lo ha sostenido el Consejo de Estado, el vocablo “todos” utilizado por el legislador comprende</w:t>
      </w:r>
      <w:r w:rsidRPr="00380CA4">
        <w:rPr>
          <w:rFonts w:ascii="Verdana" w:eastAsia="Calibri" w:hAnsi="Verdana" w:cs="Arial"/>
          <w:sz w:val="24"/>
        </w:rPr>
        <w:t xml:space="preserve"> </w:t>
      </w:r>
      <w:r w:rsidRPr="00380CA4">
        <w:rPr>
          <w:rFonts w:ascii="Verdana" w:eastAsia="Times New Roman"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La Sala de Consulta y Servicio Civil del Consejo de Estado, en Concepto 1727 de fecha 20 de febrero de 2006, consideró que: </w:t>
      </w:r>
    </w:p>
    <w:p w14:paraId="2DC1D1A3" w14:textId="77777777" w:rsidR="00C80DC7" w:rsidRPr="00380CA4" w:rsidRDefault="00C80DC7" w:rsidP="00342D6A">
      <w:pPr>
        <w:spacing w:after="0" w:line="276" w:lineRule="auto"/>
        <w:ind w:firstLine="708"/>
        <w:jc w:val="both"/>
        <w:rPr>
          <w:rFonts w:ascii="Verdana" w:eastAsia="Times New Roman" w:hAnsi="Verdana" w:cs="Arial"/>
          <w:bCs/>
          <w:lang w:eastAsia="x-none"/>
        </w:rPr>
      </w:pPr>
    </w:p>
    <w:p w14:paraId="1A9523DA" w14:textId="26ECF103" w:rsidR="00503275" w:rsidRDefault="00C80DC7" w:rsidP="00503275">
      <w:pPr>
        <w:spacing w:after="0" w:line="240" w:lineRule="auto"/>
        <w:ind w:left="708"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x-none"/>
        </w:rPr>
        <w:t>“</w:t>
      </w:r>
      <w:r w:rsidR="00503275" w:rsidRPr="00625764">
        <w:rPr>
          <w:rFonts w:ascii="Verdana" w:eastAsia="Times New Roman" w:hAnsi="Verdana" w:cs="Arial"/>
          <w:bCs/>
          <w:sz w:val="20"/>
          <w:szCs w:val="20"/>
          <w:lang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eastAsia="Times New Roman" w:hAnsi="Verdana" w:cs="Arial"/>
          <w:bCs/>
          <w:sz w:val="20"/>
          <w:szCs w:val="20"/>
          <w:lang w:eastAsia="x-none"/>
        </w:rPr>
        <w:t>”</w:t>
      </w:r>
      <w:r w:rsidR="00503275" w:rsidRPr="00625764">
        <w:rPr>
          <w:rFonts w:ascii="Verdana" w:eastAsia="Times New Roman" w:hAnsi="Verdana" w:cs="Arial"/>
          <w:bCs/>
          <w:sz w:val="20"/>
          <w:szCs w:val="20"/>
          <w:vertAlign w:val="superscript"/>
          <w:lang w:eastAsia="x-none"/>
        </w:rPr>
        <w:footnoteReference w:id="23"/>
      </w:r>
      <w:r w:rsidR="00503275" w:rsidRPr="00625764">
        <w:rPr>
          <w:rFonts w:ascii="Verdana" w:eastAsia="Times New Roman" w:hAnsi="Verdana" w:cs="Arial"/>
          <w:bCs/>
          <w:sz w:val="20"/>
          <w:szCs w:val="20"/>
          <w:lang w:eastAsia="x-none"/>
        </w:rPr>
        <w:t>.</w:t>
      </w:r>
      <w:r w:rsidR="00503275" w:rsidRPr="00625764">
        <w:rPr>
          <w:rFonts w:ascii="Verdana" w:eastAsia="Times New Roman" w:hAnsi="Verdana" w:cs="Arial"/>
          <w:bCs/>
          <w:sz w:val="20"/>
          <w:szCs w:val="20"/>
          <w:lang w:eastAsia="es-CO"/>
        </w:rPr>
        <w:t xml:space="preserve"> </w:t>
      </w:r>
    </w:p>
    <w:p w14:paraId="668D2A80" w14:textId="77777777" w:rsidR="00503275" w:rsidRPr="00B81263" w:rsidRDefault="00503275">
      <w:pPr>
        <w:spacing w:after="0" w:line="240" w:lineRule="auto"/>
        <w:ind w:left="708" w:right="709"/>
        <w:jc w:val="both"/>
        <w:rPr>
          <w:rFonts w:ascii="Verdana" w:eastAsia="Times New Roman" w:hAnsi="Verdana" w:cs="Arial"/>
          <w:bCs/>
          <w:sz w:val="20"/>
          <w:szCs w:val="20"/>
          <w:lang w:eastAsia="es-CO"/>
        </w:rPr>
      </w:pPr>
    </w:p>
    <w:p w14:paraId="50A45534" w14:textId="4B6EC6B5" w:rsidR="00503275" w:rsidRDefault="00503275" w:rsidP="00C80DC7">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24"/>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73C9ECD6" w14:textId="77777777" w:rsidR="00C80DC7" w:rsidRPr="00380CA4" w:rsidRDefault="00C80DC7" w:rsidP="00342D6A">
      <w:pPr>
        <w:spacing w:after="0" w:line="276" w:lineRule="auto"/>
        <w:ind w:firstLine="708"/>
        <w:jc w:val="both"/>
        <w:rPr>
          <w:rFonts w:ascii="Verdana" w:eastAsia="Calibri" w:hAnsi="Verdana" w:cs="Arial"/>
        </w:rPr>
      </w:pPr>
    </w:p>
    <w:p w14:paraId="4B658A86" w14:textId="3F336FC3" w:rsidR="00503275" w:rsidRPr="00380CA4" w:rsidRDefault="00C80DC7" w:rsidP="00503275">
      <w:pPr>
        <w:spacing w:after="0" w:line="240" w:lineRule="auto"/>
        <w:ind w:left="708" w:right="709"/>
        <w:jc w:val="both"/>
        <w:rPr>
          <w:rFonts w:ascii="Verdana" w:eastAsia="Calibri" w:hAnsi="Verdana" w:cs="Arial"/>
          <w:sz w:val="20"/>
          <w:szCs w:val="20"/>
        </w:rPr>
      </w:pPr>
      <w:r>
        <w:rPr>
          <w:rFonts w:ascii="Verdana" w:eastAsia="Calibri" w:hAnsi="Verdana" w:cs="Arial"/>
          <w:sz w:val="20"/>
          <w:szCs w:val="20"/>
        </w:rPr>
        <w:t>“</w:t>
      </w:r>
      <w:r w:rsidR="00503275" w:rsidRPr="00380CA4">
        <w:rPr>
          <w:rFonts w:ascii="Verdana" w:eastAsia="Calibri" w:hAnsi="Verdana" w:cs="Arial"/>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1802055" w14:textId="77777777" w:rsidR="00503275" w:rsidRPr="00380CA4" w:rsidRDefault="00503275" w:rsidP="00503275">
      <w:pPr>
        <w:spacing w:after="0" w:line="240" w:lineRule="auto"/>
        <w:ind w:left="708" w:right="709"/>
        <w:jc w:val="both"/>
        <w:rPr>
          <w:rFonts w:ascii="Verdana" w:eastAsia="Calibri" w:hAnsi="Verdana" w:cs="Arial"/>
          <w:sz w:val="20"/>
          <w:szCs w:val="20"/>
        </w:rPr>
      </w:pPr>
    </w:p>
    <w:p w14:paraId="7B6514B2" w14:textId="205AB0E7" w:rsidR="00503275" w:rsidRDefault="00503275" w:rsidP="00503275">
      <w:pPr>
        <w:spacing w:after="0" w:line="240" w:lineRule="auto"/>
        <w:ind w:left="708" w:right="709"/>
        <w:jc w:val="both"/>
        <w:rPr>
          <w:rFonts w:ascii="Verdana" w:eastAsia="Times New Roman" w:hAnsi="Verdana" w:cs="Arial"/>
          <w:bCs/>
          <w:sz w:val="20"/>
          <w:szCs w:val="20"/>
          <w:lang w:eastAsia="x-none"/>
        </w:rPr>
      </w:pPr>
      <w:r w:rsidRPr="00380CA4">
        <w:rPr>
          <w:rFonts w:ascii="Verdana" w:eastAsia="Times New Roman" w:hAnsi="Verdana" w:cs="Arial"/>
          <w:bCs/>
          <w:sz w:val="20"/>
          <w:szCs w:val="20"/>
          <w:lang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00C80DC7">
        <w:rPr>
          <w:rFonts w:ascii="Verdana" w:eastAsia="Times New Roman" w:hAnsi="Verdana" w:cs="Arial"/>
          <w:bCs/>
          <w:sz w:val="20"/>
          <w:szCs w:val="20"/>
          <w:lang w:eastAsia="x-none"/>
        </w:rPr>
        <w:t>”</w:t>
      </w:r>
      <w:r w:rsidRPr="00380CA4">
        <w:rPr>
          <w:rFonts w:ascii="Verdana" w:eastAsia="Calibri" w:hAnsi="Verdana" w:cs="Arial"/>
          <w:sz w:val="20"/>
          <w:szCs w:val="20"/>
          <w:vertAlign w:val="superscript"/>
        </w:rPr>
        <w:footnoteReference w:id="25"/>
      </w:r>
      <w:r w:rsidRPr="00380CA4">
        <w:rPr>
          <w:rFonts w:ascii="Verdana" w:eastAsia="Times New Roman" w:hAnsi="Verdana" w:cs="Arial"/>
          <w:bCs/>
          <w:sz w:val="20"/>
          <w:szCs w:val="20"/>
          <w:lang w:eastAsia="x-none"/>
        </w:rPr>
        <w:t>.</w:t>
      </w:r>
    </w:p>
    <w:p w14:paraId="6FD7FD3A" w14:textId="77777777" w:rsidR="00503275" w:rsidRPr="005D40F0" w:rsidRDefault="00503275" w:rsidP="00342D6A">
      <w:pPr>
        <w:spacing w:after="0" w:line="276" w:lineRule="auto"/>
        <w:ind w:left="708" w:right="709"/>
        <w:jc w:val="both"/>
        <w:rPr>
          <w:rFonts w:ascii="Verdana" w:eastAsia="Calibri" w:hAnsi="Verdana" w:cs="Arial"/>
          <w:sz w:val="20"/>
          <w:szCs w:val="20"/>
        </w:rPr>
      </w:pPr>
    </w:p>
    <w:p w14:paraId="4C1A90FB" w14:textId="6C0B93EA" w:rsidR="00503275" w:rsidRDefault="00503275" w:rsidP="00843300">
      <w:pPr>
        <w:spacing w:after="0" w:line="276" w:lineRule="auto"/>
        <w:ind w:firstLine="709"/>
        <w:jc w:val="both"/>
        <w:rPr>
          <w:rFonts w:ascii="Verdana" w:eastAsia="Calibri" w:hAnsi="Verdana" w:cs="Arial"/>
          <w:lang w:val="es-MX"/>
        </w:rPr>
      </w:pPr>
      <w:r w:rsidRPr="00380CA4">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rPr>
        <w:t>l</w:t>
      </w:r>
      <w:r w:rsidRPr="00C15179">
        <w:rPr>
          <w:rFonts w:ascii="Verdana" w:eastAsia="Times New Roman" w:hAnsi="Verdana" w:cs="Arial"/>
          <w:bCs/>
          <w:lang w:val="es-ES" w:eastAsia="es-CO"/>
        </w:rPr>
        <w:t>a Sala de Consulta y Servicio Civil del Consejo de Estado h</w:t>
      </w:r>
      <w:r>
        <w:rPr>
          <w:rFonts w:ascii="Verdana" w:eastAsia="Times New Roman" w:hAnsi="Verdana" w:cs="Arial"/>
          <w:bCs/>
          <w:lang w:val="es-ES" w:eastAsia="es-CO"/>
        </w:rPr>
        <w:t>a indicado</w:t>
      </w:r>
      <w:r w:rsidRPr="00C15179">
        <w:rPr>
          <w:rFonts w:ascii="Verdana" w:eastAsia="Times New Roman" w:hAnsi="Verdana" w:cs="Arial"/>
          <w:bCs/>
          <w:lang w:val="es-ES" w:eastAsia="es-CO"/>
        </w:rPr>
        <w:t xml:space="preserve">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133674FE" w14:textId="77777777" w:rsidR="00843300" w:rsidRPr="00B81263" w:rsidRDefault="00843300" w:rsidP="00342D6A">
      <w:pPr>
        <w:spacing w:after="0" w:line="276" w:lineRule="auto"/>
        <w:ind w:firstLine="709"/>
        <w:jc w:val="both"/>
        <w:rPr>
          <w:rFonts w:ascii="Verdana" w:eastAsiaTheme="minorEastAsia" w:hAnsi="Verdana" w:cs="Arial"/>
          <w:lang w:eastAsia="es-CO"/>
        </w:rPr>
      </w:pPr>
    </w:p>
    <w:p w14:paraId="3238D137" w14:textId="77777777" w:rsidR="00503275" w:rsidRPr="00342D6A" w:rsidRDefault="00503275" w:rsidP="00503275">
      <w:pPr>
        <w:spacing w:after="0" w:line="240" w:lineRule="auto"/>
        <w:ind w:left="709" w:right="709"/>
        <w:jc w:val="both"/>
        <w:rPr>
          <w:rFonts w:ascii="Verdana" w:eastAsia="Times New Roman" w:hAnsi="Verdana" w:cs="Arial"/>
          <w:sz w:val="20"/>
          <w:szCs w:val="20"/>
          <w:lang w:eastAsia="es-CO"/>
        </w:rPr>
      </w:pPr>
      <w:r w:rsidRPr="00843300">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que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843300">
        <w:rPr>
          <w:rFonts w:ascii="Verdana" w:eastAsia="Calibri" w:hAnsi="Verdana" w:cs="Arial"/>
          <w:sz w:val="20"/>
          <w:szCs w:val="20"/>
        </w:rPr>
        <w:t>etc</w:t>
      </w:r>
      <w:proofErr w:type="spellEnd"/>
      <w:r w:rsidRPr="00342D6A">
        <w:rPr>
          <w:rFonts w:ascii="Verdana" w:eastAsia="Calibri" w:hAnsi="Verdana" w:cs="Arial"/>
          <w:sz w:val="20"/>
          <w:szCs w:val="20"/>
          <w:lang w:val="es-MX"/>
        </w:rPr>
        <w:t>”</w:t>
      </w:r>
      <w:r w:rsidRPr="00342D6A">
        <w:rPr>
          <w:rFonts w:ascii="Verdana" w:eastAsia="Calibri" w:hAnsi="Verdana" w:cs="Arial"/>
          <w:sz w:val="20"/>
          <w:szCs w:val="20"/>
          <w:vertAlign w:val="superscript"/>
          <w:lang w:val="es-MX"/>
        </w:rPr>
        <w:footnoteReference w:id="26"/>
      </w:r>
      <w:r w:rsidRPr="00342D6A">
        <w:rPr>
          <w:rFonts w:ascii="Verdana" w:eastAsia="Calibri" w:hAnsi="Verdana" w:cs="Arial"/>
          <w:sz w:val="20"/>
          <w:szCs w:val="20"/>
          <w:lang w:val="es-MX"/>
        </w:rPr>
        <w:t>.</w:t>
      </w:r>
      <w:r w:rsidRPr="00342D6A">
        <w:rPr>
          <w:rFonts w:ascii="Verdana" w:eastAsia="Times New Roman" w:hAnsi="Verdana" w:cs="Arial"/>
          <w:sz w:val="20"/>
          <w:szCs w:val="20"/>
          <w:lang w:eastAsia="es-CO"/>
        </w:rPr>
        <w:t xml:space="preserve"> </w:t>
      </w:r>
    </w:p>
    <w:p w14:paraId="48BEF143" w14:textId="77777777" w:rsidR="00503275" w:rsidRDefault="00503275">
      <w:pPr>
        <w:spacing w:after="0" w:line="276" w:lineRule="auto"/>
        <w:ind w:left="709" w:right="709"/>
        <w:jc w:val="both"/>
        <w:rPr>
          <w:rFonts w:ascii="Verdana" w:eastAsia="Calibri" w:hAnsi="Verdana" w:cs="Arial"/>
          <w:sz w:val="20"/>
          <w:szCs w:val="20"/>
        </w:rPr>
      </w:pPr>
    </w:p>
    <w:p w14:paraId="603A7FB7" w14:textId="77777777" w:rsidR="00503275" w:rsidRDefault="00503275">
      <w:pPr>
        <w:spacing w:after="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3F426A4B" w14:textId="77777777" w:rsidR="00503275" w:rsidRPr="00C15525" w:rsidRDefault="00503275" w:rsidP="00342D6A">
      <w:pPr>
        <w:spacing w:after="0" w:line="276" w:lineRule="auto"/>
        <w:ind w:firstLine="709"/>
        <w:jc w:val="both"/>
        <w:rPr>
          <w:rFonts w:ascii="Verdana" w:eastAsia="Arial" w:hAnsi="Verdana" w:cs="Arial"/>
          <w:lang w:val="es-ES" w:eastAsia="es-ES" w:bidi="es-ES"/>
        </w:rPr>
      </w:pPr>
    </w:p>
    <w:p w14:paraId="507C28D6" w14:textId="23321FED" w:rsidR="00503275" w:rsidRPr="00C15525" w:rsidRDefault="00AE6186" w:rsidP="00342D6A">
      <w:pPr>
        <w:widowControl w:val="0"/>
        <w:autoSpaceDE w:val="0"/>
        <w:autoSpaceDN w:val="0"/>
        <w:spacing w:after="0" w:line="240" w:lineRule="auto"/>
        <w:ind w:left="709" w:right="709"/>
        <w:jc w:val="both"/>
        <w:rPr>
          <w:rFonts w:ascii="Verdana" w:hAnsi="Verdana" w:cs="Arial"/>
          <w:sz w:val="20"/>
          <w:szCs w:val="20"/>
        </w:rPr>
      </w:pPr>
      <w:r>
        <w:rPr>
          <w:rFonts w:ascii="Verdana" w:hAnsi="Verdana" w:cs="Arial"/>
          <w:sz w:val="20"/>
          <w:szCs w:val="20"/>
        </w:rPr>
        <w:t>“</w:t>
      </w:r>
      <w:r w:rsidR="00503275"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46376CFD" w14:textId="133751A1" w:rsidR="00503275" w:rsidRPr="00C15525" w:rsidRDefault="00503275" w:rsidP="00503275">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575CF82E" w14:textId="77777777" w:rsidR="00503275" w:rsidRPr="00C15525" w:rsidRDefault="00503275" w:rsidP="00503275">
      <w:pPr>
        <w:widowControl w:val="0"/>
        <w:autoSpaceDE w:val="0"/>
        <w:autoSpaceDN w:val="0"/>
        <w:spacing w:after="0" w:line="240" w:lineRule="auto"/>
        <w:ind w:left="709" w:right="709"/>
        <w:jc w:val="both"/>
        <w:rPr>
          <w:rFonts w:ascii="Verdana" w:hAnsi="Verdana" w:cs="Arial"/>
          <w:sz w:val="20"/>
          <w:szCs w:val="20"/>
        </w:rPr>
      </w:pPr>
    </w:p>
    <w:p w14:paraId="24A9E77C" w14:textId="307D7A10" w:rsidR="00503275" w:rsidRPr="00C15525" w:rsidRDefault="00503275" w:rsidP="00503275">
      <w:pPr>
        <w:widowControl w:val="0"/>
        <w:autoSpaceDE w:val="0"/>
        <w:autoSpaceDN w:val="0"/>
        <w:spacing w:after="0" w:line="240" w:lineRule="auto"/>
        <w:ind w:left="709" w:right="709"/>
        <w:jc w:val="both"/>
        <w:rPr>
          <w:rFonts w:ascii="Verdana" w:hAnsi="Verdana" w:cs="Arial"/>
        </w:rPr>
      </w:pPr>
      <w:bookmarkStart w:id="3"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3"/>
      <w:r w:rsidR="00D55D28">
        <w:rPr>
          <w:rFonts w:ascii="Verdana" w:hAnsi="Verdana" w:cs="Arial"/>
          <w:sz w:val="20"/>
          <w:szCs w:val="20"/>
        </w:rPr>
        <w:t>”</w:t>
      </w:r>
      <w:r w:rsidRPr="00C15525">
        <w:rPr>
          <w:rFonts w:ascii="Verdana" w:hAnsi="Verdana" w:cs="Arial"/>
          <w:sz w:val="20"/>
          <w:szCs w:val="20"/>
          <w:vertAlign w:val="superscript"/>
        </w:rPr>
        <w:footnoteReference w:id="27"/>
      </w:r>
      <w:r w:rsidRPr="00C15525">
        <w:rPr>
          <w:rFonts w:ascii="Verdana" w:hAnsi="Verdana" w:cs="Arial"/>
          <w:sz w:val="20"/>
          <w:szCs w:val="20"/>
        </w:rPr>
        <w:t xml:space="preserve">. </w:t>
      </w:r>
    </w:p>
    <w:p w14:paraId="252253AB" w14:textId="77777777" w:rsidR="00503275" w:rsidRPr="00C15525" w:rsidRDefault="00503275" w:rsidP="00503275">
      <w:pPr>
        <w:widowControl w:val="0"/>
        <w:autoSpaceDE w:val="0"/>
        <w:autoSpaceDN w:val="0"/>
        <w:spacing w:after="0" w:line="276" w:lineRule="auto"/>
        <w:jc w:val="both"/>
        <w:rPr>
          <w:rFonts w:ascii="Verdana" w:eastAsia="Arial" w:hAnsi="Verdana" w:cs="Arial"/>
          <w:lang w:val="es-ES" w:eastAsia="es-ES" w:bidi="es-ES"/>
        </w:rPr>
      </w:pPr>
    </w:p>
    <w:p w14:paraId="30F095DF" w14:textId="77777777" w:rsidR="00503275" w:rsidRPr="000E03E2" w:rsidRDefault="00503275" w:rsidP="00503275">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18B2622F" w14:textId="77777777" w:rsidR="00503275" w:rsidRPr="006177F8" w:rsidRDefault="00503275" w:rsidP="00503275">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0E6D5435" w14:textId="77777777" w:rsidR="00503275" w:rsidRPr="006177F8" w:rsidRDefault="00503275" w:rsidP="00503275">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4"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4"/>
      <w:r w:rsidRPr="006177F8">
        <w:rPr>
          <w:rFonts w:ascii="Verdana" w:eastAsia="Arial" w:hAnsi="Verdana" w:cs="Arial"/>
          <w:vertAlign w:val="superscript"/>
          <w:lang w:val="es-ES" w:eastAsia="es-ES" w:bidi="es-ES"/>
        </w:rPr>
        <w:footnoteReference w:id="28"/>
      </w:r>
      <w:r w:rsidRPr="006177F8">
        <w:rPr>
          <w:rFonts w:ascii="Verdana" w:eastAsia="Arial" w:hAnsi="Verdana" w:cs="Arial"/>
          <w:lang w:val="es-ES" w:eastAsia="es-ES" w:bidi="es-ES"/>
        </w:rPr>
        <w:t>. Al respecto, dicho Concepto expresa:</w:t>
      </w:r>
    </w:p>
    <w:p w14:paraId="13443266" w14:textId="77777777" w:rsidR="00503275" w:rsidRPr="006177F8" w:rsidRDefault="00503275" w:rsidP="00503275">
      <w:pPr>
        <w:spacing w:after="0" w:line="276" w:lineRule="auto"/>
        <w:ind w:firstLine="709"/>
        <w:jc w:val="both"/>
        <w:rPr>
          <w:rFonts w:ascii="Verdana" w:eastAsia="Arial" w:hAnsi="Verdana" w:cs="Arial"/>
          <w:lang w:val="es-ES" w:eastAsia="es-ES" w:bidi="es-ES"/>
        </w:rPr>
      </w:pPr>
    </w:p>
    <w:p w14:paraId="3A4E2EEC" w14:textId="1FD7BF6A" w:rsidR="00503275" w:rsidRDefault="00503275" w:rsidP="00503275">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32D6FE4E" w14:textId="77777777" w:rsidR="00BB132C" w:rsidRPr="006177F8" w:rsidRDefault="00BB132C" w:rsidP="00503275">
      <w:pPr>
        <w:spacing w:after="0" w:line="240" w:lineRule="auto"/>
        <w:ind w:left="709" w:right="709"/>
        <w:jc w:val="both"/>
        <w:rPr>
          <w:rFonts w:ascii="Verdana" w:eastAsia="Arial" w:hAnsi="Verdana" w:cs="Arial"/>
          <w:sz w:val="20"/>
          <w:lang w:eastAsia="es-ES" w:bidi="es-ES"/>
        </w:rPr>
      </w:pPr>
    </w:p>
    <w:p w14:paraId="646AF297" w14:textId="7CE6C408" w:rsidR="00503275" w:rsidRDefault="00503275" w:rsidP="00503275">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3BFB74F9" w14:textId="77777777" w:rsidR="00BB132C" w:rsidRPr="006177F8" w:rsidRDefault="00BB132C" w:rsidP="00503275">
      <w:pPr>
        <w:spacing w:after="0" w:line="240" w:lineRule="auto"/>
        <w:ind w:left="709" w:right="709"/>
        <w:jc w:val="both"/>
        <w:rPr>
          <w:rFonts w:ascii="Verdana" w:eastAsia="Arial" w:hAnsi="Verdana" w:cs="Arial"/>
          <w:sz w:val="20"/>
          <w:lang w:eastAsia="es-ES" w:bidi="es-ES"/>
        </w:rPr>
      </w:pPr>
    </w:p>
    <w:p w14:paraId="75E98968" w14:textId="18DE14A9" w:rsidR="00503275" w:rsidRDefault="00503275" w:rsidP="00503275">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2"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r w:rsidR="00BB132C">
        <w:rPr>
          <w:rFonts w:ascii="Verdana" w:eastAsia="Arial" w:hAnsi="Verdana" w:cs="Arial"/>
          <w:sz w:val="20"/>
          <w:lang w:eastAsia="es-ES" w:bidi="es-ES"/>
        </w:rPr>
        <w:t xml:space="preserve">. </w:t>
      </w:r>
    </w:p>
    <w:p w14:paraId="1ACB63D3" w14:textId="77777777" w:rsidR="00BB132C" w:rsidRPr="006177F8" w:rsidRDefault="00BB132C" w:rsidP="00503275">
      <w:pPr>
        <w:spacing w:after="0" w:line="240" w:lineRule="auto"/>
        <w:ind w:left="709" w:right="709"/>
        <w:jc w:val="both"/>
        <w:rPr>
          <w:rFonts w:ascii="Verdana" w:eastAsia="Arial" w:hAnsi="Verdana" w:cs="Arial"/>
          <w:sz w:val="20"/>
          <w:lang w:eastAsia="es-ES" w:bidi="es-ES"/>
        </w:rPr>
      </w:pPr>
    </w:p>
    <w:p w14:paraId="1B4952F8" w14:textId="77777777" w:rsidR="00503275" w:rsidRDefault="00503275" w:rsidP="00503275">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3"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4"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5"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6700B50E" w14:textId="77777777" w:rsidR="00503275" w:rsidRPr="005D40F0" w:rsidRDefault="00503275" w:rsidP="00503275">
      <w:pPr>
        <w:spacing w:after="0" w:line="240" w:lineRule="auto"/>
        <w:ind w:left="709" w:right="709"/>
        <w:jc w:val="both"/>
        <w:rPr>
          <w:rFonts w:ascii="Verdana" w:eastAsia="Arial" w:hAnsi="Verdana" w:cs="Arial"/>
          <w:sz w:val="20"/>
          <w:lang w:eastAsia="es-ES" w:bidi="es-ES"/>
        </w:rPr>
      </w:pPr>
    </w:p>
    <w:p w14:paraId="212EC66F" w14:textId="77777777" w:rsidR="00503275" w:rsidRDefault="00503275" w:rsidP="00503275">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1A7F5CD4" w14:textId="77777777" w:rsidR="00503275" w:rsidRPr="00380CA4" w:rsidRDefault="00503275" w:rsidP="00503275">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es-CO"/>
        </w:rPr>
        <w:t>Sin perjuicio de estos pronunciamientos de la Sala de Consulta y Servicio Civil</w:t>
      </w:r>
      <w:r w:rsidRPr="00380CA4">
        <w:rPr>
          <w:rFonts w:ascii="Verdana" w:eastAsia="Calibri" w:hAnsi="Verdana" w:cs="Arial"/>
        </w:rPr>
        <w:t xml:space="preserve">, como la ha señalado esa misma Corporación, la restricción prevista en la Ley 996 de 2005 </w:t>
      </w:r>
      <w:r w:rsidRPr="00380CA4">
        <w:rPr>
          <w:rFonts w:ascii="Verdana" w:eastAsia="Times New Roman" w:hAnsi="Verdana" w:cs="Arial"/>
          <w:bCs/>
          <w:lang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318F5F4" w14:textId="77777777" w:rsidR="00503275" w:rsidRDefault="00503275" w:rsidP="00503275">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Finalmente, se reitera, c</w:t>
      </w:r>
      <w:r w:rsidRPr="00380CA4">
        <w:rPr>
          <w:rFonts w:ascii="Verdana" w:eastAsia="Times New Roman" w:hAnsi="Verdana" w:cs="Arial"/>
          <w:bCs/>
          <w:lang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380CA4">
        <w:rPr>
          <w:rFonts w:ascii="Verdana" w:eastAsia="Times New Roman" w:hAnsi="Verdana" w:cs="Arial"/>
          <w:bCs/>
          <w:vertAlign w:val="superscript"/>
          <w:lang w:eastAsia="es-CO"/>
        </w:rPr>
        <w:footnoteReference w:id="29"/>
      </w:r>
      <w:r w:rsidRPr="00380CA4">
        <w:rPr>
          <w:rFonts w:ascii="Verdana" w:eastAsia="Times New Roman" w:hAnsi="Verdana" w:cs="Arial"/>
          <w:bCs/>
          <w:lang w:eastAsia="es-CO"/>
        </w:rPr>
        <w:t>. Además, también es posible que contratos celebrados previamente se continúen ejecutando con normalidad.</w:t>
      </w:r>
      <w:bookmarkEnd w:id="2"/>
    </w:p>
    <w:p w14:paraId="7E214337" w14:textId="304410CC" w:rsidR="00503275" w:rsidRPr="00656BC0" w:rsidRDefault="00222A5B" w:rsidP="00503275">
      <w:pPr>
        <w:spacing w:after="0" w:line="276" w:lineRule="auto"/>
        <w:ind w:firstLine="708"/>
        <w:jc w:val="both"/>
        <w:rPr>
          <w:rFonts w:ascii="Verdana" w:hAnsi="Verdana" w:cs="Arial"/>
        </w:rPr>
      </w:pPr>
      <w:r>
        <w:rPr>
          <w:rFonts w:ascii="Verdana" w:eastAsia="Calibri" w:hAnsi="Verdana" w:cs="Arial"/>
          <w:lang w:val="es-ES"/>
        </w:rPr>
        <w:t>Teniendo en cuenta el objeto de su consulta, resulta importante señalar que, e</w:t>
      </w:r>
      <w:r w:rsidR="00503275" w:rsidRPr="00656BC0">
        <w:rPr>
          <w:rFonts w:ascii="Verdana" w:hAnsi="Verdana" w:cs="Arial"/>
          <w:bCs/>
          <w:lang w:val="es-MX"/>
        </w:rPr>
        <w:t xml:space="preserv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00503275" w:rsidRPr="00656BC0">
        <w:rPr>
          <w:rFonts w:ascii="Verdana" w:hAnsi="Verdana" w:cs="Arial"/>
          <w:bCs/>
          <w:i/>
          <w:iCs/>
          <w:lang w:val="es-MX"/>
        </w:rPr>
        <w:t>entidades estatales que prestan los servicios públicos</w:t>
      </w:r>
      <w:r w:rsidR="00503275" w:rsidRPr="00656BC0">
        <w:rPr>
          <w:rFonts w:ascii="Verdana" w:hAnsi="Verdana" w:cs="Arial"/>
          <w:bCs/>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00503275" w:rsidRPr="00656BC0">
        <w:rPr>
          <w:rFonts w:ascii="Verdana" w:hAnsi="Verdana" w:cs="Arial"/>
          <w:bCs/>
          <w:i/>
          <w:iCs/>
          <w:lang w:val="es-MX"/>
        </w:rPr>
        <w:t>ibidem</w:t>
      </w:r>
      <w:r w:rsidR="00503275" w:rsidRPr="00656BC0">
        <w:rPr>
          <w:rFonts w:ascii="Verdana" w:hAnsi="Verdana" w:cs="Arial"/>
          <w:bCs/>
          <w:lang w:val="es-MX"/>
        </w:rPr>
        <w:t xml:space="preserve"> precisa lo siguiente: “Salvo en cuanto la Constitución Política o esta Ley dispongan expresamente lo contrario, la constitución, y los actos de todas las </w:t>
      </w:r>
      <w:r w:rsidR="00503275" w:rsidRPr="00656BC0">
        <w:rPr>
          <w:rFonts w:ascii="Verdana" w:hAnsi="Verdana" w:cs="Arial"/>
          <w:bCs/>
          <w:i/>
          <w:iCs/>
          <w:lang w:val="es-MX"/>
        </w:rPr>
        <w:t>empresas de servicios públicos</w:t>
      </w:r>
      <w:r w:rsidR="00503275" w:rsidRPr="00656BC0">
        <w:rPr>
          <w:rFonts w:ascii="Verdana" w:hAnsi="Verdana" w:cs="Arial"/>
          <w:bCs/>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00503275" w:rsidRPr="00656BC0">
        <w:rPr>
          <w:rFonts w:ascii="Verdana" w:eastAsia="Calibri" w:hAnsi="Verdana" w:cs="Arial"/>
          <w:color w:val="000000" w:themeColor="text1"/>
          <w:lang w:val="es-ES"/>
        </w:rPr>
        <w:t xml:space="preserve">De esta manera, el máximo órgano de la Jurisdicción de lo Contencioso Administrativo considera que: </w:t>
      </w:r>
    </w:p>
    <w:p w14:paraId="5D1C81B3" w14:textId="77777777" w:rsidR="00503275" w:rsidRPr="00656BC0" w:rsidRDefault="00503275" w:rsidP="00503275">
      <w:pPr>
        <w:tabs>
          <w:tab w:val="left" w:pos="426"/>
        </w:tabs>
        <w:spacing w:after="0" w:line="276" w:lineRule="auto"/>
        <w:jc w:val="both"/>
        <w:rPr>
          <w:rFonts w:ascii="Verdana" w:eastAsia="Calibri" w:hAnsi="Verdana" w:cs="Arial"/>
          <w:color w:val="000000" w:themeColor="text1"/>
          <w:lang w:val="es-ES"/>
        </w:rPr>
      </w:pPr>
    </w:p>
    <w:p w14:paraId="29A89F73" w14:textId="77777777" w:rsidR="00503275" w:rsidRPr="00656BC0" w:rsidRDefault="00503275" w:rsidP="00503275">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656BC0">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44F9B613" w14:textId="77777777" w:rsidR="00503275" w:rsidRPr="00656BC0" w:rsidRDefault="00503275" w:rsidP="00503275">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4033E77E" w14:textId="695FBAEA" w:rsidR="00B511A6" w:rsidRPr="00723F6D" w:rsidRDefault="00503275" w:rsidP="00921C8D">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656BC0">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656BC0">
        <w:rPr>
          <w:rFonts w:ascii="Verdana" w:eastAsia="Calibri" w:hAnsi="Verdana" w:cs="Arial"/>
          <w:color w:val="000000" w:themeColor="text1"/>
          <w:sz w:val="20"/>
          <w:szCs w:val="20"/>
          <w:vertAlign w:val="superscript"/>
          <w:lang w:val="es-ES"/>
        </w:rPr>
        <w:footnoteReference w:id="30"/>
      </w:r>
      <w:r w:rsidR="00921C8D">
        <w:rPr>
          <w:rFonts w:ascii="Verdana" w:eastAsia="Calibri" w:hAnsi="Verdana" w:cs="Arial"/>
          <w:color w:val="000000" w:themeColor="text1"/>
          <w:sz w:val="20"/>
          <w:szCs w:val="20"/>
          <w:lang w:val="es-ES"/>
        </w:rPr>
        <w:t>.</w:t>
      </w:r>
    </w:p>
    <w:p w14:paraId="06530C31" w14:textId="77777777" w:rsidR="006225D9" w:rsidRDefault="006225D9" w:rsidP="006225D9">
      <w:pPr>
        <w:tabs>
          <w:tab w:val="left" w:pos="0"/>
        </w:tabs>
        <w:spacing w:after="0" w:line="240" w:lineRule="auto"/>
        <w:ind w:firstLine="709"/>
        <w:jc w:val="both"/>
        <w:rPr>
          <w:rFonts w:ascii="Verdana" w:eastAsia="Calibri" w:hAnsi="Verdana" w:cs="Arial"/>
          <w:bCs/>
          <w:color w:val="000000" w:themeColor="text1"/>
          <w:lang w:val="es-ES_tradnl"/>
        </w:rPr>
      </w:pPr>
    </w:p>
    <w:p w14:paraId="12019756" w14:textId="31AAF3AD" w:rsidR="00503275" w:rsidRPr="00656BC0" w:rsidRDefault="00503275" w:rsidP="00921C8D">
      <w:pPr>
        <w:tabs>
          <w:tab w:val="left" w:pos="0"/>
        </w:tabs>
        <w:spacing w:after="120" w:line="276" w:lineRule="auto"/>
        <w:ind w:firstLine="709"/>
        <w:jc w:val="both"/>
        <w:rPr>
          <w:rFonts w:ascii="Verdana" w:eastAsia="Calibri" w:hAnsi="Verdana" w:cs="Arial"/>
          <w:bCs/>
          <w:color w:val="000000" w:themeColor="text1"/>
          <w:lang w:val="es-ES_tradnl"/>
        </w:rPr>
      </w:pPr>
      <w:r w:rsidRPr="00656BC0">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656BC0">
        <w:rPr>
          <w:rFonts w:ascii="Verdana" w:eastAsia="Calibri" w:hAnsi="Verdana" w:cs="Arial"/>
          <w:bCs/>
          <w:color w:val="000000" w:themeColor="text1"/>
          <w:vertAlign w:val="superscript"/>
          <w:lang w:val="es-ES_tradnl"/>
        </w:rPr>
        <w:footnoteReference w:id="31"/>
      </w:r>
      <w:r w:rsidRPr="00656BC0">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656BC0">
        <w:rPr>
          <w:rFonts w:ascii="Verdana" w:eastAsia="Calibri" w:hAnsi="Verdana" w:cs="Arial"/>
          <w:bCs/>
          <w:i/>
          <w:iCs/>
          <w:color w:val="000000" w:themeColor="text1"/>
          <w:lang w:val="es-ES_tradnl"/>
        </w:rPr>
        <w:t>oficiales</w:t>
      </w:r>
      <w:r w:rsidRPr="00656BC0">
        <w:rPr>
          <w:rFonts w:ascii="Verdana" w:eastAsia="Calibri" w:hAnsi="Verdana" w:cs="Arial"/>
          <w:bCs/>
          <w:color w:val="000000" w:themeColor="text1"/>
          <w:lang w:val="es-ES_tradnl"/>
        </w:rPr>
        <w:t xml:space="preserve">, </w:t>
      </w:r>
      <w:r w:rsidRPr="00656BC0">
        <w:rPr>
          <w:rFonts w:ascii="Verdana" w:eastAsia="Calibri" w:hAnsi="Verdana" w:cs="Arial"/>
          <w:bCs/>
          <w:i/>
          <w:iCs/>
          <w:color w:val="000000" w:themeColor="text1"/>
          <w:lang w:val="es-ES_tradnl"/>
        </w:rPr>
        <w:t>mixtas</w:t>
      </w:r>
      <w:r w:rsidRPr="00656BC0">
        <w:rPr>
          <w:rFonts w:ascii="Verdana" w:eastAsia="Calibri" w:hAnsi="Verdana" w:cs="Arial"/>
          <w:bCs/>
          <w:color w:val="000000" w:themeColor="text1"/>
          <w:lang w:val="es-ES_tradnl"/>
        </w:rPr>
        <w:t xml:space="preserve"> o </w:t>
      </w:r>
      <w:r w:rsidRPr="00656BC0">
        <w:rPr>
          <w:rFonts w:ascii="Verdana" w:eastAsia="Calibri" w:hAnsi="Verdana" w:cs="Arial"/>
          <w:bCs/>
          <w:i/>
          <w:iCs/>
          <w:color w:val="000000" w:themeColor="text1"/>
          <w:lang w:val="es-ES_tradnl"/>
        </w:rPr>
        <w:t>privadas</w:t>
      </w:r>
      <w:r w:rsidRPr="00656BC0">
        <w:rPr>
          <w:rFonts w:ascii="Verdana" w:eastAsia="Calibri" w:hAnsi="Verdana" w:cs="Arial"/>
          <w:bCs/>
          <w:color w:val="000000" w:themeColor="text1"/>
          <w:lang w:val="es-ES_tradnl"/>
        </w:rPr>
        <w:t xml:space="preserve">, estas tres especies ingresan en la categoría de las </w:t>
      </w:r>
      <w:r w:rsidRPr="00656BC0">
        <w:rPr>
          <w:rFonts w:ascii="Verdana" w:eastAsia="Calibri" w:hAnsi="Verdana" w:cs="Arial"/>
          <w:bCs/>
          <w:i/>
          <w:iCs/>
          <w:color w:val="000000" w:themeColor="text1"/>
          <w:lang w:val="es-ES_tradnl"/>
        </w:rPr>
        <w:t>entidades descentralizadas por servicios</w:t>
      </w:r>
      <w:r w:rsidRPr="00656BC0">
        <w:rPr>
          <w:rFonts w:ascii="Verdana" w:eastAsia="Calibri" w:hAnsi="Verdana" w:cs="Arial"/>
          <w:bCs/>
          <w:color w:val="000000" w:themeColor="text1"/>
          <w:lang w:val="es-ES_tradnl"/>
        </w:rPr>
        <w:t xml:space="preserve">, es decir, hacen parte de la Rama Ejecutiva del Orden Público.  </w:t>
      </w:r>
    </w:p>
    <w:p w14:paraId="62177936" w14:textId="2244A9D6" w:rsidR="00503275" w:rsidRDefault="00503275" w:rsidP="00503275">
      <w:pPr>
        <w:tabs>
          <w:tab w:val="left" w:pos="0"/>
        </w:tabs>
        <w:spacing w:after="0" w:line="276" w:lineRule="auto"/>
        <w:ind w:firstLine="709"/>
        <w:jc w:val="both"/>
        <w:rPr>
          <w:rFonts w:ascii="Verdana" w:eastAsia="Calibri" w:hAnsi="Verdana" w:cs="Arial"/>
          <w:bCs/>
          <w:color w:val="000000" w:themeColor="text1"/>
          <w:lang w:val="es-ES_tradnl"/>
        </w:rPr>
      </w:pPr>
      <w:r w:rsidRPr="00656BC0">
        <w:rPr>
          <w:rFonts w:ascii="Verdana" w:eastAsia="Calibri" w:hAnsi="Verdana" w:cs="Arial"/>
          <w:bCs/>
          <w:color w:val="000000" w:themeColor="text1"/>
          <w:lang w:val="es-ES_tradnl"/>
        </w:rPr>
        <w:t xml:space="preserve">Al respecto, debe recordarse que en dicha Sentencia el alto tribunal afirmó que las empresas prestadoras de servicios públicos domiciliarios </w:t>
      </w:r>
      <w:r w:rsidRPr="00656BC0">
        <w:rPr>
          <w:rFonts w:ascii="Verdana" w:eastAsia="Calibri" w:hAnsi="Verdana" w:cs="Arial"/>
          <w:bCs/>
          <w:i/>
          <w:iCs/>
          <w:color w:val="000000" w:themeColor="text1"/>
          <w:lang w:val="es-ES_tradnl"/>
        </w:rPr>
        <w:t>mixtas y privadas</w:t>
      </w:r>
      <w:r w:rsidRPr="00656BC0">
        <w:rPr>
          <w:rFonts w:ascii="Verdana" w:eastAsia="Calibri" w:hAnsi="Verdana" w:cs="Arial"/>
          <w:bCs/>
          <w:color w:val="000000" w:themeColor="text1"/>
          <w:lang w:val="es-ES_tradnl"/>
        </w:rPr>
        <w:t xml:space="preserve"> con aportes estatales son tipos </w:t>
      </w:r>
      <w:r w:rsidRPr="00656BC0">
        <w:rPr>
          <w:rFonts w:ascii="Verdana" w:eastAsia="Calibri" w:hAnsi="Verdana" w:cs="Arial"/>
          <w:bCs/>
          <w:i/>
          <w:iCs/>
          <w:color w:val="000000" w:themeColor="text1"/>
          <w:lang w:val="es-ES_tradnl"/>
        </w:rPr>
        <w:t>especiales</w:t>
      </w:r>
      <w:r w:rsidRPr="00656BC0">
        <w:rPr>
          <w:rFonts w:ascii="Verdana" w:eastAsia="Calibri" w:hAnsi="Verdana" w:cs="Arial"/>
          <w:bCs/>
          <w:color w:val="000000" w:themeColor="text1"/>
          <w:lang w:val="es-ES_tradnl"/>
        </w:rPr>
        <w:t xml:space="preserve"> de entidades descentralizadas por servicios que, por tanto, no pueden enmarcarse en las otras especies de entidades descentralizadas por servicios enlistadas en el artículo 38 de la Ley 489 de 1998, es decir, que no cabe considerarlas, verbigracia, dentro de las sociedades públicas ni en las sociedades de economía mixta. En dicho sentido, en el numeral 5.3. de la precitada Sentencia expresa: </w:t>
      </w:r>
    </w:p>
    <w:p w14:paraId="3F344125" w14:textId="77777777" w:rsidR="00B511A6" w:rsidRPr="00656BC0" w:rsidRDefault="00B511A6" w:rsidP="00503275">
      <w:pPr>
        <w:tabs>
          <w:tab w:val="left" w:pos="0"/>
        </w:tabs>
        <w:spacing w:after="0" w:line="276" w:lineRule="auto"/>
        <w:ind w:firstLine="709"/>
        <w:jc w:val="both"/>
        <w:rPr>
          <w:rFonts w:ascii="Verdana" w:eastAsia="Calibri" w:hAnsi="Verdana" w:cs="Arial"/>
          <w:bCs/>
          <w:color w:val="000000" w:themeColor="text1"/>
          <w:lang w:val="es-ES_tradnl"/>
        </w:rPr>
      </w:pPr>
    </w:p>
    <w:p w14:paraId="3991E495" w14:textId="77777777" w:rsidR="00503275" w:rsidRDefault="00503275" w:rsidP="00921C8D">
      <w:pPr>
        <w:tabs>
          <w:tab w:val="left" w:pos="0"/>
        </w:tabs>
        <w:spacing w:after="0" w:line="240" w:lineRule="auto"/>
        <w:ind w:left="709" w:right="709"/>
        <w:jc w:val="both"/>
        <w:rPr>
          <w:rFonts w:ascii="Verdana" w:eastAsia="Times New Roman" w:hAnsi="Verdana" w:cs="Arial"/>
          <w:sz w:val="20"/>
          <w:szCs w:val="20"/>
          <w:lang w:val="es-ES" w:eastAsia="es-ES"/>
        </w:rPr>
      </w:pPr>
      <w:r w:rsidRPr="00656BC0">
        <w:rPr>
          <w:rFonts w:ascii="Verdana" w:eastAsia="Calibri" w:hAnsi="Verdana" w:cs="Arial"/>
          <w:bCs/>
          <w:color w:val="000000" w:themeColor="text1"/>
          <w:sz w:val="20"/>
          <w:szCs w:val="20"/>
          <w:lang w:val="es-ES_tradnl"/>
        </w:rPr>
        <w:t>“</w:t>
      </w:r>
      <w:r w:rsidRPr="00656BC0">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656BC0">
        <w:rPr>
          <w:rFonts w:ascii="Verdana" w:eastAsia="Times New Roman" w:hAnsi="Verdana" w:cs="Arial"/>
          <w:i/>
          <w:sz w:val="20"/>
          <w:szCs w:val="20"/>
          <w:lang w:val="es-ES" w:eastAsia="es-ES"/>
        </w:rPr>
        <w:t>cuales haya cualquier porcentaje de capital público pueden formar parte de la estructura de la Rama Ejecutiva</w:t>
      </w:r>
      <w:r w:rsidRPr="00656BC0">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656BC0">
        <w:rPr>
          <w:rFonts w:ascii="Verdana" w:eastAsia="Times New Roman" w:hAnsi="Verdana" w:cs="Arial"/>
          <w:sz w:val="20"/>
          <w:szCs w:val="20"/>
          <w:vertAlign w:val="superscript"/>
          <w:lang w:val="es-ES" w:eastAsia="es-ES"/>
        </w:rPr>
        <w:footnoteReference w:id="32"/>
      </w:r>
    </w:p>
    <w:p w14:paraId="2CFB0B69" w14:textId="77777777" w:rsidR="00503275" w:rsidRPr="00B81263" w:rsidRDefault="00503275" w:rsidP="00503275">
      <w:pPr>
        <w:tabs>
          <w:tab w:val="left" w:pos="0"/>
        </w:tabs>
        <w:spacing w:after="0" w:line="240" w:lineRule="auto"/>
        <w:ind w:left="709" w:right="709"/>
        <w:jc w:val="both"/>
        <w:rPr>
          <w:rFonts w:ascii="Verdana" w:eastAsia="Times New Roman" w:hAnsi="Verdana" w:cs="Arial"/>
          <w:sz w:val="20"/>
          <w:szCs w:val="20"/>
          <w:lang w:val="es-ES" w:eastAsia="es-ES"/>
        </w:rPr>
      </w:pPr>
    </w:p>
    <w:p w14:paraId="23B9569A" w14:textId="77777777" w:rsidR="006225D9" w:rsidRDefault="00503275" w:rsidP="006225D9">
      <w:pPr>
        <w:tabs>
          <w:tab w:val="left" w:pos="0"/>
        </w:tabs>
        <w:spacing w:after="120" w:line="276" w:lineRule="auto"/>
        <w:ind w:firstLine="709"/>
        <w:jc w:val="both"/>
        <w:rPr>
          <w:rFonts w:ascii="Verdana" w:eastAsia="Times New Roman" w:hAnsi="Verdana" w:cs="Arial"/>
          <w:lang w:val="es-ES" w:eastAsia="es-ES"/>
        </w:rPr>
      </w:pPr>
      <w:r w:rsidRPr="00656BC0">
        <w:rPr>
          <w:rFonts w:ascii="Verdana" w:eastAsia="Times New Roman" w:hAnsi="Verdana" w:cs="Arial"/>
          <w:lang w:val="es-ES" w:eastAsia="es-ES"/>
        </w:rPr>
        <w:t>Lo expuesto, permite resaltar la flexibilidad constitucional al legislador colombiano de incorporar empresas de servicios públicos —ya sean públicas, mixtas o privadas con participación estatal— dentro de la estructura de la Rama Ejecutiva. Esta posibilidad se justifica en el numeral 7° del artículo 150 de la Constitución, que otorga la competencia al Congreso la facultad de organizar la administración nacional. De esta manera, no es necesario que la empresa sea completamente pública para que pueda considerarse parte del Estado.</w:t>
      </w:r>
    </w:p>
    <w:p w14:paraId="0E0D4ED2" w14:textId="114874E6" w:rsidR="00503275" w:rsidRPr="006225D9" w:rsidRDefault="00503275" w:rsidP="006225D9">
      <w:pPr>
        <w:tabs>
          <w:tab w:val="left" w:pos="0"/>
        </w:tabs>
        <w:spacing w:after="120" w:line="276" w:lineRule="auto"/>
        <w:ind w:firstLine="709"/>
        <w:jc w:val="both"/>
        <w:rPr>
          <w:rFonts w:ascii="Verdana" w:eastAsia="Times New Roman" w:hAnsi="Verdana" w:cs="Arial"/>
          <w:lang w:val="es-ES" w:eastAsia="es-ES"/>
        </w:rPr>
      </w:pPr>
      <w:r w:rsidRPr="00656BC0">
        <w:rPr>
          <w:rFonts w:ascii="Verdana" w:eastAsia="Times New Roman" w:hAnsi="Verdana" w:cs="Times New Roman"/>
          <w:lang w:val="es-ES" w:eastAsia="es-ES"/>
        </w:rPr>
        <w:t>Posteriormente, en la Sentencia precitada haciendo un análisis de los artículos 38</w:t>
      </w:r>
      <w:r w:rsidRPr="00656BC0">
        <w:rPr>
          <w:rFonts w:ascii="Verdana" w:eastAsia="Times New Roman" w:hAnsi="Verdana" w:cs="Times New Roman"/>
          <w:vertAlign w:val="superscript"/>
          <w:lang w:val="es-ES" w:eastAsia="es-ES"/>
        </w:rPr>
        <w:footnoteReference w:id="33"/>
      </w:r>
      <w:r w:rsidRPr="00656BC0">
        <w:rPr>
          <w:rFonts w:ascii="Verdana" w:eastAsia="Times New Roman" w:hAnsi="Verdana" w:cs="Times New Roman"/>
          <w:lang w:val="es-ES" w:eastAsia="es-ES"/>
        </w:rPr>
        <w:t xml:space="preserve"> y 68</w:t>
      </w:r>
      <w:r w:rsidRPr="00656BC0">
        <w:rPr>
          <w:rFonts w:ascii="Verdana" w:eastAsia="Times New Roman" w:hAnsi="Verdana" w:cs="Times New Roman"/>
          <w:vertAlign w:val="superscript"/>
          <w:lang w:val="es-ES" w:eastAsia="es-ES"/>
        </w:rPr>
        <w:footnoteReference w:id="34"/>
      </w:r>
      <w:r w:rsidRPr="00656BC0">
        <w:rPr>
          <w:rFonts w:ascii="Verdana" w:eastAsia="Times New Roman" w:hAnsi="Verdana" w:cs="Times New Roman"/>
          <w:lang w:val="es-ES" w:eastAsia="es-ES"/>
        </w:rPr>
        <w:t xml:space="preserve">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60E79D62" w14:textId="77777777" w:rsidR="00B511A6" w:rsidRPr="005D40F0" w:rsidRDefault="00B511A6" w:rsidP="00921C8D">
      <w:pPr>
        <w:tabs>
          <w:tab w:val="left" w:pos="0"/>
        </w:tabs>
        <w:spacing w:after="0" w:line="276" w:lineRule="auto"/>
        <w:ind w:firstLine="709"/>
        <w:jc w:val="both"/>
        <w:rPr>
          <w:rFonts w:ascii="Verdana" w:eastAsia="Times New Roman" w:hAnsi="Verdana" w:cs="Arial"/>
          <w:lang w:val="es-ES" w:eastAsia="es-ES"/>
        </w:rPr>
      </w:pPr>
    </w:p>
    <w:p w14:paraId="2F957EFE" w14:textId="23F42439" w:rsidR="00503275" w:rsidRPr="00656BC0" w:rsidRDefault="00B511A6" w:rsidP="0050327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Pr>
          <w:rFonts w:ascii="Verdana" w:eastAsia="Times New Roman" w:hAnsi="Verdana" w:cs="Times New Roman"/>
          <w:sz w:val="20"/>
          <w:lang w:eastAsia="es-ES"/>
        </w:rPr>
        <w:t>“</w:t>
      </w:r>
      <w:r w:rsidR="00503275" w:rsidRPr="00656BC0">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00503275" w:rsidRPr="00656BC0">
        <w:rPr>
          <w:rFonts w:ascii="Verdana" w:eastAsia="Times New Roman" w:hAnsi="Verdana" w:cs="Times New Roman"/>
          <w:i/>
          <w:sz w:val="20"/>
          <w:lang w:eastAsia="es-ES"/>
        </w:rPr>
        <w:t>éstas tienen aportes iguales o superiores al 50%. </w:t>
      </w:r>
    </w:p>
    <w:p w14:paraId="1535B2AA" w14:textId="77777777" w:rsidR="00503275" w:rsidRPr="00656BC0" w:rsidRDefault="00503275" w:rsidP="0050327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656BC0">
        <w:rPr>
          <w:rFonts w:ascii="Verdana" w:eastAsia="Times New Roman" w:hAnsi="Verdana" w:cs="Times New Roman"/>
          <w:sz w:val="20"/>
          <w:lang w:eastAsia="es-ES"/>
        </w:rPr>
        <w:t>  </w:t>
      </w:r>
    </w:p>
    <w:p w14:paraId="4813D5CF" w14:textId="52CA9B92" w:rsidR="00503275" w:rsidRPr="00656BC0" w:rsidRDefault="00503275" w:rsidP="0050327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656BC0">
        <w:rPr>
          <w:rFonts w:ascii="Verdana" w:eastAsia="Times New Roman" w:hAnsi="Verdana" w:cs="Times New Roman"/>
          <w:sz w:val="20"/>
          <w:lang w:eastAsia="es-ES"/>
        </w:rPr>
        <w:t xml:space="preserve">14.7. Empresa de servicios públicos privada. Es aquella cuyo capital pertenece </w:t>
      </w:r>
      <w:r w:rsidRPr="00656BC0">
        <w:rPr>
          <w:rFonts w:ascii="Verdana" w:eastAsia="Times New Roman" w:hAnsi="Verdana" w:cs="Times New Roman"/>
          <w:i/>
          <w:sz w:val="20"/>
          <w:lang w:eastAsia="es-ES"/>
        </w:rPr>
        <w:t>mayoritariamente</w:t>
      </w:r>
      <w:r w:rsidRPr="00656BC0">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particulares</w:t>
      </w:r>
      <w:r w:rsidR="00B511A6">
        <w:rPr>
          <w:rFonts w:ascii="Verdana" w:eastAsia="Times New Roman" w:hAnsi="Verdana" w:cs="Times New Roman"/>
          <w:sz w:val="20"/>
          <w:lang w:eastAsia="es-ES"/>
        </w:rPr>
        <w:t>”.</w:t>
      </w:r>
      <w:r w:rsidRPr="00656BC0">
        <w:rPr>
          <w:rFonts w:ascii="Verdana" w:eastAsia="Times New Roman" w:hAnsi="Verdana" w:cs="Times New Roman"/>
          <w:sz w:val="20"/>
          <w:lang w:eastAsia="es-ES"/>
        </w:rPr>
        <w:t xml:space="preserve"> (énfasis fuera de texto) </w:t>
      </w:r>
    </w:p>
    <w:p w14:paraId="3BFE4CED" w14:textId="77777777" w:rsidR="00503275" w:rsidRPr="00656BC0" w:rsidRDefault="00503275" w:rsidP="00503275">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25D9FB10" w14:textId="77777777" w:rsidR="00503275" w:rsidRPr="00656BC0" w:rsidRDefault="00503275" w:rsidP="00503275">
      <w:pPr>
        <w:spacing w:after="120" w:line="276" w:lineRule="auto"/>
        <w:jc w:val="both"/>
        <w:rPr>
          <w:rFonts w:ascii="Verdana" w:eastAsia="Times New Roman" w:hAnsi="Verdana" w:cs="Times New Roman"/>
          <w:lang w:val="es-ES" w:eastAsia="es-ES"/>
        </w:rPr>
      </w:pPr>
      <w:r w:rsidRPr="00656BC0">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es igual o superior al cincuenta por ciento (50%), lo que implica que, </w:t>
      </w:r>
      <w:r w:rsidRPr="00656BC0">
        <w:rPr>
          <w:rFonts w:ascii="Verdana" w:eastAsia="Times New Roman" w:hAnsi="Verdana" w:cs="Times New Roman"/>
          <w:i/>
          <w:iCs/>
          <w:lang w:val="es-ES" w:eastAsia="es-ES"/>
        </w:rPr>
        <w:t xml:space="preserve">minoritariamente </w:t>
      </w:r>
      <w:r w:rsidRPr="00656BC0">
        <w:rPr>
          <w:rFonts w:ascii="Verdana" w:eastAsia="Times New Roman" w:hAnsi="Verdana" w:cs="Times New Roman"/>
          <w:lang w:val="es-ES" w:eastAsia="es-ES"/>
        </w:rPr>
        <w:t xml:space="preserve">pertenece a particulares. </w:t>
      </w:r>
    </w:p>
    <w:p w14:paraId="36815BEC" w14:textId="77777777" w:rsidR="00503275" w:rsidRPr="00656BC0" w:rsidRDefault="00503275" w:rsidP="00503275">
      <w:pPr>
        <w:spacing w:after="120" w:line="276" w:lineRule="auto"/>
        <w:jc w:val="both"/>
        <w:rPr>
          <w:rFonts w:ascii="Verdana" w:eastAsia="Times New Roman" w:hAnsi="Verdana" w:cs="Times New Roman"/>
          <w:lang w:val="es-ES" w:eastAsia="es-ES"/>
        </w:rPr>
      </w:pPr>
      <w:r w:rsidRPr="00656BC0">
        <w:rPr>
          <w:rFonts w:ascii="Verdana" w:eastAsia="Times New Roman" w:hAnsi="Verdana" w:cs="Times New Roman"/>
          <w:lang w:val="es-ES" w:eastAsia="es-ES"/>
        </w:rPr>
        <w:tab/>
        <w:t>Posterior a estas precisiones, la Corte Constitucional</w:t>
      </w:r>
      <w:r w:rsidRPr="00656BC0">
        <w:rPr>
          <w:rFonts w:ascii="Verdana" w:eastAsia="Calibri" w:hAnsi="Verdana" w:cs="Arial"/>
          <w:bCs/>
          <w:color w:val="000000" w:themeColor="text1"/>
          <w:lang w:val="es-ES"/>
        </w:rPr>
        <w:t xml:space="preserve">, al analizar el artículo 38 de la Ley 489 de 1998, concluyó que,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 implica la declaratoria de la </w:t>
      </w:r>
      <w:proofErr w:type="spellStart"/>
      <w:r w:rsidRPr="00656BC0">
        <w:rPr>
          <w:rFonts w:ascii="Verdana" w:eastAsia="Calibri" w:hAnsi="Verdana" w:cs="Arial"/>
          <w:bCs/>
          <w:color w:val="000000" w:themeColor="text1"/>
          <w:lang w:val="es-ES"/>
        </w:rPr>
        <w:t>exequibilidad</w:t>
      </w:r>
      <w:proofErr w:type="spellEnd"/>
      <w:r w:rsidRPr="00656BC0">
        <w:rPr>
          <w:rFonts w:ascii="Verdana" w:eastAsia="Calibri" w:hAnsi="Verdana" w:cs="Arial"/>
          <w:bCs/>
          <w:color w:val="000000" w:themeColor="text1"/>
          <w:lang w:val="es-ES"/>
        </w:rPr>
        <w:t xml:space="preserve"> de la norma demandada.</w:t>
      </w:r>
    </w:p>
    <w:p w14:paraId="1BB02EAC" w14:textId="77777777" w:rsidR="00503275" w:rsidRPr="00656BC0" w:rsidRDefault="00503275" w:rsidP="00921C8D">
      <w:pPr>
        <w:tabs>
          <w:tab w:val="left" w:pos="0"/>
        </w:tabs>
        <w:spacing w:before="120" w:after="0" w:line="276" w:lineRule="auto"/>
        <w:ind w:firstLine="709"/>
        <w:jc w:val="both"/>
        <w:rPr>
          <w:rFonts w:ascii="Verdana" w:eastAsia="Calibri" w:hAnsi="Verdana" w:cs="Arial"/>
          <w:bCs/>
          <w:color w:val="000000" w:themeColor="text1"/>
          <w:lang w:val="es-ES"/>
        </w:rPr>
      </w:pPr>
      <w:r w:rsidRPr="00656BC0">
        <w:rPr>
          <w:rFonts w:ascii="Verdana" w:eastAsia="Calibri" w:hAnsi="Verdana" w:cs="Arial"/>
          <w:bCs/>
          <w:color w:val="000000" w:themeColor="text1"/>
          <w:lang w:val="es-ES"/>
        </w:rPr>
        <w:t xml:space="preserve">Respecto al artículo 68, aunque se refiere explícitamente 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Constitución Política. Con respecto a este tema, hay doctrina que tiene sus observaciones frente a dicha Sentencia de Constitucionalidad, expresando: </w:t>
      </w:r>
    </w:p>
    <w:p w14:paraId="327EFF32" w14:textId="77777777" w:rsidR="007528D5" w:rsidRDefault="007528D5" w:rsidP="00503275">
      <w:pPr>
        <w:tabs>
          <w:tab w:val="left" w:pos="0"/>
        </w:tabs>
        <w:spacing w:after="0" w:line="240" w:lineRule="auto"/>
        <w:ind w:left="709" w:right="709"/>
        <w:jc w:val="both"/>
        <w:rPr>
          <w:rFonts w:ascii="Verdana" w:eastAsia="Calibri" w:hAnsi="Verdana" w:cs="Arial"/>
          <w:bCs/>
          <w:color w:val="000000" w:themeColor="text1"/>
          <w:sz w:val="20"/>
        </w:rPr>
      </w:pPr>
    </w:p>
    <w:p w14:paraId="50FB5054" w14:textId="15427B40" w:rsidR="00503275" w:rsidRPr="00656BC0" w:rsidRDefault="007528D5" w:rsidP="00503275">
      <w:pPr>
        <w:tabs>
          <w:tab w:val="left" w:pos="0"/>
        </w:tabs>
        <w:spacing w:after="0" w:line="240" w:lineRule="auto"/>
        <w:ind w:left="709" w:right="709"/>
        <w:jc w:val="both"/>
        <w:rPr>
          <w:rFonts w:ascii="Verdana" w:eastAsia="Calibri" w:hAnsi="Verdana" w:cs="Arial"/>
          <w:bCs/>
          <w:color w:val="000000" w:themeColor="text1"/>
          <w:sz w:val="20"/>
        </w:rPr>
      </w:pPr>
      <w:r>
        <w:rPr>
          <w:rFonts w:ascii="Verdana" w:eastAsia="Calibri" w:hAnsi="Verdana" w:cs="Arial"/>
          <w:bCs/>
          <w:color w:val="000000" w:themeColor="text1"/>
          <w:sz w:val="20"/>
        </w:rPr>
        <w:t>“</w:t>
      </w:r>
      <w:r w:rsidR="00503275" w:rsidRPr="00656BC0">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54458A2B" w14:textId="77777777" w:rsidR="00503275" w:rsidRPr="00656BC0" w:rsidRDefault="00503275" w:rsidP="00503275">
      <w:pPr>
        <w:tabs>
          <w:tab w:val="left" w:pos="0"/>
        </w:tabs>
        <w:spacing w:after="0" w:line="240" w:lineRule="auto"/>
        <w:ind w:left="709" w:right="709"/>
        <w:jc w:val="both"/>
        <w:rPr>
          <w:rFonts w:ascii="Verdana" w:eastAsia="Calibri" w:hAnsi="Verdana" w:cs="Arial"/>
          <w:bCs/>
          <w:color w:val="000000" w:themeColor="text1"/>
          <w:sz w:val="20"/>
        </w:rPr>
      </w:pPr>
    </w:p>
    <w:p w14:paraId="0AD283CB" w14:textId="77777777" w:rsidR="00503275" w:rsidRPr="00656BC0" w:rsidRDefault="00503275" w:rsidP="00503275">
      <w:pPr>
        <w:tabs>
          <w:tab w:val="left" w:pos="0"/>
        </w:tabs>
        <w:spacing w:after="0" w:line="240" w:lineRule="auto"/>
        <w:ind w:left="709" w:right="709"/>
        <w:jc w:val="both"/>
        <w:rPr>
          <w:rFonts w:ascii="Verdana" w:eastAsia="Calibri" w:hAnsi="Verdana" w:cs="Arial"/>
          <w:bCs/>
          <w:color w:val="000000" w:themeColor="text1"/>
          <w:sz w:val="20"/>
        </w:rPr>
      </w:pPr>
      <w:r w:rsidRPr="00656BC0">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4916B300" w14:textId="77777777" w:rsidR="00503275" w:rsidRPr="00656BC0" w:rsidRDefault="00503275" w:rsidP="00503275">
      <w:pPr>
        <w:tabs>
          <w:tab w:val="left" w:pos="0"/>
        </w:tabs>
        <w:spacing w:after="0" w:line="240" w:lineRule="auto"/>
        <w:ind w:left="709" w:right="709"/>
        <w:jc w:val="both"/>
        <w:rPr>
          <w:rFonts w:ascii="Verdana" w:eastAsia="Calibri" w:hAnsi="Verdana" w:cs="Arial"/>
          <w:bCs/>
          <w:color w:val="000000" w:themeColor="text1"/>
          <w:sz w:val="20"/>
        </w:rPr>
      </w:pPr>
    </w:p>
    <w:p w14:paraId="77E2D25F" w14:textId="09716ED4" w:rsidR="007528D5" w:rsidRPr="00656BC0" w:rsidRDefault="00503275" w:rsidP="00921C8D">
      <w:pPr>
        <w:tabs>
          <w:tab w:val="left" w:pos="0"/>
        </w:tabs>
        <w:spacing w:after="0" w:line="240" w:lineRule="auto"/>
        <w:ind w:left="709" w:right="709"/>
        <w:jc w:val="both"/>
        <w:rPr>
          <w:rFonts w:ascii="Verdana" w:eastAsia="Calibri" w:hAnsi="Verdana" w:cs="Arial"/>
          <w:bCs/>
          <w:color w:val="000000" w:themeColor="text1"/>
          <w:sz w:val="20"/>
        </w:rPr>
      </w:pPr>
      <w:r w:rsidRPr="00656BC0">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sidR="007528D5">
        <w:rPr>
          <w:rFonts w:ascii="Verdana" w:eastAsia="Calibri" w:hAnsi="Verdana" w:cs="Arial"/>
          <w:bCs/>
          <w:color w:val="000000" w:themeColor="text1"/>
          <w:sz w:val="20"/>
        </w:rPr>
        <w:t>”</w:t>
      </w:r>
      <w:r w:rsidRPr="00656BC0">
        <w:rPr>
          <w:rFonts w:ascii="Verdana" w:eastAsia="Calibri" w:hAnsi="Verdana" w:cs="Arial"/>
          <w:bCs/>
          <w:color w:val="000000" w:themeColor="text1"/>
          <w:sz w:val="20"/>
          <w:vertAlign w:val="superscript"/>
        </w:rPr>
        <w:footnoteReference w:id="35"/>
      </w:r>
      <w:r w:rsidRPr="00656BC0">
        <w:rPr>
          <w:rFonts w:ascii="Verdana" w:eastAsia="Calibri" w:hAnsi="Verdana" w:cs="Arial"/>
          <w:bCs/>
          <w:color w:val="000000" w:themeColor="text1"/>
          <w:sz w:val="20"/>
        </w:rPr>
        <w:t>.</w:t>
      </w:r>
    </w:p>
    <w:p w14:paraId="08E4EB55" w14:textId="77777777" w:rsidR="00503275" w:rsidRPr="00656BC0" w:rsidRDefault="00503275" w:rsidP="00503275">
      <w:pPr>
        <w:spacing w:after="12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0DCBD55F" w14:textId="32948D88" w:rsidR="00503275" w:rsidRDefault="00503275" w:rsidP="00921C8D">
      <w:pPr>
        <w:spacing w:after="0" w:line="276" w:lineRule="auto"/>
        <w:ind w:firstLine="709"/>
        <w:jc w:val="both"/>
        <w:rPr>
          <w:rFonts w:ascii="Verdana" w:eastAsia="Calibri" w:hAnsi="Verdana" w:cs="Arial"/>
          <w:color w:val="000000" w:themeColor="text1"/>
        </w:rPr>
      </w:pPr>
      <w:r w:rsidRPr="00656BC0">
        <w:rPr>
          <w:rFonts w:ascii="Verdana" w:eastAsia="Calibri" w:hAnsi="Verdana" w:cs="Arial"/>
          <w:color w:val="000000" w:themeColor="text1"/>
          <w:lang w:val="es-ES"/>
        </w:rPr>
        <w:t>La primera postura es la que resalta la doctrina</w:t>
      </w:r>
      <w:r w:rsidRPr="00656BC0">
        <w:rPr>
          <w:rFonts w:ascii="Verdana" w:eastAsia="Calibri" w:hAnsi="Verdana" w:cs="Arial"/>
          <w:color w:val="000000" w:themeColor="text1"/>
          <w:vertAlign w:val="superscript"/>
          <w:lang w:val="es-ES"/>
        </w:rPr>
        <w:footnoteReference w:id="36"/>
      </w:r>
      <w:r w:rsidRPr="00656BC0">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sidRPr="00656BC0">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63B6F46D" w14:textId="77777777" w:rsidR="00921C8D" w:rsidRPr="00656BC0" w:rsidRDefault="00921C8D" w:rsidP="00921C8D">
      <w:pPr>
        <w:spacing w:after="0" w:line="276" w:lineRule="auto"/>
        <w:ind w:firstLine="709"/>
        <w:jc w:val="both"/>
        <w:rPr>
          <w:rFonts w:ascii="Verdana" w:eastAsia="Calibri" w:hAnsi="Verdana" w:cs="Arial"/>
          <w:color w:val="000000" w:themeColor="text1"/>
        </w:rPr>
      </w:pPr>
    </w:p>
    <w:p w14:paraId="5FC546CC" w14:textId="7A063E0E" w:rsidR="00503275" w:rsidRPr="00656BC0" w:rsidRDefault="007528D5" w:rsidP="00503275">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00503275" w:rsidRPr="00656BC0">
        <w:rPr>
          <w:rFonts w:ascii="Verdana" w:eastAsia="Calibri" w:hAnsi="Verdana" w:cs="Arial"/>
          <w:color w:val="000000" w:themeColor="text1"/>
          <w:sz w:val="20"/>
          <w:szCs w:val="20"/>
        </w:rPr>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00503275" w:rsidRPr="00656BC0">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00503275" w:rsidRPr="00656BC0">
        <w:rPr>
          <w:rFonts w:ascii="Verdana" w:eastAsia="Calibri" w:hAnsi="Verdana" w:cs="Arial"/>
          <w:i/>
          <w:iCs/>
          <w:color w:val="000000" w:themeColor="text1"/>
          <w:sz w:val="20"/>
          <w:szCs w:val="20"/>
          <w:u w:val="single"/>
        </w:rPr>
        <w:t>la prestación de servicios públicos</w:t>
      </w:r>
      <w:r w:rsidR="00503275" w:rsidRPr="00656BC0">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00503275" w:rsidRPr="00656BC0">
        <w:rPr>
          <w:rFonts w:ascii="Verdana" w:eastAsia="Calibri" w:hAnsi="Verdana" w:cs="Arial"/>
          <w:color w:val="000000" w:themeColor="text1"/>
          <w:sz w:val="20"/>
          <w:szCs w:val="20"/>
        </w:rPr>
        <w:t>(Subraya la Corte)</w:t>
      </w:r>
      <w:r w:rsidR="00503275" w:rsidRPr="00656BC0">
        <w:rPr>
          <w:rFonts w:ascii="Verdana" w:eastAsia="Calibri" w:hAnsi="Verdana" w:cs="Arial"/>
          <w:color w:val="000000" w:themeColor="text1"/>
          <w:sz w:val="20"/>
          <w:szCs w:val="20"/>
          <w:vertAlign w:val="superscript"/>
        </w:rPr>
        <w:footnoteReference w:id="37"/>
      </w:r>
      <w:r w:rsidR="00503275" w:rsidRPr="00656BC0">
        <w:rPr>
          <w:rFonts w:ascii="Verdana" w:eastAsia="Calibri" w:hAnsi="Verdana" w:cs="Arial"/>
          <w:color w:val="000000" w:themeColor="text1"/>
          <w:sz w:val="20"/>
          <w:szCs w:val="20"/>
        </w:rPr>
        <w:t>.</w:t>
      </w:r>
    </w:p>
    <w:p w14:paraId="2E39DD2C" w14:textId="77777777" w:rsidR="00503275" w:rsidRPr="00656BC0" w:rsidRDefault="00503275" w:rsidP="00503275">
      <w:pPr>
        <w:spacing w:after="0" w:line="240" w:lineRule="auto"/>
        <w:jc w:val="both"/>
        <w:rPr>
          <w:rFonts w:ascii="Verdana" w:eastAsia="Calibri" w:hAnsi="Verdana" w:cs="Arial"/>
          <w:color w:val="000000" w:themeColor="text1"/>
          <w:sz w:val="20"/>
          <w:szCs w:val="20"/>
        </w:rPr>
      </w:pPr>
    </w:p>
    <w:p w14:paraId="7CE6AB63" w14:textId="77777777" w:rsidR="00503275" w:rsidRPr="00656BC0" w:rsidRDefault="00503275" w:rsidP="00503275">
      <w:pPr>
        <w:spacing w:after="120" w:line="276" w:lineRule="auto"/>
        <w:ind w:firstLine="709"/>
        <w:jc w:val="both"/>
        <w:rPr>
          <w:rFonts w:ascii="Verdana" w:eastAsia="Calibri" w:hAnsi="Verdana" w:cs="Arial"/>
          <w:color w:val="000000" w:themeColor="text1"/>
        </w:rPr>
      </w:pPr>
      <w:r w:rsidRPr="00656BC0">
        <w:rPr>
          <w:rFonts w:ascii="Verdana" w:eastAsia="Calibri" w:hAnsi="Verdana" w:cs="Arial"/>
          <w:color w:val="000000" w:themeColor="text1"/>
          <w:lang w:val="es-ES"/>
        </w:rPr>
        <w:t>La segunda postura que también se deriva de la interpretación de la sentencia es que la Corte Constitucional</w:t>
      </w:r>
      <w:r w:rsidRPr="00656BC0">
        <w:t xml:space="preserve"> </w:t>
      </w:r>
      <w:r w:rsidRPr="00656BC0">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656BC0">
        <w:rPr>
          <w:rFonts w:ascii="Verdana" w:eastAsia="Calibri" w:hAnsi="Verdana" w:cs="Arial"/>
          <w:bCs/>
          <w:color w:val="000000" w:themeColor="text1"/>
          <w:lang w:val="es-ES"/>
        </w:rPr>
        <w:t xml:space="preserve">empresas de servicios públicos mixtas y privadas en las cuales haya cualquier porcentaje de participación pública. </w:t>
      </w:r>
      <w:r w:rsidRPr="00656BC0">
        <w:rPr>
          <w:rFonts w:ascii="Verdana" w:eastAsia="Calibri" w:hAnsi="Verdana" w:cs="Arial"/>
          <w:color w:val="000000" w:themeColor="text1"/>
          <w:lang w:val="es-ES"/>
        </w:rPr>
        <w:t xml:space="preserve">Esta interpretación se complementa con la Ley 142 de 1994, que define los tipos societarios según la proporción de capital estatal y privado, entendiendo como empresa privada de servicios públicos como </w:t>
      </w:r>
      <w:r w:rsidRPr="00656BC0">
        <w:rPr>
          <w:rFonts w:ascii="Verdana" w:eastAsia="Calibri" w:hAnsi="Verdana" w:cs="Arial"/>
          <w:color w:val="000000" w:themeColor="text1"/>
        </w:rPr>
        <w:t>aquella cuyo capital pertenece mayoritariamente a particulares o a entidades internacionales que se acogen al régimen privado, lo que implica una participación minoritaria del Estado.</w:t>
      </w:r>
    </w:p>
    <w:p w14:paraId="3849DCF7" w14:textId="77777777" w:rsidR="00503275" w:rsidRPr="00656BC0" w:rsidRDefault="00503275" w:rsidP="00503275">
      <w:pPr>
        <w:spacing w:after="12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04AECE12" w14:textId="77777777" w:rsidR="00503275" w:rsidRPr="00656BC0" w:rsidRDefault="00503275" w:rsidP="00503275">
      <w:pPr>
        <w:spacing w:after="12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Es importante señalar que la naturaleza jurídica de una entidad no depende solo de la función que cumple. En otras palabras, prestar un servicio público no convierte a una empresa en entidad pública. Lo determinante es su origen legal, su régimen jurídico y su vinculación con el Estado. Aunque las empresas privadas con capital 100% privado de servicios públicos cumplen una función pública, siguen siendo entidades privadas en cuanto a su estructura, gestión y responsabilidad jurídica. Esto, sin dejar de lado que las empresas de servicios públicos domiciliarios mixtas y las empresas privadas con participación minoritaria del Estado son comprendidas como entidades descentralizadas por servicios, de acuerdo con lo expresado por la Corte Constitucional en la sentencia ya precitada. </w:t>
      </w:r>
    </w:p>
    <w:p w14:paraId="41242FF4" w14:textId="77777777" w:rsidR="00503275" w:rsidRDefault="00503275" w:rsidP="00503275">
      <w:pPr>
        <w:spacing w:after="12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De este modo, se consideran entidades descentralizadas por servicios, es decir, adquieren la naturaleza de ser una entidad pública, lo que implica que tienen la facultad de celebrar </w:t>
      </w:r>
      <w:r>
        <w:rPr>
          <w:rFonts w:ascii="Verdana" w:eastAsia="Calibri" w:hAnsi="Verdana" w:cs="Arial"/>
          <w:color w:val="000000" w:themeColor="text1"/>
          <w:lang w:val="es-ES"/>
        </w:rPr>
        <w:t xml:space="preserve">por ejemplo </w:t>
      </w:r>
      <w:r w:rsidRPr="00656BC0">
        <w:rPr>
          <w:rFonts w:ascii="Verdana" w:eastAsia="Calibri" w:hAnsi="Verdana" w:cs="Arial"/>
          <w:color w:val="000000" w:themeColor="text1"/>
          <w:lang w:val="es-ES"/>
        </w:rPr>
        <w:t xml:space="preserve">convenios y contratos interadministrativos con otras entidades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24506BF3" w14:textId="5C879D0A" w:rsidR="00503275" w:rsidRDefault="00503275" w:rsidP="007528D5">
      <w:pPr>
        <w:spacing w:after="0" w:line="276" w:lineRule="auto"/>
        <w:ind w:firstLine="709"/>
        <w:jc w:val="both"/>
        <w:rPr>
          <w:rFonts w:ascii="Verdana" w:eastAsia="Calibri" w:hAnsi="Verdana" w:cs="Arial"/>
          <w:bCs/>
          <w:color w:val="000000" w:themeColor="text1"/>
          <w:lang w:val="es-ES_tradnl"/>
        </w:rPr>
      </w:pPr>
      <w:r w:rsidRPr="00656BC0">
        <w:rPr>
          <w:rFonts w:ascii="Verdana" w:eastAsia="Calibri" w:hAnsi="Verdana" w:cs="Times New Roman"/>
          <w:iCs/>
          <w:lang w:val="es-MX"/>
        </w:rPr>
        <w:t>L</w:t>
      </w:r>
      <w:r w:rsidRPr="00656BC0">
        <w:rPr>
          <w:rFonts w:ascii="Verdana" w:eastAsia="Calibri" w:hAnsi="Verdana" w:cs="Arial"/>
          <w:color w:val="000000"/>
          <w:lang w:val="es-ES_tradnl"/>
        </w:rPr>
        <w:t>as empresas de servicios públicos domiciliarios con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w:t>
      </w:r>
      <w:r w:rsidRPr="00101529">
        <w:rPr>
          <w:rFonts w:ascii="Verdana" w:eastAsia="Calibri" w:hAnsi="Verdana" w:cs="Arial"/>
          <w:color w:val="000000"/>
          <w:lang w:val="es-ES_tradnl"/>
        </w:rPr>
        <w:t>. No obstante</w:t>
      </w:r>
      <w:r w:rsidRPr="00656BC0">
        <w:rPr>
          <w:rFonts w:ascii="Arial" w:eastAsia="Calibri" w:hAnsi="Arial" w:cs="Arial"/>
          <w:color w:val="000000"/>
          <w:lang w:val="es-ES_tradnl"/>
        </w:rPr>
        <w:t xml:space="preserve">, la </w:t>
      </w:r>
      <w:r w:rsidRPr="00656BC0">
        <w:rPr>
          <w:rFonts w:ascii="Verdana" w:eastAsia="Calibri" w:hAnsi="Verdana" w:cs="Arial"/>
          <w:bCs/>
          <w:color w:val="000000" w:themeColor="text1"/>
          <w:lang w:val="es-ES_tradnl"/>
        </w:rPr>
        <w:t xml:space="preserve">sujeción al derecho privado no significa que no deban sujetarse a mandatos y obligaciones del derecho público, tal como está regulado en el artículo 13 de la Ley 1150 de 2007, cuyo tenor literal dispone: </w:t>
      </w:r>
    </w:p>
    <w:p w14:paraId="59A06F82" w14:textId="77777777" w:rsidR="007528D5" w:rsidRPr="00D772A8" w:rsidRDefault="007528D5" w:rsidP="00921C8D">
      <w:pPr>
        <w:spacing w:after="0" w:line="276" w:lineRule="auto"/>
        <w:ind w:firstLine="709"/>
        <w:jc w:val="both"/>
        <w:rPr>
          <w:rFonts w:ascii="Verdana" w:eastAsia="Calibri" w:hAnsi="Verdana" w:cs="Arial"/>
          <w:color w:val="000000" w:themeColor="text1"/>
          <w:lang w:val="es-ES"/>
        </w:rPr>
      </w:pPr>
    </w:p>
    <w:p w14:paraId="3C4A079E" w14:textId="77777777" w:rsidR="00503275" w:rsidRPr="00656BC0" w:rsidRDefault="00503275" w:rsidP="00503275">
      <w:pPr>
        <w:spacing w:after="0" w:line="240" w:lineRule="auto"/>
        <w:ind w:left="709" w:right="709"/>
        <w:jc w:val="both"/>
        <w:rPr>
          <w:rFonts w:ascii="Verdana" w:eastAsia="Calibri" w:hAnsi="Verdana" w:cs="Arial"/>
          <w:bCs/>
          <w:color w:val="000000" w:themeColor="text1"/>
          <w:sz w:val="20"/>
          <w:szCs w:val="20"/>
        </w:rPr>
      </w:pPr>
      <w:r w:rsidRPr="00656BC0">
        <w:rPr>
          <w:rFonts w:ascii="Verdana" w:eastAsia="Calibri" w:hAnsi="Verdana" w:cs="Arial"/>
          <w:bCs/>
          <w:color w:val="000000" w:themeColor="text1"/>
          <w:sz w:val="20"/>
          <w:szCs w:val="20"/>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F131708" w14:textId="77777777" w:rsidR="00503275" w:rsidRPr="00656BC0" w:rsidRDefault="00503275" w:rsidP="00503275">
      <w:pPr>
        <w:spacing w:after="0" w:line="240" w:lineRule="auto"/>
        <w:ind w:left="709" w:right="709"/>
        <w:jc w:val="both"/>
        <w:rPr>
          <w:rFonts w:ascii="Verdana" w:eastAsia="Calibri" w:hAnsi="Verdana" w:cs="Arial"/>
          <w:bCs/>
          <w:color w:val="000000" w:themeColor="text1"/>
          <w:sz w:val="20"/>
          <w:szCs w:val="20"/>
        </w:rPr>
      </w:pPr>
    </w:p>
    <w:p w14:paraId="1A67778F" w14:textId="77777777" w:rsidR="00503275" w:rsidRPr="00656BC0" w:rsidRDefault="00503275" w:rsidP="00503275">
      <w:pPr>
        <w:spacing w:after="0" w:line="240" w:lineRule="auto"/>
        <w:ind w:left="709" w:right="709"/>
        <w:jc w:val="both"/>
        <w:rPr>
          <w:rFonts w:ascii="Verdana" w:eastAsia="Calibri" w:hAnsi="Verdana" w:cs="Arial"/>
          <w:bCs/>
          <w:i/>
          <w:iCs/>
          <w:color w:val="000000" w:themeColor="text1"/>
          <w:sz w:val="20"/>
          <w:szCs w:val="20"/>
        </w:rPr>
      </w:pPr>
      <w:r w:rsidRPr="00656BC0">
        <w:rPr>
          <w:rFonts w:ascii="Verdana" w:eastAsia="Calibri" w:hAnsi="Verdana" w:cs="Arial"/>
          <w:bCs/>
          <w:i/>
          <w:iCs/>
          <w:color w:val="000000" w:themeColor="text1"/>
          <w:sz w:val="20"/>
          <w:szCs w:val="20"/>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656BC0">
        <w:rPr>
          <w:rFonts w:ascii="Verdana" w:eastAsia="Calibri" w:hAnsi="Verdana" w:cs="Arial"/>
          <w:bCs/>
          <w:i/>
          <w:iCs/>
          <w:color w:val="000000" w:themeColor="text1"/>
          <w:sz w:val="20"/>
          <w:szCs w:val="20"/>
        </w:rPr>
        <w:t>postcontractual</w:t>
      </w:r>
      <w:proofErr w:type="spellEnd"/>
      <w:r w:rsidRPr="00656BC0">
        <w:rPr>
          <w:rFonts w:ascii="Verdana" w:eastAsia="Calibri" w:hAnsi="Verdana" w:cs="Arial"/>
          <w:bCs/>
          <w:i/>
          <w:iCs/>
          <w:color w:val="000000" w:themeColor="text1"/>
          <w:sz w:val="20"/>
          <w:szCs w:val="20"/>
        </w:rPr>
        <w:t>.</w:t>
      </w:r>
    </w:p>
    <w:p w14:paraId="0E6260ED" w14:textId="77777777" w:rsidR="00503275" w:rsidRPr="00656BC0" w:rsidRDefault="00503275" w:rsidP="00503275">
      <w:pPr>
        <w:spacing w:after="0" w:line="240" w:lineRule="auto"/>
        <w:ind w:left="709" w:right="709"/>
        <w:jc w:val="both"/>
        <w:rPr>
          <w:rFonts w:ascii="Verdana" w:eastAsia="Calibri" w:hAnsi="Verdana" w:cs="Arial"/>
          <w:bCs/>
          <w:color w:val="000000" w:themeColor="text1"/>
          <w:sz w:val="20"/>
          <w:szCs w:val="20"/>
        </w:rPr>
      </w:pPr>
    </w:p>
    <w:p w14:paraId="6F2D0B82" w14:textId="77777777" w:rsidR="00503275" w:rsidRDefault="00503275" w:rsidP="00503275">
      <w:pPr>
        <w:spacing w:after="0" w:line="240" w:lineRule="auto"/>
        <w:ind w:left="709" w:right="709"/>
        <w:jc w:val="both"/>
        <w:rPr>
          <w:rFonts w:ascii="Verdana" w:eastAsia="Calibri" w:hAnsi="Verdana" w:cs="Arial"/>
          <w:bCs/>
          <w:color w:val="000000" w:themeColor="text1"/>
          <w:sz w:val="20"/>
          <w:szCs w:val="20"/>
        </w:rPr>
      </w:pPr>
      <w:r w:rsidRPr="00656BC0">
        <w:rPr>
          <w:rFonts w:ascii="Verdana" w:eastAsia="Calibri" w:hAnsi="Verdana" w:cs="Arial"/>
          <w:bCs/>
          <w:color w:val="000000" w:themeColor="text1"/>
          <w:sz w:val="20"/>
          <w:szCs w:val="20"/>
        </w:rPr>
        <w:t>A partir de la entrada en vigencia de la presente Ley, se establecerá un periodo de transición de seis (6) meses, para que las entidades den cumplimiento efectivo a lo aquí establecido”. (Cursiva fuera del original).</w:t>
      </w:r>
    </w:p>
    <w:p w14:paraId="2E1F68E6" w14:textId="77777777" w:rsidR="00503275" w:rsidRPr="005D40F0" w:rsidRDefault="00503275" w:rsidP="00503275">
      <w:pPr>
        <w:spacing w:after="0" w:line="240" w:lineRule="auto"/>
        <w:ind w:left="709" w:right="709"/>
        <w:jc w:val="both"/>
        <w:rPr>
          <w:rFonts w:ascii="Verdana" w:eastAsia="Calibri" w:hAnsi="Verdana" w:cs="Arial"/>
          <w:bCs/>
          <w:color w:val="000000" w:themeColor="text1"/>
          <w:sz w:val="20"/>
          <w:szCs w:val="20"/>
        </w:rPr>
      </w:pPr>
    </w:p>
    <w:p w14:paraId="0607FDF9" w14:textId="77777777" w:rsidR="00503275" w:rsidRPr="00656BC0" w:rsidRDefault="00503275" w:rsidP="00503275">
      <w:pPr>
        <w:spacing w:after="120" w:line="276" w:lineRule="auto"/>
        <w:ind w:firstLine="709"/>
        <w:jc w:val="both"/>
        <w:rPr>
          <w:rFonts w:ascii="Verdana" w:eastAsia="Calibri" w:hAnsi="Verdana" w:cs="Arial"/>
          <w:bCs/>
          <w:lang w:val="es-ES" w:eastAsia="es-ES_tradnl"/>
        </w:rPr>
      </w:pPr>
      <w:r w:rsidRPr="00656BC0">
        <w:rPr>
          <w:rFonts w:ascii="Verdana" w:eastAsia="Calibri" w:hAnsi="Verdana" w:cs="Arial"/>
          <w:bCs/>
          <w:color w:val="000000" w:themeColor="text1"/>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w:t>
      </w:r>
      <w:r w:rsidRPr="00D772A8">
        <w:rPr>
          <w:rFonts w:ascii="Verdana" w:eastAsia="Calibri" w:hAnsi="Verdana" w:cs="Arial"/>
          <w:bCs/>
          <w:color w:val="000000" w:themeColor="text1"/>
          <w:lang w:val="es-ES"/>
        </w:rPr>
        <w:t xml:space="preserve">deber </w:t>
      </w:r>
      <w:r w:rsidRPr="00D772A8">
        <w:rPr>
          <w:rFonts w:ascii="Verdana" w:eastAsia="Calibri" w:hAnsi="Verdana" w:cs="Arial"/>
          <w:bCs/>
          <w:color w:val="000000" w:themeColor="text1"/>
        </w:rPr>
        <w:t>de</w:t>
      </w:r>
      <w:r w:rsidRPr="00656BC0">
        <w:rPr>
          <w:rFonts w:ascii="Verdana" w:eastAsia="Calibri" w:hAnsi="Verdana" w:cs="Arial"/>
          <w:bCs/>
          <w:i/>
          <w:iCs/>
          <w:color w:val="000000" w:themeColor="text1"/>
        </w:rPr>
        <w:t xml:space="preserve"> </w:t>
      </w:r>
      <w:r w:rsidRPr="00656BC0">
        <w:rPr>
          <w:rFonts w:ascii="Verdana" w:eastAsia="Calibri" w:hAnsi="Verdana" w:cs="Arial"/>
          <w:bCs/>
          <w:iCs/>
          <w:color w:val="000000" w:themeColor="text1"/>
        </w:rPr>
        <w:t xml:space="preserve">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 Esto, sin perjuicio de las demás reglas que les aplique a las empresas de servicios públicos domiciliarios, que otorgan </w:t>
      </w:r>
      <w:r w:rsidRPr="00656BC0">
        <w:rPr>
          <w:rFonts w:ascii="Verdana" w:eastAsia="Calibri" w:hAnsi="Verdana" w:cs="Arial"/>
          <w:bCs/>
          <w:iCs/>
          <w:color w:val="000000" w:themeColor="text1"/>
          <w:lang w:val="es-ES"/>
        </w:rPr>
        <w:t>a las Comisiones de Regulación de hacer obligatoria la inclusión, en ciertos tipos de contratos de cualquier empresa de servicios públicos, de cláusulas exorbitantes y posibilitar la facultad, previa consulta expresa por parte de las estas empresas, que se incluyan en los demás</w:t>
      </w:r>
      <w:r w:rsidRPr="00656BC0">
        <w:rPr>
          <w:rFonts w:ascii="Verdana" w:eastAsia="Calibri" w:hAnsi="Verdana" w:cs="Arial"/>
          <w:bCs/>
          <w:iCs/>
          <w:color w:val="000000" w:themeColor="text1"/>
          <w:vertAlign w:val="superscript"/>
          <w:lang w:val="es-ES"/>
        </w:rPr>
        <w:footnoteReference w:id="38"/>
      </w:r>
      <w:r w:rsidRPr="00656BC0">
        <w:rPr>
          <w:rFonts w:ascii="Verdana" w:eastAsia="Calibri" w:hAnsi="Verdana" w:cs="Arial"/>
          <w:bCs/>
          <w:iCs/>
          <w:color w:val="000000" w:themeColor="text1"/>
          <w:lang w:val="es-ES"/>
        </w:rPr>
        <w:t xml:space="preserve">. </w:t>
      </w:r>
      <w:r w:rsidRPr="00656BC0">
        <w:rPr>
          <w:rFonts w:ascii="Verdana" w:eastAsia="Calibri" w:hAnsi="Verdana" w:cs="Arial"/>
          <w:bCs/>
          <w:lang w:val="es-ES" w:eastAsia="es-ES_tradnl"/>
        </w:rPr>
        <w:t>Al respecto, l</w:t>
      </w:r>
      <w:r w:rsidRPr="00656BC0">
        <w:rPr>
          <w:rFonts w:ascii="Verdana" w:eastAsia="Verdana" w:hAnsi="Verdana" w:cs="Verdana"/>
          <w:lang w:val="es-ES"/>
        </w:rPr>
        <w:t>a Agencia Nacional de Contratación Pública - Colombia Compra Eficiente expidió la “Guía para la gestión contractual de las entidades estatales con régimen especial”</w:t>
      </w:r>
      <w:r w:rsidRPr="00656BC0">
        <w:rPr>
          <w:rFonts w:ascii="Verdana" w:eastAsia="Verdana" w:hAnsi="Verdana" w:cs="Verdana"/>
          <w:vertAlign w:val="superscript"/>
          <w:lang w:val="es-ES"/>
        </w:rPr>
        <w:footnoteReference w:id="39"/>
      </w:r>
      <w:r w:rsidRPr="00656BC0">
        <w:rPr>
          <w:rFonts w:ascii="Verdana" w:eastAsia="Verdana" w:hAnsi="Verdana" w:cs="Verdana"/>
          <w:lang w:val="es-ES"/>
        </w:rPr>
        <w:t>, que las define como aquellas que contratan con un régimen distinto a las Leyes 80 de 1993 y 1150 de 2007.</w:t>
      </w:r>
    </w:p>
    <w:p w14:paraId="7BA6F8B1" w14:textId="77777777" w:rsidR="00503275" w:rsidRPr="00656BC0" w:rsidRDefault="00503275" w:rsidP="00503275">
      <w:pPr>
        <w:spacing w:after="0" w:line="276" w:lineRule="auto"/>
        <w:ind w:firstLine="709"/>
        <w:jc w:val="both"/>
        <w:rPr>
          <w:rFonts w:ascii="Verdana" w:eastAsia="Verdana" w:hAnsi="Verdana" w:cs="Verdana"/>
          <w:lang w:val="es-ES"/>
        </w:rPr>
      </w:pPr>
      <w:r w:rsidRPr="00656BC0">
        <w:rPr>
          <w:rFonts w:ascii="Verdana" w:eastAsia="Verdana" w:hAnsi="Verdana" w:cs="Verdana"/>
          <w:lang w:val="es-ES"/>
        </w:rPr>
        <w:t>No obstante, las entidades de régimen especial cumplen una finalidad pública</w:t>
      </w:r>
      <w:r w:rsidRPr="00656BC0">
        <w:rPr>
          <w:rFonts w:ascii="Verdana" w:eastAsia="Verdana" w:hAnsi="Verdana" w:cs="Verdana"/>
          <w:spacing w:val="-2"/>
          <w:lang w:val="es-ES"/>
        </w:rPr>
        <w:t xml:space="preserve"> </w:t>
      </w:r>
      <w:r w:rsidRPr="00656BC0">
        <w:rPr>
          <w:rFonts w:ascii="Verdana" w:eastAsia="Verdana" w:hAnsi="Verdana" w:cs="Verdana"/>
          <w:lang w:val="es-ES"/>
        </w:rPr>
        <w:t>y</w:t>
      </w:r>
      <w:r w:rsidRPr="00656BC0">
        <w:rPr>
          <w:rFonts w:ascii="Verdana" w:eastAsia="Verdana" w:hAnsi="Verdana" w:cs="Verdana"/>
          <w:spacing w:val="-4"/>
          <w:lang w:val="es-ES"/>
        </w:rPr>
        <w:t xml:space="preserve"> </w:t>
      </w:r>
      <w:r w:rsidRPr="00656BC0">
        <w:rPr>
          <w:rFonts w:ascii="Verdana" w:eastAsia="Verdana" w:hAnsi="Verdana" w:cs="Verdana"/>
          <w:lang w:val="es-ES"/>
        </w:rPr>
        <w:t>utilizan</w:t>
      </w:r>
      <w:r w:rsidRPr="00656BC0">
        <w:rPr>
          <w:rFonts w:ascii="Verdana" w:eastAsia="Verdana" w:hAnsi="Verdana" w:cs="Verdana"/>
          <w:spacing w:val="-2"/>
          <w:lang w:val="es-ES"/>
        </w:rPr>
        <w:t xml:space="preserve"> </w:t>
      </w:r>
      <w:r w:rsidRPr="00656BC0">
        <w:rPr>
          <w:rFonts w:ascii="Verdana" w:eastAsia="Verdana" w:hAnsi="Verdana" w:cs="Verdana"/>
          <w:lang w:val="es-ES"/>
        </w:rPr>
        <w:t>recursos</w:t>
      </w:r>
      <w:r w:rsidRPr="00656BC0">
        <w:rPr>
          <w:rFonts w:ascii="Verdana" w:eastAsia="Verdana" w:hAnsi="Verdana" w:cs="Verdana"/>
          <w:spacing w:val="-1"/>
          <w:lang w:val="es-ES"/>
        </w:rPr>
        <w:t xml:space="preserve"> </w:t>
      </w:r>
      <w:r w:rsidRPr="00656BC0">
        <w:rPr>
          <w:rFonts w:ascii="Verdana" w:eastAsia="Verdana" w:hAnsi="Verdana" w:cs="Verdana"/>
          <w:lang w:val="es-ES"/>
        </w:rPr>
        <w:t>públicos</w:t>
      </w:r>
      <w:r w:rsidRPr="00656BC0">
        <w:rPr>
          <w:rFonts w:ascii="Verdana" w:eastAsia="Verdana" w:hAnsi="Verdana" w:cs="Verdana"/>
          <w:spacing w:val="-2"/>
          <w:lang w:val="es-ES"/>
        </w:rPr>
        <w:t xml:space="preserve"> </w:t>
      </w:r>
      <w:r w:rsidRPr="00656BC0">
        <w:rPr>
          <w:rFonts w:ascii="Verdana" w:eastAsia="Verdana" w:hAnsi="Verdana" w:cs="Verdana"/>
          <w:lang w:val="es-ES"/>
        </w:rPr>
        <w:t>para</w:t>
      </w:r>
      <w:r w:rsidRPr="00656BC0">
        <w:rPr>
          <w:rFonts w:ascii="Verdana" w:eastAsia="Verdana" w:hAnsi="Verdana" w:cs="Verdana"/>
          <w:spacing w:val="-3"/>
          <w:lang w:val="es-ES"/>
        </w:rPr>
        <w:t xml:space="preserve"> </w:t>
      </w:r>
      <w:r w:rsidRPr="00656BC0">
        <w:rPr>
          <w:rFonts w:ascii="Verdana" w:eastAsia="Verdana" w:hAnsi="Verdana" w:cs="Verdana"/>
          <w:lang w:val="es-ES"/>
        </w:rPr>
        <w:t>lograrlo,</w:t>
      </w:r>
      <w:r w:rsidRPr="00656BC0">
        <w:rPr>
          <w:rFonts w:ascii="Verdana" w:eastAsia="Verdana" w:hAnsi="Verdana" w:cs="Verdana"/>
          <w:spacing w:val="-1"/>
          <w:lang w:val="es-ES"/>
        </w:rPr>
        <w:t xml:space="preserve"> </w:t>
      </w:r>
      <w:r w:rsidRPr="00656BC0">
        <w:rPr>
          <w:rFonts w:ascii="Verdana" w:eastAsia="Verdana" w:hAnsi="Verdana" w:cs="Verdana"/>
          <w:lang w:val="es-ES"/>
        </w:rPr>
        <w:t>por</w:t>
      </w:r>
      <w:r w:rsidRPr="00656BC0">
        <w:rPr>
          <w:rFonts w:ascii="Verdana" w:eastAsia="Verdana" w:hAnsi="Verdana" w:cs="Verdana"/>
          <w:spacing w:val="-3"/>
          <w:lang w:val="es-ES"/>
        </w:rPr>
        <w:t xml:space="preserve"> </w:t>
      </w:r>
      <w:r w:rsidRPr="00656BC0">
        <w:rPr>
          <w:rFonts w:ascii="Verdana" w:eastAsia="Verdana" w:hAnsi="Verdana" w:cs="Verdana"/>
          <w:lang w:val="es-ES"/>
        </w:rPr>
        <w:t>lo</w:t>
      </w:r>
      <w:r w:rsidRPr="00656BC0">
        <w:rPr>
          <w:rFonts w:ascii="Verdana" w:eastAsia="Verdana" w:hAnsi="Verdana" w:cs="Verdana"/>
          <w:spacing w:val="-3"/>
          <w:lang w:val="es-ES"/>
        </w:rPr>
        <w:t xml:space="preserve"> </w:t>
      </w:r>
      <w:r w:rsidRPr="00656BC0">
        <w:rPr>
          <w:rFonts w:ascii="Verdana" w:eastAsia="Verdana" w:hAnsi="Verdana" w:cs="Verdana"/>
          <w:lang w:val="es-ES"/>
        </w:rPr>
        <w:t>que</w:t>
      </w:r>
      <w:r w:rsidRPr="00656BC0">
        <w:rPr>
          <w:rFonts w:ascii="Verdana" w:eastAsia="Verdana" w:hAnsi="Verdana" w:cs="Verdana"/>
          <w:spacing w:val="-3"/>
          <w:lang w:val="es-ES"/>
        </w:rPr>
        <w:t xml:space="preserve"> </w:t>
      </w:r>
      <w:r w:rsidRPr="00656BC0">
        <w:rPr>
          <w:rFonts w:ascii="Verdana" w:eastAsia="Verdana" w:hAnsi="Verdana" w:cs="Verdana"/>
          <w:lang w:val="es-ES"/>
        </w:rPr>
        <w:t>no</w:t>
      </w:r>
      <w:r w:rsidRPr="00656BC0">
        <w:rPr>
          <w:rFonts w:ascii="Verdana" w:eastAsia="Verdana" w:hAnsi="Verdana" w:cs="Verdana"/>
          <w:spacing w:val="-4"/>
          <w:lang w:val="es-ES"/>
        </w:rPr>
        <w:t xml:space="preserve"> </w:t>
      </w:r>
      <w:r w:rsidRPr="00656BC0">
        <w:rPr>
          <w:rFonts w:ascii="Verdana" w:eastAsia="Verdana" w:hAnsi="Verdana" w:cs="Verdana"/>
          <w:lang w:val="es-ES"/>
        </w:rPr>
        <w:t>son</w:t>
      </w:r>
      <w:r w:rsidRPr="00656BC0">
        <w:rPr>
          <w:rFonts w:ascii="Verdana" w:eastAsia="Verdana" w:hAnsi="Verdana" w:cs="Verdana"/>
          <w:spacing w:val="-3"/>
          <w:lang w:val="es-ES"/>
        </w:rPr>
        <w:t xml:space="preserve"> </w:t>
      </w:r>
      <w:r w:rsidRPr="00656BC0">
        <w:rPr>
          <w:rFonts w:ascii="Verdana" w:eastAsia="Verdana" w:hAnsi="Verdana" w:cs="Verdana"/>
          <w:lang w:val="es-ES"/>
        </w:rPr>
        <w:t>ajenas</w:t>
      </w:r>
      <w:r w:rsidRPr="00656BC0">
        <w:rPr>
          <w:rFonts w:ascii="Verdana" w:eastAsia="Verdana" w:hAnsi="Verdana" w:cs="Verdana"/>
          <w:spacing w:val="-3"/>
          <w:lang w:val="es-ES"/>
        </w:rPr>
        <w:t xml:space="preserve"> </w:t>
      </w:r>
      <w:r w:rsidRPr="00656BC0">
        <w:rPr>
          <w:rFonts w:ascii="Verdana" w:eastAsia="Verdana" w:hAnsi="Verdana" w:cs="Verdana"/>
          <w:lang w:val="es-ES"/>
        </w:rPr>
        <w:t>a</w:t>
      </w:r>
      <w:r w:rsidRPr="00656BC0">
        <w:rPr>
          <w:rFonts w:ascii="Verdana" w:eastAsia="Verdana" w:hAnsi="Verdana" w:cs="Verdana"/>
          <w:spacing w:val="-4"/>
          <w:lang w:val="es-ES"/>
        </w:rPr>
        <w:t xml:space="preserve"> </w:t>
      </w:r>
      <w:r w:rsidRPr="00656BC0">
        <w:rPr>
          <w:rFonts w:ascii="Verdana" w:eastAsia="Verdana" w:hAnsi="Verdana" w:cs="Verdana"/>
          <w:lang w:val="es-ES"/>
        </w:rPr>
        <w:t>los principios de la función administrativa y de la gestión fiscal, entre otras reglas dispuestas</w:t>
      </w:r>
      <w:r w:rsidRPr="00656BC0">
        <w:rPr>
          <w:rFonts w:ascii="Verdana" w:eastAsia="Verdana" w:hAnsi="Verdana" w:cs="Verdana"/>
          <w:spacing w:val="-20"/>
          <w:lang w:val="es-ES"/>
        </w:rPr>
        <w:t xml:space="preserve"> </w:t>
      </w:r>
      <w:r w:rsidRPr="00656BC0">
        <w:rPr>
          <w:rFonts w:ascii="Verdana" w:eastAsia="Verdana" w:hAnsi="Verdana" w:cs="Verdana"/>
          <w:lang w:val="es-ES"/>
        </w:rPr>
        <w:t>en</w:t>
      </w:r>
      <w:r w:rsidRPr="00656BC0">
        <w:rPr>
          <w:rFonts w:ascii="Verdana" w:eastAsia="Verdana" w:hAnsi="Verdana" w:cs="Verdana"/>
          <w:spacing w:val="-19"/>
          <w:lang w:val="es-ES"/>
        </w:rPr>
        <w:t xml:space="preserve"> </w:t>
      </w:r>
      <w:r w:rsidRPr="00656BC0">
        <w:rPr>
          <w:rFonts w:ascii="Verdana" w:eastAsia="Verdana" w:hAnsi="Verdana" w:cs="Verdana"/>
          <w:lang w:val="es-ES"/>
        </w:rPr>
        <w:t>la</w:t>
      </w:r>
      <w:r w:rsidRPr="00656BC0">
        <w:rPr>
          <w:rFonts w:ascii="Verdana" w:eastAsia="Verdana" w:hAnsi="Verdana" w:cs="Verdana"/>
          <w:spacing w:val="-19"/>
          <w:lang w:val="es-ES"/>
        </w:rPr>
        <w:t xml:space="preserve"> </w:t>
      </w:r>
      <w:r w:rsidRPr="00656BC0">
        <w:rPr>
          <w:rFonts w:ascii="Verdana" w:eastAsia="Verdana" w:hAnsi="Verdana" w:cs="Verdana"/>
          <w:lang w:val="es-ES"/>
        </w:rPr>
        <w:t>normativa</w:t>
      </w:r>
      <w:r w:rsidRPr="00656BC0">
        <w:rPr>
          <w:rFonts w:ascii="Verdana" w:eastAsia="Verdana" w:hAnsi="Verdana" w:cs="Verdana"/>
          <w:spacing w:val="-20"/>
          <w:lang w:val="es-ES"/>
        </w:rPr>
        <w:t xml:space="preserve"> </w:t>
      </w:r>
      <w:r w:rsidRPr="00656BC0">
        <w:rPr>
          <w:rFonts w:ascii="Verdana" w:eastAsia="Verdana" w:hAnsi="Verdana" w:cs="Verdana"/>
          <w:lang w:val="es-ES"/>
        </w:rPr>
        <w:t>de</w:t>
      </w:r>
      <w:r w:rsidRPr="00656BC0">
        <w:rPr>
          <w:rFonts w:ascii="Verdana" w:eastAsia="Verdana" w:hAnsi="Verdana" w:cs="Verdana"/>
          <w:spacing w:val="-19"/>
          <w:lang w:val="es-ES"/>
        </w:rPr>
        <w:t xml:space="preserve"> </w:t>
      </w:r>
      <w:r w:rsidRPr="00656BC0">
        <w:rPr>
          <w:rFonts w:ascii="Verdana" w:eastAsia="Verdana" w:hAnsi="Verdana" w:cs="Verdana"/>
          <w:lang w:val="es-ES"/>
        </w:rPr>
        <w:t>contratación</w:t>
      </w:r>
      <w:r w:rsidRPr="00656BC0">
        <w:rPr>
          <w:rFonts w:ascii="Verdana" w:eastAsia="Verdana" w:hAnsi="Verdana" w:cs="Verdana"/>
          <w:spacing w:val="-20"/>
          <w:lang w:val="es-ES"/>
        </w:rPr>
        <w:t xml:space="preserve"> </w:t>
      </w:r>
      <w:r w:rsidRPr="00656BC0">
        <w:rPr>
          <w:rFonts w:ascii="Verdana" w:eastAsia="Verdana" w:hAnsi="Verdana" w:cs="Verdana"/>
          <w:lang w:val="es-ES"/>
        </w:rPr>
        <w:t>pública</w:t>
      </w:r>
      <w:r w:rsidRPr="00656BC0">
        <w:rPr>
          <w:rFonts w:ascii="Verdana" w:eastAsia="Verdana" w:hAnsi="Verdana" w:cs="Verdana"/>
          <w:spacing w:val="-19"/>
          <w:lang w:val="es-ES"/>
        </w:rPr>
        <w:t xml:space="preserve"> </w:t>
      </w:r>
      <w:r w:rsidRPr="00656BC0">
        <w:rPr>
          <w:rFonts w:ascii="Verdana" w:eastAsia="Verdana" w:hAnsi="Verdana" w:cs="Verdana"/>
          <w:lang w:val="es-ES"/>
        </w:rPr>
        <w:t>que</w:t>
      </w:r>
      <w:r w:rsidRPr="00656BC0">
        <w:rPr>
          <w:rFonts w:ascii="Verdana" w:eastAsia="Verdana" w:hAnsi="Verdana" w:cs="Verdana"/>
          <w:spacing w:val="-19"/>
          <w:lang w:val="es-ES"/>
        </w:rPr>
        <w:t xml:space="preserve"> </w:t>
      </w:r>
      <w:r w:rsidRPr="00656BC0">
        <w:rPr>
          <w:rFonts w:ascii="Verdana" w:eastAsia="Verdana" w:hAnsi="Verdana" w:cs="Verdana"/>
          <w:lang w:val="es-ES"/>
        </w:rPr>
        <w:t>son</w:t>
      </w:r>
      <w:r w:rsidRPr="00656BC0">
        <w:rPr>
          <w:rFonts w:ascii="Verdana" w:eastAsia="Verdana" w:hAnsi="Verdana" w:cs="Verdana"/>
          <w:spacing w:val="-20"/>
          <w:lang w:val="es-ES"/>
        </w:rPr>
        <w:t xml:space="preserve"> </w:t>
      </w:r>
      <w:r w:rsidRPr="00656BC0">
        <w:rPr>
          <w:rFonts w:ascii="Verdana" w:eastAsia="Verdana" w:hAnsi="Verdana" w:cs="Verdana"/>
          <w:lang w:val="es-ES"/>
        </w:rPr>
        <w:t>transversales</w:t>
      </w:r>
      <w:r w:rsidRPr="00656BC0">
        <w:rPr>
          <w:rFonts w:ascii="Verdana" w:eastAsia="Verdana" w:hAnsi="Verdana" w:cs="Verdana"/>
          <w:spacing w:val="-19"/>
          <w:lang w:val="es-ES"/>
        </w:rPr>
        <w:t xml:space="preserve"> </w:t>
      </w:r>
      <w:r w:rsidRPr="00656BC0">
        <w:rPr>
          <w:rFonts w:ascii="Verdana" w:eastAsia="Verdana" w:hAnsi="Verdana" w:cs="Verdana"/>
          <w:lang w:val="es-ES"/>
        </w:rPr>
        <w:t>a</w:t>
      </w:r>
      <w:r w:rsidRPr="00656BC0">
        <w:rPr>
          <w:rFonts w:ascii="Verdana" w:eastAsia="Verdana" w:hAnsi="Verdana" w:cs="Verdana"/>
          <w:spacing w:val="-19"/>
          <w:lang w:val="es-ES"/>
        </w:rPr>
        <w:t xml:space="preserve"> </w:t>
      </w:r>
      <w:r w:rsidRPr="00656BC0">
        <w:rPr>
          <w:rFonts w:ascii="Verdana" w:eastAsia="Verdana" w:hAnsi="Verdana" w:cs="Verdana"/>
          <w:lang w:val="es-ES"/>
        </w:rPr>
        <w:t>todas las entidades, sin importar su régimen contractual.</w:t>
      </w:r>
      <w:r>
        <w:rPr>
          <w:rFonts w:ascii="Verdana" w:eastAsia="Verdana" w:hAnsi="Verdana" w:cs="Verdana"/>
          <w:lang w:val="es-ES"/>
        </w:rPr>
        <w:t xml:space="preserve"> </w:t>
      </w:r>
      <w:r w:rsidRPr="00656BC0">
        <w:rPr>
          <w:rFonts w:ascii="Verdana" w:eastAsia="Calibri" w:hAnsi="Verdana" w:cs="Arial"/>
          <w:lang w:val="es-ES_tradnl"/>
        </w:rPr>
        <w:t>Lo anterior es reafirmado por el Consejo de Estado, que destaca las reglas que sigue la contratación de las entidades de régimen especial:</w:t>
      </w:r>
    </w:p>
    <w:p w14:paraId="4F9FAA31" w14:textId="77777777" w:rsidR="00503275" w:rsidRPr="00656BC0" w:rsidRDefault="00503275" w:rsidP="00503275">
      <w:pPr>
        <w:spacing w:after="0" w:line="240" w:lineRule="auto"/>
        <w:jc w:val="both"/>
        <w:rPr>
          <w:rFonts w:ascii="Arial" w:eastAsia="Calibri" w:hAnsi="Arial" w:cs="Arial"/>
          <w:sz w:val="20"/>
          <w:szCs w:val="20"/>
          <w:lang w:val="es-ES_tradnl"/>
        </w:rPr>
      </w:pPr>
    </w:p>
    <w:p w14:paraId="3B50F870" w14:textId="77777777" w:rsidR="00503275" w:rsidRPr="00656BC0" w:rsidRDefault="00503275" w:rsidP="00503275">
      <w:pPr>
        <w:spacing w:after="0" w:line="240" w:lineRule="auto"/>
        <w:ind w:left="709" w:right="709"/>
        <w:jc w:val="both"/>
        <w:rPr>
          <w:rFonts w:ascii="Verdana" w:eastAsia="Calibri" w:hAnsi="Verdana" w:cs="Arial"/>
          <w:sz w:val="20"/>
          <w:szCs w:val="20"/>
          <w:lang w:val="es-ES_tradnl"/>
        </w:rPr>
      </w:pPr>
      <w:r w:rsidRPr="00656BC0">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2C57A3FA" w14:textId="77777777" w:rsidR="00503275" w:rsidRPr="00656BC0" w:rsidRDefault="00503275" w:rsidP="00503275">
      <w:pPr>
        <w:spacing w:after="0" w:line="240" w:lineRule="auto"/>
        <w:ind w:left="709" w:right="709"/>
        <w:jc w:val="both"/>
        <w:rPr>
          <w:rFonts w:ascii="Verdana" w:eastAsia="Calibri" w:hAnsi="Verdana" w:cs="Arial"/>
          <w:sz w:val="20"/>
          <w:szCs w:val="20"/>
          <w:lang w:val="es-ES_tradnl"/>
        </w:rPr>
      </w:pPr>
    </w:p>
    <w:p w14:paraId="393A65A5" w14:textId="77777777" w:rsidR="00503275" w:rsidRPr="00656BC0" w:rsidRDefault="00503275" w:rsidP="00503275">
      <w:pPr>
        <w:spacing w:after="0" w:line="240" w:lineRule="auto"/>
        <w:ind w:left="709" w:right="709"/>
        <w:jc w:val="both"/>
        <w:rPr>
          <w:rFonts w:ascii="Verdana" w:eastAsia="Calibri" w:hAnsi="Verdana" w:cs="Arial"/>
          <w:sz w:val="20"/>
          <w:szCs w:val="20"/>
          <w:lang w:val="es-ES"/>
        </w:rPr>
      </w:pPr>
      <w:r w:rsidRPr="00656BC0">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w:t>
      </w:r>
      <w:proofErr w:type="gramStart"/>
      <w:r w:rsidRPr="00656BC0">
        <w:rPr>
          <w:rFonts w:ascii="Verdana" w:eastAsia="Calibri" w:hAnsi="Verdana" w:cs="Arial"/>
          <w:sz w:val="20"/>
          <w:szCs w:val="20"/>
          <w:lang w:val="es-ES"/>
        </w:rPr>
        <w:t>interpretar</w:t>
      </w:r>
      <w:proofErr w:type="gramEnd"/>
      <w:r w:rsidRPr="00656BC0">
        <w:rPr>
          <w:rFonts w:ascii="Verdana" w:eastAsia="Calibri" w:hAnsi="Verdana" w:cs="Arial"/>
          <w:sz w:val="20"/>
          <w:szCs w:val="20"/>
          <w:lang w:val="es-ES"/>
        </w:rPr>
        <w:t xml:space="preserve"> pero también transforma parte de esas instituciones, porque se suma a ellas, lo que no siempre se logra conservando intacta la institución privada sino introduciéndole modificaciones. </w:t>
      </w:r>
    </w:p>
    <w:p w14:paraId="105A2AC9" w14:textId="77777777" w:rsidR="00503275" w:rsidRPr="00656BC0" w:rsidRDefault="00503275" w:rsidP="00503275">
      <w:pPr>
        <w:spacing w:after="0" w:line="240" w:lineRule="auto"/>
        <w:ind w:left="709" w:right="709"/>
        <w:jc w:val="both"/>
        <w:rPr>
          <w:rFonts w:ascii="Verdana" w:eastAsia="Calibri" w:hAnsi="Verdana" w:cs="Arial"/>
          <w:sz w:val="20"/>
          <w:szCs w:val="20"/>
          <w:lang w:val="es-ES_tradnl"/>
        </w:rPr>
      </w:pPr>
    </w:p>
    <w:p w14:paraId="6E280B34" w14:textId="77777777" w:rsidR="00503275" w:rsidRDefault="00503275" w:rsidP="00503275">
      <w:pPr>
        <w:spacing w:after="0" w:line="240" w:lineRule="auto"/>
        <w:ind w:left="709" w:right="709"/>
        <w:jc w:val="both"/>
        <w:rPr>
          <w:rFonts w:ascii="Verdana" w:eastAsia="Calibri" w:hAnsi="Verdana" w:cs="Arial"/>
          <w:sz w:val="20"/>
          <w:szCs w:val="20"/>
          <w:lang w:val="es-ES_tradnl"/>
        </w:rPr>
      </w:pPr>
      <w:r w:rsidRPr="00656BC0">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656BC0">
        <w:rPr>
          <w:rFonts w:ascii="Verdana" w:eastAsia="Calibri" w:hAnsi="Verdana" w:cs="Arial"/>
          <w:sz w:val="20"/>
          <w:szCs w:val="20"/>
          <w:vertAlign w:val="superscript"/>
          <w:lang w:val="es-ES_tradnl"/>
        </w:rPr>
        <w:footnoteReference w:id="40"/>
      </w:r>
      <w:r w:rsidRPr="00656BC0">
        <w:rPr>
          <w:rFonts w:ascii="Verdana" w:eastAsia="Calibri" w:hAnsi="Verdana" w:cs="Arial"/>
          <w:sz w:val="20"/>
          <w:szCs w:val="20"/>
          <w:lang w:val="es-ES_tradnl"/>
        </w:rPr>
        <w:t>.</w:t>
      </w:r>
    </w:p>
    <w:p w14:paraId="1142ADD9" w14:textId="77777777" w:rsidR="00503275" w:rsidRPr="005D40F0" w:rsidRDefault="00503275" w:rsidP="00503275">
      <w:pPr>
        <w:spacing w:after="0" w:line="240" w:lineRule="auto"/>
        <w:ind w:left="709" w:right="709"/>
        <w:jc w:val="both"/>
        <w:rPr>
          <w:rFonts w:ascii="Verdana" w:eastAsia="Calibri" w:hAnsi="Verdana" w:cs="Arial"/>
          <w:sz w:val="20"/>
          <w:szCs w:val="20"/>
          <w:lang w:val="es-ES_tradnl"/>
        </w:rPr>
      </w:pPr>
    </w:p>
    <w:p w14:paraId="46141D4C" w14:textId="77777777" w:rsidR="00503275" w:rsidRPr="00656BC0" w:rsidRDefault="00503275" w:rsidP="00503275">
      <w:pPr>
        <w:spacing w:after="120" w:line="276" w:lineRule="auto"/>
        <w:ind w:firstLine="708"/>
        <w:jc w:val="both"/>
        <w:rPr>
          <w:rFonts w:ascii="Verdana" w:eastAsia="Calibri" w:hAnsi="Verdana" w:cs="Times New Roman"/>
          <w:lang w:val="es-ES"/>
        </w:rPr>
      </w:pPr>
      <w:r w:rsidRPr="00656BC0">
        <w:rPr>
          <w:rFonts w:ascii="Verdana" w:eastAsia="Calibri" w:hAnsi="Verdana" w:cs="Times New Roman"/>
          <w:lang w:val="es-ES"/>
        </w:rPr>
        <w:t xml:space="preserve"> </w:t>
      </w:r>
      <w:r w:rsidRPr="00656BC0">
        <w:rPr>
          <w:rFonts w:ascii="Verdana" w:eastAsia="Verdana" w:hAnsi="Verdana" w:cs="Verdana"/>
          <w:lang w:val="es-ES"/>
        </w:rPr>
        <w:t xml:space="preserve">Ahora bien, las empresas de servicios públicos domiciliarios deben adelantar su contratación, mediante los procedimientos y reglas propias del manual de contratación institucional y/o cumplir la normativa de carácter especial, si procede. Haciendo claridad que el manual, así como los pliegos de condiciones deben contener los principios de la función administrativa y de la gestión fiscal, determinándose la manera concreta como dichos principios moldearán el derecho privado en el ejercicio de la actividad contractual. </w:t>
      </w:r>
    </w:p>
    <w:p w14:paraId="0CB4C0AF" w14:textId="77777777" w:rsidR="00503275" w:rsidRPr="00656BC0" w:rsidRDefault="00503275" w:rsidP="00503275">
      <w:pPr>
        <w:spacing w:after="120" w:line="276" w:lineRule="auto"/>
        <w:ind w:firstLine="709"/>
        <w:jc w:val="both"/>
        <w:rPr>
          <w:rFonts w:ascii="Verdana" w:eastAsia="Calibri" w:hAnsi="Verdana" w:cs="Times New Roman"/>
          <w:lang w:val="es-ES"/>
        </w:rPr>
      </w:pPr>
      <w:r w:rsidRPr="00656BC0">
        <w:rPr>
          <w:rFonts w:ascii="Verdana" w:eastAsia="Verdana" w:hAnsi="Verdana" w:cs="Verdana"/>
          <w:spacing w:val="-2"/>
          <w:lang w:val="es-ES"/>
        </w:rPr>
        <w:t>Sobre</w:t>
      </w:r>
      <w:r w:rsidRPr="00656BC0">
        <w:rPr>
          <w:rFonts w:ascii="Verdana" w:eastAsia="Verdana" w:hAnsi="Verdana" w:cs="Verdana"/>
          <w:spacing w:val="-10"/>
          <w:lang w:val="es-ES"/>
        </w:rPr>
        <w:t xml:space="preserve"> </w:t>
      </w:r>
      <w:r w:rsidRPr="00656BC0">
        <w:rPr>
          <w:rFonts w:ascii="Verdana" w:eastAsia="Verdana" w:hAnsi="Verdana" w:cs="Verdana"/>
          <w:spacing w:val="-2"/>
          <w:lang w:val="es-ES"/>
        </w:rPr>
        <w:t>este</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punto</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particular</w:t>
      </w:r>
      <w:r w:rsidRPr="00656BC0">
        <w:rPr>
          <w:rFonts w:ascii="Verdana" w:eastAsia="Verdana" w:hAnsi="Verdana" w:cs="Verdana"/>
          <w:spacing w:val="-8"/>
          <w:lang w:val="es-ES"/>
        </w:rPr>
        <w:t xml:space="preserve"> </w:t>
      </w:r>
      <w:r w:rsidRPr="00656BC0">
        <w:rPr>
          <w:rFonts w:ascii="Verdana" w:eastAsia="Verdana" w:hAnsi="Verdana" w:cs="Verdana"/>
          <w:spacing w:val="-2"/>
          <w:lang w:val="es-ES"/>
        </w:rPr>
        <w:t>es</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preciso</w:t>
      </w:r>
      <w:r w:rsidRPr="00656BC0">
        <w:rPr>
          <w:rFonts w:ascii="Verdana" w:eastAsia="Verdana" w:hAnsi="Verdana" w:cs="Verdana"/>
          <w:spacing w:val="-8"/>
          <w:lang w:val="es-ES"/>
        </w:rPr>
        <w:t xml:space="preserve"> </w:t>
      </w:r>
      <w:r w:rsidRPr="00656BC0">
        <w:rPr>
          <w:rFonts w:ascii="Verdana" w:eastAsia="Verdana" w:hAnsi="Verdana" w:cs="Verdana"/>
          <w:spacing w:val="-2"/>
          <w:lang w:val="es-ES"/>
        </w:rPr>
        <w:t>destacar</w:t>
      </w:r>
      <w:r w:rsidRPr="00656BC0">
        <w:rPr>
          <w:rFonts w:ascii="Verdana" w:eastAsia="Verdana" w:hAnsi="Verdana" w:cs="Verdana"/>
          <w:spacing w:val="-10"/>
          <w:lang w:val="es-ES"/>
        </w:rPr>
        <w:t xml:space="preserve"> </w:t>
      </w:r>
      <w:r w:rsidRPr="00656BC0">
        <w:rPr>
          <w:rFonts w:ascii="Verdana" w:eastAsia="Verdana" w:hAnsi="Verdana" w:cs="Verdana"/>
          <w:spacing w:val="-2"/>
          <w:lang w:val="es-ES"/>
        </w:rPr>
        <w:t>que</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 xml:space="preserve">las entidades de régimen especial </w:t>
      </w:r>
      <w:r w:rsidRPr="00656BC0">
        <w:rPr>
          <w:rFonts w:ascii="Verdana" w:eastAsia="Verdana" w:hAnsi="Verdana" w:cs="Verdana"/>
          <w:lang w:val="es-ES"/>
        </w:rPr>
        <w:t>tienen</w:t>
      </w:r>
      <w:r w:rsidRPr="00656BC0">
        <w:rPr>
          <w:rFonts w:ascii="Verdana" w:eastAsia="Verdana" w:hAnsi="Verdana" w:cs="Verdana"/>
          <w:spacing w:val="-16"/>
          <w:lang w:val="es-ES"/>
        </w:rPr>
        <w:t xml:space="preserve"> </w:t>
      </w:r>
      <w:r w:rsidRPr="00656BC0">
        <w:rPr>
          <w:rFonts w:ascii="Verdana" w:eastAsia="Verdana" w:hAnsi="Verdana" w:cs="Verdana"/>
          <w:lang w:val="es-ES"/>
        </w:rPr>
        <w:t>una</w:t>
      </w:r>
      <w:r w:rsidRPr="00656BC0">
        <w:rPr>
          <w:rFonts w:ascii="Verdana" w:eastAsia="Verdana" w:hAnsi="Verdana" w:cs="Verdana"/>
          <w:spacing w:val="-17"/>
          <w:lang w:val="es-ES"/>
        </w:rPr>
        <w:t xml:space="preserve"> </w:t>
      </w:r>
      <w:r w:rsidRPr="00656BC0">
        <w:rPr>
          <w:rFonts w:ascii="Verdana" w:eastAsia="Verdana" w:hAnsi="Verdana" w:cs="Verdana"/>
          <w:lang w:val="es-ES"/>
        </w:rPr>
        <w:t>amplia</w:t>
      </w:r>
      <w:r w:rsidRPr="00656BC0">
        <w:rPr>
          <w:rFonts w:ascii="Verdana" w:eastAsia="Verdana" w:hAnsi="Verdana" w:cs="Verdana"/>
          <w:spacing w:val="-16"/>
          <w:lang w:val="es-ES"/>
        </w:rPr>
        <w:t xml:space="preserve"> </w:t>
      </w:r>
      <w:r w:rsidRPr="00656BC0">
        <w:rPr>
          <w:rFonts w:ascii="Verdana" w:eastAsia="Verdana" w:hAnsi="Verdana" w:cs="Verdana"/>
          <w:lang w:val="es-ES"/>
        </w:rPr>
        <w:t>libertad</w:t>
      </w:r>
      <w:r w:rsidRPr="00656BC0">
        <w:rPr>
          <w:rFonts w:ascii="Verdana" w:eastAsia="Calibri" w:hAnsi="Verdana" w:cs="Times New Roman"/>
          <w:lang w:val="es-ES"/>
        </w:rPr>
        <w:t xml:space="preserve"> d</w:t>
      </w:r>
      <w:r w:rsidRPr="00656BC0">
        <w:rPr>
          <w:rFonts w:ascii="Verdana" w:eastAsia="Verdana" w:hAnsi="Verdana" w:cs="Verdana"/>
          <w:lang w:val="es-ES"/>
        </w:rPr>
        <w:t>e configuración del contenido del manual de contratación y el nivel de detalle, salvo aquellas materias que sean de reserva legal. Esta libertad se deriva del principio de autonomía de la voluntad reconocida a estas entidades, que les permite establecer la manera en que adelantarán sus procesos de contratación</w:t>
      </w:r>
      <w:r w:rsidRPr="00656BC0">
        <w:rPr>
          <w:rFonts w:ascii="Verdana" w:eastAsia="Verdana" w:hAnsi="Verdana" w:cs="Verdana"/>
          <w:vertAlign w:val="superscript"/>
          <w:lang w:val="es-ES"/>
        </w:rPr>
        <w:footnoteReference w:id="41"/>
      </w:r>
      <w:r w:rsidRPr="00656BC0">
        <w:rPr>
          <w:rFonts w:ascii="Verdana" w:eastAsia="Verdana" w:hAnsi="Verdana" w:cs="Verdana"/>
          <w:lang w:val="es-ES"/>
        </w:rPr>
        <w:t>. Ahora bien, dicha libertad es similar a la reconocida a los particulares por el</w:t>
      </w:r>
      <w:r w:rsidRPr="00656BC0">
        <w:rPr>
          <w:rFonts w:ascii="Verdana" w:eastAsia="Verdana" w:hAnsi="Verdana" w:cs="Verdana"/>
          <w:spacing w:val="-1"/>
          <w:lang w:val="es-ES"/>
        </w:rPr>
        <w:t xml:space="preserve"> </w:t>
      </w:r>
      <w:r w:rsidRPr="00656BC0">
        <w:rPr>
          <w:rFonts w:ascii="Verdana" w:eastAsia="Verdana" w:hAnsi="Verdana" w:cs="Verdana"/>
          <w:lang w:val="es-ES"/>
        </w:rPr>
        <w:t>derecho privado, pero no</w:t>
      </w:r>
      <w:r w:rsidRPr="00656BC0">
        <w:rPr>
          <w:rFonts w:ascii="Verdana" w:eastAsia="Verdana" w:hAnsi="Verdana" w:cs="Verdana"/>
          <w:spacing w:val="-1"/>
          <w:lang w:val="es-ES"/>
        </w:rPr>
        <w:t xml:space="preserve"> </w:t>
      </w:r>
      <w:r w:rsidRPr="00656BC0">
        <w:rPr>
          <w:rFonts w:ascii="Verdana" w:eastAsia="Verdana" w:hAnsi="Verdana" w:cs="Verdana"/>
          <w:lang w:val="es-ES"/>
        </w:rPr>
        <w:t>es</w:t>
      </w:r>
      <w:r w:rsidRPr="00656BC0">
        <w:rPr>
          <w:rFonts w:ascii="Verdana" w:eastAsia="Verdana" w:hAnsi="Verdana" w:cs="Verdana"/>
          <w:spacing w:val="-1"/>
          <w:lang w:val="es-ES"/>
        </w:rPr>
        <w:t xml:space="preserve"> </w:t>
      </w:r>
      <w:r w:rsidRPr="00656BC0">
        <w:rPr>
          <w:rFonts w:ascii="Verdana" w:eastAsia="Verdana" w:hAnsi="Verdana" w:cs="Verdana"/>
          <w:lang w:val="es-ES"/>
        </w:rPr>
        <w:t>idéntica a</w:t>
      </w:r>
      <w:r w:rsidRPr="00656BC0">
        <w:rPr>
          <w:rFonts w:ascii="Verdana" w:eastAsia="Verdana" w:hAnsi="Verdana" w:cs="Verdana"/>
          <w:spacing w:val="-1"/>
          <w:lang w:val="es-ES"/>
        </w:rPr>
        <w:t xml:space="preserve"> </w:t>
      </w:r>
      <w:r w:rsidRPr="00656BC0">
        <w:rPr>
          <w:rFonts w:ascii="Verdana" w:eastAsia="Verdana" w:hAnsi="Verdana" w:cs="Verdana"/>
          <w:lang w:val="es-ES"/>
        </w:rPr>
        <w:t>aquella, en</w:t>
      </w:r>
      <w:r w:rsidRPr="00656BC0">
        <w:rPr>
          <w:rFonts w:ascii="Verdana" w:eastAsia="Verdana" w:hAnsi="Verdana" w:cs="Verdana"/>
          <w:spacing w:val="-1"/>
          <w:lang w:val="es-ES"/>
        </w:rPr>
        <w:t xml:space="preserve"> </w:t>
      </w:r>
      <w:r w:rsidRPr="00656BC0">
        <w:rPr>
          <w:rFonts w:ascii="Verdana" w:eastAsia="Verdana" w:hAnsi="Verdana" w:cs="Verdana"/>
          <w:lang w:val="es-ES"/>
        </w:rPr>
        <w:t>la</w:t>
      </w:r>
      <w:r w:rsidRPr="00656BC0">
        <w:rPr>
          <w:rFonts w:ascii="Verdana" w:eastAsia="Verdana" w:hAnsi="Verdana" w:cs="Verdana"/>
          <w:spacing w:val="-1"/>
          <w:lang w:val="es-ES"/>
        </w:rPr>
        <w:t xml:space="preserve"> </w:t>
      </w:r>
      <w:r w:rsidRPr="00656BC0">
        <w:rPr>
          <w:rFonts w:ascii="Verdana" w:eastAsia="Verdana" w:hAnsi="Verdana" w:cs="Verdana"/>
          <w:lang w:val="es-ES"/>
        </w:rPr>
        <w:t>medida en que encuentra importantes limitantes, ya sea por contenidos que son derivados de la reserva legal o por exigencia del cumplimiento de deberes y reglas establecidos por el ordenamiento jurídico.</w:t>
      </w:r>
      <w:r w:rsidRPr="00656BC0">
        <w:rPr>
          <w:rFonts w:ascii="Verdana" w:eastAsia="Calibri" w:hAnsi="Verdana" w:cs="Times New Roman"/>
          <w:lang w:val="es-ES"/>
        </w:rPr>
        <w:t xml:space="preserve"> </w:t>
      </w:r>
    </w:p>
    <w:p w14:paraId="0D50A569" w14:textId="77777777" w:rsidR="00503275" w:rsidRPr="00656BC0" w:rsidRDefault="00503275" w:rsidP="00503275">
      <w:pPr>
        <w:spacing w:after="120" w:line="276" w:lineRule="auto"/>
        <w:ind w:firstLine="709"/>
        <w:jc w:val="both"/>
        <w:rPr>
          <w:rFonts w:ascii="Verdana" w:eastAsia="Verdana" w:hAnsi="Verdana" w:cs="Verdana"/>
        </w:rPr>
      </w:pPr>
      <w:r w:rsidRPr="00656BC0">
        <w:rPr>
          <w:rFonts w:ascii="Verdana" w:eastAsia="Verdana" w:hAnsi="Verdana" w:cs="Verdana"/>
          <w:lang w:val="es-ES"/>
        </w:rPr>
        <w:t>Esta</w:t>
      </w:r>
      <w:r w:rsidRPr="00656BC0">
        <w:rPr>
          <w:rFonts w:ascii="Verdana" w:eastAsia="Verdana" w:hAnsi="Verdana" w:cs="Verdana"/>
          <w:spacing w:val="-10"/>
          <w:lang w:val="es-ES"/>
        </w:rPr>
        <w:t xml:space="preserve"> </w:t>
      </w:r>
      <w:r w:rsidRPr="00656BC0">
        <w:rPr>
          <w:rFonts w:ascii="Verdana" w:eastAsia="Verdana" w:hAnsi="Verdana" w:cs="Verdana"/>
          <w:lang w:val="es-ES"/>
        </w:rPr>
        <w:t>Agencia</w:t>
      </w:r>
      <w:r w:rsidRPr="00656BC0">
        <w:rPr>
          <w:rFonts w:ascii="Verdana" w:eastAsia="Verdana" w:hAnsi="Verdana" w:cs="Verdana"/>
          <w:spacing w:val="-9"/>
          <w:lang w:val="es-ES"/>
        </w:rPr>
        <w:t xml:space="preserve"> </w:t>
      </w:r>
      <w:r w:rsidRPr="00656BC0">
        <w:rPr>
          <w:rFonts w:ascii="Verdana" w:eastAsia="Verdana" w:hAnsi="Verdana" w:cs="Verdana"/>
          <w:lang w:val="es-ES"/>
        </w:rPr>
        <w:t>Nacional</w:t>
      </w:r>
      <w:r w:rsidRPr="00656BC0">
        <w:rPr>
          <w:rFonts w:ascii="Verdana" w:eastAsia="Verdana" w:hAnsi="Verdana" w:cs="Verdana"/>
          <w:spacing w:val="-8"/>
          <w:lang w:val="es-ES"/>
        </w:rPr>
        <w:t xml:space="preserve"> </w:t>
      </w:r>
      <w:r w:rsidRPr="00656BC0">
        <w:rPr>
          <w:rFonts w:ascii="Verdana" w:eastAsia="Verdana" w:hAnsi="Verdana" w:cs="Verdana"/>
          <w:lang w:val="es-ES"/>
        </w:rPr>
        <w:t>de</w:t>
      </w:r>
      <w:r w:rsidRPr="00656BC0">
        <w:rPr>
          <w:rFonts w:ascii="Verdana" w:eastAsia="Verdana" w:hAnsi="Verdana" w:cs="Verdana"/>
          <w:spacing w:val="-10"/>
          <w:lang w:val="es-ES"/>
        </w:rPr>
        <w:t xml:space="preserve"> </w:t>
      </w:r>
      <w:r w:rsidRPr="00656BC0">
        <w:rPr>
          <w:rFonts w:ascii="Verdana" w:eastAsia="Verdana" w:hAnsi="Verdana" w:cs="Verdana"/>
          <w:lang w:val="es-ES"/>
        </w:rPr>
        <w:t>Contratación</w:t>
      </w:r>
      <w:r w:rsidRPr="00656BC0">
        <w:rPr>
          <w:rFonts w:ascii="Verdana" w:eastAsia="Verdana" w:hAnsi="Verdana" w:cs="Verdana"/>
          <w:spacing w:val="-7"/>
          <w:lang w:val="es-ES"/>
        </w:rPr>
        <w:t xml:space="preserve"> </w:t>
      </w:r>
      <w:r w:rsidRPr="00656BC0">
        <w:rPr>
          <w:rFonts w:ascii="Verdana" w:eastAsia="Verdana" w:hAnsi="Verdana" w:cs="Verdana"/>
          <w:lang w:val="es-ES"/>
        </w:rPr>
        <w:t>Publica</w:t>
      </w:r>
      <w:r w:rsidRPr="00656BC0">
        <w:rPr>
          <w:rFonts w:ascii="Verdana" w:eastAsia="Verdana" w:hAnsi="Verdana" w:cs="Verdana"/>
          <w:spacing w:val="-9"/>
          <w:lang w:val="es-ES"/>
        </w:rPr>
        <w:t xml:space="preserve"> </w:t>
      </w:r>
      <w:r w:rsidRPr="00656BC0">
        <w:rPr>
          <w:rFonts w:ascii="Verdana" w:eastAsia="Verdana" w:hAnsi="Verdana" w:cs="Verdana"/>
          <w:lang w:val="es-ES"/>
        </w:rPr>
        <w:t>Colombia</w:t>
      </w:r>
      <w:r w:rsidRPr="00656BC0">
        <w:rPr>
          <w:rFonts w:ascii="Verdana" w:eastAsia="Verdana" w:hAnsi="Verdana" w:cs="Verdana"/>
          <w:spacing w:val="-9"/>
          <w:lang w:val="es-ES"/>
        </w:rPr>
        <w:t xml:space="preserve"> </w:t>
      </w:r>
      <w:r w:rsidRPr="00656BC0">
        <w:rPr>
          <w:rFonts w:ascii="Verdana" w:eastAsia="Verdana" w:hAnsi="Verdana" w:cs="Verdana"/>
          <w:lang w:val="es-ES"/>
        </w:rPr>
        <w:t>Compra</w:t>
      </w:r>
      <w:r w:rsidRPr="00656BC0">
        <w:rPr>
          <w:rFonts w:ascii="Verdana" w:eastAsia="Verdana" w:hAnsi="Verdana" w:cs="Verdana"/>
          <w:spacing w:val="-9"/>
          <w:lang w:val="es-ES"/>
        </w:rPr>
        <w:t xml:space="preserve"> </w:t>
      </w:r>
      <w:r w:rsidRPr="00656BC0">
        <w:rPr>
          <w:rFonts w:ascii="Verdana" w:eastAsia="Verdana" w:hAnsi="Verdana" w:cs="Verdana"/>
          <w:lang w:val="es-ES"/>
        </w:rPr>
        <w:t xml:space="preserve">Eficiente, en la “Guía para la gestión contractual de las entidades estatales con régimen especial”, se precisó que a pesar que las Entidades Estatales </w:t>
      </w:r>
      <w:r w:rsidRPr="00656BC0">
        <w:rPr>
          <w:rFonts w:ascii="Verdana" w:eastAsia="Verdana" w:hAnsi="Verdana" w:cs="Verdana"/>
          <w:bCs/>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656BC0">
        <w:rPr>
          <w:rFonts w:ascii="Verdana" w:eastAsia="Verdana" w:hAnsi="Verdana" w:cs="Verdana"/>
        </w:rPr>
        <w:t xml:space="preserve">, tales como: a) los principios de la función administrativa; b) los principios de la gestión fiscal; c) el régimen de inhabilidades e incompatibilidades; d) el uso del SECOP II o la plataforma que haga sus veces; e) la promoción y acceso de las </w:t>
      </w:r>
      <w:proofErr w:type="spellStart"/>
      <w:r w:rsidRPr="00656BC0">
        <w:rPr>
          <w:rFonts w:ascii="Verdana" w:eastAsia="Verdana" w:hAnsi="Verdana" w:cs="Verdana"/>
        </w:rPr>
        <w:t>Mipymes</w:t>
      </w:r>
      <w:proofErr w:type="spellEnd"/>
      <w:r w:rsidRPr="00656BC0">
        <w:rPr>
          <w:rFonts w:ascii="Verdana" w:eastAsia="Verdana" w:hAnsi="Verdana" w:cs="Verdana"/>
        </w:rPr>
        <w:t xml:space="preserve">;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w:t>
      </w:r>
      <w:proofErr w:type="spellStart"/>
      <w:r w:rsidRPr="00656BC0">
        <w:rPr>
          <w:rFonts w:ascii="Verdana" w:eastAsia="Verdana" w:hAnsi="Verdana" w:cs="Verdana"/>
        </w:rPr>
        <w:t>Mipymes</w:t>
      </w:r>
      <w:proofErr w:type="spellEnd"/>
      <w:r w:rsidRPr="00656BC0">
        <w:rPr>
          <w:rFonts w:ascii="Verdana" w:eastAsia="Verdana" w:hAnsi="Verdana" w:cs="Verdana"/>
        </w:rPr>
        <w:t xml:space="preserve">,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 </w:t>
      </w:r>
    </w:p>
    <w:p w14:paraId="69E66A95" w14:textId="77777777" w:rsidR="00503275" w:rsidRPr="00656BC0" w:rsidRDefault="00503275" w:rsidP="00503275">
      <w:pPr>
        <w:spacing w:after="120" w:line="276" w:lineRule="auto"/>
        <w:ind w:firstLine="709"/>
        <w:jc w:val="both"/>
        <w:rPr>
          <w:rFonts w:ascii="Verdana" w:eastAsia="Verdana" w:hAnsi="Verdana" w:cs="Verdana"/>
        </w:rPr>
      </w:pPr>
      <w:r w:rsidRPr="00656BC0">
        <w:rPr>
          <w:rFonts w:ascii="Verdana" w:eastAsia="Verdana" w:hAnsi="Verdana" w:cs="Verdana"/>
        </w:rPr>
        <w:t>Asimismo, las Entidades de régimen especial, como puede ocurrir con las empresas de servicios públicos domiciliarios aplicar las disposiciones contenidas en el EGCAP en aquellos eventos en que la normatividad sectorial aplicable así lo disponga de manera expresa por la remisión. En estos casos, la observancia de dichas normas deberá realizarse de forma armónica con el régimen especial de contratación correspondiente, garantizando el respeto por los principios que orientan la función administrativa y la contratación estatal, así como la adecuada articulación entre los distintos marcos normativos que resulten aplicables al proceso contractual.</w:t>
      </w:r>
    </w:p>
    <w:p w14:paraId="4793D43C" w14:textId="77777777" w:rsidR="00503275" w:rsidRPr="00656BC0" w:rsidRDefault="00503275" w:rsidP="00503275">
      <w:pPr>
        <w:widowControl w:val="0"/>
        <w:autoSpaceDE w:val="0"/>
        <w:autoSpaceDN w:val="0"/>
        <w:spacing w:after="120" w:line="276" w:lineRule="auto"/>
        <w:ind w:firstLine="708"/>
        <w:jc w:val="both"/>
        <w:rPr>
          <w:rFonts w:ascii="Verdana" w:eastAsia="Verdana" w:hAnsi="Verdana" w:cs="Verdana"/>
          <w:lang w:val="es-ES"/>
        </w:rPr>
      </w:pPr>
      <w:r w:rsidRPr="00656BC0">
        <w:rPr>
          <w:rFonts w:ascii="Verdana" w:eastAsia="Verdana" w:hAnsi="Verdana" w:cs="Verdana"/>
        </w:rPr>
        <w:t>Un aspecto que no puede dejarse de lado es que, la</w:t>
      </w:r>
      <w:r w:rsidRPr="00656BC0">
        <w:rPr>
          <w:rFonts w:ascii="Verdana" w:eastAsia="Verdana" w:hAnsi="Verdana" w:cs="Verdana"/>
          <w:lang w:val="es-ES"/>
        </w:rPr>
        <w:t xml:space="preserve"> entidad contratante debe contemplar procedimientos de selección públicos, en los cuales se garantice la imparcialidad de la entidad contratante, la igualdad entre los oferentes, y en los cuales se respeten los principios constitucionales de la función administrativa, así como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0D41D02D" w14:textId="77777777" w:rsidR="00503275" w:rsidRPr="00656BC0" w:rsidRDefault="00503275" w:rsidP="00503275">
      <w:pPr>
        <w:widowControl w:val="0"/>
        <w:autoSpaceDE w:val="0"/>
        <w:autoSpaceDN w:val="0"/>
        <w:spacing w:after="120" w:line="276" w:lineRule="auto"/>
        <w:jc w:val="both"/>
        <w:rPr>
          <w:rFonts w:ascii="Verdana" w:eastAsia="Verdana" w:hAnsi="Verdana" w:cs="Verdana"/>
        </w:rPr>
      </w:pPr>
      <w:r w:rsidRPr="00656BC0">
        <w:rPr>
          <w:rFonts w:ascii="Verdana" w:eastAsia="Verdana" w:hAnsi="Verdana" w:cs="Verdana"/>
          <w:lang w:val="es-ES"/>
        </w:rPr>
        <w:tab/>
        <w:t xml:space="preserve">En esta perspectiva, se destaca que los principios de la función administrativa </w:t>
      </w:r>
      <w:r w:rsidRPr="00656BC0">
        <w:rPr>
          <w:rFonts w:ascii="Verdana" w:eastAsia="Verdana" w:hAnsi="Verdana" w:cs="Verdana"/>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30DC01AD" w14:textId="77777777" w:rsidR="00503275" w:rsidRDefault="00503275" w:rsidP="00503275">
      <w:pPr>
        <w:widowControl w:val="0"/>
        <w:autoSpaceDE w:val="0"/>
        <w:autoSpaceDN w:val="0"/>
        <w:spacing w:after="120" w:line="276" w:lineRule="auto"/>
        <w:jc w:val="both"/>
        <w:rPr>
          <w:rFonts w:ascii="Verdana" w:eastAsia="Verdana" w:hAnsi="Verdana" w:cs="Verdana"/>
          <w:lang w:val="es-ES"/>
        </w:rPr>
      </w:pPr>
      <w:r w:rsidRPr="00656BC0">
        <w:rPr>
          <w:rFonts w:ascii="Verdana" w:eastAsia="Verdana" w:hAnsi="Verdana" w:cs="Verdana"/>
          <w:bCs/>
          <w:lang w:val="es-ES_tradnl"/>
        </w:rPr>
        <w:tab/>
      </w:r>
      <w:r w:rsidRPr="00656BC0">
        <w:rPr>
          <w:rFonts w:ascii="Verdana" w:eastAsia="Verdana" w:hAnsi="Verdana" w:cs="Verdana"/>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conforme al sector,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03390D96" w14:textId="77777777" w:rsidR="00503275" w:rsidRPr="00000D4A" w:rsidRDefault="00503275" w:rsidP="00503275">
      <w:pPr>
        <w:widowControl w:val="0"/>
        <w:autoSpaceDE w:val="0"/>
        <w:autoSpaceDN w:val="0"/>
        <w:spacing w:after="120" w:line="276" w:lineRule="auto"/>
        <w:ind w:firstLine="709"/>
        <w:jc w:val="both"/>
        <w:rPr>
          <w:rFonts w:ascii="Verdana" w:eastAsia="Verdana" w:hAnsi="Verdana" w:cs="Verdana"/>
          <w:lang w:val="es-ES"/>
        </w:rPr>
      </w:pPr>
      <w:r>
        <w:rPr>
          <w:rFonts w:ascii="Verdana" w:eastAsia="Verdana" w:hAnsi="Verdana" w:cs="Verdana"/>
          <w:lang w:val="es-ES"/>
        </w:rPr>
        <w:t xml:space="preserve">En consideración de lo anterior, </w:t>
      </w:r>
      <w:r w:rsidRPr="00EB46C9">
        <w:rPr>
          <w:rFonts w:ascii="Verdana" w:hAnsi="Verdana"/>
        </w:rPr>
        <w:t xml:space="preserve">resulta indispensable considerar las restricciones establecidas por la Ley de Garantías Electorales, cuyas reglas y alcances han sido analizados en apartados anteriores. En este contexto, debe precisarse que, para los efectos de dicha ley y, en particular, de la prohibición o limitación temporal consagrada en su artículo 33, la noción de “contratación directa” comprende </w:t>
      </w:r>
      <w:r w:rsidRPr="00EB46C9">
        <w:rPr>
          <w:rFonts w:ascii="Verdana" w:hAnsi="Verdana"/>
          <w:bCs/>
        </w:rPr>
        <w:t>todo mecanismo de selección o procedimiento contractual</w:t>
      </w:r>
      <w:r w:rsidRPr="00EB46C9">
        <w:rPr>
          <w:rFonts w:ascii="Verdana" w:hAnsi="Verdana"/>
        </w:rPr>
        <w:t xml:space="preserve"> empleado por las entidades estatales, con independencia del régimen jurídico que las rija siempre que dicho mecanismo no contemple la realización de una convocatoria pública en ninguna de sus etapas ni permita la concurrencia de una </w:t>
      </w:r>
      <w:r>
        <w:rPr>
          <w:rFonts w:ascii="Verdana" w:hAnsi="Verdana"/>
        </w:rPr>
        <w:t>pluralidad de oferentes</w:t>
      </w:r>
      <w:r w:rsidRPr="0057193B">
        <w:rPr>
          <w:rFonts w:ascii="Verdana" w:eastAsia="Times New Roman" w:hAnsi="Verdana" w:cs="Arial"/>
          <w:vertAlign w:val="superscript"/>
          <w:lang w:eastAsia="x-none"/>
        </w:rPr>
        <w:footnoteReference w:id="42"/>
      </w:r>
      <w:r w:rsidRPr="0057193B">
        <w:rPr>
          <w:rFonts w:ascii="Verdana" w:eastAsia="Times New Roman" w:hAnsi="Verdana" w:cs="Arial"/>
          <w:bCs/>
          <w:lang w:val="es-MX" w:eastAsia="x-none"/>
        </w:rPr>
        <w:t>.</w:t>
      </w:r>
      <w:r>
        <w:rPr>
          <w:rFonts w:ascii="Verdana" w:eastAsia="Times New Roman" w:hAnsi="Verdana" w:cs="Arial"/>
          <w:bCs/>
          <w:lang w:val="es-MX" w:eastAsia="x-none"/>
        </w:rPr>
        <w:t xml:space="preserve"> </w:t>
      </w:r>
      <w:r w:rsidRPr="0053288C">
        <w:rPr>
          <w:rFonts w:ascii="Verdana" w:eastAsia="Times New Roman" w:hAnsi="Verdana" w:cs="Arial"/>
          <w:bCs/>
          <w:lang w:eastAsia="x-none"/>
        </w:rPr>
        <w:t>De lo anterior se concluye que la restricción prevista en el artículo 33 de la Ley de Garantías Electorales es aplicable a todas las entidades estatales, sin distinción del régimen jurídico que las gobierne, y sin perjuicio de las excepciones expresamente consagradas en la misma norma. En consecuencia, dicha limitación opera frente a la celebración de cualquier contrato mediante la modalidad de contratación directa, ya sea bajo el marco de la Ley 80 de 1993 o de regímenes especiales como los previstos en las Leyes 142 y 143 de 1994, entre otros, siempre que no exista un procedimiento de selección abierto, público y competitivo que garantice la participación de una pluralidad de oferentes.</w:t>
      </w:r>
    </w:p>
    <w:p w14:paraId="3ECAEEC3" w14:textId="77777777" w:rsidR="00503275" w:rsidRDefault="00503275" w:rsidP="00503275">
      <w:pPr>
        <w:spacing w:after="120" w:line="276" w:lineRule="auto"/>
        <w:ind w:firstLine="708"/>
        <w:jc w:val="both"/>
        <w:rPr>
          <w:rFonts w:ascii="Verdana" w:eastAsia="Calibri" w:hAnsi="Verdana" w:cs="Times New Roman"/>
          <w:bCs/>
          <w:iCs/>
          <w:lang w:val="es-MX"/>
        </w:rPr>
      </w:pPr>
      <w:r>
        <w:rPr>
          <w:rFonts w:ascii="Verdana" w:eastAsia="Calibri" w:hAnsi="Verdana" w:cs="Times New Roman"/>
          <w:bCs/>
          <w:iCs/>
          <w:lang w:val="es-MX"/>
        </w:rPr>
        <w:t>En este asunto, el inciso segundo del artículo 33 dispone las siguientes excepciones</w:t>
      </w:r>
      <w:r w:rsidRPr="0019495B">
        <w:rPr>
          <w:rFonts w:ascii="Verdana" w:eastAsia="Calibri" w:hAnsi="Verdana" w:cs="Times New Roman"/>
          <w:bCs/>
          <w:iCs/>
          <w:lang w:val="es-MX"/>
        </w:rPr>
        <w:t>: i) los contratos relacionados con la defensa y seguridad del Estado, analizados en el Concepto 322 de 2026; ii) los contratos de crédito público, abordados en el Concepto CU-372 de 2026; iii) los contratos necesarios para atender emergencias educativas, sanitarias o desastres, tratados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118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176 de 2026, que tratan en este caso de la urgencia manifiesta; iv) los contratos destinados a la reconstrucción de infraestructura vial, energética y de comunicaciones afectada por atentados, acciones terroristas, desastres naturales o fuerza mayor, igualmente estudiados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118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176 de 2026, entre otros; y v) la contratación directa celebrada por entidades sanitarias y hospitalarias, objeto de análisis en los Conceptos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1124 de 2026, C</w:t>
      </w:r>
      <w:r w:rsidRPr="0019495B">
        <w:rPr>
          <w:rFonts w:ascii="Cambria Math" w:eastAsia="Calibri" w:hAnsi="Cambria Math" w:cs="Cambria Math"/>
          <w:bCs/>
          <w:iCs/>
          <w:lang w:val="es-MX"/>
        </w:rPr>
        <w:t>‑</w:t>
      </w:r>
      <w:r w:rsidRPr="0019495B">
        <w:rPr>
          <w:rFonts w:ascii="Verdana" w:eastAsia="Calibri" w:hAnsi="Verdana" w:cs="Times New Roman"/>
          <w:bCs/>
          <w:iCs/>
          <w:lang w:val="es-MX"/>
        </w:rPr>
        <w:t>1406 de 2026 y C</w:t>
      </w:r>
      <w:r w:rsidRPr="0019495B">
        <w:rPr>
          <w:rFonts w:ascii="Cambria Math" w:eastAsia="Calibri" w:hAnsi="Cambria Math" w:cs="Cambria Math"/>
          <w:bCs/>
          <w:iCs/>
          <w:lang w:val="es-MX"/>
        </w:rPr>
        <w:t>‑</w:t>
      </w:r>
      <w:r w:rsidRPr="0019495B">
        <w:rPr>
          <w:rFonts w:ascii="Verdana" w:eastAsia="Calibri" w:hAnsi="Verdana" w:cs="Times New Roman"/>
          <w:bCs/>
          <w:iCs/>
          <w:lang w:val="es-MX"/>
        </w:rPr>
        <w:t xml:space="preserve">1703 de 2026. </w:t>
      </w:r>
    </w:p>
    <w:p w14:paraId="70F93835" w14:textId="1E21F77F" w:rsidR="007528D5" w:rsidRDefault="00503275" w:rsidP="00503275">
      <w:pPr>
        <w:spacing w:after="120" w:line="276" w:lineRule="auto"/>
        <w:ind w:firstLine="708"/>
        <w:jc w:val="both"/>
        <w:rPr>
          <w:rFonts w:ascii="Verdana" w:eastAsia="Calibri" w:hAnsi="Verdana" w:cs="Times New Roman"/>
          <w:bCs/>
          <w:iCs/>
          <w:lang w:val="es-MX"/>
        </w:rPr>
      </w:pPr>
      <w:r w:rsidRPr="0019495B">
        <w:rPr>
          <w:rFonts w:ascii="Verdana" w:eastAsia="Calibri" w:hAnsi="Verdana" w:cs="Times New Roman"/>
          <w:bCs/>
          <w:iCs/>
          <w:lang w:val="es-MX"/>
        </w:rPr>
        <w:t>E</w:t>
      </w:r>
      <w:r w:rsidR="007528D5">
        <w:rPr>
          <w:rFonts w:ascii="Verdana" w:eastAsia="Calibri" w:hAnsi="Verdana" w:cs="Times New Roman"/>
          <w:bCs/>
          <w:iCs/>
          <w:lang w:val="es-MX"/>
        </w:rPr>
        <w:t>n ese contexto, e</w:t>
      </w:r>
      <w:r w:rsidRPr="0019495B">
        <w:rPr>
          <w:rFonts w:ascii="Verdana" w:eastAsia="Calibri" w:hAnsi="Verdana" w:cs="Times New Roman"/>
          <w:bCs/>
          <w:iCs/>
          <w:lang w:val="es-MX"/>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sidRPr="0090201A">
        <w:rPr>
          <w:rFonts w:ascii="Verdana" w:eastAsia="Calibri" w:hAnsi="Verdana" w:cs="Times New Roman"/>
          <w:bCs/>
          <w:iCs/>
          <w:lang w:val="es-MX"/>
        </w:rPr>
        <w:t xml:space="preserve"> </w:t>
      </w:r>
    </w:p>
    <w:p w14:paraId="71BD0346" w14:textId="4DA64F0B" w:rsidR="007528D5" w:rsidRPr="00434C57" w:rsidRDefault="007528D5" w:rsidP="00434C57">
      <w:pPr>
        <w:spacing w:after="120" w:line="276" w:lineRule="auto"/>
        <w:ind w:firstLine="709"/>
        <w:jc w:val="both"/>
        <w:rPr>
          <w:rFonts w:ascii="Verdana" w:eastAsia="Calibri" w:hAnsi="Verdana" w:cs="Times New Roman"/>
          <w:bCs/>
          <w:iCs/>
          <w:lang w:val="es-MX"/>
        </w:rPr>
      </w:pPr>
      <w:r w:rsidRPr="007528D5">
        <w:rPr>
          <w:rFonts w:ascii="Verdana" w:eastAsia="Calibri" w:hAnsi="Verdana" w:cs="Times New Roman"/>
          <w:bCs/>
          <w:iCs/>
          <w:lang w:val="es-MX"/>
        </w:rPr>
        <w:t xml:space="preserve">Así mismo, es importante resaltar que, </w:t>
      </w:r>
      <w:r w:rsidRPr="00434C57">
        <w:rPr>
          <w:rFonts w:ascii="Verdana" w:eastAsia="Times New Roman" w:hAnsi="Verdana" w:cs="Segoe UI"/>
          <w:lang w:eastAsia="es-ES_tradnl"/>
        </w:rPr>
        <w:t>de acuerdo con la interpretación de la Sala de Consulta y Servicio Civil del Consejo de Estado, la Ley de Garantías Electorales sí resulta aplicable a las empresas de servicios públicos domiciliarios, incluso cuando estas se rigen por el derecho privado, en lo relativo a la restricción de la contratación directa. No obstante, dicha aplicación no es absoluta ni puede conducir a la paralización de la prestación de los servicios públicos. Por el contrario, debe armonizarse con la naturaleza esencial de estos servicios y con los derechos de los usuarios.</w:t>
      </w:r>
    </w:p>
    <w:p w14:paraId="7B337EC0" w14:textId="77777777" w:rsidR="007528D5" w:rsidRPr="00434C57" w:rsidRDefault="007528D5" w:rsidP="00434C57">
      <w:pPr>
        <w:spacing w:after="120" w:line="276" w:lineRule="auto"/>
        <w:ind w:firstLine="709"/>
        <w:jc w:val="both"/>
        <w:rPr>
          <w:rFonts w:ascii="Verdana" w:eastAsia="Times New Roman" w:hAnsi="Verdana" w:cs="Segoe UI"/>
          <w:lang w:eastAsia="es-ES_tradnl"/>
        </w:rPr>
      </w:pPr>
      <w:r w:rsidRPr="00434C57">
        <w:rPr>
          <w:rFonts w:ascii="Verdana" w:eastAsia="Times New Roman" w:hAnsi="Verdana" w:cs="Segoe UI"/>
          <w:lang w:eastAsia="es-ES_tradnl"/>
        </w:rPr>
        <w:t>En consecuencia, mientras que las empresas deben sujetarse a las restricciones de contratación en aquellos casos en que actúan como adquirentes de bienes o servicios, estas limitaciones ceden cuando su aplicación compromete la continuidad, eficiencia y universalidad en la prestación del servicio público. Así, resulta jurídicamente viable acudir a la contratación directa de manera excepcional cuando sea indispensable para evitar la interrupción de servicios esenciales, en atención a razones de orden público, salubridad y protección de derechos fundamentales.</w:t>
      </w:r>
    </w:p>
    <w:p w14:paraId="654BCDBF" w14:textId="5F115DD0" w:rsidR="007528D5" w:rsidRPr="00434C57" w:rsidRDefault="007528D5" w:rsidP="00434C57">
      <w:pPr>
        <w:spacing w:after="120" w:line="276" w:lineRule="auto"/>
        <w:ind w:firstLine="709"/>
        <w:jc w:val="both"/>
        <w:rPr>
          <w:rFonts w:ascii="Verdana" w:eastAsia="Times New Roman" w:hAnsi="Verdana" w:cs="Segoe UI"/>
          <w:lang w:eastAsia="es-ES_tradnl"/>
        </w:rPr>
      </w:pPr>
      <w:r w:rsidRPr="00434C57">
        <w:rPr>
          <w:rFonts w:ascii="Verdana" w:eastAsia="Times New Roman" w:hAnsi="Verdana" w:cs="Segoe UI"/>
          <w:lang w:eastAsia="es-ES_tradnl"/>
        </w:rPr>
        <w:t>De este modo, la aplicación de la Ley de Garantías en este ámbito exige una interpretación sistemática y finalista, que permita garantizar tanto la transparencia en la gestión contractual como la adecuada y continua prestación de los servicios públicos domiciliarios.</w:t>
      </w:r>
    </w:p>
    <w:p w14:paraId="0A367C52" w14:textId="24D3EB5E" w:rsidR="00503275" w:rsidRPr="0019495B" w:rsidRDefault="00503275" w:rsidP="00503275">
      <w:pPr>
        <w:spacing w:after="120" w:line="276" w:lineRule="auto"/>
        <w:ind w:firstLine="708"/>
        <w:jc w:val="both"/>
        <w:rPr>
          <w:rFonts w:ascii="Verdana" w:eastAsia="Calibri" w:hAnsi="Verdana" w:cs="Times New Roman"/>
          <w:bCs/>
          <w:iCs/>
          <w:lang w:val="es-MX"/>
        </w:rPr>
      </w:pPr>
      <w:r>
        <w:rPr>
          <w:rFonts w:ascii="Verdana" w:eastAsia="Calibri" w:hAnsi="Verdana" w:cs="Times New Roman"/>
          <w:bCs/>
          <w:iCs/>
          <w:lang w:val="es-ES"/>
        </w:rPr>
        <w:t>En todo caso, e</w:t>
      </w:r>
      <w:r w:rsidRPr="0019495B">
        <w:rPr>
          <w:rFonts w:ascii="Verdana" w:eastAsia="Calibri" w:hAnsi="Verdana" w:cs="Times New Roman"/>
          <w:bCs/>
          <w:iCs/>
          <w:lang w:val="es-MX"/>
        </w:rPr>
        <w:t>s responsabilidad del respectivo ente del Estado, examinar en cada caso la naturaleza de las actividades que adelanta y determinar si las mismas se enmarcan en alguna de las mencionadas excepciones, de manera que se le permita realizar la contratación</w:t>
      </w:r>
      <w:r>
        <w:rPr>
          <w:rFonts w:ascii="Verdana" w:eastAsia="Calibri" w:hAnsi="Verdana" w:cs="Times New Roman"/>
          <w:bCs/>
          <w:iCs/>
          <w:lang w:val="es-MX"/>
        </w:rPr>
        <w:t xml:space="preserve"> que necesite en forma directa.</w:t>
      </w:r>
    </w:p>
    <w:p w14:paraId="674C1939" w14:textId="77777777" w:rsidR="00503275" w:rsidRPr="00283E77" w:rsidRDefault="00503275" w:rsidP="00503275">
      <w:pPr>
        <w:spacing w:after="120" w:line="276" w:lineRule="auto"/>
        <w:ind w:firstLine="709"/>
        <w:jc w:val="both"/>
        <w:rPr>
          <w:rFonts w:ascii="Verdana" w:hAnsi="Verdana" w:cs="Arial"/>
        </w:rPr>
      </w:pPr>
      <w:r w:rsidRPr="00380CA4">
        <w:rPr>
          <w:rFonts w:ascii="Verdana" w:hAnsi="Verdana" w:cs="Arial"/>
          <w:lang w:eastAsia="es-ES"/>
        </w:rPr>
        <w:t>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D708BD3" w14:textId="77777777" w:rsidR="00503275" w:rsidRPr="00380CA4" w:rsidRDefault="00503275" w:rsidP="00503275">
      <w:pPr>
        <w:spacing w:after="0"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11B121FB" w14:textId="77777777" w:rsidR="00503275" w:rsidRDefault="00503275" w:rsidP="00503275">
      <w:pPr>
        <w:tabs>
          <w:tab w:val="left" w:pos="142"/>
          <w:tab w:val="left" w:pos="284"/>
          <w:tab w:val="left" w:pos="6975"/>
        </w:tabs>
        <w:spacing w:after="0" w:line="276" w:lineRule="auto"/>
        <w:jc w:val="both"/>
        <w:rPr>
          <w:rFonts w:ascii="Verdana" w:eastAsia="Calibri" w:hAnsi="Verdana" w:cs="Arial"/>
        </w:rPr>
      </w:pPr>
    </w:p>
    <w:p w14:paraId="53714544" w14:textId="77777777" w:rsidR="00503275" w:rsidRPr="009E51D7" w:rsidRDefault="00503275" w:rsidP="00503275">
      <w:pPr>
        <w:tabs>
          <w:tab w:val="left" w:pos="142"/>
          <w:tab w:val="left" w:pos="284"/>
        </w:tabs>
        <w:spacing w:after="0" w:line="276" w:lineRule="auto"/>
        <w:jc w:val="both"/>
        <w:rPr>
          <w:rFonts w:ascii="Verdana" w:eastAsia="Century Gothic" w:hAnsi="Verdana" w:cs="Century Gothic"/>
          <w:b/>
          <w:bCs/>
        </w:rPr>
      </w:pPr>
      <w:r w:rsidRPr="009E51D7">
        <w:rPr>
          <w:rFonts w:ascii="Verdana" w:eastAsia="Calibri" w:hAnsi="Verdana" w:cs="Arial"/>
          <w:b/>
          <w:color w:val="000000" w:themeColor="text1"/>
        </w:rPr>
        <w:t xml:space="preserve">4. </w:t>
      </w:r>
      <w:r w:rsidRPr="009E51D7">
        <w:rPr>
          <w:rFonts w:ascii="Verdana" w:eastAsia="Century Gothic" w:hAnsi="Verdana" w:cs="Century Gothic"/>
          <w:b/>
          <w:bCs/>
        </w:rPr>
        <w:t>Referencias normativas, jurisprudenciales y otras fuentes:</w:t>
      </w:r>
    </w:p>
    <w:p w14:paraId="3B7B2C8D" w14:textId="77777777" w:rsidR="00503275" w:rsidRPr="00E5656D" w:rsidRDefault="00503275" w:rsidP="00503275">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3275" w:rsidRPr="002D2C18" w14:paraId="29F51427" w14:textId="77777777" w:rsidTr="00CE5BA6">
        <w:trPr>
          <w:trHeight w:val="56"/>
          <w:jc w:val="center"/>
        </w:trPr>
        <w:tc>
          <w:tcPr>
            <w:tcW w:w="8647" w:type="dxa"/>
          </w:tcPr>
          <w:p w14:paraId="7F68F7CF"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Constitución Política. Artículos 127, 209, 267.</w:t>
            </w:r>
          </w:p>
          <w:p w14:paraId="78F7B130"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Ley 142 de 1994. Artículo 31.</w:t>
            </w:r>
          </w:p>
          <w:p w14:paraId="51557B58"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Ley 489 de 1998. Artículos 14, 38, 68.</w:t>
            </w:r>
          </w:p>
          <w:p w14:paraId="5769B104"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Ley 996 de 2005. Artículo 33 y 38 parágrafo. </w:t>
            </w:r>
          </w:p>
          <w:p w14:paraId="0CB8BC53"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Ley 1150 de 2007. Artículo 13.</w:t>
            </w:r>
          </w:p>
          <w:p w14:paraId="261D75C6"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533BFA8E"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5D40F0">
              <w:rPr>
                <w:rFonts w:ascii="Verdana" w:hAnsi="Verdana" w:cs="Arial"/>
                <w:lang w:eastAsia="es-ES"/>
              </w:rPr>
              <w:t xml:space="preserve">Sección Tercera. Sentencia de 22 de enero de 2002, expediente número 2001-0148-01 </w:t>
            </w:r>
          </w:p>
          <w:p w14:paraId="3F07FA52" w14:textId="77777777" w:rsidR="00503275" w:rsidRPr="005D40F0"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Consejo de Estado. Sala de lo Contencioso Administrativo.</w:t>
            </w:r>
            <w:r w:rsidRPr="005D40F0">
              <w:rPr>
                <w:rFonts w:ascii="Verdana" w:hAnsi="Verdana" w:cs="Arial"/>
                <w:lang w:eastAsia="es-ES"/>
              </w:rPr>
              <w:t xml:space="preserve"> Sección Tercera. Sentencia de 20 de noviembre de 2001, expediente número 2001-0130-01(PI).</w:t>
            </w:r>
          </w:p>
          <w:p w14:paraId="301AE25F"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Consejo de Estado. Sala de Consulta y Servicio Civil. Concepto del 17 de febrero de 2015. Radicación No. 11001-03-06-000-2015-00164-00(2269). C.P. William Zambrano Cetina.</w:t>
            </w:r>
          </w:p>
          <w:p w14:paraId="126B3466"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Consejo de Estado, Sala de Consulta y Servicio Civil. 24 de julio de 2013. Radicado: 11001-03-06-000-2013-00407-00 (2166). C.P. Álvaro Namén Vargas</w:t>
            </w:r>
            <w:r>
              <w:rPr>
                <w:rFonts w:ascii="Verdana" w:hAnsi="Verdana" w:cs="Arial"/>
                <w:lang w:eastAsia="es-ES"/>
              </w:rPr>
              <w:t>.</w:t>
            </w:r>
          </w:p>
          <w:p w14:paraId="35C5F762"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Consejo de Estado. Sala de Consulta y Servicio Civil. Concepto del 2 de septiembre de 2013. Radicación número: 11001-03-06-000-2013-00412-00 (2168). C.P: Álvaro Namén Vargas</w:t>
            </w:r>
            <w:r>
              <w:rPr>
                <w:rFonts w:ascii="Verdana" w:hAnsi="Verdana" w:cs="Arial"/>
                <w:lang w:eastAsia="es-ES"/>
              </w:rPr>
              <w:t>.</w:t>
            </w:r>
          </w:p>
          <w:p w14:paraId="06B04BA3"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Consejo de Estado. Sala de Consulta y Servicio Civil, Concepto de 8 de mayo de 2018. Radicación Número: 11001-03-06-000-2018-00095-00(2382). C.P. Álvaro Namén Vargas</w:t>
            </w:r>
            <w:r>
              <w:rPr>
                <w:rFonts w:ascii="Verdana" w:hAnsi="Verdana" w:cs="Arial"/>
                <w:lang w:eastAsia="es-ES"/>
              </w:rPr>
              <w:t>.</w:t>
            </w:r>
          </w:p>
          <w:p w14:paraId="3452684F"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Consejo de Estado. Sala de Consulta y Servicio Civil. Concepto de 20 de febrero de 2006. Radicación Número: 11001-03-06-000-2006-00026-00 (1727). C.P. Enrique José Arboleda Perdomo.</w:t>
            </w:r>
          </w:p>
          <w:p w14:paraId="58786C19"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1ED7ED46"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lang w:eastAsia="es-ES"/>
              </w:rPr>
              <w:t>Consejo de Estado. Sala de Consulta y Servicio Civil. Concepto del 15 de noviembre de 2007. Rad. 1863. C.P.: Luis Fernando Álvarez Jaramillo.</w:t>
            </w:r>
          </w:p>
          <w:p w14:paraId="5CB66960"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lang w:eastAsia="es-ES"/>
              </w:rPr>
              <w:t xml:space="preserve">Consejo de Estado. </w:t>
            </w:r>
            <w:r>
              <w:rPr>
                <w:rFonts w:ascii="Verdana" w:hAnsi="Verdana" w:cs="Arial"/>
                <w:lang w:eastAsia="es-ES"/>
              </w:rPr>
              <w:t xml:space="preserve">Sala de lo Contencioso Administrativo. </w:t>
            </w:r>
            <w:r w:rsidRPr="00723F6D">
              <w:rPr>
                <w:rFonts w:ascii="Verdana" w:hAnsi="Verdana" w:cs="Arial"/>
                <w:lang w:eastAsia="es-ES"/>
              </w:rPr>
              <w:t xml:space="preserve">Sección Tercera. Subsección C. Sentencia del 13 de abril de 2011. </w:t>
            </w:r>
            <w:proofErr w:type="spellStart"/>
            <w:r w:rsidRPr="00723F6D">
              <w:rPr>
                <w:rFonts w:ascii="Verdana" w:hAnsi="Verdana" w:cs="Arial"/>
                <w:lang w:eastAsia="es-ES"/>
              </w:rPr>
              <w:t>Exp</w:t>
            </w:r>
            <w:proofErr w:type="spellEnd"/>
            <w:r w:rsidRPr="00723F6D">
              <w:rPr>
                <w:rFonts w:ascii="Verdana" w:hAnsi="Verdana" w:cs="Arial"/>
                <w:lang w:eastAsia="es-ES"/>
              </w:rPr>
              <w:t>. 37423. C.P. Jaime Orlando Santofimio Gamboa.</w:t>
            </w:r>
          </w:p>
          <w:p w14:paraId="5CF564A3"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lang w:eastAsia="es-ES"/>
              </w:rPr>
              <w:t xml:space="preserve">Consejo de Estado. </w:t>
            </w:r>
            <w:r>
              <w:rPr>
                <w:rFonts w:ascii="Verdana" w:hAnsi="Verdana" w:cs="Arial"/>
                <w:lang w:eastAsia="es-ES"/>
              </w:rPr>
              <w:t xml:space="preserve">Sala de lo Contencioso Administrativo. </w:t>
            </w:r>
            <w:r w:rsidRPr="00723F6D">
              <w:rPr>
                <w:rFonts w:ascii="Verdana" w:hAnsi="Verdana" w:cs="Arial"/>
                <w:lang w:eastAsia="es-ES"/>
              </w:rPr>
              <w:t xml:space="preserve">Sección Tercera. Subsección B. Sentencia del 15 de noviembre de 2011. </w:t>
            </w:r>
            <w:proofErr w:type="spellStart"/>
            <w:r w:rsidRPr="00723F6D">
              <w:rPr>
                <w:rFonts w:ascii="Verdana" w:hAnsi="Verdana" w:cs="Arial"/>
                <w:lang w:eastAsia="es-ES"/>
              </w:rPr>
              <w:t>Exp</w:t>
            </w:r>
            <w:proofErr w:type="spellEnd"/>
            <w:r w:rsidRPr="00723F6D">
              <w:rPr>
                <w:rFonts w:ascii="Verdana" w:hAnsi="Verdana" w:cs="Arial"/>
                <w:lang w:eastAsia="es-ES"/>
              </w:rPr>
              <w:t>. 21178. C.P. Ruth Stella Correa Palacio.</w:t>
            </w:r>
          </w:p>
          <w:p w14:paraId="4D22961C"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lang w:eastAsia="es-ES"/>
              </w:rPr>
              <w:t xml:space="preserve">Consejo de Estado. </w:t>
            </w:r>
            <w:r>
              <w:rPr>
                <w:rFonts w:ascii="Verdana" w:hAnsi="Verdana" w:cs="Arial"/>
                <w:lang w:eastAsia="es-ES"/>
              </w:rPr>
              <w:t>Sala de lo Contencioso Administrativo.</w:t>
            </w:r>
            <w:r w:rsidRPr="00723F6D">
              <w:rPr>
                <w:rFonts w:ascii="Verdana" w:hAnsi="Verdana" w:cs="Arial"/>
                <w:lang w:eastAsia="es-ES"/>
              </w:rPr>
              <w:t xml:space="preserve"> Sección Tercera, Subsección A. Sentencia del 24 de octubre de 2016. </w:t>
            </w:r>
            <w:proofErr w:type="spellStart"/>
            <w:r w:rsidRPr="00723F6D">
              <w:rPr>
                <w:rFonts w:ascii="Verdana" w:hAnsi="Verdana" w:cs="Arial"/>
                <w:lang w:eastAsia="es-ES"/>
              </w:rPr>
              <w:t>Exp</w:t>
            </w:r>
            <w:proofErr w:type="spellEnd"/>
            <w:r w:rsidRPr="00723F6D">
              <w:rPr>
                <w:rFonts w:ascii="Verdana" w:hAnsi="Verdana" w:cs="Arial"/>
                <w:lang w:eastAsia="es-ES"/>
              </w:rPr>
              <w:t>.  45.607. C.P. Martha Nubia Velásquez Rico.</w:t>
            </w:r>
          </w:p>
          <w:p w14:paraId="42E5824B"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Corte Constitucional, Sentencia C- 1153 de 2005, M.P. Marco Gerardo Monroy Cabra.</w:t>
            </w:r>
          </w:p>
          <w:p w14:paraId="79C45414"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Corte Constitucional. Sentencia C-233 de 4 de abril de 2002. M.P: Álvaro Tafur Galvis</w:t>
            </w:r>
            <w:r>
              <w:rPr>
                <w:rFonts w:ascii="Verdana" w:hAnsi="Verdana" w:cs="Arial"/>
                <w:lang w:eastAsia="es-ES"/>
              </w:rPr>
              <w:t>.</w:t>
            </w:r>
          </w:p>
          <w:p w14:paraId="7BDA857D"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Corte Constitucional. Sentencia C-551 de 9 de julio de 2003. M.P: Eduardo Montealegre Lynnet</w:t>
            </w:r>
            <w:r>
              <w:rPr>
                <w:rFonts w:ascii="Verdana" w:hAnsi="Verdana" w:cs="Arial"/>
                <w:lang w:eastAsia="es-ES"/>
              </w:rPr>
              <w:t>.</w:t>
            </w:r>
          </w:p>
          <w:p w14:paraId="094000ED"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 xml:space="preserve">Corte Constitucional. Sentencia C-353 de 20 de mayo de 2009. M.P: Jorge Iván Palacio </w:t>
            </w:r>
            <w:proofErr w:type="spellStart"/>
            <w:r w:rsidRPr="005D40F0">
              <w:rPr>
                <w:rFonts w:ascii="Verdana" w:hAnsi="Verdana" w:cs="Arial"/>
                <w:lang w:eastAsia="es-ES"/>
              </w:rPr>
              <w:t>Palacio</w:t>
            </w:r>
            <w:proofErr w:type="spellEnd"/>
            <w:r>
              <w:rPr>
                <w:rFonts w:ascii="Verdana" w:hAnsi="Verdana" w:cs="Arial"/>
                <w:lang w:eastAsia="es-ES"/>
              </w:rPr>
              <w:t>.</w:t>
            </w:r>
          </w:p>
          <w:p w14:paraId="777048F4"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cs="Arial"/>
                <w:lang w:eastAsia="es-ES"/>
              </w:rPr>
              <w:t>Corte Constitucional. Sentencia C-541 de 30 de junio de 2010. M.P: Gabriel Eduardo Mendoza Martelo</w:t>
            </w:r>
            <w:r>
              <w:rPr>
                <w:rFonts w:ascii="Verdana" w:hAnsi="Verdana" w:cs="Arial"/>
                <w:lang w:eastAsia="es-ES"/>
              </w:rPr>
              <w:t>.</w:t>
            </w:r>
          </w:p>
          <w:p w14:paraId="29ABB613" w14:textId="77777777" w:rsidR="00503275" w:rsidRPr="00723F6D"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color w:val="000000" w:themeColor="text1"/>
                <w:lang w:val="pt-BR"/>
              </w:rPr>
              <w:t xml:space="preserve">Corte Constitucional. Sentencia C-736 de 2007. </w:t>
            </w:r>
            <w:r w:rsidRPr="00723F6D">
              <w:rPr>
                <w:rFonts w:ascii="Verdana" w:hAnsi="Verdana" w:cs="Arial"/>
                <w:color w:val="000000" w:themeColor="text1"/>
              </w:rPr>
              <w:t>M.P. Marco Gerardo Monroy Cabra.</w:t>
            </w:r>
          </w:p>
          <w:p w14:paraId="3B74AD13" w14:textId="77777777" w:rsidR="00503275" w:rsidRPr="005D40F0"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rPr>
              <w:t xml:space="preserve">Agencia Nacional de Contratación Pública – Colombia Compra Eficiente. Circular Externa 006 del 25 de septiembre de 2025. Disponible en </w:t>
            </w:r>
            <w:hyperlink r:id="rId16" w:history="1">
              <w:r w:rsidRPr="005D40F0">
                <w:rPr>
                  <w:rStyle w:val="Hipervnculo"/>
                  <w:rFonts w:ascii="Verdana" w:hAnsi="Verdana"/>
                  <w:lang w:val="es-CO"/>
                </w:rPr>
                <w:t>006-de-2025-Circular-Externa-L996-ajustado-comentarios-BM-BID-Rev-ARSC-V3.d-1.pdf</w:t>
              </w:r>
            </w:hyperlink>
          </w:p>
          <w:p w14:paraId="06209842" w14:textId="77777777" w:rsidR="00503275" w:rsidRPr="00723F6D"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5D40F0">
              <w:rPr>
                <w:rFonts w:ascii="Verdana" w:hAnsi="Verdana"/>
              </w:rPr>
              <w:t xml:space="preserve">Agencia Nacional de Contratación Pública - Colombia Compra Eficiente. Concepto </w:t>
            </w:r>
            <w:hyperlink r:id="rId17" w:history="1">
              <w:r w:rsidRPr="005D40F0">
                <w:rPr>
                  <w:rStyle w:val="Hipervnculo"/>
                  <w:rFonts w:ascii="Verdana" w:hAnsi="Verdana"/>
                </w:rPr>
                <w:t xml:space="preserve">C-048 de 2026 – </w:t>
              </w:r>
              <w:proofErr w:type="spellStart"/>
              <w:r w:rsidRPr="005D40F0">
                <w:rPr>
                  <w:rStyle w:val="Hipervnculo"/>
                  <w:rFonts w:ascii="Verdana" w:hAnsi="Verdana"/>
                </w:rPr>
                <w:t>Relatoria</w:t>
              </w:r>
              <w:proofErr w:type="spellEnd"/>
              <w:r w:rsidRPr="005D40F0">
                <w:rPr>
                  <w:rStyle w:val="Hipervnculo"/>
                  <w:rFonts w:ascii="Verdana" w:hAnsi="Verdana"/>
                </w:rPr>
                <w:t xml:space="preserve"> ANCP-CCE</w:t>
              </w:r>
            </w:hyperlink>
            <w:r w:rsidRPr="005D40F0">
              <w:rPr>
                <w:rFonts w:ascii="Verdana" w:hAnsi="Verdana"/>
              </w:rPr>
              <w:t>.</w:t>
            </w:r>
          </w:p>
          <w:p w14:paraId="2B7DD419" w14:textId="77777777" w:rsidR="00503275" w:rsidRPr="00723F6D"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rPr>
              <w:t xml:space="preserve">AGENCIA NACIONAL DE CONTRATACIÓN PÚBLICA –COLOMBIA COMPRA EFICIENTE. Guía para la Gestión Contractual para entidades con régimen especial. 2025. Disponible en línea: </w:t>
            </w:r>
            <w:hyperlink r:id="rId18" w:history="1">
              <w:r w:rsidRPr="00723F6D">
                <w:rPr>
                  <w:rStyle w:val="Hipervnculo"/>
                  <w:rFonts w:ascii="Verdana" w:hAnsi="Verdana"/>
                </w:rPr>
                <w:t>https://www.colombiacompra.gov.co/archivos/manual/guia-para-la-gestion-contractual-de-entidades-estatales-con-regimen-especial</w:t>
              </w:r>
            </w:hyperlink>
            <w:r w:rsidRPr="00723F6D">
              <w:rPr>
                <w:rFonts w:ascii="Verdana" w:hAnsi="Verdana"/>
              </w:rPr>
              <w:t xml:space="preserve">. </w:t>
            </w:r>
          </w:p>
          <w:p w14:paraId="153E9ECC"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lang w:eastAsia="es-ES"/>
              </w:rPr>
              <w:t xml:space="preserve">BETANCUR JARAMILLO, Carlos. Derecho procesal administrativo. Octava edición. Medellín: Señal Editora, 2013. </w:t>
            </w:r>
          </w:p>
          <w:p w14:paraId="1E5EB82D" w14:textId="77777777" w:rsidR="00503275"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rPr>
              <w:t xml:space="preserve">JOJOA BOLAÑOS, Alexander. Los regímenes exceptuados en los contratos estatales. Bogotá: Grupo Editorial Ibáñez, 2012. </w:t>
            </w:r>
          </w:p>
          <w:p w14:paraId="32CC5570" w14:textId="77777777" w:rsidR="00503275" w:rsidRPr="00723F6D"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cs="Arial"/>
              </w:rPr>
              <w:t>BARRETO MORENO, Antonio Alejandro. El derecho de la compra pública: estudio jurídico de un mercado imperfecto. Bogotá: Legis, 2019.</w:t>
            </w:r>
          </w:p>
          <w:p w14:paraId="63F68147" w14:textId="77777777" w:rsidR="00503275" w:rsidRPr="00723F6D"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lang w:val="es-CO"/>
              </w:rPr>
              <w:t>LUQUE, Guillermo Sánchez. ¿Las empresas prestadoras de servicios públicos privadas son entidades estatales? A propósito de la Sentencia C 736 de 2007. </w:t>
            </w:r>
            <w:r w:rsidRPr="00723F6D">
              <w:rPr>
                <w:rFonts w:ascii="Verdana" w:hAnsi="Verdana"/>
                <w:i/>
                <w:iCs/>
                <w:lang w:val="es-CO"/>
              </w:rPr>
              <w:t>Con-texto</w:t>
            </w:r>
            <w:r w:rsidRPr="00723F6D">
              <w:rPr>
                <w:rFonts w:ascii="Verdana" w:hAnsi="Verdana"/>
                <w:lang w:val="es-CO"/>
              </w:rPr>
              <w:t xml:space="preserve"> Revista de Derecho y Economía, 2008. Vol 25</w:t>
            </w:r>
            <w:r w:rsidRPr="00101529">
              <w:rPr>
                <w:rFonts w:ascii="Verdana" w:hAnsi="Verdana"/>
                <w:sz w:val="16"/>
                <w:szCs w:val="16"/>
                <w:lang w:val="es-CO"/>
              </w:rPr>
              <w:t>.</w:t>
            </w:r>
          </w:p>
          <w:p w14:paraId="02CA6799" w14:textId="77777777" w:rsidR="00503275" w:rsidRPr="00723F6D" w:rsidRDefault="00503275" w:rsidP="00CE5BA6">
            <w:pPr>
              <w:pStyle w:val="Prrafodelista"/>
              <w:widowControl w:val="0"/>
              <w:numPr>
                <w:ilvl w:val="0"/>
                <w:numId w:val="17"/>
              </w:numPr>
              <w:autoSpaceDE w:val="0"/>
              <w:autoSpaceDN w:val="0"/>
              <w:spacing w:line="276" w:lineRule="auto"/>
              <w:jc w:val="both"/>
              <w:rPr>
                <w:rFonts w:ascii="Verdana" w:hAnsi="Verdana" w:cs="Arial"/>
                <w:lang w:eastAsia="es-ES"/>
              </w:rPr>
            </w:pPr>
            <w:r w:rsidRPr="00723F6D">
              <w:rPr>
                <w:rFonts w:ascii="Verdana" w:hAnsi="Verdana"/>
              </w:rPr>
              <w:t>HINESTROSA FORERO, Fernando. Tratado de las Obligaciones II. De las fuentes de las obligaciones: el negocio jurídico. Volumen I. Bogotá: Universidad Externado de Colombia, 2015.</w:t>
            </w:r>
          </w:p>
        </w:tc>
      </w:tr>
    </w:tbl>
    <w:p w14:paraId="12043081" w14:textId="77777777" w:rsidR="0020407D" w:rsidRDefault="0020407D">
      <w:pPr>
        <w:tabs>
          <w:tab w:val="left" w:pos="142"/>
          <w:tab w:val="left" w:pos="284"/>
          <w:tab w:val="left" w:pos="3828"/>
        </w:tabs>
        <w:spacing w:after="0" w:line="276" w:lineRule="auto"/>
        <w:jc w:val="both"/>
        <w:rPr>
          <w:rFonts w:ascii="Verdana" w:eastAsia="Century Gothic" w:hAnsi="Verdana" w:cs="Century Gothic"/>
          <w:b/>
          <w:bCs/>
        </w:rPr>
      </w:pPr>
    </w:p>
    <w:p w14:paraId="25637E17" w14:textId="41FC959B" w:rsidR="00503275" w:rsidRPr="00251D4A" w:rsidRDefault="00503275">
      <w:pPr>
        <w:tabs>
          <w:tab w:val="left" w:pos="142"/>
          <w:tab w:val="left" w:pos="284"/>
          <w:tab w:val="left" w:pos="3828"/>
        </w:tabs>
        <w:spacing w:after="0" w:line="276" w:lineRule="auto"/>
        <w:jc w:val="both"/>
        <w:rPr>
          <w:rFonts w:ascii="Verdana" w:eastAsia="Century Gothic" w:hAnsi="Verdana" w:cs="Century Gothic"/>
          <w:b/>
          <w:bCs/>
        </w:rPr>
      </w:pPr>
      <w:r w:rsidRPr="00251D4A">
        <w:rPr>
          <w:rFonts w:ascii="Verdana" w:eastAsia="Century Gothic" w:hAnsi="Verdana" w:cs="Century Gothic"/>
          <w:b/>
          <w:bCs/>
        </w:rPr>
        <w:t>5. Doctrina de la Agencia Nacional de Contratación Pública:</w:t>
      </w:r>
    </w:p>
    <w:p w14:paraId="74E9083A" w14:textId="77777777" w:rsidR="00503275" w:rsidRPr="00251D4A" w:rsidRDefault="00503275" w:rsidP="00434C57">
      <w:pPr>
        <w:widowControl w:val="0"/>
        <w:autoSpaceDE w:val="0"/>
        <w:autoSpaceDN w:val="0"/>
        <w:spacing w:after="0" w:line="276" w:lineRule="auto"/>
        <w:jc w:val="both"/>
        <w:rPr>
          <w:rStyle w:val="normaltextrun"/>
          <w:rFonts w:ascii="Verdana" w:hAnsi="Verdana" w:cs="Arial"/>
          <w:shd w:val="clear" w:color="auto" w:fill="FFFFFF"/>
        </w:rPr>
      </w:pPr>
    </w:p>
    <w:p w14:paraId="2AED968A" w14:textId="126E3E82" w:rsidR="00503275" w:rsidRDefault="00503275" w:rsidP="00251D4A">
      <w:pPr>
        <w:widowControl w:val="0"/>
        <w:autoSpaceDE w:val="0"/>
        <w:autoSpaceDN w:val="0"/>
        <w:spacing w:after="0" w:line="276" w:lineRule="auto"/>
        <w:jc w:val="both"/>
        <w:rPr>
          <w:rFonts w:ascii="Verdana" w:hAnsi="Verdana" w:cs="Arial"/>
          <w:shd w:val="clear" w:color="auto" w:fill="FFFFFF"/>
        </w:rPr>
      </w:pPr>
      <w:r w:rsidRPr="00251D4A">
        <w:rPr>
          <w:rFonts w:ascii="Verdana" w:eastAsia="Calibri" w:hAnsi="Verdana" w:cs="Times New Roman"/>
        </w:rPr>
        <w:t xml:space="preserve">La Agencia Nacional de Contratación Pública se ha pronunciado sobre el alcance de la Ley de Garantías Electorales en los conceptos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C-1548 del 2 de diciembre de 2025, C-1773 del 5 de diciembre de 2025, C-1646 del 17 de diciembre de 2025, C-1703 del 29 de diciembre de 2025, C-068 del 27 de enero de 2026, C-111 del 6 de febrero de 2026, C-127 del 6 de febrero de 2026, </w:t>
      </w:r>
      <w:r w:rsidRPr="00251D4A">
        <w:rPr>
          <w:rFonts w:ascii="Verdana" w:hAnsi="Verdana" w:cs="Arial"/>
          <w:shd w:val="clear" w:color="auto" w:fill="FFFFFF"/>
        </w:rPr>
        <w:t xml:space="preserve">C-137 del 17 de febrero de 2026, C-185 del 23 de febrero de 2026, C-322 del 4 de marzo de 2026, C-618 del 14 de mayo de 2026, entre otros. </w:t>
      </w:r>
    </w:p>
    <w:p w14:paraId="2A60C3FD" w14:textId="77777777" w:rsidR="00251D4A" w:rsidRPr="00251D4A" w:rsidRDefault="00251D4A" w:rsidP="00434C57">
      <w:pPr>
        <w:widowControl w:val="0"/>
        <w:autoSpaceDE w:val="0"/>
        <w:autoSpaceDN w:val="0"/>
        <w:spacing w:after="0" w:line="276" w:lineRule="auto"/>
        <w:jc w:val="both"/>
        <w:rPr>
          <w:rFonts w:ascii="Verdana" w:eastAsia="Calibri" w:hAnsi="Verdana" w:cs="Arial"/>
          <w:highlight w:val="yellow"/>
        </w:rPr>
      </w:pPr>
    </w:p>
    <w:p w14:paraId="77B4F8EE" w14:textId="77777777" w:rsidR="00503275" w:rsidRPr="00251D4A" w:rsidRDefault="00503275" w:rsidP="00434C57">
      <w:pPr>
        <w:widowControl w:val="0"/>
        <w:autoSpaceDE w:val="0"/>
        <w:autoSpaceDN w:val="0"/>
        <w:spacing w:after="0" w:line="276" w:lineRule="auto"/>
        <w:jc w:val="both"/>
        <w:rPr>
          <w:rFonts w:ascii="Verdana" w:eastAsia="Calibri" w:hAnsi="Verdana" w:cs="Arial"/>
        </w:rPr>
      </w:pPr>
      <w:r w:rsidRPr="00251D4A">
        <w:rPr>
          <w:rFonts w:ascii="Verdana" w:eastAsia="Calibri" w:hAnsi="Verdana" w:cs="Arial"/>
        </w:rPr>
        <w:t xml:space="preserve">Así mismo, la Agencia Nacional de Contratación Pública – Colombia Compra Eficiente se ha pronunciado sobre las empresas de servicios públicos en los Conceptos C- 792 del 28 de noviembre de 2024, C- 429 del 13 de mayo de 2025, C-477 del 20 de mayo de 2025, C-1004 del 29 de agosto de 2025, C- 1012 del 4 de septiembre de 2025, C-1368 del 5 de noviembre de 2025, C-095 del 4 de marzo de 2026, C-438 del 30 de abril de 2026, C-631 del 25 de mayo de 2026, entre otras entre otros. </w:t>
      </w:r>
      <w:r w:rsidRPr="00251D4A">
        <w:rPr>
          <w:rFonts w:ascii="Verdana" w:hAnsi="Verdana" w:cs="Arial"/>
        </w:rPr>
        <w:t xml:space="preserve">Estos y otros </w:t>
      </w:r>
      <w:r w:rsidRPr="00251D4A">
        <w:rPr>
          <w:rFonts w:ascii="Verdana" w:hAnsi="Verdana"/>
        </w:rPr>
        <w:t>conceptos se encuentran disponibles para consulta en el Sistema de relatoría de la Agencia, al cual se puede acceder a través del siguiente enlace:</w:t>
      </w:r>
      <w:r w:rsidRPr="00251D4A">
        <w:rPr>
          <w:rFonts w:ascii="Verdana" w:hAnsi="Verdana" w:cs="Arial"/>
          <w:shd w:val="clear" w:color="auto" w:fill="FFFFFF"/>
        </w:rPr>
        <w:t xml:space="preserve"> </w:t>
      </w:r>
      <w:hyperlink r:id="rId19" w:history="1">
        <w:r w:rsidRPr="00251D4A">
          <w:rPr>
            <w:rFonts w:ascii="Verdana" w:hAnsi="Verdana" w:cs="Arial"/>
            <w:color w:val="0563C1" w:themeColor="hyperlink"/>
            <w:u w:val="single"/>
            <w:shd w:val="clear" w:color="auto" w:fill="FFFFFF"/>
          </w:rPr>
          <w:t>https://relatoria.colombiacompra.gov.co/busqueda/conceptos</w:t>
        </w:r>
      </w:hyperlink>
      <w:r w:rsidRPr="00251D4A">
        <w:rPr>
          <w:rFonts w:ascii="Verdana" w:hAnsi="Verdana" w:cs="Arial"/>
          <w:shd w:val="clear" w:color="auto" w:fill="FFFFFF"/>
        </w:rPr>
        <w:t>.</w:t>
      </w:r>
      <w:r w:rsidRPr="00251D4A">
        <w:rPr>
          <w:rFonts w:ascii="Verdana" w:hAnsi="Verdana" w:cs="Arial"/>
          <w:color w:val="FF0000"/>
          <w:shd w:val="clear" w:color="auto" w:fill="FFFFFF"/>
        </w:rPr>
        <w:t xml:space="preserve"> </w:t>
      </w:r>
    </w:p>
    <w:p w14:paraId="74BEC9A1" w14:textId="77777777" w:rsidR="00503275" w:rsidRPr="00251D4A" w:rsidRDefault="00503275" w:rsidP="00434C57">
      <w:pPr>
        <w:widowControl w:val="0"/>
        <w:autoSpaceDE w:val="0"/>
        <w:autoSpaceDN w:val="0"/>
        <w:spacing w:after="0" w:line="276" w:lineRule="auto"/>
        <w:jc w:val="both"/>
        <w:rPr>
          <w:rFonts w:ascii="Verdana" w:hAnsi="Verdana"/>
        </w:rPr>
      </w:pPr>
    </w:p>
    <w:p w14:paraId="564A1967" w14:textId="77777777" w:rsidR="00503275" w:rsidRPr="00251D4A" w:rsidRDefault="00503275" w:rsidP="00434C57">
      <w:pPr>
        <w:widowControl w:val="0"/>
        <w:autoSpaceDE w:val="0"/>
        <w:autoSpaceDN w:val="0"/>
        <w:spacing w:after="0" w:line="276" w:lineRule="auto"/>
        <w:jc w:val="both"/>
        <w:rPr>
          <w:rFonts w:ascii="Verdana" w:hAnsi="Verdana" w:cs="Arial"/>
          <w:shd w:val="clear" w:color="auto" w:fill="FFFFFF"/>
        </w:rPr>
      </w:pPr>
      <w:r w:rsidRPr="00251D4A">
        <w:rPr>
          <w:rFonts w:ascii="Verdana" w:hAnsi="Verdana"/>
        </w:rPr>
        <w:t xml:space="preserve">La sostenibilidad no es una opción, es una obligación. Por ello, la Agencia Nacional de Contratación Pública –Colombia Compra Eficiente– te invita a realizar el </w:t>
      </w:r>
      <w:r w:rsidRPr="00251D4A">
        <w:rPr>
          <w:rFonts w:ascii="Verdana" w:hAnsi="Verdana"/>
          <w:b/>
          <w:bCs/>
        </w:rPr>
        <w:t>Curso de Contratación Pública Sostenible y Socialmente Responsable</w:t>
      </w:r>
      <w:r w:rsidRPr="00251D4A">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51D4A">
        <w:rPr>
          <w:rFonts w:ascii="Verdana" w:hAnsi="Verdana"/>
        </w:rPr>
        <w:br/>
      </w:r>
      <w:hyperlink r:id="rId20" w:tgtFrame="_new" w:history="1">
        <w:r w:rsidRPr="00251D4A">
          <w:rPr>
            <w:rStyle w:val="Hipervnculo"/>
            <w:rFonts w:ascii="Verdana" w:hAnsi="Verdana"/>
          </w:rPr>
          <w:t>https://formacionvirtual.colombiacompra.gov.co/mod/page/view.php?id=3718</w:t>
        </w:r>
      </w:hyperlink>
    </w:p>
    <w:p w14:paraId="73BD5E41" w14:textId="77777777" w:rsidR="00503275" w:rsidRPr="00251D4A" w:rsidRDefault="00503275" w:rsidP="00434C57">
      <w:pPr>
        <w:widowControl w:val="0"/>
        <w:autoSpaceDE w:val="0"/>
        <w:autoSpaceDN w:val="0"/>
        <w:spacing w:after="0" w:line="276" w:lineRule="auto"/>
        <w:jc w:val="both"/>
        <w:rPr>
          <w:rFonts w:ascii="Verdana" w:hAnsi="Verdana"/>
        </w:rPr>
      </w:pPr>
    </w:p>
    <w:p w14:paraId="42D5DBA6" w14:textId="77777777" w:rsidR="00503275" w:rsidRPr="00251D4A" w:rsidRDefault="00503275" w:rsidP="00434C57">
      <w:pPr>
        <w:widowControl w:val="0"/>
        <w:autoSpaceDE w:val="0"/>
        <w:autoSpaceDN w:val="0"/>
        <w:spacing w:after="0" w:line="276" w:lineRule="auto"/>
        <w:jc w:val="both"/>
        <w:rPr>
          <w:rStyle w:val="Hipervnculo"/>
          <w:rFonts w:ascii="Verdana" w:hAnsi="Verdana" w:cs="Arial"/>
          <w:color w:val="auto"/>
          <w:u w:val="none"/>
        </w:rPr>
      </w:pPr>
      <w:r w:rsidRPr="00434C57">
        <w:rPr>
          <w:rFonts w:ascii="Verdana" w:hAnsi="Verdana"/>
        </w:rPr>
        <w:t xml:space="preserve">De otro lado, te contamos que esta Agencia ha dado un paso decisivo en la estandarización y modernización del </w:t>
      </w:r>
      <w:r w:rsidRPr="00251D4A">
        <w:rPr>
          <w:rFonts w:ascii="Verdana" w:hAnsi="Verdana"/>
          <w:b/>
          <w:bCs/>
        </w:rPr>
        <w:t>sector social</w:t>
      </w:r>
      <w:r w:rsidRPr="00251D4A">
        <w:rPr>
          <w:rFonts w:ascii="Verdana" w:hAnsi="Verdana"/>
        </w:rPr>
        <w:t xml:space="preserve"> con la expedición de las </w:t>
      </w:r>
      <w:r w:rsidRPr="00251D4A">
        <w:rPr>
          <w:rFonts w:ascii="Verdana" w:hAnsi="Verdana"/>
          <w:b/>
          <w:bCs/>
        </w:rPr>
        <w:t>Resoluciones 539, 540, 541, 952 y 953 de 2025</w:t>
      </w:r>
      <w:r w:rsidRPr="00251D4A">
        <w:rPr>
          <w:rFonts w:ascii="Verdana" w:hAnsi="Verdana"/>
        </w:rPr>
        <w:t xml:space="preserve">, </w:t>
      </w:r>
      <w:r w:rsidRPr="00251D4A">
        <w:rPr>
          <w:rFonts w:ascii="Verdana" w:hAnsi="Verdana"/>
          <w:b/>
          <w:bCs/>
        </w:rPr>
        <w:t>mediante las cuales adoptó Documentos Tipo</w:t>
      </w:r>
      <w:r w:rsidRPr="00251D4A">
        <w:rPr>
          <w:rFonts w:ascii="Verdana" w:hAnsi="Verdana"/>
        </w:rPr>
        <w:t xml:space="preserve"> para las modalidades de selección de</w:t>
      </w:r>
      <w:r w:rsidRPr="00251D4A">
        <w:rPr>
          <w:rFonts w:ascii="Verdana" w:hAnsi="Verdana"/>
          <w:b/>
          <w:bCs/>
        </w:rPr>
        <w:t xml:space="preserve"> licitación pública (versión 2), selección abreviada de menor cuantía, mínima cuantía, consultoría e interventoría</w:t>
      </w:r>
      <w:r w:rsidRPr="00251D4A">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21" w:tgtFrame="_new" w:history="1">
        <w:r w:rsidRPr="00251D4A">
          <w:rPr>
            <w:rStyle w:val="Hipervnculo"/>
            <w:rFonts w:ascii="Verdana" w:hAnsi="Verdana"/>
          </w:rPr>
          <w:t>https://www.colombiacompra.gov.co/normativa-y-relatoria/documentos-tipo</w:t>
        </w:r>
      </w:hyperlink>
    </w:p>
    <w:p w14:paraId="215848D9" w14:textId="77777777" w:rsidR="00503275" w:rsidRPr="00251D4A" w:rsidRDefault="00503275" w:rsidP="00434C57">
      <w:pPr>
        <w:widowControl w:val="0"/>
        <w:autoSpaceDE w:val="0"/>
        <w:autoSpaceDN w:val="0"/>
        <w:spacing w:after="0" w:line="276" w:lineRule="auto"/>
        <w:jc w:val="both"/>
        <w:rPr>
          <w:rFonts w:ascii="Verdana" w:hAnsi="Verdana"/>
        </w:rPr>
      </w:pPr>
    </w:p>
    <w:p w14:paraId="52EF62A1" w14:textId="5D4B94AE" w:rsidR="00503275" w:rsidRDefault="00503275" w:rsidP="00251D4A">
      <w:pPr>
        <w:widowControl w:val="0"/>
        <w:autoSpaceDE w:val="0"/>
        <w:autoSpaceDN w:val="0"/>
        <w:spacing w:after="0" w:line="276" w:lineRule="auto"/>
        <w:jc w:val="both"/>
        <w:rPr>
          <w:rStyle w:val="Hipervnculo"/>
          <w:rFonts w:ascii="Verdana" w:hAnsi="Verdana"/>
        </w:rPr>
      </w:pPr>
      <w:r w:rsidRPr="00251D4A">
        <w:rPr>
          <w:rFonts w:ascii="Verdana" w:hAnsi="Verdana"/>
        </w:rPr>
        <w:t xml:space="preserve">Si quieres conocer más sobre la aplicación de Documentos Tipo puedes consultar la última versión de la </w:t>
      </w:r>
      <w:r w:rsidRPr="00251D4A">
        <w:rPr>
          <w:rFonts w:ascii="Verdana" w:hAnsi="Verdana"/>
          <w:b/>
          <w:bCs/>
        </w:rPr>
        <w:t>Guía para la comprensión e implementación de los Documentos Tipo de obra pública de infraestructura de transporte</w:t>
      </w:r>
      <w:r w:rsidRPr="00251D4A">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51D4A">
        <w:rPr>
          <w:rFonts w:ascii="Verdana" w:hAnsi="Verdana"/>
        </w:rPr>
        <w:br/>
      </w:r>
      <w:hyperlink r:id="rId22" w:tgtFrame="_new" w:history="1">
        <w:r w:rsidRPr="00251D4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793B3E6" w14:textId="77777777" w:rsidR="00251D4A" w:rsidRPr="00251D4A" w:rsidRDefault="00251D4A" w:rsidP="00434C57">
      <w:pPr>
        <w:widowControl w:val="0"/>
        <w:autoSpaceDE w:val="0"/>
        <w:autoSpaceDN w:val="0"/>
        <w:spacing w:after="0" w:line="276" w:lineRule="auto"/>
        <w:jc w:val="both"/>
        <w:rPr>
          <w:rStyle w:val="Hipervnculo"/>
          <w:rFonts w:ascii="Verdana" w:hAnsi="Verdana" w:cs="Arial"/>
          <w:color w:val="auto"/>
          <w:u w:val="none"/>
        </w:rPr>
      </w:pPr>
    </w:p>
    <w:p w14:paraId="44A7A45D" w14:textId="38694C7B" w:rsidR="00503275" w:rsidRDefault="00503275" w:rsidP="00251D4A">
      <w:pPr>
        <w:widowControl w:val="0"/>
        <w:autoSpaceDE w:val="0"/>
        <w:autoSpaceDN w:val="0"/>
        <w:spacing w:after="0" w:line="276" w:lineRule="auto"/>
        <w:jc w:val="both"/>
        <w:rPr>
          <w:rFonts w:ascii="Verdana" w:hAnsi="Verdana"/>
        </w:rPr>
      </w:pPr>
      <w:r w:rsidRPr="00434C57">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AA7E0ED" w14:textId="77777777" w:rsidR="00251D4A" w:rsidRPr="00251D4A" w:rsidRDefault="00251D4A" w:rsidP="00434C57">
      <w:pPr>
        <w:widowControl w:val="0"/>
        <w:autoSpaceDE w:val="0"/>
        <w:autoSpaceDN w:val="0"/>
        <w:spacing w:after="0" w:line="276" w:lineRule="auto"/>
        <w:jc w:val="both"/>
        <w:rPr>
          <w:rFonts w:ascii="Verdana" w:hAnsi="Verdana" w:cs="Arial"/>
        </w:rPr>
      </w:pPr>
    </w:p>
    <w:p w14:paraId="6E595082" w14:textId="77777777" w:rsidR="00503275" w:rsidRPr="00251D4A" w:rsidRDefault="00503275">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251D4A">
        <w:rPr>
          <w:rFonts w:ascii="Verdana" w:eastAsia="Verdana" w:hAnsi="Verdana" w:cs="Verdana"/>
          <w:lang w:val="es-MX"/>
        </w:rPr>
        <w:t xml:space="preserve">Línea nacional gratuita o servicio a la ciudadanía (Mesa de servicio): </w:t>
      </w:r>
      <w:r w:rsidRPr="00251D4A">
        <w:rPr>
          <w:rStyle w:val="Hipervnculo"/>
          <w:rFonts w:ascii="Verdana" w:hAnsi="Verdana"/>
        </w:rPr>
        <w:t>01800 0520808</w:t>
      </w:r>
    </w:p>
    <w:p w14:paraId="73728B6D" w14:textId="77777777" w:rsidR="00503275" w:rsidRPr="00251D4A" w:rsidRDefault="00503275">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251D4A">
        <w:rPr>
          <w:rFonts w:ascii="Verdana" w:eastAsia="Verdana" w:hAnsi="Verdana" w:cs="Verdana"/>
          <w:lang w:val="es-MX"/>
        </w:rPr>
        <w:t>Línea en Bogotá (Mesa de servicio):</w:t>
      </w:r>
      <w:r w:rsidRPr="00251D4A">
        <w:rPr>
          <w:rStyle w:val="Hipervnculo"/>
          <w:rFonts w:ascii="Verdana" w:hAnsi="Verdana"/>
        </w:rPr>
        <w:t>+57 601 7456788</w:t>
      </w:r>
    </w:p>
    <w:p w14:paraId="0C5BCCB6" w14:textId="77777777" w:rsidR="00503275" w:rsidRPr="00251D4A" w:rsidRDefault="00503275">
      <w:pPr>
        <w:pStyle w:val="Prrafodelista"/>
        <w:numPr>
          <w:ilvl w:val="0"/>
          <w:numId w:val="15"/>
        </w:numPr>
        <w:spacing w:after="0" w:line="276" w:lineRule="auto"/>
        <w:contextualSpacing w:val="0"/>
        <w:rPr>
          <w:rFonts w:ascii="Verdana" w:eastAsia="Verdana" w:hAnsi="Verdana" w:cs="Verdana"/>
          <w:color w:val="0000FF"/>
          <w:u w:val="single"/>
          <w:lang w:val="es-MX"/>
        </w:rPr>
      </w:pPr>
      <w:r w:rsidRPr="00251D4A">
        <w:rPr>
          <w:rFonts w:ascii="Verdana" w:eastAsia="Verdana" w:hAnsi="Verdana" w:cs="Verdana"/>
          <w:lang w:val="es-MX"/>
        </w:rPr>
        <w:t xml:space="preserve">Correo de radicación de correspondencia: </w:t>
      </w:r>
      <w:hyperlink r:id="rId23">
        <w:r w:rsidRPr="00251D4A">
          <w:rPr>
            <w:rStyle w:val="Hipervnculo"/>
            <w:rFonts w:ascii="Verdana" w:eastAsia="Verdana" w:hAnsi="Verdana" w:cs="Verdana"/>
            <w:lang w:val="es-MX"/>
          </w:rPr>
          <w:t>ventanilladeradicacion@colombiacompra.gov.co</w:t>
        </w:r>
      </w:hyperlink>
    </w:p>
    <w:p w14:paraId="38C91C30" w14:textId="77777777" w:rsidR="00503275" w:rsidRPr="00251D4A" w:rsidRDefault="00503275">
      <w:pPr>
        <w:pStyle w:val="Prrafodelista"/>
        <w:numPr>
          <w:ilvl w:val="0"/>
          <w:numId w:val="15"/>
        </w:numPr>
        <w:spacing w:after="0" w:line="276" w:lineRule="auto"/>
        <w:contextualSpacing w:val="0"/>
        <w:rPr>
          <w:rFonts w:ascii="Verdana" w:eastAsia="Verdana" w:hAnsi="Verdana" w:cs="Verdana"/>
          <w:color w:val="0000FF"/>
          <w:u w:val="single"/>
          <w:lang w:val="es-MX"/>
        </w:rPr>
      </w:pPr>
      <w:r w:rsidRPr="00251D4A">
        <w:rPr>
          <w:rFonts w:ascii="Verdana" w:eastAsia="Verdana" w:hAnsi="Verdana" w:cs="Verdana"/>
        </w:rPr>
        <w:t>Formulario web para</w:t>
      </w:r>
      <w:r w:rsidRPr="00251D4A">
        <w:rPr>
          <w:rFonts w:ascii="Verdana" w:eastAsia="Verdana" w:hAnsi="Verdana" w:cs="Verdana"/>
          <w:lang w:val="es"/>
        </w:rPr>
        <w:t xml:space="preserve"> PQRSD: </w:t>
      </w:r>
      <w:hyperlink r:id="rId24">
        <w:r w:rsidRPr="00251D4A">
          <w:rPr>
            <w:rStyle w:val="Hipervnculo"/>
            <w:rFonts w:ascii="Verdana" w:eastAsia="Verdana" w:hAnsi="Verdana" w:cs="Verdana"/>
            <w:lang w:val="es-MX"/>
          </w:rPr>
          <w:t>https://www.colombiacompra.gov.co/pqrsd/informacion-importante-antes-de-formular-una-pqrsd</w:t>
        </w:r>
      </w:hyperlink>
    </w:p>
    <w:p w14:paraId="164B2E83" w14:textId="77777777" w:rsidR="00503275" w:rsidRPr="00251D4A" w:rsidRDefault="00503275" w:rsidP="00434C57">
      <w:pPr>
        <w:spacing w:after="0" w:line="276" w:lineRule="auto"/>
        <w:jc w:val="both"/>
        <w:rPr>
          <w:rFonts w:ascii="Verdana" w:hAnsi="Verdana"/>
        </w:rPr>
      </w:pPr>
    </w:p>
    <w:p w14:paraId="5D441F98" w14:textId="77777777" w:rsidR="00503275" w:rsidRPr="00251D4A" w:rsidRDefault="00503275">
      <w:pPr>
        <w:spacing w:after="0" w:line="276" w:lineRule="auto"/>
        <w:jc w:val="both"/>
        <w:rPr>
          <w:rFonts w:ascii="Verdana" w:hAnsi="Verdana"/>
        </w:rPr>
      </w:pPr>
      <w:r w:rsidRPr="00251D4A">
        <w:rPr>
          <w:rFonts w:ascii="Verdana" w:hAnsi="Verdana"/>
        </w:rPr>
        <w:t xml:space="preserve">Evalúa el servicio que ofrece la Agencia por el canal de atención de PQRSD en el siguiente enlace: </w:t>
      </w:r>
      <w:hyperlink r:id="rId25" w:history="1">
        <w:r w:rsidRPr="00251D4A">
          <w:rPr>
            <w:rStyle w:val="Hipervnculo"/>
            <w:rFonts w:ascii="Verdana" w:eastAsia="Verdana" w:hAnsi="Verdana" w:cs="Verdana"/>
            <w:lang w:val="es-MX"/>
          </w:rPr>
          <w:t>https://forms.office.com/r/pPHyWVs2SZ</w:t>
        </w:r>
      </w:hyperlink>
      <w:r w:rsidRPr="00251D4A">
        <w:rPr>
          <w:rStyle w:val="Hipervnculo"/>
          <w:rFonts w:ascii="Verdana" w:eastAsia="Verdana" w:hAnsi="Verdana" w:cs="Verdana"/>
          <w:lang w:val="es-MX"/>
        </w:rPr>
        <w:t>.</w:t>
      </w:r>
      <w:r w:rsidRPr="00251D4A">
        <w:rPr>
          <w:rFonts w:ascii="Verdana" w:hAnsi="Verdana"/>
        </w:rPr>
        <w:t xml:space="preserve"> ¡Ayúdanos a mejorar porque el compromiso es de todos!</w:t>
      </w:r>
    </w:p>
    <w:p w14:paraId="197CF96A" w14:textId="77777777" w:rsidR="00503275" w:rsidRPr="00251D4A" w:rsidRDefault="00503275" w:rsidP="00434C57">
      <w:pPr>
        <w:spacing w:after="0" w:line="276" w:lineRule="auto"/>
        <w:jc w:val="both"/>
        <w:rPr>
          <w:rFonts w:ascii="Verdana" w:hAnsi="Verdana"/>
        </w:rPr>
      </w:pPr>
    </w:p>
    <w:p w14:paraId="6A792043" w14:textId="77777777" w:rsidR="00503275" w:rsidRPr="00251D4A" w:rsidRDefault="00503275">
      <w:pPr>
        <w:spacing w:after="0" w:line="276" w:lineRule="auto"/>
        <w:jc w:val="both"/>
        <w:rPr>
          <w:rFonts w:ascii="Verdana" w:hAnsi="Verdana"/>
        </w:rPr>
      </w:pPr>
      <w:r w:rsidRPr="00251D4A">
        <w:rPr>
          <w:rFonts w:ascii="Verdana" w:hAnsi="Verdana"/>
        </w:rPr>
        <w:t xml:space="preserve">Por último, lo invitamos a seguirnos en las redes sociales en las cuales se difunde información institucional: </w:t>
      </w:r>
    </w:p>
    <w:p w14:paraId="43D7927E" w14:textId="77777777" w:rsidR="00503275" w:rsidRPr="00251D4A" w:rsidRDefault="00503275" w:rsidP="00434C57">
      <w:pPr>
        <w:spacing w:after="0" w:line="276" w:lineRule="auto"/>
        <w:jc w:val="both"/>
        <w:rPr>
          <w:rFonts w:ascii="Verdana" w:hAnsi="Verdana"/>
        </w:rPr>
      </w:pPr>
    </w:p>
    <w:p w14:paraId="401BB1AF" w14:textId="77777777" w:rsidR="00503275" w:rsidRPr="00251D4A" w:rsidRDefault="00503275">
      <w:pPr>
        <w:spacing w:after="0" w:line="276" w:lineRule="auto"/>
        <w:jc w:val="both"/>
        <w:rPr>
          <w:rFonts w:ascii="Verdana" w:hAnsi="Verdana"/>
        </w:rPr>
      </w:pPr>
      <w:r w:rsidRPr="00251D4A">
        <w:rPr>
          <w:rFonts w:ascii="Verdana" w:hAnsi="Verdana"/>
        </w:rPr>
        <w:t xml:space="preserve">Twitter: </w:t>
      </w:r>
      <w:r w:rsidRPr="00251D4A">
        <w:rPr>
          <w:rStyle w:val="Hipervnculo"/>
          <w:rFonts w:ascii="Verdana" w:hAnsi="Verdana"/>
        </w:rPr>
        <w:t>@colombiacompra</w:t>
      </w:r>
      <w:r w:rsidRPr="00251D4A">
        <w:rPr>
          <w:rFonts w:ascii="Verdana" w:hAnsi="Verdana"/>
        </w:rPr>
        <w:t xml:space="preserve"> </w:t>
      </w:r>
    </w:p>
    <w:p w14:paraId="017C4C1D" w14:textId="77777777" w:rsidR="00503275" w:rsidRPr="00251D4A" w:rsidRDefault="00503275">
      <w:pPr>
        <w:spacing w:after="0" w:line="276" w:lineRule="auto"/>
        <w:jc w:val="both"/>
        <w:rPr>
          <w:rFonts w:ascii="Verdana" w:hAnsi="Verdana"/>
        </w:rPr>
      </w:pPr>
      <w:r w:rsidRPr="00251D4A">
        <w:rPr>
          <w:rFonts w:ascii="Verdana" w:hAnsi="Verdana"/>
        </w:rPr>
        <w:t xml:space="preserve">Facebook: </w:t>
      </w:r>
      <w:proofErr w:type="spellStart"/>
      <w:r w:rsidRPr="00251D4A">
        <w:rPr>
          <w:rStyle w:val="Hipervnculo"/>
          <w:rFonts w:ascii="Verdana" w:hAnsi="Verdana"/>
        </w:rPr>
        <w:t>ColombiaCompraEficiente</w:t>
      </w:r>
      <w:proofErr w:type="spellEnd"/>
    </w:p>
    <w:p w14:paraId="1880973B" w14:textId="77777777" w:rsidR="00503275" w:rsidRPr="00251D4A" w:rsidRDefault="00503275">
      <w:pPr>
        <w:spacing w:after="0" w:line="276" w:lineRule="auto"/>
        <w:jc w:val="both"/>
        <w:rPr>
          <w:rFonts w:ascii="Verdana" w:hAnsi="Verdana"/>
        </w:rPr>
      </w:pPr>
      <w:r w:rsidRPr="00251D4A">
        <w:rPr>
          <w:rFonts w:ascii="Verdana" w:hAnsi="Verdana"/>
        </w:rPr>
        <w:t xml:space="preserve">LinkedIn: </w:t>
      </w:r>
      <w:r w:rsidRPr="00251D4A">
        <w:rPr>
          <w:rStyle w:val="Hipervnculo"/>
          <w:rFonts w:ascii="Verdana" w:hAnsi="Verdana"/>
        </w:rPr>
        <w:t>Agencia Nacional de Contratación Pública - Colombia Compra Eficiente</w:t>
      </w:r>
      <w:r w:rsidRPr="00251D4A">
        <w:rPr>
          <w:rFonts w:ascii="Verdana" w:hAnsi="Verdana"/>
        </w:rPr>
        <w:t xml:space="preserve"> Instagram: </w:t>
      </w:r>
      <w:r w:rsidRPr="00251D4A">
        <w:rPr>
          <w:rStyle w:val="Hipervnculo"/>
          <w:rFonts w:ascii="Verdana" w:hAnsi="Verdana"/>
        </w:rPr>
        <w:t>@colombiacompraeficiente_cce</w:t>
      </w:r>
    </w:p>
    <w:p w14:paraId="183669BC" w14:textId="77777777" w:rsidR="00503275" w:rsidRPr="00434C57" w:rsidRDefault="00503275">
      <w:pPr>
        <w:spacing w:after="0" w:line="276" w:lineRule="auto"/>
        <w:jc w:val="both"/>
        <w:rPr>
          <w:rFonts w:ascii="Verdana" w:eastAsia="Century Gothic" w:hAnsi="Verdana" w:cs="Century Gothic"/>
          <w:lang w:val="es-ES" w:eastAsia="es-ES_tradnl"/>
        </w:rPr>
      </w:pPr>
    </w:p>
    <w:p w14:paraId="7A831238" w14:textId="77777777" w:rsidR="00503275" w:rsidRPr="00251D4A" w:rsidRDefault="00503275" w:rsidP="00434C57">
      <w:pPr>
        <w:spacing w:after="0" w:line="276" w:lineRule="auto"/>
        <w:jc w:val="both"/>
        <w:rPr>
          <w:rFonts w:ascii="Verdana" w:hAnsi="Verdana"/>
          <w:lang w:val="es-MX"/>
        </w:rPr>
      </w:pPr>
      <w:r w:rsidRPr="00251D4A">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15EEA64" w14:textId="77777777" w:rsidR="00503275" w:rsidRPr="00251D4A" w:rsidRDefault="00503275">
      <w:pPr>
        <w:spacing w:after="0" w:line="276" w:lineRule="auto"/>
        <w:jc w:val="both"/>
        <w:rPr>
          <w:rFonts w:ascii="Verdana" w:hAnsi="Verdana"/>
          <w:lang w:val="es-MX"/>
        </w:rPr>
      </w:pPr>
    </w:p>
    <w:p w14:paraId="0152B9C0" w14:textId="77777777" w:rsidR="00503275" w:rsidRPr="00251D4A" w:rsidRDefault="00503275">
      <w:pPr>
        <w:spacing w:after="0" w:line="276" w:lineRule="auto"/>
        <w:jc w:val="both"/>
        <w:rPr>
          <w:rFonts w:ascii="Verdana" w:hAnsi="Verdana"/>
          <w:lang w:val="es-MX"/>
        </w:rPr>
      </w:pPr>
      <w:r w:rsidRPr="00251D4A">
        <w:rPr>
          <w:rFonts w:ascii="Verdana" w:hAnsi="Verdana"/>
          <w:lang w:val="es-MX"/>
        </w:rPr>
        <w:t>Cordialmente,</w:t>
      </w:r>
    </w:p>
    <w:p w14:paraId="5DACAFCC" w14:textId="3A333322" w:rsidR="00503275" w:rsidRDefault="00503275" w:rsidP="00503275">
      <w:pPr>
        <w:spacing w:after="0" w:line="256" w:lineRule="auto"/>
        <w:jc w:val="center"/>
        <w:rPr>
          <w:rFonts w:ascii="Verdana" w:eastAsia="Calibri" w:hAnsi="Verdana" w:cs="Times New Roman"/>
        </w:rPr>
      </w:pPr>
    </w:p>
    <w:p w14:paraId="44E11607" w14:textId="0D7CBD9A" w:rsidR="00503275" w:rsidRDefault="00057F73" w:rsidP="00503275">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05826290" wp14:editId="4D28C12C">
            <wp:extent cx="3229220" cy="1521460"/>
            <wp:effectExtent l="0" t="0" r="9525" b="254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6"/>
                    <a:stretch>
                      <a:fillRect/>
                    </a:stretch>
                  </pic:blipFill>
                  <pic:spPr>
                    <a:xfrm>
                      <a:off x="0" y="0"/>
                      <a:ext cx="3245676" cy="1529213"/>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503275" w:rsidRPr="005644FE" w14:paraId="749744C1" w14:textId="77777777" w:rsidTr="00CE5BA6">
        <w:trPr>
          <w:trHeight w:val="288"/>
        </w:trPr>
        <w:tc>
          <w:tcPr>
            <w:tcW w:w="893" w:type="dxa"/>
            <w:vAlign w:val="center"/>
            <w:hideMark/>
          </w:tcPr>
          <w:p w14:paraId="0A16E596" w14:textId="77777777" w:rsidR="00503275" w:rsidRPr="00FF63C3" w:rsidRDefault="00503275" w:rsidP="00CE5BA6">
            <w:pPr>
              <w:contextualSpacing/>
              <w:rPr>
                <w:rFonts w:ascii="Verdana" w:hAnsi="Verdana" w:cs="Arial"/>
                <w:sz w:val="14"/>
                <w:szCs w:val="14"/>
                <w:lang w:eastAsia="es-ES"/>
              </w:rPr>
            </w:pPr>
            <w:r w:rsidRPr="00FF63C3">
              <w:rPr>
                <w:rFonts w:ascii="Verdana" w:hAnsi="Verdana" w:cs="Arial"/>
                <w:sz w:val="14"/>
                <w:szCs w:val="14"/>
                <w:lang w:eastAsia="es-ES"/>
              </w:rPr>
              <w:t>Elaboró:</w:t>
            </w:r>
          </w:p>
        </w:tc>
        <w:tc>
          <w:tcPr>
            <w:tcW w:w="5061" w:type="dxa"/>
            <w:tcBorders>
              <w:top w:val="nil"/>
              <w:left w:val="nil"/>
              <w:bottom w:val="dotted" w:sz="4" w:space="0" w:color="7F7F7F" w:themeColor="text1" w:themeTint="80"/>
              <w:right w:val="nil"/>
            </w:tcBorders>
            <w:vAlign w:val="center"/>
            <w:hideMark/>
          </w:tcPr>
          <w:p w14:paraId="2B725335" w14:textId="77777777" w:rsidR="00503275" w:rsidRPr="00FF63C3" w:rsidRDefault="00503275" w:rsidP="00CE5BA6">
            <w:pPr>
              <w:contextualSpacing/>
              <w:rPr>
                <w:rStyle w:val="normaltextrun"/>
                <w:rFonts w:ascii="Verdana" w:hAnsi="Verdana"/>
                <w:sz w:val="14"/>
                <w:szCs w:val="14"/>
              </w:rPr>
            </w:pPr>
            <w:r w:rsidRPr="00FF63C3">
              <w:rPr>
                <w:rStyle w:val="normaltextrun"/>
                <w:rFonts w:ascii="Verdana" w:hAnsi="Verdana"/>
                <w:sz w:val="14"/>
                <w:szCs w:val="14"/>
              </w:rPr>
              <w:t xml:space="preserve">Esperanza Contreras P </w:t>
            </w:r>
          </w:p>
          <w:p w14:paraId="5BEED612" w14:textId="77777777" w:rsidR="00503275" w:rsidRPr="00FF63C3" w:rsidRDefault="00503275" w:rsidP="00CE5BA6">
            <w:pPr>
              <w:contextualSpacing/>
              <w:rPr>
                <w:rFonts w:ascii="Verdana" w:eastAsia="Arial" w:hAnsi="Verdana" w:cs="Arial"/>
                <w:sz w:val="14"/>
                <w:szCs w:val="14"/>
              </w:rPr>
            </w:pPr>
            <w:r w:rsidRPr="00FF63C3">
              <w:rPr>
                <w:rStyle w:val="normaltextrun"/>
                <w:rFonts w:ascii="Verdana" w:hAnsi="Verdana" w:cs="Arial"/>
                <w:sz w:val="14"/>
                <w:szCs w:val="14"/>
              </w:rPr>
              <w:t>Contratista de la Subdirección de Gestión Contractual</w:t>
            </w:r>
            <w:r w:rsidRPr="00FF63C3">
              <w:rPr>
                <w:rStyle w:val="eop"/>
                <w:rFonts w:ascii="Verdana" w:hAnsi="Verdana" w:cs="Arial"/>
                <w:sz w:val="14"/>
                <w:szCs w:val="14"/>
              </w:rPr>
              <w:t> </w:t>
            </w:r>
          </w:p>
        </w:tc>
      </w:tr>
      <w:tr w:rsidR="00503275" w:rsidRPr="005644FE" w14:paraId="408C601B" w14:textId="77777777" w:rsidTr="00CE5BA6">
        <w:trPr>
          <w:trHeight w:val="330"/>
        </w:trPr>
        <w:tc>
          <w:tcPr>
            <w:tcW w:w="893" w:type="dxa"/>
            <w:vAlign w:val="center"/>
            <w:hideMark/>
          </w:tcPr>
          <w:p w14:paraId="6A35A69B" w14:textId="77777777" w:rsidR="00503275" w:rsidRPr="00FF63C3" w:rsidRDefault="00503275" w:rsidP="00CE5BA6">
            <w:pPr>
              <w:contextualSpacing/>
              <w:rPr>
                <w:rFonts w:ascii="Verdana" w:hAnsi="Verdana" w:cs="Arial"/>
                <w:sz w:val="14"/>
                <w:szCs w:val="14"/>
                <w:lang w:eastAsia="es-ES"/>
              </w:rPr>
            </w:pPr>
            <w:r w:rsidRPr="00FF63C3">
              <w:rPr>
                <w:rFonts w:ascii="Verdana" w:hAnsi="Verdana" w:cs="Arial"/>
                <w:sz w:val="14"/>
                <w:szCs w:val="14"/>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27458A50" w14:textId="77777777" w:rsidR="00503275" w:rsidRPr="00FF63C3" w:rsidRDefault="00503275" w:rsidP="00CE5BA6">
            <w:pPr>
              <w:pStyle w:val="paragraph"/>
              <w:spacing w:before="0" w:beforeAutospacing="0" w:after="0" w:afterAutospacing="0"/>
              <w:contextualSpacing/>
              <w:textAlignment w:val="baseline"/>
              <w:rPr>
                <w:rStyle w:val="normaltextrun"/>
                <w:rFonts w:ascii="Verdana" w:hAnsi="Verdana"/>
                <w:sz w:val="14"/>
                <w:szCs w:val="14"/>
              </w:rPr>
            </w:pPr>
            <w:r w:rsidRPr="00FF63C3">
              <w:rPr>
                <w:rStyle w:val="normaltextrun"/>
                <w:rFonts w:ascii="Verdana" w:hAnsi="Verdana"/>
                <w:sz w:val="14"/>
                <w:szCs w:val="14"/>
              </w:rPr>
              <w:t xml:space="preserve">Diana Lucía Saavedra Castañeda. </w:t>
            </w:r>
          </w:p>
          <w:p w14:paraId="31D7D829" w14:textId="77777777" w:rsidR="00503275" w:rsidRPr="00FF63C3" w:rsidRDefault="00503275" w:rsidP="00CE5BA6">
            <w:pPr>
              <w:pStyle w:val="paragraph"/>
              <w:spacing w:before="0" w:beforeAutospacing="0" w:after="0" w:afterAutospacing="0"/>
              <w:contextualSpacing/>
              <w:textAlignment w:val="baseline"/>
              <w:rPr>
                <w:rFonts w:ascii="Verdana" w:hAnsi="Verdana" w:cs="Segoe UI"/>
                <w:sz w:val="14"/>
                <w:szCs w:val="14"/>
              </w:rPr>
            </w:pPr>
            <w:r w:rsidRPr="00FF63C3">
              <w:rPr>
                <w:rStyle w:val="normaltextrun"/>
                <w:rFonts w:ascii="Verdana" w:hAnsi="Verdana"/>
                <w:sz w:val="14"/>
                <w:szCs w:val="14"/>
              </w:rPr>
              <w:t xml:space="preserve">Contratista Subdirección Gestión Contractual  </w:t>
            </w:r>
          </w:p>
        </w:tc>
      </w:tr>
      <w:tr w:rsidR="00503275" w:rsidRPr="005644FE" w14:paraId="5A88D0BF" w14:textId="77777777" w:rsidTr="00CE5BA6">
        <w:trPr>
          <w:trHeight w:val="300"/>
        </w:trPr>
        <w:tc>
          <w:tcPr>
            <w:tcW w:w="893" w:type="dxa"/>
            <w:vAlign w:val="center"/>
          </w:tcPr>
          <w:p w14:paraId="644FC306" w14:textId="77777777" w:rsidR="00503275" w:rsidRPr="00FF63C3" w:rsidRDefault="00503275" w:rsidP="00CE5BA6">
            <w:pPr>
              <w:contextualSpacing/>
              <w:rPr>
                <w:rFonts w:ascii="Verdana" w:hAnsi="Verdana" w:cs="Arial"/>
                <w:sz w:val="14"/>
                <w:szCs w:val="14"/>
                <w:lang w:eastAsia="es-ES"/>
              </w:rPr>
            </w:pPr>
            <w:r w:rsidRPr="00FF63C3">
              <w:rPr>
                <w:rFonts w:ascii="Verdana" w:hAnsi="Verdana" w:cs="Arial"/>
                <w:sz w:val="14"/>
                <w:szCs w:val="14"/>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2F9A780" w14:textId="77777777" w:rsidR="00503275" w:rsidRPr="00FF63C3" w:rsidRDefault="00503275" w:rsidP="00CE5BA6">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Carolina Quintero Gacharná</w:t>
            </w:r>
          </w:p>
          <w:p w14:paraId="1E9BD00A" w14:textId="77777777" w:rsidR="00503275" w:rsidRPr="00FF63C3" w:rsidRDefault="00503275" w:rsidP="00CE5BA6">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Subdirectora de Gestión Contractual ANCP – CCE</w:t>
            </w:r>
          </w:p>
        </w:tc>
      </w:tr>
      <w:bookmarkEnd w:id="1"/>
    </w:tbl>
    <w:p w14:paraId="4DBD034E" w14:textId="77777777" w:rsidR="00503275" w:rsidRPr="0024624F" w:rsidRDefault="00503275" w:rsidP="00503275">
      <w:pPr>
        <w:spacing w:after="0"/>
        <w:rPr>
          <w:rFonts w:ascii="Verdana" w:eastAsia="Verdana" w:hAnsi="Verdana" w:cs="Verdana"/>
        </w:rPr>
      </w:pPr>
    </w:p>
    <w:p w14:paraId="0F293BF4" w14:textId="5809ECA0" w:rsidR="00127233" w:rsidRPr="00700BC5" w:rsidRDefault="00127233" w:rsidP="00700BC5"/>
    <w:sectPr w:rsidR="00127233" w:rsidRPr="00700BC5" w:rsidSect="007C0C0F">
      <w:headerReference w:type="default" r:id="rId27"/>
      <w:footerReference w:type="default" r:id="rId2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D5E89" w14:textId="77777777" w:rsidR="00001758" w:rsidRDefault="00001758" w:rsidP="004A1847">
      <w:pPr>
        <w:spacing w:after="0" w:line="240" w:lineRule="auto"/>
      </w:pPr>
      <w:r>
        <w:separator/>
      </w:r>
    </w:p>
  </w:endnote>
  <w:endnote w:type="continuationSeparator" w:id="0">
    <w:p w14:paraId="5D432CAD" w14:textId="77777777" w:rsidR="00001758" w:rsidRDefault="0000175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A0A39" w14:textId="77777777" w:rsidR="00001758" w:rsidRDefault="00001758" w:rsidP="004A1847">
      <w:pPr>
        <w:spacing w:after="0" w:line="240" w:lineRule="auto"/>
      </w:pPr>
      <w:r>
        <w:separator/>
      </w:r>
    </w:p>
  </w:footnote>
  <w:footnote w:type="continuationSeparator" w:id="0">
    <w:p w14:paraId="590F4C6D" w14:textId="77777777" w:rsidR="00001758" w:rsidRDefault="00001758" w:rsidP="004A1847">
      <w:pPr>
        <w:spacing w:after="0" w:line="240" w:lineRule="auto"/>
      </w:pPr>
      <w:r>
        <w:continuationSeparator/>
      </w:r>
    </w:p>
  </w:footnote>
  <w:footnote w:id="1">
    <w:p w14:paraId="3931FA4F" w14:textId="77777777" w:rsidR="003716CA" w:rsidRPr="00251D4A" w:rsidRDefault="003716CA" w:rsidP="003716CA">
      <w:pPr>
        <w:pStyle w:val="Textonotapie"/>
        <w:ind w:firstLine="709"/>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Consejo de Estado. Sala de Consulta y Servicio Civil. Concepto del 08 de mayo de 2018.</w:t>
      </w:r>
      <w:r w:rsidRPr="00251D4A">
        <w:rPr>
          <w:rFonts w:ascii="Verdana" w:hAnsi="Verdana" w:cs="Arial"/>
          <w:sz w:val="16"/>
          <w:szCs w:val="16"/>
          <w:lang w:val="es-CO"/>
        </w:rPr>
        <w:t xml:space="preserve"> C.P. Álvaro Namén Vargas.</w:t>
      </w:r>
      <w:r w:rsidRPr="00251D4A">
        <w:rPr>
          <w:rFonts w:ascii="Verdana" w:hAnsi="Verdana" w:cs="Arial"/>
          <w:sz w:val="16"/>
          <w:szCs w:val="16"/>
        </w:rPr>
        <w:t xml:space="preserve"> Rad. 2.382.</w:t>
      </w:r>
    </w:p>
  </w:footnote>
  <w:footnote w:id="2">
    <w:p w14:paraId="50C92C99" w14:textId="77777777" w:rsidR="00503275" w:rsidRPr="00C14E12" w:rsidRDefault="00503275" w:rsidP="00C14E12">
      <w:pPr>
        <w:pStyle w:val="Textonotapie"/>
        <w:ind w:firstLine="709"/>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BE002F6" w14:textId="72473AE2" w:rsidR="0007322F" w:rsidRPr="00C14E12" w:rsidRDefault="00503275" w:rsidP="006225D9">
      <w:pPr>
        <w:pStyle w:val="Textonotapie"/>
        <w:ind w:firstLine="709"/>
        <w:jc w:val="both"/>
        <w:rPr>
          <w:rFonts w:ascii="Verdana" w:hAnsi="Verdana" w:cs="Arial"/>
          <w:sz w:val="16"/>
          <w:szCs w:val="16"/>
        </w:rPr>
      </w:pPr>
      <w:r w:rsidRPr="00C14E12">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036A997" w14:textId="138A3F85" w:rsidR="0007322F" w:rsidRPr="00C14E12" w:rsidRDefault="00503275" w:rsidP="006225D9">
      <w:pPr>
        <w:pStyle w:val="Textonotapie"/>
        <w:ind w:firstLine="709"/>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Gaceta del Congreso de la República No. 71 del 2005.</w:t>
      </w:r>
    </w:p>
  </w:footnote>
  <w:footnote w:id="4">
    <w:p w14:paraId="6D73BE63" w14:textId="75D0A315" w:rsidR="00D07EDC" w:rsidRPr="00C14E12" w:rsidRDefault="00503275" w:rsidP="006225D9">
      <w:pPr>
        <w:pStyle w:val="Textonotapie"/>
        <w:ind w:firstLine="709"/>
        <w:jc w:val="both"/>
        <w:rPr>
          <w:rFonts w:ascii="Verdana" w:hAnsi="Verdana" w:cs="Arial"/>
          <w:sz w:val="16"/>
          <w:szCs w:val="16"/>
          <w:lang w:val="pt-BR"/>
        </w:rPr>
      </w:pPr>
      <w:r w:rsidRPr="00C14E12">
        <w:rPr>
          <w:rStyle w:val="Refdenotaalpie"/>
          <w:rFonts w:ascii="Verdana" w:hAnsi="Verdana" w:cs="Arial"/>
          <w:sz w:val="16"/>
          <w:szCs w:val="16"/>
        </w:rPr>
        <w:footnoteRef/>
      </w:r>
      <w:r w:rsidRPr="00C14E12">
        <w:rPr>
          <w:rFonts w:ascii="Verdana" w:hAnsi="Verdana" w:cs="Arial"/>
          <w:sz w:val="16"/>
          <w:szCs w:val="16"/>
          <w:lang w:val="pt-BR"/>
        </w:rPr>
        <w:t xml:space="preserve"> Corte Constitucional, Sentencia C- 1153 de 2005, M.P. Marco Gerardo </w:t>
      </w:r>
      <w:proofErr w:type="spellStart"/>
      <w:r w:rsidRPr="00C14E12">
        <w:rPr>
          <w:rFonts w:ascii="Verdana" w:hAnsi="Verdana" w:cs="Arial"/>
          <w:sz w:val="16"/>
          <w:szCs w:val="16"/>
          <w:lang w:val="pt-BR"/>
        </w:rPr>
        <w:t>Monroy</w:t>
      </w:r>
      <w:proofErr w:type="spellEnd"/>
      <w:r w:rsidRPr="00C14E12">
        <w:rPr>
          <w:rFonts w:ascii="Verdana" w:hAnsi="Verdana" w:cs="Arial"/>
          <w:sz w:val="16"/>
          <w:szCs w:val="16"/>
          <w:lang w:val="pt-BR"/>
        </w:rPr>
        <w:t xml:space="preserve"> Cabra.</w:t>
      </w:r>
    </w:p>
  </w:footnote>
  <w:footnote w:id="5">
    <w:p w14:paraId="06413393" w14:textId="5AF360C7" w:rsidR="0007322F" w:rsidRPr="00C14E12" w:rsidRDefault="00503275" w:rsidP="006225D9">
      <w:pPr>
        <w:pStyle w:val="Textonotapie"/>
        <w:ind w:firstLine="709"/>
        <w:jc w:val="both"/>
        <w:rPr>
          <w:rFonts w:ascii="Verdana" w:hAnsi="Verdana" w:cs="Arial"/>
          <w:sz w:val="16"/>
          <w:szCs w:val="16"/>
          <w:lang w:val="pt-BR"/>
        </w:rPr>
      </w:pPr>
      <w:r w:rsidRPr="00C14E12">
        <w:rPr>
          <w:rStyle w:val="Refdenotaalpie"/>
          <w:rFonts w:ascii="Verdana" w:hAnsi="Verdana" w:cs="Arial"/>
          <w:sz w:val="16"/>
          <w:szCs w:val="16"/>
        </w:rPr>
        <w:footnoteRef/>
      </w:r>
      <w:r w:rsidRPr="00C14E12">
        <w:rPr>
          <w:rFonts w:ascii="Verdana" w:hAnsi="Verdana" w:cs="Arial"/>
          <w:sz w:val="16"/>
          <w:szCs w:val="16"/>
          <w:lang w:val="pt-BR"/>
        </w:rPr>
        <w:t xml:space="preserve"> Corte Constitucional. Sentencias: C-233 de 4 de abril de 2002. M.P: Álvaro </w:t>
      </w:r>
      <w:proofErr w:type="spellStart"/>
      <w:r w:rsidRPr="00C14E12">
        <w:rPr>
          <w:rFonts w:ascii="Verdana" w:hAnsi="Verdana" w:cs="Arial"/>
          <w:sz w:val="16"/>
          <w:szCs w:val="16"/>
          <w:lang w:val="pt-BR"/>
        </w:rPr>
        <w:t>Tafur</w:t>
      </w:r>
      <w:proofErr w:type="spellEnd"/>
      <w:r w:rsidRPr="00C14E12">
        <w:rPr>
          <w:rFonts w:ascii="Verdana" w:hAnsi="Verdana" w:cs="Arial"/>
          <w:sz w:val="16"/>
          <w:szCs w:val="16"/>
          <w:lang w:val="pt-BR"/>
        </w:rPr>
        <w:t xml:space="preserve"> </w:t>
      </w:r>
      <w:proofErr w:type="spellStart"/>
      <w:r w:rsidRPr="00C14E12">
        <w:rPr>
          <w:rFonts w:ascii="Verdana" w:hAnsi="Verdana" w:cs="Arial"/>
          <w:sz w:val="16"/>
          <w:szCs w:val="16"/>
          <w:lang w:val="pt-BR"/>
        </w:rPr>
        <w:t>Galvis</w:t>
      </w:r>
      <w:proofErr w:type="spellEnd"/>
      <w:r w:rsidRPr="00C14E12">
        <w:rPr>
          <w:rFonts w:ascii="Verdana" w:hAnsi="Verdana" w:cs="Arial"/>
          <w:sz w:val="16"/>
          <w:szCs w:val="16"/>
          <w:lang w:val="pt-BR"/>
        </w:rPr>
        <w:t xml:space="preserve">; C-551 de 9 de </w:t>
      </w:r>
      <w:proofErr w:type="spellStart"/>
      <w:r w:rsidRPr="00C14E12">
        <w:rPr>
          <w:rFonts w:ascii="Verdana" w:hAnsi="Verdana" w:cs="Arial"/>
          <w:sz w:val="16"/>
          <w:szCs w:val="16"/>
          <w:lang w:val="pt-BR"/>
        </w:rPr>
        <w:t>julio</w:t>
      </w:r>
      <w:proofErr w:type="spellEnd"/>
      <w:r w:rsidRPr="00C14E12">
        <w:rPr>
          <w:rFonts w:ascii="Verdana" w:hAnsi="Verdana" w:cs="Arial"/>
          <w:sz w:val="16"/>
          <w:szCs w:val="16"/>
          <w:lang w:val="pt-BR"/>
        </w:rPr>
        <w:t xml:space="preserve"> de 2003. M.P: Eduardo Montealegre </w:t>
      </w:r>
      <w:proofErr w:type="spellStart"/>
      <w:r w:rsidRPr="00C14E12">
        <w:rPr>
          <w:rFonts w:ascii="Verdana" w:hAnsi="Verdana" w:cs="Arial"/>
          <w:sz w:val="16"/>
          <w:szCs w:val="16"/>
          <w:lang w:val="pt-BR"/>
        </w:rPr>
        <w:t>Lynnet</w:t>
      </w:r>
      <w:proofErr w:type="spellEnd"/>
      <w:r w:rsidRPr="00C14E12">
        <w:rPr>
          <w:rFonts w:ascii="Verdana" w:hAnsi="Verdana" w:cs="Arial"/>
          <w:sz w:val="16"/>
          <w:szCs w:val="16"/>
          <w:lang w:val="pt-BR"/>
        </w:rPr>
        <w:t xml:space="preserve">; C-353 de 20 de </w:t>
      </w:r>
      <w:proofErr w:type="spellStart"/>
      <w:r w:rsidRPr="00C14E12">
        <w:rPr>
          <w:rFonts w:ascii="Verdana" w:hAnsi="Verdana" w:cs="Arial"/>
          <w:sz w:val="16"/>
          <w:szCs w:val="16"/>
          <w:lang w:val="pt-BR"/>
        </w:rPr>
        <w:t>mayo</w:t>
      </w:r>
      <w:proofErr w:type="spellEnd"/>
      <w:r w:rsidRPr="00C14E12">
        <w:rPr>
          <w:rFonts w:ascii="Verdana" w:hAnsi="Verdana" w:cs="Arial"/>
          <w:sz w:val="16"/>
          <w:szCs w:val="16"/>
          <w:lang w:val="pt-BR"/>
        </w:rPr>
        <w:t xml:space="preserve"> de 2009. M.P: Jorge Iván Palacio </w:t>
      </w:r>
      <w:proofErr w:type="spellStart"/>
      <w:r w:rsidRPr="00C14E12">
        <w:rPr>
          <w:rFonts w:ascii="Verdana" w:hAnsi="Verdana" w:cs="Arial"/>
          <w:sz w:val="16"/>
          <w:szCs w:val="16"/>
          <w:lang w:val="pt-BR"/>
        </w:rPr>
        <w:t>Palacio</w:t>
      </w:r>
      <w:proofErr w:type="spellEnd"/>
      <w:r w:rsidRPr="00C14E12">
        <w:rPr>
          <w:rFonts w:ascii="Verdana" w:hAnsi="Verdana" w:cs="Arial"/>
          <w:sz w:val="16"/>
          <w:szCs w:val="16"/>
          <w:lang w:val="pt-BR"/>
        </w:rPr>
        <w:t xml:space="preserve">; C-541 de 30 de </w:t>
      </w:r>
      <w:proofErr w:type="spellStart"/>
      <w:r w:rsidRPr="00C14E12">
        <w:rPr>
          <w:rFonts w:ascii="Verdana" w:hAnsi="Verdana" w:cs="Arial"/>
          <w:sz w:val="16"/>
          <w:szCs w:val="16"/>
          <w:lang w:val="pt-BR"/>
        </w:rPr>
        <w:t>junio</w:t>
      </w:r>
      <w:proofErr w:type="spellEnd"/>
      <w:r w:rsidRPr="00C14E12">
        <w:rPr>
          <w:rFonts w:ascii="Verdana" w:hAnsi="Verdana" w:cs="Arial"/>
          <w:sz w:val="16"/>
          <w:szCs w:val="16"/>
          <w:lang w:val="pt-BR"/>
        </w:rPr>
        <w:t xml:space="preserve"> de 2010. M.P: Gabriel Eduardo Mendoza Martelo; entre </w:t>
      </w:r>
      <w:proofErr w:type="spellStart"/>
      <w:r w:rsidRPr="00C14E12">
        <w:rPr>
          <w:rFonts w:ascii="Verdana" w:hAnsi="Verdana" w:cs="Arial"/>
          <w:sz w:val="16"/>
          <w:szCs w:val="16"/>
          <w:lang w:val="pt-BR"/>
        </w:rPr>
        <w:t>otras</w:t>
      </w:r>
      <w:proofErr w:type="spellEnd"/>
      <w:r w:rsidRPr="00C14E12">
        <w:rPr>
          <w:rFonts w:ascii="Verdana" w:hAnsi="Verdana" w:cs="Arial"/>
          <w:sz w:val="16"/>
          <w:szCs w:val="16"/>
          <w:lang w:val="pt-BR"/>
        </w:rPr>
        <w:t>.</w:t>
      </w:r>
    </w:p>
  </w:footnote>
  <w:footnote w:id="6">
    <w:p w14:paraId="38067D7D" w14:textId="4992A38E" w:rsidR="0007322F" w:rsidRPr="00C14E12" w:rsidRDefault="00503275" w:rsidP="006225D9">
      <w:pPr>
        <w:pStyle w:val="Textonotapie"/>
        <w:ind w:firstLine="709"/>
        <w:jc w:val="both"/>
        <w:rPr>
          <w:rFonts w:ascii="Verdana" w:hAnsi="Verdana" w:cs="Arial"/>
          <w:sz w:val="16"/>
          <w:szCs w:val="16"/>
          <w:lang w:val="es-CO"/>
        </w:rPr>
      </w:pPr>
      <w:r w:rsidRPr="00C14E12">
        <w:rPr>
          <w:rStyle w:val="Refdenotaalpie"/>
          <w:rFonts w:ascii="Verdana" w:hAnsi="Verdana" w:cs="Arial"/>
          <w:sz w:val="16"/>
          <w:szCs w:val="16"/>
        </w:rPr>
        <w:footnoteRef/>
      </w:r>
      <w:r w:rsidRPr="00C14E12">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expediente número 2001-0148-01 y, Consejo de Estado. Sala de lo Contencioso Administrativo. Sección Tercera. Sentencia de 20 de noviembre de 2001, expediente número 2001-0130-01(PI), entre otras.</w:t>
      </w:r>
    </w:p>
  </w:footnote>
  <w:footnote w:id="7">
    <w:p w14:paraId="7895062E" w14:textId="77777777" w:rsidR="00503275" w:rsidRPr="00C14E12" w:rsidRDefault="00503275" w:rsidP="00C14E12">
      <w:pPr>
        <w:pStyle w:val="Textonotapie"/>
        <w:ind w:firstLine="709"/>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Consejo de Estado, Sala de Consulta y Servicio Civil. 24 de julio de 2013. Radicado: 11001-03-06-000-2013-00407-00 (2166). C.P. Álvaro Namén Vargas.   </w:t>
      </w:r>
    </w:p>
  </w:footnote>
  <w:footnote w:id="8">
    <w:p w14:paraId="081B105F" w14:textId="77777777" w:rsidR="00503275" w:rsidRPr="00C14E12" w:rsidRDefault="00503275" w:rsidP="00C14E12">
      <w:pPr>
        <w:spacing w:after="0" w:line="240" w:lineRule="auto"/>
        <w:ind w:firstLine="709"/>
        <w:jc w:val="both"/>
        <w:rPr>
          <w:rFonts w:ascii="Verdana" w:eastAsia="Times New Roman"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w:t>
      </w:r>
      <w:r w:rsidRPr="00C14E12">
        <w:rPr>
          <w:rFonts w:ascii="Verdana" w:eastAsia="Calibri" w:hAnsi="Verdana" w:cs="Arial"/>
          <w:color w:val="000000"/>
          <w:sz w:val="16"/>
          <w:szCs w:val="16"/>
        </w:rPr>
        <w:t>“</w:t>
      </w:r>
      <w:r w:rsidRPr="00C14E12">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94BF830" w14:textId="1A506960" w:rsidR="00503275" w:rsidRPr="00C14E12" w:rsidRDefault="00503275">
      <w:pPr>
        <w:spacing w:after="0" w:line="240" w:lineRule="auto"/>
        <w:ind w:firstLine="709"/>
        <w:jc w:val="both"/>
        <w:rPr>
          <w:rFonts w:ascii="Verdana" w:eastAsia="Times New Roman" w:hAnsi="Verdana" w:cs="Arial"/>
          <w:sz w:val="16"/>
          <w:szCs w:val="16"/>
        </w:rPr>
      </w:pPr>
      <w:r w:rsidRPr="00C14E12">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14E12">
        <w:rPr>
          <w:rFonts w:ascii="Verdana" w:eastAsia="Calibri" w:hAnsi="Verdana" w:cs="Arial"/>
          <w:color w:val="000000"/>
          <w:sz w:val="16"/>
          <w:szCs w:val="16"/>
        </w:rPr>
        <w:t>”</w:t>
      </w:r>
      <w:r w:rsidRPr="00C14E12">
        <w:rPr>
          <w:rFonts w:ascii="Verdana" w:eastAsia="Times New Roman" w:hAnsi="Verdana" w:cs="Arial"/>
          <w:sz w:val="16"/>
          <w:szCs w:val="16"/>
        </w:rPr>
        <w:t>.</w:t>
      </w:r>
    </w:p>
  </w:footnote>
  <w:footnote w:id="9">
    <w:p w14:paraId="327D2D2B" w14:textId="77777777" w:rsidR="00503275" w:rsidRPr="00C14E12" w:rsidRDefault="00503275" w:rsidP="00C14E12">
      <w:pPr>
        <w:pStyle w:val="NormalWeb"/>
        <w:spacing w:before="0" w:beforeAutospacing="0" w:after="0" w:afterAutospacing="0"/>
        <w:ind w:firstLine="709"/>
        <w:jc w:val="both"/>
        <w:rPr>
          <w:rFonts w:ascii="Verdana" w:hAnsi="Verdana" w:cs="Arial"/>
          <w:sz w:val="16"/>
          <w:szCs w:val="16"/>
          <w:lang w:val="es-MX"/>
        </w:rPr>
      </w:pPr>
      <w:r w:rsidRPr="00C14E12">
        <w:rPr>
          <w:rStyle w:val="Refdenotaalpie"/>
          <w:rFonts w:ascii="Verdana" w:hAnsi="Verdana" w:cs="Arial"/>
          <w:sz w:val="16"/>
          <w:szCs w:val="16"/>
        </w:rPr>
        <w:footnoteRef/>
      </w:r>
      <w:r w:rsidRPr="00C14E12">
        <w:rPr>
          <w:rFonts w:ascii="Verdana" w:hAnsi="Verdana" w:cs="Arial"/>
          <w:sz w:val="16"/>
          <w:szCs w:val="16"/>
        </w:rPr>
        <w:t xml:space="preserve"> </w:t>
      </w:r>
      <w:r w:rsidRPr="00C14E12">
        <w:rPr>
          <w:rFonts w:ascii="Verdana" w:eastAsia="Calibri" w:hAnsi="Verdana" w:cs="Arial"/>
          <w:color w:val="000000"/>
          <w:sz w:val="16"/>
          <w:szCs w:val="16"/>
        </w:rPr>
        <w:t>“</w:t>
      </w:r>
      <w:r w:rsidRPr="00C14E12">
        <w:rPr>
          <w:rFonts w:ascii="Verdana" w:hAnsi="Verdana" w:cs="Arial"/>
          <w:sz w:val="16"/>
          <w:szCs w:val="16"/>
          <w:lang w:val="es-MX"/>
        </w:rPr>
        <w:t>Artículo 38. Prohibiciones para los servidores públicos. A los empleados del Estado les está prohibido: […]</w:t>
      </w:r>
    </w:p>
    <w:p w14:paraId="073A9B66" w14:textId="77777777" w:rsidR="00503275" w:rsidRPr="00C14E12" w:rsidRDefault="00503275" w:rsidP="00C14E12">
      <w:pPr>
        <w:pStyle w:val="NormalWeb"/>
        <w:spacing w:before="0" w:beforeAutospacing="0" w:after="0" w:afterAutospacing="0"/>
        <w:ind w:firstLine="709"/>
        <w:jc w:val="both"/>
        <w:rPr>
          <w:rFonts w:ascii="Verdana" w:hAnsi="Verdana" w:cs="Arial"/>
          <w:sz w:val="16"/>
          <w:szCs w:val="16"/>
          <w:lang w:val="es-MX"/>
        </w:rPr>
      </w:pPr>
      <w:r w:rsidRPr="00C14E12">
        <w:rPr>
          <w:rStyle w:val="baj"/>
          <w:rFonts w:ascii="Verdana" w:hAnsi="Verdana" w:cs="Arial"/>
          <w:sz w:val="16"/>
          <w:szCs w:val="16"/>
          <w:lang w:val="es-MX"/>
        </w:rPr>
        <w:t>Parágrafo.</w:t>
      </w:r>
      <w:r w:rsidRPr="00C14E12">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14E12">
        <w:rPr>
          <w:rFonts w:ascii="Verdana" w:eastAsia="Calibri" w:hAnsi="Verdana" w:cs="Arial"/>
          <w:color w:val="000000"/>
          <w:sz w:val="16"/>
          <w:szCs w:val="16"/>
        </w:rPr>
        <w:t>”</w:t>
      </w:r>
      <w:r w:rsidRPr="00C14E12">
        <w:rPr>
          <w:rFonts w:ascii="Verdana" w:hAnsi="Verdana" w:cs="Arial"/>
          <w:sz w:val="16"/>
          <w:szCs w:val="16"/>
          <w:lang w:val="es-MX"/>
        </w:rPr>
        <w:t>.</w:t>
      </w:r>
    </w:p>
  </w:footnote>
  <w:footnote w:id="10">
    <w:p w14:paraId="2D9EEAFD" w14:textId="7F6C9B81" w:rsidR="0007322F" w:rsidRPr="00C14E12" w:rsidRDefault="00503275" w:rsidP="006225D9">
      <w:pPr>
        <w:pStyle w:val="Textonotapie"/>
        <w:ind w:firstLine="708"/>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Colombia Compra Eficiente. Circular Externa Única. Numeral 16.5. </w:t>
      </w:r>
    </w:p>
  </w:footnote>
  <w:footnote w:id="11">
    <w:p w14:paraId="50FEB95F" w14:textId="77777777" w:rsidR="00503275" w:rsidRPr="00C14E12" w:rsidRDefault="00503275" w:rsidP="00C14E12">
      <w:pPr>
        <w:spacing w:after="0" w:line="240" w:lineRule="auto"/>
        <w:ind w:left="100" w:right="244" w:firstLine="608"/>
        <w:jc w:val="both"/>
        <w:rPr>
          <w:rFonts w:ascii="Verdana" w:hAnsi="Verdana" w:cs="Arial"/>
          <w:sz w:val="16"/>
          <w:szCs w:val="16"/>
          <w:lang w:val="es-ES"/>
        </w:rPr>
      </w:pPr>
      <w:r w:rsidRPr="00C14E12">
        <w:rPr>
          <w:rStyle w:val="Refdenotaalpie"/>
          <w:rFonts w:ascii="Verdana" w:hAnsi="Verdana" w:cs="Arial"/>
          <w:sz w:val="16"/>
          <w:szCs w:val="16"/>
        </w:rPr>
        <w:footnoteRef/>
      </w:r>
      <w:r w:rsidRPr="00C14E12">
        <w:rPr>
          <w:rFonts w:ascii="Verdana" w:hAnsi="Verdana" w:cs="Arial"/>
          <w:sz w:val="16"/>
          <w:szCs w:val="16"/>
        </w:rPr>
        <w:t xml:space="preserve"> Consejo de Estado. Sala de Consulta y Servicio Civil. Concepto del 17 de febrero de 2015. Radicación No. 11001-03-06-000-2015-00164-00(2269). C.P. William Zambrano Cetina.</w:t>
      </w:r>
    </w:p>
  </w:footnote>
  <w:footnote w:id="12">
    <w:p w14:paraId="3C0F16B9" w14:textId="2DEAEE3A" w:rsidR="0007322F" w:rsidRPr="00C14E12" w:rsidRDefault="00503275" w:rsidP="006225D9">
      <w:pPr>
        <w:pStyle w:val="Textonotapie"/>
        <w:ind w:right="51" w:firstLine="709"/>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w:t>
      </w:r>
      <w:r w:rsidRPr="00C14E12">
        <w:rPr>
          <w:rFonts w:ascii="Verdana" w:hAnsi="Verdana" w:cs="Arial"/>
          <w:sz w:val="16"/>
          <w:szCs w:val="16"/>
          <w:lang w:val="es-ES"/>
        </w:rPr>
        <w:t xml:space="preserve">[25] </w:t>
      </w:r>
      <w:r w:rsidRPr="00C14E12">
        <w:rPr>
          <w:rFonts w:ascii="Verdana" w:hAnsi="Verdana" w:cs="Arial"/>
          <w:sz w:val="16"/>
          <w:szCs w:val="16"/>
        </w:rPr>
        <w:t xml:space="preserve">Cfr. Consejo de Estado. </w:t>
      </w:r>
      <w:r w:rsidRPr="00C14E12">
        <w:rPr>
          <w:rFonts w:ascii="Verdana" w:hAnsi="Verdana" w:cs="Arial"/>
          <w:sz w:val="16"/>
          <w:szCs w:val="16"/>
          <w:lang w:val="es-CO"/>
        </w:rPr>
        <w:t>Sala de lo Contencioso Administrativo</w:t>
      </w:r>
      <w:r w:rsidRPr="00C14E12">
        <w:rPr>
          <w:rFonts w:ascii="Verdana" w:hAnsi="Verdana" w:cs="Arial"/>
          <w:sz w:val="16"/>
          <w:szCs w:val="16"/>
        </w:rPr>
        <w:t xml:space="preserve"> Sección Tercera. Sentencia de 3 de diciembre de 2007. Radicados: 24.715, 25.206, 25.409, 24.524, 27.834, 25.410, 26.105, 28.244, 31.447 -acumulados</w:t>
      </w:r>
      <w:proofErr w:type="gramStart"/>
      <w:r w:rsidRPr="00C14E12">
        <w:rPr>
          <w:rFonts w:ascii="Verdana" w:hAnsi="Verdana" w:cs="Arial"/>
          <w:sz w:val="16"/>
          <w:szCs w:val="16"/>
        </w:rPr>
        <w:t>-“</w:t>
      </w:r>
      <w:proofErr w:type="gramEnd"/>
      <w:r w:rsidRPr="00C14E12">
        <w:rPr>
          <w:rFonts w:ascii="Verdana" w:hAnsi="Verdana" w:cs="Arial"/>
          <w:sz w:val="16"/>
          <w:szCs w:val="16"/>
        </w:rPr>
        <w:t>.</w:t>
      </w:r>
    </w:p>
  </w:footnote>
  <w:footnote w:id="13">
    <w:p w14:paraId="3083EFC3" w14:textId="400A47F5" w:rsidR="0007322F" w:rsidRPr="00C14E12" w:rsidRDefault="00503275" w:rsidP="006225D9">
      <w:pPr>
        <w:pStyle w:val="Textonotapie"/>
        <w:ind w:right="51" w:firstLine="709"/>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w:t>
      </w:r>
      <w:r w:rsidRPr="00C14E12">
        <w:rPr>
          <w:rFonts w:ascii="Verdana" w:hAnsi="Verdana" w:cs="Arial"/>
          <w:sz w:val="16"/>
          <w:szCs w:val="16"/>
          <w:lang w:val="es-ES"/>
        </w:rPr>
        <w:t xml:space="preserve">[26] </w:t>
      </w:r>
      <w:r w:rsidRPr="00C14E12">
        <w:rPr>
          <w:rFonts w:ascii="Verdana" w:hAnsi="Verdana" w:cs="Arial"/>
          <w:sz w:val="16"/>
          <w:szCs w:val="16"/>
        </w:rPr>
        <w:t>Al respecto ver el concepto 1712 de 2 de febrero de 2006. Consejo de Estado Sala de Consulta y Servicio Civil”.</w:t>
      </w:r>
    </w:p>
  </w:footnote>
  <w:footnote w:id="14">
    <w:p w14:paraId="053F7741" w14:textId="692A52C8" w:rsidR="0007322F" w:rsidRPr="00C14E12" w:rsidRDefault="00503275" w:rsidP="006225D9">
      <w:pPr>
        <w:pStyle w:val="Textonotapie"/>
        <w:ind w:firstLine="709"/>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Consejo de Estado. Sala de Consulta y Servicio Civil. Concepto del 2 de septiembre de 2013. Radicación número: 11001-03-06-000-2013-00412-00 (2168). C.P: Álvaro Namén Vargas.</w:t>
      </w:r>
    </w:p>
  </w:footnote>
  <w:footnote w:id="15">
    <w:p w14:paraId="07F7D3B0" w14:textId="2F0DBDC4" w:rsidR="0007322F" w:rsidRPr="00C14E12" w:rsidRDefault="00503275" w:rsidP="006225D9">
      <w:pPr>
        <w:pStyle w:val="Textonotapie"/>
        <w:ind w:firstLine="709"/>
        <w:jc w:val="both"/>
        <w:rPr>
          <w:rFonts w:ascii="Verdana" w:hAnsi="Verdana" w:cs="Arial"/>
          <w:sz w:val="16"/>
          <w:szCs w:val="16"/>
          <w:lang w:val="es-ES"/>
        </w:rPr>
      </w:pPr>
      <w:r w:rsidRPr="00C14E12">
        <w:rPr>
          <w:rStyle w:val="Refdenotaalpie"/>
          <w:rFonts w:ascii="Verdana" w:hAnsi="Verdana" w:cs="Arial"/>
          <w:sz w:val="16"/>
          <w:szCs w:val="16"/>
        </w:rPr>
        <w:footnoteRef/>
      </w:r>
      <w:r w:rsidRPr="00C14E12">
        <w:rPr>
          <w:rFonts w:ascii="Verdana" w:hAnsi="Verdana" w:cs="Arial"/>
          <w:sz w:val="16"/>
          <w:szCs w:val="16"/>
        </w:rPr>
        <w:t xml:space="preserve"> </w:t>
      </w:r>
      <w:r w:rsidRPr="00C14E12">
        <w:rPr>
          <w:rFonts w:ascii="Verdana" w:hAnsi="Verdana" w:cs="Arial"/>
          <w:sz w:val="16"/>
          <w:szCs w:val="16"/>
          <w:lang w:val="es-ES"/>
        </w:rPr>
        <w:t xml:space="preserve">Artículo 2. </w:t>
      </w:r>
    </w:p>
  </w:footnote>
  <w:footnote w:id="16">
    <w:p w14:paraId="552EB4FD" w14:textId="2A27C53E" w:rsidR="00503275" w:rsidRPr="00C14E12" w:rsidRDefault="00503275">
      <w:pPr>
        <w:pStyle w:val="Textonotapie"/>
        <w:ind w:firstLine="709"/>
        <w:jc w:val="both"/>
        <w:rPr>
          <w:rFonts w:ascii="Verdana" w:hAnsi="Verdana" w:cs="Arial"/>
          <w:sz w:val="16"/>
          <w:szCs w:val="16"/>
          <w:lang w:val="es-ES"/>
        </w:rPr>
      </w:pPr>
      <w:r w:rsidRPr="00C14E12">
        <w:rPr>
          <w:rStyle w:val="Refdenotaalpie"/>
          <w:rFonts w:ascii="Verdana" w:hAnsi="Verdana" w:cs="Arial"/>
          <w:sz w:val="16"/>
          <w:szCs w:val="16"/>
        </w:rPr>
        <w:footnoteRef/>
      </w:r>
      <w:r w:rsidRPr="00C14E12">
        <w:rPr>
          <w:rFonts w:ascii="Verdana" w:hAnsi="Verdana" w:cs="Arial"/>
          <w:sz w:val="16"/>
          <w:szCs w:val="16"/>
        </w:rPr>
        <w:t xml:space="preserve"> </w:t>
      </w:r>
      <w:r w:rsidRPr="00C14E12">
        <w:rPr>
          <w:rFonts w:ascii="Verdana" w:hAnsi="Verdana" w:cs="Arial"/>
          <w:i/>
          <w:sz w:val="16"/>
          <w:szCs w:val="16"/>
          <w:lang w:val="es-ES"/>
        </w:rPr>
        <w:t>Ídem</w:t>
      </w:r>
      <w:r w:rsidRPr="00C14E12">
        <w:rPr>
          <w:rFonts w:ascii="Verdana" w:hAnsi="Verdana" w:cs="Arial"/>
          <w:sz w:val="16"/>
          <w:szCs w:val="16"/>
          <w:lang w:val="es-ES"/>
        </w:rPr>
        <w:t>.</w:t>
      </w:r>
    </w:p>
  </w:footnote>
  <w:footnote w:id="17">
    <w:p w14:paraId="2FFBCCD3" w14:textId="46A1E1B5" w:rsidR="00503275" w:rsidRPr="00C14E12" w:rsidRDefault="00503275">
      <w:pPr>
        <w:pStyle w:val="Textonotapie"/>
        <w:ind w:firstLine="709"/>
        <w:jc w:val="both"/>
        <w:rPr>
          <w:rFonts w:ascii="Verdana" w:hAnsi="Verdana" w:cs="Arial"/>
          <w:sz w:val="16"/>
          <w:szCs w:val="16"/>
          <w:lang w:val="es-ES"/>
        </w:rPr>
      </w:pPr>
      <w:r w:rsidRPr="00C14E12">
        <w:rPr>
          <w:rStyle w:val="Refdenotaalpie"/>
          <w:rFonts w:ascii="Verdana" w:hAnsi="Verdana" w:cs="Arial"/>
          <w:sz w:val="16"/>
          <w:szCs w:val="16"/>
        </w:rPr>
        <w:footnoteRef/>
      </w:r>
      <w:r w:rsidRPr="00C14E12">
        <w:rPr>
          <w:rStyle w:val="Refdenotaalpie"/>
          <w:rFonts w:ascii="Verdana" w:hAnsi="Verdana" w:cs="Arial"/>
          <w:sz w:val="16"/>
          <w:szCs w:val="16"/>
        </w:rPr>
        <w:t xml:space="preserve"> </w:t>
      </w:r>
      <w:r w:rsidRPr="00C14E12">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5AB13415" w14:textId="76B5623A" w:rsidR="00503275" w:rsidRPr="00C14E12" w:rsidRDefault="00503275">
      <w:pPr>
        <w:shd w:val="clear" w:color="auto" w:fill="FFFFFF"/>
        <w:spacing w:after="0" w:line="240" w:lineRule="auto"/>
        <w:ind w:firstLine="709"/>
        <w:jc w:val="both"/>
        <w:rPr>
          <w:rFonts w:ascii="Verdana" w:hAnsi="Verdana" w:cs="Arial"/>
          <w:sz w:val="16"/>
          <w:szCs w:val="16"/>
          <w:lang w:val="es-ES"/>
        </w:rPr>
      </w:pPr>
      <w:r w:rsidRPr="00C14E12">
        <w:rPr>
          <w:rStyle w:val="Refdenotaalpie"/>
          <w:rFonts w:ascii="Verdana" w:hAnsi="Verdana" w:cs="Arial"/>
          <w:sz w:val="16"/>
          <w:szCs w:val="16"/>
        </w:rPr>
        <w:footnoteRef/>
      </w:r>
      <w:r w:rsidRPr="00C14E12">
        <w:rPr>
          <w:rStyle w:val="Refdenotaalpie"/>
          <w:rFonts w:ascii="Verdana" w:hAnsi="Verdana" w:cs="Arial"/>
          <w:sz w:val="16"/>
          <w:szCs w:val="16"/>
        </w:rPr>
        <w:t xml:space="preserve"> </w:t>
      </w:r>
      <w:r w:rsidRPr="00C14E12">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256DB756" w14:textId="5DA31FBD" w:rsidR="00503275" w:rsidRPr="00C14E12" w:rsidRDefault="00503275">
      <w:pPr>
        <w:pStyle w:val="Textonotapie"/>
        <w:ind w:firstLine="709"/>
        <w:jc w:val="both"/>
        <w:rPr>
          <w:rFonts w:ascii="Verdana" w:hAnsi="Verdana" w:cs="Arial"/>
          <w:sz w:val="16"/>
          <w:szCs w:val="16"/>
        </w:rPr>
      </w:pPr>
      <w:r w:rsidRPr="00C14E12">
        <w:rPr>
          <w:rStyle w:val="Refdenotaalpie"/>
          <w:rFonts w:ascii="Verdana" w:hAnsi="Verdana" w:cs="Arial"/>
          <w:sz w:val="16"/>
          <w:szCs w:val="16"/>
        </w:rPr>
        <w:footnoteRef/>
      </w:r>
      <w:r w:rsidRPr="00C14E12">
        <w:rPr>
          <w:rFonts w:ascii="Verdana" w:hAnsi="Verdana" w:cs="Arial"/>
          <w:sz w:val="16"/>
          <w:szCs w:val="16"/>
        </w:rPr>
        <w:t xml:space="preserve"> Consejo de Estado. Sala de Consulta y Servicio Civil. Concepto del 08 de mayo de 2018. Exp. 2.382. C.P. Álvaro Namén Vargas.</w:t>
      </w:r>
    </w:p>
  </w:footnote>
  <w:footnote w:id="20">
    <w:p w14:paraId="2D61C139" w14:textId="3AED5282" w:rsidR="00503275" w:rsidRPr="00251D4A" w:rsidRDefault="00503275">
      <w:pPr>
        <w:pStyle w:val="Textonotapie"/>
        <w:ind w:firstLine="709"/>
        <w:jc w:val="both"/>
        <w:rPr>
          <w:rFonts w:ascii="Verdana" w:hAnsi="Verdana"/>
          <w:sz w:val="16"/>
          <w:szCs w:val="16"/>
          <w:lang w:val="es-ES"/>
        </w:rPr>
      </w:pPr>
      <w:r w:rsidRPr="00C14E12">
        <w:rPr>
          <w:rStyle w:val="Refdenotaalpie"/>
          <w:rFonts w:ascii="Verdana" w:hAnsi="Verdana"/>
          <w:sz w:val="16"/>
          <w:szCs w:val="16"/>
        </w:rPr>
        <w:footnoteRef/>
      </w:r>
      <w:r w:rsidRPr="00C14E12">
        <w:rPr>
          <w:rFonts w:ascii="Verdana" w:hAnsi="Verdana"/>
          <w:sz w:val="16"/>
          <w:szCs w:val="16"/>
        </w:rPr>
        <w:t xml:space="preserve"> </w:t>
      </w:r>
      <w:r w:rsidRPr="00C14E12">
        <w:rPr>
          <w:rFonts w:ascii="Verdana" w:hAnsi="Verdana"/>
          <w:sz w:val="16"/>
          <w:szCs w:val="16"/>
          <w:lang w:val="es-ES"/>
        </w:rPr>
        <w:t xml:space="preserve">Agencia Nacional de Contratación Pública – Colombia Compra Eficiente. Circular Externa 006 del 25 de septiembre de 2025. Disponible en </w:t>
      </w:r>
      <w:hyperlink r:id="rId1" w:history="1">
        <w:r w:rsidRPr="00251D4A">
          <w:rPr>
            <w:rStyle w:val="Hipervnculo"/>
            <w:rFonts w:ascii="Verdana" w:hAnsi="Verdana"/>
            <w:sz w:val="16"/>
            <w:szCs w:val="16"/>
          </w:rPr>
          <w:t>006-de-2025-Circular-Externa-L996-ajustado-comentarios-BM-BID-Rev-ARSC-V3.d-1.pdf</w:t>
        </w:r>
      </w:hyperlink>
    </w:p>
  </w:footnote>
  <w:footnote w:id="21">
    <w:p w14:paraId="1A3E6C92" w14:textId="77777777" w:rsidR="00503275" w:rsidRPr="00251D4A" w:rsidRDefault="00503275">
      <w:pPr>
        <w:pStyle w:val="Textonotapie"/>
        <w:ind w:firstLine="709"/>
        <w:jc w:val="both"/>
        <w:rPr>
          <w:rFonts w:ascii="Verdana" w:hAnsi="Verdana"/>
          <w:sz w:val="16"/>
          <w:szCs w:val="16"/>
          <w:lang w:val="es-ES"/>
        </w:rPr>
      </w:pPr>
      <w:r w:rsidRPr="00251D4A">
        <w:rPr>
          <w:rStyle w:val="Refdenotaalpie"/>
          <w:rFonts w:ascii="Verdana" w:hAnsi="Verdana"/>
          <w:sz w:val="16"/>
          <w:szCs w:val="16"/>
        </w:rPr>
        <w:footnoteRef/>
      </w:r>
      <w:r w:rsidRPr="00251D4A">
        <w:rPr>
          <w:rFonts w:ascii="Verdana" w:hAnsi="Verdana"/>
          <w:sz w:val="16"/>
          <w:szCs w:val="16"/>
        </w:rPr>
        <w:t xml:space="preserve"> </w:t>
      </w:r>
      <w:r w:rsidRPr="00251D4A">
        <w:rPr>
          <w:rFonts w:ascii="Verdana" w:hAnsi="Verdana"/>
          <w:sz w:val="16"/>
          <w:szCs w:val="16"/>
          <w:lang w:val="es-ES"/>
        </w:rPr>
        <w:t xml:space="preserve">Agencia Nacional de Contratación Pública - Colombia Compra Eficiente. Concepto </w:t>
      </w:r>
      <w:hyperlink r:id="rId2" w:history="1">
        <w:r w:rsidRPr="00251D4A">
          <w:rPr>
            <w:rStyle w:val="Hipervnculo"/>
            <w:rFonts w:ascii="Verdana" w:hAnsi="Verdana"/>
            <w:sz w:val="16"/>
            <w:szCs w:val="16"/>
          </w:rPr>
          <w:t xml:space="preserve">C-048 de 2026 – </w:t>
        </w:r>
        <w:proofErr w:type="spellStart"/>
        <w:r w:rsidRPr="00251D4A">
          <w:rPr>
            <w:rStyle w:val="Hipervnculo"/>
            <w:rFonts w:ascii="Verdana" w:hAnsi="Verdana"/>
            <w:sz w:val="16"/>
            <w:szCs w:val="16"/>
          </w:rPr>
          <w:t>Relatoria</w:t>
        </w:r>
        <w:proofErr w:type="spellEnd"/>
        <w:r w:rsidRPr="00251D4A">
          <w:rPr>
            <w:rStyle w:val="Hipervnculo"/>
            <w:rFonts w:ascii="Verdana" w:hAnsi="Verdana"/>
            <w:sz w:val="16"/>
            <w:szCs w:val="16"/>
          </w:rPr>
          <w:t xml:space="preserve"> ANCP-CCE</w:t>
        </w:r>
      </w:hyperlink>
      <w:r w:rsidRPr="00251D4A">
        <w:rPr>
          <w:rFonts w:ascii="Verdana" w:hAnsi="Verdana"/>
          <w:sz w:val="16"/>
          <w:szCs w:val="16"/>
          <w:lang w:val="es-ES"/>
        </w:rPr>
        <w:t>.</w:t>
      </w:r>
    </w:p>
  </w:footnote>
  <w:footnote w:id="22">
    <w:p w14:paraId="134C9DFB" w14:textId="6C9D6B8F" w:rsidR="00C80DC7" w:rsidRPr="00251D4A" w:rsidRDefault="00C80DC7">
      <w:pPr>
        <w:pStyle w:val="Textonotapie"/>
        <w:ind w:firstLine="709"/>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3">
    <w:p w14:paraId="0B0FD6AE" w14:textId="572A73CB" w:rsidR="00503275" w:rsidRPr="00251D4A" w:rsidRDefault="00503275">
      <w:pPr>
        <w:spacing w:after="0" w:line="240" w:lineRule="auto"/>
        <w:ind w:firstLine="709"/>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4">
    <w:p w14:paraId="443943AB" w14:textId="699D6B7D" w:rsidR="00503275" w:rsidRPr="00251D4A" w:rsidRDefault="00503275">
      <w:pPr>
        <w:pStyle w:val="Textonotapie"/>
        <w:ind w:right="51" w:firstLine="709"/>
        <w:jc w:val="both"/>
        <w:rPr>
          <w:rFonts w:ascii="Verdana" w:eastAsia="Times New Roman" w:hAnsi="Verdana" w:cs="Arial"/>
          <w:bCs/>
          <w:sz w:val="16"/>
          <w:szCs w:val="16"/>
          <w:lang w:eastAsia="x-none"/>
        </w:rPr>
      </w:pPr>
      <w:r w:rsidRPr="00251D4A">
        <w:rPr>
          <w:rStyle w:val="Refdenotaalpie"/>
          <w:rFonts w:ascii="Verdana" w:hAnsi="Verdana" w:cs="Arial"/>
          <w:sz w:val="16"/>
          <w:szCs w:val="16"/>
        </w:rPr>
        <w:footnoteRef/>
      </w:r>
      <w:r w:rsidRPr="00251D4A">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251D4A">
        <w:rPr>
          <w:rFonts w:ascii="Verdana" w:eastAsia="Times New Roman" w:hAnsi="Verdana" w:cs="Arial"/>
          <w:bCs/>
          <w:sz w:val="16"/>
          <w:szCs w:val="16"/>
          <w:lang w:eastAsia="x-none"/>
        </w:rPr>
        <w:t xml:space="preserve"> “</w:t>
      </w:r>
      <w:r w:rsidRPr="00251D4A">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251D4A">
        <w:rPr>
          <w:rFonts w:ascii="Verdana" w:eastAsia="Times New Roman" w:hAnsi="Verdana" w:cs="Arial"/>
          <w:bCs/>
          <w:sz w:val="16"/>
          <w:szCs w:val="16"/>
          <w:lang w:eastAsia="x-none"/>
        </w:rPr>
        <w:t>”.</w:t>
      </w:r>
    </w:p>
  </w:footnote>
  <w:footnote w:id="25">
    <w:p w14:paraId="04BBE5F4" w14:textId="00F26233" w:rsidR="00503275" w:rsidRPr="00251D4A" w:rsidRDefault="00503275">
      <w:pPr>
        <w:spacing w:after="0" w:line="240" w:lineRule="auto"/>
        <w:ind w:firstLine="708"/>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6">
    <w:p w14:paraId="37717AD0" w14:textId="77777777" w:rsidR="00503275" w:rsidRPr="00251D4A" w:rsidRDefault="00503275">
      <w:pPr>
        <w:pStyle w:val="Textonotapie"/>
        <w:ind w:right="51" w:firstLine="709"/>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Consejo de Estado. Sala de Consulta y Servicio Civil. Concepto del 20 de febrero de 2006. Rad. 1727. C.P. Enrique José Arboleda Perdomo. </w:t>
      </w:r>
    </w:p>
  </w:footnote>
  <w:footnote w:id="27">
    <w:p w14:paraId="178147BF" w14:textId="77777777" w:rsidR="00503275" w:rsidRPr="00251D4A" w:rsidRDefault="00503275">
      <w:pPr>
        <w:pStyle w:val="Textonotapie"/>
        <w:ind w:firstLine="709"/>
        <w:rPr>
          <w:rFonts w:ascii="Verdana" w:hAnsi="Verdana"/>
          <w:sz w:val="16"/>
          <w:szCs w:val="16"/>
          <w:lang w:val="es-CO"/>
        </w:rPr>
      </w:pPr>
      <w:r w:rsidRPr="00251D4A">
        <w:rPr>
          <w:rStyle w:val="Refdenotaalpie"/>
          <w:rFonts w:ascii="Verdana" w:hAnsi="Verdana"/>
          <w:sz w:val="16"/>
          <w:szCs w:val="16"/>
        </w:rPr>
        <w:footnoteRef/>
      </w:r>
      <w:r w:rsidRPr="00251D4A">
        <w:rPr>
          <w:rFonts w:ascii="Verdana" w:hAnsi="Verdana"/>
          <w:sz w:val="16"/>
          <w:szCs w:val="16"/>
        </w:rPr>
        <w:t xml:space="preserve"> </w:t>
      </w:r>
      <w:r w:rsidRPr="00251D4A">
        <w:rPr>
          <w:rFonts w:ascii="Verdana" w:hAnsi="Verdana" w:cs="Arial"/>
          <w:sz w:val="16"/>
          <w:szCs w:val="16"/>
        </w:rPr>
        <w:t>Consejo de Estado. Sala de Consulta y Servicio Civil. Concepto de 6 de abril de 2006. Rad. 1738. C.P. Enrique José Arboleda Perdomo.</w:t>
      </w:r>
    </w:p>
  </w:footnote>
  <w:footnote w:id="28">
    <w:p w14:paraId="55AA171E" w14:textId="77777777" w:rsidR="00503275" w:rsidRPr="00251D4A" w:rsidRDefault="00503275" w:rsidP="00342D6A">
      <w:pPr>
        <w:pStyle w:val="Textonotapie"/>
        <w:ind w:firstLine="709"/>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w:t>
      </w:r>
      <w:bookmarkStart w:id="5" w:name="_Hlk192533196"/>
      <w:r w:rsidRPr="00251D4A">
        <w:rPr>
          <w:rFonts w:ascii="Verdana" w:hAnsi="Verdana" w:cs="Arial"/>
          <w:sz w:val="16"/>
          <w:szCs w:val="16"/>
        </w:rPr>
        <w:t>Consejo de Estado. Sala de Consulta y Servicio Civil. Concepto del 15 de noviembre de 2007. Rad. 1863. C.P.: Luis Fernando Álvarez Jaramillo.</w:t>
      </w:r>
      <w:bookmarkEnd w:id="5"/>
    </w:p>
  </w:footnote>
  <w:footnote w:id="29">
    <w:p w14:paraId="0493EE3D" w14:textId="2617368A" w:rsidR="00503275" w:rsidRPr="00251D4A" w:rsidRDefault="00503275">
      <w:pPr>
        <w:pStyle w:val="Textonotapie"/>
        <w:ind w:firstLine="708"/>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Colombia Compra Eficiente. Circular Externa Única. Numeral 15.5.</w:t>
      </w:r>
    </w:p>
  </w:footnote>
  <w:footnote w:id="30">
    <w:p w14:paraId="32FCB3DA" w14:textId="5A6C1A02" w:rsidR="00503275" w:rsidRPr="00251D4A" w:rsidRDefault="00503275">
      <w:pPr>
        <w:pStyle w:val="Textonotapie"/>
        <w:ind w:firstLine="709"/>
        <w:jc w:val="both"/>
        <w:rPr>
          <w:rFonts w:ascii="Verdana" w:hAnsi="Verdana" w:cs="Arial"/>
          <w:color w:val="000000" w:themeColor="text1"/>
          <w:sz w:val="16"/>
          <w:szCs w:val="16"/>
        </w:rPr>
      </w:pPr>
      <w:r w:rsidRPr="00251D4A">
        <w:rPr>
          <w:rStyle w:val="Refdenotaalpie"/>
          <w:rFonts w:ascii="Verdana" w:hAnsi="Verdana" w:cs="Arial"/>
          <w:color w:val="000000" w:themeColor="text1"/>
          <w:sz w:val="16"/>
          <w:szCs w:val="16"/>
        </w:rPr>
        <w:footnoteRef/>
      </w:r>
      <w:r w:rsidRPr="00251D4A">
        <w:rPr>
          <w:rFonts w:ascii="Verdana" w:hAnsi="Verdana" w:cs="Arial"/>
          <w:color w:val="000000" w:themeColor="text1"/>
          <w:sz w:val="16"/>
          <w:szCs w:val="16"/>
        </w:rPr>
        <w:t xml:space="preserve"> Consejo de Estado. </w:t>
      </w:r>
      <w:r w:rsidRPr="00251D4A">
        <w:rPr>
          <w:rFonts w:ascii="Verdana" w:hAnsi="Verdana" w:cs="Arial"/>
          <w:sz w:val="16"/>
          <w:szCs w:val="16"/>
        </w:rPr>
        <w:t>Sala de lo Contencioso Administrativo</w:t>
      </w:r>
      <w:r w:rsidRPr="00251D4A">
        <w:rPr>
          <w:rFonts w:ascii="Verdana" w:hAnsi="Verdana" w:cs="Arial"/>
          <w:color w:val="000000" w:themeColor="text1"/>
          <w:sz w:val="16"/>
          <w:szCs w:val="16"/>
        </w:rPr>
        <w:t xml:space="preserve"> Sección Tercera. Subsección C. Sentencia del 13 de abril de 2011. Exp. 37423. C.P. Jaime Orlando Santofimio Gamboa. En similar sentido, puede verse: Consejo de Estado. </w:t>
      </w:r>
      <w:r w:rsidRPr="00251D4A">
        <w:rPr>
          <w:rFonts w:ascii="Verdana" w:hAnsi="Verdana" w:cs="Arial"/>
          <w:sz w:val="16"/>
          <w:szCs w:val="16"/>
        </w:rPr>
        <w:t>Sala de lo Contencioso Administrativo</w:t>
      </w:r>
      <w:r w:rsidRPr="00251D4A">
        <w:rPr>
          <w:rFonts w:ascii="Verdana" w:hAnsi="Verdana" w:cs="Arial"/>
          <w:color w:val="000000" w:themeColor="text1"/>
          <w:sz w:val="16"/>
          <w:szCs w:val="16"/>
        </w:rPr>
        <w:t xml:space="preserve"> Sección Tercera. Subsección B. Sentencia del 15 de noviembre de 2011. Exp. 21178. C.P. Ruth Stella Correa Palacio.</w:t>
      </w:r>
    </w:p>
  </w:footnote>
  <w:footnote w:id="31">
    <w:p w14:paraId="61AB8987" w14:textId="3D6324E1" w:rsidR="00503275" w:rsidRPr="00921C8D" w:rsidRDefault="00503275">
      <w:pPr>
        <w:pStyle w:val="Textonotapie"/>
        <w:ind w:firstLine="709"/>
        <w:jc w:val="both"/>
        <w:rPr>
          <w:rFonts w:ascii="Verdana" w:hAnsi="Verdana" w:cs="Arial"/>
          <w:color w:val="000000" w:themeColor="text1"/>
          <w:sz w:val="16"/>
          <w:szCs w:val="16"/>
          <w:lang w:val="es-ES"/>
        </w:rPr>
      </w:pPr>
      <w:r w:rsidRPr="00251D4A">
        <w:rPr>
          <w:rStyle w:val="Refdenotaalpie"/>
          <w:rFonts w:ascii="Verdana" w:hAnsi="Verdana" w:cs="Arial"/>
          <w:color w:val="000000" w:themeColor="text1"/>
          <w:sz w:val="16"/>
          <w:szCs w:val="16"/>
        </w:rPr>
        <w:footnoteRef/>
      </w:r>
      <w:r w:rsidRPr="00251D4A">
        <w:rPr>
          <w:rFonts w:ascii="Verdana" w:hAnsi="Verdana" w:cs="Arial"/>
          <w:color w:val="000000" w:themeColor="text1"/>
          <w:sz w:val="16"/>
          <w:szCs w:val="16"/>
          <w:lang w:val="pt-BR"/>
        </w:rPr>
        <w:t xml:space="preserve"> Corte Constitucional. Sentencia C-736 de 2007. </w:t>
      </w:r>
      <w:r w:rsidRPr="00251D4A">
        <w:rPr>
          <w:rFonts w:ascii="Verdana" w:hAnsi="Verdana" w:cs="Arial"/>
          <w:color w:val="000000" w:themeColor="text1"/>
          <w:sz w:val="16"/>
          <w:szCs w:val="16"/>
        </w:rPr>
        <w:t>M.P. Marco Gerardo Monroy Cabra.</w:t>
      </w:r>
    </w:p>
  </w:footnote>
  <w:footnote w:id="32">
    <w:p w14:paraId="0CC7DF21" w14:textId="77777777" w:rsidR="00503275" w:rsidRPr="00251D4A" w:rsidRDefault="00503275">
      <w:pPr>
        <w:pStyle w:val="Textonotapie"/>
        <w:ind w:firstLine="708"/>
        <w:rPr>
          <w:rFonts w:ascii="Verdana" w:hAnsi="Verdana"/>
          <w:sz w:val="16"/>
          <w:szCs w:val="16"/>
          <w:lang w:val="es-ES"/>
        </w:rPr>
      </w:pPr>
      <w:r w:rsidRPr="00251D4A">
        <w:rPr>
          <w:rStyle w:val="Refdenotaalpie"/>
          <w:rFonts w:ascii="Verdana" w:hAnsi="Verdana"/>
          <w:sz w:val="16"/>
          <w:szCs w:val="16"/>
        </w:rPr>
        <w:footnoteRef/>
      </w:r>
      <w:r w:rsidRPr="00251D4A">
        <w:rPr>
          <w:rFonts w:ascii="Verdana" w:hAnsi="Verdana"/>
          <w:sz w:val="16"/>
          <w:szCs w:val="16"/>
        </w:rPr>
        <w:t xml:space="preserve"> Ibídem. </w:t>
      </w:r>
    </w:p>
  </w:footnote>
  <w:footnote w:id="33">
    <w:p w14:paraId="6AC7BBB8" w14:textId="77777777" w:rsidR="00503275" w:rsidRPr="00251D4A" w:rsidRDefault="00503275">
      <w:pPr>
        <w:pStyle w:val="Textonotapie"/>
        <w:ind w:firstLine="708"/>
        <w:jc w:val="both"/>
        <w:rPr>
          <w:rFonts w:ascii="Verdana" w:hAnsi="Verdana"/>
          <w:sz w:val="16"/>
          <w:szCs w:val="16"/>
          <w:lang w:val="es-CO"/>
        </w:rPr>
      </w:pPr>
      <w:r w:rsidRPr="00251D4A">
        <w:rPr>
          <w:rStyle w:val="Refdenotaalpie"/>
          <w:rFonts w:ascii="Verdana" w:hAnsi="Verdana"/>
          <w:sz w:val="16"/>
          <w:szCs w:val="16"/>
        </w:rPr>
        <w:footnoteRef/>
      </w:r>
      <w:r w:rsidRPr="00251D4A">
        <w:rPr>
          <w:rFonts w:ascii="Verdana" w:hAnsi="Verdana"/>
          <w:sz w:val="16"/>
          <w:szCs w:val="16"/>
        </w:rPr>
        <w:t xml:space="preserve"> </w:t>
      </w:r>
      <w:r w:rsidRPr="00251D4A">
        <w:rPr>
          <w:rFonts w:ascii="Verdana" w:hAnsi="Verdana"/>
          <w:bCs/>
          <w:sz w:val="16"/>
          <w:szCs w:val="16"/>
          <w:lang w:val="es-CO"/>
        </w:rPr>
        <w:t xml:space="preserve">Artículo 38. </w:t>
      </w:r>
      <w:r w:rsidRPr="00251D4A">
        <w:rPr>
          <w:rFonts w:ascii="Verdana" w:hAnsi="Verdana"/>
          <w:i/>
          <w:iCs/>
          <w:sz w:val="16"/>
          <w:szCs w:val="16"/>
          <w:lang w:val="es-CO"/>
        </w:rPr>
        <w:t>Integración de la Rama Ejecutiva del Poder Público en el orden nacional. </w:t>
      </w:r>
      <w:r w:rsidRPr="00251D4A">
        <w:rPr>
          <w:rFonts w:ascii="Verdana" w:hAnsi="Verdana"/>
          <w:sz w:val="16"/>
          <w:szCs w:val="16"/>
          <w:lang w:val="es-CO"/>
        </w:rPr>
        <w:t>La Rama Ejecutiva del Poder Público en el orden nacional, está integrada por los siguientes organismos y entidades: </w:t>
      </w:r>
    </w:p>
    <w:p w14:paraId="0B796DAB"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1. Del Sector Central:  </w:t>
      </w:r>
    </w:p>
    <w:p w14:paraId="4C70FB48"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a) La Presidencia de la República; </w:t>
      </w:r>
    </w:p>
    <w:p w14:paraId="2564E1E8"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b) La Vicepresidencia de la República; </w:t>
      </w:r>
    </w:p>
    <w:p w14:paraId="2A3B5893"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c) Los Consejos Superiores de la administración; </w:t>
      </w:r>
    </w:p>
    <w:p w14:paraId="41C1CA55"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d) Los ministerios y departamentos administrativos; </w:t>
      </w:r>
    </w:p>
    <w:p w14:paraId="427BEAEE"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e) Las superintendencias y unidades administrativas especiales sin personería jurídica. </w:t>
      </w:r>
    </w:p>
    <w:p w14:paraId="26F09450"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2. Del Sector descentralizado por servicios: </w:t>
      </w:r>
    </w:p>
    <w:p w14:paraId="76769175"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a) Los establecimientos públicos; </w:t>
      </w:r>
    </w:p>
    <w:p w14:paraId="3DB731E3"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b) Las empresas industriales y comerciales del Estado; </w:t>
      </w:r>
    </w:p>
    <w:p w14:paraId="38019906"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c) Las superintendencias y las unidades administrativas especiales con personería jurídica; </w:t>
      </w:r>
    </w:p>
    <w:p w14:paraId="30584091"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d) Las empresas sociales del Estado y las empresas oficiales de servicios públicos domiciliarios; </w:t>
      </w:r>
    </w:p>
    <w:p w14:paraId="44B1B5CB"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e) Los institutos científicos y tecnológicos; </w:t>
      </w:r>
    </w:p>
    <w:p w14:paraId="709812A5"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f) Las sociedades públicas y las sociedades de economía mixta; </w:t>
      </w:r>
    </w:p>
    <w:p w14:paraId="15104558"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g) Las demás entidades administrativas nacionales con personería jurídica que cree, organice o autorice la ley para que formen parte de la Rama Ejecutiva del Poder Público. </w:t>
      </w:r>
    </w:p>
    <w:p w14:paraId="2C410F1F"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bCs/>
          <w:sz w:val="16"/>
          <w:szCs w:val="16"/>
          <w:lang w:val="es-CO"/>
        </w:rPr>
        <w:t>Parágrafo 1°.</w:t>
      </w:r>
      <w:r w:rsidRPr="00251D4A">
        <w:rPr>
          <w:rFonts w:ascii="Verdana" w:hAnsi="Verdana"/>
          <w:sz w:val="16"/>
          <w:szCs w:val="16"/>
          <w:lang w:val="es-CO"/>
        </w:rPr>
        <w:t> Las sociedades públicas y las sociedades de economía mixta en las que el Estado posea el noventa por ciento (90%) o más de su capital social, se someten al régimen previsto para las empresas industriales y comerciales del Estado. </w:t>
      </w:r>
    </w:p>
    <w:p w14:paraId="56EDDD0B"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bCs/>
          <w:sz w:val="16"/>
          <w:szCs w:val="16"/>
          <w:lang w:val="es-CO"/>
        </w:rPr>
        <w:t>Parágrafo 2°.</w:t>
      </w:r>
      <w:r w:rsidRPr="00251D4A">
        <w:rPr>
          <w:rFonts w:ascii="Verdana" w:hAnsi="Verdana"/>
          <w:sz w:val="16"/>
          <w:szCs w:val="16"/>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quedaren adscritos tales organismos.</w:t>
      </w:r>
    </w:p>
  </w:footnote>
  <w:footnote w:id="34">
    <w:p w14:paraId="7E45E574" w14:textId="77777777" w:rsidR="00503275" w:rsidRPr="00251D4A" w:rsidRDefault="00503275">
      <w:pPr>
        <w:pStyle w:val="Textonotapie"/>
        <w:ind w:firstLine="708"/>
        <w:jc w:val="both"/>
        <w:rPr>
          <w:rFonts w:ascii="Verdana" w:hAnsi="Verdana"/>
          <w:sz w:val="16"/>
          <w:szCs w:val="16"/>
          <w:lang w:val="es-CO"/>
        </w:rPr>
      </w:pPr>
      <w:r w:rsidRPr="00251D4A">
        <w:rPr>
          <w:rStyle w:val="Refdenotaalpie"/>
          <w:rFonts w:ascii="Verdana" w:hAnsi="Verdana"/>
          <w:sz w:val="16"/>
          <w:szCs w:val="16"/>
        </w:rPr>
        <w:footnoteRef/>
      </w:r>
      <w:r w:rsidRPr="00251D4A">
        <w:rPr>
          <w:rFonts w:ascii="Verdana" w:hAnsi="Verdana"/>
          <w:sz w:val="16"/>
          <w:szCs w:val="16"/>
        </w:rPr>
        <w:t xml:space="preserve"> </w:t>
      </w:r>
      <w:r w:rsidRPr="00251D4A">
        <w:rPr>
          <w:rFonts w:ascii="Verdana" w:hAnsi="Verdana"/>
          <w:bCs/>
          <w:sz w:val="16"/>
          <w:szCs w:val="16"/>
          <w:lang w:val="es-CO"/>
        </w:rPr>
        <w:t xml:space="preserve">Artículo 68. </w:t>
      </w:r>
      <w:r w:rsidRPr="00251D4A">
        <w:rPr>
          <w:rFonts w:ascii="Verdana" w:hAnsi="Verdana"/>
          <w:i/>
          <w:iCs/>
          <w:sz w:val="16"/>
          <w:szCs w:val="16"/>
          <w:lang w:val="es-CO"/>
        </w:rPr>
        <w:t>Entidades descentralizadas. </w:t>
      </w:r>
      <w:r w:rsidRPr="00251D4A">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5A809A03"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12A13D22"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4EB3053C"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p>
    <w:p w14:paraId="44DCBE5D"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bCs/>
          <w:sz w:val="16"/>
          <w:szCs w:val="16"/>
          <w:lang w:val="es-CO"/>
        </w:rPr>
        <w:t>Parágrafo 1°.</w:t>
      </w:r>
      <w:r w:rsidRPr="00251D4A">
        <w:rPr>
          <w:rFonts w:ascii="Verdana" w:hAnsi="Verdana"/>
          <w:sz w:val="16"/>
          <w:szCs w:val="16"/>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autoridades del orden territorial.</w:t>
      </w:r>
    </w:p>
    <w:p w14:paraId="637FE161"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bCs/>
          <w:sz w:val="16"/>
          <w:szCs w:val="16"/>
          <w:lang w:val="es-CO"/>
        </w:rPr>
        <w:t>Parágrafo 2°.</w:t>
      </w:r>
      <w:r w:rsidRPr="00251D4A">
        <w:rPr>
          <w:rFonts w:ascii="Verdana" w:hAnsi="Verdana"/>
          <w:sz w:val="16"/>
          <w:szCs w:val="16"/>
          <w:lang w:val="es-CO"/>
        </w:rPr>
        <w:t> Los organismos o entidades del Sector Descentralizado que tengan como objetivo desarrollar actividades científicas y tecnológicas, se sujetarán a la Legislación de Ciencia y Tecnología y su organización será determinada por el Gobierno Nacional. </w:t>
      </w:r>
    </w:p>
    <w:p w14:paraId="7107B995" w14:textId="37B90350" w:rsidR="00503275" w:rsidRPr="00921C8D" w:rsidRDefault="00503275" w:rsidP="00921C8D">
      <w:pPr>
        <w:pStyle w:val="Textonotapie"/>
        <w:ind w:firstLine="708"/>
        <w:jc w:val="both"/>
        <w:rPr>
          <w:rFonts w:ascii="Verdana" w:hAnsi="Verdana"/>
          <w:sz w:val="16"/>
          <w:szCs w:val="16"/>
          <w:lang w:val="es-ES"/>
        </w:rPr>
      </w:pPr>
      <w:r w:rsidRPr="00251D4A">
        <w:rPr>
          <w:rFonts w:ascii="Verdana" w:hAnsi="Verdana"/>
          <w:bCs/>
          <w:sz w:val="16"/>
          <w:szCs w:val="16"/>
        </w:rPr>
        <w:t>Parágrafo 3°.</w:t>
      </w:r>
      <w:r w:rsidRPr="00251D4A">
        <w:rPr>
          <w:rFonts w:ascii="Verdana" w:hAnsi="Verdana"/>
          <w:sz w:val="16"/>
          <w:szCs w:val="16"/>
        </w:rPr>
        <w:t> Lo dispuesto en el presente artículo no se aplica a las corporaciones civiles sin ánimo de lucro de derecho privado, vinculadas al Ministerio del Medio Ambiente, creadas por la Ley 99 de 1993. </w:t>
      </w:r>
    </w:p>
  </w:footnote>
  <w:footnote w:id="35">
    <w:p w14:paraId="506789C8" w14:textId="77777777" w:rsidR="00503275" w:rsidRPr="00251D4A" w:rsidRDefault="00503275">
      <w:pPr>
        <w:pStyle w:val="Textonotapie"/>
        <w:ind w:firstLine="708"/>
        <w:jc w:val="both"/>
        <w:rPr>
          <w:rFonts w:ascii="Verdana" w:hAnsi="Verdana"/>
          <w:sz w:val="16"/>
          <w:szCs w:val="16"/>
          <w:lang w:val="es-CO"/>
        </w:rPr>
      </w:pPr>
      <w:r w:rsidRPr="00251D4A">
        <w:rPr>
          <w:rStyle w:val="Refdenotaalpie"/>
          <w:rFonts w:ascii="Verdana" w:hAnsi="Verdana"/>
          <w:sz w:val="16"/>
          <w:szCs w:val="16"/>
        </w:rPr>
        <w:footnoteRef/>
      </w:r>
      <w:r w:rsidRPr="00251D4A">
        <w:rPr>
          <w:rFonts w:ascii="Verdana" w:hAnsi="Verdana"/>
          <w:sz w:val="16"/>
          <w:szCs w:val="16"/>
        </w:rPr>
        <w:t xml:space="preserve"> MARÍN CORTES, Fabián Gonzalo. Los servicios semipúblicos domiciliarios. Bogotá: Temis, 2010. p. 160. Al respecto, la Doctrina también ha expresado frente a la Sentencia C-736 de 2007: </w:t>
      </w:r>
      <w:r w:rsidRPr="00251D4A">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251D4A">
        <w:rPr>
          <w:rFonts w:ascii="Verdana" w:hAnsi="Verdana"/>
          <w:i/>
          <w:iCs/>
          <w:sz w:val="16"/>
          <w:szCs w:val="16"/>
          <w:lang w:val="es-CO"/>
        </w:rPr>
        <w:t>“entidad estatal”</w:t>
      </w:r>
      <w:r w:rsidRPr="00251D4A">
        <w:rPr>
          <w:rFonts w:ascii="Verdana" w:hAnsi="Verdana"/>
          <w:sz w:val="16"/>
          <w:szCs w:val="16"/>
          <w:lang w:val="es-CO"/>
        </w:rPr>
        <w:t>.  En esta oportunidad la Sala se limitó a obedecer el pronunciamiento de constitucionalidad.</w:t>
      </w:r>
    </w:p>
    <w:p w14:paraId="2F1D92DA" w14:textId="77777777" w:rsidR="00503275" w:rsidRPr="00251D4A" w:rsidRDefault="00503275">
      <w:pPr>
        <w:pStyle w:val="Textonotapie"/>
        <w:ind w:firstLine="708"/>
        <w:jc w:val="both"/>
        <w:rPr>
          <w:rFonts w:ascii="Verdana" w:hAnsi="Verdana"/>
          <w:i/>
          <w:iCs/>
          <w:sz w:val="16"/>
          <w:szCs w:val="16"/>
          <w:lang w:val="es-CO"/>
        </w:rPr>
      </w:pPr>
      <w:r w:rsidRPr="00251D4A">
        <w:rPr>
          <w:rFonts w:ascii="Verdana" w:hAnsi="Verdana"/>
          <w:sz w:val="16"/>
          <w:szCs w:val="16"/>
          <w:lang w:val="es-CO"/>
        </w:rPr>
        <w:t xml:space="preserve">Sin embargo, el Señor Consejero de Estado Mauricio Fajardo Gómez, al aclarar su voto en esta última sentencia, rectificó lo afirmado en tres providencias de la Sala con ponencia suya y manifestó que resultaba innecesario e inútil invocar ese fallo de constitucionalidad para determinar la competencia del juez administrativo, </w:t>
      </w:r>
      <w:r w:rsidRPr="00251D4A">
        <w:rPr>
          <w:rFonts w:ascii="Verdana" w:hAnsi="Verdana"/>
          <w:i/>
          <w:iCs/>
          <w:sz w:val="16"/>
          <w:szCs w:val="16"/>
          <w:lang w:val="es-CO"/>
        </w:rPr>
        <w:t>“puesto que</w:t>
      </w:r>
      <w:r w:rsidRPr="00251D4A">
        <w:rPr>
          <w:rFonts w:ascii="Verdana" w:hAnsi="Verdana"/>
          <w:sz w:val="16"/>
          <w:szCs w:val="16"/>
          <w:lang w:val="es-CO"/>
        </w:rPr>
        <w:t xml:space="preserve"> </w:t>
      </w:r>
      <w:r w:rsidRPr="00251D4A">
        <w:rPr>
          <w:rFonts w:ascii="Verdana" w:hAnsi="Verdana"/>
          <w:i/>
          <w:iCs/>
          <w:sz w:val="16"/>
          <w:szCs w:val="16"/>
          <w:lang w:val="es-CO"/>
        </w:rPr>
        <w:t>las consideraciones que le sirvieron de soporte acerca</w:t>
      </w:r>
      <w:r w:rsidRPr="00251D4A">
        <w:rPr>
          <w:rFonts w:ascii="Verdana" w:hAnsi="Verdana"/>
          <w:sz w:val="16"/>
          <w:szCs w:val="16"/>
          <w:lang w:val="es-CO"/>
        </w:rPr>
        <w:t xml:space="preserve"> </w:t>
      </w:r>
      <w:r w:rsidRPr="00251D4A">
        <w:rPr>
          <w:rFonts w:ascii="Verdana" w:hAnsi="Verdana"/>
          <w:i/>
          <w:iCs/>
          <w:sz w:val="16"/>
          <w:szCs w:val="16"/>
          <w:lang w:val="es-CO"/>
        </w:rPr>
        <w:t>de la naturaleza jurídica de las empresas de servicios</w:t>
      </w:r>
      <w:r w:rsidRPr="00251D4A">
        <w:rPr>
          <w:rFonts w:ascii="Verdana" w:hAnsi="Verdana"/>
          <w:sz w:val="16"/>
          <w:szCs w:val="16"/>
          <w:lang w:val="es-CO"/>
        </w:rPr>
        <w:t xml:space="preserve"> </w:t>
      </w:r>
      <w:r w:rsidRPr="00251D4A">
        <w:rPr>
          <w:rFonts w:ascii="Verdana" w:hAnsi="Verdana"/>
          <w:i/>
          <w:iCs/>
          <w:sz w:val="16"/>
          <w:szCs w:val="16"/>
          <w:lang w:val="es-CO"/>
        </w:rPr>
        <w:t>públicos domiciliarios de carácter mixto no resultan</w:t>
      </w:r>
      <w:r w:rsidRPr="00251D4A">
        <w:rPr>
          <w:rFonts w:ascii="Verdana" w:hAnsi="Verdana"/>
          <w:sz w:val="16"/>
          <w:szCs w:val="16"/>
          <w:lang w:val="es-CO"/>
        </w:rPr>
        <w:t xml:space="preserve"> </w:t>
      </w:r>
      <w:r w:rsidRPr="00251D4A">
        <w:rPr>
          <w:rFonts w:ascii="Verdana" w:hAnsi="Verdana"/>
          <w:i/>
          <w:iCs/>
          <w:sz w:val="16"/>
          <w:szCs w:val="16"/>
          <w:lang w:val="es-CO"/>
        </w:rPr>
        <w:t>vinculantes y desafortunadamente no aportan claridad</w:t>
      </w:r>
      <w:r w:rsidRPr="00251D4A">
        <w:rPr>
          <w:rFonts w:ascii="Verdana" w:hAnsi="Verdana"/>
          <w:sz w:val="16"/>
          <w:szCs w:val="16"/>
          <w:lang w:val="es-CO"/>
        </w:rPr>
        <w:t xml:space="preserve"> </w:t>
      </w:r>
      <w:r w:rsidRPr="00251D4A">
        <w:rPr>
          <w:rFonts w:ascii="Verdana" w:hAnsi="Verdana"/>
          <w:i/>
          <w:iCs/>
          <w:sz w:val="16"/>
          <w:szCs w:val="16"/>
          <w:lang w:val="es-CO"/>
        </w:rPr>
        <w:t>en esa materia”.</w:t>
      </w:r>
    </w:p>
    <w:p w14:paraId="1C977CD4" w14:textId="77777777" w:rsidR="00503275" w:rsidRPr="00251D4A" w:rsidRDefault="00503275">
      <w:pPr>
        <w:pStyle w:val="Textonotapie"/>
        <w:ind w:firstLine="708"/>
        <w:jc w:val="both"/>
        <w:rPr>
          <w:rFonts w:ascii="Verdana" w:hAnsi="Verdana"/>
          <w:sz w:val="16"/>
          <w:szCs w:val="16"/>
          <w:lang w:val="es-CO"/>
        </w:rPr>
      </w:pPr>
      <w:r w:rsidRPr="00251D4A">
        <w:rPr>
          <w:rFonts w:ascii="Verdana" w:hAnsi="Verdana"/>
          <w:i/>
          <w:iCs/>
          <w:sz w:val="16"/>
          <w:szCs w:val="16"/>
          <w:lang w:val="es-CO"/>
        </w:rPr>
        <w:t xml:space="preserve"> </w:t>
      </w:r>
      <w:r w:rsidRPr="00251D4A">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251D4A">
        <w:rPr>
          <w:rFonts w:ascii="Verdana" w:hAnsi="Verdana"/>
          <w:i/>
          <w:iCs/>
          <w:sz w:val="16"/>
          <w:szCs w:val="16"/>
          <w:lang w:val="es-CO"/>
        </w:rPr>
        <w:t>“la misma que sin fundamentación alguna calificó de</w:t>
      </w:r>
      <w:r w:rsidRPr="00251D4A">
        <w:rPr>
          <w:rFonts w:ascii="Verdana" w:hAnsi="Verdana"/>
          <w:sz w:val="16"/>
          <w:szCs w:val="16"/>
          <w:lang w:val="es-CO"/>
        </w:rPr>
        <w:t xml:space="preserve"> </w:t>
      </w:r>
      <w:r w:rsidRPr="00251D4A">
        <w:rPr>
          <w:rFonts w:ascii="Verdana" w:hAnsi="Verdana"/>
          <w:i/>
          <w:iCs/>
          <w:sz w:val="16"/>
          <w:szCs w:val="16"/>
          <w:lang w:val="es-CO"/>
        </w:rPr>
        <w:t>inconstitucional”</w:t>
      </w:r>
      <w:r w:rsidRPr="00251D4A">
        <w:rPr>
          <w:rFonts w:ascii="Verdana" w:hAnsi="Verdana"/>
          <w:sz w:val="16"/>
          <w:szCs w:val="16"/>
          <w:lang w:val="es-CO"/>
        </w:rPr>
        <w:t xml:space="preserve">, al sostener y anunciar que las empresas de servicios públicos mixtas y privadas son entidades descentralizadas, sobre la base de </w:t>
      </w:r>
      <w:r w:rsidRPr="00251D4A">
        <w:rPr>
          <w:rFonts w:ascii="Verdana" w:hAnsi="Verdana"/>
          <w:i/>
          <w:iCs/>
          <w:sz w:val="16"/>
          <w:szCs w:val="16"/>
          <w:lang w:val="es-CO"/>
        </w:rPr>
        <w:t>“un análisis eminentemente legal, que no</w:t>
      </w:r>
      <w:r w:rsidRPr="00251D4A">
        <w:rPr>
          <w:rFonts w:ascii="Verdana" w:hAnsi="Verdana"/>
          <w:sz w:val="16"/>
          <w:szCs w:val="16"/>
          <w:lang w:val="es-CO"/>
        </w:rPr>
        <w:t xml:space="preserve"> </w:t>
      </w:r>
      <w:r w:rsidRPr="00251D4A">
        <w:rPr>
          <w:rFonts w:ascii="Verdana" w:hAnsi="Verdana"/>
          <w:i/>
          <w:iCs/>
          <w:sz w:val="16"/>
          <w:szCs w:val="16"/>
          <w:lang w:val="es-CO"/>
        </w:rPr>
        <w:t xml:space="preserve">constitucional” </w:t>
      </w:r>
      <w:r w:rsidRPr="00251D4A">
        <w:rPr>
          <w:rFonts w:ascii="Verdana" w:hAnsi="Verdana"/>
          <w:sz w:val="16"/>
          <w:szCs w:val="16"/>
          <w:lang w:val="es-CO"/>
        </w:rPr>
        <w:t>a partir de lo dispuesto por el artículo 38 de la Ley 489 de 1998.</w:t>
      </w:r>
    </w:p>
    <w:p w14:paraId="654DFC82" w14:textId="2B2C3983" w:rsidR="00503275" w:rsidRPr="00251D4A" w:rsidRDefault="00503275">
      <w:pPr>
        <w:pStyle w:val="Textonotapie"/>
        <w:ind w:firstLine="708"/>
        <w:jc w:val="both"/>
        <w:rPr>
          <w:rFonts w:ascii="Verdana" w:hAnsi="Verdana"/>
          <w:sz w:val="16"/>
          <w:szCs w:val="16"/>
          <w:lang w:val="es-CO"/>
        </w:rPr>
      </w:pPr>
      <w:r w:rsidRPr="00251D4A">
        <w:rPr>
          <w:rFonts w:ascii="Verdana" w:hAnsi="Verdana"/>
          <w:sz w:val="16"/>
          <w:szCs w:val="16"/>
        </w:rPr>
        <w:t xml:space="preserve">Al concluir el Señor Magistrado Fajardo Gómez anotó que las normas acusadas </w:t>
      </w:r>
      <w:r w:rsidRPr="00251D4A">
        <w:rPr>
          <w:rFonts w:ascii="Verdana" w:hAnsi="Verdana"/>
          <w:i/>
          <w:iCs/>
          <w:sz w:val="16"/>
          <w:szCs w:val="16"/>
        </w:rPr>
        <w:t>“no sufrieron alteración alguna en cuanto a su contenido</w:t>
      </w:r>
      <w:r w:rsidRPr="00251D4A">
        <w:rPr>
          <w:rFonts w:ascii="Verdana" w:hAnsi="Verdana"/>
          <w:sz w:val="16"/>
          <w:szCs w:val="16"/>
        </w:rPr>
        <w:t xml:space="preserve"> </w:t>
      </w:r>
      <w:r w:rsidRPr="00251D4A">
        <w:rPr>
          <w:rFonts w:ascii="Verdana" w:hAnsi="Verdana"/>
          <w:i/>
          <w:iCs/>
          <w:sz w:val="16"/>
          <w:szCs w:val="16"/>
        </w:rPr>
        <w:t>y, por tanto, seguirán rigiendo normalmente</w:t>
      </w:r>
      <w:r w:rsidRPr="00251D4A">
        <w:rPr>
          <w:rFonts w:ascii="Verdana" w:hAnsi="Verdana"/>
          <w:sz w:val="16"/>
          <w:szCs w:val="16"/>
        </w:rPr>
        <w:t xml:space="preserve"> </w:t>
      </w:r>
      <w:r w:rsidRPr="00251D4A">
        <w:rPr>
          <w:rFonts w:ascii="Verdana" w:hAnsi="Verdana"/>
          <w:i/>
          <w:iCs/>
          <w:sz w:val="16"/>
          <w:szCs w:val="16"/>
        </w:rPr>
        <w:t>hacia el futuro”</w:t>
      </w:r>
      <w:r w:rsidRPr="00251D4A">
        <w:rPr>
          <w:rFonts w:ascii="Verdana" w:hAnsi="Verdana"/>
          <w:sz w:val="16"/>
          <w:szCs w:val="16"/>
        </w:rPr>
        <w:t xml:space="preserve">, dado que se trata de una sentencia de constitucionalidad pura y simple y que –a su juicio– todo lo demás expuesto por la Corte </w:t>
      </w:r>
      <w:r w:rsidRPr="00251D4A">
        <w:rPr>
          <w:rFonts w:ascii="Verdana" w:hAnsi="Verdana"/>
          <w:i/>
          <w:iCs/>
          <w:sz w:val="16"/>
          <w:szCs w:val="16"/>
        </w:rPr>
        <w:t xml:space="preserve">“no pasa de ser un </w:t>
      </w:r>
      <w:proofErr w:type="spellStart"/>
      <w:r w:rsidRPr="00251D4A">
        <w:rPr>
          <w:rFonts w:ascii="Verdana" w:hAnsi="Verdana"/>
          <w:i/>
          <w:iCs/>
          <w:sz w:val="16"/>
          <w:szCs w:val="16"/>
        </w:rPr>
        <w:t>obiter</w:t>
      </w:r>
      <w:proofErr w:type="spellEnd"/>
      <w:r w:rsidRPr="00251D4A">
        <w:rPr>
          <w:rFonts w:ascii="Verdana" w:hAnsi="Verdana"/>
          <w:i/>
          <w:iCs/>
          <w:sz w:val="16"/>
          <w:szCs w:val="16"/>
        </w:rPr>
        <w:t xml:space="preserve"> </w:t>
      </w:r>
      <w:proofErr w:type="spellStart"/>
      <w:r w:rsidRPr="00251D4A">
        <w:rPr>
          <w:rFonts w:ascii="Verdana" w:hAnsi="Verdana"/>
          <w:i/>
          <w:iCs/>
          <w:sz w:val="16"/>
          <w:szCs w:val="16"/>
        </w:rPr>
        <w:t>dictum</w:t>
      </w:r>
      <w:proofErr w:type="spellEnd"/>
      <w:r w:rsidRPr="00251D4A">
        <w:rPr>
          <w:rFonts w:ascii="Verdana" w:hAnsi="Verdana"/>
          <w:i/>
          <w:iCs/>
          <w:sz w:val="16"/>
          <w:szCs w:val="16"/>
        </w:rPr>
        <w:t xml:space="preserve"> que</w:t>
      </w:r>
      <w:r w:rsidRPr="00251D4A">
        <w:rPr>
          <w:rFonts w:ascii="Verdana" w:hAnsi="Verdana"/>
          <w:sz w:val="16"/>
          <w:szCs w:val="16"/>
        </w:rPr>
        <w:t xml:space="preserve"> </w:t>
      </w:r>
      <w:r w:rsidRPr="00251D4A">
        <w:rPr>
          <w:rFonts w:ascii="Verdana" w:hAnsi="Verdana"/>
          <w:i/>
          <w:iCs/>
          <w:sz w:val="16"/>
          <w:szCs w:val="16"/>
        </w:rPr>
        <w:t>en cada caso concreto podría ser valorado por el juez</w:t>
      </w:r>
      <w:r w:rsidRPr="00251D4A">
        <w:rPr>
          <w:rFonts w:ascii="Verdana" w:hAnsi="Verdana"/>
          <w:sz w:val="16"/>
          <w:szCs w:val="16"/>
        </w:rPr>
        <w:t xml:space="preserve"> </w:t>
      </w:r>
      <w:r w:rsidRPr="00251D4A">
        <w:rPr>
          <w:rFonts w:ascii="Verdana" w:hAnsi="Verdana"/>
          <w:i/>
          <w:iCs/>
          <w:sz w:val="16"/>
          <w:szCs w:val="16"/>
        </w:rPr>
        <w:t>de la respectiva causa</w:t>
      </w:r>
      <w:r w:rsidRPr="00251D4A">
        <w:rPr>
          <w:rFonts w:ascii="Verdana" w:hAnsi="Verdana"/>
          <w:sz w:val="16"/>
          <w:szCs w:val="16"/>
        </w:rPr>
        <w:t>” (LUQUE, Guillermo Sánchez. ¿Las empresas prestadoras de servicios públicos privadas son entidades estatales? A propósito de la Sentencia C 736 de 2007. </w:t>
      </w:r>
      <w:r w:rsidRPr="00251D4A">
        <w:rPr>
          <w:rFonts w:ascii="Verdana" w:hAnsi="Verdana"/>
          <w:i/>
          <w:iCs/>
          <w:sz w:val="16"/>
          <w:szCs w:val="16"/>
        </w:rPr>
        <w:t>Con-texto</w:t>
      </w:r>
      <w:r w:rsidRPr="00251D4A">
        <w:rPr>
          <w:rFonts w:ascii="Verdana" w:hAnsi="Verdana"/>
          <w:sz w:val="16"/>
          <w:szCs w:val="16"/>
        </w:rPr>
        <w:t xml:space="preserve"> Revista de Derecho y Economía, 2008. Vol 25. p. 88)</w:t>
      </w:r>
    </w:p>
  </w:footnote>
  <w:footnote w:id="36">
    <w:p w14:paraId="6596051E" w14:textId="4DAC6085" w:rsidR="00503275" w:rsidRPr="00251D4A" w:rsidRDefault="00503275">
      <w:pPr>
        <w:pStyle w:val="Textonotapie"/>
        <w:ind w:firstLine="708"/>
        <w:jc w:val="both"/>
        <w:rPr>
          <w:rFonts w:ascii="Verdana" w:hAnsi="Verdana"/>
          <w:sz w:val="16"/>
          <w:szCs w:val="16"/>
          <w:lang w:val="es-ES"/>
        </w:rPr>
      </w:pPr>
      <w:r w:rsidRPr="00251D4A">
        <w:rPr>
          <w:rStyle w:val="Refdenotaalpie"/>
          <w:rFonts w:ascii="Verdana" w:hAnsi="Verdana"/>
          <w:sz w:val="16"/>
          <w:szCs w:val="16"/>
        </w:rPr>
        <w:footnoteRef/>
      </w:r>
      <w:r w:rsidRPr="00251D4A">
        <w:rPr>
          <w:rFonts w:ascii="Verdana" w:hAnsi="Verdana"/>
          <w:sz w:val="16"/>
          <w:szCs w:val="16"/>
        </w:rPr>
        <w:t xml:space="preserve"> LUQUE, Guillermo Sánchez. ¿Las empresas prestadoras de servicios públicos privadas son entidades estatales? A propósito de la Sentencia C 736 de 2007. </w:t>
      </w:r>
      <w:r w:rsidRPr="00251D4A">
        <w:rPr>
          <w:rFonts w:ascii="Verdana" w:hAnsi="Verdana"/>
          <w:i/>
          <w:iCs/>
          <w:sz w:val="16"/>
          <w:szCs w:val="16"/>
        </w:rPr>
        <w:t>Con-texto</w:t>
      </w:r>
      <w:r w:rsidRPr="00251D4A">
        <w:rPr>
          <w:rFonts w:ascii="Verdana" w:hAnsi="Verdana"/>
          <w:sz w:val="16"/>
          <w:szCs w:val="16"/>
        </w:rPr>
        <w:t xml:space="preserve"> Revista de Derecho y Economía, 2008. Vol 25. p. 87. </w:t>
      </w:r>
    </w:p>
  </w:footnote>
  <w:footnote w:id="37">
    <w:p w14:paraId="474F4E01" w14:textId="77777777" w:rsidR="00503275" w:rsidRPr="00921C8D" w:rsidRDefault="00503275">
      <w:pPr>
        <w:pStyle w:val="Textonotapie"/>
        <w:ind w:firstLine="708"/>
        <w:rPr>
          <w:rFonts w:ascii="Verdana" w:hAnsi="Verdana"/>
          <w:sz w:val="16"/>
          <w:szCs w:val="16"/>
          <w:lang w:val="es-ES"/>
        </w:rPr>
      </w:pPr>
      <w:r w:rsidRPr="00251D4A">
        <w:rPr>
          <w:rStyle w:val="Refdenotaalpie"/>
          <w:rFonts w:ascii="Verdana" w:hAnsi="Verdana"/>
          <w:sz w:val="16"/>
          <w:szCs w:val="16"/>
        </w:rPr>
        <w:footnoteRef/>
      </w:r>
      <w:r w:rsidRPr="00251D4A">
        <w:rPr>
          <w:rFonts w:ascii="Verdana" w:hAnsi="Verdana"/>
          <w:sz w:val="16"/>
          <w:szCs w:val="16"/>
        </w:rPr>
        <w:t xml:space="preserve"> </w:t>
      </w:r>
      <w:r w:rsidRPr="00251D4A">
        <w:rPr>
          <w:rFonts w:ascii="Verdana" w:hAnsi="Verdana"/>
          <w:sz w:val="16"/>
          <w:szCs w:val="16"/>
          <w:lang w:val="es-CO"/>
        </w:rPr>
        <w:t>Corte Constitucional. Sentencia C-736 de 2007. M.P. Marco Gerardo Monroy Cabra.</w:t>
      </w:r>
    </w:p>
  </w:footnote>
  <w:footnote w:id="38">
    <w:p w14:paraId="48704ABD" w14:textId="77777777" w:rsidR="00503275" w:rsidRPr="00251D4A" w:rsidRDefault="00503275">
      <w:pPr>
        <w:pStyle w:val="Textonotapie"/>
        <w:ind w:firstLine="709"/>
        <w:jc w:val="both"/>
        <w:rPr>
          <w:rFonts w:ascii="Verdana" w:hAnsi="Verdana" w:cs="Arial"/>
          <w:color w:val="000000" w:themeColor="text1"/>
          <w:sz w:val="16"/>
          <w:szCs w:val="16"/>
          <w:lang w:val="es-ES"/>
        </w:rPr>
      </w:pPr>
      <w:r w:rsidRPr="00251D4A">
        <w:rPr>
          <w:rStyle w:val="Refdenotaalpie"/>
          <w:rFonts w:ascii="Verdana" w:hAnsi="Verdana"/>
          <w:sz w:val="16"/>
          <w:szCs w:val="16"/>
        </w:rPr>
        <w:footnoteRef/>
      </w:r>
      <w:r w:rsidRPr="00251D4A">
        <w:rPr>
          <w:rFonts w:ascii="Verdana" w:hAnsi="Verdana"/>
          <w:sz w:val="16"/>
          <w:szCs w:val="16"/>
        </w:rPr>
        <w:t xml:space="preserve"> </w:t>
      </w:r>
      <w:r w:rsidRPr="00251D4A">
        <w:rPr>
          <w:rFonts w:ascii="Verdana" w:hAnsi="Verdana" w:cs="Arial"/>
          <w:color w:val="000000" w:themeColor="text1"/>
          <w:sz w:val="16"/>
          <w:szCs w:val="16"/>
          <w:lang w:val="es-ES"/>
        </w:rPr>
        <w:t>El artículo 31 de la Ley 142 de 1994, modificado por el artículo 3 de la Ley 689 de 2001, prescribe: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16F00E5A" w14:textId="77777777" w:rsidR="00503275" w:rsidRPr="00251D4A" w:rsidRDefault="00503275">
      <w:pPr>
        <w:pStyle w:val="Textonotapie"/>
        <w:ind w:firstLine="709"/>
        <w:jc w:val="both"/>
        <w:rPr>
          <w:rFonts w:ascii="Verdana" w:hAnsi="Verdana" w:cs="Arial"/>
          <w:color w:val="000000" w:themeColor="text1"/>
          <w:sz w:val="16"/>
          <w:szCs w:val="16"/>
          <w:lang w:val="es-ES"/>
        </w:rPr>
      </w:pPr>
      <w:r w:rsidRPr="00251D4A">
        <w:rPr>
          <w:rFonts w:ascii="Verdana" w:hAnsi="Verdana" w:cs="Arial"/>
          <w:color w:val="000000" w:themeColor="text1"/>
          <w:sz w:val="16"/>
          <w:szCs w:val="16"/>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07F79B99" w14:textId="42379E5B" w:rsidR="00503275" w:rsidRPr="00251D4A" w:rsidRDefault="00503275" w:rsidP="00921C8D">
      <w:pPr>
        <w:pStyle w:val="Textonotapie"/>
        <w:ind w:firstLine="709"/>
        <w:jc w:val="both"/>
        <w:rPr>
          <w:rFonts w:ascii="Verdana" w:hAnsi="Verdana"/>
          <w:sz w:val="16"/>
          <w:szCs w:val="16"/>
          <w:lang w:val="es-ES"/>
        </w:rPr>
      </w:pPr>
      <w:r w:rsidRPr="00251D4A">
        <w:rPr>
          <w:rFonts w:ascii="Verdana" w:hAnsi="Verdana" w:cs="Arial"/>
          <w:color w:val="000000" w:themeColor="text1"/>
          <w:sz w:val="16"/>
          <w:szCs w:val="16"/>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39">
    <w:p w14:paraId="4118E3B2" w14:textId="77777777" w:rsidR="00503275" w:rsidRPr="00251D4A" w:rsidRDefault="00503275">
      <w:pPr>
        <w:pStyle w:val="Textonotapie"/>
        <w:ind w:firstLine="708"/>
        <w:jc w:val="both"/>
        <w:rPr>
          <w:rFonts w:ascii="Verdana" w:hAnsi="Verdana"/>
          <w:sz w:val="16"/>
          <w:szCs w:val="16"/>
        </w:rPr>
      </w:pPr>
      <w:r w:rsidRPr="00251D4A">
        <w:rPr>
          <w:rStyle w:val="Refdenotaalpie"/>
          <w:rFonts w:ascii="Verdana" w:hAnsi="Verdana"/>
          <w:sz w:val="16"/>
          <w:szCs w:val="16"/>
        </w:rPr>
        <w:footnoteRef/>
      </w:r>
      <w:r w:rsidRPr="00251D4A">
        <w:rPr>
          <w:rFonts w:ascii="Verdana" w:hAnsi="Verdana"/>
          <w:sz w:val="16"/>
          <w:szCs w:val="16"/>
        </w:rPr>
        <w:t xml:space="preserve"> AGENCIA NACIONAL DE CONTRATACIÓN PÚBLICA –COLOMBIA COMPRA EFICIENTE. Guía para la Gestión Contractual para entidades con régimen especial. 2025. Disponible en línea: </w:t>
      </w:r>
      <w:hyperlink r:id="rId3" w:history="1">
        <w:r w:rsidRPr="00251D4A">
          <w:rPr>
            <w:rStyle w:val="Hipervnculo"/>
            <w:rFonts w:ascii="Verdana" w:hAnsi="Verdana"/>
            <w:sz w:val="16"/>
            <w:szCs w:val="16"/>
          </w:rPr>
          <w:t>https://www.colombiacompra.gov.co/archivos/manual/guia-para-la-gestion-contractual-de-entidades-estatales-con-regimen-especial</w:t>
        </w:r>
      </w:hyperlink>
      <w:r w:rsidRPr="00251D4A">
        <w:rPr>
          <w:rFonts w:ascii="Verdana" w:hAnsi="Verdana"/>
          <w:sz w:val="16"/>
          <w:szCs w:val="16"/>
        </w:rPr>
        <w:t xml:space="preserve">. </w:t>
      </w:r>
    </w:p>
  </w:footnote>
  <w:footnote w:id="40">
    <w:p w14:paraId="72E3F675" w14:textId="451B06DA" w:rsidR="00503275" w:rsidRDefault="00503275">
      <w:pPr>
        <w:pStyle w:val="Textonotapie"/>
        <w:ind w:firstLine="709"/>
        <w:jc w:val="both"/>
        <w:rPr>
          <w:rFonts w:ascii="Verdana" w:hAnsi="Verdana" w:cs="Arial"/>
          <w:color w:val="000000"/>
          <w:sz w:val="16"/>
          <w:szCs w:val="16"/>
        </w:rPr>
      </w:pPr>
      <w:r w:rsidRPr="00251D4A">
        <w:rPr>
          <w:rStyle w:val="Refdenotaalpie"/>
          <w:rFonts w:ascii="Verdana" w:hAnsi="Verdana" w:cs="Arial"/>
          <w:color w:val="000000"/>
          <w:sz w:val="16"/>
          <w:szCs w:val="16"/>
        </w:rPr>
        <w:footnoteRef/>
      </w:r>
      <w:r w:rsidRPr="00251D4A">
        <w:rPr>
          <w:rFonts w:ascii="Verdana" w:hAnsi="Verdana" w:cs="Arial"/>
          <w:color w:val="000000"/>
          <w:sz w:val="16"/>
          <w:szCs w:val="16"/>
        </w:rPr>
        <w:t xml:space="preserve"> Consejo de Estado.</w:t>
      </w:r>
      <w:r w:rsidRPr="00251D4A">
        <w:rPr>
          <w:rFonts w:ascii="Verdana" w:hAnsi="Verdana" w:cs="Arial"/>
          <w:sz w:val="16"/>
          <w:szCs w:val="16"/>
          <w:lang w:val="es-CO"/>
        </w:rPr>
        <w:t xml:space="preserve"> Sala de lo Contencioso Administrativo</w:t>
      </w:r>
      <w:r w:rsidRPr="00251D4A">
        <w:rPr>
          <w:rFonts w:ascii="Verdana" w:hAnsi="Verdana" w:cs="Arial"/>
          <w:color w:val="000000"/>
          <w:sz w:val="16"/>
          <w:szCs w:val="16"/>
        </w:rPr>
        <w:t xml:space="preserve"> Sección Tercera, Subsección A. Sentencia del 24 de octubre de 2016. Exp.  45.607. C.P. Martha Nubia Velásquez Rico</w:t>
      </w:r>
      <w:r w:rsidR="00921C8D">
        <w:rPr>
          <w:rFonts w:ascii="Verdana" w:hAnsi="Verdana" w:cs="Arial"/>
          <w:color w:val="000000"/>
          <w:sz w:val="16"/>
          <w:szCs w:val="16"/>
        </w:rPr>
        <w:t>.</w:t>
      </w:r>
    </w:p>
    <w:p w14:paraId="6B822A42" w14:textId="77777777" w:rsidR="00921C8D" w:rsidRPr="00251D4A" w:rsidRDefault="00921C8D">
      <w:pPr>
        <w:pStyle w:val="Textonotapie"/>
        <w:ind w:firstLine="709"/>
        <w:jc w:val="both"/>
        <w:rPr>
          <w:rFonts w:ascii="Verdana" w:hAnsi="Verdana" w:cs="Arial"/>
          <w:color w:val="000000"/>
          <w:sz w:val="16"/>
          <w:szCs w:val="16"/>
          <w:lang w:val="es-ES"/>
        </w:rPr>
      </w:pPr>
    </w:p>
  </w:footnote>
  <w:footnote w:id="41">
    <w:p w14:paraId="2E72DBB1" w14:textId="77777777" w:rsidR="00503275" w:rsidRPr="00251D4A" w:rsidRDefault="00503275">
      <w:pPr>
        <w:pStyle w:val="Textonotapie"/>
        <w:ind w:firstLine="708"/>
        <w:jc w:val="both"/>
        <w:rPr>
          <w:rFonts w:ascii="Verdana" w:hAnsi="Verdana"/>
          <w:sz w:val="16"/>
          <w:szCs w:val="16"/>
          <w:lang w:val="es-ES"/>
        </w:rPr>
      </w:pPr>
      <w:r w:rsidRPr="00251D4A">
        <w:rPr>
          <w:rStyle w:val="Refdenotaalpie"/>
          <w:rFonts w:ascii="Verdana" w:hAnsi="Verdana"/>
          <w:sz w:val="16"/>
          <w:szCs w:val="16"/>
        </w:rPr>
        <w:footnoteRef/>
      </w:r>
      <w:r w:rsidRPr="00251D4A">
        <w:rPr>
          <w:rFonts w:ascii="Verdana" w:hAnsi="Verdana"/>
          <w:sz w:val="16"/>
          <w:szCs w:val="16"/>
        </w:rPr>
        <w:t xml:space="preserve"> </w:t>
      </w:r>
      <w:r w:rsidRPr="00251D4A">
        <w:rPr>
          <w:rFonts w:ascii="Verdana" w:hAnsi="Verdana"/>
          <w:sz w:val="16"/>
          <w:szCs w:val="16"/>
          <w:lang w:val="es-ES"/>
        </w:rPr>
        <w:t>HINESTROSA FORERO, Fernando. Tratado de las Obligaciones II. De las fuentes de las obligaciones: el negocio jurídico. Volumen I. Bogotá: Universidad Externado de Colombia, 2015. p. 116.</w:t>
      </w:r>
    </w:p>
  </w:footnote>
  <w:footnote w:id="42">
    <w:p w14:paraId="0762F271" w14:textId="77777777" w:rsidR="00503275" w:rsidRPr="00251D4A" w:rsidRDefault="00503275">
      <w:pPr>
        <w:pStyle w:val="Textonotapie"/>
        <w:ind w:firstLine="709"/>
        <w:jc w:val="both"/>
        <w:rPr>
          <w:rFonts w:ascii="Verdana" w:hAnsi="Verdana" w:cs="Arial"/>
          <w:sz w:val="16"/>
          <w:szCs w:val="16"/>
        </w:rPr>
      </w:pPr>
      <w:r w:rsidRPr="00251D4A">
        <w:rPr>
          <w:rStyle w:val="Refdenotaalpie"/>
          <w:rFonts w:ascii="Verdana" w:hAnsi="Verdana" w:cs="Arial"/>
          <w:sz w:val="16"/>
          <w:szCs w:val="16"/>
        </w:rPr>
        <w:footnoteRef/>
      </w:r>
      <w:r w:rsidRPr="00251D4A">
        <w:rPr>
          <w:rFonts w:ascii="Verdana" w:hAnsi="Verdana" w:cs="Arial"/>
          <w:sz w:val="16"/>
          <w:szCs w:val="16"/>
        </w:rPr>
        <w:t xml:space="preserve"> Consejo de Estado. Sala de Consulta y Servicio Civil. Concepto del 08 de mayo de 2018.</w:t>
      </w:r>
      <w:r w:rsidRPr="00251D4A">
        <w:rPr>
          <w:rFonts w:ascii="Verdana" w:hAnsi="Verdana" w:cs="Arial"/>
          <w:sz w:val="16"/>
          <w:szCs w:val="16"/>
          <w:lang w:val="es-CO"/>
        </w:rPr>
        <w:t xml:space="preserve"> C.P. Álvaro Namén Vargas.</w:t>
      </w:r>
      <w:r w:rsidRPr="00251D4A">
        <w:rPr>
          <w:rFonts w:ascii="Verdana" w:hAnsi="Verdana" w:cs="Arial"/>
          <w:sz w:val="16"/>
          <w:szCs w:val="16"/>
        </w:rPr>
        <w:t xml:space="preserve"> Rad. 2.382.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AD122E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80303489">
    <w:abstractNumId w:val="7"/>
  </w:num>
  <w:num w:numId="2" w16cid:durableId="2074699185">
    <w:abstractNumId w:val="2"/>
  </w:num>
  <w:num w:numId="3" w16cid:durableId="217909669">
    <w:abstractNumId w:val="5"/>
  </w:num>
  <w:num w:numId="4" w16cid:durableId="104066297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5861939">
    <w:abstractNumId w:val="2"/>
  </w:num>
  <w:num w:numId="6" w16cid:durableId="386997278">
    <w:abstractNumId w:val="13"/>
  </w:num>
  <w:num w:numId="7" w16cid:durableId="1723291248">
    <w:abstractNumId w:val="6"/>
  </w:num>
  <w:num w:numId="8" w16cid:durableId="1878618500">
    <w:abstractNumId w:val="12"/>
  </w:num>
  <w:num w:numId="9" w16cid:durableId="1765567038">
    <w:abstractNumId w:val="8"/>
  </w:num>
  <w:num w:numId="10" w16cid:durableId="923876852">
    <w:abstractNumId w:val="11"/>
  </w:num>
  <w:num w:numId="11" w16cid:durableId="834027411">
    <w:abstractNumId w:val="9"/>
  </w:num>
  <w:num w:numId="12" w16cid:durableId="817921916">
    <w:abstractNumId w:val="1"/>
  </w:num>
  <w:num w:numId="13" w16cid:durableId="1322123566">
    <w:abstractNumId w:val="4"/>
  </w:num>
  <w:num w:numId="14" w16cid:durableId="1807504248">
    <w:abstractNumId w:val="14"/>
  </w:num>
  <w:num w:numId="15" w16cid:durableId="2060475746">
    <w:abstractNumId w:val="10"/>
  </w:num>
  <w:num w:numId="16" w16cid:durableId="229191327">
    <w:abstractNumId w:val="0"/>
  </w:num>
  <w:num w:numId="17" w16cid:durableId="19000474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758"/>
    <w:rsid w:val="00016F78"/>
    <w:rsid w:val="00023F9D"/>
    <w:rsid w:val="00046945"/>
    <w:rsid w:val="00057F73"/>
    <w:rsid w:val="00061B2A"/>
    <w:rsid w:val="0007322F"/>
    <w:rsid w:val="00082362"/>
    <w:rsid w:val="000A683E"/>
    <w:rsid w:val="000B19B9"/>
    <w:rsid w:val="000D0334"/>
    <w:rsid w:val="000D5DA7"/>
    <w:rsid w:val="000F6486"/>
    <w:rsid w:val="00116940"/>
    <w:rsid w:val="00120A72"/>
    <w:rsid w:val="00125105"/>
    <w:rsid w:val="00127233"/>
    <w:rsid w:val="0015699B"/>
    <w:rsid w:val="001A33BF"/>
    <w:rsid w:val="001E4177"/>
    <w:rsid w:val="001F0B24"/>
    <w:rsid w:val="001F7DC6"/>
    <w:rsid w:val="0020407D"/>
    <w:rsid w:val="00222A5B"/>
    <w:rsid w:val="0022400B"/>
    <w:rsid w:val="00231511"/>
    <w:rsid w:val="002421BB"/>
    <w:rsid w:val="00251D4A"/>
    <w:rsid w:val="0025796E"/>
    <w:rsid w:val="00262FFD"/>
    <w:rsid w:val="002707A2"/>
    <w:rsid w:val="002951A0"/>
    <w:rsid w:val="002962BC"/>
    <w:rsid w:val="002A093D"/>
    <w:rsid w:val="002A0DD0"/>
    <w:rsid w:val="002A49AC"/>
    <w:rsid w:val="002A64FD"/>
    <w:rsid w:val="002C7A84"/>
    <w:rsid w:val="002E2BF8"/>
    <w:rsid w:val="002E4FD9"/>
    <w:rsid w:val="00304B5C"/>
    <w:rsid w:val="003063C6"/>
    <w:rsid w:val="0030657A"/>
    <w:rsid w:val="00322A85"/>
    <w:rsid w:val="00324168"/>
    <w:rsid w:val="00330834"/>
    <w:rsid w:val="00342D6A"/>
    <w:rsid w:val="003448F4"/>
    <w:rsid w:val="003716CA"/>
    <w:rsid w:val="00374F5E"/>
    <w:rsid w:val="00377E3E"/>
    <w:rsid w:val="003A779E"/>
    <w:rsid w:val="003D0F4D"/>
    <w:rsid w:val="003D5B0D"/>
    <w:rsid w:val="003E0499"/>
    <w:rsid w:val="003E2D44"/>
    <w:rsid w:val="003E4F80"/>
    <w:rsid w:val="003E6439"/>
    <w:rsid w:val="003F3941"/>
    <w:rsid w:val="00406575"/>
    <w:rsid w:val="00414C74"/>
    <w:rsid w:val="0042722E"/>
    <w:rsid w:val="00434C57"/>
    <w:rsid w:val="0044528D"/>
    <w:rsid w:val="00466E39"/>
    <w:rsid w:val="004A1847"/>
    <w:rsid w:val="004A305D"/>
    <w:rsid w:val="004F0BBB"/>
    <w:rsid w:val="004F1252"/>
    <w:rsid w:val="004F21C4"/>
    <w:rsid w:val="004F685F"/>
    <w:rsid w:val="00503275"/>
    <w:rsid w:val="00520C23"/>
    <w:rsid w:val="005566E8"/>
    <w:rsid w:val="00560770"/>
    <w:rsid w:val="00564456"/>
    <w:rsid w:val="00574867"/>
    <w:rsid w:val="00591460"/>
    <w:rsid w:val="0059165C"/>
    <w:rsid w:val="005A65E0"/>
    <w:rsid w:val="005C1529"/>
    <w:rsid w:val="005C3777"/>
    <w:rsid w:val="005C5CDC"/>
    <w:rsid w:val="005D476C"/>
    <w:rsid w:val="006200BF"/>
    <w:rsid w:val="006219F8"/>
    <w:rsid w:val="006225D9"/>
    <w:rsid w:val="006302F7"/>
    <w:rsid w:val="00646B9F"/>
    <w:rsid w:val="00665D70"/>
    <w:rsid w:val="00683FCF"/>
    <w:rsid w:val="006900D9"/>
    <w:rsid w:val="00700BC5"/>
    <w:rsid w:val="00706C16"/>
    <w:rsid w:val="007340C3"/>
    <w:rsid w:val="0075235A"/>
    <w:rsid w:val="007528D5"/>
    <w:rsid w:val="00756841"/>
    <w:rsid w:val="007649AB"/>
    <w:rsid w:val="00771D0C"/>
    <w:rsid w:val="007833AC"/>
    <w:rsid w:val="007B268C"/>
    <w:rsid w:val="007B7171"/>
    <w:rsid w:val="007C0C0F"/>
    <w:rsid w:val="007C3DC2"/>
    <w:rsid w:val="007C403C"/>
    <w:rsid w:val="007D1602"/>
    <w:rsid w:val="007E5497"/>
    <w:rsid w:val="007F5AAE"/>
    <w:rsid w:val="00806F5F"/>
    <w:rsid w:val="00810126"/>
    <w:rsid w:val="00820278"/>
    <w:rsid w:val="008258C9"/>
    <w:rsid w:val="00843300"/>
    <w:rsid w:val="00844AE9"/>
    <w:rsid w:val="00867F95"/>
    <w:rsid w:val="008843B6"/>
    <w:rsid w:val="00891928"/>
    <w:rsid w:val="008A446D"/>
    <w:rsid w:val="008B25F1"/>
    <w:rsid w:val="008D180B"/>
    <w:rsid w:val="008F0EA7"/>
    <w:rsid w:val="00913D92"/>
    <w:rsid w:val="00921C8D"/>
    <w:rsid w:val="00923EEF"/>
    <w:rsid w:val="009419F9"/>
    <w:rsid w:val="00945950"/>
    <w:rsid w:val="0095685E"/>
    <w:rsid w:val="00956B7C"/>
    <w:rsid w:val="00961B09"/>
    <w:rsid w:val="00965334"/>
    <w:rsid w:val="0097093E"/>
    <w:rsid w:val="00985DB4"/>
    <w:rsid w:val="00993B03"/>
    <w:rsid w:val="00995F7A"/>
    <w:rsid w:val="009A0DFA"/>
    <w:rsid w:val="009A1C6F"/>
    <w:rsid w:val="009B2D26"/>
    <w:rsid w:val="009C71FA"/>
    <w:rsid w:val="009C72E7"/>
    <w:rsid w:val="009C7F7E"/>
    <w:rsid w:val="009D3058"/>
    <w:rsid w:val="009E5C6E"/>
    <w:rsid w:val="009F3A13"/>
    <w:rsid w:val="00A122D3"/>
    <w:rsid w:val="00A14468"/>
    <w:rsid w:val="00A17F13"/>
    <w:rsid w:val="00A20739"/>
    <w:rsid w:val="00A23AF9"/>
    <w:rsid w:val="00A33C78"/>
    <w:rsid w:val="00AA5332"/>
    <w:rsid w:val="00AB0ADB"/>
    <w:rsid w:val="00AB7A17"/>
    <w:rsid w:val="00AE6186"/>
    <w:rsid w:val="00B00C0E"/>
    <w:rsid w:val="00B01B1A"/>
    <w:rsid w:val="00B0381D"/>
    <w:rsid w:val="00B44A47"/>
    <w:rsid w:val="00B511A6"/>
    <w:rsid w:val="00B72CD3"/>
    <w:rsid w:val="00B72FFF"/>
    <w:rsid w:val="00BB132C"/>
    <w:rsid w:val="00BC3D36"/>
    <w:rsid w:val="00BD54A6"/>
    <w:rsid w:val="00BD562E"/>
    <w:rsid w:val="00BD7F72"/>
    <w:rsid w:val="00BF7425"/>
    <w:rsid w:val="00C04FB3"/>
    <w:rsid w:val="00C11D8B"/>
    <w:rsid w:val="00C14E12"/>
    <w:rsid w:val="00C15139"/>
    <w:rsid w:val="00C330EB"/>
    <w:rsid w:val="00C50D69"/>
    <w:rsid w:val="00C5365C"/>
    <w:rsid w:val="00C6206E"/>
    <w:rsid w:val="00C754BE"/>
    <w:rsid w:val="00C76B1C"/>
    <w:rsid w:val="00C80DC7"/>
    <w:rsid w:val="00C925AC"/>
    <w:rsid w:val="00CB6357"/>
    <w:rsid w:val="00CC1B26"/>
    <w:rsid w:val="00CE5BA6"/>
    <w:rsid w:val="00D07EDC"/>
    <w:rsid w:val="00D361FD"/>
    <w:rsid w:val="00D423A2"/>
    <w:rsid w:val="00D44E26"/>
    <w:rsid w:val="00D520D8"/>
    <w:rsid w:val="00D55D28"/>
    <w:rsid w:val="00D63AC2"/>
    <w:rsid w:val="00D7383B"/>
    <w:rsid w:val="00D7788A"/>
    <w:rsid w:val="00DA231B"/>
    <w:rsid w:val="00DC39FC"/>
    <w:rsid w:val="00DD12AD"/>
    <w:rsid w:val="00DE0FA2"/>
    <w:rsid w:val="00DE5A3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3F82"/>
    <w:rsid w:val="00F23FEA"/>
    <w:rsid w:val="00F31EDC"/>
    <w:rsid w:val="00F439B2"/>
    <w:rsid w:val="00F462B3"/>
    <w:rsid w:val="00F5664F"/>
    <w:rsid w:val="00F666C4"/>
    <w:rsid w:val="00F76AFC"/>
    <w:rsid w:val="00F94B5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3A28EAA"/>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021A291-D66E-410E-AB5E-F74864D69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3275"/>
    <w:rPr>
      <w:rFonts w:ascii="Geomanist Light" w:hAnsi="Geomanist Light"/>
      <w:lang w:val="es-ES"/>
    </w:rPr>
  </w:style>
  <w:style w:type="paragraph" w:customStyle="1" w:styleId="Appelnotedebasde">
    <w:name w:val="Appel note de bas de..."/>
    <w:basedOn w:val="Normal"/>
    <w:link w:val="Refdenotaalpie"/>
    <w:uiPriority w:val="99"/>
    <w:rsid w:val="00503275"/>
    <w:pPr>
      <w:spacing w:line="240" w:lineRule="exact"/>
    </w:pPr>
    <w:rPr>
      <w:vertAlign w:val="superscript"/>
    </w:rPr>
  </w:style>
  <w:style w:type="character" w:customStyle="1" w:styleId="baj">
    <w:name w:val="b_aj"/>
    <w:basedOn w:val="Fuentedeprrafopredeter"/>
    <w:rsid w:val="00503275"/>
  </w:style>
  <w:style w:type="character" w:customStyle="1" w:styleId="NormalWebCar">
    <w:name w:val="Normal (Web) Car"/>
    <w:link w:val="NormalWeb"/>
    <w:uiPriority w:val="99"/>
    <w:locked/>
    <w:rsid w:val="00503275"/>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62772147">
      <w:bodyDiv w:val="1"/>
      <w:marLeft w:val="0"/>
      <w:marRight w:val="0"/>
      <w:marTop w:val="0"/>
      <w:marBottom w:val="0"/>
      <w:divBdr>
        <w:top w:val="none" w:sz="0" w:space="0" w:color="auto"/>
        <w:left w:val="none" w:sz="0" w:space="0" w:color="auto"/>
        <w:bottom w:val="none" w:sz="0" w:space="0" w:color="auto"/>
        <w:right w:val="none" w:sz="0" w:space="0" w:color="auto"/>
      </w:divBdr>
      <w:divsChild>
        <w:div w:id="478159109">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www.colombiacompra.gov.co/archivos/manual/guia-para-la-gestion-contractual-de-entidades-estatales-con-regimen-especial" TargetMode="Externa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s://www.colombiacompra.gov.co/normativa-y-relatoria/documentos-tipo" TargetMode="External"/><Relationship Id="rId7" Type="http://schemas.openxmlformats.org/officeDocument/2006/relationships/webSettings" Target="webSettings.xml"/><Relationship Id="rId12" Type="http://schemas.openxmlformats.org/officeDocument/2006/relationships/hyperlink" Target="https://www.funcionpublica.gov.co/eva/gestornormativo/norma.php?i=18232" TargetMode="External"/><Relationship Id="rId17" Type="http://schemas.openxmlformats.org/officeDocument/2006/relationships/hyperlink" Target="https://relatoria.colombiacompra.gov.co/conceptos/c-048-de-2026/" TargetMode="External"/><Relationship Id="rId25"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colombiacompra.gov.co/wp-content/uploads/2025/09/006-de-2025-Circular-Externa-L996-ajustado-comentarios-BM-BID-Rev-ARSC-V3.d-1.pdf" TargetMode="External"/><Relationship Id="rId20" Type="http://schemas.openxmlformats.org/officeDocument/2006/relationships/hyperlink" Target="https://formacionvirtual.colombiacompra.gov.co/mod/page/view.php?id=371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esusdavidorozcoartet@gmail.com" TargetMode="External"/><Relationship Id="rId24" Type="http://schemas.openxmlformats.org/officeDocument/2006/relationships/hyperlink" Target="https://www.colombiacompra.gov.co/pqrsd/informacion-importante-antes-de-formular-una-pqrsd" TargetMode="External"/><Relationship Id="rId5" Type="http://schemas.openxmlformats.org/officeDocument/2006/relationships/styles" Target="styles.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mailto:ventanilladeradicacion@colombiacompra.gov.co" TargetMode="Externa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relatoria.colombiacompra.gov.co/busqueda/concepto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7" Type="http://schemas.openxmlformats.org/officeDocument/2006/relationships/header" Target="header1.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archivos/manual/guia-para-la-gestion-contractual-de-entidades-estatales-con-regimen-especial" TargetMode="External"/><Relationship Id="rId2" Type="http://schemas.openxmlformats.org/officeDocument/2006/relationships/hyperlink" Target="https://relatoria.colombiacompra.gov.co/conceptos/c-048-de-2026/"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2C1E7C2-A54D-4C31-B943-E0DEA7DED684}"/>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37</TotalTime>
  <Pages>51</Pages>
  <Words>18232</Words>
  <Characters>100277</Characters>
  <Application>Microsoft Office Word</Application>
  <DocSecurity>0</DocSecurity>
  <Lines>835</Lines>
  <Paragraphs>236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8</cp:revision>
  <cp:lastPrinted>2023-01-11T00:18:00Z</cp:lastPrinted>
  <dcterms:created xsi:type="dcterms:W3CDTF">2026-07-01T10:18:00Z</dcterms:created>
  <dcterms:modified xsi:type="dcterms:W3CDTF">2026-07-03T09:35:00Z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