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7AFCD" w14:textId="77777777" w:rsidR="002A0DD0" w:rsidRPr="00E02524" w:rsidRDefault="002A0DD0" w:rsidP="30821638">
      <w:pPr>
        <w:spacing w:after="0" w:line="240" w:lineRule="auto"/>
        <w:jc w:val="both"/>
        <w:rPr>
          <w:rFonts w:ascii="Verdana" w:eastAsia="Verdana" w:hAnsi="Verdana" w:cs="Verdana"/>
          <w:b/>
          <w:bCs/>
          <w:lang w:val="es-MX"/>
        </w:rPr>
      </w:pPr>
      <w:bookmarkStart w:id="0" w:name="_Hlk143780582"/>
    </w:p>
    <w:p w14:paraId="15162586" w14:textId="77777777" w:rsidR="00E063F1" w:rsidRPr="008D477A" w:rsidRDefault="00E063F1" w:rsidP="00E063F1">
      <w:pPr>
        <w:widowControl w:val="0"/>
        <w:autoSpaceDE w:val="0"/>
        <w:autoSpaceDN w:val="0"/>
        <w:spacing w:after="0" w:line="240" w:lineRule="auto"/>
        <w:contextualSpacing/>
        <w:jc w:val="both"/>
        <w:rPr>
          <w:rFonts w:ascii="Verdana" w:eastAsia="Verdana" w:hAnsi="Verdana" w:cs="Verdana"/>
          <w:b/>
          <w:lang w:val="es-ES"/>
        </w:rPr>
      </w:pPr>
      <w:r w:rsidRPr="008D477A">
        <w:rPr>
          <w:rFonts w:ascii="Verdana" w:eastAsia="Verdana" w:hAnsi="Verdana" w:cs="Verdana"/>
          <w:b/>
          <w:lang w:val="es-ES"/>
        </w:rPr>
        <w:t>SELECCIÓN OBJETIVA ― Noción y factores de escogencia</w:t>
      </w:r>
    </w:p>
    <w:p w14:paraId="0DAA4991" w14:textId="77777777" w:rsidR="00E063F1" w:rsidRPr="008D477A" w:rsidRDefault="00E063F1" w:rsidP="00E063F1">
      <w:pPr>
        <w:widowControl w:val="0"/>
        <w:autoSpaceDE w:val="0"/>
        <w:autoSpaceDN w:val="0"/>
        <w:spacing w:after="0" w:line="240" w:lineRule="auto"/>
        <w:contextualSpacing/>
        <w:jc w:val="both"/>
        <w:rPr>
          <w:rFonts w:ascii="Verdana" w:eastAsia="Verdana" w:hAnsi="Verdana" w:cs="Verdana"/>
          <w:b/>
          <w:lang w:val="es-ES"/>
        </w:rPr>
      </w:pPr>
    </w:p>
    <w:p w14:paraId="58D508E1" w14:textId="77777777" w:rsidR="00E063F1" w:rsidRPr="008D477A" w:rsidRDefault="00E063F1" w:rsidP="00E063F1">
      <w:pPr>
        <w:widowControl w:val="0"/>
        <w:autoSpaceDE w:val="0"/>
        <w:autoSpaceDN w:val="0"/>
        <w:spacing w:after="0" w:line="240" w:lineRule="auto"/>
        <w:contextualSpacing/>
        <w:jc w:val="both"/>
        <w:rPr>
          <w:rFonts w:ascii="Verdana" w:eastAsia="Verdana" w:hAnsi="Verdana" w:cs="Arial"/>
          <w:color w:val="000000"/>
          <w:sz w:val="20"/>
          <w:szCs w:val="20"/>
          <w:lang w:val="es-ES"/>
        </w:rPr>
      </w:pPr>
      <w:r w:rsidRPr="008D477A">
        <w:rPr>
          <w:rFonts w:ascii="Verdana" w:eastAsia="Verdana" w:hAnsi="Verdana" w:cs="Arial"/>
          <w:color w:val="000000"/>
          <w:sz w:val="20"/>
          <w:szCs w:val="20"/>
          <w:lang w:val="es-ES"/>
        </w:rPr>
        <w:t>[…] se considera objetiva la selección en la cual la escogencia se haga al ofrecimiento más favorable a la Entidad y a los fines que ella busca, sin tener en consideración factores de afecto o de interés y, en general, cualquier clase de motivación subjetiva</w:t>
      </w:r>
      <w:r w:rsidRPr="008D477A">
        <w:rPr>
          <w:rFonts w:ascii="Verdana" w:eastAsia="Verdana" w:hAnsi="Verdana" w:cs="Arial"/>
          <w:i/>
          <w:iCs/>
          <w:color w:val="000000"/>
          <w:sz w:val="20"/>
          <w:szCs w:val="20"/>
          <w:lang w:val="es-ES"/>
        </w:rPr>
        <w:t>.</w:t>
      </w:r>
      <w:r w:rsidRPr="008D477A">
        <w:rPr>
          <w:rFonts w:ascii="Verdana" w:eastAsia="Verdana" w:hAnsi="Verdana" w:cs="Arial"/>
          <w:color w:val="000000"/>
          <w:sz w:val="20"/>
          <w:szCs w:val="20"/>
          <w:lang w:val="es-ES"/>
        </w:rPr>
        <w:t xml:space="preserve"> En ese contexto, los factores de escogencia y calificación que establezcan las Entidades en los pliegos de condiciones o en sus documentos equivalentes deberán tener en cuenta, entre otras cuestiones, los criterios establecidos en dicha disposición.</w:t>
      </w:r>
    </w:p>
    <w:p w14:paraId="7FC28B55" w14:textId="77777777" w:rsidR="00E063F1" w:rsidRPr="008D477A" w:rsidRDefault="00E063F1" w:rsidP="00E063F1">
      <w:pPr>
        <w:widowControl w:val="0"/>
        <w:autoSpaceDE w:val="0"/>
        <w:autoSpaceDN w:val="0"/>
        <w:spacing w:after="0" w:line="240" w:lineRule="auto"/>
        <w:contextualSpacing/>
        <w:jc w:val="both"/>
        <w:rPr>
          <w:rFonts w:ascii="Verdana" w:eastAsia="Verdana" w:hAnsi="Verdana" w:cs="Arial"/>
          <w:color w:val="000000"/>
          <w:sz w:val="20"/>
          <w:szCs w:val="20"/>
          <w:lang w:val="es-ES_tradnl"/>
        </w:rPr>
      </w:pPr>
    </w:p>
    <w:p w14:paraId="656835C9" w14:textId="77777777" w:rsidR="00E063F1" w:rsidRPr="008D477A" w:rsidRDefault="00E063F1" w:rsidP="00E063F1">
      <w:pPr>
        <w:widowControl w:val="0"/>
        <w:autoSpaceDE w:val="0"/>
        <w:autoSpaceDN w:val="0"/>
        <w:spacing w:after="0" w:line="240" w:lineRule="auto"/>
        <w:contextualSpacing/>
        <w:jc w:val="both"/>
        <w:rPr>
          <w:rFonts w:ascii="Verdana" w:eastAsia="Verdana" w:hAnsi="Verdana" w:cs="Arial"/>
          <w:color w:val="000000"/>
          <w:sz w:val="20"/>
          <w:szCs w:val="20"/>
          <w:lang w:val="es-ES_tradnl"/>
        </w:rPr>
      </w:pPr>
      <w:r w:rsidRPr="008D477A">
        <w:rPr>
          <w:rFonts w:ascii="Verdana" w:eastAsia="Verdana" w:hAnsi="Verdana" w:cs="Arial"/>
          <w:color w:val="000000"/>
          <w:sz w:val="20"/>
          <w:szCs w:val="20"/>
          <w:lang w:val="es-ES_tradnl"/>
        </w:rPr>
        <w:t>[…] los criterios habilitantes que determine la Entidad deberán ser adecuados y proporcionales a la naturaleza del contrato a suscribir y a su valor. De esta manera, las condiciones habilitantes que no resulten adecuadas para determinar la idoneidad o capacidad del proponente para cumplir con el objeto del contrato, o que sean desproporcionados frente a este, serán contrarias al deber de selección objetiva.</w:t>
      </w:r>
    </w:p>
    <w:p w14:paraId="69E44E3D" w14:textId="77777777" w:rsidR="00E063F1" w:rsidRPr="008D477A" w:rsidRDefault="00E063F1" w:rsidP="00E063F1">
      <w:pPr>
        <w:widowControl w:val="0"/>
        <w:autoSpaceDE w:val="0"/>
        <w:autoSpaceDN w:val="0"/>
        <w:spacing w:after="0" w:line="240" w:lineRule="auto"/>
        <w:contextualSpacing/>
        <w:jc w:val="both"/>
        <w:rPr>
          <w:rFonts w:ascii="Verdana" w:eastAsia="Verdana" w:hAnsi="Verdana" w:cs="Verdana"/>
          <w:b/>
          <w:lang w:val="es-ES"/>
        </w:rPr>
      </w:pPr>
    </w:p>
    <w:p w14:paraId="769A5B6A" w14:textId="77777777" w:rsidR="00E063F1" w:rsidRPr="008D477A" w:rsidRDefault="00E063F1" w:rsidP="00E063F1">
      <w:pPr>
        <w:widowControl w:val="0"/>
        <w:autoSpaceDE w:val="0"/>
        <w:autoSpaceDN w:val="0"/>
        <w:spacing w:after="0" w:line="240" w:lineRule="auto"/>
        <w:contextualSpacing/>
        <w:jc w:val="both"/>
        <w:rPr>
          <w:rFonts w:ascii="Verdana" w:eastAsia="Verdana" w:hAnsi="Verdana" w:cs="Verdana"/>
          <w:b/>
          <w:bCs/>
          <w:lang w:val="es-ES"/>
        </w:rPr>
      </w:pPr>
      <w:r w:rsidRPr="008D477A">
        <w:rPr>
          <w:rFonts w:ascii="Verdana" w:eastAsia="Verdana" w:hAnsi="Verdana" w:cs="Verdana"/>
          <w:b/>
          <w:lang w:val="es-ES"/>
        </w:rPr>
        <w:t>REQUISITOS HABILITANTES DE LA LEY 1150 DE 2007 ― Carácter enunciativo</w:t>
      </w:r>
      <w:r w:rsidRPr="008D477A">
        <w:rPr>
          <w:rFonts w:ascii="Verdana" w:eastAsia="Calibri" w:hAnsi="Verdana" w:cs="Arial"/>
          <w:lang w:val="es-ES" w:eastAsia="es-ES_tradnl"/>
        </w:rPr>
        <w:t xml:space="preserve"> </w:t>
      </w:r>
      <w:r w:rsidRPr="008D477A">
        <w:rPr>
          <w:rFonts w:ascii="Verdana" w:eastAsia="Calibri" w:hAnsi="Verdana" w:cs="Arial"/>
          <w:b/>
          <w:bCs/>
          <w:lang w:eastAsia="es-ES_tradnl"/>
        </w:rPr>
        <w:t>–</w:t>
      </w:r>
      <w:r w:rsidRPr="008D477A">
        <w:rPr>
          <w:rFonts w:ascii="Verdana" w:eastAsia="Calibri" w:hAnsi="Verdana" w:cs="Arial"/>
          <w:lang w:val="es-ES" w:eastAsia="es-ES_tradnl"/>
        </w:rPr>
        <w:t xml:space="preserve"> </w:t>
      </w:r>
      <w:r w:rsidRPr="008D477A">
        <w:rPr>
          <w:rFonts w:ascii="Verdana" w:eastAsia="Calibri" w:hAnsi="Verdana" w:cs="Arial"/>
          <w:b/>
          <w:bCs/>
          <w:lang w:val="es-ES" w:eastAsia="es-ES_tradnl"/>
        </w:rPr>
        <w:t>Proporcionalidad y adecuación</w:t>
      </w:r>
    </w:p>
    <w:p w14:paraId="1AB1E8DF" w14:textId="77777777" w:rsidR="00E063F1" w:rsidRPr="008D477A" w:rsidRDefault="00E063F1" w:rsidP="00E063F1">
      <w:pPr>
        <w:widowControl w:val="0"/>
        <w:autoSpaceDE w:val="0"/>
        <w:autoSpaceDN w:val="0"/>
        <w:spacing w:after="0" w:line="240" w:lineRule="auto"/>
        <w:contextualSpacing/>
        <w:jc w:val="both"/>
        <w:rPr>
          <w:rFonts w:ascii="Verdana" w:eastAsia="Times New Roman" w:hAnsi="Verdana" w:cs="Arial"/>
          <w:lang w:val="es-ES_tradnl" w:eastAsia="es-MX"/>
        </w:rPr>
      </w:pPr>
    </w:p>
    <w:p w14:paraId="363F7420" w14:textId="77777777" w:rsidR="00E063F1" w:rsidRPr="008D477A" w:rsidRDefault="00E063F1" w:rsidP="00E063F1">
      <w:pPr>
        <w:widowControl w:val="0"/>
        <w:autoSpaceDE w:val="0"/>
        <w:autoSpaceDN w:val="0"/>
        <w:spacing w:after="0" w:line="240" w:lineRule="auto"/>
        <w:contextualSpacing/>
        <w:jc w:val="both"/>
        <w:rPr>
          <w:rFonts w:ascii="Verdana" w:eastAsia="Times New Roman" w:hAnsi="Verdana" w:cs="Arial"/>
          <w:sz w:val="20"/>
          <w:szCs w:val="20"/>
          <w:lang w:val="es-ES_tradnl" w:eastAsia="es-MX"/>
        </w:rPr>
      </w:pPr>
      <w:r w:rsidRPr="008D477A">
        <w:rPr>
          <w:rFonts w:ascii="Verdana" w:eastAsia="Times New Roman" w:hAnsi="Verdana" w:cs="Arial"/>
          <w:sz w:val="20"/>
          <w:szCs w:val="20"/>
          <w:lang w:val="es-ES_tradnl" w:eastAsia="es-MX"/>
        </w:rPr>
        <w:t>La Agencia Nacional de Contratación Pública – Colombia Compra Eficiente ha defendido el carácter enunciativo del listado de los requisitos habilitantes contenidos en el numeral 1 del artículo 5 de la Ley 1150 de 2007, en la medida en que la mencionada disposición, al referirse a los requisitos habilitantes, no contiene una expresión como “únicamente” o “solo”, de la que pueda colegirse la taxatividad de los requisitos señalados. Esta conclusión además se apoya en una la lectura integral de las normas que regulan la contratación estatal, en virtud de la cual es posible evidenciar que existen otras condiciones que deben cumplirse para la contratación con Entidades Estatales, de las que derivan requisitos habilitantes, como sucede, por ejemplo, con la capacidad residual a la que se refiere el artículo 6º, parágrafo 1, de la Ley 1150 de 2007.</w:t>
      </w:r>
    </w:p>
    <w:p w14:paraId="3B56C38C" w14:textId="77777777" w:rsidR="00E063F1" w:rsidRPr="008D477A" w:rsidRDefault="00E063F1" w:rsidP="00E063F1">
      <w:pPr>
        <w:widowControl w:val="0"/>
        <w:autoSpaceDE w:val="0"/>
        <w:autoSpaceDN w:val="0"/>
        <w:spacing w:after="0" w:line="240" w:lineRule="auto"/>
        <w:contextualSpacing/>
        <w:jc w:val="both"/>
        <w:rPr>
          <w:rFonts w:ascii="Verdana" w:eastAsia="Times New Roman" w:hAnsi="Verdana" w:cs="Arial"/>
          <w:sz w:val="20"/>
          <w:szCs w:val="20"/>
          <w:lang w:val="es-ES_tradnl" w:eastAsia="es-MX"/>
        </w:rPr>
      </w:pPr>
    </w:p>
    <w:p w14:paraId="0A98961F" w14:textId="77777777" w:rsidR="00E063F1" w:rsidRDefault="00E063F1" w:rsidP="00E063F1">
      <w:pPr>
        <w:widowControl w:val="0"/>
        <w:autoSpaceDE w:val="0"/>
        <w:autoSpaceDN w:val="0"/>
        <w:spacing w:after="0" w:line="240" w:lineRule="auto"/>
        <w:contextualSpacing/>
        <w:jc w:val="both"/>
        <w:rPr>
          <w:rFonts w:ascii="Verdana" w:eastAsia="Times New Roman" w:hAnsi="Verdana" w:cs="Arial"/>
          <w:sz w:val="20"/>
          <w:szCs w:val="20"/>
          <w:lang w:val="es-ES" w:eastAsia="es-MX"/>
        </w:rPr>
      </w:pPr>
      <w:r w:rsidRPr="008D477A">
        <w:rPr>
          <w:rFonts w:ascii="Verdana" w:eastAsia="Times New Roman" w:hAnsi="Verdana" w:cs="Arial"/>
          <w:sz w:val="20"/>
          <w:szCs w:val="20"/>
          <w:lang w:val="es-ES_tradnl" w:eastAsia="es-MX"/>
        </w:rPr>
        <w:t xml:space="preserve">[…] </w:t>
      </w:r>
      <w:r w:rsidRPr="008D477A">
        <w:rPr>
          <w:rFonts w:ascii="Verdana" w:eastAsia="Times New Roman" w:hAnsi="Verdana" w:cs="Arial"/>
          <w:bCs/>
          <w:sz w:val="20"/>
          <w:szCs w:val="20"/>
          <w:lang w:val="es-ES_tradnl" w:eastAsia="es-MX" w:bidi="es-ES"/>
        </w:rPr>
        <w:t xml:space="preserve">En especial, señala la Ley que los criterios habilitantes que determine la Entidad deberán ser </w:t>
      </w:r>
      <w:r w:rsidRPr="008D477A">
        <w:rPr>
          <w:rFonts w:ascii="Verdana" w:eastAsia="Times New Roman" w:hAnsi="Verdana" w:cs="Arial"/>
          <w:bCs/>
          <w:i/>
          <w:iCs/>
          <w:sz w:val="20"/>
          <w:szCs w:val="20"/>
          <w:lang w:val="es-ES_tradnl" w:eastAsia="es-MX" w:bidi="es-ES"/>
        </w:rPr>
        <w:t>adecuados y proporcionales</w:t>
      </w:r>
      <w:r w:rsidRPr="008D477A">
        <w:rPr>
          <w:rFonts w:ascii="Verdana" w:eastAsia="Times New Roman" w:hAnsi="Verdana" w:cs="Arial"/>
          <w:bCs/>
          <w:sz w:val="20"/>
          <w:szCs w:val="20"/>
          <w:lang w:val="es-ES_tradnl" w:eastAsia="es-MX" w:bidi="es-ES"/>
        </w:rPr>
        <w:t xml:space="preserve"> a la naturaleza del contrato a suscribir y a su valor. De esta manera, las condiciones habilitantes que no resulten adecuadas para determinar la idoneidad o capacidad del proponente para cumplir con el objeto del contrato, o que sean desproporcionados frente a este, serán contrarias al deber de selección objetiva.</w:t>
      </w:r>
      <w:r w:rsidRPr="008D477A">
        <w:rPr>
          <w:rFonts w:ascii="Verdana" w:eastAsia="Times New Roman" w:hAnsi="Verdana" w:cs="Arial"/>
          <w:sz w:val="20"/>
          <w:szCs w:val="20"/>
          <w:lang w:val="es-ES_tradnl" w:eastAsia="es-MX"/>
        </w:rPr>
        <w:t xml:space="preserve"> </w:t>
      </w:r>
      <w:r w:rsidRPr="008D477A">
        <w:rPr>
          <w:rFonts w:ascii="Verdana" w:eastAsia="Times New Roman" w:hAnsi="Verdana" w:cs="Arial"/>
          <w:sz w:val="20"/>
          <w:szCs w:val="20"/>
          <w:lang w:val="es-ES" w:eastAsia="es-MX"/>
        </w:rPr>
        <w:t>[…]</w:t>
      </w:r>
    </w:p>
    <w:p w14:paraId="1AC3E8F3" w14:textId="77777777" w:rsidR="00E063F1" w:rsidRDefault="00E063F1" w:rsidP="00E063F1">
      <w:pPr>
        <w:widowControl w:val="0"/>
        <w:autoSpaceDE w:val="0"/>
        <w:autoSpaceDN w:val="0"/>
        <w:spacing w:after="0" w:line="240" w:lineRule="auto"/>
        <w:contextualSpacing/>
        <w:jc w:val="both"/>
        <w:rPr>
          <w:rFonts w:ascii="Verdana" w:eastAsia="Times New Roman" w:hAnsi="Verdana" w:cs="Arial"/>
          <w:sz w:val="20"/>
          <w:szCs w:val="20"/>
          <w:lang w:val="es-ES" w:eastAsia="es-MX"/>
        </w:rPr>
      </w:pPr>
    </w:p>
    <w:p w14:paraId="68CC62E7" w14:textId="77777777" w:rsidR="00E063F1" w:rsidRDefault="00E063F1" w:rsidP="00E063F1">
      <w:pPr>
        <w:widowControl w:val="0"/>
        <w:autoSpaceDE w:val="0"/>
        <w:autoSpaceDN w:val="0"/>
        <w:spacing w:after="0" w:line="240" w:lineRule="auto"/>
        <w:contextualSpacing/>
        <w:jc w:val="both"/>
        <w:rPr>
          <w:rFonts w:ascii="Verdana" w:eastAsia="Verdana" w:hAnsi="Verdana" w:cs="Verdana"/>
          <w:b/>
          <w:lang w:val="es-ES"/>
        </w:rPr>
      </w:pPr>
      <w:r w:rsidRPr="008D477A">
        <w:rPr>
          <w:rFonts w:ascii="Verdana" w:eastAsia="Verdana" w:hAnsi="Verdana" w:cs="Verdana"/>
          <w:b/>
          <w:lang w:val="es-ES"/>
        </w:rPr>
        <w:t>REQUISITOS HABILITANTES</w:t>
      </w:r>
      <w:r>
        <w:rPr>
          <w:rFonts w:ascii="Verdana" w:eastAsia="Verdana" w:hAnsi="Verdana" w:cs="Verdana"/>
          <w:b/>
          <w:lang w:val="es-ES"/>
        </w:rPr>
        <w:t xml:space="preserve"> – Uso de formatos.</w:t>
      </w:r>
    </w:p>
    <w:p w14:paraId="03FB33B4" w14:textId="77777777" w:rsidR="00E063F1" w:rsidRDefault="00E063F1" w:rsidP="00E063F1">
      <w:pPr>
        <w:widowControl w:val="0"/>
        <w:autoSpaceDE w:val="0"/>
        <w:autoSpaceDN w:val="0"/>
        <w:spacing w:after="0" w:line="240" w:lineRule="auto"/>
        <w:contextualSpacing/>
        <w:jc w:val="both"/>
        <w:rPr>
          <w:rFonts w:ascii="Verdana" w:eastAsia="Times New Roman" w:hAnsi="Verdana" w:cs="Arial"/>
          <w:sz w:val="20"/>
          <w:szCs w:val="20"/>
          <w:lang w:val="es-ES" w:eastAsia="es-MX"/>
        </w:rPr>
      </w:pPr>
    </w:p>
    <w:p w14:paraId="56FB3690" w14:textId="77777777" w:rsidR="00E063F1" w:rsidRDefault="00E063F1" w:rsidP="00E063F1">
      <w:pPr>
        <w:widowControl w:val="0"/>
        <w:autoSpaceDE w:val="0"/>
        <w:autoSpaceDN w:val="0"/>
        <w:spacing w:after="0" w:line="240" w:lineRule="auto"/>
        <w:contextualSpacing/>
        <w:jc w:val="both"/>
        <w:rPr>
          <w:rFonts w:ascii="Verdana" w:eastAsia="Times New Roman" w:hAnsi="Verdana" w:cs="Arial"/>
          <w:sz w:val="20"/>
          <w:szCs w:val="20"/>
          <w:lang w:val="es-ES" w:eastAsia="es-MX"/>
        </w:rPr>
      </w:pPr>
      <w:r>
        <w:rPr>
          <w:rFonts w:ascii="Verdana" w:eastAsia="Times New Roman" w:hAnsi="Verdana" w:cs="Arial"/>
          <w:sz w:val="20"/>
          <w:szCs w:val="20"/>
          <w:lang w:val="es-ES" w:eastAsia="es-MX"/>
        </w:rPr>
        <w:t>D</w:t>
      </w:r>
      <w:r w:rsidRPr="008D477A">
        <w:rPr>
          <w:rFonts w:ascii="Verdana" w:eastAsia="Times New Roman" w:hAnsi="Verdana" w:cs="Arial"/>
          <w:sz w:val="20"/>
          <w:szCs w:val="20"/>
          <w:lang w:val="es-ES" w:eastAsia="es-MX"/>
        </w:rPr>
        <w:t>e conformidad con el artículo 5 de la Ley 1150 de 2007, los requisitos y exigencias incorporados en los documentos del proceso deben ser adecuados y proporcionales a la naturaleza del contrato y a su valor, de manera que guarden relación con la finalidad perseguida y no constituyan barreras injustificadas para la participación de los interesados.</w:t>
      </w:r>
    </w:p>
    <w:p w14:paraId="7E6918A9" w14:textId="77777777" w:rsidR="00E063F1" w:rsidRDefault="00E063F1" w:rsidP="00E063F1">
      <w:pPr>
        <w:widowControl w:val="0"/>
        <w:autoSpaceDE w:val="0"/>
        <w:autoSpaceDN w:val="0"/>
        <w:spacing w:after="0" w:line="240" w:lineRule="auto"/>
        <w:contextualSpacing/>
        <w:jc w:val="both"/>
        <w:rPr>
          <w:rFonts w:ascii="Verdana" w:eastAsia="Times New Roman" w:hAnsi="Verdana" w:cs="Arial"/>
          <w:sz w:val="20"/>
          <w:szCs w:val="20"/>
          <w:lang w:val="es-ES" w:eastAsia="es-MX"/>
        </w:rPr>
      </w:pPr>
    </w:p>
    <w:p w14:paraId="20E4103F" w14:textId="77777777" w:rsidR="00E063F1" w:rsidRPr="008D477A" w:rsidRDefault="00E063F1" w:rsidP="00E063F1">
      <w:pPr>
        <w:widowControl w:val="0"/>
        <w:autoSpaceDE w:val="0"/>
        <w:autoSpaceDN w:val="0"/>
        <w:spacing w:after="0" w:line="240" w:lineRule="auto"/>
        <w:contextualSpacing/>
        <w:jc w:val="both"/>
        <w:rPr>
          <w:rFonts w:ascii="Verdana" w:eastAsia="Times New Roman" w:hAnsi="Verdana" w:cs="Arial"/>
          <w:bCs/>
          <w:sz w:val="20"/>
          <w:szCs w:val="20"/>
          <w:lang w:val="es-ES_tradnl" w:eastAsia="es-MX" w:bidi="es-ES"/>
        </w:rPr>
      </w:pPr>
      <w:r w:rsidRPr="008D477A">
        <w:rPr>
          <w:rFonts w:ascii="Verdana" w:eastAsia="Times New Roman" w:hAnsi="Verdana" w:cs="Arial"/>
          <w:sz w:val="20"/>
          <w:szCs w:val="20"/>
          <w:lang w:val="es-ES" w:eastAsia="es-MX"/>
        </w:rPr>
        <w:lastRenderedPageBreak/>
        <w:t>En este sentido, corresponde a la Entidad Estatal evaluar si la exigencia de un formato específico para acreditar la condición de industria nacional de una compañía aseguradora resulta adecuada y necesaria frente a la información que ya reposa en documentos oficiales expedidos por autoridad competente, tales como el certificado de existencia y representación legal expedido por la Superintendencia Financiera de Colombia y la constancia de autorización para operar los respectivos ramos de seguros.</w:t>
      </w:r>
    </w:p>
    <w:p w14:paraId="684FF64F" w14:textId="77777777" w:rsidR="00E063F1" w:rsidRDefault="00E063F1" w:rsidP="00E063F1">
      <w:pPr>
        <w:spacing w:after="0" w:line="240" w:lineRule="auto"/>
        <w:rPr>
          <w:rFonts w:ascii="Verdana" w:eastAsia="Calibri" w:hAnsi="Verdana" w:cs="Arial"/>
          <w:b/>
          <w:bCs/>
          <w:lang w:val="es-ES" w:eastAsia="es-ES"/>
        </w:rPr>
      </w:pPr>
    </w:p>
    <w:p w14:paraId="5EA92218" w14:textId="77777777" w:rsidR="00E063F1" w:rsidRDefault="00E063F1" w:rsidP="00E063F1">
      <w:pPr>
        <w:spacing w:after="0" w:line="240" w:lineRule="auto"/>
        <w:rPr>
          <w:rFonts w:ascii="Verdana" w:eastAsia="Calibri" w:hAnsi="Verdana" w:cs="Arial"/>
          <w:b/>
          <w:bCs/>
          <w:lang w:val="es-ES" w:eastAsia="es-ES"/>
        </w:rPr>
      </w:pPr>
    </w:p>
    <w:p w14:paraId="198DD40E" w14:textId="77777777" w:rsidR="00E063F1" w:rsidRDefault="00E063F1" w:rsidP="00E063F1">
      <w:pPr>
        <w:spacing w:after="0" w:line="240" w:lineRule="auto"/>
        <w:rPr>
          <w:rFonts w:ascii="Verdana" w:eastAsia="Geomanist Light" w:hAnsi="Verdana" w:cs="Arial"/>
          <w:color w:val="000000" w:themeColor="text1"/>
        </w:rPr>
      </w:pPr>
    </w:p>
    <w:p w14:paraId="710CCEB0" w14:textId="77777777" w:rsidR="00E063F1" w:rsidRDefault="00E063F1" w:rsidP="00E063F1">
      <w:pPr>
        <w:spacing w:after="0" w:line="240" w:lineRule="auto"/>
        <w:rPr>
          <w:rFonts w:ascii="Verdana" w:eastAsia="Geomanist Light" w:hAnsi="Verdana" w:cs="Arial"/>
          <w:color w:val="000000" w:themeColor="text1"/>
        </w:rPr>
      </w:pPr>
    </w:p>
    <w:p w14:paraId="13621938" w14:textId="77777777" w:rsidR="00E063F1" w:rsidRDefault="00E063F1" w:rsidP="00E063F1">
      <w:pPr>
        <w:spacing w:after="0" w:line="240" w:lineRule="auto"/>
        <w:rPr>
          <w:rFonts w:ascii="Verdana" w:eastAsia="Geomanist Light" w:hAnsi="Verdana" w:cs="Arial"/>
          <w:color w:val="000000" w:themeColor="text1"/>
        </w:rPr>
      </w:pPr>
    </w:p>
    <w:p w14:paraId="356E46BF" w14:textId="77777777" w:rsidR="00E063F1" w:rsidRDefault="00E063F1" w:rsidP="00E063F1">
      <w:pPr>
        <w:spacing w:after="0" w:line="240" w:lineRule="auto"/>
        <w:rPr>
          <w:rFonts w:ascii="Verdana" w:eastAsia="Geomanist Light" w:hAnsi="Verdana" w:cs="Arial"/>
          <w:color w:val="000000" w:themeColor="text1"/>
          <w:lang w:val="es-MX"/>
        </w:rPr>
      </w:pPr>
    </w:p>
    <w:p w14:paraId="629CD936" w14:textId="77777777" w:rsidR="00E063F1" w:rsidRDefault="00E063F1" w:rsidP="00E063F1">
      <w:pPr>
        <w:spacing w:after="0" w:line="240" w:lineRule="auto"/>
        <w:rPr>
          <w:rFonts w:ascii="Verdana" w:eastAsia="Geomanist Light" w:hAnsi="Verdana" w:cs="Arial"/>
          <w:color w:val="000000" w:themeColor="text1"/>
          <w:lang w:val="es-MX"/>
        </w:rPr>
      </w:pPr>
    </w:p>
    <w:p w14:paraId="3645E5ED" w14:textId="77777777" w:rsidR="00E063F1" w:rsidRDefault="00E063F1" w:rsidP="00E063F1">
      <w:pPr>
        <w:spacing w:after="0" w:line="240" w:lineRule="auto"/>
        <w:rPr>
          <w:rFonts w:ascii="Verdana" w:eastAsia="Geomanist Light" w:hAnsi="Verdana" w:cs="Arial"/>
          <w:color w:val="000000" w:themeColor="text1"/>
          <w:lang w:val="es-MX"/>
        </w:rPr>
      </w:pPr>
    </w:p>
    <w:p w14:paraId="329291DC" w14:textId="77777777" w:rsidR="00E063F1" w:rsidRDefault="00E063F1" w:rsidP="00E063F1">
      <w:pPr>
        <w:spacing w:after="0" w:line="240" w:lineRule="auto"/>
        <w:rPr>
          <w:rFonts w:ascii="Verdana" w:eastAsia="Geomanist Light" w:hAnsi="Verdana" w:cs="Arial"/>
          <w:color w:val="000000" w:themeColor="text1"/>
          <w:lang w:val="es-MX"/>
        </w:rPr>
      </w:pPr>
    </w:p>
    <w:p w14:paraId="3BF279D1" w14:textId="77777777" w:rsidR="00E063F1" w:rsidRDefault="00E063F1" w:rsidP="00E063F1">
      <w:pPr>
        <w:spacing w:after="0" w:line="240" w:lineRule="auto"/>
        <w:rPr>
          <w:rFonts w:ascii="Verdana" w:eastAsia="Geomanist Light" w:hAnsi="Verdana" w:cs="Arial"/>
          <w:color w:val="000000" w:themeColor="text1"/>
          <w:lang w:val="es-MX"/>
        </w:rPr>
      </w:pPr>
    </w:p>
    <w:p w14:paraId="6038190C" w14:textId="77777777" w:rsidR="00E063F1" w:rsidRDefault="00E063F1" w:rsidP="00E063F1">
      <w:pPr>
        <w:spacing w:after="0" w:line="240" w:lineRule="auto"/>
        <w:rPr>
          <w:rFonts w:ascii="Verdana" w:eastAsia="Geomanist Light" w:hAnsi="Verdana" w:cs="Arial"/>
          <w:color w:val="000000" w:themeColor="text1"/>
          <w:lang w:val="es-MX"/>
        </w:rPr>
      </w:pPr>
    </w:p>
    <w:p w14:paraId="6325BE32" w14:textId="77777777" w:rsidR="00E063F1" w:rsidRDefault="00E063F1" w:rsidP="00E063F1">
      <w:pPr>
        <w:spacing w:after="0" w:line="240" w:lineRule="auto"/>
        <w:rPr>
          <w:rFonts w:ascii="Verdana" w:eastAsia="Geomanist Light" w:hAnsi="Verdana" w:cs="Arial"/>
          <w:color w:val="000000" w:themeColor="text1"/>
          <w:lang w:val="es-MX"/>
        </w:rPr>
      </w:pPr>
    </w:p>
    <w:p w14:paraId="39FE6007" w14:textId="77777777" w:rsidR="00E063F1" w:rsidRDefault="00E063F1" w:rsidP="00E063F1">
      <w:pPr>
        <w:spacing w:after="0" w:line="240" w:lineRule="auto"/>
        <w:rPr>
          <w:rFonts w:ascii="Verdana" w:eastAsia="Geomanist Light" w:hAnsi="Verdana" w:cs="Arial"/>
          <w:color w:val="000000" w:themeColor="text1"/>
          <w:lang w:val="es-MX"/>
        </w:rPr>
      </w:pPr>
    </w:p>
    <w:p w14:paraId="6EB6BA8A" w14:textId="77777777" w:rsidR="00E063F1" w:rsidRDefault="00E063F1" w:rsidP="00E063F1">
      <w:pPr>
        <w:spacing w:after="0" w:line="240" w:lineRule="auto"/>
        <w:rPr>
          <w:rFonts w:ascii="Verdana" w:eastAsia="Geomanist Light" w:hAnsi="Verdana" w:cs="Arial"/>
          <w:color w:val="000000" w:themeColor="text1"/>
          <w:lang w:val="es-MX"/>
        </w:rPr>
      </w:pPr>
    </w:p>
    <w:p w14:paraId="731F43B4" w14:textId="77777777" w:rsidR="00E063F1" w:rsidRDefault="00E063F1" w:rsidP="00E063F1">
      <w:pPr>
        <w:spacing w:after="0" w:line="240" w:lineRule="auto"/>
        <w:rPr>
          <w:rFonts w:ascii="Verdana" w:eastAsia="Geomanist Light" w:hAnsi="Verdana" w:cs="Arial"/>
          <w:color w:val="000000" w:themeColor="text1"/>
          <w:lang w:val="es-MX"/>
        </w:rPr>
      </w:pPr>
    </w:p>
    <w:p w14:paraId="11754F19" w14:textId="77777777" w:rsidR="00E063F1" w:rsidRDefault="00E063F1" w:rsidP="00E063F1">
      <w:pPr>
        <w:spacing w:after="0" w:line="240" w:lineRule="auto"/>
        <w:rPr>
          <w:rFonts w:ascii="Verdana" w:eastAsia="Geomanist Light" w:hAnsi="Verdana" w:cs="Arial"/>
          <w:color w:val="000000" w:themeColor="text1"/>
          <w:lang w:val="es-MX"/>
        </w:rPr>
      </w:pPr>
    </w:p>
    <w:p w14:paraId="5C682B8D" w14:textId="77777777" w:rsidR="00E063F1" w:rsidRDefault="00E063F1" w:rsidP="00E063F1">
      <w:pPr>
        <w:spacing w:after="0" w:line="240" w:lineRule="auto"/>
        <w:rPr>
          <w:rFonts w:ascii="Verdana" w:eastAsia="Geomanist Light" w:hAnsi="Verdana" w:cs="Arial"/>
          <w:color w:val="000000" w:themeColor="text1"/>
          <w:lang w:val="es-MX"/>
        </w:rPr>
      </w:pPr>
    </w:p>
    <w:p w14:paraId="235BA647" w14:textId="77777777" w:rsidR="00E063F1" w:rsidRDefault="00E063F1" w:rsidP="00E063F1">
      <w:pPr>
        <w:spacing w:after="0" w:line="240" w:lineRule="auto"/>
        <w:rPr>
          <w:rFonts w:ascii="Verdana" w:eastAsia="Geomanist Light" w:hAnsi="Verdana" w:cs="Arial"/>
          <w:color w:val="000000" w:themeColor="text1"/>
          <w:lang w:val="es-MX"/>
        </w:rPr>
      </w:pPr>
    </w:p>
    <w:p w14:paraId="0E06B468" w14:textId="77777777" w:rsidR="00E063F1" w:rsidRDefault="00E063F1" w:rsidP="00E063F1">
      <w:pPr>
        <w:spacing w:after="0" w:line="240" w:lineRule="auto"/>
        <w:rPr>
          <w:rFonts w:ascii="Verdana" w:eastAsia="Geomanist Light" w:hAnsi="Verdana" w:cs="Arial"/>
          <w:color w:val="000000" w:themeColor="text1"/>
          <w:lang w:val="es-MX"/>
        </w:rPr>
      </w:pPr>
    </w:p>
    <w:p w14:paraId="3243BF9E" w14:textId="77777777" w:rsidR="00E063F1" w:rsidRDefault="00E063F1" w:rsidP="00E063F1">
      <w:pPr>
        <w:spacing w:after="0" w:line="240" w:lineRule="auto"/>
        <w:rPr>
          <w:rFonts w:ascii="Verdana" w:eastAsia="Geomanist Light" w:hAnsi="Verdana" w:cs="Arial"/>
          <w:color w:val="000000" w:themeColor="text1"/>
          <w:lang w:val="es-MX"/>
        </w:rPr>
      </w:pPr>
    </w:p>
    <w:p w14:paraId="6C1ACEF6" w14:textId="77777777" w:rsidR="00E063F1" w:rsidRDefault="00E063F1" w:rsidP="00E063F1">
      <w:pPr>
        <w:spacing w:after="0" w:line="240" w:lineRule="auto"/>
        <w:rPr>
          <w:rFonts w:ascii="Verdana" w:eastAsia="Geomanist Light" w:hAnsi="Verdana" w:cs="Arial"/>
          <w:color w:val="000000" w:themeColor="text1"/>
          <w:lang w:val="es-MX"/>
        </w:rPr>
      </w:pPr>
    </w:p>
    <w:p w14:paraId="5B82A6E8" w14:textId="77777777" w:rsidR="00E063F1" w:rsidRDefault="00E063F1" w:rsidP="00E063F1">
      <w:pPr>
        <w:spacing w:after="0" w:line="240" w:lineRule="auto"/>
        <w:rPr>
          <w:rFonts w:ascii="Verdana" w:eastAsia="Geomanist Light" w:hAnsi="Verdana" w:cs="Arial"/>
          <w:color w:val="000000" w:themeColor="text1"/>
          <w:lang w:val="es-MX"/>
        </w:rPr>
      </w:pPr>
    </w:p>
    <w:p w14:paraId="3E49EFB8" w14:textId="77777777" w:rsidR="00E063F1" w:rsidRDefault="00E063F1" w:rsidP="00E063F1">
      <w:pPr>
        <w:spacing w:after="0" w:line="240" w:lineRule="auto"/>
        <w:rPr>
          <w:rFonts w:ascii="Verdana" w:eastAsia="Geomanist Light" w:hAnsi="Verdana" w:cs="Arial"/>
          <w:color w:val="000000" w:themeColor="text1"/>
          <w:lang w:val="es-MX"/>
        </w:rPr>
      </w:pPr>
    </w:p>
    <w:p w14:paraId="357E2CBA" w14:textId="77777777" w:rsidR="00E063F1" w:rsidRDefault="00E063F1" w:rsidP="00E063F1">
      <w:pPr>
        <w:spacing w:after="0" w:line="240" w:lineRule="auto"/>
        <w:rPr>
          <w:rFonts w:ascii="Verdana" w:eastAsia="Geomanist Light" w:hAnsi="Verdana" w:cs="Arial"/>
          <w:color w:val="000000" w:themeColor="text1"/>
          <w:lang w:val="es-MX"/>
        </w:rPr>
      </w:pPr>
    </w:p>
    <w:p w14:paraId="4486AEF7" w14:textId="77777777" w:rsidR="00E063F1" w:rsidRDefault="00E063F1" w:rsidP="00E063F1">
      <w:pPr>
        <w:spacing w:after="0" w:line="240" w:lineRule="auto"/>
        <w:rPr>
          <w:rFonts w:ascii="Verdana" w:eastAsia="Geomanist Light" w:hAnsi="Verdana" w:cs="Arial"/>
          <w:color w:val="000000" w:themeColor="text1"/>
          <w:lang w:val="es-MX"/>
        </w:rPr>
      </w:pPr>
    </w:p>
    <w:p w14:paraId="7DF319EF" w14:textId="77777777" w:rsidR="00E063F1" w:rsidRDefault="00E063F1" w:rsidP="00E063F1">
      <w:pPr>
        <w:spacing w:after="0" w:line="240" w:lineRule="auto"/>
        <w:rPr>
          <w:rFonts w:ascii="Verdana" w:eastAsia="Geomanist Light" w:hAnsi="Verdana" w:cs="Arial"/>
          <w:color w:val="000000" w:themeColor="text1"/>
          <w:lang w:val="es-MX"/>
        </w:rPr>
      </w:pPr>
    </w:p>
    <w:p w14:paraId="7236EEB7" w14:textId="77777777" w:rsidR="00E063F1" w:rsidRDefault="00E063F1" w:rsidP="00E063F1">
      <w:pPr>
        <w:spacing w:after="0" w:line="240" w:lineRule="auto"/>
        <w:rPr>
          <w:rFonts w:ascii="Verdana" w:eastAsia="Geomanist Light" w:hAnsi="Verdana" w:cs="Arial"/>
          <w:color w:val="000000" w:themeColor="text1"/>
          <w:lang w:val="es-MX"/>
        </w:rPr>
      </w:pPr>
    </w:p>
    <w:p w14:paraId="4070DD4A" w14:textId="77777777" w:rsidR="00E063F1" w:rsidRDefault="00E063F1" w:rsidP="00E063F1">
      <w:pPr>
        <w:spacing w:after="0" w:line="240" w:lineRule="auto"/>
        <w:rPr>
          <w:rFonts w:ascii="Verdana" w:eastAsia="Geomanist Light" w:hAnsi="Verdana" w:cs="Arial"/>
          <w:color w:val="000000" w:themeColor="text1"/>
          <w:lang w:val="es-MX"/>
        </w:rPr>
      </w:pPr>
    </w:p>
    <w:p w14:paraId="44E62EA2" w14:textId="77777777" w:rsidR="00E063F1" w:rsidRDefault="00E063F1" w:rsidP="00E063F1">
      <w:pPr>
        <w:spacing w:after="0" w:line="240" w:lineRule="auto"/>
        <w:rPr>
          <w:rFonts w:ascii="Verdana" w:eastAsia="Geomanist Light" w:hAnsi="Verdana" w:cs="Arial"/>
          <w:color w:val="000000" w:themeColor="text1"/>
          <w:lang w:val="es-MX"/>
        </w:rPr>
      </w:pPr>
    </w:p>
    <w:p w14:paraId="4D97D305" w14:textId="77777777" w:rsidR="00E063F1" w:rsidRDefault="00E063F1" w:rsidP="00E063F1">
      <w:pPr>
        <w:spacing w:after="0" w:line="240" w:lineRule="auto"/>
        <w:rPr>
          <w:rFonts w:ascii="Verdana" w:eastAsia="Geomanist Light" w:hAnsi="Verdana" w:cs="Arial"/>
          <w:color w:val="000000" w:themeColor="text1"/>
          <w:lang w:val="es-MX"/>
        </w:rPr>
      </w:pPr>
    </w:p>
    <w:p w14:paraId="54873C4F" w14:textId="77777777" w:rsidR="00E063F1" w:rsidRDefault="00E063F1" w:rsidP="00E063F1">
      <w:pPr>
        <w:spacing w:after="0" w:line="240" w:lineRule="auto"/>
        <w:rPr>
          <w:rFonts w:ascii="Verdana" w:eastAsia="Geomanist Light" w:hAnsi="Verdana" w:cs="Arial"/>
          <w:color w:val="000000" w:themeColor="text1"/>
          <w:lang w:val="es-MX"/>
        </w:rPr>
      </w:pPr>
    </w:p>
    <w:p w14:paraId="63218634" w14:textId="77777777" w:rsidR="00E063F1" w:rsidRDefault="00E063F1" w:rsidP="00E063F1">
      <w:pPr>
        <w:spacing w:after="0" w:line="240" w:lineRule="auto"/>
        <w:rPr>
          <w:rFonts w:ascii="Verdana" w:eastAsia="Geomanist Light" w:hAnsi="Verdana" w:cs="Arial"/>
          <w:color w:val="000000" w:themeColor="text1"/>
          <w:lang w:val="es-MX"/>
        </w:rPr>
      </w:pPr>
    </w:p>
    <w:p w14:paraId="18265B20" w14:textId="77777777" w:rsidR="00E063F1" w:rsidRDefault="00E063F1" w:rsidP="00E063F1">
      <w:pPr>
        <w:spacing w:after="0" w:line="240" w:lineRule="auto"/>
        <w:rPr>
          <w:rFonts w:ascii="Verdana" w:eastAsia="Geomanist Light" w:hAnsi="Verdana" w:cs="Arial"/>
          <w:color w:val="000000" w:themeColor="text1"/>
          <w:lang w:val="es-MX"/>
        </w:rPr>
      </w:pPr>
    </w:p>
    <w:p w14:paraId="12829320" w14:textId="77777777" w:rsidR="00E063F1" w:rsidRDefault="00E063F1" w:rsidP="00E063F1">
      <w:pPr>
        <w:spacing w:after="0" w:line="240" w:lineRule="auto"/>
        <w:rPr>
          <w:rFonts w:ascii="Verdana" w:eastAsia="Geomanist Light" w:hAnsi="Verdana" w:cs="Arial"/>
          <w:color w:val="000000" w:themeColor="text1"/>
          <w:lang w:val="es-MX"/>
        </w:rPr>
      </w:pPr>
    </w:p>
    <w:p w14:paraId="3652E474" w14:textId="77777777" w:rsidR="00E063F1" w:rsidRDefault="00E063F1" w:rsidP="00E063F1">
      <w:pPr>
        <w:spacing w:after="0" w:line="240" w:lineRule="auto"/>
        <w:rPr>
          <w:rFonts w:ascii="Verdana" w:eastAsia="Geomanist Light" w:hAnsi="Verdana" w:cs="Arial"/>
          <w:color w:val="000000" w:themeColor="text1"/>
          <w:lang w:val="es-MX"/>
        </w:rPr>
      </w:pPr>
    </w:p>
    <w:p w14:paraId="5CA51DA6" w14:textId="77777777" w:rsidR="00E063F1" w:rsidRDefault="00E063F1" w:rsidP="00E063F1">
      <w:pPr>
        <w:spacing w:after="0" w:line="240" w:lineRule="auto"/>
        <w:rPr>
          <w:rFonts w:ascii="Verdana" w:eastAsia="Geomanist Light" w:hAnsi="Verdana" w:cs="Arial"/>
          <w:color w:val="000000" w:themeColor="text1"/>
          <w:lang w:val="es-MX"/>
        </w:rPr>
      </w:pPr>
    </w:p>
    <w:p w14:paraId="4FF85322" w14:textId="3B869623" w:rsidR="00E063F1" w:rsidRPr="00312211" w:rsidRDefault="00E063F1" w:rsidP="00E063F1">
      <w:pPr>
        <w:spacing w:after="0" w:line="240" w:lineRule="auto"/>
        <w:rPr>
          <w:rFonts w:ascii="Verdana" w:hAnsi="Verdana"/>
        </w:rPr>
      </w:pPr>
      <w:r w:rsidRPr="00C562D4">
        <w:rPr>
          <w:rFonts w:ascii="Verdana" w:eastAsia="Calibri" w:hAnsi="Verdana" w:cs="Arial"/>
          <w:color w:val="000000" w:themeColor="text1"/>
        </w:rPr>
        <w:lastRenderedPageBreak/>
        <w:t xml:space="preserve">Bogotá D.C., </w:t>
      </w:r>
      <w:r w:rsidR="00312211">
        <w:rPr>
          <w:rFonts w:ascii="Verdana" w:eastAsia="Calibri" w:hAnsi="Verdana" w:cs="Arial"/>
          <w:color w:val="000000" w:themeColor="text1"/>
        </w:rPr>
        <w:t>01</w:t>
      </w:r>
      <w:r>
        <w:rPr>
          <w:rFonts w:ascii="Verdana" w:eastAsia="Calibri" w:hAnsi="Verdana" w:cs="Arial"/>
          <w:color w:val="000000" w:themeColor="text1"/>
        </w:rPr>
        <w:t xml:space="preserve"> </w:t>
      </w:r>
      <w:r w:rsidRPr="00C562D4">
        <w:rPr>
          <w:rFonts w:ascii="Verdana" w:eastAsia="Calibri" w:hAnsi="Verdana" w:cs="Arial"/>
          <w:color w:val="000000" w:themeColor="text1"/>
        </w:rPr>
        <w:t xml:space="preserve">de </w:t>
      </w:r>
      <w:r>
        <w:rPr>
          <w:rFonts w:ascii="Verdana" w:eastAsia="Calibri" w:hAnsi="Verdana" w:cs="Arial"/>
          <w:color w:val="000000" w:themeColor="text1"/>
        </w:rPr>
        <w:t>ju</w:t>
      </w:r>
      <w:r w:rsidR="00312211">
        <w:rPr>
          <w:rFonts w:ascii="Verdana" w:eastAsia="Calibri" w:hAnsi="Verdana" w:cs="Arial"/>
          <w:color w:val="000000" w:themeColor="text1"/>
        </w:rPr>
        <w:t>l</w:t>
      </w:r>
      <w:r>
        <w:rPr>
          <w:rFonts w:ascii="Verdana" w:eastAsia="Calibri" w:hAnsi="Verdana" w:cs="Arial"/>
          <w:color w:val="000000" w:themeColor="text1"/>
        </w:rPr>
        <w:t xml:space="preserve">io </w:t>
      </w:r>
      <w:r w:rsidRPr="00C562D4">
        <w:rPr>
          <w:rFonts w:ascii="Verdana" w:eastAsia="Calibri" w:hAnsi="Verdana" w:cs="Arial"/>
          <w:color w:val="000000" w:themeColor="text1"/>
        </w:rPr>
        <w:t>de 20</w:t>
      </w:r>
      <w:r>
        <w:rPr>
          <w:rFonts w:ascii="Verdana" w:eastAsia="Calibri" w:hAnsi="Verdana" w:cs="Arial"/>
          <w:color w:val="000000" w:themeColor="text1"/>
        </w:rPr>
        <w:t>26</w:t>
      </w:r>
    </w:p>
    <w:p w14:paraId="049A1D65" w14:textId="77777777" w:rsidR="00E063F1" w:rsidRDefault="00E063F1" w:rsidP="00E063F1">
      <w:pPr>
        <w:spacing w:after="0" w:line="240" w:lineRule="auto"/>
        <w:jc w:val="both"/>
        <w:rPr>
          <w:rFonts w:ascii="Verdana" w:eastAsia="Calibri" w:hAnsi="Verdana" w:cs="Arial"/>
          <w:color w:val="000000" w:themeColor="text1"/>
          <w:lang w:val="es-ES"/>
        </w:rPr>
      </w:pPr>
    </w:p>
    <w:p w14:paraId="1C94470E" w14:textId="08A3BEEB" w:rsidR="00910B9A" w:rsidRDefault="004D20CC" w:rsidP="004D20CC">
      <w:pPr>
        <w:spacing w:after="0" w:line="240" w:lineRule="auto"/>
        <w:jc w:val="right"/>
        <w:rPr>
          <w:rFonts w:ascii="Verdana" w:eastAsia="Calibri" w:hAnsi="Verdana" w:cs="Arial"/>
          <w:color w:val="000000" w:themeColor="text1"/>
          <w:lang w:val="es-ES"/>
        </w:rPr>
      </w:pPr>
      <w:r>
        <w:rPr>
          <w:rFonts w:ascii="Verdana" w:eastAsia="Calibri" w:hAnsi="Verdana" w:cs="Arial"/>
          <w:noProof/>
          <w:color w:val="000000" w:themeColor="text1"/>
          <w:lang w:val="es-ES"/>
        </w:rPr>
        <w:drawing>
          <wp:inline distT="0" distB="0" distL="0" distR="0" wp14:anchorId="4CF8E59D" wp14:editId="6FCC3896">
            <wp:extent cx="2638425" cy="771525"/>
            <wp:effectExtent l="0" t="0" r="9525" b="9525"/>
            <wp:docPr id="7955552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38425" cy="771525"/>
                    </a:xfrm>
                    <a:prstGeom prst="rect">
                      <a:avLst/>
                    </a:prstGeom>
                    <a:noFill/>
                    <a:ln>
                      <a:noFill/>
                    </a:ln>
                  </pic:spPr>
                </pic:pic>
              </a:graphicData>
            </a:graphic>
          </wp:inline>
        </w:drawing>
      </w:r>
    </w:p>
    <w:p w14:paraId="07F6CF11" w14:textId="77777777" w:rsidR="00910B9A" w:rsidRDefault="00910B9A" w:rsidP="00E063F1">
      <w:pPr>
        <w:spacing w:after="0" w:line="240" w:lineRule="auto"/>
        <w:jc w:val="both"/>
        <w:rPr>
          <w:rFonts w:ascii="Verdana" w:eastAsia="Calibri" w:hAnsi="Verdana" w:cs="Arial"/>
          <w:color w:val="000000" w:themeColor="text1"/>
          <w:lang w:val="es-ES"/>
        </w:rPr>
      </w:pPr>
    </w:p>
    <w:p w14:paraId="27664E3C" w14:textId="77777777" w:rsidR="00E063F1" w:rsidRDefault="00E063F1" w:rsidP="00E063F1">
      <w:pPr>
        <w:spacing w:after="0" w:line="240" w:lineRule="auto"/>
        <w:jc w:val="both"/>
        <w:rPr>
          <w:rFonts w:ascii="Verdana" w:eastAsia="Calibri" w:hAnsi="Verdana" w:cs="Arial"/>
          <w:color w:val="000000" w:themeColor="text1"/>
          <w:lang w:val="es-ES" w:eastAsia="es-ES"/>
        </w:rPr>
      </w:pPr>
    </w:p>
    <w:p w14:paraId="1AD42386" w14:textId="77777777" w:rsidR="00E063F1" w:rsidRPr="0046108F" w:rsidRDefault="00E063F1" w:rsidP="00E063F1">
      <w:pPr>
        <w:spacing w:after="0" w:line="240" w:lineRule="auto"/>
        <w:jc w:val="both"/>
        <w:rPr>
          <w:rFonts w:ascii="Verdana" w:eastAsia="Calibri" w:hAnsi="Verdana" w:cs="Arial"/>
          <w:color w:val="000000" w:themeColor="text1"/>
          <w:lang w:val="es-ES" w:eastAsia="es-ES"/>
        </w:rPr>
      </w:pPr>
      <w:r w:rsidRPr="0046108F">
        <w:rPr>
          <w:rFonts w:ascii="Verdana" w:eastAsia="Calibri" w:hAnsi="Verdana" w:cs="Arial"/>
          <w:color w:val="000000" w:themeColor="text1"/>
          <w:lang w:val="es-ES" w:eastAsia="es-ES"/>
        </w:rPr>
        <w:t>Señor</w:t>
      </w:r>
    </w:p>
    <w:p w14:paraId="57638958" w14:textId="77777777" w:rsidR="00E063F1" w:rsidRPr="008E7174" w:rsidRDefault="00E063F1" w:rsidP="00E063F1">
      <w:pPr>
        <w:spacing w:after="0" w:line="240" w:lineRule="auto"/>
        <w:rPr>
          <w:rFonts w:ascii="Verdana" w:eastAsia="Calibri" w:hAnsi="Verdana" w:cs="Arial"/>
          <w:b/>
          <w:bCs/>
          <w:lang w:eastAsia="es-ES"/>
        </w:rPr>
      </w:pPr>
      <w:r w:rsidRPr="008E7174">
        <w:rPr>
          <w:rFonts w:ascii="Verdana" w:eastAsia="Calibri" w:hAnsi="Verdana" w:cs="Arial"/>
          <w:b/>
          <w:bCs/>
          <w:lang w:eastAsia="es-ES"/>
        </w:rPr>
        <w:t>HERNÁN FELIPE PINEDA MEDINA</w:t>
      </w:r>
    </w:p>
    <w:p w14:paraId="2098E19E" w14:textId="77777777" w:rsidR="00E063F1" w:rsidRPr="008E7174" w:rsidRDefault="00E063F1" w:rsidP="00E063F1">
      <w:pPr>
        <w:spacing w:after="0" w:line="240" w:lineRule="auto"/>
        <w:rPr>
          <w:rFonts w:ascii="Verdana" w:eastAsia="Calibri" w:hAnsi="Verdana" w:cs="Arial"/>
          <w:b/>
          <w:bCs/>
          <w:lang w:eastAsia="es-ES"/>
        </w:rPr>
      </w:pPr>
      <w:hyperlink r:id="rId12" w:history="1">
        <w:r w:rsidRPr="008E7174">
          <w:rPr>
            <w:rStyle w:val="Hipervnculo"/>
            <w:rFonts w:ascii="Verdana" w:eastAsia="Calibri" w:hAnsi="Verdana" w:cs="Arial"/>
            <w:lang w:eastAsia="es-ES"/>
          </w:rPr>
          <w:t>hernan.píneda@segurosaurora.com</w:t>
        </w:r>
      </w:hyperlink>
      <w:r w:rsidRPr="008E7174">
        <w:rPr>
          <w:rFonts w:ascii="Verdana" w:eastAsia="Calibri" w:hAnsi="Verdana" w:cs="Arial"/>
          <w:lang w:eastAsia="es-ES"/>
        </w:rPr>
        <w:t xml:space="preserve"> </w:t>
      </w:r>
    </w:p>
    <w:p w14:paraId="24142C6A" w14:textId="77777777" w:rsidR="00E063F1" w:rsidRPr="00E9418A" w:rsidRDefault="00E063F1" w:rsidP="00E063F1">
      <w:pPr>
        <w:spacing w:after="0" w:line="240" w:lineRule="auto"/>
        <w:rPr>
          <w:rFonts w:ascii="Verdana" w:eastAsia="Calibri" w:hAnsi="Verdana" w:cs="Arial"/>
          <w:lang w:val="es-ES" w:eastAsia="es-ES"/>
        </w:rPr>
      </w:pPr>
      <w:r w:rsidRPr="008E7174">
        <w:rPr>
          <w:rFonts w:ascii="Verdana" w:eastAsia="Calibri" w:hAnsi="Verdana" w:cs="Arial"/>
          <w:lang w:val="es-ES" w:eastAsia="es-ES"/>
        </w:rPr>
        <w:t>Bogotá D.C.</w:t>
      </w:r>
    </w:p>
    <w:p w14:paraId="34F892F5" w14:textId="77777777" w:rsidR="00E063F1" w:rsidRPr="00CB7ABE" w:rsidRDefault="00E063F1" w:rsidP="00E063F1">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E063F1" w:rsidRPr="00115E3D" w14:paraId="5EA90828" w14:textId="77777777" w:rsidTr="009B3423">
        <w:trPr>
          <w:trHeight w:val="615"/>
        </w:trPr>
        <w:tc>
          <w:tcPr>
            <w:tcW w:w="2270" w:type="dxa"/>
          </w:tcPr>
          <w:p w14:paraId="3F2AA08A" w14:textId="77777777" w:rsidR="00E063F1" w:rsidRPr="00CB7ABE" w:rsidRDefault="00E063F1" w:rsidP="009B3423">
            <w:pPr>
              <w:jc w:val="both"/>
              <w:rPr>
                <w:rFonts w:ascii="Verdana" w:eastAsia="Calibri" w:hAnsi="Verdana" w:cs="Arial"/>
                <w:b/>
                <w:bCs/>
                <w:color w:val="000000" w:themeColor="text1"/>
                <w:lang w:eastAsia="es-ES_tradnl"/>
              </w:rPr>
            </w:pPr>
          </w:p>
        </w:tc>
        <w:tc>
          <w:tcPr>
            <w:tcW w:w="6547" w:type="dxa"/>
          </w:tcPr>
          <w:p w14:paraId="615D984F" w14:textId="77777777" w:rsidR="00E063F1" w:rsidRPr="008A209A" w:rsidRDefault="00E063F1" w:rsidP="009B3423">
            <w:pPr>
              <w:jc w:val="both"/>
              <w:rPr>
                <w:rFonts w:ascii="Verdana" w:eastAsia="Calibri" w:hAnsi="Verdana" w:cs="Arial"/>
                <w:b/>
                <w:bCs/>
                <w:color w:val="000000" w:themeColor="text1"/>
                <w:lang w:val="es-ES" w:eastAsia="es-ES"/>
              </w:rPr>
            </w:pPr>
            <w:r w:rsidRPr="008A209A">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 xml:space="preserve">841 </w:t>
            </w:r>
            <w:r w:rsidRPr="008A209A">
              <w:rPr>
                <w:rFonts w:ascii="Verdana" w:eastAsia="Calibri" w:hAnsi="Verdana" w:cs="Arial"/>
                <w:b/>
                <w:bCs/>
                <w:color w:val="000000" w:themeColor="text1"/>
                <w:lang w:val="es-ES" w:eastAsia="es-ES"/>
              </w:rPr>
              <w:t>de 2026</w:t>
            </w:r>
          </w:p>
        </w:tc>
      </w:tr>
      <w:tr w:rsidR="00E063F1" w:rsidRPr="007E403E" w14:paraId="112CB315" w14:textId="77777777" w:rsidTr="009B3423">
        <w:trPr>
          <w:trHeight w:val="1071"/>
        </w:trPr>
        <w:tc>
          <w:tcPr>
            <w:tcW w:w="2270" w:type="dxa"/>
          </w:tcPr>
          <w:p w14:paraId="15AAD13B" w14:textId="77777777" w:rsidR="00E063F1" w:rsidRPr="001B36DA" w:rsidRDefault="00E063F1" w:rsidP="009B3423">
            <w:pPr>
              <w:jc w:val="both"/>
              <w:rPr>
                <w:rFonts w:ascii="Verdana" w:eastAsia="Calibri" w:hAnsi="Verdana" w:cs="Arial"/>
                <w:color w:val="000000" w:themeColor="text1"/>
                <w:lang w:val="es-ES_tradnl" w:eastAsia="es-ES_tradnl"/>
              </w:rPr>
            </w:pPr>
            <w:r w:rsidRPr="001B36DA">
              <w:rPr>
                <w:rFonts w:ascii="Verdana" w:eastAsia="Calibri" w:hAnsi="Verdana" w:cs="Arial"/>
                <w:b/>
                <w:color w:val="000000" w:themeColor="text1"/>
                <w:lang w:val="es-ES_tradnl" w:eastAsia="es-ES_tradnl"/>
              </w:rPr>
              <w:t>Temas:</w:t>
            </w:r>
            <w:r w:rsidRPr="001B36DA">
              <w:rPr>
                <w:rFonts w:ascii="Verdana" w:eastAsia="Calibri" w:hAnsi="Verdana" w:cs="Arial"/>
                <w:color w:val="000000" w:themeColor="text1"/>
                <w:lang w:val="es-ES_tradnl" w:eastAsia="es-ES_tradnl"/>
              </w:rPr>
              <w:t xml:space="preserve">                   </w:t>
            </w:r>
          </w:p>
        </w:tc>
        <w:tc>
          <w:tcPr>
            <w:tcW w:w="6547" w:type="dxa"/>
          </w:tcPr>
          <w:p w14:paraId="55299116" w14:textId="77777777" w:rsidR="00E063F1" w:rsidRPr="00275B0F" w:rsidRDefault="00E063F1" w:rsidP="00312211">
            <w:pPr>
              <w:spacing w:after="160"/>
              <w:contextualSpacing/>
              <w:jc w:val="both"/>
              <w:rPr>
                <w:rFonts w:ascii="Verdana" w:eastAsia="Calibri" w:hAnsi="Verdana" w:cs="Arial"/>
                <w:b/>
                <w:lang w:val="es-ES" w:eastAsia="es-ES_tradnl"/>
              </w:rPr>
            </w:pPr>
            <w:r w:rsidRPr="00275B0F">
              <w:rPr>
                <w:rFonts w:ascii="Verdana" w:eastAsia="Calibri" w:hAnsi="Verdana" w:cs="Arial"/>
                <w:bCs/>
                <w:lang w:val="es-ES"/>
              </w:rPr>
              <w:t xml:space="preserve">SELECCIÓN OBJETIVA ― Noción y factores de escogencia / REQUISITOS HABILITANTES ― Carácter enunciativo </w:t>
            </w:r>
            <w:r w:rsidRPr="00275B0F">
              <w:rPr>
                <w:rFonts w:ascii="Verdana" w:eastAsia="Calibri" w:hAnsi="Verdana" w:cs="Arial"/>
                <w:lang w:val="es-ES" w:eastAsia="es-ES_tradnl"/>
              </w:rPr>
              <w:t xml:space="preserve">– Proporcionalidad y adecuación </w:t>
            </w:r>
            <w:r w:rsidRPr="00275B0F">
              <w:rPr>
                <w:rFonts w:ascii="Verdana" w:eastAsia="Calibri" w:hAnsi="Verdana" w:cs="Arial"/>
                <w:bCs/>
                <w:lang w:val="es-ES"/>
              </w:rPr>
              <w:t>/</w:t>
            </w:r>
            <w:r w:rsidRPr="00275B0F">
              <w:rPr>
                <w:rFonts w:ascii="Verdana" w:eastAsia="Calibri" w:hAnsi="Verdana" w:cs="Arial"/>
                <w:b/>
                <w:lang w:val="es-ES" w:eastAsia="es-ES_tradnl"/>
              </w:rPr>
              <w:t xml:space="preserve"> </w:t>
            </w:r>
            <w:r w:rsidRPr="008D477A">
              <w:rPr>
                <w:rFonts w:ascii="Verdana" w:eastAsia="Verdana" w:hAnsi="Verdana" w:cs="Verdana"/>
                <w:bCs/>
                <w:lang w:val="es-ES"/>
              </w:rPr>
              <w:t>REQUISITOS HABILITANTES – Uso de formatos</w:t>
            </w:r>
          </w:p>
          <w:p w14:paraId="36AFCBDD" w14:textId="77777777" w:rsidR="00E063F1" w:rsidRPr="00103B36" w:rsidRDefault="00E063F1" w:rsidP="00312211">
            <w:pPr>
              <w:jc w:val="both"/>
              <w:rPr>
                <w:rFonts w:ascii="Verdana" w:eastAsia="Calibri" w:hAnsi="Verdana" w:cs="Arial"/>
                <w:color w:val="000000" w:themeColor="text1"/>
                <w:highlight w:val="yellow"/>
                <w:lang w:val="es-ES" w:eastAsia="es-ES"/>
              </w:rPr>
            </w:pPr>
            <w:r w:rsidRPr="00A272D1">
              <w:rPr>
                <w:rFonts w:ascii="Verdana" w:eastAsia="Calibri" w:hAnsi="Verdana" w:cs="Arial"/>
                <w:lang w:val="es-MX"/>
              </w:rPr>
              <w:t xml:space="preserve"> </w:t>
            </w:r>
          </w:p>
        </w:tc>
      </w:tr>
      <w:tr w:rsidR="00E063F1" w:rsidRPr="00115E3D" w14:paraId="5864E459" w14:textId="77777777" w:rsidTr="009B3423">
        <w:trPr>
          <w:trHeight w:val="653"/>
        </w:trPr>
        <w:tc>
          <w:tcPr>
            <w:tcW w:w="2270" w:type="dxa"/>
          </w:tcPr>
          <w:p w14:paraId="7ADEDF47" w14:textId="77777777" w:rsidR="00E063F1" w:rsidRPr="00CB7ABE" w:rsidRDefault="00E063F1" w:rsidP="009B3423">
            <w:pPr>
              <w:jc w:val="both"/>
              <w:rPr>
                <w:rFonts w:ascii="Verdana" w:eastAsia="Calibri" w:hAnsi="Verdana" w:cs="Arial"/>
                <w:b/>
                <w:color w:val="000000" w:themeColor="text1"/>
                <w:lang w:val="es-ES_tradnl" w:eastAsia="es-ES_tradnl"/>
              </w:rPr>
            </w:pPr>
            <w:r w:rsidRPr="00CB7ABE">
              <w:rPr>
                <w:rFonts w:ascii="Verdana" w:eastAsia="Calibri" w:hAnsi="Verdana" w:cs="Arial"/>
                <w:b/>
                <w:color w:val="000000" w:themeColor="text1"/>
                <w:lang w:val="es-ES_tradnl" w:eastAsia="es-ES_tradnl"/>
              </w:rPr>
              <w:t>Radicación:</w:t>
            </w:r>
            <w:r w:rsidRPr="00CB7ABE">
              <w:rPr>
                <w:rFonts w:ascii="Verdana" w:eastAsia="Calibri" w:hAnsi="Verdana" w:cs="Arial"/>
                <w:color w:val="000000" w:themeColor="text1"/>
                <w:lang w:val="es-ES_tradnl" w:eastAsia="es-ES_tradnl"/>
              </w:rPr>
              <w:t xml:space="preserve">           </w:t>
            </w:r>
          </w:p>
        </w:tc>
        <w:tc>
          <w:tcPr>
            <w:tcW w:w="6547" w:type="dxa"/>
          </w:tcPr>
          <w:p w14:paraId="53289EE7" w14:textId="77777777" w:rsidR="00E063F1" w:rsidRPr="00CB7ABE" w:rsidRDefault="00E063F1" w:rsidP="009B3423">
            <w:pPr>
              <w:ind w:right="1"/>
              <w:jc w:val="both"/>
              <w:rPr>
                <w:rFonts w:ascii="Verdana" w:hAnsi="Verdana"/>
                <w:color w:val="000000"/>
              </w:rPr>
            </w:pPr>
            <w:r w:rsidRPr="00CB7ABE">
              <w:rPr>
                <w:rFonts w:ascii="Verdana" w:eastAsia="Calibri" w:hAnsi="Verdana" w:cs="Arial"/>
                <w:color w:val="000000" w:themeColor="text1"/>
                <w:lang w:val="es-ES_tradnl" w:eastAsia="es-ES_tradnl"/>
              </w:rPr>
              <w:t>Respuesta a consulta con radicado</w:t>
            </w:r>
            <w:r>
              <w:rPr>
                <w:rFonts w:ascii="Verdana" w:eastAsia="Calibri" w:hAnsi="Verdana" w:cs="Arial"/>
                <w:color w:val="000000" w:themeColor="text1"/>
                <w:lang w:val="es-ES_tradnl" w:eastAsia="es-ES_tradnl"/>
              </w:rPr>
              <w:t xml:space="preserve"> N.º </w:t>
            </w:r>
            <w:r w:rsidRPr="008E7174">
              <w:rPr>
                <w:rFonts w:ascii="Verdana" w:eastAsia="Calibri" w:hAnsi="Verdana" w:cs="Arial"/>
                <w:color w:val="000000" w:themeColor="text1"/>
                <w:lang w:val="es-ES_tradnl" w:eastAsia="es-ES_tradnl"/>
              </w:rPr>
              <w:t>1_2026_05_20_006808</w:t>
            </w:r>
            <w:r>
              <w:rPr>
                <w:rFonts w:ascii="Verdana" w:eastAsia="Calibri" w:hAnsi="Verdana" w:cs="Arial"/>
                <w:color w:val="000000" w:themeColor="text1"/>
                <w:lang w:val="es-ES_tradnl" w:eastAsia="es-ES_tradnl"/>
              </w:rPr>
              <w:t>.</w:t>
            </w:r>
          </w:p>
        </w:tc>
      </w:tr>
      <w:tr w:rsidR="00E063F1" w:rsidRPr="00115E3D" w14:paraId="5E86B23B" w14:textId="77777777" w:rsidTr="009B3423">
        <w:trPr>
          <w:trHeight w:val="278"/>
        </w:trPr>
        <w:tc>
          <w:tcPr>
            <w:tcW w:w="2270" w:type="dxa"/>
          </w:tcPr>
          <w:p w14:paraId="319921C5" w14:textId="77777777" w:rsidR="00E063F1" w:rsidRPr="00CB7ABE" w:rsidRDefault="00E063F1" w:rsidP="009B3423">
            <w:pPr>
              <w:jc w:val="both"/>
              <w:rPr>
                <w:rFonts w:ascii="Verdana" w:eastAsia="Calibri" w:hAnsi="Verdana" w:cs="Arial"/>
                <w:b/>
                <w:color w:val="000000" w:themeColor="text1"/>
                <w:lang w:val="es-ES_tradnl" w:eastAsia="es-ES_tradnl"/>
              </w:rPr>
            </w:pPr>
          </w:p>
        </w:tc>
        <w:tc>
          <w:tcPr>
            <w:tcW w:w="6547" w:type="dxa"/>
          </w:tcPr>
          <w:p w14:paraId="5AB14A92" w14:textId="77777777" w:rsidR="00E063F1" w:rsidRPr="00CB7ABE" w:rsidRDefault="00E063F1" w:rsidP="009B3423">
            <w:pPr>
              <w:ind w:right="1"/>
              <w:jc w:val="both"/>
              <w:rPr>
                <w:rFonts w:ascii="Verdana" w:eastAsia="Calibri" w:hAnsi="Verdana" w:cs="Arial"/>
                <w:color w:val="000000" w:themeColor="text1"/>
                <w:lang w:val="es-ES_tradnl" w:eastAsia="es-ES_tradnl"/>
              </w:rPr>
            </w:pPr>
          </w:p>
        </w:tc>
      </w:tr>
    </w:tbl>
    <w:p w14:paraId="7070708D" w14:textId="77777777" w:rsidR="00E063F1" w:rsidRPr="00115E3D" w:rsidRDefault="00E063F1" w:rsidP="00E063F1">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w:t>
      </w:r>
      <w:r w:rsidRPr="00115E3D">
        <w:rPr>
          <w:rFonts w:ascii="Verdana" w:eastAsia="Calibri" w:hAnsi="Verdana" w:cs="Arial"/>
          <w:color w:val="000000" w:themeColor="text1"/>
          <w:lang w:val="es-ES" w:eastAsia="es-ES"/>
        </w:rPr>
        <w:t>stimad</w:t>
      </w:r>
      <w:r>
        <w:rPr>
          <w:rFonts w:ascii="Verdana" w:eastAsia="Calibri" w:hAnsi="Verdana" w:cs="Arial"/>
          <w:color w:val="000000" w:themeColor="text1"/>
          <w:lang w:val="es-ES" w:eastAsia="es-ES"/>
        </w:rPr>
        <w:t xml:space="preserve">o </w:t>
      </w:r>
      <w:r w:rsidRPr="00115E3D">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 xml:space="preserve"> Pineda;</w:t>
      </w:r>
    </w:p>
    <w:p w14:paraId="249AB960" w14:textId="77777777" w:rsidR="00E063F1" w:rsidRPr="00115E3D" w:rsidRDefault="00E063F1" w:rsidP="00E063F1">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5EC65DEE" w14:textId="6ADDAE66" w:rsidR="00E063F1" w:rsidRPr="00115E3D" w:rsidRDefault="00E063F1" w:rsidP="00E063F1">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la Agencia Nacional de Contratación Pública – Colombia Compra Eficiente– responde</w:t>
      </w:r>
      <w:r>
        <w:rPr>
          <w:rFonts w:ascii="Verdana" w:eastAsia="Calibri" w:hAnsi="Verdana" w:cs="Arial"/>
          <w:color w:val="000000" w:themeColor="text1"/>
          <w:lang w:val="es-ES" w:eastAsia="es-ES"/>
        </w:rPr>
        <w:t xml:space="preserve"> a su solicitud radicada ante esta entidad el 20 de mayo de 2026 </w:t>
      </w:r>
      <w:r w:rsidRPr="00115E3D">
        <w:rPr>
          <w:rFonts w:ascii="Verdana" w:eastAsia="Calibri" w:hAnsi="Verdana" w:cs="Arial"/>
          <w:color w:val="000000" w:themeColor="text1"/>
          <w:lang w:val="es-ES" w:eastAsia="es-ES"/>
        </w:rPr>
        <w:t xml:space="preserve">en la cual manifiesta lo siguiente: </w:t>
      </w:r>
    </w:p>
    <w:p w14:paraId="7B0E6D4B" w14:textId="77777777" w:rsidR="00E063F1" w:rsidRPr="005A7413" w:rsidRDefault="00E063F1" w:rsidP="00312211">
      <w:pPr>
        <w:spacing w:after="0" w:line="276" w:lineRule="auto"/>
        <w:ind w:left="709" w:right="709"/>
        <w:jc w:val="both"/>
        <w:rPr>
          <w:rFonts w:ascii="Verdana" w:eastAsia="Century Gothic" w:hAnsi="Verdana" w:cs="Century Gothic"/>
          <w:i/>
          <w:iCs/>
          <w:color w:val="000000" w:themeColor="text1"/>
          <w:sz w:val="20"/>
          <w:szCs w:val="20"/>
          <w:lang w:val="es-ES"/>
        </w:rPr>
      </w:pPr>
      <w:bookmarkStart w:id="1" w:name="_Hlk95313578"/>
    </w:p>
    <w:bookmarkEnd w:id="1"/>
    <w:p w14:paraId="2006B6B9" w14:textId="7DA6C285" w:rsidR="00E063F1" w:rsidRPr="00397C58" w:rsidRDefault="00E063F1" w:rsidP="00F00359">
      <w:pPr>
        <w:spacing w:after="0" w:line="240" w:lineRule="auto"/>
        <w:ind w:left="709" w:right="709"/>
        <w:jc w:val="both"/>
        <w:rPr>
          <w:rFonts w:ascii="Verdana" w:eastAsia="Century Gothic" w:hAnsi="Verdana" w:cs="Century Gothic"/>
          <w:i/>
          <w:iCs/>
          <w:color w:val="000000" w:themeColor="text1"/>
          <w:sz w:val="20"/>
          <w:szCs w:val="20"/>
        </w:rPr>
      </w:pPr>
      <w:r w:rsidRPr="005A7413">
        <w:rPr>
          <w:rFonts w:ascii="Verdana" w:eastAsia="Century Gothic" w:hAnsi="Verdana" w:cs="Century Gothic"/>
          <w:i/>
          <w:iCs/>
          <w:color w:val="000000" w:themeColor="text1"/>
          <w:sz w:val="20"/>
          <w:szCs w:val="20"/>
          <w:lang w:val="es-ES"/>
        </w:rPr>
        <w:t>“</w:t>
      </w:r>
      <w:r w:rsidRPr="00397C58">
        <w:rPr>
          <w:rFonts w:ascii="Verdana" w:eastAsia="Century Gothic" w:hAnsi="Verdana" w:cs="Century Gothic"/>
          <w:i/>
          <w:iCs/>
          <w:color w:val="000000" w:themeColor="text1"/>
          <w:sz w:val="20"/>
          <w:szCs w:val="20"/>
        </w:rPr>
        <w:t>1. ¿Puede una entidad estatal exigir, como requisito habilitante para acreditar la</w:t>
      </w:r>
      <w:r>
        <w:rPr>
          <w:rFonts w:ascii="Verdana" w:eastAsia="Century Gothic" w:hAnsi="Verdana" w:cs="Century Gothic"/>
          <w:i/>
          <w:iCs/>
          <w:color w:val="000000" w:themeColor="text1"/>
          <w:sz w:val="20"/>
          <w:szCs w:val="20"/>
        </w:rPr>
        <w:t xml:space="preserve"> </w:t>
      </w:r>
      <w:r w:rsidRPr="00397C58">
        <w:rPr>
          <w:rFonts w:ascii="Verdana" w:eastAsia="Century Gothic" w:hAnsi="Verdana" w:cs="Century Gothic"/>
          <w:i/>
          <w:iCs/>
          <w:color w:val="000000" w:themeColor="text1"/>
          <w:sz w:val="20"/>
          <w:szCs w:val="20"/>
        </w:rPr>
        <w:t>condición de industria nacional, la presentación de un formato específico por parte</w:t>
      </w:r>
      <w:r>
        <w:rPr>
          <w:rFonts w:ascii="Verdana" w:eastAsia="Century Gothic" w:hAnsi="Verdana" w:cs="Century Gothic"/>
          <w:i/>
          <w:iCs/>
          <w:color w:val="000000" w:themeColor="text1"/>
          <w:sz w:val="20"/>
          <w:szCs w:val="20"/>
        </w:rPr>
        <w:t xml:space="preserve"> </w:t>
      </w:r>
      <w:r w:rsidRPr="00397C58">
        <w:rPr>
          <w:rFonts w:ascii="Verdana" w:eastAsia="Century Gothic" w:hAnsi="Verdana" w:cs="Century Gothic"/>
          <w:i/>
          <w:iCs/>
          <w:color w:val="000000" w:themeColor="text1"/>
          <w:sz w:val="20"/>
          <w:szCs w:val="20"/>
        </w:rPr>
        <w:t>de aseguradoras legalmente autorizadas por la Superintendencia Financiera de</w:t>
      </w:r>
      <w:r>
        <w:rPr>
          <w:rFonts w:ascii="Verdana" w:eastAsia="Century Gothic" w:hAnsi="Verdana" w:cs="Century Gothic"/>
          <w:i/>
          <w:iCs/>
          <w:color w:val="000000" w:themeColor="text1"/>
          <w:sz w:val="20"/>
          <w:szCs w:val="20"/>
        </w:rPr>
        <w:t xml:space="preserve"> </w:t>
      </w:r>
      <w:r w:rsidRPr="00397C58">
        <w:rPr>
          <w:rFonts w:ascii="Verdana" w:eastAsia="Century Gothic" w:hAnsi="Verdana" w:cs="Century Gothic"/>
          <w:i/>
          <w:iCs/>
          <w:color w:val="000000" w:themeColor="text1"/>
          <w:sz w:val="20"/>
          <w:szCs w:val="20"/>
        </w:rPr>
        <w:t>Colombia, cuando dicha condición ya se desprende de los registros y certificaciones</w:t>
      </w:r>
      <w:r>
        <w:rPr>
          <w:rFonts w:ascii="Verdana" w:eastAsia="Century Gothic" w:hAnsi="Verdana" w:cs="Century Gothic"/>
          <w:i/>
          <w:iCs/>
          <w:color w:val="000000" w:themeColor="text1"/>
          <w:sz w:val="20"/>
          <w:szCs w:val="20"/>
        </w:rPr>
        <w:t xml:space="preserve"> </w:t>
      </w:r>
      <w:r w:rsidRPr="00397C58">
        <w:rPr>
          <w:rFonts w:ascii="Verdana" w:eastAsia="Century Gothic" w:hAnsi="Verdana" w:cs="Century Gothic"/>
          <w:i/>
          <w:iCs/>
          <w:color w:val="000000" w:themeColor="text1"/>
          <w:sz w:val="20"/>
          <w:szCs w:val="20"/>
        </w:rPr>
        <w:t>oficiales que acreditan su operación legal en el país?</w:t>
      </w:r>
    </w:p>
    <w:p w14:paraId="2AED2F10" w14:textId="77777777" w:rsidR="00F00359" w:rsidRPr="00397C58" w:rsidRDefault="00F00359" w:rsidP="00312211">
      <w:pPr>
        <w:spacing w:after="0" w:line="240" w:lineRule="auto"/>
        <w:ind w:left="709" w:right="709"/>
        <w:jc w:val="both"/>
        <w:rPr>
          <w:rFonts w:ascii="Verdana" w:eastAsia="Century Gothic" w:hAnsi="Verdana" w:cs="Century Gothic"/>
          <w:i/>
          <w:iCs/>
          <w:color w:val="000000" w:themeColor="text1"/>
          <w:sz w:val="20"/>
          <w:szCs w:val="20"/>
        </w:rPr>
      </w:pPr>
    </w:p>
    <w:p w14:paraId="5CCBE9E2" w14:textId="383FEF4D" w:rsidR="00E063F1" w:rsidRPr="00397C58" w:rsidRDefault="00E063F1" w:rsidP="00312211">
      <w:pPr>
        <w:spacing w:after="0" w:line="240" w:lineRule="auto"/>
        <w:ind w:left="709" w:right="709"/>
        <w:jc w:val="both"/>
        <w:rPr>
          <w:rFonts w:ascii="Verdana" w:eastAsia="Century Gothic" w:hAnsi="Verdana" w:cs="Century Gothic"/>
          <w:i/>
          <w:iCs/>
          <w:color w:val="000000" w:themeColor="text1"/>
          <w:sz w:val="20"/>
          <w:szCs w:val="20"/>
        </w:rPr>
      </w:pPr>
      <w:r w:rsidRPr="00397C58">
        <w:rPr>
          <w:rFonts w:ascii="Verdana" w:eastAsia="Century Gothic" w:hAnsi="Verdana" w:cs="Century Gothic"/>
          <w:i/>
          <w:iCs/>
          <w:color w:val="000000" w:themeColor="text1"/>
          <w:sz w:val="20"/>
          <w:szCs w:val="20"/>
        </w:rPr>
        <w:lastRenderedPageBreak/>
        <w:t>2. ¿El certificado de existencia y representación legal expedido por la</w:t>
      </w:r>
      <w:r w:rsidR="00F00359">
        <w:rPr>
          <w:rFonts w:ascii="Verdana" w:eastAsia="Century Gothic" w:hAnsi="Verdana" w:cs="Century Gothic"/>
          <w:i/>
          <w:iCs/>
          <w:color w:val="000000" w:themeColor="text1"/>
          <w:sz w:val="20"/>
          <w:szCs w:val="20"/>
        </w:rPr>
        <w:t xml:space="preserve"> </w:t>
      </w:r>
      <w:r w:rsidRPr="00397C58">
        <w:rPr>
          <w:rFonts w:ascii="Verdana" w:eastAsia="Century Gothic" w:hAnsi="Verdana" w:cs="Century Gothic"/>
          <w:i/>
          <w:iCs/>
          <w:color w:val="000000" w:themeColor="text1"/>
          <w:sz w:val="20"/>
          <w:szCs w:val="20"/>
        </w:rPr>
        <w:t>Superintendencia Financiera de Colombia, junto con la constancia de autorización</w:t>
      </w:r>
      <w:r>
        <w:rPr>
          <w:rFonts w:ascii="Verdana" w:eastAsia="Century Gothic" w:hAnsi="Verdana" w:cs="Century Gothic"/>
          <w:i/>
          <w:iCs/>
          <w:color w:val="000000" w:themeColor="text1"/>
          <w:sz w:val="20"/>
          <w:szCs w:val="20"/>
        </w:rPr>
        <w:t xml:space="preserve"> </w:t>
      </w:r>
      <w:r w:rsidRPr="00397C58">
        <w:rPr>
          <w:rFonts w:ascii="Verdana" w:eastAsia="Century Gothic" w:hAnsi="Verdana" w:cs="Century Gothic"/>
          <w:i/>
          <w:iCs/>
          <w:color w:val="000000" w:themeColor="text1"/>
          <w:sz w:val="20"/>
          <w:szCs w:val="20"/>
        </w:rPr>
        <w:t>para operar en ramos de seguros, resultan suficientes para acreditar la condición de</w:t>
      </w:r>
      <w:r>
        <w:rPr>
          <w:rFonts w:ascii="Verdana" w:eastAsia="Century Gothic" w:hAnsi="Verdana" w:cs="Century Gothic"/>
          <w:i/>
          <w:iCs/>
          <w:color w:val="000000" w:themeColor="text1"/>
          <w:sz w:val="20"/>
          <w:szCs w:val="20"/>
        </w:rPr>
        <w:t xml:space="preserve"> </w:t>
      </w:r>
      <w:r w:rsidRPr="00397C58">
        <w:rPr>
          <w:rFonts w:ascii="Verdana" w:eastAsia="Century Gothic" w:hAnsi="Verdana" w:cs="Century Gothic"/>
          <w:i/>
          <w:iCs/>
          <w:color w:val="000000" w:themeColor="text1"/>
          <w:sz w:val="20"/>
          <w:szCs w:val="20"/>
        </w:rPr>
        <w:t>industria nacional de una aseguradora en un proceso de contratación estatal, ¿sin necesidad de formato adicional?</w:t>
      </w:r>
    </w:p>
    <w:p w14:paraId="10E305C7" w14:textId="77777777" w:rsidR="00F00359" w:rsidRDefault="00F00359" w:rsidP="00F00359">
      <w:pPr>
        <w:spacing w:after="0" w:line="240" w:lineRule="auto"/>
        <w:ind w:left="709" w:right="709"/>
        <w:jc w:val="both"/>
        <w:rPr>
          <w:rFonts w:ascii="Verdana" w:eastAsia="Century Gothic" w:hAnsi="Verdana" w:cs="Century Gothic"/>
          <w:i/>
          <w:iCs/>
          <w:color w:val="000000" w:themeColor="text1"/>
          <w:sz w:val="20"/>
          <w:szCs w:val="20"/>
        </w:rPr>
      </w:pPr>
    </w:p>
    <w:p w14:paraId="15D86470" w14:textId="63B7794D" w:rsidR="00E063F1" w:rsidRPr="00397C58" w:rsidRDefault="00E063F1" w:rsidP="00F00359">
      <w:pPr>
        <w:spacing w:after="0" w:line="240" w:lineRule="auto"/>
        <w:ind w:left="709" w:right="709"/>
        <w:jc w:val="both"/>
        <w:rPr>
          <w:rFonts w:ascii="Verdana" w:eastAsia="Century Gothic" w:hAnsi="Verdana" w:cs="Century Gothic"/>
          <w:i/>
          <w:iCs/>
          <w:color w:val="000000" w:themeColor="text1"/>
          <w:sz w:val="20"/>
          <w:szCs w:val="20"/>
        </w:rPr>
      </w:pPr>
      <w:r w:rsidRPr="00397C58">
        <w:rPr>
          <w:rFonts w:ascii="Verdana" w:eastAsia="Century Gothic" w:hAnsi="Verdana" w:cs="Century Gothic"/>
          <w:i/>
          <w:iCs/>
          <w:color w:val="000000" w:themeColor="text1"/>
          <w:sz w:val="20"/>
          <w:szCs w:val="20"/>
        </w:rPr>
        <w:t>3. En aplicación del principio de prevalencia del derecho sustancial sobre la forma,</w:t>
      </w:r>
      <w:r>
        <w:rPr>
          <w:rFonts w:ascii="Verdana" w:eastAsia="Century Gothic" w:hAnsi="Verdana" w:cs="Century Gothic"/>
          <w:i/>
          <w:iCs/>
          <w:color w:val="000000" w:themeColor="text1"/>
          <w:sz w:val="20"/>
          <w:szCs w:val="20"/>
        </w:rPr>
        <w:t xml:space="preserve"> </w:t>
      </w:r>
      <w:r w:rsidRPr="00397C58">
        <w:rPr>
          <w:rFonts w:ascii="Verdana" w:eastAsia="Century Gothic" w:hAnsi="Verdana" w:cs="Century Gothic"/>
          <w:i/>
          <w:iCs/>
          <w:color w:val="000000" w:themeColor="text1"/>
          <w:sz w:val="20"/>
          <w:szCs w:val="20"/>
        </w:rPr>
        <w:t>consagrado en el artículo 228 de la Constitución Política y en el artículo 5 de la Ley</w:t>
      </w:r>
      <w:r>
        <w:rPr>
          <w:rFonts w:ascii="Verdana" w:eastAsia="Century Gothic" w:hAnsi="Verdana" w:cs="Century Gothic"/>
          <w:i/>
          <w:iCs/>
          <w:color w:val="000000" w:themeColor="text1"/>
          <w:sz w:val="20"/>
          <w:szCs w:val="20"/>
        </w:rPr>
        <w:t xml:space="preserve"> </w:t>
      </w:r>
      <w:r w:rsidRPr="00397C58">
        <w:rPr>
          <w:rFonts w:ascii="Verdana" w:eastAsia="Century Gothic" w:hAnsi="Verdana" w:cs="Century Gothic"/>
          <w:i/>
          <w:iCs/>
          <w:color w:val="000000" w:themeColor="text1"/>
          <w:sz w:val="20"/>
          <w:szCs w:val="20"/>
        </w:rPr>
        <w:t>80 de 1993, ¿puede una entidad estatal rechazar la oferta de una aseguradora</w:t>
      </w:r>
      <w:r>
        <w:rPr>
          <w:rFonts w:ascii="Verdana" w:eastAsia="Century Gothic" w:hAnsi="Verdana" w:cs="Century Gothic"/>
          <w:i/>
          <w:iCs/>
          <w:color w:val="000000" w:themeColor="text1"/>
          <w:sz w:val="20"/>
          <w:szCs w:val="20"/>
        </w:rPr>
        <w:t xml:space="preserve"> </w:t>
      </w:r>
      <w:r w:rsidRPr="00397C58">
        <w:rPr>
          <w:rFonts w:ascii="Verdana" w:eastAsia="Century Gothic" w:hAnsi="Verdana" w:cs="Century Gothic"/>
          <w:i/>
          <w:iCs/>
          <w:color w:val="000000" w:themeColor="text1"/>
          <w:sz w:val="20"/>
          <w:szCs w:val="20"/>
        </w:rPr>
        <w:t>habilitada por la SFC, únicamente por no haber diligenciado un formato</w:t>
      </w:r>
      <w:r>
        <w:rPr>
          <w:rFonts w:ascii="Verdana" w:eastAsia="Century Gothic" w:hAnsi="Verdana" w:cs="Century Gothic"/>
          <w:i/>
          <w:iCs/>
          <w:color w:val="000000" w:themeColor="text1"/>
          <w:sz w:val="20"/>
          <w:szCs w:val="20"/>
        </w:rPr>
        <w:t xml:space="preserve"> </w:t>
      </w:r>
      <w:r w:rsidRPr="00397C58">
        <w:rPr>
          <w:rFonts w:ascii="Verdana" w:eastAsia="Century Gothic" w:hAnsi="Verdana" w:cs="Century Gothic"/>
          <w:i/>
          <w:iCs/>
          <w:color w:val="000000" w:themeColor="text1"/>
          <w:sz w:val="20"/>
          <w:szCs w:val="20"/>
        </w:rPr>
        <w:t>predeterminado para acreditar industria nacional, cuando la condición sustancial</w:t>
      </w:r>
      <w:r>
        <w:rPr>
          <w:rFonts w:ascii="Verdana" w:eastAsia="Century Gothic" w:hAnsi="Verdana" w:cs="Century Gothic"/>
          <w:i/>
          <w:iCs/>
          <w:color w:val="000000" w:themeColor="text1"/>
          <w:sz w:val="20"/>
          <w:szCs w:val="20"/>
        </w:rPr>
        <w:t xml:space="preserve"> </w:t>
      </w:r>
      <w:r w:rsidRPr="00397C58">
        <w:rPr>
          <w:rFonts w:ascii="Verdana" w:eastAsia="Century Gothic" w:hAnsi="Verdana" w:cs="Century Gothic"/>
          <w:i/>
          <w:iCs/>
          <w:color w:val="000000" w:themeColor="text1"/>
          <w:sz w:val="20"/>
          <w:szCs w:val="20"/>
        </w:rPr>
        <w:t>está plenamente acreditada mediante documentos oficiales?</w:t>
      </w:r>
    </w:p>
    <w:p w14:paraId="10B57716" w14:textId="77777777" w:rsidR="00F00359" w:rsidRPr="00397C58" w:rsidRDefault="00F00359" w:rsidP="00312211">
      <w:pPr>
        <w:spacing w:after="0" w:line="240" w:lineRule="auto"/>
        <w:ind w:left="709" w:right="709"/>
        <w:jc w:val="both"/>
        <w:rPr>
          <w:rFonts w:ascii="Verdana" w:eastAsia="Century Gothic" w:hAnsi="Verdana" w:cs="Century Gothic"/>
          <w:i/>
          <w:iCs/>
          <w:color w:val="000000" w:themeColor="text1"/>
          <w:sz w:val="20"/>
          <w:szCs w:val="20"/>
        </w:rPr>
      </w:pPr>
    </w:p>
    <w:p w14:paraId="2991CE4B" w14:textId="07CC3F22" w:rsidR="00E063F1" w:rsidRPr="005A7413" w:rsidRDefault="00E063F1" w:rsidP="00312211">
      <w:pPr>
        <w:spacing w:after="0" w:line="240" w:lineRule="auto"/>
        <w:ind w:left="709" w:right="709"/>
        <w:jc w:val="both"/>
        <w:rPr>
          <w:rFonts w:ascii="Verdana" w:eastAsia="Century Gothic" w:hAnsi="Verdana" w:cs="Century Gothic"/>
          <w:i/>
          <w:iCs/>
          <w:color w:val="000000" w:themeColor="text1"/>
          <w:sz w:val="20"/>
          <w:szCs w:val="20"/>
          <w:lang w:val="es-ES"/>
        </w:rPr>
      </w:pPr>
      <w:r w:rsidRPr="00397C58">
        <w:rPr>
          <w:rFonts w:ascii="Verdana" w:eastAsia="Century Gothic" w:hAnsi="Verdana" w:cs="Century Gothic"/>
          <w:i/>
          <w:iCs/>
          <w:color w:val="000000" w:themeColor="text1"/>
          <w:sz w:val="20"/>
          <w:szCs w:val="20"/>
        </w:rPr>
        <w:t>4. ¿Constituye el control permanente sobre capital y reservas técnicas que ejerce la</w:t>
      </w:r>
      <w:r>
        <w:rPr>
          <w:rFonts w:ascii="Verdana" w:eastAsia="Century Gothic" w:hAnsi="Verdana" w:cs="Century Gothic"/>
          <w:i/>
          <w:iCs/>
          <w:color w:val="000000" w:themeColor="text1"/>
          <w:sz w:val="20"/>
          <w:szCs w:val="20"/>
        </w:rPr>
        <w:t xml:space="preserve"> </w:t>
      </w:r>
      <w:r w:rsidRPr="00397C58">
        <w:rPr>
          <w:rFonts w:ascii="Verdana" w:eastAsia="Century Gothic" w:hAnsi="Verdana" w:cs="Century Gothic"/>
          <w:i/>
          <w:iCs/>
          <w:color w:val="000000" w:themeColor="text1"/>
          <w:sz w:val="20"/>
          <w:szCs w:val="20"/>
        </w:rPr>
        <w:t>Superintendencia Financiera de Colombia sobre las aseguradoras, una garantía</w:t>
      </w:r>
      <w:r>
        <w:rPr>
          <w:rFonts w:ascii="Verdana" w:eastAsia="Century Gothic" w:hAnsi="Verdana" w:cs="Century Gothic"/>
          <w:i/>
          <w:iCs/>
          <w:color w:val="000000" w:themeColor="text1"/>
          <w:sz w:val="20"/>
          <w:szCs w:val="20"/>
        </w:rPr>
        <w:t xml:space="preserve"> </w:t>
      </w:r>
      <w:r w:rsidRPr="00397C58">
        <w:rPr>
          <w:rFonts w:ascii="Verdana" w:eastAsia="Century Gothic" w:hAnsi="Verdana" w:cs="Century Gothic"/>
          <w:i/>
          <w:iCs/>
          <w:color w:val="000000" w:themeColor="text1"/>
          <w:sz w:val="20"/>
          <w:szCs w:val="20"/>
        </w:rPr>
        <w:t>suficiente del cumplimiento sustancial de los criterios de industria nacional, de modo</w:t>
      </w:r>
      <w:r>
        <w:rPr>
          <w:rFonts w:ascii="Verdana" w:eastAsia="Century Gothic" w:hAnsi="Verdana" w:cs="Century Gothic"/>
          <w:i/>
          <w:iCs/>
          <w:color w:val="000000" w:themeColor="text1"/>
          <w:sz w:val="20"/>
          <w:szCs w:val="20"/>
        </w:rPr>
        <w:t xml:space="preserve"> </w:t>
      </w:r>
      <w:r w:rsidRPr="00397C58">
        <w:rPr>
          <w:rFonts w:ascii="Verdana" w:eastAsia="Century Gothic" w:hAnsi="Verdana" w:cs="Century Gothic"/>
          <w:i/>
          <w:iCs/>
          <w:color w:val="000000" w:themeColor="text1"/>
          <w:sz w:val="20"/>
          <w:szCs w:val="20"/>
        </w:rPr>
        <w:t>que la exigencia adicional de formatos específicos resulta innecesaria y contraria a</w:t>
      </w:r>
      <w:r>
        <w:rPr>
          <w:rFonts w:ascii="Verdana" w:eastAsia="Century Gothic" w:hAnsi="Verdana" w:cs="Century Gothic"/>
          <w:i/>
          <w:iCs/>
          <w:color w:val="000000" w:themeColor="text1"/>
          <w:sz w:val="20"/>
          <w:szCs w:val="20"/>
        </w:rPr>
        <w:t xml:space="preserve"> </w:t>
      </w:r>
      <w:r w:rsidRPr="00397C58">
        <w:rPr>
          <w:rFonts w:ascii="Verdana" w:eastAsia="Century Gothic" w:hAnsi="Verdana" w:cs="Century Gothic"/>
          <w:i/>
          <w:iCs/>
          <w:color w:val="000000" w:themeColor="text1"/>
          <w:sz w:val="20"/>
          <w:szCs w:val="20"/>
        </w:rPr>
        <w:t>los principios de economía y eficiencia de la contratación pública?</w:t>
      </w:r>
      <w:r w:rsidR="00F00359">
        <w:rPr>
          <w:rFonts w:ascii="Verdana" w:eastAsia="Century Gothic" w:hAnsi="Verdana" w:cs="Century Gothic"/>
          <w:i/>
          <w:iCs/>
          <w:color w:val="000000" w:themeColor="text1"/>
          <w:sz w:val="20"/>
          <w:szCs w:val="20"/>
          <w:lang w:val="es-MX"/>
        </w:rPr>
        <w:t>”</w:t>
      </w:r>
    </w:p>
    <w:p w14:paraId="59A3D029" w14:textId="77777777" w:rsidR="00E063F1" w:rsidRDefault="00E063F1" w:rsidP="00312211">
      <w:pPr>
        <w:spacing w:after="0" w:line="240" w:lineRule="auto"/>
        <w:ind w:left="709" w:right="850"/>
        <w:jc w:val="both"/>
        <w:rPr>
          <w:rFonts w:ascii="Verdana" w:eastAsia="Century Gothic" w:hAnsi="Verdana" w:cs="Century Gothic"/>
          <w:i/>
          <w:iCs/>
          <w:color w:val="000000" w:themeColor="text1"/>
          <w:sz w:val="20"/>
          <w:szCs w:val="20"/>
          <w:lang w:val="es-ES"/>
        </w:rPr>
      </w:pPr>
    </w:p>
    <w:p w14:paraId="48D1475A" w14:textId="6383942B" w:rsidR="00E063F1" w:rsidRPr="00115E3D" w:rsidRDefault="00E063F1" w:rsidP="00312211">
      <w:pPr>
        <w:spacing w:after="120" w:line="276" w:lineRule="auto"/>
        <w:ind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De manera preliminar, resulta necesario acotar que esta entidad solo tiene competencia para responder consultas sobre la aplicación de normas de carác</w:t>
      </w:r>
      <w:r>
        <w:rPr>
          <w:rFonts w:ascii="Verdana" w:eastAsia="Calibri" w:hAnsi="Verdana" w:cs="Arial"/>
          <w:color w:val="000000" w:themeColor="text1"/>
          <w:lang w:val="es-ES" w:eastAsia="es-ES"/>
        </w:rPr>
        <w:t>t</w:t>
      </w:r>
      <w:r w:rsidRPr="00115E3D">
        <w:rPr>
          <w:rFonts w:ascii="Verdana" w:eastAsia="Calibri" w:hAnsi="Verdana" w:cs="Arial"/>
          <w:color w:val="000000" w:themeColor="text1"/>
          <w:lang w:val="es-ES" w:eastAsia="es-ES"/>
        </w:rPr>
        <w:t xml:space="preserve">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1FAB1ED7" w14:textId="77777777" w:rsidR="00E063F1" w:rsidRPr="00115E3D" w:rsidRDefault="00E063F1" w:rsidP="00E063F1">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02CADB1A" w14:textId="77777777" w:rsidR="00E063F1" w:rsidRDefault="00E063F1" w:rsidP="00E063F1">
      <w:pPr>
        <w:spacing w:after="0" w:line="276" w:lineRule="auto"/>
        <w:ind w:firstLine="709"/>
        <w:jc w:val="both"/>
        <w:rPr>
          <w:rFonts w:ascii="Verdana" w:eastAsia="Calibri" w:hAnsi="Verdana" w:cs="Arial"/>
          <w:color w:val="000000" w:themeColor="text1"/>
          <w:lang w:val="es-ES" w:eastAsia="es-ES"/>
        </w:rPr>
      </w:pPr>
    </w:p>
    <w:p w14:paraId="3B442261" w14:textId="77777777" w:rsidR="00E063F1" w:rsidRPr="00115E3D" w:rsidRDefault="00E063F1" w:rsidP="00E063F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3FE7A3FB" w14:textId="77777777" w:rsidR="00E063F1" w:rsidRPr="00115E3D" w:rsidRDefault="00E063F1" w:rsidP="00E063F1">
      <w:pPr>
        <w:tabs>
          <w:tab w:val="left" w:pos="426"/>
        </w:tabs>
        <w:spacing w:after="0" w:line="276" w:lineRule="auto"/>
        <w:jc w:val="both"/>
        <w:rPr>
          <w:rFonts w:ascii="Verdana" w:eastAsia="Century Gothic" w:hAnsi="Verdana" w:cs="Century Gothic"/>
          <w:color w:val="000000" w:themeColor="text1"/>
          <w:lang w:val="es-ES"/>
        </w:rPr>
      </w:pPr>
    </w:p>
    <w:p w14:paraId="348A9C44" w14:textId="77777777" w:rsidR="00E063F1" w:rsidRDefault="00E063F1" w:rsidP="00E063F1">
      <w:pPr>
        <w:spacing w:after="0" w:line="276" w:lineRule="auto"/>
        <w:jc w:val="both"/>
        <w:rPr>
          <w:rFonts w:ascii="Verdana" w:eastAsia="Century Gothic" w:hAnsi="Verdana" w:cs="Century Gothic"/>
          <w:color w:val="000000" w:themeColor="text1"/>
        </w:rPr>
      </w:pPr>
      <w:r w:rsidRPr="00115E3D">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el siguiente</w:t>
      </w:r>
      <w:r w:rsidRPr="00115E3D">
        <w:rPr>
          <w:rFonts w:ascii="Verdana" w:eastAsia="Century Gothic" w:hAnsi="Verdana" w:cs="Century Gothic"/>
          <w:color w:val="000000" w:themeColor="text1"/>
        </w:rPr>
        <w:t xml:space="preserve"> problema jurídico:</w:t>
      </w:r>
      <w:r>
        <w:rPr>
          <w:rFonts w:ascii="Verdana" w:eastAsia="Century Gothic" w:hAnsi="Verdana" w:cs="Century Gothic"/>
          <w:color w:val="000000" w:themeColor="text1"/>
        </w:rPr>
        <w:t xml:space="preserve"> </w:t>
      </w:r>
      <w:r w:rsidRPr="0022184A">
        <w:rPr>
          <w:rFonts w:ascii="Verdana" w:eastAsia="Century Gothic" w:hAnsi="Verdana" w:cs="Century Gothic"/>
          <w:color w:val="000000" w:themeColor="text1"/>
        </w:rPr>
        <w:t>¿Puede una entidad estatal exigir un formato específico para acreditar la condición de industria nacional de una aseguradora, cuando dicha condición ya se encuentra demostrada mediante documentos oficiales expedidos por la Superintendencia Financiera de Colombia?</w:t>
      </w:r>
    </w:p>
    <w:p w14:paraId="567B957F" w14:textId="77777777" w:rsidR="00E063F1" w:rsidRDefault="00E063F1" w:rsidP="00E063F1">
      <w:pPr>
        <w:spacing w:after="0" w:line="276" w:lineRule="auto"/>
        <w:jc w:val="both"/>
        <w:rPr>
          <w:rFonts w:ascii="Verdana" w:eastAsia="Century Gothic" w:hAnsi="Verdana" w:cs="Century Gothic"/>
          <w:color w:val="000000" w:themeColor="text1"/>
        </w:rPr>
      </w:pPr>
    </w:p>
    <w:p w14:paraId="5E2311A9" w14:textId="77777777" w:rsidR="00E063F1" w:rsidRPr="00115E3D" w:rsidRDefault="00E063F1" w:rsidP="0031221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312211">
        <w:rPr>
          <w:rFonts w:ascii="Verdana" w:eastAsia="Century Gothic" w:hAnsi="Verdana" w:cs="Century Gothic"/>
          <w:b/>
          <w:color w:val="000000" w:themeColor="text1"/>
        </w:rPr>
        <w:t xml:space="preserve"> </w:t>
      </w:r>
      <w:r w:rsidRPr="00115E3D">
        <w:rPr>
          <w:rFonts w:ascii="Verdana" w:eastAsia="Century Gothic" w:hAnsi="Verdana" w:cs="Century Gothic"/>
          <w:b/>
          <w:bCs/>
          <w:color w:val="000000" w:themeColor="text1"/>
        </w:rPr>
        <w:t>Respuesta:</w:t>
      </w:r>
    </w:p>
    <w:p w14:paraId="02696926" w14:textId="77777777" w:rsidR="00E063F1" w:rsidRPr="00115E3D" w:rsidRDefault="00E063F1" w:rsidP="00E063F1">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063F1" w:rsidRPr="00115E3D" w14:paraId="1D33DC40" w14:textId="77777777" w:rsidTr="009B3423">
        <w:trPr>
          <w:trHeight w:val="774"/>
        </w:trPr>
        <w:tc>
          <w:tcPr>
            <w:tcW w:w="8828" w:type="dxa"/>
          </w:tcPr>
          <w:p w14:paraId="39AB023A" w14:textId="65478B52" w:rsidR="00E063F1" w:rsidRPr="00373089" w:rsidRDefault="00E063F1" w:rsidP="009B3423">
            <w:pPr>
              <w:spacing w:after="120" w:line="276" w:lineRule="auto"/>
              <w:jc w:val="both"/>
              <w:rPr>
                <w:rFonts w:ascii="Verdana" w:eastAsia="Arial" w:hAnsi="Verdana" w:cs="Arial"/>
              </w:rPr>
            </w:pPr>
            <w:r>
              <w:rPr>
                <w:rFonts w:ascii="Verdana" w:eastAsia="Arial" w:hAnsi="Verdana" w:cs="Arial"/>
              </w:rPr>
              <w:t>De manera preliminar es pertinente indicar que</w:t>
            </w:r>
            <w:r w:rsidRPr="00373089">
              <w:rPr>
                <w:rFonts w:ascii="Verdana" w:eastAsia="Arial" w:hAnsi="Verdana" w:cs="Arial"/>
              </w:rPr>
              <w:t xml:space="preserve"> las Entidades Estatales gozan de autonomía para estructurar los documentos del proceso y determinar la forma de acreditación de los requisitos habilitantes y demás condiciones exigidas a los oferentes.</w:t>
            </w:r>
            <w:r w:rsidR="00F00359">
              <w:rPr>
                <w:rFonts w:ascii="Verdana" w:eastAsia="Arial" w:hAnsi="Verdana" w:cs="Arial"/>
              </w:rPr>
              <w:t xml:space="preserve"> </w:t>
            </w:r>
            <w:r w:rsidRPr="00373089">
              <w:rPr>
                <w:rFonts w:ascii="Verdana" w:eastAsia="Arial" w:hAnsi="Verdana" w:cs="Arial"/>
              </w:rPr>
              <w:t>No obstante, esta facultad no es absoluta</w:t>
            </w:r>
            <w:r>
              <w:rPr>
                <w:rFonts w:ascii="Verdana" w:eastAsia="Arial" w:hAnsi="Verdana" w:cs="Arial"/>
              </w:rPr>
              <w:t xml:space="preserve"> ya que d</w:t>
            </w:r>
            <w:r w:rsidRPr="00373089">
              <w:rPr>
                <w:rFonts w:ascii="Verdana" w:eastAsia="Arial" w:hAnsi="Verdana" w:cs="Arial"/>
              </w:rPr>
              <w:t>e conformidad con el artículo 5 de la Ley 1150 de 2007, los requisitos y exigencias incorporados en los documentos del proceso deben ser adecuados y proporcionales a la naturaleza del contrato y a su valor, de manera que guarden relación con la finalidad perseguida y no constituyan barreras injustificadas para la participación de los interesados.</w:t>
            </w:r>
          </w:p>
          <w:p w14:paraId="70814E1F" w14:textId="77777777" w:rsidR="00E063F1" w:rsidRPr="00373089" w:rsidRDefault="00E063F1" w:rsidP="009B3423">
            <w:pPr>
              <w:spacing w:after="120" w:line="276" w:lineRule="auto"/>
              <w:jc w:val="both"/>
              <w:rPr>
                <w:rFonts w:ascii="Verdana" w:eastAsia="Arial" w:hAnsi="Verdana" w:cs="Arial"/>
              </w:rPr>
            </w:pPr>
            <w:r>
              <w:rPr>
                <w:rFonts w:ascii="Verdana" w:eastAsia="Arial" w:hAnsi="Verdana" w:cs="Arial"/>
              </w:rPr>
              <w:t xml:space="preserve">         </w:t>
            </w:r>
            <w:r w:rsidRPr="00373089">
              <w:rPr>
                <w:rFonts w:ascii="Verdana" w:eastAsia="Arial" w:hAnsi="Verdana" w:cs="Arial"/>
              </w:rPr>
              <w:t>En este sentido, corresponde a la Entidad Estatal evaluar si la exigencia de un formato específico para acreditar la condición de industria nacional de una compañía aseguradora resulta adecuada y necesaria frente a la información que ya reposa en documentos oficiales expedidos por autoridad competente, tales como el certificado de existencia y representación legal expedido por la Superintendencia Financiera de Colombia y la constancia de autorización para operar los respectivos ramos de seguros.</w:t>
            </w:r>
          </w:p>
          <w:p w14:paraId="2B9F0069" w14:textId="77777777" w:rsidR="00E063F1" w:rsidRPr="00373089" w:rsidRDefault="00E063F1" w:rsidP="009B3423">
            <w:pPr>
              <w:spacing w:after="120" w:line="276" w:lineRule="auto"/>
              <w:jc w:val="both"/>
              <w:rPr>
                <w:rFonts w:ascii="Verdana" w:eastAsia="Arial" w:hAnsi="Verdana" w:cs="Arial"/>
              </w:rPr>
            </w:pPr>
            <w:r>
              <w:rPr>
                <w:rFonts w:ascii="Verdana" w:eastAsia="Arial" w:hAnsi="Verdana" w:cs="Arial"/>
              </w:rPr>
              <w:t xml:space="preserve">         </w:t>
            </w:r>
            <w:r w:rsidRPr="00373089">
              <w:rPr>
                <w:rFonts w:ascii="Verdana" w:eastAsia="Arial" w:hAnsi="Verdana" w:cs="Arial"/>
              </w:rPr>
              <w:t xml:space="preserve">Sobre este aspecto, resulta pertinente traer a colación lo expuesto por </w:t>
            </w:r>
            <w:r>
              <w:rPr>
                <w:rFonts w:ascii="Verdana" w:eastAsia="Arial" w:hAnsi="Verdana" w:cs="Arial"/>
              </w:rPr>
              <w:t xml:space="preserve">esta Subdirección Contractual </w:t>
            </w:r>
            <w:r w:rsidRPr="00373089">
              <w:rPr>
                <w:rFonts w:ascii="Verdana" w:eastAsia="Arial" w:hAnsi="Verdana" w:cs="Arial"/>
              </w:rPr>
              <w:t>en el Concepto C-1649 del 22 de diciembre de 2025, en el cual se indicó que, aunque las entidades cuentan con discrecionalidad para definir la forma de acreditación de los requisitos exigidos en sus procesos de contratación, corresponde a la Administración evaluar la verdadera necesidad de los documentos solicitados frente a la finalidad perseguida, evitando la exigencia de requisitos adicionales o superfluos que no aporten valor a la verificación de las condiciones requeridas.</w:t>
            </w:r>
          </w:p>
          <w:p w14:paraId="0DDF8D72" w14:textId="77777777" w:rsidR="00E063F1" w:rsidRPr="00373089" w:rsidRDefault="00E063F1" w:rsidP="009B3423">
            <w:pPr>
              <w:spacing w:after="120" w:line="276" w:lineRule="auto"/>
              <w:jc w:val="both"/>
              <w:rPr>
                <w:rFonts w:ascii="Verdana" w:eastAsia="Arial" w:hAnsi="Verdana" w:cs="Arial"/>
              </w:rPr>
            </w:pPr>
            <w:r>
              <w:rPr>
                <w:rFonts w:ascii="Verdana" w:eastAsia="Arial" w:hAnsi="Verdana" w:cs="Arial"/>
              </w:rPr>
              <w:t xml:space="preserve">          </w:t>
            </w:r>
            <w:r w:rsidRPr="00373089">
              <w:rPr>
                <w:rFonts w:ascii="Verdana" w:eastAsia="Arial" w:hAnsi="Verdana" w:cs="Arial"/>
              </w:rPr>
              <w:t xml:space="preserve">En efecto, si la información que pretende acreditarse mediante un formato determinado ya se encuentra contenida en documentos con plena </w:t>
            </w:r>
            <w:r w:rsidRPr="00373089">
              <w:rPr>
                <w:rFonts w:ascii="Verdana" w:eastAsia="Arial" w:hAnsi="Verdana" w:cs="Arial"/>
              </w:rPr>
              <w:lastRenderedPageBreak/>
              <w:t>validez probatoria expedidos por la autoridad competente, corresponde a la Entidad analizar si la exigencia adicional del formato aporta un elemento sustancial para la verificación del requisito o si, por el contrario, constituye una simple reiteración de información ya acreditada.</w:t>
            </w:r>
          </w:p>
          <w:p w14:paraId="544204F6" w14:textId="3A628D75" w:rsidR="00E063F1" w:rsidRDefault="00E063F1" w:rsidP="009B3423">
            <w:pPr>
              <w:spacing w:after="120" w:line="276" w:lineRule="auto"/>
              <w:jc w:val="both"/>
              <w:rPr>
                <w:rFonts w:ascii="Verdana" w:eastAsia="Arial" w:hAnsi="Verdana" w:cs="Arial"/>
              </w:rPr>
            </w:pPr>
            <w:r>
              <w:rPr>
                <w:rFonts w:ascii="Verdana" w:eastAsia="Arial" w:hAnsi="Verdana" w:cs="Arial"/>
              </w:rPr>
              <w:t xml:space="preserve">        </w:t>
            </w:r>
            <w:r w:rsidRPr="00373089">
              <w:rPr>
                <w:rFonts w:ascii="Verdana" w:eastAsia="Arial" w:hAnsi="Verdana" w:cs="Arial"/>
              </w:rPr>
              <w:t>Particularmente</w:t>
            </w:r>
            <w:r w:rsidR="00F00359">
              <w:rPr>
                <w:rFonts w:ascii="Verdana" w:eastAsia="Arial" w:hAnsi="Verdana" w:cs="Arial"/>
              </w:rPr>
              <w:t>,</w:t>
            </w:r>
            <w:r w:rsidRPr="00373089">
              <w:rPr>
                <w:rFonts w:ascii="Verdana" w:eastAsia="Arial" w:hAnsi="Verdana" w:cs="Arial"/>
              </w:rPr>
              <w:t xml:space="preserve"> en el caso de las compañías de seguros, debe tenerse en cuenta que la actividad aseguradora es una actividad sometida a autorización previa y vigilancia permanente de la Superintendencia Financiera de Colombia. En consecuencia, los certificados expedidos por dicha autoridad permiten verificar aspectos esenciales relacionados con la existencia jurídica de la entidad, su representación legal y su habilitación para desarrollar la actividad aseguradora en el territorio nacional.</w:t>
            </w:r>
          </w:p>
          <w:p w14:paraId="03C53434" w14:textId="77777777" w:rsidR="00E063F1" w:rsidRDefault="00E063F1" w:rsidP="009B3423">
            <w:pPr>
              <w:spacing w:after="120" w:line="276" w:lineRule="auto"/>
              <w:jc w:val="both"/>
              <w:rPr>
                <w:rFonts w:ascii="Verdana" w:eastAsia="Arial" w:hAnsi="Verdana" w:cs="Arial"/>
              </w:rPr>
            </w:pPr>
            <w:r>
              <w:rPr>
                <w:rFonts w:ascii="Verdana" w:eastAsia="Arial" w:hAnsi="Verdana" w:cs="Arial"/>
              </w:rPr>
              <w:t xml:space="preserve">         </w:t>
            </w:r>
            <w:r w:rsidRPr="00373089">
              <w:rPr>
                <w:rFonts w:ascii="Verdana" w:eastAsia="Arial" w:hAnsi="Verdana" w:cs="Arial"/>
              </w:rPr>
              <w:t>Por lo anterior, cuando la condición que se pretende verificar puede establecerse a partir de documentos oficiales expedidos por autoridad competente, corresponde a la Entidad Estatal valorar si la exigencia de formatos adicionales resulta necesaria para el cumplimiento de los fines de la contratación, en observancia de los principios de economía, eficiencia y selección objetiva.</w:t>
            </w:r>
          </w:p>
          <w:p w14:paraId="3F705268" w14:textId="77777777" w:rsidR="00E063F1" w:rsidRPr="00373089" w:rsidRDefault="00E063F1" w:rsidP="009B3423">
            <w:pPr>
              <w:spacing w:after="120" w:line="276" w:lineRule="auto"/>
              <w:jc w:val="both"/>
              <w:rPr>
                <w:rFonts w:ascii="Verdana" w:eastAsia="Arial" w:hAnsi="Verdana" w:cs="Arial"/>
              </w:rPr>
            </w:pPr>
            <w:r>
              <w:rPr>
                <w:rFonts w:ascii="Verdana" w:eastAsia="Arial" w:hAnsi="Verdana" w:cs="Arial"/>
              </w:rPr>
              <w:t xml:space="preserve">         </w:t>
            </w:r>
            <w:r w:rsidRPr="00373089">
              <w:rPr>
                <w:rFonts w:ascii="Verdana" w:eastAsia="Arial" w:hAnsi="Verdana" w:cs="Arial"/>
              </w:rPr>
              <w:t>Sin perjuicio de lo anterior, y reconociendo la autonomía de las Entidades Estatales para estructurar sus procesos de contratación, corresponde a cada entidad definir la forma de acreditación de los requisitos exigidos en sus documentos del proceso y determinar, en cada caso concreto, si la información aportada por el oferente satisface las condiciones establecidas para la participación.</w:t>
            </w:r>
          </w:p>
          <w:p w14:paraId="53163D5E" w14:textId="77777777" w:rsidR="00E063F1" w:rsidRPr="00B643B2" w:rsidRDefault="00E063F1" w:rsidP="009B3423">
            <w:pPr>
              <w:spacing w:after="120" w:line="276" w:lineRule="auto"/>
              <w:jc w:val="both"/>
              <w:rPr>
                <w:rFonts w:ascii="Verdana" w:eastAsia="Calibri" w:hAnsi="Verdana"/>
              </w:rPr>
            </w:pPr>
            <w:r w:rsidRPr="009C504B">
              <w:rPr>
                <w:rFonts w:ascii="Verdana" w:eastAsia="Arial" w:hAnsi="Verdana" w:cs="Arial"/>
              </w:rPr>
              <w:t xml:space="preserve"> </w:t>
            </w:r>
            <w:r>
              <w:rPr>
                <w:rFonts w:ascii="Verdana" w:eastAsia="Calibri" w:hAnsi="Verdana"/>
              </w:rPr>
              <w:t xml:space="preserve">        </w:t>
            </w:r>
            <w:r w:rsidRPr="00B643B2">
              <w:rPr>
                <w:rFonts w:ascii="Verdana" w:eastAsia="Calibri" w:hAnsi="Verdana"/>
              </w:rPr>
              <w:t>Finalmente, debe advertirse que el análisis para resolver problemas específicos en torno a los procesos de contratación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adoptar la decisión y, en caso de conflicto, a las autoridades judiciales, fiscales y disciplinarias.</w:t>
            </w:r>
          </w:p>
          <w:p w14:paraId="173D13F8" w14:textId="77777777" w:rsidR="00E063F1" w:rsidRPr="0029110A" w:rsidRDefault="00E063F1" w:rsidP="009B3423">
            <w:pPr>
              <w:spacing w:after="120" w:line="276" w:lineRule="auto"/>
              <w:jc w:val="both"/>
              <w:rPr>
                <w:rFonts w:ascii="Verdana" w:eastAsia="Calibri" w:hAnsi="Verdana" w:cs="Times New Roman"/>
                <w:lang w:val="es-ES"/>
              </w:rPr>
            </w:pPr>
            <w:r>
              <w:rPr>
                <w:rFonts w:ascii="Verdana" w:eastAsia="Calibri" w:hAnsi="Verdana"/>
              </w:rPr>
              <w:t xml:space="preserve">          </w:t>
            </w:r>
            <w:r w:rsidRPr="00B643B2">
              <w:rPr>
                <w:rFonts w:ascii="Verdana" w:eastAsia="Calibri" w:hAnsi="Verdana"/>
              </w:rPr>
              <w:t xml:space="preserve">En ese sentido, al tratarse de un análisis que debe realizarse en un procedimiento contractual específico, esta Agencia no puede definir un criterio universal y absoluto por vía consultiva, sino que brinda elementos de carácter </w:t>
            </w:r>
            <w:r w:rsidRPr="00B643B2">
              <w:rPr>
                <w:rFonts w:ascii="Verdana" w:eastAsia="Calibri" w:hAnsi="Verdana"/>
              </w:rPr>
              <w:lastRenderedPageBreak/>
              <w:t>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bl>
    <w:p w14:paraId="484B2287" w14:textId="77777777" w:rsidR="00E063F1" w:rsidRDefault="00E063F1" w:rsidP="00E063F1">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05786080" w14:textId="77777777" w:rsidR="00E063F1" w:rsidRDefault="00E063F1" w:rsidP="00E063F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761ABE9A" w14:textId="77777777" w:rsidR="00E063F1" w:rsidRDefault="00E063F1" w:rsidP="00E063F1">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7B0F0B4F" w14:textId="77777777" w:rsidR="00E063F1" w:rsidRPr="00275B0F" w:rsidRDefault="00E063F1" w:rsidP="00312211">
      <w:pPr>
        <w:spacing w:after="120" w:line="276" w:lineRule="auto"/>
        <w:jc w:val="both"/>
        <w:rPr>
          <w:rFonts w:ascii="Verdana" w:hAnsi="Verdana" w:cs="Arial"/>
          <w:bCs/>
          <w:lang w:val="es-ES_tradnl" w:eastAsia="es-ES" w:bidi="es-ES"/>
        </w:rPr>
      </w:pPr>
      <w:r w:rsidRPr="00275B0F">
        <w:rPr>
          <w:rFonts w:ascii="Verdana" w:hAnsi="Verdana" w:cs="Arial"/>
          <w:bCs/>
          <w:lang w:val="es-ES_tradnl" w:eastAsia="es-ES" w:bidi="es-ES"/>
        </w:rPr>
        <w:t xml:space="preserve">Los </w:t>
      </w:r>
      <w:r w:rsidRPr="000D5099">
        <w:rPr>
          <w:rFonts w:ascii="Verdana" w:hAnsi="Verdana" w:cs="Arial"/>
          <w:bCs/>
          <w:lang w:val="es-ES_tradnl" w:eastAsia="es-ES" w:bidi="es-ES"/>
        </w:rPr>
        <w:t>requisitos habilitantes</w:t>
      </w:r>
      <w:r w:rsidRPr="00275B0F">
        <w:rPr>
          <w:rFonts w:ascii="Verdana" w:hAnsi="Verdana" w:cs="Arial"/>
          <w:bCs/>
          <w:lang w:val="es-ES_tradnl" w:eastAsia="es-ES" w:bidi="es-ES"/>
        </w:rPr>
        <w:t xml:space="preserve"> se definen como exigencias de participación en los procedimientos de selección, establecidas en disposiciones normativas de carácter legal o reglamentario, o contenidas en el acto administrativo que regula las reglas de la convocatoria, es decir, en el pliego de condiciones o el documento equivalente a este. Se diferencian de los </w:t>
      </w:r>
      <w:r w:rsidRPr="00275B0F">
        <w:rPr>
          <w:rFonts w:ascii="Verdana" w:hAnsi="Verdana" w:cs="Arial"/>
          <w:bCs/>
          <w:i/>
          <w:iCs/>
          <w:lang w:val="es-ES_tradnl" w:eastAsia="es-ES" w:bidi="es-ES"/>
        </w:rPr>
        <w:t>criterios de evaluación</w:t>
      </w:r>
      <w:r w:rsidRPr="00275B0F">
        <w:rPr>
          <w:rFonts w:ascii="Verdana" w:hAnsi="Verdana" w:cs="Arial"/>
          <w:bCs/>
          <w:lang w:val="es-ES_tradnl" w:eastAsia="es-ES" w:bidi="es-ES"/>
        </w:rPr>
        <w:t xml:space="preserve"> –también conocidos como </w:t>
      </w:r>
      <w:r w:rsidRPr="00275B0F">
        <w:rPr>
          <w:rFonts w:ascii="Verdana" w:hAnsi="Verdana" w:cs="Arial"/>
          <w:bCs/>
          <w:i/>
          <w:iCs/>
          <w:lang w:val="es-ES_tradnl" w:eastAsia="es-ES" w:bidi="es-ES"/>
        </w:rPr>
        <w:t>criterios de calificación</w:t>
      </w:r>
      <w:r w:rsidRPr="00275B0F">
        <w:rPr>
          <w:rFonts w:ascii="Verdana" w:hAnsi="Verdana" w:cs="Arial"/>
          <w:bCs/>
          <w:lang w:val="es-ES_tradnl" w:eastAsia="es-ES" w:bidi="es-ES"/>
        </w:rPr>
        <w:t xml:space="preserve">– en que estos son los factores definidos por la Entidad Estatal para la asignación de puntaje en el momento de la comparación de las ofertas, y que, a partir de su ponderación, permiten establecer el orden de elegibilidad y, por ende, la propuesta ganadora. </w:t>
      </w:r>
    </w:p>
    <w:p w14:paraId="0B31CF29" w14:textId="77777777" w:rsidR="00E063F1" w:rsidRPr="00275B0F" w:rsidRDefault="00E063F1" w:rsidP="00E063F1">
      <w:pPr>
        <w:spacing w:after="120" w:line="276" w:lineRule="auto"/>
        <w:ind w:firstLine="708"/>
        <w:jc w:val="both"/>
        <w:rPr>
          <w:rFonts w:ascii="Verdana" w:eastAsia="Calibri" w:hAnsi="Verdana" w:cs="Arial"/>
          <w:lang w:val="es-ES" w:eastAsia="es-MX"/>
        </w:rPr>
      </w:pPr>
      <w:bookmarkStart w:id="2" w:name="_Hlk191626670"/>
      <w:r>
        <w:rPr>
          <w:rFonts w:ascii="Verdana" w:eastAsia="Calibri" w:hAnsi="Verdana" w:cs="Arial"/>
          <w:lang w:val="es-ES" w:eastAsia="es-MX"/>
        </w:rPr>
        <w:t>Asi las cosas, l</w:t>
      </w:r>
      <w:r w:rsidRPr="00275B0F">
        <w:rPr>
          <w:rFonts w:ascii="Verdana" w:eastAsia="Calibri" w:hAnsi="Verdana" w:cs="Arial"/>
          <w:lang w:val="es-ES" w:eastAsia="es-MX"/>
        </w:rPr>
        <w:t xml:space="preserve">os requisitos habilitantes constituyen los requisitos mínimos con los que deben cumplir los proponentes para poder participar en el procedimiento de selección, razón por la que los mismos no se valoran con un puntaje tendiente a determinar el orden de escogencia, sino que se analizan como criterios previos a la evaluación en sentido estricto. De esta manera, quienes no los reúnan no pueden continuar en el procedimiento de selección, es decir, incurren en causal de rechazo. </w:t>
      </w:r>
      <w:bookmarkEnd w:id="2"/>
      <w:r w:rsidRPr="00275B0F">
        <w:rPr>
          <w:rFonts w:ascii="Verdana" w:eastAsia="Calibri" w:hAnsi="Verdana" w:cs="Arial"/>
          <w:lang w:val="es-ES" w:eastAsia="es-MX"/>
        </w:rPr>
        <w:t xml:space="preserve">Esto, sin perjuicio del derecho que tienen los oferentes de subsanar los defectos que se presenten en la prueba de tales requisitos, de conformidad con el </w:t>
      </w:r>
      <w:bookmarkStart w:id="3" w:name="_Hlk191626971"/>
      <w:r w:rsidRPr="00275B0F">
        <w:rPr>
          <w:rFonts w:ascii="Verdana" w:eastAsia="Calibri" w:hAnsi="Verdana" w:cs="Arial"/>
          <w:lang w:val="es-ES" w:eastAsia="es-MX"/>
        </w:rPr>
        <w:t>artículo 5, parágrafos 1º al 4º, de la Ley 1150 de 2007</w:t>
      </w:r>
      <w:bookmarkEnd w:id="3"/>
      <w:r w:rsidRPr="00275B0F">
        <w:rPr>
          <w:rFonts w:ascii="Verdana" w:eastAsia="Calibri" w:hAnsi="Verdana" w:cs="Arial"/>
          <w:lang w:val="es-ES" w:eastAsia="es-MX"/>
        </w:rPr>
        <w:t>.</w:t>
      </w:r>
    </w:p>
    <w:p w14:paraId="10E51C4F" w14:textId="77777777" w:rsidR="00E063F1" w:rsidRPr="00275B0F" w:rsidRDefault="00E063F1" w:rsidP="00E063F1">
      <w:pPr>
        <w:spacing w:after="120" w:line="276" w:lineRule="auto"/>
        <w:ind w:firstLine="708"/>
        <w:jc w:val="both"/>
        <w:rPr>
          <w:rFonts w:ascii="Verdana" w:hAnsi="Verdana" w:cs="Arial"/>
          <w:color w:val="000000" w:themeColor="text1"/>
          <w:lang w:val="es-ES_tradnl"/>
        </w:rPr>
      </w:pPr>
      <w:r w:rsidRPr="00275B0F">
        <w:rPr>
          <w:rFonts w:ascii="Verdana" w:hAnsi="Verdana" w:cs="Arial"/>
          <w:color w:val="000000" w:themeColor="text1"/>
          <w:lang w:val="es-ES_tradnl"/>
        </w:rPr>
        <w:t>El mencionado artículo dispone que se considera objetiva la selección en la cual la escogencia se haga al ofrecimiento más favorable a la Entidad y a los fines que ella busca, sin tener en consideración factores de afecto o de interés y, en general, cualquier clase de motivación subjetiva</w:t>
      </w:r>
      <w:r w:rsidRPr="00275B0F">
        <w:rPr>
          <w:rFonts w:ascii="Verdana" w:hAnsi="Verdana" w:cs="Arial"/>
          <w:i/>
          <w:iCs/>
          <w:color w:val="000000" w:themeColor="text1"/>
          <w:lang w:val="es-ES_tradnl"/>
        </w:rPr>
        <w:t>.</w:t>
      </w:r>
      <w:r w:rsidRPr="00275B0F">
        <w:rPr>
          <w:rFonts w:ascii="Verdana" w:hAnsi="Verdana" w:cs="Arial"/>
          <w:color w:val="000000" w:themeColor="text1"/>
          <w:lang w:val="es-ES_tradnl"/>
        </w:rPr>
        <w:t xml:space="preserve"> En ese contexto, los factores de escogencia y calificación que establezcan las Entidades en los pliegos de condiciones o en sus documentos equivalentes deberán tener en cuenta, entre otras cuestiones, los criterios establecidos en dicha disposición. </w:t>
      </w:r>
    </w:p>
    <w:p w14:paraId="407BAFF5" w14:textId="77777777" w:rsidR="00E063F1" w:rsidRPr="00275B0F" w:rsidRDefault="00E063F1" w:rsidP="00E063F1">
      <w:pPr>
        <w:spacing w:after="0" w:line="276" w:lineRule="auto"/>
        <w:ind w:firstLine="708"/>
        <w:jc w:val="both"/>
        <w:rPr>
          <w:rFonts w:ascii="Verdana" w:hAnsi="Verdana" w:cs="Arial"/>
          <w:bCs/>
          <w:lang w:val="es-ES" w:eastAsia="es-ES" w:bidi="es-ES"/>
        </w:rPr>
      </w:pPr>
      <w:r w:rsidRPr="00275B0F">
        <w:rPr>
          <w:rFonts w:ascii="Verdana" w:hAnsi="Verdana" w:cs="Arial"/>
          <w:bCs/>
          <w:lang w:val="es-ES" w:eastAsia="es-ES" w:bidi="es-ES"/>
        </w:rPr>
        <w:lastRenderedPageBreak/>
        <w:t xml:space="preserve">Específicamente, el numeral 1º del artículo 5 de la Ley 1150 de 2007 establece que, en los procesos de selección de contratistas, serán objeto de verificación, como requisitos habilitantes, </w:t>
      </w:r>
      <w:r w:rsidRPr="00275B0F">
        <w:rPr>
          <w:rFonts w:ascii="Verdana" w:hAnsi="Verdana" w:cs="Arial"/>
          <w:bCs/>
          <w:i/>
          <w:iCs/>
          <w:lang w:val="es-ES" w:eastAsia="es-ES" w:bidi="es-ES"/>
        </w:rPr>
        <w:t>entre otros</w:t>
      </w:r>
      <w:r w:rsidRPr="00275B0F">
        <w:rPr>
          <w:rFonts w:ascii="Verdana" w:hAnsi="Verdana" w:cs="Arial"/>
          <w:bCs/>
          <w:lang w:val="es-ES" w:eastAsia="es-ES" w:bidi="es-ES"/>
        </w:rPr>
        <w:t>, los siguientes: (i) la capacidad jurídica; (ii) la experiencia; (iii) la capacidad financiera y (iv) la capacidad de organización. En efecto, la normativa citada prescribe:</w:t>
      </w:r>
    </w:p>
    <w:p w14:paraId="641A18C0" w14:textId="77777777" w:rsidR="00E063F1" w:rsidRPr="00275B0F" w:rsidRDefault="00E063F1" w:rsidP="00E063F1">
      <w:pPr>
        <w:spacing w:after="0" w:line="276" w:lineRule="auto"/>
        <w:ind w:firstLine="708"/>
        <w:jc w:val="both"/>
        <w:rPr>
          <w:rFonts w:ascii="Verdana" w:hAnsi="Verdana" w:cs="Arial"/>
          <w:bCs/>
          <w:lang w:val="es-ES" w:eastAsia="es-ES" w:bidi="es-ES"/>
        </w:rPr>
      </w:pPr>
    </w:p>
    <w:p w14:paraId="58347A48" w14:textId="77777777" w:rsidR="00E063F1" w:rsidRPr="00275B0F" w:rsidRDefault="00E063F1" w:rsidP="00E063F1">
      <w:pPr>
        <w:spacing w:after="0" w:line="240" w:lineRule="auto"/>
        <w:ind w:left="709" w:right="709"/>
        <w:jc w:val="both"/>
        <w:rPr>
          <w:rFonts w:ascii="Verdana" w:hAnsi="Verdana" w:cs="Arial"/>
          <w:sz w:val="20"/>
          <w:szCs w:val="20"/>
          <w:lang w:val="es-ES_tradnl" w:eastAsia="es-ES" w:bidi="es-ES"/>
        </w:rPr>
      </w:pPr>
      <w:r w:rsidRPr="00275B0F">
        <w:rPr>
          <w:rFonts w:ascii="Verdana" w:hAnsi="Verdana" w:cs="Arial"/>
          <w:i/>
          <w:sz w:val="20"/>
          <w:szCs w:val="20"/>
          <w:lang w:val="es-ES_tradnl" w:eastAsia="es-ES" w:bidi="es-ES"/>
        </w:rPr>
        <w:t>“</w:t>
      </w:r>
      <w:r w:rsidRPr="00275B0F">
        <w:rPr>
          <w:rFonts w:ascii="Verdana" w:hAnsi="Verdana" w:cs="Arial"/>
          <w:sz w:val="20"/>
          <w:szCs w:val="20"/>
          <w:lang w:val="es-ES_tradnl" w:eastAsia="es-ES" w:bidi="es-ES"/>
        </w:rPr>
        <w:t xml:space="preserve">Artículo 5. De la Selección Objetiva. </w:t>
      </w:r>
    </w:p>
    <w:p w14:paraId="7043F1A6" w14:textId="77777777" w:rsidR="00E063F1" w:rsidRPr="00275B0F" w:rsidRDefault="00E063F1" w:rsidP="00E063F1">
      <w:pPr>
        <w:spacing w:after="0" w:line="240" w:lineRule="auto"/>
        <w:ind w:left="709" w:right="709"/>
        <w:jc w:val="both"/>
        <w:rPr>
          <w:rFonts w:ascii="Verdana" w:hAnsi="Verdana" w:cs="Arial"/>
          <w:sz w:val="20"/>
          <w:szCs w:val="20"/>
          <w:lang w:val="es-ES_tradnl" w:eastAsia="es-ES" w:bidi="es-ES"/>
        </w:rPr>
      </w:pPr>
      <w:r w:rsidRPr="00275B0F">
        <w:rPr>
          <w:rFonts w:ascii="Verdana" w:hAnsi="Verdana" w:cs="Arial"/>
          <w:sz w:val="20"/>
          <w:szCs w:val="20"/>
          <w:lang w:val="es-ES_tradnl" w:eastAsia="es-ES" w:bidi="es-ES"/>
        </w:rPr>
        <w:t>[…]</w:t>
      </w:r>
    </w:p>
    <w:p w14:paraId="799A50CE" w14:textId="77777777" w:rsidR="00E063F1" w:rsidRPr="00275B0F" w:rsidRDefault="00E063F1" w:rsidP="00E063F1">
      <w:pPr>
        <w:spacing w:after="0" w:line="240" w:lineRule="auto"/>
        <w:ind w:left="709" w:right="709"/>
        <w:jc w:val="both"/>
        <w:rPr>
          <w:rFonts w:ascii="Verdana" w:hAnsi="Verdana" w:cs="Arial"/>
          <w:sz w:val="20"/>
          <w:szCs w:val="20"/>
          <w:lang w:val="es-ES" w:eastAsia="es-ES" w:bidi="es-ES"/>
        </w:rPr>
      </w:pPr>
      <w:r w:rsidRPr="00275B0F">
        <w:rPr>
          <w:rFonts w:ascii="Verdana" w:hAnsi="Verdana" w:cs="Arial"/>
          <w:sz w:val="20"/>
          <w:szCs w:val="20"/>
          <w:lang w:val="es-ES" w:eastAsia="es-ES" w:bidi="es-ES"/>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p>
    <w:p w14:paraId="301AF76E" w14:textId="77777777" w:rsidR="00E063F1" w:rsidRPr="00275B0F" w:rsidRDefault="00E063F1" w:rsidP="00E063F1">
      <w:pPr>
        <w:spacing w:after="0" w:line="276" w:lineRule="auto"/>
        <w:ind w:right="709"/>
        <w:jc w:val="both"/>
        <w:rPr>
          <w:rFonts w:ascii="Verdana" w:hAnsi="Verdana" w:cs="Arial"/>
          <w:lang w:val="es-ES" w:eastAsia="es-ES" w:bidi="es-ES"/>
        </w:rPr>
      </w:pPr>
    </w:p>
    <w:p w14:paraId="159315E6" w14:textId="5C59E523" w:rsidR="00E063F1" w:rsidRDefault="00E063F1" w:rsidP="00F00359">
      <w:pPr>
        <w:spacing w:after="0" w:line="276" w:lineRule="auto"/>
        <w:ind w:firstLine="708"/>
        <w:jc w:val="both"/>
        <w:rPr>
          <w:rFonts w:ascii="Verdana" w:eastAsia="Times New Roman" w:hAnsi="Verdana" w:cs="Arial"/>
          <w:lang w:val="es-ES_tradnl" w:eastAsia="es-MX"/>
        </w:rPr>
      </w:pPr>
      <w:bookmarkStart w:id="4" w:name="_Hlk99547809"/>
      <w:bookmarkStart w:id="5" w:name="_Hlk99546625"/>
      <w:r w:rsidRPr="00275B0F">
        <w:rPr>
          <w:rFonts w:ascii="Verdana" w:eastAsia="Times New Roman" w:hAnsi="Verdana" w:cs="Arial"/>
          <w:lang w:val="es-ES_tradnl" w:eastAsia="es-MX"/>
        </w:rPr>
        <w:t xml:space="preserve">La Agencia Nacional de Contratación Pública – Colombia Compra Eficiente ha defendido el carácter </w:t>
      </w:r>
      <w:bookmarkStart w:id="6" w:name="_Hlk99547799"/>
      <w:r w:rsidRPr="00275B0F">
        <w:rPr>
          <w:rFonts w:ascii="Verdana" w:eastAsia="Times New Roman" w:hAnsi="Verdana" w:cs="Arial"/>
          <w:lang w:val="es-ES_tradnl" w:eastAsia="es-MX"/>
        </w:rPr>
        <w:t xml:space="preserve">enunciativo del listado de los requisitos habilitantes contenidos en el numeral 1 del artículo 5 de la Ley 1150 de 2007, en la medida en que la mencionada disposición, al referirse a los requisitos habilitantes, no contiene una expresión como “únicamente” o “solo”, de la que pueda colegirse la taxatividad de los requisitos señalados. </w:t>
      </w:r>
      <w:bookmarkEnd w:id="4"/>
      <w:bookmarkEnd w:id="6"/>
      <w:r w:rsidRPr="00275B0F">
        <w:rPr>
          <w:rFonts w:ascii="Verdana" w:eastAsia="Times New Roman" w:hAnsi="Verdana" w:cs="Arial"/>
          <w:lang w:val="es-ES_tradnl" w:eastAsia="es-MX"/>
        </w:rPr>
        <w:t>Esta conclusión además se apoya en una la lectura integral de las normas que regulan la contratación estatal, en virtud de la cual es posible evidenciar que existen otras condiciones que deben cumplirse para la contratación con Entidades Estatales, de las que derivan requisitos habilitantes, como sucede, por ejemplo, con la capacidad residual a la que se refiere el artículo 6º, parágrafo 1, de la Ley 1150 de 2007</w:t>
      </w:r>
      <w:bookmarkEnd w:id="5"/>
      <w:r w:rsidRPr="00275B0F">
        <w:rPr>
          <w:rFonts w:ascii="Verdana" w:eastAsia="Times New Roman" w:hAnsi="Verdana" w:cs="Arial"/>
          <w:vertAlign w:val="superscript"/>
          <w:lang w:val="es-ES_tradnl" w:eastAsia="es-MX"/>
        </w:rPr>
        <w:footnoteReference w:id="2"/>
      </w:r>
      <w:r w:rsidRPr="00275B0F">
        <w:rPr>
          <w:rFonts w:ascii="Verdana" w:eastAsia="Times New Roman" w:hAnsi="Verdana" w:cs="Arial"/>
          <w:lang w:val="es-ES_tradnl" w:eastAsia="es-MX"/>
        </w:rPr>
        <w:t xml:space="preserve">. </w:t>
      </w:r>
    </w:p>
    <w:p w14:paraId="7FB84E6C" w14:textId="77777777" w:rsidR="00F00359" w:rsidRPr="00275B0F" w:rsidRDefault="00F00359" w:rsidP="00312211">
      <w:pPr>
        <w:spacing w:after="0" w:line="276" w:lineRule="auto"/>
        <w:ind w:firstLine="708"/>
        <w:jc w:val="both"/>
        <w:rPr>
          <w:rFonts w:ascii="Verdana" w:eastAsia="Times New Roman" w:hAnsi="Verdana" w:cs="Arial"/>
          <w:highlight w:val="cyan"/>
          <w:lang w:val="es-ES_tradnl" w:eastAsia="es-MX"/>
        </w:rPr>
      </w:pPr>
    </w:p>
    <w:p w14:paraId="46BBD15A" w14:textId="25A7179F" w:rsidR="00E063F1" w:rsidRPr="00275B0F" w:rsidRDefault="00E063F1" w:rsidP="00E063F1">
      <w:pPr>
        <w:spacing w:after="120" w:line="276" w:lineRule="auto"/>
        <w:jc w:val="both"/>
        <w:rPr>
          <w:rFonts w:ascii="Verdana" w:hAnsi="Verdana" w:cs="Arial"/>
          <w:bCs/>
          <w:lang w:val="es-ES" w:eastAsia="es-ES" w:bidi="es-ES"/>
        </w:rPr>
      </w:pPr>
      <w:r>
        <w:rPr>
          <w:rFonts w:ascii="Verdana" w:eastAsia="Times New Roman" w:hAnsi="Verdana" w:cs="Arial"/>
          <w:lang w:val="es-ES" w:eastAsia="es-MX"/>
        </w:rPr>
        <w:t>ii.</w:t>
      </w:r>
      <w:r w:rsidR="00F00359" w:rsidRPr="00135131">
        <w:rPr>
          <w:rFonts w:ascii="Verdana" w:eastAsia="Times New Roman" w:hAnsi="Verdana" w:cs="Arial"/>
          <w:lang w:val="es-ES" w:eastAsia="es-MX"/>
        </w:rPr>
        <w:t xml:space="preserve"> </w:t>
      </w:r>
      <w:r w:rsidRPr="00275B0F">
        <w:rPr>
          <w:rFonts w:ascii="Verdana" w:eastAsia="Times New Roman" w:hAnsi="Verdana" w:cs="Arial"/>
          <w:lang w:val="es-ES" w:eastAsia="es-MX"/>
        </w:rPr>
        <w:t xml:space="preserve">Por otro lado, </w:t>
      </w:r>
      <w:r w:rsidRPr="00275B0F">
        <w:rPr>
          <w:rFonts w:ascii="Verdana" w:hAnsi="Verdana" w:cs="Arial"/>
          <w:bCs/>
          <w:lang w:val="es-ES" w:eastAsia="es-ES" w:bidi="es-ES"/>
        </w:rPr>
        <w:t xml:space="preserve">el artículo 5 de la Ley 1150 de 2007 dispone que se considera </w:t>
      </w:r>
      <w:r w:rsidRPr="00275B0F">
        <w:rPr>
          <w:rFonts w:ascii="Verdana" w:hAnsi="Verdana" w:cs="Arial"/>
          <w:bCs/>
          <w:i/>
          <w:iCs/>
          <w:lang w:val="es-ES" w:eastAsia="es-ES" w:bidi="es-ES"/>
        </w:rPr>
        <w:t xml:space="preserve">“objetiva la selección en la cual la escogencia se haga al ofrecimiento más </w:t>
      </w:r>
      <w:r w:rsidRPr="00275B0F">
        <w:rPr>
          <w:rFonts w:ascii="Verdana" w:hAnsi="Verdana" w:cs="Arial"/>
          <w:bCs/>
          <w:i/>
          <w:iCs/>
          <w:lang w:val="es-ES" w:eastAsia="es-ES" w:bidi="es-ES"/>
        </w:rPr>
        <w:lastRenderedPageBreak/>
        <w:t>favorable a la entidad y a los fines que ella busca, sin tener en consideración factores de afecto o de interés y, en general, cualquier clase de motivación subjetiva”.</w:t>
      </w:r>
      <w:r w:rsidRPr="00275B0F">
        <w:rPr>
          <w:rFonts w:ascii="Verdana" w:hAnsi="Verdana" w:cs="Arial"/>
          <w:bCs/>
          <w:lang w:val="es-ES" w:eastAsia="es-ES" w:bidi="es-ES"/>
        </w:rPr>
        <w:t xml:space="preserve"> En ese contexto, los factores de escogencia y calificación que establezcan las Entidades en los pliegos de condiciones o sus documentos equivalentes deberán tener en cuenta, entre otras cuestiones, el deber de selección objetiva, según los criterios establecidos en dicha disposición. </w:t>
      </w:r>
    </w:p>
    <w:p w14:paraId="2E5B3766" w14:textId="77777777" w:rsidR="00E063F1" w:rsidRPr="00275B0F" w:rsidRDefault="00E063F1" w:rsidP="00E063F1">
      <w:pPr>
        <w:spacing w:after="120" w:line="276" w:lineRule="auto"/>
        <w:ind w:firstLine="708"/>
        <w:jc w:val="both"/>
        <w:rPr>
          <w:rFonts w:ascii="Verdana" w:hAnsi="Verdana" w:cs="Arial"/>
          <w:bCs/>
          <w:lang w:val="es-ES" w:eastAsia="es-ES" w:bidi="es-ES"/>
        </w:rPr>
      </w:pPr>
      <w:bookmarkStart w:id="7" w:name="_Hlk214518420"/>
      <w:r w:rsidRPr="00275B0F">
        <w:rPr>
          <w:rFonts w:ascii="Verdana" w:hAnsi="Verdana" w:cs="Arial"/>
          <w:bCs/>
          <w:lang w:val="es-ES" w:eastAsia="es-ES" w:bidi="es-ES"/>
        </w:rPr>
        <w:t xml:space="preserve">En especial, señala la Ley que los criterios habilitantes que determine la Entidad deberán ser </w:t>
      </w:r>
      <w:r w:rsidRPr="00312211">
        <w:rPr>
          <w:rFonts w:ascii="Verdana" w:hAnsi="Verdana" w:cs="Arial"/>
          <w:i/>
          <w:lang w:val="es-ES" w:eastAsia="es-ES" w:bidi="es-ES"/>
        </w:rPr>
        <w:t>adecuados y proporcionales</w:t>
      </w:r>
      <w:r w:rsidRPr="00312211">
        <w:rPr>
          <w:rFonts w:ascii="Verdana" w:hAnsi="Verdana" w:cs="Arial"/>
          <w:lang w:val="es-ES" w:eastAsia="es-ES" w:bidi="es-ES"/>
        </w:rPr>
        <w:t xml:space="preserve"> a la naturaleza del contrato a suscribir y a su valor. De esta manera, las condiciones habilitantes que no resulten adecuadas para determinar la idoneidad o capacidad del proponente para cumplir con el objeto del contrato, o que sean desproporcionados frente a este, serán contrarias al deber de selección objetiva.</w:t>
      </w:r>
    </w:p>
    <w:bookmarkEnd w:id="7"/>
    <w:p w14:paraId="7C690564" w14:textId="77777777" w:rsidR="00E063F1" w:rsidRDefault="00E063F1" w:rsidP="00E063F1">
      <w:pPr>
        <w:spacing w:after="120" w:line="276" w:lineRule="auto"/>
        <w:ind w:firstLine="708"/>
        <w:jc w:val="both"/>
        <w:rPr>
          <w:rFonts w:ascii="Verdana" w:eastAsia="Times New Roman" w:hAnsi="Verdana" w:cs="Arial"/>
          <w:lang w:val="es-ES" w:eastAsia="es-MX"/>
        </w:rPr>
      </w:pPr>
      <w:r w:rsidRPr="00275B0F">
        <w:rPr>
          <w:rFonts w:ascii="Verdana" w:eastAsia="Times New Roman" w:hAnsi="Verdana" w:cs="Arial"/>
          <w:lang w:val="es-ES" w:eastAsia="es-MX"/>
        </w:rPr>
        <w:t xml:space="preserve">En línea con lo anterior, el </w:t>
      </w:r>
      <w:bookmarkStart w:id="8" w:name="_Hlk191627190"/>
      <w:r w:rsidRPr="00275B0F">
        <w:rPr>
          <w:rFonts w:ascii="Verdana" w:eastAsia="Times New Roman" w:hAnsi="Verdana" w:cs="Arial"/>
          <w:lang w:val="es-ES" w:eastAsia="es-MX"/>
        </w:rPr>
        <w:t>“Manual para determinar y verificar los requisitos habilitantes en los Procesos de Contratación</w:t>
      </w:r>
      <w:bookmarkEnd w:id="8"/>
      <w:r w:rsidRPr="00275B0F">
        <w:rPr>
          <w:rFonts w:ascii="Verdana" w:eastAsia="Times New Roman" w:hAnsi="Verdana" w:cs="Arial"/>
          <w:lang w:val="es-ES" w:eastAsia="es-MX"/>
        </w:rPr>
        <w:t>”</w:t>
      </w:r>
      <w:r w:rsidRPr="00275B0F">
        <w:rPr>
          <w:rFonts w:ascii="Verdana" w:eastAsia="Times New Roman" w:hAnsi="Verdana" w:cs="Arial"/>
          <w:vertAlign w:val="superscript"/>
          <w:lang w:val="es-ES" w:eastAsia="es-MX"/>
        </w:rPr>
        <w:footnoteReference w:id="3"/>
      </w:r>
      <w:r w:rsidRPr="00275B0F">
        <w:rPr>
          <w:rFonts w:ascii="Verdana" w:eastAsia="Calibri" w:hAnsi="Verdana" w:cs="Arial"/>
          <w:lang w:val="es-ES" w:eastAsia="es-MX"/>
        </w:rPr>
        <w:t>,</w:t>
      </w:r>
      <w:r w:rsidRPr="00275B0F">
        <w:rPr>
          <w:rFonts w:ascii="Verdana" w:eastAsia="Times New Roman" w:hAnsi="Verdana" w:cs="Arial"/>
          <w:lang w:val="es-ES" w:eastAsia="es-MX"/>
        </w:rPr>
        <w:t xml:space="preserve"> expedido por la </w:t>
      </w:r>
      <w:r w:rsidRPr="00275B0F">
        <w:rPr>
          <w:rFonts w:ascii="Verdana" w:eastAsia="Calibri" w:hAnsi="Verdana" w:cs="Arial"/>
          <w:lang w:val="es-ES" w:eastAsia="es-MX"/>
        </w:rPr>
        <w:t>Agencia Nacional de Contratación Pública – Colombia Compra Eficiente,</w:t>
      </w:r>
      <w:r w:rsidRPr="00275B0F">
        <w:rPr>
          <w:rFonts w:ascii="Verdana" w:eastAsia="Times New Roman" w:hAnsi="Verdana" w:cs="Arial"/>
          <w:lang w:val="es-ES" w:eastAsia="es-MX"/>
        </w:rPr>
        <w:t xml:space="preserve"> determinó los parámetros para establecer, acreditar y subsanar los requisitos habilitantes. Al respecto, precisa que estos tienen como fin primordial medir “</w:t>
      </w:r>
      <w:bookmarkStart w:id="9" w:name="_Hlk191627260"/>
      <w:r w:rsidRPr="00275B0F">
        <w:rPr>
          <w:rFonts w:ascii="Verdana" w:eastAsia="Times New Roman" w:hAnsi="Verdana" w:cs="Arial"/>
          <w:lang w:val="es-ES" w:eastAsia="es-MX"/>
        </w:rPr>
        <w:t xml:space="preserve">la aptitud del proponente para participar en un Proceso de Contratación como oferente y eventualmente asumir la ejecución del contrato, por lo que están referidos a su capacidad jurídica, financiera, organizacional y experiencia”. </w:t>
      </w:r>
      <w:bookmarkEnd w:id="9"/>
      <w:r w:rsidRPr="00275B0F">
        <w:rPr>
          <w:rFonts w:ascii="Verdana" w:eastAsia="Times New Roman" w:hAnsi="Verdana" w:cs="Arial"/>
          <w:lang w:val="es-ES" w:eastAsia="es-MX"/>
        </w:rPr>
        <w:t xml:space="preserve">De acuerdo con el Manual, su propósito consiste en “establecer unas condiciones mínimas </w:t>
      </w:r>
      <w:r w:rsidRPr="00275B0F">
        <w:rPr>
          <w:rFonts w:ascii="Verdana" w:eastAsia="Times New Roman" w:hAnsi="Verdana" w:cs="Arial"/>
          <w:lang w:eastAsia="es-MX"/>
        </w:rPr>
        <w:t>para la participación en los procedimientos de selección, establecidas en disposiciones normativas</w:t>
      </w:r>
      <w:r w:rsidRPr="00275B0F">
        <w:rPr>
          <w:rFonts w:ascii="Verdana" w:eastAsia="Times New Roman" w:hAnsi="Verdana" w:cs="Arial"/>
          <w:lang w:val="es-ES" w:eastAsia="es-MX"/>
        </w:rPr>
        <w:t>”.</w:t>
      </w:r>
    </w:p>
    <w:p w14:paraId="6400B627" w14:textId="79633A89" w:rsidR="00E063F1" w:rsidRPr="00273F2C" w:rsidRDefault="00E063F1" w:rsidP="00E063F1">
      <w:pPr>
        <w:spacing w:after="120" w:line="276" w:lineRule="auto"/>
        <w:ind w:firstLine="708"/>
        <w:jc w:val="both"/>
        <w:rPr>
          <w:rStyle w:val="normaltextrun"/>
          <w:rFonts w:ascii="Verdana" w:eastAsia="Times New Roman" w:hAnsi="Verdana" w:cs="Arial"/>
          <w:lang w:val="es-ES" w:eastAsia="es-MX"/>
        </w:rPr>
      </w:pPr>
      <w:r>
        <w:rPr>
          <w:rStyle w:val="normaltextrun"/>
          <w:rFonts w:ascii="Verdana" w:hAnsi="Verdana" w:cs="Arial"/>
          <w:color w:val="000000"/>
          <w:shd w:val="clear" w:color="auto" w:fill="FFFFFF"/>
          <w:lang w:val="es-ES"/>
        </w:rPr>
        <w:t xml:space="preserve">Asi las </w:t>
      </w:r>
      <w:r w:rsidRPr="00135131">
        <w:rPr>
          <w:rStyle w:val="normaltextrun"/>
          <w:rFonts w:ascii="Verdana" w:hAnsi="Verdana" w:cs="Arial"/>
          <w:color w:val="000000"/>
          <w:shd w:val="clear" w:color="auto" w:fill="FFFFFF"/>
          <w:lang w:val="es-ES"/>
        </w:rPr>
        <w:t>co</w:t>
      </w:r>
      <w:r w:rsidR="00135131" w:rsidRPr="00135131">
        <w:rPr>
          <w:rStyle w:val="normaltextrun"/>
          <w:rFonts w:ascii="Verdana" w:hAnsi="Verdana" w:cs="Arial"/>
          <w:color w:val="000000"/>
          <w:shd w:val="clear" w:color="auto" w:fill="FFFFFF"/>
          <w:lang w:val="es-ES"/>
        </w:rPr>
        <w:t>s</w:t>
      </w:r>
      <w:r w:rsidRPr="00135131">
        <w:rPr>
          <w:rStyle w:val="normaltextrun"/>
          <w:rFonts w:ascii="Verdana" w:hAnsi="Verdana" w:cs="Arial"/>
          <w:color w:val="000000"/>
          <w:shd w:val="clear" w:color="auto" w:fill="FFFFFF"/>
          <w:lang w:val="es-ES"/>
        </w:rPr>
        <w:t>as</w:t>
      </w:r>
      <w:r>
        <w:rPr>
          <w:rStyle w:val="normaltextrun"/>
          <w:rFonts w:ascii="Verdana" w:hAnsi="Verdana" w:cs="Arial"/>
          <w:color w:val="000000"/>
          <w:shd w:val="clear" w:color="auto" w:fill="FFFFFF"/>
          <w:lang w:val="es-ES"/>
        </w:rPr>
        <w:t>, l</w:t>
      </w:r>
      <w:r w:rsidRPr="00282C35">
        <w:rPr>
          <w:rStyle w:val="normaltextrun"/>
          <w:rFonts w:ascii="Verdana" w:hAnsi="Verdana" w:cs="Arial"/>
          <w:color w:val="000000"/>
          <w:shd w:val="clear" w:color="auto" w:fill="FFFFFF"/>
          <w:lang w:val="es-ES"/>
        </w:rPr>
        <w:t xml:space="preserve">a entidad estatal, como responsable de la estructuración de su procedimiento de selección, es autónoma para determinar los requisitos habilitantes necesarios, de acuerdo con la naturaleza del contrato que se pretende suscribir y a su valor. </w:t>
      </w:r>
    </w:p>
    <w:p w14:paraId="0A58D482" w14:textId="77777777" w:rsidR="00E063F1" w:rsidRDefault="00E063F1" w:rsidP="00312211">
      <w:pPr>
        <w:spacing w:after="120" w:line="276" w:lineRule="auto"/>
        <w:ind w:firstLine="708"/>
        <w:jc w:val="both"/>
        <w:rPr>
          <w:rFonts w:ascii="Verdana" w:hAnsi="Verdana" w:cs="Arial"/>
          <w:color w:val="000000"/>
          <w:shd w:val="clear" w:color="auto" w:fill="FFFFFF"/>
          <w:lang w:val="es-ES"/>
        </w:rPr>
      </w:pPr>
      <w:r w:rsidRPr="00373089">
        <w:rPr>
          <w:rFonts w:ascii="Verdana" w:eastAsia="Arial" w:hAnsi="Verdana" w:cs="Arial"/>
        </w:rPr>
        <w:t>No obstante, esta facultad no es absoluta</w:t>
      </w:r>
      <w:r>
        <w:rPr>
          <w:rFonts w:ascii="Verdana" w:eastAsia="Arial" w:hAnsi="Verdana" w:cs="Arial"/>
        </w:rPr>
        <w:t xml:space="preserve"> ya que d</w:t>
      </w:r>
      <w:r w:rsidRPr="00373089">
        <w:rPr>
          <w:rFonts w:ascii="Verdana" w:eastAsia="Arial" w:hAnsi="Verdana" w:cs="Arial"/>
        </w:rPr>
        <w:t xml:space="preserve">e conformidad con el artículo 5 de la Ley 1150 de 2007, los requisitos y exigencias incorporados en los documentos del proceso deben ser adecuados y proporcionales a la naturaleza del contrato y a su valor, de manera que guarden relación con la </w:t>
      </w:r>
      <w:r w:rsidRPr="00373089">
        <w:rPr>
          <w:rFonts w:ascii="Verdana" w:eastAsia="Arial" w:hAnsi="Verdana" w:cs="Arial"/>
        </w:rPr>
        <w:lastRenderedPageBreak/>
        <w:t>finalidad perseguida y no constituyan barreras injustificadas para la participación de los interesados</w:t>
      </w:r>
      <w:r>
        <w:rPr>
          <w:rFonts w:ascii="Verdana" w:eastAsia="Arial" w:hAnsi="Verdana" w:cs="Arial"/>
        </w:rPr>
        <w:t>.</w:t>
      </w:r>
    </w:p>
    <w:p w14:paraId="0CDD26A4" w14:textId="77777777" w:rsidR="00E063F1" w:rsidRPr="00273F2C" w:rsidRDefault="00E063F1" w:rsidP="00312211">
      <w:pPr>
        <w:spacing w:after="120" w:line="276" w:lineRule="auto"/>
        <w:ind w:firstLine="708"/>
        <w:jc w:val="both"/>
        <w:rPr>
          <w:rFonts w:ascii="Verdana" w:hAnsi="Verdana" w:cs="Arial"/>
          <w:color w:val="000000"/>
          <w:shd w:val="clear" w:color="auto" w:fill="FFFFFF"/>
          <w:lang w:val="es-ES"/>
        </w:rPr>
      </w:pPr>
      <w:r w:rsidRPr="00373089">
        <w:rPr>
          <w:rFonts w:ascii="Verdana" w:eastAsia="Arial" w:hAnsi="Verdana" w:cs="Arial"/>
        </w:rPr>
        <w:t>En este sentido, corresponde a la Entidad Estatal evaluar si la exigencia de un formato específico para acreditar la condición de industria nacional de una compañía aseguradora resulta adecuada y necesaria frente a la información que ya reposa en documentos oficiales expedidos por autoridad competente, tales como el certificado de existencia y representación legal expedido por la Superintendencia Financiera de Colombia y la constancia de autorización para operar los respectivos ramos de seguros.</w:t>
      </w:r>
    </w:p>
    <w:p w14:paraId="1B2029E3" w14:textId="77777777" w:rsidR="00E063F1" w:rsidRPr="00373089" w:rsidRDefault="00E063F1" w:rsidP="00E063F1">
      <w:pPr>
        <w:spacing w:after="120" w:line="276" w:lineRule="auto"/>
        <w:jc w:val="both"/>
        <w:rPr>
          <w:rFonts w:ascii="Verdana" w:eastAsia="Arial" w:hAnsi="Verdana" w:cs="Arial"/>
        </w:rPr>
      </w:pPr>
      <w:r>
        <w:rPr>
          <w:rFonts w:ascii="Verdana" w:eastAsia="Arial" w:hAnsi="Verdana" w:cs="Arial"/>
        </w:rPr>
        <w:t xml:space="preserve">         </w:t>
      </w:r>
      <w:r w:rsidRPr="00373089">
        <w:rPr>
          <w:rFonts w:ascii="Verdana" w:eastAsia="Arial" w:hAnsi="Verdana" w:cs="Arial"/>
        </w:rPr>
        <w:t xml:space="preserve">Sobre este aspecto, resulta pertinente traer a colación lo expuesto por </w:t>
      </w:r>
      <w:r>
        <w:rPr>
          <w:rFonts w:ascii="Verdana" w:eastAsia="Arial" w:hAnsi="Verdana" w:cs="Arial"/>
        </w:rPr>
        <w:t xml:space="preserve">esta Subdirección Contractual </w:t>
      </w:r>
      <w:r w:rsidRPr="00373089">
        <w:rPr>
          <w:rFonts w:ascii="Verdana" w:eastAsia="Arial" w:hAnsi="Verdana" w:cs="Arial"/>
        </w:rPr>
        <w:t>en el Concepto C-1649 del 22 de diciembre de 2025, en el cual se indicó que, aunque las entidades cuentan con discrecionalidad para definir la forma de acreditación de los requisitos exigidos en sus procesos de contratación, corresponde a la Administración evaluar la verdadera necesidad de los documentos solicitados frente a la finalidad perseguida, evitando la exigencia de requisitos adicionales o superfluos que no aporten valor a la verificación de las condiciones requeridas.</w:t>
      </w:r>
    </w:p>
    <w:p w14:paraId="3BF3A7CE" w14:textId="77777777" w:rsidR="00E063F1" w:rsidRPr="00373089" w:rsidRDefault="00E063F1" w:rsidP="00E063F1">
      <w:pPr>
        <w:spacing w:after="120" w:line="276" w:lineRule="auto"/>
        <w:jc w:val="both"/>
        <w:rPr>
          <w:rFonts w:ascii="Verdana" w:eastAsia="Arial" w:hAnsi="Verdana" w:cs="Arial"/>
        </w:rPr>
      </w:pPr>
      <w:r>
        <w:rPr>
          <w:rFonts w:ascii="Verdana" w:eastAsia="Arial" w:hAnsi="Verdana" w:cs="Arial"/>
        </w:rPr>
        <w:t xml:space="preserve">          </w:t>
      </w:r>
      <w:r w:rsidRPr="00373089">
        <w:rPr>
          <w:rFonts w:ascii="Verdana" w:eastAsia="Arial" w:hAnsi="Verdana" w:cs="Arial"/>
        </w:rPr>
        <w:t>En efecto, si la información que pretende acreditarse mediante un formato determinado ya se encuentra contenida en documentos con plena validez probatoria expedidos por la autoridad competente, corresponde a la Entidad analizar si la exigencia adicional del formato aporta un elemento sustancial para la verificación del requisito o si, por el contrario, constituye una simple reiteración de información ya acreditada.</w:t>
      </w:r>
    </w:p>
    <w:p w14:paraId="0D796879" w14:textId="0A6970F8" w:rsidR="00E063F1" w:rsidRDefault="00E063F1" w:rsidP="00E063F1">
      <w:pPr>
        <w:spacing w:after="120" w:line="276" w:lineRule="auto"/>
        <w:jc w:val="both"/>
        <w:rPr>
          <w:rFonts w:ascii="Verdana" w:eastAsia="Arial" w:hAnsi="Verdana" w:cs="Arial"/>
        </w:rPr>
      </w:pPr>
      <w:r>
        <w:rPr>
          <w:rFonts w:ascii="Verdana" w:eastAsia="Arial" w:hAnsi="Verdana" w:cs="Arial"/>
        </w:rPr>
        <w:t xml:space="preserve">        </w:t>
      </w:r>
      <w:r w:rsidRPr="00373089">
        <w:rPr>
          <w:rFonts w:ascii="Verdana" w:eastAsia="Arial" w:hAnsi="Verdana" w:cs="Arial"/>
        </w:rPr>
        <w:t>Particularmente</w:t>
      </w:r>
      <w:r w:rsidR="00135131">
        <w:rPr>
          <w:rFonts w:ascii="Verdana" w:eastAsia="Arial" w:hAnsi="Verdana" w:cs="Arial"/>
        </w:rPr>
        <w:t>,</w:t>
      </w:r>
      <w:r w:rsidRPr="00373089">
        <w:rPr>
          <w:rFonts w:ascii="Verdana" w:eastAsia="Arial" w:hAnsi="Verdana" w:cs="Arial"/>
        </w:rPr>
        <w:t xml:space="preserve"> en el caso de las compañías de seguros, debe tenerse en cuenta que la actividad aseguradora es una actividad sometida a autorización previa y vigilancia permanente de la Superintendencia Financiera de Colombia. En consecuencia, los certificados expedidos por dicha autoridad permiten verificar aspectos esenciales relacionados con la existencia jurídica de la entidad, su representación legal y su habilitación para desarrollar la actividad aseguradora en el territorio nacional.</w:t>
      </w:r>
    </w:p>
    <w:p w14:paraId="05A9AD3F" w14:textId="77777777" w:rsidR="00E063F1" w:rsidRDefault="00E063F1" w:rsidP="00E063F1">
      <w:pPr>
        <w:spacing w:after="120" w:line="276" w:lineRule="auto"/>
        <w:jc w:val="both"/>
        <w:rPr>
          <w:rFonts w:ascii="Verdana" w:eastAsia="Arial" w:hAnsi="Verdana" w:cs="Arial"/>
        </w:rPr>
      </w:pPr>
      <w:r>
        <w:rPr>
          <w:rFonts w:ascii="Verdana" w:eastAsia="Arial" w:hAnsi="Verdana" w:cs="Arial"/>
        </w:rPr>
        <w:t xml:space="preserve">         </w:t>
      </w:r>
      <w:r w:rsidRPr="00373089">
        <w:rPr>
          <w:rFonts w:ascii="Verdana" w:eastAsia="Arial" w:hAnsi="Verdana" w:cs="Arial"/>
        </w:rPr>
        <w:t xml:space="preserve">Por lo anterior, cuando la condición que se pretende verificar puede establecerse a partir de documentos oficiales expedidos por autoridad competente, corresponde a la Entidad Estatal valorar si la exigencia de formatos adicionales resulta necesaria para el cumplimiento de los fines de la </w:t>
      </w:r>
      <w:r w:rsidRPr="00373089">
        <w:rPr>
          <w:rFonts w:ascii="Verdana" w:eastAsia="Arial" w:hAnsi="Verdana" w:cs="Arial"/>
        </w:rPr>
        <w:lastRenderedPageBreak/>
        <w:t>contratación, en observancia de los principios de economía, eficiencia y selección objetiva.</w:t>
      </w:r>
    </w:p>
    <w:p w14:paraId="596801B5" w14:textId="77777777" w:rsidR="00E063F1" w:rsidRPr="00373089" w:rsidRDefault="00E063F1" w:rsidP="00E063F1">
      <w:pPr>
        <w:spacing w:after="120" w:line="276" w:lineRule="auto"/>
        <w:jc w:val="both"/>
        <w:rPr>
          <w:rFonts w:ascii="Verdana" w:eastAsia="Arial" w:hAnsi="Verdana" w:cs="Arial"/>
        </w:rPr>
      </w:pPr>
      <w:r>
        <w:rPr>
          <w:rFonts w:ascii="Verdana" w:eastAsia="Arial" w:hAnsi="Verdana" w:cs="Arial"/>
        </w:rPr>
        <w:t xml:space="preserve">         </w:t>
      </w:r>
      <w:r w:rsidRPr="00373089">
        <w:rPr>
          <w:rFonts w:ascii="Verdana" w:eastAsia="Arial" w:hAnsi="Verdana" w:cs="Arial"/>
        </w:rPr>
        <w:t>Sin perjuicio de lo anterior, y reconociendo la autonomía de las Entidades Estatales para estructurar sus procesos de contratación, corresponde a cada entidad definir la forma de acreditación de los requisitos exigidos en sus documentos del proceso y determinar, en cada caso concreto, si la información aportada por el oferente satisface las condiciones establecidas para la participación.</w:t>
      </w:r>
    </w:p>
    <w:p w14:paraId="061662F6" w14:textId="77777777" w:rsidR="00E063F1" w:rsidRPr="00B643B2" w:rsidRDefault="00E063F1" w:rsidP="00E063F1">
      <w:pPr>
        <w:spacing w:after="120" w:line="276" w:lineRule="auto"/>
        <w:jc w:val="both"/>
        <w:rPr>
          <w:rFonts w:ascii="Verdana" w:eastAsia="Calibri" w:hAnsi="Verdana"/>
        </w:rPr>
      </w:pPr>
      <w:r w:rsidRPr="009C504B">
        <w:rPr>
          <w:rFonts w:ascii="Verdana" w:eastAsia="Arial" w:hAnsi="Verdana" w:cs="Arial"/>
        </w:rPr>
        <w:t xml:space="preserve"> </w:t>
      </w:r>
      <w:r>
        <w:rPr>
          <w:rFonts w:ascii="Verdana" w:eastAsia="Calibri" w:hAnsi="Verdana"/>
        </w:rPr>
        <w:t xml:space="preserve">        </w:t>
      </w:r>
      <w:r w:rsidRPr="00B643B2">
        <w:rPr>
          <w:rFonts w:ascii="Verdana" w:eastAsia="Calibri" w:hAnsi="Verdana"/>
        </w:rPr>
        <w:t>Finalmente, debe advertirse que el análisis para resolver problemas específicos en torno a los procesos de contratación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adoptar la decisión y, en caso de conflicto, a las autoridades judiciales, fiscales y disciplinarias.</w:t>
      </w:r>
    </w:p>
    <w:p w14:paraId="23DF218E" w14:textId="77777777" w:rsidR="00E063F1" w:rsidRDefault="00E063F1" w:rsidP="00E063F1">
      <w:pPr>
        <w:spacing w:after="120" w:line="276" w:lineRule="auto"/>
        <w:ind w:firstLine="708"/>
        <w:jc w:val="both"/>
        <w:rPr>
          <w:rFonts w:ascii="Verdana" w:hAnsi="Verdana" w:cs="Arial"/>
          <w:lang w:val="es-ES"/>
        </w:rPr>
      </w:pPr>
      <w:r w:rsidRPr="00B643B2">
        <w:rPr>
          <w:rFonts w:ascii="Verdana" w:eastAsia="Calibri" w:hAnsi="Verdana"/>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4217022D" w14:textId="77777777" w:rsidR="00E063F1" w:rsidRPr="00B643B2" w:rsidRDefault="00E063F1" w:rsidP="00E063F1">
      <w:pPr>
        <w:spacing w:after="120" w:line="276" w:lineRule="auto"/>
        <w:jc w:val="both"/>
        <w:rPr>
          <w:rFonts w:ascii="Verdana" w:eastAsia="Calibri" w:hAnsi="Verdana"/>
        </w:rPr>
      </w:pPr>
      <w:r w:rsidRPr="009C504B">
        <w:rPr>
          <w:rFonts w:ascii="Verdana" w:eastAsia="Arial" w:hAnsi="Verdana" w:cs="Arial"/>
        </w:rPr>
        <w:t xml:space="preserve"> </w:t>
      </w:r>
      <w:r>
        <w:rPr>
          <w:rFonts w:ascii="Verdana" w:eastAsia="Calibri" w:hAnsi="Verdana"/>
        </w:rPr>
        <w:t xml:space="preserve">        </w:t>
      </w:r>
      <w:r w:rsidRPr="00B643B2">
        <w:rPr>
          <w:rFonts w:ascii="Verdana" w:eastAsia="Calibri" w:hAnsi="Verdana"/>
        </w:rPr>
        <w:t>Finalmente, debe advertirse que el análisis para resolver problemas específicos en torno a los procesos de contratación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adoptar la decisión y, en caso de conflicto, a las autoridades judiciales, fiscales y disciplinarias.</w:t>
      </w:r>
    </w:p>
    <w:p w14:paraId="07BB5E07" w14:textId="0A1F8482" w:rsidR="00E063F1" w:rsidRDefault="00E063F1" w:rsidP="00135131">
      <w:pPr>
        <w:spacing w:after="0" w:line="276" w:lineRule="auto"/>
        <w:jc w:val="both"/>
        <w:rPr>
          <w:rFonts w:ascii="Verdana" w:eastAsia="Calibri" w:hAnsi="Verdana"/>
        </w:rPr>
      </w:pPr>
      <w:r>
        <w:rPr>
          <w:rFonts w:ascii="Verdana" w:eastAsia="Calibri" w:hAnsi="Verdana"/>
        </w:rPr>
        <w:t xml:space="preserve">        </w:t>
      </w:r>
      <w:r w:rsidRPr="00B643B2">
        <w:rPr>
          <w:rFonts w:ascii="Verdana" w:eastAsia="Calibri" w:hAnsi="Verdana"/>
        </w:rPr>
        <w:t xml:space="preserve">En ese sentido, al tratarse de un análisis que debe realizarse en un procedimiento contractual específico, esta Agencia no puede definir un criterio </w:t>
      </w:r>
      <w:r w:rsidRPr="00B643B2">
        <w:rPr>
          <w:rFonts w:ascii="Verdana" w:eastAsia="Calibri" w:hAnsi="Verdana"/>
        </w:rPr>
        <w:lastRenderedPageBreak/>
        <w:t>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762B1B5B" w14:textId="77777777" w:rsidR="00135131" w:rsidRPr="00135131" w:rsidRDefault="00135131" w:rsidP="00312211">
      <w:pPr>
        <w:spacing w:after="0" w:line="276" w:lineRule="auto"/>
        <w:jc w:val="both"/>
        <w:rPr>
          <w:rFonts w:ascii="Verdana" w:eastAsia="Arial" w:hAnsi="Verdana" w:cs="Arial"/>
        </w:rPr>
      </w:pPr>
    </w:p>
    <w:p w14:paraId="3A12F8AD" w14:textId="77777777" w:rsidR="00E063F1" w:rsidRPr="00312211" w:rsidRDefault="00E063F1" w:rsidP="00312211">
      <w:pPr>
        <w:widowControl w:val="0"/>
        <w:autoSpaceDE w:val="0"/>
        <w:autoSpaceDN w:val="0"/>
        <w:spacing w:after="0" w:line="276" w:lineRule="auto"/>
        <w:outlineLvl w:val="0"/>
        <w:rPr>
          <w:rFonts w:ascii="Verdana" w:eastAsia="Arial" w:hAnsi="Verdana" w:cs="Arial"/>
          <w:b/>
          <w:lang w:val="es-ES"/>
        </w:rPr>
      </w:pPr>
      <w:r w:rsidRPr="00312211">
        <w:rPr>
          <w:rFonts w:ascii="Verdana" w:eastAsia="Arial" w:hAnsi="Verdana" w:cs="Arial"/>
          <w:b/>
          <w:lang w:val="es-ES"/>
        </w:rPr>
        <w:t xml:space="preserve">4. </w:t>
      </w:r>
      <w:r w:rsidRPr="006B17A7">
        <w:rPr>
          <w:rFonts w:ascii="Verdana" w:eastAsia="Arial" w:hAnsi="Verdana" w:cs="Arial"/>
          <w:b/>
          <w:bCs/>
          <w:lang w:val="es-ES"/>
        </w:rPr>
        <w:t>Referencias normativas, jurisprudenciales y otras fuentes:</w:t>
      </w:r>
    </w:p>
    <w:p w14:paraId="04DADF4A" w14:textId="77777777" w:rsidR="00E063F1" w:rsidRPr="006B17A7" w:rsidRDefault="00E063F1" w:rsidP="00E063F1">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063F1" w:rsidRPr="006B17A7" w14:paraId="66577531" w14:textId="77777777" w:rsidTr="009B3423">
        <w:trPr>
          <w:trHeight w:val="870"/>
        </w:trPr>
        <w:tc>
          <w:tcPr>
            <w:tcW w:w="8647" w:type="dxa"/>
          </w:tcPr>
          <w:p w14:paraId="5BB4D693" w14:textId="77777777" w:rsidR="00E063F1" w:rsidRPr="00311238" w:rsidRDefault="00E063F1" w:rsidP="00312211">
            <w:pPr>
              <w:pStyle w:val="NormalWeb"/>
              <w:numPr>
                <w:ilvl w:val="0"/>
                <w:numId w:val="17"/>
              </w:numPr>
              <w:spacing w:before="0" w:beforeAutospacing="0" w:after="0" w:afterAutospacing="0" w:line="276" w:lineRule="auto"/>
              <w:rPr>
                <w:rFonts w:ascii="Verdana" w:hAnsi="Verdana"/>
                <w:sz w:val="22"/>
                <w:szCs w:val="22"/>
              </w:rPr>
            </w:pPr>
            <w:r w:rsidRPr="00311238">
              <w:rPr>
                <w:rStyle w:val="citation-280"/>
                <w:rFonts w:ascii="Verdana" w:hAnsi="Verdana"/>
                <w:sz w:val="22"/>
                <w:szCs w:val="22"/>
              </w:rPr>
              <w:t>Ley 1150 de 2007: Artículos 2 numeral 4, literal h, 5, 6, 13</w:t>
            </w:r>
            <w:r w:rsidRPr="00311238">
              <w:rPr>
                <w:rFonts w:ascii="Verdana" w:hAnsi="Verdana"/>
                <w:sz w:val="22"/>
                <w:szCs w:val="22"/>
              </w:rPr>
              <w:t>.</w:t>
            </w:r>
          </w:p>
          <w:p w14:paraId="4398A430" w14:textId="77777777" w:rsidR="00E063F1" w:rsidRPr="00311238" w:rsidRDefault="00E063F1" w:rsidP="00312211">
            <w:pPr>
              <w:pStyle w:val="NormalWeb"/>
              <w:numPr>
                <w:ilvl w:val="0"/>
                <w:numId w:val="17"/>
              </w:numPr>
              <w:spacing w:before="0" w:beforeAutospacing="0" w:after="0" w:afterAutospacing="0" w:line="276" w:lineRule="auto"/>
              <w:rPr>
                <w:rFonts w:ascii="Verdana" w:hAnsi="Verdana"/>
                <w:sz w:val="22"/>
                <w:szCs w:val="22"/>
              </w:rPr>
            </w:pPr>
            <w:r w:rsidRPr="00311238">
              <w:rPr>
                <w:rFonts w:ascii="Verdana" w:hAnsi="Verdana"/>
                <w:sz w:val="22"/>
                <w:szCs w:val="22"/>
              </w:rPr>
              <w:t>Ley 1474 de 2011, Artículo 94.</w:t>
            </w:r>
          </w:p>
          <w:p w14:paraId="51DF96A9" w14:textId="77777777" w:rsidR="00E063F1" w:rsidRPr="00311238" w:rsidRDefault="00E063F1" w:rsidP="00312211">
            <w:pPr>
              <w:pStyle w:val="NormalWeb"/>
              <w:numPr>
                <w:ilvl w:val="0"/>
                <w:numId w:val="17"/>
              </w:numPr>
              <w:spacing w:before="0" w:beforeAutospacing="0" w:after="0" w:afterAutospacing="0" w:line="276" w:lineRule="auto"/>
              <w:rPr>
                <w:rFonts w:ascii="Verdana" w:hAnsi="Verdana"/>
                <w:sz w:val="22"/>
                <w:szCs w:val="22"/>
              </w:rPr>
            </w:pPr>
            <w:r w:rsidRPr="00311238">
              <w:rPr>
                <w:rFonts w:ascii="Verdana" w:hAnsi="Verdana"/>
                <w:sz w:val="22"/>
                <w:szCs w:val="22"/>
              </w:rPr>
              <w:t>Decreto 1082 de 2015, Artículo 2.2.1.1.1.6.2</w:t>
            </w:r>
          </w:p>
          <w:p w14:paraId="09A3A757" w14:textId="77777777" w:rsidR="00E063F1" w:rsidRPr="006B17A7" w:rsidRDefault="00E063F1" w:rsidP="00312211">
            <w:pPr>
              <w:pStyle w:val="Prrafodelista"/>
              <w:numPr>
                <w:ilvl w:val="0"/>
                <w:numId w:val="17"/>
              </w:numPr>
              <w:spacing w:line="276" w:lineRule="auto"/>
              <w:jc w:val="both"/>
              <w:rPr>
                <w:rFonts w:ascii="Verdana" w:eastAsia="Aptos" w:hAnsi="Verdana" w:cs="Arial"/>
              </w:rPr>
            </w:pPr>
            <w:r w:rsidRPr="00135131">
              <w:rPr>
                <w:rFonts w:ascii="Verdana" w:hAnsi="Verdana"/>
              </w:rPr>
              <w:t xml:space="preserve">Manual para determinar y verificar los requisitos habilitantes en los Procesos de Contratación </w:t>
            </w:r>
            <w:hyperlink r:id="rId13" w:history="1">
              <w:r w:rsidRPr="00135131">
                <w:rPr>
                  <w:rStyle w:val="Hipervnculo"/>
                  <w:rFonts w:ascii="Verdana" w:hAnsi="Verdana"/>
                </w:rPr>
                <w:t>https://www.colombiacompra.gov.co/archivos/manual/manual-para-determinar-y-verificar-los-requisitos-habilitantes-en-los-procesos-de-contratacion</w:t>
              </w:r>
            </w:hyperlink>
            <w:r w:rsidRPr="00312211">
              <w:rPr>
                <w:rFonts w:ascii="Verdana" w:hAnsi="Verdana"/>
              </w:rPr>
              <w:t xml:space="preserve"> </w:t>
            </w:r>
          </w:p>
        </w:tc>
      </w:tr>
    </w:tbl>
    <w:p w14:paraId="4437C8AB" w14:textId="77777777" w:rsidR="00E063F1" w:rsidRPr="006B17A7" w:rsidRDefault="00E063F1" w:rsidP="00E063F1">
      <w:pPr>
        <w:widowControl w:val="0"/>
        <w:autoSpaceDE w:val="0"/>
        <w:autoSpaceDN w:val="0"/>
        <w:spacing w:after="0" w:line="276" w:lineRule="auto"/>
        <w:jc w:val="both"/>
        <w:rPr>
          <w:rFonts w:ascii="Verdana" w:eastAsia="Aptos" w:hAnsi="Verdana" w:cs="Arial"/>
        </w:rPr>
      </w:pPr>
    </w:p>
    <w:p w14:paraId="2B1A293B" w14:textId="77777777" w:rsidR="00E063F1" w:rsidRPr="006B17A7" w:rsidRDefault="00E063F1" w:rsidP="00312211">
      <w:pPr>
        <w:widowControl w:val="0"/>
        <w:autoSpaceDE w:val="0"/>
        <w:autoSpaceDN w:val="0"/>
        <w:spacing w:after="0" w:line="276" w:lineRule="auto"/>
        <w:outlineLvl w:val="0"/>
        <w:rPr>
          <w:rFonts w:ascii="Verdana" w:eastAsia="Arial" w:hAnsi="Verdana" w:cs="Arial"/>
          <w:b/>
          <w:bCs/>
          <w:lang w:val="es-ES"/>
        </w:rPr>
      </w:pPr>
      <w:r w:rsidRPr="006B17A7">
        <w:rPr>
          <w:rFonts w:ascii="Verdana" w:eastAsia="Arial" w:hAnsi="Verdana" w:cs="Arial"/>
          <w:b/>
          <w:bCs/>
          <w:lang w:val="es-ES"/>
        </w:rPr>
        <w:t>5. Doctrina de la Agencia Nacional de Contratación Pública:</w:t>
      </w:r>
    </w:p>
    <w:p w14:paraId="25AC7F7F" w14:textId="77777777" w:rsidR="00E063F1" w:rsidRPr="006B17A7" w:rsidRDefault="00E063F1" w:rsidP="00E063F1">
      <w:pPr>
        <w:widowControl w:val="0"/>
        <w:autoSpaceDE w:val="0"/>
        <w:autoSpaceDN w:val="0"/>
        <w:spacing w:after="0" w:line="276" w:lineRule="auto"/>
        <w:jc w:val="both"/>
        <w:rPr>
          <w:rFonts w:ascii="Verdana" w:eastAsia="Aptos" w:hAnsi="Verdana" w:cs="Arial"/>
        </w:rPr>
      </w:pPr>
    </w:p>
    <w:p w14:paraId="65A3F46A" w14:textId="77777777" w:rsidR="00E063F1" w:rsidRPr="00ED0098" w:rsidRDefault="00E063F1" w:rsidP="00E063F1">
      <w:pPr>
        <w:widowControl w:val="0"/>
        <w:autoSpaceDE w:val="0"/>
        <w:autoSpaceDN w:val="0"/>
        <w:spacing w:after="0" w:line="276" w:lineRule="auto"/>
        <w:jc w:val="both"/>
        <w:rPr>
          <w:rStyle w:val="normaltextrun"/>
          <w:rFonts w:ascii="Verdana" w:hAnsi="Verdana" w:cs="Arial"/>
          <w:shd w:val="clear" w:color="auto" w:fill="FFFFFF"/>
        </w:rPr>
      </w:pPr>
      <w:r w:rsidRPr="00275B0F">
        <w:rPr>
          <w:rFonts w:ascii="Verdana" w:eastAsia="Calibri" w:hAnsi="Verdana" w:cs="Arial"/>
          <w:color w:val="000000" w:themeColor="text1"/>
          <w:lang w:eastAsia="es-ES_tradnl"/>
        </w:rPr>
        <w:t xml:space="preserve">La Agencia Nacional de Contratación Pública – Colombia Compra Eficiente </w:t>
      </w:r>
      <w:r w:rsidRPr="00275B0F">
        <w:rPr>
          <w:rFonts w:ascii="Verdana" w:eastAsia="Arial" w:hAnsi="Verdana" w:cs="Arial"/>
          <w:lang w:val="es-MX" w:eastAsia="es-ES_tradnl"/>
        </w:rPr>
        <w:t xml:space="preserve">se ha referido a la determinación de los requisitos habilitantes en los conceptos C-120 del 3 de marzo de 2020, C-204 del 31 de marzo de 2020, C-099 del 6 de abril  de 2020, C-195 del 13 de abril de 2020, C-013 del 17 de abril de 2020, C-330 del 27 de mayo de 2020 y C-396 de 16 de julio </w:t>
      </w:r>
      <w:r w:rsidRPr="00275B0F">
        <w:rPr>
          <w:rFonts w:ascii="Verdana" w:hAnsi="Verdana" w:cs="Arial"/>
          <w:shd w:val="clear" w:color="auto" w:fill="FFFFFF"/>
          <w:lang w:val="es-ES"/>
        </w:rPr>
        <w:t>de 2020, C-142 del 30 de marzo de 2022,  C-337 de 18</w:t>
      </w:r>
      <w:r>
        <w:rPr>
          <w:rFonts w:ascii="Verdana" w:hAnsi="Verdana" w:cs="Arial"/>
          <w:shd w:val="clear" w:color="auto" w:fill="FFFFFF"/>
          <w:lang w:val="es-ES"/>
        </w:rPr>
        <w:t xml:space="preserve"> </w:t>
      </w:r>
      <w:r w:rsidRPr="00275B0F">
        <w:rPr>
          <w:rFonts w:ascii="Verdana" w:hAnsi="Verdana" w:cs="Arial"/>
          <w:shd w:val="clear" w:color="auto" w:fill="FFFFFF"/>
          <w:lang w:val="es-ES"/>
        </w:rPr>
        <w:t>de agosto de 2023, C-483 del 26 de septiembre de 2024, Concepto C- 662 de 2024 del 29 de enero de 2025, C–043 del 28 de febrero de 2025, C- 116 del 1 de marzo de 2025, C-1297 del 17 de octubre de 2025</w:t>
      </w:r>
      <w:r>
        <w:rPr>
          <w:rFonts w:ascii="Verdana" w:hAnsi="Verdana" w:cs="Arial"/>
          <w:shd w:val="clear" w:color="auto" w:fill="FFFFFF"/>
          <w:lang w:val="es-ES"/>
        </w:rPr>
        <w:t xml:space="preserve">, </w:t>
      </w:r>
      <w:r w:rsidRPr="00AF50E2">
        <w:rPr>
          <w:rFonts w:ascii="Verdana" w:hAnsi="Verdana" w:cs="Arial"/>
          <w:shd w:val="clear" w:color="auto" w:fill="FFFFFF"/>
          <w:lang w:val="es-ES"/>
        </w:rPr>
        <w:t>Concepto C- 187 de 2025</w:t>
      </w:r>
      <w:r>
        <w:rPr>
          <w:rFonts w:ascii="Verdana" w:hAnsi="Verdana" w:cs="Arial"/>
          <w:shd w:val="clear" w:color="auto" w:fill="FFFFFF"/>
          <w:lang w:val="es-ES"/>
        </w:rPr>
        <w:t xml:space="preserve">, C– 006 de 2026 y C-726 del 11 de junio de 2026, </w:t>
      </w:r>
      <w:r w:rsidRPr="005A5095">
        <w:rPr>
          <w:rFonts w:ascii="Verdana" w:hAnsi="Verdana" w:cs="Arial"/>
          <w:shd w:val="clear" w:color="auto" w:fill="FFFFFF"/>
          <w:lang w:val="es-ES"/>
        </w:rPr>
        <w:t>entre otros</w:t>
      </w:r>
      <w:r>
        <w:rPr>
          <w:rFonts w:ascii="Verdana" w:eastAsia="Calibri" w:hAnsi="Verdana" w:cs="Arial"/>
          <w:shd w:val="clear" w:color="auto" w:fill="FFFFFF"/>
        </w:rPr>
        <w:t>.</w:t>
      </w:r>
      <w:r>
        <w:rPr>
          <w:rStyle w:val="normaltextrun"/>
          <w:rFonts w:ascii="Verdana" w:hAnsi="Verdana" w:cs="Arial"/>
          <w:shd w:val="clear" w:color="auto" w:fill="FFFFFF"/>
        </w:rPr>
        <w:t xml:space="preserve"> </w:t>
      </w:r>
      <w:r w:rsidRPr="00FE6BBD">
        <w:rPr>
          <w:rFonts w:ascii="Verdana" w:eastAsia="Arial" w:hAnsi="Verdana" w:cs="Arial"/>
          <w:lang w:val="es-MX" w:eastAsia="es-ES_tradnl"/>
        </w:rPr>
        <w:t xml:space="preserve">De igual forma se ha pronunciado sobre el </w:t>
      </w:r>
      <w:r>
        <w:rPr>
          <w:rFonts w:ascii="Verdana" w:eastAsia="Arial" w:hAnsi="Verdana" w:cs="Arial"/>
          <w:lang w:val="es-MX" w:eastAsia="es-ES_tradnl"/>
        </w:rPr>
        <w:t xml:space="preserve">uso de formatos en los procesos de contratación pública en el concepto C-1649 del 22 de diciembre de 2025 entre </w:t>
      </w:r>
      <w:r w:rsidRPr="00E278D2">
        <w:rPr>
          <w:rStyle w:val="normaltextrun"/>
          <w:rFonts w:ascii="Verdana" w:hAnsi="Verdana" w:cs="Arial"/>
          <w:shd w:val="clear" w:color="auto" w:fill="FFFFFF"/>
        </w:rPr>
        <w:t>otros conceptos</w:t>
      </w:r>
      <w:r>
        <w:rPr>
          <w:rStyle w:val="normaltextrun"/>
          <w:rFonts w:ascii="Verdana" w:hAnsi="Verdana" w:cs="Arial"/>
          <w:shd w:val="clear" w:color="auto" w:fill="FFFFFF"/>
        </w:rPr>
        <w:t>,</w:t>
      </w:r>
      <w:r w:rsidRPr="00E278D2">
        <w:rPr>
          <w:rStyle w:val="normaltextrun"/>
          <w:rFonts w:ascii="Verdana" w:hAnsi="Verdana" w:cs="Arial"/>
          <w:shd w:val="clear" w:color="auto" w:fill="FFFFFF"/>
        </w:rPr>
        <w:t xml:space="preserve"> se encuentran disponibles para consulta en el Sistema de relatoría de la Agencia</w:t>
      </w:r>
      <w:r w:rsidRPr="00A1554D">
        <w:rPr>
          <w:rFonts w:ascii="Verdana" w:hAnsi="Verdana"/>
        </w:rPr>
        <w:t>, al cual puede acceder</w:t>
      </w:r>
      <w:r>
        <w:rPr>
          <w:rFonts w:ascii="Verdana" w:hAnsi="Verdana"/>
        </w:rPr>
        <w:t>se</w:t>
      </w:r>
      <w:r w:rsidRPr="00A1554D">
        <w:rPr>
          <w:rFonts w:ascii="Verdana" w:hAnsi="Verdana"/>
        </w:rPr>
        <w:t xml:space="preserve"> a través del siguiente enlace:</w:t>
      </w:r>
      <w:r>
        <w:rPr>
          <w:rFonts w:ascii="Verdana" w:hAnsi="Verdana" w:cs="Arial"/>
          <w:shd w:val="clear" w:color="auto" w:fill="FFFFFF"/>
        </w:rPr>
        <w:t xml:space="preserve"> </w:t>
      </w:r>
      <w:hyperlink r:id="rId14" w:history="1">
        <w:r w:rsidRPr="00135131">
          <w:rPr>
            <w:rStyle w:val="Hipervnculo"/>
            <w:rFonts w:ascii="Verdana" w:hAnsi="Verdana" w:cs="Arial"/>
            <w:shd w:val="clear" w:color="auto" w:fill="FFFFFF"/>
          </w:rPr>
          <w:t>https://relatoria.colombiacompra.gov.co/busqueda/conceptos</w:t>
        </w:r>
      </w:hyperlink>
      <w:r w:rsidRPr="00135131">
        <w:rPr>
          <w:rStyle w:val="normaltextrun"/>
          <w:rFonts w:ascii="Verdana" w:hAnsi="Verdana" w:cs="Arial"/>
          <w:shd w:val="clear" w:color="auto" w:fill="FFFFFF"/>
        </w:rPr>
        <w:t xml:space="preserve">. </w:t>
      </w:r>
      <w:r w:rsidRPr="00135131">
        <w:rPr>
          <w:rStyle w:val="normaltextrun"/>
          <w:rFonts w:ascii="Verdana" w:hAnsi="Verdana" w:cs="Arial"/>
          <w:color w:val="FF0000"/>
          <w:shd w:val="clear" w:color="auto" w:fill="FFFFFF"/>
          <w:lang w:val="es-ES"/>
        </w:rPr>
        <w:t xml:space="preserve"> </w:t>
      </w:r>
    </w:p>
    <w:p w14:paraId="5DE47912" w14:textId="77777777" w:rsidR="00E063F1" w:rsidRPr="00115E3D" w:rsidRDefault="00E063F1" w:rsidP="00E063F1">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14:paraId="21059D54" w14:textId="77777777" w:rsidR="00E063F1" w:rsidRPr="009A385A" w:rsidRDefault="00E063F1" w:rsidP="00312211">
      <w:pPr>
        <w:spacing w:after="0" w:line="276" w:lineRule="auto"/>
        <w:jc w:val="both"/>
        <w:rPr>
          <w:rFonts w:ascii="Verdana" w:hAnsi="Verdana"/>
        </w:rPr>
      </w:pPr>
      <w:r w:rsidRPr="009A385A">
        <w:rPr>
          <w:rFonts w:ascii="Verdana" w:hAnsi="Verdana"/>
        </w:rPr>
        <w:lastRenderedPageBreak/>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5" w:tgtFrame="_new" w:history="1">
        <w:r w:rsidRPr="00135131">
          <w:rPr>
            <w:rStyle w:val="Hipervnculo"/>
            <w:rFonts w:ascii="Verdana" w:hAnsi="Verdana"/>
          </w:rPr>
          <w:t>https://formacionvirtual.colombiacompra.gov.co/mod/page/view.php?id=3718</w:t>
        </w:r>
      </w:hyperlink>
    </w:p>
    <w:p w14:paraId="5A08BC2B" w14:textId="77777777" w:rsidR="004F1210" w:rsidRDefault="004F1210" w:rsidP="00135131">
      <w:pPr>
        <w:spacing w:after="0" w:line="276" w:lineRule="auto"/>
        <w:jc w:val="both"/>
        <w:rPr>
          <w:rFonts w:ascii="Verdana" w:hAnsi="Verdana"/>
        </w:rPr>
      </w:pPr>
    </w:p>
    <w:p w14:paraId="6F7167AB" w14:textId="05B3B3E3" w:rsidR="00E063F1" w:rsidRDefault="00E063F1" w:rsidP="00312211">
      <w:pPr>
        <w:spacing w:after="0" w:line="276" w:lineRule="auto"/>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w:t>
      </w:r>
      <w:r w:rsidRPr="00135131">
        <w:rPr>
          <w:rFonts w:ascii="Verdana" w:hAnsi="Verdana"/>
        </w:rPr>
        <w:t xml:space="preserve">Consulta y descarga los documentos aquí: </w:t>
      </w:r>
      <w:hyperlink r:id="rId16" w:tgtFrame="_new" w:history="1">
        <w:r w:rsidRPr="00135131">
          <w:rPr>
            <w:rStyle w:val="Hipervnculo"/>
            <w:rFonts w:ascii="Verdana" w:hAnsi="Verdana"/>
          </w:rPr>
          <w:t>https://www.colombiacompra.gov.co/normativa-y-relatoria/documentos-tipo</w:t>
        </w:r>
      </w:hyperlink>
    </w:p>
    <w:p w14:paraId="3460EEBE" w14:textId="77777777" w:rsidR="004F1210" w:rsidRDefault="004F1210" w:rsidP="00135131">
      <w:pPr>
        <w:spacing w:after="0" w:line="276" w:lineRule="auto"/>
        <w:jc w:val="both"/>
        <w:rPr>
          <w:rFonts w:ascii="Verdana" w:hAnsi="Verdana"/>
        </w:rPr>
      </w:pPr>
    </w:p>
    <w:p w14:paraId="6CA30840" w14:textId="775C8B82" w:rsidR="00E063F1" w:rsidRDefault="00E063F1" w:rsidP="00135131">
      <w:pPr>
        <w:spacing w:after="0" w:line="276" w:lineRule="auto"/>
        <w:jc w:val="both"/>
        <w:rPr>
          <w:rStyle w:val="Hipervnculo"/>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135131">
        <w:rPr>
          <w:rFonts w:ascii="Verdana" w:hAnsi="Verdana"/>
        </w:rPr>
        <w:t>Además se incluyeron lineamientos que orientan la implementación de los criterios ambientales y sociales incluidos en los documentos tipo: Consulta la guía aquí:</w:t>
      </w:r>
      <w:r w:rsidRPr="00135131">
        <w:rPr>
          <w:rFonts w:ascii="Verdana" w:hAnsi="Verdana"/>
        </w:rPr>
        <w:br/>
      </w:r>
      <w:hyperlink r:id="rId17" w:tgtFrame="_new" w:history="1">
        <w:r w:rsidRPr="00135131">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78F558CC" w14:textId="77777777" w:rsidR="004F1210" w:rsidRPr="00135131" w:rsidRDefault="004F1210" w:rsidP="00312211">
      <w:pPr>
        <w:spacing w:after="0" w:line="276" w:lineRule="auto"/>
        <w:jc w:val="both"/>
        <w:rPr>
          <w:rFonts w:ascii="Verdana" w:hAnsi="Verdana"/>
        </w:rPr>
      </w:pPr>
    </w:p>
    <w:p w14:paraId="45806647" w14:textId="77777777" w:rsidR="00E063F1" w:rsidRPr="00115E3D" w:rsidRDefault="00E063F1" w:rsidP="00312211">
      <w:pPr>
        <w:spacing w:after="0" w:line="276"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14:paraId="69E08257" w14:textId="77777777" w:rsidR="00E063F1" w:rsidRPr="00115E3D" w:rsidRDefault="00E063F1" w:rsidP="00312211">
      <w:pPr>
        <w:spacing w:after="0" w:line="276" w:lineRule="auto"/>
        <w:jc w:val="both"/>
        <w:rPr>
          <w:rFonts w:ascii="Verdana" w:hAnsi="Verdana"/>
          <w:color w:val="000000" w:themeColor="text1"/>
        </w:rPr>
      </w:pPr>
    </w:p>
    <w:p w14:paraId="64F5278F" w14:textId="77777777" w:rsidR="00E063F1" w:rsidRPr="00115E3D" w:rsidRDefault="00E063F1" w:rsidP="00312211">
      <w:pPr>
        <w:spacing w:after="0" w:line="276"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2BFB7EA1" w14:textId="77777777" w:rsidR="00E063F1" w:rsidRPr="00115E3D" w:rsidRDefault="00E063F1" w:rsidP="00312211">
      <w:pPr>
        <w:spacing w:after="0" w:line="276" w:lineRule="auto"/>
        <w:jc w:val="both"/>
        <w:rPr>
          <w:rFonts w:ascii="Verdana" w:hAnsi="Verdana"/>
          <w:color w:val="000000" w:themeColor="text1"/>
        </w:rPr>
      </w:pPr>
      <w:r w:rsidRPr="00115E3D">
        <w:rPr>
          <w:rFonts w:ascii="Verdana" w:hAnsi="Verdana"/>
          <w:color w:val="000000" w:themeColor="text1"/>
        </w:rPr>
        <w:t xml:space="preserve">Facebook: </w:t>
      </w:r>
      <w:r w:rsidRPr="00115E3D">
        <w:rPr>
          <w:rStyle w:val="Hipervnculo"/>
          <w:rFonts w:ascii="Verdana" w:hAnsi="Verdana"/>
          <w:color w:val="000000" w:themeColor="text1"/>
        </w:rPr>
        <w:t>ColombiaCompraEficiente</w:t>
      </w:r>
    </w:p>
    <w:p w14:paraId="6A35AC9E" w14:textId="77777777" w:rsidR="00E063F1" w:rsidRPr="00115E3D" w:rsidRDefault="00E063F1" w:rsidP="00312211">
      <w:pPr>
        <w:spacing w:after="0" w:line="276"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282C2A34" w14:textId="77777777" w:rsidR="00E063F1" w:rsidRPr="00115E3D" w:rsidRDefault="00E063F1" w:rsidP="00E063F1">
      <w:pPr>
        <w:widowControl w:val="0"/>
        <w:autoSpaceDE w:val="0"/>
        <w:autoSpaceDN w:val="0"/>
        <w:spacing w:after="0" w:line="276" w:lineRule="auto"/>
        <w:jc w:val="both"/>
        <w:rPr>
          <w:rFonts w:ascii="Verdana" w:hAnsi="Verdana" w:cs="Arial"/>
          <w:color w:val="000000" w:themeColor="text1"/>
        </w:rPr>
      </w:pPr>
    </w:p>
    <w:p w14:paraId="415BC995" w14:textId="77777777" w:rsidR="00E063F1" w:rsidRPr="00115E3D" w:rsidRDefault="00E063F1" w:rsidP="00E063F1">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3BDADD3B" w14:textId="77777777" w:rsidR="00E063F1" w:rsidRDefault="00E063F1" w:rsidP="00312211">
      <w:pPr>
        <w:spacing w:after="0" w:line="276" w:lineRule="auto"/>
        <w:rPr>
          <w:rFonts w:ascii="Verdana" w:eastAsia="Times New Roman" w:hAnsi="Verdana" w:cs="Arial"/>
          <w:color w:val="000000" w:themeColor="text1"/>
          <w:lang w:eastAsia="es-CO"/>
        </w:rPr>
      </w:pPr>
    </w:p>
    <w:p w14:paraId="5665F660" w14:textId="77777777" w:rsidR="00E063F1" w:rsidRPr="00115E3D" w:rsidRDefault="00E063F1" w:rsidP="00312211">
      <w:pPr>
        <w:spacing w:after="0" w:line="276"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248726CF" w14:textId="77777777" w:rsidR="004D20CC" w:rsidRDefault="004D20CC" w:rsidP="00E063F1">
      <w:pPr>
        <w:spacing w:line="276" w:lineRule="auto"/>
        <w:jc w:val="center"/>
        <w:rPr>
          <w:noProof/>
        </w:rPr>
      </w:pPr>
    </w:p>
    <w:p w14:paraId="487D55C2" w14:textId="33A98533" w:rsidR="004D20CC" w:rsidRDefault="004D20CC" w:rsidP="00E063F1">
      <w:pPr>
        <w:spacing w:line="276" w:lineRule="auto"/>
        <w:jc w:val="center"/>
        <w:rPr>
          <w:noProof/>
          <w:color w:val="000000" w:themeColor="text1"/>
          <w:lang w:val="es-ES_tradnl" w:eastAsia="es-CO"/>
        </w:rPr>
      </w:pPr>
      <w:r>
        <w:rPr>
          <w:noProof/>
        </w:rPr>
        <w:drawing>
          <wp:inline distT="0" distB="0" distL="0" distR="0" wp14:anchorId="5E50268F" wp14:editId="49E7832C">
            <wp:extent cx="3688080" cy="1583229"/>
            <wp:effectExtent l="0" t="0" r="7620" b="0"/>
            <wp:docPr id="31361023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02315" cy="1589340"/>
                    </a:xfrm>
                    <a:prstGeom prst="rect">
                      <a:avLst/>
                    </a:prstGeom>
                    <a:noFill/>
                    <a:ln>
                      <a:noFill/>
                    </a:ln>
                  </pic:spPr>
                </pic:pic>
              </a:graphicData>
            </a:graphic>
          </wp:inline>
        </w:drawing>
      </w:r>
    </w:p>
    <w:p w14:paraId="1002E869" w14:textId="77777777" w:rsidR="004D20CC" w:rsidRDefault="004D20CC" w:rsidP="00E063F1">
      <w:pPr>
        <w:spacing w:line="276" w:lineRule="auto"/>
        <w:jc w:val="center"/>
        <w:rPr>
          <w:noProof/>
          <w:color w:val="000000" w:themeColor="text1"/>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063F1" w:rsidRPr="00115E3D" w14:paraId="4548510D" w14:textId="77777777" w:rsidTr="009B3423">
        <w:trPr>
          <w:trHeight w:val="315"/>
        </w:trPr>
        <w:tc>
          <w:tcPr>
            <w:tcW w:w="893" w:type="dxa"/>
            <w:vAlign w:val="center"/>
            <w:hideMark/>
          </w:tcPr>
          <w:p w14:paraId="15E3846D" w14:textId="77777777" w:rsidR="00E063F1" w:rsidRPr="00115E3D" w:rsidRDefault="00E063F1" w:rsidP="009B3423">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45C0CA8" w14:textId="77777777" w:rsidR="00E063F1" w:rsidRPr="00115E3D" w:rsidRDefault="00E063F1" w:rsidP="009B3423">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 Poveda</w:t>
            </w:r>
          </w:p>
          <w:p w14:paraId="6A5E78AC" w14:textId="77777777" w:rsidR="00E063F1" w:rsidRPr="00115E3D" w:rsidRDefault="00E063F1" w:rsidP="009B3423">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Pr="00115E3D">
              <w:rPr>
                <w:rStyle w:val="normaltextrun"/>
                <w:rFonts w:ascii="Verdana" w:eastAsia="Arial" w:hAnsi="Verdana" w:cs="Arial"/>
                <w:color w:val="000000" w:themeColor="text1"/>
                <w:sz w:val="16"/>
                <w:szCs w:val="16"/>
              </w:rPr>
              <w:t>de la Subdirección de Gestión Contractual</w:t>
            </w:r>
          </w:p>
        </w:tc>
      </w:tr>
      <w:tr w:rsidR="00E063F1" w:rsidRPr="00115E3D" w14:paraId="4629663B" w14:textId="77777777" w:rsidTr="009B3423">
        <w:trPr>
          <w:trHeight w:val="330"/>
        </w:trPr>
        <w:tc>
          <w:tcPr>
            <w:tcW w:w="893" w:type="dxa"/>
            <w:vAlign w:val="center"/>
            <w:hideMark/>
          </w:tcPr>
          <w:p w14:paraId="025A2F27" w14:textId="77777777" w:rsidR="00E063F1" w:rsidRPr="00115E3D" w:rsidRDefault="00E063F1" w:rsidP="009B3423">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8CF8CF6" w14:textId="607A248E" w:rsidR="00E063F1" w:rsidRDefault="00E063F1" w:rsidP="009B3423">
            <w:pPr>
              <w:pStyle w:val="paragraph"/>
              <w:spacing w:before="0" w:beforeAutospacing="0" w:after="0" w:afterAutospacing="0"/>
              <w:contextualSpacing/>
              <w:textAlignment w:val="baseline"/>
              <w:rPr>
                <w:rFonts w:ascii="Verdana" w:hAnsi="Verdana" w:cs="Segoe UI"/>
                <w:color w:val="000000" w:themeColor="text1"/>
                <w:sz w:val="16"/>
                <w:szCs w:val="16"/>
              </w:rPr>
            </w:pPr>
            <w:r w:rsidRPr="007879E1">
              <w:rPr>
                <w:rFonts w:ascii="Verdana" w:hAnsi="Verdana" w:cs="Segoe UI"/>
                <w:color w:val="000000" w:themeColor="text1"/>
                <w:sz w:val="16"/>
                <w:szCs w:val="16"/>
              </w:rPr>
              <w:t xml:space="preserve">Diana </w:t>
            </w:r>
            <w:r>
              <w:rPr>
                <w:rFonts w:ascii="Verdana" w:hAnsi="Verdana" w:cs="Segoe UI"/>
                <w:color w:val="000000" w:themeColor="text1"/>
                <w:sz w:val="16"/>
                <w:szCs w:val="16"/>
              </w:rPr>
              <w:t xml:space="preserve">Lucia </w:t>
            </w:r>
            <w:r w:rsidRPr="007879E1">
              <w:rPr>
                <w:rFonts w:ascii="Verdana" w:hAnsi="Verdana" w:cs="Segoe UI"/>
                <w:color w:val="000000" w:themeColor="text1"/>
                <w:sz w:val="16"/>
                <w:szCs w:val="16"/>
              </w:rPr>
              <w:t>Saavedra</w:t>
            </w:r>
            <w:r w:rsidR="00135131">
              <w:rPr>
                <w:rFonts w:ascii="Verdana" w:hAnsi="Verdana" w:cs="Segoe UI"/>
                <w:color w:val="000000" w:themeColor="text1"/>
                <w:sz w:val="16"/>
                <w:szCs w:val="16"/>
              </w:rPr>
              <w:t xml:space="preserve"> Castañeda</w:t>
            </w:r>
          </w:p>
          <w:p w14:paraId="2D5F9023" w14:textId="77777777" w:rsidR="00E063F1" w:rsidRPr="00115E3D" w:rsidRDefault="00E063F1" w:rsidP="009B3423">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E063F1" w:rsidRPr="00115E3D" w14:paraId="6C79B843" w14:textId="77777777" w:rsidTr="009B3423">
        <w:trPr>
          <w:trHeight w:val="300"/>
        </w:trPr>
        <w:tc>
          <w:tcPr>
            <w:tcW w:w="893" w:type="dxa"/>
            <w:vAlign w:val="center"/>
          </w:tcPr>
          <w:p w14:paraId="3D43C544" w14:textId="77777777" w:rsidR="00E063F1" w:rsidRPr="00115E3D" w:rsidRDefault="00E063F1" w:rsidP="009B3423">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BF3A7C1" w14:textId="77777777" w:rsidR="00E063F1" w:rsidRPr="00115E3D" w:rsidRDefault="00E063F1" w:rsidP="009B3423">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Carolina Quintero Gacharná</w:t>
            </w:r>
          </w:p>
          <w:p w14:paraId="7D778016" w14:textId="77777777" w:rsidR="00E063F1" w:rsidRPr="00115E3D" w:rsidRDefault="00E063F1" w:rsidP="009B3423">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Gestión Contractual ANCP – CCE</w:t>
            </w:r>
          </w:p>
        </w:tc>
      </w:tr>
    </w:tbl>
    <w:p w14:paraId="149ECE51" w14:textId="77777777" w:rsidR="00E063F1" w:rsidRDefault="00E063F1" w:rsidP="00E063F1"/>
    <w:p w14:paraId="7C9026E2" w14:textId="77777777" w:rsidR="002A0DD0" w:rsidRPr="00E063F1" w:rsidRDefault="002A0DD0" w:rsidP="30821638">
      <w:pPr>
        <w:spacing w:after="0" w:line="240" w:lineRule="auto"/>
        <w:jc w:val="both"/>
        <w:rPr>
          <w:rFonts w:ascii="Verdana" w:eastAsia="Verdana" w:hAnsi="Verdana" w:cs="Verdana"/>
          <w:b/>
          <w:bCs/>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0CDFEA8E"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778CA0" w14:textId="77777777" w:rsidR="008F7E26" w:rsidRDefault="008F7E26" w:rsidP="004A1847">
      <w:pPr>
        <w:spacing w:after="0" w:line="240" w:lineRule="auto"/>
      </w:pPr>
      <w:r>
        <w:separator/>
      </w:r>
    </w:p>
  </w:endnote>
  <w:endnote w:type="continuationSeparator" w:id="0">
    <w:p w14:paraId="1DEA58C6" w14:textId="77777777" w:rsidR="008F7E26" w:rsidRDefault="008F7E26" w:rsidP="004A1847">
      <w:pPr>
        <w:spacing w:after="0" w:line="240" w:lineRule="auto"/>
      </w:pPr>
      <w:r>
        <w:continuationSeparator/>
      </w:r>
    </w:p>
  </w:endnote>
  <w:endnote w:type="continuationNotice" w:id="1">
    <w:p w14:paraId="6C837796" w14:textId="77777777" w:rsidR="008F7E26" w:rsidRDefault="008F7E2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E3E97" w14:textId="77777777" w:rsidR="008F7E26" w:rsidRDefault="008F7E26" w:rsidP="004A1847">
      <w:pPr>
        <w:spacing w:after="0" w:line="240" w:lineRule="auto"/>
      </w:pPr>
      <w:r>
        <w:separator/>
      </w:r>
    </w:p>
  </w:footnote>
  <w:footnote w:type="continuationSeparator" w:id="0">
    <w:p w14:paraId="103E1DE5" w14:textId="77777777" w:rsidR="008F7E26" w:rsidRDefault="008F7E26" w:rsidP="004A1847">
      <w:pPr>
        <w:spacing w:after="0" w:line="240" w:lineRule="auto"/>
      </w:pPr>
      <w:r>
        <w:continuationSeparator/>
      </w:r>
    </w:p>
  </w:footnote>
  <w:footnote w:type="continuationNotice" w:id="1">
    <w:p w14:paraId="3625DD9A" w14:textId="77777777" w:rsidR="008F7E26" w:rsidRDefault="008F7E26">
      <w:pPr>
        <w:spacing w:after="0" w:line="240" w:lineRule="auto"/>
      </w:pPr>
    </w:p>
  </w:footnote>
  <w:footnote w:id="2">
    <w:p w14:paraId="0E9F1376" w14:textId="77777777" w:rsidR="00E063F1" w:rsidRPr="000418A8" w:rsidRDefault="00E063F1" w:rsidP="00E063F1">
      <w:pPr>
        <w:pStyle w:val="NormalWeb"/>
        <w:snapToGrid w:val="0"/>
        <w:spacing w:before="0" w:beforeAutospacing="0" w:after="0" w:afterAutospacing="0"/>
        <w:ind w:firstLine="709"/>
        <w:jc w:val="both"/>
        <w:rPr>
          <w:rFonts w:ascii="Verdana" w:hAnsi="Verdana" w:cs="Arial"/>
          <w:sz w:val="16"/>
          <w:szCs w:val="16"/>
        </w:rPr>
      </w:pPr>
      <w:r w:rsidRPr="000418A8">
        <w:rPr>
          <w:rStyle w:val="Refdenotaalpie"/>
          <w:rFonts w:ascii="Verdana" w:eastAsiaTheme="majorEastAsia" w:hAnsi="Verdana" w:cs="Arial"/>
          <w:sz w:val="16"/>
          <w:szCs w:val="16"/>
        </w:rPr>
        <w:footnoteRef/>
      </w:r>
      <w:r w:rsidRPr="000418A8">
        <w:rPr>
          <w:rFonts w:ascii="Verdana" w:hAnsi="Verdana" w:cs="Arial"/>
          <w:sz w:val="16"/>
          <w:szCs w:val="16"/>
        </w:rPr>
        <w:t xml:space="preserve"> </w:t>
      </w:r>
      <w:r w:rsidRPr="000418A8">
        <w:rPr>
          <w:rFonts w:ascii="Verdana" w:hAnsi="Verdana" w:cs="Arial"/>
          <w:sz w:val="16"/>
          <w:szCs w:val="16"/>
          <w:lang w:val="es-ES"/>
        </w:rPr>
        <w:t>“</w:t>
      </w:r>
      <w:r w:rsidRPr="000418A8">
        <w:rPr>
          <w:rFonts w:ascii="Verdana" w:hAnsi="Verdana" w:cs="Arial"/>
          <w:sz w:val="16"/>
          <w:szCs w:val="16"/>
        </w:rPr>
        <w:t xml:space="preserve">Para poder participar en los procesos de selección de los contratos de obra, la capacidad residual del proponente o K de contratación deberá ser igual o superior al que la entidad haya establecido para el efecto en los pliegos de condiciones. </w:t>
      </w:r>
    </w:p>
    <w:p w14:paraId="07BA59C2" w14:textId="77777777" w:rsidR="00E063F1" w:rsidRPr="000418A8" w:rsidRDefault="00E063F1" w:rsidP="00E063F1">
      <w:pPr>
        <w:snapToGrid w:val="0"/>
        <w:spacing w:after="0" w:line="240" w:lineRule="auto"/>
        <w:ind w:firstLine="708"/>
        <w:jc w:val="both"/>
        <w:rPr>
          <w:rFonts w:ascii="Verdana" w:hAnsi="Verdana" w:cs="Arial"/>
          <w:sz w:val="16"/>
          <w:szCs w:val="16"/>
        </w:rPr>
      </w:pPr>
      <w:r w:rsidRPr="000418A8">
        <w:rPr>
          <w:rFonts w:ascii="Verdana" w:hAnsi="Verdana" w:cs="Arial"/>
          <w:sz w:val="16"/>
          <w:szCs w:val="16"/>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footnote>
  <w:footnote w:id="3">
    <w:p w14:paraId="13120A52" w14:textId="77777777" w:rsidR="00E063F1" w:rsidRPr="000418A8" w:rsidRDefault="00E063F1" w:rsidP="00E063F1">
      <w:pPr>
        <w:pStyle w:val="Textonotapie"/>
        <w:ind w:firstLine="708"/>
        <w:jc w:val="both"/>
        <w:rPr>
          <w:rFonts w:ascii="Verdana" w:hAnsi="Verdana"/>
          <w:sz w:val="16"/>
          <w:szCs w:val="16"/>
        </w:rPr>
      </w:pPr>
      <w:r w:rsidRPr="000418A8">
        <w:rPr>
          <w:rStyle w:val="Refdenotaalpie"/>
          <w:rFonts w:ascii="Verdana" w:hAnsi="Verdana"/>
          <w:sz w:val="16"/>
          <w:szCs w:val="16"/>
        </w:rPr>
        <w:footnoteRef/>
      </w:r>
      <w:r w:rsidRPr="000418A8">
        <w:rPr>
          <w:rFonts w:ascii="Verdana" w:hAnsi="Verdana"/>
          <w:sz w:val="16"/>
          <w:szCs w:val="16"/>
        </w:rPr>
        <w:t xml:space="preserve"> El </w:t>
      </w:r>
      <w:r w:rsidRPr="000418A8">
        <w:rPr>
          <w:rFonts w:ascii="Verdana" w:eastAsia="Times New Roman" w:hAnsi="Verdana" w:cs="Arial"/>
          <w:sz w:val="16"/>
          <w:szCs w:val="16"/>
          <w:lang w:val="es-ES" w:eastAsia="es-MX"/>
        </w:rPr>
        <w:t>“Manual para determinar y verificar los requisitos habilitantes en los Procesos de Contratación”</w:t>
      </w:r>
      <w:r w:rsidRPr="000418A8">
        <w:rPr>
          <w:rFonts w:ascii="Verdana" w:eastAsia="Calibri" w:hAnsi="Verdana" w:cs="Arial"/>
          <w:sz w:val="16"/>
          <w:szCs w:val="16"/>
          <w:lang w:val="es-ES" w:eastAsia="es-MX"/>
        </w:rPr>
        <w:t>,</w:t>
      </w:r>
      <w:r w:rsidRPr="000418A8">
        <w:rPr>
          <w:rFonts w:ascii="Verdana" w:eastAsia="Times New Roman" w:hAnsi="Verdana" w:cs="Arial"/>
          <w:sz w:val="16"/>
          <w:szCs w:val="16"/>
          <w:lang w:val="es-ES" w:eastAsia="es-MX"/>
        </w:rPr>
        <w:t xml:space="preserve"> expedido por la </w:t>
      </w:r>
      <w:r w:rsidRPr="000418A8">
        <w:rPr>
          <w:rFonts w:ascii="Verdana" w:eastAsia="Calibri" w:hAnsi="Verdana" w:cs="Arial"/>
          <w:sz w:val="16"/>
          <w:szCs w:val="16"/>
          <w:lang w:val="es-ES" w:eastAsia="es-MX"/>
        </w:rPr>
        <w:t xml:space="preserve">Agencia Nacional de Contratación Pública – Colombia Compra Eficiente, puede ser consultado en el siguiente enlace: </w:t>
      </w:r>
      <w:hyperlink r:id="rId1" w:history="1">
        <w:r w:rsidRPr="004F1210">
          <w:rPr>
            <w:rStyle w:val="Hipervnculo"/>
            <w:rFonts w:ascii="Verdana" w:eastAsia="Calibri" w:hAnsi="Verdana" w:cs="Arial"/>
            <w:sz w:val="16"/>
            <w:szCs w:val="16"/>
            <w:lang w:val="es-ES" w:eastAsia="es-MX"/>
          </w:rPr>
          <w:t>https://colombiacompra.gov.co/sites/cce_public/files/cce_documents/cce-eicp-ma-04._manual_requisitos_habilitantes_v3_29-09-2023.pdf</w:t>
        </w:r>
      </w:hyperlink>
      <w:r w:rsidRPr="004F1210">
        <w:rPr>
          <w:rFonts w:ascii="Verdana" w:eastAsia="Calibri" w:hAnsi="Verdana" w:cs="Arial"/>
          <w:sz w:val="16"/>
          <w:szCs w:val="16"/>
          <w:lang w:val="es-ES" w:eastAsia="es-MX"/>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67" w:hanging="360"/>
      </w:pPr>
      <w:rPr>
        <w:b/>
        <w:color w:val="000000" w:themeColor="text1"/>
      </w:rPr>
    </w:lvl>
    <w:lvl w:ilvl="1">
      <w:start w:val="2"/>
      <w:numFmt w:val="decimal"/>
      <w:isLgl/>
      <w:lvlText w:val="%1.%2"/>
      <w:lvlJc w:val="left"/>
      <w:pPr>
        <w:ind w:left="6307" w:hanging="360"/>
      </w:pPr>
    </w:lvl>
    <w:lvl w:ilvl="2">
      <w:start w:val="1"/>
      <w:numFmt w:val="decimal"/>
      <w:isLgl/>
      <w:lvlText w:val="%1.%2.%3"/>
      <w:lvlJc w:val="left"/>
      <w:pPr>
        <w:ind w:left="7027" w:hanging="720"/>
      </w:pPr>
    </w:lvl>
    <w:lvl w:ilvl="3">
      <w:start w:val="1"/>
      <w:numFmt w:val="decimal"/>
      <w:isLgl/>
      <w:lvlText w:val="%1.%2.%3.%4"/>
      <w:lvlJc w:val="left"/>
      <w:pPr>
        <w:ind w:left="7027" w:hanging="720"/>
      </w:pPr>
    </w:lvl>
    <w:lvl w:ilvl="4">
      <w:start w:val="1"/>
      <w:numFmt w:val="decimal"/>
      <w:isLgl/>
      <w:lvlText w:val="%1.%2.%3.%4.%5"/>
      <w:lvlJc w:val="left"/>
      <w:pPr>
        <w:ind w:left="7387" w:hanging="1080"/>
      </w:pPr>
    </w:lvl>
    <w:lvl w:ilvl="5">
      <w:start w:val="1"/>
      <w:numFmt w:val="decimal"/>
      <w:isLgl/>
      <w:lvlText w:val="%1.%2.%3.%4.%5.%6"/>
      <w:lvlJc w:val="left"/>
      <w:pPr>
        <w:ind w:left="7387" w:hanging="1080"/>
      </w:pPr>
    </w:lvl>
    <w:lvl w:ilvl="6">
      <w:start w:val="1"/>
      <w:numFmt w:val="decimal"/>
      <w:isLgl/>
      <w:lvlText w:val="%1.%2.%3.%4.%5.%6.%7"/>
      <w:lvlJc w:val="left"/>
      <w:pPr>
        <w:ind w:left="7747" w:hanging="1440"/>
      </w:pPr>
    </w:lvl>
    <w:lvl w:ilvl="7">
      <w:start w:val="1"/>
      <w:numFmt w:val="decimal"/>
      <w:isLgl/>
      <w:lvlText w:val="%1.%2.%3.%4.%5.%6.%7.%8"/>
      <w:lvlJc w:val="left"/>
      <w:pPr>
        <w:ind w:left="7747" w:hanging="1440"/>
      </w:pPr>
    </w:lvl>
    <w:lvl w:ilvl="8">
      <w:start w:val="1"/>
      <w:numFmt w:val="decimal"/>
      <w:isLgl/>
      <w:lvlText w:val="%1.%2.%3.%4.%5.%6.%7.%8.%9"/>
      <w:lvlJc w:val="left"/>
      <w:pPr>
        <w:ind w:left="8107"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728139682">
    <w:abstractNumId w:val="0"/>
  </w:num>
  <w:num w:numId="17" w16cid:durableId="212572888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35131"/>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12211"/>
    <w:rsid w:val="00322A85"/>
    <w:rsid w:val="00324168"/>
    <w:rsid w:val="00330834"/>
    <w:rsid w:val="003448F4"/>
    <w:rsid w:val="00374F5E"/>
    <w:rsid w:val="00377E3E"/>
    <w:rsid w:val="003A4378"/>
    <w:rsid w:val="003A779E"/>
    <w:rsid w:val="003D0F4D"/>
    <w:rsid w:val="003D5B0D"/>
    <w:rsid w:val="003E0499"/>
    <w:rsid w:val="003E4DBB"/>
    <w:rsid w:val="003E4F80"/>
    <w:rsid w:val="003E6439"/>
    <w:rsid w:val="003F3941"/>
    <w:rsid w:val="00406575"/>
    <w:rsid w:val="00414C74"/>
    <w:rsid w:val="0042722E"/>
    <w:rsid w:val="0044528D"/>
    <w:rsid w:val="0045645B"/>
    <w:rsid w:val="00466E39"/>
    <w:rsid w:val="004A1847"/>
    <w:rsid w:val="004A305D"/>
    <w:rsid w:val="004D20CC"/>
    <w:rsid w:val="004F1210"/>
    <w:rsid w:val="004F21C4"/>
    <w:rsid w:val="004F685F"/>
    <w:rsid w:val="005566E8"/>
    <w:rsid w:val="00574867"/>
    <w:rsid w:val="00591460"/>
    <w:rsid w:val="005A061E"/>
    <w:rsid w:val="005A65E0"/>
    <w:rsid w:val="005C3777"/>
    <w:rsid w:val="005C5CDC"/>
    <w:rsid w:val="005D476C"/>
    <w:rsid w:val="006200BF"/>
    <w:rsid w:val="006219F8"/>
    <w:rsid w:val="006302F7"/>
    <w:rsid w:val="00646B9F"/>
    <w:rsid w:val="00646E48"/>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B3B85"/>
    <w:rsid w:val="008D180B"/>
    <w:rsid w:val="008F0EA7"/>
    <w:rsid w:val="008F7E26"/>
    <w:rsid w:val="00910B9A"/>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58D2"/>
    <w:rsid w:val="00BF7425"/>
    <w:rsid w:val="00C04FB3"/>
    <w:rsid w:val="00C11D8B"/>
    <w:rsid w:val="00C15139"/>
    <w:rsid w:val="00C330EB"/>
    <w:rsid w:val="00C50D69"/>
    <w:rsid w:val="00C5365C"/>
    <w:rsid w:val="00C754BE"/>
    <w:rsid w:val="00C76B1C"/>
    <w:rsid w:val="00C82BCC"/>
    <w:rsid w:val="00C925AC"/>
    <w:rsid w:val="00CB6357"/>
    <w:rsid w:val="00CC1B26"/>
    <w:rsid w:val="00D361FD"/>
    <w:rsid w:val="00D423A2"/>
    <w:rsid w:val="00D44E26"/>
    <w:rsid w:val="00D520D8"/>
    <w:rsid w:val="00D56B24"/>
    <w:rsid w:val="00D63AC2"/>
    <w:rsid w:val="00D7383B"/>
    <w:rsid w:val="00D7788A"/>
    <w:rsid w:val="00DA231B"/>
    <w:rsid w:val="00DC39FC"/>
    <w:rsid w:val="00DF5254"/>
    <w:rsid w:val="00E02524"/>
    <w:rsid w:val="00E063F1"/>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00359"/>
    <w:rsid w:val="00F0533F"/>
    <w:rsid w:val="00F23FEA"/>
    <w:rsid w:val="00F31EDC"/>
    <w:rsid w:val="00F462B3"/>
    <w:rsid w:val="00F5664F"/>
    <w:rsid w:val="00F666C4"/>
    <w:rsid w:val="00F76AFC"/>
    <w:rsid w:val="00FA47C0"/>
    <w:rsid w:val="00FB5DD1"/>
    <w:rsid w:val="00FC2B5D"/>
    <w:rsid w:val="00FF1449"/>
    <w:rsid w:val="00FF3B5E"/>
    <w:rsid w:val="00FF7963"/>
    <w:rsid w:val="071B8F93"/>
    <w:rsid w:val="07C73DD1"/>
    <w:rsid w:val="09908A09"/>
    <w:rsid w:val="0E0AF0F4"/>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063F1"/>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063F1"/>
    <w:rPr>
      <w:rFonts w:ascii="Geomanist Light" w:hAnsi="Geomanist Light"/>
      <w:lang w:val="es-ES"/>
    </w:rPr>
  </w:style>
  <w:style w:type="character" w:customStyle="1" w:styleId="NormalWebCar">
    <w:name w:val="Normal (Web) Car"/>
    <w:link w:val="NormalWeb"/>
    <w:uiPriority w:val="99"/>
    <w:locked/>
    <w:rsid w:val="00E063F1"/>
    <w:rPr>
      <w:rFonts w:ascii="Times New Roman" w:eastAsia="Times New Roman" w:hAnsi="Times New Roman" w:cs="Times New Roman"/>
      <w:sz w:val="24"/>
      <w:szCs w:val="24"/>
      <w:lang w:eastAsia="es-CO"/>
    </w:rPr>
  </w:style>
  <w:style w:type="character" w:customStyle="1" w:styleId="citation-280">
    <w:name w:val="citation-280"/>
    <w:basedOn w:val="Fuentedeprrafopredeter"/>
    <w:rsid w:val="00E063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manual/manual-para-determinar-y-verificar-los-requisitos-habilitantes-en-los-procesos-de-contratacion" TargetMode="External"/><Relationship Id="rId18" Type="http://schemas.openxmlformats.org/officeDocument/2006/relationships/image" Target="media/image3.jpe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hernan.p&#237;neda@segurosaurora.com"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sites/cce_public/files/cce_documents/cce-eicp-ma-04._manual_requisitos_habilitantes_v3_29-09-2023.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DE3DBCE-27CF-4432-9A79-5AD9579988D1}"/>
</file>

<file path=customXml/itemProps4.xml><?xml version="1.0" encoding="utf-8"?>
<ds:datastoreItem xmlns:ds="http://schemas.openxmlformats.org/officeDocument/2006/customXml" ds:itemID="{4850348A-141A-4242-8306-543971C6CBE9}">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26</TotalTime>
  <Pages>14</Pages>
  <Words>4477</Words>
  <Characters>24629</Characters>
  <Application>Microsoft Office Word</Application>
  <DocSecurity>0</DocSecurity>
  <Lines>205</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Daniel Eduardo Rojas Poveda</cp:lastModifiedBy>
  <cp:revision>3</cp:revision>
  <cp:lastPrinted>2023-01-10T21:18:00Z</cp:lastPrinted>
  <dcterms:created xsi:type="dcterms:W3CDTF">2026-07-01T15:18:00Z</dcterms:created>
  <dcterms:modified xsi:type="dcterms:W3CDTF">2026-07-01T15:42:00Z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