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FBEFF" w14:textId="77777777" w:rsidR="00602750" w:rsidRPr="00123DAA" w:rsidRDefault="00602750" w:rsidP="009D75CA">
      <w:pPr>
        <w:spacing w:after="0" w:line="240" w:lineRule="auto"/>
        <w:jc w:val="both"/>
        <w:rPr>
          <w:rFonts w:ascii="Verdana" w:eastAsia="Calibri" w:hAnsi="Verdana" w:cs="Arial"/>
          <w:b/>
          <w:bCs/>
          <w:lang w:val="es-ES_tradnl" w:eastAsia="es-ES"/>
        </w:rPr>
      </w:pPr>
      <w:bookmarkStart w:id="0" w:name="_Hlk143780582"/>
      <w:r w:rsidRPr="00CD225F">
        <w:rPr>
          <w:rFonts w:ascii="Verdana" w:eastAsia="Calibri" w:hAnsi="Verdana" w:cs="Arial"/>
          <w:b/>
          <w:bCs/>
          <w:lang w:val="es-ES_tradnl" w:eastAsia="es-ES"/>
        </w:rPr>
        <w:t>CONTRATO ESTATAL – Régimen mixto – Derecho público – Derecho privado</w:t>
      </w:r>
    </w:p>
    <w:p w14:paraId="405F3067" w14:textId="77777777" w:rsidR="00602750" w:rsidRPr="00123DAA" w:rsidRDefault="00602750" w:rsidP="009D75CA">
      <w:pPr>
        <w:spacing w:after="0" w:line="240" w:lineRule="auto"/>
        <w:jc w:val="both"/>
        <w:rPr>
          <w:rFonts w:ascii="Verdana" w:eastAsia="Calibri" w:hAnsi="Verdana" w:cs="Arial"/>
          <w:sz w:val="20"/>
          <w:szCs w:val="20"/>
          <w:lang w:val="es-ES_tradnl" w:eastAsia="es-ES"/>
        </w:rPr>
      </w:pPr>
    </w:p>
    <w:p w14:paraId="1ED0AB3F" w14:textId="77777777" w:rsidR="00602750" w:rsidRPr="00CD225F" w:rsidRDefault="00602750" w:rsidP="009D75CA">
      <w:pPr>
        <w:spacing w:after="0" w:line="240" w:lineRule="auto"/>
        <w:jc w:val="both"/>
        <w:rPr>
          <w:rFonts w:ascii="Verdana" w:eastAsia="Calibri" w:hAnsi="Verdana" w:cs="Arial"/>
          <w:sz w:val="20"/>
          <w:szCs w:val="20"/>
          <w:lang w:eastAsia="es-ES"/>
        </w:rPr>
      </w:pPr>
      <w:r w:rsidRPr="00CD225F">
        <w:rPr>
          <w:rFonts w:ascii="Verdana" w:eastAsia="Calibri" w:hAnsi="Verdana" w:cs="Arial"/>
          <w:i/>
          <w:iCs/>
          <w:sz w:val="20"/>
          <w:szCs w:val="20"/>
          <w:lang w:val="es-ES" w:eastAsia="es-ES"/>
        </w:rPr>
        <w:t>Tratándose de las entidades sometidas a la Ley 80 de 1993</w:t>
      </w:r>
      <w:r w:rsidRPr="00CD225F">
        <w:rPr>
          <w:rFonts w:ascii="Verdana" w:eastAsia="Calibri" w:hAnsi="Verdana" w:cs="Arial"/>
          <w:sz w:val="20"/>
          <w:szCs w:val="20"/>
          <w:lang w:val="es-ES" w:eastAsia="es-ES"/>
        </w:rPr>
        <w:t xml:space="preserve">, </w:t>
      </w:r>
      <w:r w:rsidRPr="00CD225F">
        <w:rPr>
          <w:rFonts w:ascii="Verdana" w:eastAsia="Calibri" w:hAnsi="Verdana" w:cs="Arial"/>
          <w:bCs/>
          <w:sz w:val="20"/>
          <w:szCs w:val="20"/>
          <w:lang w:eastAsia="es-ES"/>
        </w:rPr>
        <w:t>el inciso primero del artículo 13 dispone que “Los contratos que celebren las entidades a que se refiere el artículo 2o. del presente estatuto se regirán por las disposiciones comerciales y civiles pertinentes, salvo en las materias particularmente reguladas en esta ley”. 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y que “Las estipulaciones de los contratos serán las que de acuerdo con las normas civiles, comerciales y las previstas en esta ley, correspondan a su esencia y naturaleza” –art. 40, inciso primero–.</w:t>
      </w:r>
      <w:r>
        <w:rPr>
          <w:rFonts w:ascii="Verdana" w:eastAsia="Calibri" w:hAnsi="Verdana" w:cs="Arial"/>
          <w:sz w:val="20"/>
          <w:szCs w:val="20"/>
          <w:lang w:eastAsia="es-ES"/>
        </w:rPr>
        <w:t xml:space="preserve"> </w:t>
      </w:r>
      <w:r w:rsidRPr="00CD225F">
        <w:rPr>
          <w:rFonts w:ascii="Verdana" w:eastAsia="Calibri" w:hAnsi="Verdana" w:cs="Arial"/>
          <w:sz w:val="20"/>
          <w:szCs w:val="20"/>
          <w:lang w:eastAsia="es-ES"/>
        </w:rPr>
        <w:t>De esta manera, los contratos de las entidades sometidas al Estatuto General de Contratación se rigen generalmente por el derecho privado y excepcionalmente por el derecho público, pues las normas civiles y comerciales son el derecho común de los contratos estatales</w:t>
      </w:r>
      <w:r w:rsidRPr="00123DAA">
        <w:rPr>
          <w:rFonts w:ascii="Verdana" w:eastAsia="Calibri" w:hAnsi="Verdana" w:cs="Arial"/>
          <w:sz w:val="20"/>
          <w:szCs w:val="20"/>
          <w:lang w:val="es-ES_tradnl" w:eastAsia="es-ES"/>
        </w:rPr>
        <w:t>.</w:t>
      </w:r>
    </w:p>
    <w:p w14:paraId="464662D5" w14:textId="77777777" w:rsidR="00602750" w:rsidRPr="009750C5" w:rsidRDefault="00602750" w:rsidP="009D75CA">
      <w:pPr>
        <w:spacing w:after="0" w:line="240" w:lineRule="auto"/>
        <w:jc w:val="both"/>
        <w:rPr>
          <w:rFonts w:ascii="Verdana" w:hAnsi="Verdana" w:cs="Arial"/>
          <w:b/>
          <w:lang w:eastAsia="es-ES" w:bidi="es-ES"/>
        </w:rPr>
      </w:pPr>
    </w:p>
    <w:p w14:paraId="154A6225" w14:textId="77777777" w:rsidR="00602750" w:rsidRPr="009750C5" w:rsidRDefault="00602750" w:rsidP="009D75CA">
      <w:pPr>
        <w:spacing w:after="0" w:line="240" w:lineRule="auto"/>
        <w:jc w:val="both"/>
        <w:rPr>
          <w:rFonts w:ascii="Verdana" w:hAnsi="Verdana" w:cs="Arial"/>
          <w:b/>
          <w:lang w:val="es-ES" w:eastAsia="es-ES"/>
        </w:rPr>
      </w:pPr>
      <w:r w:rsidRPr="009750C5">
        <w:rPr>
          <w:rFonts w:ascii="Verdana" w:hAnsi="Verdana" w:cs="Arial"/>
          <w:b/>
          <w:lang w:val="es-ES" w:eastAsia="es-ES"/>
        </w:rPr>
        <w:t xml:space="preserve">NULIDAD DEL CONTRATO ESTATAL – Nulidad Absoluta – Nulidad Relativa </w:t>
      </w:r>
    </w:p>
    <w:p w14:paraId="61A3D3F8" w14:textId="77777777" w:rsidR="00602750" w:rsidRDefault="00602750" w:rsidP="009D75CA">
      <w:pPr>
        <w:spacing w:after="0" w:line="240" w:lineRule="auto"/>
        <w:jc w:val="both"/>
        <w:rPr>
          <w:rFonts w:ascii="Verdana" w:hAnsi="Verdana" w:cs="Arial"/>
          <w:b/>
          <w:lang w:val="es-ES" w:eastAsia="es-ES"/>
        </w:rPr>
      </w:pPr>
    </w:p>
    <w:p w14:paraId="6507C994" w14:textId="77777777" w:rsidR="00602750" w:rsidRPr="009750C5" w:rsidRDefault="00602750" w:rsidP="009D75CA">
      <w:pPr>
        <w:spacing w:after="0" w:line="240" w:lineRule="auto"/>
        <w:jc w:val="both"/>
        <w:rPr>
          <w:rFonts w:ascii="Verdana" w:hAnsi="Verdana" w:cs="Arial"/>
          <w:sz w:val="20"/>
          <w:szCs w:val="20"/>
          <w:lang w:val="es-ES" w:eastAsia="es-ES"/>
        </w:rPr>
      </w:pPr>
      <w:r w:rsidRPr="009750C5">
        <w:rPr>
          <w:rFonts w:ascii="Verdana" w:hAnsi="Verdana" w:cs="Arial"/>
          <w:sz w:val="20"/>
          <w:szCs w:val="20"/>
          <w:lang w:eastAsia="es-ES"/>
        </w:rPr>
        <w:t xml:space="preserve">En lo que respecta a la normativa del Sistema de Compra Pública, existen dos tipos de nulidades, estas son, la absoluta y la relativa. En ese sentido, la Ley 80 de 1993 señala como causales de nulidad absoluta del contrato estatal, las siguientes: i) que el contrato se celebre con personas incursas en causales de inhabilidad o incompatibilidad previstas en la Constitución y la ley, </w:t>
      </w:r>
      <w:proofErr w:type="spellStart"/>
      <w:r w:rsidRPr="009750C5">
        <w:rPr>
          <w:rFonts w:ascii="Verdana" w:hAnsi="Verdana" w:cs="Arial"/>
          <w:sz w:val="20"/>
          <w:szCs w:val="20"/>
          <w:lang w:eastAsia="es-ES"/>
        </w:rPr>
        <w:t>ii</w:t>
      </w:r>
      <w:proofErr w:type="spellEnd"/>
      <w:r w:rsidRPr="009750C5">
        <w:rPr>
          <w:rFonts w:ascii="Verdana" w:hAnsi="Verdana" w:cs="Arial"/>
          <w:sz w:val="20"/>
          <w:szCs w:val="20"/>
          <w:lang w:eastAsia="es-ES"/>
        </w:rPr>
        <w:t xml:space="preserve">) se celebre contra expresa prohibición constitucional o legal, </w:t>
      </w:r>
      <w:proofErr w:type="spellStart"/>
      <w:r w:rsidRPr="009750C5">
        <w:rPr>
          <w:rFonts w:ascii="Verdana" w:hAnsi="Verdana" w:cs="Arial"/>
          <w:sz w:val="20"/>
          <w:szCs w:val="20"/>
          <w:lang w:eastAsia="es-ES"/>
        </w:rPr>
        <w:t>iii</w:t>
      </w:r>
      <w:proofErr w:type="spellEnd"/>
      <w:r w:rsidRPr="009750C5">
        <w:rPr>
          <w:rFonts w:ascii="Verdana" w:hAnsi="Verdana" w:cs="Arial"/>
          <w:sz w:val="20"/>
          <w:szCs w:val="20"/>
          <w:lang w:eastAsia="es-ES"/>
        </w:rPr>
        <w:t xml:space="preserve">) se celebre con abuso o desviación de poder, </w:t>
      </w:r>
      <w:proofErr w:type="spellStart"/>
      <w:r w:rsidRPr="009750C5">
        <w:rPr>
          <w:rFonts w:ascii="Verdana" w:hAnsi="Verdana" w:cs="Arial"/>
          <w:sz w:val="20"/>
          <w:szCs w:val="20"/>
          <w:lang w:eastAsia="es-ES"/>
        </w:rPr>
        <w:t>iv</w:t>
      </w:r>
      <w:proofErr w:type="spellEnd"/>
      <w:r w:rsidRPr="009750C5">
        <w:rPr>
          <w:rFonts w:ascii="Verdana" w:hAnsi="Verdana" w:cs="Arial"/>
          <w:sz w:val="20"/>
          <w:szCs w:val="20"/>
          <w:lang w:eastAsia="es-ES"/>
        </w:rPr>
        <w:t>) se declaren nulos los actos administrativos en que se fundamenten, v) se hubieren celebrado con desconocimiento de los criterios previstos para el tratamiento de ofertas nacionales y extranjeras o con violación de la reciprocidad</w:t>
      </w:r>
      <w:r w:rsidRPr="009750C5">
        <w:rPr>
          <w:rFonts w:ascii="Verdana" w:hAnsi="Verdana" w:cs="Arial"/>
          <w:sz w:val="20"/>
          <w:szCs w:val="20"/>
          <w:lang w:val="es-ES" w:eastAsia="es-ES"/>
        </w:rPr>
        <w:t>.</w:t>
      </w:r>
    </w:p>
    <w:p w14:paraId="76CD0F99" w14:textId="77777777" w:rsidR="00602750" w:rsidRPr="009750C5" w:rsidRDefault="00602750" w:rsidP="009D75CA">
      <w:pPr>
        <w:spacing w:after="0" w:line="240" w:lineRule="auto"/>
        <w:jc w:val="both"/>
        <w:rPr>
          <w:rFonts w:ascii="Verdana" w:hAnsi="Verdana" w:cs="Arial"/>
          <w:sz w:val="20"/>
          <w:szCs w:val="20"/>
          <w:lang w:val="es-ES_tradnl" w:eastAsia="es-ES"/>
        </w:rPr>
      </w:pPr>
    </w:p>
    <w:p w14:paraId="33DC62CF" w14:textId="77777777" w:rsidR="00602750" w:rsidRPr="009750C5" w:rsidRDefault="00602750" w:rsidP="009D75CA">
      <w:pPr>
        <w:spacing w:after="0" w:line="240" w:lineRule="auto"/>
        <w:jc w:val="both"/>
        <w:rPr>
          <w:rFonts w:ascii="Verdana" w:hAnsi="Verdana" w:cs="Arial"/>
          <w:bCs/>
          <w:sz w:val="20"/>
          <w:szCs w:val="20"/>
          <w:lang w:eastAsia="es-ES"/>
        </w:rPr>
      </w:pPr>
      <w:r w:rsidRPr="009750C5">
        <w:rPr>
          <w:rFonts w:ascii="Verdana" w:hAnsi="Verdana" w:cs="Arial"/>
          <w:bCs/>
          <w:sz w:val="20"/>
          <w:szCs w:val="20"/>
          <w:lang w:eastAsia="es-ES"/>
        </w:rPr>
        <w:t>En lo referente a la nulidad relativa, tanto la Ley 80 de 1993</w:t>
      </w:r>
      <w:r w:rsidRPr="009750C5">
        <w:rPr>
          <w:rFonts w:ascii="Verdana" w:hAnsi="Verdana" w:cs="Arial"/>
          <w:sz w:val="20"/>
          <w:szCs w:val="20"/>
          <w:vertAlign w:val="superscript"/>
          <w:lang w:val="es-ES" w:eastAsia="es-ES"/>
        </w:rPr>
        <w:t xml:space="preserve"> </w:t>
      </w:r>
      <w:r w:rsidRPr="009750C5">
        <w:rPr>
          <w:rFonts w:ascii="Verdana" w:hAnsi="Verdana" w:cs="Arial"/>
          <w:bCs/>
          <w:sz w:val="20"/>
          <w:szCs w:val="20"/>
          <w:lang w:eastAsia="es-ES"/>
        </w:rPr>
        <w:t>como el Código Civil</w:t>
      </w:r>
      <w:r w:rsidRPr="009750C5">
        <w:rPr>
          <w:rFonts w:ascii="Verdana" w:hAnsi="Verdana" w:cs="Arial"/>
          <w:sz w:val="20"/>
          <w:szCs w:val="20"/>
          <w:lang w:val="es-ES" w:eastAsia="es-ES"/>
        </w:rPr>
        <w:t xml:space="preserve"> </w:t>
      </w:r>
      <w:r w:rsidRPr="009750C5">
        <w:rPr>
          <w:rFonts w:ascii="Verdana" w:hAnsi="Verdana" w:cs="Arial"/>
          <w:bCs/>
          <w:sz w:val="20"/>
          <w:szCs w:val="20"/>
          <w:lang w:eastAsia="es-ES"/>
        </w:rPr>
        <w:t>le atribuyen un carácter residual, pues una vez establecido el listado de causales de nulidad absoluta, señalan que la nulidad relativa corresponde a los demás vicios que se presenten en los contratos. De igual manera, el artículo 46 de la Ley 80 de 1993 señala que estos vicios podrán sanearse por ratificación expresa de los interesados o por el transcurso de dos años, contados a partir de la ocurrencia del hecho que genera el vicio.</w:t>
      </w:r>
    </w:p>
    <w:p w14:paraId="28C76D5A" w14:textId="77777777" w:rsidR="00602750" w:rsidRPr="005B6C3F" w:rsidRDefault="00602750" w:rsidP="009D75CA">
      <w:pPr>
        <w:spacing w:after="0" w:line="240" w:lineRule="auto"/>
        <w:rPr>
          <w:rFonts w:ascii="Verdana" w:eastAsia="Verdana" w:hAnsi="Verdana" w:cs="Verdana"/>
          <w:b/>
          <w:lang w:val="es-ES"/>
        </w:rPr>
      </w:pPr>
    </w:p>
    <w:p w14:paraId="717D53D1" w14:textId="77777777" w:rsidR="00602750" w:rsidRDefault="00602750" w:rsidP="009D75CA">
      <w:pPr>
        <w:spacing w:after="0" w:line="240" w:lineRule="auto"/>
        <w:jc w:val="both"/>
        <w:rPr>
          <w:rFonts w:ascii="Verdana" w:eastAsia="Verdana" w:hAnsi="Verdana" w:cs="Verdana"/>
          <w:b/>
          <w:lang w:val="es-ES"/>
        </w:rPr>
      </w:pPr>
      <w:r w:rsidRPr="00602750">
        <w:rPr>
          <w:rFonts w:ascii="Verdana" w:eastAsia="Verdana" w:hAnsi="Verdana" w:cs="Verdana"/>
          <w:b/>
          <w:lang w:val="es-ES"/>
        </w:rPr>
        <w:t xml:space="preserve">PRINCIPIO DE TRANSPARENCIA – Selección Objetiva </w:t>
      </w:r>
    </w:p>
    <w:p w14:paraId="1DAB713D" w14:textId="77777777" w:rsidR="00602750" w:rsidRPr="00CA0B46" w:rsidRDefault="00602750" w:rsidP="009D75CA">
      <w:pPr>
        <w:spacing w:after="0" w:line="240" w:lineRule="auto"/>
        <w:jc w:val="both"/>
        <w:rPr>
          <w:rFonts w:ascii="Verdana" w:eastAsia="Verdana" w:hAnsi="Verdana" w:cs="Verdana"/>
          <w:bCs/>
          <w:sz w:val="20"/>
          <w:szCs w:val="20"/>
          <w:lang w:val="es-ES"/>
        </w:rPr>
      </w:pPr>
    </w:p>
    <w:p w14:paraId="788E4976" w14:textId="77777777" w:rsidR="00CA0B46" w:rsidRDefault="00CA0B46" w:rsidP="009D75CA">
      <w:pPr>
        <w:spacing w:after="0" w:line="240" w:lineRule="auto"/>
        <w:jc w:val="both"/>
        <w:rPr>
          <w:rFonts w:ascii="Verdana" w:eastAsia="Verdana" w:hAnsi="Verdana" w:cs="Verdana"/>
          <w:bCs/>
          <w:sz w:val="20"/>
          <w:szCs w:val="20"/>
        </w:rPr>
      </w:pPr>
      <w:r w:rsidRPr="00CA0B46">
        <w:rPr>
          <w:rFonts w:ascii="Verdana" w:eastAsia="Verdana" w:hAnsi="Verdana" w:cs="Verdana"/>
          <w:bCs/>
          <w:sz w:val="20"/>
          <w:szCs w:val="20"/>
        </w:rPr>
        <w:t xml:space="preserve">En todos los procesos de contratación estatal deben observarse de manera estricta los principios de legalidad y transparencia. Ello exige la sujeción rigurosa a las normas que estructuran las relaciones entre las entidades públicas, los particulares y demás personas convocadas a participar en procedimientos orientados a celebrar contratos con el Estado. </w:t>
      </w:r>
      <w:r w:rsidRPr="00CA0B46">
        <w:rPr>
          <w:rFonts w:ascii="Verdana" w:eastAsia="Verdana" w:hAnsi="Verdana" w:cs="Verdana"/>
          <w:bCs/>
          <w:sz w:val="20"/>
          <w:szCs w:val="20"/>
        </w:rPr>
        <w:lastRenderedPageBreak/>
        <w:t>La actuación administrativa, por tanto, debe desarrollarse dentro del marco jurídico y garantizar condiciones objetivas, verificables y accesibles para todos los interesados.</w:t>
      </w:r>
    </w:p>
    <w:p w14:paraId="7B4D87CF" w14:textId="77777777" w:rsidR="00CA0B46" w:rsidRPr="00CA0B46" w:rsidRDefault="00CA0B46" w:rsidP="009D75CA">
      <w:pPr>
        <w:spacing w:after="0" w:line="240" w:lineRule="auto"/>
        <w:jc w:val="both"/>
        <w:rPr>
          <w:rFonts w:ascii="Verdana" w:eastAsia="Verdana" w:hAnsi="Verdana" w:cs="Verdana"/>
          <w:bCs/>
          <w:sz w:val="20"/>
          <w:szCs w:val="20"/>
        </w:rPr>
      </w:pPr>
    </w:p>
    <w:p w14:paraId="05A51E32" w14:textId="30A31CF7" w:rsidR="00CA0B46" w:rsidRPr="00CA0B46" w:rsidRDefault="00CA0B46" w:rsidP="009D75CA">
      <w:pPr>
        <w:spacing w:after="0" w:line="240" w:lineRule="auto"/>
        <w:jc w:val="both"/>
        <w:rPr>
          <w:rFonts w:ascii="Verdana" w:eastAsia="Verdana" w:hAnsi="Verdana" w:cs="Verdana"/>
          <w:bCs/>
          <w:sz w:val="20"/>
          <w:szCs w:val="20"/>
        </w:rPr>
      </w:pPr>
      <w:r w:rsidRPr="00CA0B46">
        <w:rPr>
          <w:rFonts w:ascii="Verdana" w:eastAsia="Verdana" w:hAnsi="Verdana" w:cs="Verdana"/>
          <w:bCs/>
          <w:sz w:val="20"/>
          <w:szCs w:val="20"/>
        </w:rPr>
        <w:t xml:space="preserve">La inobservancia del principio de transparencia al momento de determinar la modalidad de selección aplicable puede generar impactos en la validez del procedimiento contractual. Una elección incorrecta o arbitraria del mecanismo de selección afecta la igualdad de oportunidades, distorsiona la competencia, compromete la publicidad de las actuaciones y puede derivar en la nulidad del proceso, en responsabilidades disciplinarias o fiscales, así como en la afectación del interés público que la contratación estatal busca proteger. Ejemplo de ello, es que el desconocimiento de este principio, consagrado en el artículo 24, numeral 8, de la Ley 80 de 1993, comporta la configuración de una nulidad absoluta por objeto ilícito —en los términos del derecho común—, en la medida en que el contrato resultante contraviene las normas imperativas del Derecho Público y vulnera las reglas que rigen la actuación contractual de la administración. </w:t>
      </w:r>
    </w:p>
    <w:p w14:paraId="0B567A3F" w14:textId="77777777" w:rsidR="00CA0B46" w:rsidRPr="00CA0B46" w:rsidRDefault="00CA0B46" w:rsidP="009D75CA">
      <w:pPr>
        <w:spacing w:after="0" w:line="240" w:lineRule="auto"/>
        <w:jc w:val="both"/>
        <w:rPr>
          <w:rFonts w:ascii="Verdana" w:eastAsia="Verdana" w:hAnsi="Verdana" w:cs="Verdana"/>
          <w:b/>
        </w:rPr>
      </w:pPr>
    </w:p>
    <w:p w14:paraId="6AE81D87" w14:textId="70057D79" w:rsidR="00602750" w:rsidRDefault="00602750" w:rsidP="009D75CA">
      <w:pPr>
        <w:spacing w:after="0" w:line="240" w:lineRule="auto"/>
        <w:jc w:val="both"/>
        <w:rPr>
          <w:rFonts w:ascii="Verdana" w:eastAsia="Verdana" w:hAnsi="Verdana" w:cs="Verdana"/>
          <w:b/>
          <w:lang w:val="es-ES"/>
        </w:rPr>
      </w:pPr>
      <w:r w:rsidRPr="00602750">
        <w:rPr>
          <w:rFonts w:ascii="Verdana" w:eastAsia="Verdana" w:hAnsi="Verdana" w:cs="Verdana"/>
          <w:b/>
          <w:lang w:val="es-ES"/>
        </w:rPr>
        <w:t>PRINCIPIO DE TRANSPARENCIA – Nulidad Absoluta – Desviación del poder – Jurisprudencia – Consejo de Estado</w:t>
      </w:r>
    </w:p>
    <w:p w14:paraId="538D0DE9" w14:textId="77777777" w:rsidR="00602750" w:rsidRDefault="00602750" w:rsidP="009D75CA">
      <w:pPr>
        <w:spacing w:after="0" w:line="240" w:lineRule="auto"/>
        <w:rPr>
          <w:rFonts w:ascii="Verdana" w:eastAsia="Verdana" w:hAnsi="Verdana" w:cs="Verdana"/>
          <w:b/>
          <w:lang w:val="es-ES"/>
        </w:rPr>
      </w:pPr>
    </w:p>
    <w:p w14:paraId="11B9F068" w14:textId="2C98CEF3" w:rsidR="00306595" w:rsidRPr="00306595" w:rsidRDefault="00306595" w:rsidP="009D75CA">
      <w:pPr>
        <w:spacing w:after="0" w:line="240" w:lineRule="auto"/>
        <w:jc w:val="both"/>
        <w:rPr>
          <w:rFonts w:ascii="Verdana" w:eastAsia="Verdana" w:hAnsi="Verdana" w:cs="Verdana"/>
          <w:bCs/>
          <w:sz w:val="20"/>
          <w:szCs w:val="20"/>
        </w:rPr>
      </w:pPr>
      <w:r w:rsidRPr="00306595">
        <w:rPr>
          <w:rFonts w:ascii="Verdana" w:eastAsia="Verdana" w:hAnsi="Verdana" w:cs="Verdana"/>
          <w:bCs/>
          <w:sz w:val="20"/>
          <w:szCs w:val="20"/>
        </w:rPr>
        <w:t xml:space="preserve">Al respecto, el Consejo de Estado en Sentencia con Expediente 37.066 del 2 de mayo de 2016 siguiendo su jurisprudencia señaló que la configuración de la causal No 3 del artículo 44 de la Ley 80 de 1993, ha establecido de manera reiterada que cuando los funcionarios eluden los procedimientos de selección objetiva y los demás requisitos y deberes indicados por la ley, incurren en abuso o desviación de poder al apartarse de los fines de la contratación, que no son otros que el interés público y el bienestar de la comunidad, circunstancias que conforme al EGCAP, configura la causal de nulidad absoluta del contrato. Así mismo, el Consejo en sentencia con expediente 70.045 del 4 de abril de 2025, expresó: “La inobservancia deliberada de las reglas y principios que garantizan la selección objetiva de los contratistas constituye una vulneración del derecho imperativo, lo que, conforme a lo expuesto en el párrafo precedente, configura un objeto ilícito. Sobre este punto, la jurisprudencia de la Corporación ha señalado que procede la declaración de nulidad absoluta de un contrato estatal cuando se transgrede el numeral 8 del artículo 24 de la Ley 80 de 1993, al desconocer los procedimientos y reglas que garantizan la selección objetiva de los contratistas”. </w:t>
      </w:r>
    </w:p>
    <w:p w14:paraId="2548859F" w14:textId="77777777" w:rsidR="00306595" w:rsidRPr="00306595" w:rsidRDefault="00306595" w:rsidP="009D75CA">
      <w:pPr>
        <w:spacing w:after="0" w:line="240" w:lineRule="auto"/>
        <w:jc w:val="both"/>
        <w:rPr>
          <w:rFonts w:ascii="Verdana" w:eastAsia="Verdana" w:hAnsi="Verdana" w:cs="Verdana"/>
          <w:bCs/>
          <w:sz w:val="20"/>
          <w:szCs w:val="20"/>
        </w:rPr>
      </w:pPr>
    </w:p>
    <w:p w14:paraId="04D24E3A" w14:textId="6A3AF54F" w:rsidR="00602750" w:rsidRPr="00306595" w:rsidRDefault="00306595" w:rsidP="009D75CA">
      <w:pPr>
        <w:spacing w:after="0" w:line="240" w:lineRule="auto"/>
        <w:jc w:val="both"/>
        <w:rPr>
          <w:rFonts w:ascii="Verdana" w:eastAsia="Verdana" w:hAnsi="Verdana" w:cs="Verdana"/>
          <w:bCs/>
          <w:sz w:val="20"/>
          <w:szCs w:val="20"/>
        </w:rPr>
      </w:pPr>
      <w:r w:rsidRPr="00306595">
        <w:rPr>
          <w:rFonts w:ascii="Verdana" w:eastAsia="Verdana" w:hAnsi="Verdana" w:cs="Verdana"/>
          <w:bCs/>
          <w:sz w:val="20"/>
          <w:szCs w:val="20"/>
        </w:rPr>
        <w:t xml:space="preserve">La determinación de la modalidad de selección no constituye una facultad discrecional de la administración, sino una actuación reglada que debe ajustar a los principios de transparencia, selección objetiva, economía, imparcialidad, publicidad y libre concurrencia, previstos como ejes rectores de la actividad contractual. En este contexto, el Consejo de Estado, en sentencia del 20 de abril de 2026, expediente 72.477, precisó que también se configura nulidad absoluta cuando se celebra un contrato interadministrativo sin que la entidad ejecutora cuente con un objeto social compatible con las actividades a desarrollar, exigencia prevista en el artículo 2, numeral 4, literal c) de la Ley 1150 de 2007. La ausencia de esta correspondencia material entre el objeto contractual y el objeto social de la entidad interviniente impide acudir a la contratación </w:t>
      </w:r>
      <w:r w:rsidRPr="00306595">
        <w:rPr>
          <w:rFonts w:ascii="Verdana" w:eastAsia="Verdana" w:hAnsi="Verdana" w:cs="Verdana"/>
          <w:bCs/>
          <w:sz w:val="20"/>
          <w:szCs w:val="20"/>
        </w:rPr>
        <w:lastRenderedPageBreak/>
        <w:t>directa, pues desnaturaliza la modalidad excepcional y vulnera los principios que rigen la actividad contractual del Estado.</w:t>
      </w:r>
    </w:p>
    <w:p w14:paraId="5A9E9A13" w14:textId="77777777" w:rsidR="00306595" w:rsidRDefault="00306595" w:rsidP="009D75CA">
      <w:pPr>
        <w:spacing w:after="0" w:line="240" w:lineRule="auto"/>
        <w:rPr>
          <w:rFonts w:ascii="Verdana" w:eastAsia="Verdana" w:hAnsi="Verdana" w:cs="Verdana"/>
          <w:b/>
          <w:lang w:val="es-ES"/>
        </w:rPr>
      </w:pPr>
    </w:p>
    <w:p w14:paraId="05BADA7C" w14:textId="655B90E3" w:rsidR="00602750" w:rsidRPr="005B6C3F" w:rsidRDefault="00602750" w:rsidP="009D75CA">
      <w:pPr>
        <w:spacing w:after="0" w:line="240" w:lineRule="auto"/>
        <w:rPr>
          <w:rFonts w:ascii="Verdana" w:eastAsia="Verdana" w:hAnsi="Verdana" w:cs="Verdana"/>
          <w:b/>
          <w:lang w:val="es-ES"/>
        </w:rPr>
      </w:pPr>
      <w:r w:rsidRPr="005B6C3F">
        <w:rPr>
          <w:rFonts w:ascii="Verdana" w:eastAsia="Verdana" w:hAnsi="Verdana" w:cs="Verdana"/>
          <w:b/>
          <w:lang w:val="es-ES"/>
        </w:rPr>
        <w:t>NULIDAD DEL CONTRATO ESTATAL – Efectos de la nulidad</w:t>
      </w:r>
    </w:p>
    <w:p w14:paraId="6C5C70C8" w14:textId="77777777" w:rsidR="00602750" w:rsidRDefault="00602750" w:rsidP="009D75CA">
      <w:pPr>
        <w:spacing w:after="0" w:line="240" w:lineRule="auto"/>
        <w:rPr>
          <w:rFonts w:ascii="Verdana" w:eastAsia="Verdana" w:hAnsi="Verdana" w:cs="Verdana"/>
          <w:lang w:val="es-ES"/>
        </w:rPr>
      </w:pPr>
    </w:p>
    <w:p w14:paraId="315F892A" w14:textId="77777777" w:rsidR="00602750" w:rsidRPr="005B6C3F" w:rsidRDefault="00602750" w:rsidP="009D75CA">
      <w:pPr>
        <w:spacing w:after="0" w:line="240" w:lineRule="auto"/>
        <w:jc w:val="both"/>
        <w:rPr>
          <w:rFonts w:ascii="Verdana" w:eastAsia="Verdana" w:hAnsi="Verdana" w:cs="Verdana"/>
          <w:sz w:val="20"/>
          <w:lang w:val="es-ES"/>
        </w:rPr>
      </w:pPr>
      <w:r w:rsidRPr="005B6C3F">
        <w:rPr>
          <w:rFonts w:ascii="Verdana" w:eastAsia="Verdana" w:hAnsi="Verdana" w:cs="Verdana"/>
          <w:sz w:val="20"/>
          <w:lang w:val="es-ES"/>
        </w:rPr>
        <w:t xml:space="preserve">En torno a los efectos de la nulidad de los contratos estatales, es pertinente acudir al artículo 48 de la Ley 80 de 1993, el cual establece que la declaratoria de nulidad de un contrato de ejecución sucesiva no impide el reconocimiento y pago de las prestaciones ejecutadas hasta el momento de la declaratoria. En efecto, existe una regla especial que consiste en un reconocimiento y pago de las prestaciones ejecutadas del contrato nulo por objeto y causa ilícita, cuando se prueba que la entidad se benefició y solamente hasta el monto del beneficio que este hubiese obtenido. Para una mayor precisión, se detalla que el artículo 48 de la Ley 80 de 1993 se comprende que la entidad se benefició en cuanto a las prestaciones cumplidas le hubiesen servido para satisfacer un interés público. Dicho precepto normativo debe interpretarse de forma armónica con el artículo 1746 del Código Civil, la cual establece: </w:t>
      </w:r>
      <w:r w:rsidRPr="005B6C3F">
        <w:rPr>
          <w:rFonts w:ascii="Verdana" w:eastAsia="Verdana" w:hAnsi="Verdana" w:cs="Verdana"/>
          <w:bCs/>
          <w:sz w:val="20"/>
        </w:rPr>
        <w:t>“Artículo 1746.</w:t>
      </w:r>
      <w:r w:rsidRPr="005B6C3F">
        <w:rPr>
          <w:rFonts w:ascii="Verdana" w:eastAsia="Verdana" w:hAnsi="Verdana" w:cs="Verdana"/>
          <w:sz w:val="20"/>
        </w:rPr>
        <w:t xml:space="preserve"> La nulidad pronunciada en sentencia que tiene la fuerza de cosa </w:t>
      </w:r>
      <w:proofErr w:type="gramStart"/>
      <w:r w:rsidRPr="005B6C3F">
        <w:rPr>
          <w:rFonts w:ascii="Verdana" w:eastAsia="Verdana" w:hAnsi="Verdana" w:cs="Verdana"/>
          <w:sz w:val="20"/>
        </w:rPr>
        <w:t>juzgada,</w:t>
      </w:r>
      <w:proofErr w:type="gramEnd"/>
      <w:r w:rsidRPr="005B6C3F">
        <w:rPr>
          <w:rFonts w:ascii="Verdana" w:eastAsia="Verdana" w:hAnsi="Verdana" w:cs="Verdana"/>
          <w:sz w:val="20"/>
        </w:rPr>
        <w:t xml:space="preserve"> da a las partes derecho para ser restituidas al mismo estado en que se hallarían si no hubiese existido el acto o contrato nulo; sin perjuicio de lo prevenido sobre el objeto o causa ilícita. </w:t>
      </w:r>
      <w:r w:rsidRPr="005B6C3F">
        <w:rPr>
          <w:rFonts w:ascii="Verdana" w:eastAsia="Verdana" w:hAnsi="Verdana" w:cs="Verdana"/>
          <w:sz w:val="20"/>
          <w:lang w:val="es-ES"/>
        </w:rPr>
        <w:t xml:space="preserve"> </w:t>
      </w:r>
      <w:r w:rsidRPr="005B6C3F">
        <w:rPr>
          <w:rFonts w:ascii="Verdana" w:eastAsia="Verdana" w:hAnsi="Verdana" w:cs="Verdana"/>
          <w:sz w:val="20"/>
        </w:rPr>
        <w:t xml:space="preserve">En las restituciones mutuas que hayan de hacerse los contratantes en virtud de este pronunciamiento, será cada cual responsable de la pérdida de las especies o de su deterioro, de los intereses i frutos, i del abono de las mejoras necesarias, útiles o </w:t>
      </w:r>
      <w:proofErr w:type="spellStart"/>
      <w:r w:rsidRPr="005B6C3F">
        <w:rPr>
          <w:rFonts w:ascii="Verdana" w:eastAsia="Verdana" w:hAnsi="Verdana" w:cs="Verdana"/>
          <w:sz w:val="20"/>
        </w:rPr>
        <w:t>voluptuarias</w:t>
      </w:r>
      <w:proofErr w:type="spellEnd"/>
      <w:r w:rsidRPr="005B6C3F">
        <w:rPr>
          <w:rFonts w:ascii="Verdana" w:eastAsia="Verdana" w:hAnsi="Verdana" w:cs="Verdana"/>
          <w:sz w:val="20"/>
        </w:rPr>
        <w:t>, tomándose en consideración los casos fortuitos, i la posesión de buena fe o mala fe de las partes; todo ello según las reglas generales i sin perjuicio de lo dispuesto en el siguiente artículo”. </w:t>
      </w:r>
    </w:p>
    <w:p w14:paraId="7B92EE5E" w14:textId="77777777" w:rsidR="00306595" w:rsidRDefault="00306595" w:rsidP="009D75CA">
      <w:pPr>
        <w:spacing w:after="0" w:line="240" w:lineRule="auto"/>
        <w:rPr>
          <w:rFonts w:ascii="Verdana" w:eastAsia="Verdana" w:hAnsi="Verdana" w:cs="Verdana"/>
        </w:rPr>
      </w:pPr>
    </w:p>
    <w:p w14:paraId="08FDC4D4" w14:textId="106BD7EE" w:rsidR="00306595" w:rsidRPr="00306595" w:rsidRDefault="00306595" w:rsidP="009D75CA">
      <w:pPr>
        <w:spacing w:after="0" w:line="240" w:lineRule="auto"/>
        <w:jc w:val="both"/>
        <w:rPr>
          <w:rFonts w:ascii="Verdana" w:eastAsia="Verdana" w:hAnsi="Verdana" w:cs="Verdana"/>
          <w:b/>
          <w:bCs/>
        </w:rPr>
      </w:pPr>
      <w:r w:rsidRPr="00306595">
        <w:rPr>
          <w:rFonts w:ascii="Verdana" w:eastAsia="Verdana" w:hAnsi="Verdana" w:cs="Verdana"/>
          <w:b/>
          <w:bCs/>
          <w:lang w:val="es-ES"/>
        </w:rPr>
        <w:t xml:space="preserve">NULIDAD DEL CONTRATO – Efectos </w:t>
      </w:r>
      <w:r w:rsidR="000C056D" w:rsidRPr="000C056D">
        <w:rPr>
          <w:rFonts w:ascii="Verdana" w:eastAsia="Verdana" w:hAnsi="Verdana" w:cs="Verdana"/>
          <w:b/>
          <w:bCs/>
          <w:lang w:val="es-ES"/>
        </w:rPr>
        <w:t>–</w:t>
      </w:r>
      <w:r w:rsidRPr="00306595">
        <w:rPr>
          <w:rFonts w:ascii="Verdana" w:eastAsia="Verdana" w:hAnsi="Verdana" w:cs="Verdana"/>
          <w:b/>
          <w:bCs/>
          <w:lang w:val="es-ES"/>
        </w:rPr>
        <w:t xml:space="preserve"> Restituciones autónomas – Condiciones</w:t>
      </w:r>
    </w:p>
    <w:p w14:paraId="3985C9E3" w14:textId="77777777" w:rsidR="00306595" w:rsidRDefault="00306595" w:rsidP="009D75CA">
      <w:pPr>
        <w:spacing w:after="0" w:line="240" w:lineRule="auto"/>
        <w:rPr>
          <w:rFonts w:ascii="Verdana" w:eastAsia="Verdana" w:hAnsi="Verdana" w:cs="Verdana"/>
        </w:rPr>
      </w:pPr>
    </w:p>
    <w:p w14:paraId="78A997C7" w14:textId="77777777" w:rsidR="00306595" w:rsidRDefault="00306595" w:rsidP="009D75CA">
      <w:pPr>
        <w:spacing w:after="0" w:line="240" w:lineRule="auto"/>
        <w:jc w:val="both"/>
        <w:rPr>
          <w:rFonts w:ascii="Verdana" w:eastAsia="Verdana" w:hAnsi="Verdana" w:cs="Verdana"/>
          <w:sz w:val="20"/>
          <w:szCs w:val="20"/>
        </w:rPr>
      </w:pPr>
      <w:r w:rsidRPr="009D75CA">
        <w:rPr>
          <w:rFonts w:ascii="Verdana" w:eastAsia="Verdana" w:hAnsi="Verdana" w:cs="Verdana"/>
          <w:sz w:val="20"/>
          <w:szCs w:val="20"/>
        </w:rPr>
        <w:t xml:space="preserve">En este punto, resulta pertinente tener en cuenta lo dispuesto el inciso segundo del artículo 45 de la Ley 80 de 1993 sobre las consecuencias de la nulidad absoluta: “En los casos previstos en los numerales 1o., 2o. y 4o. del artículo anterior, el jefe o representante legal de la entidad respectiva deberá dar por terminado el contrato mediante acto administrativo debidamente motivado y ordenará su liquidación en el estado en que se encuentre”. En otras palabras, una vez declarada judicialmente la nulidad de un contrato estatal y ordenada su terminación, no existe habilitación, ni expresa ni implícita, a que el contratista continúe gestionando la administración de recursos públicos derivados de dicho contrato mientras se adelanta la liquidación. </w:t>
      </w:r>
    </w:p>
    <w:p w14:paraId="5833357E" w14:textId="77777777" w:rsidR="009D75CA" w:rsidRPr="009D75CA" w:rsidRDefault="009D75CA" w:rsidP="009D75CA">
      <w:pPr>
        <w:spacing w:after="0" w:line="240" w:lineRule="auto"/>
        <w:jc w:val="both"/>
        <w:rPr>
          <w:rFonts w:ascii="Verdana" w:eastAsia="Verdana" w:hAnsi="Verdana" w:cs="Verdana"/>
          <w:sz w:val="20"/>
          <w:szCs w:val="20"/>
        </w:rPr>
      </w:pPr>
    </w:p>
    <w:p w14:paraId="1D30A435" w14:textId="77777777" w:rsidR="00306595" w:rsidRPr="009D75CA" w:rsidRDefault="00306595" w:rsidP="009D75CA">
      <w:pPr>
        <w:spacing w:after="0" w:line="240" w:lineRule="auto"/>
        <w:jc w:val="both"/>
        <w:rPr>
          <w:rFonts w:ascii="Verdana" w:eastAsia="Verdana" w:hAnsi="Verdana" w:cs="Verdana"/>
          <w:sz w:val="20"/>
          <w:szCs w:val="20"/>
        </w:rPr>
      </w:pPr>
      <w:r w:rsidRPr="009D75CA">
        <w:rPr>
          <w:rFonts w:ascii="Verdana" w:eastAsia="Verdana" w:hAnsi="Verdana" w:cs="Verdana"/>
          <w:sz w:val="20"/>
          <w:szCs w:val="20"/>
        </w:rPr>
        <w:t xml:space="preserve">Es menester señalar, que en la etapa de liquidación cumple un propósito estricto de ajuste de cuentas desde el punto de vista contable, jurídico, administrativo y financiero orientado a determinar saldos, obligaciones y restituciones mutuas, pero no a prolongar la ejecución contractual. Por tanto, durante la liquidación el contratista no puede seguir ejecutando actividades ni administrando recursos públicos, los cuales deben quedar bajo la competencia de la entidad estatal, garantizando el respeto de los principios de legalidad, transparencia e interés general propio del Derecho Administrativo. </w:t>
      </w:r>
    </w:p>
    <w:p w14:paraId="3E866294" w14:textId="0B050E15" w:rsidR="000F5B0E" w:rsidRPr="009305B3" w:rsidRDefault="000F5B0E" w:rsidP="000F5B0E">
      <w:pPr>
        <w:spacing w:after="0"/>
        <w:rPr>
          <w:rFonts w:ascii="Verdana" w:hAnsi="Verdana"/>
        </w:rPr>
      </w:pPr>
      <w:r w:rsidRPr="30821638">
        <w:rPr>
          <w:rFonts w:ascii="Verdana" w:eastAsia="Verdana" w:hAnsi="Verdana" w:cs="Verdana"/>
        </w:rPr>
        <w:lastRenderedPageBreak/>
        <w:t xml:space="preserve">Bogotá D.C., </w:t>
      </w:r>
      <w:r w:rsidR="00DA1C9A">
        <w:rPr>
          <w:rFonts w:ascii="Verdana" w:eastAsia="Verdana" w:hAnsi="Verdana" w:cs="Verdana"/>
        </w:rPr>
        <w:t>1 de julio de 2026</w:t>
      </w:r>
      <w:r>
        <w:tab/>
      </w:r>
      <w:r>
        <w:br/>
      </w:r>
    </w:p>
    <w:p w14:paraId="44809F22" w14:textId="72B2177C" w:rsidR="000F5B0E" w:rsidRPr="009305B3" w:rsidRDefault="000F5B0E" w:rsidP="000F5B0E">
      <w:pPr>
        <w:spacing w:after="0" w:line="240" w:lineRule="auto"/>
        <w:rPr>
          <w:rFonts w:ascii="Verdana" w:hAnsi="Verdana"/>
        </w:rPr>
      </w:pPr>
    </w:p>
    <w:p w14:paraId="1565AD40" w14:textId="5BF9EFB4" w:rsidR="000F5B0E" w:rsidRPr="00033E24" w:rsidRDefault="000C056D" w:rsidP="000F5B0E">
      <w:pPr>
        <w:spacing w:after="0" w:line="240" w:lineRule="auto"/>
        <w:rPr>
          <w:rFonts w:ascii="Verdana" w:eastAsia="Calibri" w:hAnsi="Verdana" w:cs="Times New Roman"/>
        </w:rPr>
      </w:pPr>
      <w:r w:rsidRPr="001C7CCB">
        <w:rPr>
          <w:noProof/>
        </w:rPr>
        <w:drawing>
          <wp:anchor distT="0" distB="0" distL="114300" distR="114300" simplePos="0" relativeHeight="251658240" behindDoc="0" locked="0" layoutInCell="1" allowOverlap="1" wp14:anchorId="131C0FC3" wp14:editId="7AABEAFE">
            <wp:simplePos x="0" y="0"/>
            <wp:positionH relativeFrom="margin">
              <wp:align>right</wp:align>
            </wp:positionH>
            <wp:positionV relativeFrom="paragraph">
              <wp:posOffset>9525</wp:posOffset>
            </wp:positionV>
            <wp:extent cx="2157730" cy="802640"/>
            <wp:effectExtent l="0" t="0" r="0" b="0"/>
            <wp:wrapSquare wrapText="bothSides"/>
            <wp:docPr id="993366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824" cy="804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B0E" w:rsidRPr="00033E24">
        <w:rPr>
          <w:rFonts w:ascii="Verdana" w:eastAsia="Calibri" w:hAnsi="Verdana" w:cs="Times New Roman"/>
        </w:rPr>
        <w:t>Señor</w:t>
      </w:r>
    </w:p>
    <w:p w14:paraId="78B4382E" w14:textId="77777777" w:rsidR="000F5B0E" w:rsidRDefault="000F5B0E" w:rsidP="000F5B0E">
      <w:pPr>
        <w:spacing w:after="0" w:line="240" w:lineRule="auto"/>
        <w:rPr>
          <w:rFonts w:ascii="Verdana" w:eastAsia="Calibri" w:hAnsi="Verdana" w:cs="Times New Roman"/>
          <w:b/>
          <w:bCs/>
        </w:rPr>
      </w:pPr>
      <w:r>
        <w:rPr>
          <w:rFonts w:ascii="Verdana" w:eastAsia="Calibri" w:hAnsi="Verdana" w:cs="Times New Roman"/>
          <w:b/>
          <w:bCs/>
        </w:rPr>
        <w:t>Ciudadano</w:t>
      </w:r>
    </w:p>
    <w:p w14:paraId="34DC24F0" w14:textId="77777777" w:rsidR="000F5B0E" w:rsidRPr="00033E24" w:rsidRDefault="000F5B0E" w:rsidP="000F5B0E">
      <w:pPr>
        <w:spacing w:after="0" w:line="240" w:lineRule="auto"/>
        <w:rPr>
          <w:rFonts w:ascii="Verdana" w:hAnsi="Verdana"/>
        </w:rPr>
      </w:pPr>
      <w:hyperlink r:id="rId12" w:history="1">
        <w:r w:rsidRPr="00033E24">
          <w:rPr>
            <w:rStyle w:val="Hipervnculo"/>
            <w:rFonts w:ascii="Verdana" w:hAnsi="Verdana"/>
          </w:rPr>
          <w:t>bmconsultoresespecializados@outlook.com</w:t>
        </w:r>
      </w:hyperlink>
    </w:p>
    <w:p w14:paraId="7C81D823" w14:textId="77777777" w:rsidR="000F5B0E" w:rsidRPr="00033E24" w:rsidRDefault="000F5B0E" w:rsidP="000F5B0E">
      <w:pPr>
        <w:spacing w:after="0" w:line="240" w:lineRule="auto"/>
        <w:rPr>
          <w:rFonts w:ascii="Verdana" w:hAnsi="Verdana"/>
        </w:rPr>
      </w:pPr>
      <w:hyperlink r:id="rId13" w:history="1">
        <w:r w:rsidRPr="00033E24">
          <w:rPr>
            <w:rStyle w:val="Hipervnculo"/>
            <w:rFonts w:ascii="Verdana" w:hAnsi="Verdana"/>
          </w:rPr>
          <w:t>arangel@procuraduria.gov.co</w:t>
        </w:r>
      </w:hyperlink>
      <w:r w:rsidRPr="00033E24">
        <w:rPr>
          <w:rFonts w:ascii="Verdana" w:hAnsi="Verdana"/>
        </w:rPr>
        <w:t xml:space="preserve"> </w:t>
      </w:r>
    </w:p>
    <w:p w14:paraId="1C4DA576" w14:textId="77777777" w:rsidR="000F5B0E" w:rsidRPr="00033E24" w:rsidRDefault="000F5B0E" w:rsidP="000F5B0E">
      <w:pPr>
        <w:spacing w:after="0" w:line="240" w:lineRule="auto"/>
        <w:rPr>
          <w:rFonts w:ascii="Verdana" w:eastAsia="Calibri" w:hAnsi="Verdana" w:cs="Times New Roman"/>
        </w:rPr>
      </w:pPr>
      <w:r w:rsidRPr="00033E24">
        <w:rPr>
          <w:rFonts w:ascii="Verdana" w:eastAsia="Calibri" w:hAnsi="Verdana" w:cs="Times New Roman"/>
        </w:rPr>
        <w:t>Bogotá D.C.</w:t>
      </w:r>
    </w:p>
    <w:p w14:paraId="69D16553" w14:textId="77777777" w:rsidR="000F5B0E" w:rsidRPr="009305B3" w:rsidRDefault="000F5B0E" w:rsidP="000F5B0E">
      <w:pPr>
        <w:spacing w:after="0" w:line="240" w:lineRule="auto"/>
        <w:rPr>
          <w:rFonts w:ascii="Verdana" w:eastAsia="Calibri" w:hAnsi="Verdana" w:cs="Times New Roman"/>
        </w:rPr>
      </w:pPr>
    </w:p>
    <w:p w14:paraId="2129099B" w14:textId="77777777" w:rsidR="000F5B0E" w:rsidRPr="009305B3" w:rsidRDefault="000F5B0E" w:rsidP="000F5B0E">
      <w:pPr>
        <w:spacing w:after="0" w:line="240" w:lineRule="auto"/>
        <w:rPr>
          <w:rFonts w:ascii="Verdana" w:eastAsia="Calibri" w:hAnsi="Verdana" w:cs="Times New Roman"/>
        </w:rPr>
      </w:pPr>
    </w:p>
    <w:p w14:paraId="3E623ABA" w14:textId="61BD7B9A" w:rsidR="000F5B0E" w:rsidRPr="009305B3" w:rsidRDefault="000F5B0E" w:rsidP="000F5B0E">
      <w:pPr>
        <w:spacing w:after="0" w:line="240" w:lineRule="auto"/>
        <w:rPr>
          <w:rFonts w:ascii="Verdana" w:eastAsia="Calibri" w:hAnsi="Verdana" w:cs="Times New Roman"/>
          <w:b/>
          <w:bCs/>
          <w:lang w:val="es-ES"/>
        </w:rPr>
      </w:pPr>
      <w:r w:rsidRPr="009305B3">
        <w:rPr>
          <w:rFonts w:ascii="Verdana" w:eastAsia="Calibri" w:hAnsi="Verdana" w:cs="Times New Roman"/>
          <w:b/>
          <w:bCs/>
          <w:lang w:val="es-ES"/>
        </w:rPr>
        <w:t xml:space="preserve">                                    Concepto C</w:t>
      </w:r>
      <w:r w:rsidR="000C056D">
        <w:rPr>
          <w:rFonts w:ascii="Verdana" w:eastAsia="Calibri" w:hAnsi="Verdana" w:cs="Times New Roman"/>
          <w:b/>
          <w:bCs/>
          <w:lang w:val="es-ES"/>
        </w:rPr>
        <w:t>-</w:t>
      </w:r>
      <w:r>
        <w:rPr>
          <w:rFonts w:ascii="Verdana" w:eastAsia="Calibri" w:hAnsi="Verdana" w:cs="Times New Roman"/>
          <w:b/>
          <w:bCs/>
          <w:lang w:val="es-ES"/>
        </w:rPr>
        <w:t>846</w:t>
      </w:r>
      <w:r w:rsidRPr="009305B3">
        <w:rPr>
          <w:rFonts w:ascii="Verdana" w:eastAsia="Calibri" w:hAnsi="Verdana" w:cs="Times New Roman"/>
          <w:b/>
          <w:bCs/>
          <w:lang w:val="es-ES"/>
        </w:rPr>
        <w:t xml:space="preserve"> de 2026</w:t>
      </w:r>
    </w:p>
    <w:p w14:paraId="5973CCFB" w14:textId="77777777" w:rsidR="000F5B0E" w:rsidRPr="009305B3" w:rsidRDefault="000F5B0E" w:rsidP="000F5B0E">
      <w:pPr>
        <w:spacing w:after="0" w:line="240" w:lineRule="auto"/>
        <w:rPr>
          <w:rFonts w:ascii="Verdana" w:eastAsia="Calibri" w:hAnsi="Verdana" w:cs="Times New Roman"/>
          <w:lang w:val="es-ES_tradnl"/>
        </w:rPr>
      </w:pPr>
    </w:p>
    <w:tbl>
      <w:tblPr>
        <w:tblStyle w:val="Tablaconcuadrcula112"/>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0F5B0E" w:rsidRPr="009305B3" w14:paraId="5DEE62A2" w14:textId="77777777" w:rsidTr="00B12B0F">
        <w:trPr>
          <w:trHeight w:val="645"/>
        </w:trPr>
        <w:tc>
          <w:tcPr>
            <w:tcW w:w="2685" w:type="dxa"/>
            <w:hideMark/>
          </w:tcPr>
          <w:p w14:paraId="4A8BAA1A" w14:textId="77777777" w:rsidR="000F5B0E" w:rsidRPr="009305B3" w:rsidRDefault="000F5B0E" w:rsidP="00B12B0F">
            <w:pPr>
              <w:rPr>
                <w:rFonts w:ascii="Verdana" w:hAnsi="Verdana"/>
                <w:b/>
                <w:bCs/>
                <w:lang w:val="es-ES_tradnl"/>
              </w:rPr>
            </w:pPr>
            <w:r w:rsidRPr="009305B3">
              <w:rPr>
                <w:rFonts w:ascii="Verdana" w:hAnsi="Verdana"/>
                <w:b/>
                <w:bCs/>
                <w:lang w:val="es-ES_tradnl"/>
              </w:rPr>
              <w:t xml:space="preserve">Temas:                   </w:t>
            </w:r>
          </w:p>
        </w:tc>
        <w:tc>
          <w:tcPr>
            <w:tcW w:w="6241" w:type="dxa"/>
            <w:hideMark/>
          </w:tcPr>
          <w:p w14:paraId="6B097704" w14:textId="3D3BB86F" w:rsidR="000F5B0E" w:rsidRPr="009305B3" w:rsidRDefault="000F5B0E" w:rsidP="00B12B0F">
            <w:pPr>
              <w:spacing w:line="276" w:lineRule="auto"/>
              <w:jc w:val="both"/>
              <w:rPr>
                <w:rFonts w:ascii="Verdana" w:hAnsi="Verdana" w:cs="Arial"/>
                <w:lang w:val="es-ES" w:eastAsia="es-ES"/>
              </w:rPr>
            </w:pPr>
            <w:r w:rsidRPr="009305B3">
              <w:rPr>
                <w:rFonts w:ascii="Verdana" w:hAnsi="Verdana" w:cs="Arial"/>
                <w:lang w:val="es-ES" w:eastAsia="es-ES"/>
              </w:rPr>
              <w:t xml:space="preserve">CONTRATO ESTATAL – Régimen mixto – Derecho público – Derecho privado / NULIDAD DEL CONTRATO ESTATAL – Nulidad Absoluta – Nulidad Relativa </w:t>
            </w:r>
            <w:r>
              <w:rPr>
                <w:rFonts w:ascii="Verdana" w:hAnsi="Verdana" w:cs="Arial"/>
                <w:lang w:val="es-ES" w:eastAsia="es-ES"/>
              </w:rPr>
              <w:t xml:space="preserve">/ PRINCIPIO DE TRANSPARENCIA – Selección Objetiva / PRINCIPIO DE TRANSPARENCIA – Nulidad Absoluta – Desviación del poder – Jurisprudencia – Consejo de Estado </w:t>
            </w:r>
            <w:r w:rsidRPr="009305B3">
              <w:rPr>
                <w:rFonts w:ascii="Verdana" w:hAnsi="Verdana" w:cs="Arial"/>
                <w:lang w:val="es-ES" w:eastAsia="es-ES"/>
              </w:rPr>
              <w:t>/ NULIDAD DEL CONTRATO ESTATAL – Efectos de la nulidad / NULIDAD DEL CONTRATO – Efectos - Restituciones autónomas – Condiciones</w:t>
            </w:r>
          </w:p>
          <w:p w14:paraId="6527D0E8" w14:textId="77777777" w:rsidR="000F5B0E" w:rsidRPr="009305B3" w:rsidRDefault="000F5B0E" w:rsidP="00B12B0F">
            <w:pPr>
              <w:spacing w:line="276" w:lineRule="auto"/>
              <w:jc w:val="both"/>
              <w:rPr>
                <w:rFonts w:ascii="Verdana" w:hAnsi="Verdana" w:cs="Arial"/>
                <w:bCs/>
                <w:lang w:val="es-ES" w:eastAsia="es-ES"/>
              </w:rPr>
            </w:pPr>
            <w:r w:rsidRPr="009305B3">
              <w:rPr>
                <w:rFonts w:ascii="Verdana" w:hAnsi="Verdana" w:cs="Arial"/>
                <w:lang w:val="es-ES" w:eastAsia="es-ES"/>
              </w:rPr>
              <w:t xml:space="preserve"> </w:t>
            </w:r>
          </w:p>
          <w:p w14:paraId="4386493F" w14:textId="77777777" w:rsidR="000F5B0E" w:rsidRPr="009305B3" w:rsidRDefault="000F5B0E" w:rsidP="00B12B0F">
            <w:pPr>
              <w:spacing w:line="276" w:lineRule="auto"/>
              <w:jc w:val="both"/>
              <w:rPr>
                <w:rFonts w:ascii="Verdana" w:hAnsi="Verdana" w:cs="Arial"/>
                <w:lang w:val="es-ES" w:eastAsia="es-ES"/>
              </w:rPr>
            </w:pPr>
          </w:p>
        </w:tc>
        <w:tc>
          <w:tcPr>
            <w:tcW w:w="6237" w:type="dxa"/>
          </w:tcPr>
          <w:p w14:paraId="11B4BE1F" w14:textId="77777777" w:rsidR="000F5B0E" w:rsidRPr="009305B3" w:rsidRDefault="000F5B0E" w:rsidP="00B12B0F">
            <w:pPr>
              <w:rPr>
                <w:rFonts w:ascii="Verdana" w:hAnsi="Verdana"/>
                <w:lang w:val="es-ES"/>
              </w:rPr>
            </w:pPr>
          </w:p>
        </w:tc>
      </w:tr>
      <w:tr w:rsidR="000F5B0E" w:rsidRPr="009305B3" w14:paraId="7ED9712F" w14:textId="77777777" w:rsidTr="00B12B0F">
        <w:tc>
          <w:tcPr>
            <w:tcW w:w="2685" w:type="dxa"/>
          </w:tcPr>
          <w:p w14:paraId="1D4AC39C" w14:textId="77777777" w:rsidR="000F5B0E" w:rsidRPr="009305B3" w:rsidRDefault="000F5B0E" w:rsidP="00B12B0F">
            <w:pPr>
              <w:rPr>
                <w:rFonts w:ascii="Verdana" w:hAnsi="Verdana"/>
                <w:b/>
                <w:bCs/>
                <w:lang w:val="es-ES_tradnl"/>
              </w:rPr>
            </w:pPr>
            <w:r w:rsidRPr="009305B3">
              <w:rPr>
                <w:rFonts w:ascii="Verdana" w:hAnsi="Verdana"/>
                <w:b/>
                <w:bCs/>
                <w:lang w:val="es-ES_tradnl"/>
              </w:rPr>
              <w:t xml:space="preserve">Radicación:               </w:t>
            </w:r>
          </w:p>
        </w:tc>
        <w:tc>
          <w:tcPr>
            <w:tcW w:w="6241" w:type="dxa"/>
          </w:tcPr>
          <w:p w14:paraId="583EFA95" w14:textId="77777777" w:rsidR="000F5B0E" w:rsidRPr="009305B3" w:rsidRDefault="000F5B0E" w:rsidP="00B12B0F">
            <w:pPr>
              <w:jc w:val="both"/>
              <w:rPr>
                <w:rFonts w:ascii="Verdana" w:hAnsi="Verdana"/>
                <w:lang w:val="es-ES_tradnl"/>
              </w:rPr>
            </w:pPr>
            <w:r w:rsidRPr="009305B3">
              <w:rPr>
                <w:rFonts w:ascii="Verdana" w:hAnsi="Verdana"/>
                <w:lang w:val="es-ES_tradnl"/>
              </w:rPr>
              <w:t xml:space="preserve">Respuesta a consulta con radicado No. </w:t>
            </w:r>
            <w:r w:rsidRPr="00033E24">
              <w:rPr>
                <w:rFonts w:ascii="Verdana" w:hAnsi="Verdana"/>
              </w:rPr>
              <w:t>1_2026_05_20_006829</w:t>
            </w:r>
          </w:p>
        </w:tc>
        <w:tc>
          <w:tcPr>
            <w:tcW w:w="6237" w:type="dxa"/>
          </w:tcPr>
          <w:p w14:paraId="032007D7" w14:textId="77777777" w:rsidR="000F5B0E" w:rsidRPr="009305B3" w:rsidRDefault="000F5B0E" w:rsidP="00B12B0F">
            <w:pPr>
              <w:rPr>
                <w:rFonts w:ascii="Verdana" w:hAnsi="Verdana"/>
                <w:lang w:val="es-ES_tradnl"/>
              </w:rPr>
            </w:pPr>
          </w:p>
        </w:tc>
      </w:tr>
    </w:tbl>
    <w:p w14:paraId="76D80D1D" w14:textId="77777777" w:rsidR="000F5B0E" w:rsidRPr="009305B3" w:rsidRDefault="000F5B0E" w:rsidP="000F5B0E">
      <w:pPr>
        <w:spacing w:after="0" w:line="240" w:lineRule="auto"/>
        <w:rPr>
          <w:rFonts w:ascii="Verdana" w:eastAsia="Calibri" w:hAnsi="Verdana" w:cs="Times New Roman"/>
          <w:lang w:val="es-ES"/>
        </w:rPr>
      </w:pPr>
    </w:p>
    <w:p w14:paraId="597BF7D0" w14:textId="77777777" w:rsidR="000F5B0E" w:rsidRPr="009305B3" w:rsidRDefault="000F5B0E" w:rsidP="000F5B0E">
      <w:pPr>
        <w:spacing w:after="0" w:line="240" w:lineRule="auto"/>
        <w:rPr>
          <w:rFonts w:ascii="Verdana" w:eastAsia="Calibri" w:hAnsi="Verdana" w:cs="Times New Roman"/>
          <w:lang w:val="es-ES"/>
        </w:rPr>
      </w:pPr>
    </w:p>
    <w:p w14:paraId="03DEBE28" w14:textId="77777777" w:rsidR="000F5B0E" w:rsidRPr="009305B3" w:rsidRDefault="000F5B0E" w:rsidP="000F5B0E">
      <w:pPr>
        <w:spacing w:after="0" w:line="276" w:lineRule="auto"/>
        <w:rPr>
          <w:rFonts w:ascii="Verdana" w:eastAsia="Calibri" w:hAnsi="Verdana" w:cs="Times New Roman"/>
          <w:lang w:val="es-ES"/>
        </w:rPr>
      </w:pPr>
      <w:r w:rsidRPr="009305B3">
        <w:rPr>
          <w:rFonts w:ascii="Verdana" w:eastAsia="Calibri" w:hAnsi="Verdana" w:cs="Times New Roman"/>
          <w:lang w:val="es-ES"/>
        </w:rPr>
        <w:t xml:space="preserve">Estimado Señor </w:t>
      </w:r>
      <w:r>
        <w:rPr>
          <w:rFonts w:ascii="Verdana" w:eastAsia="Calibri" w:hAnsi="Verdana" w:cs="Times New Roman"/>
          <w:lang w:val="es-ES"/>
        </w:rPr>
        <w:t>Ciudadano</w:t>
      </w:r>
      <w:r w:rsidRPr="009305B3">
        <w:rPr>
          <w:rFonts w:ascii="Verdana" w:eastAsia="Calibri" w:hAnsi="Verdana" w:cs="Times New Roman"/>
          <w:lang w:val="es-ES"/>
        </w:rPr>
        <w:t xml:space="preserve">: </w:t>
      </w:r>
    </w:p>
    <w:p w14:paraId="1331C4F9" w14:textId="77777777" w:rsidR="000F5B0E" w:rsidRPr="009305B3" w:rsidRDefault="000F5B0E" w:rsidP="000F5B0E">
      <w:pPr>
        <w:spacing w:after="0" w:line="276" w:lineRule="auto"/>
        <w:rPr>
          <w:rFonts w:ascii="Verdana" w:eastAsia="Calibri" w:hAnsi="Verdana" w:cs="Times New Roman"/>
          <w:lang w:val="es-ES"/>
        </w:rPr>
      </w:pPr>
    </w:p>
    <w:p w14:paraId="775E4006" w14:textId="77777777" w:rsidR="000F5B0E" w:rsidRPr="009305B3" w:rsidRDefault="000F5B0E" w:rsidP="000F5B0E">
      <w:pPr>
        <w:spacing w:after="0" w:line="276" w:lineRule="auto"/>
        <w:jc w:val="both"/>
        <w:rPr>
          <w:rFonts w:ascii="Verdana" w:eastAsia="Calibri" w:hAnsi="Verdana" w:cs="Times New Roman"/>
          <w:bCs/>
          <w:lang w:val="es-ES" w:bidi="es-ES"/>
        </w:rPr>
      </w:pPr>
      <w:r w:rsidRPr="009305B3">
        <w:rPr>
          <w:rFonts w:ascii="Verdana" w:eastAsia="Calibri" w:hAnsi="Verdana" w:cs="Times New Roman"/>
          <w:bCs/>
          <w:lang w:val="es-ES" w:bidi="es-ES"/>
        </w:rPr>
        <w:t xml:space="preserve">En ejercicio de la competencia otorgada por los artículos 3, numeral 5º, y 11, numeral 8º, del Decreto Ley 4170 de 2011, </w:t>
      </w:r>
      <w:r w:rsidRPr="009305B3">
        <w:rPr>
          <w:rFonts w:ascii="Verdana" w:eastAsia="Calibri" w:hAnsi="Verdana" w:cs="Times New Roman"/>
          <w:bCs/>
        </w:rPr>
        <w:t xml:space="preserve">así como lo establecido por la Resolución 469 de 2025 expedida por esta Entidad, </w:t>
      </w:r>
      <w:r w:rsidRPr="009305B3">
        <w:rPr>
          <w:rFonts w:ascii="Verdana" w:eastAsia="Calibri" w:hAnsi="Verdana" w:cs="Times New Roman"/>
          <w:bCs/>
          <w:lang w:val="es-ES" w:bidi="es-ES"/>
        </w:rPr>
        <w:t>la Agencia Nacional de Contratación Pública – Colombia Compra Eficiente– responde la solicitud consulta del</w:t>
      </w:r>
      <w:r>
        <w:rPr>
          <w:rFonts w:ascii="Verdana" w:eastAsia="Calibri" w:hAnsi="Verdana" w:cs="Times New Roman"/>
          <w:bCs/>
          <w:lang w:val="es-ES" w:bidi="es-ES"/>
        </w:rPr>
        <w:t xml:space="preserve"> 20 de mayo de 2026</w:t>
      </w:r>
      <w:r w:rsidRPr="009305B3">
        <w:rPr>
          <w:rFonts w:ascii="Verdana" w:eastAsia="Calibri" w:hAnsi="Verdana" w:cs="Times New Roman"/>
          <w:bCs/>
          <w:lang w:val="es-ES" w:bidi="es-ES"/>
        </w:rPr>
        <w:t xml:space="preserve">, en la cual manifiesta: </w:t>
      </w:r>
    </w:p>
    <w:p w14:paraId="75CB0F87" w14:textId="77777777" w:rsidR="000F5B0E" w:rsidRPr="00033E24" w:rsidRDefault="000F5B0E" w:rsidP="000F5B0E">
      <w:pPr>
        <w:spacing w:after="0" w:line="240" w:lineRule="auto"/>
        <w:ind w:right="709"/>
        <w:jc w:val="both"/>
        <w:rPr>
          <w:rFonts w:ascii="Verdana" w:eastAsia="Calibri" w:hAnsi="Verdana" w:cs="Times New Roman"/>
          <w:bCs/>
          <w:lang w:bidi="es-ES"/>
        </w:rPr>
      </w:pPr>
    </w:p>
    <w:p w14:paraId="0A1F96DF" w14:textId="77777777" w:rsidR="000F5B0E" w:rsidRPr="00033E24" w:rsidRDefault="000F5B0E" w:rsidP="000F5B0E">
      <w:pPr>
        <w:spacing w:after="0" w:line="240" w:lineRule="auto"/>
        <w:ind w:left="709" w:right="709"/>
        <w:jc w:val="both"/>
        <w:rPr>
          <w:rFonts w:ascii="Verdana" w:eastAsia="Calibri" w:hAnsi="Verdana" w:cs="Times New Roman"/>
          <w:bCs/>
          <w:sz w:val="20"/>
          <w:szCs w:val="20"/>
          <w:lang w:bidi="es-ES"/>
        </w:rPr>
      </w:pPr>
      <w:r w:rsidRPr="00033E24">
        <w:rPr>
          <w:rFonts w:ascii="Verdana" w:eastAsia="Calibri" w:hAnsi="Verdana" w:cs="Times New Roman"/>
          <w:bCs/>
          <w:sz w:val="20"/>
          <w:szCs w:val="20"/>
          <w:lang w:bidi="es-ES"/>
        </w:rPr>
        <w:t xml:space="preserve">¿Se configura la causal de nulidad absoluta prevista en los numerales 2 y 4 del artículo 44 de la Ley 80 de 1993, por vulneración al principio de selección objetiva, cuando la entidad estatal adjudica y celebra un contrato estatal habiendo aplicado una modalidad de selección o tipología </w:t>
      </w:r>
      <w:r w:rsidRPr="00033E24">
        <w:rPr>
          <w:rFonts w:ascii="Verdana" w:eastAsia="Calibri" w:hAnsi="Verdana" w:cs="Times New Roman"/>
          <w:bCs/>
          <w:sz w:val="20"/>
          <w:szCs w:val="20"/>
          <w:lang w:bidi="es-ES"/>
        </w:rPr>
        <w:lastRenderedPageBreak/>
        <w:t>contractual distinta a la taxativamente ordenada por la Ley 1150 de 2007 y el Decreto 1082 de 2015 para ese objeto y cuantía específicos?</w:t>
      </w:r>
    </w:p>
    <w:p w14:paraId="78EBA0FB" w14:textId="77777777" w:rsidR="000F5B0E" w:rsidRPr="00033E24" w:rsidRDefault="000F5B0E" w:rsidP="000F5B0E">
      <w:pPr>
        <w:spacing w:after="0" w:line="240" w:lineRule="auto"/>
        <w:ind w:left="709" w:right="709"/>
        <w:jc w:val="both"/>
        <w:rPr>
          <w:rFonts w:ascii="Verdana" w:eastAsia="Calibri" w:hAnsi="Verdana" w:cs="Times New Roman"/>
          <w:bCs/>
          <w:sz w:val="20"/>
          <w:szCs w:val="20"/>
          <w:lang w:bidi="es-ES"/>
        </w:rPr>
      </w:pPr>
    </w:p>
    <w:p w14:paraId="028BB154" w14:textId="77777777" w:rsidR="000F5B0E" w:rsidRPr="00033E24" w:rsidRDefault="000F5B0E" w:rsidP="000F5B0E">
      <w:pPr>
        <w:spacing w:after="0" w:line="240" w:lineRule="auto"/>
        <w:ind w:left="709" w:right="709"/>
        <w:jc w:val="both"/>
        <w:rPr>
          <w:rFonts w:ascii="Verdana" w:eastAsia="Calibri" w:hAnsi="Verdana" w:cs="Times New Roman"/>
          <w:bCs/>
          <w:sz w:val="20"/>
          <w:szCs w:val="20"/>
          <w:lang w:bidi="es-ES"/>
        </w:rPr>
      </w:pPr>
      <w:r w:rsidRPr="00033E24">
        <w:rPr>
          <w:rFonts w:ascii="Verdana" w:eastAsia="Calibri" w:hAnsi="Verdana" w:cs="Times New Roman"/>
          <w:bCs/>
          <w:sz w:val="20"/>
          <w:szCs w:val="20"/>
          <w:lang w:bidi="es-ES"/>
        </w:rPr>
        <w:t>En el evento en que se materialice la celebración de un contrato bajo una modalidad de selección incorrecta, ¿cuáles son las consecuencias jurídicas sustanciales respecto de la liquidación del contrato y el reconocimiento económico de las prestaciones ya ejecutadas por el contratista a favor de la administración, considerando la doctrina del enriquecimiento sin causa y las limitaciones jurisprudenciales para su reconocimiento en casos de vulneración al orden público contractual?</w:t>
      </w:r>
    </w:p>
    <w:p w14:paraId="441E859C" w14:textId="77777777" w:rsidR="000F5B0E" w:rsidRPr="00033E24" w:rsidRDefault="000F5B0E" w:rsidP="000F5B0E">
      <w:pPr>
        <w:spacing w:after="0" w:line="240" w:lineRule="auto"/>
        <w:ind w:left="709" w:right="709"/>
        <w:jc w:val="both"/>
        <w:rPr>
          <w:rFonts w:ascii="Verdana" w:eastAsia="Calibri" w:hAnsi="Verdana" w:cs="Times New Roman"/>
          <w:bCs/>
          <w:sz w:val="20"/>
          <w:szCs w:val="20"/>
          <w:lang w:bidi="es-ES"/>
        </w:rPr>
      </w:pPr>
    </w:p>
    <w:p w14:paraId="61F87DF3" w14:textId="77777777" w:rsidR="000F5B0E" w:rsidRPr="00033E24" w:rsidRDefault="000F5B0E" w:rsidP="000F5B0E">
      <w:pPr>
        <w:spacing w:after="0" w:line="240" w:lineRule="auto"/>
        <w:ind w:left="709" w:right="709"/>
        <w:jc w:val="both"/>
        <w:rPr>
          <w:rFonts w:ascii="Verdana" w:eastAsia="Calibri" w:hAnsi="Verdana" w:cs="Times New Roman"/>
          <w:bCs/>
          <w:sz w:val="20"/>
          <w:szCs w:val="20"/>
          <w:lang w:bidi="es-ES"/>
        </w:rPr>
      </w:pPr>
      <w:r w:rsidRPr="00033E24">
        <w:rPr>
          <w:rFonts w:ascii="Verdana" w:eastAsia="Calibri" w:hAnsi="Verdana" w:cs="Times New Roman"/>
          <w:bCs/>
          <w:sz w:val="20"/>
          <w:szCs w:val="20"/>
          <w:lang w:bidi="es-ES"/>
        </w:rPr>
        <w:t>Si la entidad estatal advierte el error en la escogencia de la tipología y/o modalidad de selección con posterioridad a la adjudicación pero durante la etapa de ejecución contractual, ¿cuál es el mecanismo jurídico imperativo que debe adoptar la administración (v.gr. declaratoria de nulidad absoluta de oficio, terminación unilateral o liquidación en el estado en que se encuentre) para mitigar el riesgo de daño antijurídico y evitar la incursión en faltas disciplinarias o detrimento patrimonial continuo?</w:t>
      </w:r>
    </w:p>
    <w:p w14:paraId="1504C0AD" w14:textId="77777777" w:rsidR="000F5B0E" w:rsidRPr="009305B3" w:rsidRDefault="000F5B0E" w:rsidP="000F5B0E">
      <w:pPr>
        <w:spacing w:after="0" w:line="240" w:lineRule="auto"/>
        <w:ind w:left="709" w:right="709"/>
        <w:jc w:val="both"/>
        <w:rPr>
          <w:rFonts w:ascii="Verdana" w:eastAsia="Calibri" w:hAnsi="Verdana" w:cs="Times New Roman"/>
          <w:bCs/>
          <w:lang w:bidi="es-ES"/>
        </w:rPr>
      </w:pPr>
    </w:p>
    <w:p w14:paraId="726067D0" w14:textId="77777777" w:rsidR="000F5B0E" w:rsidRPr="009305B3" w:rsidRDefault="000F5B0E" w:rsidP="000F5B0E">
      <w:pPr>
        <w:spacing w:after="120" w:line="276" w:lineRule="auto"/>
        <w:ind w:firstLine="709"/>
        <w:jc w:val="both"/>
        <w:rPr>
          <w:rFonts w:ascii="Verdana" w:eastAsia="Calibri" w:hAnsi="Verdana" w:cs="Times New Roman"/>
          <w:lang w:val="es-ES"/>
        </w:rPr>
      </w:pPr>
      <w:r w:rsidRPr="009305B3">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777B94E3" w14:textId="77777777" w:rsidR="000F5B0E" w:rsidRPr="009305B3" w:rsidRDefault="000F5B0E" w:rsidP="000F5B0E">
      <w:pPr>
        <w:spacing w:after="0" w:line="276" w:lineRule="auto"/>
        <w:ind w:firstLine="708"/>
        <w:jc w:val="both"/>
        <w:rPr>
          <w:rFonts w:ascii="Verdana" w:eastAsia="Calibri" w:hAnsi="Verdana" w:cs="Times New Roman"/>
          <w:lang w:val="es-ES"/>
        </w:rPr>
      </w:pPr>
      <w:r w:rsidRPr="009305B3">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los problemas jurídicos objeto de consulta. </w:t>
      </w:r>
    </w:p>
    <w:p w14:paraId="5B0BD242" w14:textId="77777777" w:rsidR="000F5B0E" w:rsidRPr="009305B3" w:rsidRDefault="000F5B0E" w:rsidP="000F5B0E">
      <w:pPr>
        <w:spacing w:after="0" w:line="240" w:lineRule="auto"/>
        <w:rPr>
          <w:rFonts w:ascii="Verdana" w:eastAsia="Calibri" w:hAnsi="Verdana" w:cs="Times New Roman"/>
          <w:lang w:val="es-ES"/>
        </w:rPr>
      </w:pPr>
    </w:p>
    <w:p w14:paraId="6F8E0950" w14:textId="77777777" w:rsidR="000F5B0E" w:rsidRPr="009305B3" w:rsidRDefault="000F5B0E" w:rsidP="000F5B0E">
      <w:pPr>
        <w:numPr>
          <w:ilvl w:val="0"/>
          <w:numId w:val="16"/>
        </w:numPr>
        <w:spacing w:after="0" w:line="240" w:lineRule="auto"/>
        <w:contextualSpacing/>
        <w:rPr>
          <w:rFonts w:ascii="Verdana" w:eastAsia="Calibri" w:hAnsi="Verdana" w:cs="Times New Roman"/>
          <w:b/>
          <w:bCs/>
          <w:lang w:val="es-ES"/>
        </w:rPr>
      </w:pPr>
      <w:r w:rsidRPr="009305B3">
        <w:rPr>
          <w:rFonts w:ascii="Verdana" w:eastAsia="Calibri" w:hAnsi="Verdana" w:cs="Times New Roman"/>
          <w:b/>
          <w:bCs/>
          <w:lang w:val="es-ES"/>
        </w:rPr>
        <w:lastRenderedPageBreak/>
        <w:t>Problemas planteados:</w:t>
      </w:r>
    </w:p>
    <w:p w14:paraId="37082C03" w14:textId="77777777" w:rsidR="000F5B0E" w:rsidRPr="009305B3" w:rsidRDefault="000F5B0E" w:rsidP="000F5B0E">
      <w:pPr>
        <w:spacing w:after="0" w:line="240" w:lineRule="auto"/>
        <w:rPr>
          <w:rFonts w:ascii="Verdana" w:eastAsia="Calibri" w:hAnsi="Verdana" w:cs="Times New Roman"/>
        </w:rPr>
      </w:pPr>
    </w:p>
    <w:p w14:paraId="4F8D42EF" w14:textId="77777777" w:rsidR="000F5B0E" w:rsidRPr="009305B3" w:rsidRDefault="000F5B0E" w:rsidP="000F5B0E">
      <w:pPr>
        <w:spacing w:after="0" w:line="276" w:lineRule="auto"/>
        <w:jc w:val="both"/>
        <w:rPr>
          <w:rFonts w:ascii="Verdana" w:eastAsia="Calibri" w:hAnsi="Verdana" w:cs="Times New Roman"/>
        </w:rPr>
      </w:pPr>
      <w:r w:rsidRPr="009305B3">
        <w:rPr>
          <w:rFonts w:ascii="Verdana" w:eastAsia="Calibri" w:hAnsi="Verdana" w:cs="Times New Roman"/>
        </w:rPr>
        <w:t>De acuerdo con el contenido de sus solicitudes, esta Agencia procede a resolver</w:t>
      </w:r>
      <w:r>
        <w:rPr>
          <w:rFonts w:ascii="Verdana" w:eastAsia="Calibri" w:hAnsi="Verdana" w:cs="Times New Roman"/>
        </w:rPr>
        <w:t xml:space="preserve"> los siguientes problemas jurídicos</w:t>
      </w:r>
      <w:r w:rsidRPr="009305B3">
        <w:rPr>
          <w:rFonts w:ascii="Verdana" w:eastAsia="Calibri" w:hAnsi="Verdana" w:cs="Times New Roman"/>
        </w:rPr>
        <w:t xml:space="preserve">: </w:t>
      </w:r>
      <w:r>
        <w:rPr>
          <w:rFonts w:ascii="Verdana" w:eastAsia="Calibri" w:hAnsi="Verdana" w:cs="Times New Roman"/>
        </w:rPr>
        <w:t xml:space="preserve">i) </w:t>
      </w:r>
      <w:r w:rsidRPr="00086809">
        <w:rPr>
          <w:rFonts w:ascii="Verdana" w:eastAsia="Calibri" w:hAnsi="Verdana" w:cs="Times New Roman"/>
        </w:rPr>
        <w:t xml:space="preserve">¿La utilización por parte de la entidad estatal de una modalidad de selección o tipología contractual distinta a la prevista </w:t>
      </w:r>
      <w:r>
        <w:rPr>
          <w:rFonts w:ascii="Verdana" w:eastAsia="Calibri" w:hAnsi="Verdana" w:cs="Times New Roman"/>
        </w:rPr>
        <w:t xml:space="preserve">en el Sistema General de Compras Públicas </w:t>
      </w:r>
      <w:r w:rsidRPr="00086809">
        <w:rPr>
          <w:rFonts w:ascii="Verdana" w:eastAsia="Calibri" w:hAnsi="Verdana" w:cs="Times New Roman"/>
        </w:rPr>
        <w:t xml:space="preserve">configura la causal de nulidad absoluta por vulneración </w:t>
      </w:r>
      <w:r>
        <w:rPr>
          <w:rFonts w:ascii="Verdana" w:eastAsia="Calibri" w:hAnsi="Verdana" w:cs="Times New Roman"/>
        </w:rPr>
        <w:t xml:space="preserve">de la </w:t>
      </w:r>
      <w:r w:rsidRPr="00086809">
        <w:rPr>
          <w:rFonts w:ascii="Verdana" w:eastAsia="Calibri" w:hAnsi="Verdana" w:cs="Times New Roman"/>
        </w:rPr>
        <w:t>selección objetiva?</w:t>
      </w:r>
      <w:r>
        <w:rPr>
          <w:rFonts w:ascii="Verdana" w:eastAsia="Calibri" w:hAnsi="Verdana" w:cs="Times New Roman"/>
        </w:rPr>
        <w:t xml:space="preserve">; </w:t>
      </w:r>
      <w:proofErr w:type="spellStart"/>
      <w:r>
        <w:rPr>
          <w:rFonts w:ascii="Verdana" w:eastAsia="Calibri" w:hAnsi="Verdana" w:cs="Times New Roman"/>
        </w:rPr>
        <w:t>ii</w:t>
      </w:r>
      <w:proofErr w:type="spellEnd"/>
      <w:r>
        <w:rPr>
          <w:rFonts w:ascii="Verdana" w:eastAsia="Calibri" w:hAnsi="Verdana" w:cs="Times New Roman"/>
        </w:rPr>
        <w:t xml:space="preserve">) </w:t>
      </w:r>
      <w:r w:rsidRPr="00623ACE">
        <w:rPr>
          <w:rFonts w:ascii="Verdana" w:eastAsia="Calibri" w:hAnsi="Verdana" w:cs="Times New Roman"/>
        </w:rPr>
        <w:t>¿Cuáles son las consecuencias jurídicas que se derivan de la celebración y ejecución de un contrato estatal bajo una modalidad de selección incorrecta, en lo relativo a su liquidación y al reconocimiento económico de las prestaciones ejecutadas?</w:t>
      </w:r>
    </w:p>
    <w:p w14:paraId="794DAE7A" w14:textId="77777777" w:rsidR="000F5B0E" w:rsidRPr="009305B3" w:rsidRDefault="000F5B0E" w:rsidP="000F5B0E">
      <w:pPr>
        <w:spacing w:after="0" w:line="240" w:lineRule="auto"/>
        <w:jc w:val="both"/>
        <w:rPr>
          <w:rFonts w:ascii="Verdana" w:eastAsia="Calibri" w:hAnsi="Verdana" w:cs="Times New Roman"/>
          <w:i/>
          <w:iCs/>
        </w:rPr>
      </w:pPr>
    </w:p>
    <w:p w14:paraId="342B6E7D" w14:textId="77777777" w:rsidR="000F5B0E" w:rsidRPr="009305B3" w:rsidRDefault="000F5B0E" w:rsidP="000F5B0E">
      <w:pPr>
        <w:numPr>
          <w:ilvl w:val="0"/>
          <w:numId w:val="16"/>
        </w:numPr>
        <w:spacing w:after="0" w:line="276" w:lineRule="auto"/>
        <w:contextualSpacing/>
        <w:rPr>
          <w:rFonts w:ascii="Verdana" w:eastAsia="Calibri" w:hAnsi="Verdana" w:cs="Times New Roman"/>
          <w:b/>
          <w:bCs/>
          <w:lang w:val="es-ES"/>
        </w:rPr>
      </w:pPr>
      <w:r w:rsidRPr="009305B3">
        <w:rPr>
          <w:rFonts w:ascii="Verdana" w:eastAsia="Calibri" w:hAnsi="Verdana" w:cs="Times New Roman"/>
          <w:b/>
          <w:bCs/>
          <w:lang w:val="es-ES"/>
        </w:rPr>
        <w:t>Respuesta:</w:t>
      </w:r>
    </w:p>
    <w:p w14:paraId="013A881B" w14:textId="77777777" w:rsidR="000F5B0E" w:rsidRPr="009305B3" w:rsidRDefault="000F5B0E" w:rsidP="000F5B0E">
      <w:pPr>
        <w:spacing w:after="0" w:line="276" w:lineRule="auto"/>
        <w:rPr>
          <w:rFonts w:ascii="Verdana" w:eastAsia="Calibri" w:hAnsi="Verdana" w:cs="Times New Roman"/>
          <w:b/>
          <w:bCs/>
          <w:lang w:val="es-ES"/>
        </w:rPr>
      </w:pPr>
    </w:p>
    <w:tbl>
      <w:tblPr>
        <w:tblStyle w:val="Tablaconcuadrcula12"/>
        <w:tblW w:w="87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0F5B0E" w:rsidRPr="009305B3" w14:paraId="058A838D" w14:textId="77777777" w:rsidTr="00B12B0F">
        <w:trPr>
          <w:trHeight w:val="345"/>
        </w:trPr>
        <w:tc>
          <w:tcPr>
            <w:tcW w:w="8784" w:type="dxa"/>
            <w:tcBorders>
              <w:bottom w:val="single" w:sz="4" w:space="0" w:color="auto"/>
            </w:tcBorders>
          </w:tcPr>
          <w:p w14:paraId="3D842D5B" w14:textId="77777777" w:rsidR="000F5B0E" w:rsidRDefault="000F5B0E" w:rsidP="00B12B0F">
            <w:pPr>
              <w:widowControl w:val="0"/>
              <w:autoSpaceDE w:val="0"/>
              <w:autoSpaceDN w:val="0"/>
              <w:spacing w:after="120" w:line="276" w:lineRule="auto"/>
              <w:jc w:val="both"/>
              <w:rPr>
                <w:rFonts w:ascii="Verdana" w:hAnsi="Verdana" w:cs="Arial"/>
                <w:lang w:val="es-ES" w:eastAsia="es-ES"/>
              </w:rPr>
            </w:pPr>
            <w:r w:rsidRPr="009305B3">
              <w:rPr>
                <w:rFonts w:ascii="Verdana" w:hAnsi="Verdana" w:cs="Arial"/>
                <w:lang w:val="es-ES" w:eastAsia="es-ES"/>
              </w:rPr>
              <w:t xml:space="preserve">De acuerdo con </w:t>
            </w:r>
            <w:r>
              <w:rPr>
                <w:rFonts w:ascii="Verdana" w:hAnsi="Verdana" w:cs="Arial"/>
                <w:lang w:val="es-ES" w:eastAsia="es-ES"/>
              </w:rPr>
              <w:t>los problemas jurídicos de su consulta, se expresa:</w:t>
            </w:r>
          </w:p>
          <w:p w14:paraId="12CCC2B8" w14:textId="77777777" w:rsidR="000F5B0E" w:rsidRPr="00D37465" w:rsidRDefault="000F5B0E" w:rsidP="00B12B0F">
            <w:pPr>
              <w:spacing w:after="120" w:line="276" w:lineRule="auto"/>
              <w:jc w:val="both"/>
              <w:rPr>
                <w:rFonts w:ascii="Verdana" w:eastAsia="Calibri" w:hAnsi="Verdana" w:cs="Arial"/>
              </w:rPr>
            </w:pPr>
            <w:r w:rsidRPr="00D37465">
              <w:rPr>
                <w:rFonts w:ascii="Verdana" w:hAnsi="Verdana" w:cs="Arial"/>
                <w:lang w:val="es-ES" w:eastAsia="es-ES"/>
              </w:rPr>
              <w:t>i</w:t>
            </w:r>
            <w:r w:rsidRPr="00162A93">
              <w:rPr>
                <w:rFonts w:ascii="Verdana" w:hAnsi="Verdana" w:cs="Arial"/>
                <w:lang w:val="es-ES" w:eastAsia="es-ES"/>
              </w:rPr>
              <w:t>. En relación con el primer problema jurídico de su consulta se expone que l</w:t>
            </w:r>
            <w:r w:rsidRPr="00162A93">
              <w:rPr>
                <w:rFonts w:ascii="Verdana" w:eastAsia="Calibri" w:hAnsi="Verdana" w:cs="Arial"/>
              </w:rPr>
              <w:t>a inobservancia del principio de transparencia al momento de determinar la modalidad de selección aplicable puede generar impactos en la validez del procedimiento contractual. Una elección incorrecta o arbitraria del mecanismo de selección afecta la igualdad de oportunidades, distorsiona la competencia, compromete la publicidad de las actuaciones y puede derivar en la nulidad del proceso, en responsabilidades disciplinarias o fiscales, así como en la afectación del interés público que la contratación estatal busca proteger. Ejemplo de ello, es que el desconocimiento de este principio, consagrado en el artículo 24, numeral 8, de la Ley 80 de 1993, comporta la configuración de una nulidad absoluta por objeto ilícito —en los términos del derecho común—, en la medida en que el contrato resultante contraviene las normas imperativas del Derecho Público y vulnera las reglas que rigen la actuación contractual de la administración. Al respecto, dicho artículo prescribe:</w:t>
            </w:r>
            <w:r w:rsidRPr="00162A93">
              <w:rPr>
                <w:rFonts w:ascii="Verdana" w:hAnsi="Verdana"/>
              </w:rPr>
              <w:t xml:space="preserve"> </w:t>
            </w:r>
            <w:r w:rsidRPr="00162A93">
              <w:rPr>
                <w:rFonts w:ascii="Verdana" w:eastAsia="Calibri" w:hAnsi="Verdana" w:cs="Arial"/>
              </w:rPr>
              <w:t>“En virtud de este principio: […] 8o. Las autoridades no actuarán con desviación o abuso de poder y ejercerán sus competencias exclusivamente para los fines previstos en la ley. Igualmente, les será prohibido eludir los procedimientos de selección objetiva y los demás requisitos previstos en el presente estatuto”.</w:t>
            </w:r>
            <w:r w:rsidRPr="00D37465">
              <w:rPr>
                <w:rFonts w:ascii="Verdana" w:eastAsia="Calibri" w:hAnsi="Verdana" w:cs="Arial"/>
              </w:rPr>
              <w:t xml:space="preserve"> </w:t>
            </w:r>
          </w:p>
          <w:p w14:paraId="5456D6CC" w14:textId="77777777" w:rsidR="000F5B0E" w:rsidRPr="00D37465" w:rsidRDefault="000F5B0E" w:rsidP="00B12B0F">
            <w:pPr>
              <w:spacing w:after="120" w:line="276" w:lineRule="auto"/>
              <w:ind w:firstLine="709"/>
              <w:jc w:val="both"/>
              <w:rPr>
                <w:rFonts w:ascii="Verdana" w:eastAsia="Calibri" w:hAnsi="Verdana" w:cs="Arial"/>
              </w:rPr>
            </w:pPr>
            <w:r w:rsidRPr="00D37465">
              <w:rPr>
                <w:rFonts w:ascii="Verdana" w:eastAsia="Calibri" w:hAnsi="Verdana" w:cs="Arial"/>
              </w:rPr>
              <w:t>Al respecto, el Consejo de Estado en Sentencia del 2 de mayo de 2016</w:t>
            </w:r>
            <w:r>
              <w:rPr>
                <w:rFonts w:ascii="Verdana" w:eastAsia="Calibri" w:hAnsi="Verdana" w:cs="Arial"/>
              </w:rPr>
              <w:t>,</w:t>
            </w:r>
            <w:r w:rsidRPr="00D37465">
              <w:rPr>
                <w:rFonts w:ascii="Verdana" w:eastAsia="Calibri" w:hAnsi="Verdana" w:cs="Arial"/>
              </w:rPr>
              <w:t xml:space="preserve"> </w:t>
            </w:r>
            <w:r>
              <w:rPr>
                <w:rFonts w:ascii="Verdana" w:eastAsia="Calibri" w:hAnsi="Verdana" w:cs="Arial"/>
              </w:rPr>
              <w:t>expedida en el marco del proceso judicial con</w:t>
            </w:r>
            <w:r w:rsidRPr="00D37465">
              <w:rPr>
                <w:rFonts w:ascii="Verdana" w:eastAsia="Calibri" w:hAnsi="Verdana" w:cs="Arial"/>
              </w:rPr>
              <w:t xml:space="preserve"> </w:t>
            </w:r>
            <w:r>
              <w:rPr>
                <w:rFonts w:ascii="Verdana" w:eastAsia="Calibri" w:hAnsi="Verdana" w:cs="Arial"/>
              </w:rPr>
              <w:t>E</w:t>
            </w:r>
            <w:r w:rsidRPr="00D37465">
              <w:rPr>
                <w:rFonts w:ascii="Verdana" w:eastAsia="Calibri" w:hAnsi="Verdana" w:cs="Arial"/>
              </w:rPr>
              <w:t>xpediente</w:t>
            </w:r>
            <w:r>
              <w:rPr>
                <w:rFonts w:ascii="Verdana" w:eastAsia="Calibri" w:hAnsi="Verdana" w:cs="Arial"/>
              </w:rPr>
              <w:t xml:space="preserve"> No.</w:t>
            </w:r>
            <w:r w:rsidRPr="00D37465">
              <w:rPr>
                <w:rFonts w:ascii="Verdana" w:eastAsia="Calibri" w:hAnsi="Verdana" w:cs="Arial"/>
              </w:rPr>
              <w:t xml:space="preserve"> 37.066</w:t>
            </w:r>
            <w:r>
              <w:rPr>
                <w:rFonts w:ascii="Verdana" w:eastAsia="Calibri" w:hAnsi="Verdana" w:cs="Arial"/>
              </w:rPr>
              <w:t>,</w:t>
            </w:r>
            <w:r w:rsidRPr="00D37465">
              <w:rPr>
                <w:rFonts w:ascii="Verdana" w:eastAsia="Calibri" w:hAnsi="Verdana" w:cs="Arial"/>
              </w:rPr>
              <w:t xml:space="preserve"> siguiendo su jurisprudencia señaló que la configuración de la causal 3 del artículo 44 de la Ley 80 de 1993, ha establecido de manera reiterada que </w:t>
            </w:r>
            <w:r w:rsidRPr="00D37465">
              <w:rPr>
                <w:rFonts w:ascii="Verdana" w:eastAsia="Calibri" w:hAnsi="Verdana" w:cs="Arial"/>
              </w:rPr>
              <w:lastRenderedPageBreak/>
              <w:t xml:space="preserve">cuando los funcionarios eluden los procedimientos de selección objetiva y los demás requisitos y deberes indicados por la ley, incurren en </w:t>
            </w:r>
            <w:r w:rsidRPr="00D37465">
              <w:rPr>
                <w:rFonts w:ascii="Verdana" w:eastAsia="Calibri" w:hAnsi="Verdana" w:cs="Arial"/>
                <w:bCs/>
              </w:rPr>
              <w:t>abuso o desviación de poder</w:t>
            </w:r>
            <w:r w:rsidRPr="00D37465">
              <w:rPr>
                <w:rFonts w:ascii="Verdana" w:eastAsia="Calibri" w:hAnsi="Verdana" w:cs="Arial"/>
              </w:rPr>
              <w:t xml:space="preserve"> al apartarse de los fines de la contratación, que no son otros que el interés público y el bienestar de la comunidad, circunstancias que conforme al EGCAP, configura la causal de nulidad absoluta del contrato.</w:t>
            </w:r>
            <w:r>
              <w:rPr>
                <w:rFonts w:ascii="Verdana" w:eastAsia="Calibri" w:hAnsi="Verdana" w:cs="Arial"/>
              </w:rPr>
              <w:t xml:space="preserve"> </w:t>
            </w:r>
            <w:r w:rsidRPr="00D37465">
              <w:rPr>
                <w:rFonts w:ascii="Verdana" w:eastAsia="Calibri" w:hAnsi="Verdana" w:cs="Arial"/>
              </w:rPr>
              <w:t xml:space="preserve">Así mismo, el Consejo en sentencia con expediente 70.045 del 4 de abril de 2025, expresó: “La inobservancia deliberada de las reglas y principios que garantizan la selección objetiva de los contratistas constituye una vulneración del derecho imperativo, lo que, conforme a lo expuesto en el párrafo precedente, configura un objeto ilícito. Sobre este punto, la jurisprudencia de la Corporación ha señalado que procede la declaración de nulidad absoluta de un contrato estatal cuando se transgrede el numeral 8 del artículo 24 de la Ley 80 de 1993, al desconocer los procedimientos y reglas que garantizan la selección objetiva de los contratistas”. </w:t>
            </w:r>
          </w:p>
          <w:p w14:paraId="227B34AA" w14:textId="77777777" w:rsidR="000F5B0E" w:rsidRPr="00572FA4" w:rsidRDefault="000F5B0E" w:rsidP="00B12B0F">
            <w:pPr>
              <w:spacing w:after="120" w:line="276" w:lineRule="auto"/>
              <w:ind w:firstLine="708"/>
              <w:jc w:val="both"/>
              <w:rPr>
                <w:rFonts w:ascii="Verdana" w:eastAsia="Calibri" w:hAnsi="Verdana" w:cs="Arial"/>
              </w:rPr>
            </w:pPr>
            <w:r w:rsidRPr="00D37465">
              <w:rPr>
                <w:rFonts w:ascii="Verdana" w:eastAsia="Calibri" w:hAnsi="Verdana" w:cs="Arial"/>
              </w:rPr>
              <w:t>La determinación de la modalidad de selección no constituye una facultad discrecional de la administración, sino una actuación reglada que debe ajustar a los principios de transparencia, selección objetiva</w:t>
            </w:r>
            <w:r>
              <w:rPr>
                <w:rFonts w:ascii="Verdana" w:eastAsia="Calibri" w:hAnsi="Verdana" w:cs="Arial"/>
              </w:rPr>
              <w:t xml:space="preserve"> y</w:t>
            </w:r>
            <w:r w:rsidRPr="00D37465">
              <w:rPr>
                <w:rFonts w:ascii="Verdana" w:eastAsia="Calibri" w:hAnsi="Verdana" w:cs="Arial"/>
              </w:rPr>
              <w:t xml:space="preserve"> economía, previstos como ejes rectores de la actividad contractual. En este contexto, el Consejo de Estado, en sentencia del 20 de abril de 2026, expediente 72.477, precisó que también se configura nulidad absoluta cuando se celebra un contrato interadministrativo sin que la entidad ejecutora cuente con un objeto social compatible con las actividades a desarrollar, exigencia prevista en el artículo 2, numeral 4, literal c) de la Ley 1150 de 2007. La ausencia de esta correspondencia material entre el objeto contractual y el objeto social de la entidad interviniente impide acudir a la contratación directa, pues desnaturaliza la modalidad excepcional y vulnera los principios que rigen la actividad contractual del Estado.</w:t>
            </w:r>
          </w:p>
          <w:p w14:paraId="6BA02E74" w14:textId="77777777" w:rsidR="000F5B0E" w:rsidRPr="00A31FFE" w:rsidRDefault="000F5B0E" w:rsidP="00B12B0F">
            <w:pPr>
              <w:widowControl w:val="0"/>
              <w:autoSpaceDE w:val="0"/>
              <w:autoSpaceDN w:val="0"/>
              <w:spacing w:after="120" w:line="276" w:lineRule="auto"/>
              <w:ind w:firstLine="709"/>
              <w:jc w:val="both"/>
              <w:rPr>
                <w:rFonts w:ascii="Verdana" w:eastAsia="Calibri" w:hAnsi="Verdana" w:cs="Times New Roman"/>
                <w:bCs/>
              </w:rPr>
            </w:pPr>
            <w:r>
              <w:rPr>
                <w:rFonts w:ascii="Verdana" w:eastAsia="Calibri" w:hAnsi="Verdana" w:cs="Times New Roman"/>
                <w:bCs/>
              </w:rPr>
              <w:t>Así las cosas</w:t>
            </w:r>
            <w:r w:rsidRPr="00AA5AFC">
              <w:rPr>
                <w:rFonts w:ascii="Verdana" w:eastAsia="Calibri" w:hAnsi="Verdana" w:cs="Times New Roman"/>
                <w:bCs/>
              </w:rPr>
              <w:t xml:space="preserve">, </w:t>
            </w:r>
            <w:r w:rsidRPr="004B7CB2">
              <w:rPr>
                <w:rFonts w:ascii="Verdana" w:eastAsia="Calibri" w:hAnsi="Verdana" w:cs="Times New Roman"/>
                <w:bCs/>
              </w:rPr>
              <w:t xml:space="preserve">la entidad está obligada a seleccionar la modalidad de procedimiento que corresponda a las condiciones jurídicas y fácticas del contrato, asegurando que todos los interesados participen en condiciones de igualdad y que la propuesta finalmente escogida constituya la alternativa más favorable para la satisfacción del interés público comprometido. Bajo esta perspectiva, el sistema normativo que regula la correcta determinación de la modalidad de selección tiene </w:t>
            </w:r>
            <w:r w:rsidRPr="00CE5368">
              <w:rPr>
                <w:rFonts w:ascii="Verdana" w:eastAsia="Calibri" w:hAnsi="Verdana" w:cs="Times New Roman"/>
                <w:bCs/>
              </w:rPr>
              <w:t xml:space="preserve">naturaleza imperativa y de orden público, de modo que sus reglas son innegociables, irrenunciables y, por ende, </w:t>
            </w:r>
            <w:r>
              <w:rPr>
                <w:rFonts w:ascii="Verdana" w:eastAsia="Calibri" w:hAnsi="Verdana" w:cs="Times New Roman"/>
                <w:bCs/>
              </w:rPr>
              <w:t xml:space="preserve">no son </w:t>
            </w:r>
            <w:r>
              <w:rPr>
                <w:rFonts w:ascii="Verdana" w:eastAsia="Calibri" w:hAnsi="Verdana" w:cs="Times New Roman"/>
                <w:bCs/>
              </w:rPr>
              <w:lastRenderedPageBreak/>
              <w:t xml:space="preserve">susceptibles </w:t>
            </w:r>
            <w:r w:rsidRPr="00CE5368">
              <w:rPr>
                <w:rFonts w:ascii="Verdana" w:eastAsia="Calibri" w:hAnsi="Verdana" w:cs="Times New Roman"/>
                <w:bCs/>
              </w:rPr>
              <w:t>de saneamiento mediante actos de ratificación</w:t>
            </w:r>
            <w:r w:rsidRPr="00997B7A">
              <w:rPr>
                <w:rFonts w:ascii="Verdana" w:eastAsia="Calibri" w:hAnsi="Verdana" w:cs="Times New Roman"/>
                <w:bCs/>
              </w:rPr>
              <w:t>.</w:t>
            </w:r>
          </w:p>
          <w:p w14:paraId="7B230A07" w14:textId="77777777" w:rsidR="000F5B0E" w:rsidRPr="00A31FFE" w:rsidRDefault="000F5B0E" w:rsidP="00B12B0F">
            <w:pPr>
              <w:widowControl w:val="0"/>
              <w:autoSpaceDE w:val="0"/>
              <w:autoSpaceDN w:val="0"/>
              <w:spacing w:after="120" w:line="276" w:lineRule="auto"/>
              <w:jc w:val="both"/>
              <w:rPr>
                <w:rFonts w:ascii="Verdana" w:eastAsia="Verdana" w:hAnsi="Verdana" w:cs="Verdana"/>
                <w:lang w:val="es-ES"/>
              </w:rPr>
            </w:pPr>
            <w:proofErr w:type="spellStart"/>
            <w:r w:rsidRPr="00A31FFE">
              <w:rPr>
                <w:rFonts w:ascii="Verdana" w:eastAsia="Calibri" w:hAnsi="Verdana" w:cs="Times New Roman"/>
                <w:bCs/>
              </w:rPr>
              <w:t>ii</w:t>
            </w:r>
            <w:proofErr w:type="spellEnd"/>
            <w:r w:rsidRPr="00A31FFE">
              <w:rPr>
                <w:rFonts w:ascii="Verdana" w:eastAsia="Calibri" w:hAnsi="Verdana" w:cs="Times New Roman"/>
                <w:bCs/>
              </w:rPr>
              <w:t xml:space="preserve">. En relación con el segundo problema jurídico de su consulta que, frente a </w:t>
            </w:r>
            <w:r w:rsidRPr="00A31FFE">
              <w:rPr>
                <w:rFonts w:ascii="Verdana" w:eastAsia="Verdana" w:hAnsi="Verdana" w:cs="Verdana"/>
                <w:lang w:val="es-ES"/>
              </w:rPr>
              <w:t xml:space="preserve">los efectos de la nulidad de los contratos estatales, es pertinente acudir al artículo 48 de la Ley 80 de 1993, el cual establece que la declaratoria de nulidad de un contrato de ejecución sucesiva no impide el reconocimiento y pago de las prestaciones ejecutadas hasta el momento de la declaratoria. En efecto, existe una regla especial que consiste en un reconocimiento y pago de las prestaciones ejecutadas del contrato nulo por objeto y causa ilícita, cuando se prueba que la entidad se benefició y solamente hasta el monto del beneficio que este hubiese obtenido. Para una mayor precisión, se detalla que el artículo 48 de la Ley 80 de 1993 se comprende que la entidad se benefició en cuanto a las prestaciones cumplidas le hubiesen servido para satisfacer un interés público. Dicho precepto normativo debe interpretarse de forma armónica con el artículo 1746 del Código Civil, la cual establece: </w:t>
            </w:r>
            <w:r w:rsidRPr="00A31FFE">
              <w:rPr>
                <w:rFonts w:ascii="Verdana" w:eastAsia="Verdana" w:hAnsi="Verdana" w:cs="Verdana"/>
                <w:bCs/>
              </w:rPr>
              <w:t>“Artículo 1746.</w:t>
            </w:r>
            <w:r w:rsidRPr="00A31FFE">
              <w:rPr>
                <w:rFonts w:ascii="Verdana" w:eastAsia="Verdana" w:hAnsi="Verdana" w:cs="Verdana"/>
              </w:rPr>
              <w:t> La nulidad pronunciada en sentencia que tiene la fuerza de cosa juzgada da a las partes derecho para ser restituidas al mismo estado en que se hallarían si no hubiese existido el acto o contrato nulo; sin perjuicio de lo prevenido sobre el objeto o causa ilícita. </w:t>
            </w:r>
            <w:r w:rsidRPr="00A31FFE">
              <w:rPr>
                <w:rFonts w:ascii="Verdana" w:eastAsia="Verdana" w:hAnsi="Verdana" w:cs="Verdana"/>
                <w:lang w:val="es-ES"/>
              </w:rPr>
              <w:t xml:space="preserve"> </w:t>
            </w:r>
            <w:r w:rsidRPr="00A31FFE">
              <w:rPr>
                <w:rFonts w:ascii="Verdana" w:eastAsia="Verdana" w:hAnsi="Verdana" w:cs="Verdana"/>
              </w:rPr>
              <w:t>En las restituciones mutuas que hayan de hacerse los contratantes en virtud de este pronunciamiento, será cada cual responsable de la pérdida de las especies o de su deterioro, de los intereses i frutos, i del abono de las mejoras necesarias, útiles o volu</w:t>
            </w:r>
            <w:r>
              <w:rPr>
                <w:rFonts w:ascii="Verdana" w:eastAsia="Verdana" w:hAnsi="Verdana" w:cs="Verdana"/>
              </w:rPr>
              <w:t>n</w:t>
            </w:r>
            <w:r w:rsidRPr="00A31FFE">
              <w:rPr>
                <w:rFonts w:ascii="Verdana" w:eastAsia="Verdana" w:hAnsi="Verdana" w:cs="Verdana"/>
              </w:rPr>
              <w:t>tarias, tomándose en consideración los casos fortuitos, la posesión de buena fe o mala fe de las partes; todo ello según las reglas generales i sin perjuicio de lo dispuesto en el siguiente artículo”. </w:t>
            </w:r>
          </w:p>
          <w:p w14:paraId="0A44B258" w14:textId="77777777" w:rsidR="000F5B0E" w:rsidRPr="00A31FFE" w:rsidRDefault="000F5B0E" w:rsidP="00B12B0F">
            <w:pPr>
              <w:widowControl w:val="0"/>
              <w:autoSpaceDE w:val="0"/>
              <w:autoSpaceDN w:val="0"/>
              <w:spacing w:after="120" w:line="276" w:lineRule="auto"/>
              <w:ind w:firstLine="709"/>
              <w:jc w:val="both"/>
              <w:rPr>
                <w:rFonts w:ascii="Verdana" w:eastAsia="Verdana" w:hAnsi="Verdana" w:cs="Verdana"/>
              </w:rPr>
            </w:pPr>
            <w:r w:rsidRPr="00A31FFE">
              <w:rPr>
                <w:rFonts w:ascii="Verdana" w:eastAsia="Verdana" w:hAnsi="Verdana" w:cs="Verdana"/>
              </w:rPr>
              <w:t>Este artículo precitado del Código Civil regula que la declaratoria de nulidad de contrato estatal implica la restitución de las partes al estado en que se encontrarían de no haberse celebrado el negocio jurídico. A pesar de que el artículo 48 no alude de forma expresa a “las restituciones mutuas”, si regula dicha consecuencia a las particularidades de los contratos estatales de tracto sucesivo. Bajo los supuestos de la norma, según lo expresado por el Consejo de Estado</w:t>
            </w:r>
            <w:r>
              <w:rPr>
                <w:rFonts w:ascii="Verdana" w:eastAsia="Verdana" w:hAnsi="Verdana" w:cs="Verdana"/>
              </w:rPr>
              <w:t xml:space="preserve"> bajo expediente 70.445</w:t>
            </w:r>
            <w:r w:rsidRPr="00A31FFE">
              <w:rPr>
                <w:rFonts w:ascii="Verdana" w:eastAsia="Verdana" w:hAnsi="Verdana" w:cs="Verdana"/>
              </w:rPr>
              <w:t xml:space="preserve">, el derecho del contratista a obtener restituciones queda condicionado a la demostración de que las prestaciones ejecutadas hayan generado un beneficio para la entidad estatal, sin que el reconocimiento económico pueda exceder el valor de dicho beneficio. Esta exigencia, que no se presenta en el derecho civil común, </w:t>
            </w:r>
            <w:r w:rsidRPr="00A31FFE">
              <w:rPr>
                <w:rFonts w:ascii="Verdana" w:eastAsia="Verdana" w:hAnsi="Verdana" w:cs="Verdana"/>
              </w:rPr>
              <w:lastRenderedPageBreak/>
              <w:t xml:space="preserve">introduce un estándar más estricto propio del derecho público, orientado a la protección del interés público como su fundamento. </w:t>
            </w:r>
          </w:p>
          <w:p w14:paraId="087AA0EE" w14:textId="77777777" w:rsidR="000F5B0E" w:rsidRPr="00A31FFE" w:rsidRDefault="000F5B0E" w:rsidP="00B12B0F">
            <w:pPr>
              <w:widowControl w:val="0"/>
              <w:autoSpaceDE w:val="0"/>
              <w:autoSpaceDN w:val="0"/>
              <w:spacing w:after="120" w:line="276" w:lineRule="auto"/>
              <w:ind w:right="108" w:firstLine="708"/>
              <w:jc w:val="both"/>
              <w:rPr>
                <w:rFonts w:ascii="Verdana" w:eastAsia="Verdana" w:hAnsi="Verdana" w:cs="Verdana"/>
              </w:rPr>
            </w:pPr>
            <w:r w:rsidRPr="00A31FFE">
              <w:rPr>
                <w:rFonts w:ascii="Verdana" w:eastAsia="Verdana" w:hAnsi="Verdana" w:cs="Verdana"/>
              </w:rPr>
              <w:t xml:space="preserve">Sin embargo, la aplicación de esta regla especial no supone la inaplicación del artículo 1525 del Código Civil, que prescribe: “No podrá repetirse lo que se </w:t>
            </w:r>
            <w:proofErr w:type="spellStart"/>
            <w:r w:rsidRPr="00A31FFE">
              <w:rPr>
                <w:rFonts w:ascii="Verdana" w:eastAsia="Verdana" w:hAnsi="Verdana" w:cs="Verdana"/>
              </w:rPr>
              <w:t>haia</w:t>
            </w:r>
            <w:proofErr w:type="spellEnd"/>
            <w:r w:rsidRPr="00A31FFE">
              <w:rPr>
                <w:rFonts w:ascii="Verdana" w:eastAsia="Verdana" w:hAnsi="Verdana" w:cs="Verdana"/>
              </w:rPr>
              <w:t xml:space="preserve"> dado o pagado por un objeto o causa ilícita a sabiendas”, por el contrario, se establecen requisitos adicionales para las entidades sujetas a Ley 80 de 1993: que no se trate de prestaciones ejecutadas con conocimiento de la ilicitud y que dichas prestaciones hayan reportado un beneficio efectivo a la entidad estatal. </w:t>
            </w:r>
          </w:p>
          <w:p w14:paraId="637C7E76" w14:textId="77777777" w:rsidR="000F5B0E" w:rsidRDefault="000F5B0E" w:rsidP="00B12B0F">
            <w:pPr>
              <w:widowControl w:val="0"/>
              <w:autoSpaceDE w:val="0"/>
              <w:autoSpaceDN w:val="0"/>
              <w:spacing w:after="120" w:line="276" w:lineRule="auto"/>
              <w:ind w:right="108" w:firstLine="708"/>
              <w:jc w:val="both"/>
              <w:rPr>
                <w:rFonts w:ascii="Verdana" w:eastAsia="Verdana" w:hAnsi="Verdana" w:cs="Verdana"/>
              </w:rPr>
            </w:pPr>
            <w:r>
              <w:rPr>
                <w:rFonts w:ascii="Verdana" w:eastAsia="Verdana" w:hAnsi="Verdana" w:cs="Verdana"/>
              </w:rPr>
              <w:t xml:space="preserve">El </w:t>
            </w:r>
            <w:r w:rsidRPr="00A31FFE">
              <w:rPr>
                <w:rFonts w:ascii="Verdana" w:eastAsia="Verdana" w:hAnsi="Verdana" w:cs="Verdana"/>
              </w:rPr>
              <w:t>reconocimiento económico que pueda derivarse, conforme a las condiciones establecidas en la Ley 80 de 1993, no puede confundirse con una autorización para continuar la ejecución del contrato o la administración de recursos públicos. El hecho de que se reconozca lo efectivamente ejecutado no significa, per se, que el contratista conserve facultades para seguir actuando como si el contrato se encontrara vigente, pues ello desconocería los efectos propios de la nulidad declarada por parte del juez contencioso administrativo. En este punto, resulta pertinente tener en cuenta lo dispuesto el inciso segundo del artículo 45 de la Ley 80 de 1993 sobre las consecuencias de la nulidad absoluta: “En los casos previstos en los numerales 1o., 2o. y 4o. del artículo anterior, el jefe o representante legal de la entidad respectiva deberá dar por terminado el contrato mediante acto administrativo debidamente motivado y ordenará su liquidación en el estado en que se encuentre”.</w:t>
            </w:r>
          </w:p>
          <w:p w14:paraId="3A0C50F4" w14:textId="77777777" w:rsidR="000F5B0E" w:rsidRPr="00E36330" w:rsidRDefault="000F5B0E" w:rsidP="00B12B0F">
            <w:pPr>
              <w:spacing w:line="276" w:lineRule="auto"/>
              <w:ind w:firstLine="709"/>
              <w:jc w:val="both"/>
              <w:rPr>
                <w:rFonts w:ascii="Verdana" w:hAnsi="Verdana" w:cs="Arial"/>
                <w:lang w:val="es-ES" w:eastAsia="es-ES"/>
              </w:rPr>
            </w:pPr>
            <w:r w:rsidRPr="009305B3">
              <w:rPr>
                <w:rFonts w:ascii="Verdana" w:hAnsi="Verdana" w:cs="Arial"/>
                <w:lang w:val="es-ES" w:eastAsia="es-ES"/>
              </w:rPr>
              <w:t xml:space="preserve">Dentro de este marco, la entidad pública definirá en cada caso concreto lo relacionado con </w:t>
            </w:r>
            <w:r>
              <w:rPr>
                <w:rFonts w:ascii="Verdana" w:hAnsi="Verdana" w:cs="Arial"/>
                <w:lang w:val="es-ES" w:eastAsia="es-ES"/>
              </w:rPr>
              <w:t>la nulidad del contrato estatal que se encuentra en ejecución</w:t>
            </w:r>
            <w:r w:rsidRPr="009305B3">
              <w:rPr>
                <w:rFonts w:ascii="Verdana" w:hAnsi="Verdana" w:cs="Arial"/>
                <w:lang w:val="es-ES" w:eastAsia="es-ES"/>
              </w:rPr>
              <w:t>.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2DE562B5" w14:textId="77777777" w:rsidR="000F5B0E" w:rsidRDefault="000F5B0E" w:rsidP="000F5B0E">
      <w:pPr>
        <w:spacing w:after="0" w:line="240" w:lineRule="auto"/>
        <w:jc w:val="both"/>
        <w:rPr>
          <w:rFonts w:ascii="Verdana" w:eastAsia="Calibri" w:hAnsi="Verdana" w:cs="Arial"/>
          <w:bCs/>
          <w:color w:val="000000" w:themeColor="text1"/>
        </w:rPr>
      </w:pPr>
    </w:p>
    <w:p w14:paraId="54089338" w14:textId="77777777" w:rsidR="000F5B0E" w:rsidRDefault="000F5B0E" w:rsidP="000F5B0E">
      <w:pPr>
        <w:spacing w:after="0" w:line="240" w:lineRule="auto"/>
        <w:jc w:val="both"/>
        <w:rPr>
          <w:rFonts w:ascii="Verdana" w:eastAsia="Calibri" w:hAnsi="Verdana" w:cs="Arial"/>
          <w:bCs/>
          <w:color w:val="000000" w:themeColor="text1"/>
        </w:rPr>
      </w:pPr>
    </w:p>
    <w:p w14:paraId="6804A089" w14:textId="77777777" w:rsidR="000F5B0E" w:rsidRPr="009305B3" w:rsidRDefault="000F5B0E" w:rsidP="000F5B0E">
      <w:pPr>
        <w:spacing w:after="0" w:line="240" w:lineRule="auto"/>
        <w:jc w:val="both"/>
        <w:rPr>
          <w:rFonts w:ascii="Verdana" w:eastAsia="Calibri" w:hAnsi="Verdana" w:cs="Arial"/>
          <w:bCs/>
          <w:color w:val="000000" w:themeColor="text1"/>
        </w:rPr>
      </w:pPr>
    </w:p>
    <w:p w14:paraId="148F95C4" w14:textId="77777777" w:rsidR="000F5B0E" w:rsidRPr="009305B3" w:rsidRDefault="000F5B0E" w:rsidP="000F5B0E">
      <w:pPr>
        <w:numPr>
          <w:ilvl w:val="0"/>
          <w:numId w:val="16"/>
        </w:numPr>
        <w:tabs>
          <w:tab w:val="left" w:pos="2268"/>
        </w:tabs>
        <w:spacing w:after="0" w:line="240" w:lineRule="auto"/>
        <w:rPr>
          <w:rFonts w:ascii="Verdana" w:eastAsia="Calibri" w:hAnsi="Verdana" w:cs="Times New Roman"/>
          <w:b/>
          <w:bCs/>
          <w:lang w:val="es-ES"/>
        </w:rPr>
      </w:pPr>
      <w:r w:rsidRPr="009305B3">
        <w:rPr>
          <w:rFonts w:ascii="Verdana" w:eastAsia="Calibri" w:hAnsi="Verdana" w:cs="Times New Roman"/>
          <w:b/>
          <w:bCs/>
          <w:lang w:val="es-ES"/>
        </w:rPr>
        <w:lastRenderedPageBreak/>
        <w:t>Razones de la respuesta:</w:t>
      </w:r>
    </w:p>
    <w:p w14:paraId="63714C8E" w14:textId="77777777" w:rsidR="000F5B0E" w:rsidRPr="009305B3" w:rsidRDefault="000F5B0E" w:rsidP="000F5B0E">
      <w:pPr>
        <w:spacing w:after="0" w:line="240" w:lineRule="auto"/>
        <w:rPr>
          <w:rFonts w:ascii="Verdana" w:eastAsia="Calibri" w:hAnsi="Verdana" w:cs="Times New Roman"/>
          <w:b/>
          <w:bCs/>
          <w:lang w:val="es-ES"/>
        </w:rPr>
      </w:pPr>
    </w:p>
    <w:p w14:paraId="0C92C0F3" w14:textId="77777777" w:rsidR="000F5B0E" w:rsidRPr="009305B3" w:rsidRDefault="000F5B0E" w:rsidP="000F5B0E">
      <w:pPr>
        <w:spacing w:after="0" w:line="240" w:lineRule="auto"/>
        <w:jc w:val="both"/>
        <w:rPr>
          <w:rFonts w:ascii="Verdana" w:eastAsia="Calibri" w:hAnsi="Verdana" w:cs="Arial"/>
          <w:lang w:val="es-ES"/>
        </w:rPr>
      </w:pPr>
      <w:r w:rsidRPr="009305B3">
        <w:rPr>
          <w:rFonts w:ascii="Verdana" w:eastAsia="Calibri" w:hAnsi="Verdana" w:cs="Arial"/>
          <w:lang w:val="es-ES"/>
        </w:rPr>
        <w:t xml:space="preserve">Lo anterior se sustenta en las siguientes consideraciones: </w:t>
      </w:r>
    </w:p>
    <w:p w14:paraId="7500EA30" w14:textId="77777777" w:rsidR="000F5B0E" w:rsidRPr="009305B3" w:rsidRDefault="000F5B0E" w:rsidP="000F5B0E">
      <w:pPr>
        <w:spacing w:after="0" w:line="240" w:lineRule="auto"/>
        <w:jc w:val="both"/>
        <w:rPr>
          <w:rFonts w:ascii="Verdana" w:eastAsia="Calibri" w:hAnsi="Verdana" w:cs="Arial"/>
          <w:lang w:val="es-ES"/>
        </w:rPr>
      </w:pPr>
      <w:bookmarkStart w:id="1" w:name="_Hlk78820161"/>
    </w:p>
    <w:p w14:paraId="3F253151" w14:textId="77777777" w:rsidR="000F5B0E" w:rsidRPr="009305B3" w:rsidRDefault="000F5B0E" w:rsidP="000F5B0E">
      <w:pPr>
        <w:spacing w:after="120" w:line="276" w:lineRule="auto"/>
        <w:jc w:val="both"/>
        <w:rPr>
          <w:rFonts w:ascii="Verdana" w:hAnsi="Verdana" w:cs="Arial"/>
        </w:rPr>
      </w:pPr>
      <w:r w:rsidRPr="009305B3">
        <w:rPr>
          <w:rFonts w:ascii="Verdana" w:hAnsi="Verdana" w:cs="Arial"/>
          <w:lang w:val="es-ES_tradnl"/>
        </w:rPr>
        <w:t xml:space="preserve">i. </w:t>
      </w:r>
      <w:r w:rsidRPr="009305B3">
        <w:rPr>
          <w:rFonts w:ascii="Verdana" w:eastAsia="Calibri" w:hAnsi="Verdana" w:cs="Arial"/>
          <w:i/>
          <w:iCs/>
          <w:lang w:val="es-ES"/>
        </w:rPr>
        <w:t>Tratándose de las entidades sometidas a la Ley 80 de 1993</w:t>
      </w:r>
      <w:r w:rsidRPr="009305B3">
        <w:rPr>
          <w:rFonts w:ascii="Verdana" w:eastAsia="Calibri" w:hAnsi="Verdana" w:cs="Arial"/>
          <w:lang w:val="es-ES"/>
        </w:rPr>
        <w:t xml:space="preserve">, </w:t>
      </w:r>
      <w:r w:rsidRPr="009305B3">
        <w:rPr>
          <w:rFonts w:ascii="Verdana" w:hAnsi="Verdana" w:cs="Arial"/>
        </w:rPr>
        <w:t xml:space="preserve">el inciso primero del artículo 13 dispone que </w:t>
      </w:r>
      <w:r w:rsidRPr="009305B3">
        <w:rPr>
          <w:rFonts w:ascii="Verdana" w:hAnsi="Verdana" w:cs="Arial"/>
          <w:i/>
          <w:iCs/>
        </w:rPr>
        <w:t>“Los contratos que celebren las entidades a que se refiere el artículo 2o. del presente estatuto se regirán por las disposiciones comerciales y civiles pertinentes, salvo en las materias particularmente reguladas en esta ley”</w:t>
      </w:r>
      <w:r w:rsidRPr="009305B3">
        <w:rPr>
          <w:rFonts w:ascii="Verdana" w:hAnsi="Verdana" w:cs="Arial"/>
        </w:rPr>
        <w:t>. Dicha idea se reitera más adelante en el Estatuto General de Contratación de la Administración Pública – en adelante EGCAP –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y que “Las estipulaciones de los contratos serán las que de acuerdo con las normas civiles, comerciales y las previstas en esta ley, correspondan a su esencia y naturaleza” –art. 40, inciso primero–.</w:t>
      </w:r>
    </w:p>
    <w:p w14:paraId="10E1D043" w14:textId="77777777" w:rsidR="000F5B0E" w:rsidRPr="009305B3" w:rsidRDefault="000F5B0E" w:rsidP="000F5B0E">
      <w:pPr>
        <w:spacing w:after="0" w:line="276" w:lineRule="auto"/>
        <w:ind w:firstLine="708"/>
        <w:jc w:val="both"/>
        <w:rPr>
          <w:rFonts w:ascii="Verdana" w:hAnsi="Verdana" w:cs="Arial"/>
        </w:rPr>
      </w:pPr>
      <w:r w:rsidRPr="009305B3">
        <w:rPr>
          <w:rFonts w:ascii="Verdana" w:hAnsi="Verdana" w:cs="Arial"/>
        </w:rPr>
        <w:t>De esta manera, los contratos de las entidades sometidas al EGCAP se rigen generalmente por el derecho privado y excepcionalmente por el derecho público, pues las normas civiles y comerciales son el derecho común de los contratos estatales</w:t>
      </w:r>
      <w:r w:rsidRPr="009305B3">
        <w:rPr>
          <w:rFonts w:ascii="Verdana" w:hAnsi="Verdana" w:cs="Arial"/>
          <w:vertAlign w:val="superscript"/>
        </w:rPr>
        <w:footnoteReference w:id="1"/>
      </w:r>
      <w:r w:rsidRPr="009305B3">
        <w:rPr>
          <w:rFonts w:ascii="Verdana" w:hAnsi="Verdana" w:cs="Arial"/>
        </w:rPr>
        <w:t>. Para la doctrina, la mixtura del régimen contractual:</w:t>
      </w:r>
    </w:p>
    <w:p w14:paraId="41FF5A07" w14:textId="77777777" w:rsidR="000F5B0E" w:rsidRPr="00CD0C95" w:rsidRDefault="000F5B0E" w:rsidP="000F5B0E">
      <w:pPr>
        <w:spacing w:after="0" w:line="276" w:lineRule="auto"/>
        <w:jc w:val="both"/>
        <w:rPr>
          <w:rFonts w:ascii="Verdana" w:hAnsi="Verdana" w:cs="Arial"/>
          <w:sz w:val="20"/>
          <w:szCs w:val="20"/>
        </w:rPr>
      </w:pPr>
    </w:p>
    <w:p w14:paraId="7C2DA784" w14:textId="77777777" w:rsidR="000F5B0E" w:rsidRPr="00CD0C95" w:rsidRDefault="000F5B0E" w:rsidP="000F5B0E">
      <w:pPr>
        <w:spacing w:after="0" w:line="240" w:lineRule="auto"/>
        <w:ind w:left="709" w:right="709"/>
        <w:jc w:val="both"/>
        <w:rPr>
          <w:rFonts w:ascii="Verdana" w:hAnsi="Verdana" w:cs="Arial"/>
          <w:sz w:val="20"/>
          <w:szCs w:val="20"/>
        </w:rPr>
      </w:pPr>
      <w:r w:rsidRPr="00CD0C95">
        <w:rPr>
          <w:rFonts w:ascii="Verdana" w:hAnsi="Verdana" w:cs="Arial"/>
          <w:sz w:val="20"/>
          <w:szCs w:val="20"/>
        </w:rPr>
        <w:t xml:space="preserve">“[…] no hace otra cosa que aprovechar ciertos principios rectores de la contratación general </w:t>
      </w:r>
      <w:proofErr w:type="gramStart"/>
      <w:r w:rsidRPr="00CD0C95">
        <w:rPr>
          <w:rFonts w:ascii="Verdana" w:hAnsi="Verdana" w:cs="Arial"/>
          <w:sz w:val="20"/>
          <w:szCs w:val="20"/>
        </w:rPr>
        <w:t>que</w:t>
      </w:r>
      <w:proofErr w:type="gramEnd"/>
      <w:r w:rsidRPr="00CD0C95">
        <w:rPr>
          <w:rFonts w:ascii="Verdana" w:hAnsi="Verdana" w:cs="Arial"/>
          <w:sz w:val="20"/>
          <w:szCs w:val="20"/>
        </w:rPr>
        <w:t xml:space="preserv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7E805F25" w14:textId="77777777" w:rsidR="000F5B0E" w:rsidRPr="00CD0C95" w:rsidRDefault="000F5B0E" w:rsidP="000F5B0E">
      <w:pPr>
        <w:spacing w:after="0" w:line="240" w:lineRule="auto"/>
        <w:ind w:right="709"/>
        <w:jc w:val="both"/>
        <w:rPr>
          <w:rFonts w:ascii="Verdana" w:hAnsi="Verdana" w:cs="Arial"/>
          <w:sz w:val="20"/>
          <w:szCs w:val="20"/>
        </w:rPr>
      </w:pPr>
      <w:r w:rsidRPr="00CD0C95">
        <w:rPr>
          <w:rFonts w:ascii="Verdana" w:hAnsi="Verdana" w:cs="Arial"/>
          <w:sz w:val="20"/>
          <w:szCs w:val="20"/>
        </w:rPr>
        <w:tab/>
      </w:r>
    </w:p>
    <w:p w14:paraId="1DCF19BC" w14:textId="77777777" w:rsidR="000F5B0E" w:rsidRPr="00CD0C95" w:rsidRDefault="000F5B0E" w:rsidP="000F5B0E">
      <w:pPr>
        <w:spacing w:after="0" w:line="240" w:lineRule="auto"/>
        <w:ind w:left="709" w:right="709"/>
        <w:jc w:val="both"/>
        <w:rPr>
          <w:rFonts w:ascii="Verdana" w:hAnsi="Verdana" w:cs="Arial"/>
          <w:sz w:val="20"/>
          <w:szCs w:val="20"/>
        </w:rPr>
      </w:pPr>
      <w:r w:rsidRPr="00CD0C95">
        <w:rPr>
          <w:rFonts w:ascii="Verdana" w:hAnsi="Verdana" w:cs="Arial"/>
          <w:sz w:val="20"/>
          <w:szCs w:val="20"/>
        </w:rPr>
        <w:t xml:space="preserve">En otras palabras, extremos como los indicados no son ni de derecho público ni de derecho privado, sino, simplemente, de derecho propio, </w:t>
      </w:r>
      <w:r w:rsidRPr="00CD0C95">
        <w:rPr>
          <w:rFonts w:ascii="Verdana" w:hAnsi="Verdana" w:cs="Arial"/>
          <w:sz w:val="20"/>
          <w:szCs w:val="20"/>
        </w:rPr>
        <w:lastRenderedPageBreak/>
        <w:t>aplicables a toda relación contractual, con prescindencia de la naturaleza de los sujetos involucrados en la misma”</w:t>
      </w:r>
      <w:r w:rsidRPr="00CD0C95">
        <w:rPr>
          <w:rFonts w:ascii="Verdana" w:hAnsi="Verdana" w:cs="Arial"/>
          <w:sz w:val="20"/>
          <w:szCs w:val="20"/>
          <w:vertAlign w:val="superscript"/>
        </w:rPr>
        <w:footnoteReference w:id="2"/>
      </w:r>
      <w:r w:rsidRPr="00CD0C95">
        <w:rPr>
          <w:rFonts w:ascii="Verdana" w:hAnsi="Verdana" w:cs="Arial"/>
          <w:sz w:val="20"/>
          <w:szCs w:val="20"/>
        </w:rPr>
        <w:t xml:space="preserve">. </w:t>
      </w:r>
    </w:p>
    <w:p w14:paraId="2D1B0E8D" w14:textId="77777777" w:rsidR="000F5B0E" w:rsidRPr="00CD0C95" w:rsidRDefault="000F5B0E" w:rsidP="000F5B0E">
      <w:pPr>
        <w:spacing w:after="0" w:line="276" w:lineRule="auto"/>
        <w:ind w:right="709"/>
        <w:jc w:val="both"/>
        <w:rPr>
          <w:rFonts w:ascii="Verdana" w:hAnsi="Verdana" w:cs="Arial"/>
          <w:sz w:val="20"/>
          <w:szCs w:val="20"/>
        </w:rPr>
      </w:pPr>
    </w:p>
    <w:p w14:paraId="0209F51E" w14:textId="77777777" w:rsidR="000F5B0E" w:rsidRPr="009305B3" w:rsidRDefault="000F5B0E" w:rsidP="000F5B0E">
      <w:pPr>
        <w:widowControl w:val="0"/>
        <w:autoSpaceDE w:val="0"/>
        <w:autoSpaceDN w:val="0"/>
        <w:spacing w:after="0" w:line="276" w:lineRule="auto"/>
        <w:jc w:val="both"/>
        <w:rPr>
          <w:rFonts w:ascii="Verdana" w:hAnsi="Verdana" w:cs="Arial"/>
        </w:rPr>
      </w:pPr>
      <w:r w:rsidRPr="009305B3">
        <w:rPr>
          <w:rFonts w:ascii="Verdana" w:hAnsi="Verdana" w:cs="Arial"/>
        </w:rPr>
        <w:tab/>
        <w:t>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w:t>
      </w:r>
    </w:p>
    <w:p w14:paraId="530D34B9" w14:textId="77777777" w:rsidR="000F5B0E" w:rsidRPr="009305B3" w:rsidRDefault="000F5B0E" w:rsidP="000F5B0E">
      <w:pPr>
        <w:spacing w:after="0" w:line="240" w:lineRule="auto"/>
        <w:jc w:val="both"/>
        <w:rPr>
          <w:rFonts w:ascii="Verdana" w:eastAsia="Calibri" w:hAnsi="Verdana" w:cs="Arial"/>
        </w:rPr>
      </w:pPr>
    </w:p>
    <w:p w14:paraId="3CAC7939" w14:textId="77777777" w:rsidR="000F5B0E" w:rsidRPr="009305B3" w:rsidRDefault="000F5B0E" w:rsidP="000F5B0E">
      <w:pPr>
        <w:spacing w:after="0" w:line="276" w:lineRule="auto"/>
        <w:jc w:val="both"/>
        <w:rPr>
          <w:rFonts w:ascii="Verdana" w:eastAsia="Calibri" w:hAnsi="Verdana" w:cs="Arial"/>
          <w:color w:val="000000" w:themeColor="text1"/>
          <w:lang w:val="es-ES_tradnl"/>
        </w:rPr>
      </w:pPr>
      <w:proofErr w:type="spellStart"/>
      <w:r w:rsidRPr="009305B3">
        <w:rPr>
          <w:rFonts w:ascii="Verdana" w:hAnsi="Verdana" w:cs="Arial"/>
        </w:rPr>
        <w:t>ii</w:t>
      </w:r>
      <w:proofErr w:type="spellEnd"/>
      <w:r w:rsidRPr="009305B3">
        <w:rPr>
          <w:rFonts w:ascii="Verdana" w:hAnsi="Verdana" w:cs="Arial"/>
        </w:rPr>
        <w:t>. Las nulidades son</w:t>
      </w:r>
      <w:r w:rsidRPr="009305B3">
        <w:rPr>
          <w:rFonts w:ascii="Verdana" w:hAnsi="Verdana" w:cs="Arial"/>
          <w:color w:val="000000" w:themeColor="text1"/>
        </w:rPr>
        <w:t xml:space="preserve"> una sanción legal que afecta la validez de los contratos cuando han quebrantado determinadas normas del ordenamiento. Si bien la teoría general del negocio jurídico se estructura a partir de la autonomía de la voluntad, las partes no gozan de una libertad absoluta para regular sus intereses patrimoniales, puesto que –al no ser una facultad originaria– está circunscrita por criterios de orden su superior</w:t>
      </w:r>
      <w:r w:rsidRPr="009305B3">
        <w:rPr>
          <w:rFonts w:ascii="Verdana" w:hAnsi="Verdana" w:cs="Arial"/>
          <w:color w:val="000000" w:themeColor="text1"/>
          <w:vertAlign w:val="superscript"/>
        </w:rPr>
        <w:footnoteReference w:id="3"/>
      </w:r>
      <w:r w:rsidRPr="009305B3">
        <w:rPr>
          <w:rFonts w:ascii="Verdana" w:hAnsi="Verdana" w:cs="Arial"/>
          <w:color w:val="000000" w:themeColor="text1"/>
        </w:rPr>
        <w:t xml:space="preserve">. Por ello, aunque el contrato sea ley obligatoria para los contratantes –art. 1602 del Código Civil–, no podrán derogarse por convenios particulares las leyes en cuya observancia están interesados el orden público y las buenas costumbres –art. 16 </w:t>
      </w:r>
      <w:r w:rsidRPr="009305B3">
        <w:rPr>
          <w:rFonts w:ascii="Verdana" w:hAnsi="Verdana" w:cs="Arial"/>
          <w:i/>
          <w:iCs/>
          <w:color w:val="000000" w:themeColor="text1"/>
        </w:rPr>
        <w:t>ibidem</w:t>
      </w:r>
      <w:r w:rsidRPr="009305B3">
        <w:rPr>
          <w:rFonts w:ascii="Verdana" w:hAnsi="Verdana" w:cs="Arial"/>
          <w:color w:val="000000" w:themeColor="text1"/>
        </w:rPr>
        <w:t>–. En este contexto:</w:t>
      </w:r>
    </w:p>
    <w:p w14:paraId="3FB34C49" w14:textId="77777777" w:rsidR="000F5B0E" w:rsidRPr="009305B3" w:rsidRDefault="000F5B0E" w:rsidP="000F5B0E">
      <w:pPr>
        <w:spacing w:after="0" w:line="240" w:lineRule="auto"/>
        <w:ind w:firstLine="709"/>
        <w:jc w:val="both"/>
        <w:rPr>
          <w:rFonts w:ascii="Verdana" w:hAnsi="Verdana" w:cs="Arial"/>
          <w:color w:val="000000" w:themeColor="text1"/>
        </w:rPr>
      </w:pPr>
    </w:p>
    <w:p w14:paraId="5C82586C" w14:textId="77777777" w:rsidR="000F5B0E" w:rsidRPr="009305B3" w:rsidRDefault="000F5B0E" w:rsidP="000F5B0E">
      <w:pPr>
        <w:spacing w:after="0" w:line="240" w:lineRule="auto"/>
        <w:ind w:left="709" w:right="709"/>
        <w:jc w:val="both"/>
        <w:rPr>
          <w:rFonts w:ascii="Verdana" w:eastAsia="Calibri" w:hAnsi="Verdana" w:cs="Arial"/>
          <w:sz w:val="20"/>
          <w:szCs w:val="20"/>
          <w:lang w:val="es-ES"/>
        </w:rPr>
      </w:pPr>
      <w:r w:rsidRPr="009305B3">
        <w:rPr>
          <w:rFonts w:ascii="Verdana" w:eastAsia="Calibri" w:hAnsi="Verdana" w:cs="Arial"/>
          <w:sz w:val="20"/>
          <w:szCs w:val="20"/>
          <w:lang w:val="es-ES"/>
        </w:rPr>
        <w:t xml:space="preserve">“[…] La nulidad es una sanción que consiste en la privación al negocio de todos los efectos que está llamado a producir, mirando tanto al futuro como al pasado, </w:t>
      </w:r>
      <w:proofErr w:type="gramStart"/>
      <w:r w:rsidRPr="009305B3">
        <w:rPr>
          <w:rFonts w:ascii="Verdana" w:eastAsia="Calibri" w:hAnsi="Verdana" w:cs="Arial"/>
          <w:sz w:val="20"/>
          <w:szCs w:val="20"/>
          <w:lang w:val="es-ES"/>
        </w:rPr>
        <w:t>en razón de</w:t>
      </w:r>
      <w:proofErr w:type="gramEnd"/>
      <w:r w:rsidRPr="009305B3">
        <w:rPr>
          <w:rFonts w:ascii="Verdana" w:eastAsia="Calibri" w:hAnsi="Verdana" w:cs="Arial"/>
          <w:sz w:val="20"/>
          <w:szCs w:val="20"/>
          <w:lang w:val="es-ES"/>
        </w:rPr>
        <w:t xml:space="preserve"> que la disposición no reúne los requisitos </w:t>
      </w:r>
      <w:r w:rsidRPr="009305B3">
        <w:rPr>
          <w:rFonts w:ascii="Verdana" w:eastAsia="Calibri" w:hAnsi="Verdana" w:cs="Arial"/>
          <w:sz w:val="20"/>
          <w:szCs w:val="20"/>
          <w:lang w:val="es-ES"/>
        </w:rPr>
        <w:lastRenderedPageBreak/>
        <w:t xml:space="preserve">considerados esenciales en general y específicamente para la figura correspondiente. El criterio político del ordenamiento, que ante todo refleja una experiencia antiquísima, en su ánimo de asegurar un nivel mínimo de legalidad y de moralidad del ejercicio de la autonomía privada, determina la privación de efectos de los negocios jurídicos desprovistos de los </w:t>
      </w:r>
      <w:proofErr w:type="spellStart"/>
      <w:r w:rsidRPr="009305B3">
        <w:rPr>
          <w:rFonts w:ascii="Verdana" w:eastAsia="Calibri" w:hAnsi="Verdana" w:cs="Arial"/>
          <w:i/>
          <w:iCs/>
          <w:sz w:val="20"/>
          <w:szCs w:val="20"/>
          <w:lang w:val="es-ES"/>
        </w:rPr>
        <w:t>essentialia</w:t>
      </w:r>
      <w:proofErr w:type="spellEnd"/>
      <w:r w:rsidRPr="009305B3">
        <w:rPr>
          <w:rFonts w:ascii="Verdana" w:eastAsia="Calibri" w:hAnsi="Verdana" w:cs="Arial"/>
          <w:i/>
          <w:iCs/>
          <w:sz w:val="20"/>
          <w:szCs w:val="20"/>
          <w:lang w:val="es-ES"/>
        </w:rPr>
        <w:t xml:space="preserve"> </w:t>
      </w:r>
      <w:proofErr w:type="spellStart"/>
      <w:r w:rsidRPr="009305B3">
        <w:rPr>
          <w:rFonts w:ascii="Verdana" w:eastAsia="Calibri" w:hAnsi="Verdana" w:cs="Arial"/>
          <w:i/>
          <w:iCs/>
          <w:sz w:val="20"/>
          <w:szCs w:val="20"/>
          <w:lang w:val="es-ES"/>
        </w:rPr>
        <w:t>negotii</w:t>
      </w:r>
      <w:proofErr w:type="spellEnd"/>
      <w:r w:rsidRPr="009305B3">
        <w:rPr>
          <w:rFonts w:ascii="Verdana" w:eastAsia="Calibri" w:hAnsi="Verdana" w:cs="Arial"/>
          <w:sz w:val="20"/>
          <w:szCs w:val="20"/>
          <w:lang w:val="es-ES"/>
        </w:rPr>
        <w:t xml:space="preserve"> correspondientes, como también de aquellos que quebrantan los principios básicos de la sociedad en su momento, y adicionalmente los fallos a requisito de orden tutelar establecido en interés particular o contrarios a normas dictadas en esa misma dirección […]”</w:t>
      </w:r>
      <w:r w:rsidRPr="009305B3">
        <w:rPr>
          <w:rFonts w:ascii="Verdana" w:eastAsia="Calibri" w:hAnsi="Verdana" w:cs="Arial"/>
          <w:sz w:val="20"/>
          <w:szCs w:val="20"/>
          <w:vertAlign w:val="superscript"/>
          <w:lang w:val="es-ES"/>
        </w:rPr>
        <w:footnoteReference w:id="4"/>
      </w:r>
      <w:r w:rsidRPr="009305B3">
        <w:rPr>
          <w:rFonts w:ascii="Verdana" w:eastAsia="Calibri" w:hAnsi="Verdana" w:cs="Arial"/>
          <w:sz w:val="20"/>
          <w:szCs w:val="20"/>
          <w:lang w:val="es-ES"/>
        </w:rPr>
        <w:t>.</w:t>
      </w:r>
    </w:p>
    <w:p w14:paraId="0F870127" w14:textId="77777777" w:rsidR="000F5B0E" w:rsidRPr="009305B3" w:rsidRDefault="000F5B0E" w:rsidP="000F5B0E">
      <w:pPr>
        <w:spacing w:after="0" w:line="240" w:lineRule="auto"/>
        <w:jc w:val="both"/>
        <w:rPr>
          <w:rFonts w:ascii="Verdana" w:eastAsia="Calibri" w:hAnsi="Verdana" w:cs="Arial"/>
          <w:lang w:val="es-ES"/>
        </w:rPr>
      </w:pPr>
    </w:p>
    <w:p w14:paraId="4943E772" w14:textId="77777777" w:rsidR="000F5B0E" w:rsidRPr="009305B3" w:rsidRDefault="000F5B0E" w:rsidP="000F5B0E">
      <w:pPr>
        <w:spacing w:after="0" w:line="276" w:lineRule="auto"/>
        <w:ind w:firstLine="708"/>
        <w:jc w:val="both"/>
        <w:rPr>
          <w:rFonts w:ascii="Verdana" w:eastAsia="Calibri" w:hAnsi="Verdana" w:cs="Arial"/>
          <w:lang w:val="es-ES"/>
        </w:rPr>
      </w:pPr>
      <w:r w:rsidRPr="009305B3">
        <w:rPr>
          <w:rFonts w:ascii="Verdana" w:eastAsia="Calibri" w:hAnsi="Verdana" w:cs="Arial"/>
          <w:lang w:val="es-ES"/>
        </w:rPr>
        <w:t xml:space="preserve">La naturaleza jurídica de la nulidad se fundamenta en el inciso primero del artículo 6 del Código Civil, el cual define la </w:t>
      </w:r>
      <w:r w:rsidRPr="009305B3">
        <w:rPr>
          <w:rFonts w:ascii="Verdana" w:eastAsia="Calibri" w:hAnsi="Verdana" w:cs="Arial"/>
          <w:i/>
          <w:iCs/>
          <w:lang w:val="es-ES"/>
        </w:rPr>
        <w:t>sanción legal</w:t>
      </w:r>
      <w:r w:rsidRPr="009305B3">
        <w:rPr>
          <w:rFonts w:ascii="Verdana" w:eastAsia="Calibri" w:hAnsi="Verdana" w:cs="Arial"/>
          <w:lang w:val="es-ES"/>
        </w:rPr>
        <w:t xml:space="preserve"> como una pena, esto es, como el mal que deriva de la transgresión de las prohibiciones contenidas en la ley. Dado que tienen carácter sancionatorio, las nulidades se restringen a aquellas circunstancias previstas por el legislador, pues no son aplicables por interpretación extensiva ni por analogía. A esto se refiere el inciso segundo de la norma precitada cuando dispone que “En materia civil son nulos los actos ejecutados contra expresa prohibición de la ley, si en ella misma no se dispone otra cosa […]”. La declaratoria de nulidad es una forma de extinción de las obligaciones en los términos del artículo 1625.8 </w:t>
      </w:r>
      <w:r w:rsidRPr="009305B3">
        <w:rPr>
          <w:rFonts w:ascii="Verdana" w:eastAsia="Calibri" w:hAnsi="Verdana" w:cs="Arial"/>
          <w:i/>
          <w:iCs/>
          <w:lang w:val="es-ES"/>
        </w:rPr>
        <w:t>ibidem</w:t>
      </w:r>
      <w:r w:rsidRPr="009305B3">
        <w:rPr>
          <w:rFonts w:ascii="Verdana" w:eastAsia="Calibri" w:hAnsi="Verdana" w:cs="Arial"/>
          <w:lang w:val="es-ES"/>
        </w:rPr>
        <w:t xml:space="preserve">, por lo que con ella cesa la existencia del contrato.  </w:t>
      </w:r>
    </w:p>
    <w:p w14:paraId="4D12D5AF" w14:textId="77777777" w:rsidR="000F5B0E" w:rsidRPr="009305B3" w:rsidRDefault="000F5B0E" w:rsidP="000F5B0E">
      <w:pPr>
        <w:spacing w:after="0" w:line="240" w:lineRule="auto"/>
        <w:ind w:firstLine="708"/>
        <w:jc w:val="both"/>
        <w:rPr>
          <w:rFonts w:ascii="Verdana" w:eastAsia="Calibri" w:hAnsi="Verdana" w:cs="Arial"/>
          <w:lang w:val="es-ES"/>
        </w:rPr>
      </w:pPr>
      <w:r w:rsidRPr="009305B3">
        <w:rPr>
          <w:rFonts w:ascii="Verdana" w:eastAsia="Calibri" w:hAnsi="Verdana" w:cs="Arial"/>
          <w:lang w:val="es-ES"/>
        </w:rPr>
        <w:t xml:space="preserve"> </w:t>
      </w:r>
    </w:p>
    <w:p w14:paraId="669C692C" w14:textId="77777777" w:rsidR="000F5B0E" w:rsidRPr="009305B3" w:rsidRDefault="000F5B0E" w:rsidP="000F5B0E">
      <w:pPr>
        <w:spacing w:after="120" w:line="276" w:lineRule="auto"/>
        <w:jc w:val="both"/>
        <w:rPr>
          <w:rFonts w:ascii="Verdana" w:eastAsia="Calibri" w:hAnsi="Verdana" w:cs="Arial"/>
          <w:lang w:val="es-ES"/>
        </w:rPr>
      </w:pPr>
      <w:proofErr w:type="spellStart"/>
      <w:r w:rsidRPr="009305B3">
        <w:rPr>
          <w:rFonts w:ascii="Verdana" w:eastAsia="Calibri" w:hAnsi="Verdana" w:cs="Arial"/>
          <w:lang w:val="es-ES"/>
        </w:rPr>
        <w:t>iii</w:t>
      </w:r>
      <w:proofErr w:type="spellEnd"/>
      <w:r w:rsidRPr="009305B3">
        <w:rPr>
          <w:rFonts w:ascii="Verdana" w:eastAsia="Calibri" w:hAnsi="Verdana" w:cs="Arial"/>
          <w:lang w:val="es-ES"/>
        </w:rPr>
        <w:t>. De acuerdo con el artículo 1741 del Código Civil, “La nulidad producida por un objeto o causa ilícita, y la nulidad producida por la omisión de algún requisito o formalidad que las leyes prescriben para el valor de ciertos actos o contratos en consideración a la naturaleza de ellos, y no a la calidad o estado de las personas que los ejecutan o acuerdan, son nulidades absolutas. Así mismo, hay nulidad absoluta en los actos y contratos de personas absolutamente incapaces. Cualquiera otra especie de vicio produce nulidad relativa, y da derecho a la rescisión del acto o contrato”. Para la doctrina, las circunstancias que producen nulidad relativa son los vicios del consentimiento –error, fuerza y dolo–, la lesión enorme, los actos de los relativamente incapaces, así como la omisión de formalidades habilitantes distintas a las que se enuncian en la norma precitada</w:t>
      </w:r>
      <w:r w:rsidRPr="009305B3">
        <w:rPr>
          <w:rFonts w:ascii="Verdana" w:eastAsia="Calibri" w:hAnsi="Verdana" w:cs="Arial"/>
          <w:vertAlign w:val="superscript"/>
          <w:lang w:val="es-ES"/>
        </w:rPr>
        <w:footnoteReference w:id="5"/>
      </w:r>
      <w:r w:rsidRPr="009305B3">
        <w:rPr>
          <w:rFonts w:ascii="Verdana" w:eastAsia="Calibri" w:hAnsi="Verdana" w:cs="Arial"/>
          <w:lang w:val="es-ES"/>
        </w:rPr>
        <w:t xml:space="preserve">. </w:t>
      </w:r>
    </w:p>
    <w:p w14:paraId="197BAB95" w14:textId="77777777" w:rsidR="000F5B0E" w:rsidRPr="009305B3" w:rsidRDefault="000F5B0E" w:rsidP="000F5B0E">
      <w:pPr>
        <w:spacing w:after="120" w:line="276" w:lineRule="auto"/>
        <w:ind w:firstLine="708"/>
        <w:jc w:val="both"/>
        <w:rPr>
          <w:rFonts w:ascii="Verdana" w:eastAsia="Calibri" w:hAnsi="Verdana" w:cs="Arial"/>
          <w:lang w:val="es-ES"/>
        </w:rPr>
      </w:pPr>
      <w:r w:rsidRPr="009305B3">
        <w:rPr>
          <w:rFonts w:ascii="Verdana" w:eastAsia="Calibri" w:hAnsi="Verdana" w:cs="Arial"/>
          <w:lang w:val="es-ES"/>
        </w:rPr>
        <w:lastRenderedPageBreak/>
        <w:t xml:space="preserve">Asimismo, el artículo 899 del Código de Comercio dispone la </w:t>
      </w:r>
      <w:r w:rsidRPr="009305B3">
        <w:rPr>
          <w:rFonts w:ascii="Verdana" w:eastAsia="Calibri" w:hAnsi="Verdana" w:cs="Arial"/>
          <w:i/>
          <w:iCs/>
          <w:lang w:val="es-ES"/>
        </w:rPr>
        <w:t>nulidad absoluta</w:t>
      </w:r>
      <w:r w:rsidRPr="009305B3">
        <w:rPr>
          <w:rFonts w:ascii="Verdana" w:eastAsia="Calibri" w:hAnsi="Verdana" w:cs="Arial"/>
          <w:lang w:val="es-ES"/>
        </w:rPr>
        <w:t xml:space="preserve"> de los negocios jurídicos cuando contrarían una norma imperativa, salvo que la ley disponga otra cosa; tengan objeto y causa ilícita, o se hayan celebrado por persona absolutamente incapaz</w:t>
      </w:r>
      <w:r w:rsidRPr="009305B3">
        <w:rPr>
          <w:rFonts w:ascii="Verdana" w:eastAsia="Calibri" w:hAnsi="Verdana" w:cs="Arial"/>
          <w:vertAlign w:val="superscript"/>
          <w:lang w:val="es-ES"/>
        </w:rPr>
        <w:footnoteReference w:id="6"/>
      </w:r>
      <w:r w:rsidRPr="009305B3">
        <w:rPr>
          <w:rFonts w:ascii="Verdana" w:eastAsia="Calibri" w:hAnsi="Verdana" w:cs="Arial"/>
          <w:lang w:val="es-ES"/>
        </w:rPr>
        <w:t xml:space="preserve">. Por su parte, el artículo 900 </w:t>
      </w:r>
      <w:r w:rsidRPr="009305B3">
        <w:rPr>
          <w:rFonts w:ascii="Verdana" w:eastAsia="Calibri" w:hAnsi="Verdana" w:cs="Arial"/>
          <w:i/>
          <w:iCs/>
          <w:lang w:val="es-ES"/>
        </w:rPr>
        <w:t>ibidem</w:t>
      </w:r>
      <w:r w:rsidRPr="009305B3">
        <w:rPr>
          <w:rFonts w:ascii="Verdana" w:eastAsia="Calibri" w:hAnsi="Verdana" w:cs="Arial"/>
          <w:lang w:val="es-ES"/>
        </w:rPr>
        <w:t xml:space="preserve"> precisa que la </w:t>
      </w:r>
      <w:r w:rsidRPr="009305B3">
        <w:rPr>
          <w:rFonts w:ascii="Verdana" w:eastAsia="Calibri" w:hAnsi="Verdana" w:cs="Arial"/>
          <w:i/>
          <w:iCs/>
          <w:lang w:val="es-ES"/>
        </w:rPr>
        <w:t>anulabilidad</w:t>
      </w:r>
      <w:r w:rsidRPr="009305B3">
        <w:rPr>
          <w:rFonts w:ascii="Verdana" w:eastAsia="Calibri" w:hAnsi="Verdana" w:cs="Arial"/>
          <w:lang w:val="es-ES"/>
        </w:rPr>
        <w:t xml:space="preserve"> aplica cuando los contratos hayan sido celebrados por persona relativamente incapaz o hayan sido consentidos por error, fuerza o dolo, conforme al Código Civil. Para la interpretación del régimen de nulidades en los asuntos mercantiles, es necesario tener en cuenta que el artículo 822 del Código de Comercio dispone que “Los principios que gobiernan la formación de los actos y contratos y las obligaciones de derecho civil, sus efectos, interpretación, modo de extinguirse, anularse o rescindirse, serán aplicables a las obligaciones y negocios jurídicos mercantiles, a menos que la ley establezca otra cosa”. </w:t>
      </w:r>
    </w:p>
    <w:p w14:paraId="38722A80" w14:textId="77777777" w:rsidR="000F5B0E" w:rsidRPr="009305B3" w:rsidRDefault="000F5B0E" w:rsidP="000F5B0E">
      <w:pPr>
        <w:widowControl w:val="0"/>
        <w:autoSpaceDE w:val="0"/>
        <w:autoSpaceDN w:val="0"/>
        <w:spacing w:after="120" w:line="276" w:lineRule="auto"/>
        <w:ind w:firstLine="709"/>
        <w:jc w:val="both"/>
        <w:rPr>
          <w:rFonts w:ascii="Verdana" w:eastAsia="Verdana" w:hAnsi="Verdana" w:cs="Verdana"/>
          <w:lang w:val="es-ES"/>
        </w:rPr>
      </w:pPr>
      <w:r w:rsidRPr="009305B3">
        <w:rPr>
          <w:rFonts w:ascii="Verdana" w:eastAsia="Verdana" w:hAnsi="Verdana" w:cs="Verdana"/>
          <w:lang w:val="es-ES"/>
        </w:rPr>
        <w:t xml:space="preserve">Por su parte, el artículo 44 de la Ley 80 de 1993 consagra como causales de nulidad absoluta del contrato estatal, además de las antes mencionadas en el derecho común, las siguientes: i) que el contrato se celebre con personas incursas en causales de inhabilidad o incompatibilidad previstas en la Constitución y la ley, </w:t>
      </w:r>
      <w:proofErr w:type="spellStart"/>
      <w:r w:rsidRPr="009305B3">
        <w:rPr>
          <w:rFonts w:ascii="Verdana" w:eastAsia="Verdana" w:hAnsi="Verdana" w:cs="Verdana"/>
          <w:lang w:val="es-ES"/>
        </w:rPr>
        <w:t>ii</w:t>
      </w:r>
      <w:proofErr w:type="spellEnd"/>
      <w:r w:rsidRPr="009305B3">
        <w:rPr>
          <w:rFonts w:ascii="Verdana" w:eastAsia="Verdana" w:hAnsi="Verdana" w:cs="Verdana"/>
          <w:lang w:val="es-ES"/>
        </w:rPr>
        <w:t xml:space="preserve">) se celebre contra expresa prohibición constitucional o legal, </w:t>
      </w:r>
      <w:proofErr w:type="spellStart"/>
      <w:r w:rsidRPr="009305B3">
        <w:rPr>
          <w:rFonts w:ascii="Verdana" w:eastAsia="Verdana" w:hAnsi="Verdana" w:cs="Verdana"/>
          <w:lang w:val="es-ES"/>
        </w:rPr>
        <w:t>iii</w:t>
      </w:r>
      <w:proofErr w:type="spellEnd"/>
      <w:r w:rsidRPr="009305B3">
        <w:rPr>
          <w:rFonts w:ascii="Verdana" w:eastAsia="Verdana" w:hAnsi="Verdana" w:cs="Verdana"/>
          <w:lang w:val="es-ES"/>
        </w:rPr>
        <w:t xml:space="preserve">) se celebre con abuso o desviación de poder, </w:t>
      </w:r>
      <w:proofErr w:type="spellStart"/>
      <w:r w:rsidRPr="009305B3">
        <w:rPr>
          <w:rFonts w:ascii="Verdana" w:eastAsia="Verdana" w:hAnsi="Verdana" w:cs="Verdana"/>
          <w:lang w:val="es-ES"/>
        </w:rPr>
        <w:t>iv</w:t>
      </w:r>
      <w:proofErr w:type="spellEnd"/>
      <w:r w:rsidRPr="009305B3">
        <w:rPr>
          <w:rFonts w:ascii="Verdana" w:eastAsia="Verdana" w:hAnsi="Verdana" w:cs="Verdana"/>
          <w:lang w:val="es-ES"/>
        </w:rPr>
        <w:t>) se declaren nulos los actos administrativos en que se fundamenten, v) se hubieren celebrado con desconocimiento de los criterios previstos para el tratamiento de ofertas nacionales y extranjeras o con violación de la reciprocidad</w:t>
      </w:r>
      <w:r w:rsidRPr="009305B3">
        <w:rPr>
          <w:rFonts w:ascii="Verdana" w:eastAsia="Verdana" w:hAnsi="Verdana" w:cs="Verdana"/>
          <w:vertAlign w:val="superscript"/>
          <w:lang w:val="es-ES"/>
        </w:rPr>
        <w:footnoteReference w:id="7"/>
      </w:r>
      <w:r w:rsidRPr="009305B3">
        <w:rPr>
          <w:rFonts w:ascii="Verdana" w:eastAsia="Verdana" w:hAnsi="Verdana" w:cs="Verdana"/>
          <w:lang w:val="es-ES"/>
        </w:rPr>
        <w:t>.</w:t>
      </w:r>
    </w:p>
    <w:p w14:paraId="0ED55342" w14:textId="77777777" w:rsidR="000F5B0E" w:rsidRDefault="000F5B0E" w:rsidP="000F5B0E">
      <w:pPr>
        <w:widowControl w:val="0"/>
        <w:autoSpaceDE w:val="0"/>
        <w:autoSpaceDN w:val="0"/>
        <w:spacing w:after="0" w:line="276" w:lineRule="auto"/>
        <w:ind w:firstLine="709"/>
        <w:jc w:val="both"/>
        <w:rPr>
          <w:rFonts w:ascii="Verdana" w:eastAsia="Verdana" w:hAnsi="Verdana" w:cs="Verdana"/>
          <w:lang w:val="es-ES"/>
        </w:rPr>
      </w:pPr>
      <w:r w:rsidRPr="009305B3">
        <w:rPr>
          <w:rFonts w:ascii="Verdana" w:eastAsia="Verdana" w:hAnsi="Verdana" w:cs="Verdana"/>
          <w:lang w:val="es-ES"/>
        </w:rPr>
        <w:t xml:space="preserve">En lo referente a la nulidad relativa, el artículo 46 de la Ley 80 de 1993 le atribuye carácter residual, pues una vez establecido el listado de causales de </w:t>
      </w:r>
      <w:r w:rsidRPr="009305B3">
        <w:rPr>
          <w:rFonts w:ascii="Verdana" w:eastAsia="Verdana" w:hAnsi="Verdana" w:cs="Verdana"/>
          <w:lang w:val="es-ES"/>
        </w:rPr>
        <w:lastRenderedPageBreak/>
        <w:t>nulidad absoluta, señala que la nulidad relativa corresponde a los demás vicios que se presenten en los contratos. De igual manera, señala que estos vicios podrán sanearse por ratificación expresa de los interesados o por el transcurso de dos años, contados a partir de la ocurrencia del hecho que genera el</w:t>
      </w:r>
      <w:r w:rsidRPr="009305B3">
        <w:rPr>
          <w:rFonts w:ascii="Verdana" w:eastAsia="Verdana" w:hAnsi="Verdana" w:cs="Verdana"/>
          <w:spacing w:val="-8"/>
          <w:lang w:val="es-ES"/>
        </w:rPr>
        <w:t xml:space="preserve"> </w:t>
      </w:r>
      <w:r w:rsidRPr="009305B3">
        <w:rPr>
          <w:rFonts w:ascii="Verdana" w:eastAsia="Verdana" w:hAnsi="Verdana" w:cs="Verdana"/>
          <w:lang w:val="es-ES"/>
        </w:rPr>
        <w:t>vicio</w:t>
      </w:r>
      <w:r w:rsidRPr="009305B3">
        <w:rPr>
          <w:rFonts w:ascii="Verdana" w:eastAsia="Verdana" w:hAnsi="Verdana" w:cs="Verdana"/>
          <w:vertAlign w:val="superscript"/>
          <w:lang w:val="es-ES"/>
        </w:rPr>
        <w:footnoteReference w:id="8"/>
      </w:r>
      <w:r w:rsidRPr="009305B3">
        <w:rPr>
          <w:rFonts w:ascii="Verdana" w:eastAsia="Verdana" w:hAnsi="Verdana" w:cs="Verdana"/>
          <w:lang w:val="es-ES"/>
        </w:rPr>
        <w:t>.</w:t>
      </w:r>
    </w:p>
    <w:p w14:paraId="28E7CDE4" w14:textId="77777777" w:rsidR="000F5B0E" w:rsidRDefault="000F5B0E" w:rsidP="000F5B0E">
      <w:pPr>
        <w:spacing w:after="0" w:line="276" w:lineRule="auto"/>
        <w:jc w:val="both"/>
        <w:rPr>
          <w:rFonts w:ascii="Verdana" w:eastAsia="Calibri" w:hAnsi="Verdana" w:cs="Arial"/>
        </w:rPr>
      </w:pPr>
    </w:p>
    <w:p w14:paraId="5FD25F2B" w14:textId="77777777" w:rsidR="000F5B0E" w:rsidRPr="006114B8" w:rsidRDefault="000F5B0E" w:rsidP="000F5B0E">
      <w:pPr>
        <w:spacing w:after="120" w:line="276" w:lineRule="auto"/>
        <w:jc w:val="both"/>
        <w:rPr>
          <w:rFonts w:ascii="Verdana" w:eastAsia="Calibri" w:hAnsi="Verdana" w:cs="Arial"/>
        </w:rPr>
      </w:pPr>
      <w:proofErr w:type="spellStart"/>
      <w:r>
        <w:rPr>
          <w:rFonts w:ascii="Verdana" w:eastAsia="Calibri" w:hAnsi="Verdana" w:cs="Arial"/>
        </w:rPr>
        <w:t>iv</w:t>
      </w:r>
      <w:proofErr w:type="spellEnd"/>
      <w:r>
        <w:rPr>
          <w:rFonts w:ascii="Verdana" w:eastAsia="Calibri" w:hAnsi="Verdana" w:cs="Arial"/>
        </w:rPr>
        <w:t xml:space="preserve">. </w:t>
      </w:r>
      <w:r w:rsidRPr="006114B8">
        <w:rPr>
          <w:rFonts w:ascii="Verdana" w:eastAsia="Calibri" w:hAnsi="Verdana" w:cs="Arial"/>
        </w:rPr>
        <w:t xml:space="preserve">En todos los procesos de contratación estatal deben observarse de manera estricta los principios de </w:t>
      </w:r>
      <w:r w:rsidRPr="00432EBF">
        <w:rPr>
          <w:rFonts w:ascii="Verdana" w:eastAsia="Calibri" w:hAnsi="Verdana" w:cs="Arial"/>
        </w:rPr>
        <w:t>legalidad y transparencia.</w:t>
      </w:r>
      <w:r w:rsidRPr="006114B8">
        <w:rPr>
          <w:rFonts w:ascii="Verdana" w:eastAsia="Calibri" w:hAnsi="Verdana" w:cs="Arial"/>
        </w:rPr>
        <w:t xml:space="preserve"> Ello exige la sujeción rigurosa a las normas que estructuran las relaciones entre las entidades públicas, los particulares y demás personas convocadas a participar en procedimientos orientados a celebrar contratos con el Estado. La actuación administrativa, por tanto, debe desarrollarse dentro del marco jurídico y garantizar condiciones objetivas, verificables y accesibles para todos los interesados.</w:t>
      </w:r>
    </w:p>
    <w:p w14:paraId="2499EF6E" w14:textId="77777777" w:rsidR="000F5B0E" w:rsidRPr="006A417B" w:rsidRDefault="000F5B0E" w:rsidP="000F5B0E">
      <w:pPr>
        <w:spacing w:after="120" w:line="276" w:lineRule="auto"/>
        <w:ind w:firstLine="708"/>
        <w:jc w:val="both"/>
        <w:rPr>
          <w:rFonts w:ascii="Verdana" w:eastAsia="Calibri" w:hAnsi="Verdana" w:cs="Arial"/>
        </w:rPr>
      </w:pPr>
      <w:r w:rsidRPr="006114B8">
        <w:rPr>
          <w:rFonts w:ascii="Verdana" w:eastAsia="Calibri" w:hAnsi="Verdana" w:cs="Arial"/>
        </w:rPr>
        <w:t xml:space="preserve">La </w:t>
      </w:r>
      <w:r w:rsidRPr="00B53E48">
        <w:rPr>
          <w:rFonts w:ascii="Verdana" w:eastAsia="Calibri" w:hAnsi="Verdana" w:cs="Arial"/>
        </w:rPr>
        <w:t>inobservancia del principio de transparencia</w:t>
      </w:r>
      <w:r w:rsidRPr="006114B8">
        <w:rPr>
          <w:rFonts w:ascii="Verdana" w:eastAsia="Calibri" w:hAnsi="Verdana" w:cs="Arial"/>
        </w:rPr>
        <w:t xml:space="preserve"> al momento de de</w:t>
      </w:r>
      <w:r>
        <w:rPr>
          <w:rFonts w:ascii="Verdana" w:eastAsia="Calibri" w:hAnsi="Verdana" w:cs="Arial"/>
        </w:rPr>
        <w:t xml:space="preserve">terminar </w:t>
      </w:r>
      <w:r w:rsidRPr="006114B8">
        <w:rPr>
          <w:rFonts w:ascii="Verdana" w:eastAsia="Calibri" w:hAnsi="Verdana" w:cs="Arial"/>
        </w:rPr>
        <w:t>la modalidad de selección aplicable puede generar impactos en la validez del procedimiento contractual. Una elección incorrecta o arbitraria del mecanismo de selección afecta la igualdad de oportunidades, distorsiona la competencia, compromete la publicidad de las actuaciones y puede derivar en la nulidad del proceso, en responsabilidades disciplinarias o fiscales, así como en la afectación del interés público que la contratación estatal busca proteger.</w:t>
      </w:r>
      <w:r>
        <w:rPr>
          <w:rFonts w:ascii="Verdana" w:eastAsia="Calibri" w:hAnsi="Verdana" w:cs="Arial"/>
        </w:rPr>
        <w:t xml:space="preserve"> </w:t>
      </w:r>
      <w:r w:rsidRPr="006677FB">
        <w:rPr>
          <w:rFonts w:ascii="Verdana" w:eastAsia="Calibri" w:hAnsi="Verdana" w:cs="Arial"/>
        </w:rPr>
        <w:t>E</w:t>
      </w:r>
      <w:r>
        <w:rPr>
          <w:rFonts w:ascii="Verdana" w:eastAsia="Calibri" w:hAnsi="Verdana" w:cs="Arial"/>
        </w:rPr>
        <w:t>jemplo de ello, es que el</w:t>
      </w:r>
      <w:r w:rsidRPr="006677FB">
        <w:rPr>
          <w:rFonts w:ascii="Verdana" w:eastAsia="Calibri" w:hAnsi="Verdana" w:cs="Arial"/>
        </w:rPr>
        <w:t xml:space="preserve"> desconocimiento de este principio, consagrado en el artículo 24, numeral 8, de la Ley 80 de 1993</w:t>
      </w:r>
      <w:r>
        <w:rPr>
          <w:rStyle w:val="Refdenotaalpie"/>
          <w:rFonts w:ascii="Verdana" w:eastAsia="Calibri" w:hAnsi="Verdana" w:cs="Arial"/>
        </w:rPr>
        <w:footnoteReference w:id="9"/>
      </w:r>
      <w:r w:rsidRPr="006677FB">
        <w:rPr>
          <w:rFonts w:ascii="Verdana" w:eastAsia="Calibri" w:hAnsi="Verdana" w:cs="Arial"/>
        </w:rPr>
        <w:t>, comporta la configuración de una nulidad absoluta por objeto ilícito —en los términos del derecho común—, en la medida en que el contrato resultante contraviene las normas imperativas del Derecho Público y vulnera las reglas que rigen la actuación contractual de la administración.</w:t>
      </w:r>
      <w:r>
        <w:rPr>
          <w:rFonts w:ascii="Verdana" w:eastAsia="Calibri" w:hAnsi="Verdana" w:cs="Arial"/>
        </w:rPr>
        <w:t xml:space="preserve"> </w:t>
      </w:r>
    </w:p>
    <w:p w14:paraId="40831DA3" w14:textId="77777777" w:rsidR="000F5B0E" w:rsidRDefault="000F5B0E" w:rsidP="000F5B0E">
      <w:pPr>
        <w:spacing w:after="0" w:line="276" w:lineRule="auto"/>
        <w:ind w:firstLine="709"/>
        <w:jc w:val="both"/>
        <w:rPr>
          <w:rFonts w:ascii="Verdana" w:eastAsia="Calibri" w:hAnsi="Verdana" w:cs="Arial"/>
        </w:rPr>
      </w:pPr>
      <w:r>
        <w:rPr>
          <w:rFonts w:ascii="Verdana" w:eastAsia="Calibri" w:hAnsi="Verdana" w:cs="Arial"/>
        </w:rPr>
        <w:t>Al respecto, el Consejo de Estado en Sentencia con Expediente 37.066 del 2 de mayo de 2016</w:t>
      </w:r>
      <w:r>
        <w:rPr>
          <w:rStyle w:val="Refdenotaalpie"/>
          <w:rFonts w:ascii="Verdana" w:eastAsia="Calibri" w:hAnsi="Verdana" w:cs="Arial"/>
        </w:rPr>
        <w:footnoteReference w:id="10"/>
      </w:r>
      <w:r>
        <w:rPr>
          <w:rFonts w:ascii="Verdana" w:eastAsia="Calibri" w:hAnsi="Verdana" w:cs="Arial"/>
        </w:rPr>
        <w:t xml:space="preserve"> siguiendo su jurisprudencia señaló que la configuración de la causal No 3 del artículo 44 de la Ley 80 de 1993, </w:t>
      </w:r>
      <w:r w:rsidRPr="001B3CEE">
        <w:rPr>
          <w:rFonts w:ascii="Verdana" w:eastAsia="Calibri" w:hAnsi="Verdana" w:cs="Arial"/>
        </w:rPr>
        <w:t xml:space="preserve">ha establecido de manera </w:t>
      </w:r>
      <w:r w:rsidRPr="001B3CEE">
        <w:rPr>
          <w:rFonts w:ascii="Verdana" w:eastAsia="Calibri" w:hAnsi="Verdana" w:cs="Arial"/>
        </w:rPr>
        <w:lastRenderedPageBreak/>
        <w:t xml:space="preserve">reiterada que cuando los funcionarios eluden los procedimientos de selección objetiva y los demás requisitos y deberes indicados por la ley, incurren en </w:t>
      </w:r>
      <w:r w:rsidRPr="002F263F">
        <w:rPr>
          <w:rFonts w:ascii="Verdana" w:eastAsia="Calibri" w:hAnsi="Verdana" w:cs="Arial"/>
          <w:bCs/>
        </w:rPr>
        <w:t>abuso o desviación de poder</w:t>
      </w:r>
      <w:r w:rsidRPr="001B3CEE">
        <w:rPr>
          <w:rFonts w:ascii="Verdana" w:eastAsia="Calibri" w:hAnsi="Verdana" w:cs="Arial"/>
        </w:rPr>
        <w:t xml:space="preserve"> al apartarse de los fines </w:t>
      </w:r>
      <w:r>
        <w:rPr>
          <w:rFonts w:ascii="Verdana" w:eastAsia="Calibri" w:hAnsi="Verdana" w:cs="Arial"/>
        </w:rPr>
        <w:t xml:space="preserve">de la </w:t>
      </w:r>
      <w:r w:rsidRPr="001B3CEE">
        <w:rPr>
          <w:rFonts w:ascii="Verdana" w:eastAsia="Calibri" w:hAnsi="Verdana" w:cs="Arial"/>
        </w:rPr>
        <w:t xml:space="preserve">contratación, que no son otros que el interés público y el bienestar de la comunidad, circunstancias que </w:t>
      </w:r>
      <w:r>
        <w:rPr>
          <w:rFonts w:ascii="Verdana" w:eastAsia="Calibri" w:hAnsi="Verdana" w:cs="Arial"/>
        </w:rPr>
        <w:t xml:space="preserve">conforme al </w:t>
      </w:r>
      <w:r w:rsidRPr="001B3CEE">
        <w:rPr>
          <w:rFonts w:ascii="Verdana" w:eastAsia="Calibri" w:hAnsi="Verdana" w:cs="Arial"/>
        </w:rPr>
        <w:t>E</w:t>
      </w:r>
      <w:r>
        <w:rPr>
          <w:rFonts w:ascii="Verdana" w:eastAsia="Calibri" w:hAnsi="Verdana" w:cs="Arial"/>
        </w:rPr>
        <w:t>GCAP</w:t>
      </w:r>
      <w:r w:rsidRPr="001B3CEE">
        <w:rPr>
          <w:rFonts w:ascii="Verdana" w:eastAsia="Calibri" w:hAnsi="Verdana" w:cs="Arial"/>
        </w:rPr>
        <w:t>, configura la causal de nulidad absoluta del contrato</w:t>
      </w:r>
      <w:r w:rsidRPr="001B3CEE">
        <w:rPr>
          <w:rFonts w:ascii="Verdana" w:eastAsia="Calibri" w:hAnsi="Verdana" w:cs="Arial"/>
          <w:vertAlign w:val="superscript"/>
        </w:rPr>
        <w:footnoteReference w:id="11"/>
      </w:r>
      <w:r w:rsidRPr="001B3CEE">
        <w:rPr>
          <w:rFonts w:ascii="Verdana" w:eastAsia="Calibri" w:hAnsi="Verdana" w:cs="Arial"/>
        </w:rPr>
        <w:t>.</w:t>
      </w:r>
      <w:r>
        <w:rPr>
          <w:rFonts w:ascii="Verdana" w:eastAsia="Calibri" w:hAnsi="Verdana" w:cs="Arial"/>
        </w:rPr>
        <w:t>Así mismo, el Consejo en sentencia con expediente 70.045 del 4 de abril de 2025, expresó:</w:t>
      </w:r>
    </w:p>
    <w:p w14:paraId="0114C56B" w14:textId="77777777" w:rsidR="000F5B0E" w:rsidRDefault="000F5B0E" w:rsidP="000F5B0E">
      <w:pPr>
        <w:spacing w:after="0" w:line="276" w:lineRule="auto"/>
        <w:jc w:val="both"/>
        <w:rPr>
          <w:rFonts w:ascii="Verdana" w:eastAsia="Calibri" w:hAnsi="Verdana" w:cs="Arial"/>
        </w:rPr>
      </w:pPr>
    </w:p>
    <w:p w14:paraId="14E64D20" w14:textId="77777777" w:rsidR="000F5B0E" w:rsidRPr="00BD5AEC" w:rsidRDefault="000F5B0E" w:rsidP="000F5B0E">
      <w:pPr>
        <w:spacing w:after="0" w:line="240" w:lineRule="auto"/>
        <w:ind w:left="709" w:right="709"/>
        <w:jc w:val="both"/>
        <w:rPr>
          <w:rFonts w:ascii="Verdana" w:eastAsia="Calibri" w:hAnsi="Verdana" w:cs="Arial"/>
          <w:sz w:val="20"/>
          <w:szCs w:val="20"/>
        </w:rPr>
      </w:pPr>
      <w:r w:rsidRPr="00BD5AEC">
        <w:rPr>
          <w:rFonts w:ascii="Verdana" w:eastAsia="Calibri" w:hAnsi="Verdana" w:cs="Arial"/>
          <w:sz w:val="20"/>
          <w:szCs w:val="20"/>
        </w:rPr>
        <w:t>La inobservancia deliberada de las reglas y principios que garantizan la selección objetiva de los contratistas constituye una vulneración del derecho imperativo, lo que, conforme a lo expuesto en el párrafo precedente, configura un objeto ilícito. Sobre este punto, la jurisprudencia de la Corporación ha señalado que procede la declaración de nulidad absoluta de un contrato estatal cuando se transgrede el numeral 8 del artículo 24 de la Ley 80 de 1993, al desconocer los procedimientos y reglas que garantizan la selección objetiva de los contratistas</w:t>
      </w:r>
      <w:r>
        <w:rPr>
          <w:rStyle w:val="Refdenotaalpie"/>
          <w:rFonts w:ascii="Verdana" w:eastAsia="Calibri" w:hAnsi="Verdana" w:cs="Arial"/>
          <w:sz w:val="20"/>
          <w:szCs w:val="20"/>
        </w:rPr>
        <w:footnoteReference w:id="12"/>
      </w:r>
      <w:r>
        <w:rPr>
          <w:rFonts w:ascii="Verdana" w:eastAsia="Calibri" w:hAnsi="Verdana" w:cs="Arial"/>
          <w:sz w:val="20"/>
          <w:szCs w:val="20"/>
        </w:rPr>
        <w:t xml:space="preserve">. </w:t>
      </w:r>
    </w:p>
    <w:p w14:paraId="62298164" w14:textId="77777777" w:rsidR="000F5B0E" w:rsidRPr="001B3CEE" w:rsidRDefault="000F5B0E" w:rsidP="000F5B0E">
      <w:pPr>
        <w:spacing w:after="0" w:line="276" w:lineRule="auto"/>
        <w:ind w:firstLine="709"/>
        <w:jc w:val="both"/>
        <w:rPr>
          <w:rFonts w:ascii="Verdana" w:eastAsia="Calibri" w:hAnsi="Verdana" w:cs="Arial"/>
        </w:rPr>
      </w:pPr>
    </w:p>
    <w:p w14:paraId="6D55CA94" w14:textId="77777777" w:rsidR="000F5B0E" w:rsidRDefault="000F5B0E" w:rsidP="000F5B0E">
      <w:pPr>
        <w:spacing w:after="120" w:line="276" w:lineRule="auto"/>
        <w:ind w:firstLine="708"/>
        <w:jc w:val="both"/>
        <w:rPr>
          <w:rFonts w:ascii="Verdana" w:eastAsia="Calibri" w:hAnsi="Verdana" w:cs="Arial"/>
        </w:rPr>
      </w:pPr>
      <w:r w:rsidRPr="000E2274">
        <w:rPr>
          <w:rFonts w:ascii="Verdana" w:eastAsia="Calibri" w:hAnsi="Verdana" w:cs="Arial"/>
        </w:rPr>
        <w:t>La determinación de la modalidad de selección no constituye una facultad discrecional de la administración, sino una actuación reglada que debe ajustar a los principios de transparencia, selección objetiva, economía, imparcialidad, publicidad y libre concurrencia, previstos como ejes rectores de la actividad contractual.</w:t>
      </w:r>
      <w:r>
        <w:rPr>
          <w:rFonts w:ascii="Verdana" w:eastAsia="Calibri" w:hAnsi="Verdana" w:cs="Arial"/>
        </w:rPr>
        <w:t xml:space="preserve"> </w:t>
      </w:r>
      <w:r w:rsidRPr="005F74D6">
        <w:rPr>
          <w:rFonts w:ascii="Verdana" w:eastAsia="Calibri" w:hAnsi="Verdana" w:cs="Arial"/>
        </w:rPr>
        <w:t>En este contexto, el Consejo de Estado, en sentencia del 20 de abril de 2026, expediente 72.477, precisó que también se configura nulidad absoluta cuando se celebra un contrato interadministrativo sin que la entidad ejecutora cuente con un objeto social compatible con las actividades a desarrollar, exigencia prevista en el artículo 2, numeral 4, literal c) de la Ley 1150 de 2007. La ausencia de esta correspondencia material entre el objeto contractual y el objeto social de la entidad interviniente impide acudir a la contratación directa, pues desnaturaliza la modalidad excepcional y vulnera los principios que rigen la actividad contractual del Estado.</w:t>
      </w:r>
      <w:r>
        <w:rPr>
          <w:rFonts w:ascii="Verdana" w:eastAsia="Calibri" w:hAnsi="Verdana" w:cs="Arial"/>
        </w:rPr>
        <w:t xml:space="preserve"> En dicha providencia, el Consejo de Estado expresó: </w:t>
      </w:r>
    </w:p>
    <w:p w14:paraId="0F4991D8" w14:textId="77777777" w:rsidR="000F5B0E" w:rsidRDefault="000F5B0E" w:rsidP="000F5B0E">
      <w:pPr>
        <w:spacing w:after="0" w:line="276" w:lineRule="auto"/>
        <w:ind w:firstLine="709"/>
        <w:jc w:val="both"/>
        <w:rPr>
          <w:rFonts w:ascii="Verdana" w:eastAsia="Calibri" w:hAnsi="Verdana" w:cs="Arial"/>
        </w:rPr>
      </w:pPr>
    </w:p>
    <w:p w14:paraId="146CCB89" w14:textId="77777777" w:rsidR="000F5B0E" w:rsidRDefault="000F5B0E" w:rsidP="000F5B0E">
      <w:pPr>
        <w:spacing w:after="0" w:line="240" w:lineRule="auto"/>
        <w:ind w:left="709" w:right="709"/>
        <w:jc w:val="both"/>
        <w:rPr>
          <w:rFonts w:ascii="Verdana" w:eastAsia="Calibri" w:hAnsi="Verdana" w:cs="Arial"/>
          <w:sz w:val="20"/>
          <w:szCs w:val="20"/>
        </w:rPr>
      </w:pPr>
      <w:r w:rsidRPr="00FF6D6F">
        <w:rPr>
          <w:rFonts w:ascii="Verdana" w:eastAsia="Calibri" w:hAnsi="Verdana" w:cs="Arial"/>
          <w:sz w:val="20"/>
          <w:szCs w:val="20"/>
        </w:rPr>
        <w:lastRenderedPageBreak/>
        <w:t xml:space="preserve">Así, la ausencia de uno de los requisitos para acudir al mecanismo de contratación directa en materia de contratos </w:t>
      </w:r>
      <w:proofErr w:type="gramStart"/>
      <w:r w:rsidRPr="00FF6D6F">
        <w:rPr>
          <w:rFonts w:ascii="Verdana" w:eastAsia="Calibri" w:hAnsi="Verdana" w:cs="Arial"/>
          <w:sz w:val="20"/>
          <w:szCs w:val="20"/>
        </w:rPr>
        <w:t>interadministrativos,</w:t>
      </w:r>
      <w:proofErr w:type="gramEnd"/>
      <w:r w:rsidRPr="00FF6D6F">
        <w:rPr>
          <w:rFonts w:ascii="Verdana" w:eastAsia="Calibri" w:hAnsi="Verdana" w:cs="Arial"/>
          <w:sz w:val="20"/>
          <w:szCs w:val="20"/>
        </w:rPr>
        <w:t xml:space="preserve"> denota una transgresión del deber de selección objetiva, postulado -de imperativo acatamiento en los términos del EGCAP- que tiene la vocación de asegurar el cumplimiento de los principios de la contratación pública y garantizar la adecuada elección de la oferta más favorable para la entidad y el interés público implícito en su actividad negocial</w:t>
      </w:r>
      <w:r>
        <w:rPr>
          <w:rStyle w:val="Refdenotaalpie"/>
          <w:rFonts w:ascii="Verdana" w:eastAsia="Calibri" w:hAnsi="Verdana" w:cs="Arial"/>
          <w:sz w:val="20"/>
          <w:szCs w:val="20"/>
        </w:rPr>
        <w:footnoteReference w:id="13"/>
      </w:r>
      <w:r w:rsidRPr="00FF6D6F">
        <w:rPr>
          <w:rFonts w:ascii="Verdana" w:eastAsia="Calibri" w:hAnsi="Verdana" w:cs="Arial"/>
          <w:sz w:val="20"/>
          <w:szCs w:val="20"/>
        </w:rPr>
        <w:t>.</w:t>
      </w:r>
    </w:p>
    <w:p w14:paraId="2CC905DC" w14:textId="77777777" w:rsidR="000F5B0E" w:rsidRPr="00FF6D6F" w:rsidRDefault="000F5B0E" w:rsidP="000F5B0E">
      <w:pPr>
        <w:spacing w:after="0" w:line="240" w:lineRule="auto"/>
        <w:ind w:left="709" w:right="709"/>
        <w:jc w:val="both"/>
        <w:rPr>
          <w:rFonts w:ascii="Verdana" w:eastAsia="Calibri" w:hAnsi="Verdana" w:cs="Arial"/>
          <w:sz w:val="20"/>
          <w:szCs w:val="20"/>
        </w:rPr>
      </w:pPr>
    </w:p>
    <w:p w14:paraId="36F2A084" w14:textId="77777777" w:rsidR="000F5B0E" w:rsidRPr="00997B7A" w:rsidRDefault="000F5B0E" w:rsidP="000F5B0E">
      <w:pPr>
        <w:spacing w:after="0" w:line="276" w:lineRule="auto"/>
        <w:ind w:firstLine="709"/>
        <w:jc w:val="both"/>
        <w:rPr>
          <w:rFonts w:ascii="Verdana" w:eastAsia="Calibri" w:hAnsi="Verdana" w:cs="Times New Roman"/>
          <w:bCs/>
        </w:rPr>
      </w:pPr>
      <w:r>
        <w:rPr>
          <w:rFonts w:ascii="Verdana" w:eastAsia="Calibri" w:hAnsi="Verdana" w:cs="Times New Roman"/>
          <w:bCs/>
        </w:rPr>
        <w:t>Así las cosas</w:t>
      </w:r>
      <w:r w:rsidRPr="00AA5AFC">
        <w:rPr>
          <w:rFonts w:ascii="Verdana" w:eastAsia="Calibri" w:hAnsi="Verdana" w:cs="Times New Roman"/>
          <w:bCs/>
        </w:rPr>
        <w:t xml:space="preserve">, </w:t>
      </w:r>
      <w:r w:rsidRPr="004B7CB2">
        <w:rPr>
          <w:rFonts w:ascii="Verdana" w:eastAsia="Calibri" w:hAnsi="Verdana" w:cs="Times New Roman"/>
          <w:bCs/>
        </w:rPr>
        <w:t xml:space="preserve">la entidad está obligada a seleccionar la modalidad de procedimiento que corresponda a las condiciones jurídicas y fácticas del contrato, asegurando que todos los interesados participen en condiciones de igualdad y que la propuesta finalmente escogida constituya la alternativa más favorable para la satisfacción del interés público comprometido. Bajo esta perspectiva, el sistema normativo que regula la correcta determinación de la modalidad de selección tiene </w:t>
      </w:r>
      <w:r w:rsidRPr="00CE5368">
        <w:rPr>
          <w:rFonts w:ascii="Verdana" w:eastAsia="Calibri" w:hAnsi="Verdana" w:cs="Times New Roman"/>
          <w:bCs/>
        </w:rPr>
        <w:t xml:space="preserve">naturaleza imperativa y de orden público, de modo que sus reglas son innegociables, irrenunciables y, por ende, </w:t>
      </w:r>
      <w:proofErr w:type="spellStart"/>
      <w:r w:rsidRPr="00CE5368">
        <w:rPr>
          <w:rFonts w:ascii="Verdana" w:eastAsia="Calibri" w:hAnsi="Verdana" w:cs="Times New Roman"/>
          <w:bCs/>
        </w:rPr>
        <w:t>insusceptibles</w:t>
      </w:r>
      <w:proofErr w:type="spellEnd"/>
      <w:r w:rsidRPr="00CE5368">
        <w:rPr>
          <w:rFonts w:ascii="Verdana" w:eastAsia="Calibri" w:hAnsi="Verdana" w:cs="Times New Roman"/>
          <w:bCs/>
        </w:rPr>
        <w:t xml:space="preserve"> de saneamiento mediante actos de ratificación</w:t>
      </w:r>
      <w:r w:rsidRPr="00997B7A">
        <w:rPr>
          <w:rFonts w:ascii="Verdana" w:eastAsia="Calibri" w:hAnsi="Verdana" w:cs="Times New Roman"/>
          <w:bCs/>
        </w:rPr>
        <w:t xml:space="preserve">. </w:t>
      </w:r>
      <w:r>
        <w:rPr>
          <w:rFonts w:ascii="Verdana" w:eastAsia="Calibri" w:hAnsi="Verdana" w:cs="Times New Roman"/>
          <w:bCs/>
        </w:rPr>
        <w:t xml:space="preserve">Por tanto, la entidad </w:t>
      </w:r>
      <w:r w:rsidRPr="00997B7A">
        <w:rPr>
          <w:rFonts w:ascii="Verdana" w:eastAsia="Calibri" w:hAnsi="Verdana" w:cs="Times New Roman"/>
          <w:bCs/>
        </w:rPr>
        <w:t>está obligada a aplicar estrictamente el procedimiento previsto en la ley y no puede ratificar posteriormente su inobservancia</w:t>
      </w:r>
      <w:r>
        <w:rPr>
          <w:rFonts w:ascii="Verdana" w:eastAsia="Calibri" w:hAnsi="Verdana" w:cs="Times New Roman"/>
          <w:bCs/>
        </w:rPr>
        <w:t>, como lo contempla el</w:t>
      </w:r>
      <w:r w:rsidRPr="00997B7A">
        <w:rPr>
          <w:rFonts w:ascii="Verdana" w:eastAsia="Calibri" w:hAnsi="Verdana" w:cs="Times New Roman"/>
          <w:bCs/>
        </w:rPr>
        <w:t xml:space="preserve"> artículo 45 de la Ley 80 de 1993:</w:t>
      </w:r>
    </w:p>
    <w:p w14:paraId="1504A865" w14:textId="77777777" w:rsidR="000F5B0E" w:rsidRPr="00A72235" w:rsidRDefault="000F5B0E" w:rsidP="000F5B0E">
      <w:pPr>
        <w:spacing w:after="0" w:line="276" w:lineRule="auto"/>
        <w:ind w:firstLine="709"/>
        <w:jc w:val="both"/>
        <w:rPr>
          <w:rFonts w:ascii="Verdana" w:eastAsia="Calibri" w:hAnsi="Verdana" w:cs="Times New Roman"/>
          <w:bCs/>
        </w:rPr>
      </w:pPr>
    </w:p>
    <w:p w14:paraId="6EBCE642" w14:textId="77777777" w:rsidR="000F5B0E" w:rsidRDefault="000F5B0E" w:rsidP="000F5B0E">
      <w:pPr>
        <w:spacing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“ARTICULO 45. DE LA NULIDAD ABSOLUTA. La nulidad absoluta podrá ser alegada por las partes, por el agente del ministerio público, por cualquier persona o declarada de oficio, y no es susceptible de saneamiento por ratificación. </w:t>
      </w:r>
    </w:p>
    <w:p w14:paraId="5FDA5B53" w14:textId="77777777" w:rsidR="000F5B0E" w:rsidRPr="002E1F8D" w:rsidRDefault="000F5B0E" w:rsidP="000F5B0E">
      <w:pPr>
        <w:spacing w:after="0" w:line="240" w:lineRule="auto"/>
        <w:ind w:left="709" w:right="709"/>
        <w:jc w:val="both"/>
        <w:rPr>
          <w:rFonts w:ascii="Verdana" w:eastAsia="Calibri" w:hAnsi="Verdana" w:cs="Times New Roman"/>
          <w:sz w:val="20"/>
          <w:szCs w:val="20"/>
        </w:rPr>
      </w:pPr>
    </w:p>
    <w:p w14:paraId="56EE67FA" w14:textId="77777777" w:rsidR="000F5B0E" w:rsidRPr="002E1F8D" w:rsidRDefault="000F5B0E" w:rsidP="000F5B0E">
      <w:pPr>
        <w:spacing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En los casos previstos en los numerales 1o., 2o. y 4o. del artículo anterior, el jefe o representante legal de la entidad respectiva deberá dar por terminado el contrato mediante acto administrativo debidamente motivado y ordenará su liquidación en el estado en que se encuentre”. </w:t>
      </w:r>
    </w:p>
    <w:p w14:paraId="1317C015" w14:textId="77777777" w:rsidR="000F5B0E" w:rsidRDefault="000F5B0E" w:rsidP="000F5B0E">
      <w:pPr>
        <w:spacing w:after="120" w:line="276" w:lineRule="auto"/>
        <w:jc w:val="both"/>
        <w:rPr>
          <w:rFonts w:ascii="Verdana" w:eastAsia="Calibri" w:hAnsi="Verdana" w:cs="Times New Roman"/>
          <w:bCs/>
        </w:rPr>
      </w:pPr>
    </w:p>
    <w:p w14:paraId="1130AC70" w14:textId="77777777" w:rsidR="000F5B0E" w:rsidRDefault="000F5B0E" w:rsidP="000F5B0E">
      <w:pPr>
        <w:spacing w:after="0" w:line="276" w:lineRule="auto"/>
        <w:jc w:val="both"/>
        <w:rPr>
          <w:rFonts w:ascii="Verdana" w:eastAsia="Calibri" w:hAnsi="Verdana" w:cs="Times New Roman"/>
          <w:bCs/>
        </w:rPr>
      </w:pPr>
      <w:r>
        <w:rPr>
          <w:rFonts w:ascii="Verdana" w:eastAsia="Calibri" w:hAnsi="Verdana" w:cs="Times New Roman"/>
          <w:bCs/>
        </w:rPr>
        <w:tab/>
        <w:t xml:space="preserve">A partir de la norma precitada, se establece que la nulidad absoluta del contrato podrá alegarse </w:t>
      </w:r>
      <w:r w:rsidRPr="00F605DF">
        <w:rPr>
          <w:rFonts w:ascii="Verdana" w:eastAsia="Calibri" w:hAnsi="Verdana" w:cs="Times New Roman"/>
          <w:bCs/>
        </w:rPr>
        <w:t>por las partes, por el agente del ministerio público, por cualquier persona</w:t>
      </w:r>
      <w:r>
        <w:rPr>
          <w:rFonts w:ascii="Verdana" w:eastAsia="Calibri" w:hAnsi="Verdana" w:cs="Times New Roman"/>
          <w:bCs/>
        </w:rPr>
        <w:t xml:space="preserve"> o declarada de oficio, y no siendo </w:t>
      </w:r>
      <w:r w:rsidRPr="00F605DF">
        <w:rPr>
          <w:rFonts w:ascii="Verdana" w:eastAsia="Calibri" w:hAnsi="Verdana" w:cs="Times New Roman"/>
          <w:bCs/>
        </w:rPr>
        <w:t>susceptible de saneamiento por ratificación.</w:t>
      </w:r>
      <w:r>
        <w:rPr>
          <w:rFonts w:ascii="Verdana" w:eastAsia="Calibri" w:hAnsi="Verdana" w:cs="Times New Roman"/>
          <w:bCs/>
        </w:rPr>
        <w:t xml:space="preserve"> Es importante señalar que el artículo 48 de la Ley 80 de 1993</w:t>
      </w:r>
      <w:r>
        <w:rPr>
          <w:rStyle w:val="Refdenotaalpie"/>
          <w:rFonts w:ascii="Verdana" w:eastAsia="Calibri" w:hAnsi="Verdana" w:cs="Times New Roman"/>
          <w:bCs/>
        </w:rPr>
        <w:footnoteReference w:id="14"/>
      </w:r>
      <w:r>
        <w:rPr>
          <w:rFonts w:ascii="Verdana" w:eastAsia="Calibri" w:hAnsi="Verdana" w:cs="Times New Roman"/>
          <w:bCs/>
        </w:rPr>
        <w:t xml:space="preserve"> </w:t>
      </w:r>
      <w:r>
        <w:rPr>
          <w:rFonts w:ascii="Verdana" w:eastAsia="Calibri" w:hAnsi="Verdana" w:cs="Times New Roman"/>
          <w:bCs/>
        </w:rPr>
        <w:lastRenderedPageBreak/>
        <w:t>dispone que la declaración de nulidad de un contrato de ejecución sucesiva no impide el reconocimiento y pago de las prestaciones ejecutadas hasta el momento de la declaratoria. En esta línea, e</w:t>
      </w:r>
      <w:r w:rsidRPr="00687570">
        <w:rPr>
          <w:rFonts w:ascii="Verdana" w:eastAsia="Calibri" w:hAnsi="Verdana" w:cs="Times New Roman"/>
          <w:bCs/>
        </w:rPr>
        <w:t>l reconocimiento y pago de las prestaciones ejecutadas del contrato nulo por objeto o causa ilícita, cuando se probare que la entidad estatal se ha beneficiado</w:t>
      </w:r>
      <w:r>
        <w:rPr>
          <w:rFonts w:ascii="Verdana" w:eastAsia="Calibri" w:hAnsi="Verdana" w:cs="Times New Roman"/>
          <w:bCs/>
        </w:rPr>
        <w:t xml:space="preserve"> y servido para garantizar el interés general, y solamente</w:t>
      </w:r>
      <w:r w:rsidRPr="00687570">
        <w:rPr>
          <w:rFonts w:ascii="Verdana" w:eastAsia="Calibri" w:hAnsi="Verdana" w:cs="Times New Roman"/>
          <w:bCs/>
        </w:rPr>
        <w:t xml:space="preserve"> hasta el mon</w:t>
      </w:r>
      <w:r>
        <w:rPr>
          <w:rFonts w:ascii="Verdana" w:eastAsia="Calibri" w:hAnsi="Verdana" w:cs="Times New Roman"/>
          <w:bCs/>
        </w:rPr>
        <w:t>to del beneficio que hubies</w:t>
      </w:r>
      <w:r w:rsidRPr="00687570">
        <w:rPr>
          <w:rFonts w:ascii="Verdana" w:eastAsia="Calibri" w:hAnsi="Verdana" w:cs="Times New Roman"/>
          <w:bCs/>
        </w:rPr>
        <w:t xml:space="preserve">e obtenido. </w:t>
      </w:r>
    </w:p>
    <w:p w14:paraId="1354111E" w14:textId="77777777" w:rsidR="000F5B0E" w:rsidRPr="009305B3" w:rsidRDefault="000F5B0E" w:rsidP="000F5B0E">
      <w:pPr>
        <w:widowControl w:val="0"/>
        <w:autoSpaceDE w:val="0"/>
        <w:autoSpaceDN w:val="0"/>
        <w:spacing w:after="0" w:line="240" w:lineRule="auto"/>
        <w:jc w:val="both"/>
        <w:rPr>
          <w:rFonts w:ascii="Verdana" w:eastAsia="Verdana" w:hAnsi="Verdana" w:cs="Verdana"/>
          <w:lang w:val="es-ES"/>
        </w:rPr>
      </w:pPr>
    </w:p>
    <w:p w14:paraId="1B2169DE" w14:textId="77777777" w:rsidR="000F5B0E" w:rsidRPr="009305B3" w:rsidRDefault="000F5B0E" w:rsidP="000F5B0E">
      <w:pPr>
        <w:widowControl w:val="0"/>
        <w:autoSpaceDE w:val="0"/>
        <w:autoSpaceDN w:val="0"/>
        <w:spacing w:after="0" w:line="276" w:lineRule="auto"/>
        <w:jc w:val="both"/>
        <w:rPr>
          <w:rFonts w:ascii="Verdana" w:eastAsia="Verdana" w:hAnsi="Verdana" w:cs="Verdana"/>
          <w:lang w:val="es-ES"/>
        </w:rPr>
      </w:pPr>
      <w:r w:rsidRPr="009305B3">
        <w:rPr>
          <w:rFonts w:ascii="Verdana" w:eastAsia="Verdana" w:hAnsi="Verdana" w:cs="Verdana"/>
          <w:lang w:val="es-ES"/>
        </w:rPr>
        <w:t>v. En torno a los efectos de la nulidad de los contratos estatales, es pertinente acudir al artículo 48 de la Ley 80 de 1993, el cual establece que la declaratoria de nulidad de un contrato de ejecución sucesiva no impide el reconocimiento y pago de las prestaciones ejecutadas hasta el momento de la declaratoria. En efecto, existe una regla especial que consiste en un reconocimiento y pago de las prestaciones ejecutadas del contrato nulo por objeto y causa ilícita, cuando se prueba que la entidad se benefició y solamente hasta el monto del beneficio que este hubiese obtenido. Para una mayor precisión, se detalla que el artículo 48 de la Ley 80 de 1993 se comprende que la entidad se benefició en cuanto a las prestaciones cumplidas le hubiesen servido para satisfacer un interés público. Dicho precepto normativo debe interpretarse de forma armónica con el artículo 1746 del Código Civil, la cual establece:</w:t>
      </w:r>
    </w:p>
    <w:p w14:paraId="6BE72570" w14:textId="77777777" w:rsidR="000F5B0E" w:rsidRPr="009305B3" w:rsidRDefault="000F5B0E" w:rsidP="000F5B0E">
      <w:pPr>
        <w:widowControl w:val="0"/>
        <w:autoSpaceDE w:val="0"/>
        <w:autoSpaceDN w:val="0"/>
        <w:spacing w:after="0" w:line="276" w:lineRule="auto"/>
        <w:ind w:right="108"/>
        <w:jc w:val="both"/>
        <w:rPr>
          <w:rFonts w:ascii="Verdana" w:eastAsia="Verdana" w:hAnsi="Verdana" w:cs="Verdana"/>
          <w:lang w:val="es-ES"/>
        </w:rPr>
      </w:pPr>
    </w:p>
    <w:p w14:paraId="1D9437F2" w14:textId="77777777" w:rsidR="000F5B0E" w:rsidRDefault="000F5B0E" w:rsidP="000F5B0E">
      <w:pPr>
        <w:widowControl w:val="0"/>
        <w:autoSpaceDE w:val="0"/>
        <w:autoSpaceDN w:val="0"/>
        <w:spacing w:after="0" w:line="240" w:lineRule="auto"/>
        <w:ind w:left="709" w:right="709"/>
        <w:jc w:val="both"/>
        <w:rPr>
          <w:rFonts w:ascii="Verdana" w:eastAsia="Verdana" w:hAnsi="Verdana" w:cs="Verdana"/>
          <w:sz w:val="20"/>
        </w:rPr>
      </w:pPr>
      <w:r w:rsidRPr="009305B3">
        <w:rPr>
          <w:rFonts w:ascii="Verdana" w:eastAsia="Verdana" w:hAnsi="Verdana" w:cs="Verdana"/>
          <w:bCs/>
          <w:sz w:val="20"/>
        </w:rPr>
        <w:t>“Artículo 1746.</w:t>
      </w:r>
      <w:r w:rsidRPr="009305B3">
        <w:rPr>
          <w:rFonts w:ascii="Verdana" w:eastAsia="Verdana" w:hAnsi="Verdana" w:cs="Verdana"/>
          <w:sz w:val="20"/>
        </w:rPr>
        <w:t xml:space="preserve"> La nulidad pronunciada en sentencia que tiene la fuerza de cosa </w:t>
      </w:r>
      <w:proofErr w:type="gramStart"/>
      <w:r w:rsidRPr="009305B3">
        <w:rPr>
          <w:rFonts w:ascii="Verdana" w:eastAsia="Verdana" w:hAnsi="Verdana" w:cs="Verdana"/>
          <w:sz w:val="20"/>
        </w:rPr>
        <w:t>juzgada,</w:t>
      </w:r>
      <w:proofErr w:type="gramEnd"/>
      <w:r w:rsidRPr="009305B3">
        <w:rPr>
          <w:rFonts w:ascii="Verdana" w:eastAsia="Verdana" w:hAnsi="Verdana" w:cs="Verdana"/>
          <w:sz w:val="20"/>
        </w:rPr>
        <w:t xml:space="preserve"> da a las partes derecho para ser restituidas al mismo estado en que se hallarían si no hubiese existido el acto o contrato nulo; sin perjuicio de lo prevenido sobre el objeto o causa ilícita. </w:t>
      </w:r>
    </w:p>
    <w:p w14:paraId="5A32F4F0"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rPr>
      </w:pPr>
    </w:p>
    <w:p w14:paraId="6FEB739A"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rPr>
      </w:pPr>
      <w:r w:rsidRPr="009305B3">
        <w:rPr>
          <w:rFonts w:ascii="Verdana" w:eastAsia="Verdana" w:hAnsi="Verdana" w:cs="Verdana"/>
          <w:sz w:val="20"/>
        </w:rPr>
        <w:t xml:space="preserve">En las restituciones mutuas que hayan de hacerse los contratantes en virtud de este pronunciamiento, será cada cual responsable de la pérdida de las especies o de su deterioro, de los intereses i frutos, i del abono de las mejoras necesarias, útiles o </w:t>
      </w:r>
      <w:proofErr w:type="spellStart"/>
      <w:r w:rsidRPr="009305B3">
        <w:rPr>
          <w:rFonts w:ascii="Verdana" w:eastAsia="Verdana" w:hAnsi="Verdana" w:cs="Verdana"/>
          <w:sz w:val="20"/>
        </w:rPr>
        <w:t>voluptuarias</w:t>
      </w:r>
      <w:proofErr w:type="spellEnd"/>
      <w:r w:rsidRPr="009305B3">
        <w:rPr>
          <w:rFonts w:ascii="Verdana" w:eastAsia="Verdana" w:hAnsi="Verdana" w:cs="Verdana"/>
          <w:sz w:val="20"/>
        </w:rPr>
        <w:t>, tomándose en consideración los casos fortuitos, i la posesión de buena fe o mala fe de las partes; todo ello según las reglas generales i sin perjuicio de lo dispuesto en el siguiente artículo”</w:t>
      </w:r>
      <w:r w:rsidRPr="009305B3">
        <w:rPr>
          <w:rFonts w:ascii="Verdana" w:eastAsia="Verdana" w:hAnsi="Verdana" w:cs="Verdana"/>
          <w:sz w:val="20"/>
          <w:vertAlign w:val="superscript"/>
        </w:rPr>
        <w:footnoteReference w:id="15"/>
      </w:r>
      <w:r w:rsidRPr="009305B3">
        <w:rPr>
          <w:rFonts w:ascii="Verdana" w:eastAsia="Verdana" w:hAnsi="Verdana" w:cs="Verdana"/>
          <w:sz w:val="20"/>
        </w:rPr>
        <w:t>. </w:t>
      </w:r>
    </w:p>
    <w:p w14:paraId="36BEC1AC" w14:textId="77777777" w:rsidR="000F5B0E" w:rsidRPr="009305B3" w:rsidRDefault="000F5B0E" w:rsidP="000F5B0E">
      <w:pPr>
        <w:widowControl w:val="0"/>
        <w:autoSpaceDE w:val="0"/>
        <w:autoSpaceDN w:val="0"/>
        <w:spacing w:after="0" w:line="276" w:lineRule="auto"/>
        <w:jc w:val="both"/>
        <w:rPr>
          <w:rFonts w:ascii="Verdana" w:eastAsia="Verdana" w:hAnsi="Verdana" w:cs="Verdana"/>
        </w:rPr>
      </w:pPr>
    </w:p>
    <w:p w14:paraId="4F18BE86" w14:textId="77777777" w:rsidR="000F5B0E" w:rsidRPr="009305B3" w:rsidRDefault="000F5B0E" w:rsidP="000F5B0E">
      <w:pPr>
        <w:widowControl w:val="0"/>
        <w:autoSpaceDE w:val="0"/>
        <w:autoSpaceDN w:val="0"/>
        <w:spacing w:after="0" w:line="276" w:lineRule="auto"/>
        <w:ind w:firstLine="709"/>
        <w:jc w:val="both"/>
        <w:rPr>
          <w:rFonts w:ascii="Verdana" w:eastAsia="Verdana" w:hAnsi="Verdana" w:cs="Verdana"/>
        </w:rPr>
      </w:pPr>
      <w:r w:rsidRPr="009305B3">
        <w:rPr>
          <w:rFonts w:ascii="Verdana" w:eastAsia="Verdana" w:hAnsi="Verdana" w:cs="Verdana"/>
        </w:rPr>
        <w:t xml:space="preserve">Este artículo precitado del Código Civil regula que la declaratoria de nulidad de contrato estatal implica la restitución de las partes al estado en que se encontrarían de no haberse celebrado el negocio jurídico. </w:t>
      </w:r>
      <w:proofErr w:type="gramStart"/>
      <w:r w:rsidRPr="009305B3">
        <w:rPr>
          <w:rFonts w:ascii="Verdana" w:eastAsia="Verdana" w:hAnsi="Verdana" w:cs="Verdana"/>
        </w:rPr>
        <w:t>A pesar que</w:t>
      </w:r>
      <w:proofErr w:type="gramEnd"/>
      <w:r w:rsidRPr="009305B3">
        <w:rPr>
          <w:rFonts w:ascii="Verdana" w:eastAsia="Verdana" w:hAnsi="Verdana" w:cs="Verdana"/>
        </w:rPr>
        <w:t xml:space="preserve"> el artículo 48 no alude de forma expresa a “las restituciones mutuas”, si regula dicha consecuencia a las particularidades de los contratos estatales de tracto sucesivo. Al respecto, el Consejo de Estado expresó:</w:t>
      </w:r>
    </w:p>
    <w:p w14:paraId="0351E8C2" w14:textId="77777777" w:rsidR="000F5B0E" w:rsidRPr="009305B3" w:rsidRDefault="000F5B0E" w:rsidP="000F5B0E">
      <w:pPr>
        <w:widowControl w:val="0"/>
        <w:autoSpaceDE w:val="0"/>
        <w:autoSpaceDN w:val="0"/>
        <w:spacing w:after="0" w:line="240" w:lineRule="auto"/>
        <w:ind w:firstLine="709"/>
        <w:jc w:val="both"/>
        <w:rPr>
          <w:rFonts w:ascii="Verdana" w:eastAsia="Verdana" w:hAnsi="Verdana" w:cs="Verdana"/>
        </w:rPr>
      </w:pPr>
    </w:p>
    <w:p w14:paraId="785B184A"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r w:rsidRPr="009305B3">
        <w:rPr>
          <w:rFonts w:ascii="Verdana" w:eastAsia="Verdana" w:hAnsi="Verdana" w:cs="Verdana"/>
          <w:sz w:val="20"/>
          <w:szCs w:val="20"/>
        </w:rPr>
        <w:t>“84. De acuerdo con lo expuesto, el artículo 48 de la Ley 80 de 1993 no contradice el principio según el cual las partes deben ser restituidas al estado en que se hallarían si el acto o contrato nulo no hubiera existido. Tampoco ordena que la entidad estatal asuma obligaciones dinerarias pendientes de pago, como si el contrato siguiera produciendo efectos jurídicos. Lo que realmente establece es que, para restablecer hasta donde sea posible el statu quo ante y frente a la imposibilidad de efectuar la restitución in natura, la entidad pague el subrogado pecuniario de las prestaciones ejecutadas por el contratista que no hubieran sido remuneradas antes de la declaratoria de nulidad.</w:t>
      </w:r>
    </w:p>
    <w:p w14:paraId="59BFC977"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p>
    <w:p w14:paraId="2DA0D171"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r w:rsidRPr="009305B3">
        <w:rPr>
          <w:rFonts w:ascii="Verdana" w:eastAsia="Verdana" w:hAnsi="Verdana" w:cs="Verdana"/>
          <w:sz w:val="20"/>
          <w:szCs w:val="20"/>
        </w:rPr>
        <w:t>85. Ahora bien, el inciso segundo del artículo 48 de la Ley 80 de 1993 constituye una norma especial frente al artículo 1746 del Código Civil, pues introduce un requisito que no está previsto en el derecho común para ordenar las restituciones. Cuando la nulidad absoluta se origina en un objeto o causa ilícita, el derecho del contratista a obtener la restitución por equivalente pecuniario queda supeditado a que las prestaciones ejecutadas antes de la declaratoria judicial de nulidad hayan beneficiado a la entidad estatal, sin que el reconocimiento pueda superar el monto de dicho beneficio. Este requisito no está previsto en el derecho común y allí radica la especialidad de la regla del derecho público.</w:t>
      </w:r>
    </w:p>
    <w:p w14:paraId="0D8FB585"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p>
    <w:p w14:paraId="5D335E25"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r w:rsidRPr="009305B3">
        <w:rPr>
          <w:rFonts w:ascii="Verdana" w:eastAsia="Verdana" w:hAnsi="Verdana" w:cs="Verdana"/>
          <w:sz w:val="20"/>
          <w:szCs w:val="20"/>
        </w:rPr>
        <w:t>86. Este requisito que impone el inciso segundo del artículo 48 de la Ley 80 de 1993 es aplicable en dos hipótesis fácticas diferentes: (i) cuando se hubieran ejecutado prestaciones que, al momento de declararse la nulidad, aún no habían sido remuneradas, y (</w:t>
      </w:r>
      <w:proofErr w:type="spellStart"/>
      <w:r w:rsidRPr="009305B3">
        <w:rPr>
          <w:rFonts w:ascii="Verdana" w:eastAsia="Verdana" w:hAnsi="Verdana" w:cs="Verdana"/>
          <w:sz w:val="20"/>
          <w:szCs w:val="20"/>
        </w:rPr>
        <w:t>ii</w:t>
      </w:r>
      <w:proofErr w:type="spellEnd"/>
      <w:r w:rsidRPr="009305B3">
        <w:rPr>
          <w:rFonts w:ascii="Verdana" w:eastAsia="Verdana" w:hAnsi="Verdana" w:cs="Verdana"/>
          <w:sz w:val="20"/>
          <w:szCs w:val="20"/>
        </w:rPr>
        <w:t>) cuando dichas prestaciones ya habían sido pagadas conforme a lo pactado en el contrato.</w:t>
      </w:r>
    </w:p>
    <w:p w14:paraId="16AF9F70" w14:textId="77777777" w:rsidR="000F5B0E" w:rsidRPr="009305B3" w:rsidRDefault="000F5B0E" w:rsidP="000F5B0E">
      <w:pPr>
        <w:widowControl w:val="0"/>
        <w:autoSpaceDE w:val="0"/>
        <w:autoSpaceDN w:val="0"/>
        <w:spacing w:after="0" w:line="240" w:lineRule="auto"/>
        <w:ind w:left="709" w:right="709"/>
        <w:jc w:val="both"/>
        <w:rPr>
          <w:rFonts w:ascii="Verdana" w:eastAsia="Verdana" w:hAnsi="Verdana" w:cs="Verdana"/>
          <w:sz w:val="20"/>
          <w:szCs w:val="20"/>
        </w:rPr>
      </w:pPr>
      <w:r w:rsidRPr="009305B3">
        <w:rPr>
          <w:rFonts w:ascii="Verdana" w:eastAsia="Verdana" w:hAnsi="Verdana" w:cs="Verdana"/>
          <w:sz w:val="20"/>
          <w:szCs w:val="20"/>
        </w:rPr>
        <w:t xml:space="preserve">87. Si el contratista realizó una prestación que no había sido remunerada, pero esta no generó un beneficio a la entidad estatal, no habrá lugar a su reconocimiento y pago en la sentencia que declara la nulidad del contrato. Si el contratista realizó prestaciones a favor de la entidad estatal y estas fueron remuneradas antes de declararse nulo el contrato, pero se comprueba que no generaron un beneficio a la entidad estatal, el contratista deberá devolver las sumas recibidas en virtud del contrato, pues se entendería que la entidad no le adeuda nada a título de restituciones mutuas. En consecuencia, no se configuraría la </w:t>
      </w:r>
      <w:r w:rsidRPr="009305B3">
        <w:rPr>
          <w:rFonts w:ascii="Verdana" w:eastAsia="Verdana" w:hAnsi="Verdana" w:cs="Verdana"/>
          <w:sz w:val="20"/>
          <w:szCs w:val="20"/>
        </w:rPr>
        <w:lastRenderedPageBreak/>
        <w:t>compensación como modo de extinción de las obligaciones, dado que esta requiere que ambas partes sean deudoras recíprocas y la entidad estatal no tendría esa condición”</w:t>
      </w:r>
      <w:r w:rsidRPr="009305B3">
        <w:rPr>
          <w:rFonts w:ascii="Verdana" w:eastAsia="Verdana" w:hAnsi="Verdana" w:cs="Verdana"/>
          <w:sz w:val="20"/>
          <w:szCs w:val="20"/>
          <w:vertAlign w:val="superscript"/>
        </w:rPr>
        <w:footnoteReference w:id="16"/>
      </w:r>
      <w:r w:rsidRPr="009305B3">
        <w:rPr>
          <w:rFonts w:ascii="Verdana" w:eastAsia="Verdana" w:hAnsi="Verdana" w:cs="Verdana"/>
          <w:sz w:val="20"/>
          <w:szCs w:val="20"/>
        </w:rPr>
        <w:t>.</w:t>
      </w:r>
    </w:p>
    <w:p w14:paraId="6A84580A" w14:textId="77777777" w:rsidR="000F5B0E" w:rsidRPr="009305B3" w:rsidRDefault="000F5B0E" w:rsidP="000F5B0E">
      <w:pPr>
        <w:widowControl w:val="0"/>
        <w:autoSpaceDE w:val="0"/>
        <w:autoSpaceDN w:val="0"/>
        <w:spacing w:after="0" w:line="276" w:lineRule="auto"/>
        <w:ind w:right="108"/>
        <w:jc w:val="both"/>
        <w:rPr>
          <w:rFonts w:ascii="Verdana" w:eastAsia="Verdana" w:hAnsi="Verdana" w:cs="Verdana"/>
        </w:rPr>
      </w:pPr>
    </w:p>
    <w:p w14:paraId="723254FE" w14:textId="77777777" w:rsidR="000F5B0E" w:rsidRPr="009305B3" w:rsidRDefault="000F5B0E" w:rsidP="000F5B0E">
      <w:pPr>
        <w:widowControl w:val="0"/>
        <w:autoSpaceDE w:val="0"/>
        <w:autoSpaceDN w:val="0"/>
        <w:spacing w:after="120" w:line="276" w:lineRule="auto"/>
        <w:ind w:right="108" w:firstLine="708"/>
        <w:jc w:val="both"/>
        <w:rPr>
          <w:rFonts w:ascii="Verdana" w:eastAsia="Verdana" w:hAnsi="Verdana" w:cs="Verdana"/>
        </w:rPr>
      </w:pPr>
      <w:r w:rsidRPr="009305B3">
        <w:rPr>
          <w:rFonts w:ascii="Verdana" w:eastAsia="Verdana" w:hAnsi="Verdana" w:cs="Verdana"/>
        </w:rPr>
        <w:t xml:space="preserve">Bajo los supuestos de la norma, según lo expresado por el Consejo de Estado, el derecho del contratista a obtener restituciones queda condicionado a la demostración de que las prestaciones ejecutadas hayan generado un beneficio para la entidad estatal, sin que el reconocimiento económico pueda exceder el valor de dicho beneficio. Esta exigencia, que no se presenta en el derecho civil común, introduce un estándar más estricto propio del derecho público, orientado a la protección del interés público como su fundamento. </w:t>
      </w:r>
    </w:p>
    <w:p w14:paraId="0FF37A8E" w14:textId="77777777" w:rsidR="000F5B0E" w:rsidRPr="009305B3" w:rsidRDefault="000F5B0E" w:rsidP="000F5B0E">
      <w:pPr>
        <w:widowControl w:val="0"/>
        <w:autoSpaceDE w:val="0"/>
        <w:autoSpaceDN w:val="0"/>
        <w:spacing w:after="120" w:line="276" w:lineRule="auto"/>
        <w:ind w:right="108" w:firstLine="708"/>
        <w:jc w:val="both"/>
        <w:rPr>
          <w:rFonts w:ascii="Verdana" w:eastAsia="Verdana" w:hAnsi="Verdana" w:cs="Verdana"/>
        </w:rPr>
      </w:pPr>
      <w:r w:rsidRPr="009305B3">
        <w:rPr>
          <w:rFonts w:ascii="Verdana" w:eastAsia="Verdana" w:hAnsi="Verdana" w:cs="Verdana"/>
        </w:rPr>
        <w:t xml:space="preserve">Sin embargo, la aplicación de esta regla especial no supone la inaplicación del artículo 1525 del Código Civil, que prescribe: “No podrá repetirse lo que se </w:t>
      </w:r>
      <w:proofErr w:type="spellStart"/>
      <w:r w:rsidRPr="009305B3">
        <w:rPr>
          <w:rFonts w:ascii="Verdana" w:eastAsia="Verdana" w:hAnsi="Verdana" w:cs="Verdana"/>
        </w:rPr>
        <w:t>haia</w:t>
      </w:r>
      <w:proofErr w:type="spellEnd"/>
      <w:r w:rsidRPr="009305B3">
        <w:rPr>
          <w:rFonts w:ascii="Verdana" w:eastAsia="Verdana" w:hAnsi="Verdana" w:cs="Verdana"/>
        </w:rPr>
        <w:t xml:space="preserve"> dado o pagado por un objeto o causa ilícita a sabiendas”, por el contrario, se establecen requisitos adicionales para las entidades sujetas a Ley 80 de 1993: que no se trate de prestaciones ejecutadas con conocimiento de la ilicitud y que dichas prestaciones hayan reportado un beneficio efectivo a la entidad estatal</w:t>
      </w:r>
      <w:r w:rsidRPr="009305B3">
        <w:rPr>
          <w:rFonts w:ascii="Verdana" w:eastAsia="Verdana" w:hAnsi="Verdana" w:cs="Verdana"/>
          <w:vertAlign w:val="superscript"/>
        </w:rPr>
        <w:footnoteReference w:id="17"/>
      </w:r>
      <w:r w:rsidRPr="009305B3">
        <w:rPr>
          <w:rFonts w:ascii="Verdana" w:eastAsia="Verdana" w:hAnsi="Verdana" w:cs="Verdana"/>
        </w:rPr>
        <w:t xml:space="preserve">. </w:t>
      </w:r>
    </w:p>
    <w:p w14:paraId="0AB14AD1" w14:textId="77777777" w:rsidR="000F5B0E" w:rsidRPr="009305B3" w:rsidRDefault="000F5B0E" w:rsidP="000F5B0E">
      <w:pPr>
        <w:widowControl w:val="0"/>
        <w:autoSpaceDE w:val="0"/>
        <w:autoSpaceDN w:val="0"/>
        <w:spacing w:after="120" w:line="276" w:lineRule="auto"/>
        <w:ind w:right="108" w:firstLine="708"/>
        <w:jc w:val="both"/>
        <w:rPr>
          <w:rFonts w:ascii="Verdana" w:eastAsia="Verdana" w:hAnsi="Verdana" w:cs="Verdana"/>
        </w:rPr>
      </w:pPr>
      <w:r w:rsidRPr="009305B3">
        <w:rPr>
          <w:rFonts w:ascii="Verdana" w:eastAsia="Verdana" w:hAnsi="Verdana" w:cs="Verdana"/>
        </w:rPr>
        <w:t xml:space="preserve">Ahora bien, el reconocimiento económico que pueda derivarse, conforme a las condiciones establecidas en la Ley 80 de 1993, no puede confundirse con una autorización para continuar la ejecución del contrato o la administración de recursos públicos. El hecho de que se reconozca lo efectivamente ejecutado no significa, per se, que el contratista conserve facultades para seguir actuando como si el contrato se encontrara vigente, pues ello desconocería los efectos propios de la nulidad declarada por parte del juez contencioso administrativo. </w:t>
      </w:r>
    </w:p>
    <w:p w14:paraId="4E8FF45D" w14:textId="77777777" w:rsidR="000F5B0E" w:rsidRPr="009305B3" w:rsidRDefault="000F5B0E" w:rsidP="000F5B0E">
      <w:pPr>
        <w:widowControl w:val="0"/>
        <w:autoSpaceDE w:val="0"/>
        <w:autoSpaceDN w:val="0"/>
        <w:spacing w:after="120" w:line="276" w:lineRule="auto"/>
        <w:ind w:right="108" w:firstLine="708"/>
        <w:jc w:val="both"/>
        <w:rPr>
          <w:rFonts w:ascii="Verdana" w:eastAsia="Verdana" w:hAnsi="Verdana" w:cs="Verdana"/>
        </w:rPr>
      </w:pPr>
      <w:r w:rsidRPr="009305B3">
        <w:rPr>
          <w:rFonts w:ascii="Verdana" w:eastAsia="Verdana" w:hAnsi="Verdana" w:cs="Verdana"/>
        </w:rPr>
        <w:t xml:space="preserve">En este punto, resulta pertinente tener en cuenta lo dispuesto el inciso </w:t>
      </w:r>
      <w:r w:rsidRPr="009305B3">
        <w:rPr>
          <w:rFonts w:ascii="Verdana" w:eastAsia="Verdana" w:hAnsi="Verdana" w:cs="Verdana"/>
        </w:rPr>
        <w:lastRenderedPageBreak/>
        <w:t xml:space="preserve">segundo del artículo 45 de la Ley 80 de 1993 sobre las consecuencias de la nulidad absoluta: “En los casos previstos en los numerales 1o., 2o. y 4o. del artículo anterior, el jefe o representante legal de la entidad respectiva deberá dar por terminado el contrato mediante acto administrativo debidamente motivado y ordenará su liquidación en el estado en que se encuentre”. En otras palabras, una vez declarada judicialmente la nulidad de un contrato estatal y ordenada su terminación, no existe habilitación, ni expresa ni implícita, a que el contratista continúe gestionando la administración de recursos públicos derivados de dicho contrato mientras se adelanta la liquidación. </w:t>
      </w:r>
    </w:p>
    <w:p w14:paraId="039E75B8" w14:textId="77777777" w:rsidR="000F5B0E" w:rsidRDefault="000F5B0E" w:rsidP="000F5B0E">
      <w:pPr>
        <w:widowControl w:val="0"/>
        <w:autoSpaceDE w:val="0"/>
        <w:autoSpaceDN w:val="0"/>
        <w:spacing w:after="120" w:line="276" w:lineRule="auto"/>
        <w:ind w:right="108" w:firstLine="709"/>
        <w:jc w:val="both"/>
        <w:rPr>
          <w:rFonts w:ascii="Verdana" w:eastAsia="Verdana" w:hAnsi="Verdana" w:cs="Verdana"/>
        </w:rPr>
      </w:pPr>
      <w:r w:rsidRPr="009305B3">
        <w:rPr>
          <w:rFonts w:ascii="Verdana" w:eastAsia="Verdana" w:hAnsi="Verdana" w:cs="Verdana"/>
        </w:rPr>
        <w:t xml:space="preserve">Es menester señalar, que en la etapa de liquidación cumple un propósito estricto de ajuste de cuentas desde el punto de vista contable, jurídico, administrativo y financiero orientado a determinar saldos, obligaciones y restituciones mutuas, pero no a prolongar la ejecución contractual. Por tanto, durante la liquidación el contratista no puede seguir ejecutando actividades ni administrando recursos públicos, los cuales deben quedar bajo la competencia de la entidad estatal, garantizando el respeto de los principios de legalidad, transparencia e interés general propio del Derecho Administrativo. </w:t>
      </w:r>
    </w:p>
    <w:p w14:paraId="7116D6D4" w14:textId="77777777" w:rsidR="000F5B0E" w:rsidRDefault="000F5B0E" w:rsidP="000F5B0E">
      <w:pPr>
        <w:spacing w:after="120" w:line="276" w:lineRule="auto"/>
        <w:ind w:firstLine="709"/>
        <w:jc w:val="both"/>
        <w:rPr>
          <w:rFonts w:ascii="Verdana" w:eastAsia="Calibri" w:hAnsi="Verdana" w:cs="Times New Roman"/>
          <w:bCs/>
          <w:iCs/>
        </w:rPr>
      </w:pPr>
      <w:r>
        <w:rPr>
          <w:rFonts w:ascii="Verdana" w:eastAsia="Calibri" w:hAnsi="Verdana" w:cs="Times New Roman"/>
          <w:bCs/>
          <w:iCs/>
          <w:lang w:val="es-ES"/>
        </w:rPr>
        <w:t>En cuanto a la responsabilidad, hay que tener en cuenta</w:t>
      </w:r>
      <w:r w:rsidRPr="00F20869">
        <w:rPr>
          <w:rFonts w:ascii="Verdana" w:eastAsia="Calibri" w:hAnsi="Verdana" w:cs="Times New Roman"/>
          <w:bCs/>
          <w:iCs/>
          <w:lang w:val="es-ES"/>
        </w:rPr>
        <w:t xml:space="preserve"> el artículo 50 de la Ley 80 de 1993, que dispone: “</w:t>
      </w:r>
      <w:r w:rsidRPr="00F20869">
        <w:rPr>
          <w:rFonts w:ascii="Verdana" w:eastAsia="Calibri" w:hAnsi="Verdana" w:cs="Times New Roman"/>
          <w:bCs/>
          <w:iCs/>
        </w:rPr>
        <w:t xml:space="preserve">Las entidades responderán por las actuaciones, abstenciones, hechos y omisiones antijurídicos que les sean imputables y que causen perjuicios a sus contratistas. En tales casos deberán indemnizar la disminución patrimonial que se ocasione, la prolongación de </w:t>
      </w:r>
      <w:proofErr w:type="gramStart"/>
      <w:r w:rsidRPr="00F20869">
        <w:rPr>
          <w:rFonts w:ascii="Verdana" w:eastAsia="Calibri" w:hAnsi="Verdana" w:cs="Times New Roman"/>
          <w:bCs/>
          <w:iCs/>
        </w:rPr>
        <w:t>la misma</w:t>
      </w:r>
      <w:proofErr w:type="gramEnd"/>
      <w:r w:rsidRPr="00F20869">
        <w:rPr>
          <w:rFonts w:ascii="Verdana" w:eastAsia="Calibri" w:hAnsi="Verdana" w:cs="Times New Roman"/>
          <w:bCs/>
          <w:iCs/>
        </w:rPr>
        <w:t xml:space="preserve"> y la ganancia, beneficio o provecho dejados de percibir por el contratista”.</w:t>
      </w:r>
      <w:r>
        <w:rPr>
          <w:rFonts w:ascii="Verdana" w:eastAsia="Calibri" w:hAnsi="Verdana" w:cs="Times New Roman"/>
          <w:bCs/>
          <w:iCs/>
        </w:rPr>
        <w:t xml:space="preserve"> Así mismo, en torno a la responsabilidad de los servidores públicos, el artículo 51 de la Ley 80 de 1993 dispone: </w:t>
      </w:r>
      <w:r w:rsidRPr="00D9055D">
        <w:rPr>
          <w:rFonts w:ascii="Verdana" w:eastAsia="Calibri" w:hAnsi="Verdana" w:cs="Times New Roman"/>
          <w:bCs/>
          <w:iCs/>
        </w:rPr>
        <w:t>“[…] El servidor público responderá disciplinaria, civil y penalmente por sus acciones y omisiones en la actuación contractual en los términos de la Constitución y de la ley”.</w:t>
      </w:r>
    </w:p>
    <w:p w14:paraId="143C6BB2" w14:textId="77777777" w:rsidR="000F5B0E" w:rsidRPr="009B58B6" w:rsidRDefault="000F5B0E" w:rsidP="000F5B0E">
      <w:pPr>
        <w:spacing w:after="120" w:line="276" w:lineRule="auto"/>
        <w:ind w:firstLine="708"/>
        <w:jc w:val="both"/>
        <w:rPr>
          <w:rFonts w:ascii="Verdana" w:eastAsia="Calibri" w:hAnsi="Verdana" w:cs="Times New Roman"/>
          <w:bCs/>
          <w:iCs/>
        </w:rPr>
      </w:pPr>
      <w:r>
        <w:rPr>
          <w:rFonts w:ascii="Verdana" w:eastAsia="Calibri" w:hAnsi="Verdana" w:cs="Times New Roman"/>
          <w:bCs/>
          <w:iCs/>
        </w:rPr>
        <w:t xml:space="preserve">Bajo esta perspectiva, las entidades y servidores públicos deben responder por las actuaciones, hechos y omisiones en el ejercicio de sus funciones que se enmarcan en el proceso de contratación respectivo. En todo caso, </w:t>
      </w:r>
      <w:r w:rsidRPr="003F3782">
        <w:rPr>
          <w:rFonts w:ascii="Verdana" w:eastAsia="Calibri" w:hAnsi="Verdana" w:cs="Times New Roman"/>
          <w:bCs/>
          <w:iCs/>
        </w:rPr>
        <w:t xml:space="preserve">la Agencia Nacional de Contratación Pública – Colombia Compra Eficiente no cuenta con facultades para juzgar la legalidad de sus actuaciones ni para determinar la responsabilidad de los servidores públicos, la eventual inobservancia de los parámetros mencionados debe analizarse por las instancias judiciales o de control competentes, con estricto respeto del principio de </w:t>
      </w:r>
      <w:r w:rsidRPr="003F3782">
        <w:rPr>
          <w:rFonts w:ascii="Verdana" w:eastAsia="Calibri" w:hAnsi="Verdana" w:cs="Times New Roman"/>
          <w:bCs/>
          <w:iCs/>
        </w:rPr>
        <w:lastRenderedPageBreak/>
        <w:t>legalidad. Son estas autoridades las llamadas a valorar la adecuación de la conducta frente al marco normativo aplicable y a establecer si se configura alguna infracción disciplinaria, fiscal o penal.</w:t>
      </w:r>
    </w:p>
    <w:p w14:paraId="6CFC35B2" w14:textId="77777777" w:rsidR="000F5B0E" w:rsidRPr="009305B3" w:rsidRDefault="000F5B0E" w:rsidP="000F5B0E">
      <w:pPr>
        <w:tabs>
          <w:tab w:val="left" w:pos="709"/>
        </w:tabs>
        <w:spacing w:after="0" w:line="240" w:lineRule="auto"/>
        <w:jc w:val="both"/>
        <w:rPr>
          <w:rFonts w:ascii="Verdana" w:eastAsia="Calibri" w:hAnsi="Verdana" w:cs="Arial"/>
          <w:color w:val="000000"/>
          <w:lang w:val="es-ES"/>
        </w:rPr>
      </w:pPr>
    </w:p>
    <w:bookmarkEnd w:id="1"/>
    <w:p w14:paraId="22A4EA0C" w14:textId="77777777" w:rsidR="000F5B0E" w:rsidRPr="009305B3" w:rsidRDefault="000F5B0E" w:rsidP="000F5B0E">
      <w:pPr>
        <w:spacing w:after="120" w:line="276" w:lineRule="auto"/>
        <w:jc w:val="both"/>
        <w:rPr>
          <w:rFonts w:ascii="Verdana" w:eastAsia="Calibri" w:hAnsi="Verdana" w:cs="Arial"/>
          <w:color w:val="000000" w:themeColor="text1"/>
          <w:lang w:val="es-ES"/>
        </w:rPr>
      </w:pPr>
      <w:r w:rsidRPr="009305B3">
        <w:rPr>
          <w:rFonts w:ascii="Verdana" w:eastAsia="Calibri" w:hAnsi="Verdana" w:cs="Arial"/>
          <w:color w:val="000000" w:themeColor="text1"/>
          <w:lang w:val="es-ES"/>
        </w:rPr>
        <w:t>v</w:t>
      </w:r>
      <w:r>
        <w:rPr>
          <w:rFonts w:ascii="Verdana" w:eastAsia="Calibri" w:hAnsi="Verdana" w:cs="Arial"/>
          <w:color w:val="000000" w:themeColor="text1"/>
          <w:lang w:val="es-ES"/>
        </w:rPr>
        <w:t>i</w:t>
      </w:r>
      <w:r w:rsidRPr="009305B3">
        <w:rPr>
          <w:rFonts w:ascii="Verdana" w:eastAsia="Calibri" w:hAnsi="Verdana" w:cs="Arial"/>
          <w:color w:val="000000" w:themeColor="text1"/>
          <w:lang w:val="es-ES"/>
        </w:rPr>
        <w:t xml:space="preserve">. Al </w:t>
      </w:r>
      <w:r w:rsidRPr="009305B3">
        <w:rPr>
          <w:rFonts w:ascii="Verdana" w:hAnsi="Verdana" w:cs="Arial"/>
          <w:lang w:val="es-ES_tradnl" w:eastAsia="es-ES"/>
        </w:rPr>
        <w:t>margen de la explicación precedente debe advertirse que el análisis requerido para resolver problemas específicos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BB395EB" w14:textId="77777777" w:rsidR="000F5B0E" w:rsidRPr="009305B3" w:rsidRDefault="000F5B0E" w:rsidP="000F5B0E">
      <w:pPr>
        <w:spacing w:after="0" w:line="276" w:lineRule="auto"/>
        <w:ind w:firstLine="709"/>
        <w:jc w:val="both"/>
        <w:rPr>
          <w:rFonts w:ascii="Verdana" w:hAnsi="Verdana" w:cs="Arial"/>
          <w:lang w:val="es-ES" w:eastAsia="es-ES"/>
        </w:rPr>
      </w:pPr>
      <w:r w:rsidRPr="009305B3">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38B1DC2" w14:textId="77777777" w:rsidR="000F5B0E" w:rsidRPr="009305B3" w:rsidRDefault="000F5B0E" w:rsidP="000F5B0E">
      <w:pPr>
        <w:spacing w:after="0" w:line="276" w:lineRule="auto"/>
        <w:jc w:val="both"/>
        <w:rPr>
          <w:rFonts w:ascii="Verdana" w:eastAsia="Calibri" w:hAnsi="Verdana" w:cs="Arial"/>
          <w:lang w:val="es-ES" w:eastAsia="es-MX"/>
        </w:rPr>
      </w:pPr>
    </w:p>
    <w:p w14:paraId="2B015699" w14:textId="77777777" w:rsidR="000F5B0E" w:rsidRPr="009305B3" w:rsidRDefault="000F5B0E" w:rsidP="000F5B0E">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305B3">
        <w:rPr>
          <w:rFonts w:ascii="Verdana" w:eastAsia="Century Gothic" w:hAnsi="Verdana" w:cs="Century Gothic"/>
          <w:b/>
          <w:bCs/>
          <w:lang w:val="es-ES"/>
        </w:rPr>
        <w:t>Referencias normativas:</w:t>
      </w:r>
    </w:p>
    <w:p w14:paraId="6D63EB1E" w14:textId="77777777" w:rsidR="000F5B0E" w:rsidRPr="009305B3" w:rsidRDefault="000F5B0E" w:rsidP="000F5B0E">
      <w:pPr>
        <w:widowControl w:val="0"/>
        <w:autoSpaceDE w:val="0"/>
        <w:autoSpaceDN w:val="0"/>
        <w:spacing w:after="0" w:line="276" w:lineRule="auto"/>
        <w:jc w:val="both"/>
        <w:rPr>
          <w:rFonts w:ascii="Verdana" w:hAnsi="Verdana" w:cs="Arial"/>
        </w:rPr>
      </w:pPr>
    </w:p>
    <w:tbl>
      <w:tblPr>
        <w:tblStyle w:val="Tablaconcuadrcula12"/>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F5B0E" w:rsidRPr="009305B3" w14:paraId="716EDE07" w14:textId="77777777" w:rsidTr="00B12B0F">
        <w:trPr>
          <w:trHeight w:val="487"/>
          <w:jc w:val="center"/>
        </w:trPr>
        <w:tc>
          <w:tcPr>
            <w:tcW w:w="8647" w:type="dxa"/>
          </w:tcPr>
          <w:p w14:paraId="2D3FDF4D" w14:textId="77777777" w:rsidR="000F5B0E" w:rsidRPr="009305B3" w:rsidRDefault="000F5B0E" w:rsidP="00B12B0F">
            <w:pPr>
              <w:widowControl w:val="0"/>
              <w:numPr>
                <w:ilvl w:val="0"/>
                <w:numId w:val="17"/>
              </w:numPr>
              <w:autoSpaceDE w:val="0"/>
              <w:autoSpaceDN w:val="0"/>
              <w:spacing w:before="120" w:after="120" w:line="276" w:lineRule="auto"/>
              <w:ind w:left="714" w:hanging="357"/>
              <w:jc w:val="both"/>
              <w:rPr>
                <w:rFonts w:ascii="Verdana" w:hAnsi="Verdana" w:cs="Arial"/>
                <w:shd w:val="clear" w:color="auto" w:fill="FFFFFF"/>
              </w:rPr>
            </w:pPr>
            <w:r w:rsidRPr="009305B3">
              <w:rPr>
                <w:rFonts w:ascii="Verdana" w:hAnsi="Verdana" w:cs="Arial"/>
                <w:shd w:val="clear" w:color="auto" w:fill="FFFFFF"/>
              </w:rPr>
              <w:t xml:space="preserve">Ley 80 de 1993, artículos 13, </w:t>
            </w:r>
            <w:r>
              <w:rPr>
                <w:rFonts w:ascii="Verdana" w:hAnsi="Verdana" w:cs="Arial"/>
                <w:shd w:val="clear" w:color="auto" w:fill="FFFFFF"/>
              </w:rPr>
              <w:t xml:space="preserve">26, </w:t>
            </w:r>
            <w:r w:rsidRPr="009305B3">
              <w:rPr>
                <w:rFonts w:ascii="Verdana" w:hAnsi="Verdana" w:cs="Arial"/>
                <w:shd w:val="clear" w:color="auto" w:fill="FFFFFF"/>
              </w:rPr>
              <w:t xml:space="preserve">32, 40, 44,45, 46,47, 48. </w:t>
            </w:r>
          </w:p>
          <w:p w14:paraId="06665B20" w14:textId="77777777" w:rsidR="000F5B0E" w:rsidRPr="009305B3" w:rsidRDefault="000F5B0E" w:rsidP="00B12B0F">
            <w:pPr>
              <w:widowControl w:val="0"/>
              <w:numPr>
                <w:ilvl w:val="0"/>
                <w:numId w:val="17"/>
              </w:numPr>
              <w:autoSpaceDE w:val="0"/>
              <w:autoSpaceDN w:val="0"/>
              <w:spacing w:before="120" w:after="120" w:line="276" w:lineRule="auto"/>
              <w:ind w:left="714" w:hanging="357"/>
              <w:jc w:val="both"/>
              <w:rPr>
                <w:rFonts w:ascii="Verdana" w:hAnsi="Verdana" w:cs="Arial"/>
                <w:shd w:val="clear" w:color="auto" w:fill="FFFFFF"/>
              </w:rPr>
            </w:pPr>
            <w:r w:rsidRPr="009305B3">
              <w:rPr>
                <w:rFonts w:ascii="Verdana" w:hAnsi="Verdana" w:cs="Arial"/>
                <w:shd w:val="clear" w:color="auto" w:fill="FFFFFF"/>
              </w:rPr>
              <w:t>Ley 1150 de 2007, artículo</w:t>
            </w:r>
            <w:r>
              <w:rPr>
                <w:rFonts w:ascii="Verdana" w:hAnsi="Verdana" w:cs="Arial"/>
                <w:shd w:val="clear" w:color="auto" w:fill="FFFFFF"/>
              </w:rPr>
              <w:t>s 2 y</w:t>
            </w:r>
            <w:r w:rsidRPr="009305B3">
              <w:rPr>
                <w:rFonts w:ascii="Verdana" w:hAnsi="Verdana" w:cs="Arial"/>
                <w:shd w:val="clear" w:color="auto" w:fill="FFFFFF"/>
              </w:rPr>
              <w:t xml:space="preserve"> 13.</w:t>
            </w:r>
          </w:p>
          <w:p w14:paraId="1FC29F69" w14:textId="77777777" w:rsidR="000F5B0E" w:rsidRPr="009305B3" w:rsidRDefault="000F5B0E" w:rsidP="00B12B0F">
            <w:pPr>
              <w:widowControl w:val="0"/>
              <w:numPr>
                <w:ilvl w:val="0"/>
                <w:numId w:val="17"/>
              </w:numPr>
              <w:autoSpaceDE w:val="0"/>
              <w:autoSpaceDN w:val="0"/>
              <w:spacing w:before="120" w:after="120" w:line="276" w:lineRule="auto"/>
              <w:ind w:left="714" w:hanging="357"/>
              <w:jc w:val="both"/>
              <w:rPr>
                <w:rFonts w:ascii="Verdana" w:hAnsi="Verdana" w:cs="Arial"/>
                <w:shd w:val="clear" w:color="auto" w:fill="FFFFFF"/>
              </w:rPr>
            </w:pPr>
            <w:r w:rsidRPr="009305B3">
              <w:rPr>
                <w:rFonts w:ascii="Verdana" w:hAnsi="Verdana" w:cs="Arial"/>
                <w:shd w:val="clear" w:color="auto" w:fill="FFFFFF"/>
              </w:rPr>
              <w:t>Código Civil, artículos 1519, 1525, 1602, 1625, 1741, 1742, 1743, 1746 y 1753.</w:t>
            </w:r>
          </w:p>
          <w:p w14:paraId="086A4F3F" w14:textId="77777777" w:rsidR="000F5B0E" w:rsidRPr="000045F1" w:rsidRDefault="000F5B0E" w:rsidP="00B12B0F">
            <w:pPr>
              <w:widowControl w:val="0"/>
              <w:numPr>
                <w:ilvl w:val="0"/>
                <w:numId w:val="17"/>
              </w:numPr>
              <w:autoSpaceDE w:val="0"/>
              <w:autoSpaceDN w:val="0"/>
              <w:spacing w:before="120" w:after="120" w:line="276" w:lineRule="auto"/>
              <w:ind w:left="714" w:hanging="357"/>
              <w:jc w:val="both"/>
              <w:rPr>
                <w:rFonts w:ascii="Verdana" w:hAnsi="Verdana" w:cs="Arial"/>
                <w:shd w:val="clear" w:color="auto" w:fill="FFFFFF"/>
              </w:rPr>
            </w:pPr>
            <w:r w:rsidRPr="009305B3">
              <w:rPr>
                <w:rFonts w:ascii="Verdana" w:hAnsi="Verdana" w:cs="Arial"/>
                <w:shd w:val="clear" w:color="auto" w:fill="FFFFFF"/>
              </w:rPr>
              <w:t>Código de Comercio, artículos 822, 898, 899 y 900.</w:t>
            </w:r>
            <w:r w:rsidRPr="000045F1">
              <w:rPr>
                <w:rFonts w:ascii="Verdana" w:hAnsi="Verdana" w:cs="Arial"/>
                <w:shd w:val="clear" w:color="auto" w:fill="FFFFFF"/>
              </w:rPr>
              <w:t xml:space="preserve"> </w:t>
            </w:r>
          </w:p>
        </w:tc>
      </w:tr>
    </w:tbl>
    <w:p w14:paraId="4548B0F2" w14:textId="77777777" w:rsidR="000F5B0E" w:rsidRPr="009305B3" w:rsidRDefault="000F5B0E" w:rsidP="000F5B0E">
      <w:pPr>
        <w:widowControl w:val="0"/>
        <w:autoSpaceDE w:val="0"/>
        <w:autoSpaceDN w:val="0"/>
        <w:spacing w:after="0" w:line="276" w:lineRule="auto"/>
        <w:jc w:val="both"/>
        <w:rPr>
          <w:rFonts w:ascii="Verdana" w:hAnsi="Verdana" w:cs="Arial"/>
        </w:rPr>
      </w:pPr>
    </w:p>
    <w:p w14:paraId="10B91E3E" w14:textId="77777777" w:rsidR="000F5B0E" w:rsidRPr="009305B3" w:rsidRDefault="000F5B0E" w:rsidP="000F5B0E">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305B3">
        <w:rPr>
          <w:rFonts w:ascii="Verdana" w:eastAsia="Century Gothic" w:hAnsi="Verdana" w:cs="Century Gothic"/>
          <w:b/>
          <w:bCs/>
          <w:lang w:val="es-ES"/>
        </w:rPr>
        <w:t>Doctrina de la Agencia Nacional de Contratación Pública:</w:t>
      </w:r>
    </w:p>
    <w:p w14:paraId="28C9DA56" w14:textId="77777777" w:rsidR="000F5B0E" w:rsidRPr="009305B3" w:rsidRDefault="000F5B0E" w:rsidP="000F5B0E">
      <w:pPr>
        <w:widowControl w:val="0"/>
        <w:autoSpaceDE w:val="0"/>
        <w:autoSpaceDN w:val="0"/>
        <w:spacing w:after="0" w:line="276" w:lineRule="auto"/>
        <w:jc w:val="both"/>
        <w:rPr>
          <w:rFonts w:ascii="Verdana" w:hAnsi="Verdana" w:cs="Arial"/>
        </w:rPr>
      </w:pPr>
    </w:p>
    <w:p w14:paraId="62C9D65A" w14:textId="77777777" w:rsidR="000F5B0E" w:rsidRPr="009305B3" w:rsidRDefault="000F5B0E" w:rsidP="000F5B0E">
      <w:pPr>
        <w:widowControl w:val="0"/>
        <w:autoSpaceDE w:val="0"/>
        <w:autoSpaceDN w:val="0"/>
        <w:spacing w:after="0" w:line="276" w:lineRule="auto"/>
        <w:jc w:val="both"/>
        <w:rPr>
          <w:rFonts w:ascii="Verdana" w:hAnsi="Verdana" w:cs="Arial"/>
          <w:shd w:val="clear" w:color="auto" w:fill="FFFFFF"/>
        </w:rPr>
      </w:pPr>
      <w:r w:rsidRPr="009305B3">
        <w:rPr>
          <w:rFonts w:ascii="Verdana" w:eastAsia="Aptos" w:hAnsi="Verdana" w:cs="Arial"/>
          <w:shd w:val="clear" w:color="auto" w:fill="FFFFFF"/>
          <w:lang w:val="es-ES"/>
        </w:rPr>
        <w:lastRenderedPageBreak/>
        <w:t xml:space="preserve">Sobre la nulidad de los contratos estatales, esta Subdirección se ha referido en los Conceptos </w:t>
      </w:r>
      <w:r w:rsidRPr="009305B3">
        <w:rPr>
          <w:rFonts w:ascii="Verdana" w:eastAsia="Calibri" w:hAnsi="Verdana" w:cs="Arial"/>
          <w:lang w:val="es-ES" w:eastAsia="es-MX"/>
        </w:rPr>
        <w:t>C-600 del 13 de octubre de 2020, C-378 del 31 de agosto de 2021, C-575 del 13 de octubre de 2021, C-896 del 17 de enero de 2023, C-041 del 20 de febrero de 2025</w:t>
      </w:r>
      <w:r w:rsidRPr="009305B3">
        <w:rPr>
          <w:rFonts w:ascii="Verdana" w:eastAsia="Aptos" w:hAnsi="Verdana" w:cs="Arial"/>
          <w:shd w:val="clear" w:color="auto" w:fill="FFFFFF"/>
          <w:lang w:val="es-ES"/>
        </w:rPr>
        <w:t xml:space="preserve">, C-466 del 16 de mayo de 2025, C-901 del 18 de julio de 2025, C-836 del 31 de julio de 2025, C-1511 del 26 de noviembre de 2025, C-394 del 24 de abril de 2026, </w:t>
      </w:r>
      <w:r>
        <w:rPr>
          <w:rFonts w:ascii="Verdana" w:eastAsia="Aptos" w:hAnsi="Verdana" w:cs="Arial"/>
          <w:shd w:val="clear" w:color="auto" w:fill="FFFFFF"/>
          <w:lang w:val="es-ES"/>
        </w:rPr>
        <w:t xml:space="preserve">C-499 del 8 de mayo de 2026, </w:t>
      </w:r>
      <w:r w:rsidRPr="009305B3">
        <w:rPr>
          <w:rFonts w:ascii="Verdana" w:eastAsia="Aptos" w:hAnsi="Verdana" w:cs="Arial"/>
          <w:shd w:val="clear" w:color="auto" w:fill="FFFFFF"/>
          <w:lang w:val="es-ES"/>
        </w:rPr>
        <w:t xml:space="preserve">entre otros. </w:t>
      </w:r>
      <w:r w:rsidRPr="009305B3">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743134FA" w14:textId="77777777" w:rsidR="000F5B0E" w:rsidRPr="009305B3" w:rsidRDefault="000F5B0E" w:rsidP="000F5B0E">
      <w:pPr>
        <w:spacing w:after="0" w:line="276" w:lineRule="auto"/>
        <w:jc w:val="both"/>
        <w:rPr>
          <w:rFonts w:ascii="Verdana" w:eastAsia="Calibri" w:hAnsi="Verdana" w:cs="Times New Roman"/>
        </w:rPr>
      </w:pPr>
      <w:hyperlink r:id="rId14" w:history="1">
        <w:r w:rsidRPr="009305B3">
          <w:rPr>
            <w:rFonts w:ascii="Verdana" w:eastAsia="Calibri" w:hAnsi="Verdana" w:cs="Times New Roman"/>
            <w:color w:val="0000FF"/>
            <w:u w:val="single"/>
            <w:lang w:val="es-ES"/>
          </w:rPr>
          <w:t>https://relatoria.colombiacompra.gov.co/busqueda/conceptos</w:t>
        </w:r>
      </w:hyperlink>
      <w:r w:rsidRPr="009305B3">
        <w:rPr>
          <w:rFonts w:ascii="Verdana" w:eastAsia="Calibri" w:hAnsi="Verdana" w:cs="Times New Roman"/>
        </w:rPr>
        <w:t xml:space="preserve">. </w:t>
      </w:r>
    </w:p>
    <w:p w14:paraId="1ECA4572" w14:textId="77777777" w:rsidR="000F5B0E" w:rsidRPr="009305B3" w:rsidRDefault="000F5B0E" w:rsidP="000F5B0E">
      <w:pPr>
        <w:spacing w:after="0" w:line="276" w:lineRule="auto"/>
        <w:jc w:val="both"/>
        <w:rPr>
          <w:rFonts w:ascii="Verdana" w:hAnsi="Verdana"/>
        </w:rPr>
      </w:pPr>
    </w:p>
    <w:p w14:paraId="50D6EC2C" w14:textId="77777777" w:rsidR="000F5B0E" w:rsidRPr="009305B3" w:rsidRDefault="000F5B0E" w:rsidP="000F5B0E">
      <w:pPr>
        <w:spacing w:after="0" w:line="276" w:lineRule="auto"/>
        <w:jc w:val="both"/>
        <w:rPr>
          <w:rFonts w:ascii="Verdana" w:eastAsia="Calibri" w:hAnsi="Verdana" w:cs="Times New Roman"/>
        </w:rPr>
      </w:pPr>
      <w:r w:rsidRPr="009305B3">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9305B3">
        <w:rPr>
          <w:rFonts w:ascii="Verdana" w:eastAsia="Calibri" w:hAnsi="Verdana" w:cs="Times New Roman"/>
          <w:b/>
          <w:bCs/>
        </w:rPr>
        <w:t>Curso de Contratación Pública Sostenible y Socialmente Responsable</w:t>
      </w:r>
      <w:r w:rsidRPr="009305B3">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9305B3">
        <w:rPr>
          <w:rFonts w:ascii="Verdana" w:eastAsia="Calibri" w:hAnsi="Verdana" w:cs="Times New Roman"/>
        </w:rPr>
        <w:br/>
      </w:r>
      <w:hyperlink r:id="rId15" w:tgtFrame="_new" w:history="1">
        <w:r w:rsidRPr="009305B3">
          <w:rPr>
            <w:rFonts w:ascii="Verdana" w:eastAsia="Calibri" w:hAnsi="Verdana" w:cs="Times New Roman"/>
            <w:color w:val="0000FF"/>
            <w:u w:val="single"/>
          </w:rPr>
          <w:t>https://formacionvirtual.colombiacompra.gov.co/mod/page/view.php?id=3718</w:t>
        </w:r>
      </w:hyperlink>
    </w:p>
    <w:p w14:paraId="602F31F1" w14:textId="77777777" w:rsidR="000F5B0E" w:rsidRPr="009305B3" w:rsidRDefault="000F5B0E" w:rsidP="000F5B0E">
      <w:pPr>
        <w:spacing w:after="0" w:line="276" w:lineRule="auto"/>
        <w:jc w:val="both"/>
        <w:rPr>
          <w:rFonts w:ascii="Verdana" w:eastAsia="Calibri" w:hAnsi="Verdana" w:cs="Times New Roman"/>
        </w:rPr>
      </w:pPr>
    </w:p>
    <w:p w14:paraId="0D9BE237" w14:textId="77777777" w:rsidR="000F5B0E" w:rsidRPr="009305B3" w:rsidRDefault="000F5B0E" w:rsidP="000F5B0E">
      <w:pPr>
        <w:spacing w:after="0" w:line="276" w:lineRule="auto"/>
        <w:jc w:val="both"/>
        <w:rPr>
          <w:rFonts w:ascii="Verdana" w:eastAsia="Calibri" w:hAnsi="Verdana" w:cs="Times New Roman"/>
        </w:rPr>
      </w:pPr>
      <w:r w:rsidRPr="009305B3">
        <w:rPr>
          <w:rFonts w:ascii="Verdana" w:eastAsia="Calibri" w:hAnsi="Verdana" w:cs="Times New Roman"/>
        </w:rPr>
        <w:t xml:space="preserve">De otro lado, te contamos que esta Agencia ha da un paso decisivo en la estandarización y modernización del </w:t>
      </w:r>
      <w:r w:rsidRPr="009305B3">
        <w:rPr>
          <w:rFonts w:ascii="Verdana" w:eastAsia="Calibri" w:hAnsi="Verdana" w:cs="Times New Roman"/>
          <w:b/>
          <w:bCs/>
        </w:rPr>
        <w:t>sector  social</w:t>
      </w:r>
      <w:r w:rsidRPr="009305B3">
        <w:rPr>
          <w:rFonts w:ascii="Verdana" w:eastAsia="Calibri" w:hAnsi="Verdana" w:cs="Times New Roman"/>
        </w:rPr>
        <w:t xml:space="preserve"> con la expedición de las </w:t>
      </w:r>
      <w:r w:rsidRPr="009305B3">
        <w:rPr>
          <w:rFonts w:ascii="Verdana" w:eastAsia="Calibri" w:hAnsi="Verdana" w:cs="Times New Roman"/>
          <w:b/>
          <w:bCs/>
        </w:rPr>
        <w:t>Resoluciones 539, 540, 541, 952 y 953 de 2025</w:t>
      </w:r>
      <w:r w:rsidRPr="009305B3">
        <w:rPr>
          <w:rFonts w:ascii="Verdana" w:eastAsia="Calibri" w:hAnsi="Verdana" w:cs="Times New Roman"/>
        </w:rPr>
        <w:t xml:space="preserve">, </w:t>
      </w:r>
      <w:r w:rsidRPr="009305B3">
        <w:rPr>
          <w:rFonts w:ascii="Verdana" w:eastAsia="Calibri" w:hAnsi="Verdana" w:cs="Times New Roman"/>
          <w:b/>
          <w:bCs/>
        </w:rPr>
        <w:t>mediante las cuales adoptó Documentos Tipo</w:t>
      </w:r>
      <w:r w:rsidRPr="009305B3">
        <w:rPr>
          <w:rFonts w:ascii="Verdana" w:eastAsia="Calibri" w:hAnsi="Verdana" w:cs="Times New Roman"/>
        </w:rPr>
        <w:t xml:space="preserve"> para las modalidades de selección de</w:t>
      </w:r>
      <w:r w:rsidRPr="009305B3">
        <w:rPr>
          <w:rFonts w:ascii="Verdana" w:eastAsia="Calibri" w:hAnsi="Verdana" w:cs="Times New Roman"/>
          <w:b/>
          <w:bCs/>
        </w:rPr>
        <w:t xml:space="preserve"> licitación pública (versión 2), selección abreviada de menor cuantía, mínima cuantía, consultoría e interventoría</w:t>
      </w:r>
      <w:r w:rsidRPr="009305B3">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9305B3">
          <w:rPr>
            <w:rFonts w:ascii="Verdana" w:eastAsia="Calibri" w:hAnsi="Verdana" w:cs="Times New Roman"/>
            <w:color w:val="0000FF"/>
            <w:u w:val="single"/>
          </w:rPr>
          <w:t>https://www.colombiacompra.gov.co/normativa-y-relatoria/documentos-tipo</w:t>
        </w:r>
      </w:hyperlink>
    </w:p>
    <w:p w14:paraId="30420E88" w14:textId="77777777" w:rsidR="000F5B0E" w:rsidRPr="009305B3" w:rsidRDefault="000F5B0E" w:rsidP="000F5B0E">
      <w:pPr>
        <w:spacing w:after="0" w:line="276" w:lineRule="auto"/>
        <w:jc w:val="both"/>
        <w:rPr>
          <w:rFonts w:ascii="Verdana" w:eastAsia="Calibri" w:hAnsi="Verdana" w:cs="Times New Roman"/>
        </w:rPr>
      </w:pPr>
    </w:p>
    <w:p w14:paraId="713433DF" w14:textId="77777777" w:rsidR="000F5B0E" w:rsidRPr="009305B3" w:rsidRDefault="000F5B0E" w:rsidP="000F5B0E">
      <w:pPr>
        <w:spacing w:after="0" w:line="276" w:lineRule="auto"/>
        <w:jc w:val="both"/>
        <w:rPr>
          <w:rFonts w:ascii="Verdana" w:eastAsia="Calibri" w:hAnsi="Verdana" w:cs="Times New Roman"/>
        </w:rPr>
      </w:pPr>
      <w:r w:rsidRPr="009305B3">
        <w:rPr>
          <w:rFonts w:ascii="Verdana" w:eastAsia="Calibri" w:hAnsi="Verdana" w:cs="Times New Roman"/>
        </w:rPr>
        <w:t xml:space="preserve">Si quieres conocer más sobre la aplicación de Documentos Tipo puedes consultar la última versión de la </w:t>
      </w:r>
      <w:r w:rsidRPr="009305B3">
        <w:rPr>
          <w:rFonts w:ascii="Verdana" w:eastAsia="Calibri" w:hAnsi="Verdana" w:cs="Times New Roman"/>
          <w:b/>
          <w:bCs/>
        </w:rPr>
        <w:t>Guía para la comprensión e implementación de los Documentos Tipo de obra pública de infraestructura de transporte</w:t>
      </w:r>
      <w:r w:rsidRPr="009305B3">
        <w:rPr>
          <w:rFonts w:ascii="Verdana" w:eastAsia="Calibri" w:hAnsi="Verdana" w:cs="Times New Roman"/>
        </w:rPr>
        <w:t xml:space="preserve">. En </w:t>
      </w:r>
      <w:r w:rsidRPr="009305B3">
        <w:rPr>
          <w:rFonts w:ascii="Verdana" w:eastAsia="Calibri" w:hAnsi="Verdana" w:cs="Times New Roman"/>
        </w:rPr>
        <w:lastRenderedPageBreak/>
        <w:t>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9305B3">
        <w:rPr>
          <w:rFonts w:ascii="Verdana" w:eastAsia="Calibri" w:hAnsi="Verdana" w:cs="Times New Roman"/>
        </w:rPr>
        <w:br/>
      </w:r>
      <w:hyperlink r:id="rId17" w:tgtFrame="_new" w:history="1">
        <w:r w:rsidRPr="009305B3">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7AB6E240" w14:textId="77777777" w:rsidR="000F5B0E" w:rsidRPr="009305B3" w:rsidRDefault="000F5B0E" w:rsidP="000F5B0E">
      <w:pPr>
        <w:spacing w:after="0" w:line="276" w:lineRule="auto"/>
        <w:jc w:val="both"/>
        <w:rPr>
          <w:rFonts w:ascii="Verdana" w:hAnsi="Verdana"/>
        </w:rPr>
      </w:pPr>
    </w:p>
    <w:p w14:paraId="5512B559" w14:textId="77777777" w:rsidR="000F5B0E" w:rsidRPr="009305B3" w:rsidRDefault="000F5B0E" w:rsidP="000F5B0E">
      <w:pPr>
        <w:spacing w:after="0" w:line="276" w:lineRule="auto"/>
        <w:jc w:val="both"/>
        <w:rPr>
          <w:rFonts w:ascii="Verdana" w:hAnsi="Verdana"/>
        </w:rPr>
      </w:pPr>
      <w:r w:rsidRPr="009305B3">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49C3FA2A" w14:textId="77777777" w:rsidR="000F5B0E" w:rsidRPr="009305B3" w:rsidRDefault="000F5B0E" w:rsidP="000F5B0E">
      <w:pPr>
        <w:spacing w:after="0" w:line="276" w:lineRule="auto"/>
        <w:jc w:val="both"/>
        <w:rPr>
          <w:rFonts w:ascii="Verdana" w:hAnsi="Verdana"/>
        </w:rPr>
      </w:pPr>
    </w:p>
    <w:p w14:paraId="7E60E722" w14:textId="77777777" w:rsidR="000F5B0E" w:rsidRPr="009305B3" w:rsidRDefault="000F5B0E" w:rsidP="000F5B0E">
      <w:pPr>
        <w:numPr>
          <w:ilvl w:val="0"/>
          <w:numId w:val="15"/>
        </w:numPr>
        <w:spacing w:after="0" w:line="276" w:lineRule="auto"/>
        <w:contextualSpacing/>
        <w:jc w:val="both"/>
        <w:rPr>
          <w:rFonts w:ascii="Verdana" w:eastAsia="Verdana" w:hAnsi="Verdana" w:cs="Verdana"/>
          <w:color w:val="4472C4" w:themeColor="accent1"/>
          <w:u w:val="single"/>
          <w:lang w:val="es-MX"/>
        </w:rPr>
      </w:pPr>
      <w:r w:rsidRPr="009305B3">
        <w:rPr>
          <w:rFonts w:ascii="Verdana" w:eastAsia="Verdana" w:hAnsi="Verdana" w:cs="Verdana"/>
          <w:lang w:val="es-MX"/>
        </w:rPr>
        <w:t xml:space="preserve">Línea nacional gratuita o servicio a la ciudadanía (Mesa de servicio): </w:t>
      </w:r>
      <w:r w:rsidRPr="009305B3">
        <w:rPr>
          <w:rFonts w:ascii="Verdana" w:hAnsi="Verdana"/>
          <w:color w:val="0000FF"/>
          <w:u w:val="single"/>
          <w:lang w:val="es-ES"/>
        </w:rPr>
        <w:t>01800 0520808</w:t>
      </w:r>
    </w:p>
    <w:p w14:paraId="6690074C" w14:textId="77777777" w:rsidR="000F5B0E" w:rsidRPr="009305B3" w:rsidRDefault="000F5B0E" w:rsidP="000F5B0E">
      <w:pPr>
        <w:numPr>
          <w:ilvl w:val="0"/>
          <w:numId w:val="15"/>
        </w:numPr>
        <w:spacing w:after="0" w:line="276" w:lineRule="auto"/>
        <w:contextualSpacing/>
        <w:rPr>
          <w:rFonts w:ascii="Verdana" w:eastAsia="Verdana" w:hAnsi="Verdana" w:cs="Verdana"/>
          <w:color w:val="4472C4" w:themeColor="accent1"/>
          <w:u w:val="single"/>
          <w:lang w:val="es-MX"/>
        </w:rPr>
      </w:pPr>
      <w:r w:rsidRPr="009305B3">
        <w:rPr>
          <w:rFonts w:ascii="Verdana" w:eastAsia="Verdana" w:hAnsi="Verdana" w:cs="Verdana"/>
          <w:lang w:val="es-MX"/>
        </w:rPr>
        <w:t>Línea en Bogotá (Mesa de servicio</w:t>
      </w:r>
      <w:proofErr w:type="gramStart"/>
      <w:r w:rsidRPr="009305B3">
        <w:rPr>
          <w:rFonts w:ascii="Verdana" w:eastAsia="Verdana" w:hAnsi="Verdana" w:cs="Verdana"/>
          <w:lang w:val="es-MX"/>
        </w:rPr>
        <w:t>):</w:t>
      </w:r>
      <w:r w:rsidRPr="009305B3">
        <w:rPr>
          <w:rFonts w:ascii="Verdana" w:hAnsi="Verdana"/>
          <w:color w:val="0000FF"/>
          <w:u w:val="single"/>
          <w:lang w:val="es-ES"/>
        </w:rPr>
        <w:t>+</w:t>
      </w:r>
      <w:proofErr w:type="gramEnd"/>
      <w:r w:rsidRPr="009305B3">
        <w:rPr>
          <w:rFonts w:ascii="Verdana" w:hAnsi="Verdana"/>
          <w:color w:val="0000FF"/>
          <w:u w:val="single"/>
          <w:lang w:val="es-ES"/>
        </w:rPr>
        <w:t>57 601 7456788</w:t>
      </w:r>
    </w:p>
    <w:p w14:paraId="3E74E9DE" w14:textId="77777777" w:rsidR="000F5B0E" w:rsidRPr="009305B3" w:rsidRDefault="000F5B0E" w:rsidP="000F5B0E">
      <w:pPr>
        <w:numPr>
          <w:ilvl w:val="0"/>
          <w:numId w:val="15"/>
        </w:numPr>
        <w:spacing w:after="0" w:line="276" w:lineRule="auto"/>
        <w:contextualSpacing/>
        <w:rPr>
          <w:rFonts w:ascii="Verdana" w:eastAsia="Verdana" w:hAnsi="Verdana" w:cs="Verdana"/>
          <w:color w:val="0000FF"/>
          <w:u w:val="single"/>
          <w:lang w:val="es-MX"/>
        </w:rPr>
      </w:pPr>
      <w:r w:rsidRPr="009305B3">
        <w:rPr>
          <w:rFonts w:ascii="Verdana" w:eastAsia="Verdana" w:hAnsi="Verdana" w:cs="Verdana"/>
          <w:lang w:val="es-MX"/>
        </w:rPr>
        <w:t xml:space="preserve">Correo de radicación de correspondencia: </w:t>
      </w:r>
      <w:hyperlink r:id="rId18">
        <w:r w:rsidRPr="009305B3">
          <w:rPr>
            <w:rFonts w:ascii="Verdana" w:eastAsia="Verdana" w:hAnsi="Verdana" w:cs="Verdana"/>
            <w:color w:val="0000FF"/>
            <w:u w:val="single"/>
            <w:lang w:val="es-MX"/>
          </w:rPr>
          <w:t>ventanilladeradicacion@colombiacompra.gov.co</w:t>
        </w:r>
      </w:hyperlink>
    </w:p>
    <w:p w14:paraId="263CBBC6" w14:textId="77777777" w:rsidR="000F5B0E" w:rsidRPr="009305B3" w:rsidRDefault="000F5B0E" w:rsidP="000F5B0E">
      <w:pPr>
        <w:numPr>
          <w:ilvl w:val="0"/>
          <w:numId w:val="15"/>
        </w:numPr>
        <w:spacing w:after="0" w:line="276" w:lineRule="auto"/>
        <w:contextualSpacing/>
        <w:rPr>
          <w:rFonts w:ascii="Verdana" w:eastAsia="Verdana" w:hAnsi="Verdana" w:cs="Verdana"/>
          <w:color w:val="0000FF"/>
          <w:u w:val="single"/>
          <w:lang w:val="es-MX"/>
        </w:rPr>
      </w:pPr>
      <w:r w:rsidRPr="009305B3">
        <w:rPr>
          <w:rFonts w:ascii="Verdana" w:eastAsia="Verdana" w:hAnsi="Verdana" w:cs="Verdana"/>
          <w:lang w:val="es-ES"/>
        </w:rPr>
        <w:t>Formulario web para</w:t>
      </w:r>
      <w:r w:rsidRPr="009305B3">
        <w:rPr>
          <w:rFonts w:ascii="Verdana" w:eastAsia="Verdana" w:hAnsi="Verdana" w:cs="Verdana"/>
          <w:lang w:val="es"/>
        </w:rPr>
        <w:t xml:space="preserve"> PQRSD: </w:t>
      </w:r>
      <w:hyperlink r:id="rId19">
        <w:r w:rsidRPr="009305B3">
          <w:rPr>
            <w:rFonts w:ascii="Verdana" w:eastAsia="Verdana" w:hAnsi="Verdana" w:cs="Verdana"/>
            <w:color w:val="0000FF"/>
            <w:u w:val="single"/>
            <w:lang w:val="es-MX"/>
          </w:rPr>
          <w:t>https://www.colombiacompra.gov.co/pqrsd/informacion-importante-antes-de-formular-una-pqrsd</w:t>
        </w:r>
      </w:hyperlink>
    </w:p>
    <w:p w14:paraId="02FC5168" w14:textId="77777777" w:rsidR="000F5B0E" w:rsidRPr="009305B3" w:rsidRDefault="000F5B0E" w:rsidP="000F5B0E">
      <w:pPr>
        <w:spacing w:after="0" w:line="276" w:lineRule="auto"/>
        <w:ind w:left="720"/>
        <w:jc w:val="both"/>
        <w:rPr>
          <w:rFonts w:ascii="Verdana" w:hAnsi="Verdana"/>
        </w:rPr>
      </w:pPr>
    </w:p>
    <w:p w14:paraId="24CBB848" w14:textId="77777777" w:rsidR="000F5B0E" w:rsidRPr="009305B3" w:rsidRDefault="000F5B0E" w:rsidP="000F5B0E">
      <w:pPr>
        <w:spacing w:after="0" w:line="276" w:lineRule="auto"/>
        <w:rPr>
          <w:rFonts w:ascii="Verdana" w:hAnsi="Verdana"/>
        </w:rPr>
      </w:pPr>
      <w:r w:rsidRPr="009305B3">
        <w:rPr>
          <w:rFonts w:ascii="Verdana" w:hAnsi="Verdana"/>
        </w:rPr>
        <w:t xml:space="preserve">Evalúa el servicio que ofrece la Agencia por el canal de atención de PQRSD en el siguiente </w:t>
      </w:r>
      <w:proofErr w:type="gramStart"/>
      <w:r w:rsidRPr="009305B3">
        <w:rPr>
          <w:rFonts w:ascii="Verdana" w:hAnsi="Verdana"/>
        </w:rPr>
        <w:t>enlace :</w:t>
      </w:r>
      <w:proofErr w:type="gramEnd"/>
      <w:hyperlink r:id="rId20" w:tgtFrame="_blank" w:tooltip="https://forms.office.com/r/pphywvs2sz" w:history="1">
        <w:r w:rsidRPr="009305B3">
          <w:rPr>
            <w:rFonts w:ascii="Verdana" w:hAnsi="Verdana"/>
            <w:color w:val="0000FF"/>
            <w:u w:val="single"/>
          </w:rPr>
          <w:t>https://forms.office.com/r/pPHyWVs2SZ</w:t>
        </w:r>
      </w:hyperlink>
      <w:r w:rsidRPr="009305B3">
        <w:rPr>
          <w:rFonts w:ascii="Verdana" w:hAnsi="Verdana"/>
        </w:rPr>
        <w:t xml:space="preserve"> .¡Ayúdanos a mejorar porque el compromiso es de todos!</w:t>
      </w:r>
    </w:p>
    <w:p w14:paraId="36697029" w14:textId="77777777" w:rsidR="000F5B0E" w:rsidRPr="009305B3" w:rsidRDefault="000F5B0E" w:rsidP="000F5B0E">
      <w:pPr>
        <w:spacing w:after="0" w:line="276" w:lineRule="auto"/>
        <w:rPr>
          <w:rFonts w:ascii="Verdana" w:hAnsi="Verdana"/>
        </w:rPr>
      </w:pPr>
    </w:p>
    <w:p w14:paraId="0600A2C0" w14:textId="77777777" w:rsidR="000F5B0E" w:rsidRPr="009305B3" w:rsidRDefault="000F5B0E" w:rsidP="000F5B0E">
      <w:pPr>
        <w:spacing w:after="0" w:line="276" w:lineRule="auto"/>
        <w:jc w:val="both"/>
        <w:rPr>
          <w:rFonts w:ascii="Verdana" w:hAnsi="Verdana"/>
        </w:rPr>
      </w:pPr>
      <w:r w:rsidRPr="009305B3">
        <w:rPr>
          <w:rFonts w:ascii="Verdana" w:hAnsi="Verdana"/>
        </w:rPr>
        <w:t xml:space="preserve">Por último, lo invitamos a seguirnos en las redes sociales en las cuales se difunde información institucional: </w:t>
      </w:r>
    </w:p>
    <w:p w14:paraId="617048A9" w14:textId="77777777" w:rsidR="000F5B0E" w:rsidRPr="009305B3" w:rsidRDefault="000F5B0E" w:rsidP="000F5B0E">
      <w:pPr>
        <w:spacing w:after="0" w:line="276" w:lineRule="auto"/>
        <w:jc w:val="both"/>
        <w:rPr>
          <w:rFonts w:ascii="Verdana" w:hAnsi="Verdana"/>
        </w:rPr>
      </w:pPr>
    </w:p>
    <w:p w14:paraId="2BA05BFB" w14:textId="77777777" w:rsidR="000F5B0E" w:rsidRPr="009305B3" w:rsidRDefault="000F5B0E" w:rsidP="000F5B0E">
      <w:pPr>
        <w:spacing w:after="0" w:line="276" w:lineRule="auto"/>
        <w:jc w:val="both"/>
        <w:rPr>
          <w:rFonts w:ascii="Verdana" w:hAnsi="Verdana"/>
        </w:rPr>
      </w:pPr>
      <w:r w:rsidRPr="009305B3">
        <w:rPr>
          <w:rFonts w:ascii="Verdana" w:hAnsi="Verdana"/>
        </w:rPr>
        <w:t xml:space="preserve">Twitter: </w:t>
      </w:r>
      <w:r w:rsidRPr="009305B3">
        <w:rPr>
          <w:rFonts w:ascii="Verdana" w:hAnsi="Verdana"/>
          <w:color w:val="0000FF"/>
          <w:u w:val="single"/>
        </w:rPr>
        <w:t>@colombiacompra</w:t>
      </w:r>
      <w:r w:rsidRPr="009305B3">
        <w:rPr>
          <w:rFonts w:ascii="Verdana" w:hAnsi="Verdana"/>
        </w:rPr>
        <w:t xml:space="preserve"> </w:t>
      </w:r>
    </w:p>
    <w:p w14:paraId="41F564D4" w14:textId="77777777" w:rsidR="000F5B0E" w:rsidRPr="009305B3" w:rsidRDefault="000F5B0E" w:rsidP="000F5B0E">
      <w:pPr>
        <w:spacing w:after="0" w:line="276" w:lineRule="auto"/>
        <w:jc w:val="both"/>
        <w:rPr>
          <w:rFonts w:ascii="Verdana" w:hAnsi="Verdana"/>
        </w:rPr>
      </w:pPr>
      <w:r w:rsidRPr="009305B3">
        <w:rPr>
          <w:rFonts w:ascii="Verdana" w:hAnsi="Verdana"/>
        </w:rPr>
        <w:t xml:space="preserve">Facebook: </w:t>
      </w:r>
      <w:proofErr w:type="spellStart"/>
      <w:r w:rsidRPr="009305B3">
        <w:rPr>
          <w:rFonts w:ascii="Verdana" w:hAnsi="Verdana"/>
          <w:color w:val="0000FF"/>
          <w:u w:val="single"/>
        </w:rPr>
        <w:t>ColombiaCompraEficiente</w:t>
      </w:r>
      <w:proofErr w:type="spellEnd"/>
    </w:p>
    <w:p w14:paraId="7E29FF24" w14:textId="77777777" w:rsidR="000F5B0E" w:rsidRPr="009305B3" w:rsidRDefault="000F5B0E" w:rsidP="000F5B0E">
      <w:pPr>
        <w:spacing w:after="0" w:line="276" w:lineRule="auto"/>
        <w:jc w:val="both"/>
        <w:rPr>
          <w:rFonts w:ascii="Verdana" w:hAnsi="Verdana"/>
        </w:rPr>
      </w:pPr>
      <w:r w:rsidRPr="009305B3">
        <w:rPr>
          <w:rFonts w:ascii="Verdana" w:hAnsi="Verdana"/>
        </w:rPr>
        <w:lastRenderedPageBreak/>
        <w:t xml:space="preserve">LinkedIn: </w:t>
      </w:r>
      <w:r w:rsidRPr="009305B3">
        <w:rPr>
          <w:rFonts w:ascii="Verdana" w:hAnsi="Verdana"/>
          <w:color w:val="0000FF"/>
          <w:u w:val="single"/>
        </w:rPr>
        <w:t>Agencia Nacional de Contratación Pública - Colombia Compra Eficiente</w:t>
      </w:r>
      <w:r w:rsidRPr="009305B3">
        <w:rPr>
          <w:rFonts w:ascii="Verdana" w:hAnsi="Verdana"/>
        </w:rPr>
        <w:t xml:space="preserve"> Instagram: </w:t>
      </w:r>
      <w:r w:rsidRPr="009305B3">
        <w:rPr>
          <w:rFonts w:ascii="Verdana" w:hAnsi="Verdana"/>
          <w:color w:val="0000FF"/>
          <w:u w:val="single"/>
        </w:rPr>
        <w:t>@colombiacompraeficiente_cce</w:t>
      </w:r>
    </w:p>
    <w:p w14:paraId="2C2DF806" w14:textId="77777777" w:rsidR="000F5B0E" w:rsidRPr="009305B3" w:rsidRDefault="000F5B0E" w:rsidP="000F5B0E">
      <w:pPr>
        <w:spacing w:after="0" w:line="276" w:lineRule="auto"/>
        <w:jc w:val="both"/>
        <w:rPr>
          <w:rFonts w:ascii="Verdana" w:hAnsi="Verdana"/>
        </w:rPr>
      </w:pPr>
    </w:p>
    <w:p w14:paraId="7A90C00A" w14:textId="77777777" w:rsidR="000F5B0E" w:rsidRPr="009305B3" w:rsidRDefault="000F5B0E" w:rsidP="000F5B0E">
      <w:pPr>
        <w:spacing w:after="0" w:line="276" w:lineRule="auto"/>
        <w:jc w:val="both"/>
        <w:rPr>
          <w:rFonts w:ascii="Verdana" w:eastAsia="Calibri" w:hAnsi="Verdana" w:cs="Times New Roman"/>
          <w:bCs/>
          <w:lang w:val="es-ES_tradnl"/>
        </w:rPr>
      </w:pPr>
      <w:r w:rsidRPr="009305B3">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E2432E0" w14:textId="77777777" w:rsidR="000F5B0E" w:rsidRPr="009305B3" w:rsidRDefault="000F5B0E" w:rsidP="000F5B0E">
      <w:pPr>
        <w:spacing w:after="0" w:line="276" w:lineRule="auto"/>
        <w:jc w:val="both"/>
        <w:rPr>
          <w:rFonts w:ascii="Verdana" w:eastAsia="Calibri" w:hAnsi="Verdana" w:cs="Times New Roman"/>
          <w:lang w:val="es-ES_tradnl"/>
        </w:rPr>
      </w:pPr>
    </w:p>
    <w:p w14:paraId="6DC07CEF" w14:textId="77777777" w:rsidR="000F5B0E" w:rsidRPr="009305B3" w:rsidRDefault="000F5B0E" w:rsidP="000F5B0E">
      <w:pPr>
        <w:spacing w:after="0" w:line="276" w:lineRule="auto"/>
        <w:jc w:val="both"/>
        <w:rPr>
          <w:rFonts w:ascii="Verdana" w:eastAsia="Calibri" w:hAnsi="Verdana" w:cs="Times New Roman"/>
        </w:rPr>
      </w:pPr>
      <w:r w:rsidRPr="009305B3">
        <w:rPr>
          <w:rFonts w:ascii="Verdana" w:eastAsia="Calibri" w:hAnsi="Verdana" w:cs="Times New Roman"/>
        </w:rPr>
        <w:t>Atentamente,</w:t>
      </w:r>
    </w:p>
    <w:p w14:paraId="0C85DA8F" w14:textId="77777777" w:rsidR="000F5B0E" w:rsidRPr="009305B3" w:rsidRDefault="000F5B0E" w:rsidP="000F5B0E">
      <w:pPr>
        <w:spacing w:after="0" w:line="240" w:lineRule="auto"/>
        <w:textAlignment w:val="baseline"/>
        <w:rPr>
          <w:rFonts w:ascii="Verdana" w:eastAsia="Verdana" w:hAnsi="Verdana" w:cs="Verdana"/>
          <w:lang w:eastAsia="es-CO"/>
        </w:rPr>
      </w:pPr>
    </w:p>
    <w:p w14:paraId="061E4BA3" w14:textId="453A4017" w:rsidR="000F5B0E" w:rsidRDefault="00F61CE6" w:rsidP="000F5B0E">
      <w:pPr>
        <w:spacing w:after="0" w:line="256" w:lineRule="auto"/>
        <w:jc w:val="center"/>
        <w:rPr>
          <w:noProof/>
          <w:lang w:val="en-US"/>
        </w:rPr>
      </w:pPr>
      <w:r w:rsidRPr="002C3AD6">
        <w:rPr>
          <w:rFonts w:ascii="Century Gothic" w:hAnsi="Century Gothic"/>
          <w:noProof/>
          <w:lang w:val="en-US"/>
        </w:rPr>
        <w:drawing>
          <wp:inline distT="0" distB="0" distL="0" distR="0" wp14:anchorId="66B9933C" wp14:editId="78525FAD">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12722" cy="1229722"/>
                    </a:xfrm>
                    <a:prstGeom prst="rect">
                      <a:avLst/>
                    </a:prstGeom>
                  </pic:spPr>
                </pic:pic>
              </a:graphicData>
            </a:graphic>
          </wp:inline>
        </w:drawing>
      </w:r>
      <w:r w:rsidR="000F5B0E" w:rsidRPr="009305B3">
        <w:rPr>
          <w:rFonts w:ascii="Verdana" w:eastAsia="Verdana" w:hAnsi="Verdana" w:cs="Verdana"/>
          <w:lang w:eastAsia="es-CO"/>
        </w:rPr>
        <w:t> </w:t>
      </w:r>
    </w:p>
    <w:p w14:paraId="53485BB8" w14:textId="77777777" w:rsidR="000F5B0E" w:rsidRPr="008B7171" w:rsidRDefault="000F5B0E" w:rsidP="000F5B0E">
      <w:pPr>
        <w:spacing w:after="0" w:line="256" w:lineRule="auto"/>
        <w:jc w:val="center"/>
        <w:rPr>
          <w:noProof/>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0F5B0E" w:rsidRPr="00B57A1B" w14:paraId="443E0EA5" w14:textId="77777777" w:rsidTr="00B12B0F">
        <w:trPr>
          <w:trHeight w:val="409"/>
        </w:trPr>
        <w:tc>
          <w:tcPr>
            <w:tcW w:w="817" w:type="dxa"/>
            <w:tcBorders>
              <w:top w:val="nil"/>
              <w:left w:val="nil"/>
              <w:bottom w:val="nil"/>
              <w:right w:val="nil"/>
            </w:tcBorders>
            <w:vAlign w:val="center"/>
            <w:hideMark/>
          </w:tcPr>
          <w:p w14:paraId="19F381D4"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2DC86FA5"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José Luis Sánchez Cardona</w:t>
            </w:r>
          </w:p>
          <w:p w14:paraId="7D6FC74F"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Contratista de la Subdirección de Gestión Contractual</w:t>
            </w:r>
          </w:p>
        </w:tc>
      </w:tr>
      <w:tr w:rsidR="000F5B0E" w:rsidRPr="00B57A1B" w14:paraId="0E3257DD" w14:textId="77777777" w:rsidTr="00B12B0F">
        <w:trPr>
          <w:trHeight w:val="409"/>
        </w:trPr>
        <w:tc>
          <w:tcPr>
            <w:tcW w:w="817" w:type="dxa"/>
            <w:tcBorders>
              <w:top w:val="nil"/>
              <w:left w:val="nil"/>
              <w:bottom w:val="nil"/>
              <w:right w:val="nil"/>
            </w:tcBorders>
            <w:vAlign w:val="center"/>
            <w:hideMark/>
          </w:tcPr>
          <w:p w14:paraId="1BC4ADFB"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63532816"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Alejandro Sarmiento Cantillo</w:t>
            </w:r>
          </w:p>
          <w:p w14:paraId="0835ACC9"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Gestor T1-15 de la Subdirección de Gestión Contractual </w:t>
            </w:r>
          </w:p>
        </w:tc>
      </w:tr>
      <w:tr w:rsidR="000F5B0E" w:rsidRPr="00B57A1B" w14:paraId="28E4A682" w14:textId="77777777" w:rsidTr="00B12B0F">
        <w:trPr>
          <w:trHeight w:val="389"/>
        </w:trPr>
        <w:tc>
          <w:tcPr>
            <w:tcW w:w="817" w:type="dxa"/>
            <w:tcBorders>
              <w:top w:val="nil"/>
              <w:left w:val="nil"/>
              <w:bottom w:val="nil"/>
              <w:right w:val="nil"/>
            </w:tcBorders>
            <w:vAlign w:val="center"/>
            <w:hideMark/>
          </w:tcPr>
          <w:p w14:paraId="3C617FA5"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036AA5ED"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Carolina Quintero Gacharná</w:t>
            </w:r>
          </w:p>
          <w:p w14:paraId="2D6C256E" w14:textId="77777777" w:rsidR="000F5B0E" w:rsidRPr="00B57A1B" w:rsidRDefault="000F5B0E"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Subdirectora de Gestión Contractual ANCP – CCE</w:t>
            </w:r>
          </w:p>
        </w:tc>
      </w:tr>
    </w:tbl>
    <w:p w14:paraId="66D48FE2" w14:textId="77777777" w:rsidR="000F5B0E" w:rsidRPr="000E2B93" w:rsidRDefault="000F5B0E" w:rsidP="000F5B0E">
      <w:pPr>
        <w:spacing w:after="0" w:line="240" w:lineRule="auto"/>
        <w:textAlignment w:val="baseline"/>
        <w:rPr>
          <w:rFonts w:ascii="Verdana" w:eastAsia="Verdana" w:hAnsi="Verdana" w:cs="Verdana"/>
          <w:lang w:eastAsia="es-CO"/>
        </w:rPr>
      </w:pPr>
    </w:p>
    <w:p w14:paraId="03A0B5F6" w14:textId="6152E700" w:rsidR="000F5B0E" w:rsidRPr="000E2B93" w:rsidRDefault="000F5B0E" w:rsidP="000F5B0E">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26FC0EF3" w:rsidR="00127233" w:rsidRPr="000F5B0E" w:rsidRDefault="00127233" w:rsidP="000F5B0E"/>
    <w:sectPr w:rsidR="00127233" w:rsidRPr="000F5B0E"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E972" w14:textId="77777777" w:rsidR="00053CAE" w:rsidRDefault="00053CAE" w:rsidP="004A1847">
      <w:pPr>
        <w:spacing w:after="0" w:line="240" w:lineRule="auto"/>
      </w:pPr>
      <w:r>
        <w:separator/>
      </w:r>
    </w:p>
  </w:endnote>
  <w:endnote w:type="continuationSeparator" w:id="0">
    <w:p w14:paraId="7FD978A4" w14:textId="77777777" w:rsidR="00053CAE" w:rsidRDefault="00053CA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BE429B" w:rsidRDefault="00BE429B">
    <w:pPr>
      <w:pStyle w:val="Piedepgina"/>
    </w:pPr>
  </w:p>
  <w:p w14:paraId="594D6D9F" w14:textId="7A1D0418" w:rsidR="00BE429B" w:rsidRPr="00174B77" w:rsidRDefault="00BE429B"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5B6C3F" w:rsidRPr="005B6C3F">
      <w:rPr>
        <w:rFonts w:ascii="Verdana" w:eastAsiaTheme="minorEastAsia" w:hAnsi="Verdana"/>
        <w:b/>
        <w:bCs/>
        <w:noProof/>
        <w:sz w:val="16"/>
        <w:szCs w:val="16"/>
      </w:rPr>
      <w:t>17</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BE429B" w:rsidRDefault="00BE429B"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BE429B" w:rsidRPr="00E41027" w:rsidRDefault="00BE429B"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BE429B" w:rsidRDefault="00BE429B"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1610" w14:textId="77777777" w:rsidR="00053CAE" w:rsidRDefault="00053CAE" w:rsidP="004A1847">
      <w:pPr>
        <w:spacing w:after="0" w:line="240" w:lineRule="auto"/>
      </w:pPr>
      <w:r>
        <w:separator/>
      </w:r>
    </w:p>
  </w:footnote>
  <w:footnote w:type="continuationSeparator" w:id="0">
    <w:p w14:paraId="3F51D4BD" w14:textId="77777777" w:rsidR="00053CAE" w:rsidRDefault="00053CAE" w:rsidP="004A1847">
      <w:pPr>
        <w:spacing w:after="0" w:line="240" w:lineRule="auto"/>
      </w:pPr>
      <w:r>
        <w:continuationSeparator/>
      </w:r>
    </w:p>
  </w:footnote>
  <w:footnote w:id="1">
    <w:p w14:paraId="2A299D5E" w14:textId="77777777" w:rsidR="000F5B0E" w:rsidRPr="00515A10" w:rsidRDefault="000F5B0E" w:rsidP="000F5B0E">
      <w:pPr>
        <w:pStyle w:val="Textonotapie"/>
        <w:ind w:firstLine="708"/>
        <w:jc w:val="both"/>
        <w:rPr>
          <w:rFonts w:ascii="Verdana" w:hAnsi="Verdana" w:cs="Arial"/>
          <w:sz w:val="15"/>
          <w:szCs w:val="15"/>
          <w:lang w:val="es-ES"/>
        </w:rPr>
      </w:pPr>
      <w:r w:rsidRPr="00515A10">
        <w:rPr>
          <w:rStyle w:val="Refdenotaalpie"/>
          <w:rFonts w:ascii="Verdana" w:hAnsi="Verdana" w:cs="Arial"/>
          <w:sz w:val="15"/>
          <w:szCs w:val="15"/>
        </w:rPr>
        <w:footnoteRef/>
      </w:r>
      <w:r w:rsidRPr="00515A10">
        <w:rPr>
          <w:rFonts w:ascii="Verdana" w:hAnsi="Verdana" w:cs="Arial"/>
          <w:sz w:val="15"/>
          <w:szCs w:val="15"/>
        </w:rPr>
        <w:t xml:space="preserve"> Cfr. BENAVIDES, José Luis. El contrato estatal: entre el derecho público y el derecho privado. Segunda edición. Bogotá: Universidad Externado de Colombia, 2009. pp. 78-79.      </w:t>
      </w:r>
    </w:p>
  </w:footnote>
  <w:footnote w:id="2">
    <w:p w14:paraId="1986F77E" w14:textId="77777777" w:rsidR="000F5B0E" w:rsidRPr="00515A10" w:rsidRDefault="000F5B0E" w:rsidP="000F5B0E">
      <w:pPr>
        <w:pStyle w:val="Textonotapie"/>
        <w:ind w:firstLine="708"/>
        <w:jc w:val="both"/>
        <w:rPr>
          <w:rFonts w:ascii="Verdana" w:hAnsi="Verdana" w:cs="Arial"/>
          <w:sz w:val="15"/>
          <w:szCs w:val="15"/>
        </w:rPr>
      </w:pPr>
      <w:r w:rsidRPr="00515A10">
        <w:rPr>
          <w:rStyle w:val="Refdenotaalpie"/>
          <w:rFonts w:ascii="Verdana" w:hAnsi="Verdana" w:cs="Arial"/>
          <w:sz w:val="15"/>
          <w:szCs w:val="15"/>
        </w:rPr>
        <w:footnoteRef/>
      </w:r>
      <w:r w:rsidRPr="00515A10">
        <w:rPr>
          <w:rFonts w:ascii="Verdana" w:hAnsi="Verdana" w:cs="Arial"/>
          <w:sz w:val="15"/>
          <w:szCs w:val="15"/>
        </w:rPr>
        <w:t xml:space="preserve"> BETANCUR JARAMILLO, Carlos. Derecho procesal administrativo. Octava edición. Medellín: Señal Editora, 2013. p. 627. </w:t>
      </w:r>
    </w:p>
  </w:footnote>
  <w:footnote w:id="3">
    <w:p w14:paraId="69D1562B"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Para la doctrina, “La autonomía privada no es un poder originario o soberano. Es un poder conferido a los individuos por una norma superior, la cual regula su actuación, estableciendo cargas y limitaciones. En la ley vemos la fuente de validez de la norma negocial. La ley, lo mismo que puede ampliar el campo en el que actúa la autonomía privada, puede también restringirlo. La ley puede incluso, interviniendo posteriormente, modificar el contenido de una norma negocial ya establecida. Aunque sean excepcionales, estas intervenciones de la ley tienen su justificación formal en la superioridad de la fuente legislativa sobre la negocial.</w:t>
      </w:r>
    </w:p>
    <w:p w14:paraId="1EE38EB5" w14:textId="77777777" w:rsidR="000F5B0E" w:rsidRPr="00515A10" w:rsidRDefault="000F5B0E" w:rsidP="000F5B0E">
      <w:pPr>
        <w:pStyle w:val="Textonotapie"/>
        <w:ind w:firstLine="708"/>
        <w:jc w:val="both"/>
        <w:rPr>
          <w:rFonts w:ascii="Verdana" w:hAnsi="Verdana"/>
          <w:sz w:val="15"/>
          <w:szCs w:val="15"/>
        </w:rPr>
      </w:pPr>
      <w:r w:rsidRPr="00515A10">
        <w:rPr>
          <w:rFonts w:ascii="Verdana" w:hAnsi="Verdana"/>
          <w:sz w:val="15"/>
          <w:szCs w:val="15"/>
        </w:rPr>
        <w:t>[…]</w:t>
      </w:r>
    </w:p>
    <w:p w14:paraId="1AE67C7D" w14:textId="77777777" w:rsidR="000F5B0E" w:rsidRPr="00515A10" w:rsidRDefault="000F5B0E" w:rsidP="000F5B0E">
      <w:pPr>
        <w:pStyle w:val="Textonotapie"/>
        <w:ind w:firstLine="708"/>
        <w:jc w:val="both"/>
        <w:rPr>
          <w:rFonts w:ascii="Verdana" w:hAnsi="Verdana"/>
          <w:sz w:val="15"/>
          <w:szCs w:val="15"/>
        </w:rPr>
      </w:pPr>
      <w:r w:rsidRPr="00515A10">
        <w:rPr>
          <w:rFonts w:ascii="Verdana" w:hAnsi="Verdana"/>
          <w:sz w:val="15"/>
          <w:szCs w:val="15"/>
        </w:rPr>
        <w:t xml:space="preserve">La autonomía privada no significa, pues, poder originario independiente o </w:t>
      </w:r>
      <w:r w:rsidRPr="00515A10">
        <w:rPr>
          <w:rFonts w:ascii="Verdana" w:hAnsi="Verdana"/>
          <w:i/>
          <w:iCs/>
          <w:sz w:val="15"/>
          <w:szCs w:val="15"/>
        </w:rPr>
        <w:t>selbstherrlich</w:t>
      </w:r>
      <w:r w:rsidRPr="00515A10">
        <w:rPr>
          <w:rFonts w:ascii="Verdana" w:hAnsi="Verdana"/>
          <w:sz w:val="15"/>
          <w:szCs w:val="15"/>
        </w:rPr>
        <w:t>, que no recibe de fuera la razón de su validez. El carácter no originario del poder en que se concreta la autonomía privada implica que no puede considerarse originaria o soberana tampoco la voluntad de los sujetos que establecen las normas negociales. No es que la voluntad privada cree derecho por sí o por fuerza propia.</w:t>
      </w:r>
    </w:p>
    <w:p w14:paraId="17428CDF" w14:textId="77777777" w:rsidR="000F5B0E" w:rsidRPr="00515A10" w:rsidRDefault="000F5B0E" w:rsidP="000F5B0E">
      <w:pPr>
        <w:pStyle w:val="Textonotapie"/>
        <w:ind w:firstLine="708"/>
        <w:jc w:val="both"/>
        <w:rPr>
          <w:rFonts w:ascii="Verdana" w:hAnsi="Verdana"/>
          <w:sz w:val="15"/>
          <w:szCs w:val="15"/>
        </w:rPr>
      </w:pPr>
      <w:r w:rsidRPr="00515A10">
        <w:rPr>
          <w:rFonts w:ascii="Verdana" w:hAnsi="Verdana"/>
          <w:sz w:val="15"/>
          <w:szCs w:val="15"/>
        </w:rPr>
        <w:t>Admitir una atribución de poder por parte de una norma superior basta para excluir el carácter originario o soberanía de la voluntad privada y del poder atribuido a ella” (FERRI, Luigui. La autonomía privada. Santiago de Chile: Ediciones Olejnik, 2018. pp. 44-45).</w:t>
      </w:r>
    </w:p>
  </w:footnote>
  <w:footnote w:id="4">
    <w:p w14:paraId="6F230919"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HINESTROSA, Fernando. Tratado de las obligaciones II. De las fuentes de las obligaciones: el negocio jurídico. Volumen II. Bogotá: Universidad externando de Colombia, 2015. Libro en formato EPUB. </w:t>
      </w:r>
    </w:p>
  </w:footnote>
  <w:footnote w:id="5">
    <w:p w14:paraId="2E20E5DD"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ALESSANDRI BESA, Arturo. La nulidad y la recisión en el derecho civil chileno. Santiago de Chile: </w:t>
      </w:r>
      <w:r w:rsidRPr="00515A10">
        <w:rPr>
          <w:rFonts w:ascii="Verdana" w:hAnsi="Verdana"/>
          <w:sz w:val="15"/>
          <w:szCs w:val="15"/>
        </w:rPr>
        <w:t>Ediar Editores LTDA, s/a. p. 689. Para el autor, “Aun cuando la nulidad relativa sea la regla general en materia de nulidades, esto no significa, que la nulidad en sí misma, por ser una sanción, no constituya una excepción […]” (</w:t>
      </w:r>
      <w:r w:rsidRPr="00515A10">
        <w:rPr>
          <w:rFonts w:ascii="Verdana" w:hAnsi="Verdana"/>
          <w:i/>
          <w:iCs/>
          <w:sz w:val="15"/>
          <w:szCs w:val="15"/>
        </w:rPr>
        <w:t>Ibidem</w:t>
      </w:r>
      <w:r w:rsidRPr="00515A10">
        <w:rPr>
          <w:rFonts w:ascii="Verdana" w:hAnsi="Verdana"/>
          <w:sz w:val="15"/>
          <w:szCs w:val="15"/>
        </w:rPr>
        <w:t xml:space="preserve">. p. 685). Por ello, a pesar de la formulación general del último aparte del artículo 1741 del Código Civil, la nulidad relativa se reduce a circunstancias específicas.   </w:t>
      </w:r>
    </w:p>
  </w:footnote>
  <w:footnote w:id="6">
    <w:p w14:paraId="3F1F2AC6"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De acuerdo con la doctrina, “El legislador mercantil introduce una importante variación al establecer la nulidad absoluta corno la regla general en las sanciones. Cuando se contraria una norma imperativa en el ejercicio de la autonomía de la voluntad, si no hay una sanción específica, tendremos como resultado que habrá nulidad absoluta. En el campo civil, la sanción general no es la nulidad absoluta sino la nulidad relativa, pues el articulo 1741 luego de señalar las causales de nulidad absoluta, concluye: </w:t>
      </w:r>
      <w:r w:rsidRPr="00515A10">
        <w:rPr>
          <w:rFonts w:ascii="Verdana" w:hAnsi="Verdana"/>
          <w:i/>
          <w:iCs/>
          <w:sz w:val="15"/>
          <w:szCs w:val="15"/>
        </w:rPr>
        <w:t>Cualquier otra especie de vicio produce nulidad relativa</w:t>
      </w:r>
      <w:r w:rsidRPr="00515A10">
        <w:rPr>
          <w:rFonts w:ascii="Verdana" w:hAnsi="Verdana"/>
          <w:sz w:val="15"/>
          <w:szCs w:val="15"/>
        </w:rPr>
        <w:t>. Es una marcada diferencia en el tratamiento de las nulidades de las dos codificaciones” (ARRUBLA PAUCAR, Jaime Alberto. Contratos mercantiles: teoría general del negocio mercantil. Decimocuarta edición. Bogotá: Legis, 2021. p. 282. Énfasis dentro del texto).</w:t>
      </w:r>
    </w:p>
  </w:footnote>
  <w:footnote w:id="7">
    <w:p w14:paraId="29B8BF74" w14:textId="77777777" w:rsidR="000F5B0E" w:rsidRPr="00515A10" w:rsidRDefault="000F5B0E" w:rsidP="000F5B0E">
      <w:pPr>
        <w:spacing w:after="0"/>
        <w:ind w:firstLine="707"/>
        <w:jc w:val="both"/>
        <w:rPr>
          <w:rFonts w:ascii="Verdana" w:hAnsi="Verdana" w:cs="Arial"/>
          <w:sz w:val="15"/>
          <w:szCs w:val="15"/>
        </w:rPr>
      </w:pPr>
      <w:r w:rsidRPr="00515A10">
        <w:rPr>
          <w:rStyle w:val="Refdenotaalpie"/>
          <w:rFonts w:ascii="Verdana" w:hAnsi="Verdana" w:cs="Arial"/>
          <w:sz w:val="15"/>
          <w:szCs w:val="15"/>
        </w:rPr>
        <w:footnoteRef/>
      </w:r>
      <w:r w:rsidRPr="00515A10">
        <w:rPr>
          <w:rFonts w:ascii="Verdana" w:hAnsi="Verdana" w:cs="Arial"/>
          <w:sz w:val="15"/>
          <w:szCs w:val="15"/>
        </w:rPr>
        <w:t xml:space="preserve"> “Artículo 44. Los contratos del Estado son absolutamente nulos en los casos previstos en el derecho común y además cuando:</w:t>
      </w:r>
    </w:p>
    <w:p w14:paraId="2F959098" w14:textId="77777777" w:rsidR="000F5B0E" w:rsidRPr="00515A10" w:rsidRDefault="000F5B0E" w:rsidP="000F5B0E">
      <w:pPr>
        <w:spacing w:after="0"/>
        <w:ind w:firstLine="708"/>
        <w:jc w:val="both"/>
        <w:rPr>
          <w:rFonts w:ascii="Verdana" w:hAnsi="Verdana" w:cs="Arial"/>
          <w:sz w:val="15"/>
          <w:szCs w:val="15"/>
        </w:rPr>
      </w:pPr>
      <w:r w:rsidRPr="00515A10">
        <w:rPr>
          <w:rFonts w:ascii="Verdana" w:hAnsi="Verdana" w:cs="Arial"/>
          <w:sz w:val="15"/>
          <w:szCs w:val="15"/>
        </w:rPr>
        <w:t>1o. Se celebren con personas incursas en causales de inhabilidad o incompatibilidad previstas en la Constitución y la ley;</w:t>
      </w:r>
    </w:p>
    <w:p w14:paraId="17D8EDB0" w14:textId="77777777" w:rsidR="000F5B0E" w:rsidRPr="00515A10" w:rsidRDefault="000F5B0E" w:rsidP="000F5B0E">
      <w:pPr>
        <w:spacing w:after="0"/>
        <w:ind w:firstLine="708"/>
        <w:jc w:val="both"/>
        <w:rPr>
          <w:rFonts w:ascii="Verdana" w:hAnsi="Verdana" w:cs="Arial"/>
          <w:sz w:val="15"/>
          <w:szCs w:val="15"/>
        </w:rPr>
      </w:pPr>
      <w:r w:rsidRPr="00515A10">
        <w:rPr>
          <w:rFonts w:ascii="Verdana" w:hAnsi="Verdana" w:cs="Arial"/>
          <w:sz w:val="15"/>
          <w:szCs w:val="15"/>
        </w:rPr>
        <w:t xml:space="preserve">2o. Se celebren contra expresa prohibición constitucional o legal; </w:t>
      </w:r>
    </w:p>
    <w:p w14:paraId="782343F0" w14:textId="77777777" w:rsidR="000F5B0E" w:rsidRPr="00515A10" w:rsidRDefault="000F5B0E" w:rsidP="000F5B0E">
      <w:pPr>
        <w:spacing w:after="0"/>
        <w:ind w:firstLine="708"/>
        <w:jc w:val="both"/>
        <w:rPr>
          <w:rFonts w:ascii="Verdana" w:hAnsi="Verdana" w:cs="Arial"/>
          <w:sz w:val="15"/>
          <w:szCs w:val="15"/>
        </w:rPr>
      </w:pPr>
      <w:r w:rsidRPr="00515A10">
        <w:rPr>
          <w:rFonts w:ascii="Verdana" w:hAnsi="Verdana" w:cs="Arial"/>
          <w:sz w:val="15"/>
          <w:szCs w:val="15"/>
        </w:rPr>
        <w:t>3o. Se celebren con abuso o desviación de poder;</w:t>
      </w:r>
    </w:p>
    <w:p w14:paraId="7BF24791" w14:textId="77777777" w:rsidR="000F5B0E" w:rsidRPr="00515A10" w:rsidRDefault="000F5B0E" w:rsidP="000F5B0E">
      <w:pPr>
        <w:spacing w:after="0"/>
        <w:ind w:firstLine="708"/>
        <w:jc w:val="both"/>
        <w:rPr>
          <w:rFonts w:ascii="Verdana" w:hAnsi="Verdana" w:cs="Arial"/>
          <w:sz w:val="15"/>
          <w:szCs w:val="15"/>
        </w:rPr>
      </w:pPr>
      <w:r w:rsidRPr="00515A10">
        <w:rPr>
          <w:rFonts w:ascii="Verdana" w:hAnsi="Verdana" w:cs="Arial"/>
          <w:sz w:val="15"/>
          <w:szCs w:val="15"/>
        </w:rPr>
        <w:t>4o. Se declaren nulos los actos administrativos en que se fundamenten; y</w:t>
      </w:r>
    </w:p>
    <w:p w14:paraId="18B08FC5" w14:textId="77777777" w:rsidR="000F5B0E" w:rsidRPr="00515A10" w:rsidRDefault="000F5B0E" w:rsidP="000F5B0E">
      <w:pPr>
        <w:spacing w:after="0"/>
        <w:ind w:firstLine="708"/>
        <w:jc w:val="both"/>
        <w:rPr>
          <w:rFonts w:ascii="Verdana" w:hAnsi="Verdana" w:cs="Arial"/>
          <w:sz w:val="15"/>
          <w:szCs w:val="15"/>
        </w:rPr>
      </w:pPr>
      <w:r w:rsidRPr="00515A10">
        <w:rPr>
          <w:rFonts w:ascii="Verdana" w:hAnsi="Verdana" w:cs="Arial"/>
          <w:sz w:val="15"/>
          <w:szCs w:val="15"/>
        </w:rPr>
        <w:t>5o. Se hubieren celebrado con desconocimiento de los criterios previstos en el artículo 21 sobre tratamiento de ofertas nacionales y extranjeras o con violación de la reciprocidad de que trata esta ley”.</w:t>
      </w:r>
    </w:p>
  </w:footnote>
  <w:footnote w:id="8">
    <w:p w14:paraId="4888496A" w14:textId="77777777" w:rsidR="000F5B0E" w:rsidRPr="00515A10" w:rsidRDefault="000F5B0E" w:rsidP="000F5B0E">
      <w:pPr>
        <w:spacing w:after="0"/>
        <w:ind w:firstLine="708"/>
        <w:jc w:val="both"/>
        <w:rPr>
          <w:rFonts w:ascii="Verdana" w:hAnsi="Verdana" w:cs="Arial"/>
          <w:sz w:val="15"/>
          <w:szCs w:val="15"/>
        </w:rPr>
      </w:pPr>
      <w:r w:rsidRPr="00515A10">
        <w:rPr>
          <w:rStyle w:val="Refdenotaalpie"/>
          <w:rFonts w:ascii="Verdana" w:hAnsi="Verdana" w:cs="Arial"/>
          <w:sz w:val="15"/>
          <w:szCs w:val="15"/>
        </w:rPr>
        <w:footnoteRef/>
      </w:r>
      <w:r w:rsidRPr="00515A10">
        <w:rPr>
          <w:rFonts w:ascii="Verdana" w:hAnsi="Verdana" w:cs="Arial"/>
          <w:sz w:val="15"/>
          <w:szCs w:val="15"/>
        </w:rPr>
        <w:t xml:space="preserve"> “Artículo 46. de la nulidad relativa. Los demás vicios que se presenten en los contratos y que conforme al derecho común constituyen causales de nulidad relativa, pueden sanearse por ratificación expresa de los interesados o por el transcurso de dos (2) años contados a partir de la ocurrencia del hecho generador del vicio”.</w:t>
      </w:r>
    </w:p>
  </w:footnote>
  <w:footnote w:id="9">
    <w:p w14:paraId="2F7540F9" w14:textId="77777777" w:rsidR="000F5B0E" w:rsidRPr="00483B7B" w:rsidRDefault="000F5B0E" w:rsidP="000F5B0E">
      <w:pPr>
        <w:pStyle w:val="Textonotapie"/>
        <w:ind w:firstLine="708"/>
        <w:jc w:val="both"/>
        <w:rPr>
          <w:rFonts w:ascii="Verdana" w:hAnsi="Verdana"/>
          <w:sz w:val="16"/>
          <w:szCs w:val="16"/>
          <w:lang w:val="es-CO"/>
        </w:rPr>
      </w:pPr>
      <w:r w:rsidRPr="00483B7B">
        <w:rPr>
          <w:rStyle w:val="Refdenotaalpie"/>
          <w:rFonts w:ascii="Verdana" w:hAnsi="Verdana"/>
          <w:sz w:val="16"/>
          <w:szCs w:val="16"/>
        </w:rPr>
        <w:footnoteRef/>
      </w:r>
      <w:r w:rsidRPr="00483B7B">
        <w:rPr>
          <w:rFonts w:ascii="Verdana" w:hAnsi="Verdana"/>
          <w:sz w:val="16"/>
          <w:szCs w:val="16"/>
        </w:rPr>
        <w:t xml:space="preserve"> </w:t>
      </w:r>
      <w:bookmarkStart w:id="2" w:name="24"/>
      <w:r w:rsidRPr="00483B7B">
        <w:rPr>
          <w:rFonts w:ascii="Verdana" w:hAnsi="Verdana"/>
          <w:sz w:val="16"/>
          <w:szCs w:val="16"/>
          <w:lang w:val="es-CO"/>
        </w:rPr>
        <w:t>ARTÍCULO 24. DEL PRINCIPIO DE TRANSPARENCIA.</w:t>
      </w:r>
      <w:bookmarkEnd w:id="2"/>
      <w:r w:rsidRPr="00483B7B">
        <w:rPr>
          <w:rFonts w:ascii="Verdana" w:hAnsi="Verdana"/>
          <w:sz w:val="16"/>
          <w:szCs w:val="16"/>
          <w:lang w:val="es-CO"/>
        </w:rPr>
        <w:t> En virtud de este principio:</w:t>
      </w:r>
    </w:p>
    <w:p w14:paraId="404A65A7" w14:textId="77777777" w:rsidR="000F5B0E" w:rsidRPr="00483B7B" w:rsidRDefault="000F5B0E" w:rsidP="000F5B0E">
      <w:pPr>
        <w:pStyle w:val="Textonotapie"/>
        <w:ind w:firstLine="708"/>
        <w:jc w:val="both"/>
        <w:rPr>
          <w:rFonts w:ascii="Verdana" w:hAnsi="Verdana"/>
          <w:sz w:val="16"/>
          <w:szCs w:val="16"/>
          <w:lang w:val="es-CO"/>
        </w:rPr>
      </w:pPr>
      <w:r w:rsidRPr="00483B7B">
        <w:rPr>
          <w:rFonts w:ascii="Verdana" w:hAnsi="Verdana"/>
          <w:sz w:val="16"/>
          <w:szCs w:val="16"/>
          <w:lang w:val="es-CO"/>
        </w:rPr>
        <w:t xml:space="preserve">[…] </w:t>
      </w:r>
    </w:p>
    <w:p w14:paraId="012A7F4E" w14:textId="77777777" w:rsidR="000F5B0E" w:rsidRPr="00483B7B" w:rsidRDefault="000F5B0E" w:rsidP="000F5B0E">
      <w:pPr>
        <w:pStyle w:val="Textonotapie"/>
        <w:ind w:firstLine="708"/>
        <w:jc w:val="both"/>
        <w:rPr>
          <w:rFonts w:ascii="Verdana" w:hAnsi="Verdana"/>
          <w:sz w:val="16"/>
          <w:szCs w:val="16"/>
          <w:lang w:val="es-CO"/>
        </w:rPr>
      </w:pPr>
      <w:r w:rsidRPr="00483B7B">
        <w:rPr>
          <w:rFonts w:ascii="Verdana" w:hAnsi="Verdana"/>
          <w:sz w:val="16"/>
          <w:szCs w:val="16"/>
          <w:lang w:val="es-CO"/>
        </w:rPr>
        <w:t>8o. Las autoridades no actuarán con desviación o abuso de poder y ejercerán sus competencias exclusivamente para los fines previstos en la ley. Igualmente, les será prohibido eludir los procedimientos de selección objetiva y los demás requisitos previstos en el presente estatuto.</w:t>
      </w:r>
    </w:p>
  </w:footnote>
  <w:footnote w:id="10">
    <w:p w14:paraId="56627953" w14:textId="77777777" w:rsidR="000F5B0E" w:rsidRPr="00483B7B" w:rsidRDefault="000F5B0E" w:rsidP="000F5B0E">
      <w:pPr>
        <w:pStyle w:val="Textonotapie"/>
        <w:ind w:firstLine="708"/>
        <w:jc w:val="both"/>
        <w:rPr>
          <w:rFonts w:ascii="Verdana" w:hAnsi="Verdana"/>
          <w:sz w:val="16"/>
          <w:szCs w:val="16"/>
        </w:rPr>
      </w:pPr>
      <w:r w:rsidRPr="00483B7B">
        <w:rPr>
          <w:rStyle w:val="Refdenotaalpie"/>
          <w:rFonts w:ascii="Verdana" w:hAnsi="Verdana"/>
          <w:sz w:val="16"/>
          <w:szCs w:val="16"/>
        </w:rPr>
        <w:footnoteRef/>
      </w:r>
      <w:r w:rsidRPr="00483B7B">
        <w:rPr>
          <w:rFonts w:ascii="Verdana" w:hAnsi="Verdana"/>
          <w:sz w:val="16"/>
          <w:szCs w:val="16"/>
        </w:rPr>
        <w:t xml:space="preserve"> Consejo de Estado, Sección Tercera, Subsección B. Sentencia del 2 de mayo de 2016. </w:t>
      </w:r>
      <w:r w:rsidRPr="00483B7B">
        <w:rPr>
          <w:rFonts w:ascii="Verdana" w:hAnsi="Verdana"/>
          <w:sz w:val="16"/>
          <w:szCs w:val="16"/>
        </w:rPr>
        <w:t xml:space="preserve">Exp. 37.066. C.P. Stella Conto Díaz del Castillo. </w:t>
      </w:r>
    </w:p>
  </w:footnote>
  <w:footnote w:id="11">
    <w:p w14:paraId="1AD54284" w14:textId="77777777" w:rsidR="000F5B0E" w:rsidRPr="00483B7B" w:rsidRDefault="000F5B0E" w:rsidP="000F5B0E">
      <w:pPr>
        <w:pStyle w:val="Textonotapie"/>
        <w:ind w:firstLine="708"/>
        <w:jc w:val="both"/>
        <w:rPr>
          <w:rFonts w:ascii="Verdana" w:hAnsi="Verdana" w:cs="Arial"/>
          <w:sz w:val="16"/>
          <w:szCs w:val="16"/>
        </w:rPr>
      </w:pPr>
      <w:r w:rsidRPr="00483B7B">
        <w:rPr>
          <w:rStyle w:val="Refdenotaalpie"/>
          <w:rFonts w:ascii="Verdana" w:hAnsi="Verdana" w:cs="Arial"/>
          <w:sz w:val="16"/>
          <w:szCs w:val="16"/>
        </w:rPr>
        <w:footnoteRef/>
      </w:r>
      <w:r w:rsidRPr="00483B7B">
        <w:rPr>
          <w:rFonts w:ascii="Verdana" w:hAnsi="Verdana" w:cs="Arial"/>
          <w:sz w:val="16"/>
          <w:szCs w:val="16"/>
        </w:rPr>
        <w:t xml:space="preserve"> Consejo de Estado, Sección Tercera. Sentencias de 22 de marzo de 2007. </w:t>
      </w:r>
      <w:r w:rsidRPr="00483B7B">
        <w:rPr>
          <w:rFonts w:ascii="Verdana" w:hAnsi="Verdana" w:cs="Arial"/>
          <w:sz w:val="16"/>
          <w:szCs w:val="16"/>
        </w:rPr>
        <w:t xml:space="preserve">Exp. 28010. </w:t>
      </w:r>
      <w:r w:rsidRPr="00483B7B">
        <w:rPr>
          <w:rFonts w:ascii="Verdana" w:hAnsi="Verdana" w:cs="Arial"/>
          <w:sz w:val="16"/>
          <w:szCs w:val="16"/>
          <w:lang w:val="es-CO"/>
        </w:rPr>
        <w:t>C.P. Alier Hernández</w:t>
      </w:r>
      <w:r w:rsidRPr="00483B7B">
        <w:rPr>
          <w:rFonts w:ascii="Verdana" w:hAnsi="Verdana" w:cs="Arial"/>
          <w:sz w:val="16"/>
          <w:szCs w:val="16"/>
        </w:rPr>
        <w:t>; Sentencia de 25 de febrero de 2009. Exp. 15797.</w:t>
      </w:r>
      <w:r w:rsidRPr="00483B7B">
        <w:rPr>
          <w:rFonts w:ascii="Verdana" w:hAnsi="Verdana" w:cs="Arial"/>
          <w:sz w:val="16"/>
          <w:szCs w:val="16"/>
          <w:lang w:val="es-CO"/>
        </w:rPr>
        <w:t xml:space="preserve"> C.P. Miriam Guerrero,</w:t>
      </w:r>
    </w:p>
  </w:footnote>
  <w:footnote w:id="12">
    <w:p w14:paraId="02658D56" w14:textId="77777777" w:rsidR="000F5B0E" w:rsidRPr="00CE32C3" w:rsidRDefault="000F5B0E" w:rsidP="000F5B0E">
      <w:pPr>
        <w:pStyle w:val="Textonotapie"/>
        <w:ind w:firstLine="708"/>
        <w:jc w:val="both"/>
        <w:rPr>
          <w:lang w:val="es-CO"/>
        </w:rPr>
      </w:pPr>
      <w:r w:rsidRPr="00483B7B">
        <w:rPr>
          <w:rStyle w:val="Refdenotaalpie"/>
          <w:rFonts w:ascii="Verdana" w:hAnsi="Verdana"/>
          <w:sz w:val="16"/>
          <w:szCs w:val="16"/>
        </w:rPr>
        <w:footnoteRef/>
      </w:r>
      <w:r w:rsidRPr="00483B7B">
        <w:rPr>
          <w:rFonts w:ascii="Verdana" w:hAnsi="Verdana"/>
          <w:sz w:val="16"/>
          <w:szCs w:val="16"/>
        </w:rPr>
        <w:t xml:space="preserve"> Consejo de Estado, Sección Tercera, Subsección A. Sentencia del 4 de abril de 2025. </w:t>
      </w:r>
      <w:r w:rsidRPr="00483B7B">
        <w:rPr>
          <w:rFonts w:ascii="Verdana" w:hAnsi="Verdana"/>
          <w:sz w:val="16"/>
          <w:szCs w:val="16"/>
        </w:rPr>
        <w:t>Exp. 70.045. C.P. José Roberto Sáchica Méndez; Sección Tercera, Subsección B. Sentencia del 25 de mayo de 2023. Exp. 67.201. C.P. Alberto Montaña Plata; Sección Tercera, Subsección C. Sentencia del 13 de marzo de 2024. Exp. 55.596. C.P. Jaime E. Rodríguez Navas.</w:t>
      </w:r>
    </w:p>
  </w:footnote>
  <w:footnote w:id="13">
    <w:p w14:paraId="0CEBC562" w14:textId="77777777" w:rsidR="000F5B0E" w:rsidRPr="00870906" w:rsidRDefault="000F5B0E" w:rsidP="000F5B0E">
      <w:pPr>
        <w:pStyle w:val="Textonotapie"/>
        <w:ind w:firstLine="708"/>
        <w:jc w:val="both"/>
        <w:rPr>
          <w:rFonts w:ascii="Verdana" w:hAnsi="Verdana"/>
          <w:sz w:val="16"/>
          <w:szCs w:val="16"/>
          <w:lang w:val="es-CO"/>
        </w:rPr>
      </w:pPr>
      <w:r w:rsidRPr="00870906">
        <w:rPr>
          <w:rStyle w:val="Refdenotaalpie"/>
          <w:rFonts w:ascii="Verdana" w:hAnsi="Verdana"/>
          <w:sz w:val="16"/>
          <w:szCs w:val="16"/>
        </w:rPr>
        <w:footnoteRef/>
      </w:r>
      <w:r w:rsidRPr="00870906">
        <w:rPr>
          <w:rFonts w:ascii="Verdana" w:hAnsi="Verdana"/>
          <w:sz w:val="16"/>
          <w:szCs w:val="16"/>
        </w:rPr>
        <w:t xml:space="preserve"> Consejo de Estado, Sección Tercera, Subsección. Sentencia del 20 de abril de 2026. </w:t>
      </w:r>
      <w:r w:rsidRPr="00870906">
        <w:rPr>
          <w:rFonts w:ascii="Verdana" w:hAnsi="Verdana"/>
          <w:sz w:val="16"/>
          <w:szCs w:val="16"/>
        </w:rPr>
        <w:t xml:space="preserve">Exp. 72.477. C.P. Fernando Alexei Pardo Flórez. </w:t>
      </w:r>
    </w:p>
  </w:footnote>
  <w:footnote w:id="14">
    <w:p w14:paraId="4BFFE95D" w14:textId="77777777" w:rsidR="000F5B0E" w:rsidRPr="00914924" w:rsidRDefault="000F5B0E" w:rsidP="000F5B0E">
      <w:pPr>
        <w:pStyle w:val="Textonotapie"/>
        <w:ind w:firstLine="708"/>
        <w:jc w:val="both"/>
        <w:rPr>
          <w:rFonts w:ascii="Verdana" w:hAnsi="Verdana"/>
          <w:sz w:val="15"/>
          <w:szCs w:val="15"/>
          <w:lang w:val="es-CO"/>
        </w:rPr>
      </w:pPr>
      <w:r w:rsidRPr="00914924">
        <w:rPr>
          <w:rStyle w:val="Refdenotaalpie"/>
          <w:rFonts w:ascii="Verdana" w:hAnsi="Verdana"/>
          <w:sz w:val="15"/>
          <w:szCs w:val="15"/>
        </w:rPr>
        <w:footnoteRef/>
      </w:r>
      <w:r w:rsidRPr="00914924">
        <w:rPr>
          <w:rFonts w:ascii="Verdana" w:hAnsi="Verdana"/>
          <w:sz w:val="15"/>
          <w:szCs w:val="15"/>
        </w:rPr>
        <w:t xml:space="preserve"> “</w:t>
      </w:r>
      <w:r w:rsidRPr="00914924">
        <w:rPr>
          <w:rFonts w:ascii="Verdana" w:hAnsi="Verdana"/>
          <w:bCs/>
          <w:sz w:val="15"/>
          <w:szCs w:val="15"/>
          <w:lang w:val="es-CO"/>
        </w:rPr>
        <w:t>ARTICULO 48. DE LOS EFECTOS DE LA NULIDAD</w:t>
      </w:r>
      <w:r w:rsidRPr="00914924">
        <w:rPr>
          <w:rFonts w:ascii="Verdana" w:hAnsi="Verdana"/>
          <w:b/>
          <w:bCs/>
          <w:sz w:val="15"/>
          <w:szCs w:val="15"/>
          <w:lang w:val="es-CO"/>
        </w:rPr>
        <w:t>.</w:t>
      </w:r>
      <w:r w:rsidRPr="00914924">
        <w:rPr>
          <w:rFonts w:ascii="Verdana" w:hAnsi="Verdana"/>
          <w:sz w:val="15"/>
          <w:szCs w:val="15"/>
          <w:lang w:val="es-CO"/>
        </w:rPr>
        <w:t> La declaración de nulidad de un contrato de ejecución sucesiva no impedirá el reconocimiento y pago de las prestaciones ejecutadas hasta el momento de la declaratoria. </w:t>
      </w:r>
    </w:p>
    <w:p w14:paraId="33A87E6D" w14:textId="77777777" w:rsidR="000F5B0E" w:rsidRPr="00914924" w:rsidRDefault="000F5B0E" w:rsidP="000F5B0E">
      <w:pPr>
        <w:pStyle w:val="Textonotapie"/>
        <w:ind w:firstLine="708"/>
        <w:jc w:val="both"/>
        <w:rPr>
          <w:rFonts w:ascii="Verdana" w:hAnsi="Verdana"/>
          <w:sz w:val="15"/>
          <w:szCs w:val="15"/>
          <w:lang w:val="es-CO"/>
        </w:rPr>
      </w:pPr>
      <w:r w:rsidRPr="00914924">
        <w:rPr>
          <w:rFonts w:ascii="Verdana" w:hAnsi="Verdana"/>
          <w:sz w:val="15"/>
          <w:szCs w:val="15"/>
          <w:lang w:val="es-CO"/>
        </w:rPr>
        <w:t>Habrá lugar al reconocimiento y pago de las prestaciones ejecutadas del contrato nulo por objeto o causa ilícita, cuando se probare que la entidad estatal se ha beneficiado y únicamente hasta el monto del beneficio que ésta hubiere obtenido. Se entenderá que la entidad estatal se ha beneficiado en cuanto las prestaciones cumplidas le hubieren servido para satisfacer un interés público”.</w:t>
      </w:r>
    </w:p>
    <w:p w14:paraId="6206EA7F" w14:textId="77777777" w:rsidR="000F5B0E" w:rsidRPr="00914924" w:rsidRDefault="000F5B0E" w:rsidP="000F5B0E">
      <w:pPr>
        <w:pStyle w:val="Textonotapie"/>
        <w:rPr>
          <w:rFonts w:ascii="Verdana" w:hAnsi="Verdana"/>
          <w:sz w:val="15"/>
          <w:szCs w:val="15"/>
          <w:lang w:val="es-CO"/>
        </w:rPr>
      </w:pPr>
    </w:p>
  </w:footnote>
  <w:footnote w:id="15">
    <w:p w14:paraId="3E5EEE3E"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En el Código Civil Chileno es similar a lo dispuesto en este artículo. En este punto, la Doctrina chilena expresa: “De manera que este artículo da a las partes el derecho de exigirse recíprocamente la restitución de todo lo que hubieran entregado en virtud del contrato, o sea, el contrato se destruye en el pasado, y las cosas quedan como si nunca se hubiera celebrado el contrato; así, si se declara nula una compraventa, el comprador deberá devolver la cosa y el vendedor deberá restituir el precio (ALESSANDRI RODRÍGUEZ, Arturo. Derecho Civil. De los Contratos. Santiago de Chile: Zamorano y </w:t>
      </w:r>
      <w:r w:rsidRPr="00515A10">
        <w:rPr>
          <w:rFonts w:ascii="Verdana" w:hAnsi="Verdana"/>
          <w:sz w:val="15"/>
          <w:szCs w:val="15"/>
        </w:rPr>
        <w:t xml:space="preserve">Caperan. 1976. p. 85). </w:t>
      </w:r>
    </w:p>
  </w:footnote>
  <w:footnote w:id="16">
    <w:p w14:paraId="5AE68DC6" w14:textId="77777777" w:rsidR="000F5B0E" w:rsidRPr="00515A10" w:rsidRDefault="000F5B0E" w:rsidP="000F5B0E">
      <w:pPr>
        <w:pStyle w:val="Textonotapie"/>
        <w:ind w:firstLine="708"/>
        <w:jc w:val="both"/>
        <w:rPr>
          <w:rFonts w:ascii="Verdana" w:hAnsi="Verdana"/>
          <w:sz w:val="15"/>
          <w:szCs w:val="15"/>
        </w:rPr>
      </w:pPr>
      <w:r w:rsidRPr="00515A10">
        <w:rPr>
          <w:rStyle w:val="Refdenotaalpie"/>
          <w:rFonts w:ascii="Verdana" w:hAnsi="Verdana"/>
          <w:sz w:val="15"/>
          <w:szCs w:val="15"/>
        </w:rPr>
        <w:footnoteRef/>
      </w:r>
      <w:r w:rsidRPr="00515A10">
        <w:rPr>
          <w:rFonts w:ascii="Verdana" w:hAnsi="Verdana"/>
          <w:sz w:val="15"/>
          <w:szCs w:val="15"/>
        </w:rPr>
        <w:t xml:space="preserve"> Consejo de Estado, Sección Tercera, Subsección A. Sentencia del 4 de abril de 2025. </w:t>
      </w:r>
      <w:r w:rsidRPr="00515A10">
        <w:rPr>
          <w:rFonts w:ascii="Verdana" w:hAnsi="Verdana"/>
          <w:sz w:val="15"/>
          <w:szCs w:val="15"/>
        </w:rPr>
        <w:t xml:space="preserve">Exp. 70.445. C.P. José Roberto Sáchica Méndez. </w:t>
      </w:r>
    </w:p>
  </w:footnote>
  <w:footnote w:id="17">
    <w:p w14:paraId="59D9C92F" w14:textId="77777777" w:rsidR="000F5B0E" w:rsidRPr="00515A10" w:rsidRDefault="000F5B0E" w:rsidP="000F5B0E">
      <w:pPr>
        <w:pStyle w:val="Textonotapie"/>
        <w:ind w:firstLine="708"/>
        <w:jc w:val="both"/>
        <w:rPr>
          <w:rFonts w:ascii="Verdana" w:hAnsi="Verdana"/>
          <w:sz w:val="15"/>
          <w:szCs w:val="15"/>
          <w:lang w:val="es-CO"/>
        </w:rPr>
      </w:pPr>
      <w:r w:rsidRPr="00515A10">
        <w:rPr>
          <w:rStyle w:val="Refdenotaalpie"/>
          <w:rFonts w:ascii="Verdana" w:hAnsi="Verdana"/>
          <w:sz w:val="15"/>
          <w:szCs w:val="15"/>
        </w:rPr>
        <w:footnoteRef/>
      </w:r>
      <w:r w:rsidRPr="00515A10">
        <w:rPr>
          <w:rFonts w:ascii="Verdana" w:hAnsi="Verdana"/>
          <w:sz w:val="15"/>
          <w:szCs w:val="15"/>
        </w:rPr>
        <w:t xml:space="preserve"> Al respecto la doctrina, expresa: </w:t>
      </w:r>
      <w:r w:rsidRPr="00515A10">
        <w:rPr>
          <w:rFonts w:ascii="Verdana" w:hAnsi="Verdana"/>
          <w:sz w:val="15"/>
          <w:szCs w:val="15"/>
          <w:lang w:val="es-CO"/>
        </w:rPr>
        <w:t xml:space="preserve">De la precitada norma se desprende lo siguiente: 1) </w:t>
      </w:r>
      <w:r w:rsidRPr="00515A10">
        <w:rPr>
          <w:rFonts w:ascii="Verdana" w:hAnsi="Verdana"/>
          <w:i/>
          <w:iCs/>
          <w:sz w:val="15"/>
          <w:szCs w:val="15"/>
          <w:lang w:val="es-CO"/>
        </w:rPr>
        <w:t xml:space="preserve">Proceden </w:t>
      </w:r>
      <w:r w:rsidRPr="00515A10">
        <w:rPr>
          <w:rFonts w:ascii="Verdana" w:hAnsi="Verdana"/>
          <w:sz w:val="15"/>
          <w:szCs w:val="15"/>
          <w:lang w:val="es-CO"/>
        </w:rPr>
        <w:t xml:space="preserve">las restituciones mutuas cuando se declare la nulidad del contrato estatal, incluso si es de ejecución sucesiva, con lo cual el legislador resuelve la problemática planteada frente a esta última modalidad de contratos respecto de los cuales alguna parte de la doctrina y la jurisprudencia, como ya se explicó, negó la procedencia de la restitución, en la idea de que se tornaba imposible para algunos contratos. Pues bien, y conforme se explicó, si por la naturaleza de las prestaciones ejecutadas se hace imposible la restitución </w:t>
      </w:r>
      <w:r w:rsidRPr="00515A10">
        <w:rPr>
          <w:rFonts w:ascii="Verdana" w:hAnsi="Verdana"/>
          <w:i/>
          <w:iCs/>
          <w:sz w:val="15"/>
          <w:szCs w:val="15"/>
          <w:lang w:val="es-CO"/>
        </w:rPr>
        <w:t>in natura</w:t>
      </w:r>
      <w:r w:rsidRPr="00515A10">
        <w:rPr>
          <w:rFonts w:ascii="Verdana" w:hAnsi="Verdana"/>
          <w:sz w:val="15"/>
          <w:szCs w:val="15"/>
          <w:lang w:val="es-CO"/>
        </w:rPr>
        <w:t>, procederá el reconocimiento del equivalente pecuniario.</w:t>
      </w:r>
    </w:p>
    <w:p w14:paraId="1307EB44" w14:textId="77777777" w:rsidR="000F5B0E" w:rsidRPr="00EF6D5D" w:rsidRDefault="000F5B0E" w:rsidP="000F5B0E">
      <w:pPr>
        <w:pStyle w:val="Textonotapie"/>
        <w:ind w:firstLine="708"/>
        <w:jc w:val="both"/>
        <w:rPr>
          <w:rFonts w:ascii="Verdana" w:hAnsi="Verdana"/>
          <w:sz w:val="16"/>
          <w:szCs w:val="16"/>
        </w:rPr>
      </w:pPr>
      <w:r w:rsidRPr="00515A10">
        <w:rPr>
          <w:rFonts w:ascii="Verdana" w:hAnsi="Verdana"/>
          <w:sz w:val="15"/>
          <w:szCs w:val="15"/>
          <w:lang w:val="es-CO"/>
        </w:rPr>
        <w:t xml:space="preserve">2) proceden las restituciones mutuas cuando se anula el contrato estatal con fundamento en el objeto o la causa ilícitos, siempre que se demuestre que con la ejecución de la prestación derivada del contrato que se invalida se benefició la entidad estatal, ventaja o provecho que para el legislador se produce cuando “las prestaciones cumplidas le hubieren servido para satisfacer un interés público” (HERNÁNDEZ SILVA, Aida Patricia. Las restituciones autónomas en la contratación estatal. En: </w:t>
      </w:r>
      <w:r w:rsidRPr="00515A10">
        <w:rPr>
          <w:rFonts w:ascii="Verdana" w:hAnsi="Verdana"/>
          <w:i/>
          <w:iCs/>
          <w:sz w:val="15"/>
          <w:szCs w:val="15"/>
        </w:rPr>
        <w:t>Fallos referentes en contratación estatal</w:t>
      </w:r>
      <w:r w:rsidRPr="00515A10">
        <w:rPr>
          <w:rFonts w:ascii="Verdana" w:hAnsi="Verdana"/>
          <w:sz w:val="15"/>
          <w:szCs w:val="15"/>
        </w:rPr>
        <w:t>, Bogotá: Universidad Externado de Colombia, 2020. p. 493).</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BE429B" w:rsidRDefault="00BE429B"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BE429B" w:rsidRDefault="00BE429B">
    <w:pPr>
      <w:pStyle w:val="Encabezado"/>
    </w:pPr>
  </w:p>
  <w:p w14:paraId="5E18350A" w14:textId="705F7B76" w:rsidR="00BE429B" w:rsidRPr="004A305D" w:rsidRDefault="00BE429B" w:rsidP="00B01B1A">
    <w:pPr>
      <w:spacing w:after="0" w:line="120" w:lineRule="auto"/>
      <w:rPr>
        <w:rFonts w:ascii="Century Gothic" w:eastAsia="Geo" w:hAnsi="Century Gothic" w:cs="Geo"/>
        <w:sz w:val="16"/>
        <w:szCs w:val="16"/>
        <w:lang w:eastAsia="es-CO"/>
      </w:rPr>
    </w:pPr>
  </w:p>
  <w:p w14:paraId="211B7F5D" w14:textId="77777777" w:rsidR="00BE429B" w:rsidRDefault="00BE429B" w:rsidP="00844AE9">
    <w:pPr>
      <w:spacing w:after="0" w:line="240" w:lineRule="auto"/>
      <w:rPr>
        <w:rFonts w:ascii="Verdana" w:hAnsi="Verdana"/>
        <w:sz w:val="24"/>
        <w:szCs w:val="24"/>
      </w:rPr>
    </w:pPr>
  </w:p>
  <w:p w14:paraId="5A0054B1" w14:textId="77777777" w:rsidR="00BE429B" w:rsidRPr="00C925AC" w:rsidRDefault="00BE429B" w:rsidP="00844AE9">
    <w:pPr>
      <w:spacing w:after="0" w:line="240" w:lineRule="auto"/>
      <w:rPr>
        <w:rFonts w:ascii="Verdana" w:hAnsi="Verdana"/>
        <w:sz w:val="24"/>
        <w:szCs w:val="24"/>
      </w:rPr>
    </w:pPr>
  </w:p>
  <w:p w14:paraId="1FD1C243" w14:textId="37C5500A" w:rsidR="00BE429B" w:rsidRPr="00C925AC" w:rsidRDefault="00BE429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B0616E81"/>
    <w:multiLevelType w:val="hybridMultilevel"/>
    <w:tmpl w:val="FB535A7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D1E5D1C"/>
    <w:multiLevelType w:val="multilevel"/>
    <w:tmpl w:val="AC78F4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3C825BC"/>
    <w:multiLevelType w:val="multilevel"/>
    <w:tmpl w:val="A514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D1B0D"/>
    <w:multiLevelType w:val="hybridMultilevel"/>
    <w:tmpl w:val="BB3684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3A6D042"/>
    <w:multiLevelType w:val="hybridMultilevel"/>
    <w:tmpl w:val="819DB82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E4F31A"/>
    <w:multiLevelType w:val="hybridMultilevel"/>
    <w:tmpl w:val="55D901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863DF18"/>
    <w:multiLevelType w:val="hybridMultilevel"/>
    <w:tmpl w:val="773627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6724E0"/>
    <w:multiLevelType w:val="multilevel"/>
    <w:tmpl w:val="A462B0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514161F8"/>
    <w:multiLevelType w:val="multilevel"/>
    <w:tmpl w:val="514885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5C4FC585"/>
    <w:multiLevelType w:val="hybridMultilevel"/>
    <w:tmpl w:val="F1711D0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238055">
    <w:abstractNumId w:val="10"/>
  </w:num>
  <w:num w:numId="2" w16cid:durableId="761491768">
    <w:abstractNumId w:val="2"/>
  </w:num>
  <w:num w:numId="3" w16cid:durableId="78410747">
    <w:abstractNumId w:val="8"/>
  </w:num>
  <w:num w:numId="4" w16cid:durableId="1092900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7885755">
    <w:abstractNumId w:val="2"/>
  </w:num>
  <w:num w:numId="6" w16cid:durableId="925456480">
    <w:abstractNumId w:val="23"/>
  </w:num>
  <w:num w:numId="7" w16cid:durableId="1453284634">
    <w:abstractNumId w:val="9"/>
  </w:num>
  <w:num w:numId="8" w16cid:durableId="938945782">
    <w:abstractNumId w:val="22"/>
  </w:num>
  <w:num w:numId="9" w16cid:durableId="980698377">
    <w:abstractNumId w:val="12"/>
  </w:num>
  <w:num w:numId="10" w16cid:durableId="1153184466">
    <w:abstractNumId w:val="21"/>
  </w:num>
  <w:num w:numId="11" w16cid:durableId="1379083898">
    <w:abstractNumId w:val="13"/>
  </w:num>
  <w:num w:numId="12" w16cid:durableId="1790470761">
    <w:abstractNumId w:val="1"/>
  </w:num>
  <w:num w:numId="13" w16cid:durableId="1208101297">
    <w:abstractNumId w:val="6"/>
  </w:num>
  <w:num w:numId="14" w16cid:durableId="1011101268">
    <w:abstractNumId w:val="24"/>
  </w:num>
  <w:num w:numId="15" w16cid:durableId="384836487">
    <w:abstractNumId w:val="20"/>
  </w:num>
  <w:num w:numId="16" w16cid:durableId="619453076">
    <w:abstractNumId w:val="7"/>
  </w:num>
  <w:num w:numId="17" w16cid:durableId="1437750272">
    <w:abstractNumId w:val="16"/>
  </w:num>
  <w:num w:numId="18" w16cid:durableId="1983147712">
    <w:abstractNumId w:val="25"/>
  </w:num>
  <w:num w:numId="19" w16cid:durableId="891622424">
    <w:abstractNumId w:val="0"/>
  </w:num>
  <w:num w:numId="20" w16cid:durableId="1631130094">
    <w:abstractNumId w:val="19"/>
  </w:num>
  <w:num w:numId="21" w16cid:durableId="113524542">
    <w:abstractNumId w:val="14"/>
  </w:num>
  <w:num w:numId="22" w16cid:durableId="1431851826">
    <w:abstractNumId w:val="11"/>
  </w:num>
  <w:num w:numId="23" w16cid:durableId="63646734">
    <w:abstractNumId w:val="15"/>
  </w:num>
  <w:num w:numId="24" w16cid:durableId="941424887">
    <w:abstractNumId w:val="5"/>
  </w:num>
  <w:num w:numId="25" w16cid:durableId="739714873">
    <w:abstractNumId w:val="4"/>
  </w:num>
  <w:num w:numId="26" w16cid:durableId="1074009078">
    <w:abstractNumId w:val="17"/>
  </w:num>
  <w:num w:numId="27" w16cid:durableId="2136411112">
    <w:abstractNumId w:val="18"/>
    <w:lvlOverride w:ilvl="0">
      <w:startOverride w:val="2"/>
    </w:lvlOverride>
  </w:num>
  <w:num w:numId="28" w16cid:durableId="1799493315">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AF2"/>
    <w:rsid w:val="000045F1"/>
    <w:rsid w:val="0001213C"/>
    <w:rsid w:val="000130CF"/>
    <w:rsid w:val="00016F78"/>
    <w:rsid w:val="000234A1"/>
    <w:rsid w:val="00033E24"/>
    <w:rsid w:val="00035964"/>
    <w:rsid w:val="00040840"/>
    <w:rsid w:val="00046945"/>
    <w:rsid w:val="00053CAE"/>
    <w:rsid w:val="00055945"/>
    <w:rsid w:val="00061B2A"/>
    <w:rsid w:val="00063EF6"/>
    <w:rsid w:val="000674C1"/>
    <w:rsid w:val="00082362"/>
    <w:rsid w:val="00086809"/>
    <w:rsid w:val="00094FBE"/>
    <w:rsid w:val="000A683E"/>
    <w:rsid w:val="000B0816"/>
    <w:rsid w:val="000B19B9"/>
    <w:rsid w:val="000C056D"/>
    <w:rsid w:val="000C3796"/>
    <w:rsid w:val="000C7D33"/>
    <w:rsid w:val="000D0334"/>
    <w:rsid w:val="000D15DD"/>
    <w:rsid w:val="000D5DA7"/>
    <w:rsid w:val="000E2274"/>
    <w:rsid w:val="000E2A43"/>
    <w:rsid w:val="000E337B"/>
    <w:rsid w:val="000E751C"/>
    <w:rsid w:val="000F5B0E"/>
    <w:rsid w:val="000F6486"/>
    <w:rsid w:val="000F7F54"/>
    <w:rsid w:val="00116940"/>
    <w:rsid w:val="00125105"/>
    <w:rsid w:val="00127233"/>
    <w:rsid w:val="00134E96"/>
    <w:rsid w:val="0013757A"/>
    <w:rsid w:val="0013771B"/>
    <w:rsid w:val="001459B8"/>
    <w:rsid w:val="001564D9"/>
    <w:rsid w:val="0015699B"/>
    <w:rsid w:val="00162A93"/>
    <w:rsid w:val="001743CA"/>
    <w:rsid w:val="00176FA8"/>
    <w:rsid w:val="00183DCF"/>
    <w:rsid w:val="001A0CEC"/>
    <w:rsid w:val="001A33BF"/>
    <w:rsid w:val="001A3F6C"/>
    <w:rsid w:val="001A461A"/>
    <w:rsid w:val="001A6178"/>
    <w:rsid w:val="001A7D58"/>
    <w:rsid w:val="001B37D9"/>
    <w:rsid w:val="001B3CEE"/>
    <w:rsid w:val="001B7638"/>
    <w:rsid w:val="001C3028"/>
    <w:rsid w:val="001C7CCB"/>
    <w:rsid w:val="001D1F27"/>
    <w:rsid w:val="001D488D"/>
    <w:rsid w:val="001E4177"/>
    <w:rsid w:val="001F0B24"/>
    <w:rsid w:val="001F7DC6"/>
    <w:rsid w:val="00211230"/>
    <w:rsid w:val="00214A3F"/>
    <w:rsid w:val="00215347"/>
    <w:rsid w:val="0022400B"/>
    <w:rsid w:val="00236C00"/>
    <w:rsid w:val="002421BB"/>
    <w:rsid w:val="00246CBB"/>
    <w:rsid w:val="00252059"/>
    <w:rsid w:val="002528B0"/>
    <w:rsid w:val="0025796E"/>
    <w:rsid w:val="002707A2"/>
    <w:rsid w:val="00277CAD"/>
    <w:rsid w:val="002873DA"/>
    <w:rsid w:val="00292DA7"/>
    <w:rsid w:val="002951A0"/>
    <w:rsid w:val="002962BC"/>
    <w:rsid w:val="002A093D"/>
    <w:rsid w:val="002A0DD0"/>
    <w:rsid w:val="002A213F"/>
    <w:rsid w:val="002A49AC"/>
    <w:rsid w:val="002A58CD"/>
    <w:rsid w:val="002A64FD"/>
    <w:rsid w:val="002A7DA1"/>
    <w:rsid w:val="002B730F"/>
    <w:rsid w:val="002C4CD8"/>
    <w:rsid w:val="002C73EC"/>
    <w:rsid w:val="002C7A84"/>
    <w:rsid w:val="002E2BF8"/>
    <w:rsid w:val="002E4FD9"/>
    <w:rsid w:val="002E7466"/>
    <w:rsid w:val="002F2459"/>
    <w:rsid w:val="002F263F"/>
    <w:rsid w:val="002F4107"/>
    <w:rsid w:val="003004D2"/>
    <w:rsid w:val="0030657A"/>
    <w:rsid w:val="00306595"/>
    <w:rsid w:val="00317432"/>
    <w:rsid w:val="00322A85"/>
    <w:rsid w:val="00324168"/>
    <w:rsid w:val="00325055"/>
    <w:rsid w:val="0033008F"/>
    <w:rsid w:val="00330834"/>
    <w:rsid w:val="003448F4"/>
    <w:rsid w:val="0036053B"/>
    <w:rsid w:val="00360F41"/>
    <w:rsid w:val="0037015E"/>
    <w:rsid w:val="00374F5E"/>
    <w:rsid w:val="00377E3E"/>
    <w:rsid w:val="00384A4D"/>
    <w:rsid w:val="00394B67"/>
    <w:rsid w:val="003A3C7D"/>
    <w:rsid w:val="003A779E"/>
    <w:rsid w:val="003B110A"/>
    <w:rsid w:val="003C1C80"/>
    <w:rsid w:val="003C5FD9"/>
    <w:rsid w:val="003D0F4D"/>
    <w:rsid w:val="003D5B0D"/>
    <w:rsid w:val="003D7B74"/>
    <w:rsid w:val="003E0499"/>
    <w:rsid w:val="003E4F80"/>
    <w:rsid w:val="003E6439"/>
    <w:rsid w:val="003E787B"/>
    <w:rsid w:val="003F3782"/>
    <w:rsid w:val="003F3941"/>
    <w:rsid w:val="003F70D3"/>
    <w:rsid w:val="00406575"/>
    <w:rsid w:val="00412BEF"/>
    <w:rsid w:val="00414C74"/>
    <w:rsid w:val="004165DE"/>
    <w:rsid w:val="004204BA"/>
    <w:rsid w:val="0042722E"/>
    <w:rsid w:val="00427B4C"/>
    <w:rsid w:val="00432EBF"/>
    <w:rsid w:val="00442203"/>
    <w:rsid w:val="0044528D"/>
    <w:rsid w:val="0045797A"/>
    <w:rsid w:val="00466E39"/>
    <w:rsid w:val="00470178"/>
    <w:rsid w:val="00474655"/>
    <w:rsid w:val="004810F0"/>
    <w:rsid w:val="00483B7B"/>
    <w:rsid w:val="00494A06"/>
    <w:rsid w:val="004A1847"/>
    <w:rsid w:val="004A2CFC"/>
    <w:rsid w:val="004A305D"/>
    <w:rsid w:val="004B7CB2"/>
    <w:rsid w:val="004D1FD8"/>
    <w:rsid w:val="004D5C33"/>
    <w:rsid w:val="004E42A4"/>
    <w:rsid w:val="004F21C4"/>
    <w:rsid w:val="004F685F"/>
    <w:rsid w:val="00502AF0"/>
    <w:rsid w:val="00513EB7"/>
    <w:rsid w:val="00532B76"/>
    <w:rsid w:val="0054642B"/>
    <w:rsid w:val="005502B6"/>
    <w:rsid w:val="005566E8"/>
    <w:rsid w:val="00560ECB"/>
    <w:rsid w:val="005670AA"/>
    <w:rsid w:val="00567284"/>
    <w:rsid w:val="00571CEF"/>
    <w:rsid w:val="00572FA4"/>
    <w:rsid w:val="00574867"/>
    <w:rsid w:val="00575FFB"/>
    <w:rsid w:val="00590E8E"/>
    <w:rsid w:val="00591460"/>
    <w:rsid w:val="005A65E0"/>
    <w:rsid w:val="005A7A41"/>
    <w:rsid w:val="005B18A4"/>
    <w:rsid w:val="005B6C3F"/>
    <w:rsid w:val="005C3777"/>
    <w:rsid w:val="005C47DD"/>
    <w:rsid w:val="005C5CDC"/>
    <w:rsid w:val="005D134C"/>
    <w:rsid w:val="005D3772"/>
    <w:rsid w:val="005D476C"/>
    <w:rsid w:val="005E1B2C"/>
    <w:rsid w:val="005E30AD"/>
    <w:rsid w:val="005E7746"/>
    <w:rsid w:val="005E7C99"/>
    <w:rsid w:val="005F1A8F"/>
    <w:rsid w:val="005F74D6"/>
    <w:rsid w:val="00602750"/>
    <w:rsid w:val="00603964"/>
    <w:rsid w:val="006114B8"/>
    <w:rsid w:val="006200BF"/>
    <w:rsid w:val="006219F8"/>
    <w:rsid w:val="00623ACE"/>
    <w:rsid w:val="006302F7"/>
    <w:rsid w:val="0063138B"/>
    <w:rsid w:val="00640B77"/>
    <w:rsid w:val="00642162"/>
    <w:rsid w:val="0064667C"/>
    <w:rsid w:val="00646B9F"/>
    <w:rsid w:val="006506D8"/>
    <w:rsid w:val="006565EB"/>
    <w:rsid w:val="006571B8"/>
    <w:rsid w:val="00665D70"/>
    <w:rsid w:val="006677FB"/>
    <w:rsid w:val="00667BCF"/>
    <w:rsid w:val="006778F1"/>
    <w:rsid w:val="0068553E"/>
    <w:rsid w:val="006900D9"/>
    <w:rsid w:val="006943B5"/>
    <w:rsid w:val="006A417B"/>
    <w:rsid w:val="006D40DB"/>
    <w:rsid w:val="006F0915"/>
    <w:rsid w:val="00706C16"/>
    <w:rsid w:val="0071632A"/>
    <w:rsid w:val="007340C3"/>
    <w:rsid w:val="007452A6"/>
    <w:rsid w:val="00747A86"/>
    <w:rsid w:val="0075235A"/>
    <w:rsid w:val="00756841"/>
    <w:rsid w:val="007649AB"/>
    <w:rsid w:val="00771D0C"/>
    <w:rsid w:val="007833AC"/>
    <w:rsid w:val="007A1830"/>
    <w:rsid w:val="007A365D"/>
    <w:rsid w:val="007A4F64"/>
    <w:rsid w:val="007B268C"/>
    <w:rsid w:val="007B5F46"/>
    <w:rsid w:val="007B7171"/>
    <w:rsid w:val="007C025F"/>
    <w:rsid w:val="007C0C0F"/>
    <w:rsid w:val="007C3DC2"/>
    <w:rsid w:val="007D1AA3"/>
    <w:rsid w:val="007D5CE0"/>
    <w:rsid w:val="007D7427"/>
    <w:rsid w:val="007E5497"/>
    <w:rsid w:val="007E6B07"/>
    <w:rsid w:val="007E6DC4"/>
    <w:rsid w:val="007F533D"/>
    <w:rsid w:val="00800770"/>
    <w:rsid w:val="008010AD"/>
    <w:rsid w:val="00806F5F"/>
    <w:rsid w:val="0081140E"/>
    <w:rsid w:val="0081355B"/>
    <w:rsid w:val="00820213"/>
    <w:rsid w:val="00820278"/>
    <w:rsid w:val="008258C9"/>
    <w:rsid w:val="008316FF"/>
    <w:rsid w:val="00833DC7"/>
    <w:rsid w:val="00844AE9"/>
    <w:rsid w:val="00867F95"/>
    <w:rsid w:val="00870906"/>
    <w:rsid w:val="00871162"/>
    <w:rsid w:val="00880BDF"/>
    <w:rsid w:val="008843B6"/>
    <w:rsid w:val="008853C8"/>
    <w:rsid w:val="008911FD"/>
    <w:rsid w:val="00891928"/>
    <w:rsid w:val="008A3E33"/>
    <w:rsid w:val="008A446D"/>
    <w:rsid w:val="008B25F1"/>
    <w:rsid w:val="008B470A"/>
    <w:rsid w:val="008D180B"/>
    <w:rsid w:val="008F0EA7"/>
    <w:rsid w:val="008F3C47"/>
    <w:rsid w:val="00905512"/>
    <w:rsid w:val="00917BC7"/>
    <w:rsid w:val="009235D4"/>
    <w:rsid w:val="00923EEF"/>
    <w:rsid w:val="00926F6C"/>
    <w:rsid w:val="009305B3"/>
    <w:rsid w:val="009419F9"/>
    <w:rsid w:val="00945E3D"/>
    <w:rsid w:val="00953303"/>
    <w:rsid w:val="00956243"/>
    <w:rsid w:val="0095685E"/>
    <w:rsid w:val="00956E37"/>
    <w:rsid w:val="00961B09"/>
    <w:rsid w:val="00965334"/>
    <w:rsid w:val="0097093E"/>
    <w:rsid w:val="00972B55"/>
    <w:rsid w:val="00982C6E"/>
    <w:rsid w:val="00997B7A"/>
    <w:rsid w:val="009A0DFA"/>
    <w:rsid w:val="009B2D26"/>
    <w:rsid w:val="009B58B6"/>
    <w:rsid w:val="009B7FC5"/>
    <w:rsid w:val="009C71FA"/>
    <w:rsid w:val="009C72E7"/>
    <w:rsid w:val="009C7F7E"/>
    <w:rsid w:val="009D3058"/>
    <w:rsid w:val="009D4B90"/>
    <w:rsid w:val="009D53A2"/>
    <w:rsid w:val="009D75CA"/>
    <w:rsid w:val="009F3A13"/>
    <w:rsid w:val="009F661C"/>
    <w:rsid w:val="009F6C76"/>
    <w:rsid w:val="00A02AB0"/>
    <w:rsid w:val="00A122D3"/>
    <w:rsid w:val="00A14468"/>
    <w:rsid w:val="00A17434"/>
    <w:rsid w:val="00A17F13"/>
    <w:rsid w:val="00A20739"/>
    <w:rsid w:val="00A226F2"/>
    <w:rsid w:val="00A23AF9"/>
    <w:rsid w:val="00A31FFE"/>
    <w:rsid w:val="00A33C78"/>
    <w:rsid w:val="00A419EF"/>
    <w:rsid w:val="00A41D14"/>
    <w:rsid w:val="00A5237A"/>
    <w:rsid w:val="00A571B4"/>
    <w:rsid w:val="00A6343E"/>
    <w:rsid w:val="00A7153D"/>
    <w:rsid w:val="00A71626"/>
    <w:rsid w:val="00A76A8D"/>
    <w:rsid w:val="00A835E0"/>
    <w:rsid w:val="00A85C07"/>
    <w:rsid w:val="00A868E0"/>
    <w:rsid w:val="00A926C4"/>
    <w:rsid w:val="00A96668"/>
    <w:rsid w:val="00AA54B2"/>
    <w:rsid w:val="00AA5AFC"/>
    <w:rsid w:val="00AA7E50"/>
    <w:rsid w:val="00AB0ADB"/>
    <w:rsid w:val="00AC7081"/>
    <w:rsid w:val="00AD47AD"/>
    <w:rsid w:val="00B00412"/>
    <w:rsid w:val="00B00C0E"/>
    <w:rsid w:val="00B01B1A"/>
    <w:rsid w:val="00B125A0"/>
    <w:rsid w:val="00B15B4A"/>
    <w:rsid w:val="00B44A47"/>
    <w:rsid w:val="00B53E48"/>
    <w:rsid w:val="00B67807"/>
    <w:rsid w:val="00B72CD3"/>
    <w:rsid w:val="00B72FFF"/>
    <w:rsid w:val="00B77287"/>
    <w:rsid w:val="00B77B2C"/>
    <w:rsid w:val="00B80DB2"/>
    <w:rsid w:val="00B80F1E"/>
    <w:rsid w:val="00B92250"/>
    <w:rsid w:val="00B93DAD"/>
    <w:rsid w:val="00BA4645"/>
    <w:rsid w:val="00BA5197"/>
    <w:rsid w:val="00BB6326"/>
    <w:rsid w:val="00BB77C9"/>
    <w:rsid w:val="00BC3D36"/>
    <w:rsid w:val="00BD54A6"/>
    <w:rsid w:val="00BD5AEC"/>
    <w:rsid w:val="00BD7F72"/>
    <w:rsid w:val="00BE429B"/>
    <w:rsid w:val="00BE5E63"/>
    <w:rsid w:val="00BF11EF"/>
    <w:rsid w:val="00BF6C3C"/>
    <w:rsid w:val="00BF7425"/>
    <w:rsid w:val="00C03449"/>
    <w:rsid w:val="00C04FB3"/>
    <w:rsid w:val="00C06163"/>
    <w:rsid w:val="00C077A3"/>
    <w:rsid w:val="00C11D8B"/>
    <w:rsid w:val="00C16021"/>
    <w:rsid w:val="00C16B06"/>
    <w:rsid w:val="00C330EB"/>
    <w:rsid w:val="00C36E03"/>
    <w:rsid w:val="00C42A07"/>
    <w:rsid w:val="00C50D69"/>
    <w:rsid w:val="00C5365C"/>
    <w:rsid w:val="00C754BE"/>
    <w:rsid w:val="00C76B1C"/>
    <w:rsid w:val="00C925AC"/>
    <w:rsid w:val="00CA0B46"/>
    <w:rsid w:val="00CA493A"/>
    <w:rsid w:val="00CA5BF3"/>
    <w:rsid w:val="00CB6357"/>
    <w:rsid w:val="00CC1B26"/>
    <w:rsid w:val="00CC2395"/>
    <w:rsid w:val="00CC6432"/>
    <w:rsid w:val="00CD46EE"/>
    <w:rsid w:val="00CE32C3"/>
    <w:rsid w:val="00CE5368"/>
    <w:rsid w:val="00CE5F57"/>
    <w:rsid w:val="00CE71F1"/>
    <w:rsid w:val="00D01936"/>
    <w:rsid w:val="00D01973"/>
    <w:rsid w:val="00D164C2"/>
    <w:rsid w:val="00D206AF"/>
    <w:rsid w:val="00D2466D"/>
    <w:rsid w:val="00D24E1B"/>
    <w:rsid w:val="00D27CE1"/>
    <w:rsid w:val="00D361FD"/>
    <w:rsid w:val="00D37180"/>
    <w:rsid w:val="00D37465"/>
    <w:rsid w:val="00D41FCB"/>
    <w:rsid w:val="00D423A2"/>
    <w:rsid w:val="00D44E26"/>
    <w:rsid w:val="00D47974"/>
    <w:rsid w:val="00D520D8"/>
    <w:rsid w:val="00D532F2"/>
    <w:rsid w:val="00D63AC2"/>
    <w:rsid w:val="00D657D6"/>
    <w:rsid w:val="00D7301A"/>
    <w:rsid w:val="00D7383B"/>
    <w:rsid w:val="00D7788A"/>
    <w:rsid w:val="00D829C0"/>
    <w:rsid w:val="00D851F6"/>
    <w:rsid w:val="00D935A1"/>
    <w:rsid w:val="00DA1C9A"/>
    <w:rsid w:val="00DA231B"/>
    <w:rsid w:val="00DA71F5"/>
    <w:rsid w:val="00DA791A"/>
    <w:rsid w:val="00DC236F"/>
    <w:rsid w:val="00DC39FC"/>
    <w:rsid w:val="00DC3B89"/>
    <w:rsid w:val="00DC5D2D"/>
    <w:rsid w:val="00DE18D2"/>
    <w:rsid w:val="00DF3306"/>
    <w:rsid w:val="00DF5254"/>
    <w:rsid w:val="00DF74C3"/>
    <w:rsid w:val="00E02524"/>
    <w:rsid w:val="00E16408"/>
    <w:rsid w:val="00E20894"/>
    <w:rsid w:val="00E245AB"/>
    <w:rsid w:val="00E2764C"/>
    <w:rsid w:val="00E27F2E"/>
    <w:rsid w:val="00E36330"/>
    <w:rsid w:val="00E50AFE"/>
    <w:rsid w:val="00E62734"/>
    <w:rsid w:val="00E65B53"/>
    <w:rsid w:val="00E75C92"/>
    <w:rsid w:val="00E76F33"/>
    <w:rsid w:val="00E771DC"/>
    <w:rsid w:val="00E86E38"/>
    <w:rsid w:val="00E8772A"/>
    <w:rsid w:val="00E90F6B"/>
    <w:rsid w:val="00E92C27"/>
    <w:rsid w:val="00E94B76"/>
    <w:rsid w:val="00EA0E3D"/>
    <w:rsid w:val="00EC0B3F"/>
    <w:rsid w:val="00EC38A7"/>
    <w:rsid w:val="00ED0AD9"/>
    <w:rsid w:val="00EE1AA8"/>
    <w:rsid w:val="00EF1E8C"/>
    <w:rsid w:val="00EF6D5D"/>
    <w:rsid w:val="00F01CF9"/>
    <w:rsid w:val="00F21735"/>
    <w:rsid w:val="00F22C66"/>
    <w:rsid w:val="00F23FEA"/>
    <w:rsid w:val="00F27B7B"/>
    <w:rsid w:val="00F31EDC"/>
    <w:rsid w:val="00F32A8C"/>
    <w:rsid w:val="00F45734"/>
    <w:rsid w:val="00F462B3"/>
    <w:rsid w:val="00F56144"/>
    <w:rsid w:val="00F5664F"/>
    <w:rsid w:val="00F61CE6"/>
    <w:rsid w:val="00F666C4"/>
    <w:rsid w:val="00F7501A"/>
    <w:rsid w:val="00F76AFC"/>
    <w:rsid w:val="00F86611"/>
    <w:rsid w:val="00F9019F"/>
    <w:rsid w:val="00F91A0E"/>
    <w:rsid w:val="00FA47C0"/>
    <w:rsid w:val="00FA5756"/>
    <w:rsid w:val="00FA67CF"/>
    <w:rsid w:val="00FB2C1D"/>
    <w:rsid w:val="00FB5DD1"/>
    <w:rsid w:val="00FC2B5D"/>
    <w:rsid w:val="00FD01D0"/>
    <w:rsid w:val="00FD2581"/>
    <w:rsid w:val="00FE0CDD"/>
    <w:rsid w:val="00FE2E0A"/>
    <w:rsid w:val="00FF1449"/>
    <w:rsid w:val="00FF3D97"/>
    <w:rsid w:val="00FF6D6F"/>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7A3"/>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F3D97"/>
    <w:rPr>
      <w:rFonts w:ascii="Geomanist Light" w:hAnsi="Geomanist Light"/>
      <w:lang w:val="es-ES"/>
    </w:rPr>
  </w:style>
  <w:style w:type="character" w:customStyle="1" w:styleId="NormalWebCar">
    <w:name w:val="Normal (Web) Car"/>
    <w:link w:val="NormalWeb"/>
    <w:uiPriority w:val="99"/>
    <w:locked/>
    <w:rsid w:val="00A7153D"/>
    <w:rPr>
      <w:rFonts w:ascii="Times New Roman" w:eastAsia="Times New Roman" w:hAnsi="Times New Roman" w:cs="Times New Roman"/>
      <w:sz w:val="24"/>
      <w:szCs w:val="24"/>
      <w:lang w:eastAsia="es-CO"/>
    </w:rPr>
  </w:style>
  <w:style w:type="character" w:customStyle="1" w:styleId="baj">
    <w:name w:val="b_aj"/>
    <w:basedOn w:val="Fuentedeprrafopredeter"/>
    <w:rsid w:val="00A7153D"/>
  </w:style>
  <w:style w:type="table" w:customStyle="1" w:styleId="Tablaconcuadrcula11">
    <w:name w:val="Tabla con cuadrícula11"/>
    <w:basedOn w:val="Tablanormal"/>
    <w:next w:val="Tablaconcuadrcula"/>
    <w:uiPriority w:val="39"/>
    <w:qFormat/>
    <w:rsid w:val="0033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3300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qFormat/>
    <w:rsid w:val="00930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qFormat/>
    <w:rsid w:val="009305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33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8726">
      <w:bodyDiv w:val="1"/>
      <w:marLeft w:val="0"/>
      <w:marRight w:val="0"/>
      <w:marTop w:val="0"/>
      <w:marBottom w:val="0"/>
      <w:divBdr>
        <w:top w:val="none" w:sz="0" w:space="0" w:color="auto"/>
        <w:left w:val="none" w:sz="0" w:space="0" w:color="auto"/>
        <w:bottom w:val="none" w:sz="0" w:space="0" w:color="auto"/>
        <w:right w:val="none" w:sz="0" w:space="0" w:color="auto"/>
      </w:divBdr>
      <w:divsChild>
        <w:div w:id="38404523">
          <w:marLeft w:val="0"/>
          <w:marRight w:val="0"/>
          <w:marTop w:val="0"/>
          <w:marBottom w:val="0"/>
          <w:divBdr>
            <w:top w:val="none" w:sz="0" w:space="0" w:color="auto"/>
            <w:left w:val="none" w:sz="0" w:space="0" w:color="auto"/>
            <w:bottom w:val="none" w:sz="0" w:space="0" w:color="auto"/>
            <w:right w:val="none" w:sz="0" w:space="0" w:color="auto"/>
          </w:divBdr>
        </w:div>
      </w:divsChild>
    </w:div>
    <w:div w:id="108817703">
      <w:bodyDiv w:val="1"/>
      <w:marLeft w:val="0"/>
      <w:marRight w:val="0"/>
      <w:marTop w:val="0"/>
      <w:marBottom w:val="0"/>
      <w:divBdr>
        <w:top w:val="none" w:sz="0" w:space="0" w:color="auto"/>
        <w:left w:val="none" w:sz="0" w:space="0" w:color="auto"/>
        <w:bottom w:val="none" w:sz="0" w:space="0" w:color="auto"/>
        <w:right w:val="none" w:sz="0" w:space="0" w:color="auto"/>
      </w:divBdr>
    </w:div>
    <w:div w:id="131800280">
      <w:bodyDiv w:val="1"/>
      <w:marLeft w:val="0"/>
      <w:marRight w:val="0"/>
      <w:marTop w:val="0"/>
      <w:marBottom w:val="0"/>
      <w:divBdr>
        <w:top w:val="none" w:sz="0" w:space="0" w:color="auto"/>
        <w:left w:val="none" w:sz="0" w:space="0" w:color="auto"/>
        <w:bottom w:val="none" w:sz="0" w:space="0" w:color="auto"/>
        <w:right w:val="none" w:sz="0" w:space="0" w:color="auto"/>
      </w:divBdr>
      <w:divsChild>
        <w:div w:id="1218514498">
          <w:marLeft w:val="0"/>
          <w:marRight w:val="0"/>
          <w:marTop w:val="0"/>
          <w:marBottom w:val="0"/>
          <w:divBdr>
            <w:top w:val="none" w:sz="0" w:space="0" w:color="auto"/>
            <w:left w:val="none" w:sz="0" w:space="0" w:color="auto"/>
            <w:bottom w:val="none" w:sz="0" w:space="0" w:color="auto"/>
            <w:right w:val="none" w:sz="0" w:space="0" w:color="auto"/>
          </w:divBdr>
        </w:div>
      </w:divsChild>
    </w:div>
    <w:div w:id="257755920">
      <w:bodyDiv w:val="1"/>
      <w:marLeft w:val="0"/>
      <w:marRight w:val="0"/>
      <w:marTop w:val="0"/>
      <w:marBottom w:val="0"/>
      <w:divBdr>
        <w:top w:val="none" w:sz="0" w:space="0" w:color="auto"/>
        <w:left w:val="none" w:sz="0" w:space="0" w:color="auto"/>
        <w:bottom w:val="none" w:sz="0" w:space="0" w:color="auto"/>
        <w:right w:val="none" w:sz="0" w:space="0" w:color="auto"/>
      </w:divBdr>
      <w:divsChild>
        <w:div w:id="1051147062">
          <w:marLeft w:val="0"/>
          <w:marRight w:val="0"/>
          <w:marTop w:val="0"/>
          <w:marBottom w:val="0"/>
          <w:divBdr>
            <w:top w:val="none" w:sz="0" w:space="0" w:color="auto"/>
            <w:left w:val="none" w:sz="0" w:space="0" w:color="auto"/>
            <w:bottom w:val="none" w:sz="0" w:space="0" w:color="auto"/>
            <w:right w:val="none" w:sz="0" w:space="0" w:color="auto"/>
          </w:divBdr>
        </w:div>
      </w:divsChild>
    </w:div>
    <w:div w:id="279382190">
      <w:bodyDiv w:val="1"/>
      <w:marLeft w:val="0"/>
      <w:marRight w:val="0"/>
      <w:marTop w:val="0"/>
      <w:marBottom w:val="0"/>
      <w:divBdr>
        <w:top w:val="none" w:sz="0" w:space="0" w:color="auto"/>
        <w:left w:val="none" w:sz="0" w:space="0" w:color="auto"/>
        <w:bottom w:val="none" w:sz="0" w:space="0" w:color="auto"/>
        <w:right w:val="none" w:sz="0" w:space="0" w:color="auto"/>
      </w:divBdr>
      <w:divsChild>
        <w:div w:id="964847463">
          <w:marLeft w:val="0"/>
          <w:marRight w:val="0"/>
          <w:marTop w:val="0"/>
          <w:marBottom w:val="0"/>
          <w:divBdr>
            <w:top w:val="none" w:sz="0" w:space="0" w:color="auto"/>
            <w:left w:val="none" w:sz="0" w:space="0" w:color="auto"/>
            <w:bottom w:val="none" w:sz="0" w:space="0" w:color="auto"/>
            <w:right w:val="none" w:sz="0" w:space="0" w:color="auto"/>
          </w:divBdr>
        </w:div>
      </w:divsChild>
    </w:div>
    <w:div w:id="283079966">
      <w:bodyDiv w:val="1"/>
      <w:marLeft w:val="0"/>
      <w:marRight w:val="0"/>
      <w:marTop w:val="0"/>
      <w:marBottom w:val="0"/>
      <w:divBdr>
        <w:top w:val="none" w:sz="0" w:space="0" w:color="auto"/>
        <w:left w:val="none" w:sz="0" w:space="0" w:color="auto"/>
        <w:bottom w:val="none" w:sz="0" w:space="0" w:color="auto"/>
        <w:right w:val="none" w:sz="0" w:space="0" w:color="auto"/>
      </w:divBdr>
      <w:divsChild>
        <w:div w:id="1634407122">
          <w:marLeft w:val="0"/>
          <w:marRight w:val="0"/>
          <w:marTop w:val="0"/>
          <w:marBottom w:val="0"/>
          <w:divBdr>
            <w:top w:val="none" w:sz="0" w:space="0" w:color="auto"/>
            <w:left w:val="none" w:sz="0" w:space="0" w:color="auto"/>
            <w:bottom w:val="none" w:sz="0" w:space="0" w:color="auto"/>
            <w:right w:val="none" w:sz="0" w:space="0" w:color="auto"/>
          </w:divBdr>
        </w:div>
      </w:divsChild>
    </w:div>
    <w:div w:id="289360698">
      <w:bodyDiv w:val="1"/>
      <w:marLeft w:val="0"/>
      <w:marRight w:val="0"/>
      <w:marTop w:val="0"/>
      <w:marBottom w:val="0"/>
      <w:divBdr>
        <w:top w:val="none" w:sz="0" w:space="0" w:color="auto"/>
        <w:left w:val="none" w:sz="0" w:space="0" w:color="auto"/>
        <w:bottom w:val="none" w:sz="0" w:space="0" w:color="auto"/>
        <w:right w:val="none" w:sz="0" w:space="0" w:color="auto"/>
      </w:divBdr>
      <w:divsChild>
        <w:div w:id="188642866">
          <w:marLeft w:val="0"/>
          <w:marRight w:val="0"/>
          <w:marTop w:val="0"/>
          <w:marBottom w:val="0"/>
          <w:divBdr>
            <w:top w:val="none" w:sz="0" w:space="0" w:color="auto"/>
            <w:left w:val="none" w:sz="0" w:space="0" w:color="auto"/>
            <w:bottom w:val="none" w:sz="0" w:space="0" w:color="auto"/>
            <w:right w:val="none" w:sz="0" w:space="0" w:color="auto"/>
          </w:divBdr>
        </w:div>
      </w:divsChild>
    </w:div>
    <w:div w:id="362830511">
      <w:bodyDiv w:val="1"/>
      <w:marLeft w:val="0"/>
      <w:marRight w:val="0"/>
      <w:marTop w:val="0"/>
      <w:marBottom w:val="0"/>
      <w:divBdr>
        <w:top w:val="none" w:sz="0" w:space="0" w:color="auto"/>
        <w:left w:val="none" w:sz="0" w:space="0" w:color="auto"/>
        <w:bottom w:val="none" w:sz="0" w:space="0" w:color="auto"/>
        <w:right w:val="none" w:sz="0" w:space="0" w:color="auto"/>
      </w:divBdr>
    </w:div>
    <w:div w:id="364061825">
      <w:bodyDiv w:val="1"/>
      <w:marLeft w:val="0"/>
      <w:marRight w:val="0"/>
      <w:marTop w:val="0"/>
      <w:marBottom w:val="0"/>
      <w:divBdr>
        <w:top w:val="none" w:sz="0" w:space="0" w:color="auto"/>
        <w:left w:val="none" w:sz="0" w:space="0" w:color="auto"/>
        <w:bottom w:val="none" w:sz="0" w:space="0" w:color="auto"/>
        <w:right w:val="none" w:sz="0" w:space="0" w:color="auto"/>
      </w:divBdr>
    </w:div>
    <w:div w:id="402416988">
      <w:bodyDiv w:val="1"/>
      <w:marLeft w:val="0"/>
      <w:marRight w:val="0"/>
      <w:marTop w:val="0"/>
      <w:marBottom w:val="0"/>
      <w:divBdr>
        <w:top w:val="none" w:sz="0" w:space="0" w:color="auto"/>
        <w:left w:val="none" w:sz="0" w:space="0" w:color="auto"/>
        <w:bottom w:val="none" w:sz="0" w:space="0" w:color="auto"/>
        <w:right w:val="none" w:sz="0" w:space="0" w:color="auto"/>
      </w:divBdr>
      <w:divsChild>
        <w:div w:id="1103379961">
          <w:marLeft w:val="0"/>
          <w:marRight w:val="0"/>
          <w:marTop w:val="0"/>
          <w:marBottom w:val="0"/>
          <w:divBdr>
            <w:top w:val="none" w:sz="0" w:space="0" w:color="auto"/>
            <w:left w:val="none" w:sz="0" w:space="0" w:color="auto"/>
            <w:bottom w:val="none" w:sz="0" w:space="0" w:color="auto"/>
            <w:right w:val="none" w:sz="0" w:space="0" w:color="auto"/>
          </w:divBdr>
        </w:div>
      </w:divsChild>
    </w:div>
    <w:div w:id="555898339">
      <w:bodyDiv w:val="1"/>
      <w:marLeft w:val="0"/>
      <w:marRight w:val="0"/>
      <w:marTop w:val="0"/>
      <w:marBottom w:val="0"/>
      <w:divBdr>
        <w:top w:val="none" w:sz="0" w:space="0" w:color="auto"/>
        <w:left w:val="none" w:sz="0" w:space="0" w:color="auto"/>
        <w:bottom w:val="none" w:sz="0" w:space="0" w:color="auto"/>
        <w:right w:val="none" w:sz="0" w:space="0" w:color="auto"/>
      </w:divBdr>
    </w:div>
    <w:div w:id="589897052">
      <w:bodyDiv w:val="1"/>
      <w:marLeft w:val="0"/>
      <w:marRight w:val="0"/>
      <w:marTop w:val="0"/>
      <w:marBottom w:val="0"/>
      <w:divBdr>
        <w:top w:val="none" w:sz="0" w:space="0" w:color="auto"/>
        <w:left w:val="none" w:sz="0" w:space="0" w:color="auto"/>
        <w:bottom w:val="none" w:sz="0" w:space="0" w:color="auto"/>
        <w:right w:val="none" w:sz="0" w:space="0" w:color="auto"/>
      </w:divBdr>
    </w:div>
    <w:div w:id="616789898">
      <w:bodyDiv w:val="1"/>
      <w:marLeft w:val="0"/>
      <w:marRight w:val="0"/>
      <w:marTop w:val="0"/>
      <w:marBottom w:val="0"/>
      <w:divBdr>
        <w:top w:val="none" w:sz="0" w:space="0" w:color="auto"/>
        <w:left w:val="none" w:sz="0" w:space="0" w:color="auto"/>
        <w:bottom w:val="none" w:sz="0" w:space="0" w:color="auto"/>
        <w:right w:val="none" w:sz="0" w:space="0" w:color="auto"/>
      </w:divBdr>
      <w:divsChild>
        <w:div w:id="218516423">
          <w:marLeft w:val="0"/>
          <w:marRight w:val="0"/>
          <w:marTop w:val="0"/>
          <w:marBottom w:val="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812479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73217194">
      <w:bodyDiv w:val="1"/>
      <w:marLeft w:val="0"/>
      <w:marRight w:val="0"/>
      <w:marTop w:val="0"/>
      <w:marBottom w:val="0"/>
      <w:divBdr>
        <w:top w:val="none" w:sz="0" w:space="0" w:color="auto"/>
        <w:left w:val="none" w:sz="0" w:space="0" w:color="auto"/>
        <w:bottom w:val="none" w:sz="0" w:space="0" w:color="auto"/>
        <w:right w:val="none" w:sz="0" w:space="0" w:color="auto"/>
      </w:divBdr>
      <w:divsChild>
        <w:div w:id="1058557932">
          <w:marLeft w:val="0"/>
          <w:marRight w:val="0"/>
          <w:marTop w:val="0"/>
          <w:marBottom w:val="0"/>
          <w:divBdr>
            <w:top w:val="none" w:sz="0" w:space="0" w:color="auto"/>
            <w:left w:val="none" w:sz="0" w:space="0" w:color="auto"/>
            <w:bottom w:val="none" w:sz="0" w:space="0" w:color="auto"/>
            <w:right w:val="none" w:sz="0" w:space="0" w:color="auto"/>
          </w:divBdr>
        </w:div>
      </w:divsChild>
    </w:div>
    <w:div w:id="1130443694">
      <w:bodyDiv w:val="1"/>
      <w:marLeft w:val="0"/>
      <w:marRight w:val="0"/>
      <w:marTop w:val="0"/>
      <w:marBottom w:val="0"/>
      <w:divBdr>
        <w:top w:val="none" w:sz="0" w:space="0" w:color="auto"/>
        <w:left w:val="none" w:sz="0" w:space="0" w:color="auto"/>
        <w:bottom w:val="none" w:sz="0" w:space="0" w:color="auto"/>
        <w:right w:val="none" w:sz="0" w:space="0" w:color="auto"/>
      </w:divBdr>
      <w:divsChild>
        <w:div w:id="137307053">
          <w:marLeft w:val="0"/>
          <w:marRight w:val="0"/>
          <w:marTop w:val="0"/>
          <w:marBottom w:val="0"/>
          <w:divBdr>
            <w:top w:val="none" w:sz="0" w:space="0" w:color="auto"/>
            <w:left w:val="none" w:sz="0" w:space="0" w:color="auto"/>
            <w:bottom w:val="none" w:sz="0" w:space="0" w:color="auto"/>
            <w:right w:val="none" w:sz="0" w:space="0" w:color="auto"/>
          </w:divBdr>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61047948">
      <w:bodyDiv w:val="1"/>
      <w:marLeft w:val="0"/>
      <w:marRight w:val="0"/>
      <w:marTop w:val="0"/>
      <w:marBottom w:val="0"/>
      <w:divBdr>
        <w:top w:val="none" w:sz="0" w:space="0" w:color="auto"/>
        <w:left w:val="none" w:sz="0" w:space="0" w:color="auto"/>
        <w:bottom w:val="none" w:sz="0" w:space="0" w:color="auto"/>
        <w:right w:val="none" w:sz="0" w:space="0" w:color="auto"/>
      </w:divBdr>
      <w:divsChild>
        <w:div w:id="961959163">
          <w:marLeft w:val="0"/>
          <w:marRight w:val="0"/>
          <w:marTop w:val="0"/>
          <w:marBottom w:val="0"/>
          <w:divBdr>
            <w:top w:val="none" w:sz="0" w:space="0" w:color="auto"/>
            <w:left w:val="none" w:sz="0" w:space="0" w:color="auto"/>
            <w:bottom w:val="none" w:sz="0" w:space="0" w:color="auto"/>
            <w:right w:val="none" w:sz="0" w:space="0" w:color="auto"/>
          </w:divBdr>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82302456">
      <w:bodyDiv w:val="1"/>
      <w:marLeft w:val="0"/>
      <w:marRight w:val="0"/>
      <w:marTop w:val="0"/>
      <w:marBottom w:val="0"/>
      <w:divBdr>
        <w:top w:val="none" w:sz="0" w:space="0" w:color="auto"/>
        <w:left w:val="none" w:sz="0" w:space="0" w:color="auto"/>
        <w:bottom w:val="none" w:sz="0" w:space="0" w:color="auto"/>
        <w:right w:val="none" w:sz="0" w:space="0" w:color="auto"/>
      </w:divBdr>
      <w:divsChild>
        <w:div w:id="347754330">
          <w:marLeft w:val="0"/>
          <w:marRight w:val="0"/>
          <w:marTop w:val="0"/>
          <w:marBottom w:val="0"/>
          <w:divBdr>
            <w:top w:val="none" w:sz="0" w:space="0" w:color="auto"/>
            <w:left w:val="none" w:sz="0" w:space="0" w:color="auto"/>
            <w:bottom w:val="none" w:sz="0" w:space="0" w:color="auto"/>
            <w:right w:val="none" w:sz="0" w:space="0" w:color="auto"/>
          </w:divBdr>
        </w:div>
      </w:divsChild>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30985949">
      <w:bodyDiv w:val="1"/>
      <w:marLeft w:val="0"/>
      <w:marRight w:val="0"/>
      <w:marTop w:val="0"/>
      <w:marBottom w:val="0"/>
      <w:divBdr>
        <w:top w:val="none" w:sz="0" w:space="0" w:color="auto"/>
        <w:left w:val="none" w:sz="0" w:space="0" w:color="auto"/>
        <w:bottom w:val="none" w:sz="0" w:space="0" w:color="auto"/>
        <w:right w:val="none" w:sz="0" w:space="0" w:color="auto"/>
      </w:divBdr>
      <w:divsChild>
        <w:div w:id="1667049897">
          <w:marLeft w:val="0"/>
          <w:marRight w:val="0"/>
          <w:marTop w:val="0"/>
          <w:marBottom w:val="0"/>
          <w:divBdr>
            <w:top w:val="none" w:sz="0" w:space="0" w:color="auto"/>
            <w:left w:val="none" w:sz="0" w:space="0" w:color="auto"/>
            <w:bottom w:val="none" w:sz="0" w:space="0" w:color="auto"/>
            <w:right w:val="none" w:sz="0" w:space="0" w:color="auto"/>
          </w:divBdr>
        </w:div>
      </w:divsChild>
    </w:div>
    <w:div w:id="1446000206">
      <w:bodyDiv w:val="1"/>
      <w:marLeft w:val="0"/>
      <w:marRight w:val="0"/>
      <w:marTop w:val="0"/>
      <w:marBottom w:val="0"/>
      <w:divBdr>
        <w:top w:val="none" w:sz="0" w:space="0" w:color="auto"/>
        <w:left w:val="none" w:sz="0" w:space="0" w:color="auto"/>
        <w:bottom w:val="none" w:sz="0" w:space="0" w:color="auto"/>
        <w:right w:val="none" w:sz="0" w:space="0" w:color="auto"/>
      </w:divBdr>
      <w:divsChild>
        <w:div w:id="880169328">
          <w:marLeft w:val="0"/>
          <w:marRight w:val="0"/>
          <w:marTop w:val="0"/>
          <w:marBottom w:val="0"/>
          <w:divBdr>
            <w:top w:val="none" w:sz="0" w:space="0" w:color="auto"/>
            <w:left w:val="none" w:sz="0" w:space="0" w:color="auto"/>
            <w:bottom w:val="none" w:sz="0" w:space="0" w:color="auto"/>
            <w:right w:val="none" w:sz="0" w:space="0" w:color="auto"/>
          </w:divBdr>
        </w:div>
      </w:divsChild>
    </w:div>
    <w:div w:id="1501851511">
      <w:bodyDiv w:val="1"/>
      <w:marLeft w:val="0"/>
      <w:marRight w:val="0"/>
      <w:marTop w:val="0"/>
      <w:marBottom w:val="0"/>
      <w:divBdr>
        <w:top w:val="none" w:sz="0" w:space="0" w:color="auto"/>
        <w:left w:val="none" w:sz="0" w:space="0" w:color="auto"/>
        <w:bottom w:val="none" w:sz="0" w:space="0" w:color="auto"/>
        <w:right w:val="none" w:sz="0" w:space="0" w:color="auto"/>
      </w:divBdr>
      <w:divsChild>
        <w:div w:id="906645972">
          <w:marLeft w:val="0"/>
          <w:marRight w:val="0"/>
          <w:marTop w:val="0"/>
          <w:marBottom w:val="0"/>
          <w:divBdr>
            <w:top w:val="none" w:sz="0" w:space="0" w:color="auto"/>
            <w:left w:val="none" w:sz="0" w:space="0" w:color="auto"/>
            <w:bottom w:val="none" w:sz="0" w:space="0" w:color="auto"/>
            <w:right w:val="none" w:sz="0" w:space="0" w:color="auto"/>
          </w:divBdr>
        </w:div>
      </w:divsChild>
    </w:div>
    <w:div w:id="1522428294">
      <w:bodyDiv w:val="1"/>
      <w:marLeft w:val="0"/>
      <w:marRight w:val="0"/>
      <w:marTop w:val="0"/>
      <w:marBottom w:val="0"/>
      <w:divBdr>
        <w:top w:val="none" w:sz="0" w:space="0" w:color="auto"/>
        <w:left w:val="none" w:sz="0" w:space="0" w:color="auto"/>
        <w:bottom w:val="none" w:sz="0" w:space="0" w:color="auto"/>
        <w:right w:val="none" w:sz="0" w:space="0" w:color="auto"/>
      </w:divBdr>
      <w:divsChild>
        <w:div w:id="909194973">
          <w:marLeft w:val="0"/>
          <w:marRight w:val="0"/>
          <w:marTop w:val="0"/>
          <w:marBottom w:val="0"/>
          <w:divBdr>
            <w:top w:val="none" w:sz="0" w:space="0" w:color="auto"/>
            <w:left w:val="none" w:sz="0" w:space="0" w:color="auto"/>
            <w:bottom w:val="none" w:sz="0" w:space="0" w:color="auto"/>
            <w:right w:val="none" w:sz="0" w:space="0" w:color="auto"/>
          </w:divBdr>
        </w:div>
      </w:divsChild>
    </w:div>
    <w:div w:id="1555506488">
      <w:bodyDiv w:val="1"/>
      <w:marLeft w:val="0"/>
      <w:marRight w:val="0"/>
      <w:marTop w:val="0"/>
      <w:marBottom w:val="0"/>
      <w:divBdr>
        <w:top w:val="none" w:sz="0" w:space="0" w:color="auto"/>
        <w:left w:val="none" w:sz="0" w:space="0" w:color="auto"/>
        <w:bottom w:val="none" w:sz="0" w:space="0" w:color="auto"/>
        <w:right w:val="none" w:sz="0" w:space="0" w:color="auto"/>
      </w:divBdr>
    </w:div>
    <w:div w:id="1672445614">
      <w:bodyDiv w:val="1"/>
      <w:marLeft w:val="0"/>
      <w:marRight w:val="0"/>
      <w:marTop w:val="0"/>
      <w:marBottom w:val="0"/>
      <w:divBdr>
        <w:top w:val="none" w:sz="0" w:space="0" w:color="auto"/>
        <w:left w:val="none" w:sz="0" w:space="0" w:color="auto"/>
        <w:bottom w:val="none" w:sz="0" w:space="0" w:color="auto"/>
        <w:right w:val="none" w:sz="0" w:space="0" w:color="auto"/>
      </w:divBdr>
      <w:divsChild>
        <w:div w:id="1961296078">
          <w:marLeft w:val="0"/>
          <w:marRight w:val="0"/>
          <w:marTop w:val="0"/>
          <w:marBottom w:val="0"/>
          <w:divBdr>
            <w:top w:val="none" w:sz="0" w:space="0" w:color="auto"/>
            <w:left w:val="none" w:sz="0" w:space="0" w:color="auto"/>
            <w:bottom w:val="none" w:sz="0" w:space="0" w:color="auto"/>
            <w:right w:val="none" w:sz="0" w:space="0" w:color="auto"/>
          </w:divBdr>
        </w:div>
      </w:divsChild>
    </w:div>
    <w:div w:id="1682783596">
      <w:bodyDiv w:val="1"/>
      <w:marLeft w:val="0"/>
      <w:marRight w:val="0"/>
      <w:marTop w:val="0"/>
      <w:marBottom w:val="0"/>
      <w:divBdr>
        <w:top w:val="none" w:sz="0" w:space="0" w:color="auto"/>
        <w:left w:val="none" w:sz="0" w:space="0" w:color="auto"/>
        <w:bottom w:val="none" w:sz="0" w:space="0" w:color="auto"/>
        <w:right w:val="none" w:sz="0" w:space="0" w:color="auto"/>
      </w:divBdr>
      <w:divsChild>
        <w:div w:id="1943368204">
          <w:marLeft w:val="0"/>
          <w:marRight w:val="0"/>
          <w:marTop w:val="0"/>
          <w:marBottom w:val="0"/>
          <w:divBdr>
            <w:top w:val="none" w:sz="0" w:space="0" w:color="auto"/>
            <w:left w:val="none" w:sz="0" w:space="0" w:color="auto"/>
            <w:bottom w:val="none" w:sz="0" w:space="0" w:color="auto"/>
            <w:right w:val="none" w:sz="0" w:space="0" w:color="auto"/>
          </w:divBdr>
        </w:div>
      </w:divsChild>
    </w:div>
    <w:div w:id="1731034327">
      <w:bodyDiv w:val="1"/>
      <w:marLeft w:val="0"/>
      <w:marRight w:val="0"/>
      <w:marTop w:val="0"/>
      <w:marBottom w:val="0"/>
      <w:divBdr>
        <w:top w:val="none" w:sz="0" w:space="0" w:color="auto"/>
        <w:left w:val="none" w:sz="0" w:space="0" w:color="auto"/>
        <w:bottom w:val="none" w:sz="0" w:space="0" w:color="auto"/>
        <w:right w:val="none" w:sz="0" w:space="0" w:color="auto"/>
      </w:divBdr>
    </w:div>
    <w:div w:id="1733625271">
      <w:bodyDiv w:val="1"/>
      <w:marLeft w:val="0"/>
      <w:marRight w:val="0"/>
      <w:marTop w:val="0"/>
      <w:marBottom w:val="0"/>
      <w:divBdr>
        <w:top w:val="none" w:sz="0" w:space="0" w:color="auto"/>
        <w:left w:val="none" w:sz="0" w:space="0" w:color="auto"/>
        <w:bottom w:val="none" w:sz="0" w:space="0" w:color="auto"/>
        <w:right w:val="none" w:sz="0" w:space="0" w:color="auto"/>
      </w:divBdr>
      <w:divsChild>
        <w:div w:id="306672787">
          <w:marLeft w:val="0"/>
          <w:marRight w:val="0"/>
          <w:marTop w:val="0"/>
          <w:marBottom w:val="0"/>
          <w:divBdr>
            <w:top w:val="none" w:sz="0" w:space="0" w:color="auto"/>
            <w:left w:val="none" w:sz="0" w:space="0" w:color="auto"/>
            <w:bottom w:val="none" w:sz="0" w:space="0" w:color="auto"/>
            <w:right w:val="none" w:sz="0" w:space="0" w:color="auto"/>
          </w:divBdr>
        </w:div>
      </w:divsChild>
    </w:div>
    <w:div w:id="1776900603">
      <w:bodyDiv w:val="1"/>
      <w:marLeft w:val="0"/>
      <w:marRight w:val="0"/>
      <w:marTop w:val="0"/>
      <w:marBottom w:val="0"/>
      <w:divBdr>
        <w:top w:val="none" w:sz="0" w:space="0" w:color="auto"/>
        <w:left w:val="none" w:sz="0" w:space="0" w:color="auto"/>
        <w:bottom w:val="none" w:sz="0" w:space="0" w:color="auto"/>
        <w:right w:val="none" w:sz="0" w:space="0" w:color="auto"/>
      </w:divBdr>
      <w:divsChild>
        <w:div w:id="1108234345">
          <w:marLeft w:val="0"/>
          <w:marRight w:val="0"/>
          <w:marTop w:val="0"/>
          <w:marBottom w:val="0"/>
          <w:divBdr>
            <w:top w:val="none" w:sz="0" w:space="0" w:color="auto"/>
            <w:left w:val="none" w:sz="0" w:space="0" w:color="auto"/>
            <w:bottom w:val="none" w:sz="0" w:space="0" w:color="auto"/>
            <w:right w:val="none" w:sz="0" w:space="0" w:color="auto"/>
          </w:divBdr>
        </w:div>
      </w:divsChild>
    </w:div>
    <w:div w:id="1787699060">
      <w:bodyDiv w:val="1"/>
      <w:marLeft w:val="0"/>
      <w:marRight w:val="0"/>
      <w:marTop w:val="0"/>
      <w:marBottom w:val="0"/>
      <w:divBdr>
        <w:top w:val="none" w:sz="0" w:space="0" w:color="auto"/>
        <w:left w:val="none" w:sz="0" w:space="0" w:color="auto"/>
        <w:bottom w:val="none" w:sz="0" w:space="0" w:color="auto"/>
        <w:right w:val="none" w:sz="0" w:space="0" w:color="auto"/>
      </w:divBdr>
      <w:divsChild>
        <w:div w:id="599531471">
          <w:marLeft w:val="0"/>
          <w:marRight w:val="0"/>
          <w:marTop w:val="0"/>
          <w:marBottom w:val="0"/>
          <w:divBdr>
            <w:top w:val="none" w:sz="0" w:space="0" w:color="auto"/>
            <w:left w:val="none" w:sz="0" w:space="0" w:color="auto"/>
            <w:bottom w:val="none" w:sz="0" w:space="0" w:color="auto"/>
            <w:right w:val="none" w:sz="0" w:space="0" w:color="auto"/>
          </w:divBdr>
        </w:div>
      </w:divsChild>
    </w:div>
    <w:div w:id="1898471345">
      <w:bodyDiv w:val="1"/>
      <w:marLeft w:val="0"/>
      <w:marRight w:val="0"/>
      <w:marTop w:val="0"/>
      <w:marBottom w:val="0"/>
      <w:divBdr>
        <w:top w:val="none" w:sz="0" w:space="0" w:color="auto"/>
        <w:left w:val="none" w:sz="0" w:space="0" w:color="auto"/>
        <w:bottom w:val="none" w:sz="0" w:space="0" w:color="auto"/>
        <w:right w:val="none" w:sz="0" w:space="0" w:color="auto"/>
      </w:divBdr>
      <w:divsChild>
        <w:div w:id="1768192318">
          <w:marLeft w:val="0"/>
          <w:marRight w:val="0"/>
          <w:marTop w:val="0"/>
          <w:marBottom w:val="0"/>
          <w:divBdr>
            <w:top w:val="none" w:sz="0" w:space="0" w:color="auto"/>
            <w:left w:val="none" w:sz="0" w:space="0" w:color="auto"/>
            <w:bottom w:val="none" w:sz="0" w:space="0" w:color="auto"/>
            <w:right w:val="none" w:sz="0" w:space="0" w:color="auto"/>
          </w:divBdr>
        </w:div>
      </w:divsChild>
    </w:div>
    <w:div w:id="1941713527">
      <w:bodyDiv w:val="1"/>
      <w:marLeft w:val="0"/>
      <w:marRight w:val="0"/>
      <w:marTop w:val="0"/>
      <w:marBottom w:val="0"/>
      <w:divBdr>
        <w:top w:val="none" w:sz="0" w:space="0" w:color="auto"/>
        <w:left w:val="none" w:sz="0" w:space="0" w:color="auto"/>
        <w:bottom w:val="none" w:sz="0" w:space="0" w:color="auto"/>
        <w:right w:val="none" w:sz="0" w:space="0" w:color="auto"/>
      </w:divBdr>
    </w:div>
    <w:div w:id="210144188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angel@procuraduria.gov.co"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bmconsultoresespecializados@outlook.com"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2DEC7-6CF8-4BC0-B90D-13EC7FBD7229}">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AD960B3C-19CF-4331-96BB-27F9900BB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24</Pages>
  <Words>8387</Words>
  <Characters>46133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161</cp:revision>
  <cp:lastPrinted>2023-01-10T21:18:00Z</cp:lastPrinted>
  <dcterms:created xsi:type="dcterms:W3CDTF">2026-06-30T02:33:00Z</dcterms:created>
  <dcterms:modified xsi:type="dcterms:W3CDTF">2026-07-08T17:06:00Z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