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DC5CD" w14:textId="238CDAB8" w:rsidR="000653C2" w:rsidRDefault="000653C2" w:rsidP="00D916F1">
      <w:pPr>
        <w:spacing w:after="0" w:line="240" w:lineRule="auto"/>
        <w:rPr>
          <w:rFonts w:ascii="Verdana" w:eastAsia="Calibri" w:hAnsi="Verdana" w:cs="Arial"/>
          <w:b/>
          <w:bCs/>
          <w:lang w:val="es-ES" w:eastAsia="es-ES"/>
        </w:rPr>
      </w:pPr>
      <w:r w:rsidRPr="000653C2">
        <w:rPr>
          <w:rFonts w:ascii="Verdana" w:eastAsia="Calibri" w:hAnsi="Verdana" w:cs="Arial"/>
          <w:b/>
          <w:bCs/>
          <w:lang w:val="es-ES" w:eastAsia="es-ES"/>
        </w:rPr>
        <w:t>RECHAZO DE LA OFERTA – Causales – Principio de imparcialidad – Principio de selección objetiva</w:t>
      </w:r>
    </w:p>
    <w:p w14:paraId="03A145AF" w14:textId="77777777" w:rsidR="000653C2" w:rsidRPr="000653C2" w:rsidRDefault="000653C2" w:rsidP="00D916F1">
      <w:pPr>
        <w:spacing w:after="0" w:line="240" w:lineRule="auto"/>
        <w:rPr>
          <w:rFonts w:ascii="Verdana" w:eastAsia="Calibri" w:hAnsi="Verdana" w:cs="Arial"/>
          <w:b/>
          <w:bCs/>
          <w:lang w:val="es-ES" w:eastAsia="es-ES"/>
        </w:rPr>
      </w:pPr>
    </w:p>
    <w:p w14:paraId="21B70930" w14:textId="19896041" w:rsidR="000653C2" w:rsidRDefault="000653C2" w:rsidP="000653C2">
      <w:pPr>
        <w:spacing w:after="0" w:line="240" w:lineRule="auto"/>
        <w:jc w:val="both"/>
        <w:rPr>
          <w:rFonts w:ascii="Verdana" w:hAnsi="Verdana" w:cs="Arial"/>
          <w:color w:val="000000" w:themeColor="text1"/>
          <w:sz w:val="21"/>
          <w:szCs w:val="21"/>
        </w:rPr>
      </w:pPr>
      <w:r w:rsidRPr="000653C2">
        <w:rPr>
          <w:rFonts w:ascii="Verdana" w:hAnsi="Verdana" w:cs="Arial"/>
          <w:color w:val="000000" w:themeColor="text1"/>
          <w:sz w:val="21"/>
          <w:szCs w:val="21"/>
        </w:rPr>
        <w:t xml:space="preserve">De esta forma, los pliegos de condiciones deben contener de manera clara los criterios y factores de evaluación y selección de las ofertas, los cuales deben ser proporcionados y razonables, pues no de otra manera se garantizarían los principios de igualdad, imparcialidad y selección objetiva. Por ello, deben atender lo dispuesto en los literales d) y e) del artículo 24.5 de la Ley 80 de 1993, según los cuales no es posible i) introducir condiciones o exigencias de imposible cumplimiento, </w:t>
      </w:r>
      <w:proofErr w:type="spellStart"/>
      <w:r w:rsidRPr="000653C2">
        <w:rPr>
          <w:rFonts w:ascii="Verdana" w:hAnsi="Verdana" w:cs="Arial"/>
          <w:color w:val="000000" w:themeColor="text1"/>
          <w:sz w:val="21"/>
          <w:szCs w:val="21"/>
        </w:rPr>
        <w:t>ii</w:t>
      </w:r>
      <w:proofErr w:type="spellEnd"/>
      <w:r w:rsidRPr="000653C2">
        <w:rPr>
          <w:rFonts w:ascii="Verdana" w:hAnsi="Verdana" w:cs="Arial"/>
          <w:color w:val="000000" w:themeColor="text1"/>
          <w:sz w:val="21"/>
          <w:szCs w:val="21"/>
        </w:rPr>
        <w:t xml:space="preserve">) prever exenciones de responsabilidad derivada de los datos, informes y documentos que se suministren, </w:t>
      </w:r>
      <w:proofErr w:type="spellStart"/>
      <w:r w:rsidRPr="000653C2">
        <w:rPr>
          <w:rFonts w:ascii="Verdana" w:hAnsi="Verdana" w:cs="Arial"/>
          <w:color w:val="000000" w:themeColor="text1"/>
          <w:sz w:val="21"/>
          <w:szCs w:val="21"/>
        </w:rPr>
        <w:t>iii</w:t>
      </w:r>
      <w:proofErr w:type="spellEnd"/>
      <w:r w:rsidRPr="000653C2">
        <w:rPr>
          <w:rFonts w:ascii="Verdana" w:hAnsi="Verdana" w:cs="Arial"/>
          <w:color w:val="000000" w:themeColor="text1"/>
          <w:sz w:val="21"/>
          <w:szCs w:val="21"/>
        </w:rPr>
        <w:t>) establecer reglas que induzcan a error a los oferentes, que permitan la formulación de ofertas de extensión ilimitada o que dependan de la voluntad exclusiva de la entidad contratante.</w:t>
      </w:r>
    </w:p>
    <w:p w14:paraId="639C4447" w14:textId="77777777" w:rsidR="000653C2" w:rsidRDefault="000653C2" w:rsidP="000653C2">
      <w:pPr>
        <w:spacing w:after="0" w:line="240" w:lineRule="auto"/>
        <w:jc w:val="both"/>
        <w:rPr>
          <w:rFonts w:ascii="Verdana" w:hAnsi="Verdana" w:cs="Arial"/>
          <w:color w:val="000000" w:themeColor="text1"/>
          <w:sz w:val="21"/>
          <w:szCs w:val="21"/>
        </w:rPr>
      </w:pPr>
    </w:p>
    <w:p w14:paraId="43D82F35" w14:textId="76379748" w:rsidR="000653C2" w:rsidRDefault="000653C2" w:rsidP="000653C2">
      <w:pPr>
        <w:spacing w:after="0" w:line="240" w:lineRule="auto"/>
        <w:jc w:val="both"/>
        <w:rPr>
          <w:rFonts w:ascii="Verdana" w:eastAsia="Calibri" w:hAnsi="Verdana" w:cs="Arial"/>
          <w:b/>
          <w:bCs/>
          <w:lang w:val="es-ES" w:eastAsia="es-ES"/>
        </w:rPr>
      </w:pPr>
      <w:r w:rsidRPr="000653C2">
        <w:rPr>
          <w:rFonts w:ascii="Verdana" w:eastAsia="Calibri" w:hAnsi="Verdana" w:cs="Arial"/>
          <w:b/>
          <w:bCs/>
          <w:lang w:val="es-ES" w:eastAsia="es-ES"/>
        </w:rPr>
        <w:t>RÉGIMEN DE INHABILIDADES E INCOMPATIBILIDADES – Reserva legal</w:t>
      </w:r>
    </w:p>
    <w:p w14:paraId="7FFB2AD1" w14:textId="77777777" w:rsidR="000653C2" w:rsidRDefault="000653C2" w:rsidP="000653C2">
      <w:pPr>
        <w:spacing w:after="0" w:line="240" w:lineRule="auto"/>
        <w:jc w:val="both"/>
        <w:rPr>
          <w:rFonts w:ascii="Verdana" w:eastAsia="Calibri" w:hAnsi="Verdana" w:cs="Arial"/>
          <w:b/>
          <w:bCs/>
          <w:lang w:val="es-ES" w:eastAsia="es-ES"/>
        </w:rPr>
      </w:pPr>
    </w:p>
    <w:p w14:paraId="290980B5" w14:textId="77777777" w:rsidR="000653C2" w:rsidRPr="000653C2" w:rsidRDefault="000653C2" w:rsidP="000653C2">
      <w:pPr>
        <w:spacing w:after="0" w:line="240" w:lineRule="auto"/>
        <w:jc w:val="both"/>
        <w:rPr>
          <w:rFonts w:ascii="Verdana" w:hAnsi="Verdana" w:cs="Arial"/>
          <w:color w:val="000000" w:themeColor="text1"/>
          <w:sz w:val="21"/>
          <w:szCs w:val="21"/>
        </w:rPr>
      </w:pPr>
      <w:r w:rsidRPr="000653C2">
        <w:rPr>
          <w:rFonts w:ascii="Verdana" w:hAnsi="Verdana" w:cs="Arial"/>
          <w:color w:val="000000" w:themeColor="text1"/>
          <w:sz w:val="21"/>
          <w:szCs w:val="21"/>
        </w:rPr>
        <w:t>Las inhabilidades e incompatibilidades son medios que garantizan la transparencia y eficiencia en la actividad contractual del Estado y para ello imponen restricciones en la personalidad jurídica, la igualdad, la libre empresa y, particularmente, el derecho a participar en procesos de selección y celebrar contratos con la Administración. Asimismo</w:t>
      </w:r>
      <w:r w:rsidRPr="000653C2">
        <w:rPr>
          <w:rFonts w:ascii="Verdana" w:eastAsia="Calibri" w:hAnsi="Verdana" w:cs="Arial"/>
          <w:color w:val="000000" w:themeColor="text1"/>
          <w:sz w:val="21"/>
          <w:szCs w:val="21"/>
          <w:lang w:val="es-ES_tradnl"/>
        </w:rPr>
        <w:t xml:space="preserve">, el carácter reconocidamente taxativo y restrictivo de régimen de inhabilidades obedece a la necesidad de salvaguardar el interés general inherente en la contratación pública, de forma que implique el menor sacrificio posible al derecho de igualdad y de reconocimiento de la personalidad jurídica de quienes aspiran a contratar con el Estado. Por ello, </w:t>
      </w:r>
      <w:r w:rsidRPr="000653C2">
        <w:rPr>
          <w:rFonts w:ascii="Verdana" w:hAnsi="Verdana" w:cs="Arial"/>
          <w:color w:val="000000" w:themeColor="text1"/>
          <w:sz w:val="21"/>
          <w:szCs w:val="21"/>
        </w:rPr>
        <w:t>la competencia para determinar qué hechos o situaciones generan inhabilidad para contratar con el Estado la tiene el legislador, pues este régimen es un aspecto propio del Estatuto General de la Contratación Pública, cuya expedición corresponde al Congreso de la República, conforme al artículo 150 de la Constitución Política, por lo que en esta materia rige el principio de legalidad.</w:t>
      </w:r>
    </w:p>
    <w:p w14:paraId="6C9B78C4" w14:textId="77777777" w:rsidR="000653C2" w:rsidRPr="000653C2" w:rsidRDefault="000653C2" w:rsidP="000653C2">
      <w:pPr>
        <w:spacing w:after="0" w:line="240" w:lineRule="auto"/>
        <w:jc w:val="both"/>
        <w:rPr>
          <w:rFonts w:ascii="Verdana" w:hAnsi="Verdana" w:cs="Arial"/>
          <w:color w:val="000000" w:themeColor="text1"/>
          <w:sz w:val="21"/>
          <w:szCs w:val="21"/>
        </w:rPr>
      </w:pPr>
    </w:p>
    <w:p w14:paraId="2374EF51" w14:textId="77777777" w:rsidR="000653C2" w:rsidRPr="000653C2" w:rsidRDefault="000653C2" w:rsidP="000653C2">
      <w:pPr>
        <w:spacing w:after="120" w:line="240" w:lineRule="auto"/>
        <w:jc w:val="both"/>
        <w:rPr>
          <w:rFonts w:ascii="Verdana" w:eastAsia="Calibri" w:hAnsi="Verdana" w:cs="Arial"/>
          <w:color w:val="000000" w:themeColor="text1"/>
          <w:sz w:val="21"/>
          <w:szCs w:val="21"/>
          <w:lang w:val="es-ES_tradnl"/>
        </w:rPr>
      </w:pPr>
      <w:r w:rsidRPr="000653C2">
        <w:rPr>
          <w:rFonts w:ascii="Verdana" w:eastAsia="Calibri" w:hAnsi="Verdana" w:cs="Arial"/>
          <w:color w:val="000000" w:themeColor="text1"/>
          <w:sz w:val="21"/>
          <w:szCs w:val="21"/>
          <w:lang w:val="es-ES_tradnl"/>
        </w:rPr>
        <w:t xml:space="preserve">Bajo estas circunstancias, las entidades públicas no pueden establecer en el pliego de condiciones causales de inhabilidad o incompatibilidad no previstas en la Constitución o en la ley. En consecuencia, al tratarse de una materia que tiene reserva legal, no es posible que una entidad pública establezca nuevas causales que afecten la capacidad para contratar con el Estado, ni siquiera haciéndolas pasar como causa para rechazar los ofrecimientos realizados.  </w:t>
      </w:r>
    </w:p>
    <w:p w14:paraId="4A5137BD" w14:textId="77777777" w:rsidR="000653C2" w:rsidRPr="000653C2" w:rsidRDefault="000653C2" w:rsidP="000653C2">
      <w:pPr>
        <w:spacing w:line="276" w:lineRule="auto"/>
        <w:jc w:val="both"/>
        <w:rPr>
          <w:rFonts w:ascii="Verdana" w:eastAsia="Calibri" w:hAnsi="Verdana" w:cs="Arial"/>
          <w:b/>
          <w:bCs/>
          <w:lang w:val="es-ES" w:eastAsia="es-ES"/>
        </w:rPr>
      </w:pPr>
      <w:r w:rsidRPr="000653C2">
        <w:rPr>
          <w:rFonts w:ascii="Verdana" w:eastAsia="Calibri" w:hAnsi="Verdana" w:cs="Arial"/>
          <w:b/>
          <w:bCs/>
          <w:lang w:val="es-ES" w:eastAsia="es-ES"/>
        </w:rPr>
        <w:t>REVISORÍA FISCAL ‒ Inhabilidades ‒ No se extienden a la persona jurídica – Emprendimiento y Empresa de Mujeres – Otorgación de puntaje</w:t>
      </w:r>
    </w:p>
    <w:p w14:paraId="23D2CC97" w14:textId="77777777" w:rsidR="000653C2" w:rsidRPr="000653C2" w:rsidRDefault="000653C2" w:rsidP="000653C2">
      <w:pPr>
        <w:spacing w:after="120" w:line="240" w:lineRule="auto"/>
        <w:jc w:val="both"/>
        <w:rPr>
          <w:rFonts w:ascii="Verdana" w:hAnsi="Verdana" w:cs="Arial"/>
          <w:color w:val="000000" w:themeColor="text1"/>
          <w:sz w:val="21"/>
          <w:szCs w:val="21"/>
        </w:rPr>
      </w:pPr>
      <w:r w:rsidRPr="000653C2">
        <w:rPr>
          <w:rFonts w:ascii="Verdana" w:hAnsi="Verdana" w:cs="Arial"/>
          <w:color w:val="000000" w:themeColor="text1"/>
          <w:sz w:val="21"/>
          <w:szCs w:val="21"/>
        </w:rPr>
        <w:t xml:space="preserve">En este caso, el hecho de que el revisor fiscal de la persona jurídica que actúe como oferente en un proceso de selección tenga un cargo directivo dentro de la </w:t>
      </w:r>
      <w:r w:rsidRPr="000653C2">
        <w:rPr>
          <w:rFonts w:ascii="Verdana" w:hAnsi="Verdana" w:cs="Arial"/>
          <w:color w:val="000000" w:themeColor="text1"/>
          <w:sz w:val="21"/>
          <w:szCs w:val="21"/>
        </w:rPr>
        <w:lastRenderedPageBreak/>
        <w:t xml:space="preserve">organización, sólo implica la vulneración de normas deontológicas que será sancionada de acuerdo con el régimen de la profesión correspondiente. Es decir, las inhabilidades e incompatibilidades propias de quienes aspiren a participar en procesos de selección o celebrar contratos estatales son diferentes a las restricciones propias para desempeñar una labor u oficio. </w:t>
      </w:r>
    </w:p>
    <w:p w14:paraId="68FF7473" w14:textId="77777777" w:rsidR="000653C2" w:rsidRPr="000653C2" w:rsidRDefault="000653C2" w:rsidP="000653C2">
      <w:pPr>
        <w:spacing w:after="120" w:line="240" w:lineRule="auto"/>
        <w:jc w:val="both"/>
        <w:rPr>
          <w:rFonts w:ascii="Verdana" w:hAnsi="Verdana" w:cs="Arial"/>
          <w:color w:val="000000" w:themeColor="text1"/>
          <w:sz w:val="21"/>
          <w:szCs w:val="21"/>
        </w:rPr>
      </w:pPr>
      <w:r w:rsidRPr="000653C2">
        <w:rPr>
          <w:rFonts w:ascii="Verdana" w:hAnsi="Verdana" w:cs="Arial"/>
          <w:color w:val="000000" w:themeColor="text1"/>
          <w:sz w:val="21"/>
          <w:szCs w:val="21"/>
        </w:rPr>
        <w:t xml:space="preserve">La circunstancia de que la mujer que ocupa un cargo del nivel directivo se desempeñe simultáneamente como revisora fiscal de la sociedad constituye una situación que puede comprometer el ejercicio legal de la profesión de contador público, pero no afecta la capacidad jurídica del proponente ni se extiende a la persona jurídica. En consecuencia, en ausencia de una disposición legal que establezca dicha consecuencia, no resulta procedente negar el puntaje adicional previsto para emprendimientos y empresas de mujeres con fundamento exclusivo en la prohibición contenida en el artículo 205 del Código de Comercio. </w:t>
      </w:r>
    </w:p>
    <w:p w14:paraId="2B235770" w14:textId="77777777" w:rsidR="000653C2" w:rsidRPr="000653C2" w:rsidRDefault="000653C2" w:rsidP="000653C2">
      <w:pPr>
        <w:spacing w:after="120" w:line="240" w:lineRule="auto"/>
        <w:jc w:val="both"/>
        <w:rPr>
          <w:rFonts w:ascii="Verdana" w:hAnsi="Verdana" w:cs="Arial"/>
          <w:color w:val="000000" w:themeColor="text1"/>
          <w:sz w:val="21"/>
          <w:szCs w:val="21"/>
        </w:rPr>
      </w:pPr>
      <w:r w:rsidRPr="000653C2">
        <w:rPr>
          <w:rFonts w:ascii="Verdana" w:hAnsi="Verdana" w:cs="Arial"/>
          <w:color w:val="000000" w:themeColor="text1"/>
          <w:sz w:val="21"/>
          <w:szCs w:val="21"/>
        </w:rPr>
        <w:t>En consecuencia, al tratarse de un régimen de interpretación restrictiva y de reserva legal, y ante la inexistencia de una disposición que establezca que la situación prevista en el artículo 205 del Código de Comercio afecta la acreditación de los requisitos previstos en el artículo 2.2.1.2.4.2.14 del Decreto 1082 de 2015, adicionado por el Decreto 1860 de 2021, no resulta procedente extender los efectos de dicha incompatibilidad a la persona jurídica ni derivar de ella la pérdida del puntaje adicional por emprendimientos y empresas de mujeres.</w:t>
      </w:r>
    </w:p>
    <w:p w14:paraId="4F879C8F" w14:textId="77777777" w:rsidR="000653C2" w:rsidRPr="000653C2" w:rsidRDefault="000653C2" w:rsidP="000653C2">
      <w:pPr>
        <w:spacing w:after="0" w:line="240" w:lineRule="auto"/>
        <w:jc w:val="both"/>
        <w:rPr>
          <w:rFonts w:ascii="Verdana" w:eastAsia="Calibri" w:hAnsi="Verdana" w:cs="Arial"/>
          <w:b/>
          <w:bCs/>
          <w:lang w:eastAsia="es-ES"/>
        </w:rPr>
      </w:pPr>
    </w:p>
    <w:p w14:paraId="00D6FDAC" w14:textId="77777777" w:rsidR="000653C2" w:rsidRPr="000653C2" w:rsidRDefault="000653C2" w:rsidP="000653C2">
      <w:pPr>
        <w:spacing w:after="0" w:line="240" w:lineRule="auto"/>
        <w:jc w:val="both"/>
        <w:rPr>
          <w:rFonts w:ascii="Verdana" w:eastAsia="Geomanist Light" w:hAnsi="Verdana" w:cs="Arial"/>
          <w:b/>
          <w:bCs/>
          <w:color w:val="000000" w:themeColor="text1"/>
          <w:sz w:val="21"/>
          <w:szCs w:val="21"/>
          <w:lang w:val="es-MX"/>
        </w:rPr>
      </w:pPr>
    </w:p>
    <w:p w14:paraId="0153310E" w14:textId="77777777" w:rsidR="000653C2" w:rsidRDefault="000653C2" w:rsidP="00D916F1">
      <w:pPr>
        <w:spacing w:after="0" w:line="240" w:lineRule="auto"/>
        <w:rPr>
          <w:rFonts w:ascii="Verdana" w:eastAsia="Geomanist Light" w:hAnsi="Verdana" w:cs="Arial"/>
          <w:color w:val="000000" w:themeColor="text1"/>
          <w:lang w:val="es-MX"/>
        </w:rPr>
      </w:pPr>
    </w:p>
    <w:p w14:paraId="27AA8B15" w14:textId="77777777" w:rsidR="000653C2" w:rsidRDefault="000653C2" w:rsidP="00D916F1">
      <w:pPr>
        <w:spacing w:after="0" w:line="240" w:lineRule="auto"/>
        <w:rPr>
          <w:rFonts w:ascii="Verdana" w:eastAsia="Geomanist Light" w:hAnsi="Verdana" w:cs="Arial"/>
          <w:color w:val="000000" w:themeColor="text1"/>
          <w:lang w:val="es-MX"/>
        </w:rPr>
      </w:pPr>
    </w:p>
    <w:p w14:paraId="0D01D050" w14:textId="77777777" w:rsidR="000653C2" w:rsidRDefault="000653C2" w:rsidP="00D916F1">
      <w:pPr>
        <w:spacing w:after="0" w:line="240" w:lineRule="auto"/>
        <w:rPr>
          <w:rFonts w:ascii="Verdana" w:eastAsia="Geomanist Light" w:hAnsi="Verdana" w:cs="Arial"/>
          <w:color w:val="000000" w:themeColor="text1"/>
          <w:lang w:val="es-MX"/>
        </w:rPr>
      </w:pPr>
    </w:p>
    <w:p w14:paraId="586F943D" w14:textId="77777777" w:rsidR="000653C2" w:rsidRDefault="000653C2" w:rsidP="00D916F1">
      <w:pPr>
        <w:spacing w:after="0" w:line="240" w:lineRule="auto"/>
        <w:rPr>
          <w:rFonts w:ascii="Verdana" w:eastAsia="Geomanist Light" w:hAnsi="Verdana" w:cs="Arial"/>
          <w:color w:val="000000" w:themeColor="text1"/>
          <w:lang w:val="es-MX"/>
        </w:rPr>
      </w:pPr>
    </w:p>
    <w:p w14:paraId="7163CE41" w14:textId="77777777" w:rsidR="000653C2" w:rsidRDefault="000653C2" w:rsidP="00D916F1">
      <w:pPr>
        <w:spacing w:after="0" w:line="240" w:lineRule="auto"/>
        <w:rPr>
          <w:rFonts w:ascii="Verdana" w:eastAsia="Geomanist Light" w:hAnsi="Verdana" w:cs="Arial"/>
          <w:color w:val="000000" w:themeColor="text1"/>
          <w:lang w:val="es-MX"/>
        </w:rPr>
      </w:pPr>
    </w:p>
    <w:p w14:paraId="3BB8C19F" w14:textId="77777777" w:rsidR="000653C2" w:rsidRDefault="000653C2" w:rsidP="00D916F1">
      <w:pPr>
        <w:spacing w:after="0" w:line="240" w:lineRule="auto"/>
        <w:rPr>
          <w:rFonts w:ascii="Verdana" w:eastAsia="Geomanist Light" w:hAnsi="Verdana" w:cs="Arial"/>
          <w:color w:val="000000" w:themeColor="text1"/>
          <w:lang w:val="es-MX"/>
        </w:rPr>
      </w:pPr>
    </w:p>
    <w:p w14:paraId="30AEBEC5" w14:textId="77777777" w:rsidR="000653C2" w:rsidRDefault="000653C2" w:rsidP="00D916F1">
      <w:pPr>
        <w:spacing w:after="0" w:line="240" w:lineRule="auto"/>
        <w:rPr>
          <w:rFonts w:ascii="Verdana" w:eastAsia="Geomanist Light" w:hAnsi="Verdana" w:cs="Arial"/>
          <w:color w:val="000000" w:themeColor="text1"/>
          <w:lang w:val="es-MX"/>
        </w:rPr>
      </w:pPr>
    </w:p>
    <w:p w14:paraId="3C936C50" w14:textId="77777777" w:rsidR="000653C2" w:rsidRDefault="000653C2" w:rsidP="00D916F1">
      <w:pPr>
        <w:spacing w:after="0" w:line="240" w:lineRule="auto"/>
        <w:rPr>
          <w:rFonts w:ascii="Verdana" w:eastAsia="Geomanist Light" w:hAnsi="Verdana" w:cs="Arial"/>
          <w:color w:val="000000" w:themeColor="text1"/>
          <w:lang w:val="es-MX"/>
        </w:rPr>
      </w:pPr>
    </w:p>
    <w:p w14:paraId="1DD3D553" w14:textId="77777777" w:rsidR="000653C2" w:rsidRDefault="000653C2" w:rsidP="00D916F1">
      <w:pPr>
        <w:spacing w:after="0" w:line="240" w:lineRule="auto"/>
        <w:rPr>
          <w:rFonts w:ascii="Verdana" w:eastAsia="Geomanist Light" w:hAnsi="Verdana" w:cs="Arial"/>
          <w:color w:val="000000" w:themeColor="text1"/>
          <w:lang w:val="es-MX"/>
        </w:rPr>
      </w:pPr>
    </w:p>
    <w:p w14:paraId="6B9B48AC" w14:textId="77777777" w:rsidR="000653C2" w:rsidRDefault="000653C2" w:rsidP="00D916F1">
      <w:pPr>
        <w:spacing w:after="0" w:line="240" w:lineRule="auto"/>
        <w:rPr>
          <w:rFonts w:ascii="Verdana" w:eastAsia="Geomanist Light" w:hAnsi="Verdana" w:cs="Arial"/>
          <w:color w:val="000000" w:themeColor="text1"/>
          <w:lang w:val="es-MX"/>
        </w:rPr>
      </w:pPr>
    </w:p>
    <w:p w14:paraId="0FCF090E" w14:textId="77777777" w:rsidR="000653C2" w:rsidRDefault="000653C2" w:rsidP="00D916F1">
      <w:pPr>
        <w:spacing w:after="0" w:line="240" w:lineRule="auto"/>
        <w:rPr>
          <w:rFonts w:ascii="Verdana" w:eastAsia="Geomanist Light" w:hAnsi="Verdana" w:cs="Arial"/>
          <w:color w:val="000000" w:themeColor="text1"/>
          <w:lang w:val="es-MX"/>
        </w:rPr>
      </w:pPr>
    </w:p>
    <w:p w14:paraId="1B53FA9E" w14:textId="77777777" w:rsidR="000653C2" w:rsidRDefault="000653C2" w:rsidP="00D916F1">
      <w:pPr>
        <w:spacing w:after="0" w:line="240" w:lineRule="auto"/>
        <w:rPr>
          <w:rFonts w:ascii="Verdana" w:eastAsia="Geomanist Light" w:hAnsi="Verdana" w:cs="Arial"/>
          <w:color w:val="000000" w:themeColor="text1"/>
          <w:lang w:val="es-MX"/>
        </w:rPr>
      </w:pPr>
    </w:p>
    <w:p w14:paraId="5A069773" w14:textId="77777777" w:rsidR="000653C2" w:rsidRDefault="000653C2" w:rsidP="00D916F1">
      <w:pPr>
        <w:spacing w:after="0" w:line="240" w:lineRule="auto"/>
        <w:rPr>
          <w:rFonts w:ascii="Verdana" w:eastAsia="Geomanist Light" w:hAnsi="Verdana" w:cs="Arial"/>
          <w:color w:val="000000" w:themeColor="text1"/>
          <w:lang w:val="es-MX"/>
        </w:rPr>
      </w:pPr>
    </w:p>
    <w:p w14:paraId="22226BB6" w14:textId="77777777" w:rsidR="000653C2" w:rsidRDefault="000653C2" w:rsidP="00D916F1">
      <w:pPr>
        <w:spacing w:after="0" w:line="240" w:lineRule="auto"/>
        <w:rPr>
          <w:rFonts w:ascii="Verdana" w:eastAsia="Geomanist Light" w:hAnsi="Verdana" w:cs="Arial"/>
          <w:color w:val="000000" w:themeColor="text1"/>
          <w:lang w:val="es-MX"/>
        </w:rPr>
      </w:pPr>
    </w:p>
    <w:p w14:paraId="73C383F5" w14:textId="77777777" w:rsidR="000653C2" w:rsidRDefault="000653C2" w:rsidP="00D916F1">
      <w:pPr>
        <w:spacing w:after="0" w:line="240" w:lineRule="auto"/>
        <w:rPr>
          <w:rFonts w:ascii="Verdana" w:eastAsia="Geomanist Light" w:hAnsi="Verdana" w:cs="Arial"/>
          <w:color w:val="000000" w:themeColor="text1"/>
          <w:lang w:val="es-MX"/>
        </w:rPr>
      </w:pPr>
    </w:p>
    <w:p w14:paraId="52318AEB" w14:textId="77777777" w:rsidR="000653C2" w:rsidRDefault="000653C2" w:rsidP="00D916F1">
      <w:pPr>
        <w:spacing w:after="0" w:line="240" w:lineRule="auto"/>
        <w:rPr>
          <w:rFonts w:ascii="Verdana" w:eastAsia="Geomanist Light" w:hAnsi="Verdana" w:cs="Arial"/>
          <w:color w:val="000000" w:themeColor="text1"/>
          <w:lang w:val="es-MX"/>
        </w:rPr>
      </w:pPr>
    </w:p>
    <w:p w14:paraId="337EA642" w14:textId="77777777" w:rsidR="000653C2" w:rsidRDefault="000653C2" w:rsidP="00D916F1">
      <w:pPr>
        <w:spacing w:after="0" w:line="240" w:lineRule="auto"/>
        <w:rPr>
          <w:rFonts w:ascii="Verdana" w:eastAsia="Geomanist Light" w:hAnsi="Verdana" w:cs="Arial"/>
          <w:color w:val="000000" w:themeColor="text1"/>
          <w:lang w:val="es-MX"/>
        </w:rPr>
      </w:pPr>
    </w:p>
    <w:p w14:paraId="1BEB3D8E" w14:textId="77777777" w:rsidR="000653C2" w:rsidRDefault="000653C2" w:rsidP="00D916F1">
      <w:pPr>
        <w:spacing w:after="0" w:line="240" w:lineRule="auto"/>
        <w:rPr>
          <w:rFonts w:ascii="Verdana" w:eastAsia="Geomanist Light" w:hAnsi="Verdana" w:cs="Arial"/>
          <w:color w:val="000000" w:themeColor="text1"/>
          <w:lang w:val="es-MX"/>
        </w:rPr>
      </w:pPr>
    </w:p>
    <w:p w14:paraId="20FCF698" w14:textId="77777777" w:rsidR="000653C2" w:rsidRDefault="000653C2" w:rsidP="00D916F1">
      <w:pPr>
        <w:spacing w:after="0" w:line="240" w:lineRule="auto"/>
        <w:rPr>
          <w:rFonts w:ascii="Verdana" w:eastAsia="Geomanist Light" w:hAnsi="Verdana" w:cs="Arial"/>
          <w:color w:val="000000" w:themeColor="text1"/>
          <w:lang w:val="es-MX"/>
        </w:rPr>
      </w:pPr>
    </w:p>
    <w:p w14:paraId="2DCCFCC7" w14:textId="7632E836" w:rsidR="00D916F1" w:rsidRPr="0050687B" w:rsidRDefault="00D916F1" w:rsidP="00D916F1">
      <w:pPr>
        <w:spacing w:after="0" w:line="240" w:lineRule="auto"/>
        <w:rPr>
          <w:rFonts w:ascii="Verdana" w:eastAsia="Times New Roman" w:hAnsi="Verdana" w:cs="Arial"/>
          <w:lang w:eastAsia="es-ES_tradnl"/>
        </w:rPr>
      </w:pPr>
      <w:r w:rsidRPr="00CF64C0">
        <w:rPr>
          <w:rFonts w:ascii="Verdana" w:eastAsia="Geomanist Light" w:hAnsi="Verdana" w:cs="Arial"/>
          <w:color w:val="000000" w:themeColor="text1"/>
          <w:lang w:val="es-MX"/>
        </w:rPr>
        <w:lastRenderedPageBreak/>
        <w:t>Bogotá D.C., </w:t>
      </w:r>
      <w:r w:rsidR="00701F4E">
        <w:rPr>
          <w:rFonts w:ascii="Verdana" w:eastAsia="Geomanist Light" w:hAnsi="Verdana" w:cs="Arial"/>
          <w:color w:val="201F1E"/>
          <w:lang w:val="es-MX"/>
        </w:rPr>
        <w:t>02</w:t>
      </w:r>
      <w:r w:rsidRPr="00CF64C0">
        <w:rPr>
          <w:rFonts w:ascii="Verdana" w:eastAsia="Geomanist Light" w:hAnsi="Verdana" w:cs="Arial"/>
          <w:color w:val="201F1E"/>
          <w:lang w:val="es-MX"/>
        </w:rPr>
        <w:t xml:space="preserve"> de </w:t>
      </w:r>
      <w:r w:rsidR="00701F4E">
        <w:rPr>
          <w:rFonts w:ascii="Verdana" w:eastAsia="Geomanist Light" w:hAnsi="Verdana" w:cs="Arial"/>
          <w:color w:val="201F1E"/>
          <w:lang w:val="es-MX"/>
        </w:rPr>
        <w:t>julio</w:t>
      </w:r>
      <w:r w:rsidRPr="00CF64C0">
        <w:rPr>
          <w:rFonts w:ascii="Verdana" w:eastAsia="Geomanist Light" w:hAnsi="Verdana" w:cs="Arial"/>
          <w:color w:val="201F1E"/>
          <w:lang w:val="es-MX"/>
        </w:rPr>
        <w:t xml:space="preserve"> de </w:t>
      </w:r>
      <w:r w:rsidR="00701F4E">
        <w:rPr>
          <w:rFonts w:ascii="Verdana" w:eastAsia="Geomanist Light" w:hAnsi="Verdana" w:cs="Arial"/>
          <w:color w:val="201F1E"/>
          <w:lang w:val="es-MX"/>
        </w:rPr>
        <w:t>2026</w:t>
      </w:r>
    </w:p>
    <w:p w14:paraId="0A434C18" w14:textId="79AC6DA8" w:rsidR="001148EA" w:rsidRDefault="001148EA" w:rsidP="00534FB6">
      <w:pPr>
        <w:spacing w:after="0" w:line="240" w:lineRule="auto"/>
        <w:rPr>
          <w:rFonts w:ascii="Verdana" w:eastAsia="Calibri" w:hAnsi="Verdana" w:cs="Arial"/>
          <w:color w:val="000000"/>
          <w:lang w:val="es-ES"/>
        </w:rPr>
      </w:pPr>
    </w:p>
    <w:p w14:paraId="22A57AF6" w14:textId="725D240F" w:rsidR="00701F4E" w:rsidRDefault="00701F4E" w:rsidP="00701F4E">
      <w:pPr>
        <w:spacing w:after="0" w:line="240" w:lineRule="auto"/>
        <w:ind w:left="4956"/>
        <w:jc w:val="both"/>
        <w:rPr>
          <w:rFonts w:ascii="Verdana" w:eastAsia="Calibri" w:hAnsi="Verdana" w:cs="Arial"/>
          <w:lang w:val="es-ES" w:eastAsia="es-ES"/>
        </w:rPr>
      </w:pPr>
    </w:p>
    <w:p w14:paraId="7E06AC1F" w14:textId="7A3D5898" w:rsidR="00FE7C29" w:rsidRPr="00B96799" w:rsidRDefault="00694985" w:rsidP="00FE7C29">
      <w:pPr>
        <w:spacing w:after="0" w:line="240" w:lineRule="auto"/>
        <w:jc w:val="both"/>
        <w:rPr>
          <w:rFonts w:ascii="Verdana" w:eastAsia="Calibri" w:hAnsi="Verdana" w:cs="Arial"/>
          <w:lang w:val="es-ES" w:eastAsia="es-ES"/>
        </w:rPr>
      </w:pPr>
      <w:r w:rsidRPr="00701F4E">
        <w:rPr>
          <w:rFonts w:ascii="Verdana" w:eastAsia="Calibri" w:hAnsi="Verdana" w:cs="Arial"/>
          <w:noProof/>
          <w:lang w:val="es-ES" w:eastAsia="es-ES"/>
        </w:rPr>
        <w:drawing>
          <wp:anchor distT="0" distB="0" distL="114300" distR="114300" simplePos="0" relativeHeight="251658240" behindDoc="0" locked="0" layoutInCell="1" allowOverlap="1" wp14:anchorId="58C59C35" wp14:editId="1E7CB6E2">
            <wp:simplePos x="0" y="0"/>
            <wp:positionH relativeFrom="margin">
              <wp:align>right</wp:align>
            </wp:positionH>
            <wp:positionV relativeFrom="paragraph">
              <wp:posOffset>16510</wp:posOffset>
            </wp:positionV>
            <wp:extent cx="2695951" cy="847843"/>
            <wp:effectExtent l="0" t="0" r="9525" b="9525"/>
            <wp:wrapSquare wrapText="bothSides"/>
            <wp:docPr id="18748810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881064" name=""/>
                    <pic:cNvPicPr/>
                  </pic:nvPicPr>
                  <pic:blipFill>
                    <a:blip r:embed="rId10">
                      <a:extLst>
                        <a:ext uri="{28A0092B-C50C-407E-A947-70E740481C1C}">
                          <a14:useLocalDpi xmlns:a14="http://schemas.microsoft.com/office/drawing/2010/main" val="0"/>
                        </a:ext>
                      </a:extLst>
                    </a:blip>
                    <a:stretch>
                      <a:fillRect/>
                    </a:stretch>
                  </pic:blipFill>
                  <pic:spPr>
                    <a:xfrm>
                      <a:off x="0" y="0"/>
                      <a:ext cx="2695951" cy="847843"/>
                    </a:xfrm>
                    <a:prstGeom prst="rect">
                      <a:avLst/>
                    </a:prstGeom>
                  </pic:spPr>
                </pic:pic>
              </a:graphicData>
            </a:graphic>
          </wp:anchor>
        </w:drawing>
      </w:r>
      <w:r w:rsidR="00FE7C29">
        <w:rPr>
          <w:rFonts w:ascii="Verdana" w:eastAsia="Calibri" w:hAnsi="Verdana" w:cs="Arial"/>
          <w:lang w:val="es-ES" w:eastAsia="es-ES"/>
        </w:rPr>
        <w:t>Señora</w:t>
      </w:r>
    </w:p>
    <w:p w14:paraId="61062582" w14:textId="0561EE5C" w:rsidR="00FE7C29" w:rsidRPr="0085423D" w:rsidRDefault="00FE7C29" w:rsidP="00FE7C29">
      <w:pPr>
        <w:spacing w:after="0" w:line="240" w:lineRule="auto"/>
        <w:rPr>
          <w:rFonts w:ascii="Verdana" w:eastAsia="Calibri" w:hAnsi="Verdana" w:cs="Arial"/>
          <w:b/>
          <w:lang w:val="es-ES_tradnl" w:eastAsia="es-ES_tradnl"/>
        </w:rPr>
      </w:pPr>
      <w:bookmarkStart w:id="0" w:name="OLE_LINK1"/>
      <w:r w:rsidRPr="008178E3">
        <w:rPr>
          <w:rFonts w:ascii="Verdana" w:eastAsia="Calibri" w:hAnsi="Verdana" w:cs="Arial"/>
          <w:b/>
          <w:lang w:val="es-ES_tradnl" w:eastAsia="es-ES_tradnl"/>
        </w:rPr>
        <w:t>Elizabeth Sabas Gaviria</w:t>
      </w:r>
      <w:r w:rsidRPr="00A804BA">
        <w:rPr>
          <w:rFonts w:ascii="Verdana" w:eastAsia="Calibri" w:hAnsi="Verdana" w:cs="Arial"/>
          <w:b/>
          <w:lang w:val="es-ES_tradnl" w:eastAsia="es-ES_tradnl"/>
        </w:rPr>
        <w:t xml:space="preserve"> </w:t>
      </w:r>
      <w:r>
        <w:rPr>
          <w:rFonts w:ascii="Verdana" w:eastAsia="Calibri" w:hAnsi="Verdana" w:cs="Arial"/>
          <w:b/>
          <w:lang w:val="es-ES_tradnl" w:eastAsia="es-ES_tradnl"/>
        </w:rPr>
        <w:t xml:space="preserve"> </w:t>
      </w:r>
    </w:p>
    <w:bookmarkEnd w:id="0"/>
    <w:p w14:paraId="0628C4BB" w14:textId="77777777" w:rsidR="00D916F1" w:rsidRDefault="00FE7C29" w:rsidP="00FE7C29">
      <w:pPr>
        <w:spacing w:after="0" w:line="240" w:lineRule="auto"/>
        <w:rPr>
          <w:rFonts w:ascii="Verdana" w:hAnsi="Verdana"/>
        </w:rPr>
      </w:pPr>
      <w:r>
        <w:rPr>
          <w:rFonts w:ascii="Verdana" w:hAnsi="Verdana"/>
        </w:rPr>
        <w:fldChar w:fldCharType="begin"/>
      </w:r>
      <w:r>
        <w:rPr>
          <w:rFonts w:ascii="Verdana" w:hAnsi="Verdana"/>
        </w:rPr>
        <w:instrText>HYPERLINK "mailto:</w:instrText>
      </w:r>
      <w:r w:rsidRPr="008178E3">
        <w:rPr>
          <w:rFonts w:ascii="Verdana" w:hAnsi="Verdana"/>
        </w:rPr>
        <w:instrText>maria.naranjo@enfoquejuridico.com</w:instrText>
      </w:r>
      <w:r>
        <w:rPr>
          <w:rFonts w:ascii="Verdana" w:hAnsi="Verdana"/>
        </w:rPr>
        <w:instrText>"</w:instrText>
      </w:r>
      <w:r>
        <w:rPr>
          <w:rFonts w:ascii="Verdana" w:hAnsi="Verdana"/>
        </w:rPr>
      </w:r>
      <w:r>
        <w:rPr>
          <w:rFonts w:ascii="Verdana" w:hAnsi="Verdana"/>
        </w:rPr>
        <w:fldChar w:fldCharType="separate"/>
      </w:r>
      <w:r w:rsidRPr="00114EDE">
        <w:rPr>
          <w:rStyle w:val="Hipervnculo"/>
          <w:rFonts w:ascii="Verdana" w:hAnsi="Verdana"/>
        </w:rPr>
        <w:t>maria.naranjo@enfoquejuridico.com</w:t>
      </w:r>
      <w:r>
        <w:rPr>
          <w:rFonts w:ascii="Verdana" w:hAnsi="Verdana"/>
        </w:rPr>
        <w:fldChar w:fldCharType="end"/>
      </w:r>
    </w:p>
    <w:p w14:paraId="2EDB8188" w14:textId="7AB68D84" w:rsidR="00D916F1" w:rsidRDefault="00D916F1" w:rsidP="00FE7C29">
      <w:pPr>
        <w:spacing w:after="0" w:line="240" w:lineRule="auto"/>
        <w:rPr>
          <w:rFonts w:ascii="Verdana" w:hAnsi="Verdana"/>
        </w:rPr>
      </w:pPr>
      <w:hyperlink r:id="rId11" w:history="1">
        <w:r w:rsidRPr="00062DB0">
          <w:rPr>
            <w:rStyle w:val="Hipervnculo"/>
            <w:rFonts w:ascii="Verdana" w:hAnsi="Verdana"/>
          </w:rPr>
          <w:t>respuestas.pqrs@gmail.com</w:t>
        </w:r>
      </w:hyperlink>
    </w:p>
    <w:p w14:paraId="06E2B931" w14:textId="629AAE27" w:rsidR="00D916F1" w:rsidRDefault="00D916F1" w:rsidP="00FE7C29">
      <w:pPr>
        <w:spacing w:after="0" w:line="240" w:lineRule="auto"/>
        <w:rPr>
          <w:rFonts w:ascii="Verdana" w:hAnsi="Verdana"/>
        </w:rPr>
      </w:pPr>
      <w:hyperlink r:id="rId12" w:history="1">
        <w:r w:rsidRPr="00062DB0">
          <w:rPr>
            <w:rStyle w:val="Hipervnculo"/>
            <w:rFonts w:ascii="Verdana" w:hAnsi="Verdana"/>
          </w:rPr>
          <w:t>scastrov@enfoquejuridico.com</w:t>
        </w:r>
      </w:hyperlink>
    </w:p>
    <w:p w14:paraId="17FFE447" w14:textId="7EDF69F6" w:rsidR="00FE7C29" w:rsidRDefault="00FE7C29" w:rsidP="00FE7C29">
      <w:pPr>
        <w:spacing w:after="0" w:line="240" w:lineRule="auto"/>
        <w:rPr>
          <w:rFonts w:ascii="Verdana" w:eastAsia="Calibri" w:hAnsi="Verdana" w:cs="Arial"/>
          <w:lang w:val="es-ES" w:eastAsia="es-ES"/>
        </w:rPr>
      </w:pPr>
      <w:r>
        <w:rPr>
          <w:rFonts w:ascii="Verdana" w:eastAsia="Calibri" w:hAnsi="Verdana" w:cs="Arial"/>
          <w:lang w:val="es-ES" w:eastAsia="es-ES"/>
        </w:rPr>
        <w:t xml:space="preserve">Medellín, Antioquia </w:t>
      </w:r>
    </w:p>
    <w:p w14:paraId="4EE52FC4" w14:textId="77777777" w:rsidR="00FE7C29" w:rsidRPr="00593A5F" w:rsidRDefault="00FE7C29" w:rsidP="00FE7C29">
      <w:pPr>
        <w:spacing w:after="0" w:line="240" w:lineRule="auto"/>
        <w:rPr>
          <w:rFonts w:ascii="Verdana" w:eastAsia="Calibri" w:hAnsi="Verdana" w:cs="Arial"/>
          <w:b/>
          <w:bCs/>
          <w:color w:val="000000"/>
          <w:lang w:val="es-ES_tradnl" w:eastAsia="es-ES_tradnl"/>
        </w:rPr>
      </w:pPr>
    </w:p>
    <w:p w14:paraId="49663FFA" w14:textId="77777777" w:rsidR="00FE7C29" w:rsidRPr="00593A5F" w:rsidRDefault="00FE7C29" w:rsidP="00FE7C29">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FE7C29" w:rsidRPr="00593A5F" w14:paraId="4EA7DF2B" w14:textId="77777777" w:rsidTr="000653C2">
        <w:trPr>
          <w:trHeight w:val="884"/>
        </w:trPr>
        <w:tc>
          <w:tcPr>
            <w:tcW w:w="2689" w:type="dxa"/>
          </w:tcPr>
          <w:p w14:paraId="72B1487D" w14:textId="77777777" w:rsidR="00FE7C29" w:rsidRPr="00C00976" w:rsidRDefault="00FE7C29">
            <w:pPr>
              <w:jc w:val="both"/>
              <w:rPr>
                <w:rFonts w:ascii="Verdana" w:eastAsia="Calibri" w:hAnsi="Verdana" w:cs="Arial"/>
                <w:b/>
                <w:bCs/>
                <w:color w:val="7030A0"/>
                <w:lang w:val="es-ES_tradnl" w:eastAsia="es-ES_tradnl"/>
              </w:rPr>
            </w:pPr>
          </w:p>
        </w:tc>
        <w:tc>
          <w:tcPr>
            <w:tcW w:w="6100" w:type="dxa"/>
          </w:tcPr>
          <w:p w14:paraId="1636C81E" w14:textId="0A307286" w:rsidR="00FE7C29" w:rsidRPr="00C00976" w:rsidRDefault="00FE7C29">
            <w:pPr>
              <w:jc w:val="both"/>
              <w:rPr>
                <w:rFonts w:ascii="Verdana" w:eastAsia="Calibri" w:hAnsi="Verdana" w:cs="Arial"/>
                <w:b/>
                <w:bCs/>
                <w:color w:val="7030A0"/>
                <w:lang w:val="es-ES" w:eastAsia="es-ES"/>
              </w:rPr>
            </w:pPr>
            <w:r w:rsidRPr="008E6AD9">
              <w:rPr>
                <w:rFonts w:ascii="Verdana" w:eastAsia="Calibri" w:hAnsi="Verdana" w:cs="Arial"/>
                <w:b/>
                <w:bCs/>
                <w:lang w:val="es-ES" w:eastAsia="es-ES"/>
              </w:rPr>
              <w:t>Concepto C</w:t>
            </w:r>
            <w:r w:rsidR="00694985">
              <w:rPr>
                <w:rFonts w:ascii="Verdana" w:eastAsia="Calibri" w:hAnsi="Verdana" w:cs="Arial"/>
                <w:b/>
                <w:bCs/>
                <w:lang w:val="es-ES" w:eastAsia="es-ES"/>
              </w:rPr>
              <w:t>-</w:t>
            </w:r>
            <w:r w:rsidR="00D916F1">
              <w:rPr>
                <w:rFonts w:ascii="Verdana" w:eastAsia="Calibri" w:hAnsi="Verdana" w:cs="Arial"/>
                <w:b/>
                <w:bCs/>
                <w:lang w:val="es-ES" w:eastAsia="es-ES"/>
              </w:rPr>
              <w:t>851</w:t>
            </w:r>
            <w:r>
              <w:rPr>
                <w:rFonts w:ascii="Verdana" w:eastAsia="Calibri" w:hAnsi="Verdana" w:cs="Arial"/>
                <w:b/>
                <w:bCs/>
                <w:lang w:val="es-ES" w:eastAsia="es-ES"/>
              </w:rPr>
              <w:t xml:space="preserve"> </w:t>
            </w:r>
            <w:r w:rsidRPr="008E6AD9">
              <w:rPr>
                <w:rFonts w:ascii="Verdana" w:eastAsia="Calibri" w:hAnsi="Verdana" w:cs="Arial"/>
                <w:b/>
                <w:bCs/>
                <w:lang w:val="es-ES" w:eastAsia="es-ES"/>
              </w:rPr>
              <w:t>de 202</w:t>
            </w:r>
            <w:r w:rsidR="00D916F1">
              <w:rPr>
                <w:rFonts w:ascii="Verdana" w:eastAsia="Calibri" w:hAnsi="Verdana" w:cs="Arial"/>
                <w:b/>
                <w:bCs/>
                <w:lang w:val="es-ES" w:eastAsia="es-ES"/>
              </w:rPr>
              <w:t>6</w:t>
            </w:r>
          </w:p>
        </w:tc>
      </w:tr>
      <w:tr w:rsidR="00FE7C29" w:rsidRPr="00593A5F" w14:paraId="04700EB1" w14:textId="77777777" w:rsidTr="000653C2">
        <w:trPr>
          <w:trHeight w:val="884"/>
        </w:trPr>
        <w:tc>
          <w:tcPr>
            <w:tcW w:w="2689" w:type="dxa"/>
          </w:tcPr>
          <w:p w14:paraId="19295E46" w14:textId="77777777" w:rsidR="00FE7C29" w:rsidRPr="00593A5F" w:rsidRDefault="00FE7C29">
            <w:pPr>
              <w:jc w:val="both"/>
              <w:rPr>
                <w:rFonts w:ascii="Verdana" w:eastAsia="Calibri" w:hAnsi="Verdana" w:cs="Arial"/>
                <w:color w:val="000000"/>
                <w:lang w:val="es-ES_tradnl" w:eastAsia="es-ES_tradnl"/>
              </w:rPr>
            </w:pPr>
            <w:r w:rsidRPr="00593A5F">
              <w:rPr>
                <w:rFonts w:ascii="Verdana" w:eastAsia="Calibri" w:hAnsi="Verdana" w:cs="Arial"/>
                <w:b/>
                <w:color w:val="000000"/>
                <w:lang w:val="es-ES_tradnl" w:eastAsia="es-ES_tradnl"/>
              </w:rPr>
              <w:t>Temas:</w:t>
            </w:r>
            <w:r w:rsidRPr="00593A5F">
              <w:rPr>
                <w:rFonts w:ascii="Verdana" w:eastAsia="Calibri" w:hAnsi="Verdana" w:cs="Arial"/>
                <w:color w:val="000000"/>
                <w:lang w:val="es-ES_tradnl" w:eastAsia="es-ES_tradnl"/>
              </w:rPr>
              <w:t xml:space="preserve">                   </w:t>
            </w:r>
          </w:p>
        </w:tc>
        <w:tc>
          <w:tcPr>
            <w:tcW w:w="6100" w:type="dxa"/>
          </w:tcPr>
          <w:p w14:paraId="63125B40" w14:textId="284AC585" w:rsidR="00FE7C29" w:rsidRDefault="00FE7C29">
            <w:pPr>
              <w:spacing w:line="276" w:lineRule="auto"/>
              <w:jc w:val="both"/>
              <w:rPr>
                <w:rFonts w:ascii="Verdana" w:eastAsia="Calibri" w:hAnsi="Verdana" w:cs="Arial"/>
                <w:lang w:val="es-ES" w:eastAsia="es-ES"/>
              </w:rPr>
            </w:pPr>
            <w:r w:rsidRPr="00534FB6">
              <w:rPr>
                <w:rFonts w:ascii="Verdana" w:eastAsia="Calibri" w:hAnsi="Verdana" w:cs="Arial"/>
                <w:lang w:val="es-ES" w:eastAsia="es-ES"/>
              </w:rPr>
              <w:t xml:space="preserve">RECHAZO DE LA OFERTA – Causales – Principio de imparcialidad – Principio de selección objetiva / RÉGIMEN DE INHABILIDADES E INCOMPATIBILIDADES – Reserva legal / REVISORÍA FISCAL ‒ Inhabilidades ‒ No se extienden a la persona jurídica </w:t>
            </w:r>
            <w:r w:rsidR="00534FB6" w:rsidRPr="00534FB6">
              <w:rPr>
                <w:rFonts w:ascii="Verdana" w:eastAsia="Calibri" w:hAnsi="Verdana" w:cs="Arial"/>
                <w:lang w:val="es-ES" w:eastAsia="es-ES"/>
              </w:rPr>
              <w:t>– Emprendimiento y Empresa de Mujeres – Otorgación de puntaje</w:t>
            </w:r>
          </w:p>
          <w:p w14:paraId="52438C74" w14:textId="77777777" w:rsidR="00FE7C29" w:rsidRPr="00593A5F" w:rsidRDefault="00FE7C29">
            <w:pPr>
              <w:spacing w:line="276" w:lineRule="auto"/>
              <w:jc w:val="both"/>
              <w:rPr>
                <w:rFonts w:ascii="Verdana" w:eastAsia="Calibri" w:hAnsi="Verdana" w:cs="Arial"/>
                <w:lang w:val="es-ES" w:eastAsia="es-ES"/>
              </w:rPr>
            </w:pPr>
            <w:r w:rsidRPr="00A11406">
              <w:rPr>
                <w:rFonts w:ascii="Verdana" w:eastAsia="Calibri" w:hAnsi="Verdana" w:cs="Arial"/>
                <w:lang w:val="es-ES" w:eastAsia="es-ES"/>
              </w:rPr>
              <w:t xml:space="preserve"> </w:t>
            </w:r>
            <w:r w:rsidRPr="00D1484F">
              <w:rPr>
                <w:rFonts w:ascii="Verdana" w:eastAsia="Calibri" w:hAnsi="Verdana" w:cs="Arial"/>
                <w:lang w:val="es-ES" w:eastAsia="es-ES"/>
              </w:rPr>
              <w:t xml:space="preserve"> </w:t>
            </w:r>
          </w:p>
        </w:tc>
      </w:tr>
      <w:tr w:rsidR="00FE7C29" w:rsidRPr="008E6AD9" w14:paraId="6E03F25B" w14:textId="77777777" w:rsidTr="000653C2">
        <w:tc>
          <w:tcPr>
            <w:tcW w:w="2689" w:type="dxa"/>
          </w:tcPr>
          <w:p w14:paraId="59F059E4" w14:textId="77777777" w:rsidR="00FE7C29" w:rsidRPr="008E6AD9" w:rsidRDefault="00FE7C29">
            <w:pPr>
              <w:jc w:val="both"/>
              <w:rPr>
                <w:rFonts w:ascii="Verdana" w:eastAsia="Calibri" w:hAnsi="Verdana" w:cs="Arial"/>
                <w:b/>
                <w:lang w:val="es-ES_tradnl" w:eastAsia="es-ES_tradnl"/>
              </w:rPr>
            </w:pPr>
            <w:r w:rsidRPr="008E6AD9">
              <w:rPr>
                <w:rFonts w:ascii="Verdana" w:eastAsia="Calibri" w:hAnsi="Verdana" w:cs="Arial"/>
                <w:b/>
                <w:lang w:val="es-ES_tradnl" w:eastAsia="es-ES_tradnl"/>
              </w:rPr>
              <w:t>Radicación:</w:t>
            </w:r>
            <w:r w:rsidRPr="008E6AD9">
              <w:rPr>
                <w:rFonts w:ascii="Verdana" w:eastAsia="Calibri" w:hAnsi="Verdana" w:cs="Arial"/>
                <w:lang w:val="es-ES_tradnl" w:eastAsia="es-ES_tradnl"/>
              </w:rPr>
              <w:t xml:space="preserve">               </w:t>
            </w:r>
          </w:p>
        </w:tc>
        <w:tc>
          <w:tcPr>
            <w:tcW w:w="6100" w:type="dxa"/>
          </w:tcPr>
          <w:p w14:paraId="74B56581" w14:textId="023A265B" w:rsidR="00FE7C29" w:rsidRPr="00B92340" w:rsidRDefault="00FE7C29">
            <w:pPr>
              <w:spacing w:line="276" w:lineRule="auto"/>
              <w:jc w:val="both"/>
              <w:rPr>
                <w:rFonts w:ascii="Verdana" w:eastAsia="Calibri" w:hAnsi="Verdana" w:cs="Arial"/>
                <w:lang w:val="es-ES_tradnl" w:eastAsia="es-ES_tradnl"/>
              </w:rPr>
            </w:pPr>
            <w:r w:rsidRPr="008E6AD9">
              <w:rPr>
                <w:rFonts w:ascii="Verdana" w:eastAsia="Calibri" w:hAnsi="Verdana" w:cs="Arial"/>
                <w:lang w:val="es-ES_tradnl" w:eastAsia="es-ES_tradnl"/>
              </w:rPr>
              <w:t xml:space="preserve">Respuesta a </w:t>
            </w:r>
            <w:r>
              <w:rPr>
                <w:rFonts w:ascii="Verdana" w:eastAsia="Calibri" w:hAnsi="Verdana" w:cs="Arial"/>
                <w:lang w:val="es-ES_tradnl" w:eastAsia="es-ES_tradnl"/>
              </w:rPr>
              <w:t>la</w:t>
            </w:r>
            <w:r w:rsidR="00366E75">
              <w:rPr>
                <w:rFonts w:ascii="Verdana" w:eastAsia="Calibri" w:hAnsi="Verdana" w:cs="Arial"/>
                <w:lang w:val="es-ES_tradnl" w:eastAsia="es-ES_tradnl"/>
              </w:rPr>
              <w:t>s</w:t>
            </w:r>
            <w:r>
              <w:rPr>
                <w:rFonts w:ascii="Verdana" w:eastAsia="Calibri" w:hAnsi="Verdana" w:cs="Arial"/>
                <w:lang w:val="es-ES_tradnl" w:eastAsia="es-ES_tradnl"/>
              </w:rPr>
              <w:t xml:space="preserve"> </w:t>
            </w:r>
            <w:r w:rsidRPr="008E6AD9">
              <w:rPr>
                <w:rFonts w:ascii="Verdana" w:eastAsia="Calibri" w:hAnsi="Verdana" w:cs="Arial"/>
                <w:lang w:val="es-ES_tradnl" w:eastAsia="es-ES_tradnl"/>
              </w:rPr>
              <w:t>consulta</w:t>
            </w:r>
            <w:r w:rsidR="00366E75">
              <w:rPr>
                <w:rFonts w:ascii="Verdana" w:eastAsia="Calibri" w:hAnsi="Verdana" w:cs="Arial"/>
                <w:lang w:val="es-ES_tradnl" w:eastAsia="es-ES_tradnl"/>
              </w:rPr>
              <w:t>s acumuladas</w:t>
            </w:r>
            <w:r w:rsidRPr="008E6AD9">
              <w:rPr>
                <w:rFonts w:ascii="Verdana" w:eastAsia="Calibri" w:hAnsi="Verdana" w:cs="Arial"/>
                <w:lang w:val="es-ES_tradnl" w:eastAsia="es-ES_tradnl"/>
              </w:rPr>
              <w:t xml:space="preserve"> con radicado</w:t>
            </w:r>
            <w:r w:rsidR="00366E75">
              <w:rPr>
                <w:rFonts w:ascii="Verdana" w:eastAsia="Calibri" w:hAnsi="Verdana" w:cs="Arial"/>
                <w:lang w:val="es-ES_tradnl" w:eastAsia="es-ES_tradnl"/>
              </w:rPr>
              <w:t>s</w:t>
            </w:r>
            <w:r w:rsidRPr="008E6AD9">
              <w:rPr>
                <w:rFonts w:ascii="Verdana" w:eastAsia="Calibri" w:hAnsi="Verdana" w:cs="Arial"/>
                <w:lang w:val="es-ES_tradnl" w:eastAsia="es-ES_tradnl"/>
              </w:rPr>
              <w:t xml:space="preserve"> No.</w:t>
            </w:r>
            <w:r>
              <w:rPr>
                <w:rFonts w:ascii="Verdana" w:eastAsia="Calibri" w:hAnsi="Verdana" w:cs="Arial"/>
                <w:lang w:val="es-ES_tradnl" w:eastAsia="es-ES_tradnl"/>
              </w:rPr>
              <w:t xml:space="preserve"> </w:t>
            </w:r>
            <w:r w:rsidR="00D916F1" w:rsidRPr="00D916F1">
              <w:rPr>
                <w:rFonts w:ascii="Verdana" w:eastAsia="Calibri" w:hAnsi="Verdana" w:cs="Arial"/>
                <w:lang w:val="es-ES_tradnl" w:eastAsia="es-ES_tradnl"/>
              </w:rPr>
              <w:t>1_2026_05_21_006863</w:t>
            </w:r>
            <w:r w:rsidR="00366E75">
              <w:rPr>
                <w:rFonts w:ascii="Verdana" w:eastAsia="Calibri" w:hAnsi="Verdana" w:cs="Arial"/>
                <w:lang w:val="es-ES_tradnl" w:eastAsia="es-ES_tradnl"/>
              </w:rPr>
              <w:t xml:space="preserve"> y </w:t>
            </w:r>
            <w:r w:rsidR="00366E75" w:rsidRPr="00366E75">
              <w:rPr>
                <w:rFonts w:ascii="Verdana" w:eastAsia="Calibri" w:hAnsi="Verdana" w:cs="Arial"/>
                <w:lang w:val="es-ES_tradnl" w:eastAsia="es-ES_tradnl"/>
              </w:rPr>
              <w:t>1_2026_05_22_006887</w:t>
            </w:r>
          </w:p>
        </w:tc>
      </w:tr>
    </w:tbl>
    <w:p w14:paraId="28758DDD" w14:textId="77777777" w:rsidR="00FE7C29" w:rsidRPr="00593A5F" w:rsidRDefault="00FE7C29" w:rsidP="00FE7C29">
      <w:pPr>
        <w:spacing w:after="0" w:line="240" w:lineRule="auto"/>
        <w:jc w:val="both"/>
        <w:rPr>
          <w:rFonts w:ascii="Verdana" w:eastAsia="Calibri" w:hAnsi="Verdana" w:cs="Arial"/>
          <w:color w:val="000000"/>
          <w:lang w:val="es-ES_tradnl" w:eastAsia="es-ES_tradnl"/>
        </w:rPr>
      </w:pPr>
    </w:p>
    <w:p w14:paraId="40D0140D" w14:textId="77777777" w:rsidR="00FE7C29" w:rsidRPr="00593A5F" w:rsidRDefault="00FE7C29" w:rsidP="00FE7C29">
      <w:pPr>
        <w:spacing w:after="0" w:line="240" w:lineRule="auto"/>
        <w:jc w:val="both"/>
        <w:rPr>
          <w:rFonts w:ascii="Verdana" w:eastAsia="Calibri" w:hAnsi="Verdana" w:cs="Arial"/>
          <w:color w:val="000000"/>
          <w:lang w:val="es-ES_tradnl" w:eastAsia="es-ES_tradnl"/>
        </w:rPr>
      </w:pPr>
    </w:p>
    <w:p w14:paraId="099E1C7B" w14:textId="25CBC9AB" w:rsidR="00FE7C29" w:rsidRPr="008E6AD9" w:rsidRDefault="00FE7C29" w:rsidP="00FE7C29">
      <w:pPr>
        <w:spacing w:after="0" w:line="276" w:lineRule="auto"/>
        <w:jc w:val="both"/>
        <w:rPr>
          <w:rFonts w:ascii="Verdana" w:eastAsia="Calibri" w:hAnsi="Verdana" w:cs="Arial"/>
          <w:lang w:val="es-ES" w:eastAsia="es-ES"/>
        </w:rPr>
      </w:pPr>
      <w:r w:rsidRPr="008E6AD9">
        <w:rPr>
          <w:rFonts w:ascii="Verdana" w:eastAsia="Calibri" w:hAnsi="Verdana" w:cs="Arial"/>
          <w:lang w:val="es-ES" w:eastAsia="es-ES"/>
        </w:rPr>
        <w:t>Estimad</w:t>
      </w:r>
      <w:r>
        <w:rPr>
          <w:rFonts w:ascii="Verdana" w:eastAsia="Calibri" w:hAnsi="Verdana" w:cs="Arial"/>
          <w:lang w:val="es-ES" w:eastAsia="es-ES"/>
        </w:rPr>
        <w:t>a</w:t>
      </w:r>
      <w:r w:rsidRPr="008E6AD9">
        <w:rPr>
          <w:rFonts w:ascii="Verdana" w:eastAsia="Calibri" w:hAnsi="Verdana" w:cs="Arial"/>
          <w:lang w:val="es-ES" w:eastAsia="es-ES"/>
        </w:rPr>
        <w:t xml:space="preserve"> </w:t>
      </w:r>
      <w:r>
        <w:rPr>
          <w:rFonts w:ascii="Verdana" w:eastAsia="Calibri" w:hAnsi="Verdana" w:cs="Arial"/>
          <w:lang w:val="es-ES" w:eastAsia="es-ES"/>
        </w:rPr>
        <w:t xml:space="preserve">señora </w:t>
      </w:r>
      <w:r w:rsidRPr="008178E3">
        <w:rPr>
          <w:rFonts w:ascii="Verdana" w:eastAsia="Calibri" w:hAnsi="Verdana" w:cs="Arial"/>
          <w:lang w:val="es-ES" w:eastAsia="es-ES"/>
        </w:rPr>
        <w:t>Sabas</w:t>
      </w:r>
      <w:r w:rsidRPr="008E6AD9">
        <w:rPr>
          <w:rFonts w:ascii="Verdana" w:eastAsia="Calibri" w:hAnsi="Verdana" w:cs="Arial"/>
          <w:lang w:val="es-ES" w:eastAsia="es-ES"/>
        </w:rPr>
        <w:t xml:space="preserve">: </w:t>
      </w:r>
    </w:p>
    <w:p w14:paraId="11B7416D" w14:textId="77777777" w:rsidR="00FE7C29" w:rsidRDefault="00FE7C29" w:rsidP="00FE7C29">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5D36CCCA" w14:textId="450AB9F7" w:rsidR="00D916F1" w:rsidRDefault="00D916F1" w:rsidP="00D916F1">
      <w:pPr>
        <w:spacing w:after="0" w:line="276" w:lineRule="auto"/>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En ejercicio de la competencia otorgada por los artículos 3, numeral 5º, y 11, numeral 8º, del Decreto Ley 4170 de 2011,</w:t>
      </w:r>
      <w:r w:rsidRPr="00115E3D">
        <w:rPr>
          <w:rFonts w:ascii="Verdana" w:eastAsia="Arial MT" w:hAnsi="Verdana" w:cs="Arial MT"/>
          <w:color w:val="000000" w:themeColor="text1"/>
          <w:lang w:val="es-ES" w:eastAsia="es-ES"/>
        </w:rPr>
        <w:t xml:space="preserve"> </w:t>
      </w:r>
      <w:r w:rsidRPr="00115E3D">
        <w:rPr>
          <w:rFonts w:ascii="Verdana" w:hAnsi="Verdana" w:cs="Arial"/>
          <w:color w:val="000000" w:themeColor="text1"/>
        </w:rPr>
        <w:t xml:space="preserve">así como lo establecido en </w:t>
      </w:r>
      <w:r w:rsidRPr="006B694D">
        <w:rPr>
          <w:rFonts w:ascii="Verdana" w:hAnsi="Verdana" w:cs="Arial"/>
          <w:lang w:val="es-ES"/>
        </w:rPr>
        <w:t>Resolución 469 de 2025</w:t>
      </w:r>
      <w:r w:rsidRPr="00115E3D">
        <w:rPr>
          <w:rFonts w:ascii="Verdana" w:hAnsi="Verdana" w:cs="Arial"/>
          <w:color w:val="000000" w:themeColor="text1"/>
        </w:rPr>
        <w:t xml:space="preserve"> expedida por esta Entidad, </w:t>
      </w:r>
      <w:r w:rsidRPr="00115E3D">
        <w:rPr>
          <w:rFonts w:ascii="Verdana" w:eastAsia="Calibri" w:hAnsi="Verdana" w:cs="Arial"/>
          <w:color w:val="000000" w:themeColor="text1"/>
          <w:lang w:val="es-ES" w:eastAsia="es-ES"/>
        </w:rPr>
        <w:t>la Agencia Nacional de Contratación Pública – Colombia Compra Eficiente– responde su</w:t>
      </w:r>
      <w:r w:rsidR="00366E75">
        <w:rPr>
          <w:rFonts w:ascii="Verdana" w:eastAsia="Calibri" w:hAnsi="Verdana" w:cs="Arial"/>
          <w:color w:val="000000" w:themeColor="text1"/>
          <w:lang w:val="es-ES" w:eastAsia="es-ES"/>
        </w:rPr>
        <w:t>s</w:t>
      </w:r>
      <w:r w:rsidRPr="00115E3D">
        <w:rPr>
          <w:rFonts w:ascii="Verdana" w:eastAsia="Calibri" w:hAnsi="Verdana" w:cs="Arial"/>
          <w:color w:val="000000" w:themeColor="text1"/>
          <w:lang w:val="es-ES" w:eastAsia="es-ES"/>
        </w:rPr>
        <w:t xml:space="preserve"> solicitud</w:t>
      </w:r>
      <w:r w:rsidR="00366E75">
        <w:rPr>
          <w:rFonts w:ascii="Verdana" w:eastAsia="Calibri" w:hAnsi="Verdana" w:cs="Arial"/>
          <w:color w:val="000000" w:themeColor="text1"/>
          <w:lang w:val="es-ES" w:eastAsia="es-ES"/>
        </w:rPr>
        <w:t>es</w:t>
      </w:r>
      <w:r>
        <w:rPr>
          <w:rFonts w:ascii="Verdana" w:eastAsia="Calibri" w:hAnsi="Verdana" w:cs="Arial"/>
          <w:color w:val="000000" w:themeColor="text1"/>
          <w:lang w:val="es-ES" w:eastAsia="es-ES"/>
        </w:rPr>
        <w:t xml:space="preserve"> de fecha 21</w:t>
      </w:r>
      <w:r w:rsidR="00366E75">
        <w:rPr>
          <w:rFonts w:ascii="Verdana" w:eastAsia="Calibri" w:hAnsi="Verdana" w:cs="Arial"/>
          <w:color w:val="000000" w:themeColor="text1"/>
          <w:lang w:val="es-ES" w:eastAsia="es-ES"/>
        </w:rPr>
        <w:t xml:space="preserve"> y 22</w:t>
      </w:r>
      <w:r>
        <w:rPr>
          <w:rFonts w:ascii="Verdana" w:eastAsia="Calibri" w:hAnsi="Verdana" w:cs="Arial"/>
          <w:color w:val="000000" w:themeColor="text1"/>
          <w:lang w:val="es-ES" w:eastAsia="es-ES"/>
        </w:rPr>
        <w:t xml:space="preserve"> de mayo de 2026</w:t>
      </w:r>
      <w:r w:rsidR="00366E75">
        <w:rPr>
          <w:rFonts w:ascii="Verdana" w:eastAsia="Calibri" w:hAnsi="Verdana" w:cs="Arial"/>
          <w:color w:val="000000" w:themeColor="text1"/>
          <w:lang w:val="es-ES" w:eastAsia="es-ES"/>
        </w:rPr>
        <w:t xml:space="preserve">, </w:t>
      </w:r>
      <w:r w:rsidR="00D22583">
        <w:rPr>
          <w:rFonts w:ascii="Verdana" w:eastAsia="Calibri" w:hAnsi="Verdana" w:cs="Arial"/>
          <w:color w:val="000000" w:themeColor="text1"/>
          <w:lang w:val="es-ES" w:eastAsia="es-ES"/>
        </w:rPr>
        <w:t>respectivamente, en</w:t>
      </w:r>
      <w:r>
        <w:rPr>
          <w:rFonts w:ascii="Verdana" w:eastAsia="Calibri" w:hAnsi="Verdana" w:cs="Arial"/>
          <w:color w:val="000000" w:themeColor="text1"/>
          <w:lang w:val="es-ES" w:eastAsia="es-ES"/>
        </w:rPr>
        <w:t xml:space="preserve"> la cual solicita: </w:t>
      </w:r>
    </w:p>
    <w:p w14:paraId="7649DEA6" w14:textId="77777777" w:rsidR="00FE7C29" w:rsidRPr="00272A7B" w:rsidRDefault="00FE7C29" w:rsidP="00FE7C29">
      <w:pPr>
        <w:pStyle w:val="Prrafodelista"/>
        <w:tabs>
          <w:tab w:val="left" w:pos="142"/>
          <w:tab w:val="left" w:pos="284"/>
        </w:tabs>
        <w:spacing w:after="0" w:line="276" w:lineRule="auto"/>
        <w:ind w:left="0"/>
        <w:jc w:val="both"/>
        <w:rPr>
          <w:rFonts w:ascii="Verdana" w:eastAsia="Century Gothic" w:hAnsi="Verdana" w:cs="Century Gothic"/>
          <w:b/>
          <w:bCs/>
        </w:rPr>
      </w:pPr>
    </w:p>
    <w:p w14:paraId="61C05FFD" w14:textId="38D8140D" w:rsidR="00FE7C29" w:rsidRPr="00D916F1" w:rsidRDefault="00D916F1" w:rsidP="00D916F1">
      <w:pPr>
        <w:spacing w:after="0" w:line="240" w:lineRule="auto"/>
        <w:ind w:left="709" w:right="709"/>
        <w:jc w:val="both"/>
        <w:rPr>
          <w:rFonts w:ascii="Verdana" w:eastAsia="Century Gothic" w:hAnsi="Verdana" w:cs="Century Gothic"/>
          <w:i/>
          <w:iCs/>
          <w:sz w:val="20"/>
          <w:szCs w:val="20"/>
        </w:rPr>
      </w:pPr>
      <w:r w:rsidRPr="00D916F1">
        <w:rPr>
          <w:rFonts w:ascii="Verdana" w:eastAsia="Century Gothic" w:hAnsi="Verdana" w:cs="Century Gothic"/>
          <w:i/>
          <w:iCs/>
          <w:sz w:val="20"/>
          <w:szCs w:val="20"/>
          <w:lang w:val="es-ES"/>
        </w:rPr>
        <w:t>“</w:t>
      </w:r>
      <w:r w:rsidRPr="00D916F1">
        <w:rPr>
          <w:rFonts w:ascii="Verdana" w:eastAsia="Century Gothic" w:hAnsi="Verdana" w:cs="Century Gothic"/>
          <w:i/>
          <w:iCs/>
          <w:sz w:val="20"/>
          <w:szCs w:val="20"/>
        </w:rPr>
        <w:t xml:space="preserve">En el marco de los procesos de licitación pública y demás modalidades de selección regulados en el Estatuto General de Contratación de la Administración Pública-EGCAP-Ley 80, si un oferente acredita una revisora fiscal que se encuentra inscrita ante la respectiva Cámara de Comercio y esta a su vez ocupa un cargo del nivel directivo, ¿Se debe otorgar el puntaje adicional correspondiente al emprendimiento y empresas de </w:t>
      </w:r>
      <w:r w:rsidRPr="00D916F1">
        <w:rPr>
          <w:rFonts w:ascii="Verdana" w:eastAsia="Century Gothic" w:hAnsi="Verdana" w:cs="Century Gothic"/>
          <w:i/>
          <w:iCs/>
          <w:sz w:val="20"/>
          <w:szCs w:val="20"/>
        </w:rPr>
        <w:lastRenderedPageBreak/>
        <w:t>mujeres regulado en el decreto 1860 de 2021, teniendo en cuenta la prohibición establecida en el artículo 205 del Código de Comercio, cuando la misma mujer ejerce el cargo de revisora fiscal y, a su vez, ocupa un cargo del nivel directivo?”</w:t>
      </w:r>
    </w:p>
    <w:p w14:paraId="2C2F68D8" w14:textId="77777777" w:rsidR="00FE7C29" w:rsidRPr="008E6AD9" w:rsidRDefault="00FE7C29" w:rsidP="00FE7C29">
      <w:pPr>
        <w:pStyle w:val="Prrafodelista"/>
        <w:tabs>
          <w:tab w:val="left" w:pos="142"/>
          <w:tab w:val="left" w:pos="284"/>
        </w:tabs>
        <w:spacing w:after="0" w:line="276" w:lineRule="auto"/>
        <w:ind w:left="0"/>
        <w:jc w:val="both"/>
        <w:rPr>
          <w:rFonts w:ascii="Verdana" w:eastAsia="Century Gothic" w:hAnsi="Verdana" w:cs="Century Gothic"/>
          <w:b/>
          <w:bCs/>
        </w:rPr>
      </w:pPr>
    </w:p>
    <w:p w14:paraId="31D5EA94" w14:textId="77777777" w:rsidR="00FE7C29" w:rsidRPr="00A652FF" w:rsidRDefault="00FE7C29" w:rsidP="00FE7C29">
      <w:pPr>
        <w:spacing w:after="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De manera preliminar</w:t>
      </w:r>
      <w:r w:rsidRPr="00593A5F">
        <w:rPr>
          <w:rFonts w:ascii="Verdana" w:eastAsia="Calibri" w:hAnsi="Verdana" w:cs="Arial"/>
          <w:color w:val="000000"/>
          <w:lang w:val="es-ES" w:eastAsia="es-ES"/>
        </w:rPr>
        <w:t>, resulta necesario acotar que esta entidad s</w:t>
      </w:r>
      <w:r>
        <w:rPr>
          <w:rFonts w:ascii="Verdana" w:eastAsia="Calibri" w:hAnsi="Verdana" w:cs="Arial"/>
          <w:color w:val="000000"/>
          <w:lang w:val="es-ES" w:eastAsia="es-ES"/>
        </w:rPr>
        <w:t>ó</w:t>
      </w:r>
      <w:r w:rsidRPr="00593A5F">
        <w:rPr>
          <w:rFonts w:ascii="Verdana" w:eastAsia="Calibri" w:hAnsi="Verdana" w:cs="Arial"/>
          <w:color w:val="000000"/>
          <w:lang w:val="es-ES" w:eastAsia="es-ES"/>
        </w:rPr>
        <w:t xml:space="preserve">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w:t>
      </w:r>
      <w:r>
        <w:rPr>
          <w:rFonts w:ascii="Verdana" w:eastAsia="Calibri" w:hAnsi="Verdana" w:cs="Arial"/>
          <w:color w:val="000000"/>
          <w:lang w:val="es-ES" w:eastAsia="es-ES"/>
        </w:rPr>
        <w:t>concretos</w:t>
      </w:r>
      <w:r w:rsidRPr="00593A5F">
        <w:rPr>
          <w:rFonts w:ascii="Verdana" w:eastAsia="Calibri" w:hAnsi="Verdana" w:cs="Arial"/>
          <w:color w:val="000000"/>
          <w:lang w:val="es-ES" w:eastAsia="es-ES"/>
        </w:rPr>
        <w:t xml:space="preserve">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93A5F">
        <w:rPr>
          <w:rFonts w:ascii="Verdana" w:eastAsia="Calibri" w:hAnsi="Verdana" w:cs="Arial"/>
          <w:color w:val="000000"/>
          <w:szCs w:val="24"/>
          <w:lang w:val="es-ES_tradnl" w:eastAsia="es-ES_tradnl"/>
        </w:rPr>
        <w:tab/>
      </w:r>
    </w:p>
    <w:p w14:paraId="76950DDF" w14:textId="77777777" w:rsidR="00FE7C29" w:rsidRDefault="00FE7C29" w:rsidP="00FE7C29">
      <w:pPr>
        <w:spacing w:after="0" w:line="276" w:lineRule="auto"/>
        <w:ind w:firstLine="709"/>
        <w:jc w:val="both"/>
        <w:rPr>
          <w:rFonts w:ascii="Verdana" w:eastAsia="Calibri" w:hAnsi="Verdana" w:cs="Arial"/>
          <w:color w:val="000000"/>
          <w:lang w:val="es-ES" w:eastAsia="es-ES"/>
        </w:rPr>
      </w:pPr>
      <w:r w:rsidRPr="00593A5F">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w:t>
      </w:r>
      <w:r>
        <w:rPr>
          <w:rFonts w:ascii="Verdana" w:eastAsia="Calibri" w:hAnsi="Verdana" w:cs="Arial"/>
          <w:color w:val="000000"/>
          <w:lang w:val="es-ES" w:eastAsia="es-ES"/>
        </w:rPr>
        <w:t>s circunstancias</w:t>
      </w:r>
      <w:r w:rsidRPr="00593A5F">
        <w:rPr>
          <w:rFonts w:ascii="Verdana" w:eastAsia="Calibri" w:hAnsi="Verdana" w:cs="Arial"/>
          <w:color w:val="000000"/>
          <w:lang w:val="es-ES" w:eastAsia="es-ES"/>
        </w:rPr>
        <w:t xml:space="preserve"> </w:t>
      </w:r>
      <w:r>
        <w:rPr>
          <w:rFonts w:ascii="Verdana" w:eastAsia="Calibri" w:hAnsi="Verdana" w:cs="Arial"/>
          <w:color w:val="000000"/>
          <w:lang w:val="es-ES" w:eastAsia="es-ES"/>
        </w:rPr>
        <w:t>específicas que la hayan motivado</w:t>
      </w:r>
      <w:r w:rsidRPr="00593A5F">
        <w:rPr>
          <w:rFonts w:ascii="Verdana" w:eastAsia="Calibri" w:hAnsi="Verdana" w:cs="Arial"/>
          <w:color w:val="000000"/>
          <w:lang w:val="es-ES" w:eastAsia="es-ES"/>
        </w:rPr>
        <w:t xml:space="preserve">, pero haciendo unas consideraciones sobre las normas generales relacionadas con </w:t>
      </w:r>
      <w:r>
        <w:rPr>
          <w:rFonts w:ascii="Verdana" w:eastAsia="Calibri" w:hAnsi="Verdana" w:cs="Arial"/>
          <w:color w:val="000000"/>
          <w:lang w:val="es-ES" w:eastAsia="es-ES"/>
        </w:rPr>
        <w:t>el</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problema</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de su</w:t>
      </w:r>
      <w:r w:rsidRPr="00593A5F">
        <w:rPr>
          <w:rFonts w:ascii="Verdana" w:eastAsia="Calibri" w:hAnsi="Verdana" w:cs="Arial"/>
          <w:color w:val="000000"/>
          <w:lang w:val="es-ES" w:eastAsia="es-ES"/>
        </w:rPr>
        <w:t xml:space="preserve"> consulta.</w:t>
      </w:r>
      <w:r>
        <w:rPr>
          <w:rFonts w:ascii="Verdana" w:eastAsia="Calibri" w:hAnsi="Verdana" w:cs="Arial"/>
          <w:color w:val="000000"/>
          <w:lang w:val="es-ES" w:eastAsia="es-ES"/>
        </w:rPr>
        <w:t xml:space="preserve"> </w:t>
      </w:r>
      <w:r w:rsidRPr="00593A5F">
        <w:rPr>
          <w:rFonts w:ascii="Verdana" w:eastAsia="Calibri" w:hAnsi="Verdana" w:cs="Arial"/>
          <w:color w:val="000000"/>
          <w:lang w:val="es-ES" w:eastAsia="es-ES"/>
        </w:rPr>
        <w:t xml:space="preserve"> </w:t>
      </w:r>
    </w:p>
    <w:p w14:paraId="4F42299C" w14:textId="77777777" w:rsidR="00FE7C29" w:rsidRPr="00593A5F" w:rsidRDefault="00FE7C29" w:rsidP="00FE7C29">
      <w:pPr>
        <w:spacing w:after="0" w:line="276" w:lineRule="auto"/>
        <w:ind w:firstLine="709"/>
        <w:jc w:val="both"/>
        <w:rPr>
          <w:rFonts w:ascii="Verdana" w:eastAsia="Calibri" w:hAnsi="Verdana" w:cs="Arial"/>
          <w:color w:val="000000"/>
          <w:lang w:val="es-ES" w:eastAsia="es-ES"/>
        </w:rPr>
      </w:pPr>
    </w:p>
    <w:p w14:paraId="38431A6B" w14:textId="77777777" w:rsidR="00FE7C29" w:rsidRPr="00593A5F" w:rsidRDefault="00FE7C29" w:rsidP="00FE7C29">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593A5F">
        <w:rPr>
          <w:rFonts w:ascii="Verdana" w:eastAsia="Century Gothic" w:hAnsi="Verdana" w:cs="Century Gothic"/>
          <w:b/>
          <w:bCs/>
        </w:rPr>
        <w:t>Problema planteado:</w:t>
      </w:r>
    </w:p>
    <w:p w14:paraId="01593F0F" w14:textId="77777777" w:rsidR="00FE7C29" w:rsidRPr="00593A5F" w:rsidRDefault="00FE7C29" w:rsidP="00FE7C29">
      <w:pPr>
        <w:tabs>
          <w:tab w:val="left" w:pos="426"/>
        </w:tabs>
        <w:spacing w:after="0" w:line="276" w:lineRule="auto"/>
        <w:jc w:val="both"/>
        <w:rPr>
          <w:rFonts w:ascii="Verdana" w:eastAsia="Century Gothic" w:hAnsi="Verdana" w:cs="Century Gothic"/>
          <w:lang w:val="es-ES"/>
        </w:rPr>
      </w:pPr>
    </w:p>
    <w:p w14:paraId="57D4E12A" w14:textId="5A2FA26C" w:rsidR="00FE7C29" w:rsidRPr="00593A5F" w:rsidRDefault="00FE7C29" w:rsidP="00FE7C29">
      <w:pPr>
        <w:spacing w:after="0" w:line="276" w:lineRule="auto"/>
        <w:jc w:val="both"/>
        <w:rPr>
          <w:rFonts w:ascii="Verdana" w:eastAsia="Century Gothic" w:hAnsi="Verdana" w:cs="Century Gothic"/>
        </w:rPr>
      </w:pPr>
      <w:r w:rsidRPr="00906BE9">
        <w:rPr>
          <w:rFonts w:ascii="Verdana" w:eastAsia="Century Gothic" w:hAnsi="Verdana" w:cs="Century Gothic"/>
        </w:rPr>
        <w:t xml:space="preserve">De acuerdo con el contenido de su solicitud, esta Agencia resolverá </w:t>
      </w:r>
      <w:r>
        <w:rPr>
          <w:rFonts w:ascii="Verdana" w:eastAsia="Century Gothic" w:hAnsi="Verdana" w:cs="Century Gothic"/>
        </w:rPr>
        <w:t>el</w:t>
      </w:r>
      <w:r w:rsidRPr="00906BE9">
        <w:rPr>
          <w:rFonts w:ascii="Verdana" w:eastAsia="Century Gothic" w:hAnsi="Verdana" w:cs="Century Gothic"/>
        </w:rPr>
        <w:t xml:space="preserve"> siguiente</w:t>
      </w:r>
      <w:r>
        <w:rPr>
          <w:rFonts w:ascii="Verdana" w:eastAsia="Century Gothic" w:hAnsi="Verdana" w:cs="Century Gothic"/>
        </w:rPr>
        <w:t xml:space="preserve"> </w:t>
      </w:r>
      <w:r w:rsidRPr="00906BE9">
        <w:rPr>
          <w:rFonts w:ascii="Verdana" w:eastAsia="Century Gothic" w:hAnsi="Verdana" w:cs="Century Gothic"/>
        </w:rPr>
        <w:t>problema jurídico:</w:t>
      </w:r>
      <w:r>
        <w:rPr>
          <w:rFonts w:ascii="Verdana" w:eastAsia="Century Gothic" w:hAnsi="Verdana" w:cs="Century Gothic"/>
        </w:rPr>
        <w:t xml:space="preserve"> </w:t>
      </w:r>
      <w:r w:rsidR="00EF241B" w:rsidRPr="00EF241B">
        <w:rPr>
          <w:rFonts w:ascii="Verdana" w:eastAsia="Century Gothic" w:hAnsi="Verdana" w:cs="Century Gothic"/>
        </w:rPr>
        <w:t>¿Las restricciones e incompatibilidades que recaen sobre el revisor fiscal se extienden a la persona jurídica proponente que pretende acreditar la condición de emprendimiento y empresa de mujeres para obtener el puntaje adicional previsto?</w:t>
      </w:r>
    </w:p>
    <w:p w14:paraId="1CCEE360" w14:textId="77777777" w:rsidR="00FE7C29" w:rsidRPr="004B140F" w:rsidRDefault="00FE7C29" w:rsidP="00FE7C29">
      <w:pPr>
        <w:spacing w:after="0" w:line="276" w:lineRule="auto"/>
        <w:jc w:val="both"/>
        <w:rPr>
          <w:rFonts w:ascii="Verdana" w:eastAsia="Calibri" w:hAnsi="Verdana" w:cs="Arial"/>
          <w:color w:val="7030A0"/>
        </w:rPr>
      </w:pPr>
    </w:p>
    <w:p w14:paraId="47F59405" w14:textId="77777777" w:rsidR="00FE7C29" w:rsidRPr="00593A5F" w:rsidRDefault="00FE7C29" w:rsidP="00FE7C29">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Respuesta:</w:t>
      </w:r>
    </w:p>
    <w:p w14:paraId="333C5BDC" w14:textId="77777777" w:rsidR="00FE7C29" w:rsidRPr="00593A5F" w:rsidRDefault="00FE7C29" w:rsidP="00FE7C29">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FE7C29" w:rsidRPr="00593A5F" w14:paraId="3726A9F2" w14:textId="77777777">
        <w:trPr>
          <w:jc w:val="center"/>
        </w:trPr>
        <w:tc>
          <w:tcPr>
            <w:tcW w:w="8828" w:type="dxa"/>
          </w:tcPr>
          <w:p w14:paraId="2D9CCACF" w14:textId="77777777" w:rsidR="00FE7C29" w:rsidRPr="00D36759" w:rsidRDefault="00FE7C29">
            <w:pPr>
              <w:spacing w:after="120" w:line="276" w:lineRule="auto"/>
              <w:ind w:right="51"/>
              <w:jc w:val="both"/>
              <w:rPr>
                <w:rFonts w:ascii="Verdana" w:hAnsi="Verdana" w:cs="Arial"/>
              </w:rPr>
            </w:pPr>
            <w:bookmarkStart w:id="1" w:name="_Hlk171694685"/>
            <w:r>
              <w:rPr>
                <w:rFonts w:ascii="Verdana" w:eastAsia="Calibri" w:hAnsi="Verdana" w:cs="Arial"/>
                <w:bCs/>
                <w:color w:val="000000" w:themeColor="text1"/>
              </w:rPr>
              <w:t>Conforme a la interpretación general de las normas del sistema de compras públicas, e</w:t>
            </w:r>
            <w:r>
              <w:rPr>
                <w:rFonts w:ascii="Verdana" w:eastAsia="Aptos" w:hAnsi="Verdana" w:cs="Arial"/>
                <w:color w:val="000000"/>
                <w:kern w:val="2"/>
                <w:bdr w:val="none" w:sz="0" w:space="0" w:color="auto" w:frame="1"/>
                <w:lang w:val="es-ES_tradnl"/>
                <w14:ligatures w14:val="standardContextual"/>
              </w:rPr>
              <w:t xml:space="preserve">l </w:t>
            </w:r>
            <w:r>
              <w:rPr>
                <w:rFonts w:ascii="Verdana" w:hAnsi="Verdana" w:cs="Arial"/>
                <w:color w:val="000000" w:themeColor="text1"/>
              </w:rPr>
              <w:t xml:space="preserve">régimen de inhabilidades del artículo 8 de la Ley 80 de 1993 tiene como algunos de sus destinatarios a servidores públicos –v. gr. </w:t>
            </w:r>
            <w:proofErr w:type="spellStart"/>
            <w:r>
              <w:rPr>
                <w:rFonts w:ascii="Verdana" w:hAnsi="Verdana" w:cs="Arial"/>
                <w:color w:val="000000" w:themeColor="text1"/>
              </w:rPr>
              <w:t>num</w:t>
            </w:r>
            <w:proofErr w:type="spellEnd"/>
            <w:r>
              <w:rPr>
                <w:rFonts w:ascii="Verdana" w:hAnsi="Verdana" w:cs="Arial"/>
                <w:color w:val="000000" w:themeColor="text1"/>
              </w:rPr>
              <w:t xml:space="preserve">. 1, </w:t>
            </w:r>
            <w:proofErr w:type="spellStart"/>
            <w:r>
              <w:rPr>
                <w:rFonts w:ascii="Verdana" w:hAnsi="Verdana" w:cs="Arial"/>
                <w:color w:val="000000" w:themeColor="text1"/>
              </w:rPr>
              <w:t>lit.</w:t>
            </w:r>
            <w:proofErr w:type="spellEnd"/>
            <w:r>
              <w:rPr>
                <w:rFonts w:ascii="Verdana" w:hAnsi="Verdana" w:cs="Arial"/>
                <w:color w:val="000000" w:themeColor="text1"/>
              </w:rPr>
              <w:t xml:space="preserve"> </w:t>
            </w:r>
            <w:r>
              <w:rPr>
                <w:rFonts w:ascii="Verdana" w:hAnsi="Verdana" w:cs="Arial"/>
                <w:color w:val="000000" w:themeColor="text1"/>
              </w:rPr>
              <w:lastRenderedPageBreak/>
              <w:t xml:space="preserve">f)–, personas naturales –v. gr. </w:t>
            </w:r>
            <w:proofErr w:type="spellStart"/>
            <w:r>
              <w:rPr>
                <w:rFonts w:ascii="Verdana" w:hAnsi="Verdana" w:cs="Arial"/>
                <w:color w:val="000000" w:themeColor="text1"/>
              </w:rPr>
              <w:t>num</w:t>
            </w:r>
            <w:proofErr w:type="spellEnd"/>
            <w:r>
              <w:rPr>
                <w:rFonts w:ascii="Verdana" w:hAnsi="Verdana" w:cs="Arial"/>
                <w:color w:val="000000" w:themeColor="text1"/>
              </w:rPr>
              <w:t xml:space="preserve">. 1, </w:t>
            </w:r>
            <w:proofErr w:type="spellStart"/>
            <w:r>
              <w:rPr>
                <w:rFonts w:ascii="Verdana" w:hAnsi="Verdana" w:cs="Arial"/>
                <w:color w:val="000000" w:themeColor="text1"/>
              </w:rPr>
              <w:t>lits</w:t>
            </w:r>
            <w:proofErr w:type="spellEnd"/>
            <w:r>
              <w:rPr>
                <w:rFonts w:ascii="Verdana" w:hAnsi="Verdana" w:cs="Arial"/>
                <w:color w:val="000000" w:themeColor="text1"/>
              </w:rPr>
              <w:t xml:space="preserve">. g) y j)– e, incluso, personas jurídicas, sus socios, representantes legales o administradores –v. gr. </w:t>
            </w:r>
            <w:proofErr w:type="spellStart"/>
            <w:r>
              <w:rPr>
                <w:rFonts w:ascii="Verdana" w:hAnsi="Verdana" w:cs="Arial"/>
                <w:color w:val="000000" w:themeColor="text1"/>
              </w:rPr>
              <w:t>num</w:t>
            </w:r>
            <w:proofErr w:type="spellEnd"/>
            <w:r>
              <w:rPr>
                <w:rFonts w:ascii="Verdana" w:hAnsi="Verdana" w:cs="Arial"/>
                <w:color w:val="000000" w:themeColor="text1"/>
              </w:rPr>
              <w:t xml:space="preserve">. 1, </w:t>
            </w:r>
            <w:proofErr w:type="spellStart"/>
            <w:r>
              <w:rPr>
                <w:rFonts w:ascii="Verdana" w:hAnsi="Verdana" w:cs="Arial"/>
                <w:color w:val="000000" w:themeColor="text1"/>
              </w:rPr>
              <w:t>lits</w:t>
            </w:r>
            <w:proofErr w:type="spellEnd"/>
            <w:r>
              <w:rPr>
                <w:rFonts w:ascii="Verdana" w:hAnsi="Verdana" w:cs="Arial"/>
                <w:color w:val="000000" w:themeColor="text1"/>
              </w:rPr>
              <w:t>. h), i) y j)–. Por lo menos, dentro de la enumeración de la norma citada, no se alude a alguna restricción de la capacidad para presentar ofertas o celebrar contratos estatales por situaciones que afecten a los revisores fiscales. Si bien el artículo 205.3 del Código de Comercio dispone que no podrá designarse como tales a “</w:t>
            </w:r>
            <w:r w:rsidRPr="00931A54">
              <w:rPr>
                <w:rFonts w:ascii="Verdana" w:hAnsi="Verdana" w:cs="Arial"/>
                <w:color w:val="000000" w:themeColor="text1"/>
              </w:rPr>
              <w:t>Quienes desempeñen en la misma compañía o en sus subordinadas cualquier otro cargo</w:t>
            </w:r>
            <w:r>
              <w:rPr>
                <w:rFonts w:ascii="Verdana" w:hAnsi="Verdana" w:cs="Arial"/>
                <w:color w:val="000000" w:themeColor="text1"/>
              </w:rPr>
              <w:t xml:space="preserve">”, esta circunstancia influye en el ejercicio legal de la profesión de contador público, no en la pérdida de capacidad contractual. </w:t>
            </w:r>
          </w:p>
          <w:p w14:paraId="731D3067" w14:textId="44E5238B" w:rsidR="00FE7C29" w:rsidRDefault="00FE7C29">
            <w:pPr>
              <w:spacing w:after="120" w:line="276" w:lineRule="auto"/>
              <w:ind w:firstLine="708"/>
              <w:jc w:val="both"/>
              <w:rPr>
                <w:rFonts w:ascii="Verdana" w:hAnsi="Verdana" w:cs="Arial"/>
                <w:color w:val="000000" w:themeColor="text1"/>
              </w:rPr>
            </w:pPr>
            <w:r>
              <w:rPr>
                <w:rFonts w:ascii="Verdana" w:hAnsi="Verdana" w:cs="Arial"/>
                <w:color w:val="000000" w:themeColor="text1"/>
              </w:rPr>
              <w:t>En este caso, el hecho de que el revisor fiscal de la persona jurídica que actúe como oferente en un proceso de selección tenga un cargo directivo dentro de la organización, sólo implica la vulneración de normas deontológicas que será sancionada de acuerdo con el régimen de la profesión correspondiente. Es decir, las inhabilidades e incompatibilidades propias de quienes aspiren a participar en procesos de selección o celebrar contratos estatales son diferentes a la</w:t>
            </w:r>
            <w:r w:rsidR="000B42ED">
              <w:rPr>
                <w:rFonts w:ascii="Verdana" w:hAnsi="Verdana" w:cs="Arial"/>
                <w:color w:val="000000" w:themeColor="text1"/>
              </w:rPr>
              <w:t>s</w:t>
            </w:r>
            <w:r>
              <w:rPr>
                <w:rFonts w:ascii="Verdana" w:hAnsi="Verdana" w:cs="Arial"/>
                <w:color w:val="000000" w:themeColor="text1"/>
              </w:rPr>
              <w:t xml:space="preserve"> restricciones propias para desempeñar una labor u oficio. </w:t>
            </w:r>
          </w:p>
          <w:p w14:paraId="6D820C9C" w14:textId="2968705D" w:rsidR="00E17EDD" w:rsidRDefault="00E17EDD">
            <w:pPr>
              <w:spacing w:after="120" w:line="276" w:lineRule="auto"/>
              <w:ind w:firstLine="708"/>
              <w:jc w:val="both"/>
              <w:rPr>
                <w:rFonts w:ascii="Verdana" w:hAnsi="Verdana" w:cs="Arial"/>
                <w:color w:val="000000" w:themeColor="text1"/>
              </w:rPr>
            </w:pPr>
            <w:r w:rsidRPr="00E17EDD">
              <w:rPr>
                <w:rFonts w:ascii="Verdana" w:hAnsi="Verdana" w:cs="Arial"/>
                <w:color w:val="000000" w:themeColor="text1"/>
              </w:rPr>
              <w:t>La circunstancia de que la mujer que ocupa un cargo del nivel directivo se desempeñe simultáneamente como revisora fiscal de la sociedad constituye una situación que puede comprometer el ejercicio legal de la profesión de contador público, pero no afecta la capacidad jurídica del proponente ni se extiende a la persona jurídica. En consecuencia, en ausencia de una disposición legal que establezca dicha consecuencia, no resulta procedente negar el puntaje adicional previsto para emprendimientos y empresas de mujeres con fundamento exclusivo en la prohibición contenida en el artículo 205 del Código de Comercio</w:t>
            </w:r>
            <w:r>
              <w:rPr>
                <w:rFonts w:ascii="Verdana" w:hAnsi="Verdana" w:cs="Arial"/>
                <w:color w:val="000000" w:themeColor="text1"/>
              </w:rPr>
              <w:t xml:space="preserve">. </w:t>
            </w:r>
          </w:p>
          <w:p w14:paraId="18B3DFD6" w14:textId="7D5EAAFB" w:rsidR="00E17EDD" w:rsidRDefault="00E17EDD">
            <w:pPr>
              <w:spacing w:after="120" w:line="276" w:lineRule="auto"/>
              <w:ind w:firstLine="708"/>
              <w:jc w:val="both"/>
              <w:rPr>
                <w:rFonts w:ascii="Verdana" w:hAnsi="Verdana" w:cs="Arial"/>
                <w:color w:val="000000" w:themeColor="text1"/>
              </w:rPr>
            </w:pPr>
            <w:r w:rsidRPr="00E17EDD">
              <w:rPr>
                <w:rFonts w:ascii="Verdana" w:hAnsi="Verdana" w:cs="Arial"/>
                <w:color w:val="000000" w:themeColor="text1"/>
              </w:rPr>
              <w:t xml:space="preserve">En consecuencia, al tratarse de un régimen de interpretación restrictiva y de reserva legal, y ante la inexistencia de una disposición que establezca que la situación prevista en el artículo 205 del Código de Comercio afecta la acreditación de los requisitos previstos en el artículo 2.2.1.2.4.2.14 del Decreto 1082 de 2015, adicionado por el Decreto 1860 de 2021, no resulta procedente extender los efectos de dicha incompatibilidad a la persona jurídica </w:t>
            </w:r>
            <w:r w:rsidRPr="00E17EDD">
              <w:rPr>
                <w:rFonts w:ascii="Verdana" w:hAnsi="Verdana" w:cs="Arial"/>
                <w:color w:val="000000" w:themeColor="text1"/>
              </w:rPr>
              <w:lastRenderedPageBreak/>
              <w:t>ni derivar de ella la pérdida del puntaje adicional por emprendimientos y empresas de mujeres.</w:t>
            </w:r>
          </w:p>
          <w:p w14:paraId="279FC3C8" w14:textId="77777777" w:rsidR="00FE7C29" w:rsidRPr="001941FD" w:rsidRDefault="00FE7C29">
            <w:pPr>
              <w:spacing w:line="276" w:lineRule="auto"/>
              <w:ind w:firstLine="709"/>
              <w:jc w:val="both"/>
              <w:rPr>
                <w:rFonts w:ascii="Verdana" w:eastAsia="Calibri" w:hAnsi="Verdana" w:cs="Arial"/>
                <w:bCs/>
                <w:color w:val="000000" w:themeColor="text1"/>
              </w:rPr>
            </w:pPr>
            <w:r w:rsidRPr="008D6721">
              <w:rPr>
                <w:rStyle w:val="s15"/>
                <w:rFonts w:ascii="Verdana" w:hAnsi="Verdana"/>
                <w:color w:val="000000"/>
              </w:rPr>
              <w:t>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w:t>
            </w:r>
            <w:r>
              <w:rPr>
                <w:rStyle w:val="s15"/>
                <w:rFonts w:ascii="Verdana" w:hAnsi="Verdana"/>
                <w:color w:val="000000"/>
              </w:rPr>
              <w:t xml:space="preserve"> Es decir</w:t>
            </w:r>
            <w:r w:rsidRPr="2297304B">
              <w:rPr>
                <w:rFonts w:ascii="Verdana" w:eastAsia="Aptos" w:hAnsi="Verdana" w:cs="Arial"/>
                <w:color w:val="000000"/>
                <w:kern w:val="2"/>
                <w:lang w:val="es-ES"/>
                <w14:ligatures w14:val="standardContextual"/>
              </w:rPr>
              <w:t>, corresponde a las entidades estatales y a los particulares revisar si se presenta alguna situación que pueda derivar en el rechazo de la oferta o algún supuesto de inhabilidad o incompatibilidad que limite la participación en los procesos de contratación. Esto, con el fin de que adelanten las actuaciones procedentes, en el marco de sus competencias, de manera que se garantice el desarrollo adecuado del respectivo proceso.</w:t>
            </w:r>
            <w:r w:rsidRPr="008D6721">
              <w:rPr>
                <w:rStyle w:val="s15"/>
                <w:rFonts w:ascii="Verdana" w:hAnsi="Verdana"/>
                <w:color w:val="000000"/>
              </w:rPr>
              <w:t xml:space="preserve"> Por lo anterior, previo 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r>
              <w:rPr>
                <w:rStyle w:val="s15"/>
                <w:rFonts w:ascii="Verdana" w:hAnsi="Verdana"/>
                <w:color w:val="000000"/>
              </w:rPr>
              <w:t xml:space="preserve"> </w:t>
            </w:r>
          </w:p>
        </w:tc>
      </w:tr>
    </w:tbl>
    <w:p w14:paraId="61527E08" w14:textId="77777777" w:rsidR="00FE7C29" w:rsidRPr="00593A5F" w:rsidRDefault="00FE7C29" w:rsidP="00FE7C29">
      <w:pPr>
        <w:tabs>
          <w:tab w:val="left" w:pos="142"/>
          <w:tab w:val="left" w:pos="284"/>
        </w:tabs>
        <w:spacing w:after="0" w:line="276" w:lineRule="auto"/>
        <w:jc w:val="both"/>
        <w:rPr>
          <w:rFonts w:ascii="Verdana" w:eastAsia="Century Gothic" w:hAnsi="Verdana" w:cs="Century Gothic"/>
          <w:b/>
          <w:bCs/>
          <w:lang w:val="es-ES"/>
        </w:rPr>
      </w:pPr>
    </w:p>
    <w:bookmarkEnd w:id="1"/>
    <w:p w14:paraId="34B9DFEF" w14:textId="77777777" w:rsidR="00FE7C29" w:rsidRPr="00593A5F" w:rsidRDefault="00FE7C29" w:rsidP="00FE7C29">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Razones de la respuesta:</w:t>
      </w:r>
    </w:p>
    <w:p w14:paraId="59D0A44C" w14:textId="77777777" w:rsidR="00FE7C29" w:rsidRPr="00593A5F" w:rsidRDefault="00FE7C29" w:rsidP="00FE7C29">
      <w:pPr>
        <w:spacing w:after="0" w:line="276" w:lineRule="auto"/>
        <w:jc w:val="both"/>
        <w:rPr>
          <w:rFonts w:ascii="Verdana" w:eastAsia="Calibri" w:hAnsi="Verdana" w:cs="Arial"/>
          <w:color w:val="7030A0"/>
          <w:lang w:val="es-ES"/>
        </w:rPr>
      </w:pPr>
    </w:p>
    <w:p w14:paraId="343BD499" w14:textId="77777777" w:rsidR="00FE7C29" w:rsidRDefault="00FE7C29" w:rsidP="00FE7C29">
      <w:pPr>
        <w:spacing w:after="0" w:line="276" w:lineRule="auto"/>
        <w:jc w:val="both"/>
        <w:rPr>
          <w:rFonts w:ascii="Verdana" w:eastAsia="Calibri" w:hAnsi="Verdana" w:cs="Arial"/>
          <w:lang w:val="es-ES"/>
        </w:rPr>
      </w:pPr>
      <w:r w:rsidRPr="00B96799">
        <w:rPr>
          <w:rFonts w:ascii="Verdana" w:eastAsia="Calibri" w:hAnsi="Verdana" w:cs="Arial"/>
          <w:lang w:val="es-ES"/>
        </w:rPr>
        <w:t>Lo anterior se sustenta en las siguientes consideraciones:</w:t>
      </w:r>
    </w:p>
    <w:p w14:paraId="7657B504" w14:textId="77777777" w:rsidR="00FE7C29" w:rsidRPr="00415608" w:rsidRDefault="00FE7C29" w:rsidP="00FE7C29">
      <w:pPr>
        <w:spacing w:after="0" w:line="276" w:lineRule="auto"/>
        <w:jc w:val="both"/>
        <w:rPr>
          <w:rFonts w:ascii="Verdana" w:eastAsia="Calibri" w:hAnsi="Verdana" w:cs="Arial"/>
          <w:lang w:val="es-ES"/>
        </w:rPr>
      </w:pPr>
    </w:p>
    <w:p w14:paraId="42052DF3" w14:textId="3D86A493" w:rsidR="00FE7C29" w:rsidRPr="00E17EDD" w:rsidRDefault="00FE7C29" w:rsidP="00E17EDD">
      <w:pPr>
        <w:spacing w:after="120" w:line="276" w:lineRule="auto"/>
        <w:jc w:val="both"/>
        <w:rPr>
          <w:rFonts w:ascii="Verdana" w:eastAsia="Calibri" w:hAnsi="Verdana" w:cs="Arial"/>
          <w:color w:val="000000" w:themeColor="text1"/>
          <w:lang w:val="es-ES_tradnl"/>
        </w:rPr>
      </w:pPr>
      <w:r>
        <w:rPr>
          <w:rFonts w:ascii="Verdana" w:hAnsi="Verdana" w:cs="Arial"/>
          <w:color w:val="000000" w:themeColor="text1"/>
        </w:rPr>
        <w:t>L</w:t>
      </w:r>
      <w:r w:rsidRPr="00322B59">
        <w:rPr>
          <w:rFonts w:ascii="Verdana" w:hAnsi="Verdana" w:cs="Arial"/>
          <w:color w:val="000000" w:themeColor="text1"/>
        </w:rPr>
        <w:t xml:space="preserve">as inhabilidades e incompatibilidades son circunstancias establecidas por la Constitución o la ley que impiden la posibilidad de que ciertas personas sean elegidas o designadas en un cargo público o puedan celebrar contratos con el Estado, con el objetivo de garantizar la idoneidad, imparcialidad, probidad, transparencia y moralidad de la gestión pública.  El régimen de inhabilidades e incompatibilidades para contratar con el Estado es un conjunto de restricciones establecidas por el constituyente o por el legislador que afectan directamente la capacidad de las personas para establecer una relación jurídica contractual con el Estado, que pueden resultar de condenas, sanciones o situaciones previamente establecidas por el ordenamiento jurídico. Estas restricciones o limitaciones que afectan la capacidad jurídica de las personas para contratar realizan los principios de la función administrativa, consagrados en el artículo 209 de la Constitución Política, con especial énfasis en el de moralidad. Así lo ha entendido el Consejo de Estado: </w:t>
      </w:r>
    </w:p>
    <w:p w14:paraId="5BC0A32F" w14:textId="77777777" w:rsidR="00FE7C29" w:rsidRPr="00322B59" w:rsidRDefault="00FE7C29" w:rsidP="00FE7C29">
      <w:pPr>
        <w:pStyle w:val="Sinespaciado"/>
        <w:spacing w:line="276" w:lineRule="auto"/>
        <w:jc w:val="both"/>
        <w:rPr>
          <w:rFonts w:ascii="Verdana" w:hAnsi="Verdana" w:cs="Arial"/>
          <w:color w:val="000000" w:themeColor="text1"/>
          <w:sz w:val="22"/>
        </w:rPr>
      </w:pPr>
    </w:p>
    <w:p w14:paraId="08412F19" w14:textId="77777777" w:rsidR="00FE7C29" w:rsidRPr="003C1B78" w:rsidRDefault="00FE7C29" w:rsidP="00FE7C29">
      <w:pPr>
        <w:pStyle w:val="NormalWeb"/>
        <w:shd w:val="clear" w:color="auto" w:fill="FFFFFF"/>
        <w:spacing w:before="0" w:beforeAutospacing="0" w:after="120" w:afterAutospacing="0"/>
        <w:ind w:left="709" w:right="709"/>
        <w:jc w:val="both"/>
        <w:rPr>
          <w:rFonts w:ascii="Verdana" w:hAnsi="Verdana" w:cs="Arial"/>
          <w:color w:val="000000" w:themeColor="text1"/>
          <w:sz w:val="20"/>
          <w:szCs w:val="20"/>
          <w:lang w:val="es-ES"/>
        </w:rPr>
      </w:pPr>
      <w:r w:rsidRPr="003C1B78">
        <w:rPr>
          <w:rFonts w:ascii="Verdana" w:hAnsi="Verdana" w:cs="Arial"/>
          <w:color w:val="000000" w:themeColor="text1"/>
          <w:sz w:val="20"/>
          <w:szCs w:val="20"/>
          <w:lang w:val="es-ES"/>
        </w:rPr>
        <w:t>“De manera primordial en esta reflexión debe advertirse que la consagración legal de las incompatibilidades e inhabilidades en materia contractual, no es sino desarrollo del Principio de Moralidad que la Constitución Política consagra como uno de los rectores de la Función Administrativa, instituido en el artículo 209 de la Carta, toda vez que este Principio –en su carácter jurídico, ordenador y orientador del derecho– constituye la Finalidad, el Deber Ser, la Razón de Primer Orden en la cual se inspira, justifica y legitima la existencia de las normas que definen y regulan las inhabilidades e incompatibilidades.</w:t>
      </w:r>
    </w:p>
    <w:p w14:paraId="47B89092" w14:textId="77777777" w:rsidR="00FE7C29" w:rsidRPr="003C1B78" w:rsidRDefault="00FE7C29" w:rsidP="00FE7C29">
      <w:pPr>
        <w:pStyle w:val="NormalWeb"/>
        <w:shd w:val="clear" w:color="auto" w:fill="FFFFFF"/>
        <w:spacing w:before="0" w:beforeAutospacing="0" w:after="0" w:afterAutospacing="0"/>
        <w:ind w:left="709" w:right="709"/>
        <w:jc w:val="both"/>
        <w:rPr>
          <w:rFonts w:ascii="Verdana" w:hAnsi="Verdana" w:cs="Arial"/>
          <w:color w:val="000000" w:themeColor="text1"/>
          <w:sz w:val="20"/>
          <w:szCs w:val="20"/>
          <w:lang w:val="es-ES"/>
        </w:rPr>
      </w:pPr>
      <w:r w:rsidRPr="003C1B78">
        <w:rPr>
          <w:rFonts w:ascii="Verdana" w:hAnsi="Verdana" w:cs="Arial"/>
          <w:color w:val="000000" w:themeColor="text1"/>
          <w:sz w:val="20"/>
          <w:szCs w:val="20"/>
          <w:lang w:val="es-ES"/>
        </w:rPr>
        <w:t>Adicionalmente, toda vez que la Jurisprudencia Constitucional se ha referido a la protección del Interés General como causa que legitima la estructuración legal de las incompatibilidades e inhabilidades, se puede precisar que la regulación de sus causales para contratar con el Estado debe orientarse por el Principio de Moralidad que obviamente –como es propio de todos los Principios de la Función Administrativa– se despliega ordenado con base en la protección prevalente del interés general y, por ello, se entiende que la potestad de configuración legislativa en materia de incompatibilidades e inhabilidades para contratar con el Estado puede concretarse a través de una regla de carácter excluyente para determinados potenciales contratistas, la cual se impone entonces por razón de ese fin de interés general como regla legal prevalente, esto es que puede ser impuesta sobre el derecho individual a contratar con el Estado”</w:t>
      </w:r>
      <w:r w:rsidRPr="003C1B78">
        <w:rPr>
          <w:rStyle w:val="Refdenotaalpie"/>
          <w:rFonts w:ascii="Verdana" w:hAnsi="Verdana" w:cs="Arial"/>
          <w:color w:val="000000" w:themeColor="text1"/>
          <w:sz w:val="20"/>
          <w:szCs w:val="20"/>
          <w:lang w:val="es-ES"/>
        </w:rPr>
        <w:footnoteReference w:id="1"/>
      </w:r>
      <w:r w:rsidRPr="003C1B78">
        <w:rPr>
          <w:rFonts w:ascii="Verdana" w:hAnsi="Verdana" w:cs="Arial"/>
          <w:color w:val="000000" w:themeColor="text1"/>
          <w:sz w:val="20"/>
          <w:szCs w:val="20"/>
          <w:lang w:val="es-ES"/>
        </w:rPr>
        <w:t xml:space="preserve">. </w:t>
      </w:r>
    </w:p>
    <w:p w14:paraId="0E8F1D9D" w14:textId="77777777" w:rsidR="00FE7C29" w:rsidRPr="00322B59" w:rsidRDefault="00FE7C29" w:rsidP="00FE7C29">
      <w:pPr>
        <w:pStyle w:val="Sinespaciado"/>
        <w:spacing w:line="276" w:lineRule="auto"/>
        <w:jc w:val="both"/>
        <w:rPr>
          <w:rFonts w:ascii="Verdana" w:hAnsi="Verdana" w:cs="Arial"/>
          <w:color w:val="000000" w:themeColor="text1"/>
          <w:sz w:val="22"/>
          <w:lang w:val="es-ES"/>
        </w:rPr>
      </w:pPr>
    </w:p>
    <w:p w14:paraId="236FCB15" w14:textId="77777777" w:rsidR="00FE7C29" w:rsidRDefault="00FE7C29" w:rsidP="00FE7C29">
      <w:pPr>
        <w:spacing w:after="0" w:line="276" w:lineRule="auto"/>
        <w:ind w:firstLine="708"/>
        <w:jc w:val="both"/>
        <w:rPr>
          <w:rFonts w:ascii="Verdana" w:hAnsi="Verdana" w:cs="Arial"/>
          <w:color w:val="000000" w:themeColor="text1"/>
        </w:rPr>
      </w:pPr>
      <w:r w:rsidRPr="00322B59">
        <w:rPr>
          <w:rFonts w:ascii="Verdana" w:hAnsi="Verdana" w:cs="Arial"/>
          <w:color w:val="000000" w:themeColor="text1"/>
        </w:rPr>
        <w:t>Las inhabilidades e incompatibilidades son medios que garantiza</w:t>
      </w:r>
      <w:r>
        <w:rPr>
          <w:rFonts w:ascii="Verdana" w:hAnsi="Verdana" w:cs="Arial"/>
          <w:color w:val="000000" w:themeColor="text1"/>
        </w:rPr>
        <w:t>n</w:t>
      </w:r>
      <w:r w:rsidRPr="00322B59">
        <w:rPr>
          <w:rFonts w:ascii="Verdana" w:hAnsi="Verdana" w:cs="Arial"/>
          <w:color w:val="000000" w:themeColor="text1"/>
        </w:rPr>
        <w:t xml:space="preserve"> la transparencia y eficiencia en la actividad contractual del Estado y para ello imponen restricciones en la personalidad jurídica, la igualdad, la libre empresa y, particularmente, el derecho a participar en procesos de selección y celebrar contratos con la Administración. Asimismo</w:t>
      </w:r>
      <w:r w:rsidRPr="00322B59">
        <w:rPr>
          <w:rFonts w:ascii="Verdana" w:eastAsia="Calibri" w:hAnsi="Verdana" w:cs="Arial"/>
          <w:color w:val="000000" w:themeColor="text1"/>
          <w:lang w:val="es-ES_tradnl"/>
        </w:rPr>
        <w:t xml:space="preserve">, el carácter reconocidamente taxativo y restrictivo de régimen de inhabilidades obedece a la necesidad de salvaguardar el interés general inherente en la contratación pública, de forma que implique el menor sacrificio posible al derecho de igualdad y de reconocimiento de la personalidad jurídica de quienes aspiran a contratar con el Estado. Por ello, </w:t>
      </w:r>
      <w:r w:rsidRPr="00322B59">
        <w:rPr>
          <w:rFonts w:ascii="Verdana" w:hAnsi="Verdana" w:cs="Arial"/>
          <w:color w:val="000000" w:themeColor="text1"/>
        </w:rPr>
        <w:t xml:space="preserve">la competencia para determinar qué hechos o situaciones generan inhabilidad para contratar con el Estado la tiene el legislador, pues este régimen es un aspecto propio del Estatuto General de la Contratación Pública, cuya expedición </w:t>
      </w:r>
      <w:r w:rsidRPr="00322B59">
        <w:rPr>
          <w:rFonts w:ascii="Verdana" w:hAnsi="Verdana" w:cs="Arial"/>
          <w:color w:val="000000" w:themeColor="text1"/>
        </w:rPr>
        <w:lastRenderedPageBreak/>
        <w:t>corresponde al Congreso de la República, conforme al artículo 150 de la Constitución Política, por lo que en esta materia rige el principio de legalidad.</w:t>
      </w:r>
    </w:p>
    <w:p w14:paraId="12CE9D34" w14:textId="77777777" w:rsidR="00FE7C29" w:rsidRDefault="00FE7C29" w:rsidP="00FE7C29">
      <w:pPr>
        <w:spacing w:after="0" w:line="276" w:lineRule="auto"/>
        <w:jc w:val="both"/>
        <w:rPr>
          <w:rFonts w:ascii="Verdana" w:hAnsi="Verdana" w:cs="Arial"/>
          <w:color w:val="000000" w:themeColor="text1"/>
        </w:rPr>
      </w:pPr>
    </w:p>
    <w:p w14:paraId="1B718CB0" w14:textId="6F0D5EA9" w:rsidR="00FE7C29" w:rsidRPr="00F4112E" w:rsidRDefault="00FE7C29" w:rsidP="00FE7C29">
      <w:pPr>
        <w:spacing w:after="120" w:line="276" w:lineRule="auto"/>
        <w:jc w:val="both"/>
        <w:rPr>
          <w:rFonts w:ascii="Verdana" w:eastAsia="Calibri" w:hAnsi="Verdana" w:cs="Arial"/>
          <w:color w:val="000000" w:themeColor="text1"/>
          <w:lang w:val="es-ES_tradnl"/>
        </w:rPr>
      </w:pPr>
      <w:r w:rsidRPr="00F4112E">
        <w:rPr>
          <w:rFonts w:ascii="Verdana" w:eastAsia="Calibri" w:hAnsi="Verdana" w:cs="Arial"/>
          <w:color w:val="000000" w:themeColor="text1"/>
          <w:lang w:val="es-ES_tradnl"/>
        </w:rPr>
        <w:t xml:space="preserve">Bajo estas circunstancias, las entidades públicas no pueden establecer en el pliego de condiciones causales de inhabilidad o incompatibilidad no previstas en la Constitución o en la ley. En consecuencia, al tratarse de una materia que tiene reserva legal, no es posible que una entidad pública establezca nuevas causales que afecten la capacidad para contratar con el Estado, ni siquiera haciéndolas pasar como causa para rechazar los ofrecimientos realizados.  </w:t>
      </w:r>
    </w:p>
    <w:p w14:paraId="6E2F09A3" w14:textId="77777777" w:rsidR="00FE7C29" w:rsidRPr="00F4112E" w:rsidRDefault="00FE7C29" w:rsidP="00FE7C29">
      <w:pPr>
        <w:pStyle w:val="Sinespaciado"/>
        <w:tabs>
          <w:tab w:val="left" w:pos="709"/>
        </w:tabs>
        <w:spacing w:line="276" w:lineRule="auto"/>
        <w:jc w:val="both"/>
        <w:rPr>
          <w:rFonts w:ascii="Verdana" w:hAnsi="Verdana" w:cs="Arial"/>
          <w:color w:val="000000" w:themeColor="text1"/>
          <w:sz w:val="22"/>
          <w:lang w:val="es-ES"/>
        </w:rPr>
      </w:pPr>
      <w:r w:rsidRPr="00F4112E">
        <w:rPr>
          <w:rFonts w:ascii="Verdana" w:eastAsia="Calibri" w:hAnsi="Verdana" w:cs="Arial"/>
          <w:color w:val="000000" w:themeColor="text1"/>
          <w:lang w:val="es-ES_tradnl"/>
        </w:rPr>
        <w:tab/>
      </w:r>
      <w:r w:rsidRPr="00F4112E">
        <w:rPr>
          <w:rFonts w:ascii="Verdana" w:hAnsi="Verdana" w:cs="Arial"/>
          <w:color w:val="000000" w:themeColor="text1"/>
          <w:sz w:val="22"/>
        </w:rPr>
        <w:t xml:space="preserve">De conformidad con el artículo 24.5 de la Ley 80 de 1993, en los pliegos de condiciones se definen reglas objetivas, justas, claras y completas que permitan la confección de ofrecimientos de índole similar. La jurisprudencia del Consejo de Estado ha determinado que la claridad, justicia y completitud de las reglas de los pliegos de condiciones deben procurar la selección del mejor oferente. Al respecto, señala que  </w:t>
      </w:r>
    </w:p>
    <w:p w14:paraId="1D9199EB" w14:textId="77777777" w:rsidR="00FE7C29" w:rsidRPr="00F4112E" w:rsidRDefault="00FE7C29" w:rsidP="00FE7C29">
      <w:pPr>
        <w:pStyle w:val="Sinespaciado"/>
        <w:tabs>
          <w:tab w:val="left" w:pos="1532"/>
        </w:tabs>
        <w:spacing w:line="276" w:lineRule="auto"/>
        <w:jc w:val="both"/>
        <w:rPr>
          <w:rFonts w:ascii="Verdana" w:hAnsi="Verdana" w:cs="Arial"/>
          <w:color w:val="000000" w:themeColor="text1"/>
        </w:rPr>
      </w:pPr>
    </w:p>
    <w:p w14:paraId="75CA8ED4" w14:textId="77777777" w:rsidR="00FE7C29" w:rsidRPr="003C1B78" w:rsidRDefault="00FE7C29" w:rsidP="00FE7C29">
      <w:pPr>
        <w:spacing w:after="120" w:line="240" w:lineRule="auto"/>
        <w:ind w:left="709" w:right="709"/>
        <w:jc w:val="both"/>
        <w:rPr>
          <w:rFonts w:ascii="Verdana" w:hAnsi="Verdana" w:cs="Arial"/>
          <w:color w:val="000000" w:themeColor="text1"/>
          <w:sz w:val="20"/>
          <w:szCs w:val="20"/>
        </w:rPr>
      </w:pPr>
      <w:r w:rsidRPr="003C1B78">
        <w:rPr>
          <w:rFonts w:ascii="Verdana" w:hAnsi="Verdana" w:cs="Arial"/>
          <w:color w:val="000000" w:themeColor="text1"/>
          <w:sz w:val="20"/>
          <w:szCs w:val="20"/>
        </w:rPr>
        <w:t>“En ese orden de ideas, las reglas que de manera previa a la apertura del procedimiento administrativo de selección deben ser fijadas por la Administración y que habrán de gobernarlo hasta su culminación toda vez que a la luz de ellas y sólo de ellas debe adjudicarse el contrato han de ser reglas justas, esto es, que realmente apunten a posibilitar la selección del mejor contratista, a la persona natural o jurídica o al grupo de personas que de mejor manera pueda cumplir con el objeto contractual, haciendo prevalecer, por tanto, las condiciones sustanciales de los proponentes respecto de los meros formalismos; reglas objetivas en la medida en que se establezcan de manera tal que sean ellas y exclusivamente ellas, las que determinen el resultado del procedimiento de selección, cerrando las puertas a que sean las estimaciones o los enfoques y criterios personales de los evaluadores los que devengan definitivos, a tal efecto, en el momento de aplicar las referidas reglas; éstas, por lo demás, como corolario del antes comentado principio de objetividad, deben haber sido fijadas con fundamento en las evaluaciones y en los estudios técnicos, económicos, jurídicos, de conveniencia o de oportunidad que la entidad ha debido llevar a cabo con el propósito de ubicarse en la mejor posición antes de configurar los pliegos de condiciones o sus equivalentes principio de objetividad.</w:t>
      </w:r>
    </w:p>
    <w:p w14:paraId="76D65FA3" w14:textId="77777777" w:rsidR="00FE7C29" w:rsidRPr="003C1B78" w:rsidRDefault="00FE7C29" w:rsidP="00FE7C29">
      <w:pPr>
        <w:spacing w:after="0" w:line="240" w:lineRule="auto"/>
        <w:ind w:left="709" w:right="709"/>
        <w:jc w:val="both"/>
        <w:rPr>
          <w:rFonts w:ascii="Verdana" w:hAnsi="Verdana" w:cs="Arial"/>
          <w:color w:val="000000" w:themeColor="text1"/>
          <w:sz w:val="20"/>
          <w:szCs w:val="20"/>
        </w:rPr>
      </w:pPr>
      <w:r w:rsidRPr="003C1B78">
        <w:rPr>
          <w:rFonts w:ascii="Verdana" w:hAnsi="Verdana" w:cs="Arial"/>
          <w:color w:val="000000" w:themeColor="text1"/>
          <w:sz w:val="20"/>
          <w:szCs w:val="20"/>
        </w:rPr>
        <w:t xml:space="preserve">Deben ser, así mismo, reglas claras, cuya redacción dé lugar a que la interpretación que de ellas efectúe la instancia que las fijó, sea exactamente la misma que puedan realizar tanto los posibles oferentes como quienes tengan a su cargo la evaluación y calificación de las </w:t>
      </w:r>
      <w:r w:rsidRPr="003C1B78">
        <w:rPr>
          <w:rFonts w:ascii="Verdana" w:hAnsi="Verdana" w:cs="Arial"/>
          <w:color w:val="000000" w:themeColor="text1"/>
          <w:sz w:val="20"/>
          <w:szCs w:val="20"/>
        </w:rPr>
        <w:lastRenderedPageBreak/>
        <w:t xml:space="preserve">propuestas, de suerte tal que la univocidad de su configuración conduzca a un único entendimiento posible de su contenido y, finalmente, han de ser reglas completas, esto es, que para efectos de resultar aplicables no remitan a o no precisen de la información o de los conceptos o de los criterios incluidos en otros preceptos o, en general, en fuentes externas o ajenas al propio pliego de condiciones, menos </w:t>
      </w:r>
      <w:proofErr w:type="spellStart"/>
      <w:r w:rsidRPr="003C1B78">
        <w:rPr>
          <w:rFonts w:ascii="Verdana" w:hAnsi="Verdana" w:cs="Arial"/>
          <w:color w:val="000000" w:themeColor="text1"/>
          <w:sz w:val="20"/>
          <w:szCs w:val="20"/>
        </w:rPr>
        <w:t>aún</w:t>
      </w:r>
      <w:proofErr w:type="spellEnd"/>
      <w:r w:rsidRPr="003C1B78">
        <w:rPr>
          <w:rFonts w:ascii="Verdana" w:hAnsi="Verdana" w:cs="Arial"/>
          <w:color w:val="000000" w:themeColor="text1"/>
          <w:sz w:val="20"/>
          <w:szCs w:val="20"/>
        </w:rPr>
        <w:t xml:space="preserve"> cuando no exista certeza en punto a cuáles son los elementos que integran dichas fuentes externas, lo cual ocurriría, por vía de ejemplo, cuando se remita ‘al estado del arte o de la ciencia’ en un específico ámbito del saber técnico, científico o especializado”</w:t>
      </w:r>
      <w:r w:rsidRPr="003C1B78">
        <w:rPr>
          <w:rStyle w:val="Refdenotaalpie"/>
          <w:rFonts w:ascii="Verdana" w:hAnsi="Verdana" w:cs="Arial"/>
          <w:color w:val="000000" w:themeColor="text1"/>
          <w:sz w:val="20"/>
          <w:szCs w:val="20"/>
        </w:rPr>
        <w:footnoteReference w:id="2"/>
      </w:r>
      <w:r w:rsidRPr="003C1B78">
        <w:rPr>
          <w:rFonts w:ascii="Verdana" w:hAnsi="Verdana" w:cs="Arial"/>
          <w:color w:val="000000" w:themeColor="text1"/>
          <w:sz w:val="20"/>
          <w:szCs w:val="20"/>
        </w:rPr>
        <w:t>.</w:t>
      </w:r>
    </w:p>
    <w:p w14:paraId="191FDD63" w14:textId="77777777" w:rsidR="00FE7C29" w:rsidRPr="00F4112E" w:rsidRDefault="00FE7C29" w:rsidP="00FE7C29">
      <w:pPr>
        <w:pStyle w:val="Sinespaciado"/>
        <w:tabs>
          <w:tab w:val="left" w:pos="1532"/>
        </w:tabs>
        <w:jc w:val="both"/>
        <w:rPr>
          <w:rFonts w:ascii="Verdana" w:hAnsi="Verdana" w:cs="Arial"/>
          <w:color w:val="000000" w:themeColor="text1"/>
          <w:sz w:val="22"/>
        </w:rPr>
      </w:pPr>
    </w:p>
    <w:p w14:paraId="767CEB77" w14:textId="77777777" w:rsidR="00FE7C29" w:rsidRPr="00F4112E" w:rsidRDefault="00FE7C29" w:rsidP="00FE7C29">
      <w:pPr>
        <w:pStyle w:val="Sinespaciado"/>
        <w:spacing w:after="120" w:line="276" w:lineRule="auto"/>
        <w:jc w:val="both"/>
        <w:rPr>
          <w:rFonts w:ascii="Verdana" w:hAnsi="Verdana" w:cs="Arial"/>
          <w:color w:val="000000" w:themeColor="text1"/>
          <w:sz w:val="22"/>
        </w:rPr>
      </w:pPr>
      <w:r w:rsidRPr="00F4112E">
        <w:rPr>
          <w:rFonts w:ascii="Verdana" w:hAnsi="Verdana" w:cs="Arial"/>
          <w:color w:val="000000" w:themeColor="text1"/>
        </w:rPr>
        <w:tab/>
      </w:r>
      <w:r w:rsidRPr="00F4112E">
        <w:rPr>
          <w:rFonts w:ascii="Verdana" w:hAnsi="Verdana" w:cs="Arial"/>
          <w:color w:val="000000" w:themeColor="text1"/>
          <w:sz w:val="22"/>
        </w:rPr>
        <w:t xml:space="preserve">De esta forma, los pliegos de condiciones deben contener de manera clara los criterios y factores de evaluación y selección de las ofertas, los cuales deben ser proporcionados y razonables, pues no de otra manera se garantizarían los principios de igualdad, imparcialidad y selección objetiva. Por ello, deben atender lo dispuesto en los literales d) y e) del artículo 24.5 de la Ley 80 de 1993, según los cuales no es posible i) introducir condiciones o exigencias de imposible cumplimiento, </w:t>
      </w:r>
      <w:proofErr w:type="spellStart"/>
      <w:r w:rsidRPr="00F4112E">
        <w:rPr>
          <w:rFonts w:ascii="Verdana" w:hAnsi="Verdana" w:cs="Arial"/>
          <w:color w:val="000000" w:themeColor="text1"/>
          <w:sz w:val="22"/>
        </w:rPr>
        <w:t>ii</w:t>
      </w:r>
      <w:proofErr w:type="spellEnd"/>
      <w:r w:rsidRPr="00F4112E">
        <w:rPr>
          <w:rFonts w:ascii="Verdana" w:hAnsi="Verdana" w:cs="Arial"/>
          <w:color w:val="000000" w:themeColor="text1"/>
          <w:sz w:val="22"/>
        </w:rPr>
        <w:t xml:space="preserve">) prever exenciones de responsabilidad derivada de los datos, informes y documentos que se suministren, </w:t>
      </w:r>
      <w:proofErr w:type="spellStart"/>
      <w:r w:rsidRPr="00F4112E">
        <w:rPr>
          <w:rFonts w:ascii="Verdana" w:hAnsi="Verdana" w:cs="Arial"/>
          <w:color w:val="000000" w:themeColor="text1"/>
          <w:sz w:val="22"/>
        </w:rPr>
        <w:t>iii</w:t>
      </w:r>
      <w:proofErr w:type="spellEnd"/>
      <w:r w:rsidRPr="00F4112E">
        <w:rPr>
          <w:rFonts w:ascii="Verdana" w:hAnsi="Verdana" w:cs="Arial"/>
          <w:color w:val="000000" w:themeColor="text1"/>
          <w:sz w:val="22"/>
        </w:rPr>
        <w:t xml:space="preserve">) establecer reglas que induzcan a error a los oferentes, que permitan la formulación de ofertas de extensión ilimitada o que dependan de la voluntad exclusiva de la entidad contratante. </w:t>
      </w:r>
    </w:p>
    <w:p w14:paraId="31621F87" w14:textId="77777777" w:rsidR="00FE7C29" w:rsidRPr="00F4112E" w:rsidRDefault="00FE7C29" w:rsidP="00FE7C29">
      <w:pPr>
        <w:pStyle w:val="Sinespaciado"/>
        <w:tabs>
          <w:tab w:val="left" w:pos="709"/>
        </w:tabs>
        <w:spacing w:line="276" w:lineRule="auto"/>
        <w:jc w:val="both"/>
        <w:rPr>
          <w:rFonts w:ascii="Verdana" w:hAnsi="Verdana" w:cs="Arial"/>
          <w:color w:val="000000" w:themeColor="text1"/>
          <w:sz w:val="22"/>
        </w:rPr>
      </w:pPr>
      <w:r w:rsidRPr="00F4112E">
        <w:rPr>
          <w:rFonts w:ascii="Verdana" w:hAnsi="Verdana" w:cs="Arial"/>
          <w:color w:val="000000" w:themeColor="text1"/>
          <w:sz w:val="22"/>
        </w:rPr>
        <w:tab/>
        <w:t>Además de lo anterior, existen otras prohibiciones legales que debe observar la Administración al estructurar los pliegos de condiciones, por ejemplo, la contenida en el inciso 2º del artículo 6, apartado 6.1, de la Ley 1150 de 2007, según el cual las entidades no podrán exigir a los proponentes que aporten los documentos que se utilizan para la inscripción en el Registro Único de Proponentes. Asimismo, el Consejo de Estado ha sostenido que no es posible establecer en los pliegos de condiciones prohibiciones que tengan el carácter de inhabilidades o incompatibilidades, o fijar requisitos que bajo la denominación de causales de rechazo o exclusión encubren estas restricciones, que están reservadas al constituyente y el legislador. No en vano, la jurisprudencia manifiesta lo siguiente:</w:t>
      </w:r>
    </w:p>
    <w:p w14:paraId="1C605C15" w14:textId="77777777" w:rsidR="00FE7C29" w:rsidRPr="00F4112E" w:rsidRDefault="00FE7C29" w:rsidP="00FE7C29">
      <w:pPr>
        <w:pStyle w:val="Sinespaciado"/>
        <w:tabs>
          <w:tab w:val="left" w:pos="1532"/>
        </w:tabs>
        <w:spacing w:line="276" w:lineRule="auto"/>
        <w:jc w:val="both"/>
        <w:rPr>
          <w:rFonts w:ascii="Verdana" w:hAnsi="Verdana" w:cs="Arial"/>
          <w:color w:val="000000" w:themeColor="text1"/>
          <w:sz w:val="22"/>
        </w:rPr>
      </w:pPr>
    </w:p>
    <w:p w14:paraId="37B94388" w14:textId="77777777" w:rsidR="00FE7C29" w:rsidRPr="003C1B78" w:rsidRDefault="00FE7C29" w:rsidP="00FE7C29">
      <w:pPr>
        <w:spacing w:after="120" w:line="240" w:lineRule="auto"/>
        <w:ind w:left="703" w:right="567"/>
        <w:jc w:val="both"/>
        <w:rPr>
          <w:rFonts w:ascii="Verdana" w:hAnsi="Verdana" w:cs="Arial"/>
          <w:color w:val="000000" w:themeColor="text1"/>
          <w:sz w:val="20"/>
          <w:szCs w:val="20"/>
        </w:rPr>
      </w:pPr>
      <w:r w:rsidRPr="003C1B78">
        <w:rPr>
          <w:rFonts w:ascii="Verdana" w:hAnsi="Verdana" w:cs="Arial"/>
          <w:color w:val="000000" w:themeColor="text1"/>
          <w:sz w:val="20"/>
          <w:szCs w:val="20"/>
        </w:rPr>
        <w:t xml:space="preserve">“Al avanzar en el análisis relacionado con los límites que deben respetarse en la configuración de los pliegos de condiciones que han de regir en cada procedimiento administrativo de selección contractual, hay lugar a precisar que las entidades estatales contratantes no cuentan con facultades para </w:t>
      </w:r>
      <w:r w:rsidRPr="003C1B78">
        <w:rPr>
          <w:rFonts w:ascii="Verdana" w:hAnsi="Verdana" w:cs="Arial"/>
          <w:color w:val="000000" w:themeColor="text1"/>
          <w:sz w:val="20"/>
          <w:szCs w:val="20"/>
        </w:rPr>
        <w:lastRenderedPageBreak/>
        <w:t>establecer, consagrar o crear prohibiciones como inhabilidades o incompatibilidades no previstas en la Constitución Política o en la ley para impedir la participación de interesados que desean o deciden intervenir en los correspondientes procedimientos administrativos de selección o causales de exclusión o de rechazo de las ofertas respectivas que tampoco correspondan a previsiones previamente consagradas en normas de jerarquía superior a la de los pliegos de condiciones.</w:t>
      </w:r>
    </w:p>
    <w:p w14:paraId="59609132" w14:textId="77777777" w:rsidR="00FE7C29" w:rsidRPr="003C1B78" w:rsidRDefault="00FE7C29" w:rsidP="00FE7C29">
      <w:pPr>
        <w:spacing w:after="0" w:line="240" w:lineRule="auto"/>
        <w:ind w:left="705" w:right="567"/>
        <w:jc w:val="both"/>
        <w:rPr>
          <w:rFonts w:ascii="Verdana" w:hAnsi="Verdana" w:cs="Arial"/>
          <w:color w:val="000000" w:themeColor="text1"/>
          <w:sz w:val="20"/>
          <w:szCs w:val="20"/>
        </w:rPr>
      </w:pPr>
      <w:r w:rsidRPr="003C1B78">
        <w:rPr>
          <w:rFonts w:ascii="Verdana" w:hAnsi="Verdana" w:cs="Arial"/>
          <w:color w:val="000000" w:themeColor="text1"/>
          <w:sz w:val="20"/>
          <w:szCs w:val="20"/>
        </w:rPr>
        <w:t>De ahí que las entidades estatales contratantes deban ser extremadamente cuidadosas y transparentes al exigir a los oferentes el cumplimiento de requisitos razonables y proporcionales cuya inobservancia, a la vez, determina que tales entidades no pueden seleccionar entonces las ofertas que se encuentren en circunstancias de incumplimiento de requisitos esenciales o indispensables establecidos en el correspondiente pliego de condiciones-lo cual incluye aquellos que hoy la propia ley denomina ‘requisitos habilitantes’–, por lo cual no será válido que tras la apariencia de tales exigencias en realidad se disfracen u oculten inhabilidades o incompatibilidades distintas a las previstas en la Constitución o en la ley para impedir la participación de ciertos interesados en los respectivos procedimientos administrativos de selección contractual”</w:t>
      </w:r>
      <w:r w:rsidRPr="003C1B78">
        <w:rPr>
          <w:rStyle w:val="Refdenotaalpie"/>
          <w:rFonts w:ascii="Verdana" w:hAnsi="Verdana" w:cs="Arial"/>
          <w:color w:val="000000" w:themeColor="text1"/>
          <w:sz w:val="20"/>
          <w:szCs w:val="20"/>
        </w:rPr>
        <w:footnoteReference w:id="3"/>
      </w:r>
      <w:r w:rsidRPr="003C1B78">
        <w:rPr>
          <w:rFonts w:ascii="Verdana" w:hAnsi="Verdana" w:cs="Arial"/>
          <w:color w:val="000000" w:themeColor="text1"/>
          <w:sz w:val="20"/>
          <w:szCs w:val="20"/>
        </w:rPr>
        <w:t>.</w:t>
      </w:r>
    </w:p>
    <w:p w14:paraId="68AF0E5E" w14:textId="77777777" w:rsidR="00FE7C29" w:rsidRPr="00F4112E" w:rsidRDefault="00FE7C29" w:rsidP="00FE7C29">
      <w:pPr>
        <w:pStyle w:val="Sinespaciado"/>
        <w:tabs>
          <w:tab w:val="left" w:pos="1532"/>
        </w:tabs>
        <w:spacing w:line="276" w:lineRule="auto"/>
        <w:jc w:val="both"/>
        <w:rPr>
          <w:rFonts w:ascii="Verdana" w:hAnsi="Verdana" w:cs="Arial"/>
          <w:color w:val="000000" w:themeColor="text1"/>
          <w:sz w:val="22"/>
        </w:rPr>
      </w:pPr>
      <w:r w:rsidRPr="00F4112E">
        <w:rPr>
          <w:rFonts w:ascii="Verdana" w:hAnsi="Verdana" w:cs="Arial"/>
          <w:color w:val="000000" w:themeColor="text1"/>
        </w:rPr>
        <w:t xml:space="preserve"> </w:t>
      </w:r>
    </w:p>
    <w:p w14:paraId="1EC718DF" w14:textId="77777777" w:rsidR="00FE7C29" w:rsidRPr="00F4112E" w:rsidRDefault="00FE7C29" w:rsidP="00FE7C29">
      <w:pPr>
        <w:pStyle w:val="Sinespaciado"/>
        <w:tabs>
          <w:tab w:val="left" w:pos="709"/>
        </w:tabs>
        <w:spacing w:after="120" w:line="276" w:lineRule="auto"/>
        <w:jc w:val="both"/>
        <w:rPr>
          <w:rFonts w:ascii="Verdana" w:hAnsi="Verdana" w:cs="Arial"/>
          <w:color w:val="000000" w:themeColor="text1"/>
          <w:sz w:val="22"/>
        </w:rPr>
      </w:pPr>
      <w:r w:rsidRPr="00F4112E">
        <w:rPr>
          <w:rFonts w:ascii="Verdana" w:hAnsi="Verdana" w:cs="Arial"/>
          <w:color w:val="000000" w:themeColor="text1"/>
        </w:rPr>
        <w:tab/>
      </w:r>
      <w:r w:rsidRPr="00F4112E">
        <w:rPr>
          <w:rFonts w:ascii="Verdana" w:hAnsi="Verdana" w:cs="Arial"/>
          <w:color w:val="000000" w:themeColor="text1"/>
          <w:sz w:val="22"/>
        </w:rPr>
        <w:t xml:space="preserve">Con fundamento en esta posición, es posible sostener que: </w:t>
      </w:r>
      <w:r>
        <w:rPr>
          <w:rFonts w:ascii="Verdana" w:hAnsi="Verdana" w:cs="Arial"/>
          <w:color w:val="000000" w:themeColor="text1"/>
          <w:sz w:val="22"/>
        </w:rPr>
        <w:t>a</w:t>
      </w:r>
      <w:r w:rsidRPr="00F4112E">
        <w:rPr>
          <w:rFonts w:ascii="Verdana" w:hAnsi="Verdana" w:cs="Arial"/>
          <w:color w:val="000000" w:themeColor="text1"/>
          <w:sz w:val="22"/>
        </w:rPr>
        <w:t xml:space="preserve">) a pesar del amplio margen de la Administración para configurar los pliegos de condiciones de acuerdo con sus necesidades, también está sujeta al principio de legalidad, en virtud del cual las autoridades públicas solo pueden ejercer las funciones o atribuciones expresamente asignadas por la Constitución y la Ley, y no existe ninguna norma constitucional o legal que autorice a las entidades contratantes para establecer inhabilidades o incompatibilidades diferentes a las consagradas por la Constitución y la Ley.   </w:t>
      </w:r>
    </w:p>
    <w:p w14:paraId="5711EBFE" w14:textId="77777777" w:rsidR="00FE7C29" w:rsidRPr="00F4112E" w:rsidRDefault="00FE7C29" w:rsidP="00FE7C29">
      <w:pPr>
        <w:pStyle w:val="Sinespaciado"/>
        <w:tabs>
          <w:tab w:val="left" w:pos="709"/>
        </w:tabs>
        <w:spacing w:after="120" w:line="276" w:lineRule="auto"/>
        <w:jc w:val="both"/>
        <w:rPr>
          <w:rFonts w:ascii="Verdana" w:hAnsi="Verdana" w:cs="Arial"/>
          <w:color w:val="000000" w:themeColor="text1"/>
          <w:sz w:val="22"/>
        </w:rPr>
      </w:pPr>
      <w:r w:rsidRPr="00F4112E">
        <w:rPr>
          <w:rFonts w:ascii="Verdana" w:hAnsi="Verdana" w:cs="Arial"/>
          <w:color w:val="000000" w:themeColor="text1"/>
          <w:sz w:val="22"/>
        </w:rPr>
        <w:tab/>
      </w:r>
      <w:r>
        <w:rPr>
          <w:rFonts w:ascii="Verdana" w:hAnsi="Verdana" w:cs="Arial"/>
          <w:color w:val="000000" w:themeColor="text1"/>
          <w:sz w:val="22"/>
        </w:rPr>
        <w:t>b</w:t>
      </w:r>
      <w:r w:rsidRPr="00F4112E">
        <w:rPr>
          <w:rFonts w:ascii="Verdana" w:hAnsi="Verdana" w:cs="Arial"/>
          <w:color w:val="000000" w:themeColor="text1"/>
          <w:sz w:val="22"/>
        </w:rPr>
        <w:t xml:space="preserve">) El artículo 84 de la Constitución Política establece que cuando un derecho o actividad haya sido reglamentada de manera general, las autoridades no pueden establecer ni exigir permisos, licencias o requisitos adicionales para su ejercicio. Así, teniendo en cuenta que la actividad de las entidades estatales está reglada por el Estatuto General de Contratación Pública, donde se establecen de manera expresa las inhabilidades e incompatibilidades, no es posible que la Administración establezca requisitos adicionales de los que allí fueron consignados. </w:t>
      </w:r>
    </w:p>
    <w:p w14:paraId="659745F7" w14:textId="77777777" w:rsidR="00FE7C29" w:rsidRPr="00F4112E" w:rsidRDefault="00FE7C29" w:rsidP="00FE7C29">
      <w:pPr>
        <w:pStyle w:val="Sinespaciado"/>
        <w:tabs>
          <w:tab w:val="left" w:pos="709"/>
        </w:tabs>
        <w:spacing w:after="120" w:line="276" w:lineRule="auto"/>
        <w:jc w:val="both"/>
        <w:rPr>
          <w:rFonts w:ascii="Verdana" w:hAnsi="Verdana" w:cs="Arial"/>
          <w:color w:val="000000" w:themeColor="text1"/>
          <w:sz w:val="22"/>
        </w:rPr>
      </w:pPr>
      <w:r w:rsidRPr="00F4112E">
        <w:rPr>
          <w:rFonts w:ascii="Verdana" w:hAnsi="Verdana" w:cs="Arial"/>
          <w:color w:val="000000" w:themeColor="text1"/>
          <w:sz w:val="22"/>
        </w:rPr>
        <w:lastRenderedPageBreak/>
        <w:tab/>
      </w:r>
      <w:r>
        <w:rPr>
          <w:rFonts w:ascii="Verdana" w:hAnsi="Verdana" w:cs="Arial"/>
          <w:color w:val="000000" w:themeColor="text1"/>
          <w:sz w:val="22"/>
        </w:rPr>
        <w:t>c</w:t>
      </w:r>
      <w:r w:rsidRPr="00F4112E">
        <w:rPr>
          <w:rFonts w:ascii="Verdana" w:hAnsi="Verdana" w:cs="Arial"/>
          <w:color w:val="000000" w:themeColor="text1"/>
          <w:sz w:val="22"/>
        </w:rPr>
        <w:t xml:space="preserve">) El literal a) del numeral 1 del artículo 8 de la Ley 80 de 1993 señala que no pueden participar en licitaciones ni celebrar contratos con las entidades estatales las personas que se hallen inhabilitadas por la Constitución y las Leyes. Para el Consejo de Estado, esta norma debe entenderse como una ratificación de que el régimen de inhabilidades e incompatibilidades es el contenido en la Constitución y la Ley, y en consecuencia no es posible determinar estas restricciones a través de normas de menor jerarquía. </w:t>
      </w:r>
    </w:p>
    <w:p w14:paraId="7763F4A3" w14:textId="77777777" w:rsidR="00FE7C29" w:rsidRDefault="00FE7C29" w:rsidP="00FE7C29">
      <w:pPr>
        <w:spacing w:after="0" w:line="276" w:lineRule="auto"/>
        <w:jc w:val="both"/>
        <w:rPr>
          <w:rFonts w:ascii="Verdana" w:hAnsi="Verdana" w:cs="Arial"/>
          <w:color w:val="000000" w:themeColor="text1"/>
        </w:rPr>
      </w:pPr>
      <w:r w:rsidRPr="00F4112E">
        <w:rPr>
          <w:rFonts w:ascii="Verdana" w:hAnsi="Verdana" w:cs="Arial"/>
          <w:color w:val="000000" w:themeColor="text1"/>
        </w:rPr>
        <w:tab/>
        <w:t>A todo lo anterior se adiciona la naturaleza taxativa y de interpretación restrictiva de las causales de inhabilidad e incompatibilidad. En otras palabras, si bien la Administración tiene facultad para establecer causales de rechazo o exclusión de ofertas en sus procesos de selección, que consulten la necesidad de establecer las exigencias mínimas que deben satisfacer los proponentes para ser idóneos para la ejecución del objeto contractual, lo cierto es que esas facultades no le permiten fijar requerimientos que al ser analizados a fondo constituyen hechos o situaciones propias del régimen de inhabilidades o incompatibilidades.</w:t>
      </w:r>
    </w:p>
    <w:p w14:paraId="50ACFE3C" w14:textId="77777777" w:rsidR="00FE7C29" w:rsidRDefault="00FE7C29" w:rsidP="00FE7C29">
      <w:pPr>
        <w:spacing w:after="0" w:line="276" w:lineRule="auto"/>
        <w:jc w:val="both"/>
        <w:rPr>
          <w:rFonts w:ascii="Verdana" w:hAnsi="Verdana" w:cs="Arial"/>
          <w:color w:val="000000" w:themeColor="text1"/>
        </w:rPr>
      </w:pPr>
    </w:p>
    <w:p w14:paraId="17A228BA" w14:textId="04795A04" w:rsidR="00FE7C29" w:rsidRPr="00961F0E" w:rsidRDefault="00E17EDD" w:rsidP="00FE7C29">
      <w:pPr>
        <w:spacing w:after="120" w:line="276" w:lineRule="auto"/>
        <w:jc w:val="both"/>
        <w:rPr>
          <w:rFonts w:ascii="Verdana" w:hAnsi="Verdana" w:cs="Arial"/>
          <w:color w:val="000000" w:themeColor="text1"/>
        </w:rPr>
      </w:pPr>
      <w:r>
        <w:rPr>
          <w:rFonts w:ascii="Verdana" w:hAnsi="Verdana" w:cs="Arial"/>
          <w:color w:val="000000" w:themeColor="text1"/>
        </w:rPr>
        <w:t xml:space="preserve">Ahora bien, </w:t>
      </w:r>
      <w:r w:rsidR="00FE7C29">
        <w:rPr>
          <w:rFonts w:ascii="Verdana" w:hAnsi="Verdana" w:cs="Arial"/>
          <w:color w:val="000000" w:themeColor="text1"/>
        </w:rPr>
        <w:t>E</w:t>
      </w:r>
      <w:r w:rsidR="00FE7C29" w:rsidRPr="00961F0E">
        <w:rPr>
          <w:rFonts w:ascii="Verdana" w:hAnsi="Verdana" w:cs="Arial"/>
          <w:color w:val="000000" w:themeColor="text1"/>
        </w:rPr>
        <w:t>l literal a) del artículo 8.1 de la Ley 80 de 1993 dispone que son inhábiles para participar procesos de selección y para celebrar contratos estatales “Las personas que se hallen inhabilitadas para contratar por la Constitución y las leyes”. De esta manera, el régimen de inhabilidades en el sistema de compras públicas no se agota en el artículo 8 precitado, sino que se integra con otras normas del ordenamiento jurídico. Asimismo, todas se extienden a las entidades exceptuadas del EGCAP, especialmente, cuando el inciso primero del artículo 13 de la Ley 1150 de 2007 prescribe que “[…] aplicarán en desarrollo de su actividad contractual, acorde con su régimen legal especial, los principios de la función administrativa y de la gestión fiscal de que tratan los artículos 209 y 267 de la Constitución Política, respectivamente según sea el caso y estarán sometidas al régimen de inhabilidades e incompatibilidades previsto legalmente para la contratación estatal”. Incluso, en virtud del artículo 6 del Decreto 092 de 2017, también hacen parte de los negocios jurídicos que se suscriban con las ESAL conforme a los artículos 355 constitucional o 96 de la Ley 489 de 1998 .</w:t>
      </w:r>
    </w:p>
    <w:p w14:paraId="430134BF" w14:textId="77777777" w:rsidR="00FE7C29" w:rsidRDefault="00FE7C29" w:rsidP="00FE7C29">
      <w:pPr>
        <w:spacing w:after="120" w:line="276" w:lineRule="auto"/>
        <w:ind w:firstLine="708"/>
        <w:jc w:val="both"/>
        <w:rPr>
          <w:rFonts w:ascii="Verdana" w:hAnsi="Verdana" w:cs="Arial"/>
          <w:color w:val="000000" w:themeColor="text1"/>
        </w:rPr>
      </w:pPr>
      <w:r w:rsidRPr="00961F0E">
        <w:rPr>
          <w:rFonts w:ascii="Verdana" w:hAnsi="Verdana" w:cs="Arial"/>
          <w:color w:val="000000" w:themeColor="text1"/>
        </w:rPr>
        <w:t xml:space="preserve">Lo anterior no obsta para que las restricciones a la capacidad jurídica para la celebración de contratos se extiendan a los negocios jurídicos entre </w:t>
      </w:r>
      <w:r w:rsidRPr="00961F0E">
        <w:rPr>
          <w:rFonts w:ascii="Verdana" w:hAnsi="Verdana" w:cs="Arial"/>
          <w:color w:val="000000" w:themeColor="text1"/>
        </w:rPr>
        <w:lastRenderedPageBreak/>
        <w:t>particulares. Al respecto, el parágrafo 3 del artículo 8 del Estatuto General de Contratación de la Administración Pública, adicionado por el artículo 3 de la Ley 2014 de 2019, dispone que “Las inhabilidades e incompatibilidades contempladas en este artículo se aplicarán a cualquier proceso de contratación privada en el que se comprometan recursos públicos”.</w:t>
      </w:r>
    </w:p>
    <w:p w14:paraId="205160AD" w14:textId="77777777" w:rsidR="00FE7C29" w:rsidRDefault="00FE7C29" w:rsidP="00FE7C29">
      <w:pPr>
        <w:spacing w:after="120" w:line="276" w:lineRule="auto"/>
        <w:ind w:firstLine="708"/>
        <w:jc w:val="both"/>
        <w:rPr>
          <w:rFonts w:ascii="Verdana" w:hAnsi="Verdana" w:cs="Arial"/>
          <w:color w:val="000000" w:themeColor="text1"/>
        </w:rPr>
      </w:pPr>
      <w:r>
        <w:rPr>
          <w:rFonts w:ascii="Verdana" w:hAnsi="Verdana" w:cs="Arial"/>
          <w:color w:val="000000" w:themeColor="text1"/>
        </w:rPr>
        <w:t xml:space="preserve">Dicho régimen de inhabilidades del artículo 8 de la Ley 80 de 1993 tiene como algunos de sus destinatarios a servidores públicos –v. gr. </w:t>
      </w:r>
      <w:proofErr w:type="spellStart"/>
      <w:r>
        <w:rPr>
          <w:rFonts w:ascii="Verdana" w:hAnsi="Verdana" w:cs="Arial"/>
          <w:color w:val="000000" w:themeColor="text1"/>
        </w:rPr>
        <w:t>num</w:t>
      </w:r>
      <w:proofErr w:type="spellEnd"/>
      <w:r>
        <w:rPr>
          <w:rFonts w:ascii="Verdana" w:hAnsi="Verdana" w:cs="Arial"/>
          <w:color w:val="000000" w:themeColor="text1"/>
        </w:rPr>
        <w:t xml:space="preserve">. 1, </w:t>
      </w:r>
      <w:proofErr w:type="spellStart"/>
      <w:r>
        <w:rPr>
          <w:rFonts w:ascii="Verdana" w:hAnsi="Verdana" w:cs="Arial"/>
          <w:color w:val="000000" w:themeColor="text1"/>
        </w:rPr>
        <w:t>lit.</w:t>
      </w:r>
      <w:proofErr w:type="spellEnd"/>
      <w:r>
        <w:rPr>
          <w:rFonts w:ascii="Verdana" w:hAnsi="Verdana" w:cs="Arial"/>
          <w:color w:val="000000" w:themeColor="text1"/>
        </w:rPr>
        <w:t xml:space="preserve"> f)–, personas naturales –v. gr. </w:t>
      </w:r>
      <w:proofErr w:type="spellStart"/>
      <w:r>
        <w:rPr>
          <w:rFonts w:ascii="Verdana" w:hAnsi="Verdana" w:cs="Arial"/>
          <w:color w:val="000000" w:themeColor="text1"/>
        </w:rPr>
        <w:t>num</w:t>
      </w:r>
      <w:proofErr w:type="spellEnd"/>
      <w:r>
        <w:rPr>
          <w:rFonts w:ascii="Verdana" w:hAnsi="Verdana" w:cs="Arial"/>
          <w:color w:val="000000" w:themeColor="text1"/>
        </w:rPr>
        <w:t xml:space="preserve">. 1, </w:t>
      </w:r>
      <w:proofErr w:type="spellStart"/>
      <w:r>
        <w:rPr>
          <w:rFonts w:ascii="Verdana" w:hAnsi="Verdana" w:cs="Arial"/>
          <w:color w:val="000000" w:themeColor="text1"/>
        </w:rPr>
        <w:t>lits</w:t>
      </w:r>
      <w:proofErr w:type="spellEnd"/>
      <w:r>
        <w:rPr>
          <w:rFonts w:ascii="Verdana" w:hAnsi="Verdana" w:cs="Arial"/>
          <w:color w:val="000000" w:themeColor="text1"/>
        </w:rPr>
        <w:t>. g) y j)– e, incluso, personas jurídicas, sus socios, representantes legales o administradores</w:t>
      </w:r>
      <w:r>
        <w:rPr>
          <w:rStyle w:val="Refdenotaalpie"/>
          <w:rFonts w:ascii="Verdana" w:hAnsi="Verdana" w:cs="Arial"/>
          <w:color w:val="000000" w:themeColor="text1"/>
        </w:rPr>
        <w:footnoteReference w:id="4"/>
      </w:r>
      <w:r>
        <w:rPr>
          <w:rFonts w:ascii="Verdana" w:hAnsi="Verdana" w:cs="Arial"/>
          <w:color w:val="000000" w:themeColor="text1"/>
        </w:rPr>
        <w:t xml:space="preserve"> –v. gr. </w:t>
      </w:r>
      <w:proofErr w:type="spellStart"/>
      <w:r>
        <w:rPr>
          <w:rFonts w:ascii="Verdana" w:hAnsi="Verdana" w:cs="Arial"/>
          <w:color w:val="000000" w:themeColor="text1"/>
        </w:rPr>
        <w:t>num</w:t>
      </w:r>
      <w:proofErr w:type="spellEnd"/>
      <w:r>
        <w:rPr>
          <w:rFonts w:ascii="Verdana" w:hAnsi="Verdana" w:cs="Arial"/>
          <w:color w:val="000000" w:themeColor="text1"/>
        </w:rPr>
        <w:t xml:space="preserve">. 1, </w:t>
      </w:r>
      <w:proofErr w:type="spellStart"/>
      <w:r>
        <w:rPr>
          <w:rFonts w:ascii="Verdana" w:hAnsi="Verdana" w:cs="Arial"/>
          <w:color w:val="000000" w:themeColor="text1"/>
        </w:rPr>
        <w:t>lits</w:t>
      </w:r>
      <w:proofErr w:type="spellEnd"/>
      <w:r>
        <w:rPr>
          <w:rFonts w:ascii="Verdana" w:hAnsi="Verdana" w:cs="Arial"/>
          <w:color w:val="000000" w:themeColor="text1"/>
        </w:rPr>
        <w:t>. h), i) y j)–. Por lo menos, dentro de la enumeración de la norma citada, no se alude a alguna restricción de la capacidad para presentar ofertas o celebrar contratos estatales por situaciones que afecten a los revisores fiscales. Si bien el artículo 205.3 del Código de Comercio dispone que no podrá designarse como tales a “</w:t>
      </w:r>
      <w:r w:rsidRPr="00931A54">
        <w:rPr>
          <w:rFonts w:ascii="Verdana" w:hAnsi="Verdana" w:cs="Arial"/>
          <w:color w:val="000000" w:themeColor="text1"/>
        </w:rPr>
        <w:t>Quienes desempeñen en la misma compañía o en sus subordinadas cualquier otro cargo</w:t>
      </w:r>
      <w:r>
        <w:rPr>
          <w:rFonts w:ascii="Verdana" w:hAnsi="Verdana" w:cs="Arial"/>
          <w:color w:val="000000" w:themeColor="text1"/>
        </w:rPr>
        <w:t xml:space="preserve">”, esta circunstancia influye en el ejercicio legal de la profesión de contador público, no en la pérdida de capacidad contractual. </w:t>
      </w:r>
    </w:p>
    <w:p w14:paraId="6CF685CA" w14:textId="77777777" w:rsidR="00FE7C29" w:rsidRDefault="00FE7C29" w:rsidP="00FE7C29">
      <w:pPr>
        <w:spacing w:after="120" w:line="276" w:lineRule="auto"/>
        <w:ind w:firstLine="708"/>
        <w:jc w:val="both"/>
        <w:rPr>
          <w:rFonts w:ascii="Verdana" w:hAnsi="Verdana" w:cs="Arial"/>
          <w:color w:val="000000" w:themeColor="text1"/>
        </w:rPr>
      </w:pPr>
      <w:r>
        <w:rPr>
          <w:rFonts w:ascii="Verdana" w:hAnsi="Verdana" w:cs="Arial"/>
          <w:color w:val="000000" w:themeColor="text1"/>
        </w:rPr>
        <w:t xml:space="preserve">En este caso, el hecho de que el revisor fiscal de la persona jurídica que actúe como oferente en un proceso de selección tenga un cargo directivo dentro de la organización, sólo implica la vulneración de normas deontológicas que será sancionada de acuerdo con el régimen de la profesión correspondiente. Es decir, las inhabilidades e incompatibilidades propias de quienes aspiren a participar en procesos de selección o celebrar contratos estatales son diferentes a la restricciones propias para desempeñar una labor u oficio. </w:t>
      </w:r>
    </w:p>
    <w:p w14:paraId="7F603DDE" w14:textId="77777777" w:rsidR="00E17EDD" w:rsidRPr="00E17EDD" w:rsidRDefault="00E17EDD" w:rsidP="00E17EDD">
      <w:pPr>
        <w:spacing w:after="0" w:line="276" w:lineRule="auto"/>
        <w:jc w:val="both"/>
        <w:rPr>
          <w:rFonts w:ascii="Verdana" w:eastAsia="Calibri" w:hAnsi="Verdana" w:cs="Arial"/>
          <w:bCs/>
          <w:color w:val="000000" w:themeColor="text1"/>
        </w:rPr>
      </w:pPr>
      <w:r w:rsidRPr="00E17EDD">
        <w:rPr>
          <w:rFonts w:ascii="Verdana" w:eastAsia="Calibri" w:hAnsi="Verdana" w:cs="Arial"/>
          <w:bCs/>
          <w:color w:val="000000" w:themeColor="text1"/>
        </w:rPr>
        <w:t xml:space="preserve">Conforme con la interpretación general de las normas del sistema de compras públicas, la circunstancia de que una mujer que ocupa un cargo del nivel directivo de la sociedad se desempeñe simultáneamente como revisora fiscal no tiene incidencia en la capacidad jurídica del proponente ni se extiende a la persona jurídica. Si bien el numeral 3 del artículo 205 del Código de Comercio dispone que no podrán ser revisores fiscales quienes desempeñen en la misma compañía o en sus subordinadas cualquier otro cargo, dicha circunstancia influye en el ejercicio legal de la profesión de contador público, mas no en la capacidad para participar en procesos de contratación estatal. En ese sentido, las </w:t>
      </w:r>
      <w:r w:rsidRPr="00E17EDD">
        <w:rPr>
          <w:rFonts w:ascii="Verdana" w:eastAsia="Calibri" w:hAnsi="Verdana" w:cs="Arial"/>
          <w:bCs/>
          <w:color w:val="000000" w:themeColor="text1"/>
        </w:rPr>
        <w:lastRenderedPageBreak/>
        <w:t>consecuencias derivadas de la eventual infracción a dicha disposición corresponden al ámbito propio del régimen profesional aplicable.</w:t>
      </w:r>
    </w:p>
    <w:p w14:paraId="2A32751F" w14:textId="77777777" w:rsidR="00E17EDD" w:rsidRDefault="00E17EDD" w:rsidP="00E17EDD">
      <w:pPr>
        <w:spacing w:after="0" w:line="276" w:lineRule="auto"/>
        <w:jc w:val="both"/>
        <w:rPr>
          <w:rFonts w:ascii="Verdana" w:eastAsia="Calibri" w:hAnsi="Verdana" w:cs="Arial"/>
          <w:bCs/>
          <w:color w:val="000000" w:themeColor="text1"/>
        </w:rPr>
      </w:pPr>
      <w:r w:rsidRPr="00E17EDD">
        <w:rPr>
          <w:rFonts w:ascii="Verdana" w:eastAsia="Calibri" w:hAnsi="Verdana" w:cs="Arial"/>
          <w:bCs/>
          <w:color w:val="000000" w:themeColor="text1"/>
        </w:rPr>
        <w:t xml:space="preserve">Por ello, el hecho de que la revisora fiscal de la persona jurídica que actúa como oferente ejerza simultáneamente un cargo del nivel directivo constituye una situación que, en principio, solo comporta la vulneración de normas deontológicas cuya sanción corresponde a las autoridades competentes. Así, las restricciones que puedan recaer sobre quien desempeña la revisoría fiscal no se extienden a la persona jurídica, toda vez que dicho órgano cumple funciones de fiscalización y evaluación y carece de roles de representación legal o administración. </w:t>
      </w:r>
    </w:p>
    <w:p w14:paraId="483CF854" w14:textId="77777777" w:rsidR="00E17EDD" w:rsidRPr="00E17EDD" w:rsidRDefault="00E17EDD" w:rsidP="00E17EDD">
      <w:pPr>
        <w:spacing w:after="0" w:line="276" w:lineRule="auto"/>
        <w:jc w:val="both"/>
        <w:rPr>
          <w:rFonts w:ascii="Verdana" w:eastAsia="Calibri" w:hAnsi="Verdana" w:cs="Arial"/>
          <w:bCs/>
          <w:color w:val="000000" w:themeColor="text1"/>
        </w:rPr>
      </w:pPr>
    </w:p>
    <w:p w14:paraId="6CC3E952" w14:textId="77777777" w:rsidR="00E17EDD" w:rsidRDefault="00E17EDD" w:rsidP="00E17EDD">
      <w:pPr>
        <w:spacing w:after="0" w:line="276" w:lineRule="auto"/>
        <w:jc w:val="both"/>
        <w:rPr>
          <w:rFonts w:ascii="Verdana" w:eastAsia="Calibri" w:hAnsi="Verdana" w:cs="Arial"/>
          <w:bCs/>
          <w:color w:val="000000" w:themeColor="text1"/>
        </w:rPr>
      </w:pPr>
      <w:r w:rsidRPr="00E17EDD">
        <w:rPr>
          <w:rFonts w:ascii="Verdana" w:eastAsia="Calibri" w:hAnsi="Verdana" w:cs="Arial"/>
          <w:bCs/>
          <w:color w:val="000000" w:themeColor="text1"/>
        </w:rPr>
        <w:t>En consecuencia, al tratarse de un régimen de interpretación restrictiva y de reserva legal, y ante la inexistencia de una disposición que establezca que la situación prevista en el artículo 205 del Código de Comercio afecta la acreditación de los requisitos previstos en el artículo 2.2.1.2.4.2.14 del Decreto 1082 de 2015, adicionado por el Decreto 1860 de 2021, no resulta procedente extender los efectos de dicha incompatibilidad a la persona jurídica ni derivar de ella la pérdida del puntaje adicional por emprendimientos y empresas de mujeres.</w:t>
      </w:r>
    </w:p>
    <w:p w14:paraId="173FCD76" w14:textId="77777777" w:rsidR="00E17EDD" w:rsidRPr="00E17EDD" w:rsidRDefault="00E17EDD" w:rsidP="00E17EDD">
      <w:pPr>
        <w:spacing w:after="0" w:line="276" w:lineRule="auto"/>
        <w:jc w:val="both"/>
        <w:rPr>
          <w:rFonts w:ascii="Verdana" w:eastAsia="Calibri" w:hAnsi="Verdana" w:cs="Arial"/>
          <w:bCs/>
          <w:color w:val="000000" w:themeColor="text1"/>
        </w:rPr>
      </w:pPr>
    </w:p>
    <w:p w14:paraId="32DADE6F" w14:textId="77777777" w:rsidR="00E17EDD" w:rsidRPr="00E17EDD" w:rsidRDefault="00E17EDD" w:rsidP="00E17EDD">
      <w:pPr>
        <w:spacing w:after="0" w:line="276" w:lineRule="auto"/>
        <w:jc w:val="both"/>
        <w:rPr>
          <w:rFonts w:ascii="Verdana" w:eastAsia="Calibri" w:hAnsi="Verdana" w:cs="Arial"/>
          <w:bCs/>
          <w:color w:val="000000" w:themeColor="text1"/>
        </w:rPr>
      </w:pPr>
      <w:r w:rsidRPr="00E17EDD">
        <w:rPr>
          <w:rFonts w:ascii="Verdana" w:eastAsia="Calibri" w:hAnsi="Verdana" w:cs="Arial"/>
          <w:bCs/>
          <w:color w:val="000000" w:themeColor="text1"/>
        </w:rPr>
        <w:t>Por tanto, la circunstancia de que la misma mujer acreditada como integrante del nivel directivo ejerza simultáneamente la revisoría fiscal de la sociedad no constituye, por sí sola, una razón para desconocer la acreditación de la condición de emprendimiento y empresa de mujeres ni para negar el puntaje adicional previsto en la normativa vigente.</w:t>
      </w:r>
    </w:p>
    <w:p w14:paraId="2F1DC723" w14:textId="77777777" w:rsidR="00FE7C29" w:rsidRDefault="00FE7C29" w:rsidP="00FE7C29">
      <w:pPr>
        <w:spacing w:after="0" w:line="276" w:lineRule="auto"/>
        <w:jc w:val="both"/>
        <w:rPr>
          <w:rFonts w:ascii="Verdana" w:eastAsia="Calibri" w:hAnsi="Verdana" w:cs="Arial"/>
          <w:bCs/>
          <w:color w:val="000000" w:themeColor="text1"/>
        </w:rPr>
      </w:pPr>
    </w:p>
    <w:p w14:paraId="246D53E5" w14:textId="496EF2EA" w:rsidR="00FE7C29" w:rsidRDefault="00FE7C29" w:rsidP="00FE7C29">
      <w:pPr>
        <w:spacing w:after="120" w:line="276" w:lineRule="auto"/>
        <w:jc w:val="both"/>
        <w:rPr>
          <w:rFonts w:ascii="Verdana" w:eastAsia="Calibri" w:hAnsi="Verdana" w:cs="Arial"/>
          <w:bCs/>
          <w:color w:val="000000" w:themeColor="text1"/>
        </w:rPr>
      </w:pPr>
      <w:r w:rsidRPr="008D6721">
        <w:rPr>
          <w:rFonts w:ascii="Verdana" w:eastAsia="Calibri" w:hAnsi="Verdana" w:cs="Arial"/>
          <w:bCs/>
          <w:color w:val="000000" w:themeColor="text1"/>
        </w:rPr>
        <w:t xml:space="preserve">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w:t>
      </w:r>
      <w:r>
        <w:rPr>
          <w:rStyle w:val="s15"/>
          <w:rFonts w:ascii="Verdana" w:hAnsi="Verdana"/>
          <w:color w:val="000000"/>
        </w:rPr>
        <w:t>Es decir</w:t>
      </w:r>
      <w:r w:rsidRPr="2297304B">
        <w:rPr>
          <w:rFonts w:ascii="Verdana" w:eastAsia="Aptos" w:hAnsi="Verdana" w:cs="Arial"/>
          <w:color w:val="000000"/>
          <w:kern w:val="2"/>
          <w:lang w:val="es-ES"/>
          <w14:ligatures w14:val="standardContextual"/>
        </w:rPr>
        <w:t>, corresponde a las entidades estatales y a los particulares revisar si se presenta alguna situación que pueda derivar en el rechazo de la oferta o algún supuesto de inhabilidad o incompatibilidad que limite la participación en los procesos de contratación. Esto, con el fin de que adelanten las actuaciones procedentes, en el marco de sus competencias, de manera que se garantice el desarrollo adecuado del respectivo proceso</w:t>
      </w:r>
    </w:p>
    <w:p w14:paraId="11384B4A" w14:textId="77777777" w:rsidR="00FE7C29" w:rsidRPr="008D6721" w:rsidRDefault="00FE7C29" w:rsidP="00FE7C29">
      <w:pPr>
        <w:spacing w:after="120" w:line="276" w:lineRule="auto"/>
        <w:ind w:firstLine="708"/>
        <w:jc w:val="both"/>
        <w:rPr>
          <w:rFonts w:ascii="Verdana" w:eastAsia="Calibri" w:hAnsi="Verdana" w:cs="Arial"/>
          <w:bCs/>
          <w:color w:val="000000" w:themeColor="text1"/>
        </w:rPr>
      </w:pPr>
      <w:r w:rsidRPr="008D6721">
        <w:rPr>
          <w:rFonts w:ascii="Verdana" w:eastAsia="Calibri" w:hAnsi="Verdana" w:cs="Arial"/>
          <w:bCs/>
          <w:color w:val="000000" w:themeColor="text1"/>
        </w:rPr>
        <w:lastRenderedPageBreak/>
        <w:t>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37AD1A38" w14:textId="77777777" w:rsidR="00FE7C29" w:rsidRPr="00185EE9" w:rsidRDefault="00FE7C29" w:rsidP="00FE7C29">
      <w:pPr>
        <w:spacing w:after="0" w:line="276" w:lineRule="auto"/>
        <w:ind w:firstLine="708"/>
        <w:jc w:val="both"/>
        <w:rPr>
          <w:rFonts w:ascii="Verdana" w:eastAsia="Calibri" w:hAnsi="Verdana" w:cs="Arial"/>
          <w:bCs/>
          <w:color w:val="000000" w:themeColor="text1"/>
        </w:rPr>
      </w:pPr>
      <w:r w:rsidRPr="008D6721">
        <w:rPr>
          <w:rFonts w:ascii="Verdana" w:eastAsia="Calibri" w:hAnsi="Verdana" w:cs="Arial"/>
          <w:bCs/>
          <w:color w:val="000000" w:themeColor="text1"/>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r w:rsidRPr="00185EE9">
        <w:rPr>
          <w:rFonts w:ascii="Verdana" w:eastAsia="Calibri" w:hAnsi="Verdana" w:cs="Arial"/>
          <w:bCs/>
          <w:color w:val="000000" w:themeColor="text1"/>
        </w:rPr>
        <w:t xml:space="preserve"> </w:t>
      </w:r>
    </w:p>
    <w:p w14:paraId="06D3A300" w14:textId="77777777" w:rsidR="00FE7C29" w:rsidRPr="00182C89" w:rsidRDefault="00FE7C29" w:rsidP="00FE7C29">
      <w:pPr>
        <w:tabs>
          <w:tab w:val="left" w:pos="709"/>
        </w:tabs>
        <w:spacing w:after="0" w:line="276" w:lineRule="auto"/>
        <w:jc w:val="both"/>
        <w:rPr>
          <w:rFonts w:ascii="Verdana" w:eastAsia="Calibri" w:hAnsi="Verdana" w:cs="Arial"/>
          <w:color w:val="000000" w:themeColor="text1"/>
        </w:rPr>
      </w:pPr>
    </w:p>
    <w:p w14:paraId="0020E383" w14:textId="77777777" w:rsidR="00FE7C29" w:rsidRPr="00593A5F" w:rsidRDefault="00FE7C29" w:rsidP="00FE7C29">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Referencias normativas:</w:t>
      </w:r>
    </w:p>
    <w:p w14:paraId="08C4C806" w14:textId="77777777" w:rsidR="00FE7C29" w:rsidRPr="00593A5F" w:rsidRDefault="00FE7C29" w:rsidP="00FE7C29">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FE7C29" w:rsidRPr="002407CE" w14:paraId="34F12170" w14:textId="77777777">
        <w:trPr>
          <w:trHeight w:val="870"/>
          <w:jc w:val="center"/>
        </w:trPr>
        <w:tc>
          <w:tcPr>
            <w:tcW w:w="8647" w:type="dxa"/>
          </w:tcPr>
          <w:p w14:paraId="003A40D6" w14:textId="77777777" w:rsidR="00FE7C29" w:rsidRDefault="00FE7C29">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Constitución Política de 1991, artículos 84, 150, 209, 267 y 355.</w:t>
            </w:r>
          </w:p>
          <w:p w14:paraId="55D60B80" w14:textId="77777777" w:rsidR="00FE7C29" w:rsidRDefault="00FE7C29">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80 de 1993, artículos 8, 24 y 77.</w:t>
            </w:r>
          </w:p>
          <w:p w14:paraId="0F84202C" w14:textId="77777777" w:rsidR="00FE7C29" w:rsidRDefault="00FE7C29">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1150 de 2007, artículos 5, 6 y 13.</w:t>
            </w:r>
          </w:p>
          <w:p w14:paraId="5AD2FDD1" w14:textId="77777777" w:rsidR="00FE7C29" w:rsidRDefault="00FE7C29">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1437 de 2011, artículo 3.</w:t>
            </w:r>
          </w:p>
          <w:p w14:paraId="6B601FDA" w14:textId="77777777" w:rsidR="00FE7C29" w:rsidRDefault="00FE7C29">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2014 de 2019, artículo 3.</w:t>
            </w:r>
          </w:p>
          <w:p w14:paraId="61B2E1BC" w14:textId="77777777" w:rsidR="00FE7C29" w:rsidRDefault="00FE7C29">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Decreto 092 de 2017, artículo 6.</w:t>
            </w:r>
          </w:p>
          <w:p w14:paraId="268AC696" w14:textId="77777777" w:rsidR="00FE7C29" w:rsidRPr="00467120" w:rsidRDefault="00FE7C29">
            <w:pPr>
              <w:pStyle w:val="Prrafodelista"/>
              <w:widowControl w:val="0"/>
              <w:numPr>
                <w:ilvl w:val="0"/>
                <w:numId w:val="17"/>
              </w:numPr>
              <w:autoSpaceDE w:val="0"/>
              <w:autoSpaceDN w:val="0"/>
              <w:spacing w:line="276" w:lineRule="auto"/>
              <w:ind w:left="714" w:hanging="357"/>
              <w:contextualSpacing w:val="0"/>
              <w:jc w:val="both"/>
              <w:rPr>
                <w:rFonts w:ascii="Verdana" w:hAnsi="Verdana" w:cs="Arial"/>
              </w:rPr>
            </w:pPr>
            <w:r>
              <w:rPr>
                <w:rFonts w:ascii="Verdana" w:hAnsi="Verdana" w:cs="Arial"/>
              </w:rPr>
              <w:t>Código de Comercio, artículo 205.</w:t>
            </w:r>
          </w:p>
        </w:tc>
      </w:tr>
    </w:tbl>
    <w:p w14:paraId="219CA154" w14:textId="77777777" w:rsidR="00FE7C29" w:rsidRPr="002407CE" w:rsidRDefault="00FE7C29" w:rsidP="00FE7C29">
      <w:pPr>
        <w:widowControl w:val="0"/>
        <w:autoSpaceDE w:val="0"/>
        <w:autoSpaceDN w:val="0"/>
        <w:spacing w:after="0" w:line="276" w:lineRule="auto"/>
        <w:jc w:val="both"/>
        <w:rPr>
          <w:rFonts w:ascii="Verdana" w:hAnsi="Verdana" w:cs="Arial"/>
        </w:rPr>
      </w:pPr>
    </w:p>
    <w:p w14:paraId="10E5CC9D" w14:textId="77777777" w:rsidR="00FE7C29" w:rsidRPr="00593A5F" w:rsidRDefault="00FE7C29" w:rsidP="00FE7C29">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Doctrina de la Agencia Nacional de Contratación Pública</w:t>
      </w:r>
      <w:r w:rsidRPr="00593A5F">
        <w:rPr>
          <w:rFonts w:ascii="Verdana" w:eastAsia="Century Gothic" w:hAnsi="Verdana" w:cs="Century Gothic"/>
          <w:b/>
          <w:bCs/>
        </w:rPr>
        <w:t>:</w:t>
      </w:r>
    </w:p>
    <w:p w14:paraId="5AE7663F" w14:textId="77777777" w:rsidR="00FE7C29" w:rsidRPr="00593A5F" w:rsidRDefault="00FE7C29" w:rsidP="00FE7C29">
      <w:pPr>
        <w:widowControl w:val="0"/>
        <w:autoSpaceDE w:val="0"/>
        <w:autoSpaceDN w:val="0"/>
        <w:spacing w:after="0" w:line="276" w:lineRule="auto"/>
        <w:jc w:val="both"/>
        <w:rPr>
          <w:rFonts w:ascii="Verdana" w:hAnsi="Verdana" w:cs="Arial"/>
        </w:rPr>
      </w:pPr>
    </w:p>
    <w:p w14:paraId="7A4A561A" w14:textId="38284FB5" w:rsidR="00FE7C29" w:rsidRPr="007E4299" w:rsidRDefault="00FE7C29" w:rsidP="00FE7C29">
      <w:pPr>
        <w:widowControl w:val="0"/>
        <w:autoSpaceDE w:val="0"/>
        <w:autoSpaceDN w:val="0"/>
        <w:spacing w:after="0" w:line="276" w:lineRule="auto"/>
        <w:jc w:val="both"/>
        <w:rPr>
          <w:rStyle w:val="normaltextrun"/>
          <w:rFonts w:ascii="Verdana" w:hAnsi="Verdana"/>
        </w:rPr>
      </w:pPr>
      <w:r w:rsidRPr="0029645A">
        <w:rPr>
          <w:rFonts w:ascii="Verdana" w:eastAsia="Calibri" w:hAnsi="Verdana" w:cs="Arial"/>
          <w:shd w:val="clear" w:color="auto" w:fill="FFFFFF"/>
        </w:rPr>
        <w:t xml:space="preserve">La Agencia Nacional de Contratación Pública – Colombia Compra Eficiente se pronunció </w:t>
      </w:r>
      <w:r w:rsidR="00534FB6">
        <w:rPr>
          <w:rFonts w:ascii="Verdana" w:eastAsia="Calibri" w:hAnsi="Verdana" w:cs="Arial"/>
          <w:shd w:val="clear" w:color="auto" w:fill="FFFFFF"/>
        </w:rPr>
        <w:t>o</w:t>
      </w:r>
      <w:r w:rsidRPr="0029645A">
        <w:rPr>
          <w:rFonts w:ascii="Verdana" w:eastAsia="Calibri" w:hAnsi="Verdana" w:cs="Arial"/>
          <w:shd w:val="clear" w:color="auto" w:fill="FFFFFF"/>
        </w:rPr>
        <w:t xml:space="preserve"> se ha referido al régimen de inhabilidades e incompatibilidades, en los conceptos No. 4201912000004765 de 29 de agosto de 2019, 4201913000005694 del 3 de octubre de 2019, 4201912000006288 del 7 de septiembre de 2019, 4201912000006259 del 13 de noviembre de 2019, </w:t>
      </w:r>
      <w:r w:rsidRPr="0029645A">
        <w:rPr>
          <w:rFonts w:ascii="Verdana" w:eastAsia="Calibri" w:hAnsi="Verdana" w:cs="Arial"/>
          <w:shd w:val="clear" w:color="auto" w:fill="FFFFFF"/>
        </w:rPr>
        <w:lastRenderedPageBreak/>
        <w:t xml:space="preserve">4201913000006917 del 21 de noviembre de 2019, 4201912000006978 del 25 de noviembre de 2019, 4201912000007291 del 3 de diciembre de 2019, 4201912000007281 del 5 de diciembre de 2019, 4201912000007060 del 11 de diciembre de 2019, 4201912000007512 del 16  diciembre de 2019, 4201912000008460 del 14 de febrero de 2020, </w:t>
      </w:r>
      <w:r>
        <w:rPr>
          <w:rFonts w:ascii="Verdana" w:eastAsia="Calibri" w:hAnsi="Verdana" w:cs="Arial"/>
          <w:shd w:val="clear" w:color="auto" w:fill="FFFFFF"/>
        </w:rPr>
        <w:t>C-</w:t>
      </w:r>
      <w:r w:rsidRPr="0029645A">
        <w:rPr>
          <w:rFonts w:ascii="Verdana" w:eastAsia="Calibri" w:hAnsi="Verdana" w:cs="Arial"/>
          <w:shd w:val="clear" w:color="auto" w:fill="FFFFFF"/>
        </w:rPr>
        <w:t xml:space="preserve">032 del 19 de febrero de 2020,  </w:t>
      </w:r>
      <w:r>
        <w:rPr>
          <w:rFonts w:ascii="Verdana" w:eastAsia="Calibri" w:hAnsi="Verdana" w:cs="Arial"/>
          <w:shd w:val="clear" w:color="auto" w:fill="FFFFFF"/>
        </w:rPr>
        <w:t>C-</w:t>
      </w:r>
      <w:r w:rsidRPr="0029645A">
        <w:rPr>
          <w:rFonts w:ascii="Verdana" w:eastAsia="Calibri" w:hAnsi="Verdana" w:cs="Arial"/>
          <w:shd w:val="clear" w:color="auto" w:fill="FFFFFF"/>
        </w:rPr>
        <w:t xml:space="preserve">402 del 26 de junio de 2020, </w:t>
      </w:r>
      <w:r>
        <w:rPr>
          <w:rFonts w:ascii="Verdana" w:eastAsia="Calibri" w:hAnsi="Verdana" w:cs="Arial"/>
          <w:shd w:val="clear" w:color="auto" w:fill="FFFFFF"/>
        </w:rPr>
        <w:t>C-</w:t>
      </w:r>
      <w:r w:rsidRPr="0029645A">
        <w:rPr>
          <w:rFonts w:ascii="Verdana" w:eastAsia="Calibri" w:hAnsi="Verdana" w:cs="Arial"/>
          <w:shd w:val="clear" w:color="auto" w:fill="FFFFFF"/>
        </w:rPr>
        <w:t xml:space="preserve">365 del 30 de junio de 2020, </w:t>
      </w:r>
      <w:r>
        <w:rPr>
          <w:rFonts w:ascii="Verdana" w:eastAsia="Calibri" w:hAnsi="Verdana" w:cs="Arial"/>
          <w:shd w:val="clear" w:color="auto" w:fill="FFFFFF"/>
        </w:rPr>
        <w:t>C-</w:t>
      </w:r>
      <w:r w:rsidRPr="0029645A">
        <w:rPr>
          <w:rFonts w:ascii="Verdana" w:eastAsia="Calibri" w:hAnsi="Verdana" w:cs="Arial"/>
          <w:shd w:val="clear" w:color="auto" w:fill="FFFFFF"/>
        </w:rPr>
        <w:t xml:space="preserve">386 del 24 de julio de 2020, C-585 del 14 de septiembre de 2020, C–592 del 14 de septiembre de 2020, </w:t>
      </w:r>
      <w:r>
        <w:rPr>
          <w:rFonts w:ascii="Verdana" w:eastAsia="Calibri" w:hAnsi="Verdana" w:cs="Arial"/>
          <w:shd w:val="clear" w:color="auto" w:fill="FFFFFF"/>
        </w:rPr>
        <w:t>C-</w:t>
      </w:r>
      <w:r w:rsidRPr="0029645A">
        <w:rPr>
          <w:rFonts w:ascii="Verdana" w:eastAsia="Calibri" w:hAnsi="Verdana" w:cs="Arial"/>
          <w:shd w:val="clear" w:color="auto" w:fill="FFFFFF"/>
        </w:rPr>
        <w:t xml:space="preserve">551 de 24 de septiembre de 2020, </w:t>
      </w:r>
      <w:r>
        <w:rPr>
          <w:rFonts w:ascii="Verdana" w:eastAsia="Calibri" w:hAnsi="Verdana" w:cs="Arial"/>
          <w:shd w:val="clear" w:color="auto" w:fill="FFFFFF"/>
        </w:rPr>
        <w:t>C-</w:t>
      </w:r>
      <w:r w:rsidRPr="0029645A">
        <w:rPr>
          <w:rFonts w:ascii="Verdana" w:eastAsia="Calibri" w:hAnsi="Verdana" w:cs="Arial"/>
          <w:shd w:val="clear" w:color="auto" w:fill="FFFFFF"/>
        </w:rPr>
        <w:t xml:space="preserve">709 del 7 de diciembre de 2020, C–721 de 14 de diciembre de 2020, C–004 del 12 de febrero de 2021, C–815 del 18 de febrero de 2021, C–047 del 8 de marzo de 2021, C–113 del 30 de marzo de 2021, C–122 del 30 de marzo de 2021, C–178 del 28 de abril de 2021, </w:t>
      </w:r>
      <w:r>
        <w:rPr>
          <w:rFonts w:ascii="Verdana" w:eastAsia="Calibri" w:hAnsi="Verdana" w:cs="Arial"/>
          <w:shd w:val="clear" w:color="auto" w:fill="FFFFFF"/>
        </w:rPr>
        <w:t>C-</w:t>
      </w:r>
      <w:r w:rsidRPr="0029645A">
        <w:rPr>
          <w:rFonts w:ascii="Verdana" w:eastAsia="Calibri" w:hAnsi="Verdana" w:cs="Arial"/>
          <w:shd w:val="clear" w:color="auto" w:fill="FFFFFF"/>
        </w:rPr>
        <w:t xml:space="preserve">190 del 30 de abril de 2021, </w:t>
      </w:r>
      <w:r>
        <w:rPr>
          <w:rFonts w:ascii="Verdana" w:eastAsia="Calibri" w:hAnsi="Verdana" w:cs="Arial"/>
          <w:shd w:val="clear" w:color="auto" w:fill="FFFFFF"/>
        </w:rPr>
        <w:t>C-</w:t>
      </w:r>
      <w:r w:rsidRPr="0029645A">
        <w:rPr>
          <w:rFonts w:ascii="Verdana" w:eastAsia="Calibri" w:hAnsi="Verdana" w:cs="Arial"/>
          <w:shd w:val="clear" w:color="auto" w:fill="FFFFFF"/>
        </w:rPr>
        <w:t xml:space="preserve">210 del 12 de mayo de 2021, </w:t>
      </w:r>
      <w:r>
        <w:rPr>
          <w:rFonts w:ascii="Verdana" w:eastAsia="Calibri" w:hAnsi="Verdana" w:cs="Arial"/>
          <w:shd w:val="clear" w:color="auto" w:fill="FFFFFF"/>
        </w:rPr>
        <w:t>C-</w:t>
      </w:r>
      <w:r w:rsidRPr="0029645A">
        <w:rPr>
          <w:rFonts w:ascii="Verdana" w:eastAsia="Calibri" w:hAnsi="Verdana" w:cs="Arial"/>
          <w:shd w:val="clear" w:color="auto" w:fill="FFFFFF"/>
        </w:rPr>
        <w:t xml:space="preserve">275 del 11 de junio de 2021, </w:t>
      </w:r>
      <w:r>
        <w:rPr>
          <w:rFonts w:ascii="Verdana" w:eastAsia="Calibri" w:hAnsi="Verdana" w:cs="Arial"/>
          <w:shd w:val="clear" w:color="auto" w:fill="FFFFFF"/>
        </w:rPr>
        <w:t>C-</w:t>
      </w:r>
      <w:r w:rsidRPr="0029645A">
        <w:rPr>
          <w:rFonts w:ascii="Verdana" w:eastAsia="Calibri" w:hAnsi="Verdana" w:cs="Arial"/>
          <w:shd w:val="clear" w:color="auto" w:fill="FFFFFF"/>
        </w:rPr>
        <w:t xml:space="preserve">293 del 28 de junio de 2021, </w:t>
      </w:r>
      <w:r>
        <w:rPr>
          <w:rFonts w:ascii="Verdana" w:eastAsia="Calibri" w:hAnsi="Verdana" w:cs="Arial"/>
          <w:shd w:val="clear" w:color="auto" w:fill="FFFFFF"/>
        </w:rPr>
        <w:t>C-</w:t>
      </w:r>
      <w:r w:rsidRPr="0029645A">
        <w:rPr>
          <w:rFonts w:ascii="Verdana" w:eastAsia="Calibri" w:hAnsi="Verdana" w:cs="Arial"/>
          <w:shd w:val="clear" w:color="auto" w:fill="FFFFFF"/>
        </w:rPr>
        <w:t xml:space="preserve">321 del 2 de julio de 2021, </w:t>
      </w:r>
      <w:r>
        <w:rPr>
          <w:rFonts w:ascii="Verdana" w:eastAsia="Calibri" w:hAnsi="Verdana" w:cs="Arial"/>
          <w:shd w:val="clear" w:color="auto" w:fill="FFFFFF"/>
        </w:rPr>
        <w:t>C-</w:t>
      </w:r>
      <w:r w:rsidRPr="0029645A">
        <w:rPr>
          <w:rFonts w:ascii="Verdana" w:eastAsia="Calibri" w:hAnsi="Verdana" w:cs="Arial"/>
          <w:shd w:val="clear" w:color="auto" w:fill="FFFFFF"/>
        </w:rPr>
        <w:t xml:space="preserve">410 del 7 de julio de 2021, </w:t>
      </w:r>
      <w:r>
        <w:rPr>
          <w:rFonts w:ascii="Verdana" w:eastAsia="Calibri" w:hAnsi="Verdana" w:cs="Arial"/>
          <w:shd w:val="clear" w:color="auto" w:fill="FFFFFF"/>
        </w:rPr>
        <w:t>C-</w:t>
      </w:r>
      <w:r w:rsidRPr="0029645A">
        <w:rPr>
          <w:rFonts w:ascii="Verdana" w:eastAsia="Calibri" w:hAnsi="Verdana" w:cs="Arial"/>
          <w:shd w:val="clear" w:color="auto" w:fill="FFFFFF"/>
        </w:rPr>
        <w:t xml:space="preserve">491 del 14 de septiembre de 2021, </w:t>
      </w:r>
      <w:r>
        <w:rPr>
          <w:rFonts w:ascii="Verdana" w:eastAsia="Calibri" w:hAnsi="Verdana" w:cs="Arial"/>
          <w:shd w:val="clear" w:color="auto" w:fill="FFFFFF"/>
        </w:rPr>
        <w:t>C-</w:t>
      </w:r>
      <w:r w:rsidRPr="0029645A">
        <w:rPr>
          <w:rFonts w:ascii="Verdana" w:eastAsia="Calibri" w:hAnsi="Verdana" w:cs="Arial"/>
          <w:shd w:val="clear" w:color="auto" w:fill="FFFFFF"/>
        </w:rPr>
        <w:t xml:space="preserve">522 del 1 de octubre de 2021, </w:t>
      </w:r>
      <w:r>
        <w:rPr>
          <w:rFonts w:ascii="Verdana" w:eastAsia="Calibri" w:hAnsi="Verdana" w:cs="Arial"/>
          <w:shd w:val="clear" w:color="auto" w:fill="FFFFFF"/>
        </w:rPr>
        <w:t>C-</w:t>
      </w:r>
      <w:r w:rsidRPr="0029645A">
        <w:rPr>
          <w:rFonts w:ascii="Verdana" w:eastAsia="Calibri" w:hAnsi="Verdana" w:cs="Arial"/>
          <w:shd w:val="clear" w:color="auto" w:fill="FFFFFF"/>
        </w:rPr>
        <w:t xml:space="preserve">128 del 25 de marzo de 2022, </w:t>
      </w:r>
      <w:r>
        <w:rPr>
          <w:rFonts w:ascii="Verdana" w:eastAsia="Calibri" w:hAnsi="Verdana" w:cs="Arial"/>
          <w:shd w:val="clear" w:color="auto" w:fill="FFFFFF"/>
        </w:rPr>
        <w:t>C-</w:t>
      </w:r>
      <w:r w:rsidRPr="0029645A">
        <w:rPr>
          <w:rFonts w:ascii="Verdana" w:eastAsia="Calibri" w:hAnsi="Verdana" w:cs="Arial"/>
          <w:shd w:val="clear" w:color="auto" w:fill="FFFFFF"/>
        </w:rPr>
        <w:t xml:space="preserve">252 del 3 de mayo de 2022, </w:t>
      </w:r>
      <w:r>
        <w:rPr>
          <w:rFonts w:ascii="Verdana" w:eastAsia="Calibri" w:hAnsi="Verdana" w:cs="Arial"/>
          <w:shd w:val="clear" w:color="auto" w:fill="FFFFFF"/>
        </w:rPr>
        <w:t>C-</w:t>
      </w:r>
      <w:r w:rsidRPr="0029645A">
        <w:rPr>
          <w:rFonts w:ascii="Verdana" w:eastAsia="Calibri" w:hAnsi="Verdana" w:cs="Arial"/>
          <w:shd w:val="clear" w:color="auto" w:fill="FFFFFF"/>
        </w:rPr>
        <w:t xml:space="preserve">376 del 14 de junio de 2022, </w:t>
      </w:r>
      <w:r>
        <w:rPr>
          <w:rFonts w:ascii="Verdana" w:eastAsia="Calibri" w:hAnsi="Verdana" w:cs="Arial"/>
          <w:shd w:val="clear" w:color="auto" w:fill="FFFFFF"/>
        </w:rPr>
        <w:t>C-</w:t>
      </w:r>
      <w:r w:rsidRPr="0029645A">
        <w:rPr>
          <w:rFonts w:ascii="Verdana" w:eastAsia="Calibri" w:hAnsi="Verdana" w:cs="Arial"/>
          <w:shd w:val="clear" w:color="auto" w:fill="FFFFFF"/>
        </w:rPr>
        <w:t xml:space="preserve">413 del 24 de junio de 2022, </w:t>
      </w:r>
      <w:r>
        <w:rPr>
          <w:rFonts w:ascii="Verdana" w:eastAsia="Calibri" w:hAnsi="Verdana" w:cs="Arial"/>
          <w:shd w:val="clear" w:color="auto" w:fill="FFFFFF"/>
        </w:rPr>
        <w:t>C-</w:t>
      </w:r>
      <w:r w:rsidRPr="0029645A">
        <w:rPr>
          <w:rFonts w:ascii="Verdana" w:eastAsia="Calibri" w:hAnsi="Verdana" w:cs="Arial"/>
          <w:shd w:val="clear" w:color="auto" w:fill="FFFFFF"/>
        </w:rPr>
        <w:t xml:space="preserve">691 del 20 de octubre de 2022, </w:t>
      </w:r>
      <w:r>
        <w:rPr>
          <w:rFonts w:ascii="Verdana" w:eastAsia="Calibri" w:hAnsi="Verdana" w:cs="Arial"/>
          <w:shd w:val="clear" w:color="auto" w:fill="FFFFFF"/>
        </w:rPr>
        <w:t>C-</w:t>
      </w:r>
      <w:r w:rsidRPr="0029645A">
        <w:rPr>
          <w:rFonts w:ascii="Verdana" w:eastAsia="Calibri" w:hAnsi="Verdana" w:cs="Arial"/>
          <w:shd w:val="clear" w:color="auto" w:fill="FFFFFF"/>
        </w:rPr>
        <w:t xml:space="preserve">731 del 10 de noviembre de 2022, </w:t>
      </w:r>
      <w:r>
        <w:rPr>
          <w:rFonts w:ascii="Verdana" w:eastAsia="Calibri" w:hAnsi="Verdana" w:cs="Arial"/>
          <w:shd w:val="clear" w:color="auto" w:fill="FFFFFF"/>
        </w:rPr>
        <w:t>C-</w:t>
      </w:r>
      <w:r w:rsidRPr="0029645A">
        <w:rPr>
          <w:rFonts w:ascii="Verdana" w:eastAsia="Calibri" w:hAnsi="Verdana" w:cs="Arial"/>
          <w:shd w:val="clear" w:color="auto" w:fill="FFFFFF"/>
        </w:rPr>
        <w:t xml:space="preserve">928 del 26 de enero de 2023, </w:t>
      </w:r>
      <w:r>
        <w:rPr>
          <w:rFonts w:ascii="Verdana" w:eastAsia="Calibri" w:hAnsi="Verdana" w:cs="Arial"/>
          <w:shd w:val="clear" w:color="auto" w:fill="FFFFFF"/>
        </w:rPr>
        <w:t>C-</w:t>
      </w:r>
      <w:r w:rsidRPr="0029645A">
        <w:rPr>
          <w:rFonts w:ascii="Verdana" w:eastAsia="Calibri" w:hAnsi="Verdana" w:cs="Arial"/>
          <w:shd w:val="clear" w:color="auto" w:fill="FFFFFF"/>
        </w:rPr>
        <w:t xml:space="preserve">126 del 24 de abril de 2023, </w:t>
      </w:r>
      <w:r>
        <w:rPr>
          <w:rFonts w:ascii="Verdana" w:eastAsia="Calibri" w:hAnsi="Verdana" w:cs="Arial"/>
          <w:shd w:val="clear" w:color="auto" w:fill="FFFFFF"/>
        </w:rPr>
        <w:t>C-</w:t>
      </w:r>
      <w:r w:rsidRPr="0029645A">
        <w:rPr>
          <w:rFonts w:ascii="Verdana" w:eastAsia="Calibri" w:hAnsi="Verdana" w:cs="Arial"/>
          <w:shd w:val="clear" w:color="auto" w:fill="FFFFFF"/>
        </w:rPr>
        <w:t xml:space="preserve">175 del 4 de mayo de 2023, </w:t>
      </w:r>
      <w:r>
        <w:rPr>
          <w:rFonts w:ascii="Verdana" w:eastAsia="Calibri" w:hAnsi="Verdana" w:cs="Arial"/>
          <w:shd w:val="clear" w:color="auto" w:fill="FFFFFF"/>
        </w:rPr>
        <w:t>C-</w:t>
      </w:r>
      <w:r w:rsidRPr="0029645A">
        <w:rPr>
          <w:rFonts w:ascii="Verdana" w:eastAsia="Calibri" w:hAnsi="Verdana" w:cs="Arial"/>
          <w:shd w:val="clear" w:color="auto" w:fill="FFFFFF"/>
        </w:rPr>
        <w:t xml:space="preserve">234 del 5 de julio de 2023, </w:t>
      </w:r>
      <w:r>
        <w:rPr>
          <w:rFonts w:ascii="Verdana" w:eastAsia="Calibri" w:hAnsi="Verdana" w:cs="Arial"/>
          <w:shd w:val="clear" w:color="auto" w:fill="FFFFFF"/>
        </w:rPr>
        <w:t>C-</w:t>
      </w:r>
      <w:r w:rsidRPr="0029645A">
        <w:rPr>
          <w:rFonts w:ascii="Verdana" w:eastAsia="Calibri" w:hAnsi="Verdana" w:cs="Arial"/>
          <w:shd w:val="clear" w:color="auto" w:fill="FFFFFF"/>
        </w:rPr>
        <w:t>010 del 31 de enero de 2024 y C-039 del 23 de abril de 2024</w:t>
      </w:r>
      <w:r>
        <w:rPr>
          <w:rFonts w:ascii="Verdana" w:eastAsia="Calibri" w:hAnsi="Verdana" w:cs="Arial"/>
          <w:shd w:val="clear" w:color="auto" w:fill="FFFFFF"/>
        </w:rPr>
        <w:t xml:space="preserve"> y C-1690 del 19 de noviembre de 2025. </w:t>
      </w:r>
      <w:r w:rsidRPr="00DD0AFF">
        <w:rPr>
          <w:rFonts w:ascii="Verdana" w:hAnsi="Verdana" w:cs="Arial"/>
          <w:shd w:val="clear" w:color="auto" w:fill="FFFFFF"/>
        </w:rPr>
        <w:t>Est</w:t>
      </w:r>
      <w:r>
        <w:rPr>
          <w:rFonts w:ascii="Verdana" w:hAnsi="Verdana" w:cs="Arial"/>
          <w:shd w:val="clear" w:color="auto" w:fill="FFFFFF"/>
        </w:rPr>
        <w:t>os</w:t>
      </w:r>
      <w:r w:rsidRPr="00DD0AFF">
        <w:rPr>
          <w:rFonts w:ascii="Verdana" w:hAnsi="Verdana" w:cs="Arial"/>
          <w:shd w:val="clear" w:color="auto" w:fill="FFFFFF"/>
        </w:rPr>
        <w:t xml:space="preserve"> y otros </w:t>
      </w:r>
      <w:r w:rsidRPr="008D0AB0">
        <w:rPr>
          <w:rStyle w:val="normaltextrun"/>
          <w:rFonts w:ascii="Verdana" w:hAnsi="Verdana" w:cs="Arial"/>
          <w:shd w:val="clear" w:color="auto" w:fill="FFFFFF"/>
        </w:rPr>
        <w:t xml:space="preserve">se encuentran disponibles para consulta en el Sistema de relatoría de la Agencia, al cual puede accederse a través del siguiente enlace: </w:t>
      </w:r>
      <w:hyperlink r:id="rId13" w:history="1">
        <w:r w:rsidRPr="00186F77">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r w:rsidRPr="008D0AB0">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14:paraId="10D60DC6" w14:textId="77777777" w:rsidR="00FE7C29" w:rsidRPr="00096788" w:rsidRDefault="00FE7C29" w:rsidP="00FE7C29">
      <w:pPr>
        <w:widowControl w:val="0"/>
        <w:autoSpaceDE w:val="0"/>
        <w:autoSpaceDN w:val="0"/>
        <w:spacing w:after="0" w:line="276" w:lineRule="auto"/>
        <w:jc w:val="both"/>
        <w:rPr>
          <w:rFonts w:ascii="Verdana" w:hAnsi="Verdana" w:cs="Arial"/>
          <w:color w:val="000000" w:themeColor="text1"/>
          <w:shd w:val="clear" w:color="auto" w:fill="FFFFFF"/>
        </w:rPr>
      </w:pPr>
    </w:p>
    <w:p w14:paraId="7EDB0ED0" w14:textId="77777777" w:rsidR="00FE7C29" w:rsidRPr="001205D1" w:rsidRDefault="00FE7C29" w:rsidP="00FE7C29">
      <w:pPr>
        <w:shd w:val="clear" w:color="auto" w:fill="FFFFFF"/>
        <w:spacing w:after="0" w:line="276" w:lineRule="auto"/>
        <w:jc w:val="both"/>
        <w:rPr>
          <w:rFonts w:ascii="Verdana" w:hAnsi="Verdana"/>
          <w:color w:val="467886"/>
          <w:u w:val="single"/>
        </w:rPr>
      </w:pPr>
      <w:r w:rsidRPr="00B83C56">
        <w:rPr>
          <w:rFonts w:ascii="Verdana" w:hAnsi="Verdana"/>
          <w:color w:val="000000"/>
        </w:rPr>
        <w:t xml:space="preserve">Te informamos </w:t>
      </w:r>
      <w:r w:rsidRPr="00032009">
        <w:rPr>
          <w:rFonts w:ascii="Verdana" w:hAnsi="Verdana"/>
          <w:color w:val="000000"/>
        </w:rPr>
        <w:t>que ya se encuentra disponible la </w:t>
      </w:r>
      <w:r w:rsidRPr="00032009">
        <w:rPr>
          <w:rFonts w:ascii="Verdana" w:hAnsi="Verdana"/>
          <w:b/>
          <w:bCs/>
          <w:color w:val="000000"/>
        </w:rPr>
        <w:t>Guía de lineamientos de transparencia y selección objetiva para el departamento de La Guajira – Objetivo sexto constitucional de la Sentencia T-302 del 2017. </w:t>
      </w:r>
      <w:r w:rsidRPr="00032009">
        <w:rPr>
          <w:rFonts w:ascii="Verdana" w:hAnsi="Verdana"/>
          <w:color w:val="000000"/>
        </w:rPr>
        <w:t xml:space="preserve">Esta Guía se expedide en el marco del cumplimiento de la orden proferida por la Honorable Corte Constitucional en la Sentencia T-302 del 2017. Con su implementación se busca contribuir a la superación del Estado de Cosas Inconstitucional declarado por la situación de vulneración masiva y recurrente de los derechos fundamentales de los niños y de las niñas del Pueblo </w:t>
      </w:r>
      <w:proofErr w:type="spellStart"/>
      <w:r w:rsidRPr="00032009">
        <w:rPr>
          <w:rFonts w:ascii="Verdana" w:hAnsi="Verdana"/>
          <w:color w:val="000000"/>
        </w:rPr>
        <w:t>Wayúu</w:t>
      </w:r>
      <w:proofErr w:type="spellEnd"/>
      <w:r w:rsidRPr="00032009">
        <w:rPr>
          <w:rFonts w:ascii="Verdana" w:hAnsi="Verdana"/>
          <w:color w:val="000000"/>
        </w:rPr>
        <w:t>. Puede consultar la guía en el siguiente enlace: </w:t>
      </w:r>
      <w:hyperlink r:id="rId14" w:tgtFrame="_blank" w:tooltip="Dirección URL original: https://www.colombiacompra.gov.co/wp-content/uploads/2025/05/GUIA-DE-LINEAMIENTOS-DE-TRANSPARENCIA-Y-SELECCION-OBJETIVA-1.0.pdf. Haga clic o pulse si confía en este vínculo." w:history="1">
        <w:r w:rsidRPr="00032009">
          <w:rPr>
            <w:rStyle w:val="Hipervnculo"/>
            <w:rFonts w:ascii="Verdana" w:hAnsi="Verdana"/>
          </w:rPr>
          <w:t>Guía de lineamientos de transparencia y selección objetiva para el departamento de La Guajira – Objetivo sexto constitucional de la Sentencia T-302 del 2017</w:t>
        </w:r>
      </w:hyperlink>
      <w:r>
        <w:rPr>
          <w:rFonts w:ascii="Verdana" w:hAnsi="Verdana"/>
          <w:color w:val="000000"/>
          <w:u w:val="single"/>
        </w:rPr>
        <w:t>.</w:t>
      </w:r>
    </w:p>
    <w:p w14:paraId="34D43002" w14:textId="77777777" w:rsidR="00FE7C29" w:rsidRDefault="00FE7C29" w:rsidP="00FE7C29">
      <w:pPr>
        <w:widowControl w:val="0"/>
        <w:autoSpaceDE w:val="0"/>
        <w:autoSpaceDN w:val="0"/>
        <w:spacing w:after="0" w:line="276" w:lineRule="auto"/>
        <w:jc w:val="both"/>
        <w:rPr>
          <w:rStyle w:val="normaltextrun"/>
          <w:rFonts w:ascii="Verdana" w:hAnsi="Verdana" w:cs="Arial"/>
          <w:color w:val="FF0000"/>
          <w:shd w:val="clear" w:color="auto" w:fill="FFFFFF"/>
          <w:lang w:val="es-ES_tradnl"/>
        </w:rPr>
      </w:pPr>
      <w:r w:rsidRPr="004A73EC">
        <w:rPr>
          <w:rFonts w:ascii="Verdana" w:hAnsi="Verdana" w:cs="Arial"/>
          <w:color w:val="000000" w:themeColor="text1"/>
          <w:shd w:val="clear" w:color="auto" w:fill="FFFFFF"/>
          <w:lang w:val="es-ES_tradnl"/>
        </w:rPr>
        <w:t xml:space="preserve"> </w:t>
      </w:r>
      <w:r w:rsidRPr="004A73EC">
        <w:rPr>
          <w:rStyle w:val="normaltextrun"/>
          <w:rFonts w:ascii="Verdana" w:hAnsi="Verdana" w:cs="Arial"/>
          <w:color w:val="FF0000"/>
          <w:shd w:val="clear" w:color="auto" w:fill="FFFFFF"/>
          <w:lang w:val="es-ES_tradnl"/>
        </w:rPr>
        <w:t xml:space="preserve"> </w:t>
      </w:r>
    </w:p>
    <w:p w14:paraId="4B428C86" w14:textId="77777777" w:rsidR="00FE7C29" w:rsidRPr="00116940" w:rsidRDefault="00FE7C29" w:rsidP="00FE7C29">
      <w:pPr>
        <w:spacing w:after="0"/>
        <w:jc w:val="both"/>
        <w:rPr>
          <w:rFonts w:ascii="Verdana" w:hAnsi="Verdana"/>
        </w:rPr>
      </w:pPr>
      <w:r>
        <w:rPr>
          <w:rFonts w:ascii="Verdana" w:hAnsi="Verdana"/>
        </w:rPr>
        <w:lastRenderedPageBreak/>
        <w:t>A</w:t>
      </w:r>
      <w:r w:rsidRPr="00E02524">
        <w:rPr>
          <w:rFonts w:ascii="Verdana" w:hAnsi="Verdana"/>
        </w:rPr>
        <w:t xml:space="preserve">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5315DBAD" w14:textId="77777777" w:rsidR="00FE7C29" w:rsidRPr="00116940" w:rsidRDefault="00FE7C29" w:rsidP="00FE7C29">
      <w:pPr>
        <w:spacing w:after="0"/>
        <w:jc w:val="both"/>
        <w:rPr>
          <w:rFonts w:ascii="Verdana" w:hAnsi="Verdana"/>
        </w:rPr>
      </w:pPr>
    </w:p>
    <w:p w14:paraId="08996460" w14:textId="77777777" w:rsidR="00FE7C29" w:rsidRPr="00116940" w:rsidRDefault="00FE7C29" w:rsidP="00FE7C29">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7FAC7942" w14:textId="77777777" w:rsidR="00FE7C29" w:rsidRPr="00116940" w:rsidRDefault="00FE7C29" w:rsidP="00FE7C29">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r w:rsidRPr="00116940">
        <w:rPr>
          <w:rStyle w:val="Hipervnculo"/>
          <w:rFonts w:ascii="Verdana" w:hAnsi="Verdana"/>
        </w:rPr>
        <w:t>+57 601 7456788</w:t>
      </w:r>
    </w:p>
    <w:p w14:paraId="16B4D6A2" w14:textId="77777777" w:rsidR="00FE7C29" w:rsidRPr="00116940" w:rsidRDefault="00FE7C29" w:rsidP="00FE7C29">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5">
        <w:r w:rsidRPr="00116940">
          <w:rPr>
            <w:rStyle w:val="Hipervnculo"/>
            <w:rFonts w:ascii="Verdana" w:eastAsia="Verdana" w:hAnsi="Verdana" w:cs="Verdana"/>
            <w:lang w:val="es-MX"/>
          </w:rPr>
          <w:t>ventanilladeradicacion@colombiacompra.gov.co</w:t>
        </w:r>
      </w:hyperlink>
    </w:p>
    <w:p w14:paraId="329ACFDB" w14:textId="77777777" w:rsidR="00FE7C29" w:rsidRPr="00116940" w:rsidRDefault="00FE7C29" w:rsidP="00FE7C29">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6">
        <w:r w:rsidRPr="00116940">
          <w:rPr>
            <w:rStyle w:val="Hipervnculo"/>
            <w:rFonts w:ascii="Verdana" w:eastAsia="Verdana" w:hAnsi="Verdana" w:cs="Verdana"/>
            <w:lang w:val="es-MX"/>
          </w:rPr>
          <w:t>https://www.colombiacompra.gov.co/pqrsd/informacion-importante-antes-de-formular-una-pqrsd</w:t>
        </w:r>
      </w:hyperlink>
    </w:p>
    <w:p w14:paraId="7824D793" w14:textId="77777777" w:rsidR="00FE7C29" w:rsidRPr="00116940" w:rsidRDefault="00FE7C29" w:rsidP="00FE7C29">
      <w:pPr>
        <w:spacing w:after="0" w:line="240" w:lineRule="auto"/>
        <w:ind w:left="720"/>
        <w:jc w:val="both"/>
        <w:rPr>
          <w:rFonts w:ascii="Verdana" w:hAnsi="Verdana"/>
        </w:rPr>
      </w:pPr>
    </w:p>
    <w:p w14:paraId="386F2C7F" w14:textId="77777777" w:rsidR="00FE7C29" w:rsidRPr="00116940" w:rsidRDefault="00FE7C29" w:rsidP="00FE7C29">
      <w:pPr>
        <w:spacing w:after="0" w:line="240" w:lineRule="auto"/>
        <w:rPr>
          <w:rFonts w:ascii="Verdana" w:hAnsi="Verdana"/>
        </w:rPr>
      </w:pPr>
      <w:r w:rsidRPr="00116940">
        <w:rPr>
          <w:rFonts w:ascii="Verdana" w:hAnsi="Verdana"/>
        </w:rPr>
        <w:t>Evalúa el servicio que ofrece la Agencia por el canal de atención de PQRSD en el siguiente enlace :</w:t>
      </w:r>
      <w:hyperlink r:id="rId17"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1C0AD4FD" w14:textId="77777777" w:rsidR="00FE7C29" w:rsidRPr="00116940" w:rsidRDefault="00FE7C29" w:rsidP="00FE7C29">
      <w:pPr>
        <w:spacing w:after="0" w:line="240" w:lineRule="auto"/>
        <w:rPr>
          <w:rFonts w:ascii="Verdana" w:hAnsi="Verdana"/>
        </w:rPr>
      </w:pPr>
    </w:p>
    <w:p w14:paraId="6699A102" w14:textId="77777777" w:rsidR="00FE7C29" w:rsidRPr="00116940" w:rsidRDefault="00FE7C29" w:rsidP="00FE7C29">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2EC2C549" w14:textId="77777777" w:rsidR="00FE7C29" w:rsidRPr="00116940" w:rsidRDefault="00FE7C29" w:rsidP="00FE7C29">
      <w:pPr>
        <w:spacing w:after="0" w:line="240" w:lineRule="auto"/>
        <w:jc w:val="both"/>
        <w:rPr>
          <w:rFonts w:ascii="Verdana" w:hAnsi="Verdana"/>
        </w:rPr>
      </w:pPr>
    </w:p>
    <w:p w14:paraId="01174928" w14:textId="77777777" w:rsidR="00FE7C29" w:rsidRPr="00116940" w:rsidRDefault="00FE7C29" w:rsidP="00FE7C29">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755E2984" w14:textId="77777777" w:rsidR="00FE7C29" w:rsidRPr="00116940" w:rsidRDefault="00FE7C29" w:rsidP="00FE7C29">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386BB0AE" w14:textId="77777777" w:rsidR="00FE7C29" w:rsidRPr="00116940" w:rsidRDefault="00FE7C29" w:rsidP="00FE7C29">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1665CEAB" w14:textId="77777777" w:rsidR="00FE7C29" w:rsidRPr="009C4035" w:rsidRDefault="00FE7C29" w:rsidP="00FE7C29">
      <w:pPr>
        <w:widowControl w:val="0"/>
        <w:autoSpaceDE w:val="0"/>
        <w:autoSpaceDN w:val="0"/>
        <w:spacing w:after="120" w:line="276" w:lineRule="auto"/>
        <w:jc w:val="both"/>
        <w:rPr>
          <w:rFonts w:ascii="Verdana" w:hAnsi="Verdana" w:cs="Arial"/>
          <w:color w:val="FF0000"/>
          <w:shd w:val="clear" w:color="auto" w:fill="FFFFFF"/>
          <w:lang w:val="es-ES_tradnl"/>
        </w:rPr>
      </w:pPr>
      <w:r w:rsidRPr="004A73EC">
        <w:rPr>
          <w:rStyle w:val="normaltextrun"/>
          <w:rFonts w:ascii="Verdana" w:hAnsi="Verdana" w:cs="Arial"/>
          <w:color w:val="FF0000"/>
          <w:shd w:val="clear" w:color="auto" w:fill="FFFFFF"/>
          <w:lang w:val="es-ES_tradnl"/>
        </w:rPr>
        <w:t xml:space="preserve">               </w:t>
      </w:r>
    </w:p>
    <w:p w14:paraId="5AB62639" w14:textId="77777777" w:rsidR="00FE7C29" w:rsidRPr="00593A5F" w:rsidRDefault="00FE7C29" w:rsidP="00FE7C29">
      <w:pPr>
        <w:widowControl w:val="0"/>
        <w:autoSpaceDE w:val="0"/>
        <w:autoSpaceDN w:val="0"/>
        <w:spacing w:after="0" w:line="276" w:lineRule="auto"/>
        <w:jc w:val="both"/>
        <w:rPr>
          <w:rFonts w:ascii="Verdana" w:hAnsi="Verdana" w:cs="Arial"/>
          <w:lang w:val="es-ES_tradnl"/>
        </w:rPr>
      </w:pPr>
      <w:r w:rsidRPr="00593A5F">
        <w:rPr>
          <w:rFonts w:ascii="Verdana" w:hAnsi="Verdana" w:cs="Arial"/>
        </w:rPr>
        <w:t xml:space="preserve">Este concepto tiene el alcance previsto en el artículo 28 del Código de Procedimiento Administrativo y de lo Contencioso Administrativo </w:t>
      </w:r>
      <w:r w:rsidRPr="00593A5F">
        <w:rPr>
          <w:rFonts w:ascii="Verdana" w:hAnsi="Verdana" w:cs="Arial"/>
          <w:lang w:val="es-ES_tradnl"/>
        </w:rPr>
        <w:t>y las expresiones aquí utilizadas con mayúscula inicial deben ser entendidas con el significado que les otorga el artículo 2.2.1.1.1.3.1. del Decreto 1082 de 2015.</w:t>
      </w:r>
    </w:p>
    <w:p w14:paraId="18E54A14" w14:textId="77777777" w:rsidR="00FE7C29" w:rsidRPr="00593A5F" w:rsidRDefault="00FE7C29" w:rsidP="00FE7C29">
      <w:pPr>
        <w:widowControl w:val="0"/>
        <w:autoSpaceDE w:val="0"/>
        <w:autoSpaceDN w:val="0"/>
        <w:spacing w:after="0" w:line="276" w:lineRule="auto"/>
        <w:jc w:val="both"/>
        <w:rPr>
          <w:rFonts w:ascii="Verdana" w:hAnsi="Verdana" w:cs="Arial"/>
        </w:rPr>
      </w:pPr>
    </w:p>
    <w:p w14:paraId="2F578DED" w14:textId="77777777" w:rsidR="00FE7C29" w:rsidRPr="00593A5F" w:rsidRDefault="00FE7C29" w:rsidP="00FE7C29">
      <w:pPr>
        <w:spacing w:after="0" w:line="240" w:lineRule="auto"/>
        <w:rPr>
          <w:rFonts w:ascii="Verdana" w:hAnsi="Verdana" w:cs="Arial"/>
          <w:lang w:eastAsia="es-CO"/>
        </w:rPr>
      </w:pPr>
      <w:r w:rsidRPr="00593A5F">
        <w:rPr>
          <w:rFonts w:ascii="Verdana" w:eastAsia="Times New Roman" w:hAnsi="Verdana" w:cs="Arial"/>
          <w:lang w:eastAsia="es-CO"/>
        </w:rPr>
        <w:t>Atentamente,</w:t>
      </w:r>
      <w:r w:rsidRPr="00593A5F">
        <w:rPr>
          <w:rFonts w:ascii="Verdana" w:hAnsi="Verdana" w:cs="Arial"/>
          <w:lang w:eastAsia="es-CO"/>
        </w:rPr>
        <w:t xml:space="preserve"> </w:t>
      </w:r>
    </w:p>
    <w:p w14:paraId="4CEC7A77" w14:textId="1D9FF2B0" w:rsidR="00FE7C29" w:rsidRPr="00593A5F" w:rsidRDefault="00701F4E" w:rsidP="00FE7C29">
      <w:pPr>
        <w:spacing w:line="276" w:lineRule="auto"/>
        <w:jc w:val="center"/>
        <w:rPr>
          <w:rFonts w:ascii="Verdana" w:hAnsi="Verdana" w:cs="Arial"/>
          <w:color w:val="000000"/>
          <w:lang w:val="es-ES_tradnl" w:eastAsia="es-CO"/>
        </w:rPr>
      </w:pPr>
      <w:r w:rsidRPr="002C3AD6">
        <w:rPr>
          <w:rFonts w:ascii="Century Gothic" w:hAnsi="Century Gothic"/>
          <w:noProof/>
        </w:rPr>
        <w:lastRenderedPageBreak/>
        <w:drawing>
          <wp:inline distT="0" distB="0" distL="0" distR="0" wp14:anchorId="1C2E1BFD" wp14:editId="2FF4686A">
            <wp:extent cx="3772426" cy="1400370"/>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8"/>
                    <a:stretch>
                      <a:fillRect/>
                    </a:stretch>
                  </pic:blipFill>
                  <pic:spPr>
                    <a:xfrm>
                      <a:off x="0" y="0"/>
                      <a:ext cx="3772426" cy="1400370"/>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FE7C29" w:rsidRPr="00534FB6" w14:paraId="1D76686B" w14:textId="77777777" w:rsidTr="0CD7794E">
        <w:trPr>
          <w:trHeight w:val="315"/>
        </w:trPr>
        <w:tc>
          <w:tcPr>
            <w:tcW w:w="893" w:type="dxa"/>
            <w:vAlign w:val="center"/>
            <w:hideMark/>
          </w:tcPr>
          <w:p w14:paraId="2722F801" w14:textId="77777777" w:rsidR="00FE7C29" w:rsidRPr="00534FB6" w:rsidRDefault="00FE7C29">
            <w:pPr>
              <w:contextualSpacing/>
              <w:rPr>
                <w:rFonts w:ascii="Verdana" w:hAnsi="Verdana" w:cs="Arial"/>
                <w:sz w:val="16"/>
                <w:szCs w:val="16"/>
                <w:lang w:val="es-ES" w:eastAsia="es-ES"/>
              </w:rPr>
            </w:pPr>
            <w:r w:rsidRPr="00534FB6">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039110DD" w14:textId="4D0DB4F4" w:rsidR="00FE7C29" w:rsidRPr="00534FB6" w:rsidRDefault="00534FB6">
            <w:pPr>
              <w:contextualSpacing/>
              <w:rPr>
                <w:rStyle w:val="normaltextrun"/>
                <w:rFonts w:ascii="Verdana" w:hAnsi="Verdana"/>
                <w:sz w:val="16"/>
                <w:szCs w:val="16"/>
              </w:rPr>
            </w:pPr>
            <w:r w:rsidRPr="00534FB6">
              <w:rPr>
                <w:rStyle w:val="normaltextrun"/>
                <w:rFonts w:ascii="Verdana" w:hAnsi="Verdana"/>
                <w:sz w:val="16"/>
                <w:szCs w:val="16"/>
              </w:rPr>
              <w:t>Richard Andrés Montenegro Siefken</w:t>
            </w:r>
          </w:p>
          <w:p w14:paraId="6F40A13C" w14:textId="77777777" w:rsidR="00FE7C29" w:rsidRPr="00534FB6" w:rsidRDefault="00FE7C29">
            <w:pPr>
              <w:contextualSpacing/>
              <w:rPr>
                <w:rFonts w:ascii="Verdana" w:eastAsia="Arial" w:hAnsi="Verdana" w:cs="Arial"/>
                <w:sz w:val="16"/>
                <w:szCs w:val="16"/>
              </w:rPr>
            </w:pPr>
            <w:r w:rsidRPr="00534FB6">
              <w:rPr>
                <w:rStyle w:val="normaltextrun"/>
                <w:rFonts w:ascii="Verdana" w:hAnsi="Verdana"/>
                <w:sz w:val="16"/>
                <w:szCs w:val="16"/>
              </w:rPr>
              <w:t>Contratista de la Subdirección de Gestión Contractual</w:t>
            </w:r>
          </w:p>
        </w:tc>
      </w:tr>
      <w:tr w:rsidR="00FE7C29" w:rsidRPr="00534FB6" w14:paraId="51076664" w14:textId="77777777" w:rsidTr="0CD7794E">
        <w:trPr>
          <w:trHeight w:val="330"/>
        </w:trPr>
        <w:tc>
          <w:tcPr>
            <w:tcW w:w="893" w:type="dxa"/>
            <w:vAlign w:val="center"/>
            <w:hideMark/>
          </w:tcPr>
          <w:p w14:paraId="6290A0D1" w14:textId="77777777" w:rsidR="00FE7C29" w:rsidRPr="00534FB6" w:rsidRDefault="00FE7C29">
            <w:pPr>
              <w:contextualSpacing/>
              <w:rPr>
                <w:rFonts w:ascii="Verdana" w:hAnsi="Verdana" w:cs="Arial"/>
                <w:sz w:val="16"/>
                <w:szCs w:val="16"/>
                <w:lang w:val="es-ES" w:eastAsia="es-ES"/>
              </w:rPr>
            </w:pPr>
            <w:r w:rsidRPr="00534FB6">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61766ADC" w14:textId="6B80B90D" w:rsidR="00FE7C29" w:rsidRPr="00534FB6" w:rsidRDefault="00534FB6">
            <w:pPr>
              <w:pStyle w:val="paragraph"/>
              <w:spacing w:after="0"/>
              <w:contextualSpacing/>
              <w:textAlignment w:val="baseline"/>
              <w:rPr>
                <w:rStyle w:val="normaltextrun"/>
                <w:rFonts w:ascii="Verdana" w:hAnsi="Verdana" w:cs="Arial"/>
                <w:sz w:val="16"/>
                <w:szCs w:val="16"/>
                <w:lang w:val="es-ES_tradnl"/>
              </w:rPr>
            </w:pPr>
            <w:r w:rsidRPr="00534FB6">
              <w:rPr>
                <w:rStyle w:val="normaltextrun"/>
                <w:rFonts w:ascii="Verdana" w:hAnsi="Verdana" w:cs="Arial"/>
                <w:sz w:val="16"/>
                <w:szCs w:val="16"/>
                <w:lang w:val="es-ES_tradnl"/>
              </w:rPr>
              <w:t>D</w:t>
            </w:r>
            <w:r w:rsidRPr="00534FB6">
              <w:rPr>
                <w:rStyle w:val="normaltextrun"/>
                <w:rFonts w:ascii="Verdana" w:hAnsi="Verdana"/>
                <w:sz w:val="16"/>
                <w:szCs w:val="16"/>
                <w:lang w:val="es-ES_tradnl"/>
              </w:rPr>
              <w:t>iana Lucia Saavedra Castañeda</w:t>
            </w:r>
          </w:p>
          <w:p w14:paraId="16EE5A35" w14:textId="1BB8F035" w:rsidR="00FE7C29" w:rsidRPr="00534FB6" w:rsidRDefault="00534FB6">
            <w:pPr>
              <w:pStyle w:val="paragraph"/>
              <w:spacing w:before="0" w:beforeAutospacing="0" w:after="0" w:afterAutospacing="0"/>
              <w:contextualSpacing/>
              <w:textAlignment w:val="baseline"/>
              <w:rPr>
                <w:rFonts w:ascii="Verdana" w:hAnsi="Verdana" w:cs="Segoe UI"/>
                <w:sz w:val="16"/>
                <w:szCs w:val="16"/>
              </w:rPr>
            </w:pPr>
            <w:r w:rsidRPr="00534FB6">
              <w:rPr>
                <w:rStyle w:val="normaltextrun"/>
                <w:rFonts w:ascii="Verdana" w:hAnsi="Verdana" w:cs="Arial"/>
                <w:sz w:val="16"/>
                <w:szCs w:val="16"/>
                <w:lang w:val="es-ES_tradnl"/>
              </w:rPr>
              <w:t>Contratista</w:t>
            </w:r>
            <w:r w:rsidR="00FE7C29" w:rsidRPr="00534FB6">
              <w:rPr>
                <w:rStyle w:val="normaltextrun"/>
                <w:rFonts w:ascii="Verdana" w:hAnsi="Verdana" w:cs="Arial"/>
                <w:sz w:val="16"/>
                <w:szCs w:val="16"/>
                <w:lang w:val="es-ES_tradnl"/>
              </w:rPr>
              <w:t xml:space="preserve"> de la Subdirección de Gestión Contractual</w:t>
            </w:r>
          </w:p>
        </w:tc>
      </w:tr>
      <w:tr w:rsidR="00FE7C29" w:rsidRPr="00534FB6" w14:paraId="61672E7C" w14:textId="77777777" w:rsidTr="0CD7794E">
        <w:trPr>
          <w:trHeight w:val="300"/>
        </w:trPr>
        <w:tc>
          <w:tcPr>
            <w:tcW w:w="893" w:type="dxa"/>
            <w:vAlign w:val="center"/>
          </w:tcPr>
          <w:p w14:paraId="23EFDA94" w14:textId="77777777" w:rsidR="00FE7C29" w:rsidRPr="00534FB6" w:rsidRDefault="00FE7C29">
            <w:pPr>
              <w:contextualSpacing/>
              <w:rPr>
                <w:rFonts w:ascii="Verdana" w:hAnsi="Verdana" w:cs="Arial"/>
                <w:sz w:val="16"/>
                <w:szCs w:val="16"/>
                <w:lang w:val="es-ES" w:eastAsia="es-ES"/>
              </w:rPr>
            </w:pPr>
            <w:r w:rsidRPr="00534FB6">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43A127D9" w14:textId="77777777" w:rsidR="00FE7C29" w:rsidRPr="00534FB6" w:rsidRDefault="00FE7C29" w:rsidP="0CD7794E">
            <w:pPr>
              <w:contextualSpacing/>
              <w:rPr>
                <w:rFonts w:ascii="Verdana" w:eastAsia="Calibri" w:hAnsi="Verdana" w:cs="Arial"/>
                <w:sz w:val="16"/>
                <w:szCs w:val="16"/>
                <w:lang w:val="es-ES" w:eastAsia="es-ES"/>
              </w:rPr>
            </w:pPr>
            <w:r w:rsidRPr="00534FB6">
              <w:rPr>
                <w:rFonts w:ascii="Verdana" w:eastAsia="Calibri" w:hAnsi="Verdana" w:cs="Arial"/>
                <w:sz w:val="16"/>
                <w:szCs w:val="16"/>
                <w:lang w:val="es-ES" w:eastAsia="es-ES"/>
              </w:rPr>
              <w:t>Carolina Quintero Gacharná</w:t>
            </w:r>
          </w:p>
          <w:p w14:paraId="18827FA2" w14:textId="77777777" w:rsidR="00FE7C29" w:rsidRPr="00534FB6" w:rsidRDefault="00FE7C29">
            <w:pPr>
              <w:contextualSpacing/>
              <w:rPr>
                <w:rFonts w:ascii="Verdana" w:eastAsia="Calibri" w:hAnsi="Verdana" w:cs="Arial"/>
                <w:sz w:val="16"/>
                <w:szCs w:val="16"/>
                <w:lang w:val="pt-BR" w:eastAsia="es-ES"/>
              </w:rPr>
            </w:pPr>
            <w:r w:rsidRPr="00534FB6">
              <w:rPr>
                <w:rFonts w:ascii="Verdana" w:eastAsia="Calibri" w:hAnsi="Verdana" w:cs="Arial"/>
                <w:sz w:val="16"/>
                <w:szCs w:val="16"/>
                <w:lang w:val="es-ES_tradnl" w:eastAsia="es-ES"/>
              </w:rPr>
              <w:t>Subdirectora de Gestión Contractual ANCP – CCE</w:t>
            </w:r>
          </w:p>
        </w:tc>
      </w:tr>
    </w:tbl>
    <w:p w14:paraId="4E6F3392" w14:textId="77777777" w:rsidR="00FE7C29" w:rsidRPr="00543BFE" w:rsidRDefault="00FE7C29" w:rsidP="00FE7C29"/>
    <w:p w14:paraId="1B1A50CB" w14:textId="77777777" w:rsidR="00FE7C29" w:rsidRPr="00543BFE" w:rsidRDefault="00FE7C29" w:rsidP="00FE7C29"/>
    <w:p w14:paraId="0F293BF4" w14:textId="1DAC9D86" w:rsidR="00127233" w:rsidRPr="00F90909" w:rsidRDefault="00127233" w:rsidP="00F90909"/>
    <w:sectPr w:rsidR="00127233" w:rsidRPr="00F90909"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9A9BE" w14:textId="77777777" w:rsidR="000D27D1" w:rsidRDefault="000D27D1" w:rsidP="004A1847">
      <w:pPr>
        <w:spacing w:after="0" w:line="240" w:lineRule="auto"/>
      </w:pPr>
      <w:r>
        <w:separator/>
      </w:r>
    </w:p>
  </w:endnote>
  <w:endnote w:type="continuationSeparator" w:id="0">
    <w:p w14:paraId="1AEDAD3B" w14:textId="77777777" w:rsidR="000D27D1" w:rsidRDefault="000D27D1"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0D520D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Pr>
        <w:rFonts w:ascii="Verdana" w:eastAsiaTheme="minorEastAsia" w:hAnsi="Verdana"/>
        <w:b/>
        <w:bCs/>
        <w:sz w:val="16"/>
        <w:szCs w:val="16"/>
      </w:rPr>
      <w:t>1</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D520D8" w:rsidRDefault="00D520D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D520D8" w:rsidRPr="00E41027" w:rsidRDefault="00D520D8"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22B9E88F" w:rsidR="006219F8" w:rsidRPr="000B42ED" w:rsidRDefault="356CEDFD" w:rsidP="356CEDFD">
    <w:pPr>
      <w:pBdr>
        <w:top w:val="nil"/>
        <w:left w:val="nil"/>
        <w:bottom w:val="nil"/>
        <w:right w:val="nil"/>
        <w:between w:val="nil"/>
      </w:pBdr>
      <w:tabs>
        <w:tab w:val="center" w:pos="4419"/>
        <w:tab w:val="right" w:pos="8838"/>
        <w:tab w:val="center" w:pos="5400"/>
      </w:tabs>
      <w:spacing w:after="0"/>
      <w:jc w:val="right"/>
      <w:rPr>
        <w:lang w:val="pt-BR"/>
      </w:rPr>
    </w:pPr>
    <w:r w:rsidRPr="000B42ED">
      <w:rPr>
        <w:rFonts w:ascii="Century Gothic" w:eastAsia="Geo" w:hAnsi="Century Gothic" w:cs="Geo"/>
        <w:b/>
        <w:bCs/>
        <w:color w:val="000000" w:themeColor="text1"/>
        <w:sz w:val="16"/>
        <w:szCs w:val="16"/>
        <w:lang w:val="pt-BR" w:eastAsia="es-CO"/>
      </w:rPr>
      <w:t xml:space="preserve">Código: </w:t>
    </w:r>
    <w:r w:rsidRPr="000B42ED">
      <w:rPr>
        <w:rFonts w:ascii="Century Gothic" w:eastAsia="Geo" w:hAnsi="Century Gothic" w:cs="Geo"/>
        <w:color w:val="000000" w:themeColor="text1"/>
        <w:sz w:val="16"/>
        <w:szCs w:val="16"/>
        <w:lang w:val="pt-BR" w:eastAsia="es-CO"/>
      </w:rPr>
      <w:t xml:space="preserve">CCE-REC-FM-17 </w:t>
    </w:r>
    <w:r w:rsidRPr="000B42ED">
      <w:rPr>
        <w:rFonts w:ascii="Century Gothic" w:eastAsia="Geo" w:hAnsi="Century Gothic" w:cs="Geo"/>
        <w:b/>
        <w:bCs/>
        <w:color w:val="000000" w:themeColor="text1"/>
        <w:sz w:val="16"/>
        <w:szCs w:val="16"/>
        <w:lang w:val="pt-BR" w:eastAsia="es-CO"/>
      </w:rPr>
      <w:t>V</w:t>
    </w:r>
    <w:r w:rsidRPr="000B42ED">
      <w:rPr>
        <w:rFonts w:ascii="Century Gothic" w:eastAsia="Arial Nova" w:hAnsi="Century Gothic" w:cs="Arial Nova"/>
        <w:b/>
        <w:bCs/>
        <w:color w:val="000000" w:themeColor="text1"/>
        <w:sz w:val="16"/>
        <w:szCs w:val="16"/>
        <w:lang w:val="pt-BR" w:eastAsia="es-CO"/>
      </w:rPr>
      <w:t xml:space="preserve">: </w:t>
    </w:r>
    <w:r w:rsidRPr="000B42ED">
      <w:rPr>
        <w:rFonts w:ascii="Century Gothic" w:eastAsia="Geo" w:hAnsi="Century Gothic" w:cs="Geo"/>
        <w:sz w:val="16"/>
        <w:szCs w:val="16"/>
        <w:lang w:val="pt-BR"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D636B" w14:textId="77777777" w:rsidR="000D27D1" w:rsidRDefault="000D27D1" w:rsidP="004A1847">
      <w:pPr>
        <w:spacing w:after="0" w:line="240" w:lineRule="auto"/>
      </w:pPr>
      <w:r>
        <w:separator/>
      </w:r>
    </w:p>
  </w:footnote>
  <w:footnote w:type="continuationSeparator" w:id="0">
    <w:p w14:paraId="4AAC8420" w14:textId="77777777" w:rsidR="000D27D1" w:rsidRDefault="000D27D1" w:rsidP="004A1847">
      <w:pPr>
        <w:spacing w:after="0" w:line="240" w:lineRule="auto"/>
      </w:pPr>
      <w:r>
        <w:continuationSeparator/>
      </w:r>
    </w:p>
  </w:footnote>
  <w:footnote w:id="1">
    <w:p w14:paraId="6C7830AF" w14:textId="77777777" w:rsidR="00FE7C29" w:rsidRPr="00B64D5B" w:rsidRDefault="00FE7C29" w:rsidP="00FE7C29">
      <w:pPr>
        <w:pStyle w:val="Textonotapie"/>
        <w:ind w:firstLine="708"/>
        <w:jc w:val="both"/>
        <w:rPr>
          <w:rFonts w:ascii="Verdana" w:hAnsi="Verdana" w:cs="Arial"/>
          <w:color w:val="000000" w:themeColor="text1"/>
          <w:sz w:val="16"/>
          <w:szCs w:val="16"/>
        </w:rPr>
      </w:pPr>
      <w:r w:rsidRPr="00B64D5B">
        <w:rPr>
          <w:rStyle w:val="Refdenotaalpie"/>
          <w:rFonts w:ascii="Verdana" w:hAnsi="Verdana" w:cs="Arial"/>
          <w:color w:val="000000" w:themeColor="text1"/>
          <w:sz w:val="16"/>
          <w:szCs w:val="16"/>
        </w:rPr>
        <w:footnoteRef/>
      </w:r>
      <w:r w:rsidRPr="00B64D5B">
        <w:rPr>
          <w:rFonts w:ascii="Verdana" w:hAnsi="Verdana" w:cs="Arial"/>
          <w:color w:val="000000" w:themeColor="text1"/>
          <w:sz w:val="16"/>
          <w:szCs w:val="16"/>
        </w:rPr>
        <w:t xml:space="preserve"> CONSEJO DE ESTADO. Sección Tercera, Subsección A. Sentencia del 13 de noviembre de 2013. Rad. 25.646.C.P. Mauricio Fajardo Gómez. </w:t>
      </w:r>
    </w:p>
  </w:footnote>
  <w:footnote w:id="2">
    <w:p w14:paraId="59F0A5F4" w14:textId="77777777" w:rsidR="00FE7C29" w:rsidRPr="00B64D5B" w:rsidRDefault="00FE7C29" w:rsidP="00FE7C29">
      <w:pPr>
        <w:pStyle w:val="Textonotapie"/>
        <w:ind w:firstLine="708"/>
        <w:jc w:val="both"/>
        <w:rPr>
          <w:rFonts w:ascii="Verdana" w:hAnsi="Verdana" w:cs="Arial"/>
          <w:color w:val="000000" w:themeColor="text1"/>
          <w:sz w:val="16"/>
          <w:szCs w:val="16"/>
        </w:rPr>
      </w:pPr>
      <w:r w:rsidRPr="00B64D5B">
        <w:rPr>
          <w:rStyle w:val="Refdenotaalpie"/>
          <w:rFonts w:ascii="Verdana" w:hAnsi="Verdana" w:cs="Arial"/>
          <w:color w:val="000000" w:themeColor="text1"/>
          <w:sz w:val="16"/>
          <w:szCs w:val="16"/>
        </w:rPr>
        <w:footnoteRef/>
      </w:r>
      <w:r w:rsidRPr="00B64D5B">
        <w:rPr>
          <w:rFonts w:ascii="Verdana" w:hAnsi="Verdana" w:cs="Arial"/>
          <w:color w:val="000000" w:themeColor="text1"/>
          <w:sz w:val="16"/>
          <w:szCs w:val="16"/>
        </w:rPr>
        <w:t xml:space="preserve"> CONSEJO DE ESTADO. Sección Tercera, Subsección A. Sentencia del 14 de marzo de 2013. Rad. 24.059. C.P. Mauricio Fajardo Gómez.</w:t>
      </w:r>
    </w:p>
  </w:footnote>
  <w:footnote w:id="3">
    <w:p w14:paraId="001B6F91" w14:textId="77777777" w:rsidR="00FE7C29" w:rsidRPr="00B64D5B" w:rsidRDefault="00FE7C29" w:rsidP="00FE7C29">
      <w:pPr>
        <w:pStyle w:val="Textonotapie"/>
        <w:ind w:firstLine="708"/>
        <w:jc w:val="both"/>
        <w:rPr>
          <w:rFonts w:ascii="Verdana" w:hAnsi="Verdana" w:cs="Arial"/>
          <w:color w:val="000000" w:themeColor="text1"/>
          <w:sz w:val="16"/>
          <w:szCs w:val="16"/>
        </w:rPr>
      </w:pPr>
      <w:r w:rsidRPr="00B64D5B">
        <w:rPr>
          <w:rStyle w:val="Refdenotaalpie"/>
          <w:rFonts w:ascii="Verdana" w:hAnsi="Verdana" w:cs="Arial"/>
          <w:color w:val="000000" w:themeColor="text1"/>
          <w:sz w:val="16"/>
          <w:szCs w:val="16"/>
        </w:rPr>
        <w:footnoteRef/>
      </w:r>
      <w:r w:rsidRPr="00B64D5B">
        <w:rPr>
          <w:rFonts w:ascii="Verdana" w:hAnsi="Verdana" w:cs="Arial"/>
          <w:color w:val="000000" w:themeColor="text1"/>
          <w:sz w:val="16"/>
          <w:szCs w:val="16"/>
        </w:rPr>
        <w:t xml:space="preserve"> </w:t>
      </w:r>
      <w:r w:rsidRPr="00B64D5B">
        <w:rPr>
          <w:rFonts w:ascii="Verdana" w:hAnsi="Verdana" w:cs="Arial"/>
          <w:i/>
          <w:iCs/>
          <w:color w:val="000000" w:themeColor="text1"/>
          <w:sz w:val="16"/>
          <w:szCs w:val="16"/>
        </w:rPr>
        <w:t>Ibíd</w:t>
      </w:r>
      <w:r w:rsidRPr="00B64D5B">
        <w:rPr>
          <w:rFonts w:ascii="Verdana" w:hAnsi="Verdana" w:cs="Arial"/>
          <w:color w:val="000000" w:themeColor="text1"/>
          <w:sz w:val="16"/>
          <w:szCs w:val="16"/>
        </w:rPr>
        <w:t>.</w:t>
      </w:r>
    </w:p>
  </w:footnote>
  <w:footnote w:id="4">
    <w:p w14:paraId="3793ACB2" w14:textId="77777777" w:rsidR="00FE7C29" w:rsidRPr="00CC418F" w:rsidRDefault="00FE7C29" w:rsidP="00FE7C29">
      <w:pPr>
        <w:pStyle w:val="Textonotapie"/>
        <w:ind w:firstLine="708"/>
        <w:jc w:val="both"/>
        <w:rPr>
          <w:rFonts w:ascii="Verdana" w:hAnsi="Verdana"/>
          <w:sz w:val="16"/>
          <w:szCs w:val="16"/>
          <w:lang w:val="es-CO"/>
        </w:rPr>
      </w:pPr>
      <w:r w:rsidRPr="00CC418F">
        <w:rPr>
          <w:rStyle w:val="Refdenotaalpie"/>
          <w:rFonts w:ascii="Verdana" w:hAnsi="Verdana"/>
          <w:sz w:val="16"/>
          <w:szCs w:val="16"/>
        </w:rPr>
        <w:footnoteRef/>
      </w:r>
      <w:r w:rsidRPr="00CC418F">
        <w:rPr>
          <w:rFonts w:ascii="Verdana" w:hAnsi="Verdana"/>
          <w:sz w:val="16"/>
          <w:szCs w:val="16"/>
        </w:rPr>
        <w:t xml:space="preserve"> </w:t>
      </w:r>
      <w:r>
        <w:rPr>
          <w:rFonts w:ascii="Verdana" w:hAnsi="Verdana"/>
          <w:sz w:val="16"/>
          <w:szCs w:val="16"/>
        </w:rPr>
        <w:t>Este último concepto debe entenderse en concordancia con el artículo 22 de la Ley 222 de 1995. La norma indica que “</w:t>
      </w:r>
      <w:r w:rsidRPr="00CC418F">
        <w:rPr>
          <w:rFonts w:ascii="Verdana" w:hAnsi="Verdana"/>
          <w:sz w:val="16"/>
          <w:szCs w:val="16"/>
        </w:rPr>
        <w:t>Son administradores, el representante legal, el liquidador, el factor, los miembros de juntas o consejos directivos y quienes de acuerdo con los estatutos ejerzan o detenten esas funciones</w:t>
      </w:r>
      <w:r>
        <w:rPr>
          <w:rFonts w:ascii="Verdana" w:hAnsi="Verdana"/>
          <w:sz w:val="16"/>
          <w:szCs w:val="16"/>
        </w:rPr>
        <w:t>”</w:t>
      </w:r>
      <w:r w:rsidRPr="00CC418F">
        <w:rPr>
          <w:rFonts w:ascii="Verdana" w:hAnsi="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1330140246">
    <w:abstractNumId w:val="0"/>
  </w:num>
  <w:num w:numId="17" w16cid:durableId="679089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17E09"/>
    <w:rsid w:val="00025EFB"/>
    <w:rsid w:val="00046945"/>
    <w:rsid w:val="00061B2A"/>
    <w:rsid w:val="000653C2"/>
    <w:rsid w:val="000748CB"/>
    <w:rsid w:val="00082362"/>
    <w:rsid w:val="000A3465"/>
    <w:rsid w:val="000A52C2"/>
    <w:rsid w:val="000A683E"/>
    <w:rsid w:val="000A6BDC"/>
    <w:rsid w:val="000B19B9"/>
    <w:rsid w:val="000B42ED"/>
    <w:rsid w:val="000D0334"/>
    <w:rsid w:val="000D27D1"/>
    <w:rsid w:val="000D5DA7"/>
    <w:rsid w:val="000F6486"/>
    <w:rsid w:val="001148EA"/>
    <w:rsid w:val="00116940"/>
    <w:rsid w:val="00125105"/>
    <w:rsid w:val="00127233"/>
    <w:rsid w:val="0015699B"/>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B6219"/>
    <w:rsid w:val="002C7A84"/>
    <w:rsid w:val="002E2BF8"/>
    <w:rsid w:val="002E4FD9"/>
    <w:rsid w:val="0030657A"/>
    <w:rsid w:val="00322A85"/>
    <w:rsid w:val="00324168"/>
    <w:rsid w:val="00330834"/>
    <w:rsid w:val="003448F4"/>
    <w:rsid w:val="00366E75"/>
    <w:rsid w:val="00374F5E"/>
    <w:rsid w:val="00377E3E"/>
    <w:rsid w:val="003A779E"/>
    <w:rsid w:val="003D0F4D"/>
    <w:rsid w:val="003D5B0D"/>
    <w:rsid w:val="003E0499"/>
    <w:rsid w:val="003E4F80"/>
    <w:rsid w:val="003E6439"/>
    <w:rsid w:val="003F3941"/>
    <w:rsid w:val="00406575"/>
    <w:rsid w:val="00414C74"/>
    <w:rsid w:val="0042722E"/>
    <w:rsid w:val="0044330A"/>
    <w:rsid w:val="0044528D"/>
    <w:rsid w:val="00466E39"/>
    <w:rsid w:val="00467653"/>
    <w:rsid w:val="004A1847"/>
    <w:rsid w:val="004A305D"/>
    <w:rsid w:val="004B5825"/>
    <w:rsid w:val="004F21C4"/>
    <w:rsid w:val="004F685F"/>
    <w:rsid w:val="00517158"/>
    <w:rsid w:val="00534FB6"/>
    <w:rsid w:val="005566E8"/>
    <w:rsid w:val="00574867"/>
    <w:rsid w:val="00591460"/>
    <w:rsid w:val="005A65E0"/>
    <w:rsid w:val="005B49E2"/>
    <w:rsid w:val="005C3777"/>
    <w:rsid w:val="005C5CDC"/>
    <w:rsid w:val="005D476C"/>
    <w:rsid w:val="006200BF"/>
    <w:rsid w:val="006219F8"/>
    <w:rsid w:val="006302F7"/>
    <w:rsid w:val="00646B9F"/>
    <w:rsid w:val="00665D70"/>
    <w:rsid w:val="006900D9"/>
    <w:rsid w:val="00694985"/>
    <w:rsid w:val="00701F4E"/>
    <w:rsid w:val="00706C16"/>
    <w:rsid w:val="007340C3"/>
    <w:rsid w:val="0075235A"/>
    <w:rsid w:val="00756841"/>
    <w:rsid w:val="007649AB"/>
    <w:rsid w:val="00771D0C"/>
    <w:rsid w:val="007833AC"/>
    <w:rsid w:val="007B268C"/>
    <w:rsid w:val="007B7171"/>
    <w:rsid w:val="007C0C0F"/>
    <w:rsid w:val="007C3DC2"/>
    <w:rsid w:val="007D4DD5"/>
    <w:rsid w:val="007E5497"/>
    <w:rsid w:val="00806F5F"/>
    <w:rsid w:val="00820278"/>
    <w:rsid w:val="008258C9"/>
    <w:rsid w:val="00844AE9"/>
    <w:rsid w:val="0086547B"/>
    <w:rsid w:val="00867F95"/>
    <w:rsid w:val="008843B6"/>
    <w:rsid w:val="00891928"/>
    <w:rsid w:val="008934CB"/>
    <w:rsid w:val="008A446D"/>
    <w:rsid w:val="008B25F1"/>
    <w:rsid w:val="008C025C"/>
    <w:rsid w:val="008D180B"/>
    <w:rsid w:val="008F0EA7"/>
    <w:rsid w:val="00923EEF"/>
    <w:rsid w:val="009360C8"/>
    <w:rsid w:val="009419F9"/>
    <w:rsid w:val="0095685E"/>
    <w:rsid w:val="00961B09"/>
    <w:rsid w:val="00963DA9"/>
    <w:rsid w:val="00965334"/>
    <w:rsid w:val="0097093E"/>
    <w:rsid w:val="009A0DFA"/>
    <w:rsid w:val="009A1C6F"/>
    <w:rsid w:val="009B2D26"/>
    <w:rsid w:val="009C71FA"/>
    <w:rsid w:val="009C72E7"/>
    <w:rsid w:val="009C7F7E"/>
    <w:rsid w:val="009D3058"/>
    <w:rsid w:val="009F3A13"/>
    <w:rsid w:val="009F577A"/>
    <w:rsid w:val="009F62FA"/>
    <w:rsid w:val="00A122D3"/>
    <w:rsid w:val="00A14468"/>
    <w:rsid w:val="00A17F13"/>
    <w:rsid w:val="00A20739"/>
    <w:rsid w:val="00A23AF9"/>
    <w:rsid w:val="00A33C78"/>
    <w:rsid w:val="00A95CF4"/>
    <w:rsid w:val="00AA7CAF"/>
    <w:rsid w:val="00AB0ADB"/>
    <w:rsid w:val="00B00C0E"/>
    <w:rsid w:val="00B01B1A"/>
    <w:rsid w:val="00B0381D"/>
    <w:rsid w:val="00B06817"/>
    <w:rsid w:val="00B06872"/>
    <w:rsid w:val="00B44A47"/>
    <w:rsid w:val="00B72CD3"/>
    <w:rsid w:val="00B72FFF"/>
    <w:rsid w:val="00BC3D36"/>
    <w:rsid w:val="00BD54A6"/>
    <w:rsid w:val="00BD7F72"/>
    <w:rsid w:val="00BF7425"/>
    <w:rsid w:val="00C04FB3"/>
    <w:rsid w:val="00C11D8B"/>
    <w:rsid w:val="00C15139"/>
    <w:rsid w:val="00C20947"/>
    <w:rsid w:val="00C330EB"/>
    <w:rsid w:val="00C50D69"/>
    <w:rsid w:val="00C5365C"/>
    <w:rsid w:val="00C56EC8"/>
    <w:rsid w:val="00C754BE"/>
    <w:rsid w:val="00C76B1C"/>
    <w:rsid w:val="00C925AC"/>
    <w:rsid w:val="00CA7480"/>
    <w:rsid w:val="00CB6357"/>
    <w:rsid w:val="00CC1B26"/>
    <w:rsid w:val="00CE343D"/>
    <w:rsid w:val="00CF7F62"/>
    <w:rsid w:val="00D22583"/>
    <w:rsid w:val="00D361FD"/>
    <w:rsid w:val="00D423A2"/>
    <w:rsid w:val="00D44E26"/>
    <w:rsid w:val="00D520D8"/>
    <w:rsid w:val="00D63AC2"/>
    <w:rsid w:val="00D7383B"/>
    <w:rsid w:val="00D7788A"/>
    <w:rsid w:val="00D916F1"/>
    <w:rsid w:val="00DA231B"/>
    <w:rsid w:val="00DB64BE"/>
    <w:rsid w:val="00DC39FC"/>
    <w:rsid w:val="00DD2246"/>
    <w:rsid w:val="00DF345D"/>
    <w:rsid w:val="00DF5254"/>
    <w:rsid w:val="00E02524"/>
    <w:rsid w:val="00E16408"/>
    <w:rsid w:val="00E17EDD"/>
    <w:rsid w:val="00E20894"/>
    <w:rsid w:val="00E245AB"/>
    <w:rsid w:val="00E2764C"/>
    <w:rsid w:val="00E27F2E"/>
    <w:rsid w:val="00E50AFE"/>
    <w:rsid w:val="00E75C92"/>
    <w:rsid w:val="00E771DC"/>
    <w:rsid w:val="00E8772A"/>
    <w:rsid w:val="00E90F6B"/>
    <w:rsid w:val="00E92C27"/>
    <w:rsid w:val="00E97D49"/>
    <w:rsid w:val="00EA0E3D"/>
    <w:rsid w:val="00EB7AB2"/>
    <w:rsid w:val="00EC38A7"/>
    <w:rsid w:val="00EE1AA8"/>
    <w:rsid w:val="00EF0DBF"/>
    <w:rsid w:val="00EF241B"/>
    <w:rsid w:val="00F23FEA"/>
    <w:rsid w:val="00F31EDC"/>
    <w:rsid w:val="00F462B3"/>
    <w:rsid w:val="00F5664F"/>
    <w:rsid w:val="00F666C4"/>
    <w:rsid w:val="00F72825"/>
    <w:rsid w:val="00F76AFC"/>
    <w:rsid w:val="00F87097"/>
    <w:rsid w:val="00F90909"/>
    <w:rsid w:val="00FA47C0"/>
    <w:rsid w:val="00FB1098"/>
    <w:rsid w:val="00FB5DD1"/>
    <w:rsid w:val="00FC2B5D"/>
    <w:rsid w:val="00FC73C6"/>
    <w:rsid w:val="00FE7C29"/>
    <w:rsid w:val="00FF1449"/>
    <w:rsid w:val="00FF7963"/>
    <w:rsid w:val="071B8F93"/>
    <w:rsid w:val="09908A09"/>
    <w:rsid w:val="0CD7794E"/>
    <w:rsid w:val="0FF4CCA8"/>
    <w:rsid w:val="13CFC91B"/>
    <w:rsid w:val="19A2EC2C"/>
    <w:rsid w:val="2859CA1B"/>
    <w:rsid w:val="32A4F9CF"/>
    <w:rsid w:val="356CEDFD"/>
    <w:rsid w:val="69614A15"/>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FB78E4D0-4F09-441B-BF5F-CFD70044C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FE7C29"/>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FE7C29"/>
    <w:rPr>
      <w:rFonts w:ascii="Geomanist Light" w:hAnsi="Geomanist Light"/>
      <w:lang w:val="es-ES"/>
    </w:rPr>
  </w:style>
  <w:style w:type="character" w:customStyle="1" w:styleId="s15">
    <w:name w:val="s15"/>
    <w:basedOn w:val="Fuentedeprrafopredeter"/>
    <w:rsid w:val="00FE7C29"/>
  </w:style>
  <w:style w:type="paragraph" w:styleId="Sinespaciado">
    <w:name w:val="No Spacing"/>
    <w:aliases w:val="No Indent"/>
    <w:uiPriority w:val="3"/>
    <w:qFormat/>
    <w:rsid w:val="00FE7C29"/>
    <w:pPr>
      <w:spacing w:after="0" w:line="240" w:lineRule="auto"/>
    </w:pPr>
    <w:rPr>
      <w:sz w:val="24"/>
      <w:lang w:val="es-MX"/>
    </w:rPr>
  </w:style>
  <w:style w:type="character" w:customStyle="1" w:styleId="NormalWebCar">
    <w:name w:val="Normal (Web) Car"/>
    <w:link w:val="NormalWeb"/>
    <w:uiPriority w:val="99"/>
    <w:rsid w:val="00FE7C29"/>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scastrov@enfoquejuridico.com" TargetMode="External"/><Relationship Id="rId17" Type="http://schemas.openxmlformats.org/officeDocument/2006/relationships/hyperlink" Target="https://forms.office.com/r/pPHyWVs2SZ" TargetMode="External"/><Relationship Id="rId2" Type="http://schemas.openxmlformats.org/officeDocument/2006/relationships/customXml" Target="../customXml/item2.xml"/><Relationship Id="rId16" Type="http://schemas.openxmlformats.org/officeDocument/2006/relationships/hyperlink" Target="https://www.colombiacompra.gov.co/pqrsd/informacion-importante-antes-de-formular-una-pqrs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spuestas.pqrs@gmail.com" TargetMode="External"/><Relationship Id="rId5" Type="http://schemas.openxmlformats.org/officeDocument/2006/relationships/styles" Target="styles.xml"/><Relationship Id="rId15" Type="http://schemas.openxmlformats.org/officeDocument/2006/relationships/hyperlink" Target="mailto:ventanilladeradicacion@colombiacompra.gov.co" TargetMode="Externa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wp-content%2Fuploads%2F2025%2F05%2FGUIA-DE-LINEAMIENTOS-DE-TRANSPARENCIA-Y-SELECCION-OBJETIVA-1.0.pdf&amp;data=05%7C02%7Calejandro.sarmiento%40colombiacompra.gov.co%7Ca6218c48ccc04b19a61108dd97aecc6f%7C7b09041e245149d08cb179d5e3d8c1be%7C0%7C0%7C638833499204031869%7CUnknown%7CTWFpbGZsb3d8eyJFbXB0eU1hcGkiOnRydWUsIlYiOiIwLjAuMDAwMCIsIlAiOiJXaW4zMiIsIkFOIjoiTWFpbCIsIldUIjoyfQ%3D%3D%7C0%7C%7C%7C&amp;sdata=BNPGPGRZZPHN9b0zJi5VJtxyBM8%2Fb8kWxn04BiZ%2ByF4%3D&amp;reserved=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cb9e4b-f1d1-4245-83ec-6cad768d538a" xsi:nil="true"/>
    <lcf76f155ced4ddcb4097134ff3c332f xmlns="9d85dbaf-23eb-4e57-a637-93dcacc8b1a1">
      <Terms xmlns="http://schemas.microsoft.com/office/infopath/2007/PartnerControls"/>
    </lcf76f155ced4ddcb4097134ff3c332f>
    <No xmlns="9d85dbaf-23eb-4e57-a637-93dcacc8b1a1" xsi:nil="true"/>
    <_Flow_SignoffStatus xmlns="9d85dbaf-23eb-4e57-a637-93dcacc8b1a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customXml/itemProps2.xml><?xml version="1.0" encoding="utf-8"?>
<ds:datastoreItem xmlns:ds="http://schemas.openxmlformats.org/officeDocument/2006/customXml" ds:itemID="{AB2371D7-B114-4B0A-8328-99924E5574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4</TotalTime>
  <Pages>17</Pages>
  <Words>5762</Words>
  <Characters>31694</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4</cp:revision>
  <cp:lastPrinted>2023-01-11T00:18:00Z</cp:lastPrinted>
  <dcterms:created xsi:type="dcterms:W3CDTF">2026-07-09T15:47:00Z</dcterms:created>
  <dcterms:modified xsi:type="dcterms:W3CDTF">2026-07-10T14:02:00Z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