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003A36" w14:textId="77777777" w:rsidR="007B7CF3" w:rsidRPr="00790F0C" w:rsidRDefault="007B7CF3" w:rsidP="007B7CF3">
      <w:pPr>
        <w:spacing w:after="0" w:line="276" w:lineRule="auto"/>
        <w:jc w:val="both"/>
        <w:rPr>
          <w:rFonts w:ascii="Verdana" w:eastAsia="Calibri" w:hAnsi="Verdana" w:cs="Arial"/>
          <w:b/>
          <w:bCs/>
          <w:color w:val="000000" w:themeColor="text1"/>
          <w:sz w:val="21"/>
          <w:szCs w:val="21"/>
          <w:lang w:val="es-ES" w:eastAsia="es-ES"/>
        </w:rPr>
      </w:pPr>
      <w:bookmarkStart w:id="0" w:name="_Hlk186494164"/>
      <w:bookmarkStart w:id="1" w:name="_Hlk143780582"/>
      <w:r w:rsidRPr="00790F0C">
        <w:rPr>
          <w:rFonts w:ascii="Verdana" w:eastAsia="Calibri" w:hAnsi="Verdana" w:cs="Arial"/>
          <w:b/>
          <w:bCs/>
          <w:color w:val="000000" w:themeColor="text1"/>
          <w:lang w:val="es-ES" w:eastAsia="es-ES"/>
        </w:rPr>
        <w:t>PRINCIPIO DE PUBLICIDAD – SECOP</w:t>
      </w:r>
      <w:r w:rsidRPr="00790F0C">
        <w:rPr>
          <w:rFonts w:ascii="Verdana" w:eastAsia="Calibri" w:hAnsi="Verdana" w:cs="Arial"/>
          <w:b/>
          <w:bCs/>
          <w:color w:val="000000" w:themeColor="text1"/>
          <w:sz w:val="21"/>
          <w:szCs w:val="21"/>
          <w:lang w:val="es-ES" w:eastAsia="es-ES"/>
        </w:rPr>
        <w:t xml:space="preserve">  </w:t>
      </w:r>
    </w:p>
    <w:p w14:paraId="31C61AC3" w14:textId="77777777" w:rsidR="007B7CF3" w:rsidRPr="00790F0C" w:rsidRDefault="007B7CF3" w:rsidP="007B7CF3">
      <w:pPr>
        <w:spacing w:after="0" w:line="240" w:lineRule="auto"/>
        <w:rPr>
          <w:rFonts w:ascii="Verdana" w:hAnsi="Verdana" w:cs="Arial"/>
          <w:color w:val="000000" w:themeColor="text1"/>
          <w:sz w:val="21"/>
          <w:szCs w:val="21"/>
          <w:shd w:val="clear" w:color="auto" w:fill="FFFFFF"/>
          <w:lang w:val="es-ES"/>
        </w:rPr>
      </w:pPr>
    </w:p>
    <w:p w14:paraId="17FD68F5" w14:textId="77777777" w:rsidR="007B7CF3" w:rsidRPr="00790F0C" w:rsidRDefault="007B7CF3" w:rsidP="007B7CF3">
      <w:pPr>
        <w:widowControl w:val="0"/>
        <w:tabs>
          <w:tab w:val="left" w:pos="728"/>
        </w:tabs>
        <w:autoSpaceDE w:val="0"/>
        <w:autoSpaceDN w:val="0"/>
        <w:spacing w:after="0" w:line="240" w:lineRule="auto"/>
        <w:jc w:val="both"/>
        <w:rPr>
          <w:rFonts w:ascii="Verdana" w:eastAsia="Arial" w:hAnsi="Verdana" w:cs="Arial"/>
          <w:sz w:val="20"/>
          <w:szCs w:val="20"/>
          <w:lang w:val="es-ES"/>
        </w:rPr>
      </w:pPr>
      <w:r w:rsidRPr="00790F0C">
        <w:rPr>
          <w:rFonts w:ascii="Verdana" w:eastAsia="Calibri" w:hAnsi="Verdana" w:cs="Arial"/>
          <w:sz w:val="20"/>
          <w:szCs w:val="20"/>
        </w:rPr>
        <w:t>E</w:t>
      </w:r>
      <w:r w:rsidRPr="00790F0C">
        <w:rPr>
          <w:rFonts w:ascii="Verdana" w:eastAsia="Arial" w:hAnsi="Verdana" w:cs="Arial"/>
          <w:sz w:val="20"/>
          <w:szCs w:val="20"/>
          <w:lang w:val="es-ES"/>
        </w:rPr>
        <w:t xml:space="preserve">l principio de publicidad impone a las autoridades administrativas el deber de dar a conocer sus actos, contratos y decisiones, para que se divulguen y eventualmente se controlen las actuaciones. El literal c) del artículo 3 de la Ley 1150 de 2007 dispone que el Sistema Electrónico para la Contratación Pública –SECOP– “contará con la información oficial de la contratación realizada con dineros públicos, para lo cual establecerá los patrones a que haya lugar y se encargará de su difusión a través de canales electrónicos”. </w:t>
      </w:r>
    </w:p>
    <w:p w14:paraId="6FB048BB" w14:textId="77777777" w:rsidR="007B7CF3" w:rsidRPr="00790F0C" w:rsidRDefault="007B7CF3" w:rsidP="007B7CF3">
      <w:pPr>
        <w:spacing w:after="0" w:line="240" w:lineRule="auto"/>
        <w:jc w:val="both"/>
        <w:rPr>
          <w:rFonts w:ascii="Verdana" w:eastAsia="Calibri" w:hAnsi="Verdana" w:cs="Arial"/>
          <w:sz w:val="20"/>
          <w:szCs w:val="20"/>
        </w:rPr>
      </w:pPr>
    </w:p>
    <w:p w14:paraId="58E323F2" w14:textId="77777777" w:rsidR="007B7CF3" w:rsidRPr="00790F0C" w:rsidRDefault="007B7CF3" w:rsidP="007B7CF3">
      <w:pPr>
        <w:spacing w:after="0" w:line="240" w:lineRule="auto"/>
        <w:jc w:val="both"/>
        <w:rPr>
          <w:rFonts w:ascii="Verdana" w:eastAsia="Calibri" w:hAnsi="Verdana" w:cs="Arial"/>
          <w:sz w:val="20"/>
          <w:szCs w:val="20"/>
        </w:rPr>
      </w:pPr>
      <w:r w:rsidRPr="00790F0C">
        <w:rPr>
          <w:rFonts w:ascii="Verdana" w:eastAsia="Calibri" w:hAnsi="Verdana" w:cs="Arial"/>
          <w:sz w:val="20"/>
          <w:szCs w:val="20"/>
        </w:rPr>
        <w:t xml:space="preserve">De otra parte, la Ley 1712 de 2014 –Ley Estatutaria de transparencia y derecho de acceso a la información y a los documentos públicos–, identifica como principios que orientan el derecho de acceso a la información pública, los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 El principio de transparencia en la información alude al deber de los sujetos de proporcionar y facilitar el acceso a la misma en los términos más amplios posibles, y a través de los medios y procedimientos legales. </w:t>
      </w:r>
    </w:p>
    <w:p w14:paraId="1CE6D80D" w14:textId="77777777" w:rsidR="007B7CF3" w:rsidRPr="00790F0C" w:rsidRDefault="007B7CF3" w:rsidP="007B7CF3">
      <w:pPr>
        <w:spacing w:after="0" w:line="240" w:lineRule="auto"/>
        <w:jc w:val="both"/>
        <w:rPr>
          <w:rFonts w:ascii="Verdana" w:eastAsia="Calibri" w:hAnsi="Verdana" w:cs="Arial"/>
          <w:sz w:val="21"/>
          <w:szCs w:val="21"/>
        </w:rPr>
      </w:pPr>
    </w:p>
    <w:p w14:paraId="5EFB3C18" w14:textId="77777777" w:rsidR="007B7CF3" w:rsidRPr="00790F0C" w:rsidRDefault="007B7CF3" w:rsidP="007B7CF3">
      <w:pPr>
        <w:spacing w:after="0" w:line="276" w:lineRule="auto"/>
        <w:jc w:val="both"/>
        <w:rPr>
          <w:rFonts w:ascii="Verdana" w:eastAsia="Calibri" w:hAnsi="Verdana" w:cs="Arial"/>
          <w:b/>
          <w:bCs/>
          <w:color w:val="000000" w:themeColor="text1"/>
          <w:lang w:val="es-ES" w:eastAsia="es-ES"/>
        </w:rPr>
      </w:pPr>
      <w:r w:rsidRPr="00790F0C">
        <w:rPr>
          <w:rFonts w:ascii="Verdana" w:eastAsia="Calibri" w:hAnsi="Verdana" w:cs="Arial"/>
          <w:b/>
          <w:bCs/>
          <w:color w:val="000000" w:themeColor="text1"/>
          <w:lang w:val="es-ES" w:eastAsia="es-ES"/>
        </w:rPr>
        <w:t>SECOP II – Plataforma transaccional – Diferencias SECOP I</w:t>
      </w:r>
    </w:p>
    <w:p w14:paraId="673D4899" w14:textId="77777777" w:rsidR="007B7CF3" w:rsidRPr="00790F0C" w:rsidRDefault="007B7CF3" w:rsidP="007B7CF3">
      <w:pPr>
        <w:spacing w:after="0" w:line="240" w:lineRule="auto"/>
        <w:jc w:val="both"/>
        <w:rPr>
          <w:rFonts w:ascii="Verdana" w:eastAsia="Calibri" w:hAnsi="Verdana" w:cs="Arial"/>
          <w:b/>
          <w:bCs/>
          <w:color w:val="000000" w:themeColor="text1"/>
          <w:lang w:val="es-ES" w:eastAsia="es-ES"/>
        </w:rPr>
      </w:pPr>
    </w:p>
    <w:p w14:paraId="3516F44B" w14:textId="77777777" w:rsidR="007B7CF3" w:rsidRPr="00790F0C" w:rsidRDefault="007B7CF3" w:rsidP="007B7CF3">
      <w:pPr>
        <w:spacing w:after="0" w:line="240" w:lineRule="auto"/>
        <w:jc w:val="both"/>
        <w:rPr>
          <w:rFonts w:ascii="Verdana" w:eastAsia="Calibri" w:hAnsi="Verdana" w:cs="Arial"/>
          <w:color w:val="000000" w:themeColor="text1"/>
          <w:sz w:val="20"/>
          <w:szCs w:val="20"/>
        </w:rPr>
      </w:pPr>
      <w:r w:rsidRPr="00790F0C">
        <w:rPr>
          <w:rFonts w:ascii="Verdana" w:eastAsia="Calibri" w:hAnsi="Verdana" w:cs="Arial"/>
          <w:color w:val="000000" w:themeColor="text1"/>
          <w:sz w:val="20"/>
          <w:szCs w:val="20"/>
        </w:rPr>
        <w:t xml:space="preserve">El Sistema Electrónico de Contratación Pública – SECOP – es el medio de información oficial de toda la contratación realizada con cargo a recursos públicos. El SECOP es el único punto de ingreso de información y de generación de reportes para las Entidades Estatales, los entes de control y la ciudadanía en general, el cual garantiza que se cumplan los principios de publicidad y transparencia en la gestión contractual. Son componentes del Sistema Electrónico de Contratación las siguientes plataformas administradas por Colombia Compra Eficiente: SECOP I, SECOP II y la Tienda Virtual del Estado Colombiano -TVEC. </w:t>
      </w:r>
    </w:p>
    <w:p w14:paraId="4CA6AB80" w14:textId="77777777" w:rsidR="007B7CF3" w:rsidRPr="00790F0C" w:rsidRDefault="007B7CF3" w:rsidP="007B7CF3">
      <w:pPr>
        <w:spacing w:after="0" w:line="240" w:lineRule="auto"/>
        <w:jc w:val="both"/>
        <w:rPr>
          <w:rFonts w:ascii="Verdana" w:eastAsia="Calibri" w:hAnsi="Verdana" w:cs="Arial"/>
          <w:color w:val="000000" w:themeColor="text1"/>
          <w:sz w:val="20"/>
          <w:szCs w:val="20"/>
        </w:rPr>
      </w:pPr>
    </w:p>
    <w:p w14:paraId="310E2791" w14:textId="77777777" w:rsidR="007B7CF3" w:rsidRPr="00790F0C" w:rsidRDefault="007B7CF3" w:rsidP="007B7CF3">
      <w:pPr>
        <w:spacing w:after="0" w:line="240" w:lineRule="auto"/>
        <w:jc w:val="both"/>
        <w:rPr>
          <w:rFonts w:ascii="Verdana" w:eastAsia="Calibri" w:hAnsi="Verdana" w:cs="Arial"/>
          <w:sz w:val="20"/>
          <w:szCs w:val="20"/>
          <w:lang w:val="es-ES"/>
        </w:rPr>
      </w:pPr>
      <w:r w:rsidRPr="00790F0C">
        <w:rPr>
          <w:rFonts w:ascii="Verdana" w:eastAsia="Calibri" w:hAnsi="Verdana" w:cs="Arial"/>
          <w:color w:val="000000" w:themeColor="text1"/>
          <w:sz w:val="20"/>
          <w:szCs w:val="20"/>
        </w:rPr>
        <w:t xml:space="preserve">El SECOP II es una plataforma transaccional, que permite gestionar en línea todos los procedimientos de contratación, </w:t>
      </w:r>
      <w:r w:rsidRPr="00790F0C">
        <w:rPr>
          <w:rFonts w:ascii="Verdana" w:eastAsia="Calibri" w:hAnsi="Verdana" w:cs="Arial"/>
          <w:sz w:val="20"/>
          <w:szCs w:val="20"/>
          <w:lang w:val="es-ES"/>
        </w:rPr>
        <w:t>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0710A5E5" w14:textId="77777777" w:rsidR="007B7CF3" w:rsidRPr="00790F0C" w:rsidRDefault="007B7CF3" w:rsidP="007B7CF3">
      <w:pPr>
        <w:spacing w:after="0" w:line="240" w:lineRule="auto"/>
        <w:jc w:val="both"/>
        <w:rPr>
          <w:rFonts w:ascii="Verdana" w:eastAsia="Calibri" w:hAnsi="Verdana" w:cs="Arial"/>
          <w:sz w:val="20"/>
          <w:szCs w:val="20"/>
          <w:lang w:val="es-ES"/>
        </w:rPr>
      </w:pPr>
    </w:p>
    <w:p w14:paraId="24B8E8DB" w14:textId="77777777" w:rsidR="007B7CF3" w:rsidRPr="00790F0C" w:rsidRDefault="007B7CF3" w:rsidP="007B7CF3">
      <w:pPr>
        <w:spacing w:after="0" w:line="240" w:lineRule="auto"/>
        <w:jc w:val="both"/>
        <w:rPr>
          <w:rFonts w:ascii="Verdana" w:eastAsia="Calibri" w:hAnsi="Verdana" w:cs="Arial"/>
          <w:sz w:val="20"/>
          <w:szCs w:val="20"/>
          <w:lang w:val="es-ES"/>
        </w:rPr>
      </w:pPr>
      <w:r w:rsidRPr="00790F0C">
        <w:rPr>
          <w:rFonts w:ascii="Verdana" w:eastAsia="Calibri" w:hAnsi="Verdana" w:cs="Arial"/>
          <w:sz w:val="20"/>
          <w:szCs w:val="20"/>
          <w:lang w:val="es-ES"/>
        </w:rPr>
        <w:t xml:space="preserve">En este sentido, en el SECOP II el procedimiento contractual se desarrolla en línea y dentro de la plataforma, conformándose un expediente electrónico, lo cual denota una diferencia con el SECOP I, donde el procedimiento es físico,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 Debido a que la plataforma es totalmente transaccional, </w:t>
      </w:r>
      <w:r w:rsidRPr="00790F0C">
        <w:rPr>
          <w:rFonts w:ascii="Verdana" w:eastAsia="Calibri" w:hAnsi="Verdana" w:cs="Arial"/>
          <w:sz w:val="20"/>
          <w:szCs w:val="20"/>
          <w:lang w:val="es-ES"/>
        </w:rPr>
        <w:lastRenderedPageBreak/>
        <w:t xml:space="preserve">el trámite se realiza en línea y la publicidad de las actuaciones es concomitante, según transcurran cada una de las etapas del procedimiento, lo que descarta la necesidad de cargar documentación alguna, salvo algunas excepciones. </w:t>
      </w:r>
    </w:p>
    <w:p w14:paraId="64C9E8E8" w14:textId="77777777" w:rsidR="007B7CF3" w:rsidRPr="00790F0C" w:rsidRDefault="007B7CF3" w:rsidP="007B7CF3">
      <w:pPr>
        <w:spacing w:after="0" w:line="276" w:lineRule="auto"/>
        <w:jc w:val="both"/>
        <w:rPr>
          <w:rFonts w:ascii="Verdana" w:eastAsia="Calibri" w:hAnsi="Verdana" w:cs="Arial"/>
          <w:b/>
          <w:bCs/>
          <w:color w:val="000000" w:themeColor="text1"/>
          <w:sz w:val="21"/>
          <w:szCs w:val="21"/>
          <w:lang w:val="es-ES" w:eastAsia="es-ES"/>
        </w:rPr>
      </w:pPr>
    </w:p>
    <w:p w14:paraId="30F8F3D5" w14:textId="77777777" w:rsidR="007B7CF3" w:rsidRPr="00790F0C" w:rsidRDefault="007B7CF3" w:rsidP="007B7CF3">
      <w:pPr>
        <w:spacing w:after="0" w:line="240" w:lineRule="auto"/>
        <w:rPr>
          <w:rFonts w:ascii="Verdana" w:eastAsia="Geomanist Light" w:hAnsi="Verdana" w:cs="Arial"/>
          <w:b/>
          <w:bCs/>
          <w:color w:val="000000" w:themeColor="text1"/>
        </w:rPr>
      </w:pPr>
      <w:r w:rsidRPr="00790F0C">
        <w:rPr>
          <w:rFonts w:ascii="Verdana" w:eastAsia="Aptos" w:hAnsi="Verdana" w:cs="Times New Roman"/>
          <w:b/>
          <w:bCs/>
          <w:lang w:val="es-ES"/>
        </w:rPr>
        <w:t>CIRCULAR EXTERNA 007 DE 2025 </w:t>
      </w:r>
      <w:r w:rsidRPr="00790F0C">
        <w:rPr>
          <w:rFonts w:ascii="Verdana" w:eastAsia="Aptos" w:hAnsi="Verdana" w:cs="Times New Roman"/>
          <w:b/>
          <w:bCs/>
          <w:lang w:val="es-MX"/>
        </w:rPr>
        <w:t>–</w:t>
      </w:r>
      <w:r w:rsidRPr="00790F0C">
        <w:rPr>
          <w:rFonts w:ascii="Verdana" w:eastAsia="Aptos" w:hAnsi="Verdana" w:cs="Times New Roman"/>
          <w:b/>
          <w:bCs/>
          <w:lang w:val="es-ES"/>
        </w:rPr>
        <w:t xml:space="preserve"> Alcance </w:t>
      </w:r>
      <w:r w:rsidRPr="00790F0C">
        <w:rPr>
          <w:rFonts w:ascii="Verdana" w:eastAsia="Aptos" w:hAnsi="Verdana" w:cs="Times New Roman"/>
          <w:b/>
          <w:bCs/>
          <w:lang w:val="es-MX"/>
        </w:rPr>
        <w:t>–</w:t>
      </w:r>
      <w:r w:rsidRPr="00790F0C">
        <w:rPr>
          <w:rFonts w:ascii="Verdana" w:eastAsia="Aptos" w:hAnsi="Verdana" w:cs="Times New Roman"/>
          <w:b/>
          <w:bCs/>
          <w:lang w:val="es-ES"/>
        </w:rPr>
        <w:t> Gestión documental</w:t>
      </w:r>
    </w:p>
    <w:p w14:paraId="59AF0D44" w14:textId="77777777" w:rsidR="007B7CF3" w:rsidRPr="00790F0C" w:rsidRDefault="007B7CF3" w:rsidP="007B7CF3">
      <w:pPr>
        <w:spacing w:after="0" w:line="240" w:lineRule="auto"/>
        <w:rPr>
          <w:rFonts w:ascii="Verdana" w:eastAsia="Geomanist Light" w:hAnsi="Verdana" w:cs="Arial"/>
          <w:color w:val="000000" w:themeColor="text1"/>
        </w:rPr>
      </w:pPr>
    </w:p>
    <w:p w14:paraId="2B9CD035" w14:textId="77777777" w:rsidR="007B7CF3" w:rsidRPr="00790F0C" w:rsidRDefault="007B7CF3" w:rsidP="007B7CF3">
      <w:pPr>
        <w:spacing w:after="0" w:line="240" w:lineRule="auto"/>
        <w:jc w:val="both"/>
        <w:rPr>
          <w:rFonts w:ascii="Verdana" w:eastAsia="Calibri" w:hAnsi="Verdana" w:cs="Arial"/>
          <w:sz w:val="20"/>
          <w:szCs w:val="20"/>
          <w:lang w:val="es-ES"/>
        </w:rPr>
      </w:pPr>
      <w:r w:rsidRPr="00790F0C">
        <w:rPr>
          <w:rFonts w:ascii="Verdana" w:eastAsia="Calibri" w:hAnsi="Verdana" w:cs="Arial"/>
          <w:sz w:val="20"/>
          <w:szCs w:val="20"/>
          <w:lang w:val="es-ES"/>
        </w:rPr>
        <w:t>La Circular Externa No. 007 de 2025 modificó el numeral 2 de la Circular Externa Única Versión 03, con el propósito de armonizar la gestión contractual con la gestión documental y delimitar claramente las competencias entre la Agencia Nacional de Contratación Pública – Colombia Compra Eficiente y las Entidades Estatales. De esta forma, la Circular ratifica que SECOP I y SECOP II constituyen las plataformas oficiales mediante las cuales se desarrollan electrónicamente las actuaciones propias del Sistema de Compra Pública y se garantiza el cumplimiento de los principios de publicidad, transparencia, trazabilidad y acceso a la información pública.</w:t>
      </w:r>
    </w:p>
    <w:p w14:paraId="39EC4750" w14:textId="77777777" w:rsidR="007B7CF3" w:rsidRPr="00790F0C" w:rsidRDefault="007B7CF3" w:rsidP="007B7CF3">
      <w:pPr>
        <w:spacing w:after="0" w:line="240" w:lineRule="auto"/>
        <w:jc w:val="both"/>
        <w:rPr>
          <w:rFonts w:ascii="Verdana" w:eastAsia="Calibri" w:hAnsi="Verdana" w:cs="Arial"/>
          <w:sz w:val="20"/>
          <w:szCs w:val="20"/>
          <w:lang w:val="es-ES"/>
        </w:rPr>
      </w:pPr>
    </w:p>
    <w:p w14:paraId="38789B89" w14:textId="77777777" w:rsidR="007B7CF3" w:rsidRPr="00790F0C" w:rsidRDefault="007B7CF3" w:rsidP="007B7CF3">
      <w:pPr>
        <w:spacing w:after="0" w:line="240" w:lineRule="auto"/>
        <w:jc w:val="both"/>
        <w:rPr>
          <w:rFonts w:ascii="Verdana" w:eastAsia="Calibri" w:hAnsi="Verdana" w:cs="Arial"/>
          <w:sz w:val="20"/>
          <w:szCs w:val="20"/>
          <w:lang w:val="es-ES"/>
        </w:rPr>
      </w:pPr>
      <w:r w:rsidRPr="00790F0C">
        <w:rPr>
          <w:rFonts w:ascii="Verdana" w:eastAsia="Calibri" w:hAnsi="Verdana" w:cs="Arial"/>
          <w:sz w:val="20"/>
          <w:szCs w:val="20"/>
          <w:lang w:val="es-ES"/>
        </w:rPr>
        <w:t>Sin embargo, igualmente precisa que dichas plataformas no fueron concebidas ni operan como Sistemas de Gestión de Documentos Electrónicos de Archivo ni como sistemas de preservación digital a largo plazo. En consecuencia, la responsabilidad de conformar, organizar, administrar, custodiar, preservar y garantizar el valor archivístico y probatorio de los expedientes electrónicos corresponde a cada Entidad Estatal en su condición de productora documental, de conformidad con la normativa archivística vigente.</w:t>
      </w:r>
    </w:p>
    <w:p w14:paraId="05F39796" w14:textId="77777777" w:rsidR="007B7CF3" w:rsidRPr="00790F0C" w:rsidRDefault="007B7CF3" w:rsidP="007B7CF3">
      <w:pPr>
        <w:spacing w:after="0" w:line="240" w:lineRule="auto"/>
        <w:rPr>
          <w:rFonts w:ascii="Verdana" w:eastAsia="Geomanist Light" w:hAnsi="Verdana" w:cs="Arial"/>
          <w:color w:val="000000" w:themeColor="text1"/>
        </w:rPr>
      </w:pPr>
    </w:p>
    <w:p w14:paraId="6D0B0D89" w14:textId="77777777" w:rsidR="007B7CF3" w:rsidRPr="00790F0C" w:rsidRDefault="007B7CF3" w:rsidP="007B7CF3">
      <w:pPr>
        <w:spacing w:after="0" w:line="240" w:lineRule="auto"/>
        <w:rPr>
          <w:rFonts w:ascii="Verdana" w:eastAsia="Geomanist Light" w:hAnsi="Verdana" w:cs="Arial"/>
          <w:color w:val="000000" w:themeColor="text1"/>
        </w:rPr>
      </w:pPr>
    </w:p>
    <w:p w14:paraId="5C133BE0" w14:textId="77777777" w:rsidR="007B7CF3" w:rsidRPr="00790F0C" w:rsidRDefault="007B7CF3" w:rsidP="007B7CF3">
      <w:pPr>
        <w:spacing w:after="0" w:line="240" w:lineRule="auto"/>
        <w:rPr>
          <w:rFonts w:ascii="Verdana" w:eastAsia="Geomanist Light" w:hAnsi="Verdana" w:cs="Arial"/>
          <w:color w:val="000000" w:themeColor="text1"/>
        </w:rPr>
      </w:pPr>
    </w:p>
    <w:p w14:paraId="68ECEAFF" w14:textId="77777777" w:rsidR="007B7CF3" w:rsidRPr="00790F0C" w:rsidRDefault="007B7CF3" w:rsidP="007B7CF3">
      <w:pPr>
        <w:spacing w:after="0" w:line="240" w:lineRule="auto"/>
        <w:rPr>
          <w:rFonts w:ascii="Verdana" w:eastAsia="Geomanist Light" w:hAnsi="Verdana" w:cs="Arial"/>
          <w:color w:val="000000" w:themeColor="text1"/>
        </w:rPr>
      </w:pPr>
    </w:p>
    <w:p w14:paraId="640024AE" w14:textId="77777777" w:rsidR="007B7CF3" w:rsidRPr="00790F0C" w:rsidRDefault="007B7CF3" w:rsidP="007B7CF3">
      <w:pPr>
        <w:spacing w:after="0" w:line="240" w:lineRule="auto"/>
        <w:rPr>
          <w:rFonts w:ascii="Verdana" w:eastAsia="Geomanist Light" w:hAnsi="Verdana" w:cs="Arial"/>
          <w:color w:val="000000" w:themeColor="text1"/>
        </w:rPr>
      </w:pPr>
    </w:p>
    <w:p w14:paraId="748C2490" w14:textId="77777777" w:rsidR="007B7CF3" w:rsidRPr="00790F0C" w:rsidRDefault="007B7CF3" w:rsidP="007B7CF3">
      <w:pPr>
        <w:spacing w:after="0" w:line="240" w:lineRule="auto"/>
        <w:rPr>
          <w:rFonts w:ascii="Verdana" w:eastAsia="Geomanist Light" w:hAnsi="Verdana" w:cs="Arial"/>
          <w:color w:val="000000" w:themeColor="text1"/>
        </w:rPr>
      </w:pPr>
    </w:p>
    <w:p w14:paraId="3F63A418" w14:textId="77777777" w:rsidR="007B7CF3" w:rsidRPr="00790F0C" w:rsidRDefault="007B7CF3" w:rsidP="007B7CF3">
      <w:pPr>
        <w:spacing w:after="0" w:line="240" w:lineRule="auto"/>
        <w:rPr>
          <w:rFonts w:ascii="Verdana" w:eastAsia="Geomanist Light" w:hAnsi="Verdana" w:cs="Arial"/>
          <w:color w:val="000000" w:themeColor="text1"/>
        </w:rPr>
      </w:pPr>
    </w:p>
    <w:p w14:paraId="6C9B0941" w14:textId="77777777" w:rsidR="007B7CF3" w:rsidRPr="00790F0C" w:rsidRDefault="007B7CF3" w:rsidP="007B7CF3">
      <w:pPr>
        <w:spacing w:after="0" w:line="240" w:lineRule="auto"/>
        <w:rPr>
          <w:rFonts w:ascii="Verdana" w:eastAsia="Geomanist Light" w:hAnsi="Verdana" w:cs="Arial"/>
          <w:color w:val="000000" w:themeColor="text1"/>
        </w:rPr>
      </w:pPr>
    </w:p>
    <w:p w14:paraId="12BEE8F8" w14:textId="77777777" w:rsidR="007B7CF3" w:rsidRPr="00790F0C" w:rsidRDefault="007B7CF3" w:rsidP="007B7CF3">
      <w:pPr>
        <w:spacing w:after="0" w:line="240" w:lineRule="auto"/>
        <w:rPr>
          <w:rFonts w:ascii="Verdana" w:eastAsia="Geomanist Light" w:hAnsi="Verdana" w:cs="Arial"/>
          <w:color w:val="000000" w:themeColor="text1"/>
        </w:rPr>
      </w:pPr>
    </w:p>
    <w:p w14:paraId="40FC2A5D" w14:textId="77777777" w:rsidR="007B7CF3" w:rsidRPr="00790F0C" w:rsidRDefault="007B7CF3" w:rsidP="007B7CF3">
      <w:pPr>
        <w:spacing w:after="0" w:line="240" w:lineRule="auto"/>
        <w:rPr>
          <w:rFonts w:ascii="Verdana" w:eastAsia="Geomanist Light" w:hAnsi="Verdana" w:cs="Arial"/>
          <w:color w:val="000000" w:themeColor="text1"/>
        </w:rPr>
      </w:pPr>
    </w:p>
    <w:p w14:paraId="24F21B70" w14:textId="77777777" w:rsidR="007B7CF3" w:rsidRPr="00790F0C" w:rsidRDefault="007B7CF3" w:rsidP="007B7CF3">
      <w:pPr>
        <w:spacing w:after="0" w:line="240" w:lineRule="auto"/>
        <w:rPr>
          <w:rFonts w:ascii="Verdana" w:eastAsia="Geomanist Light" w:hAnsi="Verdana" w:cs="Arial"/>
          <w:color w:val="000000" w:themeColor="text1"/>
        </w:rPr>
      </w:pPr>
    </w:p>
    <w:p w14:paraId="77134F82" w14:textId="77777777" w:rsidR="007B7CF3" w:rsidRPr="00790F0C" w:rsidRDefault="007B7CF3" w:rsidP="007B7CF3">
      <w:pPr>
        <w:spacing w:after="0" w:line="240" w:lineRule="auto"/>
        <w:rPr>
          <w:rFonts w:ascii="Verdana" w:eastAsia="Geomanist Light" w:hAnsi="Verdana" w:cs="Arial"/>
          <w:color w:val="000000" w:themeColor="text1"/>
        </w:rPr>
      </w:pPr>
    </w:p>
    <w:p w14:paraId="3ADE146E" w14:textId="77777777" w:rsidR="007B7CF3" w:rsidRPr="00790F0C" w:rsidRDefault="007B7CF3" w:rsidP="007B7CF3">
      <w:pPr>
        <w:spacing w:after="0" w:line="240" w:lineRule="auto"/>
        <w:rPr>
          <w:rFonts w:ascii="Verdana" w:eastAsia="Geomanist Light" w:hAnsi="Verdana" w:cs="Arial"/>
          <w:color w:val="000000" w:themeColor="text1"/>
        </w:rPr>
      </w:pPr>
    </w:p>
    <w:p w14:paraId="74C29082" w14:textId="77777777" w:rsidR="007B7CF3" w:rsidRPr="00790F0C" w:rsidRDefault="007B7CF3" w:rsidP="007B7CF3">
      <w:pPr>
        <w:spacing w:after="0" w:line="240" w:lineRule="auto"/>
        <w:rPr>
          <w:rFonts w:ascii="Verdana" w:eastAsia="Geomanist Light" w:hAnsi="Verdana" w:cs="Arial"/>
          <w:color w:val="000000" w:themeColor="text1"/>
        </w:rPr>
      </w:pPr>
    </w:p>
    <w:p w14:paraId="672EAF2E" w14:textId="77777777" w:rsidR="007B7CF3" w:rsidRPr="00790F0C" w:rsidRDefault="007B7CF3" w:rsidP="007B7CF3">
      <w:pPr>
        <w:spacing w:after="0" w:line="240" w:lineRule="auto"/>
        <w:rPr>
          <w:rFonts w:ascii="Verdana" w:eastAsia="Geomanist Light" w:hAnsi="Verdana" w:cs="Arial"/>
          <w:color w:val="000000" w:themeColor="text1"/>
        </w:rPr>
      </w:pPr>
    </w:p>
    <w:p w14:paraId="05035D8B" w14:textId="77777777" w:rsidR="007B7CF3" w:rsidRPr="00790F0C" w:rsidRDefault="007B7CF3" w:rsidP="007B7CF3">
      <w:pPr>
        <w:spacing w:after="0" w:line="240" w:lineRule="auto"/>
        <w:rPr>
          <w:rFonts w:ascii="Verdana" w:eastAsia="Geomanist Light" w:hAnsi="Verdana" w:cs="Arial"/>
          <w:color w:val="000000" w:themeColor="text1"/>
        </w:rPr>
      </w:pPr>
    </w:p>
    <w:p w14:paraId="6D284B33" w14:textId="77777777" w:rsidR="007B7CF3" w:rsidRPr="00790F0C" w:rsidRDefault="007B7CF3" w:rsidP="007B7CF3">
      <w:pPr>
        <w:spacing w:after="0" w:line="240" w:lineRule="auto"/>
        <w:rPr>
          <w:rFonts w:ascii="Verdana" w:eastAsia="Geomanist Light" w:hAnsi="Verdana" w:cs="Arial"/>
          <w:color w:val="000000" w:themeColor="text1"/>
        </w:rPr>
      </w:pPr>
    </w:p>
    <w:p w14:paraId="3DD9DC16" w14:textId="77777777" w:rsidR="007B7CF3" w:rsidRPr="00790F0C" w:rsidRDefault="007B7CF3" w:rsidP="007B7CF3">
      <w:pPr>
        <w:spacing w:after="0" w:line="240" w:lineRule="auto"/>
        <w:rPr>
          <w:rFonts w:ascii="Verdana" w:eastAsia="Geomanist Light" w:hAnsi="Verdana" w:cs="Arial"/>
          <w:color w:val="000000" w:themeColor="text1"/>
        </w:rPr>
      </w:pPr>
    </w:p>
    <w:p w14:paraId="69DD1BDF" w14:textId="77777777" w:rsidR="007B7CF3" w:rsidRPr="00790F0C" w:rsidRDefault="007B7CF3" w:rsidP="007B7CF3">
      <w:pPr>
        <w:spacing w:after="0" w:line="240" w:lineRule="auto"/>
        <w:rPr>
          <w:rFonts w:ascii="Verdana" w:eastAsia="Geomanist Light" w:hAnsi="Verdana" w:cs="Arial"/>
          <w:color w:val="000000" w:themeColor="text1"/>
        </w:rPr>
      </w:pPr>
    </w:p>
    <w:p w14:paraId="628318B8" w14:textId="77777777" w:rsidR="007B7CF3" w:rsidRPr="00790F0C" w:rsidRDefault="007B7CF3" w:rsidP="007B7CF3">
      <w:pPr>
        <w:spacing w:after="0" w:line="240" w:lineRule="auto"/>
        <w:rPr>
          <w:rFonts w:ascii="Verdana" w:eastAsia="Geomanist Light" w:hAnsi="Verdana" w:cs="Arial"/>
          <w:color w:val="000000" w:themeColor="text1"/>
        </w:rPr>
      </w:pPr>
    </w:p>
    <w:p w14:paraId="5A583B76" w14:textId="77777777" w:rsidR="007B7CF3" w:rsidRPr="00790F0C" w:rsidRDefault="007B7CF3" w:rsidP="007B7CF3">
      <w:pPr>
        <w:spacing w:after="0" w:line="240" w:lineRule="auto"/>
        <w:rPr>
          <w:rFonts w:ascii="Verdana" w:eastAsia="Geomanist Light" w:hAnsi="Verdana" w:cs="Arial"/>
          <w:color w:val="000000" w:themeColor="text1"/>
        </w:rPr>
      </w:pPr>
    </w:p>
    <w:p w14:paraId="05EDF7EF" w14:textId="77777777" w:rsidR="007B7CF3" w:rsidRPr="00790F0C" w:rsidRDefault="007B7CF3" w:rsidP="007B7CF3">
      <w:pPr>
        <w:spacing w:after="0" w:line="240" w:lineRule="auto"/>
        <w:rPr>
          <w:rFonts w:ascii="Verdana" w:eastAsia="Geomanist Light" w:hAnsi="Verdana" w:cs="Arial"/>
          <w:color w:val="000000" w:themeColor="text1"/>
        </w:rPr>
      </w:pPr>
    </w:p>
    <w:p w14:paraId="154D4C0A" w14:textId="77777777" w:rsidR="007B7CF3" w:rsidRPr="00790F0C" w:rsidRDefault="007B7CF3" w:rsidP="007B7CF3">
      <w:pPr>
        <w:spacing w:after="0" w:line="240" w:lineRule="auto"/>
        <w:rPr>
          <w:rFonts w:ascii="Verdana" w:eastAsia="Geomanist Light" w:hAnsi="Verdana" w:cs="Arial"/>
          <w:color w:val="000000" w:themeColor="text1"/>
        </w:rPr>
      </w:pPr>
    </w:p>
    <w:p w14:paraId="516AE8A9" w14:textId="451650BA" w:rsidR="007B7CF3" w:rsidRPr="00790F0C" w:rsidRDefault="007B7CF3" w:rsidP="007B7CF3">
      <w:pPr>
        <w:spacing w:after="0" w:line="240" w:lineRule="auto"/>
        <w:rPr>
          <w:rFonts w:ascii="Verdana" w:eastAsia="Geomanist Light" w:hAnsi="Verdana" w:cs="Arial"/>
          <w:color w:val="201F1E"/>
        </w:rPr>
      </w:pPr>
      <w:r w:rsidRPr="00790F0C">
        <w:rPr>
          <w:rFonts w:ascii="Verdana" w:eastAsia="Geomanist Light" w:hAnsi="Verdana" w:cs="Arial"/>
          <w:color w:val="000000" w:themeColor="text1"/>
        </w:rPr>
        <w:lastRenderedPageBreak/>
        <w:t>Bogotá D.C., </w:t>
      </w:r>
      <w:r w:rsidR="000A4C3E">
        <w:rPr>
          <w:rFonts w:ascii="Verdana" w:eastAsia="Geomanist Light" w:hAnsi="Verdana" w:cs="Arial"/>
          <w:color w:val="201F1E"/>
        </w:rPr>
        <w:t>01 de julio de 2026</w:t>
      </w:r>
    </w:p>
    <w:p w14:paraId="0D6C6ABF" w14:textId="77777777" w:rsidR="007B7CF3" w:rsidRPr="00790F0C" w:rsidRDefault="007B7CF3" w:rsidP="007B7CF3">
      <w:pPr>
        <w:spacing w:after="0" w:line="240" w:lineRule="auto"/>
        <w:jc w:val="both"/>
        <w:rPr>
          <w:rFonts w:ascii="Verdana" w:eastAsia="Calibri" w:hAnsi="Verdana" w:cs="Arial"/>
          <w:color w:val="000000"/>
        </w:rPr>
      </w:pPr>
    </w:p>
    <w:p w14:paraId="1347E294" w14:textId="6BD0CB3D" w:rsidR="007B7CF3" w:rsidRPr="00790F0C" w:rsidRDefault="000A4C3E" w:rsidP="000A4C3E">
      <w:pPr>
        <w:spacing w:after="0" w:line="240" w:lineRule="auto"/>
        <w:jc w:val="right"/>
        <w:rPr>
          <w:rFonts w:ascii="Verdana" w:eastAsia="Calibri" w:hAnsi="Verdana" w:cs="Arial"/>
          <w:color w:val="000000"/>
        </w:rPr>
      </w:pPr>
      <w:r w:rsidRPr="000A4C3E">
        <w:rPr>
          <w:rFonts w:ascii="Verdana" w:eastAsia="Calibri" w:hAnsi="Verdana" w:cs="Arial"/>
          <w:noProof/>
          <w:color w:val="000000"/>
        </w:rPr>
        <w:drawing>
          <wp:anchor distT="0" distB="0" distL="114300" distR="114300" simplePos="0" relativeHeight="251658240" behindDoc="0" locked="0" layoutInCell="1" allowOverlap="1" wp14:anchorId="528318E4" wp14:editId="1BC347DB">
            <wp:simplePos x="0" y="0"/>
            <wp:positionH relativeFrom="column">
              <wp:posOffset>3362325</wp:posOffset>
            </wp:positionH>
            <wp:positionV relativeFrom="paragraph">
              <wp:posOffset>2540</wp:posOffset>
            </wp:positionV>
            <wp:extent cx="2240280" cy="830580"/>
            <wp:effectExtent l="0" t="0" r="7620" b="7620"/>
            <wp:wrapSquare wrapText="bothSides"/>
            <wp:docPr id="2651816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40280" cy="830580"/>
                    </a:xfrm>
                    <a:prstGeom prst="rect">
                      <a:avLst/>
                    </a:prstGeom>
                    <a:noFill/>
                    <a:ln>
                      <a:noFill/>
                    </a:ln>
                  </pic:spPr>
                </pic:pic>
              </a:graphicData>
            </a:graphic>
          </wp:anchor>
        </w:drawing>
      </w:r>
    </w:p>
    <w:p w14:paraId="47CBFC4A" w14:textId="77777777" w:rsidR="007B7CF3" w:rsidRPr="00790F0C" w:rsidRDefault="007B7CF3" w:rsidP="007B7CF3">
      <w:pPr>
        <w:spacing w:after="0" w:line="240" w:lineRule="auto"/>
        <w:jc w:val="both"/>
        <w:rPr>
          <w:rFonts w:ascii="Verdana" w:eastAsia="Calibri" w:hAnsi="Verdana" w:cs="Arial"/>
          <w:lang w:eastAsia="es-ES"/>
        </w:rPr>
      </w:pPr>
      <w:r w:rsidRPr="00790F0C">
        <w:rPr>
          <w:rFonts w:ascii="Verdana" w:eastAsia="Calibri" w:hAnsi="Verdana" w:cs="Arial"/>
          <w:lang w:eastAsia="es-ES"/>
        </w:rPr>
        <w:t>Señora</w:t>
      </w:r>
    </w:p>
    <w:p w14:paraId="779A8962" w14:textId="77777777" w:rsidR="007B7CF3" w:rsidRPr="00790F0C" w:rsidRDefault="007B7CF3" w:rsidP="007B7CF3">
      <w:pPr>
        <w:spacing w:after="0" w:line="240" w:lineRule="auto"/>
        <w:jc w:val="both"/>
        <w:rPr>
          <w:rFonts w:ascii="Verdana" w:eastAsia="Calibri" w:hAnsi="Verdana" w:cs="Arial"/>
          <w:b/>
          <w:bCs/>
          <w:lang w:eastAsia="es-ES"/>
        </w:rPr>
      </w:pPr>
      <w:r w:rsidRPr="00790F0C">
        <w:rPr>
          <w:rFonts w:ascii="Verdana" w:eastAsia="Calibri" w:hAnsi="Verdana" w:cs="Arial"/>
          <w:b/>
          <w:bCs/>
          <w:lang w:eastAsia="es-ES"/>
        </w:rPr>
        <w:t>Stefany Monsalve Rangel</w:t>
      </w:r>
    </w:p>
    <w:p w14:paraId="7E956105" w14:textId="77777777" w:rsidR="007B7CF3" w:rsidRPr="00790F0C" w:rsidRDefault="007B7CF3" w:rsidP="007B7CF3">
      <w:pPr>
        <w:spacing w:after="0" w:line="240" w:lineRule="auto"/>
        <w:jc w:val="both"/>
        <w:rPr>
          <w:rFonts w:ascii="Verdana" w:eastAsia="Calibri" w:hAnsi="Verdana" w:cs="Arial"/>
          <w:lang w:eastAsia="es-ES"/>
        </w:rPr>
      </w:pPr>
      <w:hyperlink r:id="rId12" w:history="1">
        <w:r w:rsidRPr="00790F0C">
          <w:rPr>
            <w:rFonts w:ascii="Verdana" w:eastAsia="Calibri" w:hAnsi="Verdana" w:cs="Arial"/>
            <w:color w:val="0563C1" w:themeColor="hyperlink"/>
            <w:u w:val="single"/>
            <w:lang w:eastAsia="es-ES"/>
          </w:rPr>
          <w:t>m.monsalve.rangel@gmail.com</w:t>
        </w:r>
      </w:hyperlink>
      <w:r w:rsidRPr="00790F0C">
        <w:rPr>
          <w:rFonts w:ascii="Verdana" w:eastAsia="Calibri" w:hAnsi="Verdana" w:cs="Arial"/>
          <w:lang w:eastAsia="es-ES"/>
        </w:rPr>
        <w:t xml:space="preserve"> </w:t>
      </w:r>
    </w:p>
    <w:p w14:paraId="43B7F6BA" w14:textId="77777777" w:rsidR="007B7CF3" w:rsidRPr="00790F0C" w:rsidRDefault="007B7CF3" w:rsidP="007B7CF3">
      <w:pPr>
        <w:spacing w:after="0" w:line="240" w:lineRule="auto"/>
        <w:rPr>
          <w:rFonts w:ascii="Verdana" w:eastAsia="Calibri" w:hAnsi="Verdana" w:cs="Arial"/>
          <w:lang w:eastAsia="es-ES"/>
        </w:rPr>
      </w:pPr>
      <w:r w:rsidRPr="00790F0C">
        <w:rPr>
          <w:rFonts w:ascii="Verdana" w:hAnsi="Verdana"/>
        </w:rPr>
        <w:t>Bogotá D.C</w:t>
      </w:r>
    </w:p>
    <w:p w14:paraId="0381056E" w14:textId="77777777" w:rsidR="007B7CF3" w:rsidRPr="00790F0C" w:rsidRDefault="007B7CF3" w:rsidP="007B7CF3">
      <w:pPr>
        <w:spacing w:after="0" w:line="240" w:lineRule="auto"/>
        <w:rPr>
          <w:rFonts w:ascii="Verdana" w:eastAsia="Calibri" w:hAnsi="Verdana" w:cs="Arial"/>
          <w:b/>
          <w:bCs/>
          <w:color w:val="000000"/>
          <w:lang w:eastAsia="es-ES_tradnl"/>
        </w:rPr>
      </w:pPr>
      <w:r w:rsidRPr="00790F0C">
        <w:rPr>
          <w:rFonts w:ascii="Verdana" w:eastAsia="Calibri" w:hAnsi="Verdana" w:cs="Arial"/>
          <w:b/>
          <w:bCs/>
          <w:color w:val="000000"/>
          <w:lang w:eastAsia="es-ES_tradnl"/>
        </w:rPr>
        <w:t xml:space="preserve"> </w:t>
      </w:r>
    </w:p>
    <w:p w14:paraId="07BA07DC" w14:textId="77777777" w:rsidR="007B7CF3" w:rsidRPr="00790F0C" w:rsidRDefault="007B7CF3" w:rsidP="007B7CF3">
      <w:pPr>
        <w:spacing w:after="0" w:line="240" w:lineRule="auto"/>
        <w:rPr>
          <w:rFonts w:ascii="Verdana" w:eastAsia="Calibri" w:hAnsi="Verdana" w:cs="Arial"/>
          <w:b/>
          <w:bCs/>
          <w:color w:val="000000"/>
          <w:lang w:eastAsia="es-ES_tradnl"/>
        </w:rPr>
      </w:pPr>
    </w:p>
    <w:p w14:paraId="06CC2D8F" w14:textId="77777777" w:rsidR="007B7CF3" w:rsidRPr="00790F0C" w:rsidRDefault="007B7CF3" w:rsidP="007B7CF3">
      <w:pPr>
        <w:spacing w:after="0" w:line="240" w:lineRule="auto"/>
        <w:jc w:val="center"/>
        <w:rPr>
          <w:rFonts w:ascii="Verdana" w:eastAsia="Calibri" w:hAnsi="Verdana" w:cs="Arial"/>
          <w:b/>
          <w:bCs/>
          <w:lang w:eastAsia="es-ES"/>
        </w:rPr>
      </w:pPr>
      <w:r w:rsidRPr="00790F0C">
        <w:rPr>
          <w:rFonts w:ascii="Verdana" w:eastAsia="Calibri" w:hAnsi="Verdana" w:cs="Arial"/>
          <w:b/>
          <w:bCs/>
          <w:lang w:eastAsia="es-ES"/>
        </w:rPr>
        <w:t>Concepto C – 852 de 2026</w:t>
      </w:r>
    </w:p>
    <w:p w14:paraId="61FC87FC" w14:textId="77777777" w:rsidR="007B7CF3" w:rsidRPr="00790F0C" w:rsidRDefault="007B7CF3" w:rsidP="007B7CF3">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B7CF3" w:rsidRPr="00790F0C" w14:paraId="208E627A" w14:textId="77777777" w:rsidTr="0044414F">
        <w:trPr>
          <w:trHeight w:val="884"/>
        </w:trPr>
        <w:tc>
          <w:tcPr>
            <w:tcW w:w="2689" w:type="dxa"/>
          </w:tcPr>
          <w:p w14:paraId="2FF9C1DD" w14:textId="77777777" w:rsidR="007B7CF3" w:rsidRPr="00790F0C" w:rsidRDefault="007B7CF3" w:rsidP="0044414F">
            <w:pPr>
              <w:jc w:val="both"/>
              <w:rPr>
                <w:rFonts w:ascii="Verdana" w:eastAsia="Calibri" w:hAnsi="Verdana" w:cs="Arial"/>
                <w:color w:val="000000"/>
                <w:lang w:eastAsia="es-ES_tradnl"/>
              </w:rPr>
            </w:pPr>
            <w:r w:rsidRPr="00790F0C">
              <w:rPr>
                <w:rFonts w:ascii="Verdana" w:eastAsia="Calibri" w:hAnsi="Verdana" w:cs="Arial"/>
                <w:b/>
                <w:color w:val="000000"/>
                <w:lang w:eastAsia="es-ES_tradnl"/>
              </w:rPr>
              <w:t>Temas:</w:t>
            </w:r>
            <w:r w:rsidRPr="00790F0C">
              <w:rPr>
                <w:rFonts w:ascii="Verdana" w:eastAsia="Calibri" w:hAnsi="Verdana" w:cs="Arial"/>
                <w:color w:val="000000"/>
                <w:lang w:eastAsia="es-ES_tradnl"/>
              </w:rPr>
              <w:t xml:space="preserve">                   </w:t>
            </w:r>
          </w:p>
        </w:tc>
        <w:tc>
          <w:tcPr>
            <w:tcW w:w="6100" w:type="dxa"/>
          </w:tcPr>
          <w:p w14:paraId="1B8F03AB" w14:textId="77777777" w:rsidR="007B7CF3" w:rsidRPr="00790F0C" w:rsidRDefault="007B7CF3" w:rsidP="0044414F">
            <w:pPr>
              <w:spacing w:line="276" w:lineRule="auto"/>
              <w:jc w:val="both"/>
              <w:rPr>
                <w:rFonts w:ascii="Verdana" w:eastAsia="Aptos" w:hAnsi="Verdana" w:cs="Times New Roman"/>
                <w:lang w:val="es-ES"/>
              </w:rPr>
            </w:pPr>
            <w:r w:rsidRPr="00790F0C">
              <w:rPr>
                <w:rFonts w:ascii="Verdana" w:eastAsia="Aptos" w:hAnsi="Verdana" w:cs="Times New Roman"/>
                <w:lang w:val="es-ES"/>
              </w:rPr>
              <w:t>Principio de Publicidad – SECOP / SECOP II </w:t>
            </w:r>
            <w:r w:rsidRPr="00790F0C">
              <w:rPr>
                <w:rFonts w:ascii="Verdana" w:eastAsia="Aptos" w:hAnsi="Verdana" w:cs="Times New Roman"/>
                <w:lang w:val="es-MX"/>
              </w:rPr>
              <w:t>–</w:t>
            </w:r>
            <w:r w:rsidRPr="00790F0C">
              <w:rPr>
                <w:rFonts w:ascii="Verdana" w:eastAsia="Aptos" w:hAnsi="Verdana" w:cs="Times New Roman"/>
                <w:lang w:val="es-ES"/>
              </w:rPr>
              <w:t xml:space="preserve"> Plataforma Transaccional </w:t>
            </w:r>
            <w:r w:rsidRPr="00790F0C">
              <w:rPr>
                <w:rFonts w:ascii="Verdana" w:eastAsia="Aptos" w:hAnsi="Verdana" w:cs="Times New Roman"/>
                <w:lang w:val="es-MX"/>
              </w:rPr>
              <w:t xml:space="preserve">– Diferencias SECOP I </w:t>
            </w:r>
            <w:r w:rsidRPr="00790F0C">
              <w:rPr>
                <w:rFonts w:ascii="Verdana" w:eastAsia="Aptos" w:hAnsi="Verdana" w:cs="Times New Roman"/>
                <w:lang w:val="es-ES"/>
              </w:rPr>
              <w:t>/ CIRCULAR EXTERNA 007 DE 2025 </w:t>
            </w:r>
            <w:r w:rsidRPr="00790F0C">
              <w:rPr>
                <w:rFonts w:ascii="Verdana" w:eastAsia="Aptos" w:hAnsi="Verdana" w:cs="Times New Roman"/>
                <w:lang w:val="es-MX"/>
              </w:rPr>
              <w:t>–</w:t>
            </w:r>
            <w:r w:rsidRPr="00790F0C">
              <w:rPr>
                <w:rFonts w:ascii="Verdana" w:eastAsia="Aptos" w:hAnsi="Verdana" w:cs="Times New Roman"/>
                <w:lang w:val="es-ES"/>
              </w:rPr>
              <w:t> Alcance – Gestión documental</w:t>
            </w:r>
          </w:p>
          <w:p w14:paraId="588C7C6E" w14:textId="77777777" w:rsidR="007B7CF3" w:rsidRPr="00790F0C" w:rsidRDefault="007B7CF3" w:rsidP="0044414F">
            <w:pPr>
              <w:spacing w:line="276" w:lineRule="auto"/>
              <w:jc w:val="both"/>
              <w:rPr>
                <w:rFonts w:ascii="Verdana" w:eastAsia="Calibri" w:hAnsi="Verdana" w:cs="Arial"/>
                <w:b/>
                <w:lang w:val="es-ES" w:eastAsia="es-ES"/>
              </w:rPr>
            </w:pPr>
          </w:p>
        </w:tc>
      </w:tr>
      <w:tr w:rsidR="007B7CF3" w:rsidRPr="00790F0C" w14:paraId="0B031E6F" w14:textId="77777777" w:rsidTr="0044414F">
        <w:tc>
          <w:tcPr>
            <w:tcW w:w="2689" w:type="dxa"/>
          </w:tcPr>
          <w:p w14:paraId="1164A5FC" w14:textId="77777777" w:rsidR="007B7CF3" w:rsidRPr="00790F0C" w:rsidRDefault="007B7CF3" w:rsidP="0044414F">
            <w:pPr>
              <w:jc w:val="both"/>
              <w:rPr>
                <w:rFonts w:ascii="Verdana" w:eastAsia="Calibri" w:hAnsi="Verdana" w:cs="Arial"/>
                <w:b/>
                <w:lang w:eastAsia="es-ES_tradnl"/>
              </w:rPr>
            </w:pPr>
            <w:r w:rsidRPr="00790F0C">
              <w:rPr>
                <w:rFonts w:ascii="Verdana" w:eastAsia="Calibri" w:hAnsi="Verdana" w:cs="Arial"/>
                <w:b/>
                <w:lang w:eastAsia="es-ES_tradnl"/>
              </w:rPr>
              <w:t>Radicación:</w:t>
            </w:r>
            <w:r w:rsidRPr="00790F0C">
              <w:rPr>
                <w:rFonts w:ascii="Verdana" w:eastAsia="Calibri" w:hAnsi="Verdana" w:cs="Arial"/>
                <w:lang w:eastAsia="es-ES_tradnl"/>
              </w:rPr>
              <w:t xml:space="preserve">               </w:t>
            </w:r>
          </w:p>
        </w:tc>
        <w:tc>
          <w:tcPr>
            <w:tcW w:w="6100" w:type="dxa"/>
          </w:tcPr>
          <w:p w14:paraId="5D4068D8" w14:textId="77777777" w:rsidR="007B7CF3" w:rsidRPr="00790F0C" w:rsidRDefault="007B7CF3" w:rsidP="0044414F">
            <w:pPr>
              <w:spacing w:line="276" w:lineRule="auto"/>
              <w:jc w:val="both"/>
              <w:rPr>
                <w:rFonts w:ascii="Verdana" w:eastAsia="Calibri" w:hAnsi="Verdana" w:cs="Arial"/>
                <w:lang w:eastAsia="es-ES_tradnl"/>
              </w:rPr>
            </w:pPr>
            <w:r w:rsidRPr="00790F0C">
              <w:rPr>
                <w:rFonts w:ascii="Verdana" w:eastAsia="Calibri" w:hAnsi="Verdana" w:cs="Arial"/>
                <w:lang w:eastAsia="es-ES_tradnl"/>
              </w:rPr>
              <w:t>Respuesta a la consulta con radicado No. 1_2026_05_21_006868</w:t>
            </w:r>
          </w:p>
        </w:tc>
      </w:tr>
    </w:tbl>
    <w:p w14:paraId="11B33463" w14:textId="77777777" w:rsidR="007B7CF3" w:rsidRPr="00790F0C" w:rsidRDefault="007B7CF3" w:rsidP="007B7CF3">
      <w:pPr>
        <w:spacing w:after="0" w:line="240" w:lineRule="auto"/>
        <w:jc w:val="both"/>
        <w:rPr>
          <w:rFonts w:ascii="Verdana" w:eastAsia="Calibri" w:hAnsi="Verdana" w:cs="Arial"/>
          <w:color w:val="000000"/>
          <w:lang w:eastAsia="es-ES_tradnl"/>
        </w:rPr>
      </w:pPr>
    </w:p>
    <w:p w14:paraId="22ED65F3" w14:textId="77777777" w:rsidR="007B7CF3" w:rsidRPr="00790F0C" w:rsidRDefault="007B7CF3" w:rsidP="007B7CF3">
      <w:pPr>
        <w:spacing w:after="0" w:line="276" w:lineRule="auto"/>
        <w:jc w:val="both"/>
        <w:rPr>
          <w:rFonts w:ascii="Verdana" w:eastAsia="Calibri" w:hAnsi="Verdana" w:cs="Arial"/>
          <w:lang w:eastAsia="es-ES"/>
        </w:rPr>
      </w:pPr>
      <w:r w:rsidRPr="00790F0C">
        <w:rPr>
          <w:rFonts w:ascii="Verdana" w:eastAsia="Calibri" w:hAnsi="Verdana" w:cs="Arial"/>
          <w:lang w:eastAsia="es-ES"/>
        </w:rPr>
        <w:t xml:space="preserve">Estimada señora Monsalve: </w:t>
      </w:r>
    </w:p>
    <w:p w14:paraId="086CE6A9" w14:textId="77777777" w:rsidR="007B7CF3" w:rsidRPr="00790F0C" w:rsidRDefault="007B7CF3" w:rsidP="007B7CF3">
      <w:pPr>
        <w:tabs>
          <w:tab w:val="left" w:pos="3768"/>
        </w:tabs>
        <w:spacing w:after="0" w:line="276" w:lineRule="auto"/>
        <w:jc w:val="both"/>
        <w:rPr>
          <w:rFonts w:ascii="Verdana" w:eastAsia="Calibri" w:hAnsi="Verdana" w:cs="Arial"/>
          <w:color w:val="000000" w:themeColor="text1"/>
          <w:lang w:eastAsia="es-ES"/>
        </w:rPr>
      </w:pPr>
      <w:r w:rsidRPr="00790F0C">
        <w:rPr>
          <w:rFonts w:ascii="Verdana" w:eastAsia="Calibri" w:hAnsi="Verdana" w:cs="Arial"/>
          <w:color w:val="000000" w:themeColor="text1"/>
          <w:lang w:eastAsia="es-ES"/>
        </w:rPr>
        <w:tab/>
      </w:r>
    </w:p>
    <w:p w14:paraId="54D98A87" w14:textId="77777777" w:rsidR="007B7CF3" w:rsidRPr="00790F0C" w:rsidRDefault="007B7CF3" w:rsidP="007B7CF3">
      <w:pPr>
        <w:spacing w:after="0" w:line="276" w:lineRule="auto"/>
        <w:jc w:val="both"/>
        <w:rPr>
          <w:rFonts w:ascii="Verdana" w:eastAsia="Calibri" w:hAnsi="Verdana" w:cs="Arial"/>
          <w:i/>
          <w:iCs/>
          <w:lang w:eastAsia="es-ES"/>
        </w:rPr>
      </w:pPr>
      <w:r w:rsidRPr="00790F0C">
        <w:rPr>
          <w:rFonts w:ascii="Verdana" w:eastAsia="Calibri" w:hAnsi="Verdana" w:cs="Arial"/>
          <w:color w:val="000000" w:themeColor="text1"/>
          <w:lang w:eastAsia="es-ES"/>
        </w:rPr>
        <w:t>En ejercicio de la competencia otorgada por los artículos 3, numeral 5º, y 11, numeral 8º, del Decreto Ley 4170 de 2011,</w:t>
      </w:r>
      <w:r w:rsidRPr="00790F0C">
        <w:rPr>
          <w:rFonts w:ascii="Verdana" w:hAnsi="Verdana" w:cs="Arial"/>
          <w:lang w:val="es-ES_tradnl"/>
        </w:rPr>
        <w:t xml:space="preserve"> así como lo establecido en</w:t>
      </w:r>
      <w:r w:rsidRPr="00790F0C">
        <w:rPr>
          <w:rFonts w:ascii="Verdana" w:hAnsi="Verdana" w:cs="Arial"/>
        </w:rPr>
        <w:t xml:space="preserve"> la Resolución 469 de 2025 expedida por esta Entidad, </w:t>
      </w:r>
      <w:r w:rsidRPr="00790F0C">
        <w:rPr>
          <w:rFonts w:ascii="Verdana" w:eastAsia="Calibri" w:hAnsi="Verdana" w:cs="Arial"/>
          <w:color w:val="000000" w:themeColor="text1"/>
          <w:lang w:eastAsia="es-ES"/>
        </w:rPr>
        <w:t xml:space="preserve">la Agencia Nacional de Contratación Pública – Colombia Compra Eficiente su solicitud de concepto del 21 de mayo de 2026, </w:t>
      </w:r>
      <w:r w:rsidRPr="00790F0C">
        <w:rPr>
          <w:rFonts w:ascii="Verdana" w:eastAsia="Calibri" w:hAnsi="Verdana" w:cs="Arial"/>
          <w:lang w:eastAsia="es-ES"/>
        </w:rPr>
        <w:t>en el cual pregunta lo siguiente:</w:t>
      </w:r>
      <w:r w:rsidRPr="00790F0C">
        <w:rPr>
          <w:rFonts w:ascii="Verdana" w:eastAsia="Calibri" w:hAnsi="Verdana" w:cs="Arial"/>
          <w:i/>
          <w:iCs/>
          <w:lang w:eastAsia="es-ES"/>
        </w:rPr>
        <w:t xml:space="preserve"> </w:t>
      </w:r>
      <w:r w:rsidRPr="00790F0C">
        <w:rPr>
          <w:rFonts w:ascii="Verdana" w:eastAsia="Calibri" w:hAnsi="Verdana" w:cs="Arial"/>
          <w:color w:val="000000" w:themeColor="text1"/>
          <w:lang w:eastAsia="es-ES"/>
        </w:rPr>
        <w:t xml:space="preserve"> </w:t>
      </w:r>
      <w:bookmarkStart w:id="2" w:name="_Hlk95313578"/>
    </w:p>
    <w:p w14:paraId="38A45288" w14:textId="77777777" w:rsidR="007B7CF3" w:rsidRPr="00790F0C" w:rsidRDefault="007B7CF3" w:rsidP="007B7CF3">
      <w:pPr>
        <w:spacing w:after="0" w:line="276" w:lineRule="auto"/>
        <w:jc w:val="both"/>
        <w:rPr>
          <w:rFonts w:ascii="Verdana" w:eastAsia="Calibri" w:hAnsi="Verdana" w:cs="Arial"/>
          <w:i/>
          <w:iCs/>
          <w:lang w:eastAsia="es-ES"/>
        </w:rPr>
      </w:pPr>
    </w:p>
    <w:p w14:paraId="12FEFE0E" w14:textId="77777777" w:rsidR="007B7CF3" w:rsidRPr="00790F0C" w:rsidRDefault="007B7CF3" w:rsidP="007B7CF3">
      <w:pPr>
        <w:spacing w:after="0" w:line="240" w:lineRule="auto"/>
        <w:ind w:left="709" w:right="709"/>
        <w:jc w:val="both"/>
        <w:rPr>
          <w:rFonts w:ascii="Verdana" w:eastAsia="Arial" w:hAnsi="Verdana" w:cs="Arial"/>
          <w:iCs/>
          <w:color w:val="000000"/>
          <w:sz w:val="20"/>
          <w:szCs w:val="20"/>
        </w:rPr>
      </w:pPr>
      <w:r w:rsidRPr="00790F0C">
        <w:rPr>
          <w:rFonts w:ascii="Verdana" w:eastAsia="Arial" w:hAnsi="Verdana" w:cs="Arial"/>
          <w:iCs/>
          <w:color w:val="000000"/>
          <w:sz w:val="20"/>
          <w:szCs w:val="20"/>
        </w:rPr>
        <w:t>“</w:t>
      </w:r>
      <w:bookmarkEnd w:id="2"/>
      <w:r w:rsidRPr="00790F0C">
        <w:rPr>
          <w:rFonts w:ascii="Verdana" w:eastAsia="Calibri" w:hAnsi="Verdana" w:cs="Arial"/>
          <w:color w:val="000000"/>
          <w:sz w:val="20"/>
          <w:szCs w:val="20"/>
        </w:rPr>
        <w:t>[…]</w:t>
      </w:r>
    </w:p>
    <w:p w14:paraId="5B651FF9" w14:textId="77777777" w:rsidR="007B7CF3" w:rsidRPr="00790F0C" w:rsidRDefault="007B7CF3" w:rsidP="007B7CF3">
      <w:pPr>
        <w:spacing w:after="0" w:line="240" w:lineRule="auto"/>
        <w:ind w:left="709" w:right="709"/>
        <w:jc w:val="both"/>
        <w:rPr>
          <w:rFonts w:ascii="Verdana" w:eastAsia="Arial" w:hAnsi="Verdana" w:cs="Arial"/>
          <w:i/>
          <w:color w:val="000000"/>
          <w:sz w:val="20"/>
          <w:szCs w:val="20"/>
        </w:rPr>
      </w:pPr>
    </w:p>
    <w:p w14:paraId="518878D6" w14:textId="77777777" w:rsidR="007B7CF3" w:rsidRPr="00790F0C" w:rsidRDefault="007B7CF3" w:rsidP="007B7CF3">
      <w:pPr>
        <w:spacing w:after="0" w:line="240" w:lineRule="auto"/>
        <w:ind w:left="709" w:right="709"/>
        <w:jc w:val="both"/>
        <w:rPr>
          <w:rFonts w:ascii="Verdana" w:hAnsi="Verdana"/>
          <w:sz w:val="20"/>
          <w:szCs w:val="20"/>
        </w:rPr>
      </w:pPr>
      <w:r w:rsidRPr="00790F0C">
        <w:rPr>
          <w:rFonts w:ascii="Verdana" w:hAnsi="Verdana"/>
          <w:sz w:val="20"/>
          <w:szCs w:val="20"/>
        </w:rPr>
        <w:t>1. ¿Cuál es el alcance jurídico actual del SECOP II respecto de la conformación, administración, conservación y valor probatorio del expediente contractual electrónico, indicando expresamente si Colombia Compra Eficiente considera que el expediente contenido en dicha plataforma constituye un expediente electrónico integral del proceso contractual o si, por el contrario, corresponde únicamente a una herramienta transaccional y de publicidad contractual?</w:t>
      </w:r>
    </w:p>
    <w:p w14:paraId="7B907A5D" w14:textId="77777777" w:rsidR="007B7CF3" w:rsidRPr="00790F0C" w:rsidRDefault="007B7CF3" w:rsidP="007B7CF3">
      <w:pPr>
        <w:spacing w:after="0" w:line="240" w:lineRule="auto"/>
        <w:ind w:left="709" w:right="709"/>
        <w:jc w:val="both"/>
        <w:rPr>
          <w:rFonts w:ascii="Verdana" w:hAnsi="Verdana"/>
          <w:sz w:val="20"/>
          <w:szCs w:val="20"/>
        </w:rPr>
      </w:pPr>
    </w:p>
    <w:p w14:paraId="70B32CB5" w14:textId="77777777" w:rsidR="007B7CF3" w:rsidRPr="00790F0C" w:rsidRDefault="007B7CF3" w:rsidP="007B7CF3">
      <w:pPr>
        <w:spacing w:after="0" w:line="240" w:lineRule="auto"/>
        <w:ind w:left="709" w:right="709"/>
        <w:jc w:val="both"/>
        <w:rPr>
          <w:rFonts w:ascii="Verdana" w:hAnsi="Verdana"/>
          <w:sz w:val="20"/>
          <w:szCs w:val="20"/>
        </w:rPr>
      </w:pPr>
      <w:r w:rsidRPr="00790F0C">
        <w:rPr>
          <w:rFonts w:ascii="Verdana" w:hAnsi="Verdana"/>
          <w:sz w:val="20"/>
          <w:szCs w:val="20"/>
        </w:rPr>
        <w:t xml:space="preserve">2. ¿Cómo se armoniza el contenido de la Circular Externa No. 007 de 2025 con los lineamientos, conceptos, manuales, instructivos y capacitaciones históricamente emitidos por Colombia Compra Eficiente, en los cuales se promovió el SECOP II como mecanismo para crear, conformar y gestionar electrónicamente los expedientes contractuales? ¿A partir de que </w:t>
      </w:r>
      <w:r w:rsidRPr="00790F0C">
        <w:rPr>
          <w:rFonts w:ascii="Verdana" w:hAnsi="Verdana"/>
          <w:sz w:val="20"/>
          <w:szCs w:val="20"/>
        </w:rPr>
        <w:lastRenderedPageBreak/>
        <w:t>momento rige la Circular 007 de 2025 en el entendido desde que fecha las Entidades Estatales deben empezar a crear nuevamente expedientes físicos o híbridos de sus procesos contractuales?</w:t>
      </w:r>
    </w:p>
    <w:p w14:paraId="24C6FD63" w14:textId="77777777" w:rsidR="007B7CF3" w:rsidRPr="00790F0C" w:rsidRDefault="007B7CF3" w:rsidP="007B7CF3">
      <w:pPr>
        <w:spacing w:after="0" w:line="240" w:lineRule="auto"/>
        <w:ind w:left="709" w:right="709"/>
        <w:jc w:val="both"/>
        <w:rPr>
          <w:rFonts w:ascii="Verdana" w:hAnsi="Verdana"/>
          <w:sz w:val="20"/>
          <w:szCs w:val="20"/>
        </w:rPr>
      </w:pPr>
    </w:p>
    <w:p w14:paraId="00F38C85" w14:textId="77777777" w:rsidR="007B7CF3" w:rsidRPr="00790F0C" w:rsidRDefault="007B7CF3" w:rsidP="007B7CF3">
      <w:pPr>
        <w:spacing w:after="0" w:line="240" w:lineRule="auto"/>
        <w:ind w:left="709" w:right="709"/>
        <w:jc w:val="both"/>
        <w:rPr>
          <w:rFonts w:ascii="Verdana" w:hAnsi="Verdana"/>
          <w:sz w:val="20"/>
          <w:szCs w:val="20"/>
        </w:rPr>
      </w:pPr>
      <w:r w:rsidRPr="00790F0C">
        <w:rPr>
          <w:rFonts w:ascii="Verdana" w:hAnsi="Verdana"/>
          <w:sz w:val="20"/>
          <w:szCs w:val="20"/>
        </w:rPr>
        <w:t>3. ¿Qué efectos jurídicos tiene este nuevo criterio frente a los procesos contractuales gestionados íntegramente en SECOP II desde el año 2017, especialmente en aquellas Entidades Estatales que dejaron de conformar expedientes físicos o híbridos confiando en los lineamientos emitidos por Colombia Compra Eficiente?</w:t>
      </w:r>
    </w:p>
    <w:p w14:paraId="1A627DB8" w14:textId="77777777" w:rsidR="007B7CF3" w:rsidRPr="00790F0C" w:rsidRDefault="007B7CF3" w:rsidP="007B7CF3">
      <w:pPr>
        <w:spacing w:after="0" w:line="240" w:lineRule="auto"/>
        <w:ind w:left="709" w:right="709"/>
        <w:jc w:val="both"/>
        <w:rPr>
          <w:rFonts w:ascii="Verdana" w:hAnsi="Verdana"/>
          <w:sz w:val="20"/>
          <w:szCs w:val="20"/>
        </w:rPr>
      </w:pPr>
    </w:p>
    <w:p w14:paraId="4F7DC68C" w14:textId="77777777" w:rsidR="007B7CF3" w:rsidRPr="00790F0C" w:rsidRDefault="007B7CF3" w:rsidP="007B7CF3">
      <w:pPr>
        <w:spacing w:after="0" w:line="240" w:lineRule="auto"/>
        <w:ind w:left="709" w:right="709"/>
        <w:jc w:val="both"/>
        <w:rPr>
          <w:rFonts w:ascii="Verdana" w:hAnsi="Verdana"/>
          <w:sz w:val="20"/>
          <w:szCs w:val="20"/>
        </w:rPr>
      </w:pPr>
      <w:r w:rsidRPr="00790F0C">
        <w:rPr>
          <w:rFonts w:ascii="Verdana" w:hAnsi="Verdana"/>
          <w:sz w:val="20"/>
          <w:szCs w:val="20"/>
        </w:rPr>
        <w:t>4. ¿Las Entidades Estatales que gestionaron sus procesos contractuales exclusivamente a través de SECOP II podrían entenderse actualmente en incumplimiento de las obligaciones archivísticas previstas en la Ley 594 de 2000 y demás normas concordantes?</w:t>
      </w:r>
    </w:p>
    <w:p w14:paraId="2736D1E0" w14:textId="77777777" w:rsidR="007B7CF3" w:rsidRPr="00790F0C" w:rsidRDefault="007B7CF3" w:rsidP="007B7CF3">
      <w:pPr>
        <w:spacing w:after="0" w:line="240" w:lineRule="auto"/>
        <w:ind w:left="709" w:right="709"/>
        <w:jc w:val="both"/>
        <w:rPr>
          <w:rFonts w:ascii="Verdana" w:hAnsi="Verdana"/>
          <w:sz w:val="20"/>
          <w:szCs w:val="20"/>
        </w:rPr>
      </w:pPr>
    </w:p>
    <w:p w14:paraId="7D1E3478" w14:textId="77777777" w:rsidR="007B7CF3" w:rsidRPr="00790F0C" w:rsidRDefault="007B7CF3" w:rsidP="007B7CF3">
      <w:pPr>
        <w:spacing w:after="0" w:line="240" w:lineRule="auto"/>
        <w:ind w:left="709" w:right="709"/>
        <w:jc w:val="both"/>
        <w:rPr>
          <w:rFonts w:ascii="Verdana" w:hAnsi="Verdana"/>
          <w:sz w:val="20"/>
          <w:szCs w:val="20"/>
        </w:rPr>
      </w:pPr>
      <w:r w:rsidRPr="00790F0C">
        <w:rPr>
          <w:rFonts w:ascii="Verdana" w:hAnsi="Verdana"/>
          <w:sz w:val="20"/>
          <w:szCs w:val="20"/>
        </w:rPr>
        <w:t>5. ¿Qué medidas deberán adoptar las Entidades Estatales respecto de los expedientes contractuales históricos gestionados exclusivamente en SECOP II para garantizar su conservación, autenticidad, integridad, disponibilidad y valor probatorio?</w:t>
      </w:r>
    </w:p>
    <w:p w14:paraId="0ACFE558" w14:textId="77777777" w:rsidR="007B7CF3" w:rsidRPr="00790F0C" w:rsidRDefault="007B7CF3" w:rsidP="007B7CF3">
      <w:pPr>
        <w:spacing w:after="0" w:line="240" w:lineRule="auto"/>
        <w:ind w:left="709" w:right="709"/>
        <w:jc w:val="both"/>
        <w:rPr>
          <w:rFonts w:ascii="Verdana" w:hAnsi="Verdana"/>
          <w:sz w:val="20"/>
          <w:szCs w:val="20"/>
        </w:rPr>
      </w:pPr>
    </w:p>
    <w:p w14:paraId="649E1D49" w14:textId="77777777" w:rsidR="007B7CF3" w:rsidRPr="00790F0C" w:rsidRDefault="007B7CF3" w:rsidP="007B7CF3">
      <w:pPr>
        <w:spacing w:after="0" w:line="240" w:lineRule="auto"/>
        <w:ind w:left="709" w:right="709"/>
        <w:jc w:val="both"/>
        <w:rPr>
          <w:rFonts w:ascii="Verdana" w:hAnsi="Verdana"/>
          <w:sz w:val="20"/>
          <w:szCs w:val="20"/>
        </w:rPr>
      </w:pPr>
      <w:r w:rsidRPr="00790F0C">
        <w:rPr>
          <w:rFonts w:ascii="Verdana" w:hAnsi="Verdana"/>
          <w:sz w:val="20"/>
          <w:szCs w:val="20"/>
        </w:rPr>
        <w:t>6. ¿Qué alcance tiene el principio de confianza legítima frente a las Entidades Estatales que, atendiendo las directrices históricas de Colombia Compra Eficiente, asumieron que el SECOP II constituía el expediente electrónico oficial del proceso contractual?</w:t>
      </w:r>
    </w:p>
    <w:p w14:paraId="20D65BD4" w14:textId="77777777" w:rsidR="007B7CF3" w:rsidRPr="00790F0C" w:rsidRDefault="007B7CF3" w:rsidP="007B7CF3">
      <w:pPr>
        <w:spacing w:after="0" w:line="240" w:lineRule="auto"/>
        <w:ind w:left="709" w:right="709"/>
        <w:jc w:val="both"/>
        <w:rPr>
          <w:rFonts w:ascii="Verdana" w:hAnsi="Verdana"/>
          <w:sz w:val="20"/>
          <w:szCs w:val="20"/>
        </w:rPr>
      </w:pPr>
    </w:p>
    <w:p w14:paraId="5A8D937B" w14:textId="77777777" w:rsidR="007B7CF3" w:rsidRPr="00790F0C" w:rsidRDefault="007B7CF3" w:rsidP="007B7CF3">
      <w:pPr>
        <w:spacing w:after="0" w:line="240" w:lineRule="auto"/>
        <w:ind w:left="709" w:right="709"/>
        <w:jc w:val="both"/>
        <w:rPr>
          <w:rFonts w:ascii="Verdana" w:hAnsi="Verdana"/>
          <w:sz w:val="20"/>
          <w:szCs w:val="20"/>
        </w:rPr>
      </w:pPr>
      <w:r w:rsidRPr="00790F0C">
        <w:rPr>
          <w:rFonts w:ascii="Verdana" w:hAnsi="Verdana"/>
          <w:sz w:val="20"/>
          <w:szCs w:val="20"/>
        </w:rPr>
        <w:t>7. ¿Cuáles son las medidas concretas que Colombia Compra Eficiente recomienda adoptar para regularizar, subsanar o fortalecer la gestión documental y archivística de los expedientes contractuales históricos gestionados exclusivamente a través de SECOP II?”</w:t>
      </w:r>
    </w:p>
    <w:p w14:paraId="045FA9C2" w14:textId="77777777" w:rsidR="007B7CF3" w:rsidRPr="00790F0C" w:rsidRDefault="007B7CF3" w:rsidP="007B7CF3">
      <w:pPr>
        <w:spacing w:after="0" w:line="240" w:lineRule="auto"/>
        <w:ind w:left="709" w:right="709"/>
        <w:jc w:val="both"/>
        <w:rPr>
          <w:rFonts w:ascii="Verdana" w:hAnsi="Verdana"/>
          <w:sz w:val="20"/>
          <w:szCs w:val="20"/>
        </w:rPr>
      </w:pPr>
    </w:p>
    <w:p w14:paraId="6500234F" w14:textId="77777777" w:rsidR="007B7CF3" w:rsidRPr="00790F0C" w:rsidRDefault="007B7CF3" w:rsidP="007B7CF3">
      <w:pPr>
        <w:spacing w:after="120" w:line="276" w:lineRule="auto"/>
        <w:ind w:firstLine="709"/>
        <w:jc w:val="both"/>
        <w:rPr>
          <w:rFonts w:ascii="Verdana" w:eastAsia="Calibri" w:hAnsi="Verdana" w:cs="Arial"/>
          <w:color w:val="000000"/>
          <w:lang w:eastAsia="es-ES"/>
        </w:rPr>
      </w:pPr>
      <w:r w:rsidRPr="00790F0C">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90F0C">
        <w:rPr>
          <w:rFonts w:ascii="Verdana" w:eastAsia="Calibri" w:hAnsi="Verdana" w:cs="Arial"/>
          <w:color w:val="000000"/>
          <w:szCs w:val="24"/>
          <w:lang w:eastAsia="es-ES_tradnl"/>
        </w:rPr>
        <w:tab/>
      </w:r>
    </w:p>
    <w:p w14:paraId="51577181" w14:textId="77777777" w:rsidR="007B7CF3" w:rsidRPr="00790F0C" w:rsidRDefault="007B7CF3" w:rsidP="007B7CF3">
      <w:pPr>
        <w:spacing w:after="0" w:line="276" w:lineRule="auto"/>
        <w:ind w:firstLine="709"/>
        <w:jc w:val="both"/>
        <w:rPr>
          <w:rFonts w:ascii="Verdana" w:eastAsia="Calibri" w:hAnsi="Verdana" w:cs="Arial"/>
          <w:color w:val="000000"/>
          <w:lang w:eastAsia="es-ES"/>
        </w:rPr>
      </w:pPr>
      <w:r w:rsidRPr="00790F0C">
        <w:rPr>
          <w:rFonts w:ascii="Verdana" w:eastAsia="Calibri" w:hAnsi="Verdana" w:cs="Arial"/>
          <w:color w:val="000000"/>
          <w:lang w:eastAsia="es-ES"/>
        </w:rPr>
        <w:lastRenderedPageBreak/>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en materias de compras y contratación pública relacionadas con los</w:t>
      </w:r>
      <w:r w:rsidRPr="00790F0C">
        <w:rPr>
          <w:rFonts w:ascii="Verdana" w:eastAsia="Calibri" w:hAnsi="Verdana" w:cs="Arial"/>
          <w:color w:val="7030A0"/>
          <w:lang w:eastAsia="es-ES"/>
        </w:rPr>
        <w:t xml:space="preserve"> </w:t>
      </w:r>
      <w:r w:rsidRPr="00790F0C">
        <w:rPr>
          <w:rFonts w:ascii="Verdana" w:eastAsia="Calibri" w:hAnsi="Verdana" w:cs="Arial"/>
          <w:color w:val="000000"/>
          <w:lang w:eastAsia="es-ES"/>
        </w:rPr>
        <w:t>problemas</w:t>
      </w:r>
      <w:r w:rsidRPr="00790F0C">
        <w:rPr>
          <w:rFonts w:ascii="Verdana" w:eastAsia="Calibri" w:hAnsi="Verdana" w:cs="Arial"/>
          <w:color w:val="7030A0"/>
          <w:lang w:eastAsia="es-ES"/>
        </w:rPr>
        <w:t xml:space="preserve"> </w:t>
      </w:r>
      <w:r w:rsidRPr="00790F0C">
        <w:rPr>
          <w:rFonts w:ascii="Verdana" w:eastAsia="Calibri" w:hAnsi="Verdana" w:cs="Arial"/>
          <w:color w:val="000000"/>
          <w:lang w:eastAsia="es-ES"/>
        </w:rPr>
        <w:t>jurídicos</w:t>
      </w:r>
      <w:r w:rsidRPr="00790F0C">
        <w:rPr>
          <w:rFonts w:ascii="Verdana" w:eastAsia="Calibri" w:hAnsi="Verdana" w:cs="Arial"/>
          <w:color w:val="7030A0"/>
          <w:lang w:eastAsia="es-ES"/>
        </w:rPr>
        <w:t xml:space="preserve"> </w:t>
      </w:r>
      <w:r w:rsidRPr="00790F0C">
        <w:rPr>
          <w:rFonts w:ascii="Verdana" w:eastAsia="Calibri" w:hAnsi="Verdana" w:cs="Arial"/>
          <w:color w:val="000000"/>
          <w:lang w:eastAsia="es-ES"/>
        </w:rPr>
        <w:t xml:space="preserve">de su consulta. </w:t>
      </w:r>
    </w:p>
    <w:p w14:paraId="22AA399B" w14:textId="77777777" w:rsidR="007B7CF3" w:rsidRPr="00790F0C" w:rsidRDefault="007B7CF3" w:rsidP="007B7CF3">
      <w:pPr>
        <w:spacing w:after="0" w:line="276" w:lineRule="auto"/>
        <w:ind w:firstLine="709"/>
        <w:jc w:val="both"/>
        <w:rPr>
          <w:rFonts w:ascii="Verdana" w:eastAsia="Calibri" w:hAnsi="Verdana" w:cs="Arial"/>
          <w:color w:val="000000"/>
          <w:lang w:eastAsia="es-ES"/>
        </w:rPr>
      </w:pPr>
    </w:p>
    <w:p w14:paraId="7770BDAE" w14:textId="77777777" w:rsidR="007B7CF3" w:rsidRPr="00790F0C" w:rsidRDefault="007B7CF3" w:rsidP="007B7CF3">
      <w:pPr>
        <w:numPr>
          <w:ilvl w:val="0"/>
          <w:numId w:val="1"/>
        </w:numPr>
        <w:tabs>
          <w:tab w:val="left" w:pos="142"/>
          <w:tab w:val="left" w:pos="284"/>
        </w:tabs>
        <w:spacing w:after="0" w:line="276" w:lineRule="auto"/>
        <w:jc w:val="both"/>
        <w:rPr>
          <w:rFonts w:ascii="Verdana" w:eastAsia="Century Gothic" w:hAnsi="Verdana" w:cs="Century Gothic"/>
          <w:b/>
          <w:bCs/>
        </w:rPr>
      </w:pPr>
      <w:r w:rsidRPr="00790F0C">
        <w:rPr>
          <w:rFonts w:ascii="Verdana" w:eastAsia="Century Gothic" w:hAnsi="Verdana" w:cs="Century Gothic"/>
          <w:b/>
          <w:bCs/>
        </w:rPr>
        <w:t>Problemas planteados:</w:t>
      </w:r>
    </w:p>
    <w:p w14:paraId="3B29BC44" w14:textId="77777777" w:rsidR="007B7CF3" w:rsidRPr="00790F0C" w:rsidRDefault="007B7CF3" w:rsidP="007B7CF3">
      <w:pPr>
        <w:tabs>
          <w:tab w:val="left" w:pos="426"/>
        </w:tabs>
        <w:spacing w:after="0" w:line="276" w:lineRule="auto"/>
        <w:jc w:val="both"/>
        <w:rPr>
          <w:rFonts w:ascii="Verdana" w:eastAsia="Century Gothic" w:hAnsi="Verdana" w:cs="Century Gothic"/>
        </w:rPr>
      </w:pPr>
    </w:p>
    <w:p w14:paraId="4B284083" w14:textId="77777777" w:rsidR="007B7CF3" w:rsidRPr="00790F0C" w:rsidRDefault="007B7CF3" w:rsidP="007B7CF3">
      <w:pPr>
        <w:spacing w:after="0" w:line="276" w:lineRule="auto"/>
        <w:jc w:val="both"/>
        <w:rPr>
          <w:rFonts w:ascii="Verdana" w:eastAsia="Century Gothic" w:hAnsi="Verdana" w:cs="Century Gothic"/>
        </w:rPr>
      </w:pPr>
      <w:r w:rsidRPr="00790F0C">
        <w:rPr>
          <w:rFonts w:ascii="Verdana" w:eastAsia="Century Gothic" w:hAnsi="Verdana" w:cs="Century Gothic"/>
        </w:rPr>
        <w:t xml:space="preserve">De acuerdo con el contenido de su solicitud, esta Agencia resolverá el siguiente problema jurídico: </w:t>
      </w:r>
      <w:r w:rsidRPr="00790F0C">
        <w:rPr>
          <w:rFonts w:ascii="Verdana" w:eastAsia="Calibri" w:hAnsi="Verdana" w:cs="Arial"/>
          <w:lang w:eastAsia="es-ES"/>
        </w:rPr>
        <w:t xml:space="preserve">¿Cuál es el alcance de la conformación y gestión de los expedientes electrónicos del proceso de contratación en el SECOP, de conformidad con lo señalado en la Circular Externa No. 007 de 2025? </w:t>
      </w:r>
    </w:p>
    <w:p w14:paraId="623FCA30" w14:textId="77777777" w:rsidR="007B7CF3" w:rsidRPr="00790F0C" w:rsidRDefault="007B7CF3" w:rsidP="007B7CF3">
      <w:pPr>
        <w:spacing w:after="0" w:line="276" w:lineRule="auto"/>
        <w:jc w:val="both"/>
        <w:rPr>
          <w:rFonts w:ascii="Verdana" w:eastAsia="Calibri" w:hAnsi="Verdana" w:cs="Arial"/>
          <w:color w:val="7030A0"/>
        </w:rPr>
      </w:pPr>
    </w:p>
    <w:p w14:paraId="443C8328" w14:textId="77777777" w:rsidR="007B7CF3" w:rsidRPr="00790F0C" w:rsidRDefault="007B7CF3" w:rsidP="007B7CF3">
      <w:pPr>
        <w:numPr>
          <w:ilvl w:val="0"/>
          <w:numId w:val="1"/>
        </w:numPr>
        <w:tabs>
          <w:tab w:val="left" w:pos="142"/>
          <w:tab w:val="left" w:pos="284"/>
        </w:tabs>
        <w:spacing w:after="0" w:line="276" w:lineRule="auto"/>
        <w:jc w:val="both"/>
        <w:rPr>
          <w:rFonts w:ascii="Verdana" w:eastAsia="Century Gothic" w:hAnsi="Verdana" w:cs="Century Gothic"/>
          <w:b/>
          <w:bCs/>
        </w:rPr>
      </w:pPr>
      <w:r w:rsidRPr="00790F0C">
        <w:rPr>
          <w:rFonts w:ascii="Verdana" w:eastAsia="Century Gothic" w:hAnsi="Verdana" w:cs="Century Gothic"/>
          <w:b/>
          <w:bCs/>
        </w:rPr>
        <w:t>Respuestas:</w:t>
      </w:r>
    </w:p>
    <w:p w14:paraId="608068B3" w14:textId="77777777" w:rsidR="007B7CF3" w:rsidRPr="00790F0C" w:rsidRDefault="007B7CF3" w:rsidP="007B7CF3">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B7CF3" w:rsidRPr="00790F0C" w14:paraId="3D84132A" w14:textId="77777777" w:rsidTr="0044414F">
        <w:trPr>
          <w:trHeight w:val="694"/>
          <w:jc w:val="center"/>
        </w:trPr>
        <w:tc>
          <w:tcPr>
            <w:tcW w:w="8828" w:type="dxa"/>
          </w:tcPr>
          <w:p w14:paraId="393D8CB2" w14:textId="77777777" w:rsidR="007B7CF3" w:rsidRPr="00790F0C" w:rsidRDefault="007B7CF3" w:rsidP="0044414F">
            <w:pPr>
              <w:spacing w:after="120" w:line="276" w:lineRule="auto"/>
              <w:jc w:val="both"/>
              <w:rPr>
                <w:rFonts w:ascii="Verdana" w:hAnsi="Verdana"/>
              </w:rPr>
            </w:pPr>
            <w:bookmarkStart w:id="3" w:name="_Hlk171694685"/>
            <w:r w:rsidRPr="00790F0C">
              <w:rPr>
                <w:rFonts w:ascii="Verdana" w:eastAsia="Calibri" w:hAnsi="Verdana" w:cs="Arial"/>
              </w:rPr>
              <w:t>Mediante Circular Externa No. 007 de 2025 se modificó el numeral 2 de la Circular Externa Única -Versión 03- c</w:t>
            </w:r>
            <w:r w:rsidRPr="00790F0C">
              <w:rPr>
                <w:rFonts w:ascii="Verdana" w:hAnsi="Verdana"/>
              </w:rPr>
              <w:t>on el propósito de fortalecer la articulación entre la gestión contractual y la gestión documental, en la cual se incorpora ajustes que responden a la necesidad de brindar lineamientos claros, coherentes y precisos sobre el rol de las entidades en el manejo de la documentación generada durante los procesos de contratación pública, así como de reforzar la obligación legal que tienen las entidades del Estado de custodiar, conservar y garantizar el acceso a la información, de conformidad con lo establecido en la Ley General de Archivos (Ley 594 de 2000) y demás normas aplicables.</w:t>
            </w:r>
          </w:p>
          <w:p w14:paraId="094B5133" w14:textId="77777777" w:rsidR="007B7CF3" w:rsidRPr="00790F0C" w:rsidRDefault="007B7CF3" w:rsidP="0044414F">
            <w:pPr>
              <w:spacing w:after="120" w:line="276" w:lineRule="auto"/>
              <w:ind w:firstLine="743"/>
              <w:jc w:val="both"/>
              <w:rPr>
                <w:rFonts w:ascii="Verdana" w:hAnsi="Verdana"/>
              </w:rPr>
            </w:pPr>
            <w:r w:rsidRPr="00790F0C">
              <w:rPr>
                <w:rFonts w:ascii="Verdana" w:hAnsi="Verdana"/>
              </w:rPr>
              <w:t>Para tales efectos, la referida Circular establece aspectos relacionados con la naturaleza y composición del expediente contractual –2.1-, la responsabilidad integral de la gestión documental –2.2-, la estrategia de conformación y conservación del expediente -2.3-, la migración entre soportes documentales y conversión de formatos -2.4-, la accesibilidad y consulta del expediente -2.55-, la autenticidad y valor probatorio -2.6-, la preservación a largo plazo y disposición final -2.7- y la protección de datos en el SECOP -2.8</w:t>
            </w:r>
          </w:p>
          <w:p w14:paraId="2976BE69" w14:textId="77777777" w:rsidR="007B7CF3" w:rsidRPr="00790F0C" w:rsidRDefault="007B7CF3" w:rsidP="0044414F">
            <w:pPr>
              <w:spacing w:after="120" w:line="276" w:lineRule="auto"/>
              <w:ind w:firstLine="743"/>
              <w:jc w:val="both"/>
              <w:rPr>
                <w:rFonts w:ascii="Verdana" w:hAnsi="Verdana"/>
              </w:rPr>
            </w:pPr>
            <w:r w:rsidRPr="00790F0C">
              <w:rPr>
                <w:rFonts w:ascii="Verdana" w:eastAsia="Calibri" w:hAnsi="Verdana" w:cs="Arial"/>
              </w:rPr>
              <w:t xml:space="preserve">En este contexto, la Circular ratifica que SECOP I y SECOP II constituyen las plataformas oficiales mediante las cuales se desarrollan electrónicamente las actuaciones propias del Sistema de Compra Pública y se garantiza el </w:t>
            </w:r>
            <w:r w:rsidRPr="00790F0C">
              <w:rPr>
                <w:rFonts w:ascii="Verdana" w:eastAsia="Calibri" w:hAnsi="Verdana" w:cs="Arial"/>
              </w:rPr>
              <w:lastRenderedPageBreak/>
              <w:t xml:space="preserve">cumplimiento de los principios de publicidad, transparencia, trazabilidad y acceso a la información pública. Sin embargo, se precisa que dichas plataformas no fueron concebidas ni operan como Sistemas de Gestión de Documentos Electrónicos de Archivo ni como sistemas de preservación digital a largo plazo. En consecuencia, la responsabilidad de conformar, organizar, administrar, custodiar, preservar y garantizar el valor archivístico y probatorio de los expedientes electrónicos corresponde a cada Entidad Estatal en su condición de productora documental, de conformidad con la normativa archivística vigente. </w:t>
            </w:r>
            <w:r w:rsidRPr="00790F0C">
              <w:rPr>
                <w:rFonts w:ascii="Verdana" w:eastAsia="Calibri" w:hAnsi="Verdana" w:cs="Arial"/>
                <w:b/>
                <w:bCs/>
              </w:rPr>
              <w:t>(Respuesta al interrogante 1)</w:t>
            </w:r>
          </w:p>
          <w:p w14:paraId="4B73946A" w14:textId="77777777" w:rsidR="007B7CF3" w:rsidRPr="00790F0C" w:rsidRDefault="007B7CF3" w:rsidP="0044414F">
            <w:pPr>
              <w:spacing w:after="120" w:line="276" w:lineRule="auto"/>
              <w:ind w:firstLine="567"/>
              <w:jc w:val="both"/>
              <w:rPr>
                <w:rFonts w:ascii="Verdana" w:eastAsia="Calibri" w:hAnsi="Verdana" w:cs="Arial"/>
                <w:b/>
                <w:bCs/>
              </w:rPr>
            </w:pPr>
            <w:r w:rsidRPr="00790F0C">
              <w:rPr>
                <w:rFonts w:ascii="Verdana" w:eastAsia="Calibri" w:hAnsi="Verdana" w:cs="Arial"/>
              </w:rPr>
              <w:t xml:space="preserve">Adicionalmente, se precisa que la Circular Externa No. 007 de 2025 no modifica el régimen jurídico aplicable a la validez de los documentos electrónicos ni ordena el retorno a la conformación de expedientes físicos o híbridos. Su alcance consiste en precisar la distribución de competencias entre la plataforma transaccional administrada por Colombia Compra Eficiente y las responsabilidades archivísticas que corresponden exclusivamente a las Entidades Estatales. Asimismo, se aclara que la expedición de la Circular Externa No. 007 de 2025 no tiene efectos retroactivos ni modifica la validez jurídica de las actuaciones contractuales adelantadas con anterioridad a su expedición. Los documentos electrónicos contenidos en SECOP I y SECOP II conservan el valor jurídico y probatorio para efectos contractuales, reconocido por la legislación colombiana, sin perjuicio de las obligaciones permanentes que recaen sobre cada Entidad Estatal respecto de la adecuada conformación y preservación de sus expedientes electrónicos de archivo. </w:t>
            </w:r>
            <w:r w:rsidRPr="00790F0C">
              <w:rPr>
                <w:rFonts w:ascii="Verdana" w:eastAsia="Calibri" w:hAnsi="Verdana" w:cs="Arial"/>
                <w:b/>
                <w:bCs/>
              </w:rPr>
              <w:t>(Respuesta a interrogantes 2 y 3)</w:t>
            </w:r>
          </w:p>
          <w:p w14:paraId="2C119148" w14:textId="77777777" w:rsidR="007B7CF3" w:rsidRPr="00790F0C" w:rsidRDefault="007B7CF3" w:rsidP="0044414F">
            <w:pPr>
              <w:spacing w:after="120" w:line="276" w:lineRule="auto"/>
              <w:ind w:firstLine="567"/>
              <w:jc w:val="both"/>
              <w:rPr>
                <w:rFonts w:ascii="Verdana" w:eastAsia="Calibri" w:hAnsi="Verdana" w:cs="Arial"/>
              </w:rPr>
            </w:pPr>
            <w:r w:rsidRPr="00790F0C">
              <w:rPr>
                <w:rFonts w:ascii="Verdana" w:eastAsia="Calibri" w:hAnsi="Verdana" w:cs="Arial"/>
              </w:rPr>
              <w:t xml:space="preserve">Igualmente, se precisa que frente a los procesos contractuales históricos gestionados íntegramente mediante SECOP I o SECOP II, corresponde a cada Entidad Estatal evaluar el estado de sus expedientes electrónicos y adoptar, cuando resulte necesario, las medidas técnicas, archivísticas y tecnológicas que permitan fortalecer su organización dentro de su propio Sistema de Gestión de Documentos Electrónicos de Archivo garantizando la integridad, autenticidad, disponibilidad, preservación digital y capacidad probatoria, de conformidad con las directrices expedidas por el Archivo General de la Nación y la normativa vigente. La valoración sobre un eventual incumplimiento de obligaciones archivísticas debe efectuarse de manera individual atendiendo las circunstancias particulares de cada entidad. </w:t>
            </w:r>
            <w:r w:rsidRPr="00790F0C">
              <w:rPr>
                <w:rFonts w:ascii="Verdana" w:eastAsia="Calibri" w:hAnsi="Verdana" w:cs="Arial"/>
                <w:b/>
                <w:bCs/>
              </w:rPr>
              <w:t>(Respuesta a interrogantes 4 y 5)</w:t>
            </w:r>
          </w:p>
          <w:p w14:paraId="38FF4AC7" w14:textId="77777777" w:rsidR="007B7CF3" w:rsidRPr="00790F0C" w:rsidRDefault="007B7CF3" w:rsidP="0044414F">
            <w:pPr>
              <w:spacing w:after="120" w:line="276" w:lineRule="auto"/>
              <w:ind w:firstLine="567"/>
              <w:jc w:val="both"/>
              <w:rPr>
                <w:rFonts w:ascii="Verdana" w:eastAsia="Calibri" w:hAnsi="Verdana" w:cs="Arial"/>
              </w:rPr>
            </w:pPr>
            <w:r w:rsidRPr="00790F0C">
              <w:rPr>
                <w:rFonts w:ascii="Verdana" w:eastAsia="Calibri" w:hAnsi="Verdana" w:cs="Arial"/>
              </w:rPr>
              <w:lastRenderedPageBreak/>
              <w:t xml:space="preserve">Respecto del principio de confianza legítima, esta Agencia precisa que los lineamientos, manuales, instructivos, conceptos y actividades de capacitación históricamente emitidos fueron elaborados con fundamento en el marco jurídico y técnico vigente para cada momento y tuvieron como finalidad promover la transformación digital de la contratación pública. En ese sentido, las orientaciones emitidas constituyeron instrumentos de apoyo para facilitar el cumplimiento de las obligaciones de publicidad y uso de las plataformas electrónicas de contratación. Por ello, cualquier actualización posterior de los lineamientos institucionales no implica, por sí misma, que las actuaciones desarrolladas con fundamento en las orientaciones previamente vigentes carezcan de validez o deban entenderse contrarias al ordenamiento jurídico.  </w:t>
            </w:r>
            <w:r w:rsidRPr="00790F0C">
              <w:rPr>
                <w:rFonts w:ascii="Verdana" w:eastAsia="Calibri" w:hAnsi="Verdana" w:cs="Arial"/>
                <w:b/>
                <w:bCs/>
              </w:rPr>
              <w:t>(Respuesta a interrogante 6)</w:t>
            </w:r>
          </w:p>
          <w:p w14:paraId="34E4830B" w14:textId="77777777" w:rsidR="007B7CF3" w:rsidRPr="00790F0C" w:rsidRDefault="007B7CF3" w:rsidP="0044414F">
            <w:pPr>
              <w:spacing w:after="120" w:line="276" w:lineRule="auto"/>
              <w:ind w:firstLine="567"/>
              <w:jc w:val="both"/>
              <w:rPr>
                <w:rFonts w:ascii="Verdana" w:eastAsia="Calibri" w:hAnsi="Verdana" w:cs="Arial"/>
              </w:rPr>
            </w:pPr>
            <w:r w:rsidRPr="00790F0C">
              <w:rPr>
                <w:rFonts w:ascii="Verdana" w:eastAsia="Calibri" w:hAnsi="Verdana" w:cs="Arial"/>
              </w:rPr>
              <w:t xml:space="preserve">Finalmente, se recomienda a las Entidades Estatales revisar sus políticas institucionales de gestión documental, verificar la correcta aplicación de las Tablas de Retención Documental, fortalecer sus Sistemas de Gestión de Documentos Electrónicos de Archivo cuando estos existan, implementar o actualizar sus esquemas de metadatos, garantizar la conformación del índice electrónico, verificar la conservación de las firmas electrónicas y digitales, adoptar mecanismos de preservación digital a largo plazo y asegurar la interoperabilidad entre los sistemas institucionales de gestión documental y demás sistemas de información que produzcan documentos, todo ello conforme a los lineamientos expedidos por el Archivo General de la Nación. </w:t>
            </w:r>
            <w:r w:rsidRPr="00790F0C">
              <w:rPr>
                <w:rFonts w:ascii="Verdana" w:eastAsia="Calibri" w:hAnsi="Verdana" w:cs="Arial"/>
                <w:b/>
                <w:bCs/>
              </w:rPr>
              <w:t>(Respuesta a interrogante 7)</w:t>
            </w:r>
          </w:p>
        </w:tc>
      </w:tr>
    </w:tbl>
    <w:p w14:paraId="0EE007C1" w14:textId="77777777" w:rsidR="007B7CF3" w:rsidRPr="00790F0C" w:rsidRDefault="007B7CF3" w:rsidP="007B7CF3">
      <w:pPr>
        <w:tabs>
          <w:tab w:val="left" w:pos="142"/>
          <w:tab w:val="left" w:pos="284"/>
        </w:tabs>
        <w:spacing w:after="0" w:line="276" w:lineRule="auto"/>
        <w:jc w:val="both"/>
        <w:rPr>
          <w:rFonts w:ascii="Verdana" w:eastAsia="Century Gothic" w:hAnsi="Verdana" w:cs="Century Gothic"/>
          <w:b/>
          <w:bCs/>
        </w:rPr>
      </w:pPr>
    </w:p>
    <w:bookmarkEnd w:id="3"/>
    <w:p w14:paraId="43963441" w14:textId="77777777" w:rsidR="007B7CF3" w:rsidRPr="00790F0C" w:rsidRDefault="007B7CF3" w:rsidP="007B7CF3">
      <w:pPr>
        <w:numPr>
          <w:ilvl w:val="0"/>
          <w:numId w:val="1"/>
        </w:numPr>
        <w:tabs>
          <w:tab w:val="left" w:pos="142"/>
          <w:tab w:val="left" w:pos="284"/>
        </w:tabs>
        <w:spacing w:after="0" w:line="276" w:lineRule="auto"/>
        <w:jc w:val="both"/>
        <w:rPr>
          <w:rFonts w:ascii="Verdana" w:eastAsia="Century Gothic" w:hAnsi="Verdana" w:cs="Century Gothic"/>
          <w:b/>
          <w:bCs/>
        </w:rPr>
      </w:pPr>
      <w:r w:rsidRPr="00790F0C">
        <w:rPr>
          <w:rFonts w:ascii="Verdana" w:eastAsia="Century Gothic" w:hAnsi="Verdana" w:cs="Century Gothic"/>
          <w:b/>
          <w:bCs/>
        </w:rPr>
        <w:t>Razones de las respuestas:</w:t>
      </w:r>
    </w:p>
    <w:p w14:paraId="745F83D7" w14:textId="77777777" w:rsidR="007B7CF3" w:rsidRPr="00790F0C" w:rsidRDefault="007B7CF3" w:rsidP="007B7CF3">
      <w:pPr>
        <w:spacing w:after="0" w:line="276" w:lineRule="auto"/>
        <w:jc w:val="both"/>
        <w:rPr>
          <w:rFonts w:ascii="Verdana" w:eastAsia="Calibri" w:hAnsi="Verdana" w:cs="Arial"/>
          <w:color w:val="7030A0"/>
        </w:rPr>
      </w:pPr>
    </w:p>
    <w:p w14:paraId="0F51D455" w14:textId="77777777" w:rsidR="007B7CF3" w:rsidRPr="00790F0C" w:rsidRDefault="007B7CF3" w:rsidP="007B7CF3">
      <w:pPr>
        <w:spacing w:after="0" w:line="276" w:lineRule="auto"/>
        <w:jc w:val="both"/>
        <w:rPr>
          <w:rFonts w:ascii="Verdana" w:eastAsia="Calibri" w:hAnsi="Verdana" w:cs="Arial"/>
        </w:rPr>
      </w:pPr>
      <w:r w:rsidRPr="00790F0C">
        <w:rPr>
          <w:rFonts w:ascii="Verdana" w:eastAsia="Calibri" w:hAnsi="Verdana" w:cs="Arial"/>
        </w:rPr>
        <w:t>Lo anterior se sustenta en las siguientes consideraciones:</w:t>
      </w:r>
    </w:p>
    <w:p w14:paraId="514B72DB" w14:textId="77777777" w:rsidR="007B7CF3" w:rsidRPr="00790F0C" w:rsidRDefault="007B7CF3" w:rsidP="007B7CF3">
      <w:pPr>
        <w:spacing w:after="0" w:line="276" w:lineRule="auto"/>
        <w:jc w:val="both"/>
        <w:rPr>
          <w:rFonts w:ascii="Verdana" w:eastAsia="Calibri" w:hAnsi="Verdana" w:cs="Arial"/>
        </w:rPr>
      </w:pPr>
    </w:p>
    <w:p w14:paraId="56821B51" w14:textId="77777777" w:rsidR="007B7CF3" w:rsidRPr="00790F0C" w:rsidRDefault="007B7CF3" w:rsidP="007B7CF3">
      <w:pPr>
        <w:widowControl w:val="0"/>
        <w:tabs>
          <w:tab w:val="left" w:pos="728"/>
        </w:tabs>
        <w:autoSpaceDE w:val="0"/>
        <w:autoSpaceDN w:val="0"/>
        <w:spacing w:after="120" w:line="276" w:lineRule="auto"/>
        <w:jc w:val="both"/>
        <w:rPr>
          <w:rFonts w:ascii="Verdana" w:eastAsia="Arial" w:hAnsi="Verdana" w:cs="Arial"/>
          <w:lang w:val="es-ES"/>
        </w:rPr>
      </w:pPr>
      <w:r w:rsidRPr="00790F0C">
        <w:rPr>
          <w:rFonts w:ascii="Verdana" w:eastAsia="Calibri" w:hAnsi="Verdana" w:cs="Times New Roman"/>
          <w:lang w:val="es-ES"/>
        </w:rPr>
        <w:t xml:space="preserve">i. Como punto de partida, es necesario señalar que </w:t>
      </w:r>
      <w:r w:rsidRPr="00790F0C">
        <w:rPr>
          <w:rFonts w:ascii="Verdana" w:eastAsia="Calibri" w:hAnsi="Verdana" w:cs="Arial"/>
        </w:rPr>
        <w:t>e</w:t>
      </w:r>
      <w:r w:rsidRPr="00790F0C">
        <w:rPr>
          <w:rFonts w:ascii="Verdana" w:eastAsia="Arial" w:hAnsi="Verdana" w:cs="Arial"/>
          <w:lang w:val="es-ES"/>
        </w:rPr>
        <w:t xml:space="preserve">l principio de publicidad impone a las autoridades administrativas el deber de dar a conocer sus actos, contratos y decisiones, para que se divulguen y eventualmente se controlen las actuaciones. El literal c) del artículo 3 de la Ley 1150 de 2007 dispone que el Sistema Electrónico para la Contratación Pública –SECOP– “contará con la información oficial de la contratación realizada con dineros públicos, para lo cual establecerá los patrones a que haya lugar y se encargará de su difusión a través de canales electrónicos”. </w:t>
      </w:r>
    </w:p>
    <w:p w14:paraId="585ED182"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lastRenderedPageBreak/>
        <w:t>De otra parte, la Ley 1712 de 2014 –Ley Estatutaria de transparencia y derecho de acceso a la información y a los documentos públicos–, identifica como principios que orientan el derecho de acceso a la información pública, los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790F0C">
        <w:rPr>
          <w:rFonts w:ascii="Verdana" w:eastAsia="Calibri" w:hAnsi="Verdana" w:cs="Arial"/>
          <w:vertAlign w:val="superscript"/>
        </w:rPr>
        <w:footnoteReference w:id="2"/>
      </w:r>
      <w:r w:rsidRPr="00790F0C">
        <w:rPr>
          <w:rFonts w:ascii="Verdana" w:eastAsia="Calibri" w:hAnsi="Verdana" w:cs="Arial"/>
        </w:rPr>
        <w:t xml:space="preserve">. El principio de transparencia en la información alude al deber de los sujetos de proporcionar y facilitar el acceso a la misma en los términos más amplios posibles, y a través de los medios y procedimientos legales. </w:t>
      </w:r>
    </w:p>
    <w:p w14:paraId="48985552"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Adicionalmente, establece que todas las Entidades</w:t>
      </w:r>
      <w:r w:rsidRPr="00790F0C">
        <w:rPr>
          <w:rFonts w:ascii="Verdana" w:eastAsia="Calibri" w:hAnsi="Verdana" w:cs="Arial"/>
          <w:lang w:val="es-ES"/>
        </w:rPr>
        <w:t xml:space="preserve"> Públicas</w:t>
      </w:r>
      <w:r w:rsidRPr="00790F0C">
        <w:rPr>
          <w:rFonts w:ascii="Verdana" w:eastAsia="Calibri" w:hAnsi="Verdana" w:cs="Arial"/>
          <w:vertAlign w:val="superscript"/>
          <w:lang w:val="es-ES_tradnl"/>
        </w:rPr>
        <w:footnoteReference w:id="3"/>
      </w:r>
      <w:r w:rsidRPr="00790F0C">
        <w:rPr>
          <w:rFonts w:ascii="Verdana" w:eastAsia="Calibri" w:hAnsi="Verdana" w:cs="Arial"/>
          <w:lang w:val="es-ES"/>
        </w:rPr>
        <w:t xml:space="preserve"> deben publicar la información relativa a su contratación.</w:t>
      </w:r>
      <w:r w:rsidRPr="00790F0C">
        <w:rPr>
          <w:rFonts w:ascii="Verdana" w:eastAsia="Calibri" w:hAnsi="Verdana" w:cs="Arial"/>
        </w:rPr>
        <w:t xml:space="preserve"> Por su parte, el literal g) del artículo 11 señala que las Entidades deben garantizar la publicidad de “sus procedimientos, lineamientos, políticas en materia de adquisiciones y compras, así como todos los datos de adjudicación y ejecución de contratos, incluidos concursos y licitaciones”. </w:t>
      </w:r>
    </w:p>
    <w:p w14:paraId="170E169D"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lang w:val="es-ES"/>
        </w:rPr>
        <w:t>Esta obligación fue desarrollada expresamente en el Decreto Único Reglamentario 1082 de 2015</w:t>
      </w:r>
      <w:r w:rsidRPr="00790F0C">
        <w:rPr>
          <w:rFonts w:ascii="Verdana" w:eastAsia="Calibri" w:hAnsi="Verdana" w:cs="Arial"/>
          <w:vertAlign w:val="superscript"/>
          <w:lang w:val="es-ES_tradnl"/>
        </w:rPr>
        <w:footnoteReference w:id="4"/>
      </w:r>
      <w:r w:rsidRPr="00790F0C">
        <w:rPr>
          <w:rFonts w:ascii="Verdana" w:eastAsia="Calibri" w:hAnsi="Verdana" w:cs="Arial"/>
          <w:lang w:val="es-ES"/>
        </w:rPr>
        <w:t xml:space="preserve">, el cual dispuso que la publicación de la información contractual de los sujetos que contratan con cargo a recursos públicos debe hacerse en el </w:t>
      </w:r>
      <w:r w:rsidRPr="00790F0C">
        <w:rPr>
          <w:rFonts w:ascii="Verdana" w:eastAsia="Calibri" w:hAnsi="Verdana" w:cs="Arial"/>
          <w:color w:val="000000" w:themeColor="text1"/>
        </w:rPr>
        <w:t xml:space="preserve">Sistema Electrónico de Contratación Pública – en adelante </w:t>
      </w:r>
      <w:r w:rsidRPr="00790F0C">
        <w:rPr>
          <w:rFonts w:ascii="Verdana" w:eastAsia="Calibri" w:hAnsi="Verdana" w:cs="Arial"/>
          <w:lang w:val="es-ES"/>
        </w:rPr>
        <w:t>SECOP</w:t>
      </w:r>
      <w:r w:rsidRPr="00790F0C">
        <w:rPr>
          <w:rFonts w:ascii="Verdana" w:eastAsia="Calibri" w:hAnsi="Verdana" w:cs="Arial"/>
          <w:color w:val="000000" w:themeColor="text1"/>
        </w:rPr>
        <w:t>–</w:t>
      </w:r>
      <w:r w:rsidRPr="00790F0C">
        <w:rPr>
          <w:rFonts w:ascii="Verdana" w:eastAsia="Calibri" w:hAnsi="Verdana" w:cs="Arial"/>
          <w:lang w:val="es-ES"/>
        </w:rPr>
        <w:t xml:space="preserve">. Particularmente, </w:t>
      </w:r>
      <w:r w:rsidRPr="00790F0C">
        <w:rPr>
          <w:rFonts w:ascii="Verdana" w:eastAsia="Calibri" w:hAnsi="Verdana" w:cs="Arial"/>
        </w:rPr>
        <w:t>el artículo 2.2.1.1.1.7.1 del Decreto establece que las Entidades Estatales tienen la obligación de publicar “[…] los Documentos del Proceso y los actos administrativos del Proceso de Contratación, dentro de los tres (3) días siguientes a su expedición […]”. A su vez,</w:t>
      </w:r>
      <w:r w:rsidRPr="00790F0C">
        <w:rPr>
          <w:rFonts w:ascii="Verdana" w:eastAsia="Calibri" w:hAnsi="Verdana" w:cs="Arial"/>
          <w:lang w:val="es-ES"/>
        </w:rPr>
        <w:t xml:space="preserve"> </w:t>
      </w:r>
      <w:r w:rsidRPr="00790F0C">
        <w:rPr>
          <w:rFonts w:ascii="Verdana" w:eastAsia="Calibri" w:hAnsi="Verdana" w:cs="Arial"/>
        </w:rPr>
        <w:t xml:space="preserve">la expresión </w:t>
      </w:r>
      <w:r w:rsidRPr="00790F0C">
        <w:rPr>
          <w:rFonts w:ascii="Verdana" w:eastAsia="Calibri" w:hAnsi="Verdana" w:cs="Arial"/>
        </w:rPr>
        <w:lastRenderedPageBreak/>
        <w:t xml:space="preserve">Documentos del Proceso está definida en el artículo 2.2.1.1.1.3.1.,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 </w:t>
      </w:r>
    </w:p>
    <w:p w14:paraId="12864720"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ab/>
        <w:t xml:space="preserve">El anterior no es un listado taxativo, sino enunciativo, puesto que el artículo 2.2.1.1.1.3.1 incluye en la noción de Documentos del Proceso “cualquier otro documento expedido por la Entidad Estatal durante el Proceso de Contratación”. Este mismo artículo define la expresión </w:t>
      </w:r>
      <w:r w:rsidRPr="00790F0C">
        <w:rPr>
          <w:rFonts w:ascii="Verdana" w:eastAsia="Calibri" w:hAnsi="Verdana" w:cs="Arial"/>
          <w:i/>
          <w:iCs/>
        </w:rPr>
        <w:t>proceso de contratación</w:t>
      </w:r>
      <w:r w:rsidRPr="00790F0C">
        <w:rPr>
          <w:rFonts w:ascii="Verdana" w:eastAsia="Calibri" w:hAnsi="Verdana" w:cs="Arial"/>
        </w:rPr>
        <w:t xml:space="preserve">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4463520B"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ab/>
        <w:t xml:space="preserve">En ese sentido, una interpretación sistemática de las disposiciones anteriores del Decreto 1082 de 2015, de acuerdo con el principio de publicidad, indica que las Entidades Estatales tienen la obligación de publicar </w:t>
      </w:r>
      <w:r w:rsidRPr="00790F0C">
        <w:rPr>
          <w:rFonts w:ascii="Verdana" w:eastAsia="Calibri" w:hAnsi="Verdana" w:cs="Arial"/>
          <w:i/>
          <w:iCs/>
        </w:rPr>
        <w:t>todos</w:t>
      </w:r>
      <w:r w:rsidRPr="00790F0C">
        <w:rPr>
          <w:rFonts w:ascii="Verdana" w:eastAsia="Calibri" w:hAnsi="Verdana" w:cs="Arial"/>
        </w:rPr>
        <w:t xml:space="preserve"> los documentos que expidan con ocasión del proceso de contratación. Este mandato implica que todos los documentos de las etapas precontractual, de ejecución y </w:t>
      </w:r>
      <w:proofErr w:type="spellStart"/>
      <w:r w:rsidRPr="00790F0C">
        <w:rPr>
          <w:rFonts w:ascii="Verdana" w:eastAsia="Calibri" w:hAnsi="Verdana" w:cs="Arial"/>
        </w:rPr>
        <w:t>postcontractual</w:t>
      </w:r>
      <w:proofErr w:type="spellEnd"/>
      <w:r w:rsidRPr="00790F0C">
        <w:rPr>
          <w:rFonts w:ascii="Verdana" w:eastAsia="Calibri" w:hAnsi="Verdana" w:cs="Arial"/>
        </w:rPr>
        <w:t xml:space="preserve"> deberán ser publicados en SECOP dentro de los tres (3) días siguientes a su expedición para cumplir con lo establecido en el artículo 2.2.1.1.1.7.1. del Decreto 1082 de 2015.</w:t>
      </w:r>
    </w:p>
    <w:p w14:paraId="314F4B69" w14:textId="77777777" w:rsidR="007B7CF3" w:rsidRPr="00790F0C" w:rsidRDefault="007B7CF3" w:rsidP="007B7CF3">
      <w:pPr>
        <w:spacing w:after="120" w:line="276" w:lineRule="auto"/>
        <w:ind w:firstLine="567"/>
        <w:jc w:val="both"/>
        <w:rPr>
          <w:rFonts w:ascii="Verdana" w:eastAsia="Calibri" w:hAnsi="Verdana" w:cs="Arial"/>
          <w:color w:val="000000" w:themeColor="text1"/>
        </w:rPr>
      </w:pPr>
      <w:r w:rsidRPr="00790F0C">
        <w:rPr>
          <w:rFonts w:ascii="Verdana" w:eastAsia="Calibri" w:hAnsi="Verdana" w:cs="Arial"/>
          <w:color w:val="000000" w:themeColor="text1"/>
        </w:rPr>
        <w:t xml:space="preserve">De acuerdo con lo expuesto, el Sistema Electrónico de Contratación Pública – SECOP – es el medio de información oficial de toda la contratación realizada con cargo a recursos públicos. El SECOP es el único punto de ingreso de información y de generación de reportes para las Entidades Estatales, los entes de control y la ciudadanía en general, el cual garantiza que se cumplan los principios de publicidad y transparencia en la gestión contractual. Son componentes del Sistema Electrónico de Contratación las siguientes plataformas administradas por Colombia Compra Eficiente: SECOP I, SECOP II y la Tienda Virtual del Estado Colombiano -TVEC. </w:t>
      </w:r>
    </w:p>
    <w:p w14:paraId="4A0CC5B3" w14:textId="77777777" w:rsidR="007B7CF3" w:rsidRPr="00790F0C" w:rsidRDefault="007B7CF3" w:rsidP="007B7CF3">
      <w:pPr>
        <w:spacing w:after="120" w:line="276" w:lineRule="auto"/>
        <w:ind w:firstLine="567"/>
        <w:jc w:val="both"/>
        <w:rPr>
          <w:rFonts w:ascii="Verdana" w:eastAsia="Calibri" w:hAnsi="Verdana" w:cs="Arial"/>
          <w:lang w:val="es-ES"/>
        </w:rPr>
      </w:pPr>
      <w:r w:rsidRPr="00790F0C">
        <w:rPr>
          <w:rFonts w:ascii="Verdana" w:eastAsia="Calibri" w:hAnsi="Verdana" w:cs="Arial"/>
          <w:color w:val="000000" w:themeColor="text1"/>
        </w:rPr>
        <w:t xml:space="preserve">El SECOP II es una plataforma transaccional, que permite gestionar en línea todos los procedimientos de contratación, </w:t>
      </w:r>
      <w:r w:rsidRPr="00790F0C">
        <w:rPr>
          <w:rFonts w:ascii="Verdana" w:eastAsia="Calibri" w:hAnsi="Verdana" w:cs="Arial"/>
          <w:lang w:val="es-ES"/>
        </w:rPr>
        <w:t xml:space="preserve">con cuentas y usuarios asociados a estas, para las entidades y los proveedores, y vista pública para cualquier interesado en hacer seguimiento a la contratación pública. Desde sus cuentas, </w:t>
      </w:r>
      <w:r w:rsidRPr="00790F0C">
        <w:rPr>
          <w:rFonts w:ascii="Verdana" w:eastAsia="Calibri" w:hAnsi="Verdana" w:cs="Arial"/>
          <w:lang w:val="es-ES"/>
        </w:rPr>
        <w:lastRenderedPageBreak/>
        <w:t>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67093399" w14:textId="77777777" w:rsidR="007B7CF3" w:rsidRPr="00790F0C" w:rsidRDefault="007B7CF3" w:rsidP="007B7CF3">
      <w:pPr>
        <w:spacing w:after="120" w:line="276" w:lineRule="auto"/>
        <w:ind w:firstLine="567"/>
        <w:jc w:val="both"/>
        <w:rPr>
          <w:rFonts w:ascii="Verdana" w:eastAsia="Calibri" w:hAnsi="Verdana" w:cs="Arial"/>
          <w:lang w:val="es-ES"/>
        </w:rPr>
      </w:pPr>
      <w:r w:rsidRPr="00790F0C">
        <w:rPr>
          <w:rFonts w:ascii="Verdana" w:eastAsia="Calibri" w:hAnsi="Verdana" w:cs="Arial"/>
          <w:lang w:val="es-ES"/>
        </w:rPr>
        <w:t xml:space="preserve">En este sentido, en el SECOP II el procedimiento contractual se desarrolla en línea y dentro de la plataforma, conformándose un expediente electrónico, lo cual denota una diferencia con el SECOP I, donde el procedimiento es físico,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 Debido a que la plataforma es totalmente transaccional, el trámite se realiza en línea y la publicidad de las actuaciones es concomitante, según transcurran cada una de las etapas del procedimiento, lo que descarta la necesidad de cargar documentación alguna, salvo algunas excepciones. </w:t>
      </w:r>
    </w:p>
    <w:p w14:paraId="670D7109"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De este modo, es preciso indicar que, las entidades son responsables de la completitud y calidad de la información, así como de la administración de los documentos y expedientes electrónicos de los procesos de contratación que se adelanten en el SECOP II. En todo caso, si en el desarrollo de la conformación del proceso de contratación en la plataforma se generan documentos administrativos propios de la entidad para las diferentes etapas del proceso contractual, tales como: estudios previos, matriz de riesgos, informe de evaluación, resolución o acto de adjudicación, acta de inicio, certificaciones de contratos, entre otros, la entidad queda habilitada para cargar estos documentos en la plataforma con el propósito de complementar el expediente electrónico del Proceso de Contratación en el SECOP II.</w:t>
      </w:r>
    </w:p>
    <w:p w14:paraId="09B65B29"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lang w:val="es-ES"/>
        </w:rPr>
        <w:t xml:space="preserve">En relación con </w:t>
      </w:r>
      <w:r w:rsidRPr="00790F0C">
        <w:rPr>
          <w:rFonts w:ascii="Verdana" w:eastAsia="Calibri" w:hAnsi="Verdana" w:cs="Arial"/>
        </w:rPr>
        <w:t>uso del SECOP II para crear, conformar y gestionar los expedientes electrónicos del proceso de contratación en el numeral 2 de la Circular Única Externa Versión 03 del 27 de diciembre de 2023 expedida por la Agencia Nacional de Contratación Pública – Colombia Compra Eficiente se contempló que, los expedientes electrónicos de los procesos de contratación que genera el SECOP II están conformados por documentos electrónicos: formularios o plantillas generados a partir de la información diligenciada por la Entidad Estatal o el proveedor, e imágenes digitales de documentos producidos originalmente en físico que la Entidad Estatal o el proveedor cargan o publican en el SECOP II.</w:t>
      </w:r>
    </w:p>
    <w:p w14:paraId="33D3F528"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lastRenderedPageBreak/>
        <w:t>Igualmente, la referida Circular señaló que, las Entidades Estatales deberán asegurar la completitud de los documentos en el expediente del proceso de contratación. En consecuencia, cada Entidad es responsable de la administración de los documentos, custodia y calidad de la información de los procesos de contratación realizados en el SECOP II. Asimismo, se indicó que las entidades deberán adoptar las políticas, medidas y estándares necesarios para asegurar la preservación y conservación documental en el ciclo de vida de la información institucional (independientemente del sistema que los generó, tramitó o en el cual se conservan), con el fin de facilitar su consulta en el tiempo y realizar la disposición final de acuerdo con sus instrumentos archivísticos.</w:t>
      </w:r>
    </w:p>
    <w:p w14:paraId="6570E163" w14:textId="77777777" w:rsidR="007B7CF3" w:rsidRPr="00790F0C" w:rsidRDefault="007B7CF3" w:rsidP="007B7CF3">
      <w:pPr>
        <w:spacing w:after="120" w:line="276" w:lineRule="auto"/>
        <w:ind w:firstLine="709"/>
        <w:jc w:val="both"/>
        <w:rPr>
          <w:rFonts w:ascii="Verdana" w:hAnsi="Verdana"/>
        </w:rPr>
      </w:pPr>
      <w:r w:rsidRPr="00790F0C">
        <w:rPr>
          <w:rFonts w:ascii="Verdana" w:eastAsia="Calibri" w:hAnsi="Verdana" w:cs="Arial"/>
        </w:rPr>
        <w:t>Posteriormente, mediante Circular Externa No. 007 de 2025 se modificó el numeral 2 de la Circular Externa Única c</w:t>
      </w:r>
      <w:r w:rsidRPr="00790F0C">
        <w:rPr>
          <w:rFonts w:ascii="Verdana" w:hAnsi="Verdana"/>
        </w:rPr>
        <w:t>on el propósito de fortalecer la articulación entre la gestión contractual y la gestión documental, en la cual se incorpora ajustes que responden a la necesidad de brindar lineamientos claros, coherentes y precisos sobre el rol de las entidades en el manejo de la documentación generada durante los procesos de contratación pública, así como de reforzar la obligación legal que tienen las entidades del Estado de custodiar, conservar y garantizar el acceso a la información, de conformidad con lo establecido en la Ley General de Archivos (Ley 594 de 2000) y demás normas aplicables.</w:t>
      </w:r>
    </w:p>
    <w:p w14:paraId="36837559" w14:textId="77777777" w:rsidR="007B7CF3" w:rsidRPr="00790F0C" w:rsidRDefault="007B7CF3" w:rsidP="007B7CF3">
      <w:pPr>
        <w:spacing w:after="120" w:line="276" w:lineRule="auto"/>
        <w:ind w:firstLine="709"/>
        <w:jc w:val="both"/>
        <w:rPr>
          <w:rFonts w:ascii="Verdana" w:hAnsi="Verdana"/>
        </w:rPr>
      </w:pPr>
      <w:r w:rsidRPr="00790F0C">
        <w:rPr>
          <w:rFonts w:ascii="Verdana" w:hAnsi="Verdana"/>
        </w:rPr>
        <w:t>Para tales efectos, la referida Circular establece aspectos relacionados con la naturaleza y composición del expediente contractual –2.1-, la responsabilidad integral de la gestión documental –2.2-, la estrategia de conformación y conservación del expediente -2.3-, la migración entre soportes documentales y conversión de formatos -2.4-, la accesibilidad y consulta del expediente -2.55-, la autenticidad y valor probatorio -2.6-, la preservación a largo plazo y disposición final -2.7- y la protección de datos en el SECOP -2.8-.</w:t>
      </w:r>
    </w:p>
    <w:p w14:paraId="6C399DC3" w14:textId="77777777" w:rsidR="007B7CF3" w:rsidRPr="00790F0C" w:rsidRDefault="007B7CF3" w:rsidP="007B7CF3">
      <w:pPr>
        <w:spacing w:after="120" w:line="276" w:lineRule="auto"/>
        <w:jc w:val="both"/>
        <w:rPr>
          <w:rFonts w:ascii="Verdana" w:eastAsia="Calibri" w:hAnsi="Verdana" w:cs="Arial"/>
        </w:rPr>
      </w:pPr>
      <w:proofErr w:type="spellStart"/>
      <w:r w:rsidRPr="00790F0C">
        <w:rPr>
          <w:rFonts w:ascii="Verdana" w:hAnsi="Verdana"/>
        </w:rPr>
        <w:t>ii</w:t>
      </w:r>
      <w:proofErr w:type="spellEnd"/>
      <w:r w:rsidRPr="00790F0C">
        <w:rPr>
          <w:rFonts w:ascii="Verdana" w:hAnsi="Verdana"/>
        </w:rPr>
        <w:t xml:space="preserve">. Ahora bien, con el fin de dar respuesta a las consultas planteada, resulta necesario precisar el alcance de la Circular Externa No. 007 de 2025. Como se explicó, los documentos electrónicos generados, intercambiados, publicados, gestionados y conservados a través del SECOP I y II </w:t>
      </w:r>
      <w:r w:rsidRPr="00790F0C">
        <w:rPr>
          <w:rFonts w:ascii="Verdana" w:eastAsia="Calibri" w:hAnsi="Verdana" w:cs="Arial"/>
        </w:rPr>
        <w:t>constituyen documentos electrónicos asociados a los procesos de contratación estatal y, por su naturaleza, son susceptibles de integrar expedientes electrónicos de archivo.</w:t>
      </w:r>
    </w:p>
    <w:p w14:paraId="79663826"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 xml:space="preserve">No obstante, la existencia de documentos electrónicos dentro de una plataforma tecnológica no implica, por sí sola, la existencia de un expediente </w:t>
      </w:r>
      <w:r w:rsidRPr="00790F0C">
        <w:rPr>
          <w:rFonts w:ascii="Verdana" w:eastAsia="Calibri" w:hAnsi="Verdana" w:cs="Arial"/>
        </w:rPr>
        <w:lastRenderedPageBreak/>
        <w:t>electrónico de archivo plenamente conformado. La condición de expediente electrónico de archivo depende del cumplimiento integral de los requisitos archivísticos previstos en la Ley General de Archivos (Ley 594 de 2000), el Acuerdo Único de la Función Archivística (Acuerdo 01 de 2024) y las demás disposiciones aplicables, particularmente aquellos relacionados con la procedencia, el orden original, la integridad, la autenticidad, la disponibilidad, la fiabilidad, la trazabilidad, la preservación digital y la administración documental durante todo el ciclo de vida de la información.</w:t>
      </w:r>
    </w:p>
    <w:p w14:paraId="618502D0"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 xml:space="preserve">En este contexto, la Circular Externa No. 007 de 2025 modificó el numeral 2 de la Circular Externa Única Versión 03, con el propósito de armonizar la gestión contractual con la gestión documental y delimitar claramente las competencias entre la Agencia Nacional de Contratación Pública – Colombia Compra Eficiente y las Entidades Estatales. De esta forma, en respuesta al </w:t>
      </w:r>
      <w:r w:rsidRPr="00790F0C">
        <w:rPr>
          <w:rFonts w:ascii="Verdana" w:eastAsia="Calibri" w:hAnsi="Verdana" w:cs="Arial"/>
          <w:i/>
          <w:iCs/>
        </w:rPr>
        <w:t>interrogante 1</w:t>
      </w:r>
      <w:r w:rsidRPr="00790F0C">
        <w:rPr>
          <w:rFonts w:ascii="Verdana" w:eastAsia="Calibri" w:hAnsi="Verdana" w:cs="Arial"/>
          <w:b/>
          <w:bCs/>
          <w:i/>
          <w:iCs/>
          <w:vertAlign w:val="superscript"/>
        </w:rPr>
        <w:footnoteReference w:id="5"/>
      </w:r>
      <w:r w:rsidRPr="00790F0C">
        <w:rPr>
          <w:rFonts w:ascii="Verdana" w:eastAsia="Calibri" w:hAnsi="Verdana" w:cs="Arial"/>
          <w:b/>
          <w:bCs/>
          <w:i/>
          <w:iCs/>
        </w:rPr>
        <w:t>,</w:t>
      </w:r>
      <w:r w:rsidRPr="00790F0C">
        <w:rPr>
          <w:rFonts w:ascii="Verdana" w:eastAsia="Calibri" w:hAnsi="Verdana" w:cs="Arial"/>
        </w:rPr>
        <w:t xml:space="preserve"> la Circular ratifica que SECOP I y SECOP II constituyen las plataformas oficiales mediante las cuales se desarrollan electrónicamente las actuaciones propias del Sistema de Compra Pública y se garantiza el cumplimiento de los principios de publicidad, transparencia, trazabilidad y acceso a la información pública.</w:t>
      </w:r>
    </w:p>
    <w:p w14:paraId="46C9CCE3"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Sin embargo, igualmente precisa que dichas plataformas no fueron concebidas ni operan como Sistemas de Gestión de Documentos Electrónicos de Archivo ni como sistemas de preservación digital a largo plazo. En consecuencia, la responsabilidad de conformar, organizar, administrar, custodiar, preservar y garantizar el valor archivístico y probatorio de los expedientes electrónicos corresponde a cada Entidad Estatal en su condición de productora documental, de conformidad con la normativa archivística vigente.</w:t>
      </w:r>
    </w:p>
    <w:p w14:paraId="46C60CD0"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Por consiguiente, le corresponde a cada Entidad Estatal garantizar la adecuada administración de todos los componentes que conforman un expediente electrónico de archivo, incluyendo los documentos electrónicos, los metadatos definidos dentro de su esquema institucional, el índice electrónico, las firmas electrónicas o digitales, los mecanismos de verificación de integridad, los instrumentos archivísticos aplicables, las Tablas de Retención Documental y las medidas de preservación digital que aseguren la conservación del expediente durante todo su ciclo de vida.</w:t>
      </w:r>
    </w:p>
    <w:p w14:paraId="36E65411"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lastRenderedPageBreak/>
        <w:t>En consecuencia, las Entidades Estatales deberán definir mecanismos que garanticen los requisitos de originalidad y confiabilidad, por lo tanto, los documentos se deben incluir en los expedientes de acuerdo con su clasificación según la respectiva Tabla de Retención Documental – TRD, actualizando la Hoja de Control y diligenciando el Inventario Documental – FUID garantizando el vínculo archivístico, ya que las entidades son responsables de la administración de los documentos y expedientes electrónicos de sus Procesos de Contratación adelantados en el SECOP II.</w:t>
      </w:r>
    </w:p>
    <w:p w14:paraId="3D33D51C"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Lo anterior, según los lineamientos de la Ley 594 de 2000 “Ley General de Archivos”, en sus artículos 3 y 24; el Decreto 1080 de 2015, artículos 2.8.2.5.8, 2.8.2.6.1 y 2.8.5.4.4; el Acuerdo 001 de 2024 del Archivo General de la Nación, mediante el cual se actualiza y unifica la regulación archivística aplicable a la gestión documental y la conformación de expedientes; la guía técnica del Archivo General de la Nación y del Ministerio de Tecnologías de la Información y las Comunicaciones 'G.INF.07 Guía para la gestión de documentos y expedientes electrónicos'; y el Modelo de Gestión Documental y Administración de Archivos – MGDA del Archivo General de la Nación. En este sentido, es preciso indicar que las Tablas de Retención Documental – TRD constituyen el principal instrumento archivístico para la conformación de las diferentes series y subseries documentales y para la gestión general de los expedientes, sin importar su soporte. Por tanto, la entidad deberá garantizar que su aplicación se realice conforme a las TRD aprobadas y convalidadas.</w:t>
      </w:r>
    </w:p>
    <w:p w14:paraId="08837136"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Así las cosas, la entidad deberá validar a partir de las Tablas de Retención documental – TRD, la conformación detallada de los expedientes y establecer para los tipos documentales que deben producirse en medio físico o en medio electrónico los mecanismos de autenticidad, integridad, inalterabilidad, fidelidad, disponibilidad y conservación. Por lo anterior, la entidad debe validar uno a uno los documentos que fueron generados por medios electrónicos conforme a la TRD si deben mantenerse de esta forma con el fin de garantizar mecanismos de registro, acceso y control que permitan la observancia de los requisitos de originalidad, confiabilidad, seguridad jurídica y eficiencia requerida para la observancia y cumplimiento de las disposiciones normativas que regulan la materia.</w:t>
      </w:r>
    </w:p>
    <w:p w14:paraId="359AD685"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 xml:space="preserve">Ahora bien, en relación con los </w:t>
      </w:r>
      <w:r w:rsidRPr="00790F0C">
        <w:rPr>
          <w:rFonts w:ascii="Verdana" w:eastAsia="Calibri" w:hAnsi="Verdana" w:cs="Arial"/>
          <w:i/>
          <w:iCs/>
        </w:rPr>
        <w:t>interrogantes 2 y 3</w:t>
      </w:r>
      <w:r w:rsidRPr="00790F0C">
        <w:rPr>
          <w:rFonts w:ascii="Verdana" w:eastAsia="Calibri" w:hAnsi="Verdana" w:cs="Arial"/>
        </w:rPr>
        <w:t xml:space="preserve">, se precisa que la Circular Externa No. 007 de 2025 no modifica el régimen jurídico aplicable a la validez de los documentos electrónicos ni ordena el retorno a la conformación </w:t>
      </w:r>
      <w:r w:rsidRPr="00790F0C">
        <w:rPr>
          <w:rFonts w:ascii="Verdana" w:eastAsia="Calibri" w:hAnsi="Verdana" w:cs="Arial"/>
        </w:rPr>
        <w:lastRenderedPageBreak/>
        <w:t>de expedientes físicos o híbridos. Su alcance consiste en precisar la distribución de competencias entre la plataforma transaccional administrada por Colombia Compra Eficiente y las responsabilidades archivísticas que corresponden exclusivamente a las Entidades Estatales.</w:t>
      </w:r>
    </w:p>
    <w:p w14:paraId="1024851C"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 xml:space="preserve">Al respecto, vale precisar que, de acuerdo con el literal m, numeral </w:t>
      </w:r>
      <w:r w:rsidRPr="00790F0C">
        <w:rPr>
          <w:rFonts w:ascii="Verdana" w:eastAsia="Calibri" w:hAnsi="Verdana" w:cs="Arial"/>
          <w:i/>
          <w:iCs/>
        </w:rPr>
        <w:t xml:space="preserve">VI. </w:t>
      </w:r>
      <w:r w:rsidRPr="00790F0C">
        <w:rPr>
          <w:rFonts w:ascii="Verdana" w:eastAsia="Calibri" w:hAnsi="Verdana" w:cs="Arial"/>
        </w:rPr>
        <w:t>Normativa aplicable y reglas adicionales</w:t>
      </w:r>
      <w:r w:rsidRPr="00790F0C">
        <w:rPr>
          <w:rFonts w:ascii="Verdana" w:eastAsia="Calibri" w:hAnsi="Verdana" w:cs="Arial"/>
          <w:i/>
          <w:iCs/>
        </w:rPr>
        <w:t xml:space="preserve"> </w:t>
      </w:r>
      <w:r w:rsidRPr="00790F0C">
        <w:rPr>
          <w:rFonts w:ascii="Verdana" w:eastAsia="Calibri" w:hAnsi="Verdana" w:cs="Arial"/>
        </w:rPr>
        <w:t xml:space="preserve">de los términos y condiciones de uso de la plataforma SECOP II, la ANCP – CCE señaló que: “Las Entidades Estatales deberán asegurar la completitud de los documentos en el expediente del proceso de contratación. Cada Entidad es responsable de la administración de los documentos, custodia y calidad de la información de los procesos de contratación realizados en el SECOP II. En los casos en que el documento original haya sido producido en físico, la Entidad Estatal debe conservar su original por el tiempo que indiquen las Tablas de Retención Documental - TRD, e incorporar una copia electrónica dentro del proceso de contratación en el SECOP II en cumplimiento de la obligación de publicidad. Así mismo, las entidades deberán adoptar las políticas, medidas y estándares necesarios para asegurar la conservación a largo plazo de los documentos y expedientes electrónicos, independientemente del sistema que los generó, tramitó o en el cual se conservan, para facilitar su consulta en el tiempo”. </w:t>
      </w:r>
    </w:p>
    <w:p w14:paraId="64134003"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 xml:space="preserve">Por tanto, de acuerdo con dichos lineamientos se ha establecido que es responsabilidad de la ANCP – CCE mantener la plataforma SECOP II disponible y por ende la información que allí se registra, para que sean las Entidades Estatales en el marco de su autonomía las que den aplicación a las normas archivísticas y de conservación documental. </w:t>
      </w:r>
    </w:p>
    <w:p w14:paraId="518B9FCF" w14:textId="77777777" w:rsidR="007B7CF3" w:rsidRPr="00790F0C" w:rsidRDefault="007B7CF3" w:rsidP="007B7CF3">
      <w:pPr>
        <w:spacing w:after="120" w:line="276" w:lineRule="auto"/>
        <w:ind w:firstLine="567"/>
        <w:jc w:val="both"/>
        <w:rPr>
          <w:rFonts w:ascii="Verdana" w:eastAsia="Calibri" w:hAnsi="Verdana" w:cs="Arial"/>
          <w:color w:val="000000" w:themeColor="text1"/>
        </w:rPr>
      </w:pPr>
      <w:r w:rsidRPr="00790F0C">
        <w:rPr>
          <w:rFonts w:ascii="Verdana" w:eastAsia="Calibri" w:hAnsi="Verdana" w:cs="Arial"/>
        </w:rPr>
        <w:t>De igual manera, en concepto C-742 del 22 de julio de 2025 esta Agencia indicó que “</w:t>
      </w:r>
      <w:r w:rsidRPr="00790F0C">
        <w:rPr>
          <w:rFonts w:ascii="Verdana" w:eastAsia="Calibri" w:hAnsi="Verdana" w:cs="Arial"/>
          <w:color w:val="000000" w:themeColor="text1"/>
        </w:rPr>
        <w:t>aunque el SECOP II es una plataforma transaccional que permite gestionar en línea los procedimientos de contratación y conformar expedientes electrónicos, no puede considerarse un gestor documental en sentido estricto, ni exime a las Entidades Estatales de sus responsabilidades legales en materia de archivo y conservación documental”.</w:t>
      </w:r>
    </w:p>
    <w:p w14:paraId="747EB78A"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color w:val="000000" w:themeColor="text1"/>
        </w:rPr>
        <w:t xml:space="preserve">En ese sentido, la responsabilidad sobre la administración, custodia, completitud y calidad de la información recae exclusivamente en cada Entidad Estatal, las cuales deben implementar medidas complementarias para garantizar la integridad y conservación de sus expedientes contractuales. La Agencia Nacional de Contratación Pública – Colombia Compra Eficiente garantiza la </w:t>
      </w:r>
      <w:r w:rsidRPr="00790F0C">
        <w:rPr>
          <w:rFonts w:ascii="Verdana" w:eastAsia="Calibri" w:hAnsi="Verdana" w:cs="Arial"/>
          <w:color w:val="000000" w:themeColor="text1"/>
        </w:rPr>
        <w:lastRenderedPageBreak/>
        <w:t>inalterabilidad y disponibilidad de la información en SECOP II, pero no asume la función de archivo institucional ni puede realizar procesos de disposición final de documentos.</w:t>
      </w:r>
    </w:p>
    <w:p w14:paraId="3C542630"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Asimismo, se aclara que la expedición de la Circular Externa No. 007 de 2025 no tiene efectos retroactivos ni modifica la validez jurídica de las actuaciones contractuales adelantadas con anterioridad a su expedición. Los documentos electrónicos contenidos en SECOP I y SECOP II conservan el valor jurídico y probatorio para efectos contractuales, reconocido por la legislación colombiana, sin perjuicio de las obligaciones permanentes que recaen sobre cada Entidad Estatal respecto de la adecuada conformación y preservación de sus expedientes electrónicos de archivo.</w:t>
      </w:r>
    </w:p>
    <w:p w14:paraId="0349DF6D"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En este sentido, los documentos electrónicos publicados y almacenados en las plataformas SECOP I y SECOP II conservan plenamente el valor jurídico y probatorio que les reconoce el ordenamiento jurídico colombiano, en particular las disposiciones relacionadas con los mensajes de datos</w:t>
      </w:r>
      <w:r w:rsidRPr="00790F0C">
        <w:rPr>
          <w:rFonts w:ascii="Verdana" w:eastAsia="Calibri" w:hAnsi="Verdana" w:cs="Arial"/>
          <w:vertAlign w:val="superscript"/>
        </w:rPr>
        <w:footnoteReference w:id="6"/>
      </w:r>
      <w:r w:rsidRPr="00790F0C">
        <w:rPr>
          <w:rFonts w:ascii="Verdana" w:eastAsia="Calibri" w:hAnsi="Verdana" w:cs="Arial"/>
        </w:rPr>
        <w:t>. Por tanto, la sola expedición de la Circular Externa No. 007 de 2025 no desvirtúa la autenticidad, integridad, disponibilidad o fuerza probatoria de los documentos electrónicos generados o incorporados con anterioridad a su expedición.</w:t>
      </w:r>
    </w:p>
    <w:p w14:paraId="440CFFDC"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En consecuencia, la Circular Externa No. 007 de 2025 debe entenderse como una herramienta orientada a fortalecer y unificar las prácticas institucionales en materia de conformación y preservación de expedientes electrónicos de los procesos de contratación, mas no como un instrumento que afecte la validez o eficacia de los documentos y actuaciones contractuales realizadas con anterioridad a su expedición.</w:t>
      </w:r>
    </w:p>
    <w:p w14:paraId="41C07BA8"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 xml:space="preserve">En relación con los </w:t>
      </w:r>
      <w:r w:rsidRPr="00790F0C">
        <w:rPr>
          <w:rFonts w:ascii="Verdana" w:eastAsia="Calibri" w:hAnsi="Verdana" w:cs="Arial"/>
          <w:i/>
          <w:iCs/>
        </w:rPr>
        <w:t>interrogante 4 y 5</w:t>
      </w:r>
      <w:r w:rsidRPr="00790F0C">
        <w:rPr>
          <w:rFonts w:ascii="Verdana" w:eastAsia="Calibri" w:hAnsi="Verdana" w:cs="Arial"/>
        </w:rPr>
        <w:t xml:space="preserve">, se precisa que frente a los procesos contractuales históricos gestionados íntegramente mediante SECOP I o SECOP II, corresponde a cada Entidad Estatal evaluar el estado de sus expedientes electrónicos y adoptar, cuando resulte necesario, las medidas técnicas, archivísticas y tecnológicas que permitan fortalecer su organización dentro de su propio Sistema de Gestión de Documentos Electrónicos de Archivo </w:t>
      </w:r>
      <w:r w:rsidRPr="00790F0C">
        <w:rPr>
          <w:rFonts w:ascii="Verdana" w:eastAsia="Calibri" w:hAnsi="Verdana" w:cs="Arial"/>
        </w:rPr>
        <w:lastRenderedPageBreak/>
        <w:t>garantizando la integridad, autenticidad, disponibilidad, preservación digital y capacidad probatoria, de conformidad con las directrices expedidas por el Archivo General de la Nación y la normativa vigente.</w:t>
      </w:r>
    </w:p>
    <w:p w14:paraId="1054B99F"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En relación con las Entidades Estatales que históricamente gestionaron sus procesos contractuales exclusivamente mediante SECOP II, esta Agencia considera que la valoración sobre un eventual incumplimiento de obligaciones archivísticas debe efectuarse de manera individual atendiendo las circunstancias particulares de cada entidad y las actuaciones efectivamente desarrolladas para garantizar la adecuada gestión documental. En consecuencia, esta Circular no constituye, por sí misma, un pronunciamiento que implique la existencia automática de incumplimientos frente a actuaciones desarrolladas con anterioridad.</w:t>
      </w:r>
    </w:p>
    <w:p w14:paraId="1D61B738"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 xml:space="preserve">Respecto del principio de confianza legítima, al que se refiere en el </w:t>
      </w:r>
      <w:r w:rsidRPr="00790F0C">
        <w:rPr>
          <w:rFonts w:ascii="Verdana" w:eastAsia="Calibri" w:hAnsi="Verdana" w:cs="Arial"/>
          <w:i/>
          <w:iCs/>
        </w:rPr>
        <w:t>interrogante 6</w:t>
      </w:r>
      <w:r w:rsidRPr="00790F0C">
        <w:rPr>
          <w:rFonts w:ascii="Verdana" w:eastAsia="Calibri" w:hAnsi="Verdana" w:cs="Arial"/>
        </w:rPr>
        <w:t>, esta Agencia precisa que los lineamientos, manuales, instructivos, conceptos y actividades de capacitación históricamente emitidos fueron elaborados con fundamento en el marco jurídico y técnico vigente para cada momento y tuvieron como finalidad promover la transformación digital de la contratación pública. En ese sentido, las orientaciones emitidas constituyeron instrumentos de apoyo para facilitar el cumplimiento de las obligaciones de publicidad y uso de las plataformas electrónicas de contratación. Por ello, cualquier actualización posterior de los lineamientos institucionales no implica, por sí misma, que las actuaciones desarrolladas con fundamento en las orientaciones previamente vigentes carezcan de validez o deban entenderse contrarias al ordenamiento jurídico.</w:t>
      </w:r>
    </w:p>
    <w:p w14:paraId="48BEAA7F"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En este contexto, la eventual configuración del principio de confianza legítima y la determinación de los efectos jurídicos que de este puedan derivarse frente a una situación concreta constituyen un análisis que depende de las circunstancias particulares de cada caso. En consecuencia, corresponde a las autoridades administrativas o judiciales competentes determinar, en cada asunto específico, si se configuran los elementos necesarios para la aplicación de dicho principio y cuáles son las consecuencias jurídicas que de ello se derivan. Por lo anterior, esta Agencia, en ejercicio de su función consultiva, no puede emitir pronunciamientos sobre casos particulares ni anticipar la configuración o los efectos del principio de confianza legítima frente a actuaciones concretas de las Entidades Estatales o de los particulares, limitándose a exponer el alcance general del marco normativo aplicable.</w:t>
      </w:r>
    </w:p>
    <w:p w14:paraId="559FAB18"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lastRenderedPageBreak/>
        <w:t xml:space="preserve">Respecto del </w:t>
      </w:r>
      <w:r w:rsidRPr="00790F0C">
        <w:rPr>
          <w:rFonts w:ascii="Verdana" w:eastAsia="Calibri" w:hAnsi="Verdana" w:cs="Arial"/>
          <w:i/>
          <w:iCs/>
        </w:rPr>
        <w:t>interrogante 7</w:t>
      </w:r>
      <w:r w:rsidRPr="00790F0C">
        <w:rPr>
          <w:rFonts w:ascii="Verdana" w:eastAsia="Calibri" w:hAnsi="Verdana" w:cs="Arial"/>
        </w:rPr>
        <w:t>, Colombia Compra Eficiente recomienda a las Entidades Estatales revisar sus políticas institucionales de gestión documental, verificar la correcta aplicación de las Tablas de Retención Documental, fortalecer sus Sistemas de Gestión de Documentos Electrónicos de Archivo cuando estos existan, implementar o actualizar sus esquemas de metadatos, garantizar la conformación del índice electrónico, verificar la conservación de las firmas electrónicas y digitales, adoptar mecanismos de preservación digital a largo plazo y asegurar la interoperabilidad entre los sistemas institucionales de gestión documental y demás sistemas de información que produzcan documentos, todo ello conforme a los lineamientos expedidos por el Archivo General de la Nación.</w:t>
      </w:r>
    </w:p>
    <w:p w14:paraId="69739334" w14:textId="77777777" w:rsidR="007B7CF3" w:rsidRPr="00790F0C" w:rsidRDefault="007B7CF3" w:rsidP="007B7CF3">
      <w:pPr>
        <w:spacing w:after="120" w:line="276" w:lineRule="auto"/>
        <w:ind w:firstLine="567"/>
        <w:jc w:val="both"/>
        <w:rPr>
          <w:rFonts w:ascii="Verdana" w:eastAsia="Calibri" w:hAnsi="Verdana" w:cs="Arial"/>
        </w:rPr>
      </w:pPr>
      <w:r w:rsidRPr="00790F0C">
        <w:rPr>
          <w:rFonts w:ascii="Verdana" w:eastAsia="Calibri" w:hAnsi="Verdana" w:cs="Arial"/>
        </w:rPr>
        <w:t>Finalmente, es importante destacar que la formulación, estructuración y expedición de la Circular Externa No. 007 de 2025 no constituyó un acto aislado, sino el resultado de un trabajo técnico interinstitucional desarrollado con el acompañamiento del Archivo General de la Nación, como ente rector de la política archivística del Estado colombiano, circunstancia que permitió armonizar las directrices emitidas por esta Agencia con el marco archivístico vigente y fortalecer la articulación entre la contratación pública electrónica y la gestión documental.</w:t>
      </w:r>
    </w:p>
    <w:p w14:paraId="11E329C7" w14:textId="77777777" w:rsidR="007B7CF3" w:rsidRPr="00790F0C" w:rsidRDefault="007B7CF3" w:rsidP="007B7CF3">
      <w:pPr>
        <w:spacing w:after="0" w:line="276" w:lineRule="auto"/>
        <w:ind w:firstLine="567"/>
        <w:jc w:val="both"/>
        <w:rPr>
          <w:rFonts w:ascii="Verdana" w:eastAsia="Arial" w:hAnsi="Verdana" w:cs="Arial"/>
          <w:lang w:val="es-ES"/>
        </w:rPr>
      </w:pPr>
    </w:p>
    <w:p w14:paraId="52C682BF" w14:textId="77777777" w:rsidR="007B7CF3" w:rsidRPr="00790F0C" w:rsidRDefault="007B7CF3" w:rsidP="007B7CF3">
      <w:pPr>
        <w:numPr>
          <w:ilvl w:val="0"/>
          <w:numId w:val="1"/>
        </w:numPr>
        <w:tabs>
          <w:tab w:val="left" w:pos="142"/>
          <w:tab w:val="left" w:pos="284"/>
        </w:tabs>
        <w:spacing w:after="0" w:line="276" w:lineRule="auto"/>
        <w:jc w:val="both"/>
        <w:rPr>
          <w:rFonts w:ascii="Verdana" w:eastAsia="Century Gothic" w:hAnsi="Verdana" w:cs="Century Gothic"/>
          <w:b/>
          <w:bCs/>
        </w:rPr>
      </w:pPr>
      <w:r w:rsidRPr="00790F0C">
        <w:rPr>
          <w:rFonts w:ascii="Verdana" w:eastAsia="Century Gothic" w:hAnsi="Verdana" w:cs="Century Gothic"/>
          <w:b/>
          <w:bCs/>
        </w:rPr>
        <w:t>Referencias normativas y jurisprudenciales:</w:t>
      </w:r>
    </w:p>
    <w:p w14:paraId="2492AFDB" w14:textId="77777777" w:rsidR="007B7CF3" w:rsidRPr="00790F0C" w:rsidRDefault="007B7CF3" w:rsidP="007B7CF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B7CF3" w:rsidRPr="00790F0C" w14:paraId="4C2F1B72" w14:textId="77777777" w:rsidTr="0044414F">
        <w:trPr>
          <w:trHeight w:val="410"/>
          <w:jc w:val="center"/>
        </w:trPr>
        <w:tc>
          <w:tcPr>
            <w:tcW w:w="8647" w:type="dxa"/>
          </w:tcPr>
          <w:p w14:paraId="2A712F90" w14:textId="77777777" w:rsidR="007B7CF3" w:rsidRPr="00790F0C" w:rsidRDefault="007B7CF3" w:rsidP="007B7CF3">
            <w:pPr>
              <w:widowControl w:val="0"/>
              <w:numPr>
                <w:ilvl w:val="0"/>
                <w:numId w:val="35"/>
              </w:numPr>
              <w:autoSpaceDE w:val="0"/>
              <w:autoSpaceDN w:val="0"/>
              <w:spacing w:after="120" w:line="276" w:lineRule="auto"/>
              <w:ind w:left="318" w:hanging="284"/>
              <w:contextualSpacing/>
              <w:jc w:val="both"/>
              <w:rPr>
                <w:rFonts w:ascii="Verdana" w:hAnsi="Verdana" w:cs="Arial"/>
                <w:lang w:val="es-MX"/>
              </w:rPr>
            </w:pPr>
            <w:r w:rsidRPr="00790F0C">
              <w:rPr>
                <w:rFonts w:ascii="Verdana" w:hAnsi="Verdana" w:cs="Arial"/>
              </w:rPr>
              <w:t>Ley 1712 de 2014, artículo 2 y 5</w:t>
            </w:r>
          </w:p>
          <w:p w14:paraId="533A7A55" w14:textId="77777777" w:rsidR="007B7CF3" w:rsidRPr="00790F0C" w:rsidRDefault="007B7CF3" w:rsidP="007B7CF3">
            <w:pPr>
              <w:widowControl w:val="0"/>
              <w:numPr>
                <w:ilvl w:val="0"/>
                <w:numId w:val="35"/>
              </w:numPr>
              <w:autoSpaceDE w:val="0"/>
              <w:autoSpaceDN w:val="0"/>
              <w:spacing w:after="120" w:line="276" w:lineRule="auto"/>
              <w:ind w:left="318" w:hanging="284"/>
              <w:contextualSpacing/>
              <w:jc w:val="both"/>
              <w:rPr>
                <w:rFonts w:ascii="Verdana" w:hAnsi="Verdana" w:cs="Arial"/>
                <w:lang w:val="es-MX"/>
              </w:rPr>
            </w:pPr>
            <w:r w:rsidRPr="00790F0C">
              <w:rPr>
                <w:rFonts w:ascii="Verdana" w:hAnsi="Verdana" w:cs="Arial"/>
              </w:rPr>
              <w:t>Ley 1150 de 2007, artículo 3</w:t>
            </w:r>
          </w:p>
          <w:p w14:paraId="0573F29D" w14:textId="77777777" w:rsidR="007B7CF3" w:rsidRPr="00790F0C" w:rsidRDefault="007B7CF3" w:rsidP="007B7CF3">
            <w:pPr>
              <w:widowControl w:val="0"/>
              <w:numPr>
                <w:ilvl w:val="0"/>
                <w:numId w:val="35"/>
              </w:numPr>
              <w:autoSpaceDE w:val="0"/>
              <w:autoSpaceDN w:val="0"/>
              <w:spacing w:after="120" w:line="276" w:lineRule="auto"/>
              <w:ind w:left="318" w:hanging="284"/>
              <w:contextualSpacing/>
              <w:jc w:val="both"/>
              <w:rPr>
                <w:rFonts w:ascii="Verdana" w:hAnsi="Verdana" w:cs="Arial"/>
                <w:lang w:val="es-MX"/>
              </w:rPr>
            </w:pPr>
            <w:r w:rsidRPr="00790F0C">
              <w:rPr>
                <w:rFonts w:ascii="Verdana" w:hAnsi="Verdana" w:cs="Arial"/>
              </w:rPr>
              <w:t>Decreto 1082 de 2015, artículo 2.1.1.2.1.7.</w:t>
            </w:r>
          </w:p>
        </w:tc>
      </w:tr>
    </w:tbl>
    <w:p w14:paraId="463CB6E9" w14:textId="77777777" w:rsidR="007B7CF3" w:rsidRPr="00790F0C" w:rsidRDefault="007B7CF3" w:rsidP="007B7CF3">
      <w:pPr>
        <w:widowControl w:val="0"/>
        <w:autoSpaceDE w:val="0"/>
        <w:autoSpaceDN w:val="0"/>
        <w:spacing w:after="0" w:line="276" w:lineRule="auto"/>
        <w:jc w:val="both"/>
        <w:rPr>
          <w:rFonts w:ascii="Verdana" w:hAnsi="Verdana" w:cs="Arial"/>
        </w:rPr>
      </w:pPr>
    </w:p>
    <w:p w14:paraId="2241E1F6" w14:textId="77777777" w:rsidR="007B7CF3" w:rsidRPr="00790F0C" w:rsidRDefault="007B7CF3" w:rsidP="007B7CF3">
      <w:pPr>
        <w:numPr>
          <w:ilvl w:val="0"/>
          <w:numId w:val="1"/>
        </w:numPr>
        <w:tabs>
          <w:tab w:val="left" w:pos="142"/>
          <w:tab w:val="left" w:pos="284"/>
        </w:tabs>
        <w:spacing w:after="0" w:line="276" w:lineRule="auto"/>
        <w:jc w:val="both"/>
        <w:rPr>
          <w:rFonts w:ascii="Verdana" w:eastAsia="Century Gothic" w:hAnsi="Verdana" w:cs="Century Gothic"/>
          <w:b/>
          <w:bCs/>
        </w:rPr>
      </w:pPr>
      <w:r w:rsidRPr="00790F0C">
        <w:rPr>
          <w:rFonts w:ascii="Verdana" w:eastAsia="Century Gothic" w:hAnsi="Verdana" w:cs="Century Gothic"/>
          <w:b/>
          <w:bCs/>
        </w:rPr>
        <w:t>Doctrina de la Agencia Nacional de Contratación Pública:</w:t>
      </w:r>
    </w:p>
    <w:p w14:paraId="548661A0" w14:textId="77777777" w:rsidR="007B7CF3" w:rsidRPr="00790F0C" w:rsidRDefault="007B7CF3" w:rsidP="007B7CF3">
      <w:pPr>
        <w:widowControl w:val="0"/>
        <w:autoSpaceDE w:val="0"/>
        <w:autoSpaceDN w:val="0"/>
        <w:spacing w:after="0" w:line="276" w:lineRule="auto"/>
        <w:jc w:val="both"/>
        <w:rPr>
          <w:rFonts w:ascii="Verdana" w:hAnsi="Verdana" w:cs="Arial"/>
        </w:rPr>
      </w:pPr>
    </w:p>
    <w:p w14:paraId="425C0700" w14:textId="77777777" w:rsidR="007B7CF3" w:rsidRPr="00790F0C" w:rsidRDefault="007B7CF3" w:rsidP="007B7CF3">
      <w:pPr>
        <w:widowControl w:val="0"/>
        <w:autoSpaceDE w:val="0"/>
        <w:autoSpaceDN w:val="0"/>
        <w:spacing w:after="0" w:line="276" w:lineRule="auto"/>
        <w:jc w:val="both"/>
        <w:rPr>
          <w:rFonts w:ascii="Verdana" w:eastAsia="Calibri" w:hAnsi="Verdana" w:cs="Times New Roman"/>
        </w:rPr>
      </w:pPr>
      <w:r w:rsidRPr="00790F0C">
        <w:rPr>
          <w:rFonts w:ascii="Verdana" w:hAnsi="Verdana" w:cs="Arial"/>
          <w:bCs/>
          <w:shd w:val="clear" w:color="auto" w:fill="FFFFFF"/>
        </w:rPr>
        <w:t xml:space="preserve">La Agencia Nacional de Contratación Pública – Colombia Compra Eficiente se pronunció sobre la publicidad y el SECOP en los conceptos 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C-804 del 12 de diciembre de 2024, C- 185 del 24 de marzo de 2025, C-742 de 2025, entre otros. </w:t>
      </w:r>
      <w:r w:rsidRPr="00790F0C">
        <w:rPr>
          <w:rFonts w:ascii="Verdana" w:eastAsia="Calibri" w:hAnsi="Verdana" w:cs="Times New Roman"/>
        </w:rPr>
        <w:t xml:space="preserve">Estos y otros conceptos </w:t>
      </w:r>
      <w:r w:rsidRPr="00790F0C">
        <w:rPr>
          <w:rFonts w:ascii="Verdana" w:eastAsia="Calibri" w:hAnsi="Verdana" w:cs="Times New Roman"/>
        </w:rPr>
        <w:lastRenderedPageBreak/>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F85569A" w14:textId="77777777" w:rsidR="007B7CF3" w:rsidRPr="00790F0C" w:rsidRDefault="007B7CF3" w:rsidP="007B7CF3">
      <w:pPr>
        <w:widowControl w:val="0"/>
        <w:autoSpaceDE w:val="0"/>
        <w:autoSpaceDN w:val="0"/>
        <w:spacing w:after="0" w:line="276" w:lineRule="auto"/>
        <w:jc w:val="both"/>
      </w:pPr>
      <w:hyperlink r:id="rId13" w:history="1">
        <w:r w:rsidRPr="00790F0C">
          <w:rPr>
            <w:rFonts w:ascii="Verdana" w:eastAsia="Calibri" w:hAnsi="Verdana" w:cs="Times New Roman"/>
            <w:color w:val="0563C1" w:themeColor="hyperlink"/>
            <w:u w:val="single"/>
            <w:lang w:val="es-ES"/>
          </w:rPr>
          <w:t>https://relatoria.colombiacompra.gov.co/busqueda/conceptos</w:t>
        </w:r>
      </w:hyperlink>
    </w:p>
    <w:p w14:paraId="1958365A" w14:textId="77777777" w:rsidR="007B7CF3" w:rsidRPr="00790F0C" w:rsidRDefault="007B7CF3" w:rsidP="007B7CF3">
      <w:pPr>
        <w:widowControl w:val="0"/>
        <w:autoSpaceDE w:val="0"/>
        <w:autoSpaceDN w:val="0"/>
        <w:spacing w:after="0" w:line="276" w:lineRule="auto"/>
        <w:jc w:val="both"/>
        <w:rPr>
          <w:rFonts w:ascii="Verdana" w:eastAsia="Arial" w:hAnsi="Verdana" w:cs="Arial"/>
          <w:lang w:val="es-MX" w:eastAsia="es-ES_tradnl"/>
        </w:rPr>
      </w:pPr>
    </w:p>
    <w:p w14:paraId="6829DD74" w14:textId="77777777" w:rsidR="007B7CF3" w:rsidRPr="00790F0C" w:rsidRDefault="007B7CF3" w:rsidP="007B7CF3">
      <w:pPr>
        <w:jc w:val="both"/>
        <w:rPr>
          <w:rFonts w:ascii="Verdana" w:hAnsi="Verdana"/>
        </w:rPr>
      </w:pPr>
      <w:r w:rsidRPr="00790F0C">
        <w:rPr>
          <w:rFonts w:ascii="Verdana" w:hAnsi="Verdana"/>
        </w:rPr>
        <w:t xml:space="preserve">La sostenibilidad no es una opción, es una obligación. Por ello, la Agencia Nacional de Contratación Pública –Colombia Compra Eficiente– te invita a realizar el </w:t>
      </w:r>
      <w:r w:rsidRPr="00790F0C">
        <w:rPr>
          <w:rFonts w:ascii="Verdana" w:hAnsi="Verdana"/>
          <w:b/>
          <w:bCs/>
        </w:rPr>
        <w:t>Curso de Contratación Pública Sostenible y Socialmente Responsable</w:t>
      </w:r>
      <w:r w:rsidRPr="00790F0C">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90F0C">
        <w:rPr>
          <w:rFonts w:ascii="Verdana" w:hAnsi="Verdana"/>
        </w:rPr>
        <w:br/>
      </w:r>
      <w:hyperlink r:id="rId14" w:tgtFrame="_new" w:history="1">
        <w:r w:rsidRPr="00790F0C">
          <w:rPr>
            <w:rFonts w:ascii="Verdana" w:hAnsi="Verdana"/>
            <w:color w:val="0000FF"/>
            <w:u w:val="single"/>
          </w:rPr>
          <w:t>https://formacionvirtual.colombiacompra.gov.co/mod/page/view.php?id=3718</w:t>
        </w:r>
      </w:hyperlink>
    </w:p>
    <w:p w14:paraId="2921A547" w14:textId="77777777" w:rsidR="007B7CF3" w:rsidRPr="00790F0C" w:rsidRDefault="007B7CF3" w:rsidP="007B7CF3">
      <w:pPr>
        <w:jc w:val="both"/>
        <w:rPr>
          <w:rFonts w:ascii="Verdana" w:hAnsi="Verdana"/>
        </w:rPr>
      </w:pPr>
      <w:r w:rsidRPr="00790F0C">
        <w:rPr>
          <w:rFonts w:ascii="Verdana" w:hAnsi="Verdana"/>
        </w:rPr>
        <w:t xml:space="preserve">De otro lado, te contamos que esta Agencia ha da un paso decisivo en la estandarización y modernización del </w:t>
      </w:r>
      <w:r w:rsidRPr="00790F0C">
        <w:rPr>
          <w:rFonts w:ascii="Verdana" w:hAnsi="Verdana"/>
          <w:b/>
          <w:bCs/>
        </w:rPr>
        <w:t>sector  social</w:t>
      </w:r>
      <w:r w:rsidRPr="00790F0C">
        <w:rPr>
          <w:rFonts w:ascii="Verdana" w:hAnsi="Verdana"/>
        </w:rPr>
        <w:t xml:space="preserve"> con la expedición de las </w:t>
      </w:r>
      <w:r w:rsidRPr="00790F0C">
        <w:rPr>
          <w:rFonts w:ascii="Verdana" w:hAnsi="Verdana"/>
          <w:b/>
          <w:bCs/>
        </w:rPr>
        <w:t>Resoluciones 539, 540, 541, 952 y 953 de 2025</w:t>
      </w:r>
      <w:r w:rsidRPr="00790F0C">
        <w:rPr>
          <w:rFonts w:ascii="Verdana" w:hAnsi="Verdana"/>
        </w:rPr>
        <w:t xml:space="preserve">, </w:t>
      </w:r>
      <w:r w:rsidRPr="00790F0C">
        <w:rPr>
          <w:rFonts w:ascii="Verdana" w:hAnsi="Verdana"/>
          <w:b/>
          <w:bCs/>
        </w:rPr>
        <w:t>mediante las cuales adoptó Documentos Tipo</w:t>
      </w:r>
      <w:r w:rsidRPr="00790F0C">
        <w:rPr>
          <w:rFonts w:ascii="Verdana" w:hAnsi="Verdana"/>
        </w:rPr>
        <w:t xml:space="preserve"> para las modalidades de selección de</w:t>
      </w:r>
      <w:r w:rsidRPr="00790F0C">
        <w:rPr>
          <w:rFonts w:ascii="Verdana" w:hAnsi="Verdana"/>
          <w:b/>
          <w:bCs/>
        </w:rPr>
        <w:t xml:space="preserve"> licitación pública (versión 2), selección abreviada de menor cuantía, mínima cuantía, consultoría e interventoría</w:t>
      </w:r>
      <w:r w:rsidRPr="00790F0C">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790F0C">
          <w:rPr>
            <w:rFonts w:ascii="Verdana" w:hAnsi="Verdana"/>
            <w:color w:val="0000FF"/>
            <w:u w:val="single"/>
          </w:rPr>
          <w:t>https://www.colombiacompra.gov.co/normativa-y-relatoria/documentos-tipo</w:t>
        </w:r>
      </w:hyperlink>
    </w:p>
    <w:p w14:paraId="0ACE4B1F" w14:textId="77777777" w:rsidR="007B7CF3" w:rsidRPr="00790F0C" w:rsidRDefault="007B7CF3" w:rsidP="007B7CF3">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790F0C">
        <w:rPr>
          <w:rFonts w:ascii="Verdana" w:hAnsi="Verdana"/>
        </w:rPr>
        <w:t xml:space="preserve">Si quieres conocer más sobre la aplicación de Documentos Tipo puedes consultar la última versión de la </w:t>
      </w:r>
      <w:r w:rsidRPr="00790F0C">
        <w:rPr>
          <w:rFonts w:ascii="Verdana" w:hAnsi="Verdana"/>
          <w:b/>
          <w:bCs/>
        </w:rPr>
        <w:t>Guía para la comprensión e implementación de los Documentos Tipo de obra pública de infraestructura de transporte</w:t>
      </w:r>
      <w:r w:rsidRPr="00790F0C">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90F0C">
        <w:rPr>
          <w:rFonts w:ascii="Verdana" w:hAnsi="Verdana"/>
        </w:rPr>
        <w:br/>
      </w:r>
      <w:hyperlink r:id="rId16" w:tgtFrame="_new" w:history="1">
        <w:r w:rsidRPr="00790F0C">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27248BD3" w14:textId="77777777" w:rsidR="007B7CF3" w:rsidRPr="00790F0C" w:rsidRDefault="007B7CF3" w:rsidP="007B7CF3">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p>
    <w:p w14:paraId="4014F3E5" w14:textId="77777777" w:rsidR="007B7CF3" w:rsidRPr="00790F0C" w:rsidRDefault="007B7CF3" w:rsidP="007B7CF3">
      <w:pPr>
        <w:widowControl w:val="0"/>
        <w:autoSpaceDE w:val="0"/>
        <w:autoSpaceDN w:val="0"/>
        <w:spacing w:after="0" w:line="276" w:lineRule="auto"/>
        <w:jc w:val="both"/>
        <w:rPr>
          <w:rFonts w:ascii="Verdana" w:hAnsi="Verdana" w:cs="Arial"/>
        </w:rPr>
      </w:pPr>
      <w:r w:rsidRPr="00790F0C">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EDD74A6" w14:textId="77777777" w:rsidR="007B7CF3" w:rsidRPr="00790F0C" w:rsidRDefault="007B7CF3" w:rsidP="007B7CF3">
      <w:pPr>
        <w:widowControl w:val="0"/>
        <w:autoSpaceDE w:val="0"/>
        <w:autoSpaceDN w:val="0"/>
        <w:spacing w:after="0" w:line="276" w:lineRule="auto"/>
        <w:jc w:val="both"/>
        <w:rPr>
          <w:rFonts w:ascii="Verdana" w:hAnsi="Verdana" w:cs="Arial"/>
        </w:rPr>
      </w:pPr>
    </w:p>
    <w:p w14:paraId="10D10A0E" w14:textId="77777777" w:rsidR="007B7CF3" w:rsidRPr="00790F0C" w:rsidRDefault="007B7CF3" w:rsidP="007B7CF3">
      <w:pPr>
        <w:spacing w:after="0" w:line="276" w:lineRule="auto"/>
        <w:rPr>
          <w:rFonts w:ascii="Verdana" w:hAnsi="Verdana" w:cs="Arial"/>
          <w:lang w:eastAsia="es-CO"/>
        </w:rPr>
      </w:pPr>
      <w:r w:rsidRPr="00790F0C">
        <w:rPr>
          <w:rFonts w:ascii="Verdana" w:eastAsia="Times New Roman" w:hAnsi="Verdana" w:cs="Arial"/>
          <w:lang w:eastAsia="es-CO"/>
        </w:rPr>
        <w:t>Atentamente,</w:t>
      </w:r>
      <w:r w:rsidRPr="00790F0C">
        <w:rPr>
          <w:rFonts w:ascii="Verdana" w:hAnsi="Verdana" w:cs="Arial"/>
          <w:lang w:eastAsia="es-CO"/>
        </w:rPr>
        <w:t xml:space="preserve"> </w:t>
      </w:r>
    </w:p>
    <w:p w14:paraId="3E7B7767" w14:textId="58FD5D51" w:rsidR="007B7CF3" w:rsidRPr="00790F0C" w:rsidRDefault="00AE4033" w:rsidP="007B7CF3">
      <w:pPr>
        <w:spacing w:line="276" w:lineRule="auto"/>
        <w:jc w:val="center"/>
        <w:rPr>
          <w:rFonts w:ascii="Verdana" w:hAnsi="Verdana" w:cs="Arial"/>
          <w:color w:val="000000"/>
          <w:lang w:eastAsia="es-CO"/>
        </w:rPr>
      </w:pPr>
      <w:r>
        <w:rPr>
          <w:rFonts w:ascii="Verdana" w:hAnsi="Verdana" w:cs="Arial"/>
          <w:noProof/>
          <w:color w:val="000000"/>
          <w:lang w:eastAsia="es-CO"/>
        </w:rPr>
        <w:drawing>
          <wp:inline distT="0" distB="0" distL="0" distR="0" wp14:anchorId="0AF1DA0D" wp14:editId="7089F088">
            <wp:extent cx="3771900" cy="1400175"/>
            <wp:effectExtent l="0" t="0" r="0" b="9525"/>
            <wp:docPr id="4436906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690690" name="Imagen 443690690"/>
                    <pic:cNvPicPr/>
                  </pic:nvPicPr>
                  <pic:blipFill>
                    <a:blip r:embed="rId17">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B7CF3" w:rsidRPr="00790F0C" w14:paraId="74B8C7CD" w14:textId="77777777" w:rsidTr="0044414F">
        <w:trPr>
          <w:trHeight w:val="315"/>
        </w:trPr>
        <w:tc>
          <w:tcPr>
            <w:tcW w:w="893" w:type="dxa"/>
            <w:vAlign w:val="center"/>
            <w:hideMark/>
          </w:tcPr>
          <w:p w14:paraId="21A08CBA" w14:textId="77777777" w:rsidR="007B7CF3" w:rsidRPr="00790F0C" w:rsidRDefault="007B7CF3" w:rsidP="0044414F">
            <w:pPr>
              <w:contextualSpacing/>
              <w:rPr>
                <w:rFonts w:ascii="Verdana" w:hAnsi="Verdana" w:cs="Arial"/>
                <w:sz w:val="16"/>
                <w:szCs w:val="16"/>
                <w:lang w:eastAsia="es-ES"/>
              </w:rPr>
            </w:pPr>
            <w:r w:rsidRPr="00790F0C">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7437B09" w14:textId="77777777" w:rsidR="007B7CF3" w:rsidRPr="00790F0C" w:rsidRDefault="007B7CF3" w:rsidP="0044414F">
            <w:pPr>
              <w:contextualSpacing/>
              <w:rPr>
                <w:rFonts w:ascii="Verdana" w:hAnsi="Verdana"/>
                <w:sz w:val="16"/>
                <w:szCs w:val="16"/>
              </w:rPr>
            </w:pPr>
            <w:r w:rsidRPr="00790F0C">
              <w:rPr>
                <w:rFonts w:ascii="Verdana" w:hAnsi="Verdana"/>
                <w:sz w:val="16"/>
                <w:szCs w:val="16"/>
              </w:rPr>
              <w:t>Tatiana Baquero Iguarán</w:t>
            </w:r>
          </w:p>
          <w:p w14:paraId="62D3DC56" w14:textId="77777777" w:rsidR="007B7CF3" w:rsidRPr="00790F0C" w:rsidRDefault="007B7CF3" w:rsidP="0044414F">
            <w:pPr>
              <w:contextualSpacing/>
              <w:rPr>
                <w:rFonts w:ascii="Verdana" w:eastAsia="Arial" w:hAnsi="Verdana" w:cs="Arial"/>
                <w:sz w:val="16"/>
                <w:szCs w:val="16"/>
              </w:rPr>
            </w:pPr>
            <w:r w:rsidRPr="00790F0C">
              <w:rPr>
                <w:rFonts w:ascii="Verdana" w:hAnsi="Verdana"/>
                <w:sz w:val="16"/>
                <w:szCs w:val="16"/>
              </w:rPr>
              <w:t>Contratista de la Subdirección de Gestión Contractual</w:t>
            </w:r>
          </w:p>
        </w:tc>
      </w:tr>
      <w:tr w:rsidR="007B7CF3" w:rsidRPr="00790F0C" w14:paraId="79D99913" w14:textId="77777777" w:rsidTr="0044414F">
        <w:trPr>
          <w:trHeight w:val="330"/>
        </w:trPr>
        <w:tc>
          <w:tcPr>
            <w:tcW w:w="893" w:type="dxa"/>
            <w:vAlign w:val="center"/>
            <w:hideMark/>
          </w:tcPr>
          <w:p w14:paraId="6FD5E746" w14:textId="77777777" w:rsidR="007B7CF3" w:rsidRPr="00790F0C" w:rsidRDefault="007B7CF3" w:rsidP="0044414F">
            <w:pPr>
              <w:contextualSpacing/>
              <w:rPr>
                <w:rFonts w:ascii="Verdana" w:hAnsi="Verdana" w:cs="Arial"/>
                <w:sz w:val="16"/>
                <w:szCs w:val="16"/>
                <w:lang w:eastAsia="es-ES"/>
              </w:rPr>
            </w:pPr>
            <w:r w:rsidRPr="00790F0C">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C166688" w14:textId="77777777" w:rsidR="007B7CF3" w:rsidRPr="00790F0C" w:rsidRDefault="007B7CF3" w:rsidP="0044414F">
            <w:pPr>
              <w:textAlignment w:val="baseline"/>
              <w:rPr>
                <w:rFonts w:ascii="Verdana" w:eastAsia="Times New Roman" w:hAnsi="Verdana" w:cs="Arial"/>
                <w:sz w:val="16"/>
                <w:szCs w:val="16"/>
                <w:lang w:val="es-MX" w:eastAsia="es-CO"/>
              </w:rPr>
            </w:pPr>
            <w:r w:rsidRPr="00790F0C">
              <w:rPr>
                <w:rFonts w:ascii="Verdana" w:eastAsia="Times New Roman" w:hAnsi="Verdana" w:cs="Arial"/>
                <w:sz w:val="16"/>
                <w:szCs w:val="16"/>
                <w:lang w:val="es-MX" w:eastAsia="es-CO"/>
              </w:rPr>
              <w:t>Alejandro Raúl Sarmiento Cantillo</w:t>
            </w:r>
          </w:p>
          <w:p w14:paraId="02686439" w14:textId="77777777" w:rsidR="007B7CF3" w:rsidRPr="00790F0C" w:rsidRDefault="007B7CF3" w:rsidP="0044414F">
            <w:pPr>
              <w:spacing w:before="100" w:beforeAutospacing="1" w:after="100" w:afterAutospacing="1"/>
              <w:contextualSpacing/>
              <w:textAlignment w:val="baseline"/>
              <w:rPr>
                <w:rFonts w:ascii="Verdana" w:eastAsia="Times New Roman" w:hAnsi="Verdana" w:cs="Segoe UI"/>
                <w:sz w:val="16"/>
                <w:szCs w:val="16"/>
                <w:lang w:eastAsia="es-ES_tradnl"/>
              </w:rPr>
            </w:pPr>
            <w:r w:rsidRPr="00790F0C">
              <w:rPr>
                <w:rFonts w:ascii="Verdana" w:eastAsia="Times New Roman" w:hAnsi="Verdana" w:cs="Arial"/>
                <w:sz w:val="16"/>
                <w:szCs w:val="16"/>
                <w:lang w:val="es-MX" w:eastAsia="es-CO"/>
              </w:rPr>
              <w:t>Gestor T1-15 de la Subdirección de Gestión Contractual</w:t>
            </w:r>
          </w:p>
        </w:tc>
      </w:tr>
      <w:tr w:rsidR="007B7CF3" w:rsidRPr="00790F0C" w14:paraId="78AA5C56" w14:textId="77777777" w:rsidTr="0044414F">
        <w:trPr>
          <w:trHeight w:val="300"/>
        </w:trPr>
        <w:tc>
          <w:tcPr>
            <w:tcW w:w="893" w:type="dxa"/>
            <w:vAlign w:val="center"/>
          </w:tcPr>
          <w:p w14:paraId="2BD25ADA" w14:textId="77777777" w:rsidR="007B7CF3" w:rsidRPr="00790F0C" w:rsidRDefault="007B7CF3" w:rsidP="0044414F">
            <w:pPr>
              <w:contextualSpacing/>
              <w:rPr>
                <w:rFonts w:ascii="Verdana" w:hAnsi="Verdana" w:cs="Arial"/>
                <w:sz w:val="16"/>
                <w:szCs w:val="16"/>
                <w:lang w:eastAsia="es-ES"/>
              </w:rPr>
            </w:pPr>
            <w:r w:rsidRPr="00790F0C">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FF42BCC" w14:textId="77777777" w:rsidR="007B7CF3" w:rsidRPr="00790F0C" w:rsidRDefault="007B7CF3" w:rsidP="0044414F">
            <w:pPr>
              <w:contextualSpacing/>
              <w:rPr>
                <w:rFonts w:ascii="Verdana" w:eastAsia="Calibri" w:hAnsi="Verdana" w:cs="Arial"/>
                <w:sz w:val="16"/>
                <w:szCs w:val="16"/>
                <w:lang w:eastAsia="es-ES"/>
              </w:rPr>
            </w:pPr>
            <w:r w:rsidRPr="00790F0C">
              <w:rPr>
                <w:rFonts w:ascii="Verdana" w:eastAsia="Calibri" w:hAnsi="Verdana" w:cs="Arial"/>
                <w:sz w:val="16"/>
                <w:szCs w:val="16"/>
                <w:lang w:eastAsia="es-ES"/>
              </w:rPr>
              <w:t>Carolina Quintero Gacharná</w:t>
            </w:r>
          </w:p>
          <w:p w14:paraId="1540F958" w14:textId="77777777" w:rsidR="007B7CF3" w:rsidRPr="00790F0C" w:rsidRDefault="007B7CF3" w:rsidP="0044414F">
            <w:pPr>
              <w:contextualSpacing/>
              <w:rPr>
                <w:rFonts w:ascii="Verdana" w:eastAsia="Calibri" w:hAnsi="Verdana" w:cs="Arial"/>
                <w:sz w:val="16"/>
                <w:szCs w:val="16"/>
                <w:lang w:eastAsia="es-ES"/>
              </w:rPr>
            </w:pPr>
            <w:r w:rsidRPr="00790F0C">
              <w:rPr>
                <w:rFonts w:ascii="Verdana" w:eastAsia="Calibri" w:hAnsi="Verdana" w:cs="Arial"/>
                <w:sz w:val="16"/>
                <w:szCs w:val="16"/>
                <w:lang w:eastAsia="es-ES"/>
              </w:rPr>
              <w:t>Subdirectora de Gestión Contractual ANCP – CCE</w:t>
            </w:r>
          </w:p>
        </w:tc>
      </w:tr>
      <w:tr w:rsidR="007B7CF3" w:rsidRPr="00790F0C" w14:paraId="3016101D" w14:textId="77777777" w:rsidTr="0044414F">
        <w:trPr>
          <w:trHeight w:val="300"/>
        </w:trPr>
        <w:tc>
          <w:tcPr>
            <w:tcW w:w="893" w:type="dxa"/>
            <w:vAlign w:val="center"/>
          </w:tcPr>
          <w:p w14:paraId="3AA5585D" w14:textId="77777777" w:rsidR="007B7CF3" w:rsidRPr="00790F0C" w:rsidRDefault="007B7CF3" w:rsidP="0044414F">
            <w:pPr>
              <w:contextualSpacing/>
              <w:rPr>
                <w:rFonts w:ascii="Verdana" w:hAnsi="Verdana" w:cs="Arial"/>
                <w:sz w:val="16"/>
                <w:szCs w:val="16"/>
                <w:lang w:eastAsia="es-ES"/>
              </w:rPr>
            </w:pPr>
            <w:r>
              <w:rPr>
                <w:rFonts w:ascii="Verdana" w:hAnsi="Verdana" w:cs="Arial"/>
                <w:sz w:val="16"/>
                <w:szCs w:val="16"/>
                <w:lang w:eastAsia="es-ES"/>
              </w:rPr>
              <w:t>Anexo:</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43BAAD8" w14:textId="77777777" w:rsidR="007B7CF3" w:rsidRPr="00790F0C" w:rsidRDefault="007B7CF3" w:rsidP="0044414F">
            <w:pPr>
              <w:contextualSpacing/>
              <w:rPr>
                <w:rFonts w:ascii="Verdana" w:eastAsia="Calibri" w:hAnsi="Verdana" w:cs="Arial"/>
                <w:sz w:val="16"/>
                <w:szCs w:val="16"/>
                <w:lang w:eastAsia="es-ES"/>
              </w:rPr>
            </w:pPr>
            <w:r>
              <w:rPr>
                <w:rFonts w:ascii="Verdana" w:eastAsia="Calibri" w:hAnsi="Verdana" w:cs="Arial"/>
                <w:sz w:val="16"/>
                <w:szCs w:val="16"/>
                <w:lang w:eastAsia="es-ES"/>
              </w:rPr>
              <w:t>Respuesta SIDT</w:t>
            </w:r>
          </w:p>
        </w:tc>
      </w:tr>
      <w:tr w:rsidR="007B7CF3" w:rsidRPr="00790F0C" w14:paraId="76E385D3" w14:textId="77777777" w:rsidTr="0044414F">
        <w:trPr>
          <w:gridAfter w:val="1"/>
          <w:wAfter w:w="5628" w:type="dxa"/>
          <w:trHeight w:val="300"/>
        </w:trPr>
        <w:tc>
          <w:tcPr>
            <w:tcW w:w="893" w:type="dxa"/>
            <w:vAlign w:val="center"/>
          </w:tcPr>
          <w:p w14:paraId="5974F4E3" w14:textId="77777777" w:rsidR="007B7CF3" w:rsidRPr="00790F0C" w:rsidRDefault="007B7CF3" w:rsidP="0044414F">
            <w:pPr>
              <w:contextualSpacing/>
              <w:rPr>
                <w:rFonts w:ascii="Verdana" w:hAnsi="Verdana" w:cs="Arial"/>
                <w:sz w:val="16"/>
                <w:szCs w:val="16"/>
                <w:lang w:eastAsia="es-ES"/>
              </w:rPr>
            </w:pPr>
          </w:p>
        </w:tc>
      </w:tr>
      <w:bookmarkEnd w:id="0"/>
      <w:bookmarkEnd w:id="1"/>
    </w:tbl>
    <w:p w14:paraId="1191D5EF" w14:textId="4A87E983" w:rsidR="007B7CF3" w:rsidRPr="00790F0C" w:rsidRDefault="007B7CF3" w:rsidP="007B7CF3">
      <w:pPr>
        <w:spacing w:after="0" w:line="240" w:lineRule="auto"/>
        <w:textAlignment w:val="baseline"/>
      </w:pPr>
    </w:p>
    <w:p w14:paraId="7009B6C5" w14:textId="77777777" w:rsidR="00D4247D" w:rsidRPr="007B7CF3" w:rsidRDefault="00D4247D" w:rsidP="007B7CF3"/>
    <w:sectPr w:rsidR="00D4247D" w:rsidRPr="007B7CF3" w:rsidSect="00C44B4C">
      <w:headerReference w:type="even" r:id="rId18"/>
      <w:headerReference w:type="default" r:id="rId19"/>
      <w:footerReference w:type="even" r:id="rId20"/>
      <w:footerReference w:type="default" r:id="rId21"/>
      <w:headerReference w:type="first" r:id="rId22"/>
      <w:footerReference w:type="first" r:id="rId23"/>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6FC4C" w14:textId="77777777" w:rsidR="00173A50" w:rsidRPr="009B7987" w:rsidRDefault="00173A50" w:rsidP="00B30448">
      <w:pPr>
        <w:spacing w:after="0" w:line="240" w:lineRule="auto"/>
      </w:pPr>
      <w:r w:rsidRPr="009B7987">
        <w:separator/>
      </w:r>
    </w:p>
  </w:endnote>
  <w:endnote w:type="continuationSeparator" w:id="0">
    <w:p w14:paraId="5E58D119" w14:textId="77777777" w:rsidR="00173A50" w:rsidRPr="009B7987" w:rsidRDefault="00173A50" w:rsidP="00B30448">
      <w:pPr>
        <w:spacing w:after="0" w:line="240" w:lineRule="auto"/>
      </w:pPr>
      <w:r w:rsidRPr="009B7987">
        <w:continuationSeparator/>
      </w:r>
    </w:p>
  </w:endnote>
  <w:endnote w:type="continuationNotice" w:id="1">
    <w:p w14:paraId="7E62C2C9" w14:textId="77777777" w:rsidR="00173A50" w:rsidRPr="009B7987" w:rsidRDefault="00173A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altName w:val="Calibri"/>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C06CF" w14:textId="77777777" w:rsidR="00B01F03" w:rsidRDefault="00B01F0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90E60" w14:textId="77777777" w:rsidR="00F739E1" w:rsidRPr="00174B77" w:rsidRDefault="00F739E1" w:rsidP="00F739E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Pr>
        <w:rFonts w:ascii="Verdana" w:eastAsiaTheme="minorEastAsia" w:hAnsi="Verdana"/>
        <w:b/>
        <w:bCs/>
        <w:sz w:val="16"/>
        <w:szCs w:val="16"/>
      </w:rPr>
      <w:t>3</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3B2951AA" w14:textId="77777777" w:rsidR="00F739E1" w:rsidRDefault="00F739E1" w:rsidP="00F739E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3B2EC9F7" w14:textId="77777777" w:rsidR="00F739E1" w:rsidRPr="00E41027" w:rsidRDefault="00F739E1" w:rsidP="00F739E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2B8DBB2A" w14:textId="3AA4853D" w:rsidR="00A81E50" w:rsidRPr="00F739E1" w:rsidRDefault="00F739E1" w:rsidP="00F739E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42B98" w14:textId="77777777" w:rsidR="00B01F03" w:rsidRDefault="00B01F0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EF98A3" w14:textId="77777777" w:rsidR="00173A50" w:rsidRPr="009B7987" w:rsidRDefault="00173A50" w:rsidP="00B30448">
      <w:pPr>
        <w:spacing w:after="0" w:line="240" w:lineRule="auto"/>
      </w:pPr>
      <w:r w:rsidRPr="009B7987">
        <w:separator/>
      </w:r>
    </w:p>
  </w:footnote>
  <w:footnote w:type="continuationSeparator" w:id="0">
    <w:p w14:paraId="21514D0A" w14:textId="77777777" w:rsidR="00173A50" w:rsidRPr="009B7987" w:rsidRDefault="00173A50" w:rsidP="00B30448">
      <w:pPr>
        <w:spacing w:after="0" w:line="240" w:lineRule="auto"/>
      </w:pPr>
      <w:r w:rsidRPr="009B7987">
        <w:continuationSeparator/>
      </w:r>
    </w:p>
  </w:footnote>
  <w:footnote w:type="continuationNotice" w:id="1">
    <w:p w14:paraId="3122EA2D" w14:textId="77777777" w:rsidR="00173A50" w:rsidRPr="009B7987" w:rsidRDefault="00173A50">
      <w:pPr>
        <w:spacing w:after="0" w:line="240" w:lineRule="auto"/>
      </w:pPr>
    </w:p>
  </w:footnote>
  <w:footnote w:id="2">
    <w:p w14:paraId="1BE0407E" w14:textId="77777777" w:rsidR="007B7CF3" w:rsidRPr="008F02AF" w:rsidRDefault="007B7CF3" w:rsidP="007B7CF3">
      <w:pPr>
        <w:pStyle w:val="Textonotapie"/>
        <w:ind w:firstLine="709"/>
        <w:jc w:val="both"/>
        <w:rPr>
          <w:rFonts w:ascii="Verdana" w:hAnsi="Verdana" w:cs="Arial"/>
          <w:color w:val="000000" w:themeColor="text1"/>
          <w:sz w:val="16"/>
          <w:szCs w:val="16"/>
        </w:rPr>
      </w:pPr>
      <w:r w:rsidRPr="008F02AF">
        <w:rPr>
          <w:rStyle w:val="Refdenotaalpie"/>
          <w:rFonts w:ascii="Verdana" w:hAnsi="Verdana" w:cs="Arial"/>
          <w:color w:val="000000" w:themeColor="text1"/>
          <w:sz w:val="16"/>
          <w:szCs w:val="16"/>
        </w:rPr>
        <w:footnoteRef/>
      </w:r>
      <w:r w:rsidRPr="008F02AF">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0516F21A" w14:textId="77777777" w:rsidR="007B7CF3" w:rsidRPr="008F02AF" w:rsidRDefault="007B7CF3" w:rsidP="007B7CF3">
      <w:pPr>
        <w:pStyle w:val="Textonotapie"/>
        <w:ind w:firstLine="709"/>
        <w:jc w:val="both"/>
        <w:rPr>
          <w:rFonts w:ascii="Verdana" w:hAnsi="Verdana" w:cs="Arial"/>
          <w:color w:val="000000" w:themeColor="text1"/>
          <w:sz w:val="16"/>
          <w:szCs w:val="16"/>
          <w:lang w:val="es-CO"/>
        </w:rPr>
      </w:pPr>
    </w:p>
  </w:footnote>
  <w:footnote w:id="3">
    <w:p w14:paraId="5C527821" w14:textId="77777777" w:rsidR="007B7CF3" w:rsidRPr="008F02AF" w:rsidRDefault="007B7CF3" w:rsidP="007B7CF3">
      <w:pPr>
        <w:pStyle w:val="Textonotapie"/>
        <w:ind w:firstLine="709"/>
        <w:jc w:val="both"/>
        <w:rPr>
          <w:rFonts w:ascii="Verdana" w:hAnsi="Verdana" w:cs="Arial"/>
          <w:color w:val="000000" w:themeColor="text1"/>
          <w:sz w:val="16"/>
          <w:szCs w:val="16"/>
        </w:rPr>
      </w:pPr>
      <w:r w:rsidRPr="008F02AF">
        <w:rPr>
          <w:rStyle w:val="Refdenotaalpie"/>
          <w:rFonts w:ascii="Verdana" w:hAnsi="Verdana" w:cs="Arial"/>
          <w:color w:val="000000" w:themeColor="text1"/>
          <w:sz w:val="16"/>
          <w:szCs w:val="16"/>
        </w:rPr>
        <w:footnoteRef/>
      </w:r>
      <w:r w:rsidRPr="008F02AF">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a) Toda entidad pública, incluyendo las pertenecientes a todas las Ramas del Poder Público, en todos los niveles de la estructura estatal, central o descentralizada por servicios o territorialmente, en los órdenes nacional, departamental, municipal y distrital”.</w:t>
      </w:r>
    </w:p>
    <w:p w14:paraId="62D77C07" w14:textId="77777777" w:rsidR="007B7CF3" w:rsidRPr="008F02AF" w:rsidRDefault="007B7CF3" w:rsidP="007B7CF3">
      <w:pPr>
        <w:pStyle w:val="Textonotapie"/>
        <w:ind w:firstLine="709"/>
        <w:jc w:val="both"/>
        <w:rPr>
          <w:rFonts w:ascii="Verdana" w:hAnsi="Verdana" w:cs="Arial"/>
          <w:color w:val="000000" w:themeColor="text1"/>
          <w:sz w:val="16"/>
          <w:szCs w:val="16"/>
          <w:lang w:val="es-CO"/>
        </w:rPr>
      </w:pPr>
    </w:p>
  </w:footnote>
  <w:footnote w:id="4">
    <w:p w14:paraId="7FBE03E9" w14:textId="77777777" w:rsidR="007B7CF3" w:rsidRPr="008F02AF" w:rsidRDefault="007B7CF3" w:rsidP="007B7CF3">
      <w:pPr>
        <w:pStyle w:val="Textonotapie"/>
        <w:ind w:firstLine="709"/>
        <w:jc w:val="both"/>
        <w:rPr>
          <w:rFonts w:ascii="Verdana" w:hAnsi="Verdana" w:cs="Arial"/>
          <w:color w:val="000000"/>
          <w:sz w:val="16"/>
          <w:szCs w:val="16"/>
        </w:rPr>
      </w:pPr>
      <w:r w:rsidRPr="008F02AF">
        <w:rPr>
          <w:rFonts w:ascii="Verdana" w:eastAsia="Times New Roman" w:hAnsi="Verdana" w:cs="Arial"/>
          <w:color w:val="000000"/>
          <w:sz w:val="16"/>
          <w:szCs w:val="16"/>
          <w:vertAlign w:val="superscript"/>
          <w:lang w:val="es-ES" w:eastAsia="es-ES"/>
        </w:rPr>
        <w:footnoteRef/>
      </w:r>
      <w:r w:rsidRPr="008F02AF">
        <w:rPr>
          <w:rFonts w:ascii="Verdana" w:eastAsia="Times New Roman" w:hAnsi="Verdana" w:cs="Arial"/>
          <w:color w:val="000000"/>
          <w:sz w:val="16"/>
          <w:szCs w:val="16"/>
          <w:vertAlign w:val="superscript"/>
          <w:lang w:val="es-ES" w:eastAsia="es-ES"/>
        </w:rPr>
        <w:t xml:space="preserve"> </w:t>
      </w:r>
      <w:r w:rsidRPr="008F02AF">
        <w:rPr>
          <w:rFonts w:ascii="Verdana" w:eastAsia="Times New Roman" w:hAnsi="Verdana" w:cs="Arial"/>
          <w:color w:val="000000"/>
          <w:sz w:val="16"/>
          <w:szCs w:val="16"/>
          <w:lang w:val="es-ES" w:eastAsia="es-ES"/>
        </w:rPr>
        <w:t>“</w:t>
      </w:r>
      <w:r w:rsidRPr="008F02AF">
        <w:rPr>
          <w:rFonts w:ascii="Verdana" w:hAnsi="Verdana" w:cs="Arial"/>
          <w:color w:val="000000"/>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37A90D03" w14:textId="77777777" w:rsidR="007B7CF3" w:rsidRPr="008F02AF" w:rsidRDefault="007B7CF3" w:rsidP="007B7CF3">
      <w:pPr>
        <w:pStyle w:val="Textonotapie"/>
        <w:ind w:firstLine="709"/>
        <w:jc w:val="both"/>
        <w:rPr>
          <w:rFonts w:ascii="Verdana" w:eastAsia="Times New Roman" w:hAnsi="Verdana" w:cs="Arial"/>
          <w:color w:val="000000"/>
          <w:sz w:val="16"/>
          <w:szCs w:val="16"/>
          <w:lang w:val="es-ES" w:eastAsia="es-ES"/>
        </w:rPr>
      </w:pPr>
      <w:r w:rsidRPr="008F02AF">
        <w:rPr>
          <w:rFonts w:ascii="Verdana" w:hAnsi="Verdana" w:cs="Arial"/>
          <w:color w:val="000000" w:themeColor="text1"/>
          <w:sz w:val="16"/>
          <w:szCs w:val="16"/>
        </w:rPr>
        <w:t>[…].</w:t>
      </w:r>
    </w:p>
    <w:p w14:paraId="6B65003B" w14:textId="77777777" w:rsidR="007B7CF3" w:rsidRPr="008F02AF" w:rsidRDefault="007B7CF3" w:rsidP="007B7CF3">
      <w:pPr>
        <w:pStyle w:val="Textonotapie"/>
        <w:ind w:firstLine="709"/>
        <w:jc w:val="both"/>
        <w:rPr>
          <w:rFonts w:ascii="Verdana" w:eastAsia="Times New Roman" w:hAnsi="Verdana" w:cs="Arial"/>
          <w:color w:val="000000"/>
          <w:sz w:val="16"/>
          <w:szCs w:val="16"/>
          <w:lang w:val="es-ES" w:eastAsia="es-ES"/>
        </w:rPr>
      </w:pPr>
      <w:r w:rsidRPr="008F02AF">
        <w:rPr>
          <w:rFonts w:ascii="Verdana" w:eastAsia="Times New Roman"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1CC6D6F7" w14:textId="77777777" w:rsidR="007B7CF3" w:rsidRPr="008F02AF" w:rsidRDefault="007B7CF3" w:rsidP="007B7CF3">
      <w:pPr>
        <w:pStyle w:val="Textonotapie"/>
        <w:ind w:firstLine="709"/>
        <w:jc w:val="both"/>
        <w:rPr>
          <w:rFonts w:ascii="Verdana" w:eastAsia="Times New Roman" w:hAnsi="Verdana" w:cs="Arial"/>
          <w:color w:val="000000"/>
          <w:sz w:val="16"/>
          <w:szCs w:val="16"/>
          <w:lang w:val="es-ES" w:eastAsia="es-ES"/>
        </w:rPr>
      </w:pPr>
    </w:p>
  </w:footnote>
  <w:footnote w:id="5">
    <w:p w14:paraId="13317B34" w14:textId="77777777" w:rsidR="007B7CF3" w:rsidRPr="008F02AF" w:rsidRDefault="007B7CF3" w:rsidP="007B7CF3">
      <w:pPr>
        <w:pStyle w:val="Textonotapie"/>
        <w:ind w:firstLine="709"/>
        <w:jc w:val="both"/>
        <w:rPr>
          <w:rFonts w:ascii="Verdana" w:hAnsi="Verdana"/>
          <w:sz w:val="16"/>
          <w:szCs w:val="16"/>
          <w:lang w:val="es-CO"/>
        </w:rPr>
      </w:pPr>
      <w:r w:rsidRPr="008F02AF">
        <w:rPr>
          <w:rStyle w:val="Refdenotaalpie"/>
          <w:rFonts w:ascii="Verdana" w:hAnsi="Verdana"/>
          <w:sz w:val="16"/>
          <w:szCs w:val="16"/>
        </w:rPr>
        <w:footnoteRef/>
      </w:r>
      <w:r w:rsidRPr="008F02AF">
        <w:rPr>
          <w:rFonts w:ascii="Verdana" w:hAnsi="Verdana"/>
          <w:sz w:val="16"/>
          <w:szCs w:val="16"/>
        </w:rPr>
        <w:t xml:space="preserve"> </w:t>
      </w:r>
      <w:r w:rsidRPr="008F02AF">
        <w:rPr>
          <w:rFonts w:ascii="Verdana" w:hAnsi="Verdana"/>
          <w:sz w:val="16"/>
          <w:szCs w:val="16"/>
          <w:lang w:val="es-CO"/>
        </w:rPr>
        <w:t xml:space="preserve">Se adjunta respuesta a este interrogante de la Subdirección de Información y Desarrollo Tecnológico </w:t>
      </w:r>
    </w:p>
  </w:footnote>
  <w:footnote w:id="6">
    <w:p w14:paraId="6C503994" w14:textId="77777777" w:rsidR="007B7CF3" w:rsidRPr="008F02AF" w:rsidRDefault="007B7CF3" w:rsidP="007B7CF3">
      <w:pPr>
        <w:pStyle w:val="Textonotapie"/>
        <w:ind w:firstLine="709"/>
        <w:jc w:val="both"/>
        <w:rPr>
          <w:rFonts w:ascii="Verdana" w:hAnsi="Verdana"/>
          <w:sz w:val="16"/>
          <w:szCs w:val="16"/>
          <w:lang w:val="es-CO"/>
        </w:rPr>
      </w:pPr>
      <w:r w:rsidRPr="008F02AF">
        <w:rPr>
          <w:rStyle w:val="Refdenotaalpie"/>
          <w:rFonts w:ascii="Verdana" w:hAnsi="Verdana"/>
          <w:sz w:val="16"/>
          <w:szCs w:val="16"/>
        </w:rPr>
        <w:footnoteRef/>
      </w:r>
      <w:r w:rsidRPr="008F02AF">
        <w:rPr>
          <w:rFonts w:ascii="Verdana" w:hAnsi="Verdana"/>
          <w:sz w:val="16"/>
          <w:szCs w:val="16"/>
        </w:rPr>
        <w:t xml:space="preserve"> </w:t>
      </w:r>
      <w:r w:rsidRPr="008F02AF">
        <w:rPr>
          <w:rFonts w:ascii="Verdana" w:eastAsia="Calibri" w:hAnsi="Verdana" w:cs="Arial"/>
          <w:sz w:val="16"/>
          <w:szCs w:val="16"/>
          <w:lang w:val="es-ES"/>
        </w:rPr>
        <w:t xml:space="preserve">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w:t>
      </w:r>
      <w:r w:rsidRPr="008F02AF">
        <w:rPr>
          <w:rFonts w:ascii="Verdana" w:eastAsia="Calibri" w:hAnsi="Verdana" w:cs="Arial"/>
          <w:i/>
          <w:iCs/>
          <w:sz w:val="16"/>
          <w:szCs w:val="16"/>
          <w:lang w:val="es-ES"/>
        </w:rPr>
        <w:t>ibidem</w:t>
      </w:r>
      <w:r w:rsidRPr="008F02AF">
        <w:rPr>
          <w:rFonts w:ascii="Verdana" w:eastAsia="Calibri" w:hAnsi="Verdana" w:cs="Arial"/>
          <w:sz w:val="16"/>
          <w:szCs w:val="16"/>
          <w:lang w:val="es-ES"/>
        </w:rPr>
        <w:t xml:space="preserve"> dispone que los contratos electrónicos compuestos por mensajes de datos tienen los efectos jurídicos según las normas aplicables al negocio jurídico contenido en dichos mensajes, esto es, las normas que regulan el sistema de contratación pública.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0F345" w14:textId="77777777" w:rsidR="00B01F03" w:rsidRDefault="00B01F0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8E0DD" w14:textId="77777777" w:rsidR="00B01F03" w:rsidRDefault="00B01F0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4AE99D4"/>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764EF3"/>
    <w:multiLevelType w:val="hybridMultilevel"/>
    <w:tmpl w:val="1F80E5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6"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9"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0"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4"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9"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EFD47DF"/>
    <w:multiLevelType w:val="hybridMultilevel"/>
    <w:tmpl w:val="FC5CE12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4"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7"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BE57BDE"/>
    <w:multiLevelType w:val="hybridMultilevel"/>
    <w:tmpl w:val="DE26EC5E"/>
    <w:lvl w:ilvl="0" w:tplc="0248F79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4"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2"/>
  </w:num>
  <w:num w:numId="3" w16cid:durableId="679089576">
    <w:abstractNumId w:val="16"/>
  </w:num>
  <w:num w:numId="4" w16cid:durableId="893472101">
    <w:abstractNumId w:val="8"/>
  </w:num>
  <w:num w:numId="5" w16cid:durableId="1982299905">
    <w:abstractNumId w:val="34"/>
  </w:num>
  <w:num w:numId="6" w16cid:durableId="130758360">
    <w:abstractNumId w:val="19"/>
  </w:num>
  <w:num w:numId="7" w16cid:durableId="262541512">
    <w:abstractNumId w:val="31"/>
  </w:num>
  <w:num w:numId="8" w16cid:durableId="1947226218">
    <w:abstractNumId w:val="15"/>
  </w:num>
  <w:num w:numId="9" w16cid:durableId="1180706126">
    <w:abstractNumId w:val="18"/>
  </w:num>
  <w:num w:numId="10" w16cid:durableId="2097506960">
    <w:abstractNumId w:val="25"/>
  </w:num>
  <w:num w:numId="11" w16cid:durableId="1977490869">
    <w:abstractNumId w:val="22"/>
  </w:num>
  <w:num w:numId="12" w16cid:durableId="158663248">
    <w:abstractNumId w:val="21"/>
  </w:num>
  <w:num w:numId="13" w16cid:durableId="2024085788">
    <w:abstractNumId w:val="2"/>
  </w:num>
  <w:num w:numId="14" w16cid:durableId="1885099950">
    <w:abstractNumId w:val="14"/>
  </w:num>
  <w:num w:numId="15" w16cid:durableId="32047459">
    <w:abstractNumId w:val="9"/>
  </w:num>
  <w:num w:numId="16" w16cid:durableId="1192261824">
    <w:abstractNumId w:val="10"/>
  </w:num>
  <w:num w:numId="17" w16cid:durableId="375933272">
    <w:abstractNumId w:val="17"/>
  </w:num>
  <w:num w:numId="18" w16cid:durableId="610939998">
    <w:abstractNumId w:val="26"/>
  </w:num>
  <w:num w:numId="19" w16cid:durableId="1910656144">
    <w:abstractNumId w:val="3"/>
  </w:num>
  <w:num w:numId="20" w16cid:durableId="947545103">
    <w:abstractNumId w:val="13"/>
  </w:num>
  <w:num w:numId="21" w16cid:durableId="1851335222">
    <w:abstractNumId w:val="33"/>
  </w:num>
  <w:num w:numId="22" w16cid:durableId="578707994">
    <w:abstractNumId w:val="5"/>
  </w:num>
  <w:num w:numId="23" w16cid:durableId="876742304">
    <w:abstractNumId w:val="11"/>
  </w:num>
  <w:num w:numId="24" w16cid:durableId="1994095851">
    <w:abstractNumId w:val="6"/>
  </w:num>
  <w:num w:numId="25" w16cid:durableId="1567109325">
    <w:abstractNumId w:val="27"/>
  </w:num>
  <w:num w:numId="26" w16cid:durableId="1116487847">
    <w:abstractNumId w:val="20"/>
  </w:num>
  <w:num w:numId="27" w16cid:durableId="611326471">
    <w:abstractNumId w:val="29"/>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2"/>
  </w:num>
  <w:num w:numId="30" w16cid:durableId="363991975">
    <w:abstractNumId w:val="30"/>
  </w:num>
  <w:num w:numId="31" w16cid:durableId="1509440290">
    <w:abstractNumId w:val="24"/>
  </w:num>
  <w:num w:numId="32" w16cid:durableId="1601723362">
    <w:abstractNumId w:val="7"/>
  </w:num>
  <w:num w:numId="33" w16cid:durableId="1484539021">
    <w:abstractNumId w:val="4"/>
  </w:num>
  <w:num w:numId="34" w16cid:durableId="583299312">
    <w:abstractNumId w:val="28"/>
  </w:num>
  <w:num w:numId="35" w16cid:durableId="2045212351">
    <w:abstractNumId w:val="23"/>
  </w:num>
  <w:num w:numId="36" w16cid:durableId="118242938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C3E"/>
    <w:rsid w:val="00002D55"/>
    <w:rsid w:val="0000399A"/>
    <w:rsid w:val="00005225"/>
    <w:rsid w:val="000054DB"/>
    <w:rsid w:val="0000587D"/>
    <w:rsid w:val="000059AE"/>
    <w:rsid w:val="00005BB0"/>
    <w:rsid w:val="00006492"/>
    <w:rsid w:val="00006F59"/>
    <w:rsid w:val="00007086"/>
    <w:rsid w:val="00007382"/>
    <w:rsid w:val="00007576"/>
    <w:rsid w:val="0001025F"/>
    <w:rsid w:val="0001155E"/>
    <w:rsid w:val="00011613"/>
    <w:rsid w:val="00011D3C"/>
    <w:rsid w:val="0001222D"/>
    <w:rsid w:val="00012679"/>
    <w:rsid w:val="00012EDA"/>
    <w:rsid w:val="0001317F"/>
    <w:rsid w:val="00013B3F"/>
    <w:rsid w:val="00014981"/>
    <w:rsid w:val="00014B0D"/>
    <w:rsid w:val="00014E7B"/>
    <w:rsid w:val="00015E3D"/>
    <w:rsid w:val="00016280"/>
    <w:rsid w:val="0001672C"/>
    <w:rsid w:val="000167D3"/>
    <w:rsid w:val="00016F04"/>
    <w:rsid w:val="00017870"/>
    <w:rsid w:val="00017ED6"/>
    <w:rsid w:val="00021068"/>
    <w:rsid w:val="00021595"/>
    <w:rsid w:val="000219D1"/>
    <w:rsid w:val="00021BDF"/>
    <w:rsid w:val="00021C3A"/>
    <w:rsid w:val="0002202D"/>
    <w:rsid w:val="00022C23"/>
    <w:rsid w:val="00023DF7"/>
    <w:rsid w:val="00023EB8"/>
    <w:rsid w:val="00026021"/>
    <w:rsid w:val="000267DD"/>
    <w:rsid w:val="000273EA"/>
    <w:rsid w:val="00027AD6"/>
    <w:rsid w:val="00027B63"/>
    <w:rsid w:val="00027CA9"/>
    <w:rsid w:val="00030B3D"/>
    <w:rsid w:val="00030BC5"/>
    <w:rsid w:val="00030BFB"/>
    <w:rsid w:val="00030C05"/>
    <w:rsid w:val="00031DA1"/>
    <w:rsid w:val="00031EAF"/>
    <w:rsid w:val="00033038"/>
    <w:rsid w:val="00033390"/>
    <w:rsid w:val="000361EA"/>
    <w:rsid w:val="0003699E"/>
    <w:rsid w:val="000369C0"/>
    <w:rsid w:val="000370A0"/>
    <w:rsid w:val="0003731A"/>
    <w:rsid w:val="00037A8B"/>
    <w:rsid w:val="00040372"/>
    <w:rsid w:val="000408AD"/>
    <w:rsid w:val="00041469"/>
    <w:rsid w:val="0004180C"/>
    <w:rsid w:val="000419D7"/>
    <w:rsid w:val="00042DD7"/>
    <w:rsid w:val="00043EE5"/>
    <w:rsid w:val="000442CC"/>
    <w:rsid w:val="000442DE"/>
    <w:rsid w:val="00044B24"/>
    <w:rsid w:val="0004508D"/>
    <w:rsid w:val="00045B37"/>
    <w:rsid w:val="00045CB2"/>
    <w:rsid w:val="00046B87"/>
    <w:rsid w:val="00047071"/>
    <w:rsid w:val="0004709D"/>
    <w:rsid w:val="0004732C"/>
    <w:rsid w:val="000504AA"/>
    <w:rsid w:val="0005086B"/>
    <w:rsid w:val="00050C95"/>
    <w:rsid w:val="00050CAD"/>
    <w:rsid w:val="0005142D"/>
    <w:rsid w:val="00051A3C"/>
    <w:rsid w:val="00051BE4"/>
    <w:rsid w:val="00051E96"/>
    <w:rsid w:val="00052063"/>
    <w:rsid w:val="0005263E"/>
    <w:rsid w:val="000526A8"/>
    <w:rsid w:val="00052EF1"/>
    <w:rsid w:val="0005420B"/>
    <w:rsid w:val="0005468C"/>
    <w:rsid w:val="000551CB"/>
    <w:rsid w:val="00055701"/>
    <w:rsid w:val="00055B2B"/>
    <w:rsid w:val="00055CEB"/>
    <w:rsid w:val="0005620B"/>
    <w:rsid w:val="00057392"/>
    <w:rsid w:val="00057480"/>
    <w:rsid w:val="000577A2"/>
    <w:rsid w:val="000577D3"/>
    <w:rsid w:val="00057963"/>
    <w:rsid w:val="000579AB"/>
    <w:rsid w:val="00060AE4"/>
    <w:rsid w:val="00061047"/>
    <w:rsid w:val="000622B9"/>
    <w:rsid w:val="000631E9"/>
    <w:rsid w:val="00063A17"/>
    <w:rsid w:val="00063B4B"/>
    <w:rsid w:val="00064721"/>
    <w:rsid w:val="00064D60"/>
    <w:rsid w:val="00064DA2"/>
    <w:rsid w:val="00065973"/>
    <w:rsid w:val="00065C6D"/>
    <w:rsid w:val="0006651E"/>
    <w:rsid w:val="00066579"/>
    <w:rsid w:val="000665D3"/>
    <w:rsid w:val="00066646"/>
    <w:rsid w:val="00066C7A"/>
    <w:rsid w:val="00066CF1"/>
    <w:rsid w:val="00067A88"/>
    <w:rsid w:val="00070C82"/>
    <w:rsid w:val="0007144A"/>
    <w:rsid w:val="000716AB"/>
    <w:rsid w:val="00071870"/>
    <w:rsid w:val="00071AB8"/>
    <w:rsid w:val="0007243A"/>
    <w:rsid w:val="000734CB"/>
    <w:rsid w:val="000762C0"/>
    <w:rsid w:val="00076737"/>
    <w:rsid w:val="00076C2B"/>
    <w:rsid w:val="00076C73"/>
    <w:rsid w:val="00076F81"/>
    <w:rsid w:val="000772B1"/>
    <w:rsid w:val="0007752E"/>
    <w:rsid w:val="000779DE"/>
    <w:rsid w:val="000800B6"/>
    <w:rsid w:val="00080D15"/>
    <w:rsid w:val="00081B03"/>
    <w:rsid w:val="00081F93"/>
    <w:rsid w:val="000830E6"/>
    <w:rsid w:val="00083E66"/>
    <w:rsid w:val="0008415D"/>
    <w:rsid w:val="000847A0"/>
    <w:rsid w:val="000847C2"/>
    <w:rsid w:val="00084BB4"/>
    <w:rsid w:val="00084BFD"/>
    <w:rsid w:val="00087073"/>
    <w:rsid w:val="0008739A"/>
    <w:rsid w:val="000875BD"/>
    <w:rsid w:val="000878E7"/>
    <w:rsid w:val="00087A3B"/>
    <w:rsid w:val="00087C01"/>
    <w:rsid w:val="000903E4"/>
    <w:rsid w:val="000906E3"/>
    <w:rsid w:val="00091885"/>
    <w:rsid w:val="00091D73"/>
    <w:rsid w:val="00092ADE"/>
    <w:rsid w:val="000933B5"/>
    <w:rsid w:val="000933BC"/>
    <w:rsid w:val="00093544"/>
    <w:rsid w:val="00093D95"/>
    <w:rsid w:val="00094663"/>
    <w:rsid w:val="00094A48"/>
    <w:rsid w:val="0009537E"/>
    <w:rsid w:val="00095410"/>
    <w:rsid w:val="00095E48"/>
    <w:rsid w:val="00096019"/>
    <w:rsid w:val="00096291"/>
    <w:rsid w:val="000964D5"/>
    <w:rsid w:val="00096637"/>
    <w:rsid w:val="0009726B"/>
    <w:rsid w:val="00097285"/>
    <w:rsid w:val="000975EA"/>
    <w:rsid w:val="000A021A"/>
    <w:rsid w:val="000A05B1"/>
    <w:rsid w:val="000A1828"/>
    <w:rsid w:val="000A19C1"/>
    <w:rsid w:val="000A1D06"/>
    <w:rsid w:val="000A1F38"/>
    <w:rsid w:val="000A2030"/>
    <w:rsid w:val="000A2E02"/>
    <w:rsid w:val="000A37F5"/>
    <w:rsid w:val="000A413A"/>
    <w:rsid w:val="000A48DD"/>
    <w:rsid w:val="000A4C3E"/>
    <w:rsid w:val="000A4F1E"/>
    <w:rsid w:val="000A5881"/>
    <w:rsid w:val="000A5B09"/>
    <w:rsid w:val="000A66A1"/>
    <w:rsid w:val="000A69FB"/>
    <w:rsid w:val="000A6CF1"/>
    <w:rsid w:val="000A6DC8"/>
    <w:rsid w:val="000B053B"/>
    <w:rsid w:val="000B1087"/>
    <w:rsid w:val="000B199A"/>
    <w:rsid w:val="000B1FF7"/>
    <w:rsid w:val="000B2529"/>
    <w:rsid w:val="000B2A2C"/>
    <w:rsid w:val="000B2AB4"/>
    <w:rsid w:val="000B2B7C"/>
    <w:rsid w:val="000B377E"/>
    <w:rsid w:val="000B381D"/>
    <w:rsid w:val="000B3DD4"/>
    <w:rsid w:val="000B4024"/>
    <w:rsid w:val="000B44BA"/>
    <w:rsid w:val="000B4C9C"/>
    <w:rsid w:val="000B5311"/>
    <w:rsid w:val="000B5313"/>
    <w:rsid w:val="000B5C65"/>
    <w:rsid w:val="000B5F1D"/>
    <w:rsid w:val="000B6BE9"/>
    <w:rsid w:val="000C02AD"/>
    <w:rsid w:val="000C060A"/>
    <w:rsid w:val="000C07B0"/>
    <w:rsid w:val="000C09DF"/>
    <w:rsid w:val="000C0AA8"/>
    <w:rsid w:val="000C18BD"/>
    <w:rsid w:val="000C1FC8"/>
    <w:rsid w:val="000C270D"/>
    <w:rsid w:val="000C2769"/>
    <w:rsid w:val="000C2944"/>
    <w:rsid w:val="000C31FE"/>
    <w:rsid w:val="000C36E1"/>
    <w:rsid w:val="000C42A9"/>
    <w:rsid w:val="000C42C6"/>
    <w:rsid w:val="000C50D6"/>
    <w:rsid w:val="000C557B"/>
    <w:rsid w:val="000C5A85"/>
    <w:rsid w:val="000C5EF2"/>
    <w:rsid w:val="000C5F29"/>
    <w:rsid w:val="000C5F48"/>
    <w:rsid w:val="000C66BF"/>
    <w:rsid w:val="000C6AEB"/>
    <w:rsid w:val="000C6FC1"/>
    <w:rsid w:val="000C7B7E"/>
    <w:rsid w:val="000C7FF8"/>
    <w:rsid w:val="000D0372"/>
    <w:rsid w:val="000D0ADE"/>
    <w:rsid w:val="000D1A8F"/>
    <w:rsid w:val="000D1B76"/>
    <w:rsid w:val="000D2914"/>
    <w:rsid w:val="000D2CE6"/>
    <w:rsid w:val="000D2E60"/>
    <w:rsid w:val="000D2F50"/>
    <w:rsid w:val="000D3275"/>
    <w:rsid w:val="000D38B8"/>
    <w:rsid w:val="000D3A1B"/>
    <w:rsid w:val="000D3B86"/>
    <w:rsid w:val="000D3EE0"/>
    <w:rsid w:val="000D4E64"/>
    <w:rsid w:val="000D5008"/>
    <w:rsid w:val="000D570C"/>
    <w:rsid w:val="000D5A0F"/>
    <w:rsid w:val="000D5B1E"/>
    <w:rsid w:val="000D5D9B"/>
    <w:rsid w:val="000D5E3F"/>
    <w:rsid w:val="000D6532"/>
    <w:rsid w:val="000D6E33"/>
    <w:rsid w:val="000D7159"/>
    <w:rsid w:val="000D774B"/>
    <w:rsid w:val="000E0622"/>
    <w:rsid w:val="000E07AA"/>
    <w:rsid w:val="000E0E6A"/>
    <w:rsid w:val="000E1505"/>
    <w:rsid w:val="000E176F"/>
    <w:rsid w:val="000E1B12"/>
    <w:rsid w:val="000E1D6F"/>
    <w:rsid w:val="000E2B03"/>
    <w:rsid w:val="000E2D0D"/>
    <w:rsid w:val="000E331A"/>
    <w:rsid w:val="000E3381"/>
    <w:rsid w:val="000E3744"/>
    <w:rsid w:val="000E3CD9"/>
    <w:rsid w:val="000E481D"/>
    <w:rsid w:val="000E4DBF"/>
    <w:rsid w:val="000E4DF2"/>
    <w:rsid w:val="000E5844"/>
    <w:rsid w:val="000E669F"/>
    <w:rsid w:val="000E7349"/>
    <w:rsid w:val="000E762D"/>
    <w:rsid w:val="000E77CC"/>
    <w:rsid w:val="000F0144"/>
    <w:rsid w:val="000F0807"/>
    <w:rsid w:val="000F080D"/>
    <w:rsid w:val="000F0B3C"/>
    <w:rsid w:val="000F13D5"/>
    <w:rsid w:val="000F175F"/>
    <w:rsid w:val="000F1AD8"/>
    <w:rsid w:val="000F2F4C"/>
    <w:rsid w:val="000F3720"/>
    <w:rsid w:val="000F38D9"/>
    <w:rsid w:val="000F3CED"/>
    <w:rsid w:val="000F414C"/>
    <w:rsid w:val="000F4B8E"/>
    <w:rsid w:val="000F4CE2"/>
    <w:rsid w:val="000F5C71"/>
    <w:rsid w:val="000F6320"/>
    <w:rsid w:val="000F64FC"/>
    <w:rsid w:val="000F696E"/>
    <w:rsid w:val="000F6BBF"/>
    <w:rsid w:val="000F6C10"/>
    <w:rsid w:val="000F714A"/>
    <w:rsid w:val="000F718E"/>
    <w:rsid w:val="000F7F23"/>
    <w:rsid w:val="001001F2"/>
    <w:rsid w:val="00100207"/>
    <w:rsid w:val="001003C6"/>
    <w:rsid w:val="00100682"/>
    <w:rsid w:val="001010D3"/>
    <w:rsid w:val="0010144A"/>
    <w:rsid w:val="00101C11"/>
    <w:rsid w:val="00102332"/>
    <w:rsid w:val="00102565"/>
    <w:rsid w:val="00102723"/>
    <w:rsid w:val="00102AB7"/>
    <w:rsid w:val="00102F4F"/>
    <w:rsid w:val="001034DD"/>
    <w:rsid w:val="00104425"/>
    <w:rsid w:val="00104666"/>
    <w:rsid w:val="00104B4C"/>
    <w:rsid w:val="00105135"/>
    <w:rsid w:val="001055A2"/>
    <w:rsid w:val="0010682A"/>
    <w:rsid w:val="00106B94"/>
    <w:rsid w:val="00106C4C"/>
    <w:rsid w:val="00107DEF"/>
    <w:rsid w:val="0011037E"/>
    <w:rsid w:val="00110404"/>
    <w:rsid w:val="001109E8"/>
    <w:rsid w:val="00110F73"/>
    <w:rsid w:val="001119D9"/>
    <w:rsid w:val="00111E35"/>
    <w:rsid w:val="001128B4"/>
    <w:rsid w:val="00112EBD"/>
    <w:rsid w:val="00113168"/>
    <w:rsid w:val="001132C2"/>
    <w:rsid w:val="0011382D"/>
    <w:rsid w:val="00113AF2"/>
    <w:rsid w:val="00113C17"/>
    <w:rsid w:val="00113FDD"/>
    <w:rsid w:val="00114051"/>
    <w:rsid w:val="00114973"/>
    <w:rsid w:val="00114CFF"/>
    <w:rsid w:val="00114FDF"/>
    <w:rsid w:val="00115B73"/>
    <w:rsid w:val="00115C79"/>
    <w:rsid w:val="0011650B"/>
    <w:rsid w:val="0011658B"/>
    <w:rsid w:val="00116616"/>
    <w:rsid w:val="00116FC5"/>
    <w:rsid w:val="00117163"/>
    <w:rsid w:val="00117BBD"/>
    <w:rsid w:val="001202DF"/>
    <w:rsid w:val="0012031D"/>
    <w:rsid w:val="00120F1B"/>
    <w:rsid w:val="001213E7"/>
    <w:rsid w:val="001224BA"/>
    <w:rsid w:val="0012259C"/>
    <w:rsid w:val="001238BC"/>
    <w:rsid w:val="001242D9"/>
    <w:rsid w:val="00124468"/>
    <w:rsid w:val="00124518"/>
    <w:rsid w:val="001248AB"/>
    <w:rsid w:val="00124981"/>
    <w:rsid w:val="00124B2E"/>
    <w:rsid w:val="00124D78"/>
    <w:rsid w:val="001256A1"/>
    <w:rsid w:val="00125D81"/>
    <w:rsid w:val="00126301"/>
    <w:rsid w:val="0012661F"/>
    <w:rsid w:val="00126966"/>
    <w:rsid w:val="001269B0"/>
    <w:rsid w:val="00126B24"/>
    <w:rsid w:val="00127234"/>
    <w:rsid w:val="001276C4"/>
    <w:rsid w:val="00127ABB"/>
    <w:rsid w:val="00127C68"/>
    <w:rsid w:val="00127D5B"/>
    <w:rsid w:val="00127E54"/>
    <w:rsid w:val="001304E2"/>
    <w:rsid w:val="00130750"/>
    <w:rsid w:val="00131373"/>
    <w:rsid w:val="001314A0"/>
    <w:rsid w:val="00131A1F"/>
    <w:rsid w:val="00131A66"/>
    <w:rsid w:val="00131F9C"/>
    <w:rsid w:val="00132336"/>
    <w:rsid w:val="00132425"/>
    <w:rsid w:val="0013280A"/>
    <w:rsid w:val="001332B3"/>
    <w:rsid w:val="0013343F"/>
    <w:rsid w:val="00133F2D"/>
    <w:rsid w:val="001344F9"/>
    <w:rsid w:val="00134F37"/>
    <w:rsid w:val="0013507A"/>
    <w:rsid w:val="00135F76"/>
    <w:rsid w:val="001360E9"/>
    <w:rsid w:val="001360F4"/>
    <w:rsid w:val="001363C7"/>
    <w:rsid w:val="00136D84"/>
    <w:rsid w:val="00136E87"/>
    <w:rsid w:val="00140793"/>
    <w:rsid w:val="0014170F"/>
    <w:rsid w:val="0014203B"/>
    <w:rsid w:val="001422BD"/>
    <w:rsid w:val="0014286D"/>
    <w:rsid w:val="00143B8E"/>
    <w:rsid w:val="00143F21"/>
    <w:rsid w:val="0014420C"/>
    <w:rsid w:val="001446C3"/>
    <w:rsid w:val="0014517C"/>
    <w:rsid w:val="00145E45"/>
    <w:rsid w:val="001461A7"/>
    <w:rsid w:val="00146946"/>
    <w:rsid w:val="00146E7C"/>
    <w:rsid w:val="00147367"/>
    <w:rsid w:val="00147AB3"/>
    <w:rsid w:val="00147F8C"/>
    <w:rsid w:val="00150492"/>
    <w:rsid w:val="00150891"/>
    <w:rsid w:val="00150D90"/>
    <w:rsid w:val="001513CE"/>
    <w:rsid w:val="00151465"/>
    <w:rsid w:val="00151AD8"/>
    <w:rsid w:val="00151E77"/>
    <w:rsid w:val="001527AF"/>
    <w:rsid w:val="00153287"/>
    <w:rsid w:val="001533E6"/>
    <w:rsid w:val="001538BE"/>
    <w:rsid w:val="00153C33"/>
    <w:rsid w:val="00155198"/>
    <w:rsid w:val="0015537C"/>
    <w:rsid w:val="00155A26"/>
    <w:rsid w:val="00155EF1"/>
    <w:rsid w:val="00156192"/>
    <w:rsid w:val="00156E57"/>
    <w:rsid w:val="0015710D"/>
    <w:rsid w:val="00157338"/>
    <w:rsid w:val="001574A5"/>
    <w:rsid w:val="001577E2"/>
    <w:rsid w:val="00157C28"/>
    <w:rsid w:val="00157CE5"/>
    <w:rsid w:val="00157DEB"/>
    <w:rsid w:val="001610BC"/>
    <w:rsid w:val="00161177"/>
    <w:rsid w:val="00161847"/>
    <w:rsid w:val="00161E13"/>
    <w:rsid w:val="001629D8"/>
    <w:rsid w:val="00162B2A"/>
    <w:rsid w:val="00162B8D"/>
    <w:rsid w:val="00162C33"/>
    <w:rsid w:val="00162F9F"/>
    <w:rsid w:val="00163167"/>
    <w:rsid w:val="00164034"/>
    <w:rsid w:val="00164803"/>
    <w:rsid w:val="00164AE0"/>
    <w:rsid w:val="00165BF5"/>
    <w:rsid w:val="00165F2E"/>
    <w:rsid w:val="0016646A"/>
    <w:rsid w:val="0016793B"/>
    <w:rsid w:val="00167C43"/>
    <w:rsid w:val="00170155"/>
    <w:rsid w:val="001706C9"/>
    <w:rsid w:val="001708FC"/>
    <w:rsid w:val="0017120C"/>
    <w:rsid w:val="0017150D"/>
    <w:rsid w:val="001727D7"/>
    <w:rsid w:val="00172C96"/>
    <w:rsid w:val="00172DDC"/>
    <w:rsid w:val="00172F3A"/>
    <w:rsid w:val="00173169"/>
    <w:rsid w:val="00173477"/>
    <w:rsid w:val="00173A50"/>
    <w:rsid w:val="0017414F"/>
    <w:rsid w:val="0017432C"/>
    <w:rsid w:val="00174636"/>
    <w:rsid w:val="00174735"/>
    <w:rsid w:val="0017481D"/>
    <w:rsid w:val="00174B1B"/>
    <w:rsid w:val="00174BD8"/>
    <w:rsid w:val="00174D51"/>
    <w:rsid w:val="001750BC"/>
    <w:rsid w:val="001757B3"/>
    <w:rsid w:val="00175AAE"/>
    <w:rsid w:val="001765BB"/>
    <w:rsid w:val="0017667E"/>
    <w:rsid w:val="001766A1"/>
    <w:rsid w:val="001766D3"/>
    <w:rsid w:val="001766EA"/>
    <w:rsid w:val="00176AE8"/>
    <w:rsid w:val="00176E76"/>
    <w:rsid w:val="00177050"/>
    <w:rsid w:val="00177570"/>
    <w:rsid w:val="00177E95"/>
    <w:rsid w:val="0018007F"/>
    <w:rsid w:val="001811FC"/>
    <w:rsid w:val="00181BB2"/>
    <w:rsid w:val="00182338"/>
    <w:rsid w:val="00182348"/>
    <w:rsid w:val="00183F50"/>
    <w:rsid w:val="00184BD9"/>
    <w:rsid w:val="00184ED6"/>
    <w:rsid w:val="00184F13"/>
    <w:rsid w:val="00184FD9"/>
    <w:rsid w:val="001851F5"/>
    <w:rsid w:val="00185361"/>
    <w:rsid w:val="00186037"/>
    <w:rsid w:val="001865AD"/>
    <w:rsid w:val="00186AE4"/>
    <w:rsid w:val="00186C39"/>
    <w:rsid w:val="00186D14"/>
    <w:rsid w:val="00187656"/>
    <w:rsid w:val="001876D8"/>
    <w:rsid w:val="00187F6A"/>
    <w:rsid w:val="00190325"/>
    <w:rsid w:val="00190391"/>
    <w:rsid w:val="0019151E"/>
    <w:rsid w:val="00191593"/>
    <w:rsid w:val="001918F1"/>
    <w:rsid w:val="0019196E"/>
    <w:rsid w:val="00191FF5"/>
    <w:rsid w:val="001926D7"/>
    <w:rsid w:val="00192CCE"/>
    <w:rsid w:val="00193044"/>
    <w:rsid w:val="0019385B"/>
    <w:rsid w:val="00193F1C"/>
    <w:rsid w:val="001948F5"/>
    <w:rsid w:val="00194958"/>
    <w:rsid w:val="00194AD6"/>
    <w:rsid w:val="00194DB3"/>
    <w:rsid w:val="00196359"/>
    <w:rsid w:val="00197205"/>
    <w:rsid w:val="00197632"/>
    <w:rsid w:val="0019793F"/>
    <w:rsid w:val="00197A9D"/>
    <w:rsid w:val="001A04A3"/>
    <w:rsid w:val="001A08E7"/>
    <w:rsid w:val="001A0AA9"/>
    <w:rsid w:val="001A17D7"/>
    <w:rsid w:val="001A1A38"/>
    <w:rsid w:val="001A1A67"/>
    <w:rsid w:val="001A1FDD"/>
    <w:rsid w:val="001A2D8F"/>
    <w:rsid w:val="001A3064"/>
    <w:rsid w:val="001A3142"/>
    <w:rsid w:val="001A3614"/>
    <w:rsid w:val="001A3D89"/>
    <w:rsid w:val="001A3E0A"/>
    <w:rsid w:val="001A485E"/>
    <w:rsid w:val="001A5458"/>
    <w:rsid w:val="001A545B"/>
    <w:rsid w:val="001A54DA"/>
    <w:rsid w:val="001A5E69"/>
    <w:rsid w:val="001A6861"/>
    <w:rsid w:val="001A6FEC"/>
    <w:rsid w:val="001A78AA"/>
    <w:rsid w:val="001B08B5"/>
    <w:rsid w:val="001B0AC6"/>
    <w:rsid w:val="001B143B"/>
    <w:rsid w:val="001B1532"/>
    <w:rsid w:val="001B1777"/>
    <w:rsid w:val="001B19C5"/>
    <w:rsid w:val="001B1B6D"/>
    <w:rsid w:val="001B1C93"/>
    <w:rsid w:val="001B21CA"/>
    <w:rsid w:val="001B28D5"/>
    <w:rsid w:val="001B28E4"/>
    <w:rsid w:val="001B35D4"/>
    <w:rsid w:val="001B4446"/>
    <w:rsid w:val="001B5A00"/>
    <w:rsid w:val="001B5F59"/>
    <w:rsid w:val="001B615C"/>
    <w:rsid w:val="001B63A7"/>
    <w:rsid w:val="001B6810"/>
    <w:rsid w:val="001B6E89"/>
    <w:rsid w:val="001B791C"/>
    <w:rsid w:val="001B7D70"/>
    <w:rsid w:val="001C0125"/>
    <w:rsid w:val="001C0F50"/>
    <w:rsid w:val="001C1074"/>
    <w:rsid w:val="001C21C8"/>
    <w:rsid w:val="001C22B3"/>
    <w:rsid w:val="001C25F5"/>
    <w:rsid w:val="001C2778"/>
    <w:rsid w:val="001C2CA4"/>
    <w:rsid w:val="001C2DFD"/>
    <w:rsid w:val="001C30F6"/>
    <w:rsid w:val="001C34D0"/>
    <w:rsid w:val="001C3C30"/>
    <w:rsid w:val="001C4199"/>
    <w:rsid w:val="001C4249"/>
    <w:rsid w:val="001C46E3"/>
    <w:rsid w:val="001C4F27"/>
    <w:rsid w:val="001C51FE"/>
    <w:rsid w:val="001C58FD"/>
    <w:rsid w:val="001C62F4"/>
    <w:rsid w:val="001C6573"/>
    <w:rsid w:val="001C6956"/>
    <w:rsid w:val="001C6963"/>
    <w:rsid w:val="001C7D03"/>
    <w:rsid w:val="001D00BE"/>
    <w:rsid w:val="001D043E"/>
    <w:rsid w:val="001D079B"/>
    <w:rsid w:val="001D0D32"/>
    <w:rsid w:val="001D17C9"/>
    <w:rsid w:val="001D1AB9"/>
    <w:rsid w:val="001D1F20"/>
    <w:rsid w:val="001D339C"/>
    <w:rsid w:val="001D3795"/>
    <w:rsid w:val="001D4006"/>
    <w:rsid w:val="001D43D7"/>
    <w:rsid w:val="001D483C"/>
    <w:rsid w:val="001D49DE"/>
    <w:rsid w:val="001D54BD"/>
    <w:rsid w:val="001D5AB0"/>
    <w:rsid w:val="001D5C72"/>
    <w:rsid w:val="001D626E"/>
    <w:rsid w:val="001D733B"/>
    <w:rsid w:val="001D73CF"/>
    <w:rsid w:val="001D7B9B"/>
    <w:rsid w:val="001D7E8C"/>
    <w:rsid w:val="001E0902"/>
    <w:rsid w:val="001E157E"/>
    <w:rsid w:val="001E1801"/>
    <w:rsid w:val="001E1C73"/>
    <w:rsid w:val="001E1E05"/>
    <w:rsid w:val="001E2254"/>
    <w:rsid w:val="001E22D2"/>
    <w:rsid w:val="001E2343"/>
    <w:rsid w:val="001E2BFD"/>
    <w:rsid w:val="001E3791"/>
    <w:rsid w:val="001E3A17"/>
    <w:rsid w:val="001E3FCB"/>
    <w:rsid w:val="001E52DF"/>
    <w:rsid w:val="001E5500"/>
    <w:rsid w:val="001E55F9"/>
    <w:rsid w:val="001E6354"/>
    <w:rsid w:val="001E6BCB"/>
    <w:rsid w:val="001E77BB"/>
    <w:rsid w:val="001E783B"/>
    <w:rsid w:val="001E7E76"/>
    <w:rsid w:val="001E7F76"/>
    <w:rsid w:val="001E7FBC"/>
    <w:rsid w:val="001F0649"/>
    <w:rsid w:val="001F0822"/>
    <w:rsid w:val="001F08CB"/>
    <w:rsid w:val="001F105B"/>
    <w:rsid w:val="001F149B"/>
    <w:rsid w:val="001F15F6"/>
    <w:rsid w:val="001F179C"/>
    <w:rsid w:val="001F24B7"/>
    <w:rsid w:val="001F2649"/>
    <w:rsid w:val="001F3496"/>
    <w:rsid w:val="001F41CA"/>
    <w:rsid w:val="001F4355"/>
    <w:rsid w:val="001F4819"/>
    <w:rsid w:val="001F48BD"/>
    <w:rsid w:val="001F5034"/>
    <w:rsid w:val="001F61DE"/>
    <w:rsid w:val="001F63AA"/>
    <w:rsid w:val="001F6751"/>
    <w:rsid w:val="001F69C8"/>
    <w:rsid w:val="001F7054"/>
    <w:rsid w:val="001F77E5"/>
    <w:rsid w:val="001F7DB7"/>
    <w:rsid w:val="002000AA"/>
    <w:rsid w:val="00201502"/>
    <w:rsid w:val="0020302A"/>
    <w:rsid w:val="002032A0"/>
    <w:rsid w:val="00203532"/>
    <w:rsid w:val="00203AE0"/>
    <w:rsid w:val="00203CA0"/>
    <w:rsid w:val="00204106"/>
    <w:rsid w:val="00204109"/>
    <w:rsid w:val="00204837"/>
    <w:rsid w:val="00204B9E"/>
    <w:rsid w:val="0020503A"/>
    <w:rsid w:val="00205041"/>
    <w:rsid w:val="0020524C"/>
    <w:rsid w:val="002059E3"/>
    <w:rsid w:val="00206906"/>
    <w:rsid w:val="00206BCC"/>
    <w:rsid w:val="002100FF"/>
    <w:rsid w:val="0021025C"/>
    <w:rsid w:val="00210543"/>
    <w:rsid w:val="00210B9B"/>
    <w:rsid w:val="0021102F"/>
    <w:rsid w:val="002118D1"/>
    <w:rsid w:val="00211ACD"/>
    <w:rsid w:val="00211DCE"/>
    <w:rsid w:val="00212390"/>
    <w:rsid w:val="00212897"/>
    <w:rsid w:val="00213083"/>
    <w:rsid w:val="0021386A"/>
    <w:rsid w:val="00213C44"/>
    <w:rsid w:val="002147EE"/>
    <w:rsid w:val="00214C75"/>
    <w:rsid w:val="00215516"/>
    <w:rsid w:val="002158DC"/>
    <w:rsid w:val="002159D5"/>
    <w:rsid w:val="00215ADE"/>
    <w:rsid w:val="00215B64"/>
    <w:rsid w:val="00215C05"/>
    <w:rsid w:val="002161E3"/>
    <w:rsid w:val="00216DF5"/>
    <w:rsid w:val="00216EFA"/>
    <w:rsid w:val="0021798E"/>
    <w:rsid w:val="00217CA1"/>
    <w:rsid w:val="00217DEE"/>
    <w:rsid w:val="002203BF"/>
    <w:rsid w:val="00220C4C"/>
    <w:rsid w:val="00220E95"/>
    <w:rsid w:val="00220F86"/>
    <w:rsid w:val="002213B3"/>
    <w:rsid w:val="002217FE"/>
    <w:rsid w:val="0022180C"/>
    <w:rsid w:val="00221C72"/>
    <w:rsid w:val="002223E1"/>
    <w:rsid w:val="002225AB"/>
    <w:rsid w:val="00222955"/>
    <w:rsid w:val="002231B0"/>
    <w:rsid w:val="00223BAF"/>
    <w:rsid w:val="00224135"/>
    <w:rsid w:val="002250D1"/>
    <w:rsid w:val="002267D2"/>
    <w:rsid w:val="00230839"/>
    <w:rsid w:val="00230EE8"/>
    <w:rsid w:val="00231ADB"/>
    <w:rsid w:val="00232178"/>
    <w:rsid w:val="00232248"/>
    <w:rsid w:val="00232D12"/>
    <w:rsid w:val="002332C3"/>
    <w:rsid w:val="00233616"/>
    <w:rsid w:val="00233975"/>
    <w:rsid w:val="00233B8C"/>
    <w:rsid w:val="002353E3"/>
    <w:rsid w:val="00235CC0"/>
    <w:rsid w:val="00235F30"/>
    <w:rsid w:val="00236199"/>
    <w:rsid w:val="00236287"/>
    <w:rsid w:val="002363FF"/>
    <w:rsid w:val="00236D10"/>
    <w:rsid w:val="002407CE"/>
    <w:rsid w:val="002411F1"/>
    <w:rsid w:val="00242325"/>
    <w:rsid w:val="00243244"/>
    <w:rsid w:val="002432D6"/>
    <w:rsid w:val="00243610"/>
    <w:rsid w:val="002436BD"/>
    <w:rsid w:val="00243A38"/>
    <w:rsid w:val="00243CF1"/>
    <w:rsid w:val="0024474F"/>
    <w:rsid w:val="00244761"/>
    <w:rsid w:val="00244D6B"/>
    <w:rsid w:val="002450F2"/>
    <w:rsid w:val="00245726"/>
    <w:rsid w:val="00245B7F"/>
    <w:rsid w:val="002469C2"/>
    <w:rsid w:val="00247BDE"/>
    <w:rsid w:val="00247DE2"/>
    <w:rsid w:val="002505DE"/>
    <w:rsid w:val="00250E9E"/>
    <w:rsid w:val="002514FA"/>
    <w:rsid w:val="00251576"/>
    <w:rsid w:val="00251DAF"/>
    <w:rsid w:val="00252503"/>
    <w:rsid w:val="00252ED7"/>
    <w:rsid w:val="0025393C"/>
    <w:rsid w:val="002549E7"/>
    <w:rsid w:val="00254A72"/>
    <w:rsid w:val="00254A7A"/>
    <w:rsid w:val="00254EA4"/>
    <w:rsid w:val="0025509C"/>
    <w:rsid w:val="002552F8"/>
    <w:rsid w:val="0025575F"/>
    <w:rsid w:val="002565F3"/>
    <w:rsid w:val="002571E3"/>
    <w:rsid w:val="002573DA"/>
    <w:rsid w:val="00257E6C"/>
    <w:rsid w:val="00260496"/>
    <w:rsid w:val="00260542"/>
    <w:rsid w:val="00260BAD"/>
    <w:rsid w:val="0026224C"/>
    <w:rsid w:val="00262DD0"/>
    <w:rsid w:val="00263148"/>
    <w:rsid w:val="00263FFA"/>
    <w:rsid w:val="00264C7C"/>
    <w:rsid w:val="00265A77"/>
    <w:rsid w:val="00265C9D"/>
    <w:rsid w:val="002663F4"/>
    <w:rsid w:val="0026650F"/>
    <w:rsid w:val="00266DC3"/>
    <w:rsid w:val="00267965"/>
    <w:rsid w:val="0027029D"/>
    <w:rsid w:val="00270443"/>
    <w:rsid w:val="00270EE2"/>
    <w:rsid w:val="0027138C"/>
    <w:rsid w:val="0027165A"/>
    <w:rsid w:val="0027206D"/>
    <w:rsid w:val="00272787"/>
    <w:rsid w:val="00272826"/>
    <w:rsid w:val="00272A7B"/>
    <w:rsid w:val="00272C44"/>
    <w:rsid w:val="00272F05"/>
    <w:rsid w:val="00273527"/>
    <w:rsid w:val="00273F6B"/>
    <w:rsid w:val="002747EF"/>
    <w:rsid w:val="00274B06"/>
    <w:rsid w:val="002751D6"/>
    <w:rsid w:val="002754D3"/>
    <w:rsid w:val="00276261"/>
    <w:rsid w:val="002762CF"/>
    <w:rsid w:val="00276944"/>
    <w:rsid w:val="00276964"/>
    <w:rsid w:val="002769AE"/>
    <w:rsid w:val="00276CA7"/>
    <w:rsid w:val="0027717C"/>
    <w:rsid w:val="00277359"/>
    <w:rsid w:val="00280381"/>
    <w:rsid w:val="002803D0"/>
    <w:rsid w:val="002816DD"/>
    <w:rsid w:val="002817A6"/>
    <w:rsid w:val="002821E8"/>
    <w:rsid w:val="00282F1D"/>
    <w:rsid w:val="00283215"/>
    <w:rsid w:val="002833F3"/>
    <w:rsid w:val="00284203"/>
    <w:rsid w:val="00284AE6"/>
    <w:rsid w:val="00284C8C"/>
    <w:rsid w:val="00285237"/>
    <w:rsid w:val="00285E3F"/>
    <w:rsid w:val="0028610D"/>
    <w:rsid w:val="002862CC"/>
    <w:rsid w:val="002868CD"/>
    <w:rsid w:val="00286BFE"/>
    <w:rsid w:val="00286C81"/>
    <w:rsid w:val="0028703E"/>
    <w:rsid w:val="0028709F"/>
    <w:rsid w:val="0028717B"/>
    <w:rsid w:val="00287524"/>
    <w:rsid w:val="00290119"/>
    <w:rsid w:val="002903A8"/>
    <w:rsid w:val="0029040D"/>
    <w:rsid w:val="002908F8"/>
    <w:rsid w:val="00290A53"/>
    <w:rsid w:val="00290B64"/>
    <w:rsid w:val="00291098"/>
    <w:rsid w:val="00291CB7"/>
    <w:rsid w:val="002921BF"/>
    <w:rsid w:val="00292E91"/>
    <w:rsid w:val="002930A1"/>
    <w:rsid w:val="002930AD"/>
    <w:rsid w:val="00293254"/>
    <w:rsid w:val="00293564"/>
    <w:rsid w:val="00294739"/>
    <w:rsid w:val="00295002"/>
    <w:rsid w:val="0029568E"/>
    <w:rsid w:val="00295E8C"/>
    <w:rsid w:val="002962BF"/>
    <w:rsid w:val="002971C7"/>
    <w:rsid w:val="002971F2"/>
    <w:rsid w:val="00297785"/>
    <w:rsid w:val="00297E05"/>
    <w:rsid w:val="002A0444"/>
    <w:rsid w:val="002A0F8D"/>
    <w:rsid w:val="002A1311"/>
    <w:rsid w:val="002A1377"/>
    <w:rsid w:val="002A211A"/>
    <w:rsid w:val="002A264B"/>
    <w:rsid w:val="002A26B1"/>
    <w:rsid w:val="002A4A82"/>
    <w:rsid w:val="002A4B33"/>
    <w:rsid w:val="002A4C00"/>
    <w:rsid w:val="002A5311"/>
    <w:rsid w:val="002A5863"/>
    <w:rsid w:val="002A6E9B"/>
    <w:rsid w:val="002A6FBB"/>
    <w:rsid w:val="002A718A"/>
    <w:rsid w:val="002A7962"/>
    <w:rsid w:val="002A7BE9"/>
    <w:rsid w:val="002B05D1"/>
    <w:rsid w:val="002B1933"/>
    <w:rsid w:val="002B20BD"/>
    <w:rsid w:val="002B2611"/>
    <w:rsid w:val="002B27D8"/>
    <w:rsid w:val="002B2D10"/>
    <w:rsid w:val="002B35B9"/>
    <w:rsid w:val="002B38D2"/>
    <w:rsid w:val="002B3A46"/>
    <w:rsid w:val="002B3F1C"/>
    <w:rsid w:val="002B3F60"/>
    <w:rsid w:val="002B401B"/>
    <w:rsid w:val="002B408D"/>
    <w:rsid w:val="002B4104"/>
    <w:rsid w:val="002B48C5"/>
    <w:rsid w:val="002B4ED9"/>
    <w:rsid w:val="002B4EF4"/>
    <w:rsid w:val="002B51BB"/>
    <w:rsid w:val="002B58C5"/>
    <w:rsid w:val="002B5BFF"/>
    <w:rsid w:val="002B60A5"/>
    <w:rsid w:val="002B6BF4"/>
    <w:rsid w:val="002B6CA2"/>
    <w:rsid w:val="002B6E44"/>
    <w:rsid w:val="002B6E8A"/>
    <w:rsid w:val="002B726F"/>
    <w:rsid w:val="002B744E"/>
    <w:rsid w:val="002B7909"/>
    <w:rsid w:val="002C000B"/>
    <w:rsid w:val="002C016F"/>
    <w:rsid w:val="002C0697"/>
    <w:rsid w:val="002C0833"/>
    <w:rsid w:val="002C09A8"/>
    <w:rsid w:val="002C103C"/>
    <w:rsid w:val="002C1109"/>
    <w:rsid w:val="002C12C7"/>
    <w:rsid w:val="002C1E93"/>
    <w:rsid w:val="002C29EB"/>
    <w:rsid w:val="002C30F0"/>
    <w:rsid w:val="002C401A"/>
    <w:rsid w:val="002C479B"/>
    <w:rsid w:val="002C48AC"/>
    <w:rsid w:val="002C4EC8"/>
    <w:rsid w:val="002C532B"/>
    <w:rsid w:val="002C6512"/>
    <w:rsid w:val="002C6AF5"/>
    <w:rsid w:val="002C6D15"/>
    <w:rsid w:val="002C72F4"/>
    <w:rsid w:val="002C7A11"/>
    <w:rsid w:val="002C7D07"/>
    <w:rsid w:val="002C7E5B"/>
    <w:rsid w:val="002D041C"/>
    <w:rsid w:val="002D0900"/>
    <w:rsid w:val="002D0907"/>
    <w:rsid w:val="002D0E9E"/>
    <w:rsid w:val="002D1381"/>
    <w:rsid w:val="002D2D68"/>
    <w:rsid w:val="002D2F69"/>
    <w:rsid w:val="002D3016"/>
    <w:rsid w:val="002D3067"/>
    <w:rsid w:val="002D38D9"/>
    <w:rsid w:val="002D3CE3"/>
    <w:rsid w:val="002D4298"/>
    <w:rsid w:val="002D47E8"/>
    <w:rsid w:val="002D4FCC"/>
    <w:rsid w:val="002D5145"/>
    <w:rsid w:val="002D5FD5"/>
    <w:rsid w:val="002D68F4"/>
    <w:rsid w:val="002D6E24"/>
    <w:rsid w:val="002D7395"/>
    <w:rsid w:val="002D7417"/>
    <w:rsid w:val="002D782B"/>
    <w:rsid w:val="002E0D9C"/>
    <w:rsid w:val="002E1247"/>
    <w:rsid w:val="002E1630"/>
    <w:rsid w:val="002E19C9"/>
    <w:rsid w:val="002E26E8"/>
    <w:rsid w:val="002E2FD8"/>
    <w:rsid w:val="002E3DD8"/>
    <w:rsid w:val="002E3ED8"/>
    <w:rsid w:val="002E4DF5"/>
    <w:rsid w:val="002E5A01"/>
    <w:rsid w:val="002E5AF4"/>
    <w:rsid w:val="002E5EA3"/>
    <w:rsid w:val="002E717C"/>
    <w:rsid w:val="002E7533"/>
    <w:rsid w:val="002E7A61"/>
    <w:rsid w:val="002F00B8"/>
    <w:rsid w:val="002F0106"/>
    <w:rsid w:val="002F03C8"/>
    <w:rsid w:val="002F0700"/>
    <w:rsid w:val="002F15A3"/>
    <w:rsid w:val="002F188D"/>
    <w:rsid w:val="002F18A5"/>
    <w:rsid w:val="002F203F"/>
    <w:rsid w:val="002F26F3"/>
    <w:rsid w:val="002F317F"/>
    <w:rsid w:val="002F3C70"/>
    <w:rsid w:val="002F4CB0"/>
    <w:rsid w:val="002F51A2"/>
    <w:rsid w:val="002F5BA8"/>
    <w:rsid w:val="002F5E95"/>
    <w:rsid w:val="002F5F68"/>
    <w:rsid w:val="002F63CA"/>
    <w:rsid w:val="002F67B4"/>
    <w:rsid w:val="002F6D56"/>
    <w:rsid w:val="002F6F73"/>
    <w:rsid w:val="002F7AA9"/>
    <w:rsid w:val="002F7FDE"/>
    <w:rsid w:val="003004E3"/>
    <w:rsid w:val="00300FF1"/>
    <w:rsid w:val="00301C0D"/>
    <w:rsid w:val="00301D7B"/>
    <w:rsid w:val="00301E19"/>
    <w:rsid w:val="003023DE"/>
    <w:rsid w:val="00302998"/>
    <w:rsid w:val="0030395A"/>
    <w:rsid w:val="00303DC4"/>
    <w:rsid w:val="00304676"/>
    <w:rsid w:val="00306BE7"/>
    <w:rsid w:val="00306D4A"/>
    <w:rsid w:val="003079AD"/>
    <w:rsid w:val="003104CA"/>
    <w:rsid w:val="003110A2"/>
    <w:rsid w:val="00311655"/>
    <w:rsid w:val="00311B66"/>
    <w:rsid w:val="00311F29"/>
    <w:rsid w:val="00312518"/>
    <w:rsid w:val="00314036"/>
    <w:rsid w:val="00314347"/>
    <w:rsid w:val="00314C03"/>
    <w:rsid w:val="00314C4F"/>
    <w:rsid w:val="00314FAF"/>
    <w:rsid w:val="003162A5"/>
    <w:rsid w:val="00316591"/>
    <w:rsid w:val="0032012B"/>
    <w:rsid w:val="00320553"/>
    <w:rsid w:val="00320C6D"/>
    <w:rsid w:val="003213A8"/>
    <w:rsid w:val="00321FA8"/>
    <w:rsid w:val="00321FFD"/>
    <w:rsid w:val="003225AD"/>
    <w:rsid w:val="00322E18"/>
    <w:rsid w:val="00323196"/>
    <w:rsid w:val="00323734"/>
    <w:rsid w:val="00323C3D"/>
    <w:rsid w:val="00323D1D"/>
    <w:rsid w:val="00323F8A"/>
    <w:rsid w:val="00324704"/>
    <w:rsid w:val="00324752"/>
    <w:rsid w:val="00324D73"/>
    <w:rsid w:val="00324DCE"/>
    <w:rsid w:val="00326011"/>
    <w:rsid w:val="0032643D"/>
    <w:rsid w:val="00326AB1"/>
    <w:rsid w:val="00326D02"/>
    <w:rsid w:val="00327069"/>
    <w:rsid w:val="003270AD"/>
    <w:rsid w:val="00327812"/>
    <w:rsid w:val="0032782B"/>
    <w:rsid w:val="00327AFB"/>
    <w:rsid w:val="00327BAF"/>
    <w:rsid w:val="00327D10"/>
    <w:rsid w:val="00330BBE"/>
    <w:rsid w:val="00331894"/>
    <w:rsid w:val="00332CB8"/>
    <w:rsid w:val="00333428"/>
    <w:rsid w:val="003343C7"/>
    <w:rsid w:val="00334784"/>
    <w:rsid w:val="00334E74"/>
    <w:rsid w:val="003350B6"/>
    <w:rsid w:val="0033595E"/>
    <w:rsid w:val="0033601B"/>
    <w:rsid w:val="003364B6"/>
    <w:rsid w:val="00336D8E"/>
    <w:rsid w:val="0033764C"/>
    <w:rsid w:val="00337BB4"/>
    <w:rsid w:val="00337DF3"/>
    <w:rsid w:val="00337F8E"/>
    <w:rsid w:val="00340039"/>
    <w:rsid w:val="003400D3"/>
    <w:rsid w:val="0034024F"/>
    <w:rsid w:val="00340A77"/>
    <w:rsid w:val="00340D39"/>
    <w:rsid w:val="00340DFB"/>
    <w:rsid w:val="00341941"/>
    <w:rsid w:val="0034207A"/>
    <w:rsid w:val="0034278F"/>
    <w:rsid w:val="0034281F"/>
    <w:rsid w:val="00343106"/>
    <w:rsid w:val="00343B47"/>
    <w:rsid w:val="0034404F"/>
    <w:rsid w:val="00344ACC"/>
    <w:rsid w:val="00344D72"/>
    <w:rsid w:val="00345F01"/>
    <w:rsid w:val="0034654F"/>
    <w:rsid w:val="00346B28"/>
    <w:rsid w:val="00346D5B"/>
    <w:rsid w:val="00347685"/>
    <w:rsid w:val="003478A4"/>
    <w:rsid w:val="00347F6C"/>
    <w:rsid w:val="003509A5"/>
    <w:rsid w:val="00350F88"/>
    <w:rsid w:val="00350FE2"/>
    <w:rsid w:val="003515FD"/>
    <w:rsid w:val="003518A4"/>
    <w:rsid w:val="00351E21"/>
    <w:rsid w:val="00352327"/>
    <w:rsid w:val="003526A9"/>
    <w:rsid w:val="00352FB6"/>
    <w:rsid w:val="00354062"/>
    <w:rsid w:val="00354405"/>
    <w:rsid w:val="00355392"/>
    <w:rsid w:val="00355A76"/>
    <w:rsid w:val="00355DEC"/>
    <w:rsid w:val="0035635F"/>
    <w:rsid w:val="00356E0F"/>
    <w:rsid w:val="0035700C"/>
    <w:rsid w:val="003607EE"/>
    <w:rsid w:val="003607FD"/>
    <w:rsid w:val="00360BC8"/>
    <w:rsid w:val="00360E35"/>
    <w:rsid w:val="0036101B"/>
    <w:rsid w:val="00361106"/>
    <w:rsid w:val="003611C8"/>
    <w:rsid w:val="003617AE"/>
    <w:rsid w:val="00361BF9"/>
    <w:rsid w:val="00361F64"/>
    <w:rsid w:val="0036215C"/>
    <w:rsid w:val="003630F7"/>
    <w:rsid w:val="0036332B"/>
    <w:rsid w:val="00363589"/>
    <w:rsid w:val="003635C8"/>
    <w:rsid w:val="00363636"/>
    <w:rsid w:val="003651AC"/>
    <w:rsid w:val="003653AA"/>
    <w:rsid w:val="00366120"/>
    <w:rsid w:val="003661FF"/>
    <w:rsid w:val="003663A5"/>
    <w:rsid w:val="003665A5"/>
    <w:rsid w:val="00366A0C"/>
    <w:rsid w:val="00366F7F"/>
    <w:rsid w:val="00367238"/>
    <w:rsid w:val="00367462"/>
    <w:rsid w:val="003677D5"/>
    <w:rsid w:val="00367C09"/>
    <w:rsid w:val="0037034B"/>
    <w:rsid w:val="00370507"/>
    <w:rsid w:val="00370682"/>
    <w:rsid w:val="00370F0B"/>
    <w:rsid w:val="00371221"/>
    <w:rsid w:val="00371282"/>
    <w:rsid w:val="003718D8"/>
    <w:rsid w:val="003728BE"/>
    <w:rsid w:val="00372A01"/>
    <w:rsid w:val="00372ECE"/>
    <w:rsid w:val="003733DF"/>
    <w:rsid w:val="00373865"/>
    <w:rsid w:val="003739DA"/>
    <w:rsid w:val="00373CE8"/>
    <w:rsid w:val="00374DB0"/>
    <w:rsid w:val="003751C7"/>
    <w:rsid w:val="00375C84"/>
    <w:rsid w:val="00376524"/>
    <w:rsid w:val="0037665B"/>
    <w:rsid w:val="00376E3B"/>
    <w:rsid w:val="003776FE"/>
    <w:rsid w:val="00377D5B"/>
    <w:rsid w:val="00380424"/>
    <w:rsid w:val="00380868"/>
    <w:rsid w:val="00380B9B"/>
    <w:rsid w:val="003818B3"/>
    <w:rsid w:val="003819F5"/>
    <w:rsid w:val="00381A52"/>
    <w:rsid w:val="00381B57"/>
    <w:rsid w:val="00381D47"/>
    <w:rsid w:val="003821CC"/>
    <w:rsid w:val="00382485"/>
    <w:rsid w:val="003835F0"/>
    <w:rsid w:val="00384FFA"/>
    <w:rsid w:val="003853B1"/>
    <w:rsid w:val="003853ED"/>
    <w:rsid w:val="003855CB"/>
    <w:rsid w:val="0038628F"/>
    <w:rsid w:val="00386421"/>
    <w:rsid w:val="00386516"/>
    <w:rsid w:val="0038704C"/>
    <w:rsid w:val="00387AA1"/>
    <w:rsid w:val="0039082A"/>
    <w:rsid w:val="0039101F"/>
    <w:rsid w:val="00392EDB"/>
    <w:rsid w:val="00392FAE"/>
    <w:rsid w:val="003931AA"/>
    <w:rsid w:val="00393629"/>
    <w:rsid w:val="00393EEE"/>
    <w:rsid w:val="003941C0"/>
    <w:rsid w:val="00394D45"/>
    <w:rsid w:val="00395132"/>
    <w:rsid w:val="00395512"/>
    <w:rsid w:val="00395D99"/>
    <w:rsid w:val="00396682"/>
    <w:rsid w:val="003968DF"/>
    <w:rsid w:val="0039692A"/>
    <w:rsid w:val="003976C3"/>
    <w:rsid w:val="00397A03"/>
    <w:rsid w:val="00397A64"/>
    <w:rsid w:val="003A099A"/>
    <w:rsid w:val="003A1372"/>
    <w:rsid w:val="003A1D46"/>
    <w:rsid w:val="003A2100"/>
    <w:rsid w:val="003A2447"/>
    <w:rsid w:val="003A2B82"/>
    <w:rsid w:val="003A36D3"/>
    <w:rsid w:val="003A38C4"/>
    <w:rsid w:val="003A3927"/>
    <w:rsid w:val="003A3D2E"/>
    <w:rsid w:val="003A3DA7"/>
    <w:rsid w:val="003A3FF7"/>
    <w:rsid w:val="003A43D1"/>
    <w:rsid w:val="003A5AF4"/>
    <w:rsid w:val="003A5E9C"/>
    <w:rsid w:val="003A6A51"/>
    <w:rsid w:val="003A6E29"/>
    <w:rsid w:val="003A7DC2"/>
    <w:rsid w:val="003A7FEA"/>
    <w:rsid w:val="003B0BDB"/>
    <w:rsid w:val="003B0E88"/>
    <w:rsid w:val="003B106E"/>
    <w:rsid w:val="003B153F"/>
    <w:rsid w:val="003B17B0"/>
    <w:rsid w:val="003B1844"/>
    <w:rsid w:val="003B1A5C"/>
    <w:rsid w:val="003B211E"/>
    <w:rsid w:val="003B24EA"/>
    <w:rsid w:val="003B25C0"/>
    <w:rsid w:val="003B2DA7"/>
    <w:rsid w:val="003B2FA0"/>
    <w:rsid w:val="003B3AB7"/>
    <w:rsid w:val="003B3ABC"/>
    <w:rsid w:val="003B3CDD"/>
    <w:rsid w:val="003B3D8E"/>
    <w:rsid w:val="003B3FED"/>
    <w:rsid w:val="003B3FF1"/>
    <w:rsid w:val="003B4217"/>
    <w:rsid w:val="003B59A1"/>
    <w:rsid w:val="003B5CDA"/>
    <w:rsid w:val="003B6D11"/>
    <w:rsid w:val="003B72A6"/>
    <w:rsid w:val="003B74F1"/>
    <w:rsid w:val="003B7541"/>
    <w:rsid w:val="003B7966"/>
    <w:rsid w:val="003B7F07"/>
    <w:rsid w:val="003B7FAF"/>
    <w:rsid w:val="003B7FCE"/>
    <w:rsid w:val="003C0F87"/>
    <w:rsid w:val="003C141E"/>
    <w:rsid w:val="003C1B83"/>
    <w:rsid w:val="003C1C85"/>
    <w:rsid w:val="003C210E"/>
    <w:rsid w:val="003C2149"/>
    <w:rsid w:val="003C21B3"/>
    <w:rsid w:val="003C30AD"/>
    <w:rsid w:val="003C3503"/>
    <w:rsid w:val="003C40DE"/>
    <w:rsid w:val="003C4851"/>
    <w:rsid w:val="003C4C96"/>
    <w:rsid w:val="003C55E0"/>
    <w:rsid w:val="003C5E39"/>
    <w:rsid w:val="003C683A"/>
    <w:rsid w:val="003D0079"/>
    <w:rsid w:val="003D017D"/>
    <w:rsid w:val="003D04D6"/>
    <w:rsid w:val="003D0A20"/>
    <w:rsid w:val="003D0BD3"/>
    <w:rsid w:val="003D10EC"/>
    <w:rsid w:val="003D2721"/>
    <w:rsid w:val="003D28DE"/>
    <w:rsid w:val="003D29B9"/>
    <w:rsid w:val="003D2DD1"/>
    <w:rsid w:val="003D3222"/>
    <w:rsid w:val="003D3500"/>
    <w:rsid w:val="003D37B6"/>
    <w:rsid w:val="003D3C68"/>
    <w:rsid w:val="003D450D"/>
    <w:rsid w:val="003D4BA9"/>
    <w:rsid w:val="003D503A"/>
    <w:rsid w:val="003D6505"/>
    <w:rsid w:val="003D6B5A"/>
    <w:rsid w:val="003D71A6"/>
    <w:rsid w:val="003D7709"/>
    <w:rsid w:val="003E004C"/>
    <w:rsid w:val="003E073A"/>
    <w:rsid w:val="003E0BAF"/>
    <w:rsid w:val="003E0E25"/>
    <w:rsid w:val="003E10E0"/>
    <w:rsid w:val="003E1409"/>
    <w:rsid w:val="003E16F2"/>
    <w:rsid w:val="003E2195"/>
    <w:rsid w:val="003E23FB"/>
    <w:rsid w:val="003E36A5"/>
    <w:rsid w:val="003E4A52"/>
    <w:rsid w:val="003E4BC5"/>
    <w:rsid w:val="003E5C8C"/>
    <w:rsid w:val="003E5CBA"/>
    <w:rsid w:val="003E7731"/>
    <w:rsid w:val="003E78A9"/>
    <w:rsid w:val="003E7912"/>
    <w:rsid w:val="003F04E6"/>
    <w:rsid w:val="003F2863"/>
    <w:rsid w:val="003F2CDD"/>
    <w:rsid w:val="003F3754"/>
    <w:rsid w:val="003F3FB3"/>
    <w:rsid w:val="003F45D7"/>
    <w:rsid w:val="003F4C1B"/>
    <w:rsid w:val="003F558D"/>
    <w:rsid w:val="003F5660"/>
    <w:rsid w:val="003F5717"/>
    <w:rsid w:val="003F5A39"/>
    <w:rsid w:val="003F5B56"/>
    <w:rsid w:val="003F5B9F"/>
    <w:rsid w:val="003F5C1A"/>
    <w:rsid w:val="003F6131"/>
    <w:rsid w:val="003F64A3"/>
    <w:rsid w:val="003F6A6A"/>
    <w:rsid w:val="003F738D"/>
    <w:rsid w:val="003F7554"/>
    <w:rsid w:val="003F7845"/>
    <w:rsid w:val="003F7FA1"/>
    <w:rsid w:val="003F7FA4"/>
    <w:rsid w:val="004000DB"/>
    <w:rsid w:val="004006EA"/>
    <w:rsid w:val="00400868"/>
    <w:rsid w:val="004008DE"/>
    <w:rsid w:val="00400B4E"/>
    <w:rsid w:val="0040130D"/>
    <w:rsid w:val="00402CC9"/>
    <w:rsid w:val="00402E56"/>
    <w:rsid w:val="00403634"/>
    <w:rsid w:val="00403A99"/>
    <w:rsid w:val="00404592"/>
    <w:rsid w:val="00404B58"/>
    <w:rsid w:val="0040544F"/>
    <w:rsid w:val="00405537"/>
    <w:rsid w:val="00405C5E"/>
    <w:rsid w:val="0040625C"/>
    <w:rsid w:val="004069D2"/>
    <w:rsid w:val="00406CBB"/>
    <w:rsid w:val="00407123"/>
    <w:rsid w:val="004076FF"/>
    <w:rsid w:val="00410A15"/>
    <w:rsid w:val="00410B73"/>
    <w:rsid w:val="00410D96"/>
    <w:rsid w:val="00411596"/>
    <w:rsid w:val="00411B17"/>
    <w:rsid w:val="00411ED8"/>
    <w:rsid w:val="00411FFF"/>
    <w:rsid w:val="0041222D"/>
    <w:rsid w:val="004124F2"/>
    <w:rsid w:val="00412DEE"/>
    <w:rsid w:val="00412E6F"/>
    <w:rsid w:val="00413C5C"/>
    <w:rsid w:val="0041413F"/>
    <w:rsid w:val="00414EF3"/>
    <w:rsid w:val="00414F35"/>
    <w:rsid w:val="0041567A"/>
    <w:rsid w:val="00415BAB"/>
    <w:rsid w:val="00415BCF"/>
    <w:rsid w:val="00416297"/>
    <w:rsid w:val="00416D5C"/>
    <w:rsid w:val="00417083"/>
    <w:rsid w:val="0041736F"/>
    <w:rsid w:val="00417E36"/>
    <w:rsid w:val="004202D5"/>
    <w:rsid w:val="0042049A"/>
    <w:rsid w:val="0042057C"/>
    <w:rsid w:val="00420694"/>
    <w:rsid w:val="00420BDF"/>
    <w:rsid w:val="00421608"/>
    <w:rsid w:val="00421C23"/>
    <w:rsid w:val="004222DB"/>
    <w:rsid w:val="0042261E"/>
    <w:rsid w:val="00422749"/>
    <w:rsid w:val="004228F2"/>
    <w:rsid w:val="0042319D"/>
    <w:rsid w:val="004233DC"/>
    <w:rsid w:val="00424888"/>
    <w:rsid w:val="004255D9"/>
    <w:rsid w:val="00425763"/>
    <w:rsid w:val="00425C3C"/>
    <w:rsid w:val="00426F8D"/>
    <w:rsid w:val="00427D1B"/>
    <w:rsid w:val="00427E40"/>
    <w:rsid w:val="004306AB"/>
    <w:rsid w:val="004314AB"/>
    <w:rsid w:val="0043159D"/>
    <w:rsid w:val="0043171D"/>
    <w:rsid w:val="00432C22"/>
    <w:rsid w:val="00432F78"/>
    <w:rsid w:val="004334A2"/>
    <w:rsid w:val="004335BC"/>
    <w:rsid w:val="004339E6"/>
    <w:rsid w:val="00434723"/>
    <w:rsid w:val="00434729"/>
    <w:rsid w:val="0043617B"/>
    <w:rsid w:val="00436DD3"/>
    <w:rsid w:val="00437A8A"/>
    <w:rsid w:val="00437D17"/>
    <w:rsid w:val="00437D2F"/>
    <w:rsid w:val="0044046D"/>
    <w:rsid w:val="004410D3"/>
    <w:rsid w:val="00441A5B"/>
    <w:rsid w:val="00441DAF"/>
    <w:rsid w:val="0044270D"/>
    <w:rsid w:val="00442E8C"/>
    <w:rsid w:val="0044312A"/>
    <w:rsid w:val="00443310"/>
    <w:rsid w:val="004435D5"/>
    <w:rsid w:val="00443814"/>
    <w:rsid w:val="00443A34"/>
    <w:rsid w:val="00443D38"/>
    <w:rsid w:val="00443E13"/>
    <w:rsid w:val="00444140"/>
    <w:rsid w:val="0044467C"/>
    <w:rsid w:val="00444BF5"/>
    <w:rsid w:val="00444F43"/>
    <w:rsid w:val="0044559A"/>
    <w:rsid w:val="00447048"/>
    <w:rsid w:val="00447AD3"/>
    <w:rsid w:val="00447C23"/>
    <w:rsid w:val="0045035C"/>
    <w:rsid w:val="00450396"/>
    <w:rsid w:val="00450744"/>
    <w:rsid w:val="00450BE7"/>
    <w:rsid w:val="00450FE8"/>
    <w:rsid w:val="00451398"/>
    <w:rsid w:val="004518D0"/>
    <w:rsid w:val="00451A1E"/>
    <w:rsid w:val="00451F45"/>
    <w:rsid w:val="0045213A"/>
    <w:rsid w:val="0045227C"/>
    <w:rsid w:val="0045230E"/>
    <w:rsid w:val="004528FA"/>
    <w:rsid w:val="00452D67"/>
    <w:rsid w:val="00452E53"/>
    <w:rsid w:val="0045418C"/>
    <w:rsid w:val="00454284"/>
    <w:rsid w:val="004542C6"/>
    <w:rsid w:val="00454EDC"/>
    <w:rsid w:val="00455B00"/>
    <w:rsid w:val="00455B97"/>
    <w:rsid w:val="00456635"/>
    <w:rsid w:val="00456BC0"/>
    <w:rsid w:val="00456BFD"/>
    <w:rsid w:val="004575D5"/>
    <w:rsid w:val="00457657"/>
    <w:rsid w:val="004600BF"/>
    <w:rsid w:val="004607D0"/>
    <w:rsid w:val="00460C28"/>
    <w:rsid w:val="00460CE3"/>
    <w:rsid w:val="00460F25"/>
    <w:rsid w:val="0046116D"/>
    <w:rsid w:val="004612A4"/>
    <w:rsid w:val="0046153C"/>
    <w:rsid w:val="0046201A"/>
    <w:rsid w:val="004624D2"/>
    <w:rsid w:val="004625C8"/>
    <w:rsid w:val="00462DCE"/>
    <w:rsid w:val="00462FB7"/>
    <w:rsid w:val="00463913"/>
    <w:rsid w:val="00463E3D"/>
    <w:rsid w:val="0046439A"/>
    <w:rsid w:val="0046442A"/>
    <w:rsid w:val="00464BF1"/>
    <w:rsid w:val="00464D9B"/>
    <w:rsid w:val="00465D73"/>
    <w:rsid w:val="00466078"/>
    <w:rsid w:val="0046626B"/>
    <w:rsid w:val="004665E0"/>
    <w:rsid w:val="004669BB"/>
    <w:rsid w:val="004676E4"/>
    <w:rsid w:val="00467AFF"/>
    <w:rsid w:val="00470183"/>
    <w:rsid w:val="004708C9"/>
    <w:rsid w:val="00470C48"/>
    <w:rsid w:val="0047139F"/>
    <w:rsid w:val="00471429"/>
    <w:rsid w:val="004722B1"/>
    <w:rsid w:val="00472AA7"/>
    <w:rsid w:val="00472C1C"/>
    <w:rsid w:val="0047367A"/>
    <w:rsid w:val="00473A47"/>
    <w:rsid w:val="00473A4F"/>
    <w:rsid w:val="00473C0A"/>
    <w:rsid w:val="00473EEF"/>
    <w:rsid w:val="00474415"/>
    <w:rsid w:val="00474BC1"/>
    <w:rsid w:val="004763EC"/>
    <w:rsid w:val="0047722F"/>
    <w:rsid w:val="004772CA"/>
    <w:rsid w:val="00477459"/>
    <w:rsid w:val="004779AA"/>
    <w:rsid w:val="00477CC9"/>
    <w:rsid w:val="0048026E"/>
    <w:rsid w:val="00480303"/>
    <w:rsid w:val="004807A9"/>
    <w:rsid w:val="00480A8A"/>
    <w:rsid w:val="00480F76"/>
    <w:rsid w:val="004810A5"/>
    <w:rsid w:val="004810E0"/>
    <w:rsid w:val="00481318"/>
    <w:rsid w:val="00481363"/>
    <w:rsid w:val="004813EE"/>
    <w:rsid w:val="00481835"/>
    <w:rsid w:val="00482CDC"/>
    <w:rsid w:val="00482FB0"/>
    <w:rsid w:val="00483A93"/>
    <w:rsid w:val="00483B03"/>
    <w:rsid w:val="0048444C"/>
    <w:rsid w:val="00485058"/>
    <w:rsid w:val="00485702"/>
    <w:rsid w:val="00485C2D"/>
    <w:rsid w:val="004867EC"/>
    <w:rsid w:val="00486A37"/>
    <w:rsid w:val="00487662"/>
    <w:rsid w:val="004876C6"/>
    <w:rsid w:val="00487D7B"/>
    <w:rsid w:val="004904FD"/>
    <w:rsid w:val="00490F7A"/>
    <w:rsid w:val="00490FD5"/>
    <w:rsid w:val="00491241"/>
    <w:rsid w:val="00491813"/>
    <w:rsid w:val="004926ED"/>
    <w:rsid w:val="00493278"/>
    <w:rsid w:val="00493855"/>
    <w:rsid w:val="004951D8"/>
    <w:rsid w:val="004952C1"/>
    <w:rsid w:val="00497575"/>
    <w:rsid w:val="004A078B"/>
    <w:rsid w:val="004A0D4C"/>
    <w:rsid w:val="004A12C0"/>
    <w:rsid w:val="004A169A"/>
    <w:rsid w:val="004A18C9"/>
    <w:rsid w:val="004A191A"/>
    <w:rsid w:val="004A1A70"/>
    <w:rsid w:val="004A25F3"/>
    <w:rsid w:val="004A2D5A"/>
    <w:rsid w:val="004A3988"/>
    <w:rsid w:val="004A3A9C"/>
    <w:rsid w:val="004A4027"/>
    <w:rsid w:val="004A419E"/>
    <w:rsid w:val="004A4688"/>
    <w:rsid w:val="004A4DCE"/>
    <w:rsid w:val="004A6463"/>
    <w:rsid w:val="004A6B58"/>
    <w:rsid w:val="004A6BA2"/>
    <w:rsid w:val="004A767C"/>
    <w:rsid w:val="004B06C3"/>
    <w:rsid w:val="004B0917"/>
    <w:rsid w:val="004B0B09"/>
    <w:rsid w:val="004B0E65"/>
    <w:rsid w:val="004B140F"/>
    <w:rsid w:val="004B14EB"/>
    <w:rsid w:val="004B21CF"/>
    <w:rsid w:val="004B2985"/>
    <w:rsid w:val="004B2DE3"/>
    <w:rsid w:val="004B3C29"/>
    <w:rsid w:val="004B3FEA"/>
    <w:rsid w:val="004B48DB"/>
    <w:rsid w:val="004B4E68"/>
    <w:rsid w:val="004B53F1"/>
    <w:rsid w:val="004B5D6E"/>
    <w:rsid w:val="004B60BA"/>
    <w:rsid w:val="004B6946"/>
    <w:rsid w:val="004B6D89"/>
    <w:rsid w:val="004B6E81"/>
    <w:rsid w:val="004C0990"/>
    <w:rsid w:val="004C0B33"/>
    <w:rsid w:val="004C0FFE"/>
    <w:rsid w:val="004C136D"/>
    <w:rsid w:val="004C1619"/>
    <w:rsid w:val="004C177F"/>
    <w:rsid w:val="004C19E4"/>
    <w:rsid w:val="004C1B59"/>
    <w:rsid w:val="004C3BF3"/>
    <w:rsid w:val="004C3C25"/>
    <w:rsid w:val="004C3E2B"/>
    <w:rsid w:val="004C3EEA"/>
    <w:rsid w:val="004C4EA2"/>
    <w:rsid w:val="004C596B"/>
    <w:rsid w:val="004C5E41"/>
    <w:rsid w:val="004C60E7"/>
    <w:rsid w:val="004C664D"/>
    <w:rsid w:val="004C6B40"/>
    <w:rsid w:val="004C7A4D"/>
    <w:rsid w:val="004C7BDE"/>
    <w:rsid w:val="004C7CC6"/>
    <w:rsid w:val="004D0090"/>
    <w:rsid w:val="004D020F"/>
    <w:rsid w:val="004D03D1"/>
    <w:rsid w:val="004D10B0"/>
    <w:rsid w:val="004D11AF"/>
    <w:rsid w:val="004D2E58"/>
    <w:rsid w:val="004D37D9"/>
    <w:rsid w:val="004D37DA"/>
    <w:rsid w:val="004D41A2"/>
    <w:rsid w:val="004D46B0"/>
    <w:rsid w:val="004D502C"/>
    <w:rsid w:val="004D5FB2"/>
    <w:rsid w:val="004D60A3"/>
    <w:rsid w:val="004D6DC3"/>
    <w:rsid w:val="004D71CA"/>
    <w:rsid w:val="004E016A"/>
    <w:rsid w:val="004E0461"/>
    <w:rsid w:val="004E1CC8"/>
    <w:rsid w:val="004E29B1"/>
    <w:rsid w:val="004E3F87"/>
    <w:rsid w:val="004E461B"/>
    <w:rsid w:val="004E477D"/>
    <w:rsid w:val="004E491F"/>
    <w:rsid w:val="004E5890"/>
    <w:rsid w:val="004E79EF"/>
    <w:rsid w:val="004E7B33"/>
    <w:rsid w:val="004F02BE"/>
    <w:rsid w:val="004F0368"/>
    <w:rsid w:val="004F0D19"/>
    <w:rsid w:val="004F121B"/>
    <w:rsid w:val="004F140F"/>
    <w:rsid w:val="004F185F"/>
    <w:rsid w:val="004F2811"/>
    <w:rsid w:val="004F29E3"/>
    <w:rsid w:val="004F3326"/>
    <w:rsid w:val="004F4139"/>
    <w:rsid w:val="004F590E"/>
    <w:rsid w:val="004F5966"/>
    <w:rsid w:val="004F6026"/>
    <w:rsid w:val="004F60F4"/>
    <w:rsid w:val="004F62E8"/>
    <w:rsid w:val="004F67C3"/>
    <w:rsid w:val="004F6B8D"/>
    <w:rsid w:val="004F6C17"/>
    <w:rsid w:val="004F6D1E"/>
    <w:rsid w:val="004F7390"/>
    <w:rsid w:val="004F78F8"/>
    <w:rsid w:val="005001A5"/>
    <w:rsid w:val="00500CCD"/>
    <w:rsid w:val="005019AA"/>
    <w:rsid w:val="00502008"/>
    <w:rsid w:val="005032E9"/>
    <w:rsid w:val="00503C3B"/>
    <w:rsid w:val="00503CE7"/>
    <w:rsid w:val="00503E7E"/>
    <w:rsid w:val="005040C9"/>
    <w:rsid w:val="005042DB"/>
    <w:rsid w:val="0050458E"/>
    <w:rsid w:val="00504B38"/>
    <w:rsid w:val="00505928"/>
    <w:rsid w:val="00505CD6"/>
    <w:rsid w:val="005069B2"/>
    <w:rsid w:val="0050741A"/>
    <w:rsid w:val="00507DF0"/>
    <w:rsid w:val="00510452"/>
    <w:rsid w:val="005107BD"/>
    <w:rsid w:val="005108EC"/>
    <w:rsid w:val="00510FA5"/>
    <w:rsid w:val="005114E3"/>
    <w:rsid w:val="00511D5B"/>
    <w:rsid w:val="00511F8F"/>
    <w:rsid w:val="00512A7E"/>
    <w:rsid w:val="00513291"/>
    <w:rsid w:val="00513EA4"/>
    <w:rsid w:val="005147DA"/>
    <w:rsid w:val="00514FBF"/>
    <w:rsid w:val="00514FCB"/>
    <w:rsid w:val="005153AC"/>
    <w:rsid w:val="005153C3"/>
    <w:rsid w:val="00515745"/>
    <w:rsid w:val="00515862"/>
    <w:rsid w:val="005165FE"/>
    <w:rsid w:val="0051690E"/>
    <w:rsid w:val="00516942"/>
    <w:rsid w:val="00516DC0"/>
    <w:rsid w:val="00516DC5"/>
    <w:rsid w:val="00517CEE"/>
    <w:rsid w:val="00520BBA"/>
    <w:rsid w:val="005221AE"/>
    <w:rsid w:val="005225AC"/>
    <w:rsid w:val="005226FA"/>
    <w:rsid w:val="00522B34"/>
    <w:rsid w:val="00522EE9"/>
    <w:rsid w:val="00523346"/>
    <w:rsid w:val="005233F3"/>
    <w:rsid w:val="0052365C"/>
    <w:rsid w:val="00523B51"/>
    <w:rsid w:val="005242BD"/>
    <w:rsid w:val="005245D2"/>
    <w:rsid w:val="0052488B"/>
    <w:rsid w:val="00524C98"/>
    <w:rsid w:val="00524C9C"/>
    <w:rsid w:val="00524EDD"/>
    <w:rsid w:val="00524FEB"/>
    <w:rsid w:val="00525B59"/>
    <w:rsid w:val="0052618C"/>
    <w:rsid w:val="005269C4"/>
    <w:rsid w:val="00526A20"/>
    <w:rsid w:val="00531966"/>
    <w:rsid w:val="00532472"/>
    <w:rsid w:val="005325C9"/>
    <w:rsid w:val="005329DA"/>
    <w:rsid w:val="0053322F"/>
    <w:rsid w:val="0053375D"/>
    <w:rsid w:val="005337F6"/>
    <w:rsid w:val="00533BC1"/>
    <w:rsid w:val="00533C61"/>
    <w:rsid w:val="00533DBF"/>
    <w:rsid w:val="00534940"/>
    <w:rsid w:val="00535673"/>
    <w:rsid w:val="00535784"/>
    <w:rsid w:val="00535D6B"/>
    <w:rsid w:val="00535FA1"/>
    <w:rsid w:val="005360D0"/>
    <w:rsid w:val="00536442"/>
    <w:rsid w:val="005374FE"/>
    <w:rsid w:val="0054053D"/>
    <w:rsid w:val="0054126C"/>
    <w:rsid w:val="00541368"/>
    <w:rsid w:val="005415DD"/>
    <w:rsid w:val="0054174E"/>
    <w:rsid w:val="00541D12"/>
    <w:rsid w:val="005423F3"/>
    <w:rsid w:val="005426DB"/>
    <w:rsid w:val="00542771"/>
    <w:rsid w:val="00543F7D"/>
    <w:rsid w:val="005442F1"/>
    <w:rsid w:val="00544A24"/>
    <w:rsid w:val="00544EC0"/>
    <w:rsid w:val="0054536F"/>
    <w:rsid w:val="0054583C"/>
    <w:rsid w:val="00546227"/>
    <w:rsid w:val="0054666F"/>
    <w:rsid w:val="005468E2"/>
    <w:rsid w:val="00546D83"/>
    <w:rsid w:val="00547025"/>
    <w:rsid w:val="00550113"/>
    <w:rsid w:val="0055016A"/>
    <w:rsid w:val="0055019B"/>
    <w:rsid w:val="005504BE"/>
    <w:rsid w:val="0055082B"/>
    <w:rsid w:val="0055093A"/>
    <w:rsid w:val="00550F00"/>
    <w:rsid w:val="00551964"/>
    <w:rsid w:val="00551BDF"/>
    <w:rsid w:val="00551ED7"/>
    <w:rsid w:val="0055211C"/>
    <w:rsid w:val="0055263A"/>
    <w:rsid w:val="005526EE"/>
    <w:rsid w:val="00552B57"/>
    <w:rsid w:val="00552E53"/>
    <w:rsid w:val="00553E34"/>
    <w:rsid w:val="005547B7"/>
    <w:rsid w:val="005551E9"/>
    <w:rsid w:val="00555700"/>
    <w:rsid w:val="005557AA"/>
    <w:rsid w:val="0055581A"/>
    <w:rsid w:val="0055680D"/>
    <w:rsid w:val="00557079"/>
    <w:rsid w:val="00557670"/>
    <w:rsid w:val="00557C2D"/>
    <w:rsid w:val="00560094"/>
    <w:rsid w:val="00560C62"/>
    <w:rsid w:val="00561B6D"/>
    <w:rsid w:val="00562A61"/>
    <w:rsid w:val="00562E78"/>
    <w:rsid w:val="005638A2"/>
    <w:rsid w:val="00564E45"/>
    <w:rsid w:val="005652D5"/>
    <w:rsid w:val="00565E52"/>
    <w:rsid w:val="005661D1"/>
    <w:rsid w:val="00566FFD"/>
    <w:rsid w:val="00567161"/>
    <w:rsid w:val="00567227"/>
    <w:rsid w:val="00567CD0"/>
    <w:rsid w:val="00570C7B"/>
    <w:rsid w:val="0057117D"/>
    <w:rsid w:val="00571A25"/>
    <w:rsid w:val="00571C77"/>
    <w:rsid w:val="005721F2"/>
    <w:rsid w:val="0057273A"/>
    <w:rsid w:val="00572D5B"/>
    <w:rsid w:val="005733BA"/>
    <w:rsid w:val="005739DC"/>
    <w:rsid w:val="005743C5"/>
    <w:rsid w:val="00574469"/>
    <w:rsid w:val="00574614"/>
    <w:rsid w:val="00574A70"/>
    <w:rsid w:val="00574D35"/>
    <w:rsid w:val="00575C75"/>
    <w:rsid w:val="00576251"/>
    <w:rsid w:val="005762CA"/>
    <w:rsid w:val="005770CF"/>
    <w:rsid w:val="00577668"/>
    <w:rsid w:val="00577904"/>
    <w:rsid w:val="00577922"/>
    <w:rsid w:val="00577AC3"/>
    <w:rsid w:val="00577C24"/>
    <w:rsid w:val="00580577"/>
    <w:rsid w:val="00580D13"/>
    <w:rsid w:val="005815A8"/>
    <w:rsid w:val="005815C7"/>
    <w:rsid w:val="00581915"/>
    <w:rsid w:val="005831DE"/>
    <w:rsid w:val="00583431"/>
    <w:rsid w:val="00583DF2"/>
    <w:rsid w:val="005846C0"/>
    <w:rsid w:val="00584D04"/>
    <w:rsid w:val="005853F5"/>
    <w:rsid w:val="0058567E"/>
    <w:rsid w:val="00585DE1"/>
    <w:rsid w:val="0058659E"/>
    <w:rsid w:val="005869EE"/>
    <w:rsid w:val="005872DD"/>
    <w:rsid w:val="00587CF2"/>
    <w:rsid w:val="00587D3A"/>
    <w:rsid w:val="00587DB5"/>
    <w:rsid w:val="00590346"/>
    <w:rsid w:val="00590BA2"/>
    <w:rsid w:val="00590CA7"/>
    <w:rsid w:val="00590E93"/>
    <w:rsid w:val="0059159C"/>
    <w:rsid w:val="005915E1"/>
    <w:rsid w:val="00591C75"/>
    <w:rsid w:val="00591FBA"/>
    <w:rsid w:val="00592D10"/>
    <w:rsid w:val="0059388B"/>
    <w:rsid w:val="00593A58"/>
    <w:rsid w:val="00593A5F"/>
    <w:rsid w:val="0059404E"/>
    <w:rsid w:val="00594269"/>
    <w:rsid w:val="00595539"/>
    <w:rsid w:val="00597108"/>
    <w:rsid w:val="005976DB"/>
    <w:rsid w:val="005A16B6"/>
    <w:rsid w:val="005A3E82"/>
    <w:rsid w:val="005A4287"/>
    <w:rsid w:val="005A482E"/>
    <w:rsid w:val="005A4DB0"/>
    <w:rsid w:val="005A5095"/>
    <w:rsid w:val="005A5597"/>
    <w:rsid w:val="005A57BF"/>
    <w:rsid w:val="005A6AC2"/>
    <w:rsid w:val="005A7A65"/>
    <w:rsid w:val="005A7B26"/>
    <w:rsid w:val="005A7B8E"/>
    <w:rsid w:val="005B00DE"/>
    <w:rsid w:val="005B012B"/>
    <w:rsid w:val="005B0C87"/>
    <w:rsid w:val="005B0FE9"/>
    <w:rsid w:val="005B2195"/>
    <w:rsid w:val="005B2290"/>
    <w:rsid w:val="005B26C7"/>
    <w:rsid w:val="005B2D65"/>
    <w:rsid w:val="005B3877"/>
    <w:rsid w:val="005B3AC8"/>
    <w:rsid w:val="005B3CC1"/>
    <w:rsid w:val="005B4002"/>
    <w:rsid w:val="005B45AB"/>
    <w:rsid w:val="005B4D8F"/>
    <w:rsid w:val="005B57A1"/>
    <w:rsid w:val="005B58D0"/>
    <w:rsid w:val="005B6551"/>
    <w:rsid w:val="005B6DDA"/>
    <w:rsid w:val="005B71A8"/>
    <w:rsid w:val="005B744B"/>
    <w:rsid w:val="005B780D"/>
    <w:rsid w:val="005C0A6F"/>
    <w:rsid w:val="005C0FA7"/>
    <w:rsid w:val="005C155F"/>
    <w:rsid w:val="005C1C0E"/>
    <w:rsid w:val="005C31CB"/>
    <w:rsid w:val="005C36E2"/>
    <w:rsid w:val="005C3988"/>
    <w:rsid w:val="005C3E9E"/>
    <w:rsid w:val="005C400C"/>
    <w:rsid w:val="005C410C"/>
    <w:rsid w:val="005C4BF1"/>
    <w:rsid w:val="005C4BF2"/>
    <w:rsid w:val="005C52D4"/>
    <w:rsid w:val="005C5BED"/>
    <w:rsid w:val="005C5D86"/>
    <w:rsid w:val="005C6167"/>
    <w:rsid w:val="005C6A4A"/>
    <w:rsid w:val="005C6ADB"/>
    <w:rsid w:val="005C6EE2"/>
    <w:rsid w:val="005C7A07"/>
    <w:rsid w:val="005C7B46"/>
    <w:rsid w:val="005C7DDC"/>
    <w:rsid w:val="005C7F7C"/>
    <w:rsid w:val="005D0BAD"/>
    <w:rsid w:val="005D0C0A"/>
    <w:rsid w:val="005D0FA8"/>
    <w:rsid w:val="005D107D"/>
    <w:rsid w:val="005D123A"/>
    <w:rsid w:val="005D1503"/>
    <w:rsid w:val="005D191D"/>
    <w:rsid w:val="005D2506"/>
    <w:rsid w:val="005D2BB5"/>
    <w:rsid w:val="005D3677"/>
    <w:rsid w:val="005D4AD4"/>
    <w:rsid w:val="005D4E4C"/>
    <w:rsid w:val="005D5B5E"/>
    <w:rsid w:val="005D5C85"/>
    <w:rsid w:val="005D5CA0"/>
    <w:rsid w:val="005D5DDA"/>
    <w:rsid w:val="005D698C"/>
    <w:rsid w:val="005D69AB"/>
    <w:rsid w:val="005D72FC"/>
    <w:rsid w:val="005D7DFC"/>
    <w:rsid w:val="005E035A"/>
    <w:rsid w:val="005E03D8"/>
    <w:rsid w:val="005E0464"/>
    <w:rsid w:val="005E0681"/>
    <w:rsid w:val="005E1218"/>
    <w:rsid w:val="005E18EC"/>
    <w:rsid w:val="005E1A55"/>
    <w:rsid w:val="005E1B6B"/>
    <w:rsid w:val="005E1F61"/>
    <w:rsid w:val="005E2281"/>
    <w:rsid w:val="005E236C"/>
    <w:rsid w:val="005E2FAE"/>
    <w:rsid w:val="005E32C9"/>
    <w:rsid w:val="005E351B"/>
    <w:rsid w:val="005E38A8"/>
    <w:rsid w:val="005E39F9"/>
    <w:rsid w:val="005E3D9B"/>
    <w:rsid w:val="005E3E42"/>
    <w:rsid w:val="005E4828"/>
    <w:rsid w:val="005E4887"/>
    <w:rsid w:val="005E5016"/>
    <w:rsid w:val="005E5231"/>
    <w:rsid w:val="005E548A"/>
    <w:rsid w:val="005E55BB"/>
    <w:rsid w:val="005E5D11"/>
    <w:rsid w:val="005E6316"/>
    <w:rsid w:val="005E6567"/>
    <w:rsid w:val="005E667C"/>
    <w:rsid w:val="005E6A1D"/>
    <w:rsid w:val="005E6F12"/>
    <w:rsid w:val="005E733E"/>
    <w:rsid w:val="005E7428"/>
    <w:rsid w:val="005F021E"/>
    <w:rsid w:val="005F0694"/>
    <w:rsid w:val="005F06E1"/>
    <w:rsid w:val="005F077C"/>
    <w:rsid w:val="005F0B88"/>
    <w:rsid w:val="005F1735"/>
    <w:rsid w:val="005F187E"/>
    <w:rsid w:val="005F252A"/>
    <w:rsid w:val="005F2C80"/>
    <w:rsid w:val="005F3CE8"/>
    <w:rsid w:val="005F4334"/>
    <w:rsid w:val="005F4F41"/>
    <w:rsid w:val="005F5318"/>
    <w:rsid w:val="005F566D"/>
    <w:rsid w:val="005F58D1"/>
    <w:rsid w:val="005F648F"/>
    <w:rsid w:val="005F68C3"/>
    <w:rsid w:val="005F7D87"/>
    <w:rsid w:val="0060030A"/>
    <w:rsid w:val="00600B15"/>
    <w:rsid w:val="00601794"/>
    <w:rsid w:val="00601E94"/>
    <w:rsid w:val="006021B1"/>
    <w:rsid w:val="006037C5"/>
    <w:rsid w:val="00603859"/>
    <w:rsid w:val="006040CE"/>
    <w:rsid w:val="0060467D"/>
    <w:rsid w:val="00604DF3"/>
    <w:rsid w:val="0060585E"/>
    <w:rsid w:val="00605B56"/>
    <w:rsid w:val="00605B9D"/>
    <w:rsid w:val="00606213"/>
    <w:rsid w:val="00606B57"/>
    <w:rsid w:val="00606B85"/>
    <w:rsid w:val="00607390"/>
    <w:rsid w:val="006076D8"/>
    <w:rsid w:val="00607922"/>
    <w:rsid w:val="00607E6D"/>
    <w:rsid w:val="0061061D"/>
    <w:rsid w:val="006114AA"/>
    <w:rsid w:val="00611816"/>
    <w:rsid w:val="00611A3B"/>
    <w:rsid w:val="006120CA"/>
    <w:rsid w:val="00612389"/>
    <w:rsid w:val="00612570"/>
    <w:rsid w:val="006127BD"/>
    <w:rsid w:val="00612871"/>
    <w:rsid w:val="00612929"/>
    <w:rsid w:val="00612A44"/>
    <w:rsid w:val="00612A8E"/>
    <w:rsid w:val="00613098"/>
    <w:rsid w:val="006134D9"/>
    <w:rsid w:val="006135DA"/>
    <w:rsid w:val="00613BDC"/>
    <w:rsid w:val="00613E4C"/>
    <w:rsid w:val="00614921"/>
    <w:rsid w:val="00615564"/>
    <w:rsid w:val="006155E2"/>
    <w:rsid w:val="006156C7"/>
    <w:rsid w:val="00615F26"/>
    <w:rsid w:val="00616CCC"/>
    <w:rsid w:val="00617A81"/>
    <w:rsid w:val="00617C11"/>
    <w:rsid w:val="00617DEC"/>
    <w:rsid w:val="00620573"/>
    <w:rsid w:val="00620579"/>
    <w:rsid w:val="006208AA"/>
    <w:rsid w:val="0062128D"/>
    <w:rsid w:val="00621C96"/>
    <w:rsid w:val="0062228D"/>
    <w:rsid w:val="006224D1"/>
    <w:rsid w:val="0062258F"/>
    <w:rsid w:val="00622732"/>
    <w:rsid w:val="00622E6D"/>
    <w:rsid w:val="0062367B"/>
    <w:rsid w:val="00623BC7"/>
    <w:rsid w:val="00623E70"/>
    <w:rsid w:val="006241D0"/>
    <w:rsid w:val="00624425"/>
    <w:rsid w:val="00624665"/>
    <w:rsid w:val="00624E57"/>
    <w:rsid w:val="00625434"/>
    <w:rsid w:val="0062576B"/>
    <w:rsid w:val="00625C5F"/>
    <w:rsid w:val="00626032"/>
    <w:rsid w:val="00626471"/>
    <w:rsid w:val="00627643"/>
    <w:rsid w:val="00627788"/>
    <w:rsid w:val="0062795F"/>
    <w:rsid w:val="006300CD"/>
    <w:rsid w:val="0063017E"/>
    <w:rsid w:val="00630723"/>
    <w:rsid w:val="00630EAE"/>
    <w:rsid w:val="00630FE8"/>
    <w:rsid w:val="006312D0"/>
    <w:rsid w:val="006313AC"/>
    <w:rsid w:val="006317DB"/>
    <w:rsid w:val="00631866"/>
    <w:rsid w:val="006318A4"/>
    <w:rsid w:val="00631A11"/>
    <w:rsid w:val="00631A46"/>
    <w:rsid w:val="00631D4F"/>
    <w:rsid w:val="006321B6"/>
    <w:rsid w:val="00632359"/>
    <w:rsid w:val="006327C6"/>
    <w:rsid w:val="00632C5C"/>
    <w:rsid w:val="00633496"/>
    <w:rsid w:val="0063371D"/>
    <w:rsid w:val="006338D2"/>
    <w:rsid w:val="00633A52"/>
    <w:rsid w:val="00633F92"/>
    <w:rsid w:val="00634075"/>
    <w:rsid w:val="0063435E"/>
    <w:rsid w:val="006347FE"/>
    <w:rsid w:val="00634CB2"/>
    <w:rsid w:val="00634D35"/>
    <w:rsid w:val="00634D5B"/>
    <w:rsid w:val="006357E2"/>
    <w:rsid w:val="006359C3"/>
    <w:rsid w:val="00635FD8"/>
    <w:rsid w:val="00636651"/>
    <w:rsid w:val="00636828"/>
    <w:rsid w:val="006368E4"/>
    <w:rsid w:val="00636971"/>
    <w:rsid w:val="00636DEE"/>
    <w:rsid w:val="00636F7B"/>
    <w:rsid w:val="00637DF0"/>
    <w:rsid w:val="00640140"/>
    <w:rsid w:val="0064019C"/>
    <w:rsid w:val="00640288"/>
    <w:rsid w:val="006405AC"/>
    <w:rsid w:val="0064099D"/>
    <w:rsid w:val="00640A30"/>
    <w:rsid w:val="00640BD6"/>
    <w:rsid w:val="00640E9A"/>
    <w:rsid w:val="006412CD"/>
    <w:rsid w:val="00641320"/>
    <w:rsid w:val="006413D8"/>
    <w:rsid w:val="00641610"/>
    <w:rsid w:val="00641B7B"/>
    <w:rsid w:val="00641C55"/>
    <w:rsid w:val="00642326"/>
    <w:rsid w:val="00642405"/>
    <w:rsid w:val="00642645"/>
    <w:rsid w:val="00643528"/>
    <w:rsid w:val="006437E8"/>
    <w:rsid w:val="006438E0"/>
    <w:rsid w:val="00644BED"/>
    <w:rsid w:val="006455CB"/>
    <w:rsid w:val="00645C6C"/>
    <w:rsid w:val="0064629D"/>
    <w:rsid w:val="00646FD5"/>
    <w:rsid w:val="006472F8"/>
    <w:rsid w:val="00647680"/>
    <w:rsid w:val="00647743"/>
    <w:rsid w:val="006510C0"/>
    <w:rsid w:val="006519B9"/>
    <w:rsid w:val="00651DC7"/>
    <w:rsid w:val="00652092"/>
    <w:rsid w:val="00652472"/>
    <w:rsid w:val="00652F31"/>
    <w:rsid w:val="006535E5"/>
    <w:rsid w:val="0065394E"/>
    <w:rsid w:val="00653B2B"/>
    <w:rsid w:val="00653B38"/>
    <w:rsid w:val="006541C6"/>
    <w:rsid w:val="00654D37"/>
    <w:rsid w:val="00654F06"/>
    <w:rsid w:val="00656385"/>
    <w:rsid w:val="0065689D"/>
    <w:rsid w:val="00656F19"/>
    <w:rsid w:val="00657BB7"/>
    <w:rsid w:val="00657EE4"/>
    <w:rsid w:val="00660299"/>
    <w:rsid w:val="00660552"/>
    <w:rsid w:val="00660DBE"/>
    <w:rsid w:val="00661113"/>
    <w:rsid w:val="0066127D"/>
    <w:rsid w:val="006617B7"/>
    <w:rsid w:val="00661AB0"/>
    <w:rsid w:val="006623A4"/>
    <w:rsid w:val="006627B5"/>
    <w:rsid w:val="0066351C"/>
    <w:rsid w:val="006635BF"/>
    <w:rsid w:val="00663CBA"/>
    <w:rsid w:val="00664498"/>
    <w:rsid w:val="00664693"/>
    <w:rsid w:val="0066480F"/>
    <w:rsid w:val="00664DC0"/>
    <w:rsid w:val="006651CC"/>
    <w:rsid w:val="0066582B"/>
    <w:rsid w:val="006658DA"/>
    <w:rsid w:val="00665CA1"/>
    <w:rsid w:val="006669D8"/>
    <w:rsid w:val="00667421"/>
    <w:rsid w:val="0066780E"/>
    <w:rsid w:val="00667A31"/>
    <w:rsid w:val="0067004C"/>
    <w:rsid w:val="00670702"/>
    <w:rsid w:val="006708EB"/>
    <w:rsid w:val="0067147C"/>
    <w:rsid w:val="006717FE"/>
    <w:rsid w:val="00671BF5"/>
    <w:rsid w:val="00672895"/>
    <w:rsid w:val="00672A8A"/>
    <w:rsid w:val="00673524"/>
    <w:rsid w:val="00673F50"/>
    <w:rsid w:val="006745A1"/>
    <w:rsid w:val="00674759"/>
    <w:rsid w:val="00674EEA"/>
    <w:rsid w:val="0067549D"/>
    <w:rsid w:val="0067574E"/>
    <w:rsid w:val="006759B0"/>
    <w:rsid w:val="00676000"/>
    <w:rsid w:val="00677012"/>
    <w:rsid w:val="006771EA"/>
    <w:rsid w:val="0068032B"/>
    <w:rsid w:val="00680A64"/>
    <w:rsid w:val="00680D0E"/>
    <w:rsid w:val="00680F00"/>
    <w:rsid w:val="006825A6"/>
    <w:rsid w:val="006825B4"/>
    <w:rsid w:val="006829BA"/>
    <w:rsid w:val="00682AF2"/>
    <w:rsid w:val="00682C0D"/>
    <w:rsid w:val="00682E8A"/>
    <w:rsid w:val="00682FB7"/>
    <w:rsid w:val="006837DE"/>
    <w:rsid w:val="00683CE0"/>
    <w:rsid w:val="0068537F"/>
    <w:rsid w:val="00686104"/>
    <w:rsid w:val="00686334"/>
    <w:rsid w:val="0068699F"/>
    <w:rsid w:val="00686C3A"/>
    <w:rsid w:val="00686EEB"/>
    <w:rsid w:val="00687044"/>
    <w:rsid w:val="00687628"/>
    <w:rsid w:val="00687CFE"/>
    <w:rsid w:val="0069035A"/>
    <w:rsid w:val="006907DE"/>
    <w:rsid w:val="00690EB8"/>
    <w:rsid w:val="0069109D"/>
    <w:rsid w:val="006910CE"/>
    <w:rsid w:val="006915E5"/>
    <w:rsid w:val="00692401"/>
    <w:rsid w:val="00693B7A"/>
    <w:rsid w:val="006941CC"/>
    <w:rsid w:val="006942BA"/>
    <w:rsid w:val="006945D4"/>
    <w:rsid w:val="00694714"/>
    <w:rsid w:val="00694EC0"/>
    <w:rsid w:val="00695852"/>
    <w:rsid w:val="00695F56"/>
    <w:rsid w:val="0069758B"/>
    <w:rsid w:val="00697F88"/>
    <w:rsid w:val="006A050B"/>
    <w:rsid w:val="006A07FF"/>
    <w:rsid w:val="006A0A70"/>
    <w:rsid w:val="006A0B6C"/>
    <w:rsid w:val="006A1692"/>
    <w:rsid w:val="006A16E1"/>
    <w:rsid w:val="006A179F"/>
    <w:rsid w:val="006A188D"/>
    <w:rsid w:val="006A3293"/>
    <w:rsid w:val="006A36DF"/>
    <w:rsid w:val="006A3C8A"/>
    <w:rsid w:val="006A3E61"/>
    <w:rsid w:val="006A50B3"/>
    <w:rsid w:val="006A51CE"/>
    <w:rsid w:val="006A5213"/>
    <w:rsid w:val="006A6003"/>
    <w:rsid w:val="006A6737"/>
    <w:rsid w:val="006A773D"/>
    <w:rsid w:val="006B04E5"/>
    <w:rsid w:val="006B0AE6"/>
    <w:rsid w:val="006B1E08"/>
    <w:rsid w:val="006B2099"/>
    <w:rsid w:val="006B26B1"/>
    <w:rsid w:val="006B2E45"/>
    <w:rsid w:val="006B341B"/>
    <w:rsid w:val="006B3875"/>
    <w:rsid w:val="006B425B"/>
    <w:rsid w:val="006B4275"/>
    <w:rsid w:val="006B4E3B"/>
    <w:rsid w:val="006B545C"/>
    <w:rsid w:val="006B5AC8"/>
    <w:rsid w:val="006B5D32"/>
    <w:rsid w:val="006B6B1A"/>
    <w:rsid w:val="006B758B"/>
    <w:rsid w:val="006B7BF8"/>
    <w:rsid w:val="006C0E54"/>
    <w:rsid w:val="006C0F11"/>
    <w:rsid w:val="006C1997"/>
    <w:rsid w:val="006C23E1"/>
    <w:rsid w:val="006C25D5"/>
    <w:rsid w:val="006C25F9"/>
    <w:rsid w:val="006C262B"/>
    <w:rsid w:val="006C2866"/>
    <w:rsid w:val="006C31C6"/>
    <w:rsid w:val="006C37AB"/>
    <w:rsid w:val="006C3981"/>
    <w:rsid w:val="006C3A2D"/>
    <w:rsid w:val="006C4666"/>
    <w:rsid w:val="006C4823"/>
    <w:rsid w:val="006C49BF"/>
    <w:rsid w:val="006C59C3"/>
    <w:rsid w:val="006C63D7"/>
    <w:rsid w:val="006C6894"/>
    <w:rsid w:val="006C69D9"/>
    <w:rsid w:val="006C7535"/>
    <w:rsid w:val="006C76A6"/>
    <w:rsid w:val="006C796D"/>
    <w:rsid w:val="006C7ABF"/>
    <w:rsid w:val="006D0525"/>
    <w:rsid w:val="006D08DC"/>
    <w:rsid w:val="006D09D1"/>
    <w:rsid w:val="006D23FF"/>
    <w:rsid w:val="006D2EA7"/>
    <w:rsid w:val="006D2F09"/>
    <w:rsid w:val="006D2FD2"/>
    <w:rsid w:val="006D33E6"/>
    <w:rsid w:val="006D3783"/>
    <w:rsid w:val="006D3DC0"/>
    <w:rsid w:val="006D40C4"/>
    <w:rsid w:val="006D4162"/>
    <w:rsid w:val="006D453E"/>
    <w:rsid w:val="006D47D0"/>
    <w:rsid w:val="006D5303"/>
    <w:rsid w:val="006D5CBF"/>
    <w:rsid w:val="006D5E84"/>
    <w:rsid w:val="006D6CE6"/>
    <w:rsid w:val="006D7A4C"/>
    <w:rsid w:val="006D7C99"/>
    <w:rsid w:val="006E0443"/>
    <w:rsid w:val="006E0C50"/>
    <w:rsid w:val="006E0DCF"/>
    <w:rsid w:val="006E14D6"/>
    <w:rsid w:val="006E1647"/>
    <w:rsid w:val="006E171F"/>
    <w:rsid w:val="006E1BA2"/>
    <w:rsid w:val="006E2298"/>
    <w:rsid w:val="006E2F3A"/>
    <w:rsid w:val="006E310A"/>
    <w:rsid w:val="006E3C3E"/>
    <w:rsid w:val="006E3FBD"/>
    <w:rsid w:val="006E40C7"/>
    <w:rsid w:val="006E429F"/>
    <w:rsid w:val="006E47E0"/>
    <w:rsid w:val="006E50E4"/>
    <w:rsid w:val="006E520B"/>
    <w:rsid w:val="006E5A5C"/>
    <w:rsid w:val="006E6859"/>
    <w:rsid w:val="006E68C4"/>
    <w:rsid w:val="006E6F30"/>
    <w:rsid w:val="006E6FE9"/>
    <w:rsid w:val="006E7082"/>
    <w:rsid w:val="006E709F"/>
    <w:rsid w:val="006E732D"/>
    <w:rsid w:val="006E7E19"/>
    <w:rsid w:val="006E7F73"/>
    <w:rsid w:val="006E7FCD"/>
    <w:rsid w:val="006F030F"/>
    <w:rsid w:val="006F0B53"/>
    <w:rsid w:val="006F0CA1"/>
    <w:rsid w:val="006F0D5F"/>
    <w:rsid w:val="006F193C"/>
    <w:rsid w:val="006F1B58"/>
    <w:rsid w:val="006F27DC"/>
    <w:rsid w:val="006F2B89"/>
    <w:rsid w:val="006F36F1"/>
    <w:rsid w:val="006F3B81"/>
    <w:rsid w:val="006F4860"/>
    <w:rsid w:val="006F4D59"/>
    <w:rsid w:val="006F4DCF"/>
    <w:rsid w:val="006F4F79"/>
    <w:rsid w:val="006F4F80"/>
    <w:rsid w:val="006F5532"/>
    <w:rsid w:val="006F5ADA"/>
    <w:rsid w:val="006F62CC"/>
    <w:rsid w:val="006F644B"/>
    <w:rsid w:val="006F66C1"/>
    <w:rsid w:val="006F681D"/>
    <w:rsid w:val="006F6FB0"/>
    <w:rsid w:val="006F7125"/>
    <w:rsid w:val="006F731E"/>
    <w:rsid w:val="006F78E9"/>
    <w:rsid w:val="0070235F"/>
    <w:rsid w:val="00702BC3"/>
    <w:rsid w:val="00702FF3"/>
    <w:rsid w:val="007032AC"/>
    <w:rsid w:val="00703496"/>
    <w:rsid w:val="007036FE"/>
    <w:rsid w:val="00703AB1"/>
    <w:rsid w:val="00704614"/>
    <w:rsid w:val="00704C5F"/>
    <w:rsid w:val="00704DEB"/>
    <w:rsid w:val="00705211"/>
    <w:rsid w:val="00705623"/>
    <w:rsid w:val="00705B03"/>
    <w:rsid w:val="00705B37"/>
    <w:rsid w:val="0070658A"/>
    <w:rsid w:val="00706B65"/>
    <w:rsid w:val="007071AF"/>
    <w:rsid w:val="00707C1A"/>
    <w:rsid w:val="00707FB2"/>
    <w:rsid w:val="00710023"/>
    <w:rsid w:val="00710207"/>
    <w:rsid w:val="0071023D"/>
    <w:rsid w:val="007103CD"/>
    <w:rsid w:val="007104CB"/>
    <w:rsid w:val="00710530"/>
    <w:rsid w:val="007107BD"/>
    <w:rsid w:val="00711E77"/>
    <w:rsid w:val="00712912"/>
    <w:rsid w:val="007129DA"/>
    <w:rsid w:val="007137D4"/>
    <w:rsid w:val="00713AAC"/>
    <w:rsid w:val="00713DBE"/>
    <w:rsid w:val="007141DC"/>
    <w:rsid w:val="00714B04"/>
    <w:rsid w:val="00714F75"/>
    <w:rsid w:val="007155CE"/>
    <w:rsid w:val="007168A0"/>
    <w:rsid w:val="00716BC6"/>
    <w:rsid w:val="00716C95"/>
    <w:rsid w:val="007176A1"/>
    <w:rsid w:val="00717762"/>
    <w:rsid w:val="00717F1A"/>
    <w:rsid w:val="0072028E"/>
    <w:rsid w:val="007204DA"/>
    <w:rsid w:val="00721A63"/>
    <w:rsid w:val="00721AD4"/>
    <w:rsid w:val="00721DED"/>
    <w:rsid w:val="00721FF9"/>
    <w:rsid w:val="0072229E"/>
    <w:rsid w:val="00722F53"/>
    <w:rsid w:val="0072337E"/>
    <w:rsid w:val="00723696"/>
    <w:rsid w:val="0072442F"/>
    <w:rsid w:val="00725189"/>
    <w:rsid w:val="0072541E"/>
    <w:rsid w:val="00725735"/>
    <w:rsid w:val="0072630D"/>
    <w:rsid w:val="00726A2A"/>
    <w:rsid w:val="00727130"/>
    <w:rsid w:val="007271E9"/>
    <w:rsid w:val="007273BC"/>
    <w:rsid w:val="007275FD"/>
    <w:rsid w:val="00727654"/>
    <w:rsid w:val="007276E5"/>
    <w:rsid w:val="007306F1"/>
    <w:rsid w:val="0073085E"/>
    <w:rsid w:val="00730943"/>
    <w:rsid w:val="00730C50"/>
    <w:rsid w:val="00731446"/>
    <w:rsid w:val="00731D5E"/>
    <w:rsid w:val="00732334"/>
    <w:rsid w:val="00732492"/>
    <w:rsid w:val="00732946"/>
    <w:rsid w:val="00733B13"/>
    <w:rsid w:val="00733E5A"/>
    <w:rsid w:val="00733F25"/>
    <w:rsid w:val="00736395"/>
    <w:rsid w:val="00736459"/>
    <w:rsid w:val="0073685F"/>
    <w:rsid w:val="007372B9"/>
    <w:rsid w:val="007372DD"/>
    <w:rsid w:val="007375A7"/>
    <w:rsid w:val="00737821"/>
    <w:rsid w:val="00737862"/>
    <w:rsid w:val="00737957"/>
    <w:rsid w:val="00737C62"/>
    <w:rsid w:val="0074058F"/>
    <w:rsid w:val="00740E86"/>
    <w:rsid w:val="00741175"/>
    <w:rsid w:val="007411DC"/>
    <w:rsid w:val="007415B3"/>
    <w:rsid w:val="007419FB"/>
    <w:rsid w:val="00742606"/>
    <w:rsid w:val="007441FF"/>
    <w:rsid w:val="007448A7"/>
    <w:rsid w:val="00744EE8"/>
    <w:rsid w:val="00744F42"/>
    <w:rsid w:val="007459F5"/>
    <w:rsid w:val="007463EA"/>
    <w:rsid w:val="00746713"/>
    <w:rsid w:val="007467E4"/>
    <w:rsid w:val="00746B08"/>
    <w:rsid w:val="00747569"/>
    <w:rsid w:val="00747972"/>
    <w:rsid w:val="00747F48"/>
    <w:rsid w:val="00750238"/>
    <w:rsid w:val="0075023C"/>
    <w:rsid w:val="007510B6"/>
    <w:rsid w:val="007518E3"/>
    <w:rsid w:val="007518E9"/>
    <w:rsid w:val="00751D2E"/>
    <w:rsid w:val="00751E42"/>
    <w:rsid w:val="00752247"/>
    <w:rsid w:val="007523E7"/>
    <w:rsid w:val="007524C4"/>
    <w:rsid w:val="00752AE5"/>
    <w:rsid w:val="007531CA"/>
    <w:rsid w:val="00754252"/>
    <w:rsid w:val="00754756"/>
    <w:rsid w:val="007577B1"/>
    <w:rsid w:val="00757CB3"/>
    <w:rsid w:val="00757D87"/>
    <w:rsid w:val="00760460"/>
    <w:rsid w:val="00760AE3"/>
    <w:rsid w:val="00760EED"/>
    <w:rsid w:val="0076109F"/>
    <w:rsid w:val="00761399"/>
    <w:rsid w:val="00761615"/>
    <w:rsid w:val="007616DA"/>
    <w:rsid w:val="007619CE"/>
    <w:rsid w:val="00761F4F"/>
    <w:rsid w:val="007620DC"/>
    <w:rsid w:val="00762102"/>
    <w:rsid w:val="0076255D"/>
    <w:rsid w:val="007625F6"/>
    <w:rsid w:val="00762B8B"/>
    <w:rsid w:val="00762E76"/>
    <w:rsid w:val="0076325B"/>
    <w:rsid w:val="00764A57"/>
    <w:rsid w:val="00764AF9"/>
    <w:rsid w:val="00764CB5"/>
    <w:rsid w:val="007650AD"/>
    <w:rsid w:val="00765D18"/>
    <w:rsid w:val="0076640B"/>
    <w:rsid w:val="007673DE"/>
    <w:rsid w:val="00767B12"/>
    <w:rsid w:val="00770B02"/>
    <w:rsid w:val="00770C54"/>
    <w:rsid w:val="007710FF"/>
    <w:rsid w:val="00771344"/>
    <w:rsid w:val="00772137"/>
    <w:rsid w:val="0077213A"/>
    <w:rsid w:val="00772613"/>
    <w:rsid w:val="00772B41"/>
    <w:rsid w:val="00772CED"/>
    <w:rsid w:val="00773C85"/>
    <w:rsid w:val="00773EA1"/>
    <w:rsid w:val="00775215"/>
    <w:rsid w:val="00775748"/>
    <w:rsid w:val="00776ACC"/>
    <w:rsid w:val="00777AE2"/>
    <w:rsid w:val="00777C71"/>
    <w:rsid w:val="00777D6B"/>
    <w:rsid w:val="00777F20"/>
    <w:rsid w:val="0078080B"/>
    <w:rsid w:val="00780C3E"/>
    <w:rsid w:val="00781148"/>
    <w:rsid w:val="0078120F"/>
    <w:rsid w:val="00781310"/>
    <w:rsid w:val="00781F98"/>
    <w:rsid w:val="0078265B"/>
    <w:rsid w:val="00782A09"/>
    <w:rsid w:val="00782AFE"/>
    <w:rsid w:val="00782C0E"/>
    <w:rsid w:val="00782E10"/>
    <w:rsid w:val="007843C3"/>
    <w:rsid w:val="00784926"/>
    <w:rsid w:val="00784BCD"/>
    <w:rsid w:val="00784DB8"/>
    <w:rsid w:val="00784FDD"/>
    <w:rsid w:val="0078508F"/>
    <w:rsid w:val="007850B1"/>
    <w:rsid w:val="007855FA"/>
    <w:rsid w:val="0078585A"/>
    <w:rsid w:val="007862E8"/>
    <w:rsid w:val="00786448"/>
    <w:rsid w:val="007875D7"/>
    <w:rsid w:val="00787FEE"/>
    <w:rsid w:val="007906B2"/>
    <w:rsid w:val="007906EE"/>
    <w:rsid w:val="0079134E"/>
    <w:rsid w:val="007925F0"/>
    <w:rsid w:val="0079269B"/>
    <w:rsid w:val="0079278E"/>
    <w:rsid w:val="00792DCA"/>
    <w:rsid w:val="00792E3C"/>
    <w:rsid w:val="00793040"/>
    <w:rsid w:val="007930C1"/>
    <w:rsid w:val="0079315D"/>
    <w:rsid w:val="00793B45"/>
    <w:rsid w:val="00794168"/>
    <w:rsid w:val="0079477A"/>
    <w:rsid w:val="00795706"/>
    <w:rsid w:val="00796015"/>
    <w:rsid w:val="007960E3"/>
    <w:rsid w:val="00796F7C"/>
    <w:rsid w:val="00797131"/>
    <w:rsid w:val="00797254"/>
    <w:rsid w:val="00797430"/>
    <w:rsid w:val="00797851"/>
    <w:rsid w:val="00797AF4"/>
    <w:rsid w:val="00797D8E"/>
    <w:rsid w:val="007A046C"/>
    <w:rsid w:val="007A0F8D"/>
    <w:rsid w:val="007A1078"/>
    <w:rsid w:val="007A180A"/>
    <w:rsid w:val="007A2304"/>
    <w:rsid w:val="007A257D"/>
    <w:rsid w:val="007A2CB0"/>
    <w:rsid w:val="007A343D"/>
    <w:rsid w:val="007A38CE"/>
    <w:rsid w:val="007A3F1C"/>
    <w:rsid w:val="007A46E6"/>
    <w:rsid w:val="007A48D8"/>
    <w:rsid w:val="007A5ACE"/>
    <w:rsid w:val="007A5C5C"/>
    <w:rsid w:val="007A6528"/>
    <w:rsid w:val="007A6E20"/>
    <w:rsid w:val="007A7B48"/>
    <w:rsid w:val="007A7EB5"/>
    <w:rsid w:val="007A7FA9"/>
    <w:rsid w:val="007A7FD7"/>
    <w:rsid w:val="007B18C6"/>
    <w:rsid w:val="007B20C2"/>
    <w:rsid w:val="007B228B"/>
    <w:rsid w:val="007B25D5"/>
    <w:rsid w:val="007B2771"/>
    <w:rsid w:val="007B27E4"/>
    <w:rsid w:val="007B2910"/>
    <w:rsid w:val="007B301D"/>
    <w:rsid w:val="007B3264"/>
    <w:rsid w:val="007B35F6"/>
    <w:rsid w:val="007B3F87"/>
    <w:rsid w:val="007B404F"/>
    <w:rsid w:val="007B44A6"/>
    <w:rsid w:val="007B494E"/>
    <w:rsid w:val="007B4A54"/>
    <w:rsid w:val="007B4C5E"/>
    <w:rsid w:val="007B5101"/>
    <w:rsid w:val="007B55D4"/>
    <w:rsid w:val="007B743D"/>
    <w:rsid w:val="007B7462"/>
    <w:rsid w:val="007B78E2"/>
    <w:rsid w:val="007B7B52"/>
    <w:rsid w:val="007B7CF3"/>
    <w:rsid w:val="007C02A3"/>
    <w:rsid w:val="007C0C55"/>
    <w:rsid w:val="007C1507"/>
    <w:rsid w:val="007C2F60"/>
    <w:rsid w:val="007C3757"/>
    <w:rsid w:val="007C4C73"/>
    <w:rsid w:val="007C4D8D"/>
    <w:rsid w:val="007C5144"/>
    <w:rsid w:val="007C5613"/>
    <w:rsid w:val="007C6138"/>
    <w:rsid w:val="007C6153"/>
    <w:rsid w:val="007C6849"/>
    <w:rsid w:val="007C6BC6"/>
    <w:rsid w:val="007C6BD7"/>
    <w:rsid w:val="007C6C12"/>
    <w:rsid w:val="007C6F21"/>
    <w:rsid w:val="007C73B2"/>
    <w:rsid w:val="007D0435"/>
    <w:rsid w:val="007D0C7B"/>
    <w:rsid w:val="007D0D3E"/>
    <w:rsid w:val="007D116E"/>
    <w:rsid w:val="007D1B24"/>
    <w:rsid w:val="007D267F"/>
    <w:rsid w:val="007D3341"/>
    <w:rsid w:val="007D34A5"/>
    <w:rsid w:val="007D3A3E"/>
    <w:rsid w:val="007D3D59"/>
    <w:rsid w:val="007D400A"/>
    <w:rsid w:val="007D43F9"/>
    <w:rsid w:val="007D4B0E"/>
    <w:rsid w:val="007D4DD2"/>
    <w:rsid w:val="007D4DF1"/>
    <w:rsid w:val="007D5428"/>
    <w:rsid w:val="007D5D0F"/>
    <w:rsid w:val="007D6968"/>
    <w:rsid w:val="007D6EA8"/>
    <w:rsid w:val="007D78DD"/>
    <w:rsid w:val="007D7B3C"/>
    <w:rsid w:val="007E0126"/>
    <w:rsid w:val="007E042B"/>
    <w:rsid w:val="007E05DB"/>
    <w:rsid w:val="007E0CA3"/>
    <w:rsid w:val="007E1247"/>
    <w:rsid w:val="007E1A44"/>
    <w:rsid w:val="007E2419"/>
    <w:rsid w:val="007E2DA2"/>
    <w:rsid w:val="007E3565"/>
    <w:rsid w:val="007E3FF5"/>
    <w:rsid w:val="007E409B"/>
    <w:rsid w:val="007E4219"/>
    <w:rsid w:val="007E577E"/>
    <w:rsid w:val="007E635E"/>
    <w:rsid w:val="007E69AC"/>
    <w:rsid w:val="007E6A9C"/>
    <w:rsid w:val="007E6C0C"/>
    <w:rsid w:val="007E7300"/>
    <w:rsid w:val="007E767B"/>
    <w:rsid w:val="007E7B54"/>
    <w:rsid w:val="007F038C"/>
    <w:rsid w:val="007F0428"/>
    <w:rsid w:val="007F0A48"/>
    <w:rsid w:val="007F0B35"/>
    <w:rsid w:val="007F0EF3"/>
    <w:rsid w:val="007F0F24"/>
    <w:rsid w:val="007F1755"/>
    <w:rsid w:val="007F222B"/>
    <w:rsid w:val="007F2817"/>
    <w:rsid w:val="007F2CBC"/>
    <w:rsid w:val="007F3092"/>
    <w:rsid w:val="007F30F9"/>
    <w:rsid w:val="007F34D4"/>
    <w:rsid w:val="007F39B8"/>
    <w:rsid w:val="007F3C03"/>
    <w:rsid w:val="007F3E3F"/>
    <w:rsid w:val="007F40CD"/>
    <w:rsid w:val="007F45DF"/>
    <w:rsid w:val="007F4A6F"/>
    <w:rsid w:val="007F4FBC"/>
    <w:rsid w:val="007F5975"/>
    <w:rsid w:val="007F5AB9"/>
    <w:rsid w:val="007F6497"/>
    <w:rsid w:val="007F6836"/>
    <w:rsid w:val="007F6903"/>
    <w:rsid w:val="007F6AB6"/>
    <w:rsid w:val="007F7DF2"/>
    <w:rsid w:val="008005E6"/>
    <w:rsid w:val="00800A35"/>
    <w:rsid w:val="00800D91"/>
    <w:rsid w:val="008015F2"/>
    <w:rsid w:val="00801A0E"/>
    <w:rsid w:val="0080288F"/>
    <w:rsid w:val="00803362"/>
    <w:rsid w:val="00803579"/>
    <w:rsid w:val="00803C65"/>
    <w:rsid w:val="00804263"/>
    <w:rsid w:val="00804BC0"/>
    <w:rsid w:val="00804E3C"/>
    <w:rsid w:val="00804E4C"/>
    <w:rsid w:val="0080662C"/>
    <w:rsid w:val="008070B2"/>
    <w:rsid w:val="0080731A"/>
    <w:rsid w:val="0080788A"/>
    <w:rsid w:val="00807D79"/>
    <w:rsid w:val="00810102"/>
    <w:rsid w:val="008102BC"/>
    <w:rsid w:val="00810301"/>
    <w:rsid w:val="00810EB0"/>
    <w:rsid w:val="008116F3"/>
    <w:rsid w:val="008117C4"/>
    <w:rsid w:val="0081212A"/>
    <w:rsid w:val="0081222E"/>
    <w:rsid w:val="00812461"/>
    <w:rsid w:val="008127E0"/>
    <w:rsid w:val="00812810"/>
    <w:rsid w:val="0081398E"/>
    <w:rsid w:val="00813F02"/>
    <w:rsid w:val="00814228"/>
    <w:rsid w:val="008149D8"/>
    <w:rsid w:val="00814E02"/>
    <w:rsid w:val="00815714"/>
    <w:rsid w:val="00815A2A"/>
    <w:rsid w:val="00815A3F"/>
    <w:rsid w:val="00816B5D"/>
    <w:rsid w:val="00816BB5"/>
    <w:rsid w:val="0081724D"/>
    <w:rsid w:val="0081788A"/>
    <w:rsid w:val="00817927"/>
    <w:rsid w:val="00817CFC"/>
    <w:rsid w:val="00817E82"/>
    <w:rsid w:val="00817EBA"/>
    <w:rsid w:val="00820A3F"/>
    <w:rsid w:val="00820B36"/>
    <w:rsid w:val="00821A57"/>
    <w:rsid w:val="00821D81"/>
    <w:rsid w:val="00821E95"/>
    <w:rsid w:val="00822A52"/>
    <w:rsid w:val="00823654"/>
    <w:rsid w:val="008237F3"/>
    <w:rsid w:val="00823A90"/>
    <w:rsid w:val="00824E5E"/>
    <w:rsid w:val="00824F71"/>
    <w:rsid w:val="00825C68"/>
    <w:rsid w:val="00826466"/>
    <w:rsid w:val="008270E5"/>
    <w:rsid w:val="0082757E"/>
    <w:rsid w:val="0082769C"/>
    <w:rsid w:val="00827B6C"/>
    <w:rsid w:val="00827D77"/>
    <w:rsid w:val="00830259"/>
    <w:rsid w:val="00830561"/>
    <w:rsid w:val="008309BC"/>
    <w:rsid w:val="00831115"/>
    <w:rsid w:val="0083249C"/>
    <w:rsid w:val="00832D42"/>
    <w:rsid w:val="008333A9"/>
    <w:rsid w:val="00833419"/>
    <w:rsid w:val="008342A5"/>
    <w:rsid w:val="00834B7C"/>
    <w:rsid w:val="00834BE2"/>
    <w:rsid w:val="00834EA4"/>
    <w:rsid w:val="00835049"/>
    <w:rsid w:val="008354B9"/>
    <w:rsid w:val="00835DCB"/>
    <w:rsid w:val="00836090"/>
    <w:rsid w:val="00836921"/>
    <w:rsid w:val="00837237"/>
    <w:rsid w:val="008376C0"/>
    <w:rsid w:val="008401AF"/>
    <w:rsid w:val="0084035D"/>
    <w:rsid w:val="008405F9"/>
    <w:rsid w:val="0084060B"/>
    <w:rsid w:val="00840D5D"/>
    <w:rsid w:val="0084139B"/>
    <w:rsid w:val="0084143B"/>
    <w:rsid w:val="008417D4"/>
    <w:rsid w:val="00842474"/>
    <w:rsid w:val="00842547"/>
    <w:rsid w:val="008427D3"/>
    <w:rsid w:val="008429CF"/>
    <w:rsid w:val="0084324C"/>
    <w:rsid w:val="00843910"/>
    <w:rsid w:val="00843B9B"/>
    <w:rsid w:val="008451F8"/>
    <w:rsid w:val="008457D2"/>
    <w:rsid w:val="00846212"/>
    <w:rsid w:val="0084622B"/>
    <w:rsid w:val="008468E0"/>
    <w:rsid w:val="00846E87"/>
    <w:rsid w:val="00846F60"/>
    <w:rsid w:val="0084767E"/>
    <w:rsid w:val="0084790F"/>
    <w:rsid w:val="00847BE7"/>
    <w:rsid w:val="008500AC"/>
    <w:rsid w:val="00850EAB"/>
    <w:rsid w:val="008515DB"/>
    <w:rsid w:val="00851A3C"/>
    <w:rsid w:val="00851C80"/>
    <w:rsid w:val="00851D70"/>
    <w:rsid w:val="008528FD"/>
    <w:rsid w:val="008529B3"/>
    <w:rsid w:val="00852ADD"/>
    <w:rsid w:val="00852F19"/>
    <w:rsid w:val="00853883"/>
    <w:rsid w:val="00853EB9"/>
    <w:rsid w:val="008546A2"/>
    <w:rsid w:val="00854CF7"/>
    <w:rsid w:val="00854DA7"/>
    <w:rsid w:val="008552CB"/>
    <w:rsid w:val="0085561B"/>
    <w:rsid w:val="008557A0"/>
    <w:rsid w:val="00856607"/>
    <w:rsid w:val="00856938"/>
    <w:rsid w:val="008569A8"/>
    <w:rsid w:val="008604A8"/>
    <w:rsid w:val="00860941"/>
    <w:rsid w:val="00860955"/>
    <w:rsid w:val="00860ADD"/>
    <w:rsid w:val="00860EC0"/>
    <w:rsid w:val="008616A2"/>
    <w:rsid w:val="00861C6C"/>
    <w:rsid w:val="008636AC"/>
    <w:rsid w:val="00863862"/>
    <w:rsid w:val="00863AAD"/>
    <w:rsid w:val="00864644"/>
    <w:rsid w:val="008656AA"/>
    <w:rsid w:val="008658DE"/>
    <w:rsid w:val="00866296"/>
    <w:rsid w:val="008665C7"/>
    <w:rsid w:val="00866DC1"/>
    <w:rsid w:val="008707A3"/>
    <w:rsid w:val="00870A36"/>
    <w:rsid w:val="008711AE"/>
    <w:rsid w:val="00871A36"/>
    <w:rsid w:val="00872F21"/>
    <w:rsid w:val="00873736"/>
    <w:rsid w:val="0087378E"/>
    <w:rsid w:val="008737DF"/>
    <w:rsid w:val="00873F82"/>
    <w:rsid w:val="00874EAA"/>
    <w:rsid w:val="008755E7"/>
    <w:rsid w:val="008759E6"/>
    <w:rsid w:val="00875A46"/>
    <w:rsid w:val="00875E16"/>
    <w:rsid w:val="00877D03"/>
    <w:rsid w:val="00877E96"/>
    <w:rsid w:val="00880099"/>
    <w:rsid w:val="0088023D"/>
    <w:rsid w:val="008803CE"/>
    <w:rsid w:val="00880544"/>
    <w:rsid w:val="00880CF7"/>
    <w:rsid w:val="008817E4"/>
    <w:rsid w:val="00882077"/>
    <w:rsid w:val="008820D9"/>
    <w:rsid w:val="0088349D"/>
    <w:rsid w:val="00883613"/>
    <w:rsid w:val="008837DB"/>
    <w:rsid w:val="0088557F"/>
    <w:rsid w:val="00886393"/>
    <w:rsid w:val="00886579"/>
    <w:rsid w:val="00886F19"/>
    <w:rsid w:val="00887865"/>
    <w:rsid w:val="00887B37"/>
    <w:rsid w:val="0089027C"/>
    <w:rsid w:val="00890598"/>
    <w:rsid w:val="0089065A"/>
    <w:rsid w:val="00890DEB"/>
    <w:rsid w:val="0089177A"/>
    <w:rsid w:val="00891D7A"/>
    <w:rsid w:val="00891DFC"/>
    <w:rsid w:val="008922A0"/>
    <w:rsid w:val="00892B98"/>
    <w:rsid w:val="0089396E"/>
    <w:rsid w:val="00894134"/>
    <w:rsid w:val="008945D2"/>
    <w:rsid w:val="008949A3"/>
    <w:rsid w:val="008959FC"/>
    <w:rsid w:val="0089605E"/>
    <w:rsid w:val="00896668"/>
    <w:rsid w:val="00896E9A"/>
    <w:rsid w:val="008A0BA2"/>
    <w:rsid w:val="008A0CCC"/>
    <w:rsid w:val="008A19D2"/>
    <w:rsid w:val="008A1D0E"/>
    <w:rsid w:val="008A25EA"/>
    <w:rsid w:val="008A276E"/>
    <w:rsid w:val="008A31C7"/>
    <w:rsid w:val="008A3215"/>
    <w:rsid w:val="008A3630"/>
    <w:rsid w:val="008A3E8B"/>
    <w:rsid w:val="008A47BE"/>
    <w:rsid w:val="008A4AEC"/>
    <w:rsid w:val="008A5367"/>
    <w:rsid w:val="008A5609"/>
    <w:rsid w:val="008A5697"/>
    <w:rsid w:val="008A6DD5"/>
    <w:rsid w:val="008A6DF0"/>
    <w:rsid w:val="008A6FA0"/>
    <w:rsid w:val="008A70D2"/>
    <w:rsid w:val="008B05E6"/>
    <w:rsid w:val="008B105C"/>
    <w:rsid w:val="008B15CE"/>
    <w:rsid w:val="008B1AAC"/>
    <w:rsid w:val="008B1C8F"/>
    <w:rsid w:val="008B21F8"/>
    <w:rsid w:val="008B2570"/>
    <w:rsid w:val="008B2B19"/>
    <w:rsid w:val="008B2C33"/>
    <w:rsid w:val="008B2F40"/>
    <w:rsid w:val="008B2FCD"/>
    <w:rsid w:val="008B3627"/>
    <w:rsid w:val="008B396F"/>
    <w:rsid w:val="008B3B78"/>
    <w:rsid w:val="008B3EAD"/>
    <w:rsid w:val="008B49B6"/>
    <w:rsid w:val="008B4FDF"/>
    <w:rsid w:val="008B56A0"/>
    <w:rsid w:val="008B5AA1"/>
    <w:rsid w:val="008B5C7B"/>
    <w:rsid w:val="008B5E1A"/>
    <w:rsid w:val="008B5E61"/>
    <w:rsid w:val="008B5FB2"/>
    <w:rsid w:val="008B64CE"/>
    <w:rsid w:val="008B68B4"/>
    <w:rsid w:val="008B756F"/>
    <w:rsid w:val="008B7914"/>
    <w:rsid w:val="008C0D0C"/>
    <w:rsid w:val="008C127A"/>
    <w:rsid w:val="008C18BD"/>
    <w:rsid w:val="008C1932"/>
    <w:rsid w:val="008C1CC8"/>
    <w:rsid w:val="008C27AE"/>
    <w:rsid w:val="008C2C7F"/>
    <w:rsid w:val="008C2F0D"/>
    <w:rsid w:val="008C364D"/>
    <w:rsid w:val="008C3E12"/>
    <w:rsid w:val="008C430E"/>
    <w:rsid w:val="008C500C"/>
    <w:rsid w:val="008C5D2A"/>
    <w:rsid w:val="008C5DDA"/>
    <w:rsid w:val="008C6754"/>
    <w:rsid w:val="008C6C16"/>
    <w:rsid w:val="008C7461"/>
    <w:rsid w:val="008C74FB"/>
    <w:rsid w:val="008C75D3"/>
    <w:rsid w:val="008C7AF4"/>
    <w:rsid w:val="008C7DA4"/>
    <w:rsid w:val="008C7F6E"/>
    <w:rsid w:val="008D0130"/>
    <w:rsid w:val="008D0210"/>
    <w:rsid w:val="008D033E"/>
    <w:rsid w:val="008D0851"/>
    <w:rsid w:val="008D0DEF"/>
    <w:rsid w:val="008D0FCD"/>
    <w:rsid w:val="008D1074"/>
    <w:rsid w:val="008D1079"/>
    <w:rsid w:val="008D2643"/>
    <w:rsid w:val="008D280F"/>
    <w:rsid w:val="008D2F60"/>
    <w:rsid w:val="008D318B"/>
    <w:rsid w:val="008D3994"/>
    <w:rsid w:val="008D3C3D"/>
    <w:rsid w:val="008D478E"/>
    <w:rsid w:val="008D4DB6"/>
    <w:rsid w:val="008D52E1"/>
    <w:rsid w:val="008D534E"/>
    <w:rsid w:val="008D619B"/>
    <w:rsid w:val="008D6BB8"/>
    <w:rsid w:val="008D6E81"/>
    <w:rsid w:val="008D7739"/>
    <w:rsid w:val="008D7A64"/>
    <w:rsid w:val="008D7A92"/>
    <w:rsid w:val="008E02DA"/>
    <w:rsid w:val="008E0302"/>
    <w:rsid w:val="008E03F3"/>
    <w:rsid w:val="008E053D"/>
    <w:rsid w:val="008E1267"/>
    <w:rsid w:val="008E19FD"/>
    <w:rsid w:val="008E22F8"/>
    <w:rsid w:val="008E25EC"/>
    <w:rsid w:val="008E3651"/>
    <w:rsid w:val="008E39A6"/>
    <w:rsid w:val="008E39D8"/>
    <w:rsid w:val="008E4A13"/>
    <w:rsid w:val="008E5D38"/>
    <w:rsid w:val="008E5D73"/>
    <w:rsid w:val="008E606F"/>
    <w:rsid w:val="008E6AD9"/>
    <w:rsid w:val="008F022A"/>
    <w:rsid w:val="008F02AF"/>
    <w:rsid w:val="008F04D7"/>
    <w:rsid w:val="008F06FD"/>
    <w:rsid w:val="008F1172"/>
    <w:rsid w:val="008F27E3"/>
    <w:rsid w:val="008F3485"/>
    <w:rsid w:val="008F3AC3"/>
    <w:rsid w:val="008F42C1"/>
    <w:rsid w:val="008F51FF"/>
    <w:rsid w:val="008F52FC"/>
    <w:rsid w:val="008F56FE"/>
    <w:rsid w:val="008F5DEF"/>
    <w:rsid w:val="008F61F2"/>
    <w:rsid w:val="008F636D"/>
    <w:rsid w:val="008F73E1"/>
    <w:rsid w:val="008F7B13"/>
    <w:rsid w:val="008F7C0A"/>
    <w:rsid w:val="009009A3"/>
    <w:rsid w:val="00901DBB"/>
    <w:rsid w:val="009026CB"/>
    <w:rsid w:val="00902876"/>
    <w:rsid w:val="00902BF5"/>
    <w:rsid w:val="009031DF"/>
    <w:rsid w:val="009036E9"/>
    <w:rsid w:val="009038F6"/>
    <w:rsid w:val="00903FB2"/>
    <w:rsid w:val="00904038"/>
    <w:rsid w:val="009041AF"/>
    <w:rsid w:val="009042AA"/>
    <w:rsid w:val="009049AB"/>
    <w:rsid w:val="00904C8C"/>
    <w:rsid w:val="0090508F"/>
    <w:rsid w:val="009050B7"/>
    <w:rsid w:val="0090510D"/>
    <w:rsid w:val="00905130"/>
    <w:rsid w:val="0090526A"/>
    <w:rsid w:val="009053BD"/>
    <w:rsid w:val="00905728"/>
    <w:rsid w:val="009061B8"/>
    <w:rsid w:val="009064BF"/>
    <w:rsid w:val="009069B8"/>
    <w:rsid w:val="00910605"/>
    <w:rsid w:val="009106B0"/>
    <w:rsid w:val="0091098F"/>
    <w:rsid w:val="009130CC"/>
    <w:rsid w:val="009133EC"/>
    <w:rsid w:val="00913AF7"/>
    <w:rsid w:val="00913B37"/>
    <w:rsid w:val="00914683"/>
    <w:rsid w:val="00914861"/>
    <w:rsid w:val="009148D8"/>
    <w:rsid w:val="00914B5F"/>
    <w:rsid w:val="00914CF5"/>
    <w:rsid w:val="00914E71"/>
    <w:rsid w:val="00914F6E"/>
    <w:rsid w:val="0091504C"/>
    <w:rsid w:val="00915897"/>
    <w:rsid w:val="00915B44"/>
    <w:rsid w:val="00915CD5"/>
    <w:rsid w:val="00916093"/>
    <w:rsid w:val="009160E3"/>
    <w:rsid w:val="0091639C"/>
    <w:rsid w:val="00916599"/>
    <w:rsid w:val="00916865"/>
    <w:rsid w:val="009168EE"/>
    <w:rsid w:val="00916E99"/>
    <w:rsid w:val="009172BB"/>
    <w:rsid w:val="0092002E"/>
    <w:rsid w:val="0092050A"/>
    <w:rsid w:val="00920EC6"/>
    <w:rsid w:val="0092101E"/>
    <w:rsid w:val="00921EE7"/>
    <w:rsid w:val="0092243D"/>
    <w:rsid w:val="0092383B"/>
    <w:rsid w:val="00923C15"/>
    <w:rsid w:val="00923DCE"/>
    <w:rsid w:val="00924119"/>
    <w:rsid w:val="00925120"/>
    <w:rsid w:val="009255FA"/>
    <w:rsid w:val="00925D21"/>
    <w:rsid w:val="009262E4"/>
    <w:rsid w:val="009266D2"/>
    <w:rsid w:val="00927B1D"/>
    <w:rsid w:val="00927D4E"/>
    <w:rsid w:val="00927F89"/>
    <w:rsid w:val="00930AC2"/>
    <w:rsid w:val="00930D2A"/>
    <w:rsid w:val="00930EDA"/>
    <w:rsid w:val="009312BF"/>
    <w:rsid w:val="00931680"/>
    <w:rsid w:val="00931B84"/>
    <w:rsid w:val="00931DE4"/>
    <w:rsid w:val="009322B2"/>
    <w:rsid w:val="009328DA"/>
    <w:rsid w:val="00932E7E"/>
    <w:rsid w:val="009342DC"/>
    <w:rsid w:val="0093442D"/>
    <w:rsid w:val="00934CD2"/>
    <w:rsid w:val="009357BB"/>
    <w:rsid w:val="009359D3"/>
    <w:rsid w:val="00935A35"/>
    <w:rsid w:val="009368EE"/>
    <w:rsid w:val="00937567"/>
    <w:rsid w:val="009375E5"/>
    <w:rsid w:val="0093785F"/>
    <w:rsid w:val="00937B22"/>
    <w:rsid w:val="00937BC5"/>
    <w:rsid w:val="00937CC4"/>
    <w:rsid w:val="00937D30"/>
    <w:rsid w:val="0094101A"/>
    <w:rsid w:val="00941848"/>
    <w:rsid w:val="00941F3C"/>
    <w:rsid w:val="009424BD"/>
    <w:rsid w:val="00942D00"/>
    <w:rsid w:val="0094337A"/>
    <w:rsid w:val="0094362C"/>
    <w:rsid w:val="009437F2"/>
    <w:rsid w:val="00943C21"/>
    <w:rsid w:val="009441D5"/>
    <w:rsid w:val="0094421D"/>
    <w:rsid w:val="009442E8"/>
    <w:rsid w:val="00944BA7"/>
    <w:rsid w:val="0094584E"/>
    <w:rsid w:val="00945A7E"/>
    <w:rsid w:val="0094636D"/>
    <w:rsid w:val="00946B0C"/>
    <w:rsid w:val="00946F77"/>
    <w:rsid w:val="00947222"/>
    <w:rsid w:val="0094759C"/>
    <w:rsid w:val="009503FE"/>
    <w:rsid w:val="00950448"/>
    <w:rsid w:val="009507D4"/>
    <w:rsid w:val="00950ACD"/>
    <w:rsid w:val="00950E37"/>
    <w:rsid w:val="009512FB"/>
    <w:rsid w:val="00951599"/>
    <w:rsid w:val="00951666"/>
    <w:rsid w:val="0095182F"/>
    <w:rsid w:val="00952524"/>
    <w:rsid w:val="0095278F"/>
    <w:rsid w:val="009529E4"/>
    <w:rsid w:val="00953D2D"/>
    <w:rsid w:val="00953EAF"/>
    <w:rsid w:val="0095426C"/>
    <w:rsid w:val="00955EE9"/>
    <w:rsid w:val="009562AE"/>
    <w:rsid w:val="0095654A"/>
    <w:rsid w:val="00956BF5"/>
    <w:rsid w:val="009570CF"/>
    <w:rsid w:val="009571C2"/>
    <w:rsid w:val="00957393"/>
    <w:rsid w:val="009575C3"/>
    <w:rsid w:val="0095770C"/>
    <w:rsid w:val="009579AF"/>
    <w:rsid w:val="00957CC8"/>
    <w:rsid w:val="00957D86"/>
    <w:rsid w:val="00957EE7"/>
    <w:rsid w:val="0096086A"/>
    <w:rsid w:val="00961453"/>
    <w:rsid w:val="009616D4"/>
    <w:rsid w:val="0096182D"/>
    <w:rsid w:val="00962150"/>
    <w:rsid w:val="00962CCD"/>
    <w:rsid w:val="00964166"/>
    <w:rsid w:val="009645AD"/>
    <w:rsid w:val="0096475C"/>
    <w:rsid w:val="0096546E"/>
    <w:rsid w:val="0096562A"/>
    <w:rsid w:val="00965865"/>
    <w:rsid w:val="00966096"/>
    <w:rsid w:val="0096649D"/>
    <w:rsid w:val="00966A13"/>
    <w:rsid w:val="00966BAF"/>
    <w:rsid w:val="00967473"/>
    <w:rsid w:val="009676F8"/>
    <w:rsid w:val="00967730"/>
    <w:rsid w:val="009708F0"/>
    <w:rsid w:val="00970D56"/>
    <w:rsid w:val="00970E50"/>
    <w:rsid w:val="00971074"/>
    <w:rsid w:val="0097151D"/>
    <w:rsid w:val="009725B2"/>
    <w:rsid w:val="009747AA"/>
    <w:rsid w:val="00974B99"/>
    <w:rsid w:val="00974BCB"/>
    <w:rsid w:val="0097529C"/>
    <w:rsid w:val="00975361"/>
    <w:rsid w:val="009758CD"/>
    <w:rsid w:val="00975AEF"/>
    <w:rsid w:val="00975BF2"/>
    <w:rsid w:val="0097616C"/>
    <w:rsid w:val="009763E4"/>
    <w:rsid w:val="0097649D"/>
    <w:rsid w:val="0097654D"/>
    <w:rsid w:val="009766B7"/>
    <w:rsid w:val="009773AC"/>
    <w:rsid w:val="00977C23"/>
    <w:rsid w:val="00980A22"/>
    <w:rsid w:val="00980D85"/>
    <w:rsid w:val="009810B1"/>
    <w:rsid w:val="00981E09"/>
    <w:rsid w:val="00982F6B"/>
    <w:rsid w:val="00983094"/>
    <w:rsid w:val="00983599"/>
    <w:rsid w:val="009843DE"/>
    <w:rsid w:val="0098544F"/>
    <w:rsid w:val="00985B04"/>
    <w:rsid w:val="0098661B"/>
    <w:rsid w:val="00986A6D"/>
    <w:rsid w:val="00986BEF"/>
    <w:rsid w:val="00987298"/>
    <w:rsid w:val="00987B34"/>
    <w:rsid w:val="00990282"/>
    <w:rsid w:val="00990769"/>
    <w:rsid w:val="00990EC7"/>
    <w:rsid w:val="00991DF8"/>
    <w:rsid w:val="00992499"/>
    <w:rsid w:val="00992986"/>
    <w:rsid w:val="0099301D"/>
    <w:rsid w:val="009936E2"/>
    <w:rsid w:val="00994B55"/>
    <w:rsid w:val="009953DB"/>
    <w:rsid w:val="00995D86"/>
    <w:rsid w:val="00995FB2"/>
    <w:rsid w:val="0099781E"/>
    <w:rsid w:val="00997A68"/>
    <w:rsid w:val="00997D96"/>
    <w:rsid w:val="009A0071"/>
    <w:rsid w:val="009A00EA"/>
    <w:rsid w:val="009A028B"/>
    <w:rsid w:val="009A0447"/>
    <w:rsid w:val="009A0587"/>
    <w:rsid w:val="009A0918"/>
    <w:rsid w:val="009A0DA2"/>
    <w:rsid w:val="009A0FA6"/>
    <w:rsid w:val="009A1F6B"/>
    <w:rsid w:val="009A222D"/>
    <w:rsid w:val="009A24E0"/>
    <w:rsid w:val="009A254A"/>
    <w:rsid w:val="009A2616"/>
    <w:rsid w:val="009A2C4C"/>
    <w:rsid w:val="009A2DD8"/>
    <w:rsid w:val="009A307C"/>
    <w:rsid w:val="009A30DE"/>
    <w:rsid w:val="009A36C7"/>
    <w:rsid w:val="009A3D29"/>
    <w:rsid w:val="009A3FFB"/>
    <w:rsid w:val="009A4DA2"/>
    <w:rsid w:val="009A509F"/>
    <w:rsid w:val="009A5453"/>
    <w:rsid w:val="009A657B"/>
    <w:rsid w:val="009A65FF"/>
    <w:rsid w:val="009A6A7B"/>
    <w:rsid w:val="009A7532"/>
    <w:rsid w:val="009A7883"/>
    <w:rsid w:val="009B0596"/>
    <w:rsid w:val="009B1BAD"/>
    <w:rsid w:val="009B1D50"/>
    <w:rsid w:val="009B237F"/>
    <w:rsid w:val="009B2760"/>
    <w:rsid w:val="009B2991"/>
    <w:rsid w:val="009B308D"/>
    <w:rsid w:val="009B31D6"/>
    <w:rsid w:val="009B38D5"/>
    <w:rsid w:val="009B3B62"/>
    <w:rsid w:val="009B3C8D"/>
    <w:rsid w:val="009B4FFB"/>
    <w:rsid w:val="009B53C7"/>
    <w:rsid w:val="009B53ED"/>
    <w:rsid w:val="009B6ABE"/>
    <w:rsid w:val="009B72C1"/>
    <w:rsid w:val="009B7489"/>
    <w:rsid w:val="009B7987"/>
    <w:rsid w:val="009B7B0A"/>
    <w:rsid w:val="009C01CE"/>
    <w:rsid w:val="009C07C9"/>
    <w:rsid w:val="009C08D7"/>
    <w:rsid w:val="009C0DC5"/>
    <w:rsid w:val="009C1866"/>
    <w:rsid w:val="009C1FDE"/>
    <w:rsid w:val="009C23FE"/>
    <w:rsid w:val="009C24C8"/>
    <w:rsid w:val="009C2520"/>
    <w:rsid w:val="009C254D"/>
    <w:rsid w:val="009C2CE9"/>
    <w:rsid w:val="009C375C"/>
    <w:rsid w:val="009C429D"/>
    <w:rsid w:val="009C4E0D"/>
    <w:rsid w:val="009C4F1B"/>
    <w:rsid w:val="009C503B"/>
    <w:rsid w:val="009C5496"/>
    <w:rsid w:val="009C5793"/>
    <w:rsid w:val="009C5816"/>
    <w:rsid w:val="009C61EA"/>
    <w:rsid w:val="009C63EC"/>
    <w:rsid w:val="009C7DAC"/>
    <w:rsid w:val="009D0258"/>
    <w:rsid w:val="009D077D"/>
    <w:rsid w:val="009D08A6"/>
    <w:rsid w:val="009D1915"/>
    <w:rsid w:val="009D1B69"/>
    <w:rsid w:val="009D1EB3"/>
    <w:rsid w:val="009D25DE"/>
    <w:rsid w:val="009D2ABF"/>
    <w:rsid w:val="009D3AD2"/>
    <w:rsid w:val="009D3E06"/>
    <w:rsid w:val="009D433F"/>
    <w:rsid w:val="009D5843"/>
    <w:rsid w:val="009D638D"/>
    <w:rsid w:val="009D6393"/>
    <w:rsid w:val="009D6B6C"/>
    <w:rsid w:val="009D6D20"/>
    <w:rsid w:val="009D6F2F"/>
    <w:rsid w:val="009D7BC6"/>
    <w:rsid w:val="009E0885"/>
    <w:rsid w:val="009E0A06"/>
    <w:rsid w:val="009E1143"/>
    <w:rsid w:val="009E1637"/>
    <w:rsid w:val="009E1CC8"/>
    <w:rsid w:val="009E23CB"/>
    <w:rsid w:val="009E2827"/>
    <w:rsid w:val="009E2863"/>
    <w:rsid w:val="009E30D2"/>
    <w:rsid w:val="009E39F7"/>
    <w:rsid w:val="009E4885"/>
    <w:rsid w:val="009E4920"/>
    <w:rsid w:val="009E508B"/>
    <w:rsid w:val="009E52A9"/>
    <w:rsid w:val="009E57A6"/>
    <w:rsid w:val="009E5FBE"/>
    <w:rsid w:val="009E6299"/>
    <w:rsid w:val="009E6A00"/>
    <w:rsid w:val="009F0086"/>
    <w:rsid w:val="009F03AB"/>
    <w:rsid w:val="009F0619"/>
    <w:rsid w:val="009F068A"/>
    <w:rsid w:val="009F08C5"/>
    <w:rsid w:val="009F0A85"/>
    <w:rsid w:val="009F0E24"/>
    <w:rsid w:val="009F1260"/>
    <w:rsid w:val="009F15CA"/>
    <w:rsid w:val="009F1B71"/>
    <w:rsid w:val="009F220A"/>
    <w:rsid w:val="009F36D6"/>
    <w:rsid w:val="009F6575"/>
    <w:rsid w:val="009F7ADC"/>
    <w:rsid w:val="00A0002A"/>
    <w:rsid w:val="00A0209D"/>
    <w:rsid w:val="00A0236D"/>
    <w:rsid w:val="00A02985"/>
    <w:rsid w:val="00A02B2B"/>
    <w:rsid w:val="00A02FA8"/>
    <w:rsid w:val="00A03F1A"/>
    <w:rsid w:val="00A03F74"/>
    <w:rsid w:val="00A03F88"/>
    <w:rsid w:val="00A046BF"/>
    <w:rsid w:val="00A04B67"/>
    <w:rsid w:val="00A0567A"/>
    <w:rsid w:val="00A05B25"/>
    <w:rsid w:val="00A05C04"/>
    <w:rsid w:val="00A05EC0"/>
    <w:rsid w:val="00A06254"/>
    <w:rsid w:val="00A06842"/>
    <w:rsid w:val="00A07459"/>
    <w:rsid w:val="00A07C12"/>
    <w:rsid w:val="00A07D78"/>
    <w:rsid w:val="00A07DB6"/>
    <w:rsid w:val="00A10972"/>
    <w:rsid w:val="00A109D3"/>
    <w:rsid w:val="00A10EF0"/>
    <w:rsid w:val="00A11406"/>
    <w:rsid w:val="00A13205"/>
    <w:rsid w:val="00A132A1"/>
    <w:rsid w:val="00A13422"/>
    <w:rsid w:val="00A1355A"/>
    <w:rsid w:val="00A148A2"/>
    <w:rsid w:val="00A15132"/>
    <w:rsid w:val="00A1554D"/>
    <w:rsid w:val="00A15792"/>
    <w:rsid w:val="00A158E3"/>
    <w:rsid w:val="00A1591A"/>
    <w:rsid w:val="00A16936"/>
    <w:rsid w:val="00A16D95"/>
    <w:rsid w:val="00A172E0"/>
    <w:rsid w:val="00A17527"/>
    <w:rsid w:val="00A211C5"/>
    <w:rsid w:val="00A221A3"/>
    <w:rsid w:val="00A223D5"/>
    <w:rsid w:val="00A2290B"/>
    <w:rsid w:val="00A22F72"/>
    <w:rsid w:val="00A235E4"/>
    <w:rsid w:val="00A23F41"/>
    <w:rsid w:val="00A25378"/>
    <w:rsid w:val="00A25547"/>
    <w:rsid w:val="00A25F76"/>
    <w:rsid w:val="00A270F0"/>
    <w:rsid w:val="00A27B9F"/>
    <w:rsid w:val="00A3003E"/>
    <w:rsid w:val="00A31E14"/>
    <w:rsid w:val="00A3325E"/>
    <w:rsid w:val="00A332D8"/>
    <w:rsid w:val="00A33390"/>
    <w:rsid w:val="00A3340B"/>
    <w:rsid w:val="00A33839"/>
    <w:rsid w:val="00A34276"/>
    <w:rsid w:val="00A34524"/>
    <w:rsid w:val="00A345B6"/>
    <w:rsid w:val="00A34D3F"/>
    <w:rsid w:val="00A3502D"/>
    <w:rsid w:val="00A350BE"/>
    <w:rsid w:val="00A3566C"/>
    <w:rsid w:val="00A357A4"/>
    <w:rsid w:val="00A358B1"/>
    <w:rsid w:val="00A35A44"/>
    <w:rsid w:val="00A35AF5"/>
    <w:rsid w:val="00A35CDF"/>
    <w:rsid w:val="00A35E07"/>
    <w:rsid w:val="00A36453"/>
    <w:rsid w:val="00A37970"/>
    <w:rsid w:val="00A37A68"/>
    <w:rsid w:val="00A37B0C"/>
    <w:rsid w:val="00A37CE6"/>
    <w:rsid w:val="00A37D1C"/>
    <w:rsid w:val="00A37FFE"/>
    <w:rsid w:val="00A404BE"/>
    <w:rsid w:val="00A40D3C"/>
    <w:rsid w:val="00A40ECF"/>
    <w:rsid w:val="00A411C9"/>
    <w:rsid w:val="00A41EFE"/>
    <w:rsid w:val="00A41FEF"/>
    <w:rsid w:val="00A42476"/>
    <w:rsid w:val="00A42800"/>
    <w:rsid w:val="00A433CA"/>
    <w:rsid w:val="00A43440"/>
    <w:rsid w:val="00A43A1A"/>
    <w:rsid w:val="00A43D48"/>
    <w:rsid w:val="00A43EC4"/>
    <w:rsid w:val="00A43F3C"/>
    <w:rsid w:val="00A447A5"/>
    <w:rsid w:val="00A455B3"/>
    <w:rsid w:val="00A45B83"/>
    <w:rsid w:val="00A46121"/>
    <w:rsid w:val="00A4645D"/>
    <w:rsid w:val="00A4646E"/>
    <w:rsid w:val="00A4678B"/>
    <w:rsid w:val="00A468FD"/>
    <w:rsid w:val="00A46921"/>
    <w:rsid w:val="00A47249"/>
    <w:rsid w:val="00A476C0"/>
    <w:rsid w:val="00A47E3B"/>
    <w:rsid w:val="00A501C7"/>
    <w:rsid w:val="00A5058A"/>
    <w:rsid w:val="00A50905"/>
    <w:rsid w:val="00A513FD"/>
    <w:rsid w:val="00A517D0"/>
    <w:rsid w:val="00A5254B"/>
    <w:rsid w:val="00A52BC1"/>
    <w:rsid w:val="00A52D47"/>
    <w:rsid w:val="00A5347F"/>
    <w:rsid w:val="00A534A0"/>
    <w:rsid w:val="00A5355B"/>
    <w:rsid w:val="00A537EA"/>
    <w:rsid w:val="00A539AD"/>
    <w:rsid w:val="00A53E3E"/>
    <w:rsid w:val="00A53EC7"/>
    <w:rsid w:val="00A540B2"/>
    <w:rsid w:val="00A5414D"/>
    <w:rsid w:val="00A54A3E"/>
    <w:rsid w:val="00A54D69"/>
    <w:rsid w:val="00A55411"/>
    <w:rsid w:val="00A556B7"/>
    <w:rsid w:val="00A564A6"/>
    <w:rsid w:val="00A56819"/>
    <w:rsid w:val="00A568AC"/>
    <w:rsid w:val="00A57031"/>
    <w:rsid w:val="00A57B07"/>
    <w:rsid w:val="00A6025F"/>
    <w:rsid w:val="00A60E9C"/>
    <w:rsid w:val="00A61196"/>
    <w:rsid w:val="00A6124E"/>
    <w:rsid w:val="00A6131E"/>
    <w:rsid w:val="00A616AF"/>
    <w:rsid w:val="00A61879"/>
    <w:rsid w:val="00A628B4"/>
    <w:rsid w:val="00A62E6A"/>
    <w:rsid w:val="00A63E4E"/>
    <w:rsid w:val="00A6444F"/>
    <w:rsid w:val="00A652FF"/>
    <w:rsid w:val="00A65A0D"/>
    <w:rsid w:val="00A65C27"/>
    <w:rsid w:val="00A65F3C"/>
    <w:rsid w:val="00A661FD"/>
    <w:rsid w:val="00A66FB3"/>
    <w:rsid w:val="00A67CE3"/>
    <w:rsid w:val="00A67DF5"/>
    <w:rsid w:val="00A709A3"/>
    <w:rsid w:val="00A71216"/>
    <w:rsid w:val="00A7143A"/>
    <w:rsid w:val="00A714A3"/>
    <w:rsid w:val="00A71B8B"/>
    <w:rsid w:val="00A7275C"/>
    <w:rsid w:val="00A74456"/>
    <w:rsid w:val="00A75089"/>
    <w:rsid w:val="00A75EDC"/>
    <w:rsid w:val="00A80404"/>
    <w:rsid w:val="00A80548"/>
    <w:rsid w:val="00A8085F"/>
    <w:rsid w:val="00A80A3D"/>
    <w:rsid w:val="00A817A8"/>
    <w:rsid w:val="00A81E50"/>
    <w:rsid w:val="00A81F1C"/>
    <w:rsid w:val="00A82241"/>
    <w:rsid w:val="00A82602"/>
    <w:rsid w:val="00A82D7A"/>
    <w:rsid w:val="00A82DA0"/>
    <w:rsid w:val="00A83281"/>
    <w:rsid w:val="00A83562"/>
    <w:rsid w:val="00A83E49"/>
    <w:rsid w:val="00A8401C"/>
    <w:rsid w:val="00A8415A"/>
    <w:rsid w:val="00A841A6"/>
    <w:rsid w:val="00A84221"/>
    <w:rsid w:val="00A843CA"/>
    <w:rsid w:val="00A849D2"/>
    <w:rsid w:val="00A84AAE"/>
    <w:rsid w:val="00A84B7A"/>
    <w:rsid w:val="00A85063"/>
    <w:rsid w:val="00A85367"/>
    <w:rsid w:val="00A85AE9"/>
    <w:rsid w:val="00A85CC2"/>
    <w:rsid w:val="00A85F2A"/>
    <w:rsid w:val="00A86359"/>
    <w:rsid w:val="00A865DC"/>
    <w:rsid w:val="00A86A72"/>
    <w:rsid w:val="00A86FBC"/>
    <w:rsid w:val="00A873D1"/>
    <w:rsid w:val="00A879C5"/>
    <w:rsid w:val="00A87B0E"/>
    <w:rsid w:val="00A902AD"/>
    <w:rsid w:val="00A90302"/>
    <w:rsid w:val="00A907AC"/>
    <w:rsid w:val="00A9099E"/>
    <w:rsid w:val="00A91503"/>
    <w:rsid w:val="00A91FB7"/>
    <w:rsid w:val="00A921CE"/>
    <w:rsid w:val="00A92967"/>
    <w:rsid w:val="00A9298F"/>
    <w:rsid w:val="00A92A57"/>
    <w:rsid w:val="00A9301E"/>
    <w:rsid w:val="00A932C1"/>
    <w:rsid w:val="00A933F3"/>
    <w:rsid w:val="00A9361C"/>
    <w:rsid w:val="00A93A99"/>
    <w:rsid w:val="00A93E3A"/>
    <w:rsid w:val="00A941E5"/>
    <w:rsid w:val="00A95069"/>
    <w:rsid w:val="00A95186"/>
    <w:rsid w:val="00A951AD"/>
    <w:rsid w:val="00A9561B"/>
    <w:rsid w:val="00A9578E"/>
    <w:rsid w:val="00A961BD"/>
    <w:rsid w:val="00A9652F"/>
    <w:rsid w:val="00A973B1"/>
    <w:rsid w:val="00A97BF3"/>
    <w:rsid w:val="00AA027E"/>
    <w:rsid w:val="00AA1224"/>
    <w:rsid w:val="00AA14F2"/>
    <w:rsid w:val="00AA180B"/>
    <w:rsid w:val="00AA1D43"/>
    <w:rsid w:val="00AA2249"/>
    <w:rsid w:val="00AA22C3"/>
    <w:rsid w:val="00AA2358"/>
    <w:rsid w:val="00AA2469"/>
    <w:rsid w:val="00AA29F2"/>
    <w:rsid w:val="00AA2CD7"/>
    <w:rsid w:val="00AA2FA4"/>
    <w:rsid w:val="00AA3301"/>
    <w:rsid w:val="00AA3360"/>
    <w:rsid w:val="00AA386B"/>
    <w:rsid w:val="00AA418D"/>
    <w:rsid w:val="00AA4C2E"/>
    <w:rsid w:val="00AA57A4"/>
    <w:rsid w:val="00AA6384"/>
    <w:rsid w:val="00AA6415"/>
    <w:rsid w:val="00AA6B93"/>
    <w:rsid w:val="00AA7654"/>
    <w:rsid w:val="00AA7A06"/>
    <w:rsid w:val="00AA7A7F"/>
    <w:rsid w:val="00AA7F56"/>
    <w:rsid w:val="00AB0134"/>
    <w:rsid w:val="00AB14FB"/>
    <w:rsid w:val="00AB16D3"/>
    <w:rsid w:val="00AB17D3"/>
    <w:rsid w:val="00AB1984"/>
    <w:rsid w:val="00AB1CBB"/>
    <w:rsid w:val="00AB215B"/>
    <w:rsid w:val="00AB266D"/>
    <w:rsid w:val="00AB2A66"/>
    <w:rsid w:val="00AB2E7D"/>
    <w:rsid w:val="00AB3146"/>
    <w:rsid w:val="00AB333E"/>
    <w:rsid w:val="00AB37DB"/>
    <w:rsid w:val="00AB3ECC"/>
    <w:rsid w:val="00AB3FD0"/>
    <w:rsid w:val="00AB54B5"/>
    <w:rsid w:val="00AB5A73"/>
    <w:rsid w:val="00AB5F48"/>
    <w:rsid w:val="00AB6B1A"/>
    <w:rsid w:val="00AB7156"/>
    <w:rsid w:val="00AB716D"/>
    <w:rsid w:val="00AB72BB"/>
    <w:rsid w:val="00AB7472"/>
    <w:rsid w:val="00AB7BF3"/>
    <w:rsid w:val="00AC09D5"/>
    <w:rsid w:val="00AC0D8E"/>
    <w:rsid w:val="00AC15B8"/>
    <w:rsid w:val="00AC175B"/>
    <w:rsid w:val="00AC1AA3"/>
    <w:rsid w:val="00AC1F8E"/>
    <w:rsid w:val="00AC22C1"/>
    <w:rsid w:val="00AC36F1"/>
    <w:rsid w:val="00AC374B"/>
    <w:rsid w:val="00AC3798"/>
    <w:rsid w:val="00AC3ED5"/>
    <w:rsid w:val="00AC4CB3"/>
    <w:rsid w:val="00AC4D7C"/>
    <w:rsid w:val="00AC53B0"/>
    <w:rsid w:val="00AC6EF2"/>
    <w:rsid w:val="00AC71A6"/>
    <w:rsid w:val="00AC721A"/>
    <w:rsid w:val="00AC742F"/>
    <w:rsid w:val="00AC75B6"/>
    <w:rsid w:val="00AC7664"/>
    <w:rsid w:val="00AC774F"/>
    <w:rsid w:val="00AC780D"/>
    <w:rsid w:val="00AC787B"/>
    <w:rsid w:val="00AC78A0"/>
    <w:rsid w:val="00AC7956"/>
    <w:rsid w:val="00AC7DB9"/>
    <w:rsid w:val="00AC7E18"/>
    <w:rsid w:val="00AD0561"/>
    <w:rsid w:val="00AD0767"/>
    <w:rsid w:val="00AD0D59"/>
    <w:rsid w:val="00AD0FA5"/>
    <w:rsid w:val="00AD1B79"/>
    <w:rsid w:val="00AD1CB8"/>
    <w:rsid w:val="00AD254B"/>
    <w:rsid w:val="00AD3208"/>
    <w:rsid w:val="00AD3C00"/>
    <w:rsid w:val="00AD3C12"/>
    <w:rsid w:val="00AD50F8"/>
    <w:rsid w:val="00AD5889"/>
    <w:rsid w:val="00AD719F"/>
    <w:rsid w:val="00AD7447"/>
    <w:rsid w:val="00AD752A"/>
    <w:rsid w:val="00AD7C6F"/>
    <w:rsid w:val="00AD7D22"/>
    <w:rsid w:val="00AD7D36"/>
    <w:rsid w:val="00AE0A0E"/>
    <w:rsid w:val="00AE0DED"/>
    <w:rsid w:val="00AE1D05"/>
    <w:rsid w:val="00AE1D9A"/>
    <w:rsid w:val="00AE2780"/>
    <w:rsid w:val="00AE284A"/>
    <w:rsid w:val="00AE307E"/>
    <w:rsid w:val="00AE3450"/>
    <w:rsid w:val="00AE392E"/>
    <w:rsid w:val="00AE3E11"/>
    <w:rsid w:val="00AE4033"/>
    <w:rsid w:val="00AE40B3"/>
    <w:rsid w:val="00AE43A3"/>
    <w:rsid w:val="00AE461D"/>
    <w:rsid w:val="00AE4BAB"/>
    <w:rsid w:val="00AE4BDC"/>
    <w:rsid w:val="00AE4CFD"/>
    <w:rsid w:val="00AE4EA6"/>
    <w:rsid w:val="00AE51FF"/>
    <w:rsid w:val="00AE55AD"/>
    <w:rsid w:val="00AE5D8F"/>
    <w:rsid w:val="00AE67D5"/>
    <w:rsid w:val="00AE6A1E"/>
    <w:rsid w:val="00AE7265"/>
    <w:rsid w:val="00AE7331"/>
    <w:rsid w:val="00AE78ED"/>
    <w:rsid w:val="00AE7AC2"/>
    <w:rsid w:val="00AE7EC9"/>
    <w:rsid w:val="00AF083A"/>
    <w:rsid w:val="00AF1117"/>
    <w:rsid w:val="00AF1555"/>
    <w:rsid w:val="00AF174E"/>
    <w:rsid w:val="00AF18BA"/>
    <w:rsid w:val="00AF1CA5"/>
    <w:rsid w:val="00AF228C"/>
    <w:rsid w:val="00AF2DB9"/>
    <w:rsid w:val="00AF3928"/>
    <w:rsid w:val="00AF3B55"/>
    <w:rsid w:val="00AF3D62"/>
    <w:rsid w:val="00AF4146"/>
    <w:rsid w:val="00AF56FE"/>
    <w:rsid w:val="00AF5A35"/>
    <w:rsid w:val="00AF5C45"/>
    <w:rsid w:val="00AF62A7"/>
    <w:rsid w:val="00AF6AC5"/>
    <w:rsid w:val="00AF7809"/>
    <w:rsid w:val="00AF7CA7"/>
    <w:rsid w:val="00AF7F7B"/>
    <w:rsid w:val="00B00820"/>
    <w:rsid w:val="00B00AFE"/>
    <w:rsid w:val="00B00BDE"/>
    <w:rsid w:val="00B0104B"/>
    <w:rsid w:val="00B01F03"/>
    <w:rsid w:val="00B021E0"/>
    <w:rsid w:val="00B03A30"/>
    <w:rsid w:val="00B03A35"/>
    <w:rsid w:val="00B0430C"/>
    <w:rsid w:val="00B04A31"/>
    <w:rsid w:val="00B04F99"/>
    <w:rsid w:val="00B0505D"/>
    <w:rsid w:val="00B0532F"/>
    <w:rsid w:val="00B05519"/>
    <w:rsid w:val="00B057B6"/>
    <w:rsid w:val="00B05A7C"/>
    <w:rsid w:val="00B05CBC"/>
    <w:rsid w:val="00B06361"/>
    <w:rsid w:val="00B0651D"/>
    <w:rsid w:val="00B06955"/>
    <w:rsid w:val="00B07BEA"/>
    <w:rsid w:val="00B07F41"/>
    <w:rsid w:val="00B102F9"/>
    <w:rsid w:val="00B114F0"/>
    <w:rsid w:val="00B11C80"/>
    <w:rsid w:val="00B11F33"/>
    <w:rsid w:val="00B12152"/>
    <w:rsid w:val="00B12DCA"/>
    <w:rsid w:val="00B13ECB"/>
    <w:rsid w:val="00B14A2A"/>
    <w:rsid w:val="00B150BA"/>
    <w:rsid w:val="00B1524F"/>
    <w:rsid w:val="00B1538C"/>
    <w:rsid w:val="00B15A54"/>
    <w:rsid w:val="00B15ECF"/>
    <w:rsid w:val="00B16340"/>
    <w:rsid w:val="00B169CD"/>
    <w:rsid w:val="00B16C0A"/>
    <w:rsid w:val="00B1785C"/>
    <w:rsid w:val="00B17F60"/>
    <w:rsid w:val="00B17F99"/>
    <w:rsid w:val="00B2039A"/>
    <w:rsid w:val="00B208D5"/>
    <w:rsid w:val="00B20AC8"/>
    <w:rsid w:val="00B20EAD"/>
    <w:rsid w:val="00B215D5"/>
    <w:rsid w:val="00B2186D"/>
    <w:rsid w:val="00B21D55"/>
    <w:rsid w:val="00B225CB"/>
    <w:rsid w:val="00B22870"/>
    <w:rsid w:val="00B22A22"/>
    <w:rsid w:val="00B22AA6"/>
    <w:rsid w:val="00B23913"/>
    <w:rsid w:val="00B23A7A"/>
    <w:rsid w:val="00B23D1A"/>
    <w:rsid w:val="00B23F4C"/>
    <w:rsid w:val="00B24233"/>
    <w:rsid w:val="00B246DD"/>
    <w:rsid w:val="00B248D8"/>
    <w:rsid w:val="00B24BA7"/>
    <w:rsid w:val="00B25A6F"/>
    <w:rsid w:val="00B25CD9"/>
    <w:rsid w:val="00B261D8"/>
    <w:rsid w:val="00B26316"/>
    <w:rsid w:val="00B26800"/>
    <w:rsid w:val="00B268D0"/>
    <w:rsid w:val="00B269D3"/>
    <w:rsid w:val="00B27886"/>
    <w:rsid w:val="00B27F44"/>
    <w:rsid w:val="00B301ED"/>
    <w:rsid w:val="00B30448"/>
    <w:rsid w:val="00B3048B"/>
    <w:rsid w:val="00B30C49"/>
    <w:rsid w:val="00B30D75"/>
    <w:rsid w:val="00B30DAD"/>
    <w:rsid w:val="00B31315"/>
    <w:rsid w:val="00B3260E"/>
    <w:rsid w:val="00B32A63"/>
    <w:rsid w:val="00B32C4B"/>
    <w:rsid w:val="00B32F50"/>
    <w:rsid w:val="00B332D8"/>
    <w:rsid w:val="00B3407E"/>
    <w:rsid w:val="00B3483A"/>
    <w:rsid w:val="00B34C84"/>
    <w:rsid w:val="00B34D6A"/>
    <w:rsid w:val="00B35021"/>
    <w:rsid w:val="00B35310"/>
    <w:rsid w:val="00B35749"/>
    <w:rsid w:val="00B35EF5"/>
    <w:rsid w:val="00B3677F"/>
    <w:rsid w:val="00B36872"/>
    <w:rsid w:val="00B3704D"/>
    <w:rsid w:val="00B37071"/>
    <w:rsid w:val="00B37FD1"/>
    <w:rsid w:val="00B40162"/>
    <w:rsid w:val="00B4054D"/>
    <w:rsid w:val="00B40643"/>
    <w:rsid w:val="00B40903"/>
    <w:rsid w:val="00B40D9B"/>
    <w:rsid w:val="00B40FDB"/>
    <w:rsid w:val="00B41C6D"/>
    <w:rsid w:val="00B420B2"/>
    <w:rsid w:val="00B42800"/>
    <w:rsid w:val="00B42832"/>
    <w:rsid w:val="00B42863"/>
    <w:rsid w:val="00B430F6"/>
    <w:rsid w:val="00B43511"/>
    <w:rsid w:val="00B43CE6"/>
    <w:rsid w:val="00B45528"/>
    <w:rsid w:val="00B45DE9"/>
    <w:rsid w:val="00B45E1F"/>
    <w:rsid w:val="00B46776"/>
    <w:rsid w:val="00B46B6E"/>
    <w:rsid w:val="00B478FA"/>
    <w:rsid w:val="00B50156"/>
    <w:rsid w:val="00B501E8"/>
    <w:rsid w:val="00B502A3"/>
    <w:rsid w:val="00B506D4"/>
    <w:rsid w:val="00B507AA"/>
    <w:rsid w:val="00B50953"/>
    <w:rsid w:val="00B509AE"/>
    <w:rsid w:val="00B50E13"/>
    <w:rsid w:val="00B510AE"/>
    <w:rsid w:val="00B51581"/>
    <w:rsid w:val="00B518AD"/>
    <w:rsid w:val="00B51BB6"/>
    <w:rsid w:val="00B52056"/>
    <w:rsid w:val="00B522A7"/>
    <w:rsid w:val="00B52B0E"/>
    <w:rsid w:val="00B52D81"/>
    <w:rsid w:val="00B52FC3"/>
    <w:rsid w:val="00B5355B"/>
    <w:rsid w:val="00B5402E"/>
    <w:rsid w:val="00B540E8"/>
    <w:rsid w:val="00B54681"/>
    <w:rsid w:val="00B55852"/>
    <w:rsid w:val="00B560A9"/>
    <w:rsid w:val="00B56866"/>
    <w:rsid w:val="00B56BD0"/>
    <w:rsid w:val="00B56CC4"/>
    <w:rsid w:val="00B6035D"/>
    <w:rsid w:val="00B604BB"/>
    <w:rsid w:val="00B6062A"/>
    <w:rsid w:val="00B60A96"/>
    <w:rsid w:val="00B60DD7"/>
    <w:rsid w:val="00B60EB6"/>
    <w:rsid w:val="00B60EE5"/>
    <w:rsid w:val="00B616A5"/>
    <w:rsid w:val="00B628BE"/>
    <w:rsid w:val="00B62B67"/>
    <w:rsid w:val="00B637FB"/>
    <w:rsid w:val="00B6386F"/>
    <w:rsid w:val="00B65295"/>
    <w:rsid w:val="00B65D9B"/>
    <w:rsid w:val="00B66E51"/>
    <w:rsid w:val="00B66E68"/>
    <w:rsid w:val="00B672CB"/>
    <w:rsid w:val="00B67346"/>
    <w:rsid w:val="00B676EA"/>
    <w:rsid w:val="00B6793A"/>
    <w:rsid w:val="00B67AC3"/>
    <w:rsid w:val="00B70880"/>
    <w:rsid w:val="00B70DE9"/>
    <w:rsid w:val="00B71322"/>
    <w:rsid w:val="00B71422"/>
    <w:rsid w:val="00B71486"/>
    <w:rsid w:val="00B71607"/>
    <w:rsid w:val="00B71EF7"/>
    <w:rsid w:val="00B7211E"/>
    <w:rsid w:val="00B72361"/>
    <w:rsid w:val="00B74AB0"/>
    <w:rsid w:val="00B75345"/>
    <w:rsid w:val="00B76327"/>
    <w:rsid w:val="00B763D3"/>
    <w:rsid w:val="00B76400"/>
    <w:rsid w:val="00B76C94"/>
    <w:rsid w:val="00B76D4E"/>
    <w:rsid w:val="00B76D6E"/>
    <w:rsid w:val="00B771A8"/>
    <w:rsid w:val="00B771AA"/>
    <w:rsid w:val="00B772D0"/>
    <w:rsid w:val="00B8049C"/>
    <w:rsid w:val="00B80A99"/>
    <w:rsid w:val="00B80F4E"/>
    <w:rsid w:val="00B814CF"/>
    <w:rsid w:val="00B81A33"/>
    <w:rsid w:val="00B8256C"/>
    <w:rsid w:val="00B827B5"/>
    <w:rsid w:val="00B82B2D"/>
    <w:rsid w:val="00B83117"/>
    <w:rsid w:val="00B8319C"/>
    <w:rsid w:val="00B83827"/>
    <w:rsid w:val="00B84A95"/>
    <w:rsid w:val="00B84ACA"/>
    <w:rsid w:val="00B85EC9"/>
    <w:rsid w:val="00B86132"/>
    <w:rsid w:val="00B87A18"/>
    <w:rsid w:val="00B90351"/>
    <w:rsid w:val="00B906F2"/>
    <w:rsid w:val="00B90D9B"/>
    <w:rsid w:val="00B91259"/>
    <w:rsid w:val="00B91B81"/>
    <w:rsid w:val="00B91FF0"/>
    <w:rsid w:val="00B922E4"/>
    <w:rsid w:val="00B926A8"/>
    <w:rsid w:val="00B92FFF"/>
    <w:rsid w:val="00B93538"/>
    <w:rsid w:val="00B936F8"/>
    <w:rsid w:val="00B940EF"/>
    <w:rsid w:val="00B9492E"/>
    <w:rsid w:val="00B960DB"/>
    <w:rsid w:val="00B96799"/>
    <w:rsid w:val="00B96875"/>
    <w:rsid w:val="00B96DE5"/>
    <w:rsid w:val="00B96EC2"/>
    <w:rsid w:val="00B97627"/>
    <w:rsid w:val="00B97A76"/>
    <w:rsid w:val="00B97DD5"/>
    <w:rsid w:val="00BA0166"/>
    <w:rsid w:val="00BA0584"/>
    <w:rsid w:val="00BA0755"/>
    <w:rsid w:val="00BA1E9D"/>
    <w:rsid w:val="00BA249D"/>
    <w:rsid w:val="00BA3C66"/>
    <w:rsid w:val="00BA4866"/>
    <w:rsid w:val="00BA4D00"/>
    <w:rsid w:val="00BA4F9B"/>
    <w:rsid w:val="00BA5665"/>
    <w:rsid w:val="00BA5A0E"/>
    <w:rsid w:val="00BA5F8C"/>
    <w:rsid w:val="00BA6825"/>
    <w:rsid w:val="00BA72D9"/>
    <w:rsid w:val="00BB0AB5"/>
    <w:rsid w:val="00BB0AF9"/>
    <w:rsid w:val="00BB195B"/>
    <w:rsid w:val="00BB1BBA"/>
    <w:rsid w:val="00BB204A"/>
    <w:rsid w:val="00BB2BD1"/>
    <w:rsid w:val="00BB31DF"/>
    <w:rsid w:val="00BB33E9"/>
    <w:rsid w:val="00BB34B7"/>
    <w:rsid w:val="00BB365B"/>
    <w:rsid w:val="00BB37AF"/>
    <w:rsid w:val="00BB3BE4"/>
    <w:rsid w:val="00BB4073"/>
    <w:rsid w:val="00BB44DB"/>
    <w:rsid w:val="00BB4F19"/>
    <w:rsid w:val="00BB57D3"/>
    <w:rsid w:val="00BB58EE"/>
    <w:rsid w:val="00BB61A1"/>
    <w:rsid w:val="00BB64EC"/>
    <w:rsid w:val="00BB7589"/>
    <w:rsid w:val="00BB7668"/>
    <w:rsid w:val="00BB7E42"/>
    <w:rsid w:val="00BC077E"/>
    <w:rsid w:val="00BC0DE5"/>
    <w:rsid w:val="00BC0E57"/>
    <w:rsid w:val="00BC1013"/>
    <w:rsid w:val="00BC19D2"/>
    <w:rsid w:val="00BC1F5F"/>
    <w:rsid w:val="00BC21BE"/>
    <w:rsid w:val="00BC2465"/>
    <w:rsid w:val="00BC3E36"/>
    <w:rsid w:val="00BC3F59"/>
    <w:rsid w:val="00BC4B2D"/>
    <w:rsid w:val="00BC4CE8"/>
    <w:rsid w:val="00BC4D54"/>
    <w:rsid w:val="00BC6149"/>
    <w:rsid w:val="00BC6E2F"/>
    <w:rsid w:val="00BC728A"/>
    <w:rsid w:val="00BC7632"/>
    <w:rsid w:val="00BC77A4"/>
    <w:rsid w:val="00BC7C9E"/>
    <w:rsid w:val="00BD043A"/>
    <w:rsid w:val="00BD1BDA"/>
    <w:rsid w:val="00BD1E79"/>
    <w:rsid w:val="00BD23A5"/>
    <w:rsid w:val="00BD2937"/>
    <w:rsid w:val="00BD2AFC"/>
    <w:rsid w:val="00BD2CD4"/>
    <w:rsid w:val="00BD3143"/>
    <w:rsid w:val="00BD330C"/>
    <w:rsid w:val="00BD359B"/>
    <w:rsid w:val="00BD3663"/>
    <w:rsid w:val="00BD367F"/>
    <w:rsid w:val="00BD4686"/>
    <w:rsid w:val="00BD46DF"/>
    <w:rsid w:val="00BD4871"/>
    <w:rsid w:val="00BD48A9"/>
    <w:rsid w:val="00BD4B47"/>
    <w:rsid w:val="00BD4E4D"/>
    <w:rsid w:val="00BD5712"/>
    <w:rsid w:val="00BD5756"/>
    <w:rsid w:val="00BD581A"/>
    <w:rsid w:val="00BD5A01"/>
    <w:rsid w:val="00BD5C02"/>
    <w:rsid w:val="00BD658C"/>
    <w:rsid w:val="00BD678A"/>
    <w:rsid w:val="00BD6819"/>
    <w:rsid w:val="00BD7EC6"/>
    <w:rsid w:val="00BE063A"/>
    <w:rsid w:val="00BE078B"/>
    <w:rsid w:val="00BE08C0"/>
    <w:rsid w:val="00BE0E52"/>
    <w:rsid w:val="00BE0FF2"/>
    <w:rsid w:val="00BE1345"/>
    <w:rsid w:val="00BE18BC"/>
    <w:rsid w:val="00BE2147"/>
    <w:rsid w:val="00BE239E"/>
    <w:rsid w:val="00BE2B0D"/>
    <w:rsid w:val="00BE3B83"/>
    <w:rsid w:val="00BE3C67"/>
    <w:rsid w:val="00BE3CF7"/>
    <w:rsid w:val="00BE4084"/>
    <w:rsid w:val="00BE42FC"/>
    <w:rsid w:val="00BE4E7E"/>
    <w:rsid w:val="00BE5DBF"/>
    <w:rsid w:val="00BE6085"/>
    <w:rsid w:val="00BE66FC"/>
    <w:rsid w:val="00BE73FA"/>
    <w:rsid w:val="00BF00D1"/>
    <w:rsid w:val="00BF0353"/>
    <w:rsid w:val="00BF0737"/>
    <w:rsid w:val="00BF090A"/>
    <w:rsid w:val="00BF0918"/>
    <w:rsid w:val="00BF1668"/>
    <w:rsid w:val="00BF2001"/>
    <w:rsid w:val="00BF2575"/>
    <w:rsid w:val="00BF31A0"/>
    <w:rsid w:val="00BF323A"/>
    <w:rsid w:val="00BF36C0"/>
    <w:rsid w:val="00BF3F0A"/>
    <w:rsid w:val="00BF4E35"/>
    <w:rsid w:val="00BF5FB3"/>
    <w:rsid w:val="00BF6EE8"/>
    <w:rsid w:val="00BF6F82"/>
    <w:rsid w:val="00BF777A"/>
    <w:rsid w:val="00BF7B9B"/>
    <w:rsid w:val="00C0083F"/>
    <w:rsid w:val="00C00976"/>
    <w:rsid w:val="00C01DCF"/>
    <w:rsid w:val="00C020CD"/>
    <w:rsid w:val="00C02DDE"/>
    <w:rsid w:val="00C0362D"/>
    <w:rsid w:val="00C0367B"/>
    <w:rsid w:val="00C03FD8"/>
    <w:rsid w:val="00C04041"/>
    <w:rsid w:val="00C04E51"/>
    <w:rsid w:val="00C05074"/>
    <w:rsid w:val="00C05876"/>
    <w:rsid w:val="00C05AF9"/>
    <w:rsid w:val="00C05DAE"/>
    <w:rsid w:val="00C0606E"/>
    <w:rsid w:val="00C060A3"/>
    <w:rsid w:val="00C060B0"/>
    <w:rsid w:val="00C06D2C"/>
    <w:rsid w:val="00C06EAB"/>
    <w:rsid w:val="00C072F0"/>
    <w:rsid w:val="00C07344"/>
    <w:rsid w:val="00C079A3"/>
    <w:rsid w:val="00C07C1F"/>
    <w:rsid w:val="00C07C79"/>
    <w:rsid w:val="00C1071F"/>
    <w:rsid w:val="00C1106D"/>
    <w:rsid w:val="00C11138"/>
    <w:rsid w:val="00C11A79"/>
    <w:rsid w:val="00C120B8"/>
    <w:rsid w:val="00C1211E"/>
    <w:rsid w:val="00C13607"/>
    <w:rsid w:val="00C137B1"/>
    <w:rsid w:val="00C13811"/>
    <w:rsid w:val="00C13B43"/>
    <w:rsid w:val="00C15E81"/>
    <w:rsid w:val="00C174C9"/>
    <w:rsid w:val="00C17B6E"/>
    <w:rsid w:val="00C200BA"/>
    <w:rsid w:val="00C20748"/>
    <w:rsid w:val="00C20754"/>
    <w:rsid w:val="00C21378"/>
    <w:rsid w:val="00C220A5"/>
    <w:rsid w:val="00C22307"/>
    <w:rsid w:val="00C22BB2"/>
    <w:rsid w:val="00C22EAF"/>
    <w:rsid w:val="00C23150"/>
    <w:rsid w:val="00C24580"/>
    <w:rsid w:val="00C246A2"/>
    <w:rsid w:val="00C24908"/>
    <w:rsid w:val="00C250E8"/>
    <w:rsid w:val="00C25150"/>
    <w:rsid w:val="00C2515F"/>
    <w:rsid w:val="00C258D6"/>
    <w:rsid w:val="00C25B30"/>
    <w:rsid w:val="00C25DCF"/>
    <w:rsid w:val="00C260B4"/>
    <w:rsid w:val="00C26AEA"/>
    <w:rsid w:val="00C276EC"/>
    <w:rsid w:val="00C27C0A"/>
    <w:rsid w:val="00C305D9"/>
    <w:rsid w:val="00C31838"/>
    <w:rsid w:val="00C31AD4"/>
    <w:rsid w:val="00C31C63"/>
    <w:rsid w:val="00C31C8C"/>
    <w:rsid w:val="00C31CD9"/>
    <w:rsid w:val="00C32481"/>
    <w:rsid w:val="00C3394C"/>
    <w:rsid w:val="00C34581"/>
    <w:rsid w:val="00C34AD7"/>
    <w:rsid w:val="00C3516D"/>
    <w:rsid w:val="00C351E4"/>
    <w:rsid w:val="00C353D8"/>
    <w:rsid w:val="00C35A20"/>
    <w:rsid w:val="00C361A6"/>
    <w:rsid w:val="00C365C5"/>
    <w:rsid w:val="00C3670F"/>
    <w:rsid w:val="00C36A54"/>
    <w:rsid w:val="00C36BA4"/>
    <w:rsid w:val="00C36E1A"/>
    <w:rsid w:val="00C36E26"/>
    <w:rsid w:val="00C371DF"/>
    <w:rsid w:val="00C37818"/>
    <w:rsid w:val="00C37EBA"/>
    <w:rsid w:val="00C37EFC"/>
    <w:rsid w:val="00C37FF9"/>
    <w:rsid w:val="00C40126"/>
    <w:rsid w:val="00C41099"/>
    <w:rsid w:val="00C41425"/>
    <w:rsid w:val="00C41B4A"/>
    <w:rsid w:val="00C4213A"/>
    <w:rsid w:val="00C42C11"/>
    <w:rsid w:val="00C43344"/>
    <w:rsid w:val="00C43ADB"/>
    <w:rsid w:val="00C44949"/>
    <w:rsid w:val="00C44B4C"/>
    <w:rsid w:val="00C450E3"/>
    <w:rsid w:val="00C456CC"/>
    <w:rsid w:val="00C45830"/>
    <w:rsid w:val="00C45C56"/>
    <w:rsid w:val="00C45CCD"/>
    <w:rsid w:val="00C46734"/>
    <w:rsid w:val="00C4675C"/>
    <w:rsid w:val="00C46D3A"/>
    <w:rsid w:val="00C47826"/>
    <w:rsid w:val="00C5008C"/>
    <w:rsid w:val="00C50112"/>
    <w:rsid w:val="00C507BC"/>
    <w:rsid w:val="00C5105D"/>
    <w:rsid w:val="00C511F0"/>
    <w:rsid w:val="00C513C7"/>
    <w:rsid w:val="00C51639"/>
    <w:rsid w:val="00C51871"/>
    <w:rsid w:val="00C53220"/>
    <w:rsid w:val="00C533A0"/>
    <w:rsid w:val="00C5375B"/>
    <w:rsid w:val="00C537E7"/>
    <w:rsid w:val="00C538A4"/>
    <w:rsid w:val="00C53AFE"/>
    <w:rsid w:val="00C53E9D"/>
    <w:rsid w:val="00C5426B"/>
    <w:rsid w:val="00C54C18"/>
    <w:rsid w:val="00C573DA"/>
    <w:rsid w:val="00C5772E"/>
    <w:rsid w:val="00C5781B"/>
    <w:rsid w:val="00C57DD6"/>
    <w:rsid w:val="00C61117"/>
    <w:rsid w:val="00C616B4"/>
    <w:rsid w:val="00C61B35"/>
    <w:rsid w:val="00C621A7"/>
    <w:rsid w:val="00C62676"/>
    <w:rsid w:val="00C62AA0"/>
    <w:rsid w:val="00C62BF2"/>
    <w:rsid w:val="00C62D1B"/>
    <w:rsid w:val="00C638A6"/>
    <w:rsid w:val="00C63F2B"/>
    <w:rsid w:val="00C63FB9"/>
    <w:rsid w:val="00C64266"/>
    <w:rsid w:val="00C64607"/>
    <w:rsid w:val="00C647DF"/>
    <w:rsid w:val="00C64F8E"/>
    <w:rsid w:val="00C6586F"/>
    <w:rsid w:val="00C66306"/>
    <w:rsid w:val="00C66CE8"/>
    <w:rsid w:val="00C70074"/>
    <w:rsid w:val="00C70D51"/>
    <w:rsid w:val="00C70DF4"/>
    <w:rsid w:val="00C71252"/>
    <w:rsid w:val="00C72220"/>
    <w:rsid w:val="00C7277F"/>
    <w:rsid w:val="00C732A7"/>
    <w:rsid w:val="00C73530"/>
    <w:rsid w:val="00C73C07"/>
    <w:rsid w:val="00C74930"/>
    <w:rsid w:val="00C74B47"/>
    <w:rsid w:val="00C74D80"/>
    <w:rsid w:val="00C754BD"/>
    <w:rsid w:val="00C75D3A"/>
    <w:rsid w:val="00C769A9"/>
    <w:rsid w:val="00C76B4F"/>
    <w:rsid w:val="00C774C9"/>
    <w:rsid w:val="00C77842"/>
    <w:rsid w:val="00C77F1B"/>
    <w:rsid w:val="00C80987"/>
    <w:rsid w:val="00C80A3F"/>
    <w:rsid w:val="00C8180E"/>
    <w:rsid w:val="00C818A9"/>
    <w:rsid w:val="00C82436"/>
    <w:rsid w:val="00C82933"/>
    <w:rsid w:val="00C82BE2"/>
    <w:rsid w:val="00C845A9"/>
    <w:rsid w:val="00C84BBF"/>
    <w:rsid w:val="00C84BE9"/>
    <w:rsid w:val="00C84DF5"/>
    <w:rsid w:val="00C85DEF"/>
    <w:rsid w:val="00C85E40"/>
    <w:rsid w:val="00C86D76"/>
    <w:rsid w:val="00C87A64"/>
    <w:rsid w:val="00C90A92"/>
    <w:rsid w:val="00C910F8"/>
    <w:rsid w:val="00C91106"/>
    <w:rsid w:val="00C9117B"/>
    <w:rsid w:val="00C91D19"/>
    <w:rsid w:val="00C93B58"/>
    <w:rsid w:val="00C93C2F"/>
    <w:rsid w:val="00C9437C"/>
    <w:rsid w:val="00C946E4"/>
    <w:rsid w:val="00C946FF"/>
    <w:rsid w:val="00C94A14"/>
    <w:rsid w:val="00C94CDA"/>
    <w:rsid w:val="00C95216"/>
    <w:rsid w:val="00C9579A"/>
    <w:rsid w:val="00C95BED"/>
    <w:rsid w:val="00C962DB"/>
    <w:rsid w:val="00C96725"/>
    <w:rsid w:val="00C97A66"/>
    <w:rsid w:val="00CA007B"/>
    <w:rsid w:val="00CA01BB"/>
    <w:rsid w:val="00CA0AA4"/>
    <w:rsid w:val="00CA0C1E"/>
    <w:rsid w:val="00CA15B0"/>
    <w:rsid w:val="00CA1C71"/>
    <w:rsid w:val="00CA1D4C"/>
    <w:rsid w:val="00CA1D50"/>
    <w:rsid w:val="00CA1DAB"/>
    <w:rsid w:val="00CA20E0"/>
    <w:rsid w:val="00CA2250"/>
    <w:rsid w:val="00CA2598"/>
    <w:rsid w:val="00CA2AFF"/>
    <w:rsid w:val="00CA3347"/>
    <w:rsid w:val="00CA3B22"/>
    <w:rsid w:val="00CA523D"/>
    <w:rsid w:val="00CA6FDA"/>
    <w:rsid w:val="00CA770E"/>
    <w:rsid w:val="00CA77CF"/>
    <w:rsid w:val="00CA7B58"/>
    <w:rsid w:val="00CB0836"/>
    <w:rsid w:val="00CB0CB9"/>
    <w:rsid w:val="00CB1413"/>
    <w:rsid w:val="00CB18D4"/>
    <w:rsid w:val="00CB2155"/>
    <w:rsid w:val="00CB2518"/>
    <w:rsid w:val="00CB309B"/>
    <w:rsid w:val="00CB3920"/>
    <w:rsid w:val="00CB4C4C"/>
    <w:rsid w:val="00CB6413"/>
    <w:rsid w:val="00CB696F"/>
    <w:rsid w:val="00CB6A00"/>
    <w:rsid w:val="00CB7097"/>
    <w:rsid w:val="00CB77F4"/>
    <w:rsid w:val="00CB780D"/>
    <w:rsid w:val="00CC0F1C"/>
    <w:rsid w:val="00CC1983"/>
    <w:rsid w:val="00CC1BBB"/>
    <w:rsid w:val="00CC1DAE"/>
    <w:rsid w:val="00CC259D"/>
    <w:rsid w:val="00CC299A"/>
    <w:rsid w:val="00CC2DB7"/>
    <w:rsid w:val="00CC3039"/>
    <w:rsid w:val="00CC32B7"/>
    <w:rsid w:val="00CC36DE"/>
    <w:rsid w:val="00CC4270"/>
    <w:rsid w:val="00CC4498"/>
    <w:rsid w:val="00CC4F99"/>
    <w:rsid w:val="00CC588E"/>
    <w:rsid w:val="00CC5CDC"/>
    <w:rsid w:val="00CC5FC3"/>
    <w:rsid w:val="00CC6012"/>
    <w:rsid w:val="00CC6369"/>
    <w:rsid w:val="00CC6576"/>
    <w:rsid w:val="00CC65D6"/>
    <w:rsid w:val="00CC73F3"/>
    <w:rsid w:val="00CC73F7"/>
    <w:rsid w:val="00CC7B85"/>
    <w:rsid w:val="00CD081C"/>
    <w:rsid w:val="00CD1160"/>
    <w:rsid w:val="00CD13FE"/>
    <w:rsid w:val="00CD14DA"/>
    <w:rsid w:val="00CD152D"/>
    <w:rsid w:val="00CD1B5A"/>
    <w:rsid w:val="00CD1E9C"/>
    <w:rsid w:val="00CD27DB"/>
    <w:rsid w:val="00CD2E70"/>
    <w:rsid w:val="00CD386B"/>
    <w:rsid w:val="00CD3D06"/>
    <w:rsid w:val="00CD4A09"/>
    <w:rsid w:val="00CD4C67"/>
    <w:rsid w:val="00CD4C7B"/>
    <w:rsid w:val="00CD5397"/>
    <w:rsid w:val="00CD5E93"/>
    <w:rsid w:val="00CE0E0D"/>
    <w:rsid w:val="00CE15AE"/>
    <w:rsid w:val="00CE1828"/>
    <w:rsid w:val="00CE1CFC"/>
    <w:rsid w:val="00CE235A"/>
    <w:rsid w:val="00CE37A3"/>
    <w:rsid w:val="00CE3814"/>
    <w:rsid w:val="00CE4AC7"/>
    <w:rsid w:val="00CE56B7"/>
    <w:rsid w:val="00CE6660"/>
    <w:rsid w:val="00CE6855"/>
    <w:rsid w:val="00CE6B6F"/>
    <w:rsid w:val="00CE7033"/>
    <w:rsid w:val="00CE7075"/>
    <w:rsid w:val="00CE73D1"/>
    <w:rsid w:val="00CE770A"/>
    <w:rsid w:val="00CF02A6"/>
    <w:rsid w:val="00CF05A6"/>
    <w:rsid w:val="00CF06CF"/>
    <w:rsid w:val="00CF101C"/>
    <w:rsid w:val="00CF125F"/>
    <w:rsid w:val="00CF15C5"/>
    <w:rsid w:val="00CF1EFE"/>
    <w:rsid w:val="00CF2DC1"/>
    <w:rsid w:val="00CF2EE2"/>
    <w:rsid w:val="00CF3948"/>
    <w:rsid w:val="00CF3ACF"/>
    <w:rsid w:val="00CF441D"/>
    <w:rsid w:val="00CF4E0C"/>
    <w:rsid w:val="00CF4FCF"/>
    <w:rsid w:val="00CF4FDC"/>
    <w:rsid w:val="00CF53F2"/>
    <w:rsid w:val="00CF56AF"/>
    <w:rsid w:val="00CF5BBB"/>
    <w:rsid w:val="00CF5BE0"/>
    <w:rsid w:val="00CF5BF1"/>
    <w:rsid w:val="00CF6001"/>
    <w:rsid w:val="00CF61CB"/>
    <w:rsid w:val="00CF666F"/>
    <w:rsid w:val="00CF66BF"/>
    <w:rsid w:val="00CF686F"/>
    <w:rsid w:val="00CF6CA7"/>
    <w:rsid w:val="00CF6E7D"/>
    <w:rsid w:val="00CF7CE0"/>
    <w:rsid w:val="00D00175"/>
    <w:rsid w:val="00D00223"/>
    <w:rsid w:val="00D0045E"/>
    <w:rsid w:val="00D008D8"/>
    <w:rsid w:val="00D00DBF"/>
    <w:rsid w:val="00D0149B"/>
    <w:rsid w:val="00D01F5D"/>
    <w:rsid w:val="00D01FA9"/>
    <w:rsid w:val="00D02944"/>
    <w:rsid w:val="00D02D17"/>
    <w:rsid w:val="00D03717"/>
    <w:rsid w:val="00D03DBE"/>
    <w:rsid w:val="00D03EED"/>
    <w:rsid w:val="00D0446E"/>
    <w:rsid w:val="00D0597D"/>
    <w:rsid w:val="00D06274"/>
    <w:rsid w:val="00D066D8"/>
    <w:rsid w:val="00D07FB9"/>
    <w:rsid w:val="00D1087D"/>
    <w:rsid w:val="00D11949"/>
    <w:rsid w:val="00D11A69"/>
    <w:rsid w:val="00D12C98"/>
    <w:rsid w:val="00D12FFC"/>
    <w:rsid w:val="00D13A0C"/>
    <w:rsid w:val="00D13CA3"/>
    <w:rsid w:val="00D14210"/>
    <w:rsid w:val="00D1484F"/>
    <w:rsid w:val="00D14BA0"/>
    <w:rsid w:val="00D14D7B"/>
    <w:rsid w:val="00D1516D"/>
    <w:rsid w:val="00D158B0"/>
    <w:rsid w:val="00D1702A"/>
    <w:rsid w:val="00D1707A"/>
    <w:rsid w:val="00D17CC2"/>
    <w:rsid w:val="00D20A9A"/>
    <w:rsid w:val="00D20EED"/>
    <w:rsid w:val="00D21435"/>
    <w:rsid w:val="00D2242C"/>
    <w:rsid w:val="00D224FA"/>
    <w:rsid w:val="00D23033"/>
    <w:rsid w:val="00D23670"/>
    <w:rsid w:val="00D2402F"/>
    <w:rsid w:val="00D24447"/>
    <w:rsid w:val="00D245C2"/>
    <w:rsid w:val="00D25660"/>
    <w:rsid w:val="00D2569B"/>
    <w:rsid w:val="00D258EB"/>
    <w:rsid w:val="00D25AEB"/>
    <w:rsid w:val="00D271CD"/>
    <w:rsid w:val="00D2729E"/>
    <w:rsid w:val="00D3064E"/>
    <w:rsid w:val="00D30706"/>
    <w:rsid w:val="00D3149D"/>
    <w:rsid w:val="00D315CC"/>
    <w:rsid w:val="00D31DDA"/>
    <w:rsid w:val="00D31F05"/>
    <w:rsid w:val="00D32067"/>
    <w:rsid w:val="00D327A3"/>
    <w:rsid w:val="00D338AC"/>
    <w:rsid w:val="00D34C82"/>
    <w:rsid w:val="00D34DCC"/>
    <w:rsid w:val="00D36550"/>
    <w:rsid w:val="00D379EC"/>
    <w:rsid w:val="00D37B28"/>
    <w:rsid w:val="00D37C62"/>
    <w:rsid w:val="00D37C94"/>
    <w:rsid w:val="00D40171"/>
    <w:rsid w:val="00D40D88"/>
    <w:rsid w:val="00D413A1"/>
    <w:rsid w:val="00D41E42"/>
    <w:rsid w:val="00D41F6B"/>
    <w:rsid w:val="00D42380"/>
    <w:rsid w:val="00D4247D"/>
    <w:rsid w:val="00D42653"/>
    <w:rsid w:val="00D42C9B"/>
    <w:rsid w:val="00D4348D"/>
    <w:rsid w:val="00D436D7"/>
    <w:rsid w:val="00D43C03"/>
    <w:rsid w:val="00D43D7A"/>
    <w:rsid w:val="00D44E42"/>
    <w:rsid w:val="00D44FC3"/>
    <w:rsid w:val="00D450E2"/>
    <w:rsid w:val="00D453D7"/>
    <w:rsid w:val="00D4552D"/>
    <w:rsid w:val="00D462D6"/>
    <w:rsid w:val="00D465EC"/>
    <w:rsid w:val="00D474AB"/>
    <w:rsid w:val="00D4754E"/>
    <w:rsid w:val="00D50460"/>
    <w:rsid w:val="00D50961"/>
    <w:rsid w:val="00D50A02"/>
    <w:rsid w:val="00D512A1"/>
    <w:rsid w:val="00D518D6"/>
    <w:rsid w:val="00D52AB4"/>
    <w:rsid w:val="00D52F26"/>
    <w:rsid w:val="00D531F5"/>
    <w:rsid w:val="00D538C1"/>
    <w:rsid w:val="00D538D5"/>
    <w:rsid w:val="00D53AC2"/>
    <w:rsid w:val="00D53B5C"/>
    <w:rsid w:val="00D54640"/>
    <w:rsid w:val="00D55455"/>
    <w:rsid w:val="00D559B5"/>
    <w:rsid w:val="00D56008"/>
    <w:rsid w:val="00D563C2"/>
    <w:rsid w:val="00D56420"/>
    <w:rsid w:val="00D5658A"/>
    <w:rsid w:val="00D56A94"/>
    <w:rsid w:val="00D56C0C"/>
    <w:rsid w:val="00D56F9E"/>
    <w:rsid w:val="00D570B4"/>
    <w:rsid w:val="00D5798B"/>
    <w:rsid w:val="00D60736"/>
    <w:rsid w:val="00D6170E"/>
    <w:rsid w:val="00D61972"/>
    <w:rsid w:val="00D61B58"/>
    <w:rsid w:val="00D628D7"/>
    <w:rsid w:val="00D6307D"/>
    <w:rsid w:val="00D63632"/>
    <w:rsid w:val="00D63732"/>
    <w:rsid w:val="00D63925"/>
    <w:rsid w:val="00D63D60"/>
    <w:rsid w:val="00D6405D"/>
    <w:rsid w:val="00D6499E"/>
    <w:rsid w:val="00D65212"/>
    <w:rsid w:val="00D6560D"/>
    <w:rsid w:val="00D6568E"/>
    <w:rsid w:val="00D65827"/>
    <w:rsid w:val="00D65893"/>
    <w:rsid w:val="00D658EC"/>
    <w:rsid w:val="00D66816"/>
    <w:rsid w:val="00D6684E"/>
    <w:rsid w:val="00D668E9"/>
    <w:rsid w:val="00D6742A"/>
    <w:rsid w:val="00D67B9B"/>
    <w:rsid w:val="00D71733"/>
    <w:rsid w:val="00D718AC"/>
    <w:rsid w:val="00D719A3"/>
    <w:rsid w:val="00D71E7A"/>
    <w:rsid w:val="00D7210A"/>
    <w:rsid w:val="00D72DE7"/>
    <w:rsid w:val="00D7302F"/>
    <w:rsid w:val="00D73870"/>
    <w:rsid w:val="00D73BB2"/>
    <w:rsid w:val="00D73F2D"/>
    <w:rsid w:val="00D74575"/>
    <w:rsid w:val="00D74AB4"/>
    <w:rsid w:val="00D74D14"/>
    <w:rsid w:val="00D74F3B"/>
    <w:rsid w:val="00D75292"/>
    <w:rsid w:val="00D752E7"/>
    <w:rsid w:val="00D7574B"/>
    <w:rsid w:val="00D75E82"/>
    <w:rsid w:val="00D76270"/>
    <w:rsid w:val="00D76517"/>
    <w:rsid w:val="00D76628"/>
    <w:rsid w:val="00D767C6"/>
    <w:rsid w:val="00D769C5"/>
    <w:rsid w:val="00D76E76"/>
    <w:rsid w:val="00D80631"/>
    <w:rsid w:val="00D818EC"/>
    <w:rsid w:val="00D81A20"/>
    <w:rsid w:val="00D81F55"/>
    <w:rsid w:val="00D8321A"/>
    <w:rsid w:val="00D83F57"/>
    <w:rsid w:val="00D84A86"/>
    <w:rsid w:val="00D850A6"/>
    <w:rsid w:val="00D85152"/>
    <w:rsid w:val="00D85F2C"/>
    <w:rsid w:val="00D86030"/>
    <w:rsid w:val="00D86052"/>
    <w:rsid w:val="00D861BD"/>
    <w:rsid w:val="00D86BD2"/>
    <w:rsid w:val="00D86D55"/>
    <w:rsid w:val="00D8789C"/>
    <w:rsid w:val="00D8789D"/>
    <w:rsid w:val="00D87B3F"/>
    <w:rsid w:val="00D9003D"/>
    <w:rsid w:val="00D90416"/>
    <w:rsid w:val="00D90558"/>
    <w:rsid w:val="00D9082F"/>
    <w:rsid w:val="00D909CB"/>
    <w:rsid w:val="00D90C79"/>
    <w:rsid w:val="00D914EB"/>
    <w:rsid w:val="00D91B36"/>
    <w:rsid w:val="00D91F66"/>
    <w:rsid w:val="00D92606"/>
    <w:rsid w:val="00D926B8"/>
    <w:rsid w:val="00D9305B"/>
    <w:rsid w:val="00D93D0D"/>
    <w:rsid w:val="00D94085"/>
    <w:rsid w:val="00D944D2"/>
    <w:rsid w:val="00D944FA"/>
    <w:rsid w:val="00D96073"/>
    <w:rsid w:val="00D96D4F"/>
    <w:rsid w:val="00DA1806"/>
    <w:rsid w:val="00DA1BD1"/>
    <w:rsid w:val="00DA212B"/>
    <w:rsid w:val="00DA3A76"/>
    <w:rsid w:val="00DA5713"/>
    <w:rsid w:val="00DA5A33"/>
    <w:rsid w:val="00DA6856"/>
    <w:rsid w:val="00DA6D6D"/>
    <w:rsid w:val="00DA73C1"/>
    <w:rsid w:val="00DA7457"/>
    <w:rsid w:val="00DA770D"/>
    <w:rsid w:val="00DA77A8"/>
    <w:rsid w:val="00DA7851"/>
    <w:rsid w:val="00DA7DC1"/>
    <w:rsid w:val="00DB00EE"/>
    <w:rsid w:val="00DB0132"/>
    <w:rsid w:val="00DB1D2E"/>
    <w:rsid w:val="00DB2754"/>
    <w:rsid w:val="00DB2D88"/>
    <w:rsid w:val="00DB3687"/>
    <w:rsid w:val="00DB38D1"/>
    <w:rsid w:val="00DB41CB"/>
    <w:rsid w:val="00DB5114"/>
    <w:rsid w:val="00DB545B"/>
    <w:rsid w:val="00DB651B"/>
    <w:rsid w:val="00DB681B"/>
    <w:rsid w:val="00DB7E24"/>
    <w:rsid w:val="00DC0445"/>
    <w:rsid w:val="00DC115F"/>
    <w:rsid w:val="00DC2082"/>
    <w:rsid w:val="00DC225F"/>
    <w:rsid w:val="00DC2883"/>
    <w:rsid w:val="00DC2C48"/>
    <w:rsid w:val="00DC46B5"/>
    <w:rsid w:val="00DC4AA0"/>
    <w:rsid w:val="00DC4B28"/>
    <w:rsid w:val="00DC4B5D"/>
    <w:rsid w:val="00DC4D1A"/>
    <w:rsid w:val="00DC518C"/>
    <w:rsid w:val="00DC525E"/>
    <w:rsid w:val="00DC535C"/>
    <w:rsid w:val="00DC563C"/>
    <w:rsid w:val="00DC5DCB"/>
    <w:rsid w:val="00DC62CE"/>
    <w:rsid w:val="00DC663B"/>
    <w:rsid w:val="00DC6C0D"/>
    <w:rsid w:val="00DC6C45"/>
    <w:rsid w:val="00DC6D10"/>
    <w:rsid w:val="00DC75E7"/>
    <w:rsid w:val="00DC7994"/>
    <w:rsid w:val="00DC7C2F"/>
    <w:rsid w:val="00DD0581"/>
    <w:rsid w:val="00DD074A"/>
    <w:rsid w:val="00DD0D70"/>
    <w:rsid w:val="00DD1941"/>
    <w:rsid w:val="00DD1A43"/>
    <w:rsid w:val="00DD26A5"/>
    <w:rsid w:val="00DD2812"/>
    <w:rsid w:val="00DD2CE3"/>
    <w:rsid w:val="00DD34F2"/>
    <w:rsid w:val="00DD3C6B"/>
    <w:rsid w:val="00DD4A56"/>
    <w:rsid w:val="00DD4D4D"/>
    <w:rsid w:val="00DD5167"/>
    <w:rsid w:val="00DD54ED"/>
    <w:rsid w:val="00DD68D1"/>
    <w:rsid w:val="00DD697F"/>
    <w:rsid w:val="00DD699C"/>
    <w:rsid w:val="00DD739F"/>
    <w:rsid w:val="00DD7631"/>
    <w:rsid w:val="00DD7762"/>
    <w:rsid w:val="00DD781E"/>
    <w:rsid w:val="00DD7A2C"/>
    <w:rsid w:val="00DD7DDB"/>
    <w:rsid w:val="00DD7F63"/>
    <w:rsid w:val="00DE020A"/>
    <w:rsid w:val="00DE0A1B"/>
    <w:rsid w:val="00DE1238"/>
    <w:rsid w:val="00DE1966"/>
    <w:rsid w:val="00DE1FFE"/>
    <w:rsid w:val="00DE26C2"/>
    <w:rsid w:val="00DE2F9E"/>
    <w:rsid w:val="00DE31B1"/>
    <w:rsid w:val="00DE32E7"/>
    <w:rsid w:val="00DE3578"/>
    <w:rsid w:val="00DE3BB8"/>
    <w:rsid w:val="00DE3C87"/>
    <w:rsid w:val="00DE40EB"/>
    <w:rsid w:val="00DE5117"/>
    <w:rsid w:val="00DE5126"/>
    <w:rsid w:val="00DE51F6"/>
    <w:rsid w:val="00DE5648"/>
    <w:rsid w:val="00DE568A"/>
    <w:rsid w:val="00DE56B7"/>
    <w:rsid w:val="00DE595E"/>
    <w:rsid w:val="00DE5C24"/>
    <w:rsid w:val="00DE5CD9"/>
    <w:rsid w:val="00DE6A70"/>
    <w:rsid w:val="00DE70B5"/>
    <w:rsid w:val="00DE7113"/>
    <w:rsid w:val="00DF0064"/>
    <w:rsid w:val="00DF00F9"/>
    <w:rsid w:val="00DF0576"/>
    <w:rsid w:val="00DF1981"/>
    <w:rsid w:val="00DF1D07"/>
    <w:rsid w:val="00DF1E89"/>
    <w:rsid w:val="00DF1F3F"/>
    <w:rsid w:val="00DF2144"/>
    <w:rsid w:val="00DF24D9"/>
    <w:rsid w:val="00DF257D"/>
    <w:rsid w:val="00DF2EA5"/>
    <w:rsid w:val="00DF310B"/>
    <w:rsid w:val="00DF3E47"/>
    <w:rsid w:val="00DF4DA1"/>
    <w:rsid w:val="00DF5362"/>
    <w:rsid w:val="00DF56E8"/>
    <w:rsid w:val="00DF5C01"/>
    <w:rsid w:val="00DF6655"/>
    <w:rsid w:val="00DF6EB6"/>
    <w:rsid w:val="00DF7133"/>
    <w:rsid w:val="00DF7155"/>
    <w:rsid w:val="00DF722A"/>
    <w:rsid w:val="00DF764C"/>
    <w:rsid w:val="00DF7E39"/>
    <w:rsid w:val="00DF7FBF"/>
    <w:rsid w:val="00E00108"/>
    <w:rsid w:val="00E00BB4"/>
    <w:rsid w:val="00E00CAA"/>
    <w:rsid w:val="00E01441"/>
    <w:rsid w:val="00E01534"/>
    <w:rsid w:val="00E01682"/>
    <w:rsid w:val="00E01692"/>
    <w:rsid w:val="00E01D4A"/>
    <w:rsid w:val="00E02F4B"/>
    <w:rsid w:val="00E03D04"/>
    <w:rsid w:val="00E04332"/>
    <w:rsid w:val="00E043BB"/>
    <w:rsid w:val="00E047A0"/>
    <w:rsid w:val="00E04ECF"/>
    <w:rsid w:val="00E0502A"/>
    <w:rsid w:val="00E0584C"/>
    <w:rsid w:val="00E05902"/>
    <w:rsid w:val="00E059C9"/>
    <w:rsid w:val="00E05B9E"/>
    <w:rsid w:val="00E067C4"/>
    <w:rsid w:val="00E069F1"/>
    <w:rsid w:val="00E06A36"/>
    <w:rsid w:val="00E06DFF"/>
    <w:rsid w:val="00E074C9"/>
    <w:rsid w:val="00E10173"/>
    <w:rsid w:val="00E1048B"/>
    <w:rsid w:val="00E109D9"/>
    <w:rsid w:val="00E10DCA"/>
    <w:rsid w:val="00E1140E"/>
    <w:rsid w:val="00E1198B"/>
    <w:rsid w:val="00E11C0C"/>
    <w:rsid w:val="00E126B2"/>
    <w:rsid w:val="00E127E3"/>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495"/>
    <w:rsid w:val="00E20602"/>
    <w:rsid w:val="00E206D8"/>
    <w:rsid w:val="00E20A87"/>
    <w:rsid w:val="00E2113A"/>
    <w:rsid w:val="00E212CD"/>
    <w:rsid w:val="00E21C65"/>
    <w:rsid w:val="00E21D77"/>
    <w:rsid w:val="00E22A0B"/>
    <w:rsid w:val="00E2307E"/>
    <w:rsid w:val="00E2352B"/>
    <w:rsid w:val="00E23E84"/>
    <w:rsid w:val="00E23F9B"/>
    <w:rsid w:val="00E2429C"/>
    <w:rsid w:val="00E2473A"/>
    <w:rsid w:val="00E24D23"/>
    <w:rsid w:val="00E24EB8"/>
    <w:rsid w:val="00E2546F"/>
    <w:rsid w:val="00E26285"/>
    <w:rsid w:val="00E26649"/>
    <w:rsid w:val="00E26A10"/>
    <w:rsid w:val="00E2703D"/>
    <w:rsid w:val="00E271F9"/>
    <w:rsid w:val="00E27B56"/>
    <w:rsid w:val="00E27F0A"/>
    <w:rsid w:val="00E30149"/>
    <w:rsid w:val="00E30340"/>
    <w:rsid w:val="00E30712"/>
    <w:rsid w:val="00E309B0"/>
    <w:rsid w:val="00E30AF6"/>
    <w:rsid w:val="00E30E67"/>
    <w:rsid w:val="00E31876"/>
    <w:rsid w:val="00E32143"/>
    <w:rsid w:val="00E325F3"/>
    <w:rsid w:val="00E326E9"/>
    <w:rsid w:val="00E32B61"/>
    <w:rsid w:val="00E33106"/>
    <w:rsid w:val="00E33A97"/>
    <w:rsid w:val="00E341C4"/>
    <w:rsid w:val="00E345C2"/>
    <w:rsid w:val="00E34D99"/>
    <w:rsid w:val="00E352C3"/>
    <w:rsid w:val="00E35476"/>
    <w:rsid w:val="00E355C0"/>
    <w:rsid w:val="00E359A5"/>
    <w:rsid w:val="00E35C28"/>
    <w:rsid w:val="00E36DE1"/>
    <w:rsid w:val="00E372F7"/>
    <w:rsid w:val="00E37431"/>
    <w:rsid w:val="00E37B66"/>
    <w:rsid w:val="00E37DC0"/>
    <w:rsid w:val="00E37E0A"/>
    <w:rsid w:val="00E37EC6"/>
    <w:rsid w:val="00E40432"/>
    <w:rsid w:val="00E40850"/>
    <w:rsid w:val="00E40D52"/>
    <w:rsid w:val="00E41187"/>
    <w:rsid w:val="00E411B3"/>
    <w:rsid w:val="00E41585"/>
    <w:rsid w:val="00E41F94"/>
    <w:rsid w:val="00E42116"/>
    <w:rsid w:val="00E421ED"/>
    <w:rsid w:val="00E4220D"/>
    <w:rsid w:val="00E4231E"/>
    <w:rsid w:val="00E426E4"/>
    <w:rsid w:val="00E4279A"/>
    <w:rsid w:val="00E429ED"/>
    <w:rsid w:val="00E43894"/>
    <w:rsid w:val="00E443CE"/>
    <w:rsid w:val="00E44511"/>
    <w:rsid w:val="00E4457E"/>
    <w:rsid w:val="00E44A72"/>
    <w:rsid w:val="00E44AC7"/>
    <w:rsid w:val="00E450C4"/>
    <w:rsid w:val="00E45B2D"/>
    <w:rsid w:val="00E468F2"/>
    <w:rsid w:val="00E47A20"/>
    <w:rsid w:val="00E5084C"/>
    <w:rsid w:val="00E50871"/>
    <w:rsid w:val="00E50AD9"/>
    <w:rsid w:val="00E50B4C"/>
    <w:rsid w:val="00E51241"/>
    <w:rsid w:val="00E512FE"/>
    <w:rsid w:val="00E5198D"/>
    <w:rsid w:val="00E52063"/>
    <w:rsid w:val="00E524C1"/>
    <w:rsid w:val="00E52579"/>
    <w:rsid w:val="00E52DE3"/>
    <w:rsid w:val="00E53424"/>
    <w:rsid w:val="00E53533"/>
    <w:rsid w:val="00E537ED"/>
    <w:rsid w:val="00E5384D"/>
    <w:rsid w:val="00E53F2E"/>
    <w:rsid w:val="00E54004"/>
    <w:rsid w:val="00E546C9"/>
    <w:rsid w:val="00E54BB9"/>
    <w:rsid w:val="00E54D3F"/>
    <w:rsid w:val="00E55F1F"/>
    <w:rsid w:val="00E56735"/>
    <w:rsid w:val="00E56866"/>
    <w:rsid w:val="00E56904"/>
    <w:rsid w:val="00E5692B"/>
    <w:rsid w:val="00E570A4"/>
    <w:rsid w:val="00E5730D"/>
    <w:rsid w:val="00E576BE"/>
    <w:rsid w:val="00E57C1E"/>
    <w:rsid w:val="00E57DFD"/>
    <w:rsid w:val="00E60423"/>
    <w:rsid w:val="00E60545"/>
    <w:rsid w:val="00E606F4"/>
    <w:rsid w:val="00E607E5"/>
    <w:rsid w:val="00E609B4"/>
    <w:rsid w:val="00E60A16"/>
    <w:rsid w:val="00E610CB"/>
    <w:rsid w:val="00E6125B"/>
    <w:rsid w:val="00E6170A"/>
    <w:rsid w:val="00E62816"/>
    <w:rsid w:val="00E62ADF"/>
    <w:rsid w:val="00E62FA7"/>
    <w:rsid w:val="00E637A3"/>
    <w:rsid w:val="00E659FD"/>
    <w:rsid w:val="00E65B0C"/>
    <w:rsid w:val="00E66B16"/>
    <w:rsid w:val="00E66BA2"/>
    <w:rsid w:val="00E671FC"/>
    <w:rsid w:val="00E677DB"/>
    <w:rsid w:val="00E67F69"/>
    <w:rsid w:val="00E700F8"/>
    <w:rsid w:val="00E708D9"/>
    <w:rsid w:val="00E71C2D"/>
    <w:rsid w:val="00E72187"/>
    <w:rsid w:val="00E7266C"/>
    <w:rsid w:val="00E72789"/>
    <w:rsid w:val="00E72BB6"/>
    <w:rsid w:val="00E72CD0"/>
    <w:rsid w:val="00E730AC"/>
    <w:rsid w:val="00E7310C"/>
    <w:rsid w:val="00E733ED"/>
    <w:rsid w:val="00E734CE"/>
    <w:rsid w:val="00E73AE4"/>
    <w:rsid w:val="00E73D33"/>
    <w:rsid w:val="00E7444D"/>
    <w:rsid w:val="00E74E80"/>
    <w:rsid w:val="00E750CB"/>
    <w:rsid w:val="00E75275"/>
    <w:rsid w:val="00E76BDB"/>
    <w:rsid w:val="00E778DC"/>
    <w:rsid w:val="00E77CF9"/>
    <w:rsid w:val="00E80336"/>
    <w:rsid w:val="00E80D00"/>
    <w:rsid w:val="00E811B4"/>
    <w:rsid w:val="00E815CE"/>
    <w:rsid w:val="00E81611"/>
    <w:rsid w:val="00E81800"/>
    <w:rsid w:val="00E81863"/>
    <w:rsid w:val="00E81C42"/>
    <w:rsid w:val="00E81C5C"/>
    <w:rsid w:val="00E81FDB"/>
    <w:rsid w:val="00E81FE6"/>
    <w:rsid w:val="00E82064"/>
    <w:rsid w:val="00E8296A"/>
    <w:rsid w:val="00E82B6E"/>
    <w:rsid w:val="00E82DC6"/>
    <w:rsid w:val="00E8347E"/>
    <w:rsid w:val="00E835C5"/>
    <w:rsid w:val="00E83ACD"/>
    <w:rsid w:val="00E83D4B"/>
    <w:rsid w:val="00E83F3C"/>
    <w:rsid w:val="00E848F0"/>
    <w:rsid w:val="00E84D1C"/>
    <w:rsid w:val="00E84D9C"/>
    <w:rsid w:val="00E85069"/>
    <w:rsid w:val="00E8628F"/>
    <w:rsid w:val="00E86888"/>
    <w:rsid w:val="00E868A2"/>
    <w:rsid w:val="00E8695C"/>
    <w:rsid w:val="00E86C0B"/>
    <w:rsid w:val="00E86DDD"/>
    <w:rsid w:val="00E87CC7"/>
    <w:rsid w:val="00E907C4"/>
    <w:rsid w:val="00E92246"/>
    <w:rsid w:val="00E92A2C"/>
    <w:rsid w:val="00E92C96"/>
    <w:rsid w:val="00E93057"/>
    <w:rsid w:val="00E942B8"/>
    <w:rsid w:val="00E944ED"/>
    <w:rsid w:val="00E945AF"/>
    <w:rsid w:val="00E94A0B"/>
    <w:rsid w:val="00E94A2C"/>
    <w:rsid w:val="00E94D84"/>
    <w:rsid w:val="00E9544C"/>
    <w:rsid w:val="00E95799"/>
    <w:rsid w:val="00E95D93"/>
    <w:rsid w:val="00E9683D"/>
    <w:rsid w:val="00E96BCE"/>
    <w:rsid w:val="00E96D2C"/>
    <w:rsid w:val="00E970B7"/>
    <w:rsid w:val="00E97D95"/>
    <w:rsid w:val="00EA0035"/>
    <w:rsid w:val="00EA00CB"/>
    <w:rsid w:val="00EA010D"/>
    <w:rsid w:val="00EA04C5"/>
    <w:rsid w:val="00EA0507"/>
    <w:rsid w:val="00EA0BB5"/>
    <w:rsid w:val="00EA1A8A"/>
    <w:rsid w:val="00EA21FA"/>
    <w:rsid w:val="00EA25EB"/>
    <w:rsid w:val="00EA26D5"/>
    <w:rsid w:val="00EA2775"/>
    <w:rsid w:val="00EA305D"/>
    <w:rsid w:val="00EA3106"/>
    <w:rsid w:val="00EA3666"/>
    <w:rsid w:val="00EA3874"/>
    <w:rsid w:val="00EA5697"/>
    <w:rsid w:val="00EA5AB6"/>
    <w:rsid w:val="00EA5FB0"/>
    <w:rsid w:val="00EA612E"/>
    <w:rsid w:val="00EA74C6"/>
    <w:rsid w:val="00EA761C"/>
    <w:rsid w:val="00EA7D7F"/>
    <w:rsid w:val="00EB0810"/>
    <w:rsid w:val="00EB0B3D"/>
    <w:rsid w:val="00EB0B5F"/>
    <w:rsid w:val="00EB0C07"/>
    <w:rsid w:val="00EB0F22"/>
    <w:rsid w:val="00EB1461"/>
    <w:rsid w:val="00EB1CF7"/>
    <w:rsid w:val="00EB25C2"/>
    <w:rsid w:val="00EB2B6F"/>
    <w:rsid w:val="00EB2CAD"/>
    <w:rsid w:val="00EB2FA2"/>
    <w:rsid w:val="00EB3272"/>
    <w:rsid w:val="00EB37B2"/>
    <w:rsid w:val="00EB3FF9"/>
    <w:rsid w:val="00EB5F0B"/>
    <w:rsid w:val="00EB5FD7"/>
    <w:rsid w:val="00EB61C6"/>
    <w:rsid w:val="00EB7352"/>
    <w:rsid w:val="00EB769A"/>
    <w:rsid w:val="00EC025D"/>
    <w:rsid w:val="00EC0F56"/>
    <w:rsid w:val="00EC11E4"/>
    <w:rsid w:val="00EC14E1"/>
    <w:rsid w:val="00EC183C"/>
    <w:rsid w:val="00EC2A3F"/>
    <w:rsid w:val="00EC2E64"/>
    <w:rsid w:val="00EC3A35"/>
    <w:rsid w:val="00EC3C52"/>
    <w:rsid w:val="00EC3E5B"/>
    <w:rsid w:val="00EC3E69"/>
    <w:rsid w:val="00EC41A7"/>
    <w:rsid w:val="00EC4257"/>
    <w:rsid w:val="00EC45B5"/>
    <w:rsid w:val="00EC46CE"/>
    <w:rsid w:val="00EC4F94"/>
    <w:rsid w:val="00EC5554"/>
    <w:rsid w:val="00EC572B"/>
    <w:rsid w:val="00EC5B8E"/>
    <w:rsid w:val="00EC5F90"/>
    <w:rsid w:val="00EC67C2"/>
    <w:rsid w:val="00EC7356"/>
    <w:rsid w:val="00EC75F6"/>
    <w:rsid w:val="00ED0065"/>
    <w:rsid w:val="00ED17B5"/>
    <w:rsid w:val="00ED1BA0"/>
    <w:rsid w:val="00ED1D2D"/>
    <w:rsid w:val="00ED353D"/>
    <w:rsid w:val="00ED588C"/>
    <w:rsid w:val="00ED6854"/>
    <w:rsid w:val="00ED687F"/>
    <w:rsid w:val="00ED6E7A"/>
    <w:rsid w:val="00ED6EA1"/>
    <w:rsid w:val="00ED763A"/>
    <w:rsid w:val="00ED7A7F"/>
    <w:rsid w:val="00ED7DD8"/>
    <w:rsid w:val="00EE060B"/>
    <w:rsid w:val="00EE07AC"/>
    <w:rsid w:val="00EE0891"/>
    <w:rsid w:val="00EE0C94"/>
    <w:rsid w:val="00EE1062"/>
    <w:rsid w:val="00EE17F2"/>
    <w:rsid w:val="00EE1807"/>
    <w:rsid w:val="00EE188A"/>
    <w:rsid w:val="00EE1B01"/>
    <w:rsid w:val="00EE1C62"/>
    <w:rsid w:val="00EE1CC9"/>
    <w:rsid w:val="00EE1DB8"/>
    <w:rsid w:val="00EE1FA9"/>
    <w:rsid w:val="00EE2746"/>
    <w:rsid w:val="00EE3256"/>
    <w:rsid w:val="00EE4556"/>
    <w:rsid w:val="00EE4759"/>
    <w:rsid w:val="00EE47C2"/>
    <w:rsid w:val="00EE4C20"/>
    <w:rsid w:val="00EE4F2D"/>
    <w:rsid w:val="00EE524C"/>
    <w:rsid w:val="00EE589E"/>
    <w:rsid w:val="00EE61CA"/>
    <w:rsid w:val="00EE6755"/>
    <w:rsid w:val="00EE7411"/>
    <w:rsid w:val="00EE78D6"/>
    <w:rsid w:val="00EF03DC"/>
    <w:rsid w:val="00EF0437"/>
    <w:rsid w:val="00EF0BFE"/>
    <w:rsid w:val="00EF1878"/>
    <w:rsid w:val="00EF1DE8"/>
    <w:rsid w:val="00EF2AC7"/>
    <w:rsid w:val="00EF3046"/>
    <w:rsid w:val="00EF31D6"/>
    <w:rsid w:val="00EF3397"/>
    <w:rsid w:val="00EF348C"/>
    <w:rsid w:val="00EF40BF"/>
    <w:rsid w:val="00EF4313"/>
    <w:rsid w:val="00EF4557"/>
    <w:rsid w:val="00EF493F"/>
    <w:rsid w:val="00EF5947"/>
    <w:rsid w:val="00EF5E22"/>
    <w:rsid w:val="00EF60CA"/>
    <w:rsid w:val="00EF61D3"/>
    <w:rsid w:val="00EF63C1"/>
    <w:rsid w:val="00EF6557"/>
    <w:rsid w:val="00EF69B7"/>
    <w:rsid w:val="00EF6C2B"/>
    <w:rsid w:val="00EF73F5"/>
    <w:rsid w:val="00F00059"/>
    <w:rsid w:val="00F008BD"/>
    <w:rsid w:val="00F00C3D"/>
    <w:rsid w:val="00F021A9"/>
    <w:rsid w:val="00F02C54"/>
    <w:rsid w:val="00F02CC5"/>
    <w:rsid w:val="00F02CD0"/>
    <w:rsid w:val="00F02D03"/>
    <w:rsid w:val="00F035DB"/>
    <w:rsid w:val="00F0448C"/>
    <w:rsid w:val="00F048DE"/>
    <w:rsid w:val="00F04905"/>
    <w:rsid w:val="00F04A7F"/>
    <w:rsid w:val="00F0501A"/>
    <w:rsid w:val="00F0553C"/>
    <w:rsid w:val="00F06BA7"/>
    <w:rsid w:val="00F06C50"/>
    <w:rsid w:val="00F071BA"/>
    <w:rsid w:val="00F11D2E"/>
    <w:rsid w:val="00F1284F"/>
    <w:rsid w:val="00F136A4"/>
    <w:rsid w:val="00F1377B"/>
    <w:rsid w:val="00F13C5E"/>
    <w:rsid w:val="00F14108"/>
    <w:rsid w:val="00F148D5"/>
    <w:rsid w:val="00F15335"/>
    <w:rsid w:val="00F15DBA"/>
    <w:rsid w:val="00F1601A"/>
    <w:rsid w:val="00F160BF"/>
    <w:rsid w:val="00F16173"/>
    <w:rsid w:val="00F1675C"/>
    <w:rsid w:val="00F16A3C"/>
    <w:rsid w:val="00F17428"/>
    <w:rsid w:val="00F177DA"/>
    <w:rsid w:val="00F20046"/>
    <w:rsid w:val="00F20814"/>
    <w:rsid w:val="00F20CC1"/>
    <w:rsid w:val="00F20D22"/>
    <w:rsid w:val="00F21A58"/>
    <w:rsid w:val="00F22B53"/>
    <w:rsid w:val="00F22C46"/>
    <w:rsid w:val="00F2302A"/>
    <w:rsid w:val="00F23048"/>
    <w:rsid w:val="00F239CD"/>
    <w:rsid w:val="00F23DCC"/>
    <w:rsid w:val="00F24294"/>
    <w:rsid w:val="00F2429F"/>
    <w:rsid w:val="00F24408"/>
    <w:rsid w:val="00F2477C"/>
    <w:rsid w:val="00F24E5D"/>
    <w:rsid w:val="00F24EBB"/>
    <w:rsid w:val="00F252C5"/>
    <w:rsid w:val="00F265A1"/>
    <w:rsid w:val="00F2697E"/>
    <w:rsid w:val="00F27696"/>
    <w:rsid w:val="00F2777F"/>
    <w:rsid w:val="00F27F06"/>
    <w:rsid w:val="00F314E8"/>
    <w:rsid w:val="00F316A2"/>
    <w:rsid w:val="00F323A2"/>
    <w:rsid w:val="00F332D4"/>
    <w:rsid w:val="00F3359E"/>
    <w:rsid w:val="00F33661"/>
    <w:rsid w:val="00F33B57"/>
    <w:rsid w:val="00F33CA8"/>
    <w:rsid w:val="00F33D5C"/>
    <w:rsid w:val="00F348B7"/>
    <w:rsid w:val="00F356D6"/>
    <w:rsid w:val="00F363A5"/>
    <w:rsid w:val="00F372DB"/>
    <w:rsid w:val="00F3785D"/>
    <w:rsid w:val="00F378BE"/>
    <w:rsid w:val="00F37D37"/>
    <w:rsid w:val="00F400E3"/>
    <w:rsid w:val="00F4021A"/>
    <w:rsid w:val="00F40876"/>
    <w:rsid w:val="00F40BD7"/>
    <w:rsid w:val="00F4363B"/>
    <w:rsid w:val="00F44642"/>
    <w:rsid w:val="00F44C60"/>
    <w:rsid w:val="00F4549F"/>
    <w:rsid w:val="00F454A2"/>
    <w:rsid w:val="00F4591E"/>
    <w:rsid w:val="00F45A32"/>
    <w:rsid w:val="00F45E89"/>
    <w:rsid w:val="00F47845"/>
    <w:rsid w:val="00F47B6C"/>
    <w:rsid w:val="00F50039"/>
    <w:rsid w:val="00F50675"/>
    <w:rsid w:val="00F5071D"/>
    <w:rsid w:val="00F50BD6"/>
    <w:rsid w:val="00F50E16"/>
    <w:rsid w:val="00F513B2"/>
    <w:rsid w:val="00F51520"/>
    <w:rsid w:val="00F52140"/>
    <w:rsid w:val="00F521E4"/>
    <w:rsid w:val="00F529C2"/>
    <w:rsid w:val="00F52CCE"/>
    <w:rsid w:val="00F52FD5"/>
    <w:rsid w:val="00F53151"/>
    <w:rsid w:val="00F535A9"/>
    <w:rsid w:val="00F53D7D"/>
    <w:rsid w:val="00F53F92"/>
    <w:rsid w:val="00F5480F"/>
    <w:rsid w:val="00F54AA5"/>
    <w:rsid w:val="00F552F7"/>
    <w:rsid w:val="00F553A7"/>
    <w:rsid w:val="00F554EB"/>
    <w:rsid w:val="00F5562D"/>
    <w:rsid w:val="00F55BC7"/>
    <w:rsid w:val="00F566EA"/>
    <w:rsid w:val="00F567A4"/>
    <w:rsid w:val="00F570B4"/>
    <w:rsid w:val="00F578EB"/>
    <w:rsid w:val="00F605BE"/>
    <w:rsid w:val="00F6098E"/>
    <w:rsid w:val="00F60AF6"/>
    <w:rsid w:val="00F60DDC"/>
    <w:rsid w:val="00F610A9"/>
    <w:rsid w:val="00F617BE"/>
    <w:rsid w:val="00F61C7A"/>
    <w:rsid w:val="00F625F7"/>
    <w:rsid w:val="00F62DF4"/>
    <w:rsid w:val="00F64702"/>
    <w:rsid w:val="00F64703"/>
    <w:rsid w:val="00F64D5A"/>
    <w:rsid w:val="00F65399"/>
    <w:rsid w:val="00F65B68"/>
    <w:rsid w:val="00F65C22"/>
    <w:rsid w:val="00F65EC9"/>
    <w:rsid w:val="00F66CB1"/>
    <w:rsid w:val="00F672BD"/>
    <w:rsid w:val="00F677CB"/>
    <w:rsid w:val="00F67E15"/>
    <w:rsid w:val="00F67EB5"/>
    <w:rsid w:val="00F67FCA"/>
    <w:rsid w:val="00F70815"/>
    <w:rsid w:val="00F709F4"/>
    <w:rsid w:val="00F71019"/>
    <w:rsid w:val="00F710A9"/>
    <w:rsid w:val="00F7284D"/>
    <w:rsid w:val="00F72CFE"/>
    <w:rsid w:val="00F72FB0"/>
    <w:rsid w:val="00F73423"/>
    <w:rsid w:val="00F7365E"/>
    <w:rsid w:val="00F737A4"/>
    <w:rsid w:val="00F73950"/>
    <w:rsid w:val="00F739E1"/>
    <w:rsid w:val="00F74DF2"/>
    <w:rsid w:val="00F75481"/>
    <w:rsid w:val="00F763F2"/>
    <w:rsid w:val="00F76664"/>
    <w:rsid w:val="00F76A4C"/>
    <w:rsid w:val="00F76AB3"/>
    <w:rsid w:val="00F77B2C"/>
    <w:rsid w:val="00F77B2E"/>
    <w:rsid w:val="00F81408"/>
    <w:rsid w:val="00F816A4"/>
    <w:rsid w:val="00F81AE9"/>
    <w:rsid w:val="00F827B0"/>
    <w:rsid w:val="00F8281D"/>
    <w:rsid w:val="00F82C78"/>
    <w:rsid w:val="00F82E2E"/>
    <w:rsid w:val="00F83186"/>
    <w:rsid w:val="00F83601"/>
    <w:rsid w:val="00F837E6"/>
    <w:rsid w:val="00F8389A"/>
    <w:rsid w:val="00F83AE9"/>
    <w:rsid w:val="00F83B7E"/>
    <w:rsid w:val="00F83EC8"/>
    <w:rsid w:val="00F843D4"/>
    <w:rsid w:val="00F84A40"/>
    <w:rsid w:val="00F84B50"/>
    <w:rsid w:val="00F84DBD"/>
    <w:rsid w:val="00F8516E"/>
    <w:rsid w:val="00F852E5"/>
    <w:rsid w:val="00F85C0D"/>
    <w:rsid w:val="00F863F3"/>
    <w:rsid w:val="00F86741"/>
    <w:rsid w:val="00F86796"/>
    <w:rsid w:val="00F871E2"/>
    <w:rsid w:val="00F87C3F"/>
    <w:rsid w:val="00F87C5B"/>
    <w:rsid w:val="00F87FEA"/>
    <w:rsid w:val="00F90613"/>
    <w:rsid w:val="00F906F4"/>
    <w:rsid w:val="00F915F3"/>
    <w:rsid w:val="00F916BA"/>
    <w:rsid w:val="00F91800"/>
    <w:rsid w:val="00F91853"/>
    <w:rsid w:val="00F91987"/>
    <w:rsid w:val="00F9208E"/>
    <w:rsid w:val="00F92571"/>
    <w:rsid w:val="00F9303F"/>
    <w:rsid w:val="00F93B2F"/>
    <w:rsid w:val="00F93CAE"/>
    <w:rsid w:val="00F9453D"/>
    <w:rsid w:val="00F94A60"/>
    <w:rsid w:val="00F954E4"/>
    <w:rsid w:val="00F95CCE"/>
    <w:rsid w:val="00F9692D"/>
    <w:rsid w:val="00F978BE"/>
    <w:rsid w:val="00F97D7B"/>
    <w:rsid w:val="00FA0013"/>
    <w:rsid w:val="00FA0154"/>
    <w:rsid w:val="00FA0288"/>
    <w:rsid w:val="00FA0C62"/>
    <w:rsid w:val="00FA0DE3"/>
    <w:rsid w:val="00FA0F71"/>
    <w:rsid w:val="00FA15A1"/>
    <w:rsid w:val="00FA1730"/>
    <w:rsid w:val="00FA23E2"/>
    <w:rsid w:val="00FA26BC"/>
    <w:rsid w:val="00FA3872"/>
    <w:rsid w:val="00FA3A97"/>
    <w:rsid w:val="00FA3AEA"/>
    <w:rsid w:val="00FA4219"/>
    <w:rsid w:val="00FA48C7"/>
    <w:rsid w:val="00FA54FF"/>
    <w:rsid w:val="00FA5570"/>
    <w:rsid w:val="00FA55A3"/>
    <w:rsid w:val="00FA59E0"/>
    <w:rsid w:val="00FA5C0B"/>
    <w:rsid w:val="00FA70F5"/>
    <w:rsid w:val="00FA7902"/>
    <w:rsid w:val="00FB005D"/>
    <w:rsid w:val="00FB17DA"/>
    <w:rsid w:val="00FB183E"/>
    <w:rsid w:val="00FB1CD3"/>
    <w:rsid w:val="00FB1D54"/>
    <w:rsid w:val="00FB3363"/>
    <w:rsid w:val="00FB4048"/>
    <w:rsid w:val="00FB446E"/>
    <w:rsid w:val="00FB4629"/>
    <w:rsid w:val="00FB5422"/>
    <w:rsid w:val="00FB577F"/>
    <w:rsid w:val="00FB5E5D"/>
    <w:rsid w:val="00FB5FC4"/>
    <w:rsid w:val="00FB6A07"/>
    <w:rsid w:val="00FB6A9E"/>
    <w:rsid w:val="00FB6D74"/>
    <w:rsid w:val="00FB6F18"/>
    <w:rsid w:val="00FB6FB1"/>
    <w:rsid w:val="00FB7460"/>
    <w:rsid w:val="00FB7747"/>
    <w:rsid w:val="00FB7A10"/>
    <w:rsid w:val="00FB7C00"/>
    <w:rsid w:val="00FC0F81"/>
    <w:rsid w:val="00FC1016"/>
    <w:rsid w:val="00FC1940"/>
    <w:rsid w:val="00FC3739"/>
    <w:rsid w:val="00FC3798"/>
    <w:rsid w:val="00FC41C0"/>
    <w:rsid w:val="00FC51CE"/>
    <w:rsid w:val="00FC577C"/>
    <w:rsid w:val="00FC59AF"/>
    <w:rsid w:val="00FC5C43"/>
    <w:rsid w:val="00FC5F72"/>
    <w:rsid w:val="00FC62B5"/>
    <w:rsid w:val="00FC6842"/>
    <w:rsid w:val="00FC6D4E"/>
    <w:rsid w:val="00FC7073"/>
    <w:rsid w:val="00FC736F"/>
    <w:rsid w:val="00FD0CDB"/>
    <w:rsid w:val="00FD1FA7"/>
    <w:rsid w:val="00FD271B"/>
    <w:rsid w:val="00FD2D42"/>
    <w:rsid w:val="00FD30B5"/>
    <w:rsid w:val="00FD3453"/>
    <w:rsid w:val="00FD39CF"/>
    <w:rsid w:val="00FD4B7B"/>
    <w:rsid w:val="00FD4D4D"/>
    <w:rsid w:val="00FD4D84"/>
    <w:rsid w:val="00FD5468"/>
    <w:rsid w:val="00FD58F5"/>
    <w:rsid w:val="00FD6287"/>
    <w:rsid w:val="00FD754C"/>
    <w:rsid w:val="00FE0DAE"/>
    <w:rsid w:val="00FE0E6B"/>
    <w:rsid w:val="00FE0F42"/>
    <w:rsid w:val="00FE1370"/>
    <w:rsid w:val="00FE1510"/>
    <w:rsid w:val="00FE2121"/>
    <w:rsid w:val="00FE254A"/>
    <w:rsid w:val="00FE321B"/>
    <w:rsid w:val="00FE3D07"/>
    <w:rsid w:val="00FE4411"/>
    <w:rsid w:val="00FE4B6F"/>
    <w:rsid w:val="00FE6818"/>
    <w:rsid w:val="00FE6A9E"/>
    <w:rsid w:val="00FE6BFB"/>
    <w:rsid w:val="00FE6CA1"/>
    <w:rsid w:val="00FF0693"/>
    <w:rsid w:val="00FF0CF5"/>
    <w:rsid w:val="00FF0D6F"/>
    <w:rsid w:val="00FF0E9E"/>
    <w:rsid w:val="00FF1103"/>
    <w:rsid w:val="00FF1712"/>
    <w:rsid w:val="00FF1F2C"/>
    <w:rsid w:val="00FF213D"/>
    <w:rsid w:val="00FF251D"/>
    <w:rsid w:val="00FF37DC"/>
    <w:rsid w:val="00FF37F2"/>
    <w:rsid w:val="00FF43D9"/>
    <w:rsid w:val="00FF4FD3"/>
    <w:rsid w:val="00FF5414"/>
    <w:rsid w:val="00FF5B3C"/>
    <w:rsid w:val="00FF5BB7"/>
    <w:rsid w:val="00FF69C8"/>
    <w:rsid w:val="00FF6D3D"/>
    <w:rsid w:val="00FF72A4"/>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Fuerte">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 w:type="paragraph" w:styleId="Sinespaciado">
    <w:name w:val="No Spacing"/>
    <w:aliases w:val="No Indent"/>
    <w:uiPriority w:val="3"/>
    <w:qFormat/>
    <w:rsid w:val="00A941E5"/>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16267712">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88226555">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05725274">
      <w:bodyDiv w:val="1"/>
      <w:marLeft w:val="0"/>
      <w:marRight w:val="0"/>
      <w:marTop w:val="0"/>
      <w:marBottom w:val="0"/>
      <w:divBdr>
        <w:top w:val="none" w:sz="0" w:space="0" w:color="auto"/>
        <w:left w:val="none" w:sz="0" w:space="0" w:color="auto"/>
        <w:bottom w:val="none" w:sz="0" w:space="0" w:color="auto"/>
        <w:right w:val="none" w:sz="0" w:space="0" w:color="auto"/>
      </w:divBdr>
    </w:div>
    <w:div w:id="20808101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28160872">
      <w:bodyDiv w:val="1"/>
      <w:marLeft w:val="0"/>
      <w:marRight w:val="0"/>
      <w:marTop w:val="0"/>
      <w:marBottom w:val="0"/>
      <w:divBdr>
        <w:top w:val="none" w:sz="0" w:space="0" w:color="auto"/>
        <w:left w:val="none" w:sz="0" w:space="0" w:color="auto"/>
        <w:bottom w:val="none" w:sz="0" w:space="0" w:color="auto"/>
        <w:right w:val="none" w:sz="0" w:space="0" w:color="auto"/>
      </w:divBdr>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46126218">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47847777">
      <w:bodyDiv w:val="1"/>
      <w:marLeft w:val="0"/>
      <w:marRight w:val="0"/>
      <w:marTop w:val="0"/>
      <w:marBottom w:val="0"/>
      <w:divBdr>
        <w:top w:val="none" w:sz="0" w:space="0" w:color="auto"/>
        <w:left w:val="none" w:sz="0" w:space="0" w:color="auto"/>
        <w:bottom w:val="none" w:sz="0" w:space="0" w:color="auto"/>
        <w:right w:val="none" w:sz="0" w:space="0" w:color="auto"/>
      </w:divBdr>
    </w:div>
    <w:div w:id="775296135">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878083033">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11965376">
      <w:bodyDiv w:val="1"/>
      <w:marLeft w:val="0"/>
      <w:marRight w:val="0"/>
      <w:marTop w:val="0"/>
      <w:marBottom w:val="0"/>
      <w:divBdr>
        <w:top w:val="none" w:sz="0" w:space="0" w:color="auto"/>
        <w:left w:val="none" w:sz="0" w:space="0" w:color="auto"/>
        <w:bottom w:val="none" w:sz="0" w:space="0" w:color="auto"/>
        <w:right w:val="none" w:sz="0" w:space="0" w:color="auto"/>
      </w:divBdr>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03522700">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83409235">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09571453">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6920400">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571307291">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21290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82143045">
      <w:bodyDiv w:val="1"/>
      <w:marLeft w:val="0"/>
      <w:marRight w:val="0"/>
      <w:marTop w:val="0"/>
      <w:marBottom w:val="0"/>
      <w:divBdr>
        <w:top w:val="none" w:sz="0" w:space="0" w:color="auto"/>
        <w:left w:val="none" w:sz="0" w:space="0" w:color="auto"/>
        <w:bottom w:val="none" w:sz="0" w:space="0" w:color="auto"/>
        <w:right w:val="none" w:sz="0" w:space="0" w:color="auto"/>
      </w:divBdr>
    </w:div>
    <w:div w:id="1783915769">
      <w:bodyDiv w:val="1"/>
      <w:marLeft w:val="0"/>
      <w:marRight w:val="0"/>
      <w:marTop w:val="0"/>
      <w:marBottom w:val="0"/>
      <w:divBdr>
        <w:top w:val="none" w:sz="0" w:space="0" w:color="auto"/>
        <w:left w:val="none" w:sz="0" w:space="0" w:color="auto"/>
        <w:bottom w:val="none" w:sz="0" w:space="0" w:color="auto"/>
        <w:right w:val="none" w:sz="0" w:space="0" w:color="auto"/>
      </w:divBdr>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852135556">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435673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11717450">
      <w:bodyDiv w:val="1"/>
      <w:marLeft w:val="0"/>
      <w:marRight w:val="0"/>
      <w:marTop w:val="0"/>
      <w:marBottom w:val="0"/>
      <w:divBdr>
        <w:top w:val="none" w:sz="0" w:space="0" w:color="auto"/>
        <w:left w:val="none" w:sz="0" w:space="0" w:color="auto"/>
        <w:bottom w:val="none" w:sz="0" w:space="0" w:color="auto"/>
        <w:right w:val="none" w:sz="0" w:space="0" w:color="auto"/>
      </w:divBdr>
    </w:div>
    <w:div w:id="2014717921">
      <w:bodyDiv w:val="1"/>
      <w:marLeft w:val="0"/>
      <w:marRight w:val="0"/>
      <w:marTop w:val="0"/>
      <w:marBottom w:val="0"/>
      <w:divBdr>
        <w:top w:val="none" w:sz="0" w:space="0" w:color="auto"/>
        <w:left w:val="none" w:sz="0" w:space="0" w:color="auto"/>
        <w:bottom w:val="none" w:sz="0" w:space="0" w:color="auto"/>
        <w:right w:val="none" w:sz="0" w:space="0" w:color="auto"/>
      </w:divBdr>
    </w:div>
    <w:div w:id="2015380307">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4656127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m.monsalve.rangel@gmail.com" TargetMode="External"/><Relationship Id="rId17" Type="http://schemas.openxmlformats.org/officeDocument/2006/relationships/image" Target="media/image2.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A3983BE-55B0-4306-AF5D-8A1C0EF2C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19</Pages>
  <Words>6683</Words>
  <Characters>36757</Characters>
  <Application>Microsoft Office Word</Application>
  <DocSecurity>0</DocSecurity>
  <Lines>306</Lines>
  <Paragraphs>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43354</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4</cp:revision>
  <dcterms:created xsi:type="dcterms:W3CDTF">2026-07-02T14:39:00Z</dcterms:created>
  <dcterms:modified xsi:type="dcterms:W3CDTF">2026-07-02T15:34:00Z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