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6B112" w14:textId="77777777" w:rsidR="00123C25" w:rsidRPr="00CC6484" w:rsidRDefault="00123C25" w:rsidP="00123C25">
      <w:pPr>
        <w:spacing w:line="276" w:lineRule="auto"/>
        <w:jc w:val="both"/>
        <w:rPr>
          <w:rFonts w:ascii="Verdana" w:eastAsia="Calibri" w:hAnsi="Verdana" w:cs="Arial"/>
          <w:b/>
          <w:bCs/>
          <w:color w:val="000000" w:themeColor="text1"/>
          <w:lang w:eastAsia="es-ES"/>
        </w:rPr>
      </w:pPr>
      <w:bookmarkStart w:id="0" w:name="_Hlk143780582"/>
      <w:r w:rsidRPr="00CC6484">
        <w:rPr>
          <w:rFonts w:ascii="Verdana" w:eastAsia="Calibri" w:hAnsi="Verdana" w:cs="Arial"/>
          <w:b/>
          <w:bCs/>
          <w:color w:val="000000" w:themeColor="text1"/>
          <w:lang w:eastAsia="es-ES"/>
        </w:rPr>
        <w:t xml:space="preserve">CONTRATACIÓN DIRECTA – Ley 1967 de 2019 – Causal Numeral 25 del artículo 4 – Alcance </w:t>
      </w:r>
    </w:p>
    <w:p w14:paraId="4C13BFBC" w14:textId="09B86B50" w:rsidR="00123C25" w:rsidRPr="00CC6484" w:rsidRDefault="00123C25" w:rsidP="00CC6484">
      <w:pPr>
        <w:spacing w:line="240" w:lineRule="auto"/>
        <w:jc w:val="both"/>
        <w:rPr>
          <w:rFonts w:ascii="Verdana" w:eastAsia="Calibri" w:hAnsi="Verdana" w:cs="Arial"/>
          <w:color w:val="000000" w:themeColor="text1"/>
          <w:sz w:val="20"/>
          <w:szCs w:val="20"/>
          <w:lang w:eastAsia="es-ES"/>
        </w:rPr>
      </w:pPr>
      <w:r w:rsidRPr="00CC6484">
        <w:rPr>
          <w:rFonts w:ascii="Verdana" w:eastAsia="Calibri" w:hAnsi="Verdana" w:cs="Arial"/>
          <w:color w:val="000000" w:themeColor="text1"/>
          <w:sz w:val="20"/>
          <w:szCs w:val="20"/>
          <w:lang w:eastAsia="es-ES"/>
        </w:rPr>
        <w:t>"El numeral 25 del artículo 4 de la Ley 1967 de 2019 otorga al Ministerio del Deporte la competencia para celebrar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 expresamente determinados por el legislador, sin que ello suponga un desplazamiento o modificación del régimen jurídico del EGCAP, al cual se somete la actividad contractual del Ministerio de conformidad con lo dispuesto en el artículo 2 de la Ley 80 de 1993.</w:t>
      </w:r>
    </w:p>
    <w:p w14:paraId="0A54B36B" w14:textId="19266B19" w:rsidR="00976C4E" w:rsidRPr="00976C4E" w:rsidRDefault="00976C4E" w:rsidP="00CC6484">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sz w:val="20"/>
          <w:szCs w:val="20"/>
          <w:lang w:eastAsia="es-ES"/>
        </w:rPr>
        <w:t>[…] la función establecida en el numeral 25 del artículo 4 de la Ley 1967 de 2019 constituye una norma especial en materia de contratación que otorga al Ministerio del Deporte la competencia para celebrar directamente convenios o contratos con entidades u organismos que pertenezcan al Sistema Nacional del Deporte […] Así, la disposición del numeral 25 objeto de análisis establece una causal específica que habilita la contratación directa por parte del Ministerio del Deporte, pero remite expresamente a la aplicación del ordenamiento jurídico que rige la actividad contractual de esta entidad, es decir, al EGCAP.</w:t>
      </w:r>
    </w:p>
    <w:p w14:paraId="4EE10298" w14:textId="3DEE1D34" w:rsidR="00123C25" w:rsidRPr="00CC6484" w:rsidRDefault="00976C4E" w:rsidP="00CC6484">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sz w:val="20"/>
          <w:szCs w:val="20"/>
          <w:lang w:eastAsia="es-ES"/>
        </w:rPr>
        <w:t>En efecto, la función consagrada en el numeral 25 del artículo 4 de la Ley 1967 de 2019 no supone una derogación o antinomia con la normativa del EGCAP que rige la actividad contractual del Ministerio del Deporte. Sin embargo, sustrae de la regla general de la contratación mediante licitación pública dispuesta en el EGCAP un ámbito puntual y específico: la contratación directa con organismos del Sistema Nacional del Deporte, para el desarrollo de su objeto institucional; en todo lo demás, la norma general (el EGCAP) sigue aplicando plenamente en la actividad contractual del Ministerio</w:t>
      </w:r>
      <w:r w:rsidR="00CC6484" w:rsidRPr="00CC6484">
        <w:rPr>
          <w:rFonts w:ascii="Verdana" w:eastAsia="Calibri" w:hAnsi="Verdana" w:cs="Arial"/>
          <w:color w:val="000000" w:themeColor="text1"/>
          <w:sz w:val="20"/>
          <w:szCs w:val="20"/>
          <w:lang w:eastAsia="es-ES"/>
        </w:rPr>
        <w:t>”</w:t>
      </w:r>
      <w:r w:rsidRPr="00976C4E">
        <w:rPr>
          <w:rFonts w:ascii="Verdana" w:eastAsia="Calibri" w:hAnsi="Verdana" w:cs="Arial"/>
          <w:color w:val="000000" w:themeColor="text1"/>
          <w:sz w:val="20"/>
          <w:szCs w:val="20"/>
          <w:lang w:eastAsia="es-ES"/>
        </w:rPr>
        <w:t>.</w:t>
      </w:r>
    </w:p>
    <w:p w14:paraId="743564AE" w14:textId="77777777" w:rsidR="00976C4E" w:rsidRPr="00CC6484" w:rsidRDefault="00123C25" w:rsidP="00123C25">
      <w:pPr>
        <w:spacing w:line="276" w:lineRule="auto"/>
        <w:jc w:val="both"/>
        <w:rPr>
          <w:rFonts w:ascii="Verdana" w:eastAsia="Calibri" w:hAnsi="Verdana" w:cs="Arial"/>
          <w:b/>
          <w:bCs/>
          <w:color w:val="000000" w:themeColor="text1"/>
          <w:lang w:eastAsia="es-ES"/>
        </w:rPr>
      </w:pPr>
      <w:r w:rsidRPr="00CC6484">
        <w:rPr>
          <w:rFonts w:ascii="Verdana" w:eastAsia="Calibri" w:hAnsi="Verdana" w:cs="Arial"/>
          <w:b/>
          <w:bCs/>
          <w:color w:val="000000" w:themeColor="text1"/>
          <w:lang w:eastAsia="es-ES"/>
        </w:rPr>
        <w:t xml:space="preserve">SISTEMA NACIONAL DEL DEPORTE – Sujetos – Artículo 50 de la Ley 181 de 1995 </w:t>
      </w:r>
    </w:p>
    <w:p w14:paraId="5BB259DA" w14:textId="536E865E" w:rsidR="00976C4E" w:rsidRPr="00CC6484" w:rsidRDefault="00976C4E" w:rsidP="00CC6484">
      <w:pPr>
        <w:spacing w:line="240" w:lineRule="auto"/>
        <w:jc w:val="both"/>
        <w:rPr>
          <w:rFonts w:ascii="Verdana" w:eastAsia="Calibri" w:hAnsi="Verdana" w:cs="Arial"/>
          <w:color w:val="000000" w:themeColor="text1"/>
          <w:sz w:val="20"/>
          <w:szCs w:val="20"/>
          <w:lang w:eastAsia="es-ES"/>
        </w:rPr>
      </w:pPr>
      <w:r w:rsidRPr="00976C4E">
        <w:rPr>
          <w:rFonts w:ascii="Verdana" w:eastAsia="Calibri" w:hAnsi="Verdana" w:cs="Arial"/>
          <w:color w:val="000000" w:themeColor="text1"/>
          <w:lang w:eastAsia="es-ES"/>
        </w:rPr>
        <w:t>"</w:t>
      </w:r>
      <w:r w:rsidRPr="00CC6484">
        <w:rPr>
          <w:rFonts w:ascii="Verdana" w:eastAsia="Calibri" w:hAnsi="Verdana" w:cs="Arial"/>
          <w:color w:val="000000" w:themeColor="text1"/>
          <w:sz w:val="20"/>
          <w:szCs w:val="20"/>
          <w:lang w:eastAsia="es-ES"/>
        </w:rPr>
        <w:t>Sobre la vigencia de esta caracterización del Sistema Nacional del Deporte, es importante resaltar que la Ley 1967 de 2019 no derogó las disposiciones señaladas, pues el artículo 18 se refirió a la derogatoria del Decreto 4183 de 2011 y 'las demás disposiciones que le sean contrarias'. En este sentido, la derogatoria expresa no tocó las disposiciones de la Ley 181 de 1995 referidas a los organismos o entidades que componen el Sistema Nacional del Deporte […]"</w:t>
      </w:r>
    </w:p>
    <w:p w14:paraId="58A451D1" w14:textId="78123EAE" w:rsidR="00976C4E" w:rsidRPr="00CC6484" w:rsidRDefault="00976C4E" w:rsidP="00CC6484">
      <w:pPr>
        <w:spacing w:line="240" w:lineRule="auto"/>
        <w:jc w:val="both"/>
        <w:rPr>
          <w:rFonts w:ascii="Verdana" w:eastAsia="Calibri" w:hAnsi="Verdana" w:cs="Arial"/>
          <w:color w:val="000000" w:themeColor="text1"/>
          <w:sz w:val="20"/>
          <w:szCs w:val="20"/>
          <w:lang w:eastAsia="es-ES"/>
        </w:rPr>
      </w:pPr>
      <w:r w:rsidRPr="00CC6484">
        <w:rPr>
          <w:rFonts w:ascii="Verdana" w:eastAsia="Calibri" w:hAnsi="Verdana" w:cs="Arial"/>
          <w:color w:val="000000" w:themeColor="text1"/>
          <w:sz w:val="20"/>
          <w:szCs w:val="20"/>
          <w:lang w:eastAsia="es-ES"/>
        </w:rPr>
        <w:t>Conforme con lo expuesto, el Ministerio del Deporte únicamente podrá ejercer la función de celebrar directamente los convenios y contratos a los cuales hace referencia el numeral 25 del artículo 4 de la Ley 1967 de 2019 con respecto a sujetos que, de acuerdo con la misma normativa vigente del sector, hagan parte del Sistema Nacional del Deporte. En este sentido, según el referido artículo 50 de la Ley 181 de 1995, esta lista comprende al Ministerio de Educación Nacional, el Instituto Colombiano del Deporte —</w:t>
      </w:r>
      <w:r w:rsidRPr="00CC6484">
        <w:rPr>
          <w:rFonts w:ascii="Verdana" w:eastAsia="Calibri" w:hAnsi="Verdana" w:cs="Arial"/>
          <w:color w:val="000000" w:themeColor="text1"/>
          <w:sz w:val="20"/>
          <w:szCs w:val="20"/>
          <w:lang w:eastAsia="es-ES"/>
        </w:rPr>
        <w:lastRenderedPageBreak/>
        <w:t>hoy Ministerio del Deporte—,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 También se entenderán incorporados en la habilitación, por disposición expresa del numeral 25, los organismos internacionales de naturaleza pública o privada que se enmarquen en esta definición</w:t>
      </w:r>
      <w:r w:rsidR="00CC6484">
        <w:rPr>
          <w:rFonts w:ascii="Verdana" w:eastAsia="Calibri" w:hAnsi="Verdana" w:cs="Arial"/>
          <w:color w:val="000000" w:themeColor="text1"/>
          <w:sz w:val="20"/>
          <w:szCs w:val="20"/>
          <w:lang w:eastAsia="es-ES"/>
        </w:rPr>
        <w:t>”</w:t>
      </w:r>
      <w:r w:rsidRPr="00CC6484">
        <w:rPr>
          <w:rFonts w:ascii="Verdana" w:eastAsia="Calibri" w:hAnsi="Verdana" w:cs="Arial"/>
          <w:color w:val="000000" w:themeColor="text1"/>
          <w:sz w:val="20"/>
          <w:szCs w:val="20"/>
          <w:lang w:eastAsia="es-ES"/>
        </w:rPr>
        <w:t>.</w:t>
      </w:r>
    </w:p>
    <w:p w14:paraId="2D6E49CD" w14:textId="78A13670" w:rsidR="00123C25" w:rsidRPr="00CC6484" w:rsidRDefault="00123C25" w:rsidP="00123C25">
      <w:pPr>
        <w:spacing w:line="276" w:lineRule="auto"/>
        <w:jc w:val="both"/>
        <w:rPr>
          <w:rFonts w:ascii="Verdana" w:eastAsia="Calibri" w:hAnsi="Verdana" w:cs="Arial"/>
          <w:b/>
          <w:bCs/>
          <w:color w:val="000000" w:themeColor="text1"/>
          <w:lang w:eastAsia="es-ES"/>
        </w:rPr>
      </w:pPr>
      <w:r w:rsidRPr="00CC6484">
        <w:rPr>
          <w:rFonts w:ascii="Verdana" w:eastAsia="Calibri" w:hAnsi="Verdana" w:cs="Arial"/>
          <w:b/>
          <w:bCs/>
          <w:color w:val="000000" w:themeColor="text1"/>
          <w:lang w:eastAsia="es-ES"/>
        </w:rPr>
        <w:t xml:space="preserve">CONTRATACIÓN CON ORGANISMOS INTERNACIONALES – Ley 1967 de 2019 – Causal Numeral 25 del artículo 4 </w:t>
      </w:r>
    </w:p>
    <w:p w14:paraId="0AE62566" w14:textId="1C55B7D5" w:rsidR="00976C4E" w:rsidRPr="00CC6484" w:rsidRDefault="00CC6484" w:rsidP="00CC6484">
      <w:pPr>
        <w:spacing w:line="240" w:lineRule="auto"/>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w:t>
      </w:r>
      <w:r w:rsidR="00976C4E" w:rsidRPr="00CC6484">
        <w:rPr>
          <w:rFonts w:ascii="Verdana" w:eastAsia="Calibri" w:hAnsi="Verdana" w:cs="Arial"/>
          <w:color w:val="000000" w:themeColor="text1"/>
          <w:sz w:val="20"/>
          <w:szCs w:val="20"/>
          <w:lang w:eastAsia="es-ES"/>
        </w:rPr>
        <w:t>Una consecuencia jurídica de lo expuesto es que el artículo 20 de la Ley 1150 de 2007 será aplicable con respecto a los organismos internacionales con los que contrate directamente el Ministerio del Deporte en ejercicio de la función establecida en el numeral 25 del artículo 4 de la Ley 1967 de 2019, siempre que se trate de organismos internacionales que sean parte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w:t>
      </w:r>
      <w:r w:rsidR="006F47DC">
        <w:rPr>
          <w:rFonts w:ascii="Verdana" w:eastAsia="Calibri" w:hAnsi="Verdana" w:cs="Arial"/>
          <w:color w:val="000000" w:themeColor="text1"/>
          <w:sz w:val="20"/>
          <w:szCs w:val="20"/>
          <w:lang w:eastAsia="es-ES"/>
        </w:rPr>
        <w:t>.</w:t>
      </w:r>
    </w:p>
    <w:p w14:paraId="779BC1FF" w14:textId="77777777" w:rsidR="00123C25" w:rsidRDefault="00123C25" w:rsidP="00F95802">
      <w:pPr>
        <w:spacing w:after="0"/>
        <w:rPr>
          <w:rFonts w:ascii="Verdana" w:hAnsi="Verdana"/>
          <w:lang w:val="es-ES"/>
        </w:rPr>
      </w:pPr>
    </w:p>
    <w:p w14:paraId="7013C5F6" w14:textId="77777777" w:rsidR="00CC6484" w:rsidRDefault="00CC6484" w:rsidP="00F95802">
      <w:pPr>
        <w:spacing w:after="0"/>
        <w:rPr>
          <w:rFonts w:ascii="Verdana" w:hAnsi="Verdana"/>
          <w:lang w:val="es-ES"/>
        </w:rPr>
      </w:pPr>
    </w:p>
    <w:p w14:paraId="75EDA9D1" w14:textId="77777777" w:rsidR="00CC6484" w:rsidRDefault="00CC6484" w:rsidP="00F95802">
      <w:pPr>
        <w:spacing w:after="0"/>
        <w:rPr>
          <w:rFonts w:ascii="Verdana" w:hAnsi="Verdana"/>
          <w:lang w:val="es-ES"/>
        </w:rPr>
      </w:pPr>
    </w:p>
    <w:p w14:paraId="32E15CDF" w14:textId="77777777" w:rsidR="00CC6484" w:rsidRDefault="00CC6484" w:rsidP="00F95802">
      <w:pPr>
        <w:spacing w:after="0"/>
        <w:rPr>
          <w:rFonts w:ascii="Verdana" w:hAnsi="Verdana"/>
          <w:lang w:val="es-ES"/>
        </w:rPr>
      </w:pPr>
    </w:p>
    <w:p w14:paraId="4F731E11" w14:textId="77777777" w:rsidR="00CC6484" w:rsidRDefault="00CC6484" w:rsidP="00F95802">
      <w:pPr>
        <w:spacing w:after="0"/>
        <w:rPr>
          <w:rFonts w:ascii="Verdana" w:hAnsi="Verdana"/>
          <w:lang w:val="es-ES"/>
        </w:rPr>
      </w:pPr>
    </w:p>
    <w:p w14:paraId="7AE754E3" w14:textId="77777777" w:rsidR="00CC6484" w:rsidRDefault="00CC6484" w:rsidP="00F95802">
      <w:pPr>
        <w:spacing w:after="0"/>
        <w:rPr>
          <w:rFonts w:ascii="Verdana" w:hAnsi="Verdana"/>
          <w:lang w:val="es-ES"/>
        </w:rPr>
      </w:pPr>
    </w:p>
    <w:p w14:paraId="698F046A" w14:textId="77777777" w:rsidR="00CC6484" w:rsidRDefault="00CC6484" w:rsidP="00F95802">
      <w:pPr>
        <w:spacing w:after="0"/>
        <w:rPr>
          <w:rFonts w:ascii="Verdana" w:hAnsi="Verdana"/>
          <w:lang w:val="es-ES"/>
        </w:rPr>
      </w:pPr>
    </w:p>
    <w:p w14:paraId="31BDF24C" w14:textId="77777777" w:rsidR="00CC6484" w:rsidRDefault="00CC6484" w:rsidP="00F95802">
      <w:pPr>
        <w:spacing w:after="0"/>
        <w:rPr>
          <w:rFonts w:ascii="Verdana" w:hAnsi="Verdana"/>
          <w:lang w:val="es-ES"/>
        </w:rPr>
      </w:pPr>
    </w:p>
    <w:p w14:paraId="644892A1" w14:textId="77777777" w:rsidR="00CC6484" w:rsidRDefault="00CC6484" w:rsidP="00F95802">
      <w:pPr>
        <w:spacing w:after="0"/>
        <w:rPr>
          <w:rFonts w:ascii="Verdana" w:hAnsi="Verdana"/>
          <w:lang w:val="es-ES"/>
        </w:rPr>
      </w:pPr>
    </w:p>
    <w:p w14:paraId="344BF1F9" w14:textId="77777777" w:rsidR="00CC6484" w:rsidRDefault="00CC6484" w:rsidP="00F95802">
      <w:pPr>
        <w:spacing w:after="0"/>
        <w:rPr>
          <w:rFonts w:ascii="Verdana" w:hAnsi="Verdana"/>
          <w:lang w:val="es-ES"/>
        </w:rPr>
      </w:pPr>
    </w:p>
    <w:p w14:paraId="5B3DB142" w14:textId="77777777" w:rsidR="00CC6484" w:rsidRDefault="00CC6484" w:rsidP="00F95802">
      <w:pPr>
        <w:spacing w:after="0"/>
        <w:rPr>
          <w:rFonts w:ascii="Verdana" w:hAnsi="Verdana"/>
          <w:lang w:val="es-ES"/>
        </w:rPr>
      </w:pPr>
    </w:p>
    <w:p w14:paraId="12CA4C62" w14:textId="77777777" w:rsidR="00CC6484" w:rsidRDefault="00CC6484" w:rsidP="00F95802">
      <w:pPr>
        <w:spacing w:after="0"/>
        <w:rPr>
          <w:rFonts w:ascii="Verdana" w:hAnsi="Verdana"/>
          <w:lang w:val="es-ES"/>
        </w:rPr>
      </w:pPr>
    </w:p>
    <w:p w14:paraId="53E2D139" w14:textId="77777777" w:rsidR="00CC6484" w:rsidRDefault="00CC6484" w:rsidP="00F95802">
      <w:pPr>
        <w:spacing w:after="0"/>
        <w:rPr>
          <w:rFonts w:ascii="Verdana" w:hAnsi="Verdana"/>
          <w:lang w:val="es-ES"/>
        </w:rPr>
      </w:pPr>
    </w:p>
    <w:p w14:paraId="5D9B4B1E" w14:textId="77777777" w:rsidR="00CC6484" w:rsidRDefault="00CC6484" w:rsidP="00F95802">
      <w:pPr>
        <w:spacing w:after="0"/>
        <w:rPr>
          <w:rFonts w:ascii="Verdana" w:hAnsi="Verdana"/>
          <w:lang w:val="es-ES"/>
        </w:rPr>
      </w:pPr>
    </w:p>
    <w:p w14:paraId="214297C3" w14:textId="77777777" w:rsidR="00CC6484" w:rsidRDefault="00CC6484" w:rsidP="00F95802">
      <w:pPr>
        <w:spacing w:after="0"/>
        <w:rPr>
          <w:rFonts w:ascii="Verdana" w:hAnsi="Verdana"/>
          <w:lang w:val="es-ES"/>
        </w:rPr>
      </w:pPr>
    </w:p>
    <w:p w14:paraId="22CBB857" w14:textId="77777777" w:rsidR="00CC6484" w:rsidRDefault="00CC6484" w:rsidP="00F95802">
      <w:pPr>
        <w:spacing w:after="0"/>
        <w:rPr>
          <w:rFonts w:ascii="Verdana" w:hAnsi="Verdana"/>
          <w:lang w:val="es-ES"/>
        </w:rPr>
      </w:pPr>
    </w:p>
    <w:p w14:paraId="49623459" w14:textId="77777777" w:rsidR="00CC6484" w:rsidRDefault="00CC6484" w:rsidP="00F95802">
      <w:pPr>
        <w:spacing w:after="0"/>
        <w:rPr>
          <w:rFonts w:ascii="Verdana" w:hAnsi="Verdana"/>
          <w:lang w:val="es-ES"/>
        </w:rPr>
      </w:pPr>
    </w:p>
    <w:p w14:paraId="41EDA561" w14:textId="77777777" w:rsidR="00CC6484" w:rsidRDefault="00CC6484" w:rsidP="00F95802">
      <w:pPr>
        <w:spacing w:after="0"/>
        <w:rPr>
          <w:rFonts w:ascii="Verdana" w:hAnsi="Verdana"/>
          <w:lang w:val="es-ES"/>
        </w:rPr>
      </w:pPr>
    </w:p>
    <w:p w14:paraId="56C30D6F" w14:textId="77777777" w:rsidR="00CC6484" w:rsidRDefault="00CC6484" w:rsidP="00F95802">
      <w:pPr>
        <w:spacing w:after="0"/>
        <w:rPr>
          <w:rFonts w:ascii="Verdana" w:hAnsi="Verdana"/>
          <w:lang w:val="es-ES"/>
        </w:rPr>
      </w:pPr>
    </w:p>
    <w:p w14:paraId="2C4AABC1" w14:textId="77777777" w:rsidR="00CC6484" w:rsidRDefault="00CC6484" w:rsidP="00F95802">
      <w:pPr>
        <w:spacing w:after="0"/>
        <w:rPr>
          <w:rFonts w:ascii="Verdana" w:hAnsi="Verdana"/>
          <w:lang w:val="es-ES"/>
        </w:rPr>
      </w:pPr>
    </w:p>
    <w:p w14:paraId="11282649" w14:textId="13E7523D" w:rsidR="00F95802" w:rsidRPr="00DD0F57" w:rsidRDefault="00F95802" w:rsidP="00F95802">
      <w:pPr>
        <w:spacing w:after="0"/>
        <w:rPr>
          <w:rFonts w:ascii="Verdana" w:hAnsi="Verdana"/>
          <w:lang w:val="es-ES"/>
        </w:rPr>
      </w:pPr>
      <w:r w:rsidRPr="00DD0F57">
        <w:rPr>
          <w:rFonts w:ascii="Verdana" w:hAnsi="Verdana"/>
          <w:lang w:val="es-ES"/>
        </w:rPr>
        <w:lastRenderedPageBreak/>
        <w:t xml:space="preserve">Bogotá D.C., </w:t>
      </w:r>
      <w:r w:rsidR="00976C4E">
        <w:rPr>
          <w:rFonts w:ascii="Verdana" w:hAnsi="Verdana"/>
          <w:lang w:val="es-ES"/>
        </w:rPr>
        <w:t>07 de Julio de 2026</w:t>
      </w:r>
      <w:r w:rsidRPr="00DD0F57">
        <w:rPr>
          <w:rFonts w:ascii="Verdana" w:hAnsi="Verdana"/>
          <w:lang w:val="es-ES"/>
        </w:rPr>
        <w:tab/>
      </w:r>
    </w:p>
    <w:p w14:paraId="4C518720" w14:textId="5A0F6D7E" w:rsidR="00F95802" w:rsidRPr="00DD0F57" w:rsidRDefault="00976C4E" w:rsidP="00F95802">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58240" behindDoc="0" locked="0" layoutInCell="1" allowOverlap="1" wp14:anchorId="4C6E572E" wp14:editId="2786D818">
            <wp:simplePos x="0" y="0"/>
            <wp:positionH relativeFrom="column">
              <wp:posOffset>3105785</wp:posOffset>
            </wp:positionH>
            <wp:positionV relativeFrom="paragraph">
              <wp:posOffset>114300</wp:posOffset>
            </wp:positionV>
            <wp:extent cx="2557780" cy="725805"/>
            <wp:effectExtent l="0" t="0" r="0" b="0"/>
            <wp:wrapSquare wrapText="bothSides"/>
            <wp:docPr id="1972969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69680" name="Picture 1972969680"/>
                    <pic:cNvPicPr/>
                  </pic:nvPicPr>
                  <pic:blipFill>
                    <a:blip r:embed="rId10">
                      <a:extLst>
                        <a:ext uri="{28A0092B-C50C-407E-A947-70E740481C1C}">
                          <a14:useLocalDpi xmlns:a14="http://schemas.microsoft.com/office/drawing/2010/main" val="0"/>
                        </a:ext>
                      </a:extLst>
                    </a:blip>
                    <a:stretch>
                      <a:fillRect/>
                    </a:stretch>
                  </pic:blipFill>
                  <pic:spPr>
                    <a:xfrm>
                      <a:off x="0" y="0"/>
                      <a:ext cx="2557780" cy="725805"/>
                    </a:xfrm>
                    <a:prstGeom prst="rect">
                      <a:avLst/>
                    </a:prstGeom>
                  </pic:spPr>
                </pic:pic>
              </a:graphicData>
            </a:graphic>
            <wp14:sizeRelH relativeFrom="page">
              <wp14:pctWidth>0</wp14:pctWidth>
            </wp14:sizeRelH>
            <wp14:sizeRelV relativeFrom="page">
              <wp14:pctHeight>0</wp14:pctHeight>
            </wp14:sizeRelV>
          </wp:anchor>
        </w:drawing>
      </w:r>
    </w:p>
    <w:p w14:paraId="6EB9B0D6" w14:textId="77777777" w:rsidR="00F95802" w:rsidRPr="00DD0F57" w:rsidRDefault="00F95802" w:rsidP="00F95802">
      <w:pPr>
        <w:spacing w:after="0" w:line="240"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Doctor</w:t>
      </w:r>
    </w:p>
    <w:p w14:paraId="64C1F641" w14:textId="5D5E6DA6" w:rsidR="00F95802" w:rsidRPr="00DD0F57" w:rsidRDefault="00F95802" w:rsidP="00F95802">
      <w:pPr>
        <w:spacing w:after="0" w:line="240" w:lineRule="auto"/>
        <w:jc w:val="both"/>
        <w:rPr>
          <w:rFonts w:ascii="Verdana" w:eastAsia="Calibri" w:hAnsi="Verdana" w:cs="Arial"/>
          <w:b/>
          <w:bCs/>
          <w:color w:val="000000" w:themeColor="text1"/>
          <w:lang w:val="es-ES" w:eastAsia="es-ES"/>
        </w:rPr>
      </w:pPr>
      <w:r w:rsidRPr="00DD0F57">
        <w:rPr>
          <w:rFonts w:ascii="Verdana" w:eastAsia="Calibri" w:hAnsi="Verdana" w:cs="Arial"/>
          <w:b/>
          <w:bCs/>
          <w:color w:val="000000" w:themeColor="text1"/>
          <w:lang w:val="es-ES" w:eastAsia="es-ES"/>
        </w:rPr>
        <w:t>Fabián Darío Romero Moreno</w:t>
      </w:r>
    </w:p>
    <w:p w14:paraId="001106D7" w14:textId="51111D4A" w:rsidR="00F95802" w:rsidRPr="00DD0F57" w:rsidRDefault="00F95802" w:rsidP="00F95802">
      <w:pPr>
        <w:spacing w:after="0" w:line="240"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Coordinador del GIT de Contratación</w:t>
      </w:r>
    </w:p>
    <w:p w14:paraId="284016D0" w14:textId="76F2C228" w:rsidR="00F95802" w:rsidRPr="00DD0F57" w:rsidRDefault="00F95802" w:rsidP="00F95802">
      <w:pPr>
        <w:spacing w:after="0" w:line="240"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Ministerio del Deporte</w:t>
      </w:r>
    </w:p>
    <w:p w14:paraId="3DB7DF96" w14:textId="77777777" w:rsidR="00F95802" w:rsidRPr="00DD0F57" w:rsidRDefault="00F95802" w:rsidP="00F95802">
      <w:pPr>
        <w:spacing w:after="0" w:line="240" w:lineRule="auto"/>
        <w:jc w:val="both"/>
        <w:rPr>
          <w:rFonts w:ascii="Verdana" w:eastAsia="Calibri" w:hAnsi="Verdana" w:cs="Arial"/>
          <w:color w:val="000000" w:themeColor="text1"/>
          <w:lang w:val="es-ES" w:eastAsia="es-ES"/>
        </w:rPr>
      </w:pPr>
      <w:hyperlink r:id="rId11" w:history="1">
        <w:r w:rsidRPr="00DD0F57">
          <w:rPr>
            <w:rStyle w:val="Hipervnculo"/>
            <w:rFonts w:ascii="Verdana" w:eastAsia="Calibri" w:hAnsi="Verdana" w:cs="Arial"/>
            <w:lang w:val="es-ES" w:eastAsia="es-ES"/>
          </w:rPr>
          <w:t>viortiz@mindeporte.gov.co</w:t>
        </w:r>
      </w:hyperlink>
    </w:p>
    <w:p w14:paraId="5209638B" w14:textId="77777777" w:rsidR="00F95802" w:rsidRPr="00DD0F57" w:rsidRDefault="00F95802" w:rsidP="00F95802">
      <w:pPr>
        <w:spacing w:after="0" w:line="240" w:lineRule="auto"/>
        <w:jc w:val="both"/>
        <w:rPr>
          <w:rFonts w:ascii="Verdana" w:eastAsia="Calibri" w:hAnsi="Verdana" w:cs="Arial"/>
          <w:color w:val="000000" w:themeColor="text1"/>
          <w:lang w:val="es-ES" w:eastAsia="es-ES"/>
        </w:rPr>
      </w:pPr>
      <w:hyperlink r:id="rId12" w:history="1">
        <w:r w:rsidRPr="00DD0F57">
          <w:rPr>
            <w:rStyle w:val="Hipervnculo"/>
            <w:rFonts w:ascii="Verdana" w:eastAsia="Calibri" w:hAnsi="Verdana" w:cs="Arial"/>
            <w:lang w:val="es-ES" w:eastAsia="es-ES"/>
          </w:rPr>
          <w:t>faromero@mindeporte.gov.co</w:t>
        </w:r>
      </w:hyperlink>
    </w:p>
    <w:p w14:paraId="4D3CB478" w14:textId="77777777" w:rsidR="00F95802" w:rsidRPr="00DD0F57" w:rsidRDefault="00F95802" w:rsidP="00F95802">
      <w:pPr>
        <w:spacing w:after="0" w:line="240" w:lineRule="auto"/>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Bogotá D.C.</w:t>
      </w:r>
    </w:p>
    <w:p w14:paraId="2CE44BCB" w14:textId="77777777" w:rsidR="00F95802" w:rsidRPr="00DD0F57" w:rsidRDefault="00F95802" w:rsidP="00F95802">
      <w:pPr>
        <w:spacing w:after="0" w:line="240" w:lineRule="auto"/>
        <w:rPr>
          <w:rFonts w:ascii="Verdana" w:eastAsia="Calibri" w:hAnsi="Verdana" w:cs="Arial"/>
          <w:b/>
          <w:bCs/>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F95802" w:rsidRPr="00DD0F57" w14:paraId="3F10F8B9" w14:textId="77777777" w:rsidTr="005D3E90">
        <w:trPr>
          <w:gridAfter w:val="1"/>
          <w:wAfter w:w="4179" w:type="dxa"/>
          <w:trHeight w:val="304"/>
        </w:trPr>
        <w:tc>
          <w:tcPr>
            <w:tcW w:w="2689" w:type="dxa"/>
          </w:tcPr>
          <w:p w14:paraId="4D3C6950" w14:textId="77777777" w:rsidR="00F95802" w:rsidRPr="00DD0F57" w:rsidRDefault="00F95802" w:rsidP="005D3E90">
            <w:pPr>
              <w:jc w:val="both"/>
              <w:rPr>
                <w:rFonts w:ascii="Verdana" w:eastAsia="Calibri" w:hAnsi="Verdana" w:cs="Arial"/>
                <w:b/>
                <w:bCs/>
                <w:color w:val="000000" w:themeColor="text1"/>
                <w:lang w:val="es-ES" w:eastAsia="es-ES_tradnl"/>
              </w:rPr>
            </w:pPr>
          </w:p>
        </w:tc>
        <w:tc>
          <w:tcPr>
            <w:tcW w:w="6100" w:type="dxa"/>
          </w:tcPr>
          <w:p w14:paraId="21A0EF3E" w14:textId="77777777" w:rsidR="00F95802" w:rsidRPr="00DD0F57" w:rsidRDefault="00F95802" w:rsidP="005D3E90">
            <w:pPr>
              <w:jc w:val="both"/>
              <w:rPr>
                <w:rFonts w:ascii="Verdana" w:eastAsia="Calibri" w:hAnsi="Verdana" w:cs="Arial"/>
                <w:b/>
                <w:bCs/>
                <w:color w:val="000000" w:themeColor="text1"/>
                <w:lang w:val="es-ES" w:eastAsia="es-ES"/>
              </w:rPr>
            </w:pPr>
            <w:r w:rsidRPr="00DD0F57">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853</w:t>
            </w:r>
            <w:r w:rsidRPr="00DD0F57">
              <w:rPr>
                <w:rFonts w:ascii="Verdana" w:eastAsia="Calibri" w:hAnsi="Verdana" w:cs="Arial"/>
                <w:b/>
                <w:bCs/>
                <w:color w:val="000000" w:themeColor="text1"/>
                <w:lang w:val="es-ES" w:eastAsia="es-ES"/>
              </w:rPr>
              <w:t xml:space="preserve"> de 2026</w:t>
            </w:r>
          </w:p>
          <w:p w14:paraId="3606D472" w14:textId="77777777" w:rsidR="00F95802" w:rsidRPr="00DD0F57" w:rsidRDefault="00F95802" w:rsidP="005D3E90">
            <w:pPr>
              <w:jc w:val="both"/>
              <w:rPr>
                <w:rFonts w:ascii="Verdana" w:eastAsia="Calibri" w:hAnsi="Verdana" w:cs="Arial"/>
                <w:b/>
                <w:bCs/>
                <w:color w:val="000000" w:themeColor="text1"/>
                <w:lang w:val="es-ES" w:eastAsia="es-ES"/>
              </w:rPr>
            </w:pPr>
          </w:p>
        </w:tc>
      </w:tr>
      <w:tr w:rsidR="00F95802" w:rsidRPr="00DD0F57" w14:paraId="5FCF64F1" w14:textId="77777777" w:rsidTr="005D3E90">
        <w:trPr>
          <w:trHeight w:val="884"/>
        </w:trPr>
        <w:tc>
          <w:tcPr>
            <w:tcW w:w="2689" w:type="dxa"/>
          </w:tcPr>
          <w:p w14:paraId="0922ACD9" w14:textId="77777777" w:rsidR="00F95802" w:rsidRPr="00DD0F57" w:rsidRDefault="00F95802" w:rsidP="005D3E90">
            <w:pPr>
              <w:jc w:val="both"/>
              <w:rPr>
                <w:rFonts w:ascii="Verdana" w:eastAsia="Calibri" w:hAnsi="Verdana" w:cs="Arial"/>
                <w:color w:val="000000" w:themeColor="text1"/>
                <w:lang w:val="es-ES" w:eastAsia="es-ES_tradnl"/>
              </w:rPr>
            </w:pPr>
            <w:r w:rsidRPr="00DD0F57">
              <w:rPr>
                <w:rFonts w:ascii="Verdana" w:eastAsia="Calibri" w:hAnsi="Verdana" w:cs="Arial"/>
                <w:b/>
                <w:color w:val="000000" w:themeColor="text1"/>
                <w:lang w:val="es-ES" w:eastAsia="es-ES_tradnl"/>
              </w:rPr>
              <w:t>Temas:</w:t>
            </w:r>
            <w:r w:rsidRPr="00DD0F57">
              <w:rPr>
                <w:rFonts w:ascii="Verdana" w:eastAsia="Calibri" w:hAnsi="Verdana" w:cs="Arial"/>
                <w:color w:val="000000" w:themeColor="text1"/>
                <w:lang w:val="es-ES" w:eastAsia="es-ES_tradnl"/>
              </w:rPr>
              <w:t xml:space="preserve">                   </w:t>
            </w:r>
          </w:p>
        </w:tc>
        <w:tc>
          <w:tcPr>
            <w:tcW w:w="6100" w:type="dxa"/>
          </w:tcPr>
          <w:p w14:paraId="124DB9EE" w14:textId="77777777" w:rsidR="00F95802" w:rsidRDefault="00F95802" w:rsidP="005D3E90">
            <w:pPr>
              <w:spacing w:line="276" w:lineRule="auto"/>
              <w:jc w:val="both"/>
              <w:rPr>
                <w:rFonts w:ascii="Verdana" w:eastAsia="Calibri" w:hAnsi="Verdana" w:cs="Arial"/>
                <w:color w:val="000000" w:themeColor="text1"/>
                <w:lang w:eastAsia="es-ES"/>
              </w:rPr>
            </w:pPr>
            <w:r w:rsidRPr="00D47CEA">
              <w:rPr>
                <w:rFonts w:ascii="Verdana" w:eastAsia="Calibri" w:hAnsi="Verdana" w:cs="Arial"/>
                <w:color w:val="000000" w:themeColor="text1"/>
                <w:lang w:eastAsia="es-ES"/>
              </w:rPr>
              <w:t>CONTRATACIÓN DIRECTA – Ley 1967 de 2019</w:t>
            </w:r>
            <w:r>
              <w:rPr>
                <w:rFonts w:ascii="Verdana" w:eastAsia="Calibri" w:hAnsi="Verdana" w:cs="Arial"/>
                <w:color w:val="000000" w:themeColor="text1"/>
                <w:lang w:eastAsia="es-ES"/>
              </w:rPr>
              <w:t xml:space="preserve"> </w:t>
            </w:r>
            <w:r w:rsidRPr="00D47CEA">
              <w:rPr>
                <w:rFonts w:ascii="Verdana" w:eastAsia="Calibri" w:hAnsi="Verdana" w:cs="Arial"/>
                <w:color w:val="000000" w:themeColor="text1"/>
                <w:lang w:eastAsia="es-ES"/>
              </w:rPr>
              <w:t xml:space="preserve">– Causal </w:t>
            </w:r>
            <w:r>
              <w:rPr>
                <w:rFonts w:ascii="Verdana" w:eastAsia="Calibri" w:hAnsi="Verdana" w:cs="Arial"/>
                <w:color w:val="000000" w:themeColor="text1"/>
                <w:lang w:eastAsia="es-ES"/>
              </w:rPr>
              <w:t>N</w:t>
            </w:r>
            <w:r w:rsidRPr="00D47CEA">
              <w:rPr>
                <w:rFonts w:ascii="Verdana" w:eastAsia="Calibri" w:hAnsi="Verdana" w:cs="Arial"/>
                <w:color w:val="000000" w:themeColor="text1"/>
                <w:lang w:eastAsia="es-ES"/>
              </w:rPr>
              <w:t>umeral 25 del artículo</w:t>
            </w:r>
            <w:r>
              <w:rPr>
                <w:rFonts w:ascii="Verdana" w:eastAsia="Calibri" w:hAnsi="Verdana" w:cs="Arial"/>
                <w:color w:val="000000" w:themeColor="text1"/>
                <w:lang w:eastAsia="es-ES"/>
              </w:rPr>
              <w:t xml:space="preserve"> 4 </w:t>
            </w:r>
            <w:r w:rsidRPr="00D47CEA">
              <w:rPr>
                <w:rFonts w:ascii="Verdana" w:eastAsia="Calibri" w:hAnsi="Verdana" w:cs="Arial"/>
                <w:color w:val="000000" w:themeColor="text1"/>
                <w:lang w:eastAsia="es-ES"/>
              </w:rPr>
              <w:t>–</w:t>
            </w:r>
            <w:r>
              <w:rPr>
                <w:rFonts w:ascii="Verdana" w:eastAsia="Calibri" w:hAnsi="Verdana" w:cs="Arial"/>
                <w:color w:val="000000" w:themeColor="text1"/>
                <w:lang w:eastAsia="es-ES"/>
              </w:rPr>
              <w:t xml:space="preserve"> Alcance</w:t>
            </w:r>
            <w:r w:rsidRPr="00D47CEA">
              <w:rPr>
                <w:rFonts w:ascii="Verdana" w:eastAsia="Calibri" w:hAnsi="Verdana" w:cs="Arial"/>
                <w:color w:val="000000" w:themeColor="text1"/>
                <w:lang w:eastAsia="es-ES"/>
              </w:rPr>
              <w:t xml:space="preserve"> / SISTEMA NACIONAL DEL DEPORTE – Sujetos –</w:t>
            </w:r>
            <w:r>
              <w:rPr>
                <w:rFonts w:ascii="Verdana" w:eastAsia="Calibri" w:hAnsi="Verdana" w:cs="Arial"/>
                <w:color w:val="000000" w:themeColor="text1"/>
                <w:lang w:eastAsia="es-ES"/>
              </w:rPr>
              <w:t xml:space="preserve"> A</w:t>
            </w:r>
            <w:r w:rsidRPr="00D47CEA">
              <w:rPr>
                <w:rFonts w:ascii="Verdana" w:eastAsia="Calibri" w:hAnsi="Verdana" w:cs="Arial"/>
                <w:color w:val="000000" w:themeColor="text1"/>
                <w:lang w:eastAsia="es-ES"/>
              </w:rPr>
              <w:t>rtículo 50 de la Ley 181 de 1995 / CONTRATACIÓN CON ORGANISMOS INTERNACIONALES – Ley 1967 de 2019</w:t>
            </w:r>
            <w:r>
              <w:rPr>
                <w:rFonts w:ascii="Verdana" w:eastAsia="Calibri" w:hAnsi="Verdana" w:cs="Arial"/>
                <w:color w:val="000000" w:themeColor="text1"/>
                <w:lang w:eastAsia="es-ES"/>
              </w:rPr>
              <w:t xml:space="preserve"> </w:t>
            </w:r>
            <w:r w:rsidRPr="00D47CEA">
              <w:rPr>
                <w:rFonts w:ascii="Verdana" w:eastAsia="Calibri" w:hAnsi="Verdana" w:cs="Arial"/>
                <w:color w:val="000000" w:themeColor="text1"/>
                <w:lang w:eastAsia="es-ES"/>
              </w:rPr>
              <w:t xml:space="preserve">– Causal </w:t>
            </w:r>
            <w:r>
              <w:rPr>
                <w:rFonts w:ascii="Verdana" w:eastAsia="Calibri" w:hAnsi="Verdana" w:cs="Arial"/>
                <w:color w:val="000000" w:themeColor="text1"/>
                <w:lang w:eastAsia="es-ES"/>
              </w:rPr>
              <w:t>N</w:t>
            </w:r>
            <w:r w:rsidRPr="00D47CEA">
              <w:rPr>
                <w:rFonts w:ascii="Verdana" w:eastAsia="Calibri" w:hAnsi="Verdana" w:cs="Arial"/>
                <w:color w:val="000000" w:themeColor="text1"/>
                <w:lang w:eastAsia="es-ES"/>
              </w:rPr>
              <w:t>umeral 25 del artículo</w:t>
            </w:r>
            <w:r>
              <w:rPr>
                <w:rFonts w:ascii="Verdana" w:eastAsia="Calibri" w:hAnsi="Verdana" w:cs="Arial"/>
                <w:color w:val="000000" w:themeColor="text1"/>
                <w:lang w:eastAsia="es-ES"/>
              </w:rPr>
              <w:t xml:space="preserve"> 4 </w:t>
            </w:r>
          </w:p>
          <w:p w14:paraId="4AE2A2AC" w14:textId="77777777" w:rsidR="00F95802" w:rsidRPr="00DD0F57" w:rsidRDefault="00F95802" w:rsidP="005D3E90">
            <w:pPr>
              <w:spacing w:line="276" w:lineRule="auto"/>
              <w:jc w:val="both"/>
              <w:rPr>
                <w:rFonts w:ascii="Verdana" w:eastAsia="Calibri" w:hAnsi="Verdana" w:cs="Arial"/>
                <w:color w:val="000000" w:themeColor="text1"/>
                <w:lang w:val="es-ES" w:eastAsia="es-ES"/>
              </w:rPr>
            </w:pPr>
          </w:p>
        </w:tc>
        <w:tc>
          <w:tcPr>
            <w:tcW w:w="4179" w:type="dxa"/>
          </w:tcPr>
          <w:p w14:paraId="738777B3" w14:textId="77777777" w:rsidR="00F95802" w:rsidRPr="00DD0F57" w:rsidRDefault="00F95802" w:rsidP="005D3E90">
            <w:pPr>
              <w:spacing w:line="276" w:lineRule="auto"/>
              <w:jc w:val="both"/>
              <w:rPr>
                <w:rFonts w:ascii="Verdana" w:eastAsia="Calibri" w:hAnsi="Verdana" w:cs="Arial"/>
                <w:b/>
                <w:bCs/>
                <w:color w:val="000000" w:themeColor="text1"/>
                <w:lang w:val="es-ES" w:eastAsia="es-ES"/>
              </w:rPr>
            </w:pPr>
          </w:p>
          <w:p w14:paraId="2F07F85A" w14:textId="77777777" w:rsidR="00F95802" w:rsidRPr="00DD0F57" w:rsidRDefault="00F95802" w:rsidP="005D3E90">
            <w:pPr>
              <w:rPr>
                <w:rFonts w:ascii="Verdana" w:hAnsi="Verdana"/>
                <w:lang w:val="es-ES"/>
              </w:rPr>
            </w:pPr>
          </w:p>
        </w:tc>
      </w:tr>
      <w:tr w:rsidR="00F95802" w:rsidRPr="00DD0F57" w14:paraId="24585253" w14:textId="77777777" w:rsidTr="005D3E90">
        <w:trPr>
          <w:gridAfter w:val="1"/>
          <w:wAfter w:w="4179" w:type="dxa"/>
        </w:trPr>
        <w:tc>
          <w:tcPr>
            <w:tcW w:w="2689" w:type="dxa"/>
          </w:tcPr>
          <w:p w14:paraId="32605FFF" w14:textId="77777777" w:rsidR="00F95802" w:rsidRPr="00DD0F57" w:rsidRDefault="00F95802" w:rsidP="005D3E90">
            <w:pPr>
              <w:jc w:val="both"/>
              <w:rPr>
                <w:rFonts w:ascii="Verdana" w:eastAsia="Calibri" w:hAnsi="Verdana" w:cs="Arial"/>
                <w:b/>
                <w:color w:val="000000" w:themeColor="text1"/>
                <w:lang w:val="es-ES" w:eastAsia="es-ES_tradnl"/>
              </w:rPr>
            </w:pPr>
            <w:r w:rsidRPr="00DD0F57">
              <w:rPr>
                <w:rFonts w:ascii="Verdana" w:eastAsia="Calibri" w:hAnsi="Verdana" w:cs="Arial"/>
                <w:b/>
                <w:color w:val="000000" w:themeColor="text1"/>
                <w:lang w:val="es-ES" w:eastAsia="es-ES_tradnl"/>
              </w:rPr>
              <w:t>Radicación:</w:t>
            </w:r>
            <w:r w:rsidRPr="00DD0F57">
              <w:rPr>
                <w:rFonts w:ascii="Verdana" w:eastAsia="Calibri" w:hAnsi="Verdana" w:cs="Arial"/>
                <w:color w:val="000000" w:themeColor="text1"/>
                <w:lang w:val="es-ES" w:eastAsia="es-ES_tradnl"/>
              </w:rPr>
              <w:t xml:space="preserve">               </w:t>
            </w:r>
          </w:p>
        </w:tc>
        <w:tc>
          <w:tcPr>
            <w:tcW w:w="6100" w:type="dxa"/>
          </w:tcPr>
          <w:p w14:paraId="364F8970" w14:textId="77777777" w:rsidR="00F95802" w:rsidRPr="00DD0F57" w:rsidRDefault="00F95802" w:rsidP="005D3E90">
            <w:pPr>
              <w:jc w:val="both"/>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Respuesta a consulta con radicado No. 1_2026_05_22_006888</w:t>
            </w:r>
          </w:p>
        </w:tc>
      </w:tr>
    </w:tbl>
    <w:p w14:paraId="6B5AFC50" w14:textId="77777777" w:rsidR="00F95802" w:rsidRPr="00DD0F57" w:rsidRDefault="00F95802" w:rsidP="00F95802">
      <w:pPr>
        <w:spacing w:after="0" w:line="276" w:lineRule="auto"/>
        <w:jc w:val="both"/>
        <w:rPr>
          <w:rFonts w:ascii="Verdana" w:eastAsia="Calibri" w:hAnsi="Verdana" w:cs="Arial"/>
          <w:color w:val="000000" w:themeColor="text1"/>
          <w:lang w:val="es-ES" w:eastAsia="es-ES_tradnl"/>
        </w:rPr>
      </w:pPr>
    </w:p>
    <w:p w14:paraId="1C8E71D1" w14:textId="77777777" w:rsidR="00F95802" w:rsidRPr="00DD0F57" w:rsidRDefault="00F95802" w:rsidP="00F95802">
      <w:pPr>
        <w:spacing w:after="0" w:line="276" w:lineRule="auto"/>
        <w:jc w:val="both"/>
        <w:rPr>
          <w:rFonts w:ascii="Verdana" w:eastAsia="Calibri" w:hAnsi="Verdana" w:cs="Arial"/>
          <w:color w:val="000000" w:themeColor="text1"/>
          <w:lang w:val="es-ES" w:eastAsia="es-ES_tradnl"/>
        </w:rPr>
      </w:pPr>
    </w:p>
    <w:p w14:paraId="1FB11002" w14:textId="77777777" w:rsidR="00F95802" w:rsidRPr="00DD0F57" w:rsidRDefault="00F95802" w:rsidP="00F95802">
      <w:pPr>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Estimado Doctor Romero:</w:t>
      </w:r>
    </w:p>
    <w:p w14:paraId="66BFCF3A" w14:textId="77777777" w:rsidR="00F95802" w:rsidRPr="00DD0F57" w:rsidRDefault="00F95802" w:rsidP="00F95802">
      <w:pPr>
        <w:tabs>
          <w:tab w:val="left" w:pos="3768"/>
        </w:tabs>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ab/>
      </w:r>
    </w:p>
    <w:p w14:paraId="677DCE3E" w14:textId="77777777" w:rsidR="00F95802" w:rsidRPr="00DD0F57" w:rsidRDefault="00F95802" w:rsidP="00F95802">
      <w:pPr>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En ejercicio de la competencia otorgada por los artículos 3, numeral 5º, y 11, numeral 8º, del Decreto Ley 4170 de 2011,</w:t>
      </w:r>
      <w:r w:rsidRPr="00DD0F57">
        <w:rPr>
          <w:rFonts w:ascii="Verdana" w:eastAsia="Arial MT" w:hAnsi="Verdana" w:cs="Arial MT"/>
          <w:color w:val="000000" w:themeColor="text1"/>
          <w:lang w:val="es-ES" w:eastAsia="es-ES"/>
        </w:rPr>
        <w:t xml:space="preserve"> </w:t>
      </w:r>
      <w:r w:rsidRPr="00DD0F57">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del </w:t>
      </w:r>
      <w:r>
        <w:rPr>
          <w:rFonts w:ascii="Verdana" w:hAnsi="Verdana" w:cs="Arial"/>
          <w:color w:val="000000" w:themeColor="text1"/>
          <w:lang w:val="es-ES"/>
        </w:rPr>
        <w:t>21</w:t>
      </w:r>
      <w:r w:rsidRPr="00DD0F57">
        <w:rPr>
          <w:rFonts w:ascii="Verdana" w:hAnsi="Verdana" w:cs="Arial"/>
          <w:color w:val="000000" w:themeColor="text1"/>
          <w:lang w:val="es-ES"/>
        </w:rPr>
        <w:t xml:space="preserve"> de mayo de 2026, en la cual manifiesta lo siguiente:</w:t>
      </w:r>
      <w:r w:rsidRPr="00DD0F57">
        <w:rPr>
          <w:rFonts w:ascii="Verdana" w:eastAsia="Calibri" w:hAnsi="Verdana" w:cs="Arial"/>
          <w:color w:val="000000" w:themeColor="text1"/>
          <w:lang w:val="es-ES" w:eastAsia="es-ES"/>
        </w:rPr>
        <w:t xml:space="preserve"> </w:t>
      </w:r>
    </w:p>
    <w:p w14:paraId="605E091F" w14:textId="77777777" w:rsidR="00F95802" w:rsidRPr="00DD0F57" w:rsidRDefault="00F95802" w:rsidP="00F95802">
      <w:pPr>
        <w:spacing w:after="0" w:line="276" w:lineRule="auto"/>
        <w:jc w:val="both"/>
        <w:rPr>
          <w:rFonts w:ascii="Verdana" w:eastAsia="Calibri" w:hAnsi="Verdana" w:cs="Arial"/>
          <w:color w:val="000000" w:themeColor="text1"/>
          <w:lang w:val="es-ES" w:eastAsia="es-ES"/>
        </w:rPr>
      </w:pPr>
    </w:p>
    <w:p w14:paraId="1290D9FC" w14:textId="77777777" w:rsidR="00F95802" w:rsidRPr="00DD0F57"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DD0F57">
        <w:rPr>
          <w:rFonts w:ascii="Verdana" w:eastAsia="Century Gothic" w:hAnsi="Verdana" w:cs="Century Gothic"/>
          <w:i/>
          <w:iCs/>
          <w:color w:val="000000" w:themeColor="text1"/>
          <w:sz w:val="20"/>
          <w:szCs w:val="20"/>
          <w:lang w:val="es-ES"/>
        </w:rPr>
        <w:t xml:space="preserve">“[…] </w:t>
      </w:r>
      <w:r w:rsidRPr="00DD0F57">
        <w:rPr>
          <w:rFonts w:ascii="Verdana" w:eastAsia="Century Gothic" w:hAnsi="Verdana" w:cs="Century Gothic"/>
          <w:b/>
          <w:bCs/>
          <w:i/>
          <w:iCs/>
          <w:color w:val="000000" w:themeColor="text1"/>
          <w:sz w:val="20"/>
          <w:szCs w:val="20"/>
          <w:lang w:val="es-ES"/>
        </w:rPr>
        <w:t>1. Contexto de la consulta</w:t>
      </w:r>
    </w:p>
    <w:p w14:paraId="5A07455A"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En el desarrollo de actividades administrativas relacionadas con la gestión institucional, se ha identificado la necesidad de precisar el alcance y la forma de aplicación de la función 25 del artículo 4 de la Ley 1967 de 2019, en lo concerniente a su implementación práctica dentro del Ministerio del Deporte, toda vez que, esta función le permite al Ministerio contratar de forma directa con los miembros del Sistema Nacional del Deporte.</w:t>
      </w:r>
    </w:p>
    <w:p w14:paraId="63FC7F5C"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lastRenderedPageBreak/>
        <w:t>Lo anterior, teniendo en cuenta que dicha disposición normativo-funcional puede generar diferentes interpretaciones respecto de su aplicación en escenarios concretos de la gestión pública.</w:t>
      </w:r>
    </w:p>
    <w:p w14:paraId="68AEDB50"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b/>
          <w:bCs/>
          <w:i/>
          <w:iCs/>
          <w:color w:val="000000" w:themeColor="text1"/>
          <w:sz w:val="20"/>
          <w:szCs w:val="20"/>
          <w:lang w:val="es-ES"/>
        </w:rPr>
        <w:t>2. Consulta</w:t>
      </w:r>
    </w:p>
    <w:p w14:paraId="172085AD"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En virtud de lo anterior, respetuosamente solicito se emita concepto sobre el siguiente interrogante:</w:t>
      </w:r>
    </w:p>
    <w:p w14:paraId="55B4E9C1"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¿Cuál es el alcance, contenido y forma correcta de aplicación de la función 25 del artículo 4 de la Ley 1967 de 2019 por parte del Ministerio del Deporte al momento de contratar de forma directa con los miembros del Sistema Nacional del Deporte?</w:t>
      </w:r>
    </w:p>
    <w:p w14:paraId="18787BE4"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¿Qué criterios deben tenerse en cuenta para su adecuada implementación en la gestión administrativa?</w:t>
      </w:r>
    </w:p>
    <w:p w14:paraId="61358715"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Ahora bien, ¿Cuál es el soporte normativo para el desarrollo de esta contratación con los miembros del Sistema Nacional del Deporte?</w:t>
      </w:r>
    </w:p>
    <w:p w14:paraId="5D8C25BE" w14:textId="77777777" w:rsidR="00F95802" w:rsidRPr="00B87133" w:rsidRDefault="00F95802" w:rsidP="00F95802">
      <w:pPr>
        <w:spacing w:after="0"/>
        <w:ind w:left="709" w:right="709"/>
        <w:contextualSpacing/>
        <w:jc w:val="both"/>
        <w:rPr>
          <w:rFonts w:ascii="Verdana" w:eastAsia="Century Gothic" w:hAnsi="Verdana" w:cs="Century Gothic"/>
          <w:i/>
          <w:iCs/>
          <w:color w:val="000000" w:themeColor="text1"/>
          <w:sz w:val="20"/>
          <w:szCs w:val="20"/>
          <w:lang w:val="es-ES"/>
        </w:rPr>
      </w:pPr>
      <w:r w:rsidRPr="00B87133">
        <w:rPr>
          <w:rFonts w:ascii="Verdana" w:eastAsia="Century Gothic" w:hAnsi="Verdana" w:cs="Century Gothic"/>
          <w:i/>
          <w:iCs/>
          <w:color w:val="000000" w:themeColor="text1"/>
          <w:sz w:val="20"/>
          <w:szCs w:val="20"/>
          <w:lang w:val="es-ES"/>
        </w:rPr>
        <w:t>De manera complementaria, agradecería precisar:</w:t>
      </w:r>
    </w:p>
    <w:p w14:paraId="6490C030" w14:textId="77777777" w:rsidR="00F95802" w:rsidRPr="00DD0F57" w:rsidRDefault="00F95802" w:rsidP="00F95802">
      <w:pPr>
        <w:pStyle w:val="Prrafodelista"/>
        <w:numPr>
          <w:ilvl w:val="0"/>
          <w:numId w:val="20"/>
        </w:numPr>
        <w:spacing w:after="0"/>
        <w:ind w:right="709"/>
        <w:jc w:val="both"/>
        <w:rPr>
          <w:rFonts w:ascii="Verdana" w:eastAsia="Century Gothic" w:hAnsi="Verdana" w:cs="Century Gothic"/>
          <w:i/>
          <w:iCs/>
          <w:color w:val="000000" w:themeColor="text1"/>
          <w:sz w:val="20"/>
          <w:szCs w:val="20"/>
        </w:rPr>
      </w:pPr>
      <w:r w:rsidRPr="00DD0F57">
        <w:rPr>
          <w:rFonts w:ascii="Verdana" w:eastAsia="Century Gothic" w:hAnsi="Verdana" w:cs="Century Gothic"/>
          <w:i/>
          <w:iCs/>
          <w:color w:val="000000" w:themeColor="text1"/>
          <w:sz w:val="20"/>
          <w:szCs w:val="20"/>
        </w:rPr>
        <w:t>Cuáles son los lineamientos o buenas prácticas que deben seguir las entidades para su cumplimiento.</w:t>
      </w:r>
    </w:p>
    <w:p w14:paraId="2029ED4C" w14:textId="77777777" w:rsidR="00F95802" w:rsidRPr="00DD0F57" w:rsidRDefault="00F95802" w:rsidP="00F95802">
      <w:pPr>
        <w:pStyle w:val="Prrafodelista"/>
        <w:numPr>
          <w:ilvl w:val="0"/>
          <w:numId w:val="20"/>
        </w:numPr>
        <w:spacing w:after="0"/>
        <w:ind w:right="709"/>
        <w:jc w:val="both"/>
        <w:rPr>
          <w:rFonts w:ascii="Verdana" w:eastAsia="Century Gothic" w:hAnsi="Verdana" w:cs="Century Gothic"/>
          <w:i/>
          <w:iCs/>
          <w:color w:val="000000" w:themeColor="text1"/>
          <w:sz w:val="20"/>
          <w:szCs w:val="20"/>
        </w:rPr>
      </w:pPr>
      <w:r w:rsidRPr="00DD0F57">
        <w:rPr>
          <w:rFonts w:ascii="Verdana" w:eastAsia="Century Gothic" w:hAnsi="Verdana" w:cs="Century Gothic"/>
          <w:i/>
          <w:iCs/>
          <w:color w:val="000000" w:themeColor="text1"/>
          <w:sz w:val="20"/>
          <w:szCs w:val="20"/>
        </w:rPr>
        <w:t xml:space="preserve">Si existen desarrollos normativos, doctrinales o lineamientos emitidos por esa entidad sobre el particular </w:t>
      </w:r>
      <w:r w:rsidRPr="00DD0F57">
        <w:rPr>
          <w:rFonts w:ascii="Verdana" w:eastAsia="Century Gothic" w:hAnsi="Verdana" w:cs="Century Gothic"/>
          <w:i/>
          <w:color w:val="000000" w:themeColor="text1"/>
          <w:sz w:val="20"/>
          <w:szCs w:val="20"/>
        </w:rPr>
        <w:t>[…]”</w:t>
      </w:r>
    </w:p>
    <w:p w14:paraId="038139C1" w14:textId="77777777" w:rsidR="00F95802" w:rsidRPr="00DD0F57" w:rsidRDefault="00F95802" w:rsidP="00F95802">
      <w:pPr>
        <w:spacing w:after="0"/>
        <w:ind w:left="709" w:right="709"/>
        <w:jc w:val="both"/>
        <w:rPr>
          <w:rFonts w:ascii="Verdana" w:eastAsia="Century Gothic" w:hAnsi="Verdana" w:cs="Century Gothic"/>
          <w:i/>
          <w:iCs/>
          <w:color w:val="000000" w:themeColor="text1"/>
          <w:sz w:val="20"/>
          <w:szCs w:val="20"/>
          <w:lang w:val="es-ES"/>
        </w:rPr>
      </w:pPr>
    </w:p>
    <w:p w14:paraId="0F915CFC" w14:textId="77777777" w:rsidR="00F95802" w:rsidRPr="00DD0F57" w:rsidRDefault="00F95802" w:rsidP="00F95802">
      <w:pPr>
        <w:spacing w:after="0" w:line="276" w:lineRule="auto"/>
        <w:contextualSpacing/>
        <w:jc w:val="both"/>
        <w:rPr>
          <w:rFonts w:ascii="Verdana" w:eastAsia="Calibri" w:hAnsi="Verdana" w:cs="Arial"/>
          <w:color w:val="000000" w:themeColor="text1"/>
          <w:szCs w:val="24"/>
          <w:lang w:val="es-ES" w:eastAsia="es-ES_tradnl"/>
        </w:rPr>
      </w:pPr>
      <w:r w:rsidRPr="00DD0F57">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D0F57">
        <w:rPr>
          <w:rFonts w:ascii="Verdana" w:eastAsia="Calibri" w:hAnsi="Verdana" w:cs="Arial"/>
          <w:color w:val="000000" w:themeColor="text1"/>
          <w:szCs w:val="24"/>
          <w:lang w:val="es-ES" w:eastAsia="es-ES_tradnl"/>
        </w:rPr>
        <w:tab/>
      </w:r>
    </w:p>
    <w:p w14:paraId="56A8E80B" w14:textId="77777777" w:rsidR="00F95802" w:rsidRPr="00DD0F57" w:rsidRDefault="00F95802" w:rsidP="00F95802">
      <w:pPr>
        <w:spacing w:before="120" w:after="120" w:line="276" w:lineRule="auto"/>
        <w:ind w:firstLine="709"/>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28DAC630" w14:textId="77777777" w:rsidR="00F95802" w:rsidRPr="00DD0F57" w:rsidRDefault="00F95802" w:rsidP="00F95802">
      <w:pPr>
        <w:spacing w:after="0" w:line="276" w:lineRule="auto"/>
        <w:jc w:val="both"/>
        <w:rPr>
          <w:rFonts w:ascii="Verdana" w:eastAsia="Calibri" w:hAnsi="Verdana" w:cs="Arial"/>
          <w:color w:val="000000" w:themeColor="text1"/>
          <w:lang w:val="es-ES" w:eastAsia="es-ES"/>
        </w:rPr>
      </w:pPr>
    </w:p>
    <w:p w14:paraId="6BF1F142" w14:textId="77777777" w:rsidR="00F95802" w:rsidRPr="00DD0F57" w:rsidRDefault="00F95802" w:rsidP="00F9580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lastRenderedPageBreak/>
        <w:t>Problema planteado:</w:t>
      </w:r>
    </w:p>
    <w:p w14:paraId="3BC1584E" w14:textId="77777777" w:rsidR="00F95802" w:rsidRPr="00DD0F57" w:rsidRDefault="00F95802" w:rsidP="00F95802">
      <w:pPr>
        <w:tabs>
          <w:tab w:val="left" w:pos="426"/>
        </w:tabs>
        <w:spacing w:after="0" w:line="276" w:lineRule="auto"/>
        <w:jc w:val="both"/>
        <w:rPr>
          <w:rFonts w:ascii="Verdana" w:eastAsia="Century Gothic" w:hAnsi="Verdana" w:cs="Century Gothic"/>
          <w:color w:val="000000" w:themeColor="text1"/>
          <w:lang w:val="es-ES"/>
        </w:rPr>
      </w:pPr>
    </w:p>
    <w:p w14:paraId="03656E66" w14:textId="77777777" w:rsidR="00F95802" w:rsidRPr="00DD0F57" w:rsidRDefault="00F95802" w:rsidP="00F95802">
      <w:pPr>
        <w:spacing w:after="0" w:line="276" w:lineRule="auto"/>
        <w:jc w:val="both"/>
        <w:rPr>
          <w:rFonts w:ascii="Verdana" w:eastAsia="Century Gothic" w:hAnsi="Verdana" w:cs="Century Gothic"/>
          <w:color w:val="000000" w:themeColor="text1"/>
          <w:lang w:val="es-ES"/>
        </w:rPr>
      </w:pPr>
      <w:r w:rsidRPr="00DD0F57">
        <w:rPr>
          <w:rFonts w:ascii="Verdana" w:eastAsia="Century Gothic" w:hAnsi="Verdana" w:cs="Century Gothic"/>
          <w:color w:val="000000" w:themeColor="text1"/>
          <w:lang w:val="es-ES"/>
        </w:rPr>
        <w:t xml:space="preserve">De acuerdo con el contenido de su solicitud, esta Agencia resolverá los siguientes problemas jurídicos: ¿cuál es el alcance de la facultad establecida en el numeral 25 del artículo 4 la Ley 1967 de 2019?  </w:t>
      </w:r>
    </w:p>
    <w:p w14:paraId="6548EC29" w14:textId="77777777" w:rsidR="00F95802" w:rsidRPr="00DD0F57" w:rsidRDefault="00F95802" w:rsidP="00F95802">
      <w:pPr>
        <w:spacing w:after="0" w:line="276" w:lineRule="auto"/>
        <w:jc w:val="both"/>
        <w:rPr>
          <w:rFonts w:ascii="Verdana" w:eastAsia="Calibri" w:hAnsi="Verdana" w:cs="Arial"/>
          <w:color w:val="000000" w:themeColor="text1"/>
          <w:lang w:val="es-ES"/>
        </w:rPr>
      </w:pPr>
    </w:p>
    <w:p w14:paraId="3998C812" w14:textId="77777777" w:rsidR="00F95802" w:rsidRPr="00DD0F57" w:rsidRDefault="00F95802" w:rsidP="00F9580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Respuesta:</w:t>
      </w:r>
    </w:p>
    <w:p w14:paraId="354038F3" w14:textId="77777777" w:rsidR="00F95802" w:rsidRPr="00DD0F57" w:rsidRDefault="00F95802" w:rsidP="00F9580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95802" w:rsidRPr="00DD0F57" w14:paraId="31DC4B69" w14:textId="77777777" w:rsidTr="005D3E90">
        <w:tc>
          <w:tcPr>
            <w:tcW w:w="8828" w:type="dxa"/>
          </w:tcPr>
          <w:p w14:paraId="7BD59705" w14:textId="77777777" w:rsidR="00F95802" w:rsidRPr="00B310CF" w:rsidRDefault="00F95802" w:rsidP="005D3E90">
            <w:pPr>
              <w:widowControl w:val="0"/>
              <w:autoSpaceDE w:val="0"/>
              <w:autoSpaceDN w:val="0"/>
              <w:spacing w:before="120" w:after="120" w:line="276" w:lineRule="auto"/>
              <w:jc w:val="both"/>
              <w:rPr>
                <w:rFonts w:ascii="Verdana" w:eastAsia="Times New Roman" w:hAnsi="Verdana" w:cs="Arial"/>
                <w:lang w:val="en-US" w:eastAsia="es-ES"/>
              </w:rPr>
            </w:pPr>
            <w:r w:rsidRPr="67C50E36">
              <w:rPr>
                <w:rFonts w:ascii="Verdana" w:eastAsia="Times New Roman" w:hAnsi="Verdana" w:cs="Arial"/>
                <w:lang w:val="en-US" w:eastAsia="es-ES"/>
              </w:rPr>
              <w:t>El numeral 25 del artículo 4 de la Ley 1967 de 2019 otorga al Ministerio del Deporte la competencia para celebrar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 expresamente determinados por el legislador, sin que ello suponga un desplazamiento o modificación del régimen jurídico del EGCAP, al cual se somete la actividad contractual del Ministerio de conformidad con lo dispuesto en el artículo 2 de la Ley 80 de 1993.</w:t>
            </w:r>
          </w:p>
          <w:p w14:paraId="4C0F855D" w14:textId="77777777" w:rsidR="00F95802" w:rsidRPr="00B310CF" w:rsidRDefault="00F95802" w:rsidP="005D3E90">
            <w:pPr>
              <w:widowControl w:val="0"/>
              <w:autoSpaceDE w:val="0"/>
              <w:autoSpaceDN w:val="0"/>
              <w:spacing w:before="120" w:after="120" w:line="276" w:lineRule="auto"/>
              <w:ind w:firstLine="734"/>
              <w:jc w:val="both"/>
              <w:rPr>
                <w:rFonts w:ascii="Verdana" w:eastAsia="Times New Roman" w:hAnsi="Verdana" w:cs="Arial"/>
                <w:lang w:val="en-US" w:eastAsia="es-ES"/>
              </w:rPr>
            </w:pPr>
            <w:r w:rsidRPr="67C50E36">
              <w:rPr>
                <w:rFonts w:ascii="Verdana" w:eastAsia="Times New Roman" w:hAnsi="Verdana" w:cs="Arial"/>
                <w:lang w:val="en-US" w:eastAsia="es-ES"/>
              </w:rPr>
              <w:t xml:space="preserve">El ejercicio de dicha función se encuentra enmarcado en el cumplimiento de las disposiciones que en materia contractual establecen la Ley 80 de 1993, la Ley 1150 de 2007, el Decreto 1082 de 2015 y demás normas concordantes, en la medida en que la disposición del numeral 25 establece una causal específica que habilita la contratación directa, pero remite expresamente a la aplicación del ordenamiento jurídico que rige la actividad contractual de esta entidad. En virtud de lo anterior, la función solo podrá ejercerse con respecto a sujetos que, de acuerdo con el artículo 50 de la Ley 181 de 1995, hagan parte del Sistema Nacional del Deporte, y únicamente cuando el convenio o contrato se celebre para el desarrollo del objeto institucional definido en el artículo 3 de la Ley 1967 de 2019; el contrato cuyo objeto sea ajeno a dicho marco jurídico, por ejemplo, la simple adquisición de bienes o servicios sin relación con el fomento del deporte, no estará amparado en la función del numeral 25, incluso si el contratista esta reconocido como un sujeto que hace parte del Sistema Nacional del Deporte. En consecuencia, la función revista en el numeral 25, en tanto excepción a la </w:t>
            </w:r>
            <w:r w:rsidRPr="67C50E36">
              <w:rPr>
                <w:rFonts w:ascii="Verdana" w:eastAsia="Times New Roman" w:hAnsi="Verdana" w:cs="Arial"/>
                <w:lang w:val="en-US" w:eastAsia="es-ES"/>
              </w:rPr>
              <w:lastRenderedPageBreak/>
              <w:t>regla general de licitación pública que impone el EGCAP, no podrá interpretarse extensivamente para cobijar sujetos u objetos que exceden su texto.</w:t>
            </w:r>
          </w:p>
          <w:p w14:paraId="0A7C2604" w14:textId="77777777" w:rsidR="00F95802" w:rsidRPr="00665A37" w:rsidRDefault="00F95802" w:rsidP="005D3E90">
            <w:pPr>
              <w:widowControl w:val="0"/>
              <w:autoSpaceDE w:val="0"/>
              <w:autoSpaceDN w:val="0"/>
              <w:spacing w:before="120" w:after="120" w:line="276" w:lineRule="auto"/>
              <w:ind w:firstLine="734"/>
              <w:jc w:val="both"/>
              <w:rPr>
                <w:rFonts w:ascii="Verdana" w:eastAsia="Times New Roman" w:hAnsi="Verdana" w:cs="Arial"/>
                <w:lang w:val="en-US" w:eastAsia="es-ES"/>
              </w:rPr>
            </w:pPr>
            <w:r w:rsidRPr="67C50E36">
              <w:rPr>
                <w:rFonts w:ascii="Verdana" w:eastAsia="Times New Roman" w:hAnsi="Verdana" w:cs="Arial"/>
                <w:lang w:val="en-US" w:eastAsia="es-ES"/>
              </w:rPr>
              <w:t xml:space="preserve">En todo lo no regulado expresamente por esta causal especial, la contratación se regirá por lo dispuesto en el régimen general de contratación de la entidad contratante: el EGCAP; incluidos los requisitos de perfeccionamiento y ejecución del contrato, garantías, supervisión, liquidación, causales de nulidad, régimen de inhabilidades e incompatibilidades, publicidad en el SECOP, cláusulas excepcionales cuando procedan y responsabilidad contractual, salvo que exista una norma especial que disponga lo contrario. </w:t>
            </w:r>
          </w:p>
          <w:p w14:paraId="57CB2A23" w14:textId="77777777" w:rsidR="00F95802" w:rsidRPr="00665A37" w:rsidRDefault="00F95802" w:rsidP="005D3E90">
            <w:pPr>
              <w:spacing w:before="12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Una consecuencia jurídica de lo expuesto es que </w:t>
            </w:r>
            <w:r w:rsidRPr="007E01B5">
              <w:rPr>
                <w:rFonts w:ascii="Verdana" w:eastAsia="Calibri" w:hAnsi="Verdana" w:cs="Arial"/>
                <w:color w:val="000000"/>
                <w:lang w:val="es-ES"/>
              </w:rPr>
              <w:t xml:space="preserve">el artículo 20 de la Ley 1150 de 2007 </w:t>
            </w:r>
            <w:r w:rsidRPr="00665A37">
              <w:rPr>
                <w:rFonts w:ascii="Verdana" w:eastAsia="Calibri" w:hAnsi="Verdana" w:cs="Arial"/>
                <w:color w:val="000000"/>
                <w:lang w:val="es-ES"/>
              </w:rPr>
              <w:t xml:space="preserve">será aplicable con respecto a los organismos internacionales con los que contrate directamente el Ministerio del Deporte en ejercicio de la función establecida en el numeral 25 del artículo 4 de la Ley 1967 de 2019, siempre que se trate de organismos internacionales que sean 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 </w:t>
            </w:r>
          </w:p>
          <w:p w14:paraId="281C73E2" w14:textId="77777777" w:rsidR="00F95802" w:rsidRPr="00665A37" w:rsidRDefault="00F95802" w:rsidP="005D3E90">
            <w:pPr>
              <w:spacing w:before="120" w:line="276" w:lineRule="auto"/>
              <w:ind w:firstLine="708"/>
              <w:jc w:val="both"/>
              <w:rPr>
                <w:rFonts w:ascii="Verdana" w:hAnsi="Verdana" w:cs="Arial"/>
                <w:color w:val="000000" w:themeColor="text1"/>
                <w:lang w:val="es-ES"/>
              </w:rPr>
            </w:pPr>
            <w:r w:rsidRPr="00665A37">
              <w:rPr>
                <w:rFonts w:ascii="Verdana" w:hAnsi="Verdana" w:cs="Arial"/>
                <w:color w:val="000000" w:themeColor="text1"/>
                <w:lang w:val="es-ES"/>
              </w:rPr>
              <w:t>Por ejemplo</w:t>
            </w:r>
            <w:r w:rsidRPr="00665A37">
              <w:rPr>
                <w:rFonts w:ascii="Verdana" w:eastAsia="Calibri" w:hAnsi="Verdana" w:cs="Arial"/>
                <w:color w:val="000000"/>
                <w:lang w:val="es-ES"/>
              </w:rPr>
              <w:t xml:space="preserve">, </w:t>
            </w:r>
            <w:r w:rsidRPr="007E01B5">
              <w:rPr>
                <w:rFonts w:ascii="Verdana" w:eastAsia="Calibri" w:hAnsi="Verdana" w:cs="Arial"/>
                <w:color w:val="000000"/>
                <w:lang w:val="es-ES"/>
              </w:rPr>
              <w:t>si</w:t>
            </w:r>
            <w:r w:rsidRPr="00665A37">
              <w:rPr>
                <w:rFonts w:ascii="Verdana" w:eastAsia="Calibri" w:hAnsi="Verdana" w:cs="Arial"/>
                <w:color w:val="000000"/>
                <w:lang w:val="es-ES"/>
              </w:rPr>
              <w:t xml:space="preserve"> en ejercicio de la función del numeral 25 el Ministerio del Deporte celebra directamente</w:t>
            </w:r>
            <w:r w:rsidRPr="007E01B5">
              <w:rPr>
                <w:rFonts w:ascii="Verdana" w:eastAsia="Calibri" w:hAnsi="Verdana" w:cs="Arial"/>
                <w:color w:val="000000"/>
                <w:lang w:val="es-ES"/>
              </w:rPr>
              <w:t xml:space="preserve"> un convenio </w:t>
            </w:r>
            <w:r w:rsidRPr="00665A37">
              <w:rPr>
                <w:rFonts w:ascii="Verdana" w:eastAsia="Calibri" w:hAnsi="Verdana" w:cs="Arial"/>
                <w:color w:val="000000"/>
                <w:lang w:val="es-ES"/>
              </w:rPr>
              <w:t xml:space="preserve">o contrato </w:t>
            </w:r>
            <w:r w:rsidRPr="007E01B5">
              <w:rPr>
                <w:rFonts w:ascii="Verdana" w:eastAsia="Calibri" w:hAnsi="Verdana" w:cs="Arial"/>
                <w:color w:val="000000"/>
                <w:lang w:val="es-ES"/>
              </w:rPr>
              <w:t>con un organismo deportivo internacional</w:t>
            </w:r>
            <w:r w:rsidRPr="00665A37">
              <w:rPr>
                <w:rFonts w:ascii="Verdana" w:eastAsia="Calibri" w:hAnsi="Verdana" w:cs="Arial"/>
                <w:color w:val="000000"/>
                <w:lang w:val="es-ES"/>
              </w:rPr>
              <w:t xml:space="preserve"> que hace parte del Sistema Nacional del Deporte para el desarrollo de su objet</w:t>
            </w:r>
            <w:r>
              <w:rPr>
                <w:rFonts w:ascii="Verdana" w:eastAsia="Calibri" w:hAnsi="Verdana" w:cs="Arial"/>
                <w:color w:val="000000"/>
                <w:lang w:val="es-ES"/>
              </w:rPr>
              <w:t>o</w:t>
            </w:r>
            <w:r w:rsidRPr="007E01B5">
              <w:rPr>
                <w:rFonts w:ascii="Verdana" w:eastAsia="Calibri" w:hAnsi="Verdana" w:cs="Arial"/>
                <w:color w:val="000000"/>
                <w:lang w:val="es-ES"/>
              </w:rPr>
              <w:t>,</w:t>
            </w:r>
            <w:r w:rsidRPr="00665A37">
              <w:rPr>
                <w:rFonts w:ascii="Verdana" w:eastAsia="Calibri" w:hAnsi="Verdana" w:cs="Arial"/>
                <w:color w:val="000000"/>
                <w:lang w:val="es-ES"/>
              </w:rPr>
              <w:t xml:space="preserve"> y este, </w:t>
            </w:r>
            <w:r w:rsidRPr="007E01B5">
              <w:rPr>
                <w:rFonts w:ascii="Verdana" w:eastAsia="Calibri" w:hAnsi="Verdana" w:cs="Arial"/>
                <w:color w:val="000000"/>
                <w:lang w:val="es-ES"/>
              </w:rPr>
              <w:t>además de encajar en l</w:t>
            </w:r>
            <w:r w:rsidRPr="00665A37">
              <w:rPr>
                <w:rFonts w:ascii="Verdana" w:eastAsia="Calibri" w:hAnsi="Verdana" w:cs="Arial"/>
                <w:color w:val="000000"/>
                <w:lang w:val="es-ES"/>
              </w:rPr>
              <w:t>os supuestos de la</w:t>
            </w:r>
            <w:r w:rsidRPr="007E01B5">
              <w:rPr>
                <w:rFonts w:ascii="Verdana" w:eastAsia="Calibri" w:hAnsi="Verdana" w:cs="Arial"/>
                <w:color w:val="000000"/>
                <w:lang w:val="es-ES"/>
              </w:rPr>
              <w:t xml:space="preserve"> función</w:t>
            </w:r>
            <w:r w:rsidRPr="00665A37">
              <w:rPr>
                <w:rFonts w:ascii="Verdana" w:eastAsia="Calibri" w:hAnsi="Verdana" w:cs="Arial"/>
                <w:color w:val="000000"/>
                <w:lang w:val="es-ES"/>
              </w:rPr>
              <w:t xml:space="preserve"> del numeral</w:t>
            </w:r>
            <w:r w:rsidRPr="007E01B5">
              <w:rPr>
                <w:rFonts w:ascii="Verdana" w:eastAsia="Calibri" w:hAnsi="Verdana" w:cs="Arial"/>
                <w:color w:val="000000"/>
                <w:lang w:val="es-ES"/>
              </w:rPr>
              <w:t xml:space="preserve"> 25, cumple independientemente los requisitos del artículo 20, ese convenio podrá regirse por el reglamento del organismo </w:t>
            </w:r>
            <w:r w:rsidRPr="00665A37">
              <w:rPr>
                <w:rFonts w:ascii="Verdana" w:eastAsia="Calibri" w:hAnsi="Verdana" w:cs="Arial"/>
                <w:color w:val="000000"/>
                <w:lang w:val="es-ES"/>
              </w:rPr>
              <w:t xml:space="preserve">internacional. Este será el caso cuando el organismo internacional que hace parte del Sistema Nacional del Deporte es también </w:t>
            </w:r>
            <w:r w:rsidRPr="00665A37">
              <w:rPr>
                <w:rFonts w:ascii="Verdana" w:hAnsi="Verdana" w:cs="Arial"/>
                <w:color w:val="000000" w:themeColor="text1"/>
                <w:lang w:val="es-ES"/>
              </w:rPr>
              <w:t xml:space="preserve">un organismo de cooperación, asistencia o ayuda internacional que financia el contrato o convenio en sumas iguales o superiores al cincuenta por ciento (50%). </w:t>
            </w:r>
          </w:p>
          <w:p w14:paraId="66965F8B" w14:textId="77777777" w:rsidR="00F95802" w:rsidRPr="00B310CF" w:rsidRDefault="00F95802" w:rsidP="005D3E90">
            <w:pPr>
              <w:widowControl w:val="0"/>
              <w:autoSpaceDE w:val="0"/>
              <w:autoSpaceDN w:val="0"/>
              <w:spacing w:before="120" w:after="120" w:line="276" w:lineRule="auto"/>
              <w:ind w:firstLine="734"/>
              <w:jc w:val="both"/>
              <w:rPr>
                <w:rFonts w:ascii="Verdana" w:eastAsia="Times New Roman" w:hAnsi="Verdana" w:cs="Arial"/>
                <w:lang w:eastAsia="es-ES_tradnl"/>
              </w:rPr>
            </w:pPr>
            <w:r w:rsidRPr="00665A37">
              <w:rPr>
                <w:rFonts w:ascii="Verdana" w:eastAsia="Times New Roman" w:hAnsi="Verdana" w:cs="Arial"/>
                <w:lang w:val="es-ES" w:eastAsia="es-ES_tradnl"/>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w:t>
            </w:r>
            <w:r>
              <w:rPr>
                <w:rFonts w:ascii="Verdana" w:eastAsia="Times New Roman" w:hAnsi="Verdana" w:cs="Arial"/>
                <w:lang w:val="es-ES" w:eastAsia="es-ES_tradnl"/>
              </w:rPr>
              <w:t xml:space="preserve">en </w:t>
            </w:r>
            <w:r w:rsidRPr="00665A37">
              <w:rPr>
                <w:rFonts w:ascii="Verdana" w:eastAsia="Times New Roman" w:hAnsi="Verdana" w:cs="Arial"/>
                <w:lang w:val="es-ES" w:eastAsia="es-ES_tradnl"/>
              </w:rPr>
              <w:t xml:space="preserve">la aclaración preliminar del presente </w:t>
            </w:r>
            <w:r w:rsidRPr="00665A37">
              <w:rPr>
                <w:rFonts w:ascii="Verdana" w:eastAsia="Times New Roman" w:hAnsi="Verdana" w:cs="Arial"/>
                <w:lang w:val="es-ES" w:eastAsia="es-ES_tradnl"/>
              </w:rPr>
              <w:lastRenderedPageBreak/>
              <w:t>oficio. Por lo anterior, previo concepto de sus asesores, la solución de situaciones particulares corresponde</w:t>
            </w:r>
            <w:r w:rsidRPr="00665A37">
              <w:rPr>
                <w:rStyle w:val="s15"/>
                <w:rFonts w:ascii="Verdana" w:hAnsi="Verdana"/>
                <w:color w:val="000000"/>
                <w:lang w:val="es-ES"/>
              </w:rPr>
              <w:t xml:space="preserv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B45D4E8" w14:textId="77777777" w:rsidR="00F95802" w:rsidRPr="00DD0F57" w:rsidRDefault="00F95802" w:rsidP="00F9580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7105B958" w14:textId="77777777" w:rsidR="00F95802" w:rsidRPr="00DD0F57" w:rsidRDefault="00F95802" w:rsidP="00F9580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Razones de la respuesta:</w:t>
      </w:r>
    </w:p>
    <w:p w14:paraId="03A468EC" w14:textId="77777777" w:rsidR="00F95802" w:rsidRPr="00DD0F57" w:rsidRDefault="00F95802" w:rsidP="00F95802">
      <w:pPr>
        <w:spacing w:after="0" w:line="276" w:lineRule="auto"/>
        <w:jc w:val="both"/>
        <w:rPr>
          <w:rFonts w:ascii="Verdana" w:eastAsia="Calibri" w:hAnsi="Verdana" w:cs="Arial"/>
          <w:color w:val="000000" w:themeColor="text1"/>
          <w:lang w:val="es-ES"/>
        </w:rPr>
      </w:pPr>
    </w:p>
    <w:p w14:paraId="5559D444" w14:textId="77777777" w:rsidR="00F95802" w:rsidRPr="00DD0F57" w:rsidRDefault="00F95802" w:rsidP="00F95802">
      <w:pPr>
        <w:spacing w:after="0" w:line="276" w:lineRule="auto"/>
        <w:jc w:val="both"/>
        <w:rPr>
          <w:rFonts w:ascii="Verdana" w:eastAsia="Calibri" w:hAnsi="Verdana" w:cs="Arial"/>
          <w:color w:val="000000" w:themeColor="text1"/>
          <w:lang w:val="es-ES"/>
        </w:rPr>
      </w:pPr>
      <w:r w:rsidRPr="00DD0F57">
        <w:rPr>
          <w:rFonts w:ascii="Verdana" w:eastAsia="Calibri" w:hAnsi="Verdana" w:cs="Arial"/>
          <w:color w:val="000000" w:themeColor="text1"/>
          <w:lang w:val="es-ES"/>
        </w:rPr>
        <w:t xml:space="preserve">Lo anterior se sustenta en las siguientes consideraciones: </w:t>
      </w:r>
    </w:p>
    <w:p w14:paraId="723106D2" w14:textId="77777777" w:rsidR="00F95802" w:rsidRPr="00DD0F57" w:rsidRDefault="00F95802" w:rsidP="00F95802">
      <w:pPr>
        <w:spacing w:after="0" w:line="276" w:lineRule="auto"/>
        <w:jc w:val="both"/>
        <w:rPr>
          <w:rFonts w:ascii="Verdana" w:eastAsia="Calibri" w:hAnsi="Verdana" w:cs="Arial"/>
          <w:lang w:val="es-ES"/>
        </w:rPr>
      </w:pPr>
    </w:p>
    <w:p w14:paraId="5DDFA97D" w14:textId="77777777" w:rsidR="00F95802" w:rsidRPr="00DD0F57" w:rsidRDefault="00F95802" w:rsidP="00F95802">
      <w:pPr>
        <w:spacing w:after="120" w:line="276" w:lineRule="auto"/>
        <w:jc w:val="both"/>
        <w:rPr>
          <w:rFonts w:ascii="Verdana" w:eastAsia="Times New Roman" w:hAnsi="Verdana" w:cs="Arial"/>
          <w:lang w:val="es-ES" w:eastAsia="es-ES_tradnl"/>
        </w:rPr>
      </w:pPr>
      <w:r w:rsidRPr="00DD0F57">
        <w:rPr>
          <w:rFonts w:ascii="Verdana" w:eastAsia="Calibri" w:hAnsi="Verdana" w:cs="Arial"/>
          <w:bCs/>
          <w:lang w:val="es-ES"/>
        </w:rPr>
        <w:t>i.</w:t>
      </w:r>
      <w:r w:rsidRPr="00DD0F57">
        <w:rPr>
          <w:rFonts w:ascii="Verdana" w:eastAsia="Calibri" w:hAnsi="Verdana" w:cs="Arial"/>
          <w:color w:val="000000"/>
          <w:lang w:val="es-ES"/>
        </w:rPr>
        <w:t xml:space="preserve"> La Ley 1967 de</w:t>
      </w:r>
      <w:r>
        <w:rPr>
          <w:rFonts w:ascii="Verdana" w:eastAsia="Calibri" w:hAnsi="Verdana" w:cs="Arial"/>
          <w:color w:val="000000"/>
          <w:lang w:val="es-ES"/>
        </w:rPr>
        <w:t xml:space="preserve"> </w:t>
      </w:r>
      <w:r w:rsidRPr="00DD0F57">
        <w:rPr>
          <w:rFonts w:ascii="Verdana" w:eastAsia="Calibri" w:hAnsi="Verdana" w:cs="Arial"/>
          <w:color w:val="000000"/>
          <w:lang w:val="es-ES"/>
        </w:rPr>
        <w:t>2019 transformó el Departamento Administrativo del Deporte, la Recreación, la Actividad Física y el Aprovechamiento del Tiempo Libre (Coldeportes) en el Ministerio del Deporte</w:t>
      </w:r>
      <w:r>
        <w:rPr>
          <w:rFonts w:ascii="Verdana" w:eastAsia="Calibri" w:hAnsi="Verdana" w:cs="Arial"/>
          <w:color w:val="000000"/>
          <w:lang w:val="es-ES"/>
        </w:rPr>
        <w:t xml:space="preserve"> y lo estableció</w:t>
      </w:r>
      <w:r w:rsidRPr="00DD0F57">
        <w:rPr>
          <w:rFonts w:ascii="Verdana" w:eastAsia="Calibri" w:hAnsi="Verdana" w:cs="Arial"/>
          <w:color w:val="000000"/>
          <w:lang w:val="es-ES"/>
        </w:rPr>
        <w:t xml:space="preserve"> como organismo principal de la administración pública, del nivel central, rector del sector y del Sistema Nacional del Deporte. De acuerdo con el artículo tercero, el </w:t>
      </w:r>
      <w:r w:rsidRPr="00DD0F57">
        <w:rPr>
          <w:rFonts w:ascii="Verdana" w:eastAsia="Times New Roman" w:hAnsi="Verdana" w:cs="Arial"/>
          <w:lang w:val="es-ES" w:eastAsia="es-ES_tradnl"/>
        </w:rPr>
        <w:t>Ministerio tiene como objetivo “formular, adoptar, dirigir, coordinar, inspeccionar, vigilar, controlar y ejecutar la política pública, planes, programas y proyectos en materia del deporte, la recreación, el aprovechamiento del tiempo libre y la actividad física para promover el bienestar, la calidad de vida, así como contribuir a la salud pública, a la educación, a la cultura, a la cohesión e integración social, a la conciencia nacional y a las relaciones internacionales, a través de la participación de los actores públicos y privados”.</w:t>
      </w:r>
    </w:p>
    <w:p w14:paraId="6875FC58" w14:textId="77777777" w:rsidR="00F95802" w:rsidRPr="00DD0F57" w:rsidRDefault="00F95802" w:rsidP="00F95802">
      <w:pPr>
        <w:spacing w:after="0" w:line="276" w:lineRule="auto"/>
        <w:jc w:val="both"/>
        <w:rPr>
          <w:rFonts w:ascii="Verdana" w:eastAsia="Times New Roman" w:hAnsi="Verdana" w:cs="Arial"/>
          <w:lang w:val="es-ES" w:eastAsia="es-ES_tradnl"/>
        </w:rPr>
      </w:pPr>
      <w:r w:rsidRPr="00DD0F57">
        <w:rPr>
          <w:rFonts w:ascii="Verdana" w:eastAsia="Times New Roman" w:hAnsi="Verdana" w:cs="Arial"/>
          <w:lang w:val="es-ES" w:eastAsia="es-ES_tradnl"/>
        </w:rPr>
        <w:tab/>
      </w:r>
      <w:r>
        <w:rPr>
          <w:rFonts w:ascii="Verdana" w:eastAsia="Times New Roman" w:hAnsi="Verdana" w:cs="Arial"/>
          <w:lang w:val="es-ES" w:eastAsia="es-ES_tradnl"/>
        </w:rPr>
        <w:t xml:space="preserve">En el </w:t>
      </w:r>
      <w:r w:rsidRPr="00DD0F57">
        <w:rPr>
          <w:rFonts w:ascii="Verdana" w:eastAsia="Times New Roman" w:hAnsi="Verdana" w:cs="Arial"/>
          <w:lang w:val="es-ES" w:eastAsia="es-ES_tradnl"/>
        </w:rPr>
        <w:t>marco de lo anterior, el artículo cuarto de la referida ley determinó las funciones que cumplirá el Ministerio del Deporte para la materialización de su objeto, las cuales son adicionales a las que dispone el artículo </w:t>
      </w:r>
      <w:hyperlink r:id="rId13" w:anchor="59" w:history="1">
        <w:r w:rsidRPr="00DD0F57">
          <w:rPr>
            <w:rFonts w:ascii="Verdana" w:eastAsia="Times New Roman" w:hAnsi="Verdana" w:cs="Arial"/>
            <w:lang w:val="es-ES" w:eastAsia="es-ES_tradnl"/>
          </w:rPr>
          <w:t>59</w:t>
        </w:r>
      </w:hyperlink>
      <w:r w:rsidRPr="00DD0F57">
        <w:rPr>
          <w:rFonts w:ascii="Verdana" w:eastAsia="Times New Roman" w:hAnsi="Verdana" w:cs="Arial"/>
          <w:lang w:val="es-ES" w:eastAsia="es-ES_tradnl"/>
        </w:rPr>
        <w:t> de la Ley 489 de 1998 en cabeza de todos los ministerios y departamentos administrativos del Estado. En cuanto a su actividad contractual, la norma dispuso que el Ministerio tiene la facultad de:</w:t>
      </w:r>
    </w:p>
    <w:p w14:paraId="115EB74E" w14:textId="77777777" w:rsidR="00F95802" w:rsidRPr="00DD0F57" w:rsidRDefault="00F95802" w:rsidP="00F95802">
      <w:pPr>
        <w:spacing w:after="0" w:line="240" w:lineRule="auto"/>
        <w:ind w:left="709" w:right="709"/>
        <w:jc w:val="both"/>
        <w:rPr>
          <w:rFonts w:ascii="Verdana" w:eastAsia="Calibri" w:hAnsi="Verdana" w:cs="Arial"/>
          <w:color w:val="000000"/>
          <w:sz w:val="21"/>
          <w:szCs w:val="21"/>
          <w:lang w:val="es-ES"/>
        </w:rPr>
      </w:pPr>
    </w:p>
    <w:p w14:paraId="79AADE0F" w14:textId="77777777" w:rsidR="00F95802" w:rsidRPr="00DD0F57" w:rsidRDefault="00F95802" w:rsidP="00F95802">
      <w:pPr>
        <w:spacing w:after="0" w:line="240" w:lineRule="auto"/>
        <w:ind w:left="709" w:right="709"/>
        <w:jc w:val="both"/>
        <w:rPr>
          <w:rFonts w:ascii="Verdana" w:eastAsia="Calibri" w:hAnsi="Verdana" w:cs="Arial"/>
          <w:color w:val="000000"/>
          <w:sz w:val="21"/>
          <w:szCs w:val="21"/>
          <w:lang w:val="es-ES"/>
        </w:rPr>
      </w:pPr>
      <w:r w:rsidRPr="00DD0F57">
        <w:rPr>
          <w:rFonts w:ascii="Verdana" w:eastAsia="Calibri" w:hAnsi="Verdana" w:cs="Arial"/>
          <w:color w:val="000000"/>
          <w:sz w:val="21"/>
          <w:szCs w:val="21"/>
          <w:lang w:val="es-ES"/>
        </w:rPr>
        <w:t>“[…] 25. Celebrar directamente convenios o contratos con entidades u organismos internacionales o nacionales, públicos o privados pertenecientes al Sistema Nacional del Deporte, para el desarrollo de su objeto, de acuerdo con las normas legales vigentes”.</w:t>
      </w:r>
    </w:p>
    <w:p w14:paraId="2B15E487" w14:textId="77777777" w:rsidR="00F95802" w:rsidRPr="00DD0F57" w:rsidRDefault="00F95802" w:rsidP="00F95802">
      <w:pPr>
        <w:spacing w:after="0" w:line="240" w:lineRule="auto"/>
        <w:ind w:left="709" w:right="709"/>
        <w:jc w:val="both"/>
        <w:rPr>
          <w:rFonts w:ascii="Verdana" w:eastAsia="Calibri" w:hAnsi="Verdana" w:cs="Arial"/>
          <w:color w:val="000000"/>
          <w:sz w:val="21"/>
          <w:szCs w:val="21"/>
          <w:lang w:val="es-ES"/>
        </w:rPr>
      </w:pPr>
    </w:p>
    <w:p w14:paraId="01ECEB49" w14:textId="77777777" w:rsidR="00F95802" w:rsidRPr="00DD0F57" w:rsidRDefault="00F95802" w:rsidP="00F95802">
      <w:pPr>
        <w:spacing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lastRenderedPageBreak/>
        <w:t>La función del numeral 25 fue consagrada previamente como una facultad en cabeza del Instituto Colombiano del Deporte mediante el artículo 61 de la Ley 181 de 1995, denominada también como la “Ley del Deporte”</w:t>
      </w:r>
      <w:r>
        <w:rPr>
          <w:rFonts w:ascii="Verdana" w:eastAsia="Calibri" w:hAnsi="Verdana" w:cs="Arial"/>
          <w:bCs/>
          <w:color w:val="000000" w:themeColor="text1"/>
          <w:lang w:val="es-ES"/>
        </w:rPr>
        <w:t>. Esta norma</w:t>
      </w:r>
      <w:r w:rsidRPr="00DD0F57">
        <w:rPr>
          <w:rFonts w:ascii="Verdana" w:eastAsia="Calibri" w:hAnsi="Verdana" w:cs="Arial"/>
          <w:bCs/>
          <w:color w:val="000000" w:themeColor="text1"/>
          <w:lang w:val="es-ES"/>
        </w:rPr>
        <w:t xml:space="preserve"> dispuso en términos </w:t>
      </w:r>
      <w:r>
        <w:rPr>
          <w:rFonts w:ascii="Verdana" w:eastAsia="Calibri" w:hAnsi="Verdana" w:cs="Arial"/>
          <w:bCs/>
          <w:color w:val="000000" w:themeColor="text1"/>
          <w:lang w:val="es-ES"/>
        </w:rPr>
        <w:t>g</w:t>
      </w:r>
      <w:r w:rsidRPr="00DD0F57">
        <w:rPr>
          <w:rFonts w:ascii="Verdana" w:eastAsia="Calibri" w:hAnsi="Verdana" w:cs="Arial"/>
          <w:bCs/>
          <w:color w:val="000000" w:themeColor="text1"/>
          <w:lang w:val="es-ES"/>
        </w:rPr>
        <w:t>enerales que esta entidad, como máximo organismo planificador, rector, director y coordinador del Sistema Nacional del Deporte y Director del Deporte Formativo y Comunitario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tendría la función de “celebrar convenios o contratos con las diferentes entidades de los sectores público o privado, nacionales o extranjeros, para el desarrollo de su objeto bien sea del deporte, la recreación, el aprovechamiento del tiempo libre y la educación física de acuerdo con las normas legales vigentes”.</w:t>
      </w:r>
    </w:p>
    <w:p w14:paraId="790AF3A2" w14:textId="77777777" w:rsidR="00F95802" w:rsidRPr="00DD0F57" w:rsidRDefault="00F95802" w:rsidP="00F95802">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Posteriormente, el Decreto-Ley 4183 de 2011 transformó al Instituto Colombiano del Deporte en el Departamento Administrativo </w:t>
      </w:r>
      <w:r w:rsidRPr="00DD0F57">
        <w:rPr>
          <w:rFonts w:ascii="Verdana" w:eastAsia="Calibri" w:hAnsi="Verdana" w:cs="Arial"/>
          <w:color w:val="000000"/>
          <w:lang w:val="es-ES"/>
        </w:rPr>
        <w:t>del Deporte, la Recreación, la Actividad Física y el Aprovechamiento del Tiempo Libre (Coldeportes)</w:t>
      </w:r>
      <w:r w:rsidRPr="00DD0F57">
        <w:rPr>
          <w:rFonts w:ascii="Verdana" w:eastAsia="Calibri" w:hAnsi="Verdana" w:cs="Arial"/>
          <w:bCs/>
          <w:color w:val="000000" w:themeColor="text1"/>
          <w:lang w:val="es-ES"/>
        </w:rPr>
        <w:t>. Dicho Decreto señaló que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para el cumplimiento de sus funciones, Coldeportes tendría la facultad de celebrar directamente convenios o contratos con entidades u organismos internacionales o nacionales, públicos o privados pertenecientes al Sistema Nacional del Deporte, para el desarrollo de su objeto, de acuerdo con las normas legales vigentes. De esta forma, la norma objeto de consulta, al crear el Ministerio del Deporte, le atribuyó una función con la que ya contaba Coldeportes, desde su constitución como Instituto en 1995 y posteriormente como Departamento Administrativo en 2011. </w:t>
      </w:r>
    </w:p>
    <w:p w14:paraId="34317CD3" w14:textId="77777777" w:rsidR="00F95802" w:rsidRPr="00DD0F57" w:rsidRDefault="00F95802" w:rsidP="00F95802">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La exposición de motivos de la Ley 181 de 1995 no se refirió expresamente a la facultad de contratación directa en cabeza del Instituto </w:t>
      </w:r>
      <w:r>
        <w:rPr>
          <w:rFonts w:ascii="Verdana" w:eastAsia="Calibri" w:hAnsi="Verdana" w:cs="Arial"/>
          <w:bCs/>
          <w:color w:val="000000" w:themeColor="text1"/>
          <w:lang w:val="es-ES"/>
        </w:rPr>
        <w:t xml:space="preserve">que fue </w:t>
      </w:r>
      <w:r w:rsidRPr="00DD0F57">
        <w:rPr>
          <w:rFonts w:ascii="Verdana" w:eastAsia="Calibri" w:hAnsi="Verdana" w:cs="Arial"/>
          <w:bCs/>
          <w:color w:val="000000" w:themeColor="text1"/>
          <w:lang w:val="es-ES"/>
        </w:rPr>
        <w:t xml:space="preserve">establecida en el artículo 61, sin </w:t>
      </w:r>
      <w:proofErr w:type="gramStart"/>
      <w:r w:rsidRPr="00DD0F57">
        <w:rPr>
          <w:rFonts w:ascii="Verdana" w:eastAsia="Calibri" w:hAnsi="Verdana" w:cs="Arial"/>
          <w:bCs/>
          <w:color w:val="000000" w:themeColor="text1"/>
          <w:lang w:val="es-ES"/>
        </w:rPr>
        <w:t>embargo</w:t>
      </w:r>
      <w:proofErr w:type="gramEnd"/>
      <w:r w:rsidRPr="00DD0F57">
        <w:rPr>
          <w:rFonts w:ascii="Verdana" w:eastAsia="Calibri" w:hAnsi="Verdana" w:cs="Arial"/>
          <w:bCs/>
          <w:color w:val="000000" w:themeColor="text1"/>
          <w:lang w:val="es-ES"/>
        </w:rPr>
        <w:t xml:space="preserve"> resaltó que la Constitución de 1991 otorgó una concepción política y filosófica al deporte, la recreación y el aprovechamiento del tiempo libre, reconociendo el derecho de todas las personas a tales actividades</w:t>
      </w:r>
      <w:r w:rsidRPr="00DD0F57">
        <w:rPr>
          <w:rStyle w:val="Refdenotaalpie"/>
          <w:rFonts w:ascii="Verdana" w:eastAsia="Calibri" w:hAnsi="Verdana" w:cs="Arial"/>
          <w:bCs/>
          <w:color w:val="000000" w:themeColor="text1"/>
          <w:lang w:val="es-ES"/>
        </w:rPr>
        <w:footnoteReference w:id="2"/>
      </w:r>
      <w:r w:rsidRPr="00DD0F57">
        <w:rPr>
          <w:rFonts w:ascii="Verdana" w:eastAsia="Calibri" w:hAnsi="Verdana" w:cs="Arial"/>
          <w:bCs/>
          <w:color w:val="000000" w:themeColor="text1"/>
          <w:lang w:val="es-ES"/>
        </w:rPr>
        <w:t xml:space="preserve">. Adicionalmente, las normas de presupuesto </w:t>
      </w:r>
      <w:r w:rsidRPr="00DD0F57">
        <w:rPr>
          <w:rFonts w:ascii="Verdana" w:eastAsia="Calibri" w:hAnsi="Verdana" w:cs="Arial"/>
          <w:bCs/>
          <w:color w:val="000000" w:themeColor="text1"/>
          <w:lang w:val="es-ES"/>
        </w:rPr>
        <w:lastRenderedPageBreak/>
        <w:t>nacional incluyeron dichas actividades dentro del gasto público social, como una inversión social en los términos del artículo 350 de la Constitución Política</w:t>
      </w:r>
      <w:r w:rsidRPr="00DD0F57">
        <w:rPr>
          <w:rStyle w:val="Refdenotaalpie"/>
          <w:rFonts w:ascii="Verdana" w:eastAsia="Calibri" w:hAnsi="Verdana" w:cs="Arial"/>
          <w:bCs/>
          <w:color w:val="000000" w:themeColor="text1"/>
          <w:lang w:val="es-ES"/>
        </w:rPr>
        <w:footnoteReference w:id="3"/>
      </w:r>
      <w:r w:rsidRPr="00DD0F57">
        <w:rPr>
          <w:rFonts w:ascii="Verdana" w:eastAsia="Calibri" w:hAnsi="Verdana" w:cs="Arial"/>
          <w:bCs/>
          <w:color w:val="000000" w:themeColor="text1"/>
          <w:lang w:val="es-ES"/>
        </w:rPr>
        <w:t>.</w:t>
      </w:r>
    </w:p>
    <w:p w14:paraId="698E7581" w14:textId="77777777" w:rsidR="00F95802" w:rsidRPr="00DD0F57" w:rsidRDefault="00F95802" w:rsidP="00F95802">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Dentro de este marco, el Gobierno Nacional destacó la necesidad de crear el </w:t>
      </w:r>
      <w:r w:rsidRPr="007F56AB">
        <w:rPr>
          <w:rFonts w:ascii="Verdana" w:eastAsia="Calibri" w:hAnsi="Verdana" w:cs="Arial"/>
          <w:bCs/>
          <w:color w:val="000000" w:themeColor="text1"/>
          <w:lang w:val="es-ES"/>
        </w:rPr>
        <w:t xml:space="preserve">Sistema Nacional del Deporte </w:t>
      </w:r>
      <w:r w:rsidRPr="00DD0F57">
        <w:rPr>
          <w:rFonts w:ascii="Verdana" w:eastAsia="Calibri" w:hAnsi="Verdana" w:cs="Arial"/>
          <w:bCs/>
          <w:color w:val="000000" w:themeColor="text1"/>
          <w:lang w:val="es-ES"/>
        </w:rPr>
        <w:t xml:space="preserve">con el fin de dotar de </w:t>
      </w:r>
      <w:r w:rsidRPr="007F56AB">
        <w:rPr>
          <w:rFonts w:ascii="Verdana" w:eastAsia="Calibri" w:hAnsi="Verdana" w:cs="Arial"/>
          <w:bCs/>
          <w:color w:val="000000" w:themeColor="text1"/>
          <w:lang w:val="es-ES"/>
        </w:rPr>
        <w:t>coherencia a las actividades que se desarrollan</w:t>
      </w:r>
      <w:r w:rsidRPr="00DD0F57">
        <w:rPr>
          <w:rFonts w:ascii="Verdana" w:eastAsia="Calibri" w:hAnsi="Verdana" w:cs="Arial"/>
          <w:bCs/>
          <w:color w:val="000000" w:themeColor="text1"/>
          <w:lang w:val="es-ES"/>
        </w:rPr>
        <w:t xml:space="preserve"> en este ámbito. Con este fin,</w:t>
      </w:r>
      <w:r w:rsidRPr="007F56AB">
        <w:rPr>
          <w:rFonts w:ascii="Verdana" w:eastAsia="Calibri" w:hAnsi="Verdana" w:cs="Arial"/>
          <w:bCs/>
          <w:color w:val="000000" w:themeColor="text1"/>
          <w:lang w:val="es-ES"/>
        </w:rPr>
        <w:t xml:space="preserve"> separ</w:t>
      </w:r>
      <w:r w:rsidRPr="00DD0F57">
        <w:rPr>
          <w:rFonts w:ascii="Verdana" w:eastAsia="Calibri" w:hAnsi="Verdana" w:cs="Arial"/>
          <w:bCs/>
          <w:color w:val="000000" w:themeColor="text1"/>
          <w:lang w:val="es-ES"/>
        </w:rPr>
        <w:t>ó</w:t>
      </w:r>
      <w:r w:rsidRPr="007F56AB">
        <w:rPr>
          <w:rFonts w:ascii="Verdana" w:eastAsia="Calibri" w:hAnsi="Verdana" w:cs="Arial"/>
          <w:bCs/>
          <w:color w:val="000000" w:themeColor="text1"/>
          <w:lang w:val="es-ES"/>
        </w:rPr>
        <w:t xml:space="preserve"> las funciones </w:t>
      </w:r>
      <w:r w:rsidRPr="00DD0F57">
        <w:rPr>
          <w:rFonts w:ascii="Verdana" w:eastAsia="Calibri" w:hAnsi="Verdana" w:cs="Arial"/>
          <w:bCs/>
          <w:color w:val="000000" w:themeColor="text1"/>
          <w:lang w:val="es-ES"/>
        </w:rPr>
        <w:t xml:space="preserve">correspondientes al sector </w:t>
      </w:r>
      <w:r w:rsidRPr="007F56AB">
        <w:rPr>
          <w:rFonts w:ascii="Verdana" w:eastAsia="Calibri" w:hAnsi="Verdana" w:cs="Arial"/>
          <w:bCs/>
          <w:color w:val="000000" w:themeColor="text1"/>
          <w:lang w:val="es-ES"/>
        </w:rPr>
        <w:t>público</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especializándolo en el deporte formativo y comunitario</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de las funciones del sector privado </w:t>
      </w:r>
      <w:r w:rsidRPr="00DD0F57">
        <w:rPr>
          <w:rFonts w:ascii="Verdana" w:eastAsia="Calibri" w:hAnsi="Verdana" w:cs="Arial"/>
          <w:bCs/>
          <w:color w:val="000000" w:themeColor="text1"/>
          <w:lang w:val="es-ES"/>
        </w:rPr>
        <w:t xml:space="preserve">enfocado en el </w:t>
      </w:r>
      <w:r w:rsidRPr="007F56AB">
        <w:rPr>
          <w:rFonts w:ascii="Verdana" w:eastAsia="Calibri" w:hAnsi="Verdana" w:cs="Arial"/>
          <w:bCs/>
          <w:color w:val="000000" w:themeColor="text1"/>
          <w:lang w:val="es-ES"/>
        </w:rPr>
        <w:t>deporte competitivo y de alto rendimiento</w:t>
      </w:r>
      <w:r w:rsidRPr="00DD0F57">
        <w:rPr>
          <w:rFonts w:ascii="Verdana" w:eastAsia="Calibri" w:hAnsi="Verdana" w:cs="Arial"/>
          <w:bCs/>
          <w:color w:val="000000" w:themeColor="text1"/>
          <w:lang w:val="es-ES"/>
        </w:rPr>
        <w:t>. Esta visión buscó armonizarlos</w:t>
      </w:r>
      <w:r w:rsidRPr="007F56AB">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de tal manera que se complementan para trabajar unidos en la masificación del deporte y la recreación</w:t>
      </w:r>
      <w:r w:rsidRPr="00DD0F57">
        <w:rPr>
          <w:rFonts w:ascii="Verdana" w:eastAsia="Calibri" w:hAnsi="Verdana" w:cs="Arial"/>
          <w:bCs/>
          <w:color w:val="000000" w:themeColor="text1"/>
          <w:lang w:val="es-ES"/>
        </w:rPr>
        <w:t>”</w:t>
      </w:r>
      <w:r w:rsidRPr="007F56AB">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Adicionalmente, la norma creó el </w:t>
      </w:r>
      <w:r w:rsidRPr="007F56AB">
        <w:rPr>
          <w:rFonts w:ascii="Verdana" w:eastAsia="Calibri" w:hAnsi="Verdana" w:cs="Arial"/>
          <w:bCs/>
          <w:color w:val="000000" w:themeColor="text1"/>
          <w:lang w:val="es-ES"/>
        </w:rPr>
        <w:t>Consejo Superior del Deporte como organismo consultor de las políticas del Estado en este campo</w:t>
      </w:r>
      <w:r w:rsidRPr="00DD0F57">
        <w:rPr>
          <w:rFonts w:ascii="Verdana" w:eastAsia="Calibri" w:hAnsi="Verdana" w:cs="Arial"/>
          <w:bCs/>
          <w:color w:val="000000" w:themeColor="text1"/>
          <w:lang w:val="es-ES"/>
        </w:rPr>
        <w:t xml:space="preserve">, junto con </w:t>
      </w:r>
      <w:r w:rsidRPr="007F56AB">
        <w:rPr>
          <w:rFonts w:ascii="Verdana" w:eastAsia="Calibri" w:hAnsi="Verdana" w:cs="Arial"/>
          <w:bCs/>
          <w:color w:val="000000" w:themeColor="text1"/>
          <w:lang w:val="es-ES"/>
        </w:rPr>
        <w:t>una corporación mixta para el manejo de los recursos de los sectores que componen el sistema.</w:t>
      </w:r>
      <w:r w:rsidRPr="00DD0F57">
        <w:rPr>
          <w:rFonts w:ascii="Verdana" w:eastAsia="Calibri" w:hAnsi="Verdana" w:cs="Arial"/>
          <w:bCs/>
          <w:color w:val="000000" w:themeColor="text1"/>
          <w:lang w:val="es-ES"/>
        </w:rPr>
        <w:t xml:space="preserve"> </w:t>
      </w:r>
      <w:r w:rsidRPr="007F56AB">
        <w:rPr>
          <w:rFonts w:ascii="Verdana" w:eastAsia="Calibri" w:hAnsi="Verdana" w:cs="Arial"/>
          <w:bCs/>
          <w:color w:val="000000" w:themeColor="text1"/>
          <w:lang w:val="es-ES"/>
        </w:rPr>
        <w:t xml:space="preserve">Igualmente, </w:t>
      </w:r>
      <w:r w:rsidRPr="00DD0F57">
        <w:rPr>
          <w:rFonts w:ascii="Verdana" w:eastAsia="Calibri" w:hAnsi="Verdana" w:cs="Arial"/>
          <w:bCs/>
          <w:color w:val="000000" w:themeColor="text1"/>
          <w:lang w:val="es-ES"/>
        </w:rPr>
        <w:t xml:space="preserve">rescató </w:t>
      </w:r>
      <w:r w:rsidRPr="007F56AB">
        <w:rPr>
          <w:rFonts w:ascii="Verdana" w:eastAsia="Calibri" w:hAnsi="Verdana" w:cs="Arial"/>
          <w:bCs/>
          <w:color w:val="000000" w:themeColor="text1"/>
          <w:lang w:val="es-ES"/>
        </w:rPr>
        <w:t xml:space="preserve">el papel de las entidades territoriales departamentales y municipales a </w:t>
      </w:r>
      <w:r>
        <w:rPr>
          <w:rFonts w:ascii="Verdana" w:eastAsia="Calibri" w:hAnsi="Verdana" w:cs="Arial"/>
          <w:bCs/>
          <w:color w:val="000000" w:themeColor="text1"/>
          <w:lang w:val="es-ES"/>
        </w:rPr>
        <w:t>efectos</w:t>
      </w:r>
      <w:r w:rsidRPr="007F56AB">
        <w:rPr>
          <w:rFonts w:ascii="Verdana" w:eastAsia="Calibri" w:hAnsi="Verdana" w:cs="Arial"/>
          <w:bCs/>
          <w:color w:val="000000" w:themeColor="text1"/>
          <w:lang w:val="es-ES"/>
        </w:rPr>
        <w:t xml:space="preserve"> de comprometerlas en las políticas de masificación del deporte formativo y comunitario.</w:t>
      </w:r>
    </w:p>
    <w:p w14:paraId="193EC150" w14:textId="77777777" w:rsidR="00F95802" w:rsidRPr="00DD0F57" w:rsidRDefault="00F95802" w:rsidP="00F95802">
      <w:pPr>
        <w:spacing w:before="120" w:after="0" w:line="276" w:lineRule="auto"/>
        <w:ind w:firstLine="709"/>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De manera similar, la exposición de motivos</w:t>
      </w:r>
      <w:r w:rsidRPr="00DD0F57">
        <w:rPr>
          <w:rStyle w:val="Refdenotaalpie"/>
          <w:rFonts w:ascii="Verdana" w:eastAsia="Calibri" w:hAnsi="Verdana" w:cs="Arial"/>
          <w:bCs/>
          <w:color w:val="000000" w:themeColor="text1"/>
          <w:lang w:val="es-ES"/>
        </w:rPr>
        <w:footnoteReference w:id="4"/>
      </w:r>
      <w:r w:rsidRPr="00DD0F57">
        <w:rPr>
          <w:rFonts w:ascii="Verdana" w:eastAsia="Calibri" w:hAnsi="Verdana" w:cs="Arial"/>
          <w:bCs/>
          <w:color w:val="000000" w:themeColor="text1"/>
          <w:lang w:val="es-ES"/>
        </w:rPr>
        <w:t xml:space="preserve"> de la Ley 1967 de 2019 (proyecto en Senado No. 78/18 y No. 285/18 en Cámara de Representantes) n</w:t>
      </w:r>
      <w:r w:rsidRPr="00AE2B56">
        <w:rPr>
          <w:rFonts w:ascii="Verdana" w:eastAsia="Calibri" w:hAnsi="Verdana" w:cs="Arial"/>
          <w:bCs/>
          <w:color w:val="000000" w:themeColor="text1"/>
          <w:lang w:val="es-ES"/>
        </w:rPr>
        <w:t xml:space="preserve">o </w:t>
      </w:r>
      <w:r w:rsidRPr="00DD0F57">
        <w:rPr>
          <w:rFonts w:ascii="Verdana" w:eastAsia="Calibri" w:hAnsi="Verdana" w:cs="Arial"/>
          <w:bCs/>
          <w:color w:val="000000" w:themeColor="text1"/>
          <w:lang w:val="es-ES"/>
        </w:rPr>
        <w:t xml:space="preserve">se refirió </w:t>
      </w:r>
      <w:r w:rsidRPr="00AE2B56">
        <w:rPr>
          <w:rFonts w:ascii="Verdana" w:eastAsia="Calibri" w:hAnsi="Verdana" w:cs="Arial"/>
          <w:bCs/>
          <w:color w:val="000000" w:themeColor="text1"/>
          <w:lang w:val="es-ES"/>
        </w:rPr>
        <w:t xml:space="preserve">específicamente </w:t>
      </w:r>
      <w:r>
        <w:rPr>
          <w:rFonts w:ascii="Verdana" w:eastAsia="Calibri" w:hAnsi="Verdana" w:cs="Arial"/>
          <w:bCs/>
          <w:color w:val="000000" w:themeColor="text1"/>
          <w:lang w:val="es-ES"/>
        </w:rPr>
        <w:t xml:space="preserve">a </w:t>
      </w:r>
      <w:r w:rsidRPr="00AE2B56">
        <w:rPr>
          <w:rFonts w:ascii="Verdana" w:eastAsia="Calibri" w:hAnsi="Verdana" w:cs="Arial"/>
          <w:bCs/>
          <w:color w:val="000000" w:themeColor="text1"/>
          <w:lang w:val="es-ES"/>
        </w:rPr>
        <w:t>la facultad de contratación direct</w:t>
      </w:r>
      <w:r w:rsidRPr="00DD0F57">
        <w:rPr>
          <w:rFonts w:ascii="Verdana" w:eastAsia="Calibri" w:hAnsi="Verdana" w:cs="Arial"/>
          <w:bCs/>
          <w:color w:val="000000" w:themeColor="text1"/>
          <w:lang w:val="es-ES"/>
        </w:rPr>
        <w:t>a objeto de consulta</w:t>
      </w:r>
      <w:r w:rsidRPr="00AE2B56">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En efecto l</w:t>
      </w:r>
      <w:r w:rsidRPr="00AE2B56">
        <w:rPr>
          <w:rFonts w:ascii="Verdana" w:eastAsia="Calibri" w:hAnsi="Verdana" w:cs="Arial"/>
          <w:bCs/>
          <w:color w:val="000000" w:themeColor="text1"/>
          <w:lang w:val="es-ES"/>
        </w:rPr>
        <w:t xml:space="preserve">a función </w:t>
      </w:r>
      <w:r w:rsidRPr="00DD0F57">
        <w:rPr>
          <w:rFonts w:ascii="Verdana" w:eastAsia="Calibri" w:hAnsi="Verdana" w:cs="Arial"/>
          <w:bCs/>
          <w:color w:val="000000" w:themeColor="text1"/>
          <w:lang w:val="es-ES"/>
        </w:rPr>
        <w:t xml:space="preserve">establecida en el numeral </w:t>
      </w:r>
      <w:r w:rsidRPr="00AE2B56">
        <w:rPr>
          <w:rFonts w:ascii="Verdana" w:eastAsia="Calibri" w:hAnsi="Verdana" w:cs="Arial"/>
          <w:bCs/>
          <w:color w:val="000000" w:themeColor="text1"/>
          <w:lang w:val="es-ES"/>
        </w:rPr>
        <w:t xml:space="preserve">25 </w:t>
      </w:r>
      <w:r w:rsidRPr="00DD0F57">
        <w:rPr>
          <w:rFonts w:ascii="Verdana" w:eastAsia="Calibri" w:hAnsi="Verdana" w:cs="Arial"/>
          <w:bCs/>
          <w:color w:val="000000" w:themeColor="text1"/>
          <w:lang w:val="es-ES"/>
        </w:rPr>
        <w:t xml:space="preserve">del artículo cuarto constituye una </w:t>
      </w:r>
      <w:r w:rsidRPr="00AE2B56">
        <w:rPr>
          <w:rFonts w:ascii="Verdana" w:eastAsia="Calibri" w:hAnsi="Verdana" w:cs="Arial"/>
          <w:bCs/>
          <w:color w:val="000000" w:themeColor="text1"/>
          <w:lang w:val="es-ES"/>
        </w:rPr>
        <w:t xml:space="preserve">transcripción </w:t>
      </w:r>
      <w:r w:rsidRPr="00DD0F57">
        <w:rPr>
          <w:rFonts w:ascii="Verdana" w:eastAsia="Calibri" w:hAnsi="Verdana" w:cs="Arial"/>
          <w:bCs/>
          <w:color w:val="000000" w:themeColor="text1"/>
          <w:lang w:val="es-ES"/>
        </w:rPr>
        <w:t xml:space="preserve">de la función que ya había sido incluida en el Decreto-Ley </w:t>
      </w:r>
      <w:r w:rsidRPr="00AE2B56">
        <w:rPr>
          <w:rFonts w:ascii="Verdana" w:eastAsia="Calibri" w:hAnsi="Verdana" w:cs="Arial"/>
          <w:bCs/>
          <w:color w:val="000000" w:themeColor="text1"/>
          <w:lang w:val="es-ES"/>
        </w:rPr>
        <w:t>4183 de 2011</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E</w:t>
      </w:r>
      <w:r w:rsidRPr="00DD0F57">
        <w:rPr>
          <w:rFonts w:ascii="Verdana" w:eastAsia="Calibri" w:hAnsi="Verdana" w:cs="Arial"/>
          <w:bCs/>
          <w:color w:val="000000" w:themeColor="text1"/>
          <w:lang w:val="es-ES"/>
        </w:rPr>
        <w:t>l contenido del numeral 25 se mantuvo intacto durante los debates en Senado y Cámara hasta la publicación del texto final de la Ley, de modo que no fue objeto de modificación ni debate. En este sentido, la ley reprodujo y mantuvo esta función</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inicialmente atribuida a Coldeportes desde 1995. Ad</w:t>
      </w:r>
      <w:r>
        <w:rPr>
          <w:rFonts w:ascii="Verdana" w:eastAsia="Calibri" w:hAnsi="Verdana" w:cs="Arial"/>
          <w:bCs/>
          <w:color w:val="000000" w:themeColor="text1"/>
          <w:lang w:val="es-ES"/>
        </w:rPr>
        <w:t>emás</w:t>
      </w:r>
      <w:r w:rsidRPr="00DD0F57">
        <w:rPr>
          <w:rFonts w:ascii="Verdana" w:eastAsia="Calibri" w:hAnsi="Verdana" w:cs="Arial"/>
          <w:bCs/>
          <w:color w:val="000000" w:themeColor="text1"/>
          <w:lang w:val="es-ES"/>
        </w:rPr>
        <w:t>, es importante resaltar que la función no ha sido objeto de análisis o pronunciamiento jurisprudencial.</w:t>
      </w:r>
    </w:p>
    <w:p w14:paraId="178ADFAC" w14:textId="77777777" w:rsidR="00F95802" w:rsidRPr="00DD0F57" w:rsidRDefault="00F95802" w:rsidP="00F95802">
      <w:pPr>
        <w:spacing w:before="120" w:after="120" w:line="276" w:lineRule="auto"/>
        <w:jc w:val="both"/>
        <w:rPr>
          <w:rFonts w:ascii="Verdana" w:eastAsia="Calibri" w:hAnsi="Verdana" w:cs="Arial"/>
          <w:bCs/>
          <w:color w:val="000000" w:themeColor="text1"/>
          <w:lang w:val="es-ES"/>
        </w:rPr>
      </w:pPr>
      <w:proofErr w:type="spellStart"/>
      <w:r w:rsidRPr="00DD0F57">
        <w:rPr>
          <w:rFonts w:ascii="Verdana" w:eastAsia="Calibri" w:hAnsi="Verdana" w:cs="Arial"/>
          <w:bCs/>
          <w:color w:val="000000" w:themeColor="text1"/>
          <w:lang w:val="es-ES"/>
        </w:rPr>
        <w:t>ii</w:t>
      </w:r>
      <w:proofErr w:type="spellEnd"/>
      <w:r>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En el marco de lo expuesto, es </w:t>
      </w:r>
      <w:r>
        <w:rPr>
          <w:rFonts w:ascii="Verdana" w:eastAsia="Calibri" w:hAnsi="Verdana" w:cs="Arial"/>
          <w:bCs/>
          <w:color w:val="000000" w:themeColor="text1"/>
          <w:lang w:val="es-ES"/>
        </w:rPr>
        <w:t>pertinente</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 xml:space="preserve">recordar </w:t>
      </w:r>
      <w:r w:rsidRPr="00DD0F57">
        <w:rPr>
          <w:rFonts w:ascii="Verdana" w:eastAsia="Calibri" w:hAnsi="Verdana" w:cs="Arial"/>
          <w:bCs/>
          <w:color w:val="000000" w:themeColor="text1"/>
          <w:lang w:val="es-ES"/>
        </w:rPr>
        <w:t>que el artículo 2 de la Ley 80 de 1993 define como Entidades Estatales, para efectos de la aplicación de este régimen</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a la Nación, las regiones, los departamentos, las provincias, el distrito capital y los distritos especiales, las áreas metropolitanas, las </w:t>
      </w:r>
      <w:r w:rsidRPr="00DD0F57">
        <w:rPr>
          <w:rFonts w:ascii="Verdana" w:eastAsia="Calibri" w:hAnsi="Verdana" w:cs="Arial"/>
          <w:bCs/>
          <w:color w:val="000000" w:themeColor="text1"/>
          <w:lang w:val="es-ES"/>
        </w:rPr>
        <w:lastRenderedPageBreak/>
        <w:t xml:space="preserve">asociaciones de municipios, los territorios indígenas y los municipios; los establecimientos públicos, las empresas industriales y comerciales del Estado, las sociedades de economía mixta en las que el Estado tenga participación superior al cincuenta por ciento, así como sus entidades descentralizadas indirectas y las demás personas jurídicas en las que exista dicha participación pública mayoritaria, cualquiera sea la denominación que ellas adopten, en todos los órdenes y niveles. </w:t>
      </w:r>
    </w:p>
    <w:p w14:paraId="45B39982" w14:textId="77777777" w:rsidR="00F95802" w:rsidRPr="00DD0F57" w:rsidRDefault="00F95802" w:rsidP="00F95802">
      <w:pPr>
        <w:spacing w:after="120" w:line="276" w:lineRule="auto"/>
        <w:ind w:firstLine="709"/>
        <w:jc w:val="both"/>
        <w:rPr>
          <w:rFonts w:ascii="Verdana" w:hAnsi="Verdana" w:cs="Arial"/>
          <w:lang w:val="es-ES"/>
        </w:rPr>
      </w:pPr>
      <w:r w:rsidRPr="00DD0F57">
        <w:rPr>
          <w:rFonts w:ascii="Verdana" w:hAnsi="Verdana" w:cs="Arial"/>
          <w:lang w:val="es-ES"/>
        </w:rPr>
        <w:t xml:space="preserve">El EGCAP también dispone que “Son contratos estatales todos los actos jurídicos generadores de obligaciones que celebren las entidades a que se refiere el presente estatuto, previstos en el derecho privado o en disposiciones especiales, o derivados del ejercicio de la autonomía de la voluntad” –art. 32, inciso primero–. Asimismo, </w:t>
      </w:r>
      <w:r>
        <w:rPr>
          <w:rFonts w:ascii="Verdana" w:hAnsi="Verdana" w:cs="Arial"/>
          <w:lang w:val="es-ES"/>
        </w:rPr>
        <w:t xml:space="preserve">señala </w:t>
      </w:r>
      <w:r w:rsidRPr="00DD0F57">
        <w:rPr>
          <w:rFonts w:ascii="Verdana" w:hAnsi="Verdana" w:cs="Arial"/>
          <w:lang w:val="es-ES"/>
        </w:rPr>
        <w:t>que “Las estipulaciones de los contratos serán las que, de acuerdo con las normas civiles, comerciales y las previstas en esta ley, correspondan a su esencia y naturaleza” –art. 40, inciso primero–.</w:t>
      </w:r>
    </w:p>
    <w:p w14:paraId="1614E9C5" w14:textId="77777777" w:rsidR="00F95802" w:rsidRPr="00DD0F57" w:rsidRDefault="00F95802" w:rsidP="00F95802">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De este modo, </w:t>
      </w:r>
      <w:r>
        <w:rPr>
          <w:rFonts w:ascii="Verdana" w:eastAsia="Calibri" w:hAnsi="Verdana" w:cs="Arial"/>
          <w:bCs/>
          <w:color w:val="000000" w:themeColor="text1"/>
          <w:lang w:val="es-ES"/>
        </w:rPr>
        <w:t>e</w:t>
      </w:r>
      <w:r w:rsidRPr="00DD0F57">
        <w:rPr>
          <w:rFonts w:ascii="Verdana" w:eastAsia="Calibri" w:hAnsi="Verdana" w:cs="Arial"/>
          <w:bCs/>
          <w:color w:val="000000" w:themeColor="text1"/>
          <w:lang w:val="es-ES"/>
        </w:rPr>
        <w:t>l Ministerio del Deporte, como organismo principal de la administración pública del nivel central, en los términos dispuestos en la Ley 1967 de 2019, es parte de la “</w:t>
      </w:r>
      <w:r w:rsidRPr="00DD0F57">
        <w:rPr>
          <w:rFonts w:ascii="Verdana" w:eastAsia="Calibri" w:hAnsi="Verdana" w:cs="Arial"/>
          <w:color w:val="000000" w:themeColor="text1"/>
          <w:lang w:val="es-ES"/>
        </w:rPr>
        <w:t>Nación”</w:t>
      </w:r>
      <w:r w:rsidRPr="00DD0F57">
        <w:rPr>
          <w:rFonts w:ascii="Verdana" w:eastAsia="Calibri" w:hAnsi="Verdana" w:cs="Arial"/>
          <w:bCs/>
          <w:color w:val="000000" w:themeColor="text1"/>
          <w:lang w:val="es-ES"/>
        </w:rPr>
        <w:t xml:space="preserve"> para efectos de la aplicación del Estatuto General de Contratación de la Administración Pública –en adelante EGCAP–. En este sentido, no se trata de un establecimiento público con régimen jurídico propio, ni </w:t>
      </w:r>
      <w:r>
        <w:rPr>
          <w:rFonts w:ascii="Verdana" w:eastAsia="Calibri" w:hAnsi="Verdana" w:cs="Arial"/>
          <w:bCs/>
          <w:color w:val="000000" w:themeColor="text1"/>
          <w:lang w:val="es-ES"/>
        </w:rPr>
        <w:t xml:space="preserve">de </w:t>
      </w:r>
      <w:r w:rsidRPr="00DD0F57">
        <w:rPr>
          <w:rFonts w:ascii="Verdana" w:eastAsia="Calibri" w:hAnsi="Verdana" w:cs="Arial"/>
          <w:bCs/>
          <w:color w:val="000000" w:themeColor="text1"/>
          <w:lang w:val="es-ES"/>
        </w:rPr>
        <w:t xml:space="preserve">una entidad con régimen especial de contratación exceptuado del EGCAP, de modo que su actividad contractual se encuentra </w:t>
      </w:r>
      <w:r>
        <w:rPr>
          <w:rFonts w:ascii="Verdana" w:eastAsia="Calibri" w:hAnsi="Verdana" w:cs="Arial"/>
          <w:bCs/>
          <w:color w:val="000000" w:themeColor="text1"/>
          <w:lang w:val="es-ES"/>
        </w:rPr>
        <w:t>sujeta</w:t>
      </w:r>
      <w:r w:rsidRPr="00DD0F57">
        <w:rPr>
          <w:rFonts w:ascii="Verdana" w:eastAsia="Calibri" w:hAnsi="Verdana" w:cs="Arial"/>
          <w:bCs/>
          <w:color w:val="000000" w:themeColor="text1"/>
          <w:lang w:val="es-ES"/>
        </w:rPr>
        <w:t xml:space="preserve"> a este marco jurídico y a lo que al respecto determinen las normas especiales que le sean aplicables en esta materia. </w:t>
      </w:r>
    </w:p>
    <w:p w14:paraId="3B58E05E" w14:textId="77777777" w:rsidR="00F95802" w:rsidRPr="00DD0F57" w:rsidRDefault="00F95802" w:rsidP="00F95802">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En este sentido, la función establecida en el numeral 25 del artículo 4 de la Ley 1967 de 2019 constituye una norma especial en materia de contratación que otorga al Ministerio del Deporte la competencia para c</w:t>
      </w:r>
      <w:r w:rsidRPr="00DD0F57">
        <w:rPr>
          <w:rFonts w:ascii="Verdana" w:eastAsia="Calibri" w:hAnsi="Verdana" w:cs="Arial"/>
          <w:color w:val="000000"/>
          <w:sz w:val="21"/>
          <w:szCs w:val="21"/>
          <w:lang w:val="es-ES"/>
        </w:rPr>
        <w:t>elebrar directamente convenios o contratos con entidades u organismos que pertenezcan al Sistema Nacional del Deporte, siempre que busquen el desarrollo del objeto para el cual fue creado el Ministerio y que se ejerza de acuerdo con las normas legales vigentes. Esta redacción supone una norma especial aplicable al procedimiento de selección que puede utilizar esta Entidad Estatal cuando se cumplen los supuestos</w:t>
      </w:r>
      <w:r>
        <w:rPr>
          <w:rFonts w:ascii="Verdana" w:eastAsia="Calibri" w:hAnsi="Verdana" w:cs="Arial"/>
          <w:color w:val="000000"/>
          <w:sz w:val="21"/>
          <w:szCs w:val="21"/>
          <w:lang w:val="es-ES"/>
        </w:rPr>
        <w:t xml:space="preserve"> allí establecidos</w:t>
      </w:r>
      <w:r w:rsidRPr="00DD0F57">
        <w:rPr>
          <w:rFonts w:ascii="Verdana" w:eastAsia="Calibri" w:hAnsi="Verdana" w:cs="Arial"/>
          <w:color w:val="000000"/>
          <w:sz w:val="21"/>
          <w:szCs w:val="21"/>
          <w:lang w:val="es-ES"/>
        </w:rPr>
        <w:t xml:space="preserve">, sin que ello suponga un desplazamiento o modificación del régimen contractual aplicable. </w:t>
      </w:r>
      <w:r w:rsidRPr="00DD0F57">
        <w:rPr>
          <w:rFonts w:ascii="Verdana" w:eastAsia="Calibri" w:hAnsi="Verdana" w:cs="Arial"/>
          <w:bCs/>
          <w:color w:val="000000" w:themeColor="text1"/>
          <w:lang w:val="es-ES"/>
        </w:rPr>
        <w:t xml:space="preserve">En consecuencia, el ejercicio de dicha función se encuentra enmarcado en el cumplimiento de las disposiciones que en materia contractual establecen la Ley 80 de 1993, la Ley 1150 de 2007, el Decreto 1082 de 2015 y </w:t>
      </w:r>
      <w:r w:rsidRPr="00DD0F57">
        <w:rPr>
          <w:rFonts w:ascii="Verdana" w:eastAsia="Calibri" w:hAnsi="Verdana" w:cs="Arial"/>
          <w:bCs/>
          <w:color w:val="000000" w:themeColor="text1"/>
          <w:lang w:val="es-ES"/>
        </w:rPr>
        <w:lastRenderedPageBreak/>
        <w:t xml:space="preserve">demás normas concordantes. Así, la disposición del numeral 25 objeto de análisis establece una causal específica que habilita la contratación directa por parte del Ministerio del Deporte, pero remite expresamente a la aplicación del ordenamiento jurídico que rige la actividad contractual de esta entidad, es decir, al EGCAP. </w:t>
      </w:r>
    </w:p>
    <w:p w14:paraId="5BA439A8" w14:textId="77777777" w:rsidR="00F95802" w:rsidRPr="00DD0F57" w:rsidRDefault="00F95802" w:rsidP="00F95802">
      <w:pPr>
        <w:spacing w:before="120" w:after="0" w:line="276" w:lineRule="auto"/>
        <w:ind w:firstLine="708"/>
        <w:jc w:val="both"/>
        <w:rPr>
          <w:rFonts w:ascii="Verdana" w:eastAsia="Calibri" w:hAnsi="Verdana" w:cs="Arial"/>
          <w:color w:val="000000"/>
          <w:sz w:val="21"/>
          <w:szCs w:val="21"/>
          <w:lang w:val="es-ES"/>
        </w:rPr>
      </w:pPr>
      <w:r w:rsidRPr="00DD0F57">
        <w:rPr>
          <w:rFonts w:ascii="Verdana" w:eastAsia="Calibri" w:hAnsi="Verdana" w:cs="Arial"/>
          <w:bCs/>
          <w:color w:val="000000" w:themeColor="text1"/>
          <w:lang w:val="es-ES"/>
        </w:rPr>
        <w:t>Sobre lo anterior</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es preciso resaltar que el </w:t>
      </w:r>
      <w:r>
        <w:rPr>
          <w:rFonts w:ascii="Verdana" w:eastAsia="Calibri" w:hAnsi="Verdana" w:cs="Arial"/>
          <w:color w:val="000000"/>
          <w:sz w:val="21"/>
          <w:szCs w:val="21"/>
          <w:lang w:val="es-ES"/>
        </w:rPr>
        <w:t>a</w:t>
      </w:r>
      <w:r w:rsidRPr="007E01B5">
        <w:rPr>
          <w:rFonts w:ascii="Verdana" w:eastAsia="Calibri" w:hAnsi="Verdana" w:cs="Arial"/>
          <w:color w:val="000000"/>
          <w:sz w:val="21"/>
          <w:szCs w:val="21"/>
          <w:lang w:val="es-ES"/>
        </w:rPr>
        <w:t>rtículo 5 de la Ley 153 de 1887 dispone</w:t>
      </w:r>
      <w:r>
        <w:rPr>
          <w:rFonts w:ascii="Verdana" w:eastAsia="Calibri" w:hAnsi="Verdana" w:cs="Arial"/>
          <w:color w:val="000000"/>
          <w:sz w:val="21"/>
          <w:szCs w:val="21"/>
          <w:lang w:val="es-ES"/>
        </w:rPr>
        <w:t xml:space="preserve"> el principio o criterio </w:t>
      </w:r>
      <w:r w:rsidRPr="00DD0F57">
        <w:rPr>
          <w:rFonts w:ascii="Verdana" w:eastAsia="Calibri" w:hAnsi="Verdana" w:cs="Arial"/>
          <w:color w:val="000000"/>
          <w:sz w:val="21"/>
          <w:szCs w:val="21"/>
        </w:rPr>
        <w:t>de especialidad</w:t>
      </w:r>
      <w:r>
        <w:rPr>
          <w:rFonts w:ascii="Verdana" w:eastAsia="Calibri" w:hAnsi="Verdana" w:cs="Arial"/>
          <w:color w:val="000000"/>
          <w:sz w:val="21"/>
          <w:szCs w:val="21"/>
        </w:rPr>
        <w:t xml:space="preserve"> en materia de hermenéutica normativa, denominado</w:t>
      </w:r>
      <w:r w:rsidRPr="00DD0F57">
        <w:rPr>
          <w:rFonts w:ascii="Verdana" w:eastAsia="Calibri" w:hAnsi="Verdana" w:cs="Arial"/>
          <w:color w:val="000000"/>
          <w:sz w:val="21"/>
          <w:szCs w:val="21"/>
        </w:rPr>
        <w:t xml:space="preserve"> </w:t>
      </w:r>
      <w:r>
        <w:rPr>
          <w:rFonts w:ascii="Verdana" w:eastAsia="Calibri" w:hAnsi="Verdana" w:cs="Arial"/>
          <w:color w:val="000000"/>
          <w:sz w:val="21"/>
          <w:szCs w:val="21"/>
        </w:rPr>
        <w:t>“</w:t>
      </w:r>
      <w:r w:rsidRPr="00D25642">
        <w:rPr>
          <w:rFonts w:ascii="Verdana" w:eastAsia="Calibri" w:hAnsi="Verdana" w:cs="Arial"/>
          <w:i/>
          <w:iCs/>
          <w:color w:val="000000"/>
          <w:sz w:val="21"/>
          <w:szCs w:val="21"/>
        </w:rPr>
        <w:t xml:space="preserve">lex </w:t>
      </w:r>
      <w:proofErr w:type="spellStart"/>
      <w:r w:rsidRPr="00D25642">
        <w:rPr>
          <w:rFonts w:ascii="Verdana" w:eastAsia="Calibri" w:hAnsi="Verdana" w:cs="Arial"/>
          <w:i/>
          <w:iCs/>
          <w:color w:val="000000"/>
          <w:sz w:val="21"/>
          <w:szCs w:val="21"/>
        </w:rPr>
        <w:t>specialis</w:t>
      </w:r>
      <w:proofErr w:type="spellEnd"/>
      <w:r w:rsidRPr="00D25642">
        <w:rPr>
          <w:rFonts w:ascii="Verdana" w:eastAsia="Calibri" w:hAnsi="Verdana" w:cs="Arial"/>
          <w:i/>
          <w:iCs/>
          <w:color w:val="000000"/>
          <w:sz w:val="21"/>
          <w:szCs w:val="21"/>
        </w:rPr>
        <w:t xml:space="preserve"> </w:t>
      </w:r>
      <w:proofErr w:type="spellStart"/>
      <w:r w:rsidRPr="00D25642">
        <w:rPr>
          <w:rFonts w:ascii="Verdana" w:eastAsia="Calibri" w:hAnsi="Verdana" w:cs="Arial"/>
          <w:i/>
          <w:iCs/>
          <w:color w:val="000000"/>
          <w:sz w:val="21"/>
          <w:szCs w:val="21"/>
        </w:rPr>
        <w:t>derogat</w:t>
      </w:r>
      <w:proofErr w:type="spellEnd"/>
      <w:r w:rsidRPr="00D25642">
        <w:rPr>
          <w:rFonts w:ascii="Verdana" w:eastAsia="Calibri" w:hAnsi="Verdana" w:cs="Arial"/>
          <w:i/>
          <w:iCs/>
          <w:color w:val="000000"/>
          <w:sz w:val="21"/>
          <w:szCs w:val="21"/>
        </w:rPr>
        <w:t xml:space="preserve"> </w:t>
      </w:r>
      <w:proofErr w:type="spellStart"/>
      <w:r w:rsidRPr="00D25642">
        <w:rPr>
          <w:rFonts w:ascii="Verdana" w:eastAsia="Calibri" w:hAnsi="Verdana" w:cs="Arial"/>
          <w:i/>
          <w:iCs/>
          <w:color w:val="000000"/>
          <w:sz w:val="21"/>
          <w:szCs w:val="21"/>
        </w:rPr>
        <w:t>generali</w:t>
      </w:r>
      <w:proofErr w:type="spellEnd"/>
      <w:r>
        <w:rPr>
          <w:rFonts w:ascii="Verdana" w:eastAsia="Calibri" w:hAnsi="Verdana" w:cs="Arial"/>
          <w:color w:val="000000"/>
          <w:sz w:val="21"/>
          <w:szCs w:val="21"/>
        </w:rPr>
        <w:t>”</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La Corte Constitucional, en Sentencia C-439 de 2016</w:t>
      </w:r>
      <w:r w:rsidRPr="00DD0F57">
        <w:rPr>
          <w:rStyle w:val="Refdenotaalpie"/>
          <w:rFonts w:ascii="Verdana" w:eastAsia="Calibri" w:hAnsi="Verdana" w:cs="Arial"/>
          <w:color w:val="000000"/>
          <w:sz w:val="21"/>
          <w:szCs w:val="21"/>
          <w:lang w:val="es-ES"/>
        </w:rPr>
        <w:footnoteReference w:id="5"/>
      </w:r>
      <w:r w:rsidRPr="007E01B5">
        <w:rPr>
          <w:rFonts w:ascii="Verdana" w:eastAsia="Calibri" w:hAnsi="Verdana" w:cs="Arial"/>
          <w:color w:val="000000"/>
          <w:sz w:val="21"/>
          <w:szCs w:val="21"/>
          <w:lang w:val="es-ES"/>
        </w:rPr>
        <w:t>, sistematizó los criterios hermenéuticos para resolver conflictos entre leyes</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jerárquico, cronológico y de especialidad</w:t>
      </w:r>
      <w:r w:rsidRPr="00DD0F57">
        <w:rPr>
          <w:rFonts w:ascii="Verdana" w:eastAsia="Calibri" w:hAnsi="Verdana" w:cs="Arial"/>
          <w:color w:val="000000"/>
          <w:sz w:val="21"/>
          <w:szCs w:val="21"/>
          <w:lang w:val="es-ES"/>
        </w:rPr>
        <w:t>); e</w:t>
      </w:r>
      <w:r w:rsidRPr="007E01B5">
        <w:rPr>
          <w:rFonts w:ascii="Verdana" w:eastAsia="Calibri" w:hAnsi="Verdana" w:cs="Arial"/>
          <w:color w:val="000000"/>
          <w:sz w:val="21"/>
          <w:szCs w:val="21"/>
          <w:lang w:val="es-ES"/>
        </w:rPr>
        <w:t>xplicó que frente al criterio de especialidad no se está propiamente ante una antinomia, en razón a que se entiende que la norma general se aplica a todos los campos con excepción de aquél que es regulado por la norma especial,</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 xml:space="preserve">la cual sustrae o excluye una parte de la materia gobernada por la ley de mayor amplitud regulatoria, para someterla a una regulación diferente y específica. </w:t>
      </w:r>
    </w:p>
    <w:p w14:paraId="4644D51F" w14:textId="77777777" w:rsidR="00F95802" w:rsidRDefault="00F95802" w:rsidP="00F95802">
      <w:pPr>
        <w:spacing w:before="120" w:after="0" w:line="276" w:lineRule="auto"/>
        <w:ind w:firstLine="708"/>
        <w:jc w:val="both"/>
        <w:rPr>
          <w:rFonts w:ascii="Verdana" w:eastAsia="Calibri" w:hAnsi="Verdana" w:cs="Arial"/>
          <w:b/>
          <w:bCs/>
          <w:color w:val="000000"/>
          <w:sz w:val="21"/>
          <w:szCs w:val="21"/>
          <w:lang w:val="es-ES"/>
        </w:rPr>
      </w:pPr>
      <w:r w:rsidRPr="00DD0F57">
        <w:rPr>
          <w:rFonts w:ascii="Verdana" w:eastAsia="Calibri" w:hAnsi="Verdana" w:cs="Arial"/>
          <w:color w:val="000000"/>
          <w:sz w:val="21"/>
          <w:szCs w:val="21"/>
          <w:lang w:val="es-ES"/>
        </w:rPr>
        <w:t>En efecto</w:t>
      </w:r>
      <w:r>
        <w:rPr>
          <w:rFonts w:ascii="Verdana" w:eastAsia="Calibri" w:hAnsi="Verdana" w:cs="Arial"/>
          <w:color w:val="000000"/>
          <w:sz w:val="21"/>
          <w:szCs w:val="21"/>
          <w:lang w:val="es-ES"/>
        </w:rPr>
        <w:t>,</w:t>
      </w:r>
      <w:r w:rsidRPr="00DD0F57">
        <w:rPr>
          <w:rFonts w:ascii="Verdana" w:eastAsia="Calibri" w:hAnsi="Verdana" w:cs="Arial"/>
          <w:color w:val="000000"/>
          <w:sz w:val="21"/>
          <w:szCs w:val="21"/>
          <w:lang w:val="es-ES"/>
        </w:rPr>
        <w:t xml:space="preserve"> la fu</w:t>
      </w:r>
      <w:r>
        <w:rPr>
          <w:rFonts w:ascii="Verdana" w:eastAsia="Calibri" w:hAnsi="Verdana" w:cs="Arial"/>
          <w:color w:val="000000"/>
          <w:sz w:val="21"/>
          <w:szCs w:val="21"/>
          <w:lang w:val="es-ES"/>
        </w:rPr>
        <w:t xml:space="preserve">nción </w:t>
      </w:r>
      <w:r w:rsidRPr="00DD0F57">
        <w:rPr>
          <w:rFonts w:ascii="Verdana" w:eastAsia="Calibri" w:hAnsi="Verdana" w:cs="Arial"/>
          <w:color w:val="000000"/>
          <w:sz w:val="21"/>
          <w:szCs w:val="21"/>
          <w:lang w:val="es-ES"/>
        </w:rPr>
        <w:t xml:space="preserve">consagrada en el numeral </w:t>
      </w:r>
      <w:r>
        <w:rPr>
          <w:rFonts w:ascii="Verdana" w:eastAsia="Calibri" w:hAnsi="Verdana" w:cs="Arial"/>
          <w:color w:val="000000"/>
          <w:sz w:val="21"/>
          <w:szCs w:val="21"/>
          <w:lang w:val="es-ES"/>
        </w:rPr>
        <w:t>25</w:t>
      </w:r>
      <w:r w:rsidRPr="00DD0F57">
        <w:rPr>
          <w:rFonts w:ascii="Verdana" w:eastAsia="Calibri" w:hAnsi="Verdana" w:cs="Arial"/>
          <w:color w:val="000000"/>
          <w:sz w:val="21"/>
          <w:szCs w:val="21"/>
          <w:lang w:val="es-ES"/>
        </w:rPr>
        <w:t xml:space="preserve"> del artículo 4 de la </w:t>
      </w:r>
      <w:r>
        <w:rPr>
          <w:rFonts w:ascii="Verdana" w:eastAsia="Calibri" w:hAnsi="Verdana" w:cs="Arial"/>
          <w:color w:val="000000"/>
          <w:sz w:val="21"/>
          <w:szCs w:val="21"/>
          <w:lang w:val="es-ES"/>
        </w:rPr>
        <w:t>L</w:t>
      </w:r>
      <w:r w:rsidRPr="00DD0F57">
        <w:rPr>
          <w:rFonts w:ascii="Verdana" w:eastAsia="Calibri" w:hAnsi="Verdana" w:cs="Arial"/>
          <w:color w:val="000000"/>
          <w:sz w:val="21"/>
          <w:szCs w:val="21"/>
          <w:lang w:val="es-ES"/>
        </w:rPr>
        <w:t xml:space="preserve">ey 1967 de 2019 no supone una derogación o antinomia con la normativa del EGCAP que rige la actividad contractual del Ministerio del Deporte. </w:t>
      </w:r>
      <w:r w:rsidRPr="00DD0F57">
        <w:rPr>
          <w:rFonts w:ascii="Verdana" w:eastAsia="Calibri" w:hAnsi="Verdana" w:cs="Arial"/>
          <w:bCs/>
          <w:color w:val="000000" w:themeColor="text1"/>
          <w:lang w:val="es-ES"/>
        </w:rPr>
        <w:t xml:space="preserve">Sin embargo, </w:t>
      </w:r>
      <w:r w:rsidRPr="007E01B5">
        <w:rPr>
          <w:rFonts w:ascii="Verdana" w:eastAsia="Calibri" w:hAnsi="Verdana" w:cs="Arial"/>
          <w:color w:val="000000"/>
          <w:sz w:val="21"/>
          <w:szCs w:val="21"/>
          <w:lang w:val="es-ES"/>
        </w:rPr>
        <w:t>sustrae de</w:t>
      </w:r>
      <w:r w:rsidRPr="00DD0F57">
        <w:rPr>
          <w:rFonts w:ascii="Verdana" w:eastAsia="Calibri" w:hAnsi="Verdana" w:cs="Arial"/>
          <w:color w:val="000000"/>
          <w:sz w:val="21"/>
          <w:szCs w:val="21"/>
          <w:lang w:val="es-ES"/>
        </w:rPr>
        <w:t xml:space="preserve"> la regla general de la contratación mediante licitación pública dispuesta en el EGCAP </w:t>
      </w:r>
      <w:r w:rsidRPr="007E01B5">
        <w:rPr>
          <w:rFonts w:ascii="Verdana" w:eastAsia="Calibri" w:hAnsi="Verdana" w:cs="Arial"/>
          <w:color w:val="000000"/>
          <w:sz w:val="21"/>
          <w:szCs w:val="21"/>
          <w:lang w:val="es-ES"/>
        </w:rPr>
        <w:t>un ámbito puntual y específico</w:t>
      </w:r>
      <w:r w:rsidRPr="00DD0F57">
        <w:rPr>
          <w:rFonts w:ascii="Verdana" w:eastAsia="Calibri" w:hAnsi="Verdana" w:cs="Arial"/>
          <w:color w:val="000000"/>
          <w:sz w:val="21"/>
          <w:szCs w:val="21"/>
          <w:lang w:val="es-ES"/>
        </w:rPr>
        <w:t xml:space="preserve">: la </w:t>
      </w:r>
      <w:r w:rsidRPr="007E01B5">
        <w:rPr>
          <w:rFonts w:ascii="Verdana" w:eastAsia="Calibri" w:hAnsi="Verdana" w:cs="Arial"/>
          <w:color w:val="000000"/>
          <w:sz w:val="21"/>
          <w:szCs w:val="21"/>
          <w:lang w:val="es-ES"/>
        </w:rPr>
        <w:t xml:space="preserve">contratación </w:t>
      </w:r>
      <w:r w:rsidRPr="00DD0F57">
        <w:rPr>
          <w:rFonts w:ascii="Verdana" w:eastAsia="Calibri" w:hAnsi="Verdana" w:cs="Arial"/>
          <w:color w:val="000000"/>
          <w:sz w:val="21"/>
          <w:szCs w:val="21"/>
          <w:lang w:val="es-ES"/>
        </w:rPr>
        <w:t xml:space="preserve">directa </w:t>
      </w:r>
      <w:r w:rsidRPr="007E01B5">
        <w:rPr>
          <w:rFonts w:ascii="Verdana" w:eastAsia="Calibri" w:hAnsi="Verdana" w:cs="Arial"/>
          <w:color w:val="000000"/>
          <w:sz w:val="21"/>
          <w:szCs w:val="21"/>
          <w:lang w:val="es-ES"/>
        </w:rPr>
        <w:t xml:space="preserve">con </w:t>
      </w:r>
      <w:r w:rsidRPr="00DD0F57">
        <w:rPr>
          <w:rFonts w:ascii="Verdana" w:eastAsia="Calibri" w:hAnsi="Verdana" w:cs="Arial"/>
          <w:color w:val="000000"/>
          <w:sz w:val="21"/>
          <w:szCs w:val="21"/>
          <w:lang w:val="es-ES"/>
        </w:rPr>
        <w:t xml:space="preserve">organismos </w:t>
      </w:r>
      <w:r w:rsidRPr="007E01B5">
        <w:rPr>
          <w:rFonts w:ascii="Verdana" w:eastAsia="Calibri" w:hAnsi="Verdana" w:cs="Arial"/>
          <w:color w:val="000000"/>
          <w:sz w:val="21"/>
          <w:szCs w:val="21"/>
          <w:lang w:val="es-ES"/>
        </w:rPr>
        <w:t>del Sistema Nacional del Deporte, para el desarrollo de</w:t>
      </w:r>
      <w:r w:rsidRPr="00DD0F57">
        <w:rPr>
          <w:rFonts w:ascii="Verdana" w:eastAsia="Calibri" w:hAnsi="Verdana" w:cs="Arial"/>
          <w:color w:val="000000"/>
          <w:sz w:val="21"/>
          <w:szCs w:val="21"/>
          <w:lang w:val="es-ES"/>
        </w:rPr>
        <w:t xml:space="preserve"> su</w:t>
      </w:r>
      <w:r w:rsidRPr="007E01B5">
        <w:rPr>
          <w:rFonts w:ascii="Verdana" w:eastAsia="Calibri" w:hAnsi="Verdana" w:cs="Arial"/>
          <w:color w:val="000000"/>
          <w:sz w:val="21"/>
          <w:szCs w:val="21"/>
          <w:lang w:val="es-ES"/>
        </w:rPr>
        <w:t xml:space="preserve"> objeto institucional</w:t>
      </w:r>
      <w:r w:rsidRPr="00DD0F57">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en todo lo demás</w:t>
      </w:r>
      <w:r>
        <w:rPr>
          <w:rFonts w:ascii="Verdana" w:eastAsia="Calibri" w:hAnsi="Verdana" w:cs="Arial"/>
          <w:color w:val="000000"/>
          <w:sz w:val="21"/>
          <w:szCs w:val="21"/>
          <w:lang w:val="es-ES"/>
        </w:rPr>
        <w:t xml:space="preserve">, </w:t>
      </w:r>
      <w:r w:rsidRPr="007E01B5">
        <w:rPr>
          <w:rFonts w:ascii="Verdana" w:eastAsia="Calibri" w:hAnsi="Verdana" w:cs="Arial"/>
          <w:color w:val="000000"/>
          <w:sz w:val="21"/>
          <w:szCs w:val="21"/>
          <w:lang w:val="es-ES"/>
        </w:rPr>
        <w:t xml:space="preserve">la </w:t>
      </w:r>
      <w:r w:rsidRPr="00DD0F57">
        <w:rPr>
          <w:rFonts w:ascii="Verdana" w:eastAsia="Calibri" w:hAnsi="Verdana" w:cs="Arial"/>
          <w:color w:val="000000"/>
          <w:sz w:val="21"/>
          <w:szCs w:val="21"/>
          <w:lang w:val="es-ES"/>
        </w:rPr>
        <w:t xml:space="preserve">norma </w:t>
      </w:r>
      <w:r w:rsidRPr="007E01B5">
        <w:rPr>
          <w:rFonts w:ascii="Verdana" w:eastAsia="Calibri" w:hAnsi="Verdana" w:cs="Arial"/>
          <w:color w:val="000000"/>
          <w:sz w:val="21"/>
          <w:szCs w:val="21"/>
          <w:lang w:val="es-ES"/>
        </w:rPr>
        <w:t>general (</w:t>
      </w:r>
      <w:r w:rsidRPr="00DD0F57">
        <w:rPr>
          <w:rFonts w:ascii="Verdana" w:eastAsia="Calibri" w:hAnsi="Verdana" w:cs="Arial"/>
          <w:color w:val="000000"/>
          <w:sz w:val="21"/>
          <w:szCs w:val="21"/>
          <w:lang w:val="es-ES"/>
        </w:rPr>
        <w:t xml:space="preserve">el </w:t>
      </w:r>
      <w:r w:rsidRPr="007E01B5">
        <w:rPr>
          <w:rFonts w:ascii="Verdana" w:eastAsia="Calibri" w:hAnsi="Verdana" w:cs="Arial"/>
          <w:color w:val="000000"/>
          <w:sz w:val="21"/>
          <w:szCs w:val="21"/>
          <w:lang w:val="es-ES"/>
        </w:rPr>
        <w:t>EGCAP) sigue aplicando plenamente</w:t>
      </w:r>
      <w:r w:rsidRPr="00DD0F57">
        <w:rPr>
          <w:rFonts w:ascii="Verdana" w:eastAsia="Calibri" w:hAnsi="Verdana" w:cs="Arial"/>
          <w:color w:val="000000"/>
          <w:sz w:val="21"/>
          <w:szCs w:val="21"/>
          <w:lang w:val="es-ES"/>
        </w:rPr>
        <w:t xml:space="preserve"> en la actividad contractual del Ministerio.</w:t>
      </w:r>
      <w:r w:rsidRPr="00DD0F57">
        <w:rPr>
          <w:rFonts w:ascii="Verdana" w:eastAsia="Calibri" w:hAnsi="Verdana" w:cs="Arial"/>
          <w:b/>
          <w:bCs/>
          <w:color w:val="000000"/>
          <w:sz w:val="21"/>
          <w:szCs w:val="21"/>
          <w:lang w:val="es-ES"/>
        </w:rPr>
        <w:t xml:space="preserve"> </w:t>
      </w:r>
    </w:p>
    <w:p w14:paraId="59B0E019" w14:textId="77777777" w:rsidR="00F95802" w:rsidRPr="00DD0F57" w:rsidRDefault="00F95802" w:rsidP="00F95802">
      <w:pPr>
        <w:spacing w:after="0" w:line="276" w:lineRule="auto"/>
        <w:ind w:firstLine="708"/>
        <w:jc w:val="both"/>
        <w:rPr>
          <w:rFonts w:ascii="Verdana" w:eastAsia="Calibri" w:hAnsi="Verdana" w:cs="Arial"/>
          <w:bCs/>
          <w:color w:val="000000" w:themeColor="text1"/>
          <w:lang w:val="es-ES"/>
        </w:rPr>
      </w:pPr>
    </w:p>
    <w:p w14:paraId="7192171D" w14:textId="77777777" w:rsidR="00F95802" w:rsidRPr="00DD0F57" w:rsidRDefault="00F95802" w:rsidP="00F95802">
      <w:pPr>
        <w:spacing w:after="0" w:line="276" w:lineRule="auto"/>
        <w:jc w:val="both"/>
        <w:rPr>
          <w:rFonts w:ascii="Verdana" w:eastAsia="Calibri" w:hAnsi="Verdana" w:cs="Arial"/>
          <w:bCs/>
          <w:color w:val="000000" w:themeColor="text1"/>
          <w:lang w:val="es-ES"/>
        </w:rPr>
      </w:pPr>
      <w:proofErr w:type="spellStart"/>
      <w:r w:rsidRPr="00DD0F57">
        <w:rPr>
          <w:rFonts w:ascii="Verdana" w:eastAsia="Calibri" w:hAnsi="Verdana" w:cs="Arial"/>
          <w:bCs/>
          <w:color w:val="000000" w:themeColor="text1"/>
          <w:lang w:val="es-ES"/>
        </w:rPr>
        <w:t>iii</w:t>
      </w:r>
      <w:proofErr w:type="spellEnd"/>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Dentro de este marco jurídico, la función del numeral 25 debe ser analizada y aplicada de manera estricta frente a los sujetos y el objeto que dispuso </w:t>
      </w:r>
      <w:r w:rsidRPr="00DD0F57">
        <w:rPr>
          <w:rFonts w:ascii="Verdana" w:eastAsia="Calibri" w:hAnsi="Verdana" w:cs="Arial"/>
          <w:bCs/>
          <w:color w:val="000000" w:themeColor="text1"/>
          <w:lang w:val="es-ES"/>
        </w:rPr>
        <w:lastRenderedPageBreak/>
        <w:t xml:space="preserve">expresamente el legislador. Esto es concordante con el artículo 27 del Código Civil, el cual dispone </w:t>
      </w:r>
      <w:r w:rsidRPr="007E01B5">
        <w:rPr>
          <w:rFonts w:ascii="Verdana" w:eastAsia="Calibri" w:hAnsi="Verdana" w:cs="Arial"/>
          <w:color w:val="000000"/>
          <w:sz w:val="21"/>
          <w:szCs w:val="21"/>
          <w:lang w:val="es-ES"/>
        </w:rPr>
        <w:t>que cuando el sentido de la ley sea claro, no se desatenderá su tenor literal a pretexto de consultar su espíritu</w:t>
      </w:r>
      <w:r w:rsidRPr="00DD0F57">
        <w:rPr>
          <w:rFonts w:ascii="Verdana" w:eastAsia="Calibri" w:hAnsi="Verdana" w:cs="Arial"/>
          <w:color w:val="000000"/>
          <w:sz w:val="21"/>
          <w:szCs w:val="21"/>
          <w:lang w:val="es-ES"/>
        </w:rPr>
        <w:t>. En efecto,</w:t>
      </w:r>
      <w:r w:rsidRPr="00DD0F57">
        <w:rPr>
          <w:rFonts w:ascii="Verdana" w:eastAsia="Calibri" w:hAnsi="Verdana" w:cs="Arial"/>
          <w:bCs/>
          <w:color w:val="000000" w:themeColor="text1"/>
          <w:lang w:val="es-ES"/>
        </w:rPr>
        <w:t xml:space="preserve"> el elemento subjetivo de la norma señala expresamente que el ejercicio de dicha facultad se encuentra condicionad</w:t>
      </w:r>
      <w:r>
        <w:rPr>
          <w:rFonts w:ascii="Verdana" w:eastAsia="Calibri" w:hAnsi="Verdana" w:cs="Arial"/>
          <w:bCs/>
          <w:color w:val="000000" w:themeColor="text1"/>
          <w:lang w:val="es-ES"/>
        </w:rPr>
        <w:t>o</w:t>
      </w:r>
      <w:r w:rsidRPr="00DD0F57">
        <w:rPr>
          <w:rFonts w:ascii="Verdana" w:eastAsia="Calibri" w:hAnsi="Verdana" w:cs="Arial"/>
          <w:bCs/>
          <w:color w:val="000000" w:themeColor="text1"/>
          <w:lang w:val="es-ES"/>
        </w:rPr>
        <w:t xml:space="preserve"> a que se trate de </w:t>
      </w:r>
      <w:r w:rsidRPr="00DD0F57">
        <w:rPr>
          <w:rFonts w:ascii="Verdana" w:eastAsia="Calibri" w:hAnsi="Verdana" w:cs="Arial"/>
          <w:color w:val="000000"/>
          <w:lang w:val="es-ES"/>
        </w:rPr>
        <w:t xml:space="preserve">entidades u organismos internacionales o nacionales, públicos o privados, que necesariamente </w:t>
      </w:r>
      <w:r w:rsidRPr="00667313">
        <w:rPr>
          <w:rFonts w:ascii="Verdana" w:eastAsia="Calibri" w:hAnsi="Verdana" w:cs="Arial"/>
          <w:i/>
          <w:iCs/>
          <w:color w:val="000000"/>
          <w:lang w:val="es-ES"/>
        </w:rPr>
        <w:t>pertenezcan al Sistema Nacional del Deporte</w:t>
      </w:r>
      <w:r w:rsidRPr="00DD0F57">
        <w:rPr>
          <w:rFonts w:ascii="Verdana" w:eastAsia="Calibri" w:hAnsi="Verdana" w:cs="Arial"/>
          <w:color w:val="000000"/>
          <w:lang w:val="es-ES"/>
        </w:rPr>
        <w:t xml:space="preserve">. Al respecto, es preciso resaltar que la Ley </w:t>
      </w:r>
      <w:r w:rsidRPr="00DD0F57">
        <w:rPr>
          <w:rFonts w:ascii="Verdana" w:eastAsia="Calibri" w:hAnsi="Verdana" w:cs="Arial"/>
          <w:bCs/>
          <w:color w:val="000000" w:themeColor="text1"/>
          <w:lang w:val="es-ES"/>
        </w:rPr>
        <w:t xml:space="preserve">181 de 1995 creó el </w:t>
      </w:r>
      <w:r w:rsidRPr="00DD0F57">
        <w:rPr>
          <w:rFonts w:ascii="Verdana" w:eastAsia="Calibri" w:hAnsi="Verdana" w:cs="Arial"/>
          <w:color w:val="000000"/>
          <w:lang w:val="es-ES"/>
        </w:rPr>
        <w:t>Sistema Nacional del Deporte, definiéndolo y estableciendo su objetivo de la siguiente manera:</w:t>
      </w:r>
    </w:p>
    <w:p w14:paraId="0C8DB34B" w14:textId="77777777" w:rsidR="00F95802" w:rsidRPr="00DD0F57" w:rsidRDefault="00F95802" w:rsidP="00F95802">
      <w:pPr>
        <w:spacing w:after="0" w:line="240" w:lineRule="auto"/>
        <w:ind w:left="709" w:right="709"/>
        <w:jc w:val="both"/>
        <w:rPr>
          <w:rFonts w:ascii="Verdana" w:eastAsia="Calibri" w:hAnsi="Verdana" w:cs="Arial"/>
          <w:bCs/>
          <w:color w:val="000000" w:themeColor="text1"/>
          <w:sz w:val="21"/>
          <w:szCs w:val="21"/>
          <w:lang w:val="es-ES"/>
        </w:rPr>
      </w:pPr>
    </w:p>
    <w:p w14:paraId="3323EC2F" w14:textId="77777777" w:rsidR="00F95802" w:rsidRPr="00DD0F57" w:rsidRDefault="00F95802" w:rsidP="00F95802">
      <w:pPr>
        <w:spacing w:before="120"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“Artículo 46. El Sistema Nacional del Deporte es el conjunto de organismos, articulados entre sí, para permitir el acceso de la comunidad al deporte, la recreación, el aprovechamiento del tiempo libre, la educación extraescolar y la educación física. </w:t>
      </w:r>
    </w:p>
    <w:p w14:paraId="042899CD" w14:textId="77777777" w:rsidR="00F95802" w:rsidRPr="00DD0F57" w:rsidRDefault="00F95802" w:rsidP="00F95802">
      <w:pPr>
        <w:spacing w:before="120"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Artículo 47. El Sistema Nacional del Deporte tiene como objetivo generar y brindar a la comunidad oportunidades de participación en procesos de iniciación, formación, fomento y práctica del deporte, la recreación y el aprovechamiento del tiempo libre, como contribución al desarrollo integral del individuo y a la creación de una cultura física para el mejoramiento de la calidad de vida de los colombianos”.</w:t>
      </w:r>
    </w:p>
    <w:p w14:paraId="24A0EEF8" w14:textId="77777777" w:rsidR="00F95802" w:rsidRPr="00DD0F57" w:rsidRDefault="00F95802" w:rsidP="00F95802">
      <w:pPr>
        <w:spacing w:before="120" w:after="0" w:line="240" w:lineRule="auto"/>
        <w:ind w:left="709" w:right="709"/>
        <w:jc w:val="both"/>
        <w:rPr>
          <w:rFonts w:ascii="Verdana" w:eastAsia="Calibri" w:hAnsi="Verdana" w:cs="Arial"/>
          <w:bCs/>
          <w:color w:val="000000" w:themeColor="text1"/>
          <w:sz w:val="21"/>
          <w:szCs w:val="21"/>
          <w:lang w:val="es-ES"/>
        </w:rPr>
      </w:pPr>
    </w:p>
    <w:p w14:paraId="4CFC5AFD" w14:textId="77777777" w:rsidR="00F95802" w:rsidRPr="00DD0F57" w:rsidRDefault="00F95802" w:rsidP="00F95802">
      <w:pPr>
        <w:spacing w:after="0" w:line="276" w:lineRule="auto"/>
        <w:ind w:firstLine="708"/>
        <w:jc w:val="both"/>
        <w:rPr>
          <w:rFonts w:ascii="Verdana" w:eastAsia="Calibri" w:hAnsi="Verdana" w:cs="Arial"/>
          <w:bCs/>
          <w:color w:val="000000" w:themeColor="text1"/>
          <w:lang w:val="es-ES"/>
        </w:rPr>
      </w:pPr>
      <w:r>
        <w:rPr>
          <w:rFonts w:ascii="Verdana" w:eastAsia="Calibri" w:hAnsi="Verdana" w:cs="Arial"/>
          <w:bCs/>
          <w:color w:val="000000" w:themeColor="text1"/>
          <w:lang w:val="es-ES"/>
        </w:rPr>
        <w:t>Dicha</w:t>
      </w:r>
      <w:r w:rsidRPr="00DD0F57">
        <w:rPr>
          <w:rFonts w:ascii="Verdana" w:eastAsia="Calibri" w:hAnsi="Verdana" w:cs="Arial"/>
          <w:bCs/>
          <w:color w:val="000000" w:themeColor="text1"/>
          <w:lang w:val="es-ES"/>
        </w:rPr>
        <w:t xml:space="preserve"> Ley también definió cuáles son los organismos que componen dicho Sistema. Al respecto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el artículo 50 señal</w:t>
      </w:r>
      <w:r>
        <w:rPr>
          <w:rFonts w:ascii="Verdana" w:eastAsia="Calibri" w:hAnsi="Verdana" w:cs="Arial"/>
          <w:bCs/>
          <w:color w:val="000000" w:themeColor="text1"/>
          <w:lang w:val="es-ES"/>
        </w:rPr>
        <w:t>ó</w:t>
      </w:r>
      <w:r w:rsidRPr="00DD0F57">
        <w:rPr>
          <w:rFonts w:ascii="Verdana" w:eastAsia="Calibri" w:hAnsi="Verdana" w:cs="Arial"/>
          <w:bCs/>
          <w:color w:val="000000" w:themeColor="text1"/>
          <w:lang w:val="es-ES"/>
        </w:rPr>
        <w:t xml:space="preserve"> que:</w:t>
      </w:r>
    </w:p>
    <w:p w14:paraId="083B6CE9" w14:textId="77777777" w:rsidR="00F95802" w:rsidRPr="00DD0F57" w:rsidRDefault="00F95802" w:rsidP="00F95802">
      <w:pPr>
        <w:spacing w:after="0" w:line="276" w:lineRule="auto"/>
        <w:ind w:firstLine="708"/>
        <w:jc w:val="both"/>
        <w:rPr>
          <w:rFonts w:ascii="Verdana" w:eastAsia="Calibri" w:hAnsi="Verdana" w:cs="Arial"/>
          <w:bCs/>
          <w:color w:val="000000" w:themeColor="text1"/>
          <w:lang w:val="es-ES"/>
        </w:rPr>
      </w:pPr>
    </w:p>
    <w:p w14:paraId="6ACDE7AE" w14:textId="77777777" w:rsidR="00F95802" w:rsidRPr="00DD0F57" w:rsidRDefault="00F95802" w:rsidP="00F95802">
      <w:pPr>
        <w:spacing w:after="0" w:line="240" w:lineRule="auto"/>
        <w:ind w:left="709" w:right="709"/>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w:t>
      </w:r>
      <w:r w:rsidRPr="00DD0F57">
        <w:rPr>
          <w:rFonts w:ascii="Verdana" w:eastAsia="Calibri" w:hAnsi="Verdana" w:cs="Arial"/>
          <w:color w:val="000000" w:themeColor="text1"/>
          <w:sz w:val="21"/>
          <w:szCs w:val="21"/>
          <w:lang w:val="es-ES"/>
        </w:rPr>
        <w:t>Artículo 50º.</w:t>
      </w:r>
      <w:r w:rsidRPr="00DD0F57">
        <w:rPr>
          <w:rFonts w:ascii="Verdana" w:eastAsia="Calibri" w:hAnsi="Verdana" w:cs="Arial"/>
          <w:b/>
          <w:bCs/>
          <w:color w:val="000000" w:themeColor="text1"/>
          <w:sz w:val="21"/>
          <w:szCs w:val="21"/>
          <w:lang w:val="es-ES"/>
        </w:rPr>
        <w:t xml:space="preserve"> </w:t>
      </w:r>
      <w:r w:rsidRPr="00DD0F57">
        <w:rPr>
          <w:rFonts w:ascii="Verdana" w:eastAsia="Calibri" w:hAnsi="Verdana" w:cs="Arial"/>
          <w:bCs/>
          <w:color w:val="000000" w:themeColor="text1"/>
          <w:sz w:val="21"/>
          <w:szCs w:val="21"/>
          <w:lang w:val="es-ES"/>
        </w:rPr>
        <w:t>Hacen parte del Sistema Nacional del Deporte, el Ministerio de Educación Nacional, el Instituto Colombiano del Deporte, Coldeportes,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w:t>
      </w:r>
    </w:p>
    <w:p w14:paraId="783DF186" w14:textId="77777777" w:rsidR="00F95802" w:rsidRPr="00DD0F57" w:rsidRDefault="00F95802" w:rsidP="00F95802">
      <w:pPr>
        <w:spacing w:after="0" w:line="240" w:lineRule="auto"/>
        <w:ind w:left="709" w:right="709"/>
        <w:jc w:val="both"/>
        <w:rPr>
          <w:rFonts w:ascii="Verdana" w:eastAsia="Calibri" w:hAnsi="Verdana" w:cs="Arial"/>
          <w:bCs/>
          <w:color w:val="000000" w:themeColor="text1"/>
          <w:sz w:val="21"/>
          <w:szCs w:val="21"/>
          <w:lang w:val="es-ES"/>
        </w:rPr>
      </w:pPr>
    </w:p>
    <w:p w14:paraId="7B67907F" w14:textId="77777777" w:rsidR="00F95802" w:rsidRPr="00DD0F57" w:rsidRDefault="00F95802" w:rsidP="00F95802">
      <w:pPr>
        <w:spacing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 xml:space="preserve">Adicionalmente, la norma detalló la composición jerárquica </w:t>
      </w:r>
      <w:r>
        <w:rPr>
          <w:rFonts w:ascii="Verdana" w:eastAsia="Calibri" w:hAnsi="Verdana" w:cs="Arial"/>
          <w:bCs/>
          <w:color w:val="000000" w:themeColor="text1"/>
          <w:lang w:val="es-ES"/>
        </w:rPr>
        <w:t xml:space="preserve">del Sistema Nacional del Deporte </w:t>
      </w:r>
      <w:r w:rsidRPr="00DD0F57">
        <w:rPr>
          <w:rFonts w:ascii="Verdana" w:eastAsia="Calibri" w:hAnsi="Verdana" w:cs="Arial"/>
          <w:bCs/>
          <w:color w:val="000000" w:themeColor="text1"/>
          <w:lang w:val="es-ES"/>
        </w:rPr>
        <w:t>en el ordenamiento nacional de la siguiente forma:</w:t>
      </w:r>
    </w:p>
    <w:p w14:paraId="4F1F4ADA" w14:textId="77777777" w:rsidR="00F95802" w:rsidRPr="00DD0F57" w:rsidRDefault="00F95802" w:rsidP="00F95802">
      <w:pPr>
        <w:spacing w:after="0" w:line="276" w:lineRule="auto"/>
        <w:ind w:right="709" w:firstLine="708"/>
        <w:jc w:val="both"/>
        <w:rPr>
          <w:rFonts w:ascii="Verdana" w:eastAsia="Calibri" w:hAnsi="Verdana" w:cs="Arial"/>
          <w:bCs/>
          <w:color w:val="000000" w:themeColor="text1"/>
          <w:lang w:val="es-ES"/>
        </w:rPr>
      </w:pPr>
    </w:p>
    <w:p w14:paraId="7E876AA1"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“Artículo 51. Los niveles jerárquicos de los organismos del Sistema Nacional del Deporte son los siguientes: </w:t>
      </w:r>
    </w:p>
    <w:p w14:paraId="2C128FBC"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lastRenderedPageBreak/>
        <w:t xml:space="preserve">Nivel Nacional. Ministerio de Educación Nacional, Instituto Colombiano del Deporte - Coldeportes Comité Olímpico Colombiano y Federaciones Deportivas Nacionales. </w:t>
      </w:r>
    </w:p>
    <w:p w14:paraId="5F20F2D7"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Nivel Departamental. Entes deportivos departamentales, Ligas Deportivas Departamentales y Clubes Deportivos. </w:t>
      </w:r>
    </w:p>
    <w:p w14:paraId="0E111041"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 xml:space="preserve">Nivel Municipal. Entes deportivos municipales o distritales, Clubes Deportivos y Comités Deportivos. </w:t>
      </w:r>
    </w:p>
    <w:p w14:paraId="3FA9418A"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r w:rsidRPr="00DD0F57">
        <w:rPr>
          <w:rFonts w:ascii="Verdana" w:eastAsia="Calibri" w:hAnsi="Verdana" w:cs="Arial"/>
          <w:bCs/>
          <w:color w:val="000000" w:themeColor="text1"/>
          <w:sz w:val="21"/>
          <w:szCs w:val="21"/>
          <w:lang w:val="es-ES"/>
        </w:rPr>
        <w:t>Parágrafo. Las demás entidades de carácter público, privado o mixto que hacen parte del Sistema Nacional del Deporte, concurrirán al nivel jerárquico correspondiente a su propia jurisdicción territorial y ámbito de actividades”.</w:t>
      </w:r>
    </w:p>
    <w:p w14:paraId="5B442040" w14:textId="77777777" w:rsidR="00F95802" w:rsidRPr="00DD0F57" w:rsidRDefault="00F95802" w:rsidP="00F95802">
      <w:pPr>
        <w:snapToGrid w:val="0"/>
        <w:spacing w:after="0" w:line="240" w:lineRule="auto"/>
        <w:ind w:left="709" w:right="709"/>
        <w:contextualSpacing/>
        <w:jc w:val="both"/>
        <w:rPr>
          <w:rFonts w:ascii="Verdana" w:eastAsia="Calibri" w:hAnsi="Verdana" w:cs="Arial"/>
          <w:bCs/>
          <w:color w:val="000000" w:themeColor="text1"/>
          <w:sz w:val="21"/>
          <w:szCs w:val="21"/>
          <w:lang w:val="es-ES"/>
        </w:rPr>
      </w:pPr>
    </w:p>
    <w:p w14:paraId="5F961E46" w14:textId="77777777" w:rsidR="00F95802" w:rsidRPr="00DD0F57" w:rsidRDefault="00F95802" w:rsidP="00F95802">
      <w:pPr>
        <w:spacing w:after="0" w:line="276" w:lineRule="auto"/>
        <w:ind w:firstLine="708"/>
        <w:jc w:val="both"/>
        <w:rPr>
          <w:rFonts w:ascii="Verdana" w:eastAsia="Calibri" w:hAnsi="Verdana" w:cs="Arial"/>
          <w:color w:val="000000" w:themeColor="text1"/>
          <w:lang w:val="es-ES"/>
        </w:rPr>
      </w:pPr>
      <w:r w:rsidRPr="00DD0F57">
        <w:rPr>
          <w:rFonts w:ascii="Verdana" w:eastAsia="Calibri" w:hAnsi="Verdana" w:cs="Arial"/>
          <w:bCs/>
          <w:color w:val="000000" w:themeColor="text1"/>
          <w:lang w:val="es-ES"/>
        </w:rPr>
        <w:t>Sobre la vigencia de esta caracterización del Sistema Nacional del Deporte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es importante resaltar que la Ley 1967 de 2019 no derogó las disposiciones señaladas, pues el artículo 18 se refirió a la derogatoria del Decreto 4183 de 2011 y “las demás disposiciones que le </w:t>
      </w:r>
      <w:r>
        <w:rPr>
          <w:rFonts w:ascii="Verdana" w:eastAsia="Calibri" w:hAnsi="Verdana" w:cs="Arial"/>
          <w:bCs/>
          <w:color w:val="000000" w:themeColor="text1"/>
          <w:lang w:val="es-ES"/>
        </w:rPr>
        <w:t>sean</w:t>
      </w:r>
      <w:r w:rsidRPr="00DD0F57">
        <w:rPr>
          <w:rFonts w:ascii="Verdana" w:eastAsia="Calibri" w:hAnsi="Verdana" w:cs="Arial"/>
          <w:bCs/>
          <w:color w:val="000000" w:themeColor="text1"/>
          <w:lang w:val="es-ES"/>
        </w:rPr>
        <w:t xml:space="preserve"> contrarias”. En este sentido</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la derogatoria expresa no tocó las disposiciones de la Ley 181 de 1995 referidas a los organismos o entidades que componen el Sistema Nacional del Deporte y la derogatoria tácita residual se encuentra limitada a lo que sea contrario o incompatible con la Ley 1967 de 2019, lo cual excluye la normativa señalada sobre el Sistema Nacional; pues, de acuerdo con el artículo 72 del Código Civil, “la derogación tácita deja vigente en las leyes anteriores, aunque versen sobre la misma materia, todo aquello que no pugna con las disposiciones de la nueva ley”. Este es el caso de las disposiciones sobre el Sistema Nacional</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w:t>
      </w:r>
      <w:r>
        <w:rPr>
          <w:rFonts w:ascii="Verdana" w:eastAsia="Calibri" w:hAnsi="Verdana" w:cs="Arial"/>
          <w:bCs/>
          <w:color w:val="000000" w:themeColor="text1"/>
          <w:lang w:val="es-ES"/>
        </w:rPr>
        <w:t>M</w:t>
      </w:r>
      <w:r w:rsidRPr="00DD0F57">
        <w:rPr>
          <w:rFonts w:ascii="Verdana" w:eastAsia="Calibri" w:hAnsi="Verdana" w:cs="Arial"/>
          <w:bCs/>
          <w:color w:val="000000" w:themeColor="text1"/>
          <w:lang w:val="es-ES"/>
        </w:rPr>
        <w:t>uestra de ello es que el artículo primero de la Ley 1967 de 2019</w:t>
      </w:r>
      <w:r w:rsidRPr="00DD0F57">
        <w:rPr>
          <w:lang w:val="es-ES"/>
        </w:rPr>
        <w:t xml:space="preserve"> </w:t>
      </w:r>
      <w:r w:rsidRPr="00DD0F57">
        <w:rPr>
          <w:rFonts w:ascii="Verdana" w:eastAsia="Calibri" w:hAnsi="Verdana" w:cs="Arial"/>
          <w:bCs/>
          <w:color w:val="000000" w:themeColor="text1"/>
          <w:lang w:val="es-ES"/>
        </w:rPr>
        <w:t xml:space="preserve">concibe al Ministerio del Deporte como organismo principal de “la administración pública, del nivel central, </w:t>
      </w:r>
      <w:r w:rsidRPr="00DD0F57">
        <w:rPr>
          <w:rFonts w:ascii="Verdana" w:eastAsia="Calibri" w:hAnsi="Verdana" w:cs="Arial"/>
          <w:color w:val="000000" w:themeColor="text1"/>
          <w:lang w:val="es-ES"/>
        </w:rPr>
        <w:t>rector del sector y del Sistema Nacional del Deporte”, refiriéndose a este en los términos y mediante el nombre propio ya atribuido en el marco legal previo, sin volver a definirlo o modificar su alcance.</w:t>
      </w:r>
    </w:p>
    <w:p w14:paraId="1D145A45" w14:textId="77777777" w:rsidR="00F95802" w:rsidRPr="00DD0F57" w:rsidRDefault="00F95802" w:rsidP="00F95802">
      <w:pPr>
        <w:spacing w:before="120" w:after="0" w:line="276" w:lineRule="auto"/>
        <w:ind w:firstLine="708"/>
        <w:jc w:val="both"/>
        <w:rPr>
          <w:rFonts w:ascii="Verdana" w:eastAsia="Calibri" w:hAnsi="Verdana" w:cs="Arial"/>
          <w:color w:val="000000" w:themeColor="text1"/>
          <w:lang w:val="es-ES"/>
        </w:rPr>
      </w:pPr>
      <w:r w:rsidRPr="00DD0F57">
        <w:rPr>
          <w:rFonts w:ascii="Verdana" w:eastAsia="Calibri" w:hAnsi="Verdana" w:cs="Arial"/>
          <w:color w:val="000000" w:themeColor="text1"/>
          <w:lang w:val="es-ES"/>
        </w:rPr>
        <w:t xml:space="preserve">En este sentido, si el legislador de 2019 hubiera querido crear un Sistema distinto o redefinir su composición, lo hubiese hecho expresamente en el texto de la ley, como sí ocurrió, por ejemplo, con la definición del objeto del Ministerio (artículo 3) o con la lista de </w:t>
      </w:r>
      <w:r w:rsidRPr="00777D33">
        <w:rPr>
          <w:rFonts w:ascii="Verdana" w:eastAsia="Calibri" w:hAnsi="Verdana" w:cs="Arial"/>
          <w:color w:val="000000" w:themeColor="text1"/>
          <w:lang w:val="es-ES"/>
        </w:rPr>
        <w:t xml:space="preserve">funciones (artículo 4). Al no hacerlo, la ley reenvía a la definición ya existente en la Ley 181 de 1995. Lo anterior, de conformidad con lo dispuesto en el artículo 28 del Código Civil, según el cual “las palabras de la ley se entenderán en su sentido natural y obvio, según el uso general de las mismas palabras; </w:t>
      </w:r>
      <w:r w:rsidRPr="00777D33">
        <w:rPr>
          <w:rFonts w:ascii="Verdana" w:eastAsia="Calibri" w:hAnsi="Verdana" w:cs="Arial"/>
          <w:i/>
          <w:iCs/>
          <w:color w:val="000000" w:themeColor="text1"/>
          <w:lang w:val="es-ES"/>
        </w:rPr>
        <w:t>pero cuando el legislador las haya definido expresamente para ciertas materias, se les dará en éstas su significado legal”</w:t>
      </w:r>
      <w:r w:rsidRPr="00777D33">
        <w:rPr>
          <w:rFonts w:ascii="Verdana" w:eastAsia="Calibri" w:hAnsi="Verdana" w:cs="Arial"/>
          <w:color w:val="000000" w:themeColor="text1"/>
          <w:lang w:val="es-ES"/>
        </w:rPr>
        <w:t xml:space="preserve"> [énfasis propio].</w:t>
      </w:r>
      <w:r w:rsidRPr="00777D33">
        <w:rPr>
          <w:rFonts w:ascii="Verdana" w:hAnsi="Verdana"/>
          <w:lang w:val="es-ES"/>
        </w:rPr>
        <w:t xml:space="preserve"> Dado </w:t>
      </w:r>
      <w:r w:rsidRPr="00777D33">
        <w:rPr>
          <w:rFonts w:ascii="Verdana" w:hAnsi="Verdana"/>
          <w:lang w:val="es-ES"/>
        </w:rPr>
        <w:lastRenderedPageBreak/>
        <w:t xml:space="preserve">que </w:t>
      </w:r>
      <w:r w:rsidRPr="00777D33">
        <w:rPr>
          <w:rFonts w:ascii="Verdana" w:eastAsia="Calibri" w:hAnsi="Verdana" w:cs="Arial"/>
          <w:color w:val="000000" w:themeColor="text1"/>
          <w:lang w:val="es-ES"/>
        </w:rPr>
        <w:t>"Sistema Nacional del Deporte" es, en este sentido, una expresión ya definida por el ordenamiento en la Ley</w:t>
      </w:r>
      <w:r w:rsidRPr="00DD0F57">
        <w:rPr>
          <w:rFonts w:ascii="Verdana" w:eastAsia="Calibri" w:hAnsi="Verdana" w:cs="Arial"/>
          <w:color w:val="000000" w:themeColor="text1"/>
          <w:lang w:val="es-ES"/>
        </w:rPr>
        <w:t xml:space="preserve"> 181 de</w:t>
      </w:r>
      <w:r>
        <w:rPr>
          <w:rFonts w:ascii="Verdana" w:eastAsia="Calibri" w:hAnsi="Verdana" w:cs="Arial"/>
          <w:color w:val="000000" w:themeColor="text1"/>
          <w:lang w:val="es-ES"/>
        </w:rPr>
        <w:t xml:space="preserve"> </w:t>
      </w:r>
      <w:r w:rsidRPr="00DD0F57">
        <w:rPr>
          <w:rFonts w:ascii="Verdana" w:eastAsia="Calibri" w:hAnsi="Verdana" w:cs="Arial"/>
          <w:color w:val="000000" w:themeColor="text1"/>
          <w:lang w:val="es-ES"/>
        </w:rPr>
        <w:t>1995, y la Ley 1967</w:t>
      </w:r>
      <w:r>
        <w:rPr>
          <w:rFonts w:ascii="Verdana" w:eastAsia="Calibri" w:hAnsi="Verdana" w:cs="Arial"/>
          <w:color w:val="000000" w:themeColor="text1"/>
          <w:lang w:val="es-ES"/>
        </w:rPr>
        <w:t xml:space="preserve"> de </w:t>
      </w:r>
      <w:r w:rsidRPr="00DD0F57">
        <w:rPr>
          <w:rFonts w:ascii="Verdana" w:eastAsia="Calibri" w:hAnsi="Verdana" w:cs="Arial"/>
          <w:color w:val="000000" w:themeColor="text1"/>
          <w:lang w:val="es-ES"/>
        </w:rPr>
        <w:t>2019 la usa sin apartarse de</w:t>
      </w:r>
      <w:r>
        <w:rPr>
          <w:rFonts w:ascii="Verdana" w:eastAsia="Calibri" w:hAnsi="Verdana" w:cs="Arial"/>
          <w:color w:val="000000" w:themeColor="text1"/>
          <w:lang w:val="es-ES"/>
        </w:rPr>
        <w:t xml:space="preserve"> esa definición</w:t>
      </w:r>
      <w:r w:rsidRPr="00DD0F57">
        <w:rPr>
          <w:rFonts w:ascii="Verdana" w:eastAsia="Calibri" w:hAnsi="Verdana" w:cs="Arial"/>
          <w:color w:val="000000" w:themeColor="text1"/>
          <w:lang w:val="es-ES"/>
        </w:rPr>
        <w:t>, debe entenderse en el significado legal preexistente.</w:t>
      </w:r>
    </w:p>
    <w:p w14:paraId="30D7BFB1" w14:textId="77777777" w:rsidR="00F95802" w:rsidRPr="00DD0F57" w:rsidRDefault="00F95802" w:rsidP="00F95802">
      <w:pPr>
        <w:spacing w:before="120"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Conforme con lo expuesto, el Ministerio del Deporte únicamente podrá ejercer la función de celebrar directamente los convenios y contratos a los cuales hace referencia el numeral 25 del artículo 4 de la Ley 1967 de 2019 con respecto a sujetos que, de acuerdo con la misma normativa vigente del sector, hagan parte del Sistema Nacional del Deporte. En este sentido, según el referido artículo 50 de la Ley 181 de 1995, esta lista comprende al Ministerio de Educación Nacional, el Instituto Colombiano del Deporte —hoy Ministerio del Deporte—, los entes departamentales, municipales y distritales que ejerzan las funciones de fomento, desarrollo y práctica del deporte, la recreación y el aprovechamiento del tiempo libre, los organismos privados, las entidades mixtas, así como todas aquellas entidades públicas y privadas de otros sectores sociales y económicos en los aspectos que se relacionen directamente con estas actividades. También se entenderán incorporados en la habilitación, por disposición expresa del numeral 25,</w:t>
      </w:r>
      <w:r>
        <w:rPr>
          <w:rFonts w:ascii="Verdana" w:eastAsia="Calibri" w:hAnsi="Verdana" w:cs="Arial"/>
          <w:bCs/>
          <w:color w:val="000000" w:themeColor="text1"/>
          <w:lang w:val="es-ES"/>
        </w:rPr>
        <w:t xml:space="preserve"> </w:t>
      </w:r>
      <w:r w:rsidRPr="00DD0F57">
        <w:rPr>
          <w:rFonts w:ascii="Verdana" w:eastAsia="Calibri" w:hAnsi="Verdana" w:cs="Arial"/>
          <w:bCs/>
          <w:color w:val="000000" w:themeColor="text1"/>
          <w:lang w:val="es-ES"/>
        </w:rPr>
        <w:t xml:space="preserve">los organismos internacionales de naturaleza pública o privada que se enmarquen en esta definición. </w:t>
      </w:r>
      <w:r>
        <w:rPr>
          <w:rFonts w:ascii="Verdana" w:eastAsia="Calibri" w:hAnsi="Verdana" w:cs="Arial"/>
          <w:bCs/>
          <w:color w:val="000000" w:themeColor="text1"/>
          <w:lang w:val="es-ES"/>
        </w:rPr>
        <w:t>C</w:t>
      </w:r>
      <w:r w:rsidRPr="00DD0F57">
        <w:rPr>
          <w:rFonts w:ascii="Verdana" w:eastAsia="Calibri" w:hAnsi="Verdana" w:cs="Arial"/>
          <w:bCs/>
          <w:color w:val="000000" w:themeColor="text1"/>
          <w:lang w:val="es-ES"/>
        </w:rPr>
        <w:t xml:space="preserve">orresponderá al Ministerio verificar que los organismos que conforman el Sistema Nacional del Deporte con los cuales pretende contratar directamente cumplan con los demás requisitos exigidos por la normativa especial aplicable del sector y por la dispuesta en el EGCAP en materia de contratación estatal. </w:t>
      </w:r>
    </w:p>
    <w:p w14:paraId="5FE1ACBC" w14:textId="77777777" w:rsidR="00F95802" w:rsidRPr="00DD0F57" w:rsidRDefault="00F95802" w:rsidP="00F95802">
      <w:pPr>
        <w:spacing w:before="120" w:after="0" w:line="276" w:lineRule="auto"/>
        <w:ind w:firstLine="708"/>
        <w:jc w:val="both"/>
        <w:rPr>
          <w:rFonts w:ascii="Verdana" w:eastAsia="Calibri" w:hAnsi="Verdana" w:cs="Arial"/>
          <w:color w:val="000000"/>
          <w:lang w:val="es-ES"/>
        </w:rPr>
      </w:pPr>
      <w:r w:rsidRPr="00DD0F57">
        <w:rPr>
          <w:rFonts w:ascii="Verdana" w:eastAsia="Calibri" w:hAnsi="Verdana" w:cs="Arial"/>
          <w:color w:val="000000"/>
          <w:lang w:val="es-ES"/>
        </w:rPr>
        <w:t>Con respecto al objeto del convenio o contrato, la función consagrada en el</w:t>
      </w:r>
      <w:r>
        <w:rPr>
          <w:rFonts w:ascii="Verdana" w:eastAsia="Calibri" w:hAnsi="Verdana" w:cs="Arial"/>
          <w:color w:val="000000"/>
          <w:lang w:val="es-ES"/>
        </w:rPr>
        <w:t xml:space="preserve"> numeral</w:t>
      </w:r>
      <w:r w:rsidRPr="00DD0F57">
        <w:rPr>
          <w:rFonts w:ascii="Verdana" w:eastAsia="Calibri" w:hAnsi="Verdana" w:cs="Arial"/>
          <w:color w:val="000000"/>
          <w:lang w:val="es-ES"/>
        </w:rPr>
        <w:t xml:space="preserve"> 25 exige que sea celebrado "para el desarrollo de su objeto", con lo cual se refiere al objeto institucional del Ministerio. En efecto, para determinar si el convenio o contrato se enmarca en la habilitación referida, será necesario verificar si se celebra para el desarrollo del objeto definido en el artículo 3 de la Ley 1967 de 2019, según el cual el Ministerio del </w:t>
      </w:r>
      <w:r>
        <w:rPr>
          <w:rFonts w:ascii="Verdana" w:eastAsia="Calibri" w:hAnsi="Verdana" w:cs="Arial"/>
          <w:color w:val="000000"/>
          <w:lang w:val="es-ES"/>
        </w:rPr>
        <w:t>D</w:t>
      </w:r>
      <w:r w:rsidRPr="00DD0F57">
        <w:rPr>
          <w:rFonts w:ascii="Verdana" w:eastAsia="Calibri" w:hAnsi="Verdana" w:cs="Arial"/>
          <w:color w:val="000000"/>
          <w:lang w:val="es-ES"/>
        </w:rPr>
        <w:t>eporte tiene como objetivo: formular, adoptar, dirigir, coordinar, inspeccionar, vigilar, controlar y ejecutar la política pública, planes, programas y proyectos en materia del deporte, la recreación, el aprovechamiento del tiempo libre y la actividad física para promover el bienestar, la calidad de vida, así como contribuir a la salud pública, a la educación, a la cultura, a la cohesión e integración social, a la conciencia nacional y a las relaciones internacionales, a través de la participación de los actores públicos y privados.</w:t>
      </w:r>
    </w:p>
    <w:p w14:paraId="6FAC946A" w14:textId="77777777" w:rsidR="00F95802" w:rsidRPr="00665A37" w:rsidRDefault="00F95802" w:rsidP="00F95802">
      <w:pPr>
        <w:spacing w:before="120" w:after="0" w:line="276" w:lineRule="auto"/>
        <w:ind w:firstLine="708"/>
        <w:jc w:val="both"/>
        <w:rPr>
          <w:rFonts w:ascii="Verdana" w:eastAsia="Calibri" w:hAnsi="Verdana" w:cs="Arial"/>
          <w:color w:val="000000"/>
          <w:lang w:val="es-ES"/>
        </w:rPr>
      </w:pPr>
      <w:r w:rsidRPr="00DD0F57">
        <w:rPr>
          <w:rFonts w:ascii="Verdana" w:eastAsia="Calibri" w:hAnsi="Verdana" w:cs="Arial"/>
          <w:color w:val="000000"/>
          <w:lang w:val="es-ES"/>
        </w:rPr>
        <w:lastRenderedPageBreak/>
        <w:t xml:space="preserve">Esta remisión al objeto institucional del Ministerio cumple una función de limitar los supuestos para el ejercicio de la facultad de contratar directamente, de manera similar a la causal establecida en el literal </w:t>
      </w:r>
      <w:proofErr w:type="gramStart"/>
      <w:r w:rsidRPr="00DD0F57">
        <w:rPr>
          <w:rFonts w:ascii="Verdana" w:eastAsia="Calibri" w:hAnsi="Verdana" w:cs="Arial"/>
          <w:color w:val="000000"/>
          <w:lang w:val="es-ES"/>
        </w:rPr>
        <w:t>e</w:t>
      </w:r>
      <w:proofErr w:type="gramEnd"/>
      <w:r w:rsidRPr="00DD0F57">
        <w:rPr>
          <w:rFonts w:ascii="Verdana" w:eastAsia="Calibri" w:hAnsi="Verdana" w:cs="Arial"/>
          <w:color w:val="000000"/>
          <w:lang w:val="es-ES"/>
        </w:rPr>
        <w:t xml:space="preserve"> del numeral 4 del artículo 2 de la </w:t>
      </w:r>
      <w:r w:rsidRPr="00665A37">
        <w:rPr>
          <w:rFonts w:ascii="Verdana" w:eastAsia="Calibri" w:hAnsi="Verdana" w:cs="Arial"/>
          <w:color w:val="000000"/>
          <w:lang w:val="es-ES"/>
        </w:rPr>
        <w:t xml:space="preserve">Ley 1150 de 2007, que exige que los contratos de ciencia y tecnología tengan </w:t>
      </w:r>
      <w:r w:rsidRPr="00665A37">
        <w:rPr>
          <w:rFonts w:ascii="Verdana" w:eastAsia="Calibri" w:hAnsi="Verdana" w:cs="Arial"/>
          <w:i/>
          <w:iCs/>
          <w:color w:val="000000"/>
          <w:lang w:val="es-ES"/>
        </w:rPr>
        <w:t>por objeto</w:t>
      </w:r>
      <w:r w:rsidRPr="00665A37">
        <w:rPr>
          <w:rFonts w:ascii="Verdana" w:eastAsia="Calibri" w:hAnsi="Verdana" w:cs="Arial"/>
          <w:color w:val="000000"/>
          <w:lang w:val="es-ES"/>
        </w:rPr>
        <w:t xml:space="preserve"> la realización de dichas actividades. De esta forma, el contrato o convenio que celebre directamente el Ministerio del Deporte con un miembro del Sistema Nacional del Deporte cuyo objeto sea ajeno al marco jurídico fijado en el referido artículo tercero de la Ley 1967 de </w:t>
      </w:r>
      <w:proofErr w:type="gramStart"/>
      <w:r w:rsidRPr="00665A37">
        <w:rPr>
          <w:rFonts w:ascii="Verdana" w:eastAsia="Calibri" w:hAnsi="Verdana" w:cs="Arial"/>
          <w:color w:val="000000"/>
          <w:lang w:val="es-ES"/>
        </w:rPr>
        <w:t>2019  —</w:t>
      </w:r>
      <w:proofErr w:type="gramEnd"/>
      <w:r w:rsidRPr="00665A37">
        <w:rPr>
          <w:rFonts w:ascii="Verdana" w:eastAsia="Calibri" w:hAnsi="Verdana" w:cs="Arial"/>
          <w:color w:val="000000"/>
          <w:lang w:val="es-ES"/>
        </w:rPr>
        <w:t>por ejemplo, la simple adquisición de bienes o servicios sin relación con el fomento del deporte— no estará amparad</w:t>
      </w:r>
      <w:r>
        <w:rPr>
          <w:rFonts w:ascii="Verdana" w:eastAsia="Calibri" w:hAnsi="Verdana" w:cs="Arial"/>
          <w:color w:val="000000"/>
          <w:lang w:val="es-ES"/>
        </w:rPr>
        <w:t>o</w:t>
      </w:r>
      <w:r w:rsidRPr="00665A37">
        <w:rPr>
          <w:rFonts w:ascii="Verdana" w:eastAsia="Calibri" w:hAnsi="Verdana" w:cs="Arial"/>
          <w:color w:val="000000"/>
          <w:lang w:val="es-ES"/>
        </w:rPr>
        <w:t xml:space="preserve"> en la función del numeral 25, así el contratista esté reconocido como un sujeto que hace parte del Sistema Nacional del Deporte. En este sentido, el objeto del convenio o contrato debe corresponder al marco jurídico funcional que el Ministerio está llamado a ejecutar.</w:t>
      </w:r>
    </w:p>
    <w:p w14:paraId="4AC6AAD5" w14:textId="77777777" w:rsidR="00F95802" w:rsidRPr="00665A37" w:rsidRDefault="00F95802" w:rsidP="00F95802">
      <w:pPr>
        <w:spacing w:before="120"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Finalmente, es importante resaltar que la función del numeral 25 contiene una cláusula expresa que condiciona el ejercicio de la contratación directa a que se realice </w:t>
      </w:r>
      <w:r w:rsidRPr="007E01B5">
        <w:rPr>
          <w:rFonts w:ascii="Verdana" w:eastAsia="Calibri" w:hAnsi="Verdana" w:cs="Arial"/>
          <w:color w:val="000000"/>
          <w:lang w:val="es-ES"/>
        </w:rPr>
        <w:t>"de acuerdo con las normas legales vigentes"</w:t>
      </w:r>
      <w:r w:rsidRPr="00665A37">
        <w:rPr>
          <w:rFonts w:ascii="Verdana" w:eastAsia="Calibri" w:hAnsi="Verdana" w:cs="Arial"/>
          <w:color w:val="000000"/>
          <w:lang w:val="es-ES"/>
        </w:rPr>
        <w:t>. Tal como se señaló previamente, lo anterior supone que en lo no regulado por la norma especial objeto de análisis la contratación que adelante el Ministerio se encuentre sujeta a su régimen contractual, es decir, a lo dispuesto en el EGCAP. A similar conclusión ha llegado l</w:t>
      </w:r>
      <w:r w:rsidRPr="007E01B5">
        <w:rPr>
          <w:rFonts w:ascii="Verdana" w:eastAsia="Calibri" w:hAnsi="Verdana" w:cs="Arial"/>
          <w:color w:val="000000"/>
          <w:lang w:val="es-ES"/>
        </w:rPr>
        <w:t xml:space="preserve">a Sala de Consulta y Servicio Civil del Consejo de Estado, en el Concepto 00102 de 2017, </w:t>
      </w:r>
      <w:r w:rsidRPr="00665A37">
        <w:rPr>
          <w:rFonts w:ascii="Verdana" w:eastAsia="Calibri" w:hAnsi="Verdana" w:cs="Arial"/>
          <w:color w:val="000000"/>
          <w:lang w:val="es-ES"/>
        </w:rPr>
        <w:t>al referirse a la aplicación de la facultad de contratar directamente en el marco del sistema de ciencia y tecnología. En dicha oportunidad concluyó que:</w:t>
      </w:r>
    </w:p>
    <w:p w14:paraId="42947ED3" w14:textId="77777777" w:rsidR="00F95802" w:rsidRPr="00DD0F57" w:rsidRDefault="00F95802" w:rsidP="00F95802">
      <w:pPr>
        <w:spacing w:before="120" w:after="0" w:line="276" w:lineRule="auto"/>
        <w:ind w:firstLine="708"/>
        <w:jc w:val="both"/>
        <w:rPr>
          <w:rFonts w:ascii="Verdana" w:eastAsia="Calibri" w:hAnsi="Verdana" w:cs="Arial"/>
          <w:color w:val="000000"/>
          <w:sz w:val="21"/>
          <w:szCs w:val="21"/>
          <w:lang w:val="es-ES"/>
        </w:rPr>
      </w:pPr>
    </w:p>
    <w:p w14:paraId="55D24F80" w14:textId="77777777" w:rsidR="00F95802" w:rsidRDefault="00F95802" w:rsidP="00F95802">
      <w:pPr>
        <w:spacing w:after="0" w:line="240" w:lineRule="auto"/>
        <w:ind w:left="709" w:right="709"/>
        <w:jc w:val="both"/>
        <w:rPr>
          <w:rFonts w:ascii="Verdana" w:eastAsia="Calibri" w:hAnsi="Verdana" w:cs="Arial"/>
          <w:color w:val="000000"/>
          <w:sz w:val="21"/>
          <w:szCs w:val="21"/>
        </w:rPr>
      </w:pPr>
      <w:r w:rsidRPr="00DD0F57">
        <w:rPr>
          <w:rFonts w:ascii="Verdana" w:eastAsia="Calibri" w:hAnsi="Verdana" w:cs="Arial"/>
          <w:color w:val="000000"/>
          <w:sz w:val="21"/>
          <w:szCs w:val="21"/>
          <w:lang w:val="es-ES"/>
        </w:rPr>
        <w:t>“</w:t>
      </w:r>
      <w:r>
        <w:rPr>
          <w:rFonts w:ascii="Verdana" w:eastAsia="Calibri" w:hAnsi="Verdana" w:cs="Arial"/>
          <w:color w:val="000000"/>
          <w:sz w:val="21"/>
          <w:szCs w:val="21"/>
        </w:rPr>
        <w:t xml:space="preserve">[…] </w:t>
      </w:r>
      <w:r w:rsidRPr="004C5B3E">
        <w:rPr>
          <w:rFonts w:ascii="Verdana" w:eastAsia="Calibri" w:hAnsi="Verdana" w:cs="Arial"/>
          <w:color w:val="000000"/>
          <w:sz w:val="21"/>
          <w:szCs w:val="21"/>
        </w:rPr>
        <w:t>la misma jurisprudencia de la Sección Tercera del Consejo de Estado precisó lo siguiente:</w:t>
      </w:r>
      <w:r>
        <w:rPr>
          <w:rFonts w:ascii="Verdana" w:eastAsia="Calibri" w:hAnsi="Verdana" w:cs="Arial"/>
          <w:color w:val="000000"/>
          <w:sz w:val="21"/>
          <w:szCs w:val="21"/>
        </w:rPr>
        <w:t xml:space="preserve"> </w:t>
      </w:r>
    </w:p>
    <w:p w14:paraId="0040BC18" w14:textId="77777777" w:rsidR="00F95802" w:rsidRPr="00DD0F57" w:rsidRDefault="00F95802" w:rsidP="00F95802">
      <w:pPr>
        <w:spacing w:before="120" w:after="0" w:line="240" w:lineRule="auto"/>
        <w:ind w:left="709" w:right="709"/>
        <w:jc w:val="both"/>
        <w:rPr>
          <w:rFonts w:ascii="Verdana" w:eastAsia="Calibri" w:hAnsi="Verdana" w:cs="Arial"/>
          <w:color w:val="000000"/>
          <w:sz w:val="21"/>
          <w:szCs w:val="21"/>
          <w:lang w:val="es-ES"/>
        </w:rPr>
      </w:pPr>
      <w:r>
        <w:rPr>
          <w:rFonts w:ascii="Verdana" w:eastAsia="Calibri" w:hAnsi="Verdana" w:cs="Arial"/>
          <w:color w:val="000000"/>
          <w:sz w:val="21"/>
          <w:szCs w:val="21"/>
        </w:rPr>
        <w:t>“</w:t>
      </w:r>
      <w:r w:rsidRPr="004C5B3E">
        <w:rPr>
          <w:rFonts w:ascii="Verdana" w:eastAsia="Calibri" w:hAnsi="Verdana" w:cs="Arial"/>
          <w:i/>
          <w:iCs/>
          <w:color w:val="000000"/>
          <w:sz w:val="21"/>
          <w:szCs w:val="21"/>
          <w:lang w:val="es-ES"/>
        </w:rPr>
        <w:t>De cuanto antecede se colige que el Estatuto General de Contratación de la Administración Pública, desde su entrada en vigencia, es aplicable a los contratos que la Nación y sus entidades descentralizadas celebren para el desarrollo de las actividades de ciencia y tecnología en aquellos aspectos no regulados expresamente en el Decreto-ley 591 de 1991 y en el Decreto-ley 393 de 1991, como que, por ejemplo, en los procesos de selección de los contratistas se deben respetar los principios de transparencia, economía, responsabilidad y selección objetiva, tener en cuenta las inhabilidades e incompatibilidades y aplicar las disposiciones de solución de conflictos, entre otros aspectos</w:t>
      </w:r>
      <w:r>
        <w:rPr>
          <w:rFonts w:ascii="Verdana" w:eastAsia="Calibri" w:hAnsi="Verdana" w:cs="Arial"/>
          <w:i/>
          <w:iCs/>
          <w:color w:val="000000"/>
          <w:sz w:val="21"/>
          <w:szCs w:val="21"/>
          <w:lang w:val="es-ES"/>
        </w:rPr>
        <w:t>”</w:t>
      </w:r>
    </w:p>
    <w:p w14:paraId="4E7C88FC" w14:textId="77777777" w:rsidR="00F95802" w:rsidRPr="004C5B3E" w:rsidRDefault="00F95802" w:rsidP="00F95802">
      <w:pPr>
        <w:spacing w:before="120" w:after="0" w:line="240" w:lineRule="auto"/>
        <w:ind w:left="709" w:right="709"/>
        <w:jc w:val="both"/>
        <w:rPr>
          <w:rFonts w:ascii="Verdana" w:eastAsia="Calibri" w:hAnsi="Verdana" w:cs="Arial"/>
          <w:color w:val="000000"/>
          <w:sz w:val="21"/>
          <w:szCs w:val="21"/>
          <w:lang w:val="es-ES"/>
        </w:rPr>
      </w:pPr>
      <w:r w:rsidRPr="004C5B3E">
        <w:rPr>
          <w:rFonts w:ascii="Verdana" w:eastAsia="Calibri" w:hAnsi="Verdana" w:cs="Arial"/>
          <w:color w:val="000000"/>
          <w:sz w:val="21"/>
          <w:szCs w:val="21"/>
        </w:rPr>
        <w:lastRenderedPageBreak/>
        <w:t>En definitiva, de conformidad con la interpretación de la Sección Tercera del Consejo de Estado, los contratos que se celebren con el objeto de fomentar la ciencia y la tecnología se encuentran sujetos al Estatuto General de Contratación de la Administración Pública y demás normas que lo modifiquen o adicionen, a las normas especiales vigentes de los Decretos Leyes 393 y 591 de 1991, y a las normas de derecho privado, en armonía con lo dispuesto en los artículos 13 y 40 de la Ley 80 de 1993, en todo aquello no regulado expresamente por el citado estatuto y las mencionadas disposiciones especiales</w:t>
      </w:r>
      <w:r w:rsidRPr="004C5B3E">
        <w:rPr>
          <w:rFonts w:ascii="Verdana" w:eastAsia="Calibri" w:hAnsi="Verdana" w:cs="Arial"/>
          <w:color w:val="000000"/>
          <w:sz w:val="21"/>
          <w:szCs w:val="21"/>
          <w:lang w:val="es-ES"/>
        </w:rPr>
        <w:t>”.</w:t>
      </w:r>
      <w:r w:rsidRPr="004C5B3E">
        <w:rPr>
          <w:rStyle w:val="Refdenotaalpie"/>
          <w:rFonts w:ascii="Verdana" w:eastAsia="Calibri" w:hAnsi="Verdana" w:cs="Arial"/>
          <w:color w:val="000000"/>
          <w:sz w:val="21"/>
          <w:szCs w:val="21"/>
          <w:lang w:val="es-ES"/>
        </w:rPr>
        <w:footnoteReference w:id="6"/>
      </w:r>
    </w:p>
    <w:p w14:paraId="1AA00218" w14:textId="77777777" w:rsidR="00F95802" w:rsidRPr="00DD0F57" w:rsidRDefault="00F95802" w:rsidP="00F95802">
      <w:pPr>
        <w:spacing w:before="120" w:after="0" w:line="240" w:lineRule="auto"/>
        <w:ind w:left="709" w:right="709"/>
        <w:jc w:val="both"/>
        <w:rPr>
          <w:rFonts w:ascii="Verdana" w:eastAsia="Calibri" w:hAnsi="Verdana" w:cs="Arial"/>
          <w:color w:val="000000"/>
          <w:sz w:val="21"/>
          <w:szCs w:val="21"/>
          <w:lang w:val="es-ES"/>
        </w:rPr>
      </w:pPr>
    </w:p>
    <w:p w14:paraId="077D0CB8" w14:textId="77777777" w:rsidR="00F95802" w:rsidRPr="00665A37" w:rsidRDefault="00F95802" w:rsidP="00F95802">
      <w:pPr>
        <w:spacing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De forma similar, esta Agencia considera que la </w:t>
      </w:r>
      <w:r w:rsidRPr="007E01B5">
        <w:rPr>
          <w:rFonts w:ascii="Verdana" w:eastAsia="Calibri" w:hAnsi="Verdana" w:cs="Arial"/>
          <w:color w:val="000000"/>
          <w:lang w:val="es-ES"/>
        </w:rPr>
        <w:t>función</w:t>
      </w:r>
      <w:r w:rsidRPr="00665A37">
        <w:rPr>
          <w:rFonts w:ascii="Verdana" w:eastAsia="Calibri" w:hAnsi="Verdana" w:cs="Arial"/>
          <w:color w:val="000000"/>
          <w:lang w:val="es-ES"/>
        </w:rPr>
        <w:t xml:space="preserve"> prevista en el numeral</w:t>
      </w:r>
      <w:r w:rsidRPr="007E01B5">
        <w:rPr>
          <w:rFonts w:ascii="Verdana" w:eastAsia="Calibri" w:hAnsi="Verdana" w:cs="Arial"/>
          <w:color w:val="000000"/>
          <w:lang w:val="es-ES"/>
        </w:rPr>
        <w:t xml:space="preserve"> 25</w:t>
      </w:r>
      <w:r w:rsidRPr="00665A37">
        <w:rPr>
          <w:rFonts w:ascii="Verdana" w:eastAsia="Calibri" w:hAnsi="Verdana" w:cs="Arial"/>
          <w:color w:val="000000"/>
          <w:lang w:val="es-ES"/>
        </w:rPr>
        <w:t xml:space="preserve"> constituye una norma especial que </w:t>
      </w:r>
      <w:r w:rsidRPr="007E01B5">
        <w:rPr>
          <w:rFonts w:ascii="Verdana" w:eastAsia="Calibri" w:hAnsi="Verdana" w:cs="Arial"/>
          <w:color w:val="000000"/>
          <w:lang w:val="es-ES"/>
        </w:rPr>
        <w:t>solo desplaza al EGCAP en el punto específico que regula</w:t>
      </w:r>
      <w:r w:rsidRPr="00665A37">
        <w:rPr>
          <w:rFonts w:ascii="Verdana" w:eastAsia="Calibri" w:hAnsi="Verdana" w:cs="Arial"/>
          <w:color w:val="000000"/>
          <w:lang w:val="es-ES"/>
        </w:rPr>
        <w:t xml:space="preserve">, es decir, en la habilitación de </w:t>
      </w:r>
      <w:r w:rsidRPr="007E01B5">
        <w:rPr>
          <w:rFonts w:ascii="Verdana" w:eastAsia="Calibri" w:hAnsi="Verdana" w:cs="Arial"/>
          <w:color w:val="000000"/>
          <w:lang w:val="es-ES"/>
        </w:rPr>
        <w:t>la modalidad de selección</w:t>
      </w:r>
      <w:r w:rsidRPr="00665A37">
        <w:rPr>
          <w:rFonts w:ascii="Verdana" w:eastAsia="Calibri" w:hAnsi="Verdana" w:cs="Arial"/>
          <w:color w:val="000000"/>
          <w:lang w:val="es-ES"/>
        </w:rPr>
        <w:t xml:space="preserve"> de contratación directa frente a los sujetos y el objeto expreso de la norma. </w:t>
      </w:r>
      <w:r w:rsidRPr="007E01B5">
        <w:rPr>
          <w:rFonts w:ascii="Verdana" w:eastAsia="Calibri" w:hAnsi="Verdana" w:cs="Arial"/>
          <w:color w:val="000000"/>
          <w:lang w:val="es-ES"/>
        </w:rPr>
        <w:t>En todo lo demás</w:t>
      </w:r>
      <w:r w:rsidRPr="00665A37">
        <w:rPr>
          <w:rFonts w:ascii="Verdana" w:eastAsia="Calibri" w:hAnsi="Verdana" w:cs="Arial"/>
          <w:color w:val="000000"/>
          <w:lang w:val="es-ES"/>
        </w:rPr>
        <w:t xml:space="preserve">, como es el caso de los </w:t>
      </w:r>
      <w:r w:rsidRPr="007E01B5">
        <w:rPr>
          <w:rFonts w:ascii="Verdana" w:eastAsia="Calibri" w:hAnsi="Verdana" w:cs="Arial"/>
          <w:color w:val="000000"/>
          <w:lang w:val="es-ES"/>
        </w:rPr>
        <w:t>requisitos de perfeccionamiento y ejecución del contrato, garantías, supervisión, liquidación, causales de nulidad, régimen de inhabilidades e incompatibilidades, publicidad en el SECOP, cláusulas excepcionales cuando procedan, responsabilidad contractual, entre otros</w:t>
      </w:r>
      <w:r w:rsidRPr="00665A37">
        <w:rPr>
          <w:rFonts w:ascii="Verdana" w:eastAsia="Calibri" w:hAnsi="Verdana" w:cs="Arial"/>
          <w:color w:val="000000"/>
          <w:lang w:val="es-ES"/>
        </w:rPr>
        <w:t>,</w:t>
      </w:r>
      <w:r w:rsidRPr="007E01B5">
        <w:rPr>
          <w:rFonts w:ascii="Verdana" w:eastAsia="Calibri" w:hAnsi="Verdana" w:cs="Arial"/>
          <w:color w:val="000000"/>
          <w:lang w:val="es-ES"/>
        </w:rPr>
        <w:t xml:space="preserve"> rige el EGCAP en su integridad</w:t>
      </w:r>
      <w:r w:rsidRPr="00665A37">
        <w:rPr>
          <w:rFonts w:ascii="Verdana" w:eastAsia="Calibri" w:hAnsi="Verdana" w:cs="Arial"/>
          <w:color w:val="000000"/>
          <w:lang w:val="es-ES"/>
        </w:rPr>
        <w:t>, salvo que exista una norma especial que disponga lo contrario</w:t>
      </w:r>
      <w:r w:rsidRPr="007E01B5">
        <w:rPr>
          <w:rFonts w:ascii="Verdana" w:eastAsia="Calibri" w:hAnsi="Verdana" w:cs="Arial"/>
          <w:color w:val="000000"/>
          <w:lang w:val="es-ES"/>
        </w:rPr>
        <w:t xml:space="preserve">. La expresión "de acuerdo con las normas legales vigentes" confirma expresamente esta aplicación supletiva, evitando que se entienda que </w:t>
      </w:r>
      <w:r w:rsidRPr="00665A37">
        <w:rPr>
          <w:rFonts w:ascii="Verdana" w:eastAsia="Calibri" w:hAnsi="Verdana" w:cs="Arial"/>
          <w:color w:val="000000"/>
          <w:lang w:val="es-ES"/>
        </w:rPr>
        <w:t xml:space="preserve">la norma </w:t>
      </w:r>
      <w:r w:rsidRPr="007E01B5">
        <w:rPr>
          <w:rFonts w:ascii="Verdana" w:eastAsia="Calibri" w:hAnsi="Verdana" w:cs="Arial"/>
          <w:color w:val="000000"/>
          <w:lang w:val="es-ES"/>
        </w:rPr>
        <w:t>crea un régimen de derecho privado autónomo</w:t>
      </w:r>
      <w:r w:rsidRPr="00665A37">
        <w:rPr>
          <w:rFonts w:ascii="Verdana" w:eastAsia="Calibri" w:hAnsi="Verdana" w:cs="Arial"/>
          <w:color w:val="000000"/>
          <w:lang w:val="es-ES"/>
        </w:rPr>
        <w:t xml:space="preserve">. </w:t>
      </w:r>
    </w:p>
    <w:p w14:paraId="635D9295" w14:textId="77777777" w:rsidR="00F95802" w:rsidRPr="00665A37" w:rsidRDefault="00F95802" w:rsidP="00F95802">
      <w:pPr>
        <w:spacing w:before="120" w:after="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Una consecuencia jurídica de lo expuesto es que </w:t>
      </w:r>
      <w:r w:rsidRPr="007E01B5">
        <w:rPr>
          <w:rFonts w:ascii="Verdana" w:eastAsia="Calibri" w:hAnsi="Verdana" w:cs="Arial"/>
          <w:color w:val="000000"/>
          <w:lang w:val="es-ES"/>
        </w:rPr>
        <w:t xml:space="preserve">el artículo 20 de la Ley 1150 de 2007 </w:t>
      </w:r>
      <w:r w:rsidRPr="00665A37">
        <w:rPr>
          <w:rFonts w:ascii="Verdana" w:eastAsia="Calibri" w:hAnsi="Verdana" w:cs="Arial"/>
          <w:color w:val="000000"/>
          <w:lang w:val="es-ES"/>
        </w:rPr>
        <w:t xml:space="preserve">será aplicable con respecto a los organismos internacionales con los que contrate directamente el Ministerio del Deporte en ejercicio de la función establecida en el numeral 25 del artículo 4 de la Ley 1967 de 2019, siempre que se trate de organismos internacionales que sean parte del Sistema Nacional del Deporte y que el objeto del convenio o contrato sea concordante con el artículo 3 de esta norma. De forma similar, las condiciones previstas en el artículo 20 de la Ley 1150 de 2007 no son aplicables de manera automática cuando el Ministerio del Deporte ejerza la función del referido numeral 25, pues para ello también será necesario que se cumplan los supuestos establecidos en dicha norma. </w:t>
      </w:r>
    </w:p>
    <w:p w14:paraId="17CD509F" w14:textId="77777777" w:rsidR="00F95802" w:rsidRPr="00665A37" w:rsidRDefault="00F95802" w:rsidP="00F95802">
      <w:pPr>
        <w:spacing w:before="120" w:after="0" w:line="276" w:lineRule="auto"/>
        <w:ind w:firstLine="708"/>
        <w:jc w:val="both"/>
        <w:rPr>
          <w:rFonts w:ascii="Verdana" w:eastAsia="Calibri" w:hAnsi="Verdana" w:cs="Arial"/>
          <w:color w:val="000000"/>
          <w:lang w:val="es-ES"/>
        </w:rPr>
      </w:pPr>
      <w:r w:rsidRPr="00665A37">
        <w:rPr>
          <w:rFonts w:ascii="Verdana" w:hAnsi="Verdana" w:cs="Arial"/>
          <w:color w:val="000000" w:themeColor="text1"/>
          <w:lang w:val="es-ES"/>
        </w:rPr>
        <w:lastRenderedPageBreak/>
        <w:t>El artículo 20 de la Ley 1150 de 2007 estableció el régimen aplicable a los contratos que celebren las Entidades Estatales con organismos internacionales, previendo tres supuestos. El inciso primero dispone que cuando los organismos de cooperación, asistencia o ayudas internacionales financien los contratos o convenios en su totalidad o en sumas iguales o superiores al cincuenta por ciento (50%), la contratación podrá someterse a los reglamentos de tales entidades; cuando los aportes sean inferiores a dicho porcentaje, el contrato o convenio debe someterse al EGCAP. El último supuesto del inciso segundo establece que los contratos o convenios financiados con fondos de los organismos multilaterales de crédito y entes gubernamentales extranjeros podrán regirse por sus reglamentos, con independencia del porcentaje que financien o aporten. Finalmente, el parágrafo primero dispone que los contratos o acuerdos celebrados con personas extranjeras de derecho público podrán someterse a las reglas de tales organismos, sin que sea relevante el monto de los aportes ni el objeto convenido.</w:t>
      </w:r>
    </w:p>
    <w:p w14:paraId="3A9AAC38" w14:textId="77777777" w:rsidR="00F95802" w:rsidRPr="00665A37" w:rsidRDefault="00F95802" w:rsidP="00F95802">
      <w:pPr>
        <w:spacing w:before="120" w:after="0" w:line="276" w:lineRule="auto"/>
        <w:ind w:firstLine="708"/>
        <w:jc w:val="both"/>
        <w:rPr>
          <w:rFonts w:ascii="Verdana" w:hAnsi="Verdana" w:cs="Arial"/>
          <w:color w:val="000000" w:themeColor="text1"/>
          <w:lang w:val="es-ES"/>
        </w:rPr>
      </w:pPr>
      <w:r w:rsidRPr="00665A37">
        <w:rPr>
          <w:rFonts w:ascii="Verdana" w:eastAsia="Calibri" w:hAnsi="Verdana" w:cs="Arial"/>
          <w:color w:val="000000"/>
          <w:lang w:val="es-ES"/>
        </w:rPr>
        <w:t xml:space="preserve">Así, por ejemplo, </w:t>
      </w:r>
      <w:r w:rsidRPr="007E01B5">
        <w:rPr>
          <w:rFonts w:ascii="Verdana" w:eastAsia="Calibri" w:hAnsi="Verdana" w:cs="Arial"/>
          <w:color w:val="000000"/>
          <w:lang w:val="es-ES"/>
        </w:rPr>
        <w:t>si</w:t>
      </w:r>
      <w:r w:rsidRPr="00665A37">
        <w:rPr>
          <w:rFonts w:ascii="Verdana" w:eastAsia="Calibri" w:hAnsi="Verdana" w:cs="Arial"/>
          <w:color w:val="000000"/>
          <w:lang w:val="es-ES"/>
        </w:rPr>
        <w:t xml:space="preserve"> en ejercicio de la función del numeral 25 el Ministerio del Deporte celebra directamente</w:t>
      </w:r>
      <w:r w:rsidRPr="007E01B5">
        <w:rPr>
          <w:rFonts w:ascii="Verdana" w:eastAsia="Calibri" w:hAnsi="Verdana" w:cs="Arial"/>
          <w:color w:val="000000"/>
          <w:lang w:val="es-ES"/>
        </w:rPr>
        <w:t xml:space="preserve"> un convenio </w:t>
      </w:r>
      <w:r w:rsidRPr="00665A37">
        <w:rPr>
          <w:rFonts w:ascii="Verdana" w:eastAsia="Calibri" w:hAnsi="Verdana" w:cs="Arial"/>
          <w:color w:val="000000"/>
          <w:lang w:val="es-ES"/>
        </w:rPr>
        <w:t xml:space="preserve">o contrato </w:t>
      </w:r>
      <w:r w:rsidRPr="007E01B5">
        <w:rPr>
          <w:rFonts w:ascii="Verdana" w:eastAsia="Calibri" w:hAnsi="Verdana" w:cs="Arial"/>
          <w:color w:val="000000"/>
          <w:lang w:val="es-ES"/>
        </w:rPr>
        <w:t>con un organismo deportivo internacional</w:t>
      </w:r>
      <w:r w:rsidRPr="00665A37">
        <w:rPr>
          <w:rFonts w:ascii="Verdana" w:eastAsia="Calibri" w:hAnsi="Verdana" w:cs="Arial"/>
          <w:color w:val="000000"/>
          <w:lang w:val="es-ES"/>
        </w:rPr>
        <w:t xml:space="preserve"> que hace parte del Sistema Nacional del Deporte para el desarrollo de su objet</w:t>
      </w:r>
      <w:r>
        <w:rPr>
          <w:rFonts w:ascii="Verdana" w:eastAsia="Calibri" w:hAnsi="Verdana" w:cs="Arial"/>
          <w:color w:val="000000"/>
          <w:lang w:val="es-ES"/>
        </w:rPr>
        <w:t>o</w:t>
      </w:r>
      <w:r w:rsidRPr="007E01B5">
        <w:rPr>
          <w:rFonts w:ascii="Verdana" w:eastAsia="Calibri" w:hAnsi="Verdana" w:cs="Arial"/>
          <w:color w:val="000000"/>
          <w:lang w:val="es-ES"/>
        </w:rPr>
        <w:t>,</w:t>
      </w:r>
      <w:r w:rsidRPr="00665A37">
        <w:rPr>
          <w:rFonts w:ascii="Verdana" w:eastAsia="Calibri" w:hAnsi="Verdana" w:cs="Arial"/>
          <w:color w:val="000000"/>
          <w:lang w:val="es-ES"/>
        </w:rPr>
        <w:t xml:space="preserve"> y este, </w:t>
      </w:r>
      <w:r w:rsidRPr="007E01B5">
        <w:rPr>
          <w:rFonts w:ascii="Verdana" w:eastAsia="Calibri" w:hAnsi="Verdana" w:cs="Arial"/>
          <w:color w:val="000000"/>
          <w:lang w:val="es-ES"/>
        </w:rPr>
        <w:t>además de encajar en l</w:t>
      </w:r>
      <w:r w:rsidRPr="00665A37">
        <w:rPr>
          <w:rFonts w:ascii="Verdana" w:eastAsia="Calibri" w:hAnsi="Verdana" w:cs="Arial"/>
          <w:color w:val="000000"/>
          <w:lang w:val="es-ES"/>
        </w:rPr>
        <w:t>os supuestos de la</w:t>
      </w:r>
      <w:r w:rsidRPr="007E01B5">
        <w:rPr>
          <w:rFonts w:ascii="Verdana" w:eastAsia="Calibri" w:hAnsi="Verdana" w:cs="Arial"/>
          <w:color w:val="000000"/>
          <w:lang w:val="es-ES"/>
        </w:rPr>
        <w:t xml:space="preserve"> función</w:t>
      </w:r>
      <w:r w:rsidRPr="00665A37">
        <w:rPr>
          <w:rFonts w:ascii="Verdana" w:eastAsia="Calibri" w:hAnsi="Verdana" w:cs="Arial"/>
          <w:color w:val="000000"/>
          <w:lang w:val="es-ES"/>
        </w:rPr>
        <w:t xml:space="preserve"> del numeral</w:t>
      </w:r>
      <w:r w:rsidRPr="007E01B5">
        <w:rPr>
          <w:rFonts w:ascii="Verdana" w:eastAsia="Calibri" w:hAnsi="Verdana" w:cs="Arial"/>
          <w:color w:val="000000"/>
          <w:lang w:val="es-ES"/>
        </w:rPr>
        <w:t xml:space="preserve"> 25, cumple independientemente los requisitos de financiación</w:t>
      </w:r>
      <w:r w:rsidRPr="00665A37">
        <w:rPr>
          <w:rFonts w:ascii="Verdana" w:eastAsia="Calibri" w:hAnsi="Verdana" w:cs="Arial"/>
          <w:color w:val="000000"/>
          <w:lang w:val="es-ES"/>
        </w:rPr>
        <w:t>, objeto y sujetos</w:t>
      </w:r>
      <w:r w:rsidRPr="007E01B5">
        <w:rPr>
          <w:rFonts w:ascii="Verdana" w:eastAsia="Calibri" w:hAnsi="Verdana" w:cs="Arial"/>
          <w:color w:val="000000"/>
          <w:lang w:val="es-ES"/>
        </w:rPr>
        <w:t xml:space="preserve"> del artículo 20, ese convenio podrá regirse por el reglamento del organismo </w:t>
      </w:r>
      <w:r w:rsidRPr="00665A37">
        <w:rPr>
          <w:rFonts w:ascii="Verdana" w:eastAsia="Calibri" w:hAnsi="Verdana" w:cs="Arial"/>
          <w:color w:val="000000"/>
          <w:lang w:val="es-ES"/>
        </w:rPr>
        <w:t xml:space="preserve">internacional. Este será el caso cuando el organismo internacional que hace parte del Sistema Nacional del Deporte es también </w:t>
      </w:r>
      <w:r w:rsidRPr="00665A37">
        <w:rPr>
          <w:rFonts w:ascii="Verdana" w:hAnsi="Verdana" w:cs="Arial"/>
          <w:color w:val="000000" w:themeColor="text1"/>
          <w:lang w:val="es-ES"/>
        </w:rPr>
        <w:t xml:space="preserve">un organismo de cooperación, asistencia o ayuda internacional que financia el contrato o convenio en sumas iguales o superiores al cincuenta por ciento (50%). </w:t>
      </w:r>
    </w:p>
    <w:p w14:paraId="5ACDAC9F" w14:textId="77777777" w:rsidR="00F95802" w:rsidRPr="00665A37" w:rsidRDefault="00F95802" w:rsidP="00F95802">
      <w:pPr>
        <w:spacing w:before="120" w:after="120" w:line="276" w:lineRule="auto"/>
        <w:ind w:firstLine="708"/>
        <w:jc w:val="both"/>
        <w:rPr>
          <w:rFonts w:ascii="Verdana" w:eastAsia="Calibri" w:hAnsi="Verdana" w:cs="Arial"/>
          <w:color w:val="000000"/>
          <w:lang w:val="es-ES"/>
        </w:rPr>
      </w:pPr>
      <w:r w:rsidRPr="00665A37">
        <w:rPr>
          <w:rFonts w:ascii="Verdana" w:eastAsia="Calibri" w:hAnsi="Verdana" w:cs="Arial"/>
          <w:color w:val="000000"/>
          <w:lang w:val="es-ES"/>
        </w:rPr>
        <w:t xml:space="preserve">En conclusión, </w:t>
      </w:r>
      <w:r w:rsidRPr="007E01B5">
        <w:rPr>
          <w:rFonts w:ascii="Verdana" w:eastAsia="Calibri" w:hAnsi="Verdana" w:cs="Arial"/>
          <w:color w:val="000000"/>
          <w:lang w:val="es-ES"/>
        </w:rPr>
        <w:t>la función</w:t>
      </w:r>
      <w:r w:rsidRPr="00665A37">
        <w:rPr>
          <w:rFonts w:ascii="Verdana" w:eastAsia="Calibri" w:hAnsi="Verdana" w:cs="Arial"/>
          <w:color w:val="000000"/>
          <w:lang w:val="es-ES"/>
        </w:rPr>
        <w:t xml:space="preserve"> señalada en el numeral </w:t>
      </w:r>
      <w:r w:rsidRPr="007E01B5">
        <w:rPr>
          <w:rFonts w:ascii="Verdana" w:eastAsia="Calibri" w:hAnsi="Verdana" w:cs="Arial"/>
          <w:color w:val="000000"/>
          <w:lang w:val="es-ES"/>
        </w:rPr>
        <w:t>25</w:t>
      </w:r>
      <w:r w:rsidRPr="00665A37">
        <w:rPr>
          <w:rFonts w:ascii="Verdana" w:eastAsia="Calibri" w:hAnsi="Verdana" w:cs="Arial"/>
          <w:color w:val="000000"/>
          <w:lang w:val="es-ES"/>
        </w:rPr>
        <w:t xml:space="preserve"> del artículo 4 de la Ley 1967 de 2019</w:t>
      </w:r>
      <w:r w:rsidRPr="007E01B5">
        <w:rPr>
          <w:rFonts w:ascii="Verdana" w:eastAsia="Calibri" w:hAnsi="Verdana" w:cs="Arial"/>
          <w:color w:val="000000"/>
          <w:lang w:val="es-ES"/>
        </w:rPr>
        <w:t xml:space="preserve"> </w:t>
      </w:r>
      <w:r w:rsidRPr="00665A37">
        <w:rPr>
          <w:rFonts w:ascii="Verdana" w:eastAsia="Calibri" w:hAnsi="Verdana" w:cs="Arial"/>
          <w:color w:val="000000"/>
          <w:lang w:val="es-ES"/>
        </w:rPr>
        <w:t xml:space="preserve">se refiere a una norma especial que habilita al Ministerio del Deporte para contratar directamente cuando se trate de los sujetos expresamente definidos en la norma. Adicionalmente, esta norma opera </w:t>
      </w:r>
      <w:r w:rsidRPr="007E01B5">
        <w:rPr>
          <w:rFonts w:ascii="Verdana" w:eastAsia="Calibri" w:hAnsi="Verdana" w:cs="Arial"/>
          <w:i/>
          <w:iCs/>
          <w:color w:val="000000"/>
          <w:lang w:val="es-ES"/>
        </w:rPr>
        <w:t>dentro</w:t>
      </w:r>
      <w:r w:rsidRPr="007E01B5">
        <w:rPr>
          <w:rFonts w:ascii="Verdana" w:eastAsia="Calibri" w:hAnsi="Verdana" w:cs="Arial"/>
          <w:color w:val="000000"/>
          <w:lang w:val="es-ES"/>
        </w:rPr>
        <w:t xml:space="preserve"> del</w:t>
      </w:r>
      <w:r w:rsidRPr="00665A37">
        <w:rPr>
          <w:rFonts w:ascii="Verdana" w:eastAsia="Calibri" w:hAnsi="Verdana" w:cs="Arial"/>
          <w:color w:val="000000"/>
          <w:lang w:val="es-ES"/>
        </w:rPr>
        <w:t xml:space="preserve"> régimen jurídico aplicable al Ministerio en virtud del artículo 2 de la Ley 80 de 1993, es decir, de acuerdo con lo dispuesto en el</w:t>
      </w:r>
      <w:r w:rsidRPr="007E01B5">
        <w:rPr>
          <w:rFonts w:ascii="Verdana" w:eastAsia="Calibri" w:hAnsi="Verdana" w:cs="Arial"/>
          <w:color w:val="000000"/>
          <w:lang w:val="es-ES"/>
        </w:rPr>
        <w:t xml:space="preserve"> EGCAP</w:t>
      </w:r>
      <w:r w:rsidRPr="00665A37">
        <w:rPr>
          <w:rFonts w:ascii="Verdana" w:eastAsia="Calibri" w:hAnsi="Verdana" w:cs="Arial"/>
          <w:color w:val="000000"/>
          <w:lang w:val="es-ES"/>
        </w:rPr>
        <w:t xml:space="preserve">. De esta manera, la función será aplicable solo con los organismos que hagan parte del </w:t>
      </w:r>
      <w:r w:rsidRPr="007E01B5">
        <w:rPr>
          <w:rFonts w:ascii="Verdana" w:eastAsia="Calibri" w:hAnsi="Verdana" w:cs="Arial"/>
          <w:color w:val="000000"/>
          <w:lang w:val="es-ES"/>
        </w:rPr>
        <w:t>Sistema Nacional del Deporte conforme al artículo 50 de la Ley 18</w:t>
      </w:r>
      <w:r w:rsidRPr="00665A37">
        <w:rPr>
          <w:rFonts w:ascii="Verdana" w:eastAsia="Calibri" w:hAnsi="Verdana" w:cs="Arial"/>
          <w:color w:val="000000"/>
          <w:lang w:val="es-ES"/>
        </w:rPr>
        <w:t>1 de 1</w:t>
      </w:r>
      <w:r w:rsidRPr="007E01B5">
        <w:rPr>
          <w:rFonts w:ascii="Verdana" w:eastAsia="Calibri" w:hAnsi="Verdana" w:cs="Arial"/>
          <w:color w:val="000000"/>
          <w:lang w:val="es-ES"/>
        </w:rPr>
        <w:t xml:space="preserve">995 y para el desarrollo del objeto institucional </w:t>
      </w:r>
      <w:r w:rsidRPr="00665A37">
        <w:rPr>
          <w:rFonts w:ascii="Verdana" w:eastAsia="Calibri" w:hAnsi="Verdana" w:cs="Arial"/>
          <w:color w:val="000000"/>
          <w:lang w:val="es-ES"/>
        </w:rPr>
        <w:t xml:space="preserve">señalado en </w:t>
      </w:r>
      <w:r w:rsidRPr="007E01B5">
        <w:rPr>
          <w:rFonts w:ascii="Verdana" w:eastAsia="Calibri" w:hAnsi="Verdana" w:cs="Arial"/>
          <w:color w:val="000000"/>
          <w:lang w:val="es-ES"/>
        </w:rPr>
        <w:t>el artículo 3 de la Ley 1967</w:t>
      </w:r>
      <w:r w:rsidRPr="00665A37">
        <w:rPr>
          <w:rFonts w:ascii="Verdana" w:eastAsia="Calibri" w:hAnsi="Verdana" w:cs="Arial"/>
          <w:color w:val="000000"/>
          <w:lang w:val="es-ES"/>
        </w:rPr>
        <w:t xml:space="preserve"> de </w:t>
      </w:r>
      <w:r w:rsidRPr="007E01B5">
        <w:rPr>
          <w:rFonts w:ascii="Verdana" w:eastAsia="Calibri" w:hAnsi="Verdana" w:cs="Arial"/>
          <w:color w:val="000000"/>
          <w:lang w:val="es-ES"/>
        </w:rPr>
        <w:t xml:space="preserve">2019. </w:t>
      </w:r>
      <w:r w:rsidRPr="00665A37">
        <w:rPr>
          <w:rFonts w:ascii="Verdana" w:eastAsia="Calibri" w:hAnsi="Verdana" w:cs="Arial"/>
          <w:color w:val="000000"/>
          <w:lang w:val="es-ES"/>
        </w:rPr>
        <w:t xml:space="preserve">En consecuencia, </w:t>
      </w:r>
      <w:r w:rsidRPr="007E01B5">
        <w:rPr>
          <w:rFonts w:ascii="Verdana" w:eastAsia="Calibri" w:hAnsi="Verdana" w:cs="Arial"/>
          <w:color w:val="000000"/>
          <w:lang w:val="es-ES"/>
        </w:rPr>
        <w:t xml:space="preserve">la función </w:t>
      </w:r>
      <w:r w:rsidRPr="00665A37">
        <w:rPr>
          <w:rFonts w:ascii="Verdana" w:eastAsia="Calibri" w:hAnsi="Verdana" w:cs="Arial"/>
          <w:color w:val="000000"/>
          <w:lang w:val="es-ES"/>
        </w:rPr>
        <w:t xml:space="preserve">prevista en el numeral </w:t>
      </w:r>
      <w:r w:rsidRPr="007E01B5">
        <w:rPr>
          <w:rFonts w:ascii="Verdana" w:eastAsia="Calibri" w:hAnsi="Verdana" w:cs="Arial"/>
          <w:color w:val="000000"/>
          <w:lang w:val="es-ES"/>
        </w:rPr>
        <w:t xml:space="preserve">25, en tanto excepción a la regla general de selección objetiva, no </w:t>
      </w:r>
      <w:r w:rsidRPr="00665A37">
        <w:rPr>
          <w:rFonts w:ascii="Verdana" w:eastAsia="Calibri" w:hAnsi="Verdana" w:cs="Arial"/>
          <w:color w:val="000000"/>
          <w:lang w:val="es-ES"/>
        </w:rPr>
        <w:t xml:space="preserve">podrá </w:t>
      </w:r>
      <w:r w:rsidRPr="007E01B5">
        <w:rPr>
          <w:rFonts w:ascii="Verdana" w:eastAsia="Calibri" w:hAnsi="Verdana" w:cs="Arial"/>
          <w:color w:val="000000"/>
          <w:lang w:val="es-ES"/>
        </w:rPr>
        <w:t xml:space="preserve">interpretarse extensivamente </w:t>
      </w:r>
      <w:r w:rsidRPr="007E01B5">
        <w:rPr>
          <w:rFonts w:ascii="Verdana" w:eastAsia="Calibri" w:hAnsi="Verdana" w:cs="Arial"/>
          <w:color w:val="000000"/>
          <w:lang w:val="es-ES"/>
        </w:rPr>
        <w:lastRenderedPageBreak/>
        <w:t>para cobijar sujetos u objetos que exceden su texto</w:t>
      </w:r>
      <w:r w:rsidRPr="00665A37">
        <w:rPr>
          <w:rFonts w:ascii="Verdana" w:eastAsia="Calibri" w:hAnsi="Verdana" w:cs="Arial"/>
          <w:color w:val="000000"/>
          <w:lang w:val="es-ES"/>
        </w:rPr>
        <w:t xml:space="preserve">. </w:t>
      </w:r>
      <w:r w:rsidRPr="007E01B5">
        <w:rPr>
          <w:rFonts w:ascii="Verdana" w:eastAsia="Calibri" w:hAnsi="Verdana" w:cs="Arial"/>
          <w:color w:val="000000"/>
          <w:lang w:val="es-ES"/>
        </w:rPr>
        <w:t xml:space="preserve">En todo lo no regulado expresamente por esta causal especial, </w:t>
      </w:r>
      <w:r w:rsidRPr="00665A37">
        <w:rPr>
          <w:rFonts w:ascii="Verdana" w:eastAsia="Calibri" w:hAnsi="Verdana" w:cs="Arial"/>
          <w:color w:val="000000"/>
          <w:lang w:val="es-ES"/>
        </w:rPr>
        <w:t xml:space="preserve">la contratación se regirá por lo dispuesto en </w:t>
      </w:r>
      <w:r w:rsidRPr="007E01B5">
        <w:rPr>
          <w:rFonts w:ascii="Verdana" w:eastAsia="Calibri" w:hAnsi="Verdana" w:cs="Arial"/>
          <w:color w:val="000000"/>
          <w:lang w:val="es-ES"/>
        </w:rPr>
        <w:t xml:space="preserve">el régimen general </w:t>
      </w:r>
      <w:r w:rsidRPr="00665A37">
        <w:rPr>
          <w:rFonts w:ascii="Verdana" w:eastAsia="Calibri" w:hAnsi="Verdana" w:cs="Arial"/>
          <w:color w:val="000000"/>
          <w:lang w:val="es-ES"/>
        </w:rPr>
        <w:t>de contratación de la entidad contratante: el EGCAP.</w:t>
      </w:r>
    </w:p>
    <w:p w14:paraId="1F642628" w14:textId="77777777" w:rsidR="00F95802" w:rsidRPr="00DD0F57" w:rsidRDefault="00F95802" w:rsidP="00F95802">
      <w:pPr>
        <w:spacing w:after="120" w:line="276" w:lineRule="auto"/>
        <w:ind w:firstLine="709"/>
        <w:jc w:val="both"/>
        <w:rPr>
          <w:rFonts w:ascii="Verdana" w:eastAsia="Times New Roman" w:hAnsi="Verdana" w:cs="Arial"/>
          <w:lang w:val="es-ES" w:eastAsia="es-ES_tradnl"/>
        </w:rPr>
      </w:pPr>
      <w:r w:rsidRPr="00DD0F57">
        <w:rPr>
          <w:rFonts w:ascii="Verdana" w:eastAsia="Calibri" w:hAnsi="Verdana" w:cs="Arial"/>
          <w:bCs/>
          <w:color w:val="000000" w:themeColor="text1"/>
          <w:lang w:val="es-ES"/>
        </w:rPr>
        <w:t>Al margen de la explicación precedente</w:t>
      </w:r>
      <w:r>
        <w:rPr>
          <w:rFonts w:ascii="Verdana" w:eastAsia="Calibri" w:hAnsi="Verdana" w:cs="Arial"/>
          <w:bCs/>
          <w:color w:val="000000" w:themeColor="text1"/>
          <w:lang w:val="es-ES"/>
        </w:rPr>
        <w:t>,</w:t>
      </w:r>
      <w:r w:rsidRPr="00DD0F57">
        <w:rPr>
          <w:rFonts w:ascii="Verdana" w:eastAsia="Calibri" w:hAnsi="Verdana" w:cs="Arial"/>
          <w:bCs/>
          <w:color w:val="000000" w:themeColor="text1"/>
          <w:lang w:val="es-ES"/>
        </w:rPr>
        <w:t xml:space="preserve"> debe advertirse que el análisis requerido para resolver problemas específicos en torno a la gestión contractual de las entidades públicas debe ser realizado por quienes tengan interés en ello, de acuerdo con lo explicado </w:t>
      </w:r>
      <w:r>
        <w:rPr>
          <w:rFonts w:ascii="Verdana" w:eastAsia="Calibri" w:hAnsi="Verdana" w:cs="Arial"/>
          <w:bCs/>
          <w:color w:val="000000" w:themeColor="text1"/>
          <w:lang w:val="es-ES"/>
        </w:rPr>
        <w:t xml:space="preserve">en </w:t>
      </w:r>
      <w:r w:rsidRPr="00DD0F57">
        <w:rPr>
          <w:rFonts w:ascii="Verdana" w:eastAsia="Calibri" w:hAnsi="Verdana" w:cs="Arial"/>
          <w:bCs/>
          <w:color w:val="000000" w:themeColor="text1"/>
          <w:lang w:val="es-ES"/>
        </w:rPr>
        <w:t>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en adoptar la decisión correspondiente y, en caso de conflicto, a las autoridades judiciales, fiscales y disciplinarias.</w:t>
      </w:r>
    </w:p>
    <w:p w14:paraId="60189091" w14:textId="77777777" w:rsidR="00F95802" w:rsidRPr="00DD0F57" w:rsidRDefault="00F95802" w:rsidP="00F95802">
      <w:pPr>
        <w:spacing w:after="0" w:line="276" w:lineRule="auto"/>
        <w:ind w:firstLine="708"/>
        <w:jc w:val="both"/>
        <w:rPr>
          <w:rFonts w:ascii="Verdana" w:eastAsia="Calibri" w:hAnsi="Verdana" w:cs="Arial"/>
          <w:bCs/>
          <w:color w:val="000000" w:themeColor="text1"/>
          <w:lang w:val="es-ES"/>
        </w:rPr>
      </w:pPr>
      <w:r w:rsidRPr="00DD0F57">
        <w:rPr>
          <w:rFonts w:ascii="Verdana" w:eastAsia="Calibri" w:hAnsi="Verdana" w:cs="Arial"/>
          <w:bCs/>
          <w:color w:val="000000" w:themeColor="text1"/>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96EE1D2" w14:textId="77777777" w:rsidR="00F95802" w:rsidRPr="00DD0F57" w:rsidRDefault="00F95802" w:rsidP="00F95802">
      <w:pPr>
        <w:spacing w:after="0" w:line="276" w:lineRule="auto"/>
        <w:ind w:firstLine="708"/>
        <w:jc w:val="both"/>
        <w:rPr>
          <w:rFonts w:ascii="Verdana" w:hAnsi="Verdana" w:cs="Arial"/>
          <w:lang w:val="es-ES"/>
        </w:rPr>
      </w:pPr>
    </w:p>
    <w:p w14:paraId="1DD9F248" w14:textId="77777777" w:rsidR="00F95802" w:rsidRPr="00DD0F57" w:rsidRDefault="00F95802" w:rsidP="00F9580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Referencias normativas, jurisprudenciales y otras fuentes:</w:t>
      </w:r>
    </w:p>
    <w:p w14:paraId="4D308873" w14:textId="77777777" w:rsidR="00F95802" w:rsidRPr="00DD0F57" w:rsidRDefault="00F95802" w:rsidP="00F95802">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95802" w:rsidRPr="00DD0F57" w14:paraId="1BE9C49C" w14:textId="77777777" w:rsidTr="005D3E90">
        <w:trPr>
          <w:trHeight w:val="870"/>
        </w:trPr>
        <w:tc>
          <w:tcPr>
            <w:tcW w:w="8647" w:type="dxa"/>
          </w:tcPr>
          <w:p w14:paraId="59EF8AE1"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Constitución Política de 1991, artículos 52 y 350.</w:t>
            </w:r>
          </w:p>
          <w:p w14:paraId="55AFB12E"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80 de 1993, artículos 2, 13, 24, 32 y 40.</w:t>
            </w:r>
          </w:p>
          <w:p w14:paraId="502D0A93"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153 de 1887, artículo 5.</w:t>
            </w:r>
          </w:p>
          <w:p w14:paraId="6AFB9393"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181 de 1995, artículos 46, 47, 50, 51 y 61.</w:t>
            </w:r>
          </w:p>
          <w:p w14:paraId="50595700"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489 de 1998, artículo 59.</w:t>
            </w:r>
          </w:p>
          <w:p w14:paraId="0E6B8AB9"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Decreto-Ley 393 de 1991.</w:t>
            </w:r>
          </w:p>
          <w:p w14:paraId="4EB58803"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Decreto-Ley 591 de 1991.</w:t>
            </w:r>
          </w:p>
          <w:p w14:paraId="252FCCC2"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lastRenderedPageBreak/>
              <w:t>Decreto-Ley 4183 de 2011.</w:t>
            </w:r>
          </w:p>
          <w:p w14:paraId="35CEF702"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1150 de 2007, artículos 2 (numeral 4, literal e) y 20.</w:t>
            </w:r>
          </w:p>
          <w:p w14:paraId="5FE6DAF8" w14:textId="77777777" w:rsidR="00F95802"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Ley 1967 de 2019, artículos 3, 4 (numeral 25) y 18.</w:t>
            </w:r>
          </w:p>
          <w:p w14:paraId="366B54BB"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rPr>
              <w:t>Código Civil, artículos 27, 28 y 72.</w:t>
            </w:r>
          </w:p>
          <w:p w14:paraId="4E9E4E58" w14:textId="77777777" w:rsidR="00F95802" w:rsidRPr="00E97F95"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Corte Constitucional, Sentencia C-439 de 2016 (con referencia a la Sentencia C-451 de 2015).</w:t>
            </w:r>
          </w:p>
          <w:p w14:paraId="2A305997" w14:textId="77777777" w:rsidR="00F95802" w:rsidRPr="00DD0F57" w:rsidRDefault="00F95802" w:rsidP="00F95802">
            <w:pPr>
              <w:widowControl w:val="0"/>
              <w:numPr>
                <w:ilvl w:val="0"/>
                <w:numId w:val="17"/>
              </w:numPr>
              <w:autoSpaceDE w:val="0"/>
              <w:autoSpaceDN w:val="0"/>
              <w:snapToGrid w:val="0"/>
              <w:spacing w:before="120" w:after="120" w:line="276" w:lineRule="auto"/>
              <w:ind w:left="714" w:hanging="357"/>
              <w:jc w:val="both"/>
              <w:rPr>
                <w:rFonts w:ascii="Verdana" w:eastAsia="Calibri" w:hAnsi="Verdana" w:cs="Arial"/>
                <w:color w:val="000000" w:themeColor="text1"/>
                <w:lang w:val="es-ES"/>
              </w:rPr>
            </w:pPr>
            <w:r w:rsidRPr="00E97F95">
              <w:rPr>
                <w:rFonts w:ascii="Verdana" w:eastAsia="Calibri" w:hAnsi="Verdana" w:cs="Arial"/>
                <w:color w:val="000000" w:themeColor="text1"/>
                <w:lang w:val="es-ES"/>
              </w:rPr>
              <w:t>Consejo de Estado, Sala de Consulta y Servicio Civil, Concepto del 8 de marzo de 2017, radicación 11001-03-06-000-2016-00102-00(2314).</w:t>
            </w:r>
          </w:p>
        </w:tc>
      </w:tr>
    </w:tbl>
    <w:p w14:paraId="72284479" w14:textId="77777777" w:rsidR="00F95802" w:rsidRPr="00DD0F57" w:rsidRDefault="00F95802" w:rsidP="00F95802">
      <w:pPr>
        <w:widowControl w:val="0"/>
        <w:autoSpaceDE w:val="0"/>
        <w:autoSpaceDN w:val="0"/>
        <w:spacing w:after="0" w:line="276" w:lineRule="auto"/>
        <w:jc w:val="both"/>
        <w:rPr>
          <w:rFonts w:ascii="Verdana" w:hAnsi="Verdana" w:cs="Arial"/>
          <w:color w:val="000000" w:themeColor="text1"/>
          <w:lang w:val="es-ES"/>
        </w:rPr>
      </w:pPr>
    </w:p>
    <w:p w14:paraId="0DD7D1D1" w14:textId="77777777" w:rsidR="00F95802" w:rsidRPr="00DD0F57" w:rsidRDefault="00F95802" w:rsidP="00F9580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Doctrina de la Agencia Nacional de Contratación Pública:</w:t>
      </w:r>
    </w:p>
    <w:p w14:paraId="2B98FC25" w14:textId="77777777" w:rsidR="00F95802" w:rsidRPr="00DD0F57" w:rsidRDefault="00F95802" w:rsidP="00F95802">
      <w:pPr>
        <w:widowControl w:val="0"/>
        <w:autoSpaceDE w:val="0"/>
        <w:autoSpaceDN w:val="0"/>
        <w:spacing w:after="0" w:line="276" w:lineRule="auto"/>
        <w:jc w:val="both"/>
        <w:rPr>
          <w:rFonts w:ascii="Verdana" w:hAnsi="Verdana" w:cs="Arial"/>
          <w:color w:val="000000" w:themeColor="text1"/>
          <w:lang w:val="es-ES"/>
        </w:rPr>
      </w:pPr>
    </w:p>
    <w:p w14:paraId="270DDA47" w14:textId="77777777" w:rsidR="00F95802" w:rsidRPr="00DD0F57" w:rsidRDefault="00F95802" w:rsidP="00F95802">
      <w:pPr>
        <w:jc w:val="both"/>
        <w:rPr>
          <w:rStyle w:val="normaltextrun"/>
          <w:rFonts w:ascii="Verdana" w:eastAsia="Calibri" w:hAnsi="Verdana" w:cs="Arial"/>
          <w:b/>
          <w:bCs/>
          <w:color w:val="000000" w:themeColor="text1"/>
          <w:lang w:val="es-ES" w:eastAsia="es-ES"/>
        </w:rPr>
      </w:pPr>
      <w:r w:rsidRPr="00DD0F57">
        <w:rPr>
          <w:rStyle w:val="normaltextrun"/>
          <w:rFonts w:ascii="Verdana" w:hAnsi="Verdana" w:cs="Arial"/>
          <w:color w:val="000000" w:themeColor="text1"/>
          <w:shd w:val="clear" w:color="auto" w:fill="FFFFFF"/>
          <w:lang w:val="es-ES"/>
        </w:rPr>
        <w:t>La Agencia Nacional de Contratación Pública – Colombia Compra Eficiente</w:t>
      </w:r>
      <w:r w:rsidRPr="00DD0F57">
        <w:rPr>
          <w:rStyle w:val="normaltextrun"/>
          <w:rFonts w:ascii="Verdana" w:hAnsi="Verdana" w:cs="Arial"/>
          <w:shd w:val="clear" w:color="auto" w:fill="FFFFFF"/>
          <w:lang w:val="es-ES"/>
        </w:rPr>
        <w:t xml:space="preserve"> no se ha referido previamente al alcance del numeral 25 del artículo 4 de la Ley 1967 de 2019. Otros conceptos se encuentran disponibles para consulta en el Sistema de relatoría de la Agencia</w:t>
      </w:r>
      <w:r w:rsidRPr="00DD0F57">
        <w:rPr>
          <w:rFonts w:ascii="Verdana" w:hAnsi="Verdana"/>
          <w:lang w:val="es-ES"/>
        </w:rPr>
        <w:t>, al cual puede accederse a través del siguiente enlace:</w:t>
      </w:r>
      <w:r w:rsidRPr="00DD0F57">
        <w:rPr>
          <w:rStyle w:val="normaltextrun"/>
          <w:rFonts w:ascii="Verdana" w:hAnsi="Verdana" w:cs="Arial"/>
          <w:shd w:val="clear" w:color="auto" w:fill="FFFFFF"/>
          <w:lang w:val="es-ES"/>
        </w:rPr>
        <w:t xml:space="preserve"> </w:t>
      </w:r>
      <w:hyperlink r:id="rId14" w:history="1">
        <w:r w:rsidRPr="00DD0F57">
          <w:rPr>
            <w:rStyle w:val="Hipervnculo"/>
            <w:rFonts w:ascii="Verdana" w:hAnsi="Verdana" w:cs="Arial"/>
            <w:shd w:val="clear" w:color="auto" w:fill="FFFFFF"/>
            <w:lang w:val="es-ES"/>
          </w:rPr>
          <w:t>https://relatoria.colombiacompra.gov.co/busqueda/conceptos</w:t>
        </w:r>
      </w:hyperlink>
      <w:r w:rsidRPr="00DD0F57">
        <w:rPr>
          <w:rStyle w:val="normaltextrun"/>
          <w:rFonts w:ascii="Verdana" w:hAnsi="Verdana" w:cs="Arial"/>
          <w:shd w:val="clear" w:color="auto" w:fill="FFFFFF"/>
          <w:lang w:val="es-ES"/>
        </w:rPr>
        <w:t>.</w:t>
      </w:r>
      <w:r w:rsidRPr="00DD0F57">
        <w:rPr>
          <w:rStyle w:val="normaltextrun"/>
          <w:rFonts w:ascii="Verdana" w:hAnsi="Verdana" w:cs="Arial"/>
          <w:color w:val="FF0000"/>
          <w:shd w:val="clear" w:color="auto" w:fill="FFFFFF"/>
          <w:lang w:val="es-ES"/>
        </w:rPr>
        <w:t xml:space="preserve"> </w:t>
      </w:r>
    </w:p>
    <w:p w14:paraId="597BB088" w14:textId="77777777" w:rsidR="00F95802" w:rsidRPr="00DD0F57" w:rsidRDefault="00F95802" w:rsidP="00F95802">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93029F8" w14:textId="77777777" w:rsidR="00F95802" w:rsidRPr="00DD0F57" w:rsidRDefault="00F95802" w:rsidP="00F95802">
      <w:pPr>
        <w:spacing w:after="0" w:line="276" w:lineRule="auto"/>
        <w:jc w:val="both"/>
        <w:rPr>
          <w:rFonts w:ascii="Verdana" w:hAnsi="Verdana"/>
          <w:lang w:val="es-ES"/>
        </w:rPr>
      </w:pPr>
      <w:r w:rsidRPr="00DD0F57">
        <w:rPr>
          <w:rFonts w:ascii="Verdana" w:hAnsi="Verdana"/>
          <w:lang w:val="es-ES"/>
        </w:rPr>
        <w:t xml:space="preserve">Por último, lo invitamos a seguirnos en las redes sociales en las cuales se difunde información institucional: </w:t>
      </w:r>
    </w:p>
    <w:p w14:paraId="47C703C2" w14:textId="77777777" w:rsidR="00F95802" w:rsidRPr="00DD0F57" w:rsidRDefault="00F95802" w:rsidP="00F95802">
      <w:pPr>
        <w:spacing w:after="0" w:line="276" w:lineRule="auto"/>
        <w:jc w:val="both"/>
        <w:rPr>
          <w:rFonts w:ascii="Verdana" w:hAnsi="Verdana"/>
          <w:lang w:val="es-ES"/>
        </w:rPr>
      </w:pPr>
    </w:p>
    <w:p w14:paraId="38E7FC46" w14:textId="77777777" w:rsidR="00F95802" w:rsidRPr="00DD0F57" w:rsidRDefault="00F95802" w:rsidP="00F95802">
      <w:pPr>
        <w:spacing w:after="0" w:line="276" w:lineRule="auto"/>
        <w:jc w:val="both"/>
        <w:rPr>
          <w:rFonts w:ascii="Verdana" w:hAnsi="Verdana"/>
          <w:lang w:val="es-ES"/>
        </w:rPr>
      </w:pPr>
      <w:r w:rsidRPr="00DD0F57">
        <w:rPr>
          <w:rFonts w:ascii="Verdana" w:hAnsi="Verdana"/>
          <w:lang w:val="es-ES"/>
        </w:rPr>
        <w:t xml:space="preserve">Twitter: </w:t>
      </w:r>
      <w:r w:rsidRPr="00DD0F57">
        <w:rPr>
          <w:rStyle w:val="Hipervnculo"/>
          <w:rFonts w:ascii="Verdana" w:hAnsi="Verdana" w:cs="Arial"/>
          <w:shd w:val="clear" w:color="auto" w:fill="FFFFFF"/>
          <w:lang w:val="es-ES"/>
        </w:rPr>
        <w:t>@colombiacompra</w:t>
      </w:r>
      <w:r w:rsidRPr="00DD0F57">
        <w:rPr>
          <w:rFonts w:ascii="Verdana" w:hAnsi="Verdana"/>
          <w:color w:val="4472C4" w:themeColor="accent1"/>
          <w:lang w:val="es-ES"/>
        </w:rPr>
        <w:t xml:space="preserve"> </w:t>
      </w:r>
    </w:p>
    <w:p w14:paraId="36C5D841" w14:textId="77777777" w:rsidR="00F95802" w:rsidRPr="00DD0F57" w:rsidRDefault="00F95802" w:rsidP="00F95802">
      <w:pPr>
        <w:spacing w:after="0" w:line="276" w:lineRule="auto"/>
        <w:jc w:val="both"/>
        <w:rPr>
          <w:rFonts w:ascii="Verdana" w:hAnsi="Verdana"/>
          <w:lang w:val="es-ES"/>
        </w:rPr>
      </w:pPr>
      <w:r w:rsidRPr="00DD0F57">
        <w:rPr>
          <w:rFonts w:ascii="Verdana" w:hAnsi="Verdana"/>
          <w:lang w:val="es-ES"/>
        </w:rPr>
        <w:t xml:space="preserve">Facebook: </w:t>
      </w:r>
      <w:proofErr w:type="spellStart"/>
      <w:r w:rsidRPr="00DD0F57">
        <w:rPr>
          <w:rStyle w:val="Hipervnculo"/>
          <w:rFonts w:ascii="Verdana" w:hAnsi="Verdana" w:cs="Arial"/>
          <w:shd w:val="clear" w:color="auto" w:fill="FFFFFF"/>
          <w:lang w:val="es-ES"/>
        </w:rPr>
        <w:t>ColombiaCompraEficiente</w:t>
      </w:r>
      <w:proofErr w:type="spellEnd"/>
    </w:p>
    <w:p w14:paraId="5F0612BF" w14:textId="77777777" w:rsidR="00F95802" w:rsidRPr="00DD0F57" w:rsidRDefault="00F95802" w:rsidP="00F95802">
      <w:pPr>
        <w:spacing w:after="0" w:line="276" w:lineRule="auto"/>
        <w:jc w:val="both"/>
        <w:rPr>
          <w:rFonts w:ascii="Verdana" w:hAnsi="Verdana"/>
          <w:lang w:val="es-ES"/>
        </w:rPr>
      </w:pPr>
      <w:r w:rsidRPr="00DD0F57">
        <w:rPr>
          <w:rFonts w:ascii="Verdana" w:hAnsi="Verdana"/>
          <w:lang w:val="es-ES"/>
        </w:rPr>
        <w:t xml:space="preserve">LinkedIn: </w:t>
      </w:r>
      <w:r w:rsidRPr="00DD0F57">
        <w:rPr>
          <w:rStyle w:val="Hipervnculo"/>
          <w:rFonts w:ascii="Verdana" w:hAnsi="Verdana" w:cs="Arial"/>
          <w:shd w:val="clear" w:color="auto" w:fill="FFFFFF"/>
          <w:lang w:val="es-ES"/>
        </w:rPr>
        <w:t xml:space="preserve">Agencia Nacional de Contratación Pública - Colombia Compra Eficiente </w:t>
      </w:r>
      <w:r w:rsidRPr="00DD0F57">
        <w:rPr>
          <w:rFonts w:ascii="Verdana" w:hAnsi="Verdana"/>
          <w:lang w:val="es-ES"/>
        </w:rPr>
        <w:t xml:space="preserve">Instagram: </w:t>
      </w:r>
      <w:r w:rsidRPr="00DD0F57">
        <w:rPr>
          <w:rStyle w:val="Hipervnculo"/>
          <w:rFonts w:ascii="Verdana" w:hAnsi="Verdana" w:cs="Arial"/>
          <w:shd w:val="clear" w:color="auto" w:fill="FFFFFF"/>
          <w:lang w:val="es-ES"/>
        </w:rPr>
        <w:t>@colombiacompraeficiente_cce</w:t>
      </w:r>
    </w:p>
    <w:p w14:paraId="070A2120" w14:textId="77777777" w:rsidR="00F95802" w:rsidRPr="00DD0F57" w:rsidRDefault="00F95802" w:rsidP="00F95802">
      <w:pPr>
        <w:widowControl w:val="0"/>
        <w:autoSpaceDE w:val="0"/>
        <w:autoSpaceDN w:val="0"/>
        <w:spacing w:after="0" w:line="276" w:lineRule="auto"/>
        <w:jc w:val="both"/>
        <w:rPr>
          <w:rFonts w:ascii="Verdana" w:hAnsi="Verdana" w:cs="Arial"/>
          <w:color w:val="000000" w:themeColor="text1"/>
          <w:lang w:val="es-ES"/>
        </w:rPr>
      </w:pPr>
    </w:p>
    <w:p w14:paraId="2AA58625" w14:textId="77777777" w:rsidR="00F95802" w:rsidRPr="00DD0F57" w:rsidRDefault="00F95802" w:rsidP="00F95802">
      <w:pPr>
        <w:widowControl w:val="0"/>
        <w:autoSpaceDE w:val="0"/>
        <w:autoSpaceDN w:val="0"/>
        <w:spacing w:after="0" w:line="276" w:lineRule="auto"/>
        <w:jc w:val="both"/>
        <w:rPr>
          <w:rFonts w:ascii="Verdana" w:hAnsi="Verdana" w:cs="Arial"/>
          <w:color w:val="000000" w:themeColor="text1"/>
          <w:lang w:val="es-ES"/>
        </w:rPr>
      </w:pPr>
      <w:r w:rsidRPr="00DD0F57">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B17F1CA" w14:textId="77777777" w:rsidR="00F95802" w:rsidRPr="00DD0F57" w:rsidRDefault="00F95802" w:rsidP="00F95802">
      <w:pPr>
        <w:widowControl w:val="0"/>
        <w:autoSpaceDE w:val="0"/>
        <w:autoSpaceDN w:val="0"/>
        <w:spacing w:after="0" w:line="276" w:lineRule="auto"/>
        <w:jc w:val="both"/>
        <w:rPr>
          <w:rFonts w:ascii="Verdana" w:hAnsi="Verdana" w:cs="Arial"/>
          <w:color w:val="000000" w:themeColor="text1"/>
          <w:lang w:val="es-ES"/>
        </w:rPr>
      </w:pPr>
    </w:p>
    <w:p w14:paraId="50A39CA3" w14:textId="625C90EE" w:rsidR="00F95802" w:rsidRPr="00DD0F57" w:rsidRDefault="00F95802" w:rsidP="00F95802">
      <w:pPr>
        <w:spacing w:after="0" w:line="276" w:lineRule="auto"/>
        <w:rPr>
          <w:rFonts w:ascii="Verdana" w:hAnsi="Verdana" w:cs="Arial"/>
          <w:color w:val="000000" w:themeColor="text1"/>
          <w:lang w:val="es-ES" w:eastAsia="es-CO"/>
        </w:rPr>
      </w:pPr>
      <w:r w:rsidRPr="00DD0F57">
        <w:rPr>
          <w:rFonts w:ascii="Verdana" w:eastAsia="Times New Roman" w:hAnsi="Verdana" w:cs="Arial"/>
          <w:color w:val="000000" w:themeColor="text1"/>
          <w:lang w:val="es-ES" w:eastAsia="es-CO"/>
        </w:rPr>
        <w:t>Atentamente,</w:t>
      </w:r>
      <w:r w:rsidRPr="00DD0F57">
        <w:rPr>
          <w:rFonts w:ascii="Verdana" w:hAnsi="Verdana" w:cs="Arial"/>
          <w:color w:val="000000" w:themeColor="text1"/>
          <w:lang w:val="es-ES" w:eastAsia="es-CO"/>
        </w:rPr>
        <w:t xml:space="preserve"> </w:t>
      </w:r>
    </w:p>
    <w:p w14:paraId="2FBCF348" w14:textId="77777777" w:rsidR="00F95802" w:rsidRDefault="00F95802" w:rsidP="00F95802">
      <w:pPr>
        <w:spacing w:line="276" w:lineRule="auto"/>
        <w:rPr>
          <w:lang w:val="es-ES"/>
        </w:rPr>
      </w:pPr>
    </w:p>
    <w:p w14:paraId="75EACBD4" w14:textId="3D032645" w:rsidR="00CC6484" w:rsidRPr="00DD0F57" w:rsidRDefault="00CC6484" w:rsidP="00F95802">
      <w:pPr>
        <w:spacing w:line="276" w:lineRule="auto"/>
        <w:rPr>
          <w:lang w:val="es-ES"/>
        </w:rPr>
      </w:pPr>
      <w:r w:rsidRPr="002C3AD6">
        <w:rPr>
          <w:rFonts w:ascii="Century Gothic" w:hAnsi="Century Gothic"/>
          <w:noProof/>
        </w:rPr>
        <w:lastRenderedPageBreak/>
        <w:drawing>
          <wp:anchor distT="0" distB="0" distL="114300" distR="114300" simplePos="0" relativeHeight="251660288" behindDoc="0" locked="0" layoutInCell="1" allowOverlap="1" wp14:anchorId="3CE00B6B" wp14:editId="4CEB327E">
            <wp:simplePos x="0" y="0"/>
            <wp:positionH relativeFrom="column">
              <wp:posOffset>1183342</wp:posOffset>
            </wp:positionH>
            <wp:positionV relativeFrom="paragraph">
              <wp:posOffset>486</wp:posOffset>
            </wp:positionV>
            <wp:extent cx="3772426" cy="1400370"/>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3772426" cy="140037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95802" w:rsidRPr="00DD0F57" w14:paraId="6C03E53B" w14:textId="77777777" w:rsidTr="005D3E90">
        <w:trPr>
          <w:trHeight w:val="315"/>
        </w:trPr>
        <w:tc>
          <w:tcPr>
            <w:tcW w:w="893" w:type="dxa"/>
            <w:vAlign w:val="center"/>
            <w:hideMark/>
          </w:tcPr>
          <w:p w14:paraId="7ECDD15E" w14:textId="77777777" w:rsidR="00F95802" w:rsidRPr="00DD0F57" w:rsidRDefault="00F95802" w:rsidP="005D3E90">
            <w:pPr>
              <w:contextualSpacing/>
              <w:rPr>
                <w:rFonts w:ascii="Verdana" w:hAnsi="Verdana" w:cs="Arial"/>
                <w:sz w:val="15"/>
                <w:szCs w:val="15"/>
                <w:lang w:val="es-ES" w:eastAsia="es-ES"/>
              </w:rPr>
            </w:pPr>
            <w:r w:rsidRPr="00DD0F57">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38E5F68A" w14:textId="77777777" w:rsidR="00F95802" w:rsidRPr="006E25E0" w:rsidRDefault="00F95802" w:rsidP="005D3E90">
            <w:pPr>
              <w:contextualSpacing/>
              <w:rPr>
                <w:rFonts w:ascii="Verdana" w:eastAsia="Arial" w:hAnsi="Verdana" w:cs="Arial"/>
                <w:color w:val="000000" w:themeColor="text1"/>
                <w:sz w:val="16"/>
                <w:szCs w:val="16"/>
                <w:lang w:val="es-ES"/>
              </w:rPr>
            </w:pPr>
            <w:r w:rsidRPr="006E25E0">
              <w:rPr>
                <w:rFonts w:ascii="Verdana" w:eastAsia="Arial" w:hAnsi="Verdana" w:cs="Arial"/>
                <w:color w:val="000000" w:themeColor="text1"/>
                <w:sz w:val="16"/>
                <w:szCs w:val="16"/>
                <w:lang w:val="es-ES"/>
              </w:rPr>
              <w:t>Anamaría Bonilla Prieto</w:t>
            </w:r>
          </w:p>
          <w:p w14:paraId="692FDB7B" w14:textId="77777777" w:rsidR="00F95802" w:rsidRPr="006E25E0" w:rsidRDefault="00F95802" w:rsidP="005D3E90">
            <w:pPr>
              <w:contextualSpacing/>
              <w:rPr>
                <w:rFonts w:ascii="Verdana" w:eastAsia="Arial" w:hAnsi="Verdana" w:cs="Arial"/>
                <w:sz w:val="16"/>
                <w:szCs w:val="16"/>
                <w:lang w:val="es-ES"/>
              </w:rPr>
            </w:pPr>
            <w:r w:rsidRPr="006E25E0">
              <w:rPr>
                <w:rStyle w:val="normaltextrun"/>
                <w:rFonts w:ascii="Verdana" w:eastAsia="Arial" w:hAnsi="Verdana" w:cs="Arial"/>
                <w:color w:val="000000" w:themeColor="text1"/>
                <w:sz w:val="16"/>
                <w:szCs w:val="16"/>
                <w:lang w:val="es-ES"/>
              </w:rPr>
              <w:t xml:space="preserve">Contratista de la Subdirección </w:t>
            </w:r>
            <w:r w:rsidRPr="006E25E0">
              <w:rPr>
                <w:rStyle w:val="normaltextrun"/>
                <w:rFonts w:ascii="Verdana" w:eastAsia="Arial" w:hAnsi="Verdana" w:cs="Arial"/>
                <w:sz w:val="16"/>
                <w:szCs w:val="16"/>
                <w:lang w:val="es-ES"/>
              </w:rPr>
              <w:t>de Gestión Contractual</w:t>
            </w:r>
          </w:p>
        </w:tc>
      </w:tr>
      <w:tr w:rsidR="00F95802" w:rsidRPr="00DD0F57" w14:paraId="64F17208" w14:textId="77777777" w:rsidTr="005D3E90">
        <w:trPr>
          <w:trHeight w:val="330"/>
        </w:trPr>
        <w:tc>
          <w:tcPr>
            <w:tcW w:w="893" w:type="dxa"/>
            <w:vAlign w:val="center"/>
            <w:hideMark/>
          </w:tcPr>
          <w:p w14:paraId="6C7E09AF" w14:textId="77777777" w:rsidR="00F95802" w:rsidRPr="00DD0F57" w:rsidRDefault="00F95802" w:rsidP="005D3E90">
            <w:pPr>
              <w:contextualSpacing/>
              <w:rPr>
                <w:rFonts w:ascii="Verdana" w:hAnsi="Verdana" w:cs="Arial"/>
                <w:sz w:val="15"/>
                <w:szCs w:val="15"/>
                <w:lang w:val="es-ES" w:eastAsia="es-ES"/>
              </w:rPr>
            </w:pPr>
            <w:r w:rsidRPr="00DD0F57">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A466527" w14:textId="77777777" w:rsidR="00F95802" w:rsidRPr="006E25E0" w:rsidRDefault="00F95802" w:rsidP="005D3E90">
            <w:pPr>
              <w:contextualSpacing/>
              <w:rPr>
                <w:rFonts w:ascii="Verdana" w:eastAsia="Arial" w:hAnsi="Verdana" w:cs="Arial"/>
                <w:color w:val="000000" w:themeColor="text1"/>
                <w:sz w:val="16"/>
                <w:szCs w:val="16"/>
                <w:lang w:val="es-ES"/>
              </w:rPr>
            </w:pPr>
            <w:r w:rsidRPr="006E25E0">
              <w:rPr>
                <w:rFonts w:ascii="Verdana" w:eastAsia="Arial" w:hAnsi="Verdana" w:cs="Arial"/>
                <w:color w:val="000000" w:themeColor="text1"/>
                <w:sz w:val="16"/>
                <w:szCs w:val="16"/>
                <w:lang w:val="es-ES"/>
              </w:rPr>
              <w:t>Alejandro Sarmiento Cantillo</w:t>
            </w:r>
          </w:p>
          <w:p w14:paraId="39A35645" w14:textId="77777777" w:rsidR="00F95802" w:rsidRPr="006E25E0" w:rsidRDefault="00F95802" w:rsidP="005D3E90">
            <w:pPr>
              <w:pStyle w:val="paragraph"/>
              <w:spacing w:before="0" w:beforeAutospacing="0" w:after="0" w:afterAutospacing="0"/>
              <w:contextualSpacing/>
              <w:textAlignment w:val="baseline"/>
              <w:rPr>
                <w:rFonts w:ascii="Verdana" w:hAnsi="Verdana" w:cs="Segoe UI"/>
                <w:sz w:val="16"/>
                <w:szCs w:val="16"/>
                <w:lang w:val="es-ES"/>
              </w:rPr>
            </w:pPr>
            <w:r w:rsidRPr="006E25E0">
              <w:rPr>
                <w:rFonts w:ascii="Verdana" w:eastAsia="Arial" w:hAnsi="Verdana" w:cs="Arial"/>
                <w:color w:val="000000" w:themeColor="text1"/>
                <w:sz w:val="16"/>
                <w:szCs w:val="16"/>
                <w:lang w:val="es-ES"/>
              </w:rPr>
              <w:t>Gestor T1 – 15 de la Subdirección de Gestión Contractual</w:t>
            </w:r>
            <w:r w:rsidRPr="006E25E0">
              <w:rPr>
                <w:rFonts w:ascii="Verdana" w:hAnsi="Verdana" w:cs="Segoe UI"/>
                <w:sz w:val="16"/>
                <w:szCs w:val="16"/>
                <w:lang w:val="es-ES"/>
              </w:rPr>
              <w:t> </w:t>
            </w:r>
          </w:p>
          <w:p w14:paraId="4A316B62" w14:textId="77777777" w:rsidR="00F95802" w:rsidRPr="006E25E0" w:rsidRDefault="00F95802" w:rsidP="005D3E90">
            <w:pPr>
              <w:pStyle w:val="paragraph"/>
              <w:spacing w:before="0" w:beforeAutospacing="0" w:after="0" w:afterAutospacing="0"/>
              <w:contextualSpacing/>
              <w:textAlignment w:val="baseline"/>
              <w:rPr>
                <w:rFonts w:ascii="Verdana" w:hAnsi="Verdana" w:cs="Segoe UI"/>
                <w:sz w:val="16"/>
                <w:szCs w:val="16"/>
                <w:lang w:val="es-ES"/>
              </w:rPr>
            </w:pPr>
          </w:p>
        </w:tc>
      </w:tr>
      <w:tr w:rsidR="00F95802" w:rsidRPr="00DD0F57" w14:paraId="597BB92F" w14:textId="77777777" w:rsidTr="005D3E90">
        <w:trPr>
          <w:trHeight w:val="300"/>
        </w:trPr>
        <w:tc>
          <w:tcPr>
            <w:tcW w:w="893" w:type="dxa"/>
            <w:vAlign w:val="center"/>
          </w:tcPr>
          <w:p w14:paraId="1DB0782C" w14:textId="77777777" w:rsidR="00F95802" w:rsidRPr="00DD0F57" w:rsidRDefault="00F95802" w:rsidP="005D3E90">
            <w:pPr>
              <w:contextualSpacing/>
              <w:rPr>
                <w:rFonts w:ascii="Verdana" w:hAnsi="Verdana" w:cs="Arial"/>
                <w:sz w:val="15"/>
                <w:szCs w:val="15"/>
                <w:lang w:val="es-ES" w:eastAsia="es-ES"/>
              </w:rPr>
            </w:pPr>
            <w:r w:rsidRPr="00DD0F57">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5FEEC9B" w14:textId="77777777" w:rsidR="00F95802" w:rsidRPr="006E25E0" w:rsidRDefault="00F95802" w:rsidP="005D3E90">
            <w:pPr>
              <w:contextualSpacing/>
              <w:rPr>
                <w:rFonts w:ascii="Verdana" w:eastAsia="Calibri" w:hAnsi="Verdana" w:cs="Arial"/>
                <w:sz w:val="16"/>
                <w:szCs w:val="16"/>
                <w:lang w:val="es-ES" w:eastAsia="es-ES"/>
              </w:rPr>
            </w:pPr>
            <w:r w:rsidRPr="006E25E0">
              <w:rPr>
                <w:rFonts w:ascii="Verdana" w:eastAsia="Calibri" w:hAnsi="Verdana" w:cs="Arial"/>
                <w:sz w:val="16"/>
                <w:szCs w:val="16"/>
                <w:lang w:val="es-ES" w:eastAsia="es-ES"/>
              </w:rPr>
              <w:t>Carolina Quintero Gacharná</w:t>
            </w:r>
          </w:p>
          <w:p w14:paraId="6FC7A7C2" w14:textId="77777777" w:rsidR="00F95802" w:rsidRPr="006E25E0" w:rsidRDefault="00F95802" w:rsidP="005D3E90">
            <w:pPr>
              <w:contextualSpacing/>
              <w:rPr>
                <w:rFonts w:ascii="Verdana" w:eastAsia="Calibri" w:hAnsi="Verdana" w:cs="Arial"/>
                <w:sz w:val="16"/>
                <w:szCs w:val="16"/>
                <w:lang w:val="es-ES" w:eastAsia="es-ES"/>
              </w:rPr>
            </w:pPr>
            <w:r w:rsidRPr="006E25E0">
              <w:rPr>
                <w:rFonts w:ascii="Verdana" w:eastAsia="Calibri" w:hAnsi="Verdana" w:cs="Arial"/>
                <w:sz w:val="16"/>
                <w:szCs w:val="16"/>
                <w:lang w:val="es-ES" w:eastAsia="es-ES"/>
              </w:rPr>
              <w:t>Subdirectora de Gestión Contractual ANCP – CCE</w:t>
            </w:r>
          </w:p>
        </w:tc>
      </w:tr>
      <w:bookmarkEnd w:id="0"/>
    </w:tbl>
    <w:p w14:paraId="7A7C15B7" w14:textId="2B7FD6B4" w:rsidR="00F95802" w:rsidRPr="00DD0F57" w:rsidRDefault="00F95802" w:rsidP="00F95802">
      <w:pPr>
        <w:rPr>
          <w:lang w:val="es-ES"/>
        </w:rPr>
      </w:pPr>
    </w:p>
    <w:p w14:paraId="0559FEED" w14:textId="77777777" w:rsidR="00F95802" w:rsidRPr="00DD0F57" w:rsidRDefault="00F95802" w:rsidP="00F95802">
      <w:pPr>
        <w:rPr>
          <w:lang w:val="es-ES"/>
        </w:rPr>
      </w:pPr>
    </w:p>
    <w:p w14:paraId="68957DDF" w14:textId="77777777" w:rsidR="00F95802" w:rsidRPr="00DD0F57" w:rsidRDefault="00F95802" w:rsidP="00F95802">
      <w:pPr>
        <w:rPr>
          <w:lang w:val="es-ES"/>
        </w:rPr>
      </w:pPr>
    </w:p>
    <w:p w14:paraId="4A0AC18E" w14:textId="77777777" w:rsidR="00F95802" w:rsidRPr="00DD0F57" w:rsidRDefault="00F95802" w:rsidP="00F95802">
      <w:pPr>
        <w:rPr>
          <w:lang w:val="es-ES"/>
        </w:rPr>
      </w:pPr>
    </w:p>
    <w:p w14:paraId="19B053DB" w14:textId="77777777" w:rsidR="00F95802" w:rsidRPr="00DD0F57" w:rsidRDefault="00F95802" w:rsidP="00F95802">
      <w:pPr>
        <w:rPr>
          <w:lang w:val="es-ES"/>
        </w:rPr>
      </w:pPr>
    </w:p>
    <w:p w14:paraId="0F293BF4" w14:textId="0D5845C5" w:rsidR="00127233" w:rsidRPr="00D255C6" w:rsidRDefault="00127233" w:rsidP="00D255C6"/>
    <w:sectPr w:rsidR="00127233" w:rsidRPr="00D255C6" w:rsidSect="007C0C0F">
      <w:headerReference w:type="default" r:id="rId16"/>
      <w:footerReference w:type="defaul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B5A9" w14:textId="77777777" w:rsidR="00FD4C93" w:rsidRDefault="00FD4C93" w:rsidP="004A1847">
      <w:pPr>
        <w:spacing w:after="0" w:line="240" w:lineRule="auto"/>
      </w:pPr>
      <w:r>
        <w:separator/>
      </w:r>
    </w:p>
  </w:endnote>
  <w:endnote w:type="continuationSeparator" w:id="0">
    <w:p w14:paraId="3DFCAE31" w14:textId="77777777" w:rsidR="00FD4C93" w:rsidRDefault="00FD4C93" w:rsidP="004A1847">
      <w:pPr>
        <w:spacing w:after="0" w:line="240" w:lineRule="auto"/>
      </w:pPr>
      <w:r>
        <w:continuationSeparator/>
      </w:r>
    </w:p>
  </w:endnote>
  <w:endnote w:type="continuationNotice" w:id="1">
    <w:p w14:paraId="789C2744" w14:textId="77777777" w:rsidR="00FD4C93" w:rsidRDefault="00FD4C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888B0" w14:textId="77777777" w:rsidR="00FD4C93" w:rsidRDefault="00FD4C93" w:rsidP="004A1847">
      <w:pPr>
        <w:spacing w:after="0" w:line="240" w:lineRule="auto"/>
      </w:pPr>
      <w:r>
        <w:separator/>
      </w:r>
    </w:p>
  </w:footnote>
  <w:footnote w:type="continuationSeparator" w:id="0">
    <w:p w14:paraId="50C46877" w14:textId="77777777" w:rsidR="00FD4C93" w:rsidRDefault="00FD4C93" w:rsidP="004A1847">
      <w:pPr>
        <w:spacing w:after="0" w:line="240" w:lineRule="auto"/>
      </w:pPr>
      <w:r>
        <w:continuationSeparator/>
      </w:r>
    </w:p>
  </w:footnote>
  <w:footnote w:type="continuationNotice" w:id="1">
    <w:p w14:paraId="076EB0BB" w14:textId="77777777" w:rsidR="00FD4C93" w:rsidRDefault="00FD4C93">
      <w:pPr>
        <w:spacing w:after="0" w:line="240" w:lineRule="auto"/>
      </w:pPr>
    </w:p>
  </w:footnote>
  <w:footnote w:id="2">
    <w:p w14:paraId="10B28B29" w14:textId="77777777" w:rsidR="00F95802" w:rsidRPr="004C5B3E" w:rsidRDefault="00F95802" w:rsidP="00F95802">
      <w:pPr>
        <w:pStyle w:val="Textonotapie"/>
        <w:ind w:firstLine="708"/>
        <w:jc w:val="both"/>
        <w:rPr>
          <w:rFonts w:ascii="Verdana" w:hAnsi="Verdana"/>
          <w:i/>
          <w:sz w:val="16"/>
          <w:szCs w:val="16"/>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ES"/>
        </w:rPr>
        <w:t xml:space="preserve">Constitución Política de 1991. Artículo </w:t>
      </w:r>
      <w:r w:rsidRPr="004C5B3E">
        <w:rPr>
          <w:rFonts w:ascii="Verdana" w:hAnsi="Verdana"/>
          <w:sz w:val="16"/>
          <w:szCs w:val="16"/>
        </w:rPr>
        <w:t xml:space="preserve">52: </w:t>
      </w:r>
      <w:r w:rsidRPr="004C5B3E">
        <w:rPr>
          <w:rFonts w:ascii="Verdana" w:hAnsi="Verdana"/>
          <w:b/>
          <w:sz w:val="16"/>
          <w:szCs w:val="16"/>
        </w:rPr>
        <w:t>“</w:t>
      </w:r>
      <w:r w:rsidRPr="004C5B3E">
        <w:rPr>
          <w:rFonts w:ascii="Verdana" w:hAnsi="Verdana"/>
          <w:i/>
          <w:sz w:val="16"/>
          <w:szCs w:val="16"/>
        </w:rPr>
        <w:t>El ejercicio del deporte, sus manifestaciones recreativas, competitivas y autoctonas tienen como función la formación integral de las personas, preservar y desarrollar una mejor salud en el ser humano.</w:t>
      </w:r>
    </w:p>
    <w:p w14:paraId="2C915D11" w14:textId="77777777" w:rsidR="00F95802" w:rsidRPr="00640470" w:rsidRDefault="00F95802" w:rsidP="00F95802">
      <w:pPr>
        <w:pStyle w:val="Textonotapie"/>
        <w:ind w:firstLine="708"/>
        <w:jc w:val="both"/>
        <w:rPr>
          <w:rFonts w:ascii="Verdana" w:hAnsi="Verdana"/>
          <w:i/>
          <w:sz w:val="16"/>
          <w:szCs w:val="16"/>
        </w:rPr>
      </w:pPr>
      <w:r w:rsidRPr="00640470">
        <w:rPr>
          <w:rFonts w:ascii="Verdana" w:hAnsi="Verdana"/>
          <w:i/>
          <w:sz w:val="16"/>
          <w:szCs w:val="16"/>
        </w:rPr>
        <w:t xml:space="preserve">El deporte y la </w:t>
      </w:r>
      <w:proofErr w:type="gramStart"/>
      <w:r w:rsidRPr="00640470">
        <w:rPr>
          <w:rFonts w:ascii="Verdana" w:hAnsi="Verdana"/>
          <w:i/>
          <w:sz w:val="16"/>
          <w:szCs w:val="16"/>
        </w:rPr>
        <w:t>recreación,</w:t>
      </w:r>
      <w:proofErr w:type="gramEnd"/>
      <w:r w:rsidRPr="00640470">
        <w:rPr>
          <w:rFonts w:ascii="Verdana" w:hAnsi="Verdana"/>
          <w:i/>
          <w:sz w:val="16"/>
          <w:szCs w:val="16"/>
        </w:rPr>
        <w:t xml:space="preserve"> forman parte de la educación y constituyen gasto público social.</w:t>
      </w:r>
    </w:p>
    <w:p w14:paraId="5FAC1F5A" w14:textId="77777777" w:rsidR="00F95802" w:rsidRPr="00640470" w:rsidRDefault="00F95802" w:rsidP="00F95802">
      <w:pPr>
        <w:pStyle w:val="Textonotapie"/>
        <w:ind w:firstLine="708"/>
        <w:jc w:val="both"/>
        <w:rPr>
          <w:rFonts w:ascii="Verdana" w:hAnsi="Verdana"/>
          <w:i/>
          <w:sz w:val="16"/>
          <w:szCs w:val="16"/>
        </w:rPr>
      </w:pPr>
      <w:r w:rsidRPr="00640470">
        <w:rPr>
          <w:rFonts w:ascii="Verdana" w:hAnsi="Verdana"/>
          <w:i/>
          <w:sz w:val="16"/>
          <w:szCs w:val="16"/>
        </w:rPr>
        <w:t>Se reconoce el derecho de todas las personas a la recreación, a la práctica del deporte y al aprovechamiento del tiempo libre.</w:t>
      </w:r>
    </w:p>
    <w:p w14:paraId="693BB927" w14:textId="77777777" w:rsidR="00F95802" w:rsidRPr="004C5B3E" w:rsidRDefault="00F95802" w:rsidP="00F95802">
      <w:pPr>
        <w:pStyle w:val="Textonotapie"/>
        <w:ind w:firstLine="708"/>
        <w:jc w:val="both"/>
        <w:rPr>
          <w:rFonts w:ascii="Verdana" w:hAnsi="Verdana"/>
          <w:sz w:val="16"/>
          <w:szCs w:val="16"/>
        </w:rPr>
      </w:pPr>
      <w:r w:rsidRPr="00640470">
        <w:rPr>
          <w:rFonts w:ascii="Verdana" w:hAnsi="Verdana"/>
          <w:i/>
          <w:sz w:val="16"/>
          <w:szCs w:val="16"/>
        </w:rPr>
        <w:t xml:space="preserve">El Estado fomentará estas actividades e </w:t>
      </w:r>
      <w:proofErr w:type="gramStart"/>
      <w:r w:rsidRPr="00640470">
        <w:rPr>
          <w:rFonts w:ascii="Verdana" w:hAnsi="Verdana"/>
          <w:i/>
          <w:sz w:val="16"/>
          <w:szCs w:val="16"/>
        </w:rPr>
        <w:t>inspeccionara</w:t>
      </w:r>
      <w:proofErr w:type="gramEnd"/>
      <w:r w:rsidRPr="00640470">
        <w:rPr>
          <w:rFonts w:ascii="Verdana" w:hAnsi="Verdana"/>
          <w:i/>
          <w:sz w:val="16"/>
          <w:szCs w:val="16"/>
        </w:rPr>
        <w:t>, vigilará y controlará las organizaciones deportivas y recreativas cuya estructura y propiedad deberán ser democráticas</w:t>
      </w:r>
      <w:r w:rsidRPr="004C5B3E">
        <w:rPr>
          <w:rFonts w:ascii="Verdana" w:hAnsi="Verdana"/>
          <w:sz w:val="16"/>
          <w:szCs w:val="16"/>
        </w:rPr>
        <w:t>”.</w:t>
      </w:r>
    </w:p>
  </w:footnote>
  <w:footnote w:id="3">
    <w:p w14:paraId="333AF7DE" w14:textId="77777777" w:rsidR="00F95802" w:rsidRPr="004C5B3E" w:rsidRDefault="00F95802" w:rsidP="00F95802">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ES"/>
        </w:rPr>
        <w:t xml:space="preserve">Exposición de motivos de la Ley 181 de 1995, disponible para consulta en: </w:t>
      </w:r>
      <w:hyperlink r:id="rId1" w:anchor="0" w:history="1">
        <w:r w:rsidRPr="004C5B3E">
          <w:rPr>
            <w:rStyle w:val="Hipervnculo"/>
            <w:rFonts w:ascii="Verdana" w:hAnsi="Verdana"/>
            <w:sz w:val="16"/>
            <w:szCs w:val="16"/>
            <w:lang w:val="es-ES"/>
          </w:rPr>
          <w:t>https://sisjur.bogotajuridica.gov.co/sisjur/normas/Norma1.jsp?i=10592#0</w:t>
        </w:r>
      </w:hyperlink>
      <w:r w:rsidRPr="004C5B3E">
        <w:rPr>
          <w:rFonts w:ascii="Verdana" w:hAnsi="Verdana"/>
          <w:sz w:val="16"/>
          <w:szCs w:val="16"/>
          <w:lang w:val="es-ES"/>
        </w:rPr>
        <w:t xml:space="preserve"> </w:t>
      </w:r>
    </w:p>
  </w:footnote>
  <w:footnote w:id="4">
    <w:p w14:paraId="7843CC4C" w14:textId="77777777" w:rsidR="00F95802" w:rsidRPr="004C5B3E" w:rsidRDefault="00F95802" w:rsidP="00F95802">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C</w:t>
      </w:r>
      <w:r w:rsidRPr="004C5B3E">
        <w:rPr>
          <w:rFonts w:ascii="Verdana" w:hAnsi="Verdana"/>
          <w:sz w:val="16"/>
          <w:szCs w:val="16"/>
          <w:lang w:val="es-CO"/>
        </w:rPr>
        <w:t>ongreso de la República de Colombia. Gaceta del Congreso No. 596 del 10 de agosto de 2018. Proyecto de Ley número 78 de 2018 Senado, "por la cual se transforma el Departamento Administrativo del Deporte, la Recreación, la Actividad Física y el Aprovechamiento del Tiempo Libre (Coldeportes) en el Ministerio del Deporte", Exposición de Motivos, pp. 8-19.</w:t>
      </w:r>
    </w:p>
  </w:footnote>
  <w:footnote w:id="5">
    <w:p w14:paraId="5C0178D8" w14:textId="77777777" w:rsidR="00F95802" w:rsidRPr="004C5B3E" w:rsidRDefault="00F95802" w:rsidP="00F95802">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CO"/>
        </w:rPr>
        <w:t xml:space="preserve">Corte Constitucional, Sentencia C-439 del 17 de agosto de 2016, M.P. Alberto Rojas Ríos, disponible EN: https://www.corteconstitucional.gov.co/RELATORIA/2016/C-439-16.htm. </w:t>
      </w:r>
      <w:r w:rsidRPr="004C5B3E">
        <w:rPr>
          <w:rFonts w:ascii="Verdana" w:hAnsi="Verdana"/>
          <w:sz w:val="16"/>
          <w:szCs w:val="16"/>
        </w:rPr>
        <w:t>Al respecto señaló: “</w:t>
      </w:r>
      <w:r w:rsidRPr="004C5B3E">
        <w:rPr>
          <w:rFonts w:ascii="Verdana" w:hAnsi="Verdana"/>
          <w:sz w:val="16"/>
          <w:szCs w:val="16"/>
          <w:lang w:val="es-CO"/>
        </w:rPr>
        <w:t>6.2. Recientemente, en la Sentencia C-451 de 2015, esta Corporación hizo expresa referencia al aludido tema. En dicho fallo, basada en las previsiones que sobre la materia establecen las Leyes 57 y 153 de 1887 y lo dicho en la jurisprudencia, la Corte puso de presente que existen al menos tres criterios hermenéuticos para solucionar los conflictos entre leyes: </w:t>
      </w:r>
      <w:r w:rsidRPr="004C5B3E">
        <w:rPr>
          <w:rFonts w:ascii="Verdana" w:hAnsi="Verdana"/>
          <w:b/>
          <w:bCs/>
          <w:i/>
          <w:iCs/>
          <w:sz w:val="16"/>
          <w:szCs w:val="16"/>
          <w:lang w:val="es-CO"/>
        </w:rPr>
        <w:t>(i)</w:t>
      </w:r>
      <w:r w:rsidRPr="004C5B3E">
        <w:rPr>
          <w:rFonts w:ascii="Verdana" w:hAnsi="Verdana"/>
          <w:sz w:val="16"/>
          <w:szCs w:val="16"/>
          <w:lang w:val="es-CO"/>
        </w:rPr>
        <w:t> el </w:t>
      </w:r>
      <w:r w:rsidRPr="004C5B3E">
        <w:rPr>
          <w:rFonts w:ascii="Verdana" w:hAnsi="Verdana"/>
          <w:sz w:val="16"/>
          <w:szCs w:val="16"/>
          <w:u w:val="single"/>
          <w:lang w:val="es-CO"/>
        </w:rPr>
        <w:t>criterio jerárquico</w:t>
      </w:r>
      <w:r w:rsidRPr="004C5B3E">
        <w:rPr>
          <w:rFonts w:ascii="Verdana" w:hAnsi="Verdana"/>
          <w:sz w:val="16"/>
          <w:szCs w:val="16"/>
          <w:lang w:val="es-CO"/>
        </w:rPr>
        <w:t>, según el cual la norma superior prima o prevalece sobre la inferior (</w:t>
      </w:r>
      <w:r w:rsidRPr="004C5B3E">
        <w:rPr>
          <w:rFonts w:ascii="Verdana" w:hAnsi="Verdana"/>
          <w:i/>
          <w:iCs/>
          <w:sz w:val="16"/>
          <w:szCs w:val="16"/>
          <w:lang w:val="es-CO"/>
        </w:rPr>
        <w:t>lex superior derogat inferiori</w:t>
      </w:r>
      <w:r w:rsidRPr="004C5B3E">
        <w:rPr>
          <w:rFonts w:ascii="Verdana" w:hAnsi="Verdana"/>
          <w:sz w:val="16"/>
          <w:szCs w:val="16"/>
          <w:lang w:val="es-CO"/>
        </w:rPr>
        <w:t>); </w:t>
      </w:r>
      <w:r w:rsidRPr="004C5B3E">
        <w:rPr>
          <w:rFonts w:ascii="Verdana" w:hAnsi="Verdana"/>
          <w:b/>
          <w:bCs/>
          <w:i/>
          <w:iCs/>
          <w:sz w:val="16"/>
          <w:szCs w:val="16"/>
          <w:lang w:val="es-CO"/>
        </w:rPr>
        <w:t>(ii)</w:t>
      </w:r>
      <w:r w:rsidRPr="004C5B3E">
        <w:rPr>
          <w:rFonts w:ascii="Verdana" w:hAnsi="Verdana"/>
          <w:sz w:val="16"/>
          <w:szCs w:val="16"/>
          <w:lang w:val="es-CO"/>
        </w:rPr>
        <w:t> el </w:t>
      </w:r>
      <w:r w:rsidRPr="004C5B3E">
        <w:rPr>
          <w:rFonts w:ascii="Verdana" w:hAnsi="Verdana"/>
          <w:sz w:val="16"/>
          <w:szCs w:val="16"/>
          <w:u w:val="single"/>
          <w:lang w:val="es-CO"/>
        </w:rPr>
        <w:t>criterio cronológico</w:t>
      </w:r>
      <w:r w:rsidRPr="004C5B3E">
        <w:rPr>
          <w:rFonts w:ascii="Verdana" w:hAnsi="Verdana"/>
          <w:sz w:val="16"/>
          <w:szCs w:val="16"/>
          <w:lang w:val="es-CO"/>
        </w:rPr>
        <w:t>, que reconoce la prevalencia de la norma posterior sobre la anterior, esto es, que en caso de incompatibilidad entre dos normas de igual jerarquía expedidas en momentos distintos debe preferirse la posterior en el tiempo (</w:t>
      </w:r>
      <w:r w:rsidRPr="004C5B3E">
        <w:rPr>
          <w:rFonts w:ascii="Verdana" w:hAnsi="Verdana"/>
          <w:i/>
          <w:iCs/>
          <w:sz w:val="16"/>
          <w:szCs w:val="16"/>
          <w:lang w:val="es-CO"/>
        </w:rPr>
        <w:t>lex posterior derogat priori</w:t>
      </w:r>
      <w:r w:rsidRPr="004C5B3E">
        <w:rPr>
          <w:rFonts w:ascii="Verdana" w:hAnsi="Verdana"/>
          <w:sz w:val="16"/>
          <w:szCs w:val="16"/>
          <w:lang w:val="es-CO"/>
        </w:rPr>
        <w:t>); y </w:t>
      </w:r>
      <w:r w:rsidRPr="004C5B3E">
        <w:rPr>
          <w:rFonts w:ascii="Verdana" w:hAnsi="Verdana"/>
          <w:b/>
          <w:bCs/>
          <w:i/>
          <w:iCs/>
          <w:sz w:val="16"/>
          <w:szCs w:val="16"/>
          <w:lang w:val="es-CO"/>
        </w:rPr>
        <w:t>(iii)</w:t>
      </w:r>
      <w:r w:rsidRPr="004C5B3E">
        <w:rPr>
          <w:rFonts w:ascii="Verdana" w:hAnsi="Verdana"/>
          <w:sz w:val="16"/>
          <w:szCs w:val="16"/>
          <w:lang w:val="es-CO"/>
        </w:rPr>
        <w:t> el </w:t>
      </w:r>
      <w:r w:rsidRPr="004C5B3E">
        <w:rPr>
          <w:rFonts w:ascii="Verdana" w:hAnsi="Verdana"/>
          <w:sz w:val="16"/>
          <w:szCs w:val="16"/>
          <w:u w:val="single"/>
          <w:lang w:val="es-CO"/>
        </w:rPr>
        <w:t>criterio de especialidad</w:t>
      </w:r>
      <w:r w:rsidRPr="004C5B3E">
        <w:rPr>
          <w:rFonts w:ascii="Verdana" w:hAnsi="Verdana"/>
          <w:sz w:val="16"/>
          <w:szCs w:val="16"/>
          <w:lang w:val="es-CO"/>
        </w:rPr>
        <w:t>, según el cual la norma especial prima sobre la general (</w:t>
      </w:r>
      <w:r w:rsidRPr="004C5B3E">
        <w:rPr>
          <w:rFonts w:ascii="Verdana" w:hAnsi="Verdana"/>
          <w:i/>
          <w:iCs/>
          <w:sz w:val="16"/>
          <w:szCs w:val="16"/>
          <w:lang w:val="es-CO"/>
        </w:rPr>
        <w:t>lex specialis derogat generali</w:t>
      </w:r>
      <w:r w:rsidRPr="004C5B3E">
        <w:rPr>
          <w:rFonts w:ascii="Verdana" w:hAnsi="Verdana"/>
          <w:sz w:val="16"/>
          <w:szCs w:val="16"/>
          <w:lang w:val="es-CO"/>
        </w:rPr>
        <w:t>). Con respecto a este último criterio, se sostiene que, en tales casos, no se está propiamente ante una antinomia, en razón a que se entiende que la norma general se aplica a todos los campos con excepción de aquél que es regulado por la norma especial, con lo cual las mismas difieren en su ámbito de aplicación”.  </w:t>
      </w:r>
    </w:p>
  </w:footnote>
  <w:footnote w:id="6">
    <w:p w14:paraId="3F85CC69" w14:textId="77777777" w:rsidR="00F95802" w:rsidRPr="004C5B3E" w:rsidRDefault="00F95802" w:rsidP="00F95802">
      <w:pPr>
        <w:pStyle w:val="Textonotapie"/>
        <w:ind w:firstLine="708"/>
        <w:jc w:val="both"/>
        <w:rPr>
          <w:rFonts w:ascii="Verdana" w:hAnsi="Verdana"/>
          <w:sz w:val="16"/>
          <w:szCs w:val="16"/>
          <w:lang w:val="es-ES"/>
        </w:rPr>
      </w:pPr>
      <w:r w:rsidRPr="004C5B3E">
        <w:rPr>
          <w:rStyle w:val="Refdenotaalpie"/>
          <w:rFonts w:ascii="Verdana" w:hAnsi="Verdana"/>
          <w:sz w:val="16"/>
          <w:szCs w:val="16"/>
        </w:rPr>
        <w:footnoteRef/>
      </w:r>
      <w:r w:rsidRPr="004C5B3E">
        <w:rPr>
          <w:rFonts w:ascii="Verdana" w:hAnsi="Verdana"/>
          <w:sz w:val="16"/>
          <w:szCs w:val="16"/>
        </w:rPr>
        <w:t xml:space="preserve"> </w:t>
      </w:r>
      <w:r w:rsidRPr="004C5B3E">
        <w:rPr>
          <w:rFonts w:ascii="Verdana" w:hAnsi="Verdana"/>
          <w:sz w:val="16"/>
          <w:szCs w:val="16"/>
          <w:lang w:val="es-CO"/>
        </w:rPr>
        <w:t xml:space="preserve">Consejo de Estado, Sala de Consulta y Servicio Civil, Concepto del 8 de marzo de 2017, radicación número 11001-03-06-000-2016-00102-00(2314), C.P. Édgar González López. Disponible en: </w:t>
      </w:r>
      <w:hyperlink r:id="rId2" w:history="1">
        <w:r w:rsidRPr="004C5B3E">
          <w:rPr>
            <w:rStyle w:val="Hipervnculo"/>
            <w:rFonts w:ascii="Verdana" w:hAnsi="Verdana"/>
            <w:sz w:val="16"/>
            <w:szCs w:val="16"/>
            <w:lang w:val="es-CO"/>
          </w:rPr>
          <w:t>https://www.funcionpublica.gov.co/eva/gestornormativo/norma.php?i=84117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8A5C48"/>
    <w:multiLevelType w:val="multilevel"/>
    <w:tmpl w:val="240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3AB5E9B"/>
    <w:multiLevelType w:val="hybridMultilevel"/>
    <w:tmpl w:val="62E2E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681820"/>
    <w:multiLevelType w:val="hybridMultilevel"/>
    <w:tmpl w:val="978A0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7"/>
  </w:num>
  <w:num w:numId="8" w16cid:durableId="152644682">
    <w:abstractNumId w:val="14"/>
  </w:num>
  <w:num w:numId="9" w16cid:durableId="1317221377">
    <w:abstractNumId w:val="10"/>
  </w:num>
  <w:num w:numId="10" w16cid:durableId="1471245386">
    <w:abstractNumId w:val="13"/>
  </w:num>
  <w:num w:numId="11" w16cid:durableId="289172385">
    <w:abstractNumId w:val="11"/>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341274352">
    <w:abstractNumId w:val="0"/>
  </w:num>
  <w:num w:numId="17" w16cid:durableId="571424827">
    <w:abstractNumId w:val="3"/>
  </w:num>
  <w:num w:numId="18" w16cid:durableId="262541512">
    <w:abstractNumId w:val="17"/>
  </w:num>
  <w:num w:numId="19" w16cid:durableId="2136099305">
    <w:abstractNumId w:val="5"/>
  </w:num>
  <w:num w:numId="20" w16cid:durableId="382564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3C25"/>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D234D"/>
    <w:rsid w:val="002E2BF8"/>
    <w:rsid w:val="002E4FD9"/>
    <w:rsid w:val="0030657A"/>
    <w:rsid w:val="00322A85"/>
    <w:rsid w:val="00324168"/>
    <w:rsid w:val="00330834"/>
    <w:rsid w:val="003448F4"/>
    <w:rsid w:val="00374F5E"/>
    <w:rsid w:val="00377E3E"/>
    <w:rsid w:val="003A779E"/>
    <w:rsid w:val="003B4DB2"/>
    <w:rsid w:val="003D0F4D"/>
    <w:rsid w:val="003D5B0D"/>
    <w:rsid w:val="003E0499"/>
    <w:rsid w:val="003E4F80"/>
    <w:rsid w:val="003E6439"/>
    <w:rsid w:val="003F3941"/>
    <w:rsid w:val="003F67DC"/>
    <w:rsid w:val="00406575"/>
    <w:rsid w:val="00414C74"/>
    <w:rsid w:val="0042722E"/>
    <w:rsid w:val="0044528D"/>
    <w:rsid w:val="00466E39"/>
    <w:rsid w:val="004A1847"/>
    <w:rsid w:val="004A305D"/>
    <w:rsid w:val="004F21C4"/>
    <w:rsid w:val="004F685F"/>
    <w:rsid w:val="00532CCF"/>
    <w:rsid w:val="00544869"/>
    <w:rsid w:val="005566E8"/>
    <w:rsid w:val="00574867"/>
    <w:rsid w:val="00591460"/>
    <w:rsid w:val="005A65E0"/>
    <w:rsid w:val="005C3777"/>
    <w:rsid w:val="005C5CDC"/>
    <w:rsid w:val="005D476C"/>
    <w:rsid w:val="006200BF"/>
    <w:rsid w:val="006219F8"/>
    <w:rsid w:val="006302F7"/>
    <w:rsid w:val="00637CDF"/>
    <w:rsid w:val="00646B9F"/>
    <w:rsid w:val="00665D70"/>
    <w:rsid w:val="006900D9"/>
    <w:rsid w:val="006B0E79"/>
    <w:rsid w:val="006E0E53"/>
    <w:rsid w:val="006E25E0"/>
    <w:rsid w:val="006F47DC"/>
    <w:rsid w:val="00706C16"/>
    <w:rsid w:val="007340C3"/>
    <w:rsid w:val="0075235A"/>
    <w:rsid w:val="00756841"/>
    <w:rsid w:val="007649AB"/>
    <w:rsid w:val="00771D0C"/>
    <w:rsid w:val="00776214"/>
    <w:rsid w:val="007833AC"/>
    <w:rsid w:val="007B268C"/>
    <w:rsid w:val="007B7171"/>
    <w:rsid w:val="007C0C0F"/>
    <w:rsid w:val="007C3267"/>
    <w:rsid w:val="007C3DC2"/>
    <w:rsid w:val="007E5497"/>
    <w:rsid w:val="00806F5F"/>
    <w:rsid w:val="00820278"/>
    <w:rsid w:val="008258C9"/>
    <w:rsid w:val="00837FFB"/>
    <w:rsid w:val="00844AE9"/>
    <w:rsid w:val="00867F95"/>
    <w:rsid w:val="008843B6"/>
    <w:rsid w:val="00891928"/>
    <w:rsid w:val="008A446D"/>
    <w:rsid w:val="008B18B3"/>
    <w:rsid w:val="008B25F1"/>
    <w:rsid w:val="008D180B"/>
    <w:rsid w:val="008F0EA7"/>
    <w:rsid w:val="00923EEF"/>
    <w:rsid w:val="009419F9"/>
    <w:rsid w:val="00943BC9"/>
    <w:rsid w:val="0095685E"/>
    <w:rsid w:val="00961B09"/>
    <w:rsid w:val="00965334"/>
    <w:rsid w:val="0097093E"/>
    <w:rsid w:val="00976C4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81809"/>
    <w:rsid w:val="00AB0ADB"/>
    <w:rsid w:val="00AD307A"/>
    <w:rsid w:val="00B00C0E"/>
    <w:rsid w:val="00B01B1A"/>
    <w:rsid w:val="00B0381D"/>
    <w:rsid w:val="00B44A47"/>
    <w:rsid w:val="00B72CD3"/>
    <w:rsid w:val="00B72FFF"/>
    <w:rsid w:val="00BC3D36"/>
    <w:rsid w:val="00BD54A6"/>
    <w:rsid w:val="00BD7F72"/>
    <w:rsid w:val="00BF7425"/>
    <w:rsid w:val="00C04FB3"/>
    <w:rsid w:val="00C11D8B"/>
    <w:rsid w:val="00C15139"/>
    <w:rsid w:val="00C25794"/>
    <w:rsid w:val="00C330EB"/>
    <w:rsid w:val="00C50D69"/>
    <w:rsid w:val="00C5365C"/>
    <w:rsid w:val="00C754BE"/>
    <w:rsid w:val="00C76B1C"/>
    <w:rsid w:val="00C82F52"/>
    <w:rsid w:val="00C925AC"/>
    <w:rsid w:val="00CB6357"/>
    <w:rsid w:val="00CC1B26"/>
    <w:rsid w:val="00CC6484"/>
    <w:rsid w:val="00D255C6"/>
    <w:rsid w:val="00D361FD"/>
    <w:rsid w:val="00D423A2"/>
    <w:rsid w:val="00D44E26"/>
    <w:rsid w:val="00D520D8"/>
    <w:rsid w:val="00D63AC2"/>
    <w:rsid w:val="00D7383B"/>
    <w:rsid w:val="00D7788A"/>
    <w:rsid w:val="00DA231B"/>
    <w:rsid w:val="00DC39FC"/>
    <w:rsid w:val="00DD4A78"/>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F520E"/>
    <w:rsid w:val="00F170F1"/>
    <w:rsid w:val="00F23FEA"/>
    <w:rsid w:val="00F31EDC"/>
    <w:rsid w:val="00F462B3"/>
    <w:rsid w:val="00F5664F"/>
    <w:rsid w:val="00F57DE1"/>
    <w:rsid w:val="00F666C4"/>
    <w:rsid w:val="00F76AFC"/>
    <w:rsid w:val="00F95802"/>
    <w:rsid w:val="00FA47C0"/>
    <w:rsid w:val="00FB5DD1"/>
    <w:rsid w:val="00FC2B5D"/>
    <w:rsid w:val="00FD4C93"/>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7C50E36"/>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9580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95802"/>
    <w:rPr>
      <w:rFonts w:ascii="Geomanist Light" w:hAnsi="Geomanist Light"/>
      <w:lang w:val="es-ES"/>
    </w:rPr>
  </w:style>
  <w:style w:type="character" w:customStyle="1" w:styleId="s15">
    <w:name w:val="s15"/>
    <w:basedOn w:val="Fuentedeprrafopredeter"/>
    <w:rsid w:val="00F95802"/>
  </w:style>
  <w:style w:type="paragraph" w:styleId="Textoindependiente">
    <w:name w:val="Body Text"/>
    <w:basedOn w:val="Normal"/>
    <w:link w:val="TextoindependienteCar"/>
    <w:uiPriority w:val="99"/>
    <w:semiHidden/>
    <w:unhideWhenUsed/>
    <w:rsid w:val="00F95802"/>
    <w:pPr>
      <w:spacing w:after="120"/>
    </w:pPr>
  </w:style>
  <w:style w:type="character" w:customStyle="1" w:styleId="TextoindependienteCar">
    <w:name w:val="Texto independiente Car"/>
    <w:basedOn w:val="Fuentedeprrafopredeter"/>
    <w:link w:val="Textoindependiente"/>
    <w:uiPriority w:val="99"/>
    <w:semiHidden/>
    <w:rsid w:val="00F95802"/>
  </w:style>
  <w:style w:type="character" w:styleId="nfasis">
    <w:name w:val="Emphasis"/>
    <w:basedOn w:val="Fuentedeprrafopredeter"/>
    <w:uiPriority w:val="20"/>
    <w:qFormat/>
    <w:rsid w:val="00F95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72625">
      <w:bodyDiv w:val="1"/>
      <w:marLeft w:val="0"/>
      <w:marRight w:val="0"/>
      <w:marTop w:val="0"/>
      <w:marBottom w:val="0"/>
      <w:divBdr>
        <w:top w:val="none" w:sz="0" w:space="0" w:color="auto"/>
        <w:left w:val="none" w:sz="0" w:space="0" w:color="auto"/>
        <w:bottom w:val="none" w:sz="0" w:space="0" w:color="auto"/>
        <w:right w:val="none" w:sz="0" w:space="0" w:color="auto"/>
      </w:divBdr>
      <w:divsChild>
        <w:div w:id="1858421435">
          <w:blockQuote w:val="1"/>
          <w:marLeft w:val="720"/>
          <w:marRight w:val="720"/>
          <w:marTop w:val="100"/>
          <w:marBottom w:val="100"/>
          <w:divBdr>
            <w:top w:val="none" w:sz="0" w:space="0" w:color="auto"/>
            <w:left w:val="none" w:sz="0" w:space="0" w:color="auto"/>
            <w:bottom w:val="none" w:sz="0" w:space="0" w:color="auto"/>
            <w:right w:val="none" w:sz="0" w:space="0" w:color="auto"/>
          </w:divBdr>
        </w:div>
        <w:div w:id="458307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0967662">
      <w:bodyDiv w:val="1"/>
      <w:marLeft w:val="0"/>
      <w:marRight w:val="0"/>
      <w:marTop w:val="0"/>
      <w:marBottom w:val="0"/>
      <w:divBdr>
        <w:top w:val="none" w:sz="0" w:space="0" w:color="auto"/>
        <w:left w:val="none" w:sz="0" w:space="0" w:color="auto"/>
        <w:bottom w:val="none" w:sz="0" w:space="0" w:color="auto"/>
        <w:right w:val="none" w:sz="0" w:space="0" w:color="auto"/>
      </w:divBdr>
      <w:divsChild>
        <w:div w:id="24893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0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cretariasenado.gov.co/senado/basedoc/ley_0489_1998_pr00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romero@mindeporte.gov.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ortiz@mindeporte.gov.co"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uncionpublica.gov.co/eva/gestornormativo/norma.php?i=84117" TargetMode="External"/><Relationship Id="rId1" Type="http://schemas.openxmlformats.org/officeDocument/2006/relationships/hyperlink" Target="https://sisjur.bogotajuridica.gov.co/sisjur/normas/Norma1.jsp?i=1059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D3CB82EB-4B16-46AA-BD32-01C78B4F9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14</TotalTime>
  <Pages>20</Pages>
  <Words>6613</Words>
  <Characters>36373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42901</CharactersWithSpaces>
  <SharedDoc>false</SharedDoc>
  <HLinks>
    <vt:vector size="36" baseType="variant">
      <vt:variant>
        <vt:i4>7471218</vt:i4>
      </vt:variant>
      <vt:variant>
        <vt:i4>9</vt:i4>
      </vt:variant>
      <vt:variant>
        <vt:i4>0</vt:i4>
      </vt:variant>
      <vt:variant>
        <vt:i4>5</vt:i4>
      </vt:variant>
      <vt:variant>
        <vt:lpwstr>https://relatoria.colombiacompra.gov.co/busqueda/conceptos</vt:lpwstr>
      </vt:variant>
      <vt:variant>
        <vt:lpwstr/>
      </vt:variant>
      <vt:variant>
        <vt:i4>1048681</vt:i4>
      </vt:variant>
      <vt:variant>
        <vt:i4>6</vt:i4>
      </vt:variant>
      <vt:variant>
        <vt:i4>0</vt:i4>
      </vt:variant>
      <vt:variant>
        <vt:i4>5</vt:i4>
      </vt:variant>
      <vt:variant>
        <vt:lpwstr>http://www.secretariasenado.gov.co/senado/basedoc/ley_0489_1998_pr001.html</vt:lpwstr>
      </vt:variant>
      <vt:variant>
        <vt:lpwstr>59</vt:lpwstr>
      </vt:variant>
      <vt:variant>
        <vt:i4>3211356</vt:i4>
      </vt:variant>
      <vt:variant>
        <vt:i4>3</vt:i4>
      </vt:variant>
      <vt:variant>
        <vt:i4>0</vt:i4>
      </vt:variant>
      <vt:variant>
        <vt:i4>5</vt:i4>
      </vt:variant>
      <vt:variant>
        <vt:lpwstr>mailto:faromero@mindeporte.gov.co</vt:lpwstr>
      </vt:variant>
      <vt:variant>
        <vt:lpwstr/>
      </vt:variant>
      <vt:variant>
        <vt:i4>524384</vt:i4>
      </vt:variant>
      <vt:variant>
        <vt:i4>0</vt:i4>
      </vt:variant>
      <vt:variant>
        <vt:i4>0</vt:i4>
      </vt:variant>
      <vt:variant>
        <vt:i4>5</vt:i4>
      </vt:variant>
      <vt:variant>
        <vt:lpwstr>mailto:viortiz@mindeporte.gov.co</vt:lpwstr>
      </vt:variant>
      <vt:variant>
        <vt:lpwstr/>
      </vt:variant>
      <vt:variant>
        <vt:i4>2097196</vt:i4>
      </vt:variant>
      <vt:variant>
        <vt:i4>3</vt:i4>
      </vt:variant>
      <vt:variant>
        <vt:i4>0</vt:i4>
      </vt:variant>
      <vt:variant>
        <vt:i4>5</vt:i4>
      </vt:variant>
      <vt:variant>
        <vt:lpwstr>https://www.funcionpublica.gov.co/eva/gestornormativo/norma.php?i=84117</vt:lpwstr>
      </vt:variant>
      <vt:variant>
        <vt:lpwstr/>
      </vt:variant>
      <vt:variant>
        <vt:i4>917604</vt:i4>
      </vt:variant>
      <vt:variant>
        <vt:i4>0</vt:i4>
      </vt:variant>
      <vt:variant>
        <vt:i4>0</vt:i4>
      </vt:variant>
      <vt:variant>
        <vt:i4>5</vt:i4>
      </vt:variant>
      <vt:variant>
        <vt:lpwstr>https://sisjur.bogotajuridica.gov.co/sisjur/normas/Norma1.jsp?i=10592</vt:lpwstr>
      </vt:variant>
      <vt:variant>
        <vt:lpwstr>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2026-07-14T16:15:00Z</dcterms:created>
  <dcterms:modified xsi:type="dcterms:W3CDTF">2026-07-15T00:05:00Z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