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D37D3" w14:textId="2F114032" w:rsidR="00F47F6E" w:rsidRDefault="00F47F6E" w:rsidP="00F47F6E">
      <w:pPr>
        <w:spacing w:after="0"/>
        <w:ind w:left="4248" w:firstLine="708"/>
        <w:rPr>
          <w:rFonts w:ascii="Verdana" w:eastAsia="Verdana" w:hAnsi="Verdana" w:cs="Verdana"/>
        </w:rPr>
      </w:pPr>
      <w:bookmarkStart w:id="0" w:name="_Hlk143780582"/>
    </w:p>
    <w:p w14:paraId="714C382C" w14:textId="77777777" w:rsidR="00F47F6E" w:rsidRDefault="00F47F6E" w:rsidP="30821638">
      <w:pPr>
        <w:spacing w:after="0"/>
        <w:rPr>
          <w:rFonts w:ascii="Verdana" w:eastAsia="Verdana" w:hAnsi="Verdana" w:cs="Verdana"/>
        </w:rPr>
      </w:pPr>
    </w:p>
    <w:p w14:paraId="07191C81" w14:textId="77777777" w:rsidR="00F47F6E" w:rsidRDefault="00F47F6E" w:rsidP="30821638">
      <w:pPr>
        <w:spacing w:after="0"/>
        <w:rPr>
          <w:rFonts w:ascii="Verdana" w:eastAsia="Verdana" w:hAnsi="Verdana" w:cs="Verdana"/>
        </w:rPr>
      </w:pPr>
    </w:p>
    <w:p w14:paraId="19756FDF" w14:textId="77777777" w:rsidR="006F012C" w:rsidRPr="00437C34" w:rsidRDefault="006F012C" w:rsidP="006F012C">
      <w:pPr>
        <w:spacing w:after="0" w:line="240" w:lineRule="auto"/>
        <w:jc w:val="both"/>
        <w:rPr>
          <w:rFonts w:ascii="Verdana" w:hAnsi="Verdana" w:cs="Arial"/>
          <w:b/>
          <w:lang w:val="es-MX" w:eastAsia="es-ES_tradnl"/>
        </w:rPr>
      </w:pPr>
      <w:r w:rsidRPr="00437C34">
        <w:rPr>
          <w:rFonts w:ascii="Verdana" w:hAnsi="Verdana" w:cs="Arial"/>
          <w:b/>
          <w:lang w:val="es-MX" w:eastAsia="es-ES_tradnl"/>
        </w:rPr>
        <w:t xml:space="preserve">LEY DE GARANTÍAS ELECTORALES </w:t>
      </w:r>
      <w:r w:rsidRPr="00437C34">
        <w:rPr>
          <w:rFonts w:ascii="Verdana" w:hAnsi="Verdana" w:cs="Arial"/>
          <w:b/>
          <w:bCs/>
          <w:lang w:val="es-MX" w:eastAsia="es-ES_tradnl"/>
        </w:rPr>
        <w:t>‒</w:t>
      </w:r>
      <w:r w:rsidRPr="00437C34">
        <w:rPr>
          <w:rFonts w:ascii="Verdana" w:hAnsi="Verdana" w:cs="Arial"/>
          <w:b/>
          <w:lang w:val="es-MX" w:eastAsia="es-ES_tradnl"/>
        </w:rPr>
        <w:t xml:space="preserve"> Finalidad </w:t>
      </w:r>
    </w:p>
    <w:p w14:paraId="495177C8" w14:textId="77777777" w:rsidR="006F012C" w:rsidRPr="00437C34" w:rsidRDefault="006F012C" w:rsidP="006F012C">
      <w:pPr>
        <w:spacing w:after="0" w:line="240" w:lineRule="auto"/>
        <w:jc w:val="both"/>
        <w:rPr>
          <w:rFonts w:ascii="Verdana" w:hAnsi="Verdana" w:cs="Arial"/>
          <w:b/>
          <w:lang w:val="es-MX" w:eastAsia="es-ES_tradnl"/>
        </w:rPr>
      </w:pPr>
    </w:p>
    <w:p w14:paraId="556D0F38" w14:textId="77777777" w:rsidR="006F012C" w:rsidRPr="00437C34" w:rsidRDefault="006F012C" w:rsidP="006F012C">
      <w:pPr>
        <w:spacing w:after="0" w:line="240" w:lineRule="auto"/>
        <w:jc w:val="both"/>
        <w:rPr>
          <w:rFonts w:ascii="Verdana" w:eastAsia="Times New Roman" w:hAnsi="Verdana" w:cs="Arial"/>
          <w:sz w:val="20"/>
          <w:lang w:val="es-MX" w:eastAsia="es-CO"/>
        </w:rPr>
      </w:pPr>
      <w:r w:rsidRPr="00437C34">
        <w:rPr>
          <w:rFonts w:ascii="Verdana" w:eastAsia="Times New Roman" w:hAnsi="Verdana" w:cs="Arial"/>
          <w:sz w:val="20"/>
          <w:lang w:val="es-MX" w:eastAsia="es-CO"/>
        </w:rPr>
        <w:t>En este contexto, la Ley de Garantías Electorales establece el marco jurídico para el desarrollo de las elecciones, procurando condiciones de igualdad y transparencia para los aspirantes. Paralelamente, se incluyen restricciones en las actuaciones de los servidores públicos, evitando interferencias en la contienda electoral, así como la posible desviación de recursos públicos en aspiraciones electorales. Por ello, varias de las disposiciones de la Ley 996 de 2005, al contener normas prohibitivas, no admiten una interpretación amplia, sino que deben interpretarse restrictivamente.</w:t>
      </w:r>
    </w:p>
    <w:p w14:paraId="53EDAFD5" w14:textId="77777777" w:rsidR="006F012C" w:rsidRPr="00437C34" w:rsidRDefault="006F012C" w:rsidP="006F012C">
      <w:pPr>
        <w:spacing w:after="0" w:line="240" w:lineRule="auto"/>
        <w:jc w:val="both"/>
        <w:rPr>
          <w:rFonts w:ascii="Verdana" w:hAnsi="Verdana" w:cs="Arial"/>
          <w:b/>
          <w:sz w:val="20"/>
          <w:lang w:val="es-MX" w:eastAsia="es-ES_tradnl"/>
        </w:rPr>
      </w:pPr>
    </w:p>
    <w:p w14:paraId="607F6C13" w14:textId="77777777" w:rsidR="006F012C" w:rsidRPr="00437C34" w:rsidRDefault="006F012C" w:rsidP="006F012C">
      <w:pPr>
        <w:spacing w:after="0" w:line="240" w:lineRule="auto"/>
        <w:jc w:val="both"/>
        <w:rPr>
          <w:rFonts w:ascii="Verdana" w:hAnsi="Verdana" w:cs="Arial"/>
          <w:b/>
          <w:lang w:val="es-MX" w:eastAsia="es-ES_tradnl"/>
        </w:rPr>
      </w:pPr>
      <w:r w:rsidRPr="00437C34">
        <w:rPr>
          <w:rFonts w:ascii="Verdana" w:hAnsi="Verdana" w:cs="Arial"/>
          <w:b/>
          <w:lang w:val="es-MX" w:eastAsia="es-ES_tradnl"/>
        </w:rPr>
        <w:t xml:space="preserve">LEY DE GARANTÍAS ELECTORALES </w:t>
      </w:r>
      <w:r w:rsidRPr="00437C34">
        <w:rPr>
          <w:rFonts w:ascii="Verdana" w:hAnsi="Verdana" w:cs="Arial"/>
          <w:b/>
          <w:bCs/>
          <w:lang w:val="es-MX" w:eastAsia="es-ES_tradnl"/>
        </w:rPr>
        <w:t>‒</w:t>
      </w:r>
      <w:r w:rsidRPr="00437C34">
        <w:rPr>
          <w:rFonts w:ascii="Verdana" w:hAnsi="Verdana" w:cs="Arial"/>
          <w:b/>
          <w:lang w:val="es-MX" w:eastAsia="es-ES_tradnl"/>
        </w:rPr>
        <w:t xml:space="preserve"> Tipos de restricciones </w:t>
      </w:r>
      <w:r w:rsidRPr="00437C34">
        <w:rPr>
          <w:rFonts w:ascii="Verdana" w:hAnsi="Verdana" w:cs="Arial"/>
          <w:b/>
          <w:bCs/>
          <w:lang w:val="es-MX" w:eastAsia="es-ES_tradnl"/>
        </w:rPr>
        <w:t>‒</w:t>
      </w:r>
      <w:r w:rsidRPr="00437C34">
        <w:rPr>
          <w:rFonts w:ascii="Verdana" w:hAnsi="Verdana" w:cs="Arial"/>
          <w:b/>
          <w:lang w:val="es-MX" w:eastAsia="es-ES_tradnl"/>
        </w:rPr>
        <w:t xml:space="preserve"> Ámbito temporal – </w:t>
      </w:r>
      <w:r>
        <w:rPr>
          <w:rFonts w:ascii="Verdana" w:hAnsi="Verdana" w:cs="Arial"/>
          <w:b/>
          <w:lang w:val="es-MX" w:eastAsia="es-ES_tradnl"/>
        </w:rPr>
        <w:t>C</w:t>
      </w:r>
      <w:r w:rsidRPr="00437C34">
        <w:rPr>
          <w:rFonts w:ascii="Verdana" w:hAnsi="Verdana" w:cs="Arial"/>
          <w:b/>
          <w:lang w:val="es-MX" w:eastAsia="es-ES_tradnl"/>
        </w:rPr>
        <w:t>elebración</w:t>
      </w:r>
      <w:r>
        <w:rPr>
          <w:rFonts w:ascii="Verdana" w:hAnsi="Verdana" w:cs="Arial"/>
          <w:b/>
          <w:lang w:val="es-MX" w:eastAsia="es-ES_tradnl"/>
        </w:rPr>
        <w:t xml:space="preserve"> </w:t>
      </w:r>
      <w:r w:rsidRPr="002D53EA">
        <w:rPr>
          <w:rFonts w:ascii="Verdana" w:hAnsi="Verdana" w:cs="Arial"/>
          <w:b/>
          <w:bCs/>
          <w:lang w:val="es-ES" w:eastAsia="es-ES_tradnl"/>
        </w:rPr>
        <w:t>–</w:t>
      </w:r>
      <w:r w:rsidRPr="00437C34">
        <w:rPr>
          <w:rFonts w:ascii="Verdana" w:hAnsi="Verdana" w:cs="Arial"/>
          <w:b/>
          <w:lang w:val="es-MX" w:eastAsia="es-ES_tradnl"/>
        </w:rPr>
        <w:t xml:space="preserve"> </w:t>
      </w:r>
      <w:r>
        <w:rPr>
          <w:rFonts w:ascii="Verdana" w:hAnsi="Verdana" w:cs="Arial"/>
          <w:b/>
          <w:lang w:val="es-MX" w:eastAsia="es-ES_tradnl"/>
        </w:rPr>
        <w:t>L</w:t>
      </w:r>
      <w:r w:rsidRPr="00437C34">
        <w:rPr>
          <w:rFonts w:ascii="Verdana" w:hAnsi="Verdana" w:cs="Arial"/>
          <w:b/>
          <w:lang w:val="es-MX" w:eastAsia="es-ES_tradnl"/>
        </w:rPr>
        <w:t>ímite</w:t>
      </w:r>
    </w:p>
    <w:p w14:paraId="1361EBBF" w14:textId="77777777" w:rsidR="006F012C" w:rsidRPr="00437C34" w:rsidRDefault="006F012C" w:rsidP="006F012C">
      <w:pPr>
        <w:spacing w:after="0" w:line="240" w:lineRule="auto"/>
        <w:jc w:val="both"/>
        <w:rPr>
          <w:rFonts w:ascii="Verdana" w:hAnsi="Verdana" w:cs="Arial"/>
          <w:b/>
          <w:lang w:val="es-MX" w:eastAsia="es-ES_tradnl"/>
        </w:rPr>
      </w:pPr>
    </w:p>
    <w:p w14:paraId="2E9DC5DF" w14:textId="77777777" w:rsidR="006F012C" w:rsidRPr="00437C34" w:rsidRDefault="006F012C" w:rsidP="006F012C">
      <w:pPr>
        <w:spacing w:after="0" w:line="240" w:lineRule="auto"/>
        <w:jc w:val="both"/>
        <w:rPr>
          <w:rFonts w:ascii="Verdana" w:eastAsia="Calibri" w:hAnsi="Verdana" w:cs="Arial"/>
          <w:sz w:val="20"/>
        </w:rPr>
      </w:pPr>
      <w:r w:rsidRPr="00437C34">
        <w:rPr>
          <w:rFonts w:ascii="Verdana" w:eastAsia="Calibri" w:hAnsi="Verdana" w:cs="Arial"/>
          <w:sz w:val="20"/>
        </w:rPr>
        <w:t xml:space="preserve">Por un lado, el </w:t>
      </w:r>
      <w:r w:rsidRPr="00437C34">
        <w:rPr>
          <w:rFonts w:ascii="Verdana" w:eastAsia="Calibri" w:hAnsi="Verdana" w:cs="Arial"/>
          <w:i/>
          <w:iCs/>
          <w:sz w:val="20"/>
        </w:rPr>
        <w:t>artículo 33 de la Ley 996 de 2005</w:t>
      </w:r>
      <w:r w:rsidRPr="00437C34">
        <w:rPr>
          <w:rFonts w:ascii="Verdana" w:eastAsia="Calibri" w:hAnsi="Verdana" w:cs="Arial"/>
          <w:sz w:val="20"/>
        </w:rPr>
        <w:t xml:space="preserve"> 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14:paraId="75BCBA6D" w14:textId="77777777" w:rsidR="006F012C" w:rsidRPr="00437C34" w:rsidRDefault="006F012C" w:rsidP="006F012C">
      <w:pPr>
        <w:spacing w:after="0" w:line="240" w:lineRule="auto"/>
        <w:jc w:val="both"/>
        <w:rPr>
          <w:rFonts w:ascii="Verdana" w:eastAsia="Calibri" w:hAnsi="Verdana" w:cs="Arial"/>
          <w:sz w:val="20"/>
        </w:rPr>
      </w:pPr>
    </w:p>
    <w:p w14:paraId="6448CD33" w14:textId="77777777" w:rsidR="006F012C" w:rsidRPr="00437C34" w:rsidRDefault="006F012C" w:rsidP="006F012C">
      <w:pPr>
        <w:widowControl w:val="0"/>
        <w:autoSpaceDE w:val="0"/>
        <w:autoSpaceDN w:val="0"/>
        <w:spacing w:after="0" w:line="240" w:lineRule="auto"/>
        <w:ind w:right="113"/>
        <w:jc w:val="both"/>
        <w:rPr>
          <w:rFonts w:ascii="Verdana" w:eastAsia="Arial" w:hAnsi="Verdana" w:cs="Arial"/>
          <w:sz w:val="20"/>
          <w:lang w:val="es-ES" w:eastAsia="es-ES" w:bidi="es-ES"/>
        </w:rPr>
      </w:pPr>
      <w:r w:rsidRPr="00437C34">
        <w:rPr>
          <w:rFonts w:ascii="Verdana" w:eastAsia="Calibri" w:hAnsi="Verdana" w:cs="Arial"/>
          <w:sz w:val="20"/>
        </w:rPr>
        <w:t xml:space="preserve">Por otro lado, </w:t>
      </w:r>
      <w:r w:rsidRPr="00437C34">
        <w:rPr>
          <w:rFonts w:ascii="Verdana" w:eastAsia="Calibri" w:hAnsi="Verdana" w:cs="Arial"/>
          <w:i/>
          <w:iCs/>
          <w:sz w:val="20"/>
        </w:rPr>
        <w:t>el parágrafo del artículo 38 de la Ley 996 de 2005</w:t>
      </w:r>
      <w:r w:rsidRPr="00437C34">
        <w:rPr>
          <w:rFonts w:ascii="Verdana" w:eastAsia="Calibri" w:hAnsi="Verdana" w:cs="Arial"/>
          <w:sz w:val="20"/>
        </w:rPr>
        <w:t xml:space="preserve"> prevé una restricción, aplicable respecto de cualquier tipo de contienda electoral, que prohíbe a los gobernadores, alcaldes municipales o distritales, secretarios, gerentes y directores de entidades descentralizadas del orden municipal, departamental o distrital “[…] </w:t>
      </w:r>
      <w:r w:rsidRPr="00437C34">
        <w:rPr>
          <w:rFonts w:ascii="Verdana" w:eastAsia="Calibri" w:hAnsi="Verdana" w:cs="Arial"/>
          <w:sz w:val="20"/>
          <w:lang w:val="es-MX"/>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437C34">
        <w:rPr>
          <w:rFonts w:ascii="Verdana" w:eastAsia="Calibri" w:hAnsi="Verdana" w:cs="Arial"/>
          <w:sz w:val="20"/>
        </w:rPr>
        <w:t>”</w:t>
      </w:r>
      <w:r w:rsidRPr="00437C34">
        <w:rPr>
          <w:rFonts w:ascii="Verdana" w:eastAsia="Calibri" w:hAnsi="Verdana" w:cs="Arial"/>
          <w:sz w:val="20"/>
          <w:lang w:val="es-MX"/>
        </w:rPr>
        <w:t>.</w:t>
      </w:r>
      <w:r w:rsidRPr="00437C34">
        <w:rPr>
          <w:rFonts w:ascii="Verdana" w:eastAsia="Arial" w:hAnsi="Verdana" w:cs="Arial"/>
          <w:sz w:val="20"/>
          <w:lang w:val="es-ES" w:eastAsia="es-ES" w:bidi="es-ES"/>
        </w:rPr>
        <w:t xml:space="preserve"> </w:t>
      </w:r>
    </w:p>
    <w:p w14:paraId="57F5030E" w14:textId="77777777" w:rsidR="006F012C" w:rsidRPr="00437C34" w:rsidRDefault="006F012C" w:rsidP="006F012C">
      <w:pPr>
        <w:widowControl w:val="0"/>
        <w:autoSpaceDE w:val="0"/>
        <w:autoSpaceDN w:val="0"/>
        <w:spacing w:after="0" w:line="240" w:lineRule="auto"/>
        <w:ind w:right="113"/>
        <w:jc w:val="both"/>
        <w:rPr>
          <w:rFonts w:ascii="Verdana" w:eastAsia="Arial" w:hAnsi="Verdana" w:cs="Arial"/>
          <w:sz w:val="20"/>
          <w:lang w:val="es-ES" w:eastAsia="es-ES" w:bidi="es-ES"/>
        </w:rPr>
      </w:pPr>
    </w:p>
    <w:p w14:paraId="6D830EA5" w14:textId="77777777" w:rsidR="006F012C" w:rsidRPr="00437C34" w:rsidRDefault="006F012C" w:rsidP="006F012C">
      <w:pPr>
        <w:spacing w:after="0" w:line="240" w:lineRule="auto"/>
        <w:jc w:val="both"/>
        <w:rPr>
          <w:rFonts w:ascii="Verdana" w:eastAsia="Times New Roman" w:hAnsi="Verdana" w:cs="Arial"/>
          <w:bCs/>
          <w:sz w:val="20"/>
          <w:lang w:val="es-ES" w:eastAsia="es-CO"/>
        </w:rPr>
      </w:pPr>
      <w:r w:rsidRPr="00437C34">
        <w:rPr>
          <w:rFonts w:ascii="Verdana" w:eastAsia="Times New Roman" w:hAnsi="Verdana" w:cs="Arial"/>
          <w:bCs/>
          <w:sz w:val="20"/>
          <w:lang w:eastAsia="es-CO"/>
        </w:rPr>
        <w:t xml:space="preserve">En efecto, el concepto de celebración en el marco de la contratación estatal se relaciona con el perfeccionamiento, es decir, con los requisitos para que exista un contrato estatal. Al respecto, se destaca que en entidades sometidas al Estatuto General de Contratación de la Administración Pública </w:t>
      </w:r>
      <w:r w:rsidRPr="00437C34">
        <w:rPr>
          <w:rFonts w:ascii="Verdana" w:eastAsia="Times New Roman" w:hAnsi="Verdana" w:cs="Arial"/>
          <w:bCs/>
          <w:sz w:val="20"/>
          <w:lang w:val="es-ES" w:eastAsia="es-CO"/>
        </w:rPr>
        <w:t xml:space="preserve">la existencia de los contratos estatales, es decir, la producción de efectos jurídicos en los términos del artículo 1501 </w:t>
      </w:r>
      <w:r w:rsidRPr="00437C34">
        <w:rPr>
          <w:rFonts w:ascii="Verdana" w:eastAsia="Times New Roman" w:hAnsi="Verdana" w:cs="Arial"/>
          <w:bCs/>
          <w:i/>
          <w:sz w:val="20"/>
          <w:lang w:val="es-ES" w:eastAsia="es-CO"/>
        </w:rPr>
        <w:t>ibídem</w:t>
      </w:r>
      <w:r w:rsidRPr="00437C34">
        <w:rPr>
          <w:rFonts w:ascii="Verdana" w:eastAsia="Times New Roman" w:hAnsi="Verdana" w:cs="Arial"/>
          <w:bCs/>
          <w:sz w:val="20"/>
          <w:lang w:val="es-ES" w:eastAsia="es-CO"/>
        </w:rPr>
        <w:t xml:space="preserve">, depende de la regulación del inciso primero de los artículos 39 y 41 de la Ley 80 de 1993. Por un lado, “Los contratos que celebren las entidades estatales constarán por escrito y no requerirán ser elevados a escritura pública, con excepción de aquellos que impliquen mutación del dominio o imposición de gravámenes y servidumbres sobre bienes inmuebles y, en general, aquellos que conforme a las normas legales vigentes deban cumplir con dicha formalidad”. Por otra parte, “Los contratos del Estado se perfeccionan cuando se logre acuerdo sobre el objeto y la contraprestación y éste se eleve a escrito”. </w:t>
      </w:r>
    </w:p>
    <w:p w14:paraId="57D5B29F" w14:textId="77777777" w:rsidR="006F012C" w:rsidRPr="00437C34" w:rsidRDefault="006F012C" w:rsidP="006F012C">
      <w:pPr>
        <w:spacing w:after="0" w:line="240" w:lineRule="auto"/>
        <w:jc w:val="both"/>
        <w:rPr>
          <w:rFonts w:ascii="Verdana" w:hAnsi="Verdana" w:cs="Arial"/>
          <w:b/>
          <w:sz w:val="20"/>
          <w:lang w:val="es-MX" w:eastAsia="es-ES_tradnl"/>
        </w:rPr>
      </w:pPr>
    </w:p>
    <w:p w14:paraId="3C326025" w14:textId="77777777" w:rsidR="006F012C" w:rsidRPr="00437C34" w:rsidRDefault="006F012C" w:rsidP="006F012C">
      <w:pPr>
        <w:spacing w:after="0" w:line="240" w:lineRule="auto"/>
        <w:jc w:val="both"/>
        <w:rPr>
          <w:rFonts w:ascii="Verdana" w:hAnsi="Verdana" w:cs="Arial"/>
          <w:b/>
          <w:lang w:val="es-MX" w:eastAsia="es-ES_tradnl"/>
        </w:rPr>
      </w:pPr>
      <w:r w:rsidRPr="00437C34">
        <w:rPr>
          <w:rFonts w:ascii="Verdana" w:hAnsi="Verdana" w:cs="Arial"/>
          <w:b/>
          <w:lang w:val="es-MX" w:eastAsia="es-ES_tradnl"/>
        </w:rPr>
        <w:lastRenderedPageBreak/>
        <w:t xml:space="preserve">LEY DE GARANTÍAS ELECTORALES – Prohibición artículo 33 – Contratación directa – Alcance </w:t>
      </w:r>
    </w:p>
    <w:p w14:paraId="739F31DF" w14:textId="77777777" w:rsidR="006F012C" w:rsidRPr="00437C34" w:rsidRDefault="006F012C" w:rsidP="006F012C">
      <w:pPr>
        <w:spacing w:after="0" w:line="240" w:lineRule="auto"/>
        <w:jc w:val="both"/>
        <w:rPr>
          <w:rFonts w:ascii="Verdana" w:hAnsi="Verdana" w:cs="Arial"/>
          <w:b/>
          <w:lang w:val="es-MX" w:eastAsia="es-ES_tradnl"/>
        </w:rPr>
      </w:pPr>
    </w:p>
    <w:p w14:paraId="3D492E53" w14:textId="77777777" w:rsidR="006F012C" w:rsidRPr="00437C34" w:rsidRDefault="006F012C" w:rsidP="006F012C">
      <w:pPr>
        <w:spacing w:after="0" w:line="240" w:lineRule="auto"/>
        <w:jc w:val="both"/>
        <w:rPr>
          <w:rFonts w:ascii="Verdana" w:eastAsia="Times New Roman" w:hAnsi="Verdana" w:cs="Arial"/>
          <w:bCs/>
          <w:sz w:val="20"/>
          <w:lang w:eastAsia="x-none"/>
        </w:rPr>
      </w:pPr>
      <w:r w:rsidRPr="00437C34">
        <w:rPr>
          <w:rFonts w:ascii="Verdana" w:eastAsia="Times New Roman" w:hAnsi="Verdana" w:cs="Arial"/>
          <w:sz w:val="20"/>
          <w:lang w:eastAsia="x-none"/>
        </w:rPr>
        <w:t xml:space="preserve">De acuerdo con el citado concepto, la prohibición del artículo 33 de la Ley de Garantías Electorales se refiere a </w:t>
      </w:r>
      <w:r w:rsidRPr="00437C34">
        <w:rPr>
          <w:rFonts w:ascii="Verdana" w:eastAsia="Times New Roman" w:hAnsi="Verdana" w:cs="Arial"/>
          <w:sz w:val="18"/>
          <w:szCs w:val="19"/>
          <w:lang w:eastAsia="en-GB"/>
        </w:rPr>
        <w:t>“</w:t>
      </w:r>
      <w:r w:rsidRPr="00437C34">
        <w:rPr>
          <w:rFonts w:ascii="Verdana" w:eastAsia="Times New Roman" w:hAnsi="Verdana" w:cs="Arial"/>
          <w:sz w:val="20"/>
          <w:lang w:eastAsia="x-none"/>
        </w:rPr>
        <w:t>cualquier sistema que no implique convocatoria pública y posibilidad de pluralidad de oferentes</w:t>
      </w:r>
      <w:r w:rsidRPr="00437C34">
        <w:rPr>
          <w:rFonts w:ascii="Verdana" w:eastAsia="Times New Roman" w:hAnsi="Verdana" w:cs="Arial"/>
          <w:sz w:val="20"/>
          <w:lang w:eastAsia="en-GB"/>
        </w:rPr>
        <w:t>”</w:t>
      </w:r>
      <w:r w:rsidRPr="00437C34">
        <w:rPr>
          <w:rFonts w:ascii="Verdana" w:eastAsia="Times New Roman" w:hAnsi="Verdana" w:cs="Arial"/>
          <w:sz w:val="20"/>
          <w:lang w:eastAsia="x-none"/>
        </w:rPr>
        <w:t xml:space="preserve">, por lo que excluye las demás modalidades de contratación previstas en la Ley 1150 de 2007, es decir, la licitación pública, la selección abreviada, el concurso de méritos </w:t>
      </w:r>
      <w:r w:rsidRPr="00437C34">
        <w:rPr>
          <w:rFonts w:ascii="Verdana" w:eastAsia="Times New Roman" w:hAnsi="Verdana" w:cs="Arial"/>
          <w:sz w:val="20"/>
          <w:lang w:val="es-ES_tradnl" w:eastAsia="x-none"/>
        </w:rPr>
        <w:t>y la mínima cuantía</w:t>
      </w:r>
      <w:r w:rsidRPr="00437C34" w:rsidDel="00A85D9F">
        <w:rPr>
          <w:rFonts w:ascii="Verdana" w:eastAsia="Times New Roman" w:hAnsi="Verdana" w:cs="Arial"/>
          <w:sz w:val="20"/>
          <w:lang w:eastAsia="x-none"/>
        </w:rPr>
        <w:t xml:space="preserve"> </w:t>
      </w:r>
      <w:r w:rsidRPr="00437C34">
        <w:rPr>
          <w:rFonts w:ascii="Verdana" w:eastAsia="Times New Roman" w:hAnsi="Verdana" w:cs="Arial"/>
          <w:sz w:val="20"/>
          <w:lang w:eastAsia="x-none"/>
        </w:rPr>
        <w:t xml:space="preserve">u otros previstos en normas especiales. Esta posición es congruente con la expedición de la Ley 1150 de 2007 que, entre otras reformas, introdujo la selección abreviada, rediseñó el concurso de méritos y sistematizó las causales de contratación directa, </w:t>
      </w:r>
      <w:r w:rsidRPr="00437C34">
        <w:rPr>
          <w:rFonts w:ascii="Verdana" w:eastAsia="Calibri" w:hAnsi="Verdana" w:cs="Arial"/>
          <w:sz w:val="20"/>
          <w:szCs w:val="24"/>
          <w:lang w:eastAsia="x-none"/>
        </w:rPr>
        <w:t>además lo es con la posterior creación de la modalidad de mínima cuantía establecida actualmente en el numeral 5 del artículo 2 de la Ley 1150 de 2007, de acuerdo con las modificaciones realizadas por leyes posteriores.</w:t>
      </w:r>
    </w:p>
    <w:p w14:paraId="3B82F8CD" w14:textId="77777777" w:rsidR="006F012C" w:rsidRPr="00437C34" w:rsidRDefault="006F012C" w:rsidP="006F012C">
      <w:pPr>
        <w:spacing w:after="0" w:line="240" w:lineRule="auto"/>
        <w:jc w:val="both"/>
        <w:rPr>
          <w:rFonts w:ascii="Verdana" w:hAnsi="Verdana" w:cs="Arial"/>
          <w:b/>
          <w:lang w:eastAsia="es-ES_tradnl"/>
        </w:rPr>
      </w:pPr>
    </w:p>
    <w:p w14:paraId="2A8F915D" w14:textId="77777777" w:rsidR="006F012C" w:rsidRPr="00437C34" w:rsidRDefault="006F012C" w:rsidP="006F012C">
      <w:pPr>
        <w:spacing w:after="0" w:line="240" w:lineRule="auto"/>
        <w:jc w:val="both"/>
        <w:rPr>
          <w:rFonts w:ascii="Verdana" w:hAnsi="Verdana" w:cs="Arial"/>
          <w:b/>
          <w:lang w:val="es-MX" w:eastAsia="es-ES_tradnl"/>
        </w:rPr>
      </w:pPr>
      <w:r w:rsidRPr="00437C34">
        <w:rPr>
          <w:rFonts w:ascii="Verdana" w:hAnsi="Verdana" w:cs="Arial"/>
          <w:b/>
          <w:lang w:val="es-MX" w:eastAsia="es-ES_tradnl"/>
        </w:rPr>
        <w:t>LEY DE GARANTÍAS ELECTORALES – Excepciones</w:t>
      </w:r>
    </w:p>
    <w:p w14:paraId="60C85BCC" w14:textId="77777777" w:rsidR="006F012C" w:rsidRPr="00437C34" w:rsidRDefault="006F012C" w:rsidP="006F012C">
      <w:pPr>
        <w:spacing w:after="0" w:line="240" w:lineRule="auto"/>
        <w:jc w:val="both"/>
        <w:rPr>
          <w:rFonts w:ascii="Verdana" w:hAnsi="Verdana" w:cs="Arial"/>
          <w:b/>
          <w:sz w:val="20"/>
          <w:lang w:val="es-MX" w:eastAsia="es-ES_tradnl"/>
        </w:rPr>
      </w:pPr>
    </w:p>
    <w:p w14:paraId="0176981A" w14:textId="77777777" w:rsidR="006F012C" w:rsidRPr="00437C34" w:rsidRDefault="006F012C" w:rsidP="006F012C">
      <w:pPr>
        <w:spacing w:after="0" w:line="240" w:lineRule="auto"/>
        <w:jc w:val="both"/>
        <w:rPr>
          <w:rFonts w:ascii="Verdana" w:eastAsia="Times New Roman" w:hAnsi="Verdana" w:cs="Arial"/>
          <w:bCs/>
          <w:sz w:val="20"/>
          <w:lang w:val="es-MX" w:eastAsia="es-CO"/>
        </w:rPr>
      </w:pPr>
      <w:r w:rsidRPr="00437C34">
        <w:rPr>
          <w:rFonts w:ascii="Verdana" w:eastAsia="Times New Roman" w:hAnsi="Verdana" w:cs="Arial"/>
          <w:bCs/>
          <w:sz w:val="20"/>
          <w:lang w:val="es-MX" w:eastAsia="x-none"/>
        </w:rPr>
        <w:t>De otro lado, las excepciones a la restricción prevista en la Ley de Garantías, con fundamento en las cuales podrán las entidades públicas adelantar procedimientos de selección directa en períodos previos a la contienda electoral por la Presidencia, se encuentran consagradas expresamente en el inciso final del citado artículo 33 de la Ley 996 de 2005 en lo referente a i) la defensa y seguridad del Estado; ii) los contratos de crédito público; iii) los requeridos para cubrir las emergencias educativas, sanitarias y desastres; iv)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w:t>
      </w:r>
      <w:r w:rsidRPr="00437C34">
        <w:rPr>
          <w:rFonts w:ascii="Verdana" w:eastAsia="Times New Roman" w:hAnsi="Verdana" w:cs="Arial"/>
          <w:bCs/>
          <w:sz w:val="20"/>
          <w:lang w:val="es-MX" w:eastAsia="es-CO"/>
        </w:rPr>
        <w:t xml:space="preserve"> Es responsabilidad del respectivo ente del Estado, examinar en cada caso la naturaleza de las actividades que adelanta y determinar si las mismas se enmarcan en alguna de las mencionadas excepciones, de manera que se le permita realizar la contratación que necesite en forma directa.</w:t>
      </w:r>
    </w:p>
    <w:p w14:paraId="3DB5BBA4" w14:textId="77777777" w:rsidR="006F012C" w:rsidRPr="00437C34" w:rsidRDefault="006F012C" w:rsidP="006F012C">
      <w:pPr>
        <w:spacing w:after="0" w:line="240" w:lineRule="auto"/>
        <w:jc w:val="both"/>
        <w:rPr>
          <w:rFonts w:ascii="Verdana" w:hAnsi="Verdana" w:cs="Arial"/>
          <w:b/>
          <w:lang w:val="es-MX" w:eastAsia="es-ES_tradnl"/>
        </w:rPr>
      </w:pPr>
    </w:p>
    <w:p w14:paraId="7FEC6422" w14:textId="77777777" w:rsidR="006F012C" w:rsidRPr="00437C34" w:rsidRDefault="006F012C" w:rsidP="006F012C">
      <w:pPr>
        <w:spacing w:after="0" w:line="240" w:lineRule="auto"/>
        <w:jc w:val="both"/>
        <w:rPr>
          <w:rFonts w:ascii="Verdana" w:hAnsi="Verdana" w:cs="Arial"/>
          <w:b/>
          <w:lang w:val="es-MX" w:eastAsia="es-ES_tradnl"/>
        </w:rPr>
      </w:pPr>
      <w:r w:rsidRPr="00437C34">
        <w:rPr>
          <w:rFonts w:ascii="Verdana" w:hAnsi="Verdana" w:cs="Arial"/>
          <w:b/>
          <w:lang w:val="es-MX" w:eastAsia="es-ES_tradnl"/>
        </w:rPr>
        <w:t xml:space="preserve"> LEY DE GARANTÍAS ELECTORALES – Prohibición del artículo 33 – Destinatarios </w:t>
      </w:r>
    </w:p>
    <w:p w14:paraId="2ACA64B0" w14:textId="77777777" w:rsidR="006F012C" w:rsidRPr="00437C34" w:rsidRDefault="006F012C" w:rsidP="006F012C">
      <w:pPr>
        <w:spacing w:after="0" w:line="240" w:lineRule="auto"/>
        <w:rPr>
          <w:rFonts w:ascii="Verdana" w:hAnsi="Verdana" w:cs="Arial"/>
          <w:lang w:val="es-MX" w:eastAsia="es-ES_tradnl"/>
        </w:rPr>
      </w:pPr>
    </w:p>
    <w:p w14:paraId="318582FD" w14:textId="77777777" w:rsidR="006F012C" w:rsidRPr="00437C34" w:rsidRDefault="006F012C" w:rsidP="006F012C">
      <w:pPr>
        <w:spacing w:after="0" w:line="240" w:lineRule="auto"/>
        <w:jc w:val="both"/>
        <w:rPr>
          <w:rFonts w:ascii="Verdana" w:hAnsi="Verdana" w:cs="Arial"/>
          <w:sz w:val="20"/>
          <w:lang w:val="es-MX" w:eastAsia="es-ES_tradnl"/>
        </w:rPr>
      </w:pPr>
      <w:r w:rsidRPr="00437C34">
        <w:rPr>
          <w:rFonts w:ascii="Verdana" w:eastAsia="Calibri" w:hAnsi="Verdana" w:cs="Arial"/>
          <w:sz w:val="20"/>
          <w:lang w:val="es-MX"/>
        </w:rPr>
        <w:t xml:space="preserve">De acuerdo con estos pronunciamientos de la Sala de Consulta y Servicio Civil del Consejo de Estado, la prohibición de la contratación directa también aplica frente a las entidades exceptuadas de la aplicación del EGCAP y que se rigen en materia contractual por el derecho privado. Sin embargo, señaló que algunas de estas entidades, como sucede con las empresas de servicios públicos domiciliarios, los </w:t>
      </w:r>
      <w:r w:rsidRPr="00437C34">
        <w:rPr>
          <w:rFonts w:ascii="Verdana" w:eastAsia="Times New Roman" w:hAnsi="Verdana" w:cs="Arial"/>
          <w:bCs/>
          <w:sz w:val="20"/>
          <w:lang w:val="es-MX" w:eastAsia="x-none"/>
        </w:rPr>
        <w:t>establecimientos de crédito, las sociedades de servicios financieros y las entidades aseguradoras</w:t>
      </w:r>
      <w:r w:rsidRPr="00437C34">
        <w:rPr>
          <w:rFonts w:ascii="Verdana" w:eastAsia="Calibri" w:hAnsi="Verdana" w:cs="Arial"/>
          <w:sz w:val="20"/>
          <w:lang w:val="es-MX"/>
        </w:rPr>
        <w:t xml:space="preserve"> no pueden adquirir los suministros de bienes y servicios necesarios para la realización de su actividad por contratación directa, sino por mecanismos competitivos que impliquen convocatoria pública y la posibilidad de la existencia de pluralidad de oferentes, pero indicó que en estos casos “las empresas no pueden dejar de entregar los servicios públicos a su cargo a nuevas personas, ni dejar de renovar los contratos existentes, </w:t>
      </w:r>
      <w:r w:rsidRPr="00437C34">
        <w:rPr>
          <w:rFonts w:ascii="Verdana" w:eastAsia="Calibri" w:hAnsi="Verdana" w:cs="Arial"/>
          <w:sz w:val="20"/>
          <w:lang w:val="es-MX"/>
        </w:rPr>
        <w:lastRenderedPageBreak/>
        <w:t>pues significaría la parálisis de una actividad propia de la administración, que incluso podría desconocer los derechos fundamentales”</w:t>
      </w:r>
    </w:p>
    <w:p w14:paraId="69FEEF96" w14:textId="77777777" w:rsidR="006F012C" w:rsidRPr="00437C34" w:rsidRDefault="006F012C" w:rsidP="006F012C">
      <w:pPr>
        <w:spacing w:after="0" w:line="240" w:lineRule="auto"/>
        <w:jc w:val="both"/>
        <w:rPr>
          <w:rFonts w:ascii="Verdana" w:hAnsi="Verdana"/>
          <w:b/>
        </w:rPr>
      </w:pPr>
    </w:p>
    <w:p w14:paraId="743A38DD" w14:textId="77777777" w:rsidR="006F012C" w:rsidRPr="00437C34" w:rsidRDefault="006F012C" w:rsidP="006F012C">
      <w:pPr>
        <w:spacing w:after="0" w:line="240" w:lineRule="auto"/>
        <w:jc w:val="both"/>
        <w:rPr>
          <w:rFonts w:ascii="Verdana" w:hAnsi="Verdana"/>
          <w:b/>
        </w:rPr>
      </w:pPr>
      <w:r w:rsidRPr="00437C34">
        <w:rPr>
          <w:rFonts w:ascii="Verdana" w:hAnsi="Verdana"/>
          <w:b/>
        </w:rPr>
        <w:t xml:space="preserve">SISTEMA GENERAL DE REGALÍAS – Objeto – Artículo </w:t>
      </w:r>
      <w:r>
        <w:rPr>
          <w:rFonts w:ascii="Verdana" w:hAnsi="Verdana"/>
          <w:b/>
        </w:rPr>
        <w:t>87</w:t>
      </w:r>
      <w:r w:rsidRPr="00437C34">
        <w:rPr>
          <w:rFonts w:ascii="Verdana" w:hAnsi="Verdana"/>
          <w:b/>
        </w:rPr>
        <w:t xml:space="preserve"> – Ley de Garantías Electorales </w:t>
      </w:r>
    </w:p>
    <w:p w14:paraId="78A45B49" w14:textId="77777777" w:rsidR="006F012C" w:rsidRPr="00437C34" w:rsidRDefault="006F012C" w:rsidP="006F012C">
      <w:pPr>
        <w:spacing w:after="0" w:line="240" w:lineRule="auto"/>
        <w:jc w:val="both"/>
        <w:rPr>
          <w:rFonts w:ascii="Verdana" w:hAnsi="Verdana"/>
          <w:b/>
        </w:rPr>
      </w:pPr>
    </w:p>
    <w:p w14:paraId="544EFA07" w14:textId="77777777" w:rsidR="006F012C" w:rsidRPr="00437C34" w:rsidRDefault="006F012C" w:rsidP="006F012C">
      <w:pPr>
        <w:spacing w:after="0" w:line="240" w:lineRule="auto"/>
        <w:jc w:val="both"/>
        <w:rPr>
          <w:rFonts w:ascii="Verdana" w:hAnsi="Verdana"/>
          <w:bCs/>
          <w:sz w:val="20"/>
        </w:rPr>
      </w:pPr>
      <w:r w:rsidRPr="00437C34">
        <w:rPr>
          <w:rFonts w:ascii="Verdana" w:hAnsi="Verdana"/>
          <w:bCs/>
          <w:sz w:val="20"/>
        </w:rPr>
        <w:t xml:space="preserve">Teniendo en cuenta estas precisiones, es necesario revisar si lo dispuesto en el Sistema General de Regalías le aplica la Ley 996 de 2005 –Ley de Garantías Electorales- y en particular lo señalado en el artículo </w:t>
      </w:r>
      <w:r>
        <w:rPr>
          <w:rFonts w:ascii="Verdana" w:hAnsi="Verdana"/>
          <w:bCs/>
          <w:sz w:val="20"/>
        </w:rPr>
        <w:t>87</w:t>
      </w:r>
      <w:r w:rsidRPr="00437C34">
        <w:rPr>
          <w:rFonts w:ascii="Verdana" w:hAnsi="Verdana"/>
          <w:bCs/>
          <w:sz w:val="20"/>
        </w:rPr>
        <w:t xml:space="preserve"> de la Ley 2056 de 2020. Para ello, es importante señalar que la Ley 2056 de 2020, “por la cual se regula la organización y el funcionamiento del Sistema General de Regalías”, tiene por objeto: “[…] determinar la distribución, objetivos, fines, administración, ejecución, control, el uso eficiente y la destinación de los ingresos provenientes de la explotación de los recursos naturales no renovables precisando las condiciones de participación de sus beneficiarios. Este conjunto de ingresos, asignaciones, órganos, procedimientos, y regulaciones constituye el Sistema General de Regalías”.</w:t>
      </w:r>
    </w:p>
    <w:p w14:paraId="74DAB7C8" w14:textId="77777777" w:rsidR="006F012C" w:rsidRPr="00437C34" w:rsidRDefault="006F012C" w:rsidP="006F012C">
      <w:pPr>
        <w:spacing w:after="0" w:line="240" w:lineRule="auto"/>
        <w:jc w:val="both"/>
        <w:rPr>
          <w:rFonts w:ascii="Verdana" w:hAnsi="Verdana"/>
          <w:bCs/>
          <w:sz w:val="20"/>
        </w:rPr>
      </w:pPr>
    </w:p>
    <w:p w14:paraId="05C95A50" w14:textId="77777777" w:rsidR="006F012C" w:rsidRPr="00437C34" w:rsidRDefault="006F012C" w:rsidP="006F012C">
      <w:pPr>
        <w:spacing w:after="0" w:line="240" w:lineRule="auto"/>
        <w:jc w:val="both"/>
        <w:rPr>
          <w:rFonts w:ascii="Verdana" w:hAnsi="Verdana"/>
          <w:bCs/>
          <w:sz w:val="20"/>
        </w:rPr>
      </w:pPr>
      <w:r w:rsidRPr="00437C34">
        <w:rPr>
          <w:rFonts w:ascii="Verdana" w:eastAsia="Calibri" w:hAnsi="Verdana" w:cs="Arial"/>
          <w:sz w:val="20"/>
        </w:rPr>
        <w:t>[…]</w:t>
      </w:r>
    </w:p>
    <w:p w14:paraId="189A5CD9" w14:textId="77777777" w:rsidR="006F012C" w:rsidRPr="00437C34" w:rsidRDefault="006F012C" w:rsidP="006F012C">
      <w:pPr>
        <w:spacing w:after="0" w:line="240" w:lineRule="auto"/>
        <w:jc w:val="both"/>
        <w:rPr>
          <w:rFonts w:ascii="Verdana" w:hAnsi="Verdana"/>
          <w:bCs/>
          <w:sz w:val="20"/>
        </w:rPr>
      </w:pPr>
    </w:p>
    <w:p w14:paraId="74E8A3A1" w14:textId="77777777" w:rsidR="006F012C" w:rsidRPr="00437C34" w:rsidRDefault="006F012C" w:rsidP="006F012C">
      <w:pPr>
        <w:spacing w:after="0" w:line="240" w:lineRule="auto"/>
        <w:jc w:val="both"/>
        <w:rPr>
          <w:rFonts w:ascii="Verdana" w:hAnsi="Verdana"/>
          <w:bCs/>
          <w:sz w:val="20"/>
        </w:rPr>
      </w:pPr>
      <w:r w:rsidRPr="00437C34">
        <w:rPr>
          <w:rFonts w:ascii="Verdana" w:hAnsi="Verdana"/>
          <w:bCs/>
          <w:sz w:val="20"/>
        </w:rPr>
        <w:t xml:space="preserve">Pues bien, analizado el marco normativo expuesto no se evidencia una excepción a lo dispuesto en el artículo 33 de la Ley 996 de 2005 que restringe la contratación directa en el periodo preelectoral a las elecciones presidenciales por el tipo de recurso que pretende ejecutarse. En otras palabras, esta normatividad especial para la ejecución de recursos del Sistema General de Regalías no implica que esté exonerada de la restricción, pues el legislador no hizo distinción del tipo de recursos al establecer la prohibición.  En este sentido, aplicará la restricción señalada respecto de todos los entes del Estado, con independencia de la fuente de los recursos. </w:t>
      </w:r>
    </w:p>
    <w:p w14:paraId="1BDA5D8A" w14:textId="77777777" w:rsidR="006F012C" w:rsidRPr="00437C34" w:rsidRDefault="006F012C" w:rsidP="006F012C">
      <w:pPr>
        <w:spacing w:after="0" w:line="240" w:lineRule="auto"/>
        <w:jc w:val="both"/>
        <w:rPr>
          <w:rFonts w:ascii="Verdana" w:hAnsi="Verdana"/>
          <w:bCs/>
          <w:sz w:val="20"/>
        </w:rPr>
      </w:pPr>
    </w:p>
    <w:p w14:paraId="234328F6" w14:textId="77777777" w:rsidR="006F012C" w:rsidRPr="00437C34" w:rsidRDefault="006F012C" w:rsidP="006F012C">
      <w:pPr>
        <w:spacing w:after="0" w:line="240" w:lineRule="auto"/>
        <w:jc w:val="both"/>
        <w:rPr>
          <w:rFonts w:ascii="Verdana" w:hAnsi="Verdana"/>
          <w:bCs/>
          <w:sz w:val="20"/>
        </w:rPr>
      </w:pPr>
      <w:r w:rsidRPr="00437C34">
        <w:rPr>
          <w:rFonts w:ascii="Verdana" w:hAnsi="Verdana"/>
          <w:bCs/>
          <w:sz w:val="20"/>
        </w:rPr>
        <w:t xml:space="preserve">En efecto, si bien el artículo </w:t>
      </w:r>
      <w:r>
        <w:rPr>
          <w:rFonts w:ascii="Verdana" w:hAnsi="Verdana"/>
          <w:bCs/>
          <w:sz w:val="20"/>
        </w:rPr>
        <w:t>87</w:t>
      </w:r>
      <w:r w:rsidRPr="00437C34">
        <w:rPr>
          <w:rFonts w:ascii="Verdana" w:hAnsi="Verdana"/>
          <w:bCs/>
          <w:sz w:val="20"/>
        </w:rPr>
        <w:t xml:space="preserve"> de la Ley 2056 de 2020 dispone el deber de suscribir un</w:t>
      </w:r>
      <w:r w:rsidRPr="00130686">
        <w:rPr>
          <w:rFonts w:ascii="Work Sans" w:hAnsi="Work Sans"/>
          <w:color w:val="333333"/>
          <w:sz w:val="25"/>
          <w:szCs w:val="25"/>
          <w:shd w:val="clear" w:color="auto" w:fill="FFFFFF"/>
        </w:rPr>
        <w:t xml:space="preserve"> </w:t>
      </w:r>
      <w:r w:rsidRPr="00130686">
        <w:rPr>
          <w:rFonts w:ascii="Verdana" w:hAnsi="Verdana"/>
          <w:color w:val="333333"/>
          <w:sz w:val="20"/>
          <w:szCs w:val="20"/>
          <w:shd w:val="clear" w:color="auto" w:fill="FFFFFF"/>
        </w:rPr>
        <w:t>convenio d</w:t>
      </w:r>
      <w:r w:rsidRPr="00130686">
        <w:rPr>
          <w:rFonts w:ascii="Verdana" w:hAnsi="Verdana"/>
          <w:bCs/>
          <w:sz w:val="20"/>
          <w:szCs w:val="20"/>
        </w:rPr>
        <w:t>entro de los dos (2) meses siguientes a la aprobación del proyecto de</w:t>
      </w:r>
      <w:r w:rsidRPr="00130686">
        <w:rPr>
          <w:rFonts w:ascii="Verdana" w:hAnsi="Verdana"/>
          <w:bCs/>
          <w:sz w:val="20"/>
        </w:rPr>
        <w:t xml:space="preserve"> inversión, se suscribirá un convenio entre el alcalde o gobernador y el representante o autoridad indígena que lo haya presentado, mediante el cual se formalizará la entrega del proyecto</w:t>
      </w:r>
      <w:r w:rsidRPr="00437C34">
        <w:rPr>
          <w:rFonts w:ascii="Verdana" w:hAnsi="Verdana"/>
          <w:bCs/>
          <w:sz w:val="20"/>
        </w:rPr>
        <w:t>. En este caso, el legislador se limitó a establecer un término para la celebración del convenio, pero no señaló que esta actuación contractual pudiera adelantarse durante el periodo de restricción electoral ni excluyó expresamente su aplicación del régimen de la Ley de Garantías Electorales.</w:t>
      </w:r>
    </w:p>
    <w:p w14:paraId="62873730" w14:textId="77777777" w:rsidR="006F012C" w:rsidRPr="00437C34" w:rsidRDefault="006F012C" w:rsidP="006F012C">
      <w:pPr>
        <w:spacing w:after="0" w:line="240" w:lineRule="auto"/>
        <w:jc w:val="both"/>
        <w:rPr>
          <w:rFonts w:ascii="Verdana" w:hAnsi="Verdana"/>
          <w:lang w:val="es-MX"/>
        </w:rPr>
      </w:pPr>
    </w:p>
    <w:p w14:paraId="6A312E95" w14:textId="77777777" w:rsidR="00CC5B75" w:rsidRDefault="00CC5B75" w:rsidP="006F012C">
      <w:pPr>
        <w:spacing w:after="0" w:line="240" w:lineRule="auto"/>
        <w:jc w:val="both"/>
        <w:rPr>
          <w:rFonts w:ascii="Verdana" w:hAnsi="Verdana" w:cs="Arial"/>
          <w:b/>
          <w:lang w:val="es-MX" w:eastAsia="es-ES_tradnl"/>
        </w:rPr>
      </w:pPr>
    </w:p>
    <w:p w14:paraId="785D13C3" w14:textId="24584A90" w:rsidR="006F012C" w:rsidRPr="00CC5B75" w:rsidRDefault="00CC5B75" w:rsidP="006F012C">
      <w:pPr>
        <w:spacing w:after="0" w:line="240" w:lineRule="auto"/>
        <w:jc w:val="both"/>
        <w:rPr>
          <w:rFonts w:ascii="Verdana" w:hAnsi="Verdana"/>
          <w:b/>
          <w:lang w:val="es-MX"/>
        </w:rPr>
      </w:pPr>
      <w:r w:rsidRPr="00437C34">
        <w:rPr>
          <w:rFonts w:ascii="Verdana" w:hAnsi="Verdana" w:cs="Arial"/>
          <w:b/>
          <w:lang w:val="es-MX" w:eastAsia="es-ES_tradnl"/>
        </w:rPr>
        <w:t xml:space="preserve">LEY DE GARANTÍAS </w:t>
      </w:r>
      <w:r w:rsidRPr="00CC5B75">
        <w:rPr>
          <w:rFonts w:ascii="Verdana" w:hAnsi="Verdana" w:cs="Arial"/>
          <w:b/>
          <w:lang w:val="es-MX" w:eastAsia="es-ES_tradnl"/>
        </w:rPr>
        <w:t>ELECTORALES</w:t>
      </w:r>
      <w:r w:rsidRPr="00CC5B75">
        <w:rPr>
          <w:rFonts w:ascii="Verdana" w:hAnsi="Verdana"/>
          <w:b/>
        </w:rPr>
        <w:t xml:space="preserve">– </w:t>
      </w:r>
      <w:r>
        <w:rPr>
          <w:rFonts w:ascii="Verdana" w:hAnsi="Verdana" w:cs="Arial"/>
          <w:b/>
          <w:lang w:eastAsia="es-ES_tradnl"/>
        </w:rPr>
        <w:t>P</w:t>
      </w:r>
      <w:r w:rsidRPr="00CC5B75">
        <w:rPr>
          <w:rFonts w:ascii="Verdana" w:hAnsi="Verdana" w:cs="Arial"/>
          <w:b/>
          <w:lang w:eastAsia="es-ES_tradnl"/>
        </w:rPr>
        <w:t xml:space="preserve">ueblos y </w:t>
      </w:r>
      <w:r>
        <w:rPr>
          <w:rFonts w:ascii="Verdana" w:hAnsi="Verdana" w:cs="Arial"/>
          <w:b/>
          <w:lang w:eastAsia="es-ES_tradnl"/>
        </w:rPr>
        <w:t>C</w:t>
      </w:r>
      <w:r w:rsidRPr="00CC5B75">
        <w:rPr>
          <w:rFonts w:ascii="Verdana" w:hAnsi="Verdana" w:cs="Arial"/>
          <w:b/>
          <w:lang w:eastAsia="es-ES_tradnl"/>
        </w:rPr>
        <w:t>omunidades Indígenas</w:t>
      </w:r>
    </w:p>
    <w:p w14:paraId="25CC0C30" w14:textId="77777777" w:rsidR="006F012C" w:rsidRPr="00CC5B75" w:rsidRDefault="006F012C" w:rsidP="006F012C">
      <w:pPr>
        <w:spacing w:after="0" w:line="240" w:lineRule="auto"/>
        <w:jc w:val="both"/>
        <w:rPr>
          <w:rFonts w:ascii="Verdana" w:hAnsi="Verdana"/>
          <w:b/>
          <w:bCs/>
          <w:lang w:val="es-MX"/>
        </w:rPr>
      </w:pPr>
    </w:p>
    <w:p w14:paraId="1FFC5A17" w14:textId="77777777" w:rsidR="006F012C" w:rsidRPr="00437C34" w:rsidRDefault="006F012C" w:rsidP="006F012C">
      <w:pPr>
        <w:spacing w:after="0" w:line="240" w:lineRule="auto"/>
        <w:jc w:val="both"/>
        <w:rPr>
          <w:rFonts w:ascii="Verdana" w:hAnsi="Verdana"/>
          <w:lang w:val="es-MX"/>
        </w:rPr>
      </w:pPr>
    </w:p>
    <w:p w14:paraId="3DA7838A" w14:textId="7513E6F6" w:rsidR="00085C97" w:rsidRPr="00437C34" w:rsidRDefault="00085C97" w:rsidP="00085C97">
      <w:pPr>
        <w:spacing w:after="0" w:line="276" w:lineRule="auto"/>
        <w:jc w:val="both"/>
        <w:rPr>
          <w:rFonts w:ascii="Verdana" w:hAnsi="Verdana" w:cs="Arial"/>
          <w:lang w:val="es-ES"/>
        </w:rPr>
      </w:pPr>
      <w:r w:rsidRPr="00437C34">
        <w:rPr>
          <w:rFonts w:ascii="Verdana" w:hAnsi="Verdana" w:cs="Arial"/>
          <w:lang w:val="es-ES"/>
        </w:rPr>
        <w:t xml:space="preserve">Asimismo, tratándose de proyectos financiados con Asignaciones </w:t>
      </w:r>
      <w:r w:rsidR="00E81C15" w:rsidRPr="00437C34">
        <w:rPr>
          <w:rFonts w:ascii="Verdana" w:hAnsi="Verdana" w:cs="Arial"/>
          <w:lang w:val="es-ES"/>
        </w:rPr>
        <w:t xml:space="preserve">Directas, </w:t>
      </w:r>
      <w:r w:rsidR="00E81C15">
        <w:rPr>
          <w:rFonts w:ascii="Verdana" w:hAnsi="Verdana" w:cs="Arial"/>
          <w:lang w:val="es-ES"/>
        </w:rPr>
        <w:t>se</w:t>
      </w:r>
      <w:r w:rsidRPr="00437C34">
        <w:rPr>
          <w:rFonts w:ascii="Verdana" w:hAnsi="Verdana" w:cs="Arial"/>
          <w:lang w:val="es-ES"/>
        </w:rPr>
        <w:t xml:space="preserve"> establece que una vez aprobados deberá suscribirse un convenio entre el alcalde o gobernador y el representante legal que presentó el proyecto, con el fin de formalizar su entrega y ejecución conforme a las normas del Sistema General </w:t>
      </w:r>
      <w:r w:rsidRPr="00437C34">
        <w:rPr>
          <w:rFonts w:ascii="Verdana" w:hAnsi="Verdana" w:cs="Arial"/>
          <w:lang w:val="es-ES"/>
        </w:rPr>
        <w:lastRenderedPageBreak/>
        <w:t xml:space="preserve">de Regalías y del régimen de contratación estatal –artículo </w:t>
      </w:r>
      <w:r>
        <w:rPr>
          <w:rFonts w:ascii="Verdana" w:hAnsi="Verdana" w:cs="Arial"/>
          <w:lang w:val="es-ES"/>
        </w:rPr>
        <w:t>87</w:t>
      </w:r>
      <w:r w:rsidRPr="00437C34">
        <w:rPr>
          <w:rFonts w:ascii="Verdana" w:hAnsi="Verdana" w:cs="Arial"/>
          <w:lang w:val="es-ES"/>
        </w:rPr>
        <w:t xml:space="preserve">–. En concreto esta norma dispone lo siguiente: </w:t>
      </w:r>
    </w:p>
    <w:p w14:paraId="5E6E1933" w14:textId="77777777" w:rsidR="00085C97" w:rsidRPr="007F3393" w:rsidRDefault="00085C97" w:rsidP="00085C97">
      <w:pPr>
        <w:spacing w:after="0" w:line="276" w:lineRule="auto"/>
        <w:ind w:firstLine="709"/>
        <w:jc w:val="both"/>
        <w:rPr>
          <w:rFonts w:ascii="Verdana" w:hAnsi="Verdana" w:cs="Arial"/>
          <w:sz w:val="20"/>
          <w:szCs w:val="20"/>
          <w:lang w:val="es-ES"/>
        </w:rPr>
      </w:pPr>
    </w:p>
    <w:p w14:paraId="40C9B216" w14:textId="77777777" w:rsidR="00085C97" w:rsidRPr="00592543" w:rsidRDefault="00085C97" w:rsidP="00085C97">
      <w:pPr>
        <w:spacing w:after="0" w:line="240" w:lineRule="auto"/>
        <w:ind w:left="709" w:right="709"/>
        <w:jc w:val="both"/>
        <w:rPr>
          <w:rFonts w:ascii="Verdana" w:eastAsia="Times New Roman" w:hAnsi="Verdana" w:cs="Times New Roman"/>
          <w:sz w:val="20"/>
          <w:szCs w:val="20"/>
          <w:lang w:eastAsia="es-ES_tradnl"/>
        </w:rPr>
      </w:pPr>
      <w:r w:rsidRPr="00592543">
        <w:rPr>
          <w:rFonts w:ascii="Verdana" w:hAnsi="Verdana" w:cs="Arial"/>
          <w:sz w:val="20"/>
          <w:szCs w:val="20"/>
        </w:rPr>
        <w:t>“</w:t>
      </w:r>
      <w:r w:rsidRPr="00592543">
        <w:rPr>
          <w:rFonts w:ascii="Verdana" w:eastAsia="Times New Roman" w:hAnsi="Verdana" w:cs="Arial"/>
          <w:b/>
          <w:bCs/>
          <w:color w:val="000000"/>
          <w:sz w:val="20"/>
          <w:szCs w:val="20"/>
          <w:lang w:eastAsia="es-ES_tradnl"/>
        </w:rPr>
        <w:t>Artículo 87. </w:t>
      </w:r>
      <w:r w:rsidRPr="00592543">
        <w:rPr>
          <w:rFonts w:ascii="Verdana" w:eastAsia="Times New Roman" w:hAnsi="Verdana" w:cs="Arial"/>
          <w:b/>
          <w:bCs/>
          <w:i/>
          <w:iCs/>
          <w:color w:val="000000"/>
          <w:sz w:val="20"/>
          <w:szCs w:val="20"/>
          <w:lang w:eastAsia="es-ES_tradnl"/>
        </w:rPr>
        <w:t>Proyectos financiables con recursos de la Asignación Directa.</w:t>
      </w:r>
      <w:r w:rsidRPr="00592543">
        <w:rPr>
          <w:rFonts w:ascii="Verdana" w:eastAsia="Times New Roman" w:hAnsi="Verdana" w:cs="Times New Roman"/>
          <w:sz w:val="20"/>
          <w:szCs w:val="20"/>
          <w:lang w:eastAsia="es-ES_tradnl"/>
        </w:rPr>
        <w:t xml:space="preserve"> P</w:t>
      </w:r>
      <w:r w:rsidRPr="00592543">
        <w:rPr>
          <w:rFonts w:ascii="Verdana" w:hAnsi="Verdana" w:cs="Arial"/>
          <w:sz w:val="20"/>
          <w:szCs w:val="20"/>
        </w:rPr>
        <w:t>ara el caso de los proyectos de inversión con cargo a la asignación directa para Pueblos y Comunidades Indígenas, una vez sean formulados, serán sus autoridades o representantes legales quienes realizarán la viabilidad, registro, priorización y aprobación conforme su derecho propio y las nomas del Sistema General de Regalías.</w:t>
      </w:r>
    </w:p>
    <w:p w14:paraId="14C1D9CD" w14:textId="77777777" w:rsidR="00085C97" w:rsidRPr="00592543" w:rsidRDefault="00085C97" w:rsidP="00085C97">
      <w:pPr>
        <w:spacing w:after="0" w:line="240" w:lineRule="auto"/>
        <w:ind w:left="709" w:right="709"/>
        <w:jc w:val="both"/>
        <w:rPr>
          <w:rFonts w:ascii="Verdana" w:hAnsi="Verdana" w:cs="Arial"/>
          <w:sz w:val="20"/>
          <w:szCs w:val="20"/>
        </w:rPr>
      </w:pPr>
    </w:p>
    <w:p w14:paraId="6BCD3ED9" w14:textId="77777777" w:rsidR="00085C97" w:rsidRPr="00592543" w:rsidRDefault="00085C97" w:rsidP="00085C97">
      <w:pPr>
        <w:spacing w:after="0" w:line="240" w:lineRule="auto"/>
        <w:ind w:left="709" w:right="709"/>
        <w:jc w:val="both"/>
        <w:rPr>
          <w:rFonts w:ascii="Verdana" w:hAnsi="Verdana" w:cs="Arial"/>
          <w:sz w:val="20"/>
          <w:szCs w:val="20"/>
        </w:rPr>
      </w:pPr>
      <w:r w:rsidRPr="00592543">
        <w:rPr>
          <w:rFonts w:ascii="Verdana" w:hAnsi="Verdana" w:cs="Arial"/>
          <w:sz w:val="20"/>
          <w:szCs w:val="20"/>
        </w:rPr>
        <w:t>Dentro de los dos (2) meses siguientes a la aprobación del proyecto de inversión, se suscribirá un convenio entre el alcalde o gobernador y el representante o autoridad indígena que lo haya presentado, mediante el cual se formalizará la entrega del proyecto. En caso de que transcurrido este término no se haya suscrito el correspondiente convenio, el alcalde o Gobernador estará sujeto a las sanciones a las que haya lugar.</w:t>
      </w:r>
    </w:p>
    <w:p w14:paraId="3BF0FF92" w14:textId="77777777" w:rsidR="00085C97" w:rsidRPr="00592543" w:rsidRDefault="00085C97" w:rsidP="00085C97">
      <w:pPr>
        <w:spacing w:after="0" w:line="240" w:lineRule="auto"/>
        <w:ind w:left="709" w:right="709"/>
        <w:jc w:val="both"/>
        <w:rPr>
          <w:rFonts w:ascii="Verdana" w:hAnsi="Verdana" w:cs="Arial"/>
          <w:sz w:val="20"/>
          <w:szCs w:val="20"/>
        </w:rPr>
      </w:pPr>
    </w:p>
    <w:p w14:paraId="27895DE1" w14:textId="77777777" w:rsidR="00085C97" w:rsidRPr="00592543" w:rsidRDefault="00085C97" w:rsidP="00085C97">
      <w:pPr>
        <w:spacing w:after="0" w:line="240" w:lineRule="auto"/>
        <w:ind w:left="709" w:right="709"/>
        <w:jc w:val="both"/>
        <w:rPr>
          <w:rFonts w:ascii="Verdana" w:hAnsi="Verdana" w:cs="Arial"/>
          <w:sz w:val="20"/>
          <w:szCs w:val="20"/>
        </w:rPr>
      </w:pPr>
      <w:r w:rsidRPr="00592543">
        <w:rPr>
          <w:rFonts w:ascii="Verdana" w:hAnsi="Verdana" w:cs="Arial"/>
          <w:sz w:val="20"/>
          <w:szCs w:val="20"/>
        </w:rPr>
        <w:t>Mediante acto administrativo el alcalde o gobernador designará a la entidad ejecutora propuesta en el proyecto de inversión, la cual debe corresponder a una de las entidades previstas en el estatuto de contratación estatal o el Decreto </w:t>
      </w:r>
      <w:hyperlink r:id="rId10" w:anchor="1088" w:history="1">
        <w:r w:rsidRPr="00592543">
          <w:rPr>
            <w:rStyle w:val="Hipervnculo"/>
            <w:rFonts w:ascii="Verdana" w:hAnsi="Verdana" w:cs="Arial"/>
            <w:sz w:val="20"/>
            <w:szCs w:val="20"/>
          </w:rPr>
          <w:t>1088 </w:t>
        </w:r>
      </w:hyperlink>
      <w:r w:rsidRPr="00592543">
        <w:rPr>
          <w:rFonts w:ascii="Verdana" w:hAnsi="Verdana" w:cs="Arial"/>
          <w:sz w:val="20"/>
          <w:szCs w:val="20"/>
        </w:rPr>
        <w:t>de 1993 adicionado por el Decreto 252 de 2020, quien se encargará de contratar la ejecución del proyecto de inversión y la interventoría de éste cuando aplique.”</w:t>
      </w:r>
    </w:p>
    <w:p w14:paraId="5BE35269" w14:textId="77777777" w:rsidR="00085C97" w:rsidRPr="007F3393" w:rsidRDefault="00085C97" w:rsidP="00085C97">
      <w:pPr>
        <w:spacing w:after="120" w:line="276" w:lineRule="auto"/>
        <w:ind w:firstLine="709"/>
        <w:jc w:val="both"/>
        <w:rPr>
          <w:rFonts w:ascii="Verdana" w:hAnsi="Verdana" w:cs="Arial"/>
          <w:sz w:val="20"/>
          <w:szCs w:val="20"/>
        </w:rPr>
      </w:pPr>
    </w:p>
    <w:p w14:paraId="2F18F73A" w14:textId="77777777" w:rsidR="006F012C" w:rsidRPr="00085C97" w:rsidRDefault="006F012C" w:rsidP="006F012C">
      <w:pPr>
        <w:spacing w:after="0" w:line="240" w:lineRule="auto"/>
        <w:jc w:val="both"/>
        <w:rPr>
          <w:rFonts w:ascii="Verdana" w:hAnsi="Verdana"/>
        </w:rPr>
      </w:pPr>
    </w:p>
    <w:p w14:paraId="6BD141DC" w14:textId="77777777" w:rsidR="006F012C" w:rsidRPr="00437C34" w:rsidRDefault="006F012C" w:rsidP="006F012C">
      <w:pPr>
        <w:spacing w:after="0" w:line="240" w:lineRule="auto"/>
        <w:jc w:val="both"/>
        <w:rPr>
          <w:rFonts w:ascii="Verdana" w:hAnsi="Verdana"/>
          <w:lang w:val="es-MX"/>
        </w:rPr>
      </w:pPr>
    </w:p>
    <w:p w14:paraId="55D8944D" w14:textId="77777777" w:rsidR="006F012C" w:rsidRDefault="006F012C" w:rsidP="006F012C">
      <w:pPr>
        <w:spacing w:after="0" w:line="240" w:lineRule="auto"/>
        <w:jc w:val="both"/>
        <w:rPr>
          <w:rFonts w:ascii="Verdana" w:hAnsi="Verdana"/>
          <w:lang w:val="es-MX"/>
        </w:rPr>
      </w:pPr>
    </w:p>
    <w:p w14:paraId="2DB023E7" w14:textId="77777777" w:rsidR="00085C97" w:rsidRDefault="00085C97" w:rsidP="006F012C">
      <w:pPr>
        <w:spacing w:after="0" w:line="240" w:lineRule="auto"/>
        <w:jc w:val="both"/>
        <w:rPr>
          <w:rFonts w:ascii="Verdana" w:hAnsi="Verdana"/>
          <w:lang w:val="es-MX"/>
        </w:rPr>
      </w:pPr>
    </w:p>
    <w:p w14:paraId="0A1E1DB7" w14:textId="77777777" w:rsidR="00085C97" w:rsidRDefault="00085C97" w:rsidP="006F012C">
      <w:pPr>
        <w:spacing w:after="0" w:line="240" w:lineRule="auto"/>
        <w:jc w:val="both"/>
        <w:rPr>
          <w:rFonts w:ascii="Verdana" w:hAnsi="Verdana"/>
          <w:lang w:val="es-MX"/>
        </w:rPr>
      </w:pPr>
    </w:p>
    <w:p w14:paraId="40778DA1" w14:textId="77777777" w:rsidR="00085C97" w:rsidRDefault="00085C97" w:rsidP="006F012C">
      <w:pPr>
        <w:spacing w:after="0" w:line="240" w:lineRule="auto"/>
        <w:jc w:val="both"/>
        <w:rPr>
          <w:rFonts w:ascii="Verdana" w:hAnsi="Verdana"/>
          <w:lang w:val="es-MX"/>
        </w:rPr>
      </w:pPr>
    </w:p>
    <w:p w14:paraId="07E5D757" w14:textId="77777777" w:rsidR="00085C97" w:rsidRDefault="00085C97" w:rsidP="006F012C">
      <w:pPr>
        <w:spacing w:after="0" w:line="240" w:lineRule="auto"/>
        <w:jc w:val="both"/>
        <w:rPr>
          <w:rFonts w:ascii="Verdana" w:hAnsi="Verdana"/>
          <w:lang w:val="es-MX"/>
        </w:rPr>
      </w:pPr>
    </w:p>
    <w:p w14:paraId="10411F78" w14:textId="77777777" w:rsidR="00085C97" w:rsidRDefault="00085C97" w:rsidP="006F012C">
      <w:pPr>
        <w:spacing w:after="0" w:line="240" w:lineRule="auto"/>
        <w:jc w:val="both"/>
        <w:rPr>
          <w:rFonts w:ascii="Verdana" w:hAnsi="Verdana"/>
          <w:lang w:val="es-MX"/>
        </w:rPr>
      </w:pPr>
    </w:p>
    <w:p w14:paraId="7D97B2A9" w14:textId="77777777" w:rsidR="00085C97" w:rsidRDefault="00085C97" w:rsidP="006F012C">
      <w:pPr>
        <w:spacing w:after="0" w:line="240" w:lineRule="auto"/>
        <w:jc w:val="both"/>
        <w:rPr>
          <w:rFonts w:ascii="Verdana" w:hAnsi="Verdana"/>
          <w:lang w:val="es-MX"/>
        </w:rPr>
      </w:pPr>
    </w:p>
    <w:p w14:paraId="1184C14B" w14:textId="77777777" w:rsidR="00085C97" w:rsidRDefault="00085C97" w:rsidP="006F012C">
      <w:pPr>
        <w:spacing w:after="0" w:line="240" w:lineRule="auto"/>
        <w:jc w:val="both"/>
        <w:rPr>
          <w:rFonts w:ascii="Verdana" w:hAnsi="Verdana"/>
          <w:lang w:val="es-MX"/>
        </w:rPr>
      </w:pPr>
    </w:p>
    <w:p w14:paraId="45BFC686" w14:textId="77777777" w:rsidR="00085C97" w:rsidRDefault="00085C97" w:rsidP="006F012C">
      <w:pPr>
        <w:spacing w:after="0" w:line="240" w:lineRule="auto"/>
        <w:jc w:val="both"/>
        <w:rPr>
          <w:rFonts w:ascii="Verdana" w:hAnsi="Verdana"/>
          <w:lang w:val="es-MX"/>
        </w:rPr>
      </w:pPr>
    </w:p>
    <w:p w14:paraId="69E4263D" w14:textId="77777777" w:rsidR="00085C97" w:rsidRDefault="00085C97" w:rsidP="006F012C">
      <w:pPr>
        <w:spacing w:after="0" w:line="240" w:lineRule="auto"/>
        <w:jc w:val="both"/>
        <w:rPr>
          <w:rFonts w:ascii="Verdana" w:hAnsi="Verdana"/>
          <w:lang w:val="es-MX"/>
        </w:rPr>
      </w:pPr>
    </w:p>
    <w:p w14:paraId="287FD90A" w14:textId="77777777" w:rsidR="00085C97" w:rsidRDefault="00085C97" w:rsidP="006F012C">
      <w:pPr>
        <w:spacing w:after="0" w:line="240" w:lineRule="auto"/>
        <w:jc w:val="both"/>
        <w:rPr>
          <w:rFonts w:ascii="Verdana" w:hAnsi="Verdana"/>
          <w:lang w:val="es-MX"/>
        </w:rPr>
      </w:pPr>
    </w:p>
    <w:p w14:paraId="22EE9A00" w14:textId="77777777" w:rsidR="00085C97" w:rsidRDefault="00085C97" w:rsidP="006F012C">
      <w:pPr>
        <w:spacing w:after="0" w:line="240" w:lineRule="auto"/>
        <w:jc w:val="both"/>
        <w:rPr>
          <w:rFonts w:ascii="Verdana" w:hAnsi="Verdana"/>
          <w:lang w:val="es-MX"/>
        </w:rPr>
      </w:pPr>
    </w:p>
    <w:p w14:paraId="4D488021" w14:textId="77777777" w:rsidR="00085C97" w:rsidRDefault="00085C97" w:rsidP="006F012C">
      <w:pPr>
        <w:spacing w:after="0" w:line="240" w:lineRule="auto"/>
        <w:jc w:val="both"/>
        <w:rPr>
          <w:rFonts w:ascii="Verdana" w:hAnsi="Verdana"/>
          <w:lang w:val="es-MX"/>
        </w:rPr>
      </w:pPr>
    </w:p>
    <w:p w14:paraId="48FE1804" w14:textId="77777777" w:rsidR="00085C97" w:rsidRDefault="00085C97" w:rsidP="006F012C">
      <w:pPr>
        <w:spacing w:after="0" w:line="240" w:lineRule="auto"/>
        <w:jc w:val="both"/>
        <w:rPr>
          <w:rFonts w:ascii="Verdana" w:hAnsi="Verdana"/>
          <w:lang w:val="es-MX"/>
        </w:rPr>
      </w:pPr>
    </w:p>
    <w:p w14:paraId="282FD7F2" w14:textId="77777777" w:rsidR="00DB3F76" w:rsidRDefault="00DB3F76" w:rsidP="006F012C">
      <w:pPr>
        <w:spacing w:after="0" w:line="240" w:lineRule="auto"/>
        <w:jc w:val="both"/>
        <w:rPr>
          <w:rFonts w:ascii="Verdana" w:hAnsi="Verdana"/>
          <w:lang w:val="es-MX"/>
        </w:rPr>
      </w:pPr>
    </w:p>
    <w:p w14:paraId="0B91F8B5" w14:textId="77777777" w:rsidR="00DB3F76" w:rsidRDefault="00DB3F76" w:rsidP="006F012C">
      <w:pPr>
        <w:spacing w:after="0" w:line="240" w:lineRule="auto"/>
        <w:jc w:val="both"/>
        <w:rPr>
          <w:rFonts w:ascii="Verdana" w:hAnsi="Verdana"/>
          <w:lang w:val="es-MX"/>
        </w:rPr>
      </w:pPr>
    </w:p>
    <w:p w14:paraId="4387889F" w14:textId="77777777" w:rsidR="00DB3F76" w:rsidRPr="00437C34" w:rsidRDefault="00DB3F76" w:rsidP="006F012C">
      <w:pPr>
        <w:spacing w:after="0" w:line="240" w:lineRule="auto"/>
        <w:jc w:val="both"/>
        <w:rPr>
          <w:rFonts w:ascii="Verdana" w:hAnsi="Verdana"/>
          <w:lang w:val="es-MX"/>
        </w:rPr>
      </w:pPr>
    </w:p>
    <w:p w14:paraId="70BE1FB7" w14:textId="77777777" w:rsidR="006F012C" w:rsidRDefault="006F012C" w:rsidP="006F012C">
      <w:pPr>
        <w:spacing w:after="0" w:line="240" w:lineRule="auto"/>
        <w:rPr>
          <w:rFonts w:ascii="Verdana" w:eastAsia="Geomanist Light" w:hAnsi="Verdana" w:cs="Arial"/>
          <w:color w:val="000000" w:themeColor="text1"/>
          <w:lang w:val="es-MX"/>
        </w:rPr>
      </w:pPr>
    </w:p>
    <w:p w14:paraId="48D3B634" w14:textId="77777777" w:rsidR="006F012C" w:rsidRDefault="006F012C" w:rsidP="006F012C">
      <w:pPr>
        <w:spacing w:after="0" w:line="240" w:lineRule="auto"/>
        <w:rPr>
          <w:rFonts w:ascii="Verdana" w:eastAsia="Geomanist Light" w:hAnsi="Verdana" w:cs="Arial"/>
          <w:color w:val="000000" w:themeColor="text1"/>
          <w:lang w:val="es-MX"/>
        </w:rPr>
      </w:pPr>
    </w:p>
    <w:p w14:paraId="7D01B324" w14:textId="77777777" w:rsidR="006F012C" w:rsidRDefault="006F012C" w:rsidP="006F012C">
      <w:pPr>
        <w:spacing w:after="0" w:line="240" w:lineRule="auto"/>
        <w:rPr>
          <w:rFonts w:ascii="Verdana" w:eastAsia="Geomanist Light" w:hAnsi="Verdana" w:cs="Arial"/>
          <w:color w:val="000000" w:themeColor="text1"/>
          <w:lang w:val="es-MX"/>
        </w:rPr>
      </w:pPr>
    </w:p>
    <w:p w14:paraId="6C9AD3FD" w14:textId="77777777" w:rsidR="006F012C" w:rsidRPr="00437C34" w:rsidRDefault="006F012C" w:rsidP="006F012C">
      <w:pPr>
        <w:spacing w:after="0"/>
        <w:rPr>
          <w:rFonts w:ascii="Verdana" w:hAnsi="Verdana"/>
        </w:rPr>
      </w:pPr>
    </w:p>
    <w:p w14:paraId="53AE4EDD" w14:textId="6BDDAC41" w:rsidR="00DD79FA" w:rsidRDefault="00D32DDC" w:rsidP="00AF59B8">
      <w:pPr>
        <w:spacing w:after="0"/>
        <w:ind w:left="4248" w:firstLine="708"/>
        <w:rPr>
          <w:rFonts w:ascii="Verdana" w:eastAsia="Verdana" w:hAnsi="Verdana" w:cs="Verdana"/>
        </w:rPr>
      </w:pPr>
      <w:r w:rsidRPr="00D32DDC">
        <w:rPr>
          <w:rFonts w:ascii="Verdana" w:eastAsia="Verdana" w:hAnsi="Verdana" w:cs="Verdana"/>
          <w:noProof/>
        </w:rPr>
        <w:drawing>
          <wp:inline distT="0" distB="0" distL="0" distR="0" wp14:anchorId="37C8BE30" wp14:editId="21B923A9">
            <wp:extent cx="2076450" cy="575147"/>
            <wp:effectExtent l="0" t="0" r="0" b="0"/>
            <wp:docPr id="3037326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2137" cy="576722"/>
                    </a:xfrm>
                    <a:prstGeom prst="rect">
                      <a:avLst/>
                    </a:prstGeom>
                    <a:noFill/>
                    <a:ln>
                      <a:noFill/>
                    </a:ln>
                  </pic:spPr>
                </pic:pic>
              </a:graphicData>
            </a:graphic>
          </wp:inline>
        </w:drawing>
      </w:r>
    </w:p>
    <w:p w14:paraId="380F4A9A" w14:textId="0DF6659B" w:rsidR="00DD79FA" w:rsidRPr="00DA10B5" w:rsidRDefault="00DD79FA" w:rsidP="00763254">
      <w:pPr>
        <w:spacing w:after="0" w:line="240" w:lineRule="auto"/>
        <w:rPr>
          <w:rFonts w:ascii="Verdana" w:eastAsia="Verdana" w:hAnsi="Verdana" w:cs="Verdana"/>
        </w:rPr>
      </w:pPr>
      <w:r w:rsidRPr="00DA10B5">
        <w:rPr>
          <w:rFonts w:ascii="Verdana" w:eastAsia="Verdana" w:hAnsi="Verdana" w:cs="Verdana"/>
        </w:rPr>
        <w:t>Bogotá D.C., 3 de Ju</w:t>
      </w:r>
      <w:r w:rsidR="00DA10B5">
        <w:rPr>
          <w:rFonts w:ascii="Verdana" w:eastAsia="Verdana" w:hAnsi="Verdana" w:cs="Verdana"/>
        </w:rPr>
        <w:t>l</w:t>
      </w:r>
      <w:r w:rsidRPr="00DA10B5">
        <w:rPr>
          <w:rFonts w:ascii="Verdana" w:eastAsia="Verdana" w:hAnsi="Verdana" w:cs="Verdana"/>
        </w:rPr>
        <w:t>io del 2026</w:t>
      </w:r>
    </w:p>
    <w:p w14:paraId="0A7B5241" w14:textId="77777777" w:rsidR="00DD79FA" w:rsidRPr="00DA10B5" w:rsidRDefault="00DD79FA" w:rsidP="00DA10B5">
      <w:pPr>
        <w:spacing w:after="0" w:line="240" w:lineRule="auto"/>
        <w:rPr>
          <w:rFonts w:ascii="Verdana" w:eastAsia="Calibri" w:hAnsi="Verdana" w:cs="Times New Roman"/>
        </w:rPr>
      </w:pPr>
    </w:p>
    <w:p w14:paraId="0AC38B1F" w14:textId="49BA487A" w:rsidR="006F012C" w:rsidRPr="00DA10B5" w:rsidRDefault="006F012C" w:rsidP="00DA10B5">
      <w:pPr>
        <w:spacing w:after="0" w:line="240" w:lineRule="auto"/>
        <w:rPr>
          <w:rFonts w:ascii="Verdana" w:eastAsia="Calibri" w:hAnsi="Verdana" w:cs="Times New Roman"/>
          <w:lang w:val="es-MX"/>
        </w:rPr>
      </w:pPr>
      <w:r w:rsidRPr="00DA10B5">
        <w:rPr>
          <w:rFonts w:ascii="Verdana" w:eastAsia="Calibri" w:hAnsi="Verdana" w:cs="Times New Roman"/>
          <w:lang w:val="es-MX"/>
        </w:rPr>
        <w:t>Señor</w:t>
      </w:r>
    </w:p>
    <w:p w14:paraId="0ABCE1A2" w14:textId="7DC91FF3" w:rsidR="006F012C" w:rsidRDefault="006F012C" w:rsidP="00DA10B5">
      <w:pPr>
        <w:spacing w:after="0" w:line="240" w:lineRule="auto"/>
        <w:rPr>
          <w:rFonts w:ascii="Verdana" w:eastAsia="Calibri" w:hAnsi="Verdana" w:cs="Times New Roman"/>
          <w:b/>
          <w:bCs/>
          <w:lang w:val="es-MX"/>
        </w:rPr>
      </w:pPr>
      <w:r w:rsidRPr="00DA10B5">
        <w:rPr>
          <w:rFonts w:ascii="Verdana" w:eastAsia="Calibri" w:hAnsi="Verdana" w:cs="Times New Roman"/>
          <w:b/>
          <w:bCs/>
          <w:lang w:val="es-MX"/>
        </w:rPr>
        <w:t>Darwin Giraldo</w:t>
      </w:r>
    </w:p>
    <w:p w14:paraId="27DBB7BF" w14:textId="57703FB1" w:rsidR="00DA10B5" w:rsidRPr="00DA10B5" w:rsidRDefault="00DA10B5" w:rsidP="00DA10B5">
      <w:pPr>
        <w:spacing w:after="0" w:line="240" w:lineRule="auto"/>
        <w:rPr>
          <w:rFonts w:ascii="Verdana" w:eastAsia="Calibri" w:hAnsi="Verdana" w:cs="Times New Roman"/>
          <w:b/>
          <w:bCs/>
          <w:lang w:val="es-MX"/>
        </w:rPr>
      </w:pPr>
      <w:r w:rsidRPr="00DA10B5">
        <w:rPr>
          <w:rFonts w:ascii="Verdana" w:eastAsia="Calibri" w:hAnsi="Verdana" w:cs="Times New Roman"/>
          <w:b/>
          <w:bCs/>
          <w:lang w:val="es-MX"/>
        </w:rPr>
        <w:t>Asesor Externo Banco de Proyectos del Sistema General de Regalías.</w:t>
      </w:r>
    </w:p>
    <w:p w14:paraId="0B28AE44" w14:textId="77777777" w:rsidR="006F012C" w:rsidRPr="00DA10B5" w:rsidRDefault="006F012C" w:rsidP="00DA10B5">
      <w:pPr>
        <w:spacing w:after="0" w:line="240" w:lineRule="auto"/>
        <w:rPr>
          <w:rFonts w:ascii="Verdana" w:eastAsia="Calibri" w:hAnsi="Verdana" w:cs="Times New Roman"/>
          <w:lang w:val="es-MX"/>
        </w:rPr>
      </w:pPr>
      <w:hyperlink r:id="rId12" w:history="1">
        <w:r w:rsidRPr="00DA10B5">
          <w:rPr>
            <w:rStyle w:val="Hipervnculo"/>
            <w:rFonts w:ascii="Verdana" w:eastAsia="Calibri" w:hAnsi="Verdana" w:cs="Times New Roman"/>
            <w:color w:val="auto"/>
            <w:lang w:val="es-MX"/>
          </w:rPr>
          <w:t>dargiraldo1@gmail.com</w:t>
        </w:r>
      </w:hyperlink>
    </w:p>
    <w:p w14:paraId="32B212D6" w14:textId="77777777" w:rsidR="006F012C" w:rsidRPr="00DA10B5" w:rsidRDefault="006F012C" w:rsidP="00DA10B5">
      <w:pPr>
        <w:spacing w:after="0" w:line="240" w:lineRule="auto"/>
        <w:rPr>
          <w:rFonts w:ascii="Verdana" w:eastAsia="Calibri" w:hAnsi="Verdana" w:cs="Times New Roman"/>
          <w:lang w:val="es-MX"/>
        </w:rPr>
      </w:pPr>
      <w:r w:rsidRPr="00DA10B5">
        <w:rPr>
          <w:rFonts w:ascii="Verdana" w:eastAsia="Calibri" w:hAnsi="Verdana" w:cs="Times New Roman"/>
          <w:lang w:val="es-MX"/>
        </w:rPr>
        <w:t>Ciudad</w:t>
      </w:r>
    </w:p>
    <w:p w14:paraId="7489750E" w14:textId="77777777" w:rsidR="006F012C" w:rsidRPr="00DA10B5" w:rsidRDefault="006F012C" w:rsidP="00763254">
      <w:pPr>
        <w:spacing w:after="0" w:line="240" w:lineRule="auto"/>
        <w:rPr>
          <w:rFonts w:ascii="Verdana" w:eastAsia="Calibri" w:hAnsi="Verdana" w:cs="Times New Roman"/>
        </w:rPr>
      </w:pPr>
    </w:p>
    <w:p w14:paraId="585C87B4" w14:textId="77777777" w:rsidR="006F012C" w:rsidRPr="00DA10B5" w:rsidRDefault="006F012C" w:rsidP="00763254">
      <w:pPr>
        <w:spacing w:after="0" w:line="240" w:lineRule="auto"/>
        <w:rPr>
          <w:rFonts w:ascii="Verdana" w:eastAsia="Calibri" w:hAnsi="Verdana" w:cs="Times New Roman"/>
        </w:rPr>
      </w:pPr>
    </w:p>
    <w:p w14:paraId="70CEFAB3" w14:textId="77777777" w:rsidR="006F012C" w:rsidRPr="00DA10B5" w:rsidRDefault="006F012C" w:rsidP="00763254">
      <w:pPr>
        <w:spacing w:after="0" w:line="240" w:lineRule="auto"/>
        <w:rPr>
          <w:rFonts w:ascii="Verdana" w:eastAsia="Calibri" w:hAnsi="Verdana" w:cs="Times New Roman"/>
          <w:b/>
          <w:bCs/>
          <w:lang w:val="es-ES"/>
        </w:rPr>
      </w:pPr>
      <w:r w:rsidRPr="00DA10B5">
        <w:rPr>
          <w:rFonts w:ascii="Verdana" w:eastAsia="Calibri" w:hAnsi="Verdana" w:cs="Times New Roman"/>
          <w:b/>
          <w:bCs/>
          <w:lang w:val="es-ES"/>
        </w:rPr>
        <w:t xml:space="preserve">                                    Concepto C- 855 de 2026</w:t>
      </w:r>
    </w:p>
    <w:p w14:paraId="4F749DF6" w14:textId="77777777" w:rsidR="006F012C" w:rsidRPr="00DA10B5" w:rsidRDefault="006F012C" w:rsidP="00763254">
      <w:pPr>
        <w:spacing w:after="0" w:line="240" w:lineRule="auto"/>
        <w:rPr>
          <w:rFonts w:ascii="Verdana" w:eastAsia="Calibri" w:hAnsi="Verdana" w:cs="Times New Roman"/>
          <w:lang w:val="es-ES_tradnl"/>
        </w:rPr>
      </w:pPr>
    </w:p>
    <w:tbl>
      <w:tblPr>
        <w:tblStyle w:val="Tablaconcuadrcula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6F012C" w:rsidRPr="00DA10B5" w14:paraId="3D90F68E" w14:textId="77777777" w:rsidTr="004E205F">
        <w:trPr>
          <w:trHeight w:val="645"/>
        </w:trPr>
        <w:tc>
          <w:tcPr>
            <w:tcW w:w="2685" w:type="dxa"/>
            <w:hideMark/>
          </w:tcPr>
          <w:p w14:paraId="47DCC6CD" w14:textId="77777777" w:rsidR="006F012C" w:rsidRPr="00DA10B5" w:rsidRDefault="006F012C" w:rsidP="00763254">
            <w:pPr>
              <w:rPr>
                <w:rFonts w:ascii="Verdana" w:hAnsi="Verdana"/>
                <w:b/>
                <w:bCs/>
                <w:lang w:val="es-ES_tradnl"/>
              </w:rPr>
            </w:pPr>
            <w:r w:rsidRPr="00DA10B5">
              <w:rPr>
                <w:rFonts w:ascii="Verdana" w:hAnsi="Verdana"/>
                <w:b/>
                <w:bCs/>
                <w:lang w:val="es-ES_tradnl"/>
              </w:rPr>
              <w:t xml:space="preserve">Temas:                   </w:t>
            </w:r>
          </w:p>
        </w:tc>
        <w:tc>
          <w:tcPr>
            <w:tcW w:w="6241" w:type="dxa"/>
            <w:hideMark/>
          </w:tcPr>
          <w:p w14:paraId="7BC3778B" w14:textId="77777777" w:rsidR="006F012C" w:rsidRPr="00DA10B5" w:rsidRDefault="006F012C" w:rsidP="00763254">
            <w:pPr>
              <w:jc w:val="both"/>
              <w:rPr>
                <w:rFonts w:ascii="Verdana" w:hAnsi="Verdana" w:cs="Arial"/>
                <w:lang w:val="es-MX" w:eastAsia="es-ES_tradnl"/>
              </w:rPr>
            </w:pPr>
            <w:r w:rsidRPr="00DA10B5">
              <w:rPr>
                <w:rFonts w:ascii="Verdana" w:hAnsi="Verdana" w:cs="Arial"/>
                <w:lang w:val="es-MX" w:eastAsia="es-ES_tradnl"/>
              </w:rPr>
              <w:t xml:space="preserve">LEY DE GARANTÍAS ELECTORALES </w:t>
            </w:r>
            <w:r w:rsidRPr="00DA10B5">
              <w:rPr>
                <w:rFonts w:ascii="Verdana" w:hAnsi="Verdana" w:cs="Arial"/>
                <w:bCs/>
                <w:lang w:val="es-MX" w:eastAsia="es-ES_tradnl"/>
              </w:rPr>
              <w:t>‒</w:t>
            </w:r>
            <w:r w:rsidRPr="00DA10B5">
              <w:rPr>
                <w:rFonts w:ascii="Verdana" w:hAnsi="Verdana" w:cs="Arial"/>
                <w:lang w:val="es-MX" w:eastAsia="es-ES_tradnl"/>
              </w:rPr>
              <w:t xml:space="preserve"> Finalidad / LEY DE GARANTÍAS ELECTORALES </w:t>
            </w:r>
            <w:r w:rsidRPr="00DA10B5">
              <w:rPr>
                <w:rFonts w:ascii="Verdana" w:hAnsi="Verdana" w:cs="Arial"/>
                <w:bCs/>
                <w:lang w:val="es-MX" w:eastAsia="es-ES_tradnl"/>
              </w:rPr>
              <w:t>‒</w:t>
            </w:r>
            <w:r w:rsidRPr="00DA10B5">
              <w:rPr>
                <w:rFonts w:ascii="Verdana" w:hAnsi="Verdana" w:cs="Arial"/>
                <w:lang w:val="es-MX" w:eastAsia="es-ES_tradnl"/>
              </w:rPr>
              <w:t xml:space="preserve"> Tipos de restricciones </w:t>
            </w:r>
            <w:r w:rsidRPr="00DA10B5">
              <w:rPr>
                <w:rFonts w:ascii="Verdana" w:hAnsi="Verdana" w:cs="Arial"/>
                <w:bCs/>
                <w:lang w:val="es-MX" w:eastAsia="es-ES_tradnl"/>
              </w:rPr>
              <w:t>‒</w:t>
            </w:r>
            <w:r w:rsidRPr="00DA10B5">
              <w:rPr>
                <w:rFonts w:ascii="Verdana" w:hAnsi="Verdana" w:cs="Arial"/>
                <w:lang w:val="es-MX" w:eastAsia="es-ES_tradnl"/>
              </w:rPr>
              <w:t xml:space="preserve"> Ámbito temporal – celebración- límite / LEY DE GARANTÍAS ELECTORALES – Prohibición artículo 33 – Contratación directa – Alcance / LEY DE GARANTÍAS ELECTORALES – Excepciones / LEY DE GARANTÍAS ELECTORALES – Prohibición del artículo 33 – Destinatarios / SISTEMA GENERAL DE REGALÍAS – Objeto – </w:t>
            </w:r>
            <w:r w:rsidRPr="00DA10B5">
              <w:rPr>
                <w:rFonts w:ascii="Verdana" w:hAnsi="Verdana"/>
                <w:bCs/>
              </w:rPr>
              <w:t xml:space="preserve">Artículo 87 </w:t>
            </w:r>
            <w:r w:rsidRPr="00DA10B5">
              <w:rPr>
                <w:rFonts w:ascii="Verdana" w:hAnsi="Verdana"/>
                <w:b/>
              </w:rPr>
              <w:t>–</w:t>
            </w:r>
            <w:r w:rsidRPr="00DA10B5">
              <w:rPr>
                <w:rFonts w:ascii="Verdana" w:hAnsi="Verdana" w:cs="Arial"/>
                <w:lang w:val="es-MX" w:eastAsia="es-ES_tradnl"/>
              </w:rPr>
              <w:t xml:space="preserve"> Ley de Garantías Electorales </w:t>
            </w:r>
            <w:r w:rsidRPr="00DA10B5">
              <w:rPr>
                <w:rFonts w:ascii="Verdana" w:hAnsi="Verdana"/>
                <w:b/>
              </w:rPr>
              <w:t>–</w:t>
            </w:r>
            <w:r w:rsidRPr="00DA10B5">
              <w:rPr>
                <w:rFonts w:ascii="Verdana" w:hAnsi="Verdana" w:cs="Arial"/>
                <w:lang w:val="es-MX" w:eastAsia="es-ES_tradnl"/>
              </w:rPr>
              <w:t xml:space="preserve"> </w:t>
            </w:r>
            <w:r w:rsidRPr="00DA10B5">
              <w:rPr>
                <w:rFonts w:ascii="Verdana" w:hAnsi="Verdana" w:cs="Arial"/>
                <w:lang w:eastAsia="es-ES_tradnl"/>
              </w:rPr>
              <w:t>Pueblos y Comunidades Indígenas</w:t>
            </w:r>
          </w:p>
        </w:tc>
        <w:tc>
          <w:tcPr>
            <w:tcW w:w="6237" w:type="dxa"/>
          </w:tcPr>
          <w:p w14:paraId="14CDFDDE" w14:textId="77777777" w:rsidR="006F012C" w:rsidRPr="00DA10B5" w:rsidRDefault="006F012C" w:rsidP="00763254">
            <w:pPr>
              <w:rPr>
                <w:rFonts w:ascii="Verdana" w:hAnsi="Verdana"/>
              </w:rPr>
            </w:pPr>
          </w:p>
        </w:tc>
      </w:tr>
      <w:tr w:rsidR="006F012C" w:rsidRPr="00DA10B5" w14:paraId="12577E36" w14:textId="77777777" w:rsidTr="004E205F">
        <w:trPr>
          <w:trHeight w:val="414"/>
        </w:trPr>
        <w:tc>
          <w:tcPr>
            <w:tcW w:w="2685" w:type="dxa"/>
          </w:tcPr>
          <w:p w14:paraId="7D4F754E" w14:textId="77777777" w:rsidR="006F012C" w:rsidRPr="00DA10B5" w:rsidRDefault="006F012C" w:rsidP="00763254">
            <w:pPr>
              <w:rPr>
                <w:rFonts w:ascii="Verdana" w:hAnsi="Verdana"/>
                <w:b/>
                <w:bCs/>
                <w:lang w:val="es-ES_tradnl"/>
              </w:rPr>
            </w:pPr>
          </w:p>
          <w:p w14:paraId="6C543BBA" w14:textId="77777777" w:rsidR="006F012C" w:rsidRPr="00DA10B5" w:rsidRDefault="006F012C" w:rsidP="00763254">
            <w:pPr>
              <w:rPr>
                <w:rFonts w:ascii="Verdana" w:hAnsi="Verdana"/>
                <w:b/>
                <w:bCs/>
                <w:lang w:val="es-ES_tradnl"/>
              </w:rPr>
            </w:pPr>
          </w:p>
          <w:p w14:paraId="76843B4A" w14:textId="77777777" w:rsidR="006F012C" w:rsidRPr="00DA10B5" w:rsidRDefault="006F012C" w:rsidP="00763254">
            <w:pPr>
              <w:rPr>
                <w:rFonts w:ascii="Verdana" w:hAnsi="Verdana"/>
                <w:b/>
                <w:bCs/>
                <w:lang w:val="es-ES_tradnl"/>
              </w:rPr>
            </w:pPr>
            <w:r w:rsidRPr="00DA10B5">
              <w:rPr>
                <w:rFonts w:ascii="Verdana" w:hAnsi="Verdana"/>
                <w:b/>
                <w:bCs/>
                <w:lang w:val="es-ES_tradnl"/>
              </w:rPr>
              <w:t xml:space="preserve">Radicación:               </w:t>
            </w:r>
          </w:p>
        </w:tc>
        <w:tc>
          <w:tcPr>
            <w:tcW w:w="6241" w:type="dxa"/>
          </w:tcPr>
          <w:p w14:paraId="49E3754D" w14:textId="77777777" w:rsidR="006F012C" w:rsidRPr="00DA10B5" w:rsidRDefault="006F012C" w:rsidP="00763254">
            <w:pPr>
              <w:jc w:val="both"/>
              <w:rPr>
                <w:rFonts w:ascii="Verdana" w:hAnsi="Verdana"/>
                <w:lang w:val="es-ES_tradnl"/>
              </w:rPr>
            </w:pPr>
          </w:p>
          <w:p w14:paraId="3617E8B5" w14:textId="4296AAD8" w:rsidR="006F012C" w:rsidRPr="00DA10B5" w:rsidRDefault="006F012C" w:rsidP="00763254">
            <w:pPr>
              <w:jc w:val="both"/>
              <w:rPr>
                <w:rFonts w:ascii="Verdana" w:hAnsi="Verdana"/>
                <w:lang w:val="es-ES_tradnl"/>
              </w:rPr>
            </w:pPr>
            <w:r w:rsidRPr="00DA10B5">
              <w:rPr>
                <w:rFonts w:ascii="Verdana" w:hAnsi="Verdana"/>
                <w:lang w:val="es-ES_tradnl"/>
              </w:rPr>
              <w:t>Respuesta a consultas con radicados Nos.</w:t>
            </w:r>
            <w:r w:rsidRPr="00763254">
              <w:rPr>
                <w:rFonts w:ascii="Verdana" w:hAnsi="Verdana"/>
              </w:rPr>
              <w:t xml:space="preserve"> </w:t>
            </w:r>
            <w:r w:rsidRPr="00DA10B5">
              <w:rPr>
                <w:rFonts w:ascii="Verdana" w:hAnsi="Verdana" w:cs="Calibri"/>
                <w:color w:val="000000"/>
              </w:rPr>
              <w:t>1_2026_05_22_006897</w:t>
            </w:r>
            <w:r w:rsidR="00DA10B5">
              <w:rPr>
                <w:rFonts w:ascii="Verdana" w:hAnsi="Verdana" w:cs="Calibri"/>
                <w:color w:val="000000"/>
              </w:rPr>
              <w:t xml:space="preserve"> </w:t>
            </w:r>
            <w:r w:rsidRPr="00DA10B5">
              <w:rPr>
                <w:rFonts w:ascii="Verdana" w:hAnsi="Verdana" w:cs="Calibri"/>
                <w:color w:val="000000"/>
              </w:rPr>
              <w:t>y</w:t>
            </w:r>
            <w:r w:rsidR="00DA10B5">
              <w:rPr>
                <w:rFonts w:ascii="Verdana" w:hAnsi="Verdana" w:cs="Calibri"/>
                <w:color w:val="000000"/>
              </w:rPr>
              <w:t xml:space="preserve"> </w:t>
            </w:r>
            <w:r w:rsidRPr="00DA10B5">
              <w:rPr>
                <w:rFonts w:ascii="Verdana" w:hAnsi="Verdana" w:cs="Calibri"/>
                <w:color w:val="000000"/>
              </w:rPr>
              <w:t>1_2026_05_22_006897</w:t>
            </w:r>
            <w:r w:rsidR="00DA10B5">
              <w:rPr>
                <w:rFonts w:ascii="Verdana" w:hAnsi="Verdana" w:cs="Calibri"/>
                <w:color w:val="000000"/>
              </w:rPr>
              <w:t xml:space="preserve"> </w:t>
            </w:r>
            <w:r w:rsidRPr="00DA10B5">
              <w:rPr>
                <w:rFonts w:ascii="Verdana" w:hAnsi="Verdana"/>
                <w:lang w:val="es-ES_tradnl"/>
              </w:rPr>
              <w:t>(Acumulados)</w:t>
            </w:r>
          </w:p>
          <w:p w14:paraId="4E474A82" w14:textId="77777777" w:rsidR="006F012C" w:rsidRPr="00DA10B5" w:rsidRDefault="006F012C" w:rsidP="00763254">
            <w:pPr>
              <w:jc w:val="both"/>
              <w:rPr>
                <w:rFonts w:ascii="Verdana" w:hAnsi="Verdana"/>
              </w:rPr>
            </w:pPr>
          </w:p>
        </w:tc>
        <w:tc>
          <w:tcPr>
            <w:tcW w:w="6237" w:type="dxa"/>
          </w:tcPr>
          <w:p w14:paraId="20024681" w14:textId="77777777" w:rsidR="006F012C" w:rsidRPr="00DA10B5" w:rsidRDefault="006F012C" w:rsidP="00763254">
            <w:pPr>
              <w:rPr>
                <w:rFonts w:ascii="Verdana" w:hAnsi="Verdana"/>
                <w:lang w:val="es-ES_tradnl"/>
              </w:rPr>
            </w:pPr>
          </w:p>
        </w:tc>
      </w:tr>
    </w:tbl>
    <w:p w14:paraId="41918BB3" w14:textId="77777777" w:rsidR="006F012C" w:rsidRPr="00DA10B5" w:rsidRDefault="006F012C" w:rsidP="00763254">
      <w:pPr>
        <w:spacing w:after="0" w:line="240" w:lineRule="auto"/>
        <w:rPr>
          <w:rFonts w:ascii="Verdana" w:eastAsia="Calibri" w:hAnsi="Verdana" w:cs="Times New Roman"/>
          <w:lang w:val="es-ES"/>
        </w:rPr>
      </w:pPr>
    </w:p>
    <w:p w14:paraId="07A920B5" w14:textId="03C2DD8F" w:rsidR="006F012C" w:rsidRPr="00437C34" w:rsidRDefault="006F012C" w:rsidP="00763254">
      <w:pPr>
        <w:spacing w:after="0" w:line="276" w:lineRule="auto"/>
        <w:rPr>
          <w:rFonts w:ascii="Verdana" w:eastAsia="Calibri" w:hAnsi="Verdana" w:cs="Times New Roman"/>
          <w:lang w:val="es-ES"/>
        </w:rPr>
      </w:pPr>
      <w:r w:rsidRPr="00437C34">
        <w:rPr>
          <w:rFonts w:ascii="Verdana" w:eastAsia="Calibri" w:hAnsi="Verdana" w:cs="Times New Roman"/>
          <w:lang w:val="es-ES"/>
        </w:rPr>
        <w:t>Estimado Señor</w:t>
      </w:r>
      <w:r>
        <w:rPr>
          <w:rFonts w:ascii="Verdana" w:hAnsi="Verdana" w:cs="Arial"/>
        </w:rPr>
        <w:t xml:space="preserve"> </w:t>
      </w:r>
      <w:r w:rsidR="00DD79FA">
        <w:rPr>
          <w:rFonts w:ascii="Verdana" w:hAnsi="Verdana" w:cs="Arial"/>
        </w:rPr>
        <w:t>Giraldo:</w:t>
      </w:r>
      <w:r w:rsidRPr="00437C34">
        <w:rPr>
          <w:rFonts w:ascii="Verdana" w:eastAsia="Calibri" w:hAnsi="Verdana" w:cs="Times New Roman"/>
          <w:lang w:val="es-ES"/>
        </w:rPr>
        <w:t xml:space="preserve">  </w:t>
      </w:r>
    </w:p>
    <w:p w14:paraId="7E586896" w14:textId="77777777" w:rsidR="006F012C" w:rsidRPr="00437C34" w:rsidRDefault="006F012C" w:rsidP="00763254">
      <w:pPr>
        <w:spacing w:after="0" w:line="276" w:lineRule="auto"/>
        <w:rPr>
          <w:rFonts w:ascii="Verdana" w:eastAsia="Calibri" w:hAnsi="Verdana" w:cs="Times New Roman"/>
          <w:lang w:val="es-ES"/>
        </w:rPr>
      </w:pPr>
    </w:p>
    <w:p w14:paraId="20B14279" w14:textId="77777777" w:rsidR="006F012C" w:rsidRPr="00437C34" w:rsidRDefault="006F012C" w:rsidP="00DA10B5">
      <w:pPr>
        <w:spacing w:after="0" w:line="276" w:lineRule="auto"/>
        <w:jc w:val="both"/>
        <w:rPr>
          <w:rFonts w:ascii="Verdana" w:eastAsia="Calibri" w:hAnsi="Verdana" w:cs="Times New Roman"/>
        </w:rPr>
      </w:pPr>
      <w:r w:rsidRPr="00437C34">
        <w:rPr>
          <w:rFonts w:ascii="Verdana" w:eastAsia="Calibri" w:hAnsi="Verdana" w:cs="Times New Roman"/>
          <w:bCs/>
          <w:lang w:val="es-ES" w:bidi="es-ES"/>
        </w:rPr>
        <w:t xml:space="preserve">En ejercicio de la competencia otorgada por los artículos 3, numeral 5º, y 11, numeral 8º, del Decreto Ley 4170 de 2011, </w:t>
      </w:r>
      <w:r w:rsidRPr="00437C34">
        <w:rPr>
          <w:rFonts w:ascii="Verdana" w:eastAsia="Calibri" w:hAnsi="Verdana" w:cs="Times New Roman"/>
          <w:bCs/>
        </w:rPr>
        <w:t xml:space="preserve">así como lo establecido por la Resolución 469 de 2025 expedida por esta Entidad, </w:t>
      </w:r>
      <w:r w:rsidRPr="00437C34">
        <w:rPr>
          <w:rFonts w:ascii="Verdana" w:eastAsia="Calibri" w:hAnsi="Verdana" w:cs="Times New Roman"/>
          <w:bCs/>
          <w:lang w:val="es-ES" w:bidi="es-ES"/>
        </w:rPr>
        <w:t>la Agencia Nacional de Contratación Pública – Colombia Compra Eficiente–</w:t>
      </w:r>
      <w:r w:rsidRPr="00437C34">
        <w:rPr>
          <w:rFonts w:ascii="Verdana" w:eastAsia="Calibri" w:hAnsi="Verdana" w:cs="Times New Roman"/>
          <w:lang w:val="es-ES"/>
        </w:rPr>
        <w:t xml:space="preserve"> responde la solicitud de consulta presentada el </w:t>
      </w:r>
      <w:r>
        <w:rPr>
          <w:rFonts w:ascii="Verdana" w:eastAsia="Calibri" w:hAnsi="Verdana" w:cs="Times New Roman"/>
          <w:lang w:val="es-ES"/>
        </w:rPr>
        <w:t>22</w:t>
      </w:r>
      <w:r w:rsidRPr="00437C34">
        <w:rPr>
          <w:rFonts w:ascii="Verdana" w:eastAsia="Calibri" w:hAnsi="Verdana" w:cs="Times New Roman"/>
          <w:lang w:val="es-ES"/>
        </w:rPr>
        <w:t xml:space="preserve"> de </w:t>
      </w:r>
      <w:r>
        <w:rPr>
          <w:rFonts w:ascii="Verdana" w:eastAsia="Calibri" w:hAnsi="Verdana" w:cs="Times New Roman"/>
          <w:lang w:val="es-ES"/>
        </w:rPr>
        <w:t>Mayo</w:t>
      </w:r>
      <w:r w:rsidRPr="00437C34">
        <w:rPr>
          <w:rFonts w:ascii="Verdana" w:eastAsia="Calibri" w:hAnsi="Verdana" w:cs="Times New Roman"/>
          <w:lang w:val="es-ES"/>
        </w:rPr>
        <w:t xml:space="preserve"> de 2026, en la cual manifiesta:</w:t>
      </w:r>
      <w:r w:rsidRPr="00437C34">
        <w:rPr>
          <w:rFonts w:ascii="Verdana" w:eastAsia="Calibri" w:hAnsi="Verdana" w:cs="Times New Roman"/>
        </w:rPr>
        <w:t xml:space="preserve"> </w:t>
      </w:r>
    </w:p>
    <w:p w14:paraId="3C8FA878" w14:textId="77777777" w:rsidR="006F012C" w:rsidRDefault="006F012C" w:rsidP="00763254">
      <w:pPr>
        <w:spacing w:after="0" w:line="276" w:lineRule="auto"/>
        <w:ind w:right="709"/>
        <w:jc w:val="both"/>
        <w:rPr>
          <w:rFonts w:ascii="Verdana" w:eastAsia="Calibri" w:hAnsi="Verdana" w:cs="Times New Roman"/>
          <w:sz w:val="20"/>
          <w:szCs w:val="20"/>
        </w:rPr>
      </w:pPr>
    </w:p>
    <w:p w14:paraId="6E3ED9E9" w14:textId="4626348D" w:rsidR="006F012C" w:rsidRDefault="00DA10B5" w:rsidP="00DA10B5">
      <w:pPr>
        <w:spacing w:after="0" w:line="240" w:lineRule="auto"/>
        <w:ind w:left="737" w:right="737"/>
        <w:jc w:val="both"/>
        <w:rPr>
          <w:rFonts w:ascii="Verdana" w:eastAsia="Calibri" w:hAnsi="Verdana" w:cs="Times New Roman"/>
          <w:sz w:val="20"/>
          <w:szCs w:val="20"/>
        </w:rPr>
      </w:pPr>
      <w:r>
        <w:rPr>
          <w:rFonts w:ascii="Verdana" w:eastAsia="Calibri" w:hAnsi="Verdana" w:cs="Times New Roman"/>
          <w:sz w:val="20"/>
          <w:szCs w:val="20"/>
        </w:rPr>
        <w:t>“</w:t>
      </w:r>
      <w:r w:rsidR="006F012C" w:rsidRPr="00052C22">
        <w:rPr>
          <w:rFonts w:ascii="Verdana" w:eastAsia="Calibri" w:hAnsi="Verdana" w:cs="Times New Roman"/>
          <w:sz w:val="20"/>
          <w:szCs w:val="20"/>
        </w:rPr>
        <w:t xml:space="preserve">¿Puede una entidad territorial suscribir un convenio de formalización de </w:t>
      </w:r>
      <w:r w:rsidR="006F012C">
        <w:rPr>
          <w:rFonts w:ascii="Verdana" w:eastAsia="Calibri" w:hAnsi="Verdana" w:cs="Times New Roman"/>
          <w:sz w:val="20"/>
          <w:szCs w:val="20"/>
        </w:rPr>
        <w:t xml:space="preserve"> </w:t>
      </w:r>
      <w:r w:rsidR="006F012C" w:rsidRPr="00052C22">
        <w:rPr>
          <w:rFonts w:ascii="Verdana" w:eastAsia="Calibri" w:hAnsi="Verdana" w:cs="Times New Roman"/>
          <w:sz w:val="20"/>
          <w:szCs w:val="20"/>
        </w:rPr>
        <w:t xml:space="preserve">entrega de proyecto con comunidades étnicas o autoridades indígenas, </w:t>
      </w:r>
      <w:r w:rsidR="006F012C" w:rsidRPr="00052C22">
        <w:rPr>
          <w:rFonts w:ascii="Verdana" w:eastAsia="Calibri" w:hAnsi="Verdana" w:cs="Times New Roman"/>
          <w:sz w:val="20"/>
          <w:szCs w:val="20"/>
        </w:rPr>
        <w:lastRenderedPageBreak/>
        <w:t xml:space="preserve">en </w:t>
      </w:r>
      <w:r w:rsidR="006F012C">
        <w:rPr>
          <w:rFonts w:ascii="Verdana" w:eastAsia="Calibri" w:hAnsi="Verdana" w:cs="Times New Roman"/>
          <w:sz w:val="20"/>
          <w:szCs w:val="20"/>
        </w:rPr>
        <w:t xml:space="preserve"> </w:t>
      </w:r>
      <w:r w:rsidR="006F012C" w:rsidRPr="00052C22">
        <w:rPr>
          <w:rFonts w:ascii="Verdana" w:eastAsia="Calibri" w:hAnsi="Verdana" w:cs="Times New Roman"/>
          <w:sz w:val="20"/>
          <w:szCs w:val="20"/>
        </w:rPr>
        <w:t xml:space="preserve">cumplimiento de lo dispuesto en el artículo 87 de la Ley 2056 de 2020, </w:t>
      </w:r>
      <w:r w:rsidR="006F012C">
        <w:rPr>
          <w:rFonts w:ascii="Verdana" w:eastAsia="Calibri" w:hAnsi="Verdana" w:cs="Times New Roman"/>
          <w:sz w:val="20"/>
          <w:szCs w:val="20"/>
        </w:rPr>
        <w:t xml:space="preserve"> </w:t>
      </w:r>
      <w:r w:rsidR="006F012C" w:rsidRPr="00052C22">
        <w:rPr>
          <w:rFonts w:ascii="Verdana" w:eastAsia="Calibri" w:hAnsi="Verdana" w:cs="Times New Roman"/>
          <w:sz w:val="20"/>
          <w:szCs w:val="20"/>
        </w:rPr>
        <w:t xml:space="preserve">durante la vigencia de la Ley de Garantías Electorales, cuando la entidad </w:t>
      </w:r>
      <w:r w:rsidR="006F012C">
        <w:rPr>
          <w:rFonts w:ascii="Verdana" w:eastAsia="Calibri" w:hAnsi="Verdana" w:cs="Times New Roman"/>
          <w:sz w:val="20"/>
          <w:szCs w:val="20"/>
        </w:rPr>
        <w:t xml:space="preserve"> </w:t>
      </w:r>
      <w:r w:rsidR="006F012C" w:rsidRPr="00052C22">
        <w:rPr>
          <w:rFonts w:ascii="Verdana" w:eastAsia="Calibri" w:hAnsi="Verdana" w:cs="Times New Roman"/>
          <w:sz w:val="20"/>
          <w:szCs w:val="20"/>
        </w:rPr>
        <w:t xml:space="preserve">propuesta como ejecutora corresponde a una entidad territorial de </w:t>
      </w:r>
      <w:r w:rsidR="006F012C">
        <w:rPr>
          <w:rFonts w:ascii="Verdana" w:eastAsia="Calibri" w:hAnsi="Verdana" w:cs="Times New Roman"/>
          <w:sz w:val="20"/>
          <w:szCs w:val="20"/>
        </w:rPr>
        <w:t xml:space="preserve"> </w:t>
      </w:r>
      <w:r w:rsidR="006F012C" w:rsidRPr="00052C22">
        <w:rPr>
          <w:rFonts w:ascii="Verdana" w:eastAsia="Calibri" w:hAnsi="Verdana" w:cs="Times New Roman"/>
          <w:sz w:val="20"/>
          <w:szCs w:val="20"/>
        </w:rPr>
        <w:t>naturaleza pública?</w:t>
      </w:r>
      <w:r>
        <w:rPr>
          <w:rFonts w:ascii="Verdana" w:eastAsia="Calibri" w:hAnsi="Verdana" w:cs="Times New Roman"/>
          <w:sz w:val="20"/>
          <w:szCs w:val="20"/>
        </w:rPr>
        <w:t>”</w:t>
      </w:r>
    </w:p>
    <w:p w14:paraId="7C3AA312" w14:textId="77777777" w:rsidR="006F012C" w:rsidRDefault="006F012C" w:rsidP="006F012C">
      <w:pPr>
        <w:spacing w:after="0" w:line="240" w:lineRule="auto"/>
        <w:ind w:right="709"/>
        <w:jc w:val="both"/>
        <w:rPr>
          <w:rFonts w:ascii="Verdana" w:eastAsia="Calibri" w:hAnsi="Verdana" w:cs="Times New Roman"/>
          <w:i/>
          <w:iCs/>
          <w:sz w:val="20"/>
        </w:rPr>
      </w:pPr>
    </w:p>
    <w:p w14:paraId="20222286" w14:textId="77777777" w:rsidR="006F012C" w:rsidRPr="00437C34" w:rsidRDefault="006F012C" w:rsidP="006F012C">
      <w:pPr>
        <w:spacing w:after="0" w:line="240" w:lineRule="auto"/>
        <w:ind w:right="709"/>
        <w:jc w:val="both"/>
        <w:rPr>
          <w:rFonts w:ascii="Verdana" w:eastAsia="Calibri" w:hAnsi="Verdana" w:cs="Times New Roman"/>
          <w:i/>
          <w:iCs/>
          <w:sz w:val="20"/>
        </w:rPr>
      </w:pPr>
    </w:p>
    <w:p w14:paraId="708EEB3D" w14:textId="77777777" w:rsidR="006F012C" w:rsidRPr="00437C34" w:rsidRDefault="006F012C" w:rsidP="006F012C">
      <w:pPr>
        <w:spacing w:after="120" w:line="276" w:lineRule="auto"/>
        <w:ind w:firstLine="709"/>
        <w:jc w:val="both"/>
        <w:rPr>
          <w:rFonts w:ascii="Verdana" w:eastAsia="Calibri" w:hAnsi="Verdana" w:cs="Times New Roman"/>
          <w:lang w:val="es-ES"/>
        </w:rPr>
      </w:pPr>
      <w:r w:rsidRPr="00437C34">
        <w:rPr>
          <w:rFonts w:ascii="Verdana" w:eastAsia="Calibri" w:hAnsi="Verdana" w:cs="Times New Roman"/>
          <w:lang w:val="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35E36D2F" w14:textId="77777777" w:rsidR="006F012C" w:rsidRPr="00437C34" w:rsidRDefault="006F012C" w:rsidP="006F012C">
      <w:pPr>
        <w:spacing w:after="0" w:line="276" w:lineRule="auto"/>
        <w:ind w:firstLine="708"/>
        <w:jc w:val="both"/>
        <w:rPr>
          <w:rFonts w:ascii="Verdana" w:eastAsia="Calibri" w:hAnsi="Verdana" w:cs="Times New Roman"/>
          <w:lang w:val="es-ES"/>
        </w:rPr>
      </w:pPr>
      <w:r w:rsidRPr="00437C34">
        <w:rPr>
          <w:rFonts w:ascii="Verdana" w:eastAsia="Calibri" w:hAnsi="Verdana" w:cs="Times New Roman"/>
          <w:lang w:val="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70E07ECF" w14:textId="77777777" w:rsidR="006F012C" w:rsidRPr="00437C34" w:rsidRDefault="006F012C" w:rsidP="006F012C">
      <w:pPr>
        <w:spacing w:after="0" w:line="276" w:lineRule="auto"/>
        <w:rPr>
          <w:rFonts w:ascii="Verdana" w:eastAsia="Calibri" w:hAnsi="Verdana" w:cs="Times New Roman"/>
          <w:lang w:val="es-ES"/>
        </w:rPr>
      </w:pPr>
    </w:p>
    <w:p w14:paraId="6F6DCA20" w14:textId="77777777" w:rsidR="006F012C" w:rsidRPr="00437C34" w:rsidRDefault="006F012C" w:rsidP="006F012C">
      <w:pPr>
        <w:numPr>
          <w:ilvl w:val="0"/>
          <w:numId w:val="16"/>
        </w:numPr>
        <w:spacing w:after="0" w:line="276" w:lineRule="auto"/>
        <w:contextualSpacing/>
        <w:rPr>
          <w:rFonts w:ascii="Verdana" w:eastAsia="Calibri" w:hAnsi="Verdana" w:cs="Times New Roman"/>
          <w:b/>
          <w:bCs/>
          <w:lang w:val="es-ES"/>
        </w:rPr>
      </w:pPr>
      <w:r w:rsidRPr="00437C34">
        <w:rPr>
          <w:rFonts w:ascii="Verdana" w:eastAsia="Calibri" w:hAnsi="Verdana" w:cs="Times New Roman"/>
          <w:b/>
          <w:bCs/>
          <w:lang w:val="es-ES"/>
        </w:rPr>
        <w:t>Problema planteado:</w:t>
      </w:r>
    </w:p>
    <w:p w14:paraId="61F02270" w14:textId="77777777" w:rsidR="006F012C" w:rsidRPr="00437C34" w:rsidRDefault="006F012C" w:rsidP="006F012C">
      <w:pPr>
        <w:spacing w:after="0" w:line="276" w:lineRule="auto"/>
        <w:rPr>
          <w:rFonts w:ascii="Verdana" w:eastAsia="Calibri" w:hAnsi="Verdana" w:cs="Times New Roman"/>
        </w:rPr>
      </w:pPr>
    </w:p>
    <w:p w14:paraId="5466036B" w14:textId="77777777" w:rsidR="006F012C" w:rsidRPr="00437C34" w:rsidRDefault="006F012C" w:rsidP="006F012C">
      <w:pPr>
        <w:spacing w:after="0" w:line="276" w:lineRule="auto"/>
        <w:jc w:val="both"/>
        <w:rPr>
          <w:rFonts w:ascii="Verdana" w:eastAsia="Calibri" w:hAnsi="Verdana" w:cs="Times New Roman"/>
          <w:iCs/>
        </w:rPr>
      </w:pPr>
      <w:r w:rsidRPr="00437C34">
        <w:rPr>
          <w:rFonts w:ascii="Verdana" w:eastAsia="Calibri" w:hAnsi="Verdana" w:cs="Times New Roman"/>
        </w:rPr>
        <w:t>De acuerdo con el contenido de sus solicitudes, esta Agencia procede a resolver el siguiente problema jurídico:</w:t>
      </w:r>
      <w:r w:rsidRPr="00437C34">
        <w:rPr>
          <w:rFonts w:ascii="Verdana" w:eastAsia="Calibri" w:hAnsi="Verdana" w:cs="Times New Roman"/>
          <w:iCs/>
          <w:lang w:val="es-ES"/>
        </w:rPr>
        <w:t xml:space="preserve"> ¿aplican las restricciones reguladas en la Ley 996 de 2005 </w:t>
      </w:r>
      <w:r w:rsidRPr="00437C34">
        <w:rPr>
          <w:rFonts w:ascii="Verdana" w:eastAsia="Calibri" w:hAnsi="Verdana" w:cs="Times New Roman"/>
          <w:bCs/>
          <w:iCs/>
        </w:rPr>
        <w:t xml:space="preserve">frente a los convenios contemplados en el artículo </w:t>
      </w:r>
      <w:r>
        <w:rPr>
          <w:rFonts w:ascii="Verdana" w:eastAsia="Calibri" w:hAnsi="Verdana" w:cs="Times New Roman"/>
          <w:bCs/>
          <w:iCs/>
        </w:rPr>
        <w:t xml:space="preserve">87 </w:t>
      </w:r>
      <w:r w:rsidRPr="00437C34">
        <w:rPr>
          <w:rFonts w:ascii="Verdana" w:eastAsia="Calibri" w:hAnsi="Verdana" w:cs="Times New Roman"/>
          <w:bCs/>
          <w:iCs/>
        </w:rPr>
        <w:t>de la Ley 2056 de 2020</w:t>
      </w:r>
      <w:r w:rsidRPr="00437C34">
        <w:rPr>
          <w:rFonts w:ascii="Verdana" w:eastAsia="Calibri" w:hAnsi="Verdana" w:cs="Times New Roman"/>
          <w:iCs/>
        </w:rPr>
        <w:t>?</w:t>
      </w:r>
    </w:p>
    <w:p w14:paraId="689E0CD1" w14:textId="77777777" w:rsidR="006F012C" w:rsidRPr="00437C34" w:rsidRDefault="006F012C" w:rsidP="006F012C">
      <w:pPr>
        <w:spacing w:after="0" w:line="276" w:lineRule="auto"/>
        <w:jc w:val="both"/>
        <w:rPr>
          <w:rFonts w:ascii="Verdana" w:eastAsia="Calibri" w:hAnsi="Verdana" w:cs="Times New Roman"/>
          <w:i/>
          <w:iCs/>
        </w:rPr>
      </w:pPr>
    </w:p>
    <w:p w14:paraId="125E8BD0" w14:textId="77777777" w:rsidR="006F012C" w:rsidRPr="00437C34" w:rsidRDefault="006F012C" w:rsidP="006F012C">
      <w:pPr>
        <w:numPr>
          <w:ilvl w:val="0"/>
          <w:numId w:val="16"/>
        </w:numPr>
        <w:spacing w:after="0" w:line="276" w:lineRule="auto"/>
        <w:contextualSpacing/>
        <w:rPr>
          <w:rFonts w:ascii="Verdana" w:eastAsia="Calibri" w:hAnsi="Verdana" w:cs="Times New Roman"/>
          <w:b/>
          <w:bCs/>
          <w:lang w:val="es-ES"/>
        </w:rPr>
      </w:pPr>
      <w:r w:rsidRPr="00437C34">
        <w:rPr>
          <w:rFonts w:ascii="Verdana" w:eastAsia="Calibri" w:hAnsi="Verdana" w:cs="Times New Roman"/>
          <w:b/>
          <w:bCs/>
          <w:lang w:val="es-ES"/>
        </w:rPr>
        <w:t>Respuesta:</w:t>
      </w:r>
    </w:p>
    <w:p w14:paraId="502674E4" w14:textId="77777777" w:rsidR="006F012C" w:rsidRPr="00437C34" w:rsidRDefault="006F012C" w:rsidP="006F012C">
      <w:pPr>
        <w:spacing w:after="0" w:line="276" w:lineRule="auto"/>
        <w:rPr>
          <w:rFonts w:ascii="Verdana" w:eastAsia="Calibri" w:hAnsi="Verdana" w:cs="Times New Roman"/>
          <w:b/>
          <w:bCs/>
          <w:lang w:val="es-ES"/>
        </w:rPr>
      </w:pPr>
    </w:p>
    <w:tbl>
      <w:tblPr>
        <w:tblStyle w:val="Tablaconcuadrcula"/>
        <w:tblW w:w="878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6F012C" w:rsidRPr="00437C34" w14:paraId="3BC87629" w14:textId="77777777" w:rsidTr="004E205F">
        <w:trPr>
          <w:trHeight w:val="618"/>
          <w:jc w:val="center"/>
        </w:trPr>
        <w:tc>
          <w:tcPr>
            <w:tcW w:w="8784" w:type="dxa"/>
            <w:tcBorders>
              <w:bottom w:val="single" w:sz="4" w:space="0" w:color="auto"/>
            </w:tcBorders>
          </w:tcPr>
          <w:p w14:paraId="6E5F2FDC" w14:textId="77777777" w:rsidR="006F012C" w:rsidRPr="00437C34" w:rsidRDefault="006F012C" w:rsidP="004E205F">
            <w:pPr>
              <w:spacing w:before="120" w:after="120" w:line="276" w:lineRule="auto"/>
              <w:jc w:val="both"/>
              <w:rPr>
                <w:rFonts w:ascii="Verdana" w:eastAsia="Times New Roman" w:hAnsi="Verdana" w:cs="Arial"/>
                <w:bCs/>
                <w:lang w:val="es-MX" w:eastAsia="x-none"/>
              </w:rPr>
            </w:pPr>
            <w:r w:rsidRPr="00437C34">
              <w:rPr>
                <w:rFonts w:ascii="Verdana" w:eastAsia="Calibri" w:hAnsi="Verdana" w:cs="Times New Roman"/>
              </w:rPr>
              <w:t xml:space="preserve">En cuanto a </w:t>
            </w:r>
            <w:r w:rsidRPr="00437C34">
              <w:rPr>
                <w:rFonts w:ascii="Verdana" w:eastAsia="Calibri" w:hAnsi="Verdana" w:cs="Arial"/>
                <w:lang w:val="es-MX"/>
              </w:rPr>
              <w:t xml:space="preserve">la restricción prevista en el artículo 33 de la Ley 996 de 2005 es preciso resaltar que esta </w:t>
            </w:r>
            <w:r w:rsidRPr="00437C34">
              <w:rPr>
                <w:rFonts w:ascii="Verdana" w:eastAsia="Times New Roman" w:hAnsi="Verdana" w:cs="Arial"/>
                <w:bCs/>
                <w:lang w:val="es-MX" w:eastAsia="x-none"/>
              </w:rPr>
              <w:t xml:space="preserve">cobija a cualquier </w:t>
            </w:r>
            <w:r w:rsidRPr="00437C34">
              <w:rPr>
                <w:rFonts w:ascii="Verdana" w:eastAsia="Times New Roman" w:hAnsi="Verdana" w:cs="Arial"/>
                <w:bCs/>
                <w:i/>
                <w:iCs/>
                <w:lang w:val="es-MX" w:eastAsia="x-none"/>
              </w:rPr>
              <w:t>entidad pública</w:t>
            </w:r>
            <w:r w:rsidRPr="00437C34">
              <w:rPr>
                <w:rFonts w:ascii="Verdana" w:eastAsia="Times New Roman" w:hAnsi="Verdana" w:cs="Arial"/>
                <w:bCs/>
                <w:lang w:val="es-MX" w:eastAsia="x-none"/>
              </w:rPr>
              <w:t xml:space="preserve"> independiente del régimen jurídico, que pueda mediante la contratación directa romper el </w:t>
            </w:r>
            <w:r w:rsidRPr="00437C34">
              <w:rPr>
                <w:rFonts w:ascii="Verdana" w:eastAsia="Times New Roman" w:hAnsi="Verdana" w:cs="Arial"/>
                <w:bCs/>
                <w:lang w:val="es-MX" w:eastAsia="x-none"/>
              </w:rPr>
              <w:lastRenderedPageBreak/>
              <w:t xml:space="preserve">equilibrio entre los candidatos en desarrollo de las elecciones presidenciales. Tampoco existe un supuesto de exoneración a la prohibición por tener un régimen especial de los actos o contratos o </w:t>
            </w:r>
            <w:r w:rsidRPr="00437C34">
              <w:rPr>
                <w:rFonts w:ascii="Verdana" w:eastAsia="Times New Roman" w:hAnsi="Verdana" w:cs="Arial"/>
                <w:bCs/>
                <w:i/>
                <w:iCs/>
                <w:lang w:val="es-MX" w:eastAsia="x-none"/>
              </w:rPr>
              <w:t>por la ejecución de un cierto tipo de recursos en sus contrataciones</w:t>
            </w:r>
            <w:r w:rsidRPr="00437C34">
              <w:rPr>
                <w:rFonts w:ascii="Verdana" w:eastAsia="Times New Roman" w:hAnsi="Verdana" w:cs="Arial"/>
                <w:bCs/>
                <w:lang w:val="es-MX" w:eastAsia="x-none"/>
              </w:rPr>
              <w:t xml:space="preserve">, pues, la posibilidad de que los entes del Estado usen la contratación con fines políticos, esto es, con la intención de influir a los electores y alterar la voluntad popular en las contiendas electorales, puede presentarse tanto en la contratación regulada por la Ley 80 de 1993 como en la regida por normas especiales. </w:t>
            </w:r>
          </w:p>
          <w:p w14:paraId="54BBED60" w14:textId="77777777" w:rsidR="006F012C" w:rsidRPr="00437C34" w:rsidRDefault="006F012C" w:rsidP="004E205F">
            <w:pPr>
              <w:spacing w:after="120" w:line="276" w:lineRule="auto"/>
              <w:ind w:firstLine="709"/>
              <w:jc w:val="both"/>
              <w:rPr>
                <w:rFonts w:ascii="Verdana" w:eastAsia="Times New Roman" w:hAnsi="Verdana" w:cs="Arial"/>
                <w:bCs/>
                <w:lang w:val="es-MX" w:eastAsia="x-none"/>
              </w:rPr>
            </w:pPr>
            <w:r w:rsidRPr="00437C34">
              <w:rPr>
                <w:rFonts w:ascii="Verdana" w:eastAsia="Times New Roman" w:hAnsi="Verdana" w:cs="Arial"/>
                <w:bCs/>
                <w:lang w:val="es-MX" w:eastAsia="x-none"/>
              </w:rPr>
              <w:t xml:space="preserve">En relación con los destinatarios de la restricción analizada, el artículo 33 de la Ley 996 de 2005 los señala expresamente, en el sentido de que son </w:t>
            </w:r>
            <w:r w:rsidRPr="00437C34">
              <w:rPr>
                <w:rFonts w:ascii="Verdana" w:eastAsia="Times New Roman" w:hAnsi="Verdana" w:cs="Arial"/>
                <w:bCs/>
                <w:i/>
                <w:iCs/>
                <w:lang w:val="es-MX" w:eastAsia="x-none"/>
              </w:rPr>
              <w:t xml:space="preserve">“todos los entes del Estado”, </w:t>
            </w:r>
            <w:r w:rsidRPr="00437C34">
              <w:rPr>
                <w:rFonts w:ascii="Verdana" w:eastAsia="Times New Roman" w:hAnsi="Verdana" w:cs="Arial"/>
                <w:bCs/>
                <w:lang w:val="es-MX" w:eastAsia="x-none"/>
              </w:rPr>
              <w:t xml:space="preserve">expresión que contempla a los diferentes organismos o entidades autorizadas por la ley para suscribir contratos, </w:t>
            </w:r>
            <w:r w:rsidRPr="00437C34">
              <w:rPr>
                <w:rFonts w:ascii="Verdana" w:eastAsia="Times New Roman" w:hAnsi="Verdana" w:cs="Arial"/>
                <w:bCs/>
                <w:lang w:eastAsia="x-none"/>
              </w:rPr>
              <w:t xml:space="preserve">sin distinción del régimen jurídico, forma de organización o naturaleza, su pertenencia a una u otra rama del poder público o su autonomía, e incluso si se trata de entidades estatales que al estar sometidas a un régimen especial se encuentren del ámbito de aplicación del Estatuto General de Contratación de la Administración Pública. </w:t>
            </w:r>
          </w:p>
          <w:p w14:paraId="488E6FCA" w14:textId="02787310" w:rsidR="006F012C" w:rsidRPr="00437C34" w:rsidRDefault="006F012C" w:rsidP="004E205F">
            <w:pPr>
              <w:spacing w:after="120" w:line="276" w:lineRule="auto"/>
              <w:ind w:firstLine="709"/>
              <w:jc w:val="both"/>
              <w:rPr>
                <w:rFonts w:ascii="Verdana" w:hAnsi="Verdana" w:cs="Arial"/>
                <w:lang w:val="es-ES"/>
              </w:rPr>
            </w:pPr>
            <w:r w:rsidRPr="00437C34">
              <w:rPr>
                <w:rFonts w:ascii="Verdana" w:eastAsia="Times New Roman" w:hAnsi="Verdana" w:cs="Arial"/>
                <w:bCs/>
                <w:lang w:val="es-ES" w:eastAsia="x-none"/>
              </w:rPr>
              <w:t xml:space="preserve">En esta cuestión, </w:t>
            </w:r>
            <w:r w:rsidRPr="00437C34">
              <w:rPr>
                <w:rFonts w:ascii="Verdana" w:eastAsia="Times New Roman" w:hAnsi="Verdana" w:cs="Arial"/>
                <w:bCs/>
                <w:lang w:eastAsia="x-none"/>
              </w:rPr>
              <w:t>analizada la Ley 2056 de 2020 y en particular, el artículo</w:t>
            </w:r>
            <w:r>
              <w:rPr>
                <w:rFonts w:ascii="Verdana" w:eastAsia="Times New Roman" w:hAnsi="Verdana" w:cs="Arial"/>
                <w:bCs/>
                <w:lang w:eastAsia="x-none"/>
              </w:rPr>
              <w:t xml:space="preserve"> 87</w:t>
            </w:r>
            <w:r w:rsidRPr="00437C34">
              <w:rPr>
                <w:rFonts w:ascii="Verdana" w:eastAsia="Times New Roman" w:hAnsi="Verdana" w:cs="Arial"/>
                <w:bCs/>
                <w:lang w:eastAsia="x-none"/>
              </w:rPr>
              <w:t xml:space="preserve">, </w:t>
            </w:r>
            <w:r w:rsidRPr="00437C34">
              <w:rPr>
                <w:rFonts w:ascii="Verdana" w:eastAsia="Times New Roman" w:hAnsi="Verdana" w:cs="Arial"/>
                <w:bCs/>
                <w:lang w:val="es-ES" w:eastAsia="x-none"/>
              </w:rPr>
              <w:t xml:space="preserve">no se evidencia una excepción a lo dispuesto en el artículo 33 de la Ley 996 de 2005 </w:t>
            </w:r>
            <w:r w:rsidRPr="00437C34">
              <w:rPr>
                <w:rFonts w:ascii="Verdana" w:eastAsia="Times New Roman" w:hAnsi="Verdana" w:cs="Arial"/>
                <w:bCs/>
                <w:lang w:val="es-MX" w:eastAsia="x-none"/>
              </w:rPr>
              <w:t>que restringe la contratación directa en el periodo preelectoral a las elecciones presidenciales por el tipo de recurso que pretende ejecutarse. En otras palabras, esta normatividad especial para la ejecución de recursos del Sistema General de Regalías no implica que esté exonerada de la restricción, pues el legislador no hizo distinción del tipo de recursos al establecer la prohibición.  En este sentido, aplicará la restricción señalada respecto de todos los entes del Estado</w:t>
            </w:r>
            <w:r w:rsidRPr="00437C34">
              <w:rPr>
                <w:rFonts w:ascii="Verdana" w:eastAsia="Times New Roman" w:hAnsi="Verdana" w:cs="Arial"/>
                <w:bCs/>
                <w:i/>
                <w:iCs/>
                <w:lang w:val="es-MX" w:eastAsia="x-none"/>
              </w:rPr>
              <w:t>,</w:t>
            </w:r>
            <w:r w:rsidRPr="00437C34">
              <w:rPr>
                <w:rFonts w:ascii="Verdana" w:eastAsia="Times New Roman" w:hAnsi="Verdana" w:cs="Arial"/>
                <w:bCs/>
                <w:lang w:val="es-MX" w:eastAsia="x-none"/>
              </w:rPr>
              <w:t xml:space="preserve"> con independencia de la fuente de los recursos. </w:t>
            </w:r>
          </w:p>
          <w:p w14:paraId="1B637226" w14:textId="77777777" w:rsidR="006F012C" w:rsidRPr="00437C34" w:rsidRDefault="006F012C" w:rsidP="004E205F">
            <w:pPr>
              <w:spacing w:after="120" w:line="276" w:lineRule="auto"/>
              <w:ind w:firstLine="709"/>
              <w:jc w:val="both"/>
              <w:rPr>
                <w:rFonts w:ascii="Verdana" w:hAnsi="Verdana" w:cs="Arial"/>
                <w:lang w:val="es-ES"/>
              </w:rPr>
            </w:pPr>
            <w:r w:rsidRPr="00437C34">
              <w:rPr>
                <w:rFonts w:ascii="Verdana" w:hAnsi="Verdana" w:cs="Arial"/>
                <w:lang w:val="es-ES"/>
              </w:rPr>
              <w:t xml:space="preserve">En efecto, si bien el artículo </w:t>
            </w:r>
            <w:r>
              <w:rPr>
                <w:rFonts w:ascii="Verdana" w:hAnsi="Verdana" w:cs="Arial"/>
                <w:lang w:val="es-ES"/>
              </w:rPr>
              <w:t>87</w:t>
            </w:r>
            <w:r w:rsidRPr="00437C34">
              <w:rPr>
                <w:rFonts w:ascii="Verdana" w:hAnsi="Verdana" w:cs="Arial"/>
                <w:lang w:val="es-ES"/>
              </w:rPr>
              <w:t xml:space="preserve"> de la Ley 2056 de 2020 dispone el deber de suscribir un convenio dentro de los dos (2) meses siguientes a la aprobación del proyecto de inversión, dicha disposición no consagra de manera expresa una excepción a las restricciones previstas en el artículo 33 de la Ley 996 de 2005. En este caso, el legislador se limitó a establecer un término para la celebración del convenio, pero no señaló que esta actuación contractual pudiera adelantarse durante el periodo de restricción electoral ni excluyó expresamente su aplicación del régimen de la Ley de Garantías Electorales. </w:t>
            </w:r>
          </w:p>
          <w:p w14:paraId="511EE682" w14:textId="77777777" w:rsidR="006F012C" w:rsidRPr="00437C34" w:rsidRDefault="006F012C" w:rsidP="004E205F">
            <w:pPr>
              <w:spacing w:after="120" w:line="276" w:lineRule="auto"/>
              <w:ind w:firstLine="709"/>
              <w:jc w:val="both"/>
              <w:rPr>
                <w:rFonts w:ascii="Verdana" w:hAnsi="Verdana" w:cs="Arial"/>
                <w:lang w:val="es-ES"/>
              </w:rPr>
            </w:pPr>
            <w:r w:rsidRPr="00437C34">
              <w:rPr>
                <w:rFonts w:ascii="Verdana" w:hAnsi="Verdana" w:cs="Arial"/>
                <w:lang w:val="es-ES"/>
              </w:rPr>
              <w:lastRenderedPageBreak/>
              <w:t xml:space="preserve">Al respecto, es importante precisar que la previsión legal de un término para la suscripción del convenio no implica, por sí misma, que dicho plazo prevalezca sobre las restricciones contenidas en la Ley de Garantías Electorales. Debe tenerse en cuenta que la Ley 996 de 2005, por su naturaleza estatutaria, goza de una jerarquía superior en el ordenamiento jurídico, en la medida que desarrolla materias relacionadas con las garantías electorales y la participación democrática. Por ello, no puede interpretarse que el término previsto en el artículo </w:t>
            </w:r>
            <w:r>
              <w:rPr>
                <w:rFonts w:ascii="Verdana" w:hAnsi="Verdana" w:cs="Arial"/>
                <w:lang w:val="es-ES"/>
              </w:rPr>
              <w:t>87</w:t>
            </w:r>
            <w:r w:rsidRPr="00437C34">
              <w:rPr>
                <w:rFonts w:ascii="Verdana" w:hAnsi="Verdana" w:cs="Arial"/>
                <w:lang w:val="es-ES"/>
              </w:rPr>
              <w:t xml:space="preserve"> de la Ley 2056 de 2020 para suscripción del convenio constituye, de manera implícita, una excepción a la prohibición de contratación durante el periodo electoral, pues esto implicaría hacer prevalecer una disposición de una ley ordinaria sobre una restricción establecida en una ley estatutaria, sin que el legislador hubiera previsto expresamente dicha consecuencia.</w:t>
            </w:r>
          </w:p>
          <w:p w14:paraId="297DE6BD" w14:textId="77777777" w:rsidR="006F012C" w:rsidRPr="00437C34" w:rsidRDefault="006F012C" w:rsidP="004E205F">
            <w:pPr>
              <w:spacing w:after="120" w:line="276" w:lineRule="auto"/>
              <w:ind w:firstLine="709"/>
              <w:jc w:val="both"/>
              <w:rPr>
                <w:rFonts w:ascii="Verdana" w:hAnsi="Verdana" w:cs="Arial"/>
                <w:lang w:val="es-ES"/>
              </w:rPr>
            </w:pPr>
            <w:r w:rsidRPr="00437C34">
              <w:rPr>
                <w:rFonts w:ascii="Verdana" w:hAnsi="Verdana" w:cs="Arial"/>
                <w:lang w:val="es-ES"/>
              </w:rPr>
              <w:t>En este sentido, no resulta jurídicamente viable sostener que en este caso existe una excepción a la Ley de Garantías Electorales por el deber de celebrar el convenio dentro de un plazo determinado, especialmente si se tiene en cuenta que las excepciones a las restricciones en materia electoral, debido a su naturaleza excepcional, deben estar consagradas de manera expresa y ser objeto de una interpretación estricta y restrictiva.</w:t>
            </w:r>
          </w:p>
          <w:p w14:paraId="5E09AE82" w14:textId="77777777" w:rsidR="006F012C" w:rsidRPr="00437C34" w:rsidRDefault="006F012C" w:rsidP="004E205F">
            <w:pPr>
              <w:tabs>
                <w:tab w:val="left" w:pos="1843"/>
              </w:tabs>
              <w:spacing w:after="120" w:line="276" w:lineRule="auto"/>
              <w:ind w:firstLine="709"/>
              <w:jc w:val="both"/>
              <w:rPr>
                <w:rFonts w:ascii="Verdana" w:eastAsia="Times New Roman" w:hAnsi="Verdana" w:cs="Arial"/>
                <w:bCs/>
                <w:lang w:val="es-MX" w:eastAsia="x-none"/>
              </w:rPr>
            </w:pPr>
            <w:r w:rsidRPr="00437C34">
              <w:rPr>
                <w:rFonts w:ascii="Verdana" w:hAnsi="Verdana" w:cs="Arial"/>
                <w:lang w:val="es-ES"/>
              </w:rPr>
              <w:t xml:space="preserve">En este contexto, debe reiterarse que </w:t>
            </w:r>
            <w:r w:rsidRPr="00437C34">
              <w:rPr>
                <w:rFonts w:ascii="Verdana" w:eastAsia="Times New Roman" w:hAnsi="Verdana" w:cs="Arial"/>
                <w:bCs/>
                <w:lang w:val="es-MX" w:eastAsia="x-none"/>
              </w:rPr>
              <w:t>la restricción del artículo 33 de la Ley de Garantías Electorales aplica, sin perjuicio de las excepciones establecidas en el inciso segundo del precitado artículo: i) los contratos relacionados con la defensa y seguridad del Estado, analizados en el Concepto 322 de 2026; ii) los contratos de crédito público, abordados en el Concepto CU-372 de 2026; iii) los contratos necesarios para atender emergencias educativas, sanitarias o desastres, tratados en los Conceptos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118 de 2026 y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176 de 2026, que tratan en este caso de la urgencia manifiesta; iv) los contratos destinados a la reconstrucción de infraestructura vial, energética y de comunicaciones afectada por atentados, acciones terroristas, desastres naturales o fuerza mayor, igualmente estudiados en los Conceptos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118 de 2026 y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176 de 2026, entre otros; y v) la contratación directa celebrada por entidades sanitarias y hospitalarias, objeto de análisis en los Conceptos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1124 de 2026,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1406 de 2026 y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 xml:space="preserve">1703 de 2026. </w:t>
            </w:r>
          </w:p>
          <w:p w14:paraId="3478A6DD" w14:textId="77777777" w:rsidR="006F012C" w:rsidRPr="00437C34" w:rsidRDefault="006F012C" w:rsidP="004E205F">
            <w:pPr>
              <w:tabs>
                <w:tab w:val="left" w:pos="1843"/>
              </w:tabs>
              <w:spacing w:after="120" w:line="276" w:lineRule="auto"/>
              <w:ind w:firstLine="709"/>
              <w:jc w:val="both"/>
              <w:rPr>
                <w:rFonts w:ascii="Verdana" w:eastAsia="Times New Roman" w:hAnsi="Verdana" w:cs="Arial"/>
                <w:bCs/>
                <w:lang w:eastAsia="es-CO"/>
              </w:rPr>
            </w:pPr>
            <w:r w:rsidRPr="00437C34">
              <w:rPr>
                <w:rFonts w:ascii="Verdana" w:eastAsia="Times New Roman" w:hAnsi="Verdana" w:cs="Arial"/>
                <w:bCs/>
                <w:lang w:eastAsia="es-CO"/>
              </w:rPr>
              <w:t xml:space="preserve">Bajo este contexto, corresponde a cada entidad estatal analizar, en el caso concreto, la naturaleza y finalidad de las actividades que pretende desarrollar mediante el respectivo convenio, con el propósito de determinar si su objeto se encuentra comprendido dentro de alguna de las excepciones </w:t>
            </w:r>
            <w:r w:rsidRPr="00437C34">
              <w:rPr>
                <w:rFonts w:ascii="Verdana" w:eastAsia="Times New Roman" w:hAnsi="Verdana" w:cs="Arial"/>
                <w:bCs/>
                <w:lang w:eastAsia="es-CO"/>
              </w:rPr>
              <w:lastRenderedPageBreak/>
              <w:t>expresamente admitidas al régimen de restricciones previsto en la Ley de Garantías Electorales</w:t>
            </w:r>
            <w:r w:rsidRPr="00437C34">
              <w:rPr>
                <w:rFonts w:ascii="Verdana" w:eastAsia="Times New Roman" w:hAnsi="Verdana" w:cs="Arial"/>
                <w:bCs/>
                <w:lang w:val="es-MX" w:eastAsia="es-CO"/>
              </w:rPr>
              <w:t xml:space="preserve">. Asimismo, </w:t>
            </w:r>
            <w:r w:rsidRPr="00437C34">
              <w:rPr>
                <w:rFonts w:ascii="Verdana" w:eastAsiaTheme="minorEastAsia" w:hAnsi="Verdana" w:cs="Arial"/>
                <w:lang w:eastAsia="es-CO"/>
              </w:rPr>
              <w:t xml:space="preserve">vale la pena indicar que </w:t>
            </w:r>
            <w:r w:rsidRPr="00437C34">
              <w:rPr>
                <w:rFonts w:ascii="Verdana" w:eastAsia="Calibri" w:hAnsi="Verdana" w:cs="Arial"/>
              </w:rPr>
              <w:t>l</w:t>
            </w:r>
            <w:r w:rsidRPr="00437C34">
              <w:rPr>
                <w:rFonts w:ascii="Verdana" w:eastAsia="Times New Roman" w:hAnsi="Verdana" w:cs="Arial"/>
                <w:bCs/>
                <w:lang w:val="es-ES" w:eastAsia="es-CO"/>
              </w:rPr>
              <w:t xml:space="preserve">a Sala de Consulta y Servicio Civil del Consejo de Estado ha señalado algunas situaciones en las que se exceptúa la aplicación de la Ley de Garantías como, por ejemplo, para prestación de servicios públicos esenciales y el cumplimiento de un fallo judicial. </w:t>
            </w:r>
          </w:p>
          <w:p w14:paraId="13A64CDF" w14:textId="77777777" w:rsidR="006F012C" w:rsidRPr="00437C34" w:rsidRDefault="006F012C" w:rsidP="004E205F">
            <w:pPr>
              <w:spacing w:after="120" w:line="276" w:lineRule="auto"/>
              <w:ind w:firstLine="709"/>
              <w:jc w:val="both"/>
              <w:rPr>
                <w:rFonts w:ascii="Verdana" w:hAnsi="Verdana" w:cs="Arial"/>
                <w:lang w:val="es-ES"/>
              </w:rPr>
            </w:pPr>
            <w:r w:rsidRPr="00437C34">
              <w:rPr>
                <w:rFonts w:ascii="Verdana" w:hAnsi="Verdana" w:cs="Arial"/>
                <w:lang w:val="es-ES"/>
              </w:rPr>
              <w:t xml:space="preserve">Así las cosas, la Agencia considera que la posibilidad de suscribir un convenio con fundamento en el artículo </w:t>
            </w:r>
            <w:r>
              <w:rPr>
                <w:rFonts w:ascii="Verdana" w:hAnsi="Verdana" w:cs="Arial"/>
                <w:lang w:val="es-ES"/>
              </w:rPr>
              <w:t xml:space="preserve">87 </w:t>
            </w:r>
            <w:r w:rsidRPr="00437C34">
              <w:rPr>
                <w:rFonts w:ascii="Verdana" w:hAnsi="Verdana" w:cs="Arial"/>
                <w:lang w:val="es-ES"/>
              </w:rPr>
              <w:t>de la Ley 2056 de 2020, dependerá del análisis particular que realice la entidad sobre la existencia de alguna de las excepciones establecidas en el artículo 33 de la Ley de Garantías Electorales, sin perjuicio de lo expresado por la Sala de Consulta y Servicio Civil del Consejo que se expuso en el presente concepto.</w:t>
            </w:r>
          </w:p>
          <w:p w14:paraId="6DDFBFA8" w14:textId="77777777" w:rsidR="006F012C" w:rsidRPr="00437C34" w:rsidRDefault="006F012C" w:rsidP="004E205F">
            <w:pPr>
              <w:spacing w:after="120" w:line="276" w:lineRule="auto"/>
              <w:ind w:firstLine="709"/>
              <w:jc w:val="both"/>
              <w:rPr>
                <w:rFonts w:ascii="Verdana" w:eastAsia="Times New Roman" w:hAnsi="Verdana" w:cs="Arial"/>
                <w:bCs/>
                <w:lang w:val="es-ES" w:eastAsia="x-none"/>
              </w:rPr>
            </w:pPr>
            <w:r w:rsidRPr="00437C34">
              <w:rPr>
                <w:rFonts w:ascii="Verdana" w:eastAsia="Calibri" w:hAnsi="Verdana" w:cs="Arial"/>
                <w:bCs/>
                <w:color w:val="000000" w:themeColor="text1"/>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tc>
      </w:tr>
    </w:tbl>
    <w:p w14:paraId="39D905E7" w14:textId="77777777" w:rsidR="006F012C" w:rsidRPr="00437C34" w:rsidRDefault="006F012C" w:rsidP="006F012C">
      <w:pPr>
        <w:spacing w:after="0" w:line="276" w:lineRule="auto"/>
        <w:jc w:val="both"/>
        <w:rPr>
          <w:rFonts w:ascii="Verdana" w:eastAsia="Calibri" w:hAnsi="Verdana" w:cs="Arial"/>
          <w:bCs/>
          <w:color w:val="000000" w:themeColor="text1"/>
        </w:rPr>
      </w:pPr>
    </w:p>
    <w:p w14:paraId="55C45019" w14:textId="77777777" w:rsidR="006F012C" w:rsidRPr="00437C34" w:rsidRDefault="006F012C" w:rsidP="006F012C">
      <w:pPr>
        <w:numPr>
          <w:ilvl w:val="0"/>
          <w:numId w:val="16"/>
        </w:numPr>
        <w:tabs>
          <w:tab w:val="left" w:pos="2268"/>
        </w:tabs>
        <w:spacing w:after="0" w:line="276" w:lineRule="auto"/>
        <w:rPr>
          <w:rFonts w:ascii="Verdana" w:eastAsia="Calibri" w:hAnsi="Verdana" w:cs="Times New Roman"/>
          <w:b/>
          <w:bCs/>
          <w:lang w:val="es-ES"/>
        </w:rPr>
      </w:pPr>
      <w:r w:rsidRPr="00437C34">
        <w:rPr>
          <w:rFonts w:ascii="Verdana" w:eastAsia="Calibri" w:hAnsi="Verdana" w:cs="Times New Roman"/>
          <w:b/>
          <w:bCs/>
          <w:lang w:val="es-ES"/>
        </w:rPr>
        <w:t>Razones de la respuesta:</w:t>
      </w:r>
    </w:p>
    <w:p w14:paraId="6741BF79" w14:textId="77777777" w:rsidR="006F012C" w:rsidRPr="00437C34" w:rsidRDefault="006F012C" w:rsidP="006F012C">
      <w:pPr>
        <w:spacing w:after="0" w:line="276" w:lineRule="auto"/>
        <w:rPr>
          <w:rFonts w:ascii="Verdana" w:eastAsia="Calibri" w:hAnsi="Verdana" w:cs="Times New Roman"/>
          <w:b/>
          <w:bCs/>
          <w:lang w:val="es-ES"/>
        </w:rPr>
      </w:pPr>
    </w:p>
    <w:p w14:paraId="605B707A" w14:textId="77777777" w:rsidR="006F012C" w:rsidRPr="00437C34" w:rsidRDefault="006F012C" w:rsidP="006F012C">
      <w:pPr>
        <w:spacing w:after="0" w:line="276" w:lineRule="auto"/>
        <w:jc w:val="both"/>
        <w:rPr>
          <w:rFonts w:ascii="Verdana" w:eastAsia="Calibri" w:hAnsi="Verdana" w:cs="Arial"/>
          <w:lang w:val="es-ES"/>
        </w:rPr>
      </w:pPr>
      <w:r w:rsidRPr="00437C34">
        <w:rPr>
          <w:rFonts w:ascii="Verdana" w:eastAsia="Calibri" w:hAnsi="Verdana" w:cs="Arial"/>
          <w:lang w:val="es-ES"/>
        </w:rPr>
        <w:t xml:space="preserve">Lo anterior se sustenta en las siguientes consideraciones: </w:t>
      </w:r>
    </w:p>
    <w:p w14:paraId="2EF6EB43" w14:textId="77777777" w:rsidR="006F012C" w:rsidRPr="00437C34" w:rsidRDefault="006F012C" w:rsidP="006F012C">
      <w:pPr>
        <w:spacing w:after="0" w:line="276" w:lineRule="auto"/>
        <w:jc w:val="both"/>
        <w:rPr>
          <w:rFonts w:ascii="Verdana" w:eastAsia="Calibri" w:hAnsi="Verdana" w:cs="Arial"/>
          <w:color w:val="000000" w:themeColor="text1"/>
        </w:rPr>
      </w:pPr>
    </w:p>
    <w:p w14:paraId="51AC353E" w14:textId="77777777" w:rsidR="006F012C" w:rsidRPr="00437C34" w:rsidRDefault="006F012C" w:rsidP="006F012C">
      <w:pPr>
        <w:tabs>
          <w:tab w:val="left" w:pos="426"/>
        </w:tabs>
        <w:spacing w:after="120" w:line="276" w:lineRule="auto"/>
        <w:jc w:val="both"/>
        <w:rPr>
          <w:rFonts w:ascii="Verdana" w:eastAsia="Times New Roman" w:hAnsi="Verdana" w:cs="Arial"/>
          <w:lang w:eastAsia="es-CO"/>
        </w:rPr>
      </w:pPr>
      <w:r w:rsidRPr="00437C34">
        <w:rPr>
          <w:rFonts w:ascii="Verdana" w:eastAsia="Calibri" w:hAnsi="Verdana" w:cs="Arial"/>
        </w:rPr>
        <w:t>i. El ordenamiento jurídico colombiano contempla previsiones claras para evitar la obtención de beneficios personales en asuntos propios de la administración pública</w:t>
      </w:r>
      <w:r w:rsidRPr="00437C34">
        <w:rPr>
          <w:rFonts w:ascii="Verdana" w:eastAsia="Calibri" w:hAnsi="Verdana" w:cs="Arial"/>
          <w:i/>
        </w:rPr>
        <w:t xml:space="preserve">. </w:t>
      </w:r>
      <w:r w:rsidRPr="00437C34">
        <w:rPr>
          <w:rFonts w:ascii="Verdana" w:eastAsia="Calibri" w:hAnsi="Verdana" w:cs="Arial"/>
        </w:rPr>
        <w:t>Por ejemplo, el artículo 127 de la Constitución Política establece una prohibición contractual a los servidores públicos y, en cuanto a aspectos políticos, establece restricciones a ciertos empleados del Estado, incluso en época no electoral</w:t>
      </w:r>
      <w:r w:rsidRPr="00437C34">
        <w:rPr>
          <w:rFonts w:ascii="Verdana" w:hAnsi="Verdana"/>
          <w:vertAlign w:val="superscript"/>
        </w:rPr>
        <w:footnoteReference w:id="1"/>
      </w:r>
      <w:r w:rsidRPr="00437C34">
        <w:rPr>
          <w:rFonts w:ascii="Verdana" w:eastAsia="Calibri" w:hAnsi="Verdana" w:cs="Arial"/>
        </w:rPr>
        <w:t xml:space="preserve">. </w:t>
      </w:r>
    </w:p>
    <w:p w14:paraId="56836570" w14:textId="77777777" w:rsidR="006F012C" w:rsidRPr="00437C34" w:rsidRDefault="006F012C" w:rsidP="006F012C">
      <w:pPr>
        <w:tabs>
          <w:tab w:val="left" w:pos="426"/>
        </w:tabs>
        <w:spacing w:after="0" w:line="276" w:lineRule="auto"/>
        <w:ind w:firstLine="709"/>
        <w:jc w:val="both"/>
        <w:rPr>
          <w:rFonts w:ascii="Verdana" w:eastAsia="Calibri" w:hAnsi="Verdana" w:cs="Arial"/>
          <w:lang w:val="es-ES_tradnl"/>
        </w:rPr>
      </w:pPr>
      <w:r w:rsidRPr="00437C34">
        <w:rPr>
          <w:rFonts w:ascii="Verdana" w:eastAsia="Times New Roman" w:hAnsi="Verdana" w:cs="Arial"/>
          <w:lang w:eastAsia="es-CO"/>
        </w:rPr>
        <w:lastRenderedPageBreak/>
        <w:t>En el mismo sentido</w:t>
      </w:r>
      <w:r w:rsidRPr="00437C34">
        <w:rPr>
          <w:rFonts w:ascii="Verdana" w:eastAsia="Times New Roman" w:hAnsi="Verdana" w:cs="Arial"/>
          <w:lang w:val="es-MX" w:eastAsia="es-CO"/>
        </w:rPr>
        <w:t xml:space="preserve">, </w:t>
      </w:r>
      <w:bookmarkStart w:id="1" w:name="_Hlk99576829"/>
      <w:r w:rsidRPr="00437C34">
        <w:rPr>
          <w:rFonts w:ascii="Verdana" w:eastAsia="Times New Roman" w:hAnsi="Verdana" w:cs="Arial"/>
          <w:lang w:val="es-MX" w:eastAsia="es-CO"/>
        </w:rPr>
        <w:t>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sidRPr="00437C34">
        <w:rPr>
          <w:rFonts w:ascii="Verdana" w:eastAsia="Times New Roman" w:hAnsi="Verdana" w:cs="Arial"/>
          <w:vertAlign w:val="superscript"/>
          <w:lang w:val="es-MX" w:eastAsia="es-CO"/>
        </w:rPr>
        <w:footnoteReference w:id="2"/>
      </w:r>
      <w:r w:rsidRPr="00437C34">
        <w:rPr>
          <w:rFonts w:ascii="Verdana" w:eastAsia="Times New Roman" w:hAnsi="Verdana" w:cs="Arial"/>
          <w:lang w:val="es-MX" w:eastAsia="es-CO"/>
        </w:rPr>
        <w:t>. En esta medida, introduce limitaciones para realizar nombramientos, postulaciones, contrataciones o cualquier otro tipo de actividad que implique destinación de recursos públicos bajo el devenir propio de las Entidades Estatales.</w:t>
      </w:r>
      <w:r w:rsidRPr="00437C34">
        <w:rPr>
          <w:rFonts w:ascii="Verdana" w:eastAsia="Calibri" w:hAnsi="Verdana" w:cs="Arial"/>
          <w:lang w:val="es-ES_tradnl"/>
        </w:rPr>
        <w:t xml:space="preserve"> </w:t>
      </w:r>
      <w:bookmarkEnd w:id="1"/>
      <w:r w:rsidRPr="00437C34">
        <w:rPr>
          <w:rFonts w:ascii="Verdana" w:eastAsia="Times New Roman" w:hAnsi="Verdana" w:cs="Arial"/>
          <w:lang w:val="es-MX" w:eastAsia="es-CO"/>
        </w:rPr>
        <w:t>En armonía con lo anterior, la Corte Constitucional ha abordado la definición de la Ley de Garantías Electorales. De esta manera, explica que tiene como propósito:</w:t>
      </w:r>
    </w:p>
    <w:p w14:paraId="09D75255" w14:textId="77777777" w:rsidR="006F012C" w:rsidRPr="00437C34" w:rsidRDefault="006F012C" w:rsidP="006F012C">
      <w:pPr>
        <w:spacing w:after="0" w:line="276" w:lineRule="auto"/>
        <w:ind w:right="709"/>
        <w:contextualSpacing/>
        <w:jc w:val="both"/>
        <w:rPr>
          <w:rFonts w:ascii="Verdana" w:eastAsia="Times New Roman" w:hAnsi="Verdana" w:cs="Arial"/>
          <w:lang w:val="es-ES" w:eastAsia="es-CO"/>
        </w:rPr>
      </w:pPr>
    </w:p>
    <w:p w14:paraId="247E35C9" w14:textId="62A0631F" w:rsidR="006F012C" w:rsidRDefault="006F012C" w:rsidP="006F012C">
      <w:pPr>
        <w:spacing w:after="0" w:line="240" w:lineRule="auto"/>
        <w:ind w:left="709" w:right="709"/>
        <w:contextualSpacing/>
        <w:jc w:val="both"/>
        <w:rPr>
          <w:rFonts w:ascii="Verdana" w:eastAsia="Times New Roman" w:hAnsi="Verdana" w:cs="Arial"/>
          <w:sz w:val="20"/>
          <w:szCs w:val="20"/>
          <w:lang w:val="es-MX" w:eastAsia="es-CO"/>
        </w:rPr>
      </w:pPr>
      <w:r w:rsidRPr="00437C34">
        <w:rPr>
          <w:rFonts w:ascii="Verdana" w:eastAsia="Times New Roman" w:hAnsi="Verdana" w:cs="Arial"/>
          <w:sz w:val="20"/>
          <w:szCs w:val="20"/>
          <w:lang w:val="es-ES" w:eastAsia="es-CO"/>
        </w:rPr>
        <w:t xml:space="preserve">“[…] </w:t>
      </w:r>
      <w:r w:rsidRPr="00437C34">
        <w:rPr>
          <w:rFonts w:ascii="Verdana" w:eastAsia="Times New Roman" w:hAnsi="Verdana" w:cs="Arial"/>
          <w:sz w:val="20"/>
          <w:szCs w:val="20"/>
          <w:lang w:val="es-MX" w:eastAsia="es-CO"/>
        </w:rPr>
        <w:t>la definición de reglas claras que permitan acceder a los canales de expresión democrática de manera efectiva e igualitaria. El objetivo de una ley de garantías es definir esas reglas.</w:t>
      </w:r>
    </w:p>
    <w:p w14:paraId="3E077CB2" w14:textId="77777777" w:rsidR="002F5FAA" w:rsidRPr="00437C34" w:rsidRDefault="002F5FAA" w:rsidP="006F012C">
      <w:pPr>
        <w:spacing w:after="0" w:line="240" w:lineRule="auto"/>
        <w:ind w:left="709" w:right="709"/>
        <w:contextualSpacing/>
        <w:jc w:val="both"/>
        <w:rPr>
          <w:rFonts w:ascii="Verdana" w:eastAsia="Times New Roman" w:hAnsi="Verdana" w:cs="Arial"/>
          <w:sz w:val="20"/>
          <w:szCs w:val="20"/>
          <w:lang w:val="es-MX" w:eastAsia="es-CO"/>
        </w:rPr>
      </w:pPr>
    </w:p>
    <w:p w14:paraId="18E22E9F" w14:textId="77777777" w:rsidR="006F012C" w:rsidRPr="00437C34" w:rsidRDefault="006F012C" w:rsidP="006F012C">
      <w:pPr>
        <w:spacing w:after="0" w:line="240" w:lineRule="auto"/>
        <w:ind w:left="709" w:right="709"/>
        <w:contextualSpacing/>
        <w:jc w:val="both"/>
        <w:rPr>
          <w:rFonts w:ascii="Verdana" w:eastAsia="Times New Roman" w:hAnsi="Verdana" w:cs="Arial"/>
          <w:sz w:val="20"/>
          <w:szCs w:val="20"/>
          <w:lang w:val="es-MX" w:eastAsia="es-CO"/>
        </w:rPr>
      </w:pPr>
      <w:r w:rsidRPr="00437C34">
        <w:rPr>
          <w:rFonts w:ascii="Verdana" w:eastAsia="Times New Roman" w:hAnsi="Verdana" w:cs="Arial"/>
          <w:sz w:val="20"/>
          <w:szCs w:val="20"/>
          <w:lang w:val="es-MX" w:eastAsia="es-CO"/>
        </w:rPr>
        <w:t xml:space="preserve">[…] </w:t>
      </w:r>
    </w:p>
    <w:p w14:paraId="3AB77F0B" w14:textId="77777777" w:rsidR="002F5FAA" w:rsidRDefault="002F5FAA" w:rsidP="006F012C">
      <w:pPr>
        <w:spacing w:after="0" w:line="240" w:lineRule="auto"/>
        <w:ind w:left="709" w:right="709"/>
        <w:contextualSpacing/>
        <w:jc w:val="both"/>
        <w:rPr>
          <w:rFonts w:ascii="Verdana" w:eastAsia="Times New Roman" w:hAnsi="Verdana" w:cs="Arial"/>
          <w:sz w:val="20"/>
          <w:szCs w:val="20"/>
          <w:lang w:val="es-MX" w:eastAsia="es-CO"/>
        </w:rPr>
      </w:pPr>
    </w:p>
    <w:p w14:paraId="382351FE" w14:textId="3EB82D88" w:rsidR="006F012C" w:rsidRPr="00437C34" w:rsidRDefault="006F012C" w:rsidP="006F012C">
      <w:pPr>
        <w:spacing w:after="0" w:line="240" w:lineRule="auto"/>
        <w:ind w:left="709" w:right="709"/>
        <w:contextualSpacing/>
        <w:jc w:val="both"/>
        <w:rPr>
          <w:rFonts w:ascii="Verdana" w:eastAsia="Times New Roman" w:hAnsi="Verdana" w:cs="Arial"/>
          <w:sz w:val="20"/>
          <w:szCs w:val="20"/>
          <w:lang w:val="es-MX" w:eastAsia="es-CO"/>
        </w:rPr>
      </w:pPr>
      <w:r w:rsidRPr="00437C34">
        <w:rPr>
          <w:rFonts w:ascii="Verdana" w:eastAsia="Times New Roman" w:hAnsi="Verdana" w:cs="Arial"/>
          <w:sz w:val="20"/>
          <w:szCs w:val="20"/>
          <w:lang w:val="es-MX"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w:t>
      </w:r>
      <w:r w:rsidRPr="00437C34">
        <w:rPr>
          <w:rFonts w:ascii="Verdana" w:eastAsia="Calibri" w:hAnsi="Verdana" w:cs="Arial"/>
          <w:sz w:val="20"/>
          <w:szCs w:val="20"/>
          <w:vertAlign w:val="superscript"/>
          <w:lang w:val="es-MX"/>
        </w:rPr>
        <w:footnoteReference w:id="3"/>
      </w:r>
    </w:p>
    <w:p w14:paraId="3E0D5B02" w14:textId="77777777" w:rsidR="006F012C" w:rsidRPr="00437C34" w:rsidRDefault="006F012C" w:rsidP="006F012C">
      <w:pPr>
        <w:spacing w:after="0" w:line="276" w:lineRule="auto"/>
        <w:ind w:firstLine="709"/>
        <w:jc w:val="both"/>
        <w:rPr>
          <w:rFonts w:ascii="Verdana" w:eastAsia="Times New Roman" w:hAnsi="Verdana" w:cs="Arial"/>
          <w:lang w:val="es-MX" w:eastAsia="es-CO"/>
        </w:rPr>
      </w:pPr>
      <w:bookmarkStart w:id="2" w:name="_Hlk78818186"/>
    </w:p>
    <w:p w14:paraId="21693E7C" w14:textId="77777777" w:rsidR="006F012C" w:rsidRPr="00437C34" w:rsidRDefault="006F012C" w:rsidP="006F012C">
      <w:pPr>
        <w:spacing w:after="0" w:line="276" w:lineRule="auto"/>
        <w:ind w:firstLine="709"/>
        <w:jc w:val="both"/>
        <w:rPr>
          <w:rFonts w:ascii="Verdana" w:eastAsia="Times New Roman" w:hAnsi="Verdana" w:cs="Arial"/>
          <w:lang w:val="es-MX" w:eastAsia="es-CO"/>
        </w:rPr>
      </w:pPr>
      <w:r w:rsidRPr="00437C34">
        <w:rPr>
          <w:rFonts w:ascii="Verdana" w:eastAsia="Times New Roman" w:hAnsi="Verdana" w:cs="Arial"/>
          <w:lang w:val="es-MX" w:eastAsia="es-CO"/>
        </w:rPr>
        <w:t xml:space="preserve">En este contexto, la Ley de Garantías Electorales establece el marco jurídico para el desarrollo de las elecciones, procurando condiciones de igualdad y transparencia para los aspirantes. Paralelamente, se incluyen restricciones en las actuaciones de los servidores públicos, evitando interferencias en la contienda electoral, así como la posible desviación de recursos públicos en aspiraciones electorales. </w:t>
      </w:r>
      <w:bookmarkEnd w:id="2"/>
      <w:r w:rsidRPr="00437C34">
        <w:rPr>
          <w:rFonts w:ascii="Verdana" w:eastAsia="Times New Roman" w:hAnsi="Verdana" w:cs="Arial"/>
          <w:lang w:val="es-MX" w:eastAsia="es-CO"/>
        </w:rPr>
        <w:t>Por ello, varias de las disposiciones de la Ley 996 de 2005, al contener normas prohibitivas, no admiten una interpretación amplia, sino que deben interpretarse restrictivamente. En efecto, la Sala de Consulta y Servicio Civil del Consejo de Estado, precisó:</w:t>
      </w:r>
    </w:p>
    <w:p w14:paraId="5D8EDDF5" w14:textId="77777777" w:rsidR="006F012C" w:rsidRPr="00437C34" w:rsidRDefault="006F012C" w:rsidP="006F012C">
      <w:pPr>
        <w:spacing w:after="0" w:line="276" w:lineRule="auto"/>
        <w:ind w:firstLine="709"/>
        <w:jc w:val="both"/>
        <w:rPr>
          <w:rFonts w:ascii="Verdana" w:eastAsia="Times New Roman" w:hAnsi="Verdana" w:cs="Arial"/>
          <w:lang w:val="es-MX" w:eastAsia="es-CO"/>
        </w:rPr>
      </w:pPr>
    </w:p>
    <w:p w14:paraId="4CE5E1B6" w14:textId="77777777" w:rsidR="006F012C" w:rsidRPr="00437C34" w:rsidRDefault="006F012C" w:rsidP="006F012C">
      <w:pPr>
        <w:spacing w:after="0" w:line="240" w:lineRule="auto"/>
        <w:ind w:left="709" w:right="709"/>
        <w:contextualSpacing/>
        <w:jc w:val="both"/>
        <w:rPr>
          <w:rFonts w:ascii="Verdana" w:eastAsia="Times New Roman" w:hAnsi="Verdana" w:cs="Arial"/>
          <w:sz w:val="20"/>
          <w:szCs w:val="20"/>
          <w:lang w:val="es-MX" w:eastAsia="es-CO"/>
        </w:rPr>
      </w:pPr>
      <w:r w:rsidRPr="00437C34">
        <w:rPr>
          <w:rFonts w:ascii="Verdana" w:eastAsia="Times New Roman" w:hAnsi="Verdana" w:cs="Arial"/>
          <w:sz w:val="20"/>
          <w:szCs w:val="20"/>
          <w:lang w:val="es-MX" w:eastAsia="es-CO"/>
        </w:rPr>
        <w:t>“No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legis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2A10D790" w14:textId="77777777" w:rsidR="006F012C" w:rsidRPr="00437C34" w:rsidRDefault="006F012C" w:rsidP="006F012C">
      <w:pPr>
        <w:spacing w:after="0" w:line="240" w:lineRule="auto"/>
        <w:ind w:right="709"/>
        <w:contextualSpacing/>
        <w:jc w:val="both"/>
        <w:rPr>
          <w:rFonts w:ascii="Verdana" w:eastAsia="Times New Roman" w:hAnsi="Verdana" w:cs="Arial"/>
          <w:lang w:val="es-MX" w:eastAsia="es-CO"/>
        </w:rPr>
      </w:pPr>
    </w:p>
    <w:p w14:paraId="632A7DFC" w14:textId="77777777" w:rsidR="006F012C" w:rsidRPr="00437C34" w:rsidRDefault="006F012C" w:rsidP="006F012C">
      <w:pPr>
        <w:spacing w:after="0" w:line="240" w:lineRule="auto"/>
        <w:ind w:left="709" w:right="709"/>
        <w:contextualSpacing/>
        <w:jc w:val="both"/>
        <w:rPr>
          <w:rFonts w:ascii="Verdana" w:eastAsia="Times New Roman" w:hAnsi="Verdana" w:cs="Arial"/>
          <w:sz w:val="20"/>
          <w:szCs w:val="20"/>
          <w:lang w:val="es-MX" w:eastAsia="es-CO"/>
        </w:rPr>
      </w:pPr>
      <w:r w:rsidRPr="00437C34">
        <w:rPr>
          <w:rFonts w:ascii="Verdana" w:eastAsia="Times New Roman" w:hAnsi="Verdana" w:cs="Arial"/>
          <w:sz w:val="20"/>
          <w:szCs w:val="20"/>
          <w:lang w:val="es-MX" w:eastAsia="es-CO"/>
        </w:rPr>
        <w:t>La jurisprudencia de la Corte Constitucional</w:t>
      </w:r>
      <w:r w:rsidRPr="00437C34">
        <w:rPr>
          <w:rFonts w:ascii="Verdana" w:eastAsia="Times New Roman" w:hAnsi="Verdana" w:cs="Arial"/>
          <w:sz w:val="20"/>
          <w:szCs w:val="20"/>
          <w:vertAlign w:val="superscript"/>
          <w:lang w:val="es-MX" w:eastAsia="es-CO"/>
        </w:rPr>
        <w:footnoteReference w:id="4"/>
      </w:r>
      <w:r w:rsidRPr="00437C34">
        <w:rPr>
          <w:rFonts w:ascii="Verdana" w:eastAsia="Times New Roman" w:hAnsi="Verdana" w:cs="Arial"/>
          <w:sz w:val="20"/>
          <w:szCs w:val="20"/>
          <w:lang w:val="es-MX" w:eastAsia="es-CO"/>
        </w:rPr>
        <w:t> y del Consejo de Estado</w:t>
      </w:r>
      <w:r w:rsidRPr="00437C34">
        <w:rPr>
          <w:rFonts w:ascii="Verdana" w:eastAsia="Times New Roman" w:hAnsi="Verdana" w:cs="Arial"/>
          <w:sz w:val="20"/>
          <w:szCs w:val="20"/>
          <w:vertAlign w:val="superscript"/>
          <w:lang w:val="es-MX" w:eastAsia="es-CO"/>
        </w:rPr>
        <w:footnoteReference w:id="5"/>
      </w:r>
      <w:r w:rsidRPr="00437C34">
        <w:rPr>
          <w:rFonts w:ascii="Verdana" w:eastAsia="Times New Roman" w:hAnsi="Verdana" w:cs="Arial"/>
          <w:sz w:val="20"/>
          <w:szCs w:val="20"/>
          <w:lang w:val="es-MX" w:eastAsia="es-CO"/>
        </w:rPr>
        <w:t>,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sidRPr="00437C34">
        <w:rPr>
          <w:rFonts w:ascii="Verdana" w:eastAsia="Times New Roman" w:hAnsi="Verdana" w:cs="Arial"/>
          <w:sz w:val="20"/>
          <w:szCs w:val="20"/>
          <w:vertAlign w:val="superscript"/>
          <w:lang w:val="es-MX" w:eastAsia="es-CO"/>
        </w:rPr>
        <w:footnoteReference w:id="6"/>
      </w:r>
      <w:r w:rsidRPr="00437C34">
        <w:rPr>
          <w:rFonts w:ascii="Verdana" w:eastAsia="Times New Roman" w:hAnsi="Verdana" w:cs="Arial"/>
          <w:sz w:val="20"/>
          <w:szCs w:val="20"/>
          <w:lang w:val="es-MX" w:eastAsia="es-CO"/>
        </w:rPr>
        <w:t>.</w:t>
      </w:r>
    </w:p>
    <w:p w14:paraId="7030221B" w14:textId="77777777" w:rsidR="006F012C" w:rsidRPr="00437C34" w:rsidRDefault="006F012C" w:rsidP="006F012C">
      <w:pPr>
        <w:spacing w:after="0" w:line="276" w:lineRule="auto"/>
        <w:jc w:val="both"/>
        <w:rPr>
          <w:rFonts w:ascii="Verdana" w:eastAsia="Calibri" w:hAnsi="Verdana" w:cs="Arial"/>
          <w:bCs/>
          <w:lang w:val="es-ES_tradnl"/>
        </w:rPr>
      </w:pPr>
    </w:p>
    <w:p w14:paraId="019965CA" w14:textId="77777777" w:rsidR="006F012C" w:rsidRPr="00437C34" w:rsidRDefault="006F012C" w:rsidP="006F012C">
      <w:pPr>
        <w:spacing w:after="120" w:line="276" w:lineRule="auto"/>
        <w:ind w:firstLine="709"/>
        <w:jc w:val="both"/>
        <w:rPr>
          <w:rFonts w:ascii="Verdana" w:eastAsia="Arial" w:hAnsi="Verdana" w:cs="Arial"/>
          <w:lang w:val="es-ES" w:eastAsia="es-ES" w:bidi="es-ES"/>
        </w:rPr>
      </w:pPr>
      <w:r w:rsidRPr="00437C34">
        <w:rPr>
          <w:rFonts w:ascii="Verdana" w:eastAsia="Times New Roman" w:hAnsi="Verdana" w:cs="Arial"/>
          <w:lang w:val="es-MX" w:eastAsia="es-CO"/>
        </w:rPr>
        <w:t>De</w:t>
      </w:r>
      <w:r w:rsidRPr="00437C34">
        <w:rPr>
          <w:rFonts w:ascii="Verdana" w:eastAsia="Arial" w:hAnsi="Verdana" w:cs="Arial"/>
          <w:lang w:val="es-ES" w:eastAsia="es-ES" w:bidi="es-ES"/>
        </w:rPr>
        <w:t xml:space="preserve"> conformidad con lo anterior, </w:t>
      </w:r>
      <w:bookmarkStart w:id="3" w:name="_Hlk77236098"/>
      <w:bookmarkStart w:id="4" w:name="_Hlk100679383"/>
      <w:r w:rsidRPr="00437C34">
        <w:rPr>
          <w:rFonts w:ascii="Verdana" w:eastAsia="Arial" w:hAnsi="Verdana" w:cs="Arial"/>
          <w:lang w:val="es-ES" w:eastAsia="es-ES" w:bidi="es-ES"/>
        </w:rPr>
        <w:t xml:space="preserve">la Ley de Garantías Electorales estableció una serie de regulaciones y prohibiciones dirigidas a los servidores públicos.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w:t>
      </w:r>
    </w:p>
    <w:p w14:paraId="74E2B326" w14:textId="77777777" w:rsidR="006F012C" w:rsidRPr="00437C34" w:rsidRDefault="006F012C" w:rsidP="006F012C">
      <w:pPr>
        <w:spacing w:after="120" w:line="276" w:lineRule="auto"/>
        <w:jc w:val="both"/>
        <w:rPr>
          <w:rFonts w:ascii="Verdana" w:eastAsia="Arial" w:hAnsi="Verdana" w:cs="Arial"/>
          <w:lang w:val="es-ES" w:eastAsia="es-ES" w:bidi="es-ES"/>
        </w:rPr>
      </w:pPr>
      <w:r w:rsidRPr="00437C34">
        <w:rPr>
          <w:rFonts w:ascii="Verdana" w:eastAsia="Arial" w:hAnsi="Verdana" w:cs="Arial"/>
          <w:lang w:val="es-ES" w:eastAsia="es-ES" w:bidi="es-ES"/>
        </w:rPr>
        <w:t>ii. Precisado el propósito de la Ley, es pertinente señalar que las restricciones consagradas en la citada Ley se dirigen a dos (2) tipos de campañas electorales claramente diferenciadas: las presidenciales y las demás que se adelanten para la elección de los demás cargos de elección popular, tanto a nivel nacional como territorial.</w:t>
      </w:r>
      <w:bookmarkEnd w:id="3"/>
    </w:p>
    <w:p w14:paraId="37FF9E8F" w14:textId="77777777" w:rsidR="006F012C" w:rsidRPr="00437C34" w:rsidRDefault="006F012C" w:rsidP="006F012C">
      <w:pPr>
        <w:spacing w:after="120" w:line="276" w:lineRule="auto"/>
        <w:ind w:firstLine="708"/>
        <w:jc w:val="both"/>
        <w:rPr>
          <w:rFonts w:ascii="Verdana" w:eastAsia="Calibri" w:hAnsi="Verdana" w:cs="Arial"/>
        </w:rPr>
      </w:pPr>
      <w:r w:rsidRPr="00437C34">
        <w:rPr>
          <w:rFonts w:ascii="Verdana" w:eastAsia="Calibri" w:hAnsi="Verdana" w:cs="Arial"/>
        </w:rPr>
        <w:t xml:space="preserve">Por un lado, el </w:t>
      </w:r>
      <w:r w:rsidRPr="00437C34">
        <w:rPr>
          <w:rFonts w:ascii="Verdana" w:eastAsia="Calibri" w:hAnsi="Verdana" w:cs="Arial"/>
          <w:i/>
          <w:iCs/>
        </w:rPr>
        <w:t>artículo 33 de la Ley 996 de 2005</w:t>
      </w:r>
      <w:r w:rsidRPr="00437C34">
        <w:rPr>
          <w:rFonts w:ascii="Verdana" w:eastAsia="Calibri" w:hAnsi="Verdana" w:cs="Arial"/>
        </w:rPr>
        <w:t xml:space="preserve"> prohíbe “[…] la contratación directa por parte de todos los entes del Estado” durante los cuatro </w:t>
      </w:r>
      <w:r w:rsidRPr="00437C34">
        <w:rPr>
          <w:rFonts w:ascii="Verdana" w:eastAsia="Calibri" w:hAnsi="Verdana" w:cs="Arial"/>
        </w:rPr>
        <w:lastRenderedPageBreak/>
        <w:t>(4)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437C34">
        <w:rPr>
          <w:rFonts w:ascii="Verdana" w:eastAsia="Calibri" w:hAnsi="Verdana" w:cs="Arial"/>
          <w:vertAlign w:val="superscript"/>
        </w:rPr>
        <w:footnoteReference w:id="7"/>
      </w:r>
      <w:r w:rsidRPr="00437C34">
        <w:rPr>
          <w:rFonts w:ascii="Verdana" w:eastAsia="Calibri" w:hAnsi="Verdana" w:cs="Arial"/>
        </w:rPr>
        <w:t>.</w:t>
      </w:r>
    </w:p>
    <w:p w14:paraId="6472AC96" w14:textId="77777777" w:rsidR="006F012C" w:rsidRPr="00437C34" w:rsidRDefault="006F012C" w:rsidP="006F012C">
      <w:pPr>
        <w:widowControl w:val="0"/>
        <w:autoSpaceDE w:val="0"/>
        <w:autoSpaceDN w:val="0"/>
        <w:spacing w:after="120" w:line="276" w:lineRule="auto"/>
        <w:ind w:right="113" w:firstLine="709"/>
        <w:jc w:val="both"/>
        <w:rPr>
          <w:rFonts w:ascii="Verdana" w:eastAsia="Arial" w:hAnsi="Verdana" w:cs="Arial"/>
          <w:lang w:val="es-ES" w:eastAsia="es-ES" w:bidi="es-ES"/>
        </w:rPr>
      </w:pPr>
      <w:r w:rsidRPr="00437C34">
        <w:rPr>
          <w:rFonts w:ascii="Verdana" w:eastAsia="Calibri" w:hAnsi="Verdana" w:cs="Arial"/>
        </w:rPr>
        <w:t xml:space="preserve">Por otro lado, </w:t>
      </w:r>
      <w:r w:rsidRPr="00437C34">
        <w:rPr>
          <w:rFonts w:ascii="Verdana" w:eastAsia="Calibri" w:hAnsi="Verdana" w:cs="Arial"/>
          <w:i/>
          <w:iCs/>
        </w:rPr>
        <w:t>el parágrafo del artículo 38 de la Ley 996 de 2005</w:t>
      </w:r>
      <w:r w:rsidRPr="00437C34">
        <w:rPr>
          <w:rFonts w:ascii="Verdana" w:eastAsia="Calibri" w:hAnsi="Verdana" w:cs="Arial"/>
        </w:rPr>
        <w:t xml:space="preserve"> prevé una restricción, aplicable respecto de cualquier tipo de contienda electoral, que prohíbe a los gobernadores, alcaldes municipales o distritales, secretarios, gerentes y directores de entidades descentralizadas del orden municipal, departamental o distrital “[…] </w:t>
      </w:r>
      <w:r w:rsidRPr="00437C34">
        <w:rPr>
          <w:rFonts w:ascii="Verdana" w:eastAsia="Calibri" w:hAnsi="Verdana" w:cs="Arial"/>
          <w:lang w:val="es-MX"/>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437C34">
        <w:rPr>
          <w:rFonts w:ascii="Verdana" w:eastAsia="Calibri" w:hAnsi="Verdana" w:cs="Arial"/>
        </w:rPr>
        <w:t>”</w:t>
      </w:r>
      <w:bookmarkEnd w:id="4"/>
      <w:r w:rsidRPr="00437C34">
        <w:rPr>
          <w:rFonts w:ascii="Verdana" w:eastAsia="Calibri" w:hAnsi="Verdana" w:cs="Arial"/>
          <w:vertAlign w:val="superscript"/>
        </w:rPr>
        <w:footnoteReference w:id="8"/>
      </w:r>
      <w:r w:rsidRPr="00437C34">
        <w:rPr>
          <w:rFonts w:ascii="Verdana" w:eastAsia="Calibri" w:hAnsi="Verdana" w:cs="Arial"/>
          <w:lang w:val="es-MX"/>
        </w:rPr>
        <w:t>.</w:t>
      </w:r>
      <w:r w:rsidRPr="00437C34">
        <w:rPr>
          <w:rFonts w:ascii="Verdana" w:eastAsia="Arial" w:hAnsi="Verdana" w:cs="Arial"/>
          <w:lang w:val="es-ES" w:eastAsia="es-ES" w:bidi="es-ES"/>
        </w:rPr>
        <w:t xml:space="preserve"> </w:t>
      </w:r>
    </w:p>
    <w:p w14:paraId="1E53F220" w14:textId="77777777" w:rsidR="006F012C" w:rsidRPr="00437C34" w:rsidRDefault="006F012C" w:rsidP="006F012C">
      <w:pPr>
        <w:spacing w:after="120" w:line="276" w:lineRule="auto"/>
        <w:ind w:firstLine="708"/>
        <w:jc w:val="both"/>
        <w:rPr>
          <w:rFonts w:ascii="Verdana" w:eastAsia="Times New Roman" w:hAnsi="Verdana" w:cs="Arial"/>
          <w:bCs/>
          <w:lang w:eastAsia="es-CO"/>
        </w:rPr>
      </w:pPr>
      <w:r w:rsidRPr="00437C34">
        <w:rPr>
          <w:rFonts w:ascii="Verdana" w:eastAsia="Times New Roman" w:hAnsi="Verdana" w:cs="Arial"/>
          <w:bCs/>
          <w:lang w:val="es-MX" w:eastAsia="es-CO"/>
        </w:rPr>
        <w:t>Para entender el momento de aplicación de estas restricciones, es preciso señalar que el vocablo “celebrar” es definido por el Diccionario Panhispánico del Español Jurídico como: “</w:t>
      </w:r>
      <w:r w:rsidRPr="00437C34">
        <w:rPr>
          <w:rFonts w:ascii="Verdana" w:eastAsia="Times New Roman" w:hAnsi="Verdana" w:cs="Arial"/>
          <w:bCs/>
          <w:lang w:eastAsia="es-CO"/>
        </w:rPr>
        <w:t>1. </w:t>
      </w:r>
      <w:r w:rsidRPr="00437C34">
        <w:rPr>
          <w:rFonts w:ascii="Verdana" w:eastAsia="Times New Roman" w:hAnsi="Verdana" w:cs="Arial"/>
          <w:bCs/>
          <w:i/>
          <w:iCs/>
          <w:lang w:eastAsia="es-CO"/>
        </w:rPr>
        <w:t>Gral.</w:t>
      </w:r>
      <w:r w:rsidRPr="00437C34">
        <w:rPr>
          <w:rFonts w:ascii="Verdana" w:eastAsia="Times New Roman" w:hAnsi="Verdana" w:cs="Arial"/>
          <w:bCs/>
          <w:lang w:eastAsia="es-CO"/>
        </w:rPr>
        <w:t xml:space="preserve"> Otorgar o firmar un contrato. 2. </w:t>
      </w:r>
      <w:proofErr w:type="spellStart"/>
      <w:r w:rsidRPr="00437C34">
        <w:rPr>
          <w:rFonts w:ascii="Verdana" w:eastAsia="Times New Roman" w:hAnsi="Verdana" w:cs="Arial"/>
          <w:bCs/>
          <w:i/>
          <w:iCs/>
          <w:lang w:eastAsia="es-CO"/>
        </w:rPr>
        <w:t>Proc</w:t>
      </w:r>
      <w:proofErr w:type="spellEnd"/>
      <w:r w:rsidRPr="00437C34">
        <w:rPr>
          <w:rFonts w:ascii="Verdana" w:eastAsia="Times New Roman" w:hAnsi="Verdana" w:cs="Arial"/>
          <w:bCs/>
          <w:i/>
          <w:iCs/>
          <w:lang w:eastAsia="es-CO"/>
        </w:rPr>
        <w:t>.</w:t>
      </w:r>
      <w:r w:rsidRPr="00437C34">
        <w:rPr>
          <w:rFonts w:ascii="Verdana" w:eastAsia="Times New Roman" w:hAnsi="Verdana" w:cs="Arial"/>
          <w:bCs/>
          <w:lang w:eastAsia="es-CO"/>
        </w:rPr>
        <w:t xml:space="preserve"> Realizar los actos procesales propios de un juicio o vista”. Dentro de las dos definiciones, la que se acerca a la expresión “celebrar” en el contexto de la Ley de Garantías Electorales es la primera, esto es, al perfeccionamiento del contrato. </w:t>
      </w:r>
    </w:p>
    <w:p w14:paraId="157C843A" w14:textId="77777777" w:rsidR="006F012C" w:rsidRPr="00437C34" w:rsidRDefault="006F012C" w:rsidP="006F012C">
      <w:pPr>
        <w:spacing w:after="120" w:line="276" w:lineRule="auto"/>
        <w:ind w:firstLine="708"/>
        <w:jc w:val="both"/>
        <w:rPr>
          <w:rFonts w:ascii="Verdana" w:eastAsia="Times New Roman" w:hAnsi="Verdana" w:cs="Arial"/>
          <w:bCs/>
          <w:lang w:val="es-ES" w:eastAsia="es-CO"/>
        </w:rPr>
      </w:pPr>
      <w:r w:rsidRPr="00437C34">
        <w:rPr>
          <w:rFonts w:ascii="Verdana" w:eastAsia="Times New Roman" w:hAnsi="Verdana" w:cs="Arial"/>
          <w:bCs/>
          <w:lang w:eastAsia="es-CO"/>
        </w:rPr>
        <w:t xml:space="preserve">En efecto, el concepto de celebración en el marco de la contratación estatal se relaciona con el perfeccionamiento, es decir, con los requisitos para que exista un contrato estatal. Al respecto, se destaca que en entidades sometidas al Estatuto General de Contratación de la Administración Pública </w:t>
      </w:r>
      <w:r w:rsidRPr="00437C34">
        <w:rPr>
          <w:rFonts w:ascii="Verdana" w:eastAsia="Times New Roman" w:hAnsi="Verdana" w:cs="Arial"/>
          <w:bCs/>
          <w:lang w:val="es-ES" w:eastAsia="es-CO"/>
        </w:rPr>
        <w:t xml:space="preserve">la existencia de los contratos estatales, es decir, la producción de efectos jurídicos en los términos del artículo 1501 </w:t>
      </w:r>
      <w:r w:rsidRPr="00437C34">
        <w:rPr>
          <w:rFonts w:ascii="Verdana" w:eastAsia="Times New Roman" w:hAnsi="Verdana" w:cs="Arial"/>
          <w:bCs/>
          <w:i/>
          <w:lang w:val="es-ES" w:eastAsia="es-CO"/>
        </w:rPr>
        <w:t>ibídem</w:t>
      </w:r>
      <w:r w:rsidRPr="00437C34">
        <w:rPr>
          <w:rFonts w:ascii="Verdana" w:eastAsia="Times New Roman" w:hAnsi="Verdana" w:cs="Arial"/>
          <w:bCs/>
          <w:lang w:val="es-ES" w:eastAsia="es-CO"/>
        </w:rPr>
        <w:t xml:space="preserve">, depende de la regulación del inciso primero de los artículos 39 y 41 de la Ley 80 de 1993. Por un lado, “Los contratos </w:t>
      </w:r>
      <w:r w:rsidRPr="00437C34">
        <w:rPr>
          <w:rFonts w:ascii="Verdana" w:eastAsia="Times New Roman" w:hAnsi="Verdana" w:cs="Arial"/>
          <w:bCs/>
          <w:lang w:val="es-ES" w:eastAsia="es-CO"/>
        </w:rPr>
        <w:lastRenderedPageBreak/>
        <w:t xml:space="preserve">que celebren las entidades estatales constarán por escrito y no requerirán ser elevados a escritura pública, con excepción de aquellos que impliquen mutación del dominio o imposición de gravámenes y servidumbres sobre bienes inmuebles y, en general, aquellos que conforme a las normas legales vigentes deban cumplir con dicha formalidad”. Por otra parte, “Los contratos del Estado se perfeccionan cuando se logre acuerdo sobre el objeto y la contraprestación y éste se eleve a escrito”. </w:t>
      </w:r>
    </w:p>
    <w:p w14:paraId="64E96D4D" w14:textId="77777777" w:rsidR="006F012C" w:rsidRPr="00437C34" w:rsidRDefault="006F012C" w:rsidP="006F012C">
      <w:pPr>
        <w:spacing w:after="120" w:line="276" w:lineRule="auto"/>
        <w:ind w:firstLine="708"/>
        <w:jc w:val="both"/>
        <w:rPr>
          <w:rFonts w:ascii="Verdana" w:eastAsia="Times New Roman" w:hAnsi="Verdana" w:cs="Arial"/>
          <w:bCs/>
          <w:lang w:val="es-ES" w:eastAsia="es-CO"/>
        </w:rPr>
      </w:pPr>
      <w:r w:rsidRPr="00437C34">
        <w:rPr>
          <w:rFonts w:ascii="Verdana" w:eastAsia="Times New Roman" w:hAnsi="Verdana" w:cs="Arial"/>
          <w:bCs/>
          <w:lang w:val="es-ES" w:eastAsia="es-CO"/>
        </w:rPr>
        <w:t xml:space="preserve">De este modo, esta Agencia precisa que el concepto “celebrar” para efectos de las restricciones en la contratación dispuesta por la Ley de Garantías Electorales se refiere a los requisitos de perfeccionamiento del contrato estatal. Por tanto, no se refiere a los requisitos de ejecución, es decir, aquellas condiciones para iniciar un contrato, como es la aprobación de las garantías o el registro presupuestal, o en algunos casos, la firma del acta de inicio, si así se determinó. </w:t>
      </w:r>
    </w:p>
    <w:p w14:paraId="6A1300B5" w14:textId="77777777" w:rsidR="006F012C" w:rsidRPr="00437C34" w:rsidRDefault="006F012C" w:rsidP="006F012C">
      <w:pPr>
        <w:spacing w:after="120" w:line="276" w:lineRule="auto"/>
        <w:ind w:firstLine="708"/>
        <w:jc w:val="both"/>
        <w:rPr>
          <w:rFonts w:ascii="Verdana" w:eastAsia="Times New Roman" w:hAnsi="Verdana" w:cs="Arial"/>
          <w:bCs/>
          <w:lang w:val="es-ES" w:eastAsia="es-CO"/>
        </w:rPr>
      </w:pPr>
      <w:r w:rsidRPr="00437C34">
        <w:rPr>
          <w:rFonts w:ascii="Verdana" w:eastAsia="Times New Roman" w:hAnsi="Verdana" w:cs="Arial"/>
          <w:bCs/>
          <w:lang w:val="es-ES" w:eastAsia="es-CO"/>
        </w:rPr>
        <w:t xml:space="preserve">Así mismo, </w:t>
      </w:r>
      <w:r w:rsidRPr="00437C34">
        <w:rPr>
          <w:rFonts w:ascii="Verdana" w:eastAsia="Times New Roman" w:hAnsi="Verdana" w:cs="Arial"/>
          <w:bCs/>
          <w:lang w:val="es-MX" w:eastAsia="es-CO"/>
        </w:rPr>
        <w:t>como en otras oportunidades lo ha manifestado esta Agencia, las prórrogas, modificaciones o adiciones de los contratos suscritos antes de la entrada en vigencia de las prohibiciones anotadas, así como la cesión de los mismos, pueden tener lugar en el período de aplicación de la Ley de Garantías, sin que ello haga nugatoria la restricción de la contratación directa y siempre que cumplan los principios de planeación, transparencia y responsabilidad</w:t>
      </w:r>
      <w:r w:rsidRPr="00437C34">
        <w:rPr>
          <w:rFonts w:ascii="Verdana" w:eastAsia="Times New Roman" w:hAnsi="Verdana" w:cs="Arial"/>
          <w:bCs/>
          <w:vertAlign w:val="superscript"/>
          <w:lang w:val="es-MX" w:eastAsia="es-CO"/>
        </w:rPr>
        <w:footnoteReference w:id="9"/>
      </w:r>
      <w:r w:rsidRPr="00437C34">
        <w:rPr>
          <w:rFonts w:ascii="Verdana" w:eastAsia="Times New Roman" w:hAnsi="Verdana" w:cs="Arial"/>
          <w:bCs/>
          <w:lang w:val="es-MX" w:eastAsia="es-CO"/>
        </w:rPr>
        <w:t xml:space="preserve">. </w:t>
      </w:r>
    </w:p>
    <w:p w14:paraId="760F0282" w14:textId="77777777" w:rsidR="006F012C" w:rsidRPr="00437C34" w:rsidRDefault="006F012C" w:rsidP="006F012C">
      <w:pPr>
        <w:widowControl w:val="0"/>
        <w:autoSpaceDE w:val="0"/>
        <w:autoSpaceDN w:val="0"/>
        <w:spacing w:after="0" w:line="276" w:lineRule="auto"/>
        <w:ind w:right="113" w:firstLine="708"/>
        <w:contextualSpacing/>
        <w:jc w:val="both"/>
        <w:rPr>
          <w:rFonts w:ascii="Verdana" w:eastAsia="Arial" w:hAnsi="Verdana" w:cs="Arial"/>
          <w:lang w:val="es-ES" w:eastAsia="es-ES" w:bidi="es-ES"/>
        </w:rPr>
      </w:pPr>
      <w:r w:rsidRPr="00437C34">
        <w:rPr>
          <w:rFonts w:ascii="Verdana" w:eastAsia="Arial" w:hAnsi="Verdana" w:cs="Arial"/>
          <w:lang w:val="es-ES" w:eastAsia="es-ES" w:bidi="es-ES"/>
        </w:rPr>
        <w:t>La Sala de Consulta y Servicio Civil del Consejo de Estado ha aclarado la distinción en la aplicación de las prohibiciones de la Ley 996 de 2005, dependiendo del tipo de elección que se trate. Al respecto, considera:</w:t>
      </w:r>
    </w:p>
    <w:p w14:paraId="38E01E80" w14:textId="77777777" w:rsidR="006F012C" w:rsidRPr="00437C34" w:rsidRDefault="006F012C" w:rsidP="006F012C">
      <w:pPr>
        <w:widowControl w:val="0"/>
        <w:autoSpaceDE w:val="0"/>
        <w:autoSpaceDN w:val="0"/>
        <w:spacing w:after="0" w:line="240" w:lineRule="auto"/>
        <w:ind w:left="805" w:right="812"/>
        <w:contextualSpacing/>
        <w:jc w:val="both"/>
        <w:rPr>
          <w:rFonts w:ascii="Verdana" w:eastAsia="Arial" w:hAnsi="Verdana" w:cs="Arial"/>
          <w:lang w:val="es-ES" w:eastAsia="es-ES" w:bidi="es-ES"/>
        </w:rPr>
      </w:pPr>
    </w:p>
    <w:p w14:paraId="08FEF649" w14:textId="77777777" w:rsidR="006F012C" w:rsidRPr="00437C34" w:rsidRDefault="006F012C" w:rsidP="006F012C">
      <w:pPr>
        <w:widowControl w:val="0"/>
        <w:autoSpaceDE w:val="0"/>
        <w:autoSpaceDN w:val="0"/>
        <w:spacing w:after="0" w:line="240" w:lineRule="auto"/>
        <w:ind w:left="709" w:right="709"/>
        <w:jc w:val="both"/>
        <w:rPr>
          <w:rFonts w:ascii="Verdana" w:eastAsia="Arial" w:hAnsi="Verdana" w:cs="Arial"/>
          <w:sz w:val="20"/>
          <w:szCs w:val="20"/>
          <w:lang w:eastAsia="es-ES" w:bidi="es-ES"/>
        </w:rPr>
      </w:pPr>
      <w:r w:rsidRPr="00437C34">
        <w:rPr>
          <w:rFonts w:ascii="Verdana" w:eastAsia="Arial" w:hAnsi="Verdana" w:cs="Arial"/>
          <w:sz w:val="20"/>
          <w:szCs w:val="20"/>
          <w:lang w:eastAsia="es-ES" w:bidi="es-ES"/>
        </w:rPr>
        <w:t xml:space="preserve">“La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se excluyen sino que </w:t>
      </w:r>
      <w:bookmarkStart w:id="7" w:name="_Hlk76109421"/>
      <w:r w:rsidRPr="00437C34">
        <w:rPr>
          <w:rFonts w:ascii="Verdana" w:eastAsia="Arial" w:hAnsi="Verdana" w:cs="Arial"/>
          <w:sz w:val="20"/>
          <w:szCs w:val="20"/>
          <w:lang w:eastAsia="es-ES" w:bidi="es-ES"/>
        </w:rPr>
        <w:t>se integran parcialmente</w:t>
      </w:r>
      <w:bookmarkEnd w:id="7"/>
      <w:r w:rsidRPr="00437C34">
        <w:rPr>
          <w:rFonts w:ascii="Verdana" w:eastAsia="Arial" w:hAnsi="Verdana" w:cs="Arial"/>
          <w:sz w:val="20"/>
          <w:szCs w:val="20"/>
          <w:lang w:eastAsia="es-ES" w:bidi="es-ES"/>
        </w:rPr>
        <w:t xml:space="preserve">, lo que permite concluir que en periodo preelectoral para elección de Presidente de la República, a todos los entes del Estado, incluidos los territoriales, se aplican las restricciones de los artículos 32 y 33 con sus excepciones, así como las del parágrafo del artículo 38. En cambio, para elecciones en general, excluyendo las correspondientes a Presidente de la República, a las autoridades territoriales allí mencionadas sólo se aplican las restricciones </w:t>
      </w:r>
      <w:r w:rsidRPr="00437C34">
        <w:rPr>
          <w:rFonts w:ascii="Verdana" w:eastAsia="Arial" w:hAnsi="Verdana" w:cs="Arial"/>
          <w:sz w:val="20"/>
          <w:szCs w:val="20"/>
          <w:lang w:eastAsia="es-ES" w:bidi="es-ES"/>
        </w:rPr>
        <w:lastRenderedPageBreak/>
        <w:t>contenidas en el parágrafo del artículo 38”.</w:t>
      </w:r>
      <w:r w:rsidRPr="00437C34">
        <w:rPr>
          <w:rFonts w:ascii="Verdana" w:eastAsia="Arial" w:hAnsi="Verdana" w:cs="Arial"/>
          <w:sz w:val="20"/>
          <w:szCs w:val="20"/>
          <w:vertAlign w:val="superscript"/>
          <w:lang w:eastAsia="es-ES" w:bidi="es-ES"/>
        </w:rPr>
        <w:footnoteReference w:id="10"/>
      </w:r>
    </w:p>
    <w:p w14:paraId="383B0392" w14:textId="77777777" w:rsidR="006F012C" w:rsidRPr="00437C34" w:rsidRDefault="006F012C" w:rsidP="006F012C">
      <w:pPr>
        <w:widowControl w:val="0"/>
        <w:autoSpaceDE w:val="0"/>
        <w:autoSpaceDN w:val="0"/>
        <w:spacing w:after="0" w:line="276" w:lineRule="auto"/>
        <w:contextualSpacing/>
        <w:rPr>
          <w:rFonts w:ascii="Verdana" w:eastAsia="Arial" w:hAnsi="Verdana" w:cs="Arial"/>
          <w:lang w:val="es-ES" w:eastAsia="es-ES" w:bidi="es-ES"/>
        </w:rPr>
      </w:pPr>
    </w:p>
    <w:p w14:paraId="4B04C298" w14:textId="77777777" w:rsidR="006F012C" w:rsidRPr="00437C34" w:rsidRDefault="006F012C" w:rsidP="006F012C">
      <w:pPr>
        <w:spacing w:after="120" w:line="276" w:lineRule="auto"/>
        <w:ind w:firstLine="709"/>
        <w:jc w:val="both"/>
        <w:rPr>
          <w:rFonts w:ascii="Verdana" w:eastAsia="Arial" w:hAnsi="Verdana" w:cs="Arial"/>
          <w:lang w:val="es-ES" w:eastAsia="es-ES" w:bidi="es-ES"/>
        </w:rPr>
      </w:pPr>
      <w:r w:rsidRPr="00437C34">
        <w:rPr>
          <w:rFonts w:ascii="Verdana" w:eastAsia="Arial" w:hAnsi="Verdana" w:cs="Arial"/>
          <w:lang w:val="es-ES" w:eastAsia="es-ES" w:bidi="es-ES"/>
        </w:rPr>
        <w:t xml:space="preserve">De conformidad con lo anterior, </w:t>
      </w:r>
      <w:bookmarkStart w:id="8" w:name="_Hlk77236420"/>
      <w:bookmarkStart w:id="9" w:name="_Hlk78818435"/>
      <w:bookmarkStart w:id="10" w:name="_Hlk75780333"/>
      <w:r w:rsidRPr="00437C34">
        <w:rPr>
          <w:rFonts w:ascii="Verdana" w:eastAsia="Arial" w:hAnsi="Verdana" w:cs="Arial"/>
          <w:lang w:val="es-ES" w:eastAsia="es-ES" w:bidi="es-ES"/>
        </w:rPr>
        <w:t xml:space="preserve">la Ley 996 de 2005 establece dos (2) tipos de restricciones en materia de contratación, las cuales coinciden parcialmente. </w:t>
      </w:r>
      <w:r w:rsidRPr="00437C34">
        <w:rPr>
          <w:rFonts w:ascii="Verdana" w:eastAsia="Arial" w:hAnsi="Verdana" w:cs="Arial"/>
          <w:i/>
          <w:lang w:val="es-ES" w:eastAsia="es-ES" w:bidi="es-ES"/>
        </w:rPr>
        <w:t>En primer lugar</w:t>
      </w:r>
      <w:r w:rsidRPr="00437C34">
        <w:rPr>
          <w:rFonts w:ascii="Verdana" w:eastAsia="Arial" w:hAnsi="Verdana" w:cs="Arial"/>
          <w:lang w:val="es-ES" w:eastAsia="es-ES" w:bidi="es-ES"/>
        </w:rPr>
        <w:t xml:space="preserve">, la del artículo 33 que aplica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(3)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w:t>
      </w:r>
      <w:r w:rsidRPr="00437C34">
        <w:rPr>
          <w:rFonts w:ascii="Verdana" w:eastAsia="Arial" w:hAnsi="Verdana" w:cs="Arial"/>
          <w:i/>
          <w:lang w:val="es-ES" w:eastAsia="es-ES" w:bidi="es-ES"/>
        </w:rPr>
        <w:t>En segundo lugar</w:t>
      </w:r>
      <w:r w:rsidRPr="00437C34">
        <w:rPr>
          <w:rFonts w:ascii="Verdana" w:eastAsia="Arial" w:hAnsi="Verdana" w:cs="Arial"/>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bookmarkEnd w:id="8"/>
    </w:p>
    <w:bookmarkEnd w:id="9"/>
    <w:p w14:paraId="10AA10CC" w14:textId="77777777" w:rsidR="006F012C" w:rsidRPr="00437C34" w:rsidRDefault="006F012C" w:rsidP="006F012C">
      <w:pPr>
        <w:spacing w:after="120" w:line="276" w:lineRule="auto"/>
        <w:ind w:firstLine="709"/>
        <w:jc w:val="both"/>
        <w:rPr>
          <w:rFonts w:ascii="Verdana" w:eastAsia="Arial" w:hAnsi="Verdana" w:cs="Arial"/>
          <w:lang w:val="es-ES" w:eastAsia="es-ES" w:bidi="es-ES"/>
        </w:rPr>
      </w:pPr>
      <w:r w:rsidRPr="00437C34">
        <w:rPr>
          <w:rFonts w:ascii="Verdana" w:eastAsia="Arial" w:hAnsi="Verdana" w:cs="Arial"/>
          <w:lang w:val="es-ES" w:eastAsia="es-ES" w:bidi="es-ES"/>
        </w:rPr>
        <w:t>Ambas restricciones no son excluyentes, lo que permite concluir que, en el período preelectoral para elección de Presidente de la República, a todos los entes del Estado, incluidos los territoriales, aplican las restricciones del artículo 33 con sus excepciones, así como las del parágrafo del artículo 38. En cambio, tratándose de elecciones en general, excluyendo las correspondientes al Presidente de la República, las autoridades allí mencionadas sólo deben aplicar las restricciones contenidas en el parágrafo del artículo 38.</w:t>
      </w:r>
    </w:p>
    <w:bookmarkEnd w:id="10"/>
    <w:p w14:paraId="675311D6" w14:textId="75CDA8E4" w:rsidR="006F012C" w:rsidRDefault="006F012C" w:rsidP="002F5FAA">
      <w:pPr>
        <w:spacing w:after="0" w:line="276" w:lineRule="auto"/>
        <w:ind w:firstLine="709"/>
        <w:jc w:val="both"/>
        <w:rPr>
          <w:rFonts w:ascii="Verdana" w:eastAsia="Arial" w:hAnsi="Verdana" w:cs="Arial"/>
          <w:lang w:val="es-ES" w:eastAsia="es-ES" w:bidi="es-ES"/>
        </w:rPr>
      </w:pPr>
      <w:r w:rsidRPr="00437C34">
        <w:rPr>
          <w:rFonts w:ascii="Verdana" w:eastAsia="Arial" w:hAnsi="Verdana" w:cs="Arial"/>
          <w:lang w:val="es-ES" w:eastAsia="es-ES" w:bidi="es-ES"/>
        </w:rPr>
        <w:t xml:space="preserve">La Corte Constitucional, en la Sentencia C-1153 del 11 de noviembre de 2005, señaló que, para que la garantía sea plena, era necesario que la prohibición se aplicara para el Presidente o el Vicepresidente desde que éstos –estando en ejercicio de su cargo– manifiesten el interés de ser candidato presidencial, lo cual debe ocurrir seis (6) meses antes de la elección en primera vuelta, de acuerdo con el artículo 9 de la Ley 996 de 2005. Sin embargo, el condicionamiento impuesto por la Corte Constitucional, relacionado con el momento en que estas restricciones empiezan a regir para el Presidente y el Vicepresidente de la República, ha perdido vigencia ante la prohibición de la reelección presidencial, restablecida por el Acto Legislativo 2 de 2015. Esto excepto para el Vicepresidente que no haya ejercido la presidencia o que la haya </w:t>
      </w:r>
      <w:r w:rsidRPr="00437C34">
        <w:rPr>
          <w:rFonts w:ascii="Verdana" w:eastAsia="Arial" w:hAnsi="Verdana" w:cs="Arial"/>
          <w:lang w:val="es-ES" w:eastAsia="es-ES" w:bidi="es-ES"/>
        </w:rPr>
        <w:lastRenderedPageBreak/>
        <w:t xml:space="preserve">ejercido por un tiempo inferior a tres (3) meses durante el respectivo cuatrienio, en forma continua o discontinua, conforme al artículo 197 de la Constitución Política. </w:t>
      </w:r>
      <w:bookmarkStart w:id="11" w:name="_Hlk78820161"/>
    </w:p>
    <w:p w14:paraId="6DD5228B" w14:textId="77777777" w:rsidR="002F5FAA" w:rsidRPr="00437C34" w:rsidRDefault="002F5FAA" w:rsidP="00763254">
      <w:pPr>
        <w:spacing w:after="0" w:line="276" w:lineRule="auto"/>
        <w:ind w:firstLine="709"/>
        <w:jc w:val="both"/>
        <w:rPr>
          <w:rFonts w:ascii="Verdana" w:eastAsia="Arial" w:hAnsi="Verdana" w:cs="Arial"/>
          <w:lang w:val="es-ES" w:eastAsia="es-ES" w:bidi="es-ES"/>
        </w:rPr>
      </w:pPr>
    </w:p>
    <w:p w14:paraId="78E033A1" w14:textId="77777777" w:rsidR="006F012C" w:rsidRPr="00437C34" w:rsidRDefault="006F012C" w:rsidP="00763254">
      <w:pPr>
        <w:spacing w:after="0" w:line="276" w:lineRule="auto"/>
        <w:jc w:val="both"/>
        <w:rPr>
          <w:rFonts w:ascii="Verdana" w:eastAsia="Arial" w:hAnsi="Verdana" w:cs="Arial"/>
          <w:lang w:val="es-ES" w:eastAsia="es-ES" w:bidi="es-ES"/>
        </w:rPr>
      </w:pPr>
      <w:r w:rsidRPr="00437C34">
        <w:rPr>
          <w:rFonts w:ascii="Verdana" w:eastAsia="Arial" w:hAnsi="Verdana" w:cs="Arial"/>
          <w:lang w:val="es-ES" w:eastAsia="es-ES" w:bidi="es-ES"/>
        </w:rPr>
        <w:t xml:space="preserve">iii. </w:t>
      </w:r>
      <w:r w:rsidRPr="00437C34">
        <w:rPr>
          <w:rFonts w:ascii="Verdana" w:eastAsia="Times New Roman" w:hAnsi="Verdana" w:cs="Arial"/>
          <w:bCs/>
          <w:lang w:val="es-MX" w:eastAsia="x-none"/>
        </w:rPr>
        <w:t xml:space="preserve">El ámbito material de la prohibición contenida en el artículo 33 de la ley 996 de 2005 está delimitado por la expresión </w:t>
      </w:r>
      <w:r w:rsidRPr="00437C34">
        <w:rPr>
          <w:rFonts w:ascii="Verdana" w:eastAsia="Calibri" w:hAnsi="Verdana" w:cs="Arial"/>
          <w:bCs/>
          <w:sz w:val="20"/>
          <w:szCs w:val="20"/>
          <w:lang w:val="es-MX"/>
        </w:rPr>
        <w:t>“</w:t>
      </w:r>
      <w:r w:rsidRPr="00437C34">
        <w:rPr>
          <w:rFonts w:ascii="Verdana" w:eastAsia="Times New Roman" w:hAnsi="Verdana" w:cs="Arial"/>
          <w:bCs/>
          <w:lang w:val="es-MX" w:eastAsia="x-none"/>
        </w:rPr>
        <w:t>queda prohibida la contratación directa</w:t>
      </w:r>
      <w:r w:rsidRPr="00437C34">
        <w:rPr>
          <w:rFonts w:ascii="Verdana" w:eastAsia="Calibri" w:hAnsi="Verdana" w:cs="Arial"/>
          <w:sz w:val="20"/>
          <w:szCs w:val="20"/>
          <w:lang w:val="es-MX"/>
        </w:rPr>
        <w:t>”</w:t>
      </w:r>
      <w:r w:rsidRPr="00437C34">
        <w:rPr>
          <w:rFonts w:ascii="Verdana" w:eastAsia="Times New Roman" w:hAnsi="Verdana" w:cs="Arial"/>
          <w:bCs/>
          <w:lang w:val="es-MX" w:eastAsia="x-none"/>
        </w:rPr>
        <w:t xml:space="preserve">. </w:t>
      </w:r>
      <w:r w:rsidRPr="00437C34">
        <w:rPr>
          <w:rFonts w:ascii="Verdana" w:eastAsia="Times New Roman" w:hAnsi="Verdana" w:cs="Arial"/>
          <w:lang w:val="es-MX" w:eastAsia="es-CO"/>
        </w:rPr>
        <w:t xml:space="preserve"> A propósito de </w:t>
      </w:r>
      <w:r w:rsidRPr="00437C34">
        <w:rPr>
          <w:rFonts w:ascii="Verdana" w:eastAsia="Times New Roman" w:hAnsi="Verdana" w:cs="Arial"/>
          <w:lang w:eastAsia="es-CO"/>
        </w:rPr>
        <w:t>esta restricción de la Ley de Garantías Electorales, la Sala de Consulta y Servicio Civil del Consejo de Estado ha considerado que:</w:t>
      </w:r>
    </w:p>
    <w:p w14:paraId="4C298F1D" w14:textId="77777777" w:rsidR="006F012C" w:rsidRPr="00437C34" w:rsidRDefault="006F012C" w:rsidP="002F5FAA">
      <w:pPr>
        <w:spacing w:after="0" w:line="240" w:lineRule="auto"/>
        <w:ind w:left="708" w:right="709"/>
        <w:jc w:val="both"/>
        <w:rPr>
          <w:rFonts w:ascii="Verdana" w:eastAsia="Calibri" w:hAnsi="Verdana" w:cs="Arial"/>
          <w:sz w:val="21"/>
          <w:szCs w:val="21"/>
          <w:lang w:val="es-MX"/>
        </w:rPr>
      </w:pPr>
    </w:p>
    <w:p w14:paraId="71642D77" w14:textId="2CF60005" w:rsidR="006F012C" w:rsidRDefault="002F5FAA" w:rsidP="002F5FAA">
      <w:pPr>
        <w:spacing w:after="0" w:line="240" w:lineRule="auto"/>
        <w:ind w:left="709" w:right="709"/>
        <w:jc w:val="both"/>
        <w:rPr>
          <w:rFonts w:ascii="Verdana" w:eastAsia="Calibri" w:hAnsi="Verdana" w:cs="Arial"/>
          <w:sz w:val="20"/>
          <w:szCs w:val="20"/>
          <w:lang w:val="es-MX"/>
        </w:rPr>
      </w:pPr>
      <w:r>
        <w:rPr>
          <w:rFonts w:ascii="Verdana" w:eastAsia="Calibri" w:hAnsi="Verdana" w:cs="Arial"/>
          <w:sz w:val="20"/>
          <w:szCs w:val="20"/>
          <w:lang w:val="es-MX"/>
        </w:rPr>
        <w:t>“</w:t>
      </w:r>
      <w:r w:rsidR="006F012C" w:rsidRPr="00437C34">
        <w:rPr>
          <w:rFonts w:ascii="Verdana" w:eastAsia="Calibri" w:hAnsi="Verdana" w:cs="Arial"/>
          <w:sz w:val="20"/>
          <w:szCs w:val="20"/>
          <w:lang w:val="es-MX"/>
        </w:rPr>
        <w:t>La contratación directa es un mecanismo de selección de carácter excepcional, en virtud del cual las entidades públicas pueden contratar mediante un trámite simplificado, ágil y expedito sin necesidad de realizar previamente un proceso de licitación pública o concurso, únicamente en los casos en que expresa y taxativamente señale la ley (numeral 4, artículo 2, ley 1150 de 2007), y cumpliendo siempre los principios que rigen la contratación pública</w:t>
      </w:r>
      <w:r w:rsidR="006F012C" w:rsidRPr="00437C34">
        <w:rPr>
          <w:rFonts w:ascii="Verdana" w:eastAsia="Times New Roman" w:hAnsi="Verdana" w:cs="Arial"/>
          <w:sz w:val="20"/>
          <w:szCs w:val="20"/>
          <w:vertAlign w:val="superscript"/>
          <w:lang w:eastAsia="es-CO"/>
        </w:rPr>
        <w:footnoteReference w:id="11"/>
      </w:r>
      <w:r w:rsidR="006F012C" w:rsidRPr="00437C34">
        <w:rPr>
          <w:rFonts w:ascii="Verdana" w:eastAsia="Calibri" w:hAnsi="Verdana" w:cs="Arial"/>
          <w:sz w:val="20"/>
          <w:szCs w:val="20"/>
          <w:lang w:val="es-MX"/>
        </w:rPr>
        <w:t>.</w:t>
      </w:r>
    </w:p>
    <w:p w14:paraId="746B80B4" w14:textId="77777777" w:rsidR="002F5FAA" w:rsidRPr="00437C34" w:rsidRDefault="002F5FAA" w:rsidP="00763254">
      <w:pPr>
        <w:spacing w:after="0" w:line="240" w:lineRule="auto"/>
        <w:ind w:left="709" w:right="709"/>
        <w:jc w:val="both"/>
        <w:rPr>
          <w:rFonts w:ascii="Verdana" w:eastAsia="Calibri" w:hAnsi="Verdana" w:cs="Arial"/>
          <w:sz w:val="20"/>
          <w:szCs w:val="20"/>
          <w:lang w:val="es-MX"/>
        </w:rPr>
      </w:pPr>
    </w:p>
    <w:p w14:paraId="2B311795" w14:textId="484548AC" w:rsidR="006F012C" w:rsidRPr="00437C34" w:rsidRDefault="006F012C" w:rsidP="002F5FAA">
      <w:pPr>
        <w:spacing w:after="0" w:line="240" w:lineRule="auto"/>
        <w:ind w:left="708" w:right="709"/>
        <w:jc w:val="both"/>
        <w:rPr>
          <w:rFonts w:ascii="Verdana" w:eastAsia="Calibri" w:hAnsi="Verdana" w:cs="Arial"/>
          <w:sz w:val="21"/>
          <w:szCs w:val="21"/>
          <w:lang w:val="es-MX"/>
        </w:rPr>
      </w:pPr>
      <w:r w:rsidRPr="00437C34">
        <w:rPr>
          <w:rFonts w:ascii="Verdana" w:eastAsia="Calibri" w:hAnsi="Verdana" w:cs="Arial"/>
          <w:sz w:val="20"/>
          <w:szCs w:val="20"/>
          <w:lang w:val="es-MX"/>
        </w:rPr>
        <w:t>Esta Sala ha entendido que para los efectos de la ley de garantías, y dada su finalidad, el enunciado ´contratación directa´ es sinónimo de cualquier sistema que no implique convocatoria pública y posibilidad de pluralidad de oferentes, y que, además, no necesariamente hace referencia al procedimiento especial regulado por la ley de contratación estatal, sino a cualquier otro que prescinda de un proceso de licitación pública o concurso</w:t>
      </w:r>
      <w:r w:rsidRPr="00437C34">
        <w:rPr>
          <w:rFonts w:ascii="Verdana" w:eastAsia="Times New Roman" w:hAnsi="Verdana" w:cs="Arial"/>
          <w:sz w:val="20"/>
          <w:szCs w:val="20"/>
          <w:vertAlign w:val="superscript"/>
          <w:lang w:val="es-MX"/>
        </w:rPr>
        <w:footnoteReference w:id="12"/>
      </w:r>
      <w:r w:rsidRPr="00437C34">
        <w:rPr>
          <w:rFonts w:ascii="Verdana" w:eastAsia="Times New Roman" w:hAnsi="Verdana" w:cs="Arial"/>
          <w:sz w:val="20"/>
          <w:szCs w:val="20"/>
          <w:vertAlign w:val="superscript"/>
          <w:lang w:val="es-MX"/>
        </w:rPr>
        <w:t>.</w:t>
      </w:r>
      <w:r w:rsidRPr="00437C34">
        <w:rPr>
          <w:rFonts w:ascii="Verdana" w:eastAsia="Calibri" w:hAnsi="Verdana" w:cs="Arial"/>
          <w:sz w:val="20"/>
          <w:szCs w:val="20"/>
          <w:lang w:val="es-MX"/>
        </w:rPr>
        <w:t xml:space="preserve"> Por tanto, no son materia de la prohibición las demás modalidades de selección previstas en la ley 1150 de 2007, siendo estas, la licitación pública, el concurso de méritos y la selección abreviada, razón por la cual en ese periodo preelectoral de que trata la disposición pueden las entidades públicas seguir contratando bajo estos sistemas. [</w:t>
      </w:r>
      <w:r w:rsidR="002F5FAA">
        <w:rPr>
          <w:rFonts w:ascii="Verdana" w:eastAsia="Calibri" w:hAnsi="Verdana" w:cs="Arial"/>
          <w:sz w:val="20"/>
          <w:szCs w:val="20"/>
          <w:lang w:val="es-MX"/>
        </w:rPr>
        <w:t>”…</w:t>
      </w:r>
      <w:r w:rsidRPr="00437C34">
        <w:rPr>
          <w:rFonts w:ascii="Verdana" w:eastAsia="Calibri" w:hAnsi="Verdana" w:cs="Arial"/>
          <w:sz w:val="20"/>
          <w:szCs w:val="20"/>
          <w:lang w:val="es-MX"/>
        </w:rPr>
        <w:t>]</w:t>
      </w:r>
      <w:r w:rsidR="002F5FAA">
        <w:rPr>
          <w:rFonts w:ascii="Verdana" w:eastAsia="Calibri" w:hAnsi="Verdana" w:cs="Arial"/>
          <w:sz w:val="20"/>
          <w:szCs w:val="20"/>
          <w:lang w:val="es-MX"/>
        </w:rPr>
        <w:t>"</w:t>
      </w:r>
      <w:r w:rsidRPr="00437C34">
        <w:rPr>
          <w:rFonts w:ascii="Verdana" w:eastAsia="Times New Roman" w:hAnsi="Verdana" w:cs="Arial"/>
          <w:vertAlign w:val="superscript"/>
          <w:lang w:eastAsia="es-CO"/>
        </w:rPr>
        <w:footnoteReference w:id="13"/>
      </w:r>
      <w:r w:rsidRPr="00437C34">
        <w:rPr>
          <w:rFonts w:ascii="Verdana" w:eastAsia="Calibri" w:hAnsi="Verdana" w:cs="Arial"/>
          <w:sz w:val="21"/>
          <w:szCs w:val="21"/>
          <w:lang w:val="es-MX"/>
        </w:rPr>
        <w:t xml:space="preserve"> .</w:t>
      </w:r>
    </w:p>
    <w:p w14:paraId="15627198" w14:textId="77777777" w:rsidR="006F012C" w:rsidRPr="00437C34" w:rsidRDefault="006F012C" w:rsidP="006F012C">
      <w:pPr>
        <w:shd w:val="clear" w:color="auto" w:fill="FFFFFF"/>
        <w:spacing w:after="0" w:line="276" w:lineRule="auto"/>
        <w:ind w:firstLine="709"/>
        <w:jc w:val="both"/>
        <w:rPr>
          <w:rFonts w:ascii="Verdana" w:eastAsia="Times New Roman" w:hAnsi="Verdana" w:cs="Arial"/>
          <w:lang w:eastAsia="x-none"/>
        </w:rPr>
      </w:pPr>
    </w:p>
    <w:p w14:paraId="7CAC8C1D" w14:textId="77777777" w:rsidR="006F012C" w:rsidRPr="00437C34" w:rsidRDefault="006F012C" w:rsidP="006F012C">
      <w:pPr>
        <w:spacing w:after="120" w:line="276" w:lineRule="auto"/>
        <w:ind w:firstLine="708"/>
        <w:jc w:val="both"/>
        <w:rPr>
          <w:rFonts w:ascii="Verdana" w:eastAsia="Times New Roman" w:hAnsi="Verdana" w:cs="Arial"/>
          <w:bCs/>
          <w:lang w:eastAsia="x-none"/>
        </w:rPr>
      </w:pPr>
      <w:r w:rsidRPr="00437C34">
        <w:rPr>
          <w:rFonts w:ascii="Verdana" w:eastAsia="Times New Roman" w:hAnsi="Verdana" w:cs="Arial"/>
          <w:lang w:eastAsia="x-none"/>
        </w:rPr>
        <w:t xml:space="preserve">De acuerdo con el citado concepto, la prohibición del artículo 33 de la Ley de Garantías Electorales se refiere a </w:t>
      </w:r>
      <w:r w:rsidRPr="00437C34">
        <w:rPr>
          <w:rFonts w:ascii="Verdana" w:eastAsia="Times New Roman" w:hAnsi="Verdana" w:cs="Arial"/>
          <w:sz w:val="19"/>
          <w:szCs w:val="19"/>
          <w:lang w:eastAsia="en-GB"/>
        </w:rPr>
        <w:t>“</w:t>
      </w:r>
      <w:r w:rsidRPr="00437C34">
        <w:rPr>
          <w:rFonts w:ascii="Verdana" w:eastAsia="Times New Roman" w:hAnsi="Verdana" w:cs="Arial"/>
          <w:lang w:eastAsia="x-none"/>
        </w:rPr>
        <w:t>cualquier sistema que no implique convocatoria pública y posibilidad de pluralidad de oferentes</w:t>
      </w:r>
      <w:r w:rsidRPr="00437C34">
        <w:rPr>
          <w:rFonts w:ascii="Verdana" w:eastAsia="Times New Roman" w:hAnsi="Verdana" w:cs="Arial"/>
          <w:lang w:eastAsia="en-GB"/>
        </w:rPr>
        <w:t>”</w:t>
      </w:r>
      <w:r w:rsidRPr="00437C34">
        <w:rPr>
          <w:rFonts w:ascii="Verdana" w:eastAsia="Times New Roman" w:hAnsi="Verdana" w:cs="Arial"/>
          <w:lang w:eastAsia="x-none"/>
        </w:rPr>
        <w:t xml:space="preserve">, por lo que excluye las demás modalidades de contratación previstas en la Ley 1150 de 2007, es decir, la licitación pública, la selección abreviada, el concurso de méritos </w:t>
      </w:r>
      <w:r w:rsidRPr="00437C34">
        <w:rPr>
          <w:rFonts w:ascii="Verdana" w:eastAsia="Times New Roman" w:hAnsi="Verdana" w:cs="Arial"/>
          <w:lang w:val="es-ES_tradnl" w:eastAsia="x-none"/>
        </w:rPr>
        <w:t>y la mínima cuantía</w:t>
      </w:r>
      <w:r w:rsidRPr="00437C34" w:rsidDel="00A85D9F">
        <w:rPr>
          <w:rFonts w:ascii="Verdana" w:eastAsia="Times New Roman" w:hAnsi="Verdana" w:cs="Arial"/>
          <w:lang w:eastAsia="x-none"/>
        </w:rPr>
        <w:t xml:space="preserve"> </w:t>
      </w:r>
      <w:r w:rsidRPr="00437C34">
        <w:rPr>
          <w:rFonts w:ascii="Verdana" w:eastAsia="Times New Roman" w:hAnsi="Verdana" w:cs="Arial"/>
          <w:lang w:eastAsia="x-none"/>
        </w:rPr>
        <w:t>u otros previstos en normas especiales. Esta posición es congruente con la expedición de la Ley 1150 de 2007 que, entre otras reformas, introdujo la selección abreviada, rediseñó el concurso de méritos</w:t>
      </w:r>
      <w:r w:rsidRPr="00437C34">
        <w:rPr>
          <w:rFonts w:ascii="Verdana" w:eastAsia="Times New Roman" w:hAnsi="Verdana" w:cs="Arial"/>
          <w:vertAlign w:val="superscript"/>
          <w:lang w:val="en-GB" w:eastAsia="x-none"/>
        </w:rPr>
        <w:footnoteReference w:id="14"/>
      </w:r>
      <w:r w:rsidRPr="00437C34">
        <w:rPr>
          <w:rFonts w:ascii="Verdana" w:eastAsia="Times New Roman" w:hAnsi="Verdana" w:cs="Arial"/>
          <w:lang w:eastAsia="x-none"/>
        </w:rPr>
        <w:t xml:space="preserve"> y sistematizó </w:t>
      </w:r>
      <w:r w:rsidRPr="00437C34">
        <w:rPr>
          <w:rFonts w:ascii="Verdana" w:eastAsia="Times New Roman" w:hAnsi="Verdana" w:cs="Arial"/>
          <w:lang w:eastAsia="x-none"/>
        </w:rPr>
        <w:lastRenderedPageBreak/>
        <w:t>las causales de contratación directa</w:t>
      </w:r>
      <w:r w:rsidRPr="00437C34">
        <w:rPr>
          <w:rFonts w:ascii="Verdana" w:eastAsia="Times New Roman" w:hAnsi="Verdana" w:cs="Arial"/>
          <w:vertAlign w:val="superscript"/>
          <w:lang w:val="en-GB" w:eastAsia="x-none"/>
        </w:rPr>
        <w:footnoteReference w:id="15"/>
      </w:r>
      <w:r w:rsidRPr="00437C34">
        <w:rPr>
          <w:rFonts w:ascii="Verdana" w:eastAsia="Times New Roman" w:hAnsi="Verdana" w:cs="Arial"/>
          <w:lang w:eastAsia="x-none"/>
        </w:rPr>
        <w:t xml:space="preserve">, </w:t>
      </w:r>
      <w:r w:rsidRPr="00437C34">
        <w:rPr>
          <w:rFonts w:ascii="Verdana" w:eastAsia="Calibri" w:hAnsi="Verdana" w:cs="Arial"/>
          <w:szCs w:val="24"/>
          <w:lang w:eastAsia="x-none"/>
        </w:rPr>
        <w:t>además lo es con la posterior creación de la modalidad de mínima cuantía establecida actualmente en el numeral 5 del artículo 2 de la Ley 1150 de 2007, de acuerdo con las modificaciones realizadas por leyes posteriores.</w:t>
      </w:r>
    </w:p>
    <w:p w14:paraId="028821B6" w14:textId="77777777" w:rsidR="006F012C" w:rsidRPr="00437C34" w:rsidRDefault="006F012C" w:rsidP="006F012C">
      <w:pPr>
        <w:spacing w:after="120" w:line="276" w:lineRule="auto"/>
        <w:ind w:firstLine="708"/>
        <w:jc w:val="both"/>
        <w:rPr>
          <w:rFonts w:ascii="Verdana" w:eastAsia="Times New Roman" w:hAnsi="Verdana" w:cs="Arial"/>
          <w:lang w:val="es-MX" w:eastAsia="x-none"/>
        </w:rPr>
      </w:pPr>
      <w:r w:rsidRPr="00437C34">
        <w:rPr>
          <w:rFonts w:ascii="Verdana" w:eastAsia="Times New Roman" w:hAnsi="Verdana" w:cs="Arial"/>
          <w:lang w:eastAsia="x-none"/>
        </w:rPr>
        <w:t xml:space="preserve">De esta forma, con fundamento en la evolución de la normativa sobre la contratación pública, se ha depurado la noción de </w:t>
      </w:r>
      <w:r w:rsidRPr="00437C34">
        <w:rPr>
          <w:rFonts w:ascii="Verdana" w:eastAsia="Times New Roman" w:hAnsi="Verdana" w:cs="Arial"/>
          <w:sz w:val="19"/>
          <w:szCs w:val="19"/>
          <w:lang w:eastAsia="en-GB"/>
        </w:rPr>
        <w:t>“</w:t>
      </w:r>
      <w:r w:rsidRPr="00437C34">
        <w:rPr>
          <w:rFonts w:ascii="Verdana" w:eastAsia="Times New Roman" w:hAnsi="Verdana" w:cs="Arial"/>
          <w:lang w:eastAsia="x-none"/>
        </w:rPr>
        <w:t>contratación directa</w:t>
      </w:r>
      <w:r w:rsidRPr="00437C34">
        <w:rPr>
          <w:rFonts w:ascii="Verdana" w:eastAsia="Times New Roman" w:hAnsi="Verdana" w:cs="Arial"/>
          <w:lang w:eastAsia="en-GB"/>
        </w:rPr>
        <w:t>”</w:t>
      </w:r>
      <w:r w:rsidRPr="00437C34">
        <w:rPr>
          <w:rFonts w:ascii="Verdana" w:eastAsia="Times New Roman" w:hAnsi="Verdana" w:cs="Arial"/>
          <w:lang w:eastAsia="x-none"/>
        </w:rPr>
        <w:t>, precisando el Consejo de Estado –en el concepto citado– que, “aun cuando no coincide única y exactamente con la regulación que de dicho sistema de selección hace el artículo 2º de la Ley 1150 de 2007, tampoco puede afirmarse que sea cualquier procedimiento de contratación distinto de la licitación pública, pues esto sería tanto como desconocer que el legislador, no solo en el Estatuto General de la Contratación de la Administración Pública, sino también en leyes especiales e, incluso, en el derecho privado</w:t>
      </w:r>
      <w:r w:rsidRPr="00437C34">
        <w:rPr>
          <w:rFonts w:ascii="Verdana" w:eastAsia="Times New Roman" w:hAnsi="Verdana" w:cs="Arial"/>
          <w:vertAlign w:val="superscript"/>
          <w:lang w:val="en-GB" w:eastAsia="x-none"/>
        </w:rPr>
        <w:footnoteReference w:id="16"/>
      </w:r>
      <w:r w:rsidRPr="00437C34">
        <w:rPr>
          <w:rFonts w:ascii="Verdana" w:eastAsia="Times New Roman" w:hAnsi="Verdana" w:cs="Arial"/>
          <w:lang w:eastAsia="x-none"/>
        </w:rPr>
        <w:t>, han establecido sistemas de contratación que implican convocatoria pública y participación de varios oferentes</w:t>
      </w:r>
      <w:r w:rsidRPr="00437C34">
        <w:rPr>
          <w:rFonts w:ascii="Verdana" w:eastAsia="Times New Roman" w:hAnsi="Verdana" w:cs="Arial"/>
          <w:lang w:eastAsia="en-GB"/>
        </w:rPr>
        <w:t>”</w:t>
      </w:r>
      <w:r w:rsidRPr="00437C34">
        <w:rPr>
          <w:rFonts w:ascii="Verdana" w:eastAsia="Times New Roman" w:hAnsi="Verdana" w:cs="Arial"/>
          <w:lang w:eastAsia="x-none"/>
        </w:rPr>
        <w:t xml:space="preserve">. </w:t>
      </w:r>
    </w:p>
    <w:p w14:paraId="3B81E942" w14:textId="77777777" w:rsidR="006F012C" w:rsidRPr="00437C34" w:rsidRDefault="006F012C" w:rsidP="006F012C">
      <w:pPr>
        <w:spacing w:after="120" w:line="276" w:lineRule="auto"/>
        <w:ind w:firstLine="708"/>
        <w:jc w:val="both"/>
        <w:rPr>
          <w:rFonts w:ascii="Verdana" w:eastAsia="Times New Roman" w:hAnsi="Verdana" w:cs="Arial"/>
          <w:bCs/>
          <w:lang w:val="es-MX" w:eastAsia="es-CO"/>
        </w:rPr>
      </w:pPr>
      <w:r w:rsidRPr="00437C34">
        <w:rPr>
          <w:rFonts w:ascii="Verdana" w:eastAsia="Times New Roman" w:hAnsi="Verdana" w:cs="Arial"/>
          <w:bCs/>
          <w:lang w:val="es-MX" w:eastAsia="x-none"/>
        </w:rPr>
        <w:t>E</w:t>
      </w:r>
      <w:r w:rsidRPr="00437C34">
        <w:rPr>
          <w:rFonts w:ascii="Verdana" w:eastAsia="Times New Roman" w:hAnsi="Verdana" w:cs="Arial"/>
          <w:lang w:eastAsia="x-none"/>
        </w:rPr>
        <w:t>n efecto, vale la pena mencionar que, en algunos sistemas de contratación, utilizados por entidades públicas con regímenes especiales, o sujetas al derecho privado, la convocatoria o invitación para contratar puede limitarse a aquellas personas que previamente se hayan inscrito en una lista de precalificados o de simples interesados, o en un determinado registro o banco de datos de proveedores. En estos casos, lo determinante para considerar que dicho sistema no constituye “contratación directa”, es que la convocatoria para inscribirse en forma previa se haga de manera pública, y que se permita la participación de una pluralidad de oferentes</w:t>
      </w:r>
      <w:r w:rsidRPr="00437C34">
        <w:rPr>
          <w:rFonts w:ascii="Verdana" w:eastAsia="Times New Roman" w:hAnsi="Verdana" w:cs="Arial"/>
          <w:vertAlign w:val="superscript"/>
          <w:lang w:eastAsia="x-none"/>
        </w:rPr>
        <w:footnoteReference w:id="17"/>
      </w:r>
      <w:r w:rsidRPr="00437C34">
        <w:rPr>
          <w:rFonts w:ascii="Verdana" w:eastAsia="Times New Roman" w:hAnsi="Verdana" w:cs="Arial"/>
          <w:lang w:eastAsia="x-none"/>
        </w:rPr>
        <w:t xml:space="preserve">. </w:t>
      </w:r>
    </w:p>
    <w:p w14:paraId="01DE4DEB" w14:textId="77777777" w:rsidR="006F012C" w:rsidRPr="00437C34" w:rsidRDefault="006F012C" w:rsidP="006F012C">
      <w:pPr>
        <w:spacing w:after="120" w:line="276" w:lineRule="auto"/>
        <w:ind w:firstLine="708"/>
        <w:jc w:val="both"/>
        <w:rPr>
          <w:rFonts w:ascii="Verdana" w:eastAsia="Times New Roman" w:hAnsi="Verdana" w:cs="Arial"/>
          <w:bCs/>
          <w:lang w:val="es-MX" w:eastAsia="es-CO"/>
        </w:rPr>
      </w:pPr>
      <w:r w:rsidRPr="00437C34">
        <w:rPr>
          <w:rFonts w:ascii="Verdana" w:eastAsia="Times New Roman" w:hAnsi="Verdana" w:cs="Arial"/>
          <w:bCs/>
          <w:lang w:val="es-MX" w:eastAsia="es-CO"/>
        </w:rPr>
        <w:t>Como se advierte de lo anterior, el Consejo de Estado realiza una interpretación amplia de la contratación directa, para efectos de aplicar las restricciones establecidas en la Ley de Garantías, al señalar que no solo aplica frente a las entidades sometidas al Estatuto general de Contratación de la Administración Pública, sino también frente a las entidades que tengan un régimen especial de contratación. No obstante, también se observa que luego de la expedición de Ley 1150 de 2007, el Consejo de Estado comenzó a delimitar con mayor precisión el término de “contratación directa”.</w:t>
      </w:r>
    </w:p>
    <w:p w14:paraId="485FD8AF" w14:textId="77777777" w:rsidR="006F012C" w:rsidRPr="00437C34" w:rsidRDefault="006F012C" w:rsidP="006F012C">
      <w:pPr>
        <w:spacing w:after="120" w:line="276" w:lineRule="auto"/>
        <w:ind w:firstLine="708"/>
        <w:jc w:val="both"/>
        <w:rPr>
          <w:rFonts w:ascii="Verdana" w:eastAsia="Times New Roman" w:hAnsi="Verdana" w:cs="Arial"/>
          <w:bCs/>
          <w:lang w:val="es-MX" w:eastAsia="x-none"/>
        </w:rPr>
      </w:pPr>
      <w:r w:rsidRPr="00437C34">
        <w:rPr>
          <w:rFonts w:ascii="Verdana" w:eastAsia="Times New Roman" w:hAnsi="Verdana" w:cs="Arial"/>
          <w:bCs/>
          <w:lang w:val="es-MX" w:eastAsia="x-none"/>
        </w:rPr>
        <w:lastRenderedPageBreak/>
        <w:t xml:space="preserve"> Así las cosas, ha de entenderse que, para los efectos de la Ley de Garantías Electorales y, en particular,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r w:rsidRPr="00437C34">
        <w:rPr>
          <w:rFonts w:ascii="Verdana" w:eastAsia="Times New Roman" w:hAnsi="Verdana" w:cs="Arial"/>
          <w:vertAlign w:val="superscript"/>
          <w:lang w:eastAsia="x-none"/>
        </w:rPr>
        <w:footnoteReference w:id="18"/>
      </w:r>
      <w:r w:rsidRPr="00437C34">
        <w:rPr>
          <w:rFonts w:ascii="Verdana" w:eastAsia="Times New Roman" w:hAnsi="Verdana" w:cs="Arial"/>
          <w:bCs/>
          <w:lang w:val="es-MX" w:eastAsia="x-none"/>
        </w:rPr>
        <w:t>.</w:t>
      </w:r>
      <w:r w:rsidRPr="00437C34">
        <w:rPr>
          <w:rFonts w:ascii="Verdana" w:eastAsia="Times New Roman" w:hAnsi="Verdana" w:cs="Arial"/>
          <w:vertAlign w:val="superscript"/>
          <w:lang w:eastAsia="x-none"/>
        </w:rPr>
        <w:t xml:space="preserve"> </w:t>
      </w:r>
    </w:p>
    <w:p w14:paraId="200880C7" w14:textId="77777777" w:rsidR="006F012C" w:rsidRPr="00437C34" w:rsidRDefault="006F012C" w:rsidP="006F012C">
      <w:pPr>
        <w:spacing w:after="120" w:line="276" w:lineRule="auto"/>
        <w:ind w:firstLine="708"/>
        <w:jc w:val="both"/>
        <w:rPr>
          <w:rFonts w:ascii="Verdana" w:eastAsia="Times New Roman" w:hAnsi="Verdana" w:cs="Arial"/>
          <w:lang w:eastAsia="x-none"/>
        </w:rPr>
      </w:pPr>
      <w:r w:rsidRPr="00437C34">
        <w:rPr>
          <w:rFonts w:ascii="Verdana" w:eastAsia="Times New Roman" w:hAnsi="Verdana" w:cs="Arial"/>
          <w:bCs/>
          <w:lang w:val="es-MX" w:eastAsia="x-none"/>
        </w:rPr>
        <w:t>De lo anterior se desprende que la restricción aplica, sin perjuicio de las excepciones establecidas en la misma ley, para celebrar cualquier contrato de forma directa, esto es, sin que exista un proceso abierto y competitivo.</w:t>
      </w:r>
      <w:r w:rsidRPr="00437C34">
        <w:rPr>
          <w:rFonts w:ascii="Verdana" w:eastAsia="Times New Roman" w:hAnsi="Verdana" w:cs="Arial"/>
          <w:lang w:eastAsia="x-none"/>
        </w:rPr>
        <w:t xml:space="preserve"> Por tanto, no son materia de la prohibición las demás modalidades de selección previstas en la Ley 1150 de 2007, es decir, la licitación pública, el concurso de méritos, la selección abreviada y la mínima cuantía, razón por la cual en ese período preelectoral de que trata la disposición las entidades públicas pueden seguir contratando bajo estos sistemas.</w:t>
      </w:r>
    </w:p>
    <w:p w14:paraId="01411C8D" w14:textId="77777777" w:rsidR="006F012C" w:rsidRPr="00437C34" w:rsidRDefault="006F012C" w:rsidP="006F012C">
      <w:pPr>
        <w:spacing w:after="120" w:line="276" w:lineRule="auto"/>
        <w:ind w:firstLine="708"/>
        <w:jc w:val="both"/>
        <w:rPr>
          <w:rFonts w:ascii="Verdana" w:eastAsia="Times New Roman" w:hAnsi="Verdana" w:cs="Arial"/>
          <w:bCs/>
          <w:lang w:val="es-MX" w:eastAsia="es-CO"/>
        </w:rPr>
      </w:pPr>
      <w:r w:rsidRPr="00437C34">
        <w:rPr>
          <w:rFonts w:ascii="Verdana" w:eastAsia="Times New Roman" w:hAnsi="Verdana" w:cs="Arial"/>
          <w:bCs/>
          <w:lang w:val="es-MX" w:eastAsia="es-CO"/>
        </w:rPr>
        <w:t>Como en otras oportunidades lo ha manifestado esta Agencia, las prórrogas, modificaciones o adiciones de los contratos suscritos antes de la entrada en vigencia de las prohibiciones anotadas, así como la cesión de los mismos, pueden tener lugar en el período de aplicación de la Ley de Garantías, sin que ello haga nugatoria la restricción de la contratación directa y siempre que cumplan los principios de planeación, transparencia y responsabilidad</w:t>
      </w:r>
      <w:r w:rsidRPr="00437C34">
        <w:rPr>
          <w:rFonts w:ascii="Verdana" w:eastAsia="Times New Roman" w:hAnsi="Verdana" w:cs="Arial"/>
          <w:bCs/>
          <w:vertAlign w:val="superscript"/>
          <w:lang w:val="es-MX" w:eastAsia="es-CO"/>
        </w:rPr>
        <w:footnoteReference w:id="19"/>
      </w:r>
      <w:r w:rsidRPr="00437C34">
        <w:rPr>
          <w:rFonts w:ascii="Verdana" w:eastAsia="Times New Roman" w:hAnsi="Verdana" w:cs="Arial"/>
          <w:bCs/>
          <w:lang w:val="es-MX" w:eastAsia="es-CO"/>
        </w:rPr>
        <w:t xml:space="preserve">. Además, también es posible que contratos celebrados previamente se continúen ejecutando con normalidad. </w:t>
      </w:r>
    </w:p>
    <w:p w14:paraId="39F100ED" w14:textId="77777777" w:rsidR="006F012C" w:rsidRPr="00437C34" w:rsidRDefault="006F012C" w:rsidP="006F012C">
      <w:pPr>
        <w:spacing w:after="120" w:line="276" w:lineRule="auto"/>
        <w:ind w:firstLine="708"/>
        <w:jc w:val="both"/>
        <w:rPr>
          <w:rFonts w:ascii="Verdana" w:eastAsia="Times New Roman" w:hAnsi="Verdana" w:cs="Arial"/>
          <w:bCs/>
          <w:lang w:val="es-MX" w:eastAsia="es-CO"/>
        </w:rPr>
      </w:pPr>
      <w:r w:rsidRPr="00437C34">
        <w:rPr>
          <w:rFonts w:ascii="Verdana" w:eastAsia="Times New Roman" w:hAnsi="Verdana" w:cs="Arial"/>
          <w:bCs/>
          <w:lang w:val="es-MX" w:eastAsia="x-none"/>
        </w:rPr>
        <w:t xml:space="preserve">De otro lado, las excepciones a la restricción prevista en la Ley de Garantías, con fundamento en las cuales podrán las entidades públicas adelantar procedimientos de selección directa en períodos previos a la contienda electoral por la Presidencia, se encuentran consagradas expresamente en el inciso final del citado artículo 33 de la Ley 996 de 2005 en lo referente a i) la defensa y seguridad del Estado; ii) los contratos de crédito público; iii) los requeridos para cubrir las emergencias educativas, sanitarias y desastres; iv) los utilizados para la reconstrucción de vías, puentes, carreteras, infraestructura energética y de comunicaciones, en caso de que hayan sido objeto de atentados, acciones terroristas, desastres naturales o casos de fuerza mayor; y, v) los que deban </w:t>
      </w:r>
      <w:r w:rsidRPr="00437C34">
        <w:rPr>
          <w:rFonts w:ascii="Verdana" w:eastAsia="Times New Roman" w:hAnsi="Verdana" w:cs="Arial"/>
          <w:bCs/>
          <w:lang w:val="es-MX" w:eastAsia="x-none"/>
        </w:rPr>
        <w:lastRenderedPageBreak/>
        <w:t>realizar las entidades sanitarias y hospitalarias.</w:t>
      </w:r>
      <w:r w:rsidRPr="00437C34">
        <w:rPr>
          <w:rFonts w:ascii="Verdana" w:eastAsia="Times New Roman" w:hAnsi="Verdana" w:cs="Arial"/>
          <w:bCs/>
          <w:lang w:val="es-MX" w:eastAsia="es-CO"/>
        </w:rPr>
        <w:t xml:space="preserve"> Es responsabilidad del respectivo ente del Estado, examinar en cada caso la naturaleza de las actividades que adelanta y determinar si las mismas se enmarcan en alguna de las mencionadas excepciones, de manera que se le permita realizar la contratación que necesite en forma directa.</w:t>
      </w:r>
    </w:p>
    <w:p w14:paraId="6DBD444F" w14:textId="17D1D494" w:rsidR="006F012C" w:rsidRDefault="006F012C" w:rsidP="002F5FAA">
      <w:pPr>
        <w:spacing w:after="0" w:line="276" w:lineRule="auto"/>
        <w:ind w:firstLine="709"/>
        <w:jc w:val="both"/>
        <w:rPr>
          <w:rFonts w:ascii="Verdana" w:eastAsia="Times New Roman" w:hAnsi="Verdana" w:cs="Arial"/>
          <w:bCs/>
          <w:lang w:val="es-MX" w:eastAsia="x-none"/>
        </w:rPr>
      </w:pPr>
      <w:r w:rsidRPr="00437C34">
        <w:rPr>
          <w:rFonts w:ascii="Verdana" w:eastAsia="Times New Roman" w:hAnsi="Verdana" w:cs="Arial"/>
          <w:bCs/>
          <w:lang w:val="es-MX" w:eastAsia="x-none"/>
        </w:rPr>
        <w:t>En esta labor es importante tener en cuenta, como lo anotó la Corte Constitucional, en Sentencia C-1153 de noviembre 11 de 2005 que “si bien la limitación garantiza la igualdad de condiciones, también es necesario que tal limitación que pretende la igualdad no termine yendo en detrimento de intereses públicos, cuya garantía está en cabeza del ejecutivo, como son los inmersos en las excepciones para la prohibición de contratación”</w:t>
      </w:r>
      <w:r w:rsidRPr="00437C34">
        <w:rPr>
          <w:rFonts w:ascii="Verdana" w:eastAsia="Calibri" w:hAnsi="Verdana" w:cs="Arial"/>
          <w:vertAlign w:val="superscript"/>
          <w:lang w:val="es-MX"/>
        </w:rPr>
        <w:footnoteReference w:id="20"/>
      </w:r>
      <w:r w:rsidRPr="00437C34">
        <w:rPr>
          <w:rFonts w:ascii="Verdana" w:eastAsia="Times New Roman" w:hAnsi="Verdana" w:cs="Arial"/>
          <w:bCs/>
          <w:lang w:val="es-MX" w:eastAsia="x-none"/>
        </w:rPr>
        <w:t>. De ahí que la Corte haya señalado que las excepciones a la restricción protegen diversos tipos de urgencias de defensa, salud, educación, infraestructura vial y de servicios públicos y ecológicas, que tienden a no limitar desproporcionadamente la acción del Estado en el cumplimiento de sus fines, en procura de la igualdad entre los candidatos como garantía electoral.</w:t>
      </w:r>
    </w:p>
    <w:p w14:paraId="67D4E1F1" w14:textId="77777777" w:rsidR="002F5FAA" w:rsidRPr="00437C34" w:rsidRDefault="002F5FAA" w:rsidP="00763254">
      <w:pPr>
        <w:spacing w:after="0" w:line="276" w:lineRule="auto"/>
        <w:ind w:firstLine="709"/>
        <w:jc w:val="both"/>
        <w:rPr>
          <w:rFonts w:ascii="Verdana" w:eastAsia="Times New Roman" w:hAnsi="Verdana" w:cs="Arial"/>
          <w:bCs/>
          <w:lang w:val="es-MX" w:eastAsia="x-none"/>
        </w:rPr>
      </w:pPr>
    </w:p>
    <w:p w14:paraId="10F2898E" w14:textId="77777777" w:rsidR="006F012C" w:rsidRPr="00437C34" w:rsidRDefault="006F012C" w:rsidP="006F012C">
      <w:pPr>
        <w:spacing w:after="0" w:line="276" w:lineRule="auto"/>
        <w:jc w:val="both"/>
        <w:rPr>
          <w:rFonts w:ascii="Verdana" w:eastAsia="Times New Roman" w:hAnsi="Verdana" w:cs="Arial"/>
          <w:bCs/>
          <w:lang w:val="es-MX" w:eastAsia="x-none"/>
        </w:rPr>
      </w:pPr>
      <w:r w:rsidRPr="00437C34">
        <w:rPr>
          <w:rFonts w:ascii="Verdana" w:eastAsia="Times New Roman" w:hAnsi="Verdana" w:cs="Arial"/>
          <w:bCs/>
          <w:lang w:val="es-MX" w:eastAsia="x-none"/>
        </w:rPr>
        <w:t>iv. En relación con los destinatarios de la restricción analizada, el artículo 33 de la Ley 996 de 2005 los señala expresamente, en el sentido de que son “todos los entes del Estado”, expresión que contempla a los diferentes organismos o entidades autorizadas por la ley para suscribir contratos.</w:t>
      </w:r>
      <w:r w:rsidRPr="00437C34">
        <w:rPr>
          <w:rFonts w:ascii="Verdana" w:eastAsia="Calibri" w:hAnsi="Verdana" w:cs="Arial"/>
          <w:sz w:val="24"/>
          <w:lang w:val="es-MX"/>
        </w:rPr>
        <w:t xml:space="preserve"> </w:t>
      </w:r>
      <w:r w:rsidRPr="00437C34">
        <w:rPr>
          <w:rFonts w:ascii="Verdana" w:eastAsia="Times New Roman" w:hAnsi="Verdana" w:cs="Arial"/>
          <w:bCs/>
          <w:lang w:val="es-MX" w:eastAsia="x-none"/>
        </w:rPr>
        <w:t>En efecto, tal como lo ha sostenido el Consejo de Estado, el vocablo “todos” utilizado por el legislador comprende</w:t>
      </w:r>
      <w:r w:rsidRPr="00437C34">
        <w:rPr>
          <w:rFonts w:ascii="Verdana" w:eastAsia="Calibri" w:hAnsi="Verdana" w:cs="Arial"/>
          <w:sz w:val="24"/>
          <w:lang w:val="es-MX"/>
        </w:rPr>
        <w:t xml:space="preserve"> </w:t>
      </w:r>
      <w:r w:rsidRPr="00437C34">
        <w:rPr>
          <w:rFonts w:ascii="Verdana" w:eastAsia="Times New Roman" w:hAnsi="Verdana" w:cs="Arial"/>
          <w:bCs/>
          <w:lang w:val="es-MX" w:eastAsia="x-none"/>
        </w:rPr>
        <w:t xml:space="preserve">a la totalidad de los entes del Estado, 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 </w:t>
      </w:r>
      <w:r w:rsidRPr="00437C34">
        <w:rPr>
          <w:rFonts w:ascii="Verdana" w:eastAsia="Times New Roman" w:hAnsi="Verdana" w:cs="Arial"/>
          <w:bCs/>
          <w:lang w:val="es-ES_tradnl" w:eastAsia="x-none"/>
        </w:rPr>
        <w:t xml:space="preserve">La Sala de Consulta y Servicio Civil del Consejo de Estado, en Concepto 1727 de fecha 20 de febrero de 2006, consideró que: </w:t>
      </w:r>
    </w:p>
    <w:p w14:paraId="4393D3FE" w14:textId="77777777" w:rsidR="006F012C" w:rsidRPr="00437C34" w:rsidRDefault="006F012C" w:rsidP="006F012C">
      <w:pPr>
        <w:spacing w:after="0" w:line="276" w:lineRule="auto"/>
        <w:jc w:val="both"/>
        <w:rPr>
          <w:rFonts w:ascii="Verdana" w:eastAsia="Times New Roman" w:hAnsi="Verdana" w:cs="Arial"/>
          <w:bCs/>
          <w:lang w:val="es-MX" w:eastAsia="x-none"/>
        </w:rPr>
      </w:pPr>
    </w:p>
    <w:p w14:paraId="19389516" w14:textId="72A6CC7E" w:rsidR="006F012C" w:rsidRPr="00437C34" w:rsidRDefault="002F5FAA" w:rsidP="00763254">
      <w:pPr>
        <w:spacing w:after="0" w:line="240" w:lineRule="auto"/>
        <w:ind w:left="709" w:right="709"/>
        <w:jc w:val="both"/>
        <w:rPr>
          <w:rFonts w:ascii="Verdana" w:eastAsia="Times New Roman" w:hAnsi="Verdana" w:cs="Arial"/>
          <w:bCs/>
          <w:sz w:val="21"/>
          <w:szCs w:val="21"/>
          <w:lang w:val="es-MX" w:eastAsia="es-CO"/>
        </w:rPr>
      </w:pPr>
      <w:r>
        <w:rPr>
          <w:rFonts w:ascii="Verdana" w:eastAsia="Times New Roman" w:hAnsi="Verdana" w:cs="Arial"/>
          <w:bCs/>
          <w:sz w:val="20"/>
          <w:szCs w:val="20"/>
          <w:lang w:val="es-MX" w:eastAsia="x-none"/>
        </w:rPr>
        <w:t>“</w:t>
      </w:r>
      <w:r w:rsidR="006F012C" w:rsidRPr="00437C34">
        <w:rPr>
          <w:rFonts w:ascii="Verdana" w:eastAsia="Times New Roman" w:hAnsi="Verdana" w:cs="Arial"/>
          <w:bCs/>
          <w:sz w:val="20"/>
          <w:szCs w:val="20"/>
          <w:lang w:val="es-MX" w:eastAsia="x-none"/>
        </w:rPr>
        <w:t xml:space="preserve">El artículo 33 de la ley 996 de 2005, efectivamente se aplica incluso a las entidades estatales con régimen especial de contratación y que están exceptuadas del ámbito de aplicación del Estatuto General de Contratación de la Administración Pública, como por ejemplo los prestadores de servicios públicos domiciliarios (empresas de servicios públicos oficiales y empresas industriales y comerciales del Estado) y a los municipios </w:t>
      </w:r>
      <w:r w:rsidR="006F012C" w:rsidRPr="00437C34">
        <w:rPr>
          <w:rFonts w:ascii="Verdana" w:eastAsia="Times New Roman" w:hAnsi="Verdana" w:cs="Arial"/>
          <w:bCs/>
          <w:sz w:val="20"/>
          <w:szCs w:val="20"/>
          <w:lang w:val="es-MX" w:eastAsia="x-none"/>
        </w:rPr>
        <w:lastRenderedPageBreak/>
        <w:t>prestadores directos, incluyendo las excepciones contenidas en el segundo inciso de esta norma</w:t>
      </w:r>
      <w:r>
        <w:rPr>
          <w:rFonts w:ascii="Verdana" w:eastAsia="Times New Roman" w:hAnsi="Verdana" w:cs="Arial"/>
          <w:bCs/>
          <w:sz w:val="20"/>
          <w:szCs w:val="20"/>
          <w:lang w:val="es-MX" w:eastAsia="x-none"/>
        </w:rPr>
        <w:t>”</w:t>
      </w:r>
      <w:r w:rsidR="006F012C" w:rsidRPr="00437C34">
        <w:rPr>
          <w:rFonts w:ascii="Verdana" w:eastAsia="Times New Roman" w:hAnsi="Verdana" w:cs="Arial"/>
          <w:bCs/>
          <w:sz w:val="21"/>
          <w:szCs w:val="21"/>
          <w:vertAlign w:val="superscript"/>
          <w:lang w:val="es-MX" w:eastAsia="x-none"/>
        </w:rPr>
        <w:footnoteReference w:id="21"/>
      </w:r>
      <w:r w:rsidR="006F012C" w:rsidRPr="00437C34">
        <w:rPr>
          <w:rFonts w:ascii="Verdana" w:eastAsia="Times New Roman" w:hAnsi="Verdana" w:cs="Arial"/>
          <w:bCs/>
          <w:sz w:val="21"/>
          <w:szCs w:val="21"/>
          <w:lang w:val="es-MX" w:eastAsia="x-none"/>
        </w:rPr>
        <w:t>.</w:t>
      </w:r>
      <w:r w:rsidR="006F012C" w:rsidRPr="00437C34">
        <w:rPr>
          <w:rFonts w:ascii="Verdana" w:eastAsia="Times New Roman" w:hAnsi="Verdana" w:cs="Arial"/>
          <w:bCs/>
          <w:sz w:val="21"/>
          <w:szCs w:val="21"/>
          <w:lang w:val="es-MX" w:eastAsia="es-CO"/>
        </w:rPr>
        <w:t xml:space="preserve"> </w:t>
      </w:r>
    </w:p>
    <w:p w14:paraId="2ABC305B" w14:textId="77777777" w:rsidR="006F012C" w:rsidRPr="00437C34" w:rsidRDefault="006F012C" w:rsidP="006F012C">
      <w:pPr>
        <w:spacing w:after="0" w:line="276" w:lineRule="auto"/>
        <w:ind w:firstLine="708"/>
        <w:jc w:val="both"/>
        <w:rPr>
          <w:rFonts w:ascii="Verdana" w:eastAsia="Times New Roman" w:hAnsi="Verdana" w:cs="Arial"/>
          <w:bCs/>
          <w:lang w:val="es-MX" w:eastAsia="es-CO"/>
        </w:rPr>
      </w:pPr>
    </w:p>
    <w:p w14:paraId="1097D1DA" w14:textId="77777777" w:rsidR="006F012C" w:rsidRPr="00437C34" w:rsidRDefault="006F012C" w:rsidP="006F012C">
      <w:pPr>
        <w:spacing w:after="0" w:line="276" w:lineRule="auto"/>
        <w:ind w:firstLine="708"/>
        <w:jc w:val="both"/>
        <w:rPr>
          <w:rFonts w:ascii="Verdana" w:eastAsia="Calibri" w:hAnsi="Verdana" w:cs="Arial"/>
          <w:lang w:val="es-MX"/>
        </w:rPr>
      </w:pPr>
      <w:r w:rsidRPr="00437C34">
        <w:rPr>
          <w:rFonts w:ascii="Verdana" w:eastAsia="Times New Roman" w:hAnsi="Verdana" w:cs="Arial"/>
          <w:bCs/>
          <w:lang w:val="es-MX" w:eastAsia="x-none"/>
        </w:rPr>
        <w:t>De igual forma, en Concepto con radicado 1738 del 6 de abril de 2006, esa misma Corporación manifestó que “Las restricciones de la Ley de Garantías en materia de contratación directa y celebración de convenios interadministrativos, se aplican a las empresas industriales y comerciales del Estado y a las Sociedades de Economía Mixta, salvo cuando la celebración de un convenio interadministrativo sea ordenada, para ambas partes, por el Legislador”</w:t>
      </w:r>
      <w:r w:rsidRPr="00437C34">
        <w:rPr>
          <w:rFonts w:ascii="Verdana" w:eastAsia="Calibri" w:hAnsi="Verdana" w:cs="Arial"/>
          <w:sz w:val="24"/>
          <w:vertAlign w:val="superscript"/>
          <w:lang w:val="es-MX"/>
        </w:rPr>
        <w:footnoteReference w:id="22"/>
      </w:r>
      <w:r w:rsidRPr="00437C34">
        <w:rPr>
          <w:rFonts w:ascii="Verdana" w:eastAsia="Times New Roman" w:hAnsi="Verdana" w:cs="Arial"/>
          <w:bCs/>
          <w:lang w:val="es-MX" w:eastAsia="x-none"/>
        </w:rPr>
        <w:t>.</w:t>
      </w:r>
      <w:r w:rsidRPr="00437C34">
        <w:rPr>
          <w:rFonts w:ascii="Verdana" w:eastAsia="Calibri" w:hAnsi="Verdana" w:cs="Arial"/>
          <w:lang w:val="es-MX"/>
        </w:rPr>
        <w:t xml:space="preserve"> Además, la Sala de Consulta y Servicio Civil del Consejo de Estado realizó la siguiente distinción, retomando el pronunciamiento de la misma sala del 20 de febrero de 2006, citado anteriormente:</w:t>
      </w:r>
    </w:p>
    <w:p w14:paraId="2B5A53EA" w14:textId="77777777" w:rsidR="006F012C" w:rsidRPr="00437C34" w:rsidRDefault="006F012C" w:rsidP="006F012C">
      <w:pPr>
        <w:spacing w:after="0" w:line="276" w:lineRule="auto"/>
        <w:jc w:val="both"/>
        <w:rPr>
          <w:rFonts w:ascii="Verdana" w:eastAsia="Calibri" w:hAnsi="Verdana" w:cs="Arial"/>
          <w:lang w:val="es-MX"/>
        </w:rPr>
      </w:pPr>
    </w:p>
    <w:p w14:paraId="435208EE" w14:textId="4B86D180" w:rsidR="006F012C" w:rsidRPr="00437C34" w:rsidRDefault="00621901" w:rsidP="00763254">
      <w:pPr>
        <w:spacing w:after="0" w:line="240" w:lineRule="auto"/>
        <w:ind w:left="709" w:right="709"/>
        <w:jc w:val="both"/>
        <w:rPr>
          <w:rFonts w:ascii="Verdana" w:eastAsia="Calibri" w:hAnsi="Verdana" w:cs="Arial"/>
          <w:sz w:val="20"/>
          <w:szCs w:val="20"/>
          <w:lang w:val="es-MX"/>
        </w:rPr>
      </w:pPr>
      <w:r>
        <w:rPr>
          <w:rFonts w:ascii="Verdana" w:eastAsia="Calibri" w:hAnsi="Verdana" w:cs="Arial"/>
          <w:sz w:val="20"/>
          <w:szCs w:val="20"/>
          <w:lang w:val="es-MX"/>
        </w:rPr>
        <w:t>“</w:t>
      </w:r>
      <w:r w:rsidR="006F012C" w:rsidRPr="00437C34">
        <w:rPr>
          <w:rFonts w:ascii="Verdana" w:eastAsia="Calibri" w:hAnsi="Verdana" w:cs="Arial"/>
          <w:sz w:val="20"/>
          <w:szCs w:val="20"/>
          <w:lang w:val="es-MX"/>
        </w:rPr>
        <w:t>En el concepto No. 1727 de fecha 20 de febrero de 2006, ésta Sala distinguió dos clases de contratos en relación con las empresas de servicios públicos domiciliarios: unos, en los que la posición de la empresa es la de consumidora de las prestaciones objeto del contrato, que utiliza para la prestación de los servicios a su cargo, y los otros, en los que la empresa entrega esos servicios a los usuarios, conforme a unas reglas uniformes para todos ellos y sin que haya privilegios o tratos desiguales. En los primeros contratos, es claro que la empresa debe adquirir esos bienes previa licitación pública, según se expuso anteriormente, pero en el segundo caso, las empresas no pueden dejar de entregar los servicios públicos a su cargo a nuevas personas, ni dejar de renovar los contratos existentes, pues significaría la parálisis de una actividad propia de la administración, que incluso podría desconocer los derechos fundamentales.</w:t>
      </w:r>
    </w:p>
    <w:p w14:paraId="3D2D72E5" w14:textId="77777777" w:rsidR="006F012C" w:rsidRPr="00437C34" w:rsidRDefault="006F012C" w:rsidP="006F012C">
      <w:pPr>
        <w:spacing w:after="0" w:line="240" w:lineRule="auto"/>
        <w:ind w:left="708" w:right="709"/>
        <w:jc w:val="both"/>
        <w:rPr>
          <w:rFonts w:ascii="Verdana" w:eastAsia="Calibri" w:hAnsi="Verdana" w:cs="Arial"/>
          <w:sz w:val="20"/>
          <w:szCs w:val="20"/>
          <w:lang w:val="es-MX"/>
        </w:rPr>
      </w:pPr>
    </w:p>
    <w:p w14:paraId="139D8C44" w14:textId="12153C32" w:rsidR="006F012C" w:rsidRPr="00437C34" w:rsidRDefault="006F012C" w:rsidP="006F012C">
      <w:pPr>
        <w:spacing w:after="0" w:line="240" w:lineRule="auto"/>
        <w:ind w:left="708" w:right="709"/>
        <w:jc w:val="both"/>
        <w:rPr>
          <w:rFonts w:ascii="Verdana" w:eastAsia="Calibri" w:hAnsi="Verdana" w:cs="Arial"/>
          <w:sz w:val="20"/>
          <w:szCs w:val="20"/>
          <w:lang w:val="es-MX"/>
        </w:rPr>
      </w:pPr>
      <w:r w:rsidRPr="00437C34">
        <w:rPr>
          <w:rFonts w:ascii="Verdana" w:eastAsia="Times New Roman" w:hAnsi="Verdana" w:cs="Arial"/>
          <w:bCs/>
          <w:sz w:val="20"/>
          <w:szCs w:val="20"/>
          <w:lang w:val="es-MX" w:eastAsia="x-none"/>
        </w:rPr>
        <w:t xml:space="preserve">Aplicando este razonamiento a los establecimientos de crédito, a las sociedades de servicios financieros y a las entidades aseguradoras, encontramos que no pueden adquirir los suministros de bienes y servicios necesarios para la realización de su actividad por contratación directa sino por el mecanismo de la licitación pública, pero es obvio que si una de éstas entidades va a prestar un servicio financiero o de seguros a un particular, lo puede hacer, pues éstos se ofrecen a toda la comunidad en condiciones </w:t>
      </w:r>
      <w:r w:rsidRPr="00437C34">
        <w:rPr>
          <w:rFonts w:ascii="Verdana" w:eastAsia="Times New Roman" w:hAnsi="Verdana" w:cs="Arial"/>
          <w:bCs/>
          <w:sz w:val="20"/>
          <w:szCs w:val="20"/>
          <w:lang w:val="es-MX" w:eastAsia="x-none"/>
        </w:rPr>
        <w:lastRenderedPageBreak/>
        <w:t>de igualdad. Si se supusiera que está prohibida su contratación directa, significaría la parálisis de tal actividad de interés público, lo que de ninguna manera es lo querido por la ley 996 de 2005</w:t>
      </w:r>
      <w:r w:rsidR="00621901">
        <w:rPr>
          <w:rFonts w:ascii="Verdana" w:eastAsia="Times New Roman" w:hAnsi="Verdana" w:cs="Arial"/>
          <w:bCs/>
          <w:sz w:val="20"/>
          <w:szCs w:val="20"/>
          <w:lang w:val="es-MX" w:eastAsia="x-none"/>
        </w:rPr>
        <w:t>”</w:t>
      </w:r>
      <w:r w:rsidRPr="00437C34">
        <w:rPr>
          <w:rFonts w:ascii="Verdana" w:eastAsia="Calibri" w:hAnsi="Verdana" w:cs="Arial"/>
          <w:sz w:val="20"/>
          <w:szCs w:val="20"/>
          <w:vertAlign w:val="superscript"/>
          <w:lang w:val="es-MX"/>
        </w:rPr>
        <w:footnoteReference w:id="23"/>
      </w:r>
      <w:r w:rsidRPr="00437C34">
        <w:rPr>
          <w:rFonts w:ascii="Verdana" w:eastAsia="Times New Roman" w:hAnsi="Verdana" w:cs="Arial"/>
          <w:bCs/>
          <w:sz w:val="20"/>
          <w:szCs w:val="20"/>
          <w:lang w:val="es-MX" w:eastAsia="x-none"/>
        </w:rPr>
        <w:t>.</w:t>
      </w:r>
    </w:p>
    <w:p w14:paraId="1E1AD4B6" w14:textId="77777777" w:rsidR="006F012C" w:rsidRPr="00437C34" w:rsidRDefault="006F012C" w:rsidP="006F012C">
      <w:pPr>
        <w:spacing w:after="0" w:line="276" w:lineRule="auto"/>
        <w:jc w:val="both"/>
        <w:rPr>
          <w:rFonts w:ascii="Verdana" w:eastAsia="Calibri" w:hAnsi="Verdana" w:cs="Arial"/>
          <w:lang w:val="es-MX"/>
        </w:rPr>
      </w:pPr>
    </w:p>
    <w:p w14:paraId="065F12F4" w14:textId="77777777" w:rsidR="006F012C" w:rsidRPr="00437C34" w:rsidRDefault="006F012C" w:rsidP="006F012C">
      <w:pPr>
        <w:spacing w:after="120" w:line="276" w:lineRule="auto"/>
        <w:ind w:firstLine="709"/>
        <w:jc w:val="both"/>
        <w:rPr>
          <w:rFonts w:ascii="Verdana" w:eastAsia="Times New Roman" w:hAnsi="Verdana" w:cs="Arial"/>
          <w:lang w:eastAsia="es-CO"/>
        </w:rPr>
      </w:pPr>
      <w:r w:rsidRPr="00437C34">
        <w:rPr>
          <w:rFonts w:ascii="Verdana" w:eastAsia="Calibri" w:hAnsi="Verdana" w:cs="Arial"/>
          <w:lang w:val="es-MX"/>
        </w:rPr>
        <w:t xml:space="preserve">De acuerdo con estos pronunciamientos de la Sala de Consulta y Servicio Civil del Consejo de Estado, la prohibición de la contratación directa también aplica frente a las entidades exceptuadas de la aplicación del EGCAP y que se rigen en materia contractual por el derecho privado. Sin embargo, señaló que algunas de estas entidades, como sucede con las empresas de servicios públicos domiciliarios, los </w:t>
      </w:r>
      <w:r w:rsidRPr="00437C34">
        <w:rPr>
          <w:rFonts w:ascii="Verdana" w:eastAsia="Times New Roman" w:hAnsi="Verdana" w:cs="Arial"/>
          <w:bCs/>
          <w:lang w:val="es-MX" w:eastAsia="x-none"/>
        </w:rPr>
        <w:t>establecimientos de crédito, las sociedades de servicios financieros y las entidades aseguradoras</w:t>
      </w:r>
      <w:r w:rsidRPr="00437C34">
        <w:rPr>
          <w:rFonts w:ascii="Verdana" w:eastAsia="Calibri" w:hAnsi="Verdana" w:cs="Arial"/>
          <w:lang w:val="es-MX"/>
        </w:rPr>
        <w:t xml:space="preserve"> no pueden adquirir los suministros de bienes y servicios necesarios para la realización de su actividad por contratación directa, sino por mecanismos competitivos que impliquen convocatoria pública y la posibilidad de la existencia de pluralidad de oferentes, pero indicó que en estos casos “las empresas no pueden dejar de entregar los servicios públicos a su cargo a nuevas personas, ni dejar de renovar los contratos existentes, pues significaría la parálisis de una actividad propia de la administración, que incluso podría desconocer los derechos fundamentales”</w:t>
      </w:r>
      <w:r w:rsidRPr="00437C34">
        <w:rPr>
          <w:rFonts w:ascii="Verdana" w:eastAsia="Calibri" w:hAnsi="Verdana" w:cs="Arial"/>
          <w:vertAlign w:val="superscript"/>
          <w:lang w:val="es-MX"/>
        </w:rPr>
        <w:footnoteReference w:id="24"/>
      </w:r>
      <w:r w:rsidRPr="00437C34">
        <w:rPr>
          <w:rFonts w:ascii="Verdana" w:eastAsia="Calibri" w:hAnsi="Verdana" w:cs="Arial"/>
          <w:lang w:val="es-MX"/>
        </w:rPr>
        <w:t>.</w:t>
      </w:r>
      <w:r w:rsidRPr="00437C34">
        <w:rPr>
          <w:rFonts w:ascii="Verdana" w:eastAsia="Times New Roman" w:hAnsi="Verdana" w:cs="Arial"/>
          <w:lang w:eastAsia="es-CO"/>
        </w:rPr>
        <w:t xml:space="preserve"> </w:t>
      </w:r>
    </w:p>
    <w:p w14:paraId="0866BD09" w14:textId="317D4981" w:rsidR="006F012C" w:rsidRDefault="006F012C" w:rsidP="00621901">
      <w:pPr>
        <w:spacing w:after="0" w:line="276" w:lineRule="auto"/>
        <w:ind w:firstLine="709"/>
        <w:jc w:val="both"/>
        <w:rPr>
          <w:rFonts w:ascii="Verdana" w:eastAsia="Times New Roman" w:hAnsi="Verdana" w:cs="Arial"/>
          <w:bCs/>
          <w:lang w:val="es-MX" w:eastAsia="x-none"/>
        </w:rPr>
      </w:pPr>
      <w:r w:rsidRPr="00437C34">
        <w:rPr>
          <w:rFonts w:ascii="Verdana" w:eastAsia="Times New Roman" w:hAnsi="Verdana" w:cs="Arial"/>
          <w:lang w:eastAsia="es-CO"/>
        </w:rPr>
        <w:t>Sin perjuicio de estos pronunciamientos de la Sala de Consulta y Servicio Civil</w:t>
      </w:r>
      <w:r w:rsidRPr="00437C34">
        <w:rPr>
          <w:rFonts w:ascii="Verdana" w:eastAsia="Calibri" w:hAnsi="Verdana" w:cs="Arial"/>
          <w:lang w:val="es-MX"/>
        </w:rPr>
        <w:t xml:space="preserve">, como la ha señalado esa misma Corporación, la restricción prevista en la Ley 996 de 2005 </w:t>
      </w:r>
      <w:r w:rsidRPr="00437C34">
        <w:rPr>
          <w:rFonts w:ascii="Verdana" w:eastAsia="Times New Roman" w:hAnsi="Verdana" w:cs="Arial"/>
          <w:bCs/>
          <w:lang w:val="es-MX" w:eastAsia="x-none"/>
        </w:rPr>
        <w:t>cobija a cualquier entidad pública independiente del régimen jurídico, que pueda mediante la contratación directa romper el equilibrio entre los candidatos en desarrollo de las elecciones presidenciales. Tampoco existe un supuesto de exoneración a la prohibición por tener un régimen especial de los actos o contratos o por la ejecución de un cierto tipo de recursos en sus contrataciones, pues, la posibilidad de que los entes del Estado usen la contratación con fines políticos, esto es, con la intención de influir a los electores y alterar la voluntad popular en las contiendas electorales, puede presentarse tanto en la contratación regulada por la Ley 80 de 1993 como en la regida por normas especiales.</w:t>
      </w:r>
    </w:p>
    <w:p w14:paraId="2E7999DA" w14:textId="77777777" w:rsidR="00621901" w:rsidRPr="00437C34" w:rsidRDefault="00621901" w:rsidP="00763254">
      <w:pPr>
        <w:spacing w:after="0" w:line="276" w:lineRule="auto"/>
        <w:ind w:firstLine="709"/>
        <w:jc w:val="both"/>
        <w:rPr>
          <w:rFonts w:ascii="Verdana" w:eastAsia="Times New Roman" w:hAnsi="Verdana" w:cs="Arial"/>
          <w:bCs/>
          <w:lang w:val="es-MX" w:eastAsia="x-none"/>
        </w:rPr>
      </w:pPr>
    </w:p>
    <w:p w14:paraId="686EC40E" w14:textId="77777777" w:rsidR="006F012C" w:rsidRPr="00437C34" w:rsidRDefault="006F012C" w:rsidP="006F012C">
      <w:pPr>
        <w:spacing w:after="120" w:line="276" w:lineRule="auto"/>
        <w:jc w:val="both"/>
        <w:rPr>
          <w:rFonts w:ascii="Verdana" w:eastAsia="Times New Roman" w:hAnsi="Verdana" w:cs="Arial"/>
          <w:bCs/>
          <w:lang w:eastAsia="x-none"/>
        </w:rPr>
      </w:pPr>
      <w:r w:rsidRPr="00437C34">
        <w:rPr>
          <w:rFonts w:ascii="Verdana" w:eastAsia="Times New Roman" w:hAnsi="Verdana" w:cs="Arial"/>
          <w:bCs/>
          <w:lang w:val="es-MX" w:eastAsia="x-none"/>
        </w:rPr>
        <w:t xml:space="preserve">v. Teniendo en cuenta estas precisiones, es necesario revisar si lo dispuesto en el Sistema General de Regalías le aplica la Ley 996 de 2005 –Ley de Garantías Electorales- y en particular a lo contemplado en el artículo </w:t>
      </w:r>
      <w:r>
        <w:rPr>
          <w:rFonts w:ascii="Verdana" w:eastAsia="Times New Roman" w:hAnsi="Verdana" w:cs="Arial"/>
          <w:bCs/>
          <w:lang w:val="es-MX" w:eastAsia="x-none"/>
        </w:rPr>
        <w:t>87</w:t>
      </w:r>
      <w:r w:rsidRPr="00437C34">
        <w:rPr>
          <w:rFonts w:ascii="Verdana" w:eastAsia="Times New Roman" w:hAnsi="Verdana" w:cs="Arial"/>
          <w:bCs/>
          <w:lang w:val="es-MX" w:eastAsia="x-none"/>
        </w:rPr>
        <w:t xml:space="preserve"> de la Ley 2056 de 2020. Para ello, es importante señalar que la Ley 2056 de 2020, “</w:t>
      </w:r>
      <w:r w:rsidRPr="00437C34">
        <w:rPr>
          <w:rFonts w:ascii="Verdana" w:eastAsia="Times New Roman" w:hAnsi="Verdana" w:cs="Arial"/>
          <w:bCs/>
          <w:lang w:eastAsia="x-none"/>
        </w:rPr>
        <w:t xml:space="preserve">por la cual se regula la organización y el funcionamiento del Sistema General de Regalías”, </w:t>
      </w:r>
      <w:r w:rsidRPr="00437C34">
        <w:rPr>
          <w:rFonts w:ascii="Verdana" w:eastAsia="Times New Roman" w:hAnsi="Verdana" w:cs="Arial"/>
          <w:bCs/>
          <w:lang w:eastAsia="x-none"/>
        </w:rPr>
        <w:lastRenderedPageBreak/>
        <w:t>tiene por objeto: “[…] determinar la distribución, objetivos, fines, administración, ejecución, control, el uso eficiente y la destinación de los ingresos provenientes de la explotación de los recursos naturales no renovables precisando las condiciones de participación de sus beneficiarios. Este conjunto de ingresos, asignaciones, órganos, procedimientos, y regulaciones constituye el Sistema General de Regalías”.</w:t>
      </w:r>
    </w:p>
    <w:p w14:paraId="7C64395B" w14:textId="77777777" w:rsidR="006F012C" w:rsidRPr="00437C34" w:rsidRDefault="006F012C" w:rsidP="006F012C">
      <w:pPr>
        <w:spacing w:after="120" w:line="276" w:lineRule="auto"/>
        <w:ind w:firstLine="709"/>
        <w:jc w:val="both"/>
        <w:rPr>
          <w:rFonts w:ascii="Verdana" w:eastAsia="Times New Roman" w:hAnsi="Verdana" w:cs="Arial"/>
          <w:bCs/>
          <w:lang w:eastAsia="x-none"/>
        </w:rPr>
      </w:pPr>
      <w:r w:rsidRPr="00437C34">
        <w:rPr>
          <w:rFonts w:ascii="Verdana" w:hAnsi="Verdana" w:cs="Arial"/>
          <w:lang w:val="es-ES"/>
        </w:rPr>
        <w:t>En el Título IV, Capítulo I, la Ley 2056 de 2020 establece las reglas generales para los proyectos de inversión financiados con recursos del SGR. En esta línea, regula la destinación de los proyectos del Sistema –artículo 28–, las características de los proyectos de inversión –artículo 29–, los ejercicios de planeación –artículo 30–, el ciclo de los proyectos de inversión –artículo 31–, el registro de proyectos –artículo 32–, formulación y presentación de los proyectos –artículo 33–, viabilidad de los proyectos –artículo 34–, priorización y aprobación de los proyectos de inversión de la asignación para la inversión regional –artículo 35–, priorización y aprobación de proyectos de inversión para las asignaciones directas y asignación para la inversión local –artículo 36–, así como la ejecución de proyectos de inversión –artículo 37–. De esta manera, se destacan algunos artículos que regulan aspectos importantes en la materia.</w:t>
      </w:r>
    </w:p>
    <w:p w14:paraId="2BF943F5" w14:textId="77777777" w:rsidR="006F012C" w:rsidRPr="00437C34" w:rsidRDefault="006F012C" w:rsidP="006F012C">
      <w:pPr>
        <w:spacing w:after="120" w:line="276" w:lineRule="auto"/>
        <w:ind w:firstLine="709"/>
        <w:jc w:val="both"/>
        <w:rPr>
          <w:rFonts w:ascii="Verdana" w:hAnsi="Verdana" w:cs="Arial"/>
          <w:lang w:val="es-ES"/>
        </w:rPr>
      </w:pPr>
      <w:r w:rsidRPr="00437C34">
        <w:rPr>
          <w:rFonts w:ascii="Verdana" w:hAnsi="Verdana" w:cs="Arial"/>
          <w:lang w:val="es-ES"/>
        </w:rPr>
        <w:t>Sobre el tipo de asignaciones, es importante resaltar que los proyectos de inversión pueden financiarse con cargo a Asignaciones Directas, a la Asignación para la Inversión Local o la Asignación para la Inversión Regional,</w:t>
      </w:r>
      <w:r w:rsidRPr="00437C34">
        <w:rPr>
          <w:rFonts w:ascii="Verdana" w:eastAsia="Times New Roman" w:hAnsi="Verdana" w:cs="Arial"/>
          <w:color w:val="0D0D0D"/>
          <w:position w:val="3"/>
          <w:sz w:val="28"/>
          <w:szCs w:val="28"/>
          <w:lang w:val="es-MX" w:eastAsia="es-CO"/>
        </w:rPr>
        <w:t xml:space="preserve"> </w:t>
      </w:r>
      <w:r w:rsidRPr="00437C34">
        <w:rPr>
          <w:rFonts w:ascii="Verdana" w:hAnsi="Verdana" w:cs="Arial"/>
          <w:lang w:val="es-ES"/>
        </w:rPr>
        <w:t xml:space="preserve">a la </w:t>
      </w:r>
      <w:r w:rsidRPr="00437C34">
        <w:rPr>
          <w:rFonts w:ascii="Verdana" w:hAnsi="Verdana" w:cs="Arial"/>
          <w:lang w:val="es-MX"/>
        </w:rPr>
        <w:t>Asignación para la inversión en ciencia, tecnología e innovación, entre otros</w:t>
      </w:r>
      <w:r w:rsidRPr="00437C34">
        <w:rPr>
          <w:rFonts w:ascii="Verdana" w:hAnsi="Verdana" w:cs="Arial"/>
          <w:lang w:val="es-ES"/>
        </w:rPr>
        <w:t xml:space="preserve">. Atendiendo al tipo de asignación, la Ley 2056 de 2020 establece un procedimiento distinto para la viabilidad, priorización y aprobación de los proyectos, así como para la designación del ejecutor y órganos responsables. </w:t>
      </w:r>
    </w:p>
    <w:p w14:paraId="14B0D710" w14:textId="77777777" w:rsidR="006F012C" w:rsidRPr="00437C34" w:rsidRDefault="006F012C" w:rsidP="00763254">
      <w:pPr>
        <w:spacing w:after="0" w:line="276" w:lineRule="auto"/>
        <w:ind w:firstLine="709"/>
        <w:jc w:val="both"/>
        <w:rPr>
          <w:rFonts w:ascii="Verdana" w:hAnsi="Verdana" w:cs="Arial"/>
          <w:lang w:val="es-ES"/>
        </w:rPr>
      </w:pPr>
      <w:r w:rsidRPr="00437C34">
        <w:rPr>
          <w:rFonts w:ascii="Verdana" w:hAnsi="Verdana" w:cs="Arial"/>
          <w:lang w:val="es-ES"/>
        </w:rPr>
        <w:t xml:space="preserve">Asimismo, tratándose de proyectos financiados con Asignaciones Directas, se establece que una vez aprobados deberá suscribirse un convenio entre el alcalde o gobernador y el representante legal que presentó el proyecto, con el fin de formalizar su entrega y ejecución conforme a las normas del Sistema General de Regalías y del régimen de contratación estatal –artículo </w:t>
      </w:r>
      <w:r>
        <w:rPr>
          <w:rFonts w:ascii="Verdana" w:hAnsi="Verdana" w:cs="Arial"/>
          <w:lang w:val="es-ES"/>
        </w:rPr>
        <w:t>87</w:t>
      </w:r>
      <w:r w:rsidRPr="00437C34">
        <w:rPr>
          <w:rFonts w:ascii="Verdana" w:hAnsi="Verdana" w:cs="Arial"/>
          <w:lang w:val="es-ES"/>
        </w:rPr>
        <w:t xml:space="preserve">–. En concreto esta norma dispone lo siguiente: </w:t>
      </w:r>
    </w:p>
    <w:p w14:paraId="5F37381C" w14:textId="77777777" w:rsidR="006F012C" w:rsidRPr="007F3393" w:rsidRDefault="006F012C" w:rsidP="006F012C">
      <w:pPr>
        <w:spacing w:after="0" w:line="276" w:lineRule="auto"/>
        <w:ind w:firstLine="709"/>
        <w:jc w:val="both"/>
        <w:rPr>
          <w:rFonts w:ascii="Verdana" w:hAnsi="Verdana" w:cs="Arial"/>
          <w:sz w:val="20"/>
          <w:szCs w:val="20"/>
          <w:lang w:val="es-ES"/>
        </w:rPr>
      </w:pPr>
    </w:p>
    <w:p w14:paraId="647065F5" w14:textId="2501C1BB" w:rsidR="006F012C" w:rsidRPr="00763254" w:rsidRDefault="006F012C" w:rsidP="00763254">
      <w:pPr>
        <w:spacing w:after="0" w:line="240" w:lineRule="auto"/>
        <w:ind w:left="709" w:right="709"/>
        <w:jc w:val="both"/>
        <w:rPr>
          <w:rFonts w:ascii="Times New Roman" w:eastAsia="Times New Roman" w:hAnsi="Times New Roman" w:cs="Times New Roman"/>
          <w:sz w:val="24"/>
          <w:szCs w:val="24"/>
          <w:lang w:eastAsia="es-ES_tradnl"/>
        </w:rPr>
      </w:pPr>
      <w:r w:rsidRPr="00621901">
        <w:rPr>
          <w:rFonts w:ascii="Verdana" w:hAnsi="Verdana" w:cs="Arial"/>
          <w:sz w:val="20"/>
          <w:szCs w:val="20"/>
        </w:rPr>
        <w:t>“</w:t>
      </w:r>
      <w:r w:rsidR="00F701C5" w:rsidRPr="00F701C5">
        <w:rPr>
          <w:rFonts w:ascii="Arial" w:eastAsia="Times New Roman" w:hAnsi="Arial" w:cs="Arial"/>
          <w:b/>
          <w:bCs/>
          <w:color w:val="000000"/>
          <w:sz w:val="21"/>
          <w:szCs w:val="21"/>
          <w:lang w:eastAsia="es-ES_tradnl"/>
        </w:rPr>
        <w:t>Artículo 87. </w:t>
      </w:r>
      <w:r w:rsidR="00F701C5" w:rsidRPr="00F701C5">
        <w:rPr>
          <w:rFonts w:ascii="Arial" w:eastAsia="Times New Roman" w:hAnsi="Arial" w:cs="Arial"/>
          <w:b/>
          <w:bCs/>
          <w:i/>
          <w:iCs/>
          <w:color w:val="000000"/>
          <w:sz w:val="21"/>
          <w:szCs w:val="21"/>
          <w:lang w:eastAsia="es-ES_tradnl"/>
        </w:rPr>
        <w:t>Proyectos financiables con recursos de la Asignación Directa.</w:t>
      </w:r>
      <w:r w:rsidR="00F701C5">
        <w:rPr>
          <w:rFonts w:ascii="Times New Roman" w:eastAsia="Times New Roman" w:hAnsi="Times New Roman" w:cs="Times New Roman"/>
          <w:sz w:val="24"/>
          <w:szCs w:val="24"/>
          <w:lang w:eastAsia="es-ES_tradnl"/>
        </w:rPr>
        <w:t xml:space="preserve"> P</w:t>
      </w:r>
      <w:r w:rsidRPr="00621901">
        <w:rPr>
          <w:rFonts w:ascii="Verdana" w:hAnsi="Verdana" w:cs="Arial"/>
          <w:sz w:val="20"/>
          <w:szCs w:val="20"/>
        </w:rPr>
        <w:t>ara el caso de los proyectos de inversión con cargo a la asignación directa para Pueblos y Comunidades Indígenas, una vez sean formulados, serán sus autoridades o representantes legales quienes realizarán la viabilidad, registro, priorización y aprobación conforme su derecho propio y las nomas del Sistema General de Regalías.</w:t>
      </w:r>
    </w:p>
    <w:p w14:paraId="2FF52D55" w14:textId="77777777" w:rsidR="00F701C5" w:rsidRDefault="00F701C5" w:rsidP="00F701C5">
      <w:pPr>
        <w:spacing w:after="0" w:line="240" w:lineRule="auto"/>
        <w:ind w:left="709" w:right="709"/>
        <w:jc w:val="both"/>
        <w:rPr>
          <w:rFonts w:ascii="Verdana" w:hAnsi="Verdana" w:cs="Arial"/>
          <w:sz w:val="20"/>
          <w:szCs w:val="20"/>
        </w:rPr>
      </w:pPr>
    </w:p>
    <w:p w14:paraId="47045566" w14:textId="2297ADD9" w:rsidR="006F012C" w:rsidRPr="00621901" w:rsidRDefault="006F012C" w:rsidP="00763254">
      <w:pPr>
        <w:spacing w:after="0" w:line="240" w:lineRule="auto"/>
        <w:ind w:left="709" w:right="709"/>
        <w:jc w:val="both"/>
        <w:rPr>
          <w:rFonts w:ascii="Verdana" w:hAnsi="Verdana" w:cs="Arial"/>
          <w:sz w:val="20"/>
          <w:szCs w:val="20"/>
        </w:rPr>
      </w:pPr>
      <w:r w:rsidRPr="00621901">
        <w:rPr>
          <w:rFonts w:ascii="Verdana" w:hAnsi="Verdana" w:cs="Arial"/>
          <w:sz w:val="20"/>
          <w:szCs w:val="20"/>
        </w:rPr>
        <w:t>Dentro de los dos (2) meses siguientes a la aprobación del proyecto de inversión, se suscribirá un convenio entre el alcalde o gobernador y el representante o autoridad indígena que lo haya presentado, mediante el cual se formalizará la entrega del proyecto. En caso de que transcurrido este término no se haya suscrito el correspondiente convenio, el alcalde o Gobernador estará sujeto a las sanciones a las que haya lugar.</w:t>
      </w:r>
    </w:p>
    <w:p w14:paraId="790B30E4" w14:textId="77777777" w:rsidR="00F701C5" w:rsidRDefault="00F701C5" w:rsidP="00F701C5">
      <w:pPr>
        <w:spacing w:after="0" w:line="240" w:lineRule="auto"/>
        <w:ind w:left="709" w:right="709"/>
        <w:jc w:val="both"/>
        <w:rPr>
          <w:rFonts w:ascii="Verdana" w:hAnsi="Verdana" w:cs="Arial"/>
          <w:sz w:val="20"/>
          <w:szCs w:val="20"/>
        </w:rPr>
      </w:pPr>
    </w:p>
    <w:p w14:paraId="0C4D0B64" w14:textId="647F0C63" w:rsidR="006F012C" w:rsidRPr="00621901" w:rsidRDefault="006F012C" w:rsidP="00763254">
      <w:pPr>
        <w:spacing w:after="0" w:line="240" w:lineRule="auto"/>
        <w:ind w:left="709" w:right="709"/>
        <w:jc w:val="both"/>
        <w:rPr>
          <w:rFonts w:ascii="Verdana" w:hAnsi="Verdana" w:cs="Arial"/>
          <w:sz w:val="20"/>
          <w:szCs w:val="20"/>
        </w:rPr>
      </w:pPr>
      <w:r w:rsidRPr="00621901">
        <w:rPr>
          <w:rFonts w:ascii="Verdana" w:hAnsi="Verdana" w:cs="Arial"/>
          <w:sz w:val="20"/>
          <w:szCs w:val="20"/>
        </w:rPr>
        <w:t>Mediante acto administrativo el alcalde o gobernador designará a la entidad ejecutora propuesta en el proyecto de inversión, la cual debe corresponder a una de las entidades previstas en el estatuto de contratación estatal o el Decreto </w:t>
      </w:r>
      <w:hyperlink r:id="rId13" w:anchor="1088" w:history="1">
        <w:r w:rsidRPr="00621901">
          <w:rPr>
            <w:rStyle w:val="Hipervnculo"/>
            <w:rFonts w:ascii="Verdana" w:hAnsi="Verdana" w:cs="Arial"/>
            <w:sz w:val="20"/>
            <w:szCs w:val="20"/>
          </w:rPr>
          <w:t>1088 </w:t>
        </w:r>
      </w:hyperlink>
      <w:r w:rsidRPr="00621901">
        <w:rPr>
          <w:rFonts w:ascii="Verdana" w:hAnsi="Verdana" w:cs="Arial"/>
          <w:sz w:val="20"/>
          <w:szCs w:val="20"/>
        </w:rPr>
        <w:t>de 1993 adicionado por el Decreto 252 de 2020, quien se encargará de contratar la ejecución del proyecto de inversión y la interventoría de éste cuando aplique.”</w:t>
      </w:r>
    </w:p>
    <w:p w14:paraId="02BAACEF" w14:textId="77777777" w:rsidR="006F012C" w:rsidRPr="007F3393" w:rsidRDefault="006F012C" w:rsidP="006F012C">
      <w:pPr>
        <w:spacing w:after="120" w:line="276" w:lineRule="auto"/>
        <w:ind w:firstLine="709"/>
        <w:jc w:val="both"/>
        <w:rPr>
          <w:rFonts w:ascii="Verdana" w:hAnsi="Verdana" w:cs="Arial"/>
          <w:sz w:val="20"/>
          <w:szCs w:val="20"/>
        </w:rPr>
      </w:pPr>
    </w:p>
    <w:p w14:paraId="4E8909BE" w14:textId="77777777" w:rsidR="006F012C" w:rsidRPr="00437C34" w:rsidRDefault="006F012C" w:rsidP="006F012C">
      <w:pPr>
        <w:spacing w:after="120" w:line="276" w:lineRule="auto"/>
        <w:ind w:firstLine="709"/>
        <w:jc w:val="both"/>
        <w:rPr>
          <w:rFonts w:ascii="Verdana" w:eastAsia="Times New Roman" w:hAnsi="Verdana" w:cs="Arial"/>
          <w:bCs/>
          <w:lang w:eastAsia="x-none"/>
        </w:rPr>
      </w:pPr>
      <w:r w:rsidRPr="00437C34">
        <w:rPr>
          <w:rFonts w:ascii="Verdana" w:eastAsia="Times New Roman" w:hAnsi="Verdana" w:cs="Arial"/>
          <w:bCs/>
          <w:lang w:val="es-MX" w:eastAsia="x-none"/>
        </w:rPr>
        <w:t xml:space="preserve">Ahora bien, conforme a la consulta planteada, surge la inquietud concreta sobre la aplicación de las restricciones de la Ley de Garantías Electorales en relación con el artículo </w:t>
      </w:r>
      <w:r>
        <w:rPr>
          <w:rFonts w:ascii="Verdana" w:eastAsia="Times New Roman" w:hAnsi="Verdana" w:cs="Arial"/>
          <w:bCs/>
          <w:lang w:val="es-MX" w:eastAsia="x-none"/>
        </w:rPr>
        <w:t>87</w:t>
      </w:r>
      <w:r w:rsidRPr="00437C34">
        <w:rPr>
          <w:rFonts w:ascii="Verdana" w:eastAsia="Times New Roman" w:hAnsi="Verdana" w:cs="Arial"/>
          <w:bCs/>
          <w:lang w:val="es-MX" w:eastAsia="x-none"/>
        </w:rPr>
        <w:t xml:space="preserve"> en mención, en particular respecto del deber que impone la norma de celebrar un convenio </w:t>
      </w:r>
      <w:r w:rsidRPr="00437C34">
        <w:rPr>
          <w:rFonts w:ascii="Verdana" w:eastAsia="Times New Roman" w:hAnsi="Verdana" w:cs="Arial"/>
          <w:bCs/>
          <w:i/>
          <w:iCs/>
          <w:lang w:eastAsia="x-none"/>
        </w:rPr>
        <w:t>dentro de los dos (2) meses</w:t>
      </w:r>
      <w:r w:rsidRPr="00437C34">
        <w:rPr>
          <w:rFonts w:ascii="Verdana" w:eastAsia="Times New Roman" w:hAnsi="Verdana" w:cs="Arial"/>
          <w:bCs/>
          <w:lang w:eastAsia="x-none"/>
        </w:rPr>
        <w:t xml:space="preserve"> siguientes a la aprobación del proyecto de inversión</w:t>
      </w:r>
      <w:r w:rsidRPr="00130686">
        <w:rPr>
          <w:rFonts w:ascii="Work Sans" w:hAnsi="Work Sans"/>
          <w:color w:val="333333"/>
          <w:sz w:val="25"/>
          <w:szCs w:val="25"/>
          <w:shd w:val="clear" w:color="auto" w:fill="FFFFFF"/>
        </w:rPr>
        <w:t xml:space="preserve"> </w:t>
      </w:r>
      <w:r w:rsidRPr="00130686">
        <w:rPr>
          <w:rFonts w:ascii="Verdana" w:eastAsia="Times New Roman" w:hAnsi="Verdana" w:cs="Arial"/>
          <w:bCs/>
          <w:lang w:eastAsia="x-none"/>
        </w:rPr>
        <w:t>representante o autoridad indígena que lo haya presentado, mediante el cual se formalizará la entrega del proyecto</w:t>
      </w:r>
      <w:r w:rsidRPr="00437C34">
        <w:rPr>
          <w:rFonts w:ascii="Verdana" w:eastAsia="Times New Roman" w:hAnsi="Verdana" w:cs="Arial"/>
          <w:bCs/>
          <w:lang w:eastAsia="x-none"/>
        </w:rPr>
        <w:t xml:space="preserve"> que lo haya presentado. </w:t>
      </w:r>
    </w:p>
    <w:p w14:paraId="7A478B59" w14:textId="77777777" w:rsidR="006F012C" w:rsidRPr="00437C34" w:rsidRDefault="006F012C" w:rsidP="006F012C">
      <w:pPr>
        <w:spacing w:after="120" w:line="276" w:lineRule="auto"/>
        <w:ind w:firstLine="709"/>
        <w:jc w:val="both"/>
        <w:rPr>
          <w:rFonts w:ascii="Verdana" w:hAnsi="Verdana" w:cs="Arial"/>
          <w:lang w:val="es-ES"/>
        </w:rPr>
      </w:pPr>
      <w:r w:rsidRPr="00437C34">
        <w:rPr>
          <w:rFonts w:ascii="Verdana" w:eastAsia="Times New Roman" w:hAnsi="Verdana" w:cs="Arial"/>
          <w:bCs/>
          <w:lang w:eastAsia="x-none"/>
        </w:rPr>
        <w:t xml:space="preserve">Pues bien, analizado el marco normativo expuesto </w:t>
      </w:r>
      <w:r w:rsidRPr="00437C34">
        <w:rPr>
          <w:rFonts w:ascii="Verdana" w:eastAsia="Times New Roman" w:hAnsi="Verdana" w:cs="Arial"/>
          <w:bCs/>
          <w:lang w:val="es-ES" w:eastAsia="x-none"/>
        </w:rPr>
        <w:t xml:space="preserve">no se evidencia una excepción a lo dispuesto en el artículo 33 de la Ley 996 de 2005 </w:t>
      </w:r>
      <w:r w:rsidRPr="00437C34">
        <w:rPr>
          <w:rFonts w:ascii="Verdana" w:eastAsia="Times New Roman" w:hAnsi="Verdana" w:cs="Arial"/>
          <w:bCs/>
          <w:lang w:val="es-MX" w:eastAsia="x-none"/>
        </w:rPr>
        <w:t xml:space="preserve">que restringe la contratación directa en el periodo preelectoral a las elecciones presidenciales por el tipo de recurso que pretende ejecutarse. En otras palabras, esta normatividad especial para la ejecución de recursos del Sistema General de Regalías, no implica que esté exonerada de la restricción, pues el legislador no hizo distinción del tipo de recursos al establecer la prohibición.  En este sentido, aplicará la restricción señalada respecto de todos los </w:t>
      </w:r>
      <w:r w:rsidRPr="00437C34">
        <w:rPr>
          <w:rFonts w:ascii="Verdana" w:eastAsia="Times New Roman" w:hAnsi="Verdana" w:cs="Arial"/>
          <w:bCs/>
          <w:i/>
          <w:iCs/>
          <w:lang w:val="es-MX" w:eastAsia="x-none"/>
        </w:rPr>
        <w:t>entes del Estado,</w:t>
      </w:r>
      <w:r w:rsidRPr="00437C34">
        <w:rPr>
          <w:rFonts w:ascii="Verdana" w:eastAsia="Times New Roman" w:hAnsi="Verdana" w:cs="Arial"/>
          <w:bCs/>
          <w:lang w:val="es-MX" w:eastAsia="x-none"/>
        </w:rPr>
        <w:t xml:space="preserve"> con independencia de la fuente de los recursos. </w:t>
      </w:r>
    </w:p>
    <w:p w14:paraId="25B9D78F" w14:textId="77777777" w:rsidR="006F012C" w:rsidRPr="00437C34" w:rsidRDefault="006F012C" w:rsidP="006F012C">
      <w:pPr>
        <w:spacing w:after="120" w:line="276" w:lineRule="auto"/>
        <w:ind w:firstLine="709"/>
        <w:jc w:val="both"/>
        <w:rPr>
          <w:rFonts w:ascii="Verdana" w:hAnsi="Verdana" w:cs="Arial"/>
          <w:lang w:val="es-ES"/>
        </w:rPr>
      </w:pPr>
      <w:r w:rsidRPr="00437C34">
        <w:rPr>
          <w:rFonts w:ascii="Verdana" w:hAnsi="Verdana" w:cs="Arial"/>
          <w:lang w:val="es-ES"/>
        </w:rPr>
        <w:t xml:space="preserve">En efecto, si bien el artículo </w:t>
      </w:r>
      <w:r>
        <w:rPr>
          <w:rFonts w:ascii="Verdana" w:hAnsi="Verdana" w:cs="Arial"/>
          <w:lang w:val="es-ES"/>
        </w:rPr>
        <w:t>87</w:t>
      </w:r>
      <w:r w:rsidRPr="00437C34">
        <w:rPr>
          <w:rFonts w:ascii="Verdana" w:hAnsi="Verdana" w:cs="Arial"/>
          <w:lang w:val="es-ES"/>
        </w:rPr>
        <w:t xml:space="preserve"> de la Ley 2056 de 2020 dispone el deber de suscribir un convenio dentro de los dos (2) meses siguientes a la aprobación del proyecto de inversión, dicha disposición no consagra de manera expresa una excepción a las restricciones previstas en el artículo 33 de la Ley 996 de 2005. En este caso, el legislador se limitó a establecer un término para la celebración del convenio, pero no señaló que esta actuación contractual pudiera adelantarse durante el periodo de restricción electoral ni excluyó expresamente su aplicación del régimen de la Ley de Garantías Electorales. </w:t>
      </w:r>
    </w:p>
    <w:p w14:paraId="658F5719" w14:textId="77777777" w:rsidR="006F012C" w:rsidRPr="00437C34" w:rsidRDefault="006F012C" w:rsidP="006F012C">
      <w:pPr>
        <w:spacing w:after="120" w:line="276" w:lineRule="auto"/>
        <w:ind w:firstLine="709"/>
        <w:jc w:val="both"/>
        <w:rPr>
          <w:rFonts w:ascii="Verdana" w:hAnsi="Verdana" w:cs="Arial"/>
          <w:lang w:val="es-ES"/>
        </w:rPr>
      </w:pPr>
      <w:r w:rsidRPr="00437C34">
        <w:rPr>
          <w:rFonts w:ascii="Verdana" w:hAnsi="Verdana" w:cs="Arial"/>
          <w:lang w:val="es-ES"/>
        </w:rPr>
        <w:lastRenderedPageBreak/>
        <w:t xml:space="preserve">Al respecto, es importante precisar que la previsión legal de un término para la suscripción del convenio no implica, por sí misma, que dicho plazo prevalezca sobre las restricciones contenidas en la Ley de Garantías Electorales. Debe tenerse en cuenta que la Ley 996 de 2005, por su naturaleza estatutaria, goza de una jerarquía superior en el ordenamiento jurídico, en la medida que desarrolla materias relacionadas con las garantías electorales y la participación democrática. Por ello, no puede interpretarse que el término previsto en el artículo </w:t>
      </w:r>
      <w:r>
        <w:rPr>
          <w:rFonts w:ascii="Verdana" w:hAnsi="Verdana" w:cs="Arial"/>
          <w:lang w:val="es-ES"/>
        </w:rPr>
        <w:t>87</w:t>
      </w:r>
      <w:r w:rsidRPr="00437C34">
        <w:rPr>
          <w:rFonts w:ascii="Verdana" w:hAnsi="Verdana" w:cs="Arial"/>
          <w:lang w:val="es-ES"/>
        </w:rPr>
        <w:t xml:space="preserve"> de la Ley 2056 de 2020 para suscripción del convenio constituye, de manera implícita, una excepción a la prohibición de contratación durante el periodo electoral, pues esto implicaría hacer prevalecer una disposición de una ley ordinaria sobre una restricción establecida en una ley estatutaria, sin que el legislador hubiera previsto expresamente dicha consecuencia.</w:t>
      </w:r>
    </w:p>
    <w:p w14:paraId="470D453B" w14:textId="77777777" w:rsidR="006F012C" w:rsidRPr="00437C34" w:rsidRDefault="006F012C" w:rsidP="006F012C">
      <w:pPr>
        <w:spacing w:after="120" w:line="276" w:lineRule="auto"/>
        <w:ind w:firstLine="709"/>
        <w:jc w:val="both"/>
        <w:rPr>
          <w:rFonts w:ascii="Verdana" w:hAnsi="Verdana" w:cs="Arial"/>
          <w:lang w:val="es-ES"/>
        </w:rPr>
      </w:pPr>
      <w:r w:rsidRPr="00437C34">
        <w:rPr>
          <w:rFonts w:ascii="Verdana" w:hAnsi="Verdana" w:cs="Arial"/>
          <w:lang w:val="es-ES"/>
        </w:rPr>
        <w:t>En este sentido, no resulta jurídicamente viable sostener que en este caso existe una excepción a la Ley de Garantías Electorales por el deber de celebrar el convenio dentro de un plazo determinado, especialmente si se tiene en cuenta que las excepciones a las restricciones en materia electoral, debido a su naturaleza excepcional, deben estar consagradas de manera expresa y ser objeto de una interpretación estricta y restrictiva.</w:t>
      </w:r>
    </w:p>
    <w:p w14:paraId="6325B888" w14:textId="77777777" w:rsidR="006F012C" w:rsidRPr="00437C34" w:rsidRDefault="006F012C" w:rsidP="006F012C">
      <w:pPr>
        <w:tabs>
          <w:tab w:val="left" w:pos="1843"/>
        </w:tabs>
        <w:spacing w:after="120" w:line="276" w:lineRule="auto"/>
        <w:ind w:firstLine="709"/>
        <w:jc w:val="both"/>
        <w:rPr>
          <w:rFonts w:ascii="Verdana" w:eastAsia="Times New Roman" w:hAnsi="Verdana" w:cs="Arial"/>
          <w:bCs/>
          <w:lang w:val="es-MX" w:eastAsia="x-none"/>
        </w:rPr>
      </w:pPr>
      <w:r w:rsidRPr="00437C34">
        <w:rPr>
          <w:rFonts w:ascii="Verdana" w:hAnsi="Verdana" w:cs="Arial"/>
          <w:lang w:val="es-ES"/>
        </w:rPr>
        <w:t xml:space="preserve">En este contexto, debe reiterarse que </w:t>
      </w:r>
      <w:r w:rsidRPr="00437C34">
        <w:rPr>
          <w:rFonts w:ascii="Verdana" w:eastAsia="Times New Roman" w:hAnsi="Verdana" w:cs="Arial"/>
          <w:bCs/>
          <w:lang w:val="es-MX" w:eastAsia="x-none"/>
        </w:rPr>
        <w:t>la restricción del artículo 33 de la Ley de Garantías Electorales aplica, sin perjuicio de las excepciones establecidas en el inciso segundo del precitado artículo: i) los contratos relacionados con la defensa y seguridad del Estado, analizados en el Concepto 322 de 2026; ii) los contratos de crédito público, abordados en el Concepto CU-372 de 2026; iii) los contratos necesarios para atender emergencias educativas, sanitarias o desastres, tratados en los Conceptos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118 de 2026 y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176 de 2026, que tratan en este caso de la urgencia manifiesta; iv) los contratos destinados a la reconstrucción de infraestructura vial, energética y de comunicaciones afectada por atentados, acciones terroristas, desastres naturales o fuerza mayor, igualmente estudiados en los Conceptos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118 de 2026 y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176 de 2026, entre otros; y v) la contratación directa celebrada por entidades sanitarias y hospitalarias, objeto de análisis en los Conceptos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1124 de 2026,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1406 de 2026 y C</w:t>
      </w:r>
      <w:r w:rsidRPr="00437C34">
        <w:rPr>
          <w:rFonts w:ascii="Cambria Math" w:eastAsia="Times New Roman" w:hAnsi="Cambria Math" w:cs="Cambria Math"/>
          <w:bCs/>
          <w:lang w:val="es-MX" w:eastAsia="x-none"/>
        </w:rPr>
        <w:noBreakHyphen/>
      </w:r>
      <w:r w:rsidRPr="00437C34">
        <w:rPr>
          <w:rFonts w:ascii="Verdana" w:eastAsia="Times New Roman" w:hAnsi="Verdana" w:cs="Arial"/>
          <w:bCs/>
          <w:lang w:val="es-MX" w:eastAsia="x-none"/>
        </w:rPr>
        <w:t xml:space="preserve">1703 de 2026. </w:t>
      </w:r>
    </w:p>
    <w:p w14:paraId="392519EA" w14:textId="77777777" w:rsidR="006F012C" w:rsidRPr="00437C34" w:rsidRDefault="006F012C" w:rsidP="006F012C">
      <w:pPr>
        <w:tabs>
          <w:tab w:val="left" w:pos="1843"/>
        </w:tabs>
        <w:spacing w:after="120" w:line="276" w:lineRule="auto"/>
        <w:ind w:firstLine="709"/>
        <w:jc w:val="both"/>
        <w:rPr>
          <w:rFonts w:ascii="Verdana" w:eastAsia="Times New Roman" w:hAnsi="Verdana" w:cs="Arial"/>
          <w:bCs/>
          <w:lang w:val="es-MX" w:eastAsia="es-CO"/>
        </w:rPr>
      </w:pPr>
      <w:r w:rsidRPr="00437C34">
        <w:rPr>
          <w:rFonts w:ascii="Verdana" w:eastAsia="Times New Roman" w:hAnsi="Verdana" w:cs="Arial"/>
          <w:bCs/>
          <w:lang w:eastAsia="es-CO"/>
        </w:rPr>
        <w:t xml:space="preserve">Bajo este contexto, corresponde a cada entidad estatal analizar, en el caso concreto, la naturaleza y finalidad de las actividades que pretende desarrollar mediante el respectivo convenio, con el propósito de determinar si su objeto se encuentra comprendido dentro de alguna de las excepciones expresamente admitidas al régimen de restricciones previsto en la Ley de Garantías Electorales. </w:t>
      </w:r>
    </w:p>
    <w:p w14:paraId="5F5FFE0C" w14:textId="77777777" w:rsidR="006F012C" w:rsidRPr="00437C34" w:rsidRDefault="006F012C" w:rsidP="006F012C">
      <w:pPr>
        <w:spacing w:after="0" w:line="276" w:lineRule="auto"/>
        <w:ind w:firstLine="709"/>
        <w:jc w:val="both"/>
        <w:rPr>
          <w:rFonts w:ascii="Verdana" w:eastAsiaTheme="minorEastAsia" w:hAnsi="Verdana" w:cs="Arial"/>
          <w:lang w:eastAsia="es-CO"/>
        </w:rPr>
      </w:pPr>
      <w:r w:rsidRPr="00437C34">
        <w:rPr>
          <w:rFonts w:ascii="Verdana" w:eastAsiaTheme="minorEastAsia" w:hAnsi="Verdana" w:cs="Arial"/>
          <w:lang w:eastAsia="es-CO"/>
        </w:rPr>
        <w:lastRenderedPageBreak/>
        <w:t xml:space="preserve">Asimismo, vale la pena indicar que </w:t>
      </w:r>
      <w:r w:rsidRPr="00437C34">
        <w:rPr>
          <w:rFonts w:ascii="Verdana" w:eastAsia="Calibri" w:hAnsi="Verdana" w:cs="Arial"/>
        </w:rPr>
        <w:t>l</w:t>
      </w:r>
      <w:r w:rsidRPr="00437C34">
        <w:rPr>
          <w:rFonts w:ascii="Verdana" w:eastAsia="Times New Roman" w:hAnsi="Verdana" w:cs="Arial"/>
          <w:bCs/>
          <w:lang w:val="es-ES" w:eastAsia="es-CO"/>
        </w:rPr>
        <w:t>a Sala de Consulta y Servicio Civil del Consejo de Estado ha señalado que las restricciones de la Ley de Garantías Electorales deben interpretarse con especial cuidado cuando se trata de Empresas de Servicios Públicos Domiciliarios. En el Concepto 1727 de 2006, la Sala precisó que, aunque la norma limita la contratación directa durante la campaña presidencial, existen excepciones justificadas por razones de orden público social, particularmente en lo relacionado con la prestación de servicios públicos esenciales. Al respecto, expresó</w:t>
      </w:r>
      <w:r w:rsidRPr="00437C34">
        <w:rPr>
          <w:rFonts w:ascii="Verdana" w:eastAsia="Calibri" w:hAnsi="Verdana" w:cs="Arial"/>
          <w:lang w:val="es-MX"/>
        </w:rPr>
        <w:t>:</w:t>
      </w:r>
    </w:p>
    <w:p w14:paraId="00A1FC9D" w14:textId="77777777" w:rsidR="006F012C" w:rsidRPr="00437C34" w:rsidRDefault="006F012C" w:rsidP="006F012C">
      <w:pPr>
        <w:spacing w:after="0" w:line="276" w:lineRule="auto"/>
        <w:ind w:left="709" w:right="709"/>
        <w:jc w:val="both"/>
        <w:rPr>
          <w:rFonts w:ascii="Verdana" w:eastAsia="Calibri" w:hAnsi="Verdana" w:cs="Arial"/>
          <w:sz w:val="20"/>
          <w:szCs w:val="20"/>
        </w:rPr>
      </w:pPr>
    </w:p>
    <w:p w14:paraId="6164B5E0" w14:textId="77777777" w:rsidR="006F012C" w:rsidRPr="00437C34" w:rsidRDefault="006F012C" w:rsidP="006F012C">
      <w:pPr>
        <w:spacing w:after="0" w:line="240" w:lineRule="auto"/>
        <w:ind w:left="709" w:right="709"/>
        <w:jc w:val="both"/>
        <w:rPr>
          <w:rFonts w:ascii="Verdana" w:eastAsia="Times New Roman" w:hAnsi="Verdana" w:cs="Arial"/>
          <w:lang w:eastAsia="es-CO"/>
        </w:rPr>
      </w:pPr>
      <w:r w:rsidRPr="00437C34">
        <w:rPr>
          <w:rFonts w:ascii="Verdana" w:eastAsia="Calibri" w:hAnsi="Verdana" w:cs="Arial"/>
          <w:sz w:val="20"/>
          <w:szCs w:val="20"/>
        </w:rPr>
        <w:t xml:space="preserve">“[…] en la medida en que los reglamentos internos de una empresa de servicios públicos domiciliarios determinen que la adquisición de algún insumo esencial para la prestación del servicio se realice por contratación directa, y que mientras se adelanta el trámite de la licitación pública del artículo 860 del código de comercio puede verse suspendido o gravemente afectado el servicio a su cargo, para evitar esta emergencia puede acudir a la contratación directa, pues se encontraría dentro de la excepción a la prohibición por causa de la sanidad y del mantenimiento del orden público en su elemento de salubridad, esenciales a la organización del Estado. Se anota que frente a los servicios públicos domiciliarios, los usuarios tienen un derecho subjetivo a su prestación, que en veces está en conexión con los derechos fundamentales, como en el caso de los servicios del acueducto, alcantarillado, saneamiento básico, </w:t>
      </w:r>
      <w:proofErr w:type="spellStart"/>
      <w:r w:rsidRPr="00437C34">
        <w:rPr>
          <w:rFonts w:ascii="Verdana" w:eastAsia="Calibri" w:hAnsi="Verdana" w:cs="Arial"/>
          <w:sz w:val="20"/>
          <w:szCs w:val="20"/>
        </w:rPr>
        <w:t>etc</w:t>
      </w:r>
      <w:proofErr w:type="spellEnd"/>
      <w:r w:rsidRPr="00437C34">
        <w:rPr>
          <w:rFonts w:ascii="Verdana" w:eastAsia="Calibri" w:hAnsi="Verdana" w:cs="Arial"/>
          <w:lang w:val="es-MX"/>
        </w:rPr>
        <w:t>”</w:t>
      </w:r>
      <w:r w:rsidRPr="00437C34">
        <w:rPr>
          <w:rFonts w:ascii="Verdana" w:eastAsia="Calibri" w:hAnsi="Verdana" w:cs="Arial"/>
          <w:vertAlign w:val="superscript"/>
          <w:lang w:val="es-MX"/>
        </w:rPr>
        <w:footnoteReference w:id="25"/>
      </w:r>
      <w:r w:rsidRPr="00437C34">
        <w:rPr>
          <w:rFonts w:ascii="Verdana" w:eastAsia="Calibri" w:hAnsi="Verdana" w:cs="Arial"/>
          <w:lang w:val="es-MX"/>
        </w:rPr>
        <w:t>.</w:t>
      </w:r>
      <w:r w:rsidRPr="00437C34">
        <w:rPr>
          <w:rFonts w:ascii="Verdana" w:eastAsia="Times New Roman" w:hAnsi="Verdana" w:cs="Arial"/>
          <w:lang w:val="es-MX" w:eastAsia="es-CO"/>
        </w:rPr>
        <w:t xml:space="preserve"> </w:t>
      </w:r>
    </w:p>
    <w:p w14:paraId="6FA23DF8" w14:textId="77777777" w:rsidR="006F012C" w:rsidRPr="00437C34" w:rsidRDefault="006F012C" w:rsidP="006F012C">
      <w:pPr>
        <w:spacing w:after="0" w:line="276" w:lineRule="auto"/>
        <w:ind w:left="709" w:right="709"/>
        <w:jc w:val="both"/>
        <w:rPr>
          <w:rFonts w:ascii="Verdana" w:eastAsia="Calibri" w:hAnsi="Verdana" w:cs="Arial"/>
          <w:sz w:val="20"/>
          <w:szCs w:val="20"/>
        </w:rPr>
      </w:pPr>
    </w:p>
    <w:p w14:paraId="3E305877" w14:textId="77777777" w:rsidR="006F012C" w:rsidRPr="00437C34" w:rsidRDefault="006F012C" w:rsidP="006F012C">
      <w:pPr>
        <w:spacing w:after="120" w:line="276" w:lineRule="auto"/>
        <w:ind w:firstLine="708"/>
        <w:jc w:val="both"/>
        <w:rPr>
          <w:rFonts w:ascii="Verdana" w:eastAsia="Arial" w:hAnsi="Verdana" w:cs="Arial"/>
          <w:lang w:val="es-ES" w:eastAsia="es-ES" w:bidi="es-ES"/>
        </w:rPr>
      </w:pPr>
      <w:r w:rsidRPr="00437C34">
        <w:rPr>
          <w:rFonts w:ascii="Verdana" w:hAnsi="Verdana" w:cs="Arial"/>
          <w:lang w:val="es-ES_tradnl"/>
        </w:rPr>
        <w:t>También la Sala de Consulta y Servicio Civil del Consejo de Estado ha presentado supuestos de excepción a la restricción de los artículos 33 y 38 cuando la contratación se enmarca en una providencia judicial</w:t>
      </w:r>
      <w:r w:rsidRPr="00437C34">
        <w:rPr>
          <w:rFonts w:ascii="Verdana" w:eastAsia="Arial" w:hAnsi="Verdana" w:cs="Arial"/>
          <w:lang w:val="es-ES" w:eastAsia="es-ES" w:bidi="es-ES"/>
        </w:rPr>
        <w:t>, pues en dicho caso debe tenerse en cuenta que las decisiones judiciales tienen fuerza vinculante y cumplirse en virtud del principio de supremacía constitucional y del derecho fundamental de acceso a la administración de justicia. La celebración de un contrato de forma directa o de un convenio interadministrativo para la ejecución de recursos públicos no obedece a una decisión discrecional de la administración, sino al cumplimiento de un mandato judicial, lo cual la diferencia de la contratación ordinaria y lo pone en un plano de obligatoriedad que no puede desconocerse por las restricciones de la Ley de Garantías.</w:t>
      </w:r>
    </w:p>
    <w:p w14:paraId="5FBEB35B" w14:textId="77777777" w:rsidR="006F012C" w:rsidRPr="00437C34" w:rsidRDefault="006F012C" w:rsidP="006F012C">
      <w:pPr>
        <w:spacing w:after="0" w:line="276" w:lineRule="auto"/>
        <w:ind w:firstLine="709"/>
        <w:jc w:val="both"/>
        <w:rPr>
          <w:rFonts w:ascii="Verdana" w:eastAsia="Arial" w:hAnsi="Verdana" w:cs="Arial"/>
          <w:lang w:val="es-ES" w:eastAsia="es-ES" w:bidi="es-ES"/>
        </w:rPr>
      </w:pPr>
      <w:r w:rsidRPr="00437C34">
        <w:rPr>
          <w:rFonts w:ascii="Verdana" w:eastAsia="Arial" w:hAnsi="Verdana" w:cs="Arial"/>
          <w:lang w:val="es-ES" w:eastAsia="es-ES" w:bidi="es-ES"/>
        </w:rPr>
        <w:t xml:space="preserve">En este asunto, es importante resaltar que la Sala de Consulta y Servicio Civil del Consejo de Estado mediante Concepto con Radicado 1863 del 15 de noviembre de 2007 se ha pronunciado en el sentido de que </w:t>
      </w:r>
      <w:bookmarkStart w:id="12" w:name="_Hlk78820889"/>
      <w:r w:rsidRPr="00437C34">
        <w:rPr>
          <w:rFonts w:ascii="Verdana" w:eastAsia="Arial" w:hAnsi="Verdana" w:cs="Arial"/>
          <w:lang w:val="es-ES" w:eastAsia="es-ES" w:bidi="es-ES"/>
        </w:rPr>
        <w:t xml:space="preserve">no se les aplica las restricciones contempladas en Ley de Garantías Electorales que deben celebrarse en virtud de un fallo judicial. Esto, en la medida que la obligatoriedad </w:t>
      </w:r>
      <w:r w:rsidRPr="00437C34">
        <w:rPr>
          <w:rFonts w:ascii="Verdana" w:eastAsia="Arial" w:hAnsi="Verdana" w:cs="Arial"/>
          <w:lang w:val="es-ES" w:eastAsia="es-ES" w:bidi="es-ES"/>
        </w:rPr>
        <w:lastRenderedPageBreak/>
        <w:t>y la fuerza vinculante de las sentencias ejecutoriadas proferidas por los funcionarios investidos del poder judicial emanan de la autonomía conferida a estos por la Constitución y del derecho que tienen los ciudadanos al acceso y oportuna administración de justicia</w:t>
      </w:r>
      <w:bookmarkEnd w:id="12"/>
      <w:r w:rsidRPr="00437C34">
        <w:rPr>
          <w:rFonts w:ascii="Verdana" w:eastAsia="Arial" w:hAnsi="Verdana" w:cs="Arial"/>
          <w:vertAlign w:val="superscript"/>
          <w:lang w:val="es-ES" w:eastAsia="es-ES" w:bidi="es-ES"/>
        </w:rPr>
        <w:footnoteReference w:id="26"/>
      </w:r>
      <w:r w:rsidRPr="00437C34">
        <w:rPr>
          <w:rFonts w:ascii="Verdana" w:eastAsia="Arial" w:hAnsi="Verdana" w:cs="Arial"/>
          <w:lang w:val="es-ES" w:eastAsia="es-ES" w:bidi="es-ES"/>
        </w:rPr>
        <w:t>. Al respecto, dicho Concepto expresa:</w:t>
      </w:r>
    </w:p>
    <w:p w14:paraId="31F39A01" w14:textId="77777777" w:rsidR="006F012C" w:rsidRPr="00437C34" w:rsidRDefault="006F012C" w:rsidP="006F012C">
      <w:pPr>
        <w:spacing w:after="0" w:line="276" w:lineRule="auto"/>
        <w:ind w:firstLine="709"/>
        <w:jc w:val="both"/>
        <w:rPr>
          <w:rFonts w:ascii="Verdana" w:eastAsia="Arial" w:hAnsi="Verdana" w:cs="Arial"/>
          <w:lang w:val="es-ES" w:eastAsia="es-ES" w:bidi="es-ES"/>
        </w:rPr>
      </w:pPr>
    </w:p>
    <w:p w14:paraId="6967DA13" w14:textId="77777777" w:rsidR="006F012C" w:rsidRPr="00437C34" w:rsidRDefault="006F012C" w:rsidP="006F012C">
      <w:pPr>
        <w:spacing w:after="0" w:line="240" w:lineRule="auto"/>
        <w:ind w:left="709" w:right="709"/>
        <w:jc w:val="both"/>
        <w:rPr>
          <w:rFonts w:ascii="Verdana" w:eastAsia="Arial" w:hAnsi="Verdana" w:cs="Arial"/>
          <w:sz w:val="20"/>
          <w:lang w:eastAsia="es-ES" w:bidi="es-ES"/>
        </w:rPr>
      </w:pPr>
      <w:r w:rsidRPr="00437C34">
        <w:rPr>
          <w:rFonts w:ascii="Verdana" w:eastAsia="Arial" w:hAnsi="Verdana" w:cs="Arial"/>
          <w:sz w:val="20"/>
          <w:lang w:val="es-ES" w:eastAsia="es-ES" w:bidi="es-ES"/>
        </w:rPr>
        <w:t xml:space="preserve">“[…] considera </w:t>
      </w:r>
      <w:r w:rsidRPr="00437C34">
        <w:rPr>
          <w:rFonts w:ascii="Verdana" w:eastAsia="Arial" w:hAnsi="Verdana" w:cs="Arial"/>
          <w:sz w:val="20"/>
          <w:lang w:eastAsia="es-ES" w:bidi="es-ES"/>
        </w:rPr>
        <w:t>la Sala que los servidores públicos del nivel nacional o territorial que en cumplimiento de una sentencia judicial o de una providencia proferida en una acción popular o de tutela, deban contratar, ejecutar obras, efectuar gastos e incluso hacer algún reintegro de personal durante los cuatro meses anteriores a las elecciones para cargos de elección popular general o de Presidente, según el caso, no violan la ley de garantías electorales, por las razones de orden constitucional y legal que se explican a continuación.</w:t>
      </w:r>
    </w:p>
    <w:p w14:paraId="5025F034" w14:textId="77777777" w:rsidR="006F012C" w:rsidRPr="00437C34" w:rsidRDefault="006F012C" w:rsidP="006F012C">
      <w:pPr>
        <w:spacing w:after="0" w:line="240" w:lineRule="auto"/>
        <w:ind w:left="709" w:right="709"/>
        <w:jc w:val="both"/>
        <w:rPr>
          <w:rFonts w:ascii="Verdana" w:eastAsia="Arial" w:hAnsi="Verdana" w:cs="Arial"/>
          <w:sz w:val="20"/>
          <w:lang w:eastAsia="es-ES" w:bidi="es-ES"/>
        </w:rPr>
      </w:pPr>
    </w:p>
    <w:p w14:paraId="5A7CEAE8" w14:textId="77777777" w:rsidR="006F012C" w:rsidRPr="00437C34" w:rsidRDefault="006F012C" w:rsidP="006F012C">
      <w:pPr>
        <w:spacing w:after="0" w:line="240" w:lineRule="auto"/>
        <w:ind w:left="709" w:right="709"/>
        <w:jc w:val="both"/>
        <w:rPr>
          <w:rFonts w:ascii="Verdana" w:eastAsia="Arial" w:hAnsi="Verdana" w:cs="Arial"/>
          <w:sz w:val="20"/>
          <w:lang w:eastAsia="es-ES" w:bidi="es-ES"/>
        </w:rPr>
      </w:pPr>
      <w:r w:rsidRPr="00437C34">
        <w:rPr>
          <w:rFonts w:ascii="Verdana" w:eastAsia="Arial" w:hAnsi="Verdana" w:cs="Arial"/>
          <w:sz w:val="20"/>
          <w:lang w:eastAsia="es-ES" w:bidi="es-ES"/>
        </w:rPr>
        <w:t>Con fundamento en la autonomía del poder judicial derivada de la separación de poderes y del derecho al acceso a la administración de justicia que tienen todos los ciudadanos, las decisiones de los jueces, como ya se expuso en el acápite anterior, son de obligatorio cumplimiento para la administración y los particulares en los términos y condiciones previstos en cada providencia.</w:t>
      </w:r>
    </w:p>
    <w:p w14:paraId="054CB554" w14:textId="77777777" w:rsidR="006F012C" w:rsidRPr="00437C34" w:rsidRDefault="006F012C" w:rsidP="006F012C">
      <w:pPr>
        <w:spacing w:after="0" w:line="240" w:lineRule="auto"/>
        <w:ind w:left="709" w:right="709"/>
        <w:jc w:val="both"/>
        <w:rPr>
          <w:rFonts w:ascii="Verdana" w:eastAsia="Arial" w:hAnsi="Verdana" w:cs="Arial"/>
          <w:sz w:val="20"/>
          <w:lang w:eastAsia="es-ES" w:bidi="es-ES"/>
        </w:rPr>
      </w:pPr>
    </w:p>
    <w:p w14:paraId="6AD51255" w14:textId="77777777" w:rsidR="006F012C" w:rsidRPr="00437C34" w:rsidRDefault="006F012C" w:rsidP="006F012C">
      <w:pPr>
        <w:spacing w:after="0" w:line="240" w:lineRule="auto"/>
        <w:ind w:left="709" w:right="709"/>
        <w:jc w:val="both"/>
        <w:rPr>
          <w:rFonts w:ascii="Verdana" w:eastAsia="Arial" w:hAnsi="Verdana" w:cs="Arial"/>
          <w:sz w:val="20"/>
          <w:lang w:eastAsia="es-ES" w:bidi="es-ES"/>
        </w:rPr>
      </w:pPr>
      <w:r w:rsidRPr="00437C34">
        <w:rPr>
          <w:rFonts w:ascii="Verdana" w:eastAsia="Arial" w:hAnsi="Verdana" w:cs="Arial"/>
          <w:sz w:val="20"/>
          <w:lang w:eastAsia="es-ES" w:bidi="es-ES"/>
        </w:rPr>
        <w:t>Los actos de ejecución que la administración deba expedir o realizar para dar cabal cumplimiento a lo ordenado en las providencias judiciales, se fundamentan en decisiones desprovistas </w:t>
      </w:r>
      <w:r w:rsidRPr="00437C34">
        <w:rPr>
          <w:rFonts w:ascii="Verdana" w:eastAsia="Arial" w:hAnsi="Verdana" w:cs="Arial"/>
          <w:i/>
          <w:iCs/>
          <w:sz w:val="20"/>
          <w:lang w:eastAsia="es-ES" w:bidi="es-ES"/>
        </w:rPr>
        <w:t>per se </w:t>
      </w:r>
      <w:r w:rsidRPr="00437C34">
        <w:rPr>
          <w:rFonts w:ascii="Verdana" w:eastAsia="Arial" w:hAnsi="Verdana" w:cs="Arial"/>
          <w:sz w:val="20"/>
          <w:lang w:eastAsia="es-ES" w:bidi="es-ES"/>
        </w:rPr>
        <w:t>de intereses proselitistas, pues los funcionarios investidos de jurisdicción, al impartir justicia sólo están sometidos al imperio de la Constitución y de la ley (artículo 230 C.P.) , de manera que sus fallos no son fruto de las presiones propias de épocas de campaña electoral, ni comprometen o amenazan la transparencia de la actividad administrativa tutelada en la ley de </w:t>
      </w:r>
      <w:hyperlink r:id="rId14" w:anchor="0" w:history="1">
        <w:r w:rsidRPr="00437C34">
          <w:rPr>
            <w:rFonts w:ascii="Verdana" w:eastAsia="Arial" w:hAnsi="Verdana" w:cs="Arial"/>
            <w:color w:val="000000" w:themeColor="text1"/>
            <w:sz w:val="20"/>
            <w:lang w:eastAsia="es-ES" w:bidi="es-ES"/>
          </w:rPr>
          <w:t>996</w:t>
        </w:r>
      </w:hyperlink>
      <w:r w:rsidRPr="00437C34">
        <w:rPr>
          <w:rFonts w:ascii="Verdana" w:eastAsia="Arial" w:hAnsi="Verdana" w:cs="Arial"/>
          <w:color w:val="000000" w:themeColor="text1"/>
          <w:sz w:val="20"/>
          <w:lang w:eastAsia="es-ES" w:bidi="es-ES"/>
        </w:rPr>
        <w:t xml:space="preserve"> de </w:t>
      </w:r>
      <w:r w:rsidRPr="00437C34">
        <w:rPr>
          <w:rFonts w:ascii="Verdana" w:eastAsia="Arial" w:hAnsi="Verdana" w:cs="Arial"/>
          <w:sz w:val="20"/>
          <w:lang w:eastAsia="es-ES" w:bidi="es-ES"/>
        </w:rPr>
        <w:t>2005.</w:t>
      </w:r>
    </w:p>
    <w:p w14:paraId="0B2D3746" w14:textId="77777777" w:rsidR="006F012C" w:rsidRPr="00437C34" w:rsidRDefault="006F012C" w:rsidP="006F012C">
      <w:pPr>
        <w:spacing w:after="0" w:line="240" w:lineRule="auto"/>
        <w:ind w:left="709" w:right="709"/>
        <w:jc w:val="both"/>
        <w:rPr>
          <w:rFonts w:ascii="Verdana" w:eastAsia="Arial" w:hAnsi="Verdana" w:cs="Arial"/>
          <w:sz w:val="20"/>
          <w:lang w:eastAsia="es-ES" w:bidi="es-ES"/>
        </w:rPr>
      </w:pPr>
    </w:p>
    <w:p w14:paraId="60AE3D96" w14:textId="77777777" w:rsidR="006F012C" w:rsidRPr="00437C34" w:rsidRDefault="006F012C" w:rsidP="006F012C">
      <w:pPr>
        <w:spacing w:after="0" w:line="240" w:lineRule="auto"/>
        <w:ind w:left="709" w:right="709"/>
        <w:jc w:val="both"/>
        <w:rPr>
          <w:rFonts w:ascii="Verdana" w:eastAsia="Arial" w:hAnsi="Verdana" w:cs="Arial"/>
          <w:sz w:val="20"/>
          <w:lang w:eastAsia="es-ES" w:bidi="es-ES"/>
        </w:rPr>
      </w:pPr>
      <w:r w:rsidRPr="00437C34">
        <w:rPr>
          <w:rFonts w:ascii="Verdana" w:eastAsia="Arial" w:hAnsi="Verdana" w:cs="Arial"/>
          <w:sz w:val="20"/>
          <w:lang w:eastAsia="es-ES" w:bidi="es-ES"/>
        </w:rPr>
        <w:t xml:space="preserve">Por tanto, el derecho de acceso y de obtener una pronta y cumplida administración de justicia , que se concreta cuando se cumple lo ordenado en las respectivas sentencias, hacen que no sea necesario que el legislador hubiese incluido el cumplimiento de fallos judiciales como parte de las excepciones a los regímenes prohibitivos contendido en los </w:t>
      </w:r>
      <w:r w:rsidRPr="00437C34">
        <w:rPr>
          <w:rFonts w:ascii="Verdana" w:eastAsia="Arial" w:hAnsi="Verdana" w:cs="Arial"/>
          <w:color w:val="000000" w:themeColor="text1"/>
          <w:sz w:val="20"/>
          <w:lang w:eastAsia="es-ES" w:bidi="es-ES"/>
        </w:rPr>
        <w:t>artículos </w:t>
      </w:r>
      <w:hyperlink r:id="rId15" w:anchor="32" w:history="1">
        <w:r w:rsidRPr="00437C34">
          <w:rPr>
            <w:rFonts w:ascii="Verdana" w:eastAsia="Arial" w:hAnsi="Verdana" w:cs="Arial"/>
            <w:color w:val="000000" w:themeColor="text1"/>
            <w:sz w:val="20"/>
            <w:lang w:eastAsia="es-ES" w:bidi="es-ES"/>
          </w:rPr>
          <w:t>32</w:t>
        </w:r>
      </w:hyperlink>
      <w:r w:rsidRPr="00437C34">
        <w:rPr>
          <w:rFonts w:ascii="Verdana" w:eastAsia="Arial" w:hAnsi="Verdana" w:cs="Arial"/>
          <w:color w:val="000000" w:themeColor="text1"/>
          <w:sz w:val="20"/>
          <w:lang w:eastAsia="es-ES" w:bidi="es-ES"/>
        </w:rPr>
        <w:t>, </w:t>
      </w:r>
      <w:hyperlink r:id="rId16" w:anchor="33" w:history="1">
        <w:r w:rsidRPr="00437C34">
          <w:rPr>
            <w:rFonts w:ascii="Verdana" w:eastAsia="Arial" w:hAnsi="Verdana" w:cs="Arial"/>
            <w:color w:val="000000" w:themeColor="text1"/>
            <w:sz w:val="20"/>
            <w:lang w:eastAsia="es-ES" w:bidi="es-ES"/>
          </w:rPr>
          <w:t>33</w:t>
        </w:r>
      </w:hyperlink>
      <w:r w:rsidRPr="00437C34">
        <w:rPr>
          <w:rFonts w:ascii="Verdana" w:eastAsia="Arial" w:hAnsi="Verdana" w:cs="Arial"/>
          <w:color w:val="000000" w:themeColor="text1"/>
          <w:sz w:val="20"/>
          <w:lang w:eastAsia="es-ES" w:bidi="es-ES"/>
        </w:rPr>
        <w:t> y el parágrafo del artículo </w:t>
      </w:r>
      <w:hyperlink r:id="rId17" w:anchor="38" w:history="1">
        <w:r w:rsidRPr="00437C34">
          <w:rPr>
            <w:rFonts w:ascii="Verdana" w:eastAsia="Arial" w:hAnsi="Verdana" w:cs="Arial"/>
            <w:color w:val="000000" w:themeColor="text1"/>
            <w:sz w:val="20"/>
            <w:lang w:eastAsia="es-ES" w:bidi="es-ES"/>
          </w:rPr>
          <w:t>38</w:t>
        </w:r>
      </w:hyperlink>
      <w:r w:rsidRPr="00437C34">
        <w:rPr>
          <w:rFonts w:ascii="Verdana" w:eastAsia="Arial" w:hAnsi="Verdana" w:cs="Arial"/>
          <w:color w:val="000000" w:themeColor="text1"/>
          <w:sz w:val="20"/>
          <w:lang w:eastAsia="es-ES" w:bidi="es-ES"/>
        </w:rPr>
        <w:t xml:space="preserve">, todos ellos de la ley 996 de 2005, ya que la fuerza vinculante de la sentencias emana directamente de estructura del Estado y de la autonomía conferida </w:t>
      </w:r>
      <w:r w:rsidRPr="00437C34">
        <w:rPr>
          <w:rFonts w:ascii="Verdana" w:eastAsia="Arial" w:hAnsi="Verdana" w:cs="Arial"/>
          <w:sz w:val="20"/>
          <w:lang w:eastAsia="es-ES" w:bidi="es-ES"/>
        </w:rPr>
        <w:t xml:space="preserve">al poder judicial”. (énfasis dentro del texto). </w:t>
      </w:r>
    </w:p>
    <w:p w14:paraId="177D966F" w14:textId="77777777" w:rsidR="006F012C" w:rsidRPr="00437C34" w:rsidRDefault="006F012C" w:rsidP="006F012C">
      <w:pPr>
        <w:spacing w:after="120" w:line="240" w:lineRule="auto"/>
        <w:ind w:firstLine="709"/>
        <w:jc w:val="both"/>
        <w:rPr>
          <w:rFonts w:ascii="Verdana" w:eastAsia="Arial" w:hAnsi="Verdana" w:cs="Arial"/>
          <w:lang w:eastAsia="es-ES" w:bidi="es-ES"/>
        </w:rPr>
      </w:pPr>
    </w:p>
    <w:p w14:paraId="4800EC3A" w14:textId="77777777" w:rsidR="006F012C" w:rsidRPr="00437C34" w:rsidRDefault="006F012C" w:rsidP="006F012C">
      <w:pPr>
        <w:spacing w:after="120" w:line="276" w:lineRule="auto"/>
        <w:ind w:firstLine="708"/>
        <w:jc w:val="both"/>
        <w:rPr>
          <w:rFonts w:ascii="Verdana" w:hAnsi="Verdana" w:cs="Arial"/>
          <w:lang w:val="es-ES"/>
        </w:rPr>
      </w:pPr>
      <w:r w:rsidRPr="00437C34">
        <w:rPr>
          <w:rFonts w:ascii="Verdana" w:hAnsi="Verdana" w:cs="Arial"/>
          <w:lang w:val="es-ES"/>
        </w:rPr>
        <w:t xml:space="preserve">El razonamiento de la Sala de Consulta y Servicio Civil del Consejo de Estado establece que las decisiones judiciales no se encuentran restringidas por las limitaciones de la Ley de Garantías Electorales. En consecuencia, es posible </w:t>
      </w:r>
      <w:r w:rsidRPr="00437C34">
        <w:rPr>
          <w:rFonts w:ascii="Verdana" w:hAnsi="Verdana" w:cs="Arial"/>
          <w:lang w:val="es-ES"/>
        </w:rPr>
        <w:lastRenderedPageBreak/>
        <w:t>que un juez ordene la suscripción de un contrato de manera directa, como ocurre con la contratación de un perito dentro de un proceso judicial. De tal manera, negar esta posibilidad significaría desconocer el principio de colaboración armónica entre poderes y, además, vulnerar el derecho fundamental de acceso a la justicia. Por ello, debe entenderse que el cumplimiento de órdenes judiciales se encuentra por fuera de los fines, límites y condiciones previstos en la Ley de Garantías Electorales, pues su naturaleza responde a la obligación constitucional de garantizar la efectividad de las decisiones judiciales y la protección de los derechos fundamentales.</w:t>
      </w:r>
    </w:p>
    <w:p w14:paraId="667346FB" w14:textId="77777777" w:rsidR="006F012C" w:rsidRPr="00437C34" w:rsidRDefault="006F012C" w:rsidP="006F012C">
      <w:pPr>
        <w:spacing w:after="120" w:line="276" w:lineRule="auto"/>
        <w:ind w:firstLine="709"/>
        <w:jc w:val="both"/>
        <w:rPr>
          <w:rFonts w:ascii="Verdana" w:eastAsia="Times New Roman" w:hAnsi="Verdana" w:cs="Arial"/>
          <w:bCs/>
          <w:lang w:val="es-ES" w:eastAsia="es-CO"/>
        </w:rPr>
      </w:pPr>
      <w:r w:rsidRPr="00437C34">
        <w:rPr>
          <w:rFonts w:ascii="Verdana" w:eastAsia="Arial" w:hAnsi="Verdana" w:cs="Arial"/>
          <w:lang w:val="es-ES" w:eastAsia="es-ES" w:bidi="es-ES"/>
        </w:rPr>
        <w:t>De igual manera, resulta pertinente traer a colación el pronunciamiento de la Sala de Consulta y Servicio Civil del Consejo de Estado</w:t>
      </w:r>
      <w:r w:rsidRPr="00437C34">
        <w:rPr>
          <w:rFonts w:ascii="Verdana" w:eastAsia="Arial" w:hAnsi="Verdana" w:cs="Arial"/>
          <w:vertAlign w:val="superscript"/>
          <w:lang w:val="es-ES" w:eastAsia="es-ES" w:bidi="es-ES"/>
        </w:rPr>
        <w:t xml:space="preserve"> </w:t>
      </w:r>
      <w:r w:rsidRPr="00437C34">
        <w:rPr>
          <w:rFonts w:ascii="Verdana" w:hAnsi="Verdana"/>
        </w:rPr>
        <w:t>en Concepto con Radicado 1736</w:t>
      </w:r>
      <w:r w:rsidRPr="00437C34">
        <w:rPr>
          <w:rFonts w:ascii="Verdana" w:eastAsia="Arial" w:hAnsi="Verdana" w:cs="Arial"/>
          <w:lang w:val="es-ES" w:eastAsia="es-ES" w:bidi="es-ES"/>
        </w:rPr>
        <w:t>, el cual, en un tema concerniente a las restricciones de la Ley de Garantías Electorales, expresa que si bien la seguridad social no está expresamente definida como derecho fundamental, adquiere ese carácter cuando su protección resulta necesaria para salvaguardar derechos esenciales como la vida, la dignidad o la integridad de las personas mayores, lo que hace imperativo mantener el programa de apoyo a ancianos indigentes mediante subsidio indirecto; por ello, el Administrador Fiduciario puede contratar directamente con los Centros de Bienestar del Adulto Mayor para asegurar la continuidad de los cupos asignados, y los alcaldes, a su vez, pueden celebrar estos mismos acuerdos en representación de sus municipios cuando administran recursos destinados a comunidades indígenas en resguardo, garantizando así la continuidad y eficacia de la protección estatal.</w:t>
      </w:r>
      <w:r w:rsidRPr="00437C34">
        <w:rPr>
          <w:rFonts w:ascii="Verdana" w:eastAsia="Times New Roman" w:hAnsi="Verdana" w:cs="Arial"/>
          <w:bCs/>
          <w:lang w:val="es-ES" w:eastAsia="es-CO"/>
        </w:rPr>
        <w:t xml:space="preserve"> </w:t>
      </w:r>
    </w:p>
    <w:p w14:paraId="6F770A2F" w14:textId="77777777" w:rsidR="006F012C" w:rsidRPr="00437C34" w:rsidRDefault="006F012C" w:rsidP="006F012C">
      <w:pPr>
        <w:spacing w:after="120" w:line="276" w:lineRule="auto"/>
        <w:ind w:firstLine="709"/>
        <w:jc w:val="both"/>
        <w:rPr>
          <w:rFonts w:ascii="Verdana" w:eastAsiaTheme="minorEastAsia" w:hAnsi="Verdana" w:cs="Arial"/>
          <w:lang w:eastAsia="es-CO"/>
        </w:rPr>
      </w:pPr>
      <w:r w:rsidRPr="00437C34">
        <w:rPr>
          <w:rFonts w:ascii="Verdana" w:hAnsi="Verdana" w:cs="Arial"/>
          <w:lang w:val="es-ES"/>
        </w:rPr>
        <w:t xml:space="preserve">En todo caso, la Agencia considera que la posibilidad de suscribir un convenio con fundamento en el artículo </w:t>
      </w:r>
      <w:r>
        <w:rPr>
          <w:rFonts w:ascii="Verdana" w:hAnsi="Verdana" w:cs="Arial"/>
          <w:lang w:val="es-ES"/>
        </w:rPr>
        <w:t>87</w:t>
      </w:r>
      <w:r w:rsidRPr="00437C34">
        <w:rPr>
          <w:rFonts w:ascii="Verdana" w:hAnsi="Verdana" w:cs="Arial"/>
          <w:lang w:val="es-ES"/>
        </w:rPr>
        <w:t xml:space="preserve"> de la Ley 2056 de 2020, dependerá del análisis particular que realice la entidad sobre la existencia de alguna de las excepciones establecidas en el artículo 33 de la Ley de Garantías Electorales, sin perjuicio de lo expresado por la Sala de Consulta y Servicio Civil del Consejo que se expuso previamente. </w:t>
      </w:r>
      <w:bookmarkEnd w:id="11"/>
    </w:p>
    <w:p w14:paraId="44CEA8B5" w14:textId="77777777" w:rsidR="006F012C" w:rsidRPr="00437C34" w:rsidRDefault="006F012C" w:rsidP="006F012C">
      <w:pPr>
        <w:spacing w:after="120" w:line="276" w:lineRule="auto"/>
        <w:jc w:val="both"/>
        <w:rPr>
          <w:rFonts w:ascii="Verdana" w:eastAsiaTheme="minorEastAsia" w:hAnsi="Verdana" w:cs="Arial"/>
          <w:lang w:eastAsia="es-CO"/>
        </w:rPr>
      </w:pPr>
      <w:r w:rsidRPr="00437C34">
        <w:rPr>
          <w:rFonts w:ascii="Verdana" w:eastAsia="Calibri" w:hAnsi="Verdana" w:cs="Arial"/>
          <w:bCs/>
          <w:iCs/>
          <w:lang w:val="es-ES" w:eastAsia="es-ES_tradnl"/>
        </w:rPr>
        <w:t xml:space="preserve">v. </w:t>
      </w:r>
      <w:r w:rsidRPr="00437C34">
        <w:rPr>
          <w:rFonts w:ascii="Verdana" w:eastAsia="Calibri" w:hAnsi="Verdana" w:cs="Arial"/>
          <w:bCs/>
          <w:color w:val="000000" w:themeColor="text1"/>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w:t>
      </w:r>
      <w:r w:rsidRPr="00437C34">
        <w:rPr>
          <w:rFonts w:ascii="Verdana" w:eastAsia="Calibri" w:hAnsi="Verdana" w:cs="Arial"/>
          <w:bCs/>
          <w:color w:val="000000" w:themeColor="text1"/>
        </w:rPr>
        <w:lastRenderedPageBreak/>
        <w:t>correspondiente y, en caso de conflicto, a las autoridades judiciales, fiscales y disciplinarias.</w:t>
      </w:r>
    </w:p>
    <w:p w14:paraId="4B2115D8" w14:textId="51E46B61" w:rsidR="00F701C5" w:rsidRPr="00437C34" w:rsidRDefault="006F012C" w:rsidP="00763254">
      <w:pPr>
        <w:spacing w:after="0" w:line="276" w:lineRule="auto"/>
        <w:ind w:firstLine="708"/>
        <w:jc w:val="both"/>
        <w:rPr>
          <w:rFonts w:ascii="Verdana" w:eastAsia="Calibri" w:hAnsi="Verdana" w:cs="Arial"/>
          <w:bCs/>
          <w:color w:val="000000" w:themeColor="text1"/>
        </w:rPr>
      </w:pPr>
      <w:r w:rsidRPr="00437C34">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563F8908" w14:textId="77777777" w:rsidR="006F012C" w:rsidRPr="00F701C5" w:rsidRDefault="006F012C" w:rsidP="00763254">
      <w:pPr>
        <w:spacing w:after="0" w:line="276" w:lineRule="auto"/>
        <w:ind w:firstLine="708"/>
        <w:jc w:val="both"/>
        <w:rPr>
          <w:rFonts w:ascii="Verdana" w:eastAsia="Arial" w:hAnsi="Verdana" w:cs="Arial"/>
          <w:bCs/>
          <w:lang w:eastAsia="es-ES" w:bidi="es-ES"/>
        </w:rPr>
      </w:pPr>
    </w:p>
    <w:p w14:paraId="5E78CD66" w14:textId="77777777" w:rsidR="006F012C" w:rsidRPr="00F701C5" w:rsidRDefault="006F012C" w:rsidP="00F701C5">
      <w:pPr>
        <w:numPr>
          <w:ilvl w:val="0"/>
          <w:numId w:val="16"/>
        </w:numPr>
        <w:tabs>
          <w:tab w:val="left" w:pos="142"/>
          <w:tab w:val="left" w:pos="284"/>
        </w:tabs>
        <w:spacing w:after="0" w:line="276" w:lineRule="auto"/>
        <w:jc w:val="both"/>
        <w:rPr>
          <w:rFonts w:ascii="Verdana" w:eastAsia="Century Gothic" w:hAnsi="Verdana" w:cs="Century Gothic"/>
          <w:b/>
          <w:bCs/>
          <w:lang w:val="es-ES"/>
        </w:rPr>
      </w:pPr>
      <w:r w:rsidRPr="00F701C5">
        <w:rPr>
          <w:rFonts w:ascii="Verdana" w:eastAsia="Century Gothic" w:hAnsi="Verdana" w:cs="Century Gothic"/>
          <w:b/>
          <w:bCs/>
          <w:lang w:val="es-ES"/>
        </w:rPr>
        <w:t xml:space="preserve">Referencias normativas, jurisprudenciales y otras fuentes </w:t>
      </w:r>
    </w:p>
    <w:p w14:paraId="5B6CA58F" w14:textId="77777777" w:rsidR="006F012C" w:rsidRPr="00F701C5" w:rsidRDefault="006F012C" w:rsidP="00F701C5">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6F012C" w:rsidRPr="00F701C5" w14:paraId="0E20CE67" w14:textId="77777777" w:rsidTr="004E205F">
        <w:trPr>
          <w:trHeight w:val="477"/>
          <w:jc w:val="center"/>
        </w:trPr>
        <w:tc>
          <w:tcPr>
            <w:tcW w:w="8647" w:type="dxa"/>
          </w:tcPr>
          <w:p w14:paraId="7218412D" w14:textId="77777777" w:rsidR="006F012C" w:rsidRPr="00F701C5" w:rsidRDefault="006F012C" w:rsidP="00763254">
            <w:pPr>
              <w:widowControl w:val="0"/>
              <w:numPr>
                <w:ilvl w:val="0"/>
                <w:numId w:val="17"/>
              </w:numPr>
              <w:autoSpaceDE w:val="0"/>
              <w:autoSpaceDN w:val="0"/>
              <w:spacing w:line="276" w:lineRule="auto"/>
              <w:ind w:left="714" w:hanging="357"/>
              <w:jc w:val="both"/>
              <w:rPr>
                <w:rFonts w:ascii="Verdana" w:eastAsia="Arial MT" w:hAnsi="Verdana" w:cs="Arial"/>
                <w:lang w:val="es-ES" w:eastAsia="es-ES" w:bidi="es-ES"/>
              </w:rPr>
            </w:pPr>
            <w:r w:rsidRPr="00F701C5">
              <w:rPr>
                <w:rFonts w:ascii="Verdana" w:eastAsia="Arial MT" w:hAnsi="Verdana" w:cs="Arial"/>
                <w:lang w:eastAsia="es-ES" w:bidi="es-ES"/>
              </w:rPr>
              <w:t>Constitución Política: Artículo 127.</w:t>
            </w:r>
          </w:p>
          <w:p w14:paraId="27896092" w14:textId="77777777" w:rsidR="006F012C" w:rsidRPr="00F701C5" w:rsidRDefault="006F012C" w:rsidP="00763254">
            <w:pPr>
              <w:widowControl w:val="0"/>
              <w:numPr>
                <w:ilvl w:val="0"/>
                <w:numId w:val="17"/>
              </w:numPr>
              <w:autoSpaceDE w:val="0"/>
              <w:autoSpaceDN w:val="0"/>
              <w:spacing w:line="276" w:lineRule="auto"/>
              <w:ind w:left="714" w:hanging="357"/>
              <w:jc w:val="both"/>
              <w:rPr>
                <w:rFonts w:ascii="Verdana" w:eastAsia="Arial MT" w:hAnsi="Verdana" w:cs="Arial"/>
                <w:lang w:val="es-ES" w:eastAsia="es-ES" w:bidi="es-ES"/>
              </w:rPr>
            </w:pPr>
            <w:r w:rsidRPr="00F701C5">
              <w:rPr>
                <w:rFonts w:ascii="Verdana" w:eastAsia="Arial MT" w:hAnsi="Verdana" w:cs="Arial"/>
                <w:bCs/>
                <w:lang w:val="es-ES" w:eastAsia="es-ES" w:bidi="es-ES"/>
              </w:rPr>
              <w:t>Ley 996 de 2005: artículos 33 y 38 parágrafo.</w:t>
            </w:r>
          </w:p>
          <w:p w14:paraId="5C4A9961" w14:textId="77777777" w:rsidR="006F012C" w:rsidRPr="00F701C5" w:rsidRDefault="006F012C" w:rsidP="00763254">
            <w:pPr>
              <w:widowControl w:val="0"/>
              <w:numPr>
                <w:ilvl w:val="0"/>
                <w:numId w:val="17"/>
              </w:numPr>
              <w:autoSpaceDE w:val="0"/>
              <w:autoSpaceDN w:val="0"/>
              <w:spacing w:line="276" w:lineRule="auto"/>
              <w:ind w:left="714" w:hanging="357"/>
              <w:jc w:val="both"/>
              <w:rPr>
                <w:rFonts w:ascii="Verdana" w:eastAsia="Arial MT" w:hAnsi="Verdana" w:cs="Arial"/>
                <w:lang w:val="es-ES" w:eastAsia="es-ES" w:bidi="es-ES"/>
              </w:rPr>
            </w:pPr>
            <w:r w:rsidRPr="00F701C5">
              <w:rPr>
                <w:rFonts w:ascii="Verdana" w:eastAsia="Arial MT" w:hAnsi="Verdana" w:cs="Arial"/>
                <w:bCs/>
                <w:lang w:val="es-ES" w:eastAsia="es-ES" w:bidi="es-ES"/>
              </w:rPr>
              <w:t>Ley 2056 de 2020</w:t>
            </w:r>
          </w:p>
          <w:p w14:paraId="34EAFDFF" w14:textId="77777777" w:rsidR="006F012C" w:rsidRPr="00F701C5" w:rsidRDefault="006F012C" w:rsidP="00763254">
            <w:pPr>
              <w:widowControl w:val="0"/>
              <w:numPr>
                <w:ilvl w:val="0"/>
                <w:numId w:val="17"/>
              </w:numPr>
              <w:autoSpaceDE w:val="0"/>
              <w:autoSpaceDN w:val="0"/>
              <w:spacing w:line="276" w:lineRule="auto"/>
              <w:jc w:val="both"/>
              <w:rPr>
                <w:rFonts w:ascii="Verdana" w:eastAsia="Calibri" w:hAnsi="Verdana" w:cs="Arial"/>
                <w:lang w:val="es-ES"/>
              </w:rPr>
            </w:pPr>
            <w:r w:rsidRPr="00F701C5">
              <w:rPr>
                <w:rFonts w:ascii="Verdana" w:eastAsia="Calibri" w:hAnsi="Verdana" w:cs="Arial"/>
                <w:lang w:val="es-ES"/>
              </w:rPr>
              <w:t>Consejo de Estado. Sala de Consulta y Servicio Civil. Concepto de 20 de febrero de 2006. Radicado. 1727. C.P. Enrique José Arboleda Perdomo.</w:t>
            </w:r>
          </w:p>
          <w:p w14:paraId="361EFEB9" w14:textId="77777777" w:rsidR="006F012C" w:rsidRPr="00F701C5" w:rsidRDefault="006F012C" w:rsidP="00763254">
            <w:pPr>
              <w:widowControl w:val="0"/>
              <w:numPr>
                <w:ilvl w:val="0"/>
                <w:numId w:val="17"/>
              </w:numPr>
              <w:autoSpaceDE w:val="0"/>
              <w:autoSpaceDN w:val="0"/>
              <w:spacing w:line="276" w:lineRule="auto"/>
              <w:jc w:val="both"/>
              <w:rPr>
                <w:rFonts w:ascii="Verdana" w:eastAsia="Calibri" w:hAnsi="Verdana" w:cs="Arial"/>
                <w:lang w:val="es-ES"/>
              </w:rPr>
            </w:pPr>
            <w:r w:rsidRPr="00F701C5">
              <w:rPr>
                <w:rFonts w:ascii="Verdana" w:eastAsia="Calibri" w:hAnsi="Verdana" w:cs="Arial"/>
                <w:lang w:val="es-ES"/>
              </w:rPr>
              <w:t xml:space="preserve">Consejo de Estado. Sala de Consulta y Servicio Civil. Concepto de 6 de abril de 2006. Radicado. 1738. C.P. Enrique José Arboleda Perdomo. </w:t>
            </w:r>
          </w:p>
          <w:p w14:paraId="5E1EC5F0" w14:textId="77777777" w:rsidR="006F012C" w:rsidRPr="00F701C5" w:rsidRDefault="006F012C" w:rsidP="00763254">
            <w:pPr>
              <w:widowControl w:val="0"/>
              <w:numPr>
                <w:ilvl w:val="0"/>
                <w:numId w:val="17"/>
              </w:numPr>
              <w:autoSpaceDE w:val="0"/>
              <w:autoSpaceDN w:val="0"/>
              <w:spacing w:line="276" w:lineRule="auto"/>
              <w:jc w:val="both"/>
              <w:rPr>
                <w:rFonts w:ascii="Verdana" w:eastAsia="Calibri" w:hAnsi="Verdana" w:cs="Arial"/>
              </w:rPr>
            </w:pPr>
            <w:r w:rsidRPr="00F701C5">
              <w:rPr>
                <w:rFonts w:ascii="Verdana" w:eastAsia="Calibri" w:hAnsi="Verdana" w:cs="Arial"/>
              </w:rPr>
              <w:t xml:space="preserve">Consejo de Estado. Sala de Consulta y Servicio Civil. Concepto del 15 de noviembre de 2007. Rad. 1863. C.P. Luis Fernando Álvarez Jaramillo. </w:t>
            </w:r>
          </w:p>
          <w:p w14:paraId="5D9C7402" w14:textId="77777777" w:rsidR="006F012C" w:rsidRPr="00F701C5" w:rsidRDefault="006F012C" w:rsidP="00763254">
            <w:pPr>
              <w:widowControl w:val="0"/>
              <w:numPr>
                <w:ilvl w:val="0"/>
                <w:numId w:val="17"/>
              </w:numPr>
              <w:autoSpaceDE w:val="0"/>
              <w:autoSpaceDN w:val="0"/>
              <w:spacing w:line="276" w:lineRule="auto"/>
              <w:jc w:val="both"/>
              <w:rPr>
                <w:rFonts w:ascii="Verdana" w:eastAsia="Calibri" w:hAnsi="Verdana" w:cs="Arial"/>
                <w:lang w:val="es-ES"/>
              </w:rPr>
            </w:pPr>
            <w:r w:rsidRPr="00F701C5">
              <w:rPr>
                <w:rFonts w:ascii="Verdana" w:eastAsia="Calibri" w:hAnsi="Verdana" w:cs="Arial"/>
                <w:lang w:val="es-ES"/>
              </w:rPr>
              <w:t xml:space="preserve">Consejo de Estado, Sala de Consulta y Servicio Civil de fecha 24 de julio de 2013, Radicado 2166, C. P. Álvaro Namén Vargas.  </w:t>
            </w:r>
          </w:p>
          <w:p w14:paraId="561B592D" w14:textId="77777777" w:rsidR="006F012C" w:rsidRPr="00F701C5" w:rsidRDefault="006F012C" w:rsidP="00763254">
            <w:pPr>
              <w:widowControl w:val="0"/>
              <w:numPr>
                <w:ilvl w:val="0"/>
                <w:numId w:val="17"/>
              </w:numPr>
              <w:autoSpaceDE w:val="0"/>
              <w:autoSpaceDN w:val="0"/>
              <w:spacing w:line="276" w:lineRule="auto"/>
              <w:jc w:val="both"/>
              <w:rPr>
                <w:rFonts w:ascii="Verdana" w:eastAsia="Calibri" w:hAnsi="Verdana" w:cs="Arial"/>
                <w:lang w:val="es-ES"/>
              </w:rPr>
            </w:pPr>
            <w:r w:rsidRPr="00F701C5">
              <w:rPr>
                <w:rFonts w:ascii="Verdana" w:eastAsia="Calibri" w:hAnsi="Verdana" w:cs="Arial"/>
                <w:lang w:val="es-ES"/>
              </w:rPr>
              <w:t xml:space="preserve">Consejo de Estado. Sala de Consulta y Servicio Civil. Concepto del 2 de septiembre de 2013. Radicado: 2168. C.P. Álvaro Namén Vargas. </w:t>
            </w:r>
          </w:p>
          <w:p w14:paraId="7238F520" w14:textId="77777777" w:rsidR="006F012C" w:rsidRPr="00F701C5" w:rsidRDefault="006F012C" w:rsidP="00763254">
            <w:pPr>
              <w:widowControl w:val="0"/>
              <w:numPr>
                <w:ilvl w:val="0"/>
                <w:numId w:val="17"/>
              </w:numPr>
              <w:autoSpaceDE w:val="0"/>
              <w:autoSpaceDN w:val="0"/>
              <w:spacing w:line="276" w:lineRule="auto"/>
              <w:jc w:val="both"/>
              <w:rPr>
                <w:rFonts w:ascii="Verdana" w:eastAsia="Calibri" w:hAnsi="Verdana" w:cs="Arial"/>
                <w:lang w:val="es-ES"/>
              </w:rPr>
            </w:pPr>
            <w:r w:rsidRPr="00F701C5">
              <w:rPr>
                <w:rFonts w:ascii="Verdana" w:eastAsia="Calibri" w:hAnsi="Verdana" w:cs="Arial"/>
                <w:lang w:val="es-ES"/>
              </w:rPr>
              <w:t>Consejo de Estado. Sala de Consulta y Servicio Civil. Concepto del 08 de mayo de 2018. Radicado. 2.382. C.P. Álvaro Namén Vargas.</w:t>
            </w:r>
          </w:p>
        </w:tc>
      </w:tr>
    </w:tbl>
    <w:p w14:paraId="1B9B0FF9" w14:textId="77777777" w:rsidR="006F012C" w:rsidRPr="00F701C5" w:rsidRDefault="006F012C" w:rsidP="00F701C5">
      <w:pPr>
        <w:widowControl w:val="0"/>
        <w:autoSpaceDE w:val="0"/>
        <w:autoSpaceDN w:val="0"/>
        <w:spacing w:after="0" w:line="276" w:lineRule="auto"/>
        <w:jc w:val="both"/>
        <w:rPr>
          <w:rFonts w:ascii="Verdana" w:hAnsi="Verdana" w:cs="Arial"/>
          <w:lang w:val="pt-BR"/>
        </w:rPr>
      </w:pPr>
    </w:p>
    <w:p w14:paraId="26C09308" w14:textId="77777777" w:rsidR="006F012C" w:rsidRPr="00F701C5" w:rsidRDefault="006F012C" w:rsidP="00F701C5">
      <w:pPr>
        <w:numPr>
          <w:ilvl w:val="0"/>
          <w:numId w:val="16"/>
        </w:numPr>
        <w:tabs>
          <w:tab w:val="left" w:pos="142"/>
          <w:tab w:val="left" w:pos="284"/>
        </w:tabs>
        <w:spacing w:after="0" w:line="276" w:lineRule="auto"/>
        <w:jc w:val="both"/>
        <w:rPr>
          <w:rFonts w:ascii="Verdana" w:eastAsia="Century Gothic" w:hAnsi="Verdana" w:cs="Century Gothic"/>
          <w:b/>
          <w:bCs/>
          <w:lang w:val="es-ES"/>
        </w:rPr>
      </w:pPr>
      <w:r w:rsidRPr="00F701C5">
        <w:rPr>
          <w:rFonts w:ascii="Verdana" w:eastAsia="Century Gothic" w:hAnsi="Verdana" w:cs="Century Gothic"/>
          <w:b/>
          <w:bCs/>
          <w:lang w:val="es-ES"/>
        </w:rPr>
        <w:t>Doctrina de la Agencia Nacional de Contratación Pública:</w:t>
      </w:r>
    </w:p>
    <w:p w14:paraId="44D57000" w14:textId="77777777" w:rsidR="006F012C" w:rsidRPr="00F701C5" w:rsidRDefault="006F012C" w:rsidP="00F701C5">
      <w:pPr>
        <w:widowControl w:val="0"/>
        <w:autoSpaceDE w:val="0"/>
        <w:autoSpaceDN w:val="0"/>
        <w:spacing w:after="0" w:line="276" w:lineRule="auto"/>
        <w:jc w:val="both"/>
        <w:rPr>
          <w:rFonts w:ascii="Verdana" w:hAnsi="Verdana" w:cs="Arial"/>
        </w:rPr>
      </w:pPr>
    </w:p>
    <w:p w14:paraId="4B367E86" w14:textId="77777777" w:rsidR="006F012C" w:rsidRPr="00F701C5" w:rsidRDefault="006F012C" w:rsidP="00763254">
      <w:pPr>
        <w:widowControl w:val="0"/>
        <w:autoSpaceDE w:val="0"/>
        <w:autoSpaceDN w:val="0"/>
        <w:spacing w:after="0" w:line="276" w:lineRule="auto"/>
        <w:jc w:val="both"/>
        <w:rPr>
          <w:rFonts w:ascii="Verdana" w:hAnsi="Verdana" w:cs="Arial"/>
          <w:bCs/>
          <w:shd w:val="clear" w:color="auto" w:fill="FFFFFF"/>
        </w:rPr>
      </w:pPr>
      <w:r w:rsidRPr="00F701C5">
        <w:rPr>
          <w:rFonts w:ascii="Verdana" w:hAnsi="Verdana" w:cs="Arial"/>
          <w:shd w:val="clear" w:color="auto" w:fill="FFFFFF"/>
          <w:lang w:val="es-ES"/>
        </w:rPr>
        <w:t xml:space="preserve">Sobre la finalidad y propósito de la Ley de Garantías Electorales, la ANCP- CCE se ha pronunciado en los Conceptos 4201913000004536 de 17 de julio de 2019, 4201912000005556 del 12 de septiembre de 2019, 4201913000005175 del 13 </w:t>
      </w:r>
      <w:r w:rsidRPr="00F701C5">
        <w:rPr>
          <w:rFonts w:ascii="Verdana" w:hAnsi="Verdana" w:cs="Arial"/>
          <w:shd w:val="clear" w:color="auto" w:fill="FFFFFF"/>
          <w:lang w:val="es-ES"/>
        </w:rPr>
        <w:lastRenderedPageBreak/>
        <w:t xml:space="preserve">de septiembre de 2019, 4201913000006452 del 07 de octubre de 2019, 4201913000005082 del 17 de octubre de 2019, 4201913000006306 del 21 de octubre de 2019, 4201912000006552 del 07 de noviembre de 2019, 4201913000006604 del 17 de diciembre de 2019,  C-227 del 24 de mayo de 2021 y 396 del 13 de agosto de 2021, C-439 del 27 de agosto de 2021, C-456 del 3 de septiembre, C-481 del 9 de septiembre de 2021, C- 528 del 27 de septiembre de 2021, C-550 del 5 de octubre de 2021 y C-523 del 10 de octubre de 2021, C-606 del 28 de octubre de 2021 y C-614 del 2 de noviembre de 2021, C-636 del 16 de noviembre de 2021, 681 del 7 de diciembre de 2021, C-686 del 21 de diciembre de 2021, C-697 del 3 de enero de 2022, C-317 del 25 de abril de 2025, C-510 del 4 de junio de 2025, 646 del 26 de junio de 2025, C-957 del 23 de agosto de 2025, C-975 del 28 de agosto de 2025, C-1015 del 4 de septiembre de 2025, C-1096 del 28 de agosto de 2025, C-1170 del 16 de septiembre de 2025, C-1236 del 17 de octubre de 2025, C-1488 del 30 de octubre de 2025, entre otros. </w:t>
      </w:r>
      <w:r w:rsidRPr="00F701C5">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04A0C24F" w14:textId="77777777" w:rsidR="006F012C" w:rsidRPr="00F701C5" w:rsidRDefault="006F012C" w:rsidP="00763254">
      <w:pPr>
        <w:spacing w:after="0" w:line="276" w:lineRule="auto"/>
        <w:jc w:val="both"/>
        <w:rPr>
          <w:rFonts w:ascii="Verdana" w:eastAsia="Calibri" w:hAnsi="Verdana" w:cs="Times New Roman"/>
        </w:rPr>
      </w:pPr>
      <w:hyperlink r:id="rId18" w:history="1">
        <w:r w:rsidRPr="00F701C5">
          <w:rPr>
            <w:rFonts w:ascii="Verdana" w:eastAsia="Calibri" w:hAnsi="Verdana" w:cs="Times New Roman"/>
            <w:color w:val="0000FF"/>
            <w:u w:val="single"/>
            <w:lang w:val="es-ES"/>
          </w:rPr>
          <w:t>https://relatoria.colombiacompra.gov.co/busqueda/conceptos</w:t>
        </w:r>
      </w:hyperlink>
      <w:r w:rsidRPr="00F701C5">
        <w:rPr>
          <w:rFonts w:ascii="Verdana" w:eastAsia="Calibri" w:hAnsi="Verdana" w:cs="Times New Roman"/>
        </w:rPr>
        <w:t xml:space="preserve">. </w:t>
      </w:r>
    </w:p>
    <w:p w14:paraId="264B0C32" w14:textId="77777777" w:rsidR="006F012C" w:rsidRPr="00F701C5" w:rsidRDefault="006F012C" w:rsidP="00763254">
      <w:pPr>
        <w:widowControl w:val="0"/>
        <w:autoSpaceDE w:val="0"/>
        <w:autoSpaceDN w:val="0"/>
        <w:spacing w:after="0" w:line="276" w:lineRule="auto"/>
        <w:jc w:val="both"/>
        <w:rPr>
          <w:rFonts w:ascii="Verdana" w:eastAsia="Calibri" w:hAnsi="Verdana" w:cs="Arial"/>
          <w:color w:val="FF0000"/>
          <w:shd w:val="clear" w:color="auto" w:fill="FFFFFF"/>
          <w:lang w:val="es-ES_tradnl"/>
        </w:rPr>
      </w:pPr>
    </w:p>
    <w:p w14:paraId="281F962F" w14:textId="776C9287" w:rsidR="006F012C" w:rsidRDefault="006F012C" w:rsidP="00F701C5">
      <w:pPr>
        <w:spacing w:after="0" w:line="276" w:lineRule="auto"/>
        <w:jc w:val="both"/>
        <w:rPr>
          <w:rFonts w:ascii="Verdana" w:hAnsi="Verdana"/>
          <w:color w:val="0000FF"/>
          <w:u w:val="single"/>
        </w:rPr>
      </w:pPr>
      <w:r w:rsidRPr="00F701C5">
        <w:rPr>
          <w:rFonts w:ascii="Verdana" w:hAnsi="Verdana"/>
        </w:rPr>
        <w:t xml:space="preserve">La sostenibilidad no es una opción, es una obligación. Por ello, la Agencia Nacional de Contratación Pública –Colombia Compra Eficiente– te invita a realizar el </w:t>
      </w:r>
      <w:r w:rsidRPr="00F701C5">
        <w:rPr>
          <w:rFonts w:ascii="Verdana" w:hAnsi="Verdana"/>
          <w:b/>
          <w:bCs/>
        </w:rPr>
        <w:t>Curso de Contratación Pública Sostenible y Socialmente Responsable</w:t>
      </w:r>
      <w:r w:rsidRPr="00F701C5">
        <w:rPr>
          <w:rFonts w:ascii="Verdana" w:hAnsi="Verdana"/>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F701C5">
        <w:rPr>
          <w:rFonts w:ascii="Verdana" w:hAnsi="Verdana"/>
        </w:rPr>
        <w:br/>
      </w:r>
      <w:hyperlink r:id="rId19" w:tgtFrame="_new" w:history="1">
        <w:r w:rsidRPr="00F701C5">
          <w:rPr>
            <w:rFonts w:ascii="Verdana" w:hAnsi="Verdana"/>
            <w:color w:val="0000FF"/>
            <w:u w:val="single"/>
          </w:rPr>
          <w:t>https://formacionvirtual.colombiacompra.gov.co/mod/page/view.php?id=3718</w:t>
        </w:r>
      </w:hyperlink>
    </w:p>
    <w:p w14:paraId="1B3E4F4A" w14:textId="77777777" w:rsidR="00F701C5" w:rsidRPr="00F701C5" w:rsidRDefault="00F701C5" w:rsidP="00763254">
      <w:pPr>
        <w:spacing w:after="0" w:line="276" w:lineRule="auto"/>
        <w:jc w:val="both"/>
        <w:rPr>
          <w:rFonts w:ascii="Verdana" w:hAnsi="Verdana"/>
        </w:rPr>
      </w:pPr>
    </w:p>
    <w:p w14:paraId="5ED14F81" w14:textId="77777777" w:rsidR="006F012C" w:rsidRPr="00F701C5" w:rsidRDefault="006F012C" w:rsidP="00763254">
      <w:pPr>
        <w:spacing w:after="0" w:line="276" w:lineRule="auto"/>
        <w:jc w:val="both"/>
        <w:rPr>
          <w:rFonts w:ascii="Verdana" w:hAnsi="Verdana"/>
        </w:rPr>
      </w:pPr>
      <w:r w:rsidRPr="00F701C5">
        <w:rPr>
          <w:rFonts w:ascii="Verdana" w:hAnsi="Verdana"/>
        </w:rPr>
        <w:t xml:space="preserve">De otro lado, te contamos que esta Agencia ha da un paso decisivo en la estandarización y modernización del </w:t>
      </w:r>
      <w:r w:rsidRPr="00F701C5">
        <w:rPr>
          <w:rFonts w:ascii="Verdana" w:hAnsi="Verdana"/>
          <w:b/>
          <w:bCs/>
        </w:rPr>
        <w:t>sector  social</w:t>
      </w:r>
      <w:r w:rsidRPr="00F701C5">
        <w:rPr>
          <w:rFonts w:ascii="Verdana" w:hAnsi="Verdana"/>
        </w:rPr>
        <w:t xml:space="preserve"> con la expedición de las </w:t>
      </w:r>
      <w:r w:rsidRPr="00F701C5">
        <w:rPr>
          <w:rFonts w:ascii="Verdana" w:hAnsi="Verdana"/>
          <w:b/>
          <w:bCs/>
        </w:rPr>
        <w:t>Resoluciones 539, 540, 541, 952 y 953 de 2025</w:t>
      </w:r>
      <w:r w:rsidRPr="00F701C5">
        <w:rPr>
          <w:rFonts w:ascii="Verdana" w:hAnsi="Verdana"/>
        </w:rPr>
        <w:t xml:space="preserve">, </w:t>
      </w:r>
      <w:r w:rsidRPr="00F701C5">
        <w:rPr>
          <w:rFonts w:ascii="Verdana" w:hAnsi="Verdana"/>
          <w:b/>
          <w:bCs/>
        </w:rPr>
        <w:t>mediante las cuales adoptó Documentos Tipo</w:t>
      </w:r>
      <w:r w:rsidRPr="00F701C5">
        <w:rPr>
          <w:rFonts w:ascii="Verdana" w:hAnsi="Verdana"/>
        </w:rPr>
        <w:t xml:space="preserve"> para las modalidades de selección de</w:t>
      </w:r>
      <w:r w:rsidRPr="00F701C5">
        <w:rPr>
          <w:rFonts w:ascii="Verdana" w:hAnsi="Verdana"/>
          <w:b/>
          <w:bCs/>
        </w:rPr>
        <w:t xml:space="preserve"> licitación pública (versión 2), selección abreviada de menor cuantía, mínima cuantía, consultoría e interventoría</w:t>
      </w:r>
      <w:r w:rsidRPr="00F701C5">
        <w:rPr>
          <w:rFonts w:ascii="Verdana" w:hAnsi="Verdana"/>
        </w:rPr>
        <w:t xml:space="preserve">, promoviendo procesos más transparentes, eficientes  competitivos y sostenibles en sectores estratégicos como educación, salud, cultura, recreación, deporte, institucional y vivienda. </w:t>
      </w:r>
      <w:r w:rsidRPr="00F701C5">
        <w:rPr>
          <w:rFonts w:ascii="Verdana" w:hAnsi="Verdana"/>
        </w:rPr>
        <w:lastRenderedPageBreak/>
        <w:t xml:space="preserve">Consulta y descarga los documentos aquí: </w:t>
      </w:r>
      <w:hyperlink r:id="rId20" w:tgtFrame="_new" w:history="1">
        <w:r w:rsidRPr="00F701C5">
          <w:rPr>
            <w:rFonts w:ascii="Verdana" w:hAnsi="Verdana"/>
            <w:color w:val="0000FF"/>
            <w:u w:val="single"/>
          </w:rPr>
          <w:t>https://www.colombiacompra.gov.co/normativa-y-relatoria/documentos-tipo</w:t>
        </w:r>
      </w:hyperlink>
    </w:p>
    <w:p w14:paraId="5350A8B5" w14:textId="77777777" w:rsidR="00F701C5" w:rsidRDefault="00F701C5" w:rsidP="00F701C5">
      <w:pPr>
        <w:spacing w:after="0" w:line="276" w:lineRule="auto"/>
        <w:jc w:val="both"/>
        <w:rPr>
          <w:rFonts w:ascii="Verdana" w:hAnsi="Verdana"/>
        </w:rPr>
      </w:pPr>
    </w:p>
    <w:p w14:paraId="1EE3FE2D" w14:textId="54EAEB45" w:rsidR="006F012C" w:rsidRPr="00F701C5" w:rsidRDefault="006F012C" w:rsidP="00763254">
      <w:pPr>
        <w:spacing w:after="0" w:line="276" w:lineRule="auto"/>
        <w:jc w:val="both"/>
        <w:rPr>
          <w:rFonts w:ascii="Verdana" w:hAnsi="Verdana"/>
          <w:color w:val="000000"/>
          <w:lang w:val="es-ES_tradnl"/>
        </w:rPr>
      </w:pPr>
      <w:r w:rsidRPr="00F701C5">
        <w:rPr>
          <w:rFonts w:ascii="Verdana" w:hAnsi="Verdana"/>
        </w:rPr>
        <w:t xml:space="preserve">Si quieres conocer más sobre la aplicación de Documentos Tipo puedes consultar la última versión de la </w:t>
      </w:r>
      <w:r w:rsidRPr="00F701C5">
        <w:rPr>
          <w:rFonts w:ascii="Verdana" w:hAnsi="Verdana"/>
          <w:b/>
          <w:bCs/>
        </w:rPr>
        <w:t>Guía para la comprensión e implementación de los Documentos Tipo de obra pública de infraestructura de transporte</w:t>
      </w:r>
      <w:r w:rsidRPr="00F701C5">
        <w:rPr>
          <w:rFonts w:ascii="Verdana" w:hAnsi="Verdana"/>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F701C5">
        <w:rPr>
          <w:rFonts w:ascii="Verdana" w:hAnsi="Verdana"/>
        </w:rPr>
        <w:br/>
      </w:r>
      <w:hyperlink r:id="rId21" w:tgtFrame="_new" w:history="1">
        <w:r w:rsidRPr="00F701C5">
          <w:rPr>
            <w:rFonts w:ascii="Verdana" w:hAnsi="Verdana"/>
            <w:color w:val="0000FF"/>
            <w:u w:val="single"/>
          </w:rPr>
          <w:t>https://www.colombiacompra.gov.co/archivos/manual/guia-para-la-comprension-e-implementacion-de-los-documentos-tipo-de-obra-publica-de-infraestructura-de-transporte-bajo-las-diferentes-modalidades-de-contratacion-vigentes</w:t>
        </w:r>
      </w:hyperlink>
    </w:p>
    <w:p w14:paraId="20180E62" w14:textId="77777777" w:rsidR="00F701C5" w:rsidRDefault="00F701C5" w:rsidP="00F701C5">
      <w:pPr>
        <w:spacing w:after="0" w:line="276" w:lineRule="auto"/>
        <w:jc w:val="both"/>
        <w:rPr>
          <w:rFonts w:ascii="Verdana" w:hAnsi="Verdana"/>
        </w:rPr>
      </w:pPr>
    </w:p>
    <w:p w14:paraId="2B9AD6EC" w14:textId="1DA00CCE" w:rsidR="006F012C" w:rsidRPr="00F701C5" w:rsidRDefault="006F012C" w:rsidP="00763254">
      <w:pPr>
        <w:spacing w:after="0" w:line="276" w:lineRule="auto"/>
        <w:jc w:val="both"/>
        <w:rPr>
          <w:rFonts w:ascii="Verdana" w:hAnsi="Verdana"/>
        </w:rPr>
      </w:pPr>
      <w:r w:rsidRPr="00F701C5">
        <w:rPr>
          <w:rFonts w:ascii="Verdana" w:hAnsi="Verdana"/>
        </w:rPr>
        <w:t xml:space="preserve">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6E33D5A7" w14:textId="77777777" w:rsidR="006F012C" w:rsidRPr="00F701C5" w:rsidRDefault="006F012C" w:rsidP="00763254">
      <w:pPr>
        <w:spacing w:after="0" w:line="276" w:lineRule="auto"/>
        <w:jc w:val="both"/>
        <w:rPr>
          <w:rFonts w:ascii="Verdana" w:hAnsi="Verdana"/>
        </w:rPr>
      </w:pPr>
    </w:p>
    <w:p w14:paraId="5598512A" w14:textId="77777777" w:rsidR="006F012C" w:rsidRPr="00F701C5" w:rsidRDefault="006F012C" w:rsidP="00763254">
      <w:pPr>
        <w:numPr>
          <w:ilvl w:val="0"/>
          <w:numId w:val="15"/>
        </w:numPr>
        <w:spacing w:after="0" w:line="276" w:lineRule="auto"/>
        <w:jc w:val="both"/>
        <w:rPr>
          <w:rFonts w:ascii="Verdana" w:eastAsia="Verdana" w:hAnsi="Verdana" w:cs="Verdana"/>
          <w:color w:val="4472C4" w:themeColor="accent1"/>
          <w:u w:val="single"/>
          <w:lang w:val="es-MX"/>
        </w:rPr>
      </w:pPr>
      <w:r w:rsidRPr="00F701C5">
        <w:rPr>
          <w:rFonts w:ascii="Verdana" w:eastAsia="Verdana" w:hAnsi="Verdana" w:cs="Verdana"/>
          <w:lang w:val="es-MX"/>
        </w:rPr>
        <w:t xml:space="preserve">Línea nacional gratuita o servicio a la ciudadanía (Mesa de servicio): </w:t>
      </w:r>
      <w:r w:rsidRPr="00F701C5">
        <w:rPr>
          <w:rFonts w:ascii="Verdana" w:hAnsi="Verdana"/>
          <w:color w:val="0000FF"/>
          <w:u w:val="single"/>
          <w:lang w:val="es-ES"/>
        </w:rPr>
        <w:t>01800 0520808</w:t>
      </w:r>
    </w:p>
    <w:p w14:paraId="4F6EAEDE" w14:textId="77777777" w:rsidR="006F012C" w:rsidRPr="00F701C5" w:rsidRDefault="006F012C" w:rsidP="00763254">
      <w:pPr>
        <w:numPr>
          <w:ilvl w:val="0"/>
          <w:numId w:val="15"/>
        </w:numPr>
        <w:spacing w:after="0" w:line="276" w:lineRule="auto"/>
        <w:rPr>
          <w:rFonts w:ascii="Verdana" w:eastAsia="Verdana" w:hAnsi="Verdana" w:cs="Verdana"/>
          <w:color w:val="4472C4" w:themeColor="accent1"/>
          <w:u w:val="single"/>
          <w:lang w:val="es-MX"/>
        </w:rPr>
      </w:pPr>
      <w:r w:rsidRPr="00F701C5">
        <w:rPr>
          <w:rFonts w:ascii="Verdana" w:eastAsia="Verdana" w:hAnsi="Verdana" w:cs="Verdana"/>
          <w:lang w:val="es-MX"/>
        </w:rPr>
        <w:t>Línea en Bogotá (Mesa de servicio):</w:t>
      </w:r>
      <w:r w:rsidRPr="00F701C5">
        <w:rPr>
          <w:rFonts w:ascii="Verdana" w:hAnsi="Verdana"/>
          <w:color w:val="0000FF"/>
          <w:u w:val="single"/>
          <w:lang w:val="es-ES"/>
        </w:rPr>
        <w:t>+57 601 7456788</w:t>
      </w:r>
    </w:p>
    <w:p w14:paraId="64376917" w14:textId="77777777" w:rsidR="006F012C" w:rsidRPr="00F701C5" w:rsidRDefault="006F012C" w:rsidP="00763254">
      <w:pPr>
        <w:numPr>
          <w:ilvl w:val="0"/>
          <w:numId w:val="15"/>
        </w:numPr>
        <w:spacing w:after="0" w:line="276" w:lineRule="auto"/>
        <w:rPr>
          <w:rFonts w:ascii="Verdana" w:eastAsia="Verdana" w:hAnsi="Verdana" w:cs="Verdana"/>
          <w:color w:val="0000FF"/>
          <w:u w:val="single"/>
          <w:lang w:val="es-MX"/>
        </w:rPr>
      </w:pPr>
      <w:r w:rsidRPr="00F701C5">
        <w:rPr>
          <w:rFonts w:ascii="Verdana" w:eastAsia="Verdana" w:hAnsi="Verdana" w:cs="Verdana"/>
          <w:lang w:val="es-MX"/>
        </w:rPr>
        <w:t xml:space="preserve">Correo de radicación de correspondencia: </w:t>
      </w:r>
      <w:hyperlink r:id="rId22" w:history="1">
        <w:r w:rsidRPr="00F701C5">
          <w:rPr>
            <w:rFonts w:ascii="Verdana" w:eastAsia="Verdana" w:hAnsi="Verdana" w:cs="Verdana"/>
            <w:color w:val="0000FF"/>
            <w:u w:val="single"/>
            <w:lang w:val="es-MX"/>
          </w:rPr>
          <w:t>ventanilladeradicacion@colombiacompra.gov.co</w:t>
        </w:r>
      </w:hyperlink>
    </w:p>
    <w:p w14:paraId="3CC78D85" w14:textId="77777777" w:rsidR="006F012C" w:rsidRPr="00F701C5" w:rsidRDefault="006F012C" w:rsidP="00763254">
      <w:pPr>
        <w:numPr>
          <w:ilvl w:val="0"/>
          <w:numId w:val="15"/>
        </w:numPr>
        <w:spacing w:after="0" w:line="276" w:lineRule="auto"/>
        <w:rPr>
          <w:rFonts w:ascii="Verdana" w:eastAsia="Verdana" w:hAnsi="Verdana" w:cs="Verdana"/>
          <w:color w:val="0000FF"/>
          <w:u w:val="single"/>
          <w:lang w:val="es-MX"/>
        </w:rPr>
      </w:pPr>
      <w:r w:rsidRPr="00F701C5">
        <w:rPr>
          <w:rFonts w:ascii="Verdana" w:eastAsia="Verdana" w:hAnsi="Verdana" w:cs="Verdana"/>
          <w:lang w:val="es-ES"/>
        </w:rPr>
        <w:t xml:space="preserve">Formulario web para PQRSD: </w:t>
      </w:r>
      <w:hyperlink r:id="rId23" w:history="1">
        <w:r w:rsidRPr="00F701C5">
          <w:rPr>
            <w:rFonts w:ascii="Verdana" w:eastAsia="Verdana" w:hAnsi="Verdana" w:cs="Verdana"/>
            <w:color w:val="0000FF"/>
            <w:u w:val="single"/>
            <w:lang w:val="es-MX"/>
          </w:rPr>
          <w:t>https://www.colombiacompra.gov.co/pqrsd/informacion-importante-antes-de-formular-una-pqrsd</w:t>
        </w:r>
      </w:hyperlink>
    </w:p>
    <w:p w14:paraId="4E8CEBF3" w14:textId="77777777" w:rsidR="006F012C" w:rsidRPr="00F701C5" w:rsidRDefault="006F012C" w:rsidP="00763254">
      <w:pPr>
        <w:spacing w:after="0" w:line="276" w:lineRule="auto"/>
        <w:ind w:left="720"/>
        <w:jc w:val="both"/>
        <w:rPr>
          <w:rFonts w:ascii="Verdana" w:hAnsi="Verdana"/>
        </w:rPr>
      </w:pPr>
    </w:p>
    <w:p w14:paraId="0F44B1CE" w14:textId="77777777" w:rsidR="006F012C" w:rsidRPr="00F701C5" w:rsidRDefault="006F012C" w:rsidP="00763254">
      <w:pPr>
        <w:spacing w:after="0" w:line="276" w:lineRule="auto"/>
        <w:rPr>
          <w:rFonts w:ascii="Verdana" w:hAnsi="Verdana"/>
        </w:rPr>
      </w:pPr>
      <w:r w:rsidRPr="00F701C5">
        <w:rPr>
          <w:rFonts w:ascii="Verdana" w:hAnsi="Verdana"/>
        </w:rPr>
        <w:t xml:space="preserve">Evalúa el servicio que ofrece la Agencia por el canal de atención de PQRSD en el siguiente </w:t>
      </w:r>
      <w:proofErr w:type="gramStart"/>
      <w:r w:rsidRPr="00F701C5">
        <w:rPr>
          <w:rFonts w:ascii="Verdana" w:hAnsi="Verdana"/>
        </w:rPr>
        <w:t>enlace :</w:t>
      </w:r>
      <w:proofErr w:type="gramEnd"/>
      <w:hyperlink r:id="rId24" w:tgtFrame="_blank" w:tooltip="https://forms.office.com/r/pphywvs2sz" w:history="1">
        <w:r w:rsidRPr="00F701C5">
          <w:rPr>
            <w:rFonts w:ascii="Verdana" w:hAnsi="Verdana"/>
            <w:color w:val="0000FF"/>
            <w:u w:val="single"/>
          </w:rPr>
          <w:t>https://forms.office.com/r/pPHyWVs2SZ</w:t>
        </w:r>
      </w:hyperlink>
      <w:r w:rsidRPr="00F701C5">
        <w:rPr>
          <w:rFonts w:ascii="Verdana" w:hAnsi="Verdana"/>
        </w:rPr>
        <w:t xml:space="preserve"> .¡Ayúdanos a mejorar porque el compromiso es de todos!</w:t>
      </w:r>
    </w:p>
    <w:p w14:paraId="5965EE39" w14:textId="77777777" w:rsidR="006F012C" w:rsidRPr="00F701C5" w:rsidRDefault="006F012C" w:rsidP="00763254">
      <w:pPr>
        <w:spacing w:after="0" w:line="276" w:lineRule="auto"/>
        <w:rPr>
          <w:rFonts w:ascii="Verdana" w:hAnsi="Verdana"/>
        </w:rPr>
      </w:pPr>
    </w:p>
    <w:p w14:paraId="3670D800" w14:textId="77777777" w:rsidR="006F012C" w:rsidRPr="00F701C5" w:rsidRDefault="006F012C" w:rsidP="00763254">
      <w:pPr>
        <w:spacing w:after="0" w:line="276" w:lineRule="auto"/>
        <w:jc w:val="both"/>
        <w:rPr>
          <w:rFonts w:ascii="Verdana" w:hAnsi="Verdana"/>
        </w:rPr>
      </w:pPr>
      <w:r w:rsidRPr="00F701C5">
        <w:rPr>
          <w:rFonts w:ascii="Verdana" w:hAnsi="Verdana"/>
        </w:rPr>
        <w:t xml:space="preserve">Por último, lo invitamos a seguirnos en las redes sociales en las cuales se difunde información institucional: </w:t>
      </w:r>
    </w:p>
    <w:p w14:paraId="221B42EE" w14:textId="77777777" w:rsidR="006F012C" w:rsidRPr="00F701C5" w:rsidRDefault="006F012C" w:rsidP="00763254">
      <w:pPr>
        <w:spacing w:after="0" w:line="276" w:lineRule="auto"/>
        <w:jc w:val="both"/>
        <w:rPr>
          <w:rFonts w:ascii="Verdana" w:hAnsi="Verdana"/>
        </w:rPr>
      </w:pPr>
    </w:p>
    <w:p w14:paraId="0AE37084" w14:textId="77777777" w:rsidR="006F012C" w:rsidRPr="00F701C5" w:rsidRDefault="006F012C" w:rsidP="00763254">
      <w:pPr>
        <w:spacing w:after="0" w:line="276" w:lineRule="auto"/>
        <w:jc w:val="both"/>
        <w:rPr>
          <w:rFonts w:ascii="Verdana" w:hAnsi="Verdana"/>
        </w:rPr>
      </w:pPr>
      <w:r w:rsidRPr="00F701C5">
        <w:rPr>
          <w:rFonts w:ascii="Verdana" w:hAnsi="Verdana"/>
        </w:rPr>
        <w:t xml:space="preserve">Twitter: </w:t>
      </w:r>
      <w:r w:rsidRPr="00F701C5">
        <w:rPr>
          <w:rFonts w:ascii="Verdana" w:hAnsi="Verdana"/>
          <w:color w:val="0000FF"/>
          <w:u w:val="single"/>
        </w:rPr>
        <w:t>@colombiacompra</w:t>
      </w:r>
      <w:r w:rsidRPr="00F701C5">
        <w:rPr>
          <w:rFonts w:ascii="Verdana" w:hAnsi="Verdana"/>
        </w:rPr>
        <w:t xml:space="preserve"> </w:t>
      </w:r>
    </w:p>
    <w:p w14:paraId="52603971" w14:textId="77777777" w:rsidR="006F012C" w:rsidRPr="00F701C5" w:rsidRDefault="006F012C" w:rsidP="00763254">
      <w:pPr>
        <w:spacing w:after="0" w:line="276" w:lineRule="auto"/>
        <w:jc w:val="both"/>
        <w:rPr>
          <w:rFonts w:ascii="Verdana" w:hAnsi="Verdana"/>
        </w:rPr>
      </w:pPr>
      <w:r w:rsidRPr="00F701C5">
        <w:rPr>
          <w:rFonts w:ascii="Verdana" w:hAnsi="Verdana"/>
        </w:rPr>
        <w:t xml:space="preserve">Facebook: </w:t>
      </w:r>
      <w:proofErr w:type="spellStart"/>
      <w:r w:rsidRPr="00F701C5">
        <w:rPr>
          <w:rFonts w:ascii="Verdana" w:hAnsi="Verdana"/>
          <w:color w:val="0000FF"/>
          <w:u w:val="single"/>
        </w:rPr>
        <w:t>ColombiaCompraEficiente</w:t>
      </w:r>
      <w:proofErr w:type="spellEnd"/>
    </w:p>
    <w:p w14:paraId="50887473" w14:textId="77777777" w:rsidR="006F012C" w:rsidRPr="00F701C5" w:rsidRDefault="006F012C" w:rsidP="00763254">
      <w:pPr>
        <w:spacing w:after="0" w:line="276" w:lineRule="auto"/>
        <w:jc w:val="both"/>
        <w:rPr>
          <w:rFonts w:ascii="Verdana" w:hAnsi="Verdana"/>
        </w:rPr>
      </w:pPr>
      <w:r w:rsidRPr="00F701C5">
        <w:rPr>
          <w:rFonts w:ascii="Verdana" w:hAnsi="Verdana"/>
        </w:rPr>
        <w:t xml:space="preserve">LinkedIn: </w:t>
      </w:r>
      <w:r w:rsidRPr="00F701C5">
        <w:rPr>
          <w:rFonts w:ascii="Verdana" w:hAnsi="Verdana"/>
          <w:color w:val="0000FF"/>
          <w:u w:val="single"/>
        </w:rPr>
        <w:t>Agencia Nacional de Contratación Pública - Colombia Compra Eficiente</w:t>
      </w:r>
      <w:r w:rsidRPr="00F701C5">
        <w:rPr>
          <w:rFonts w:ascii="Verdana" w:hAnsi="Verdana"/>
        </w:rPr>
        <w:t xml:space="preserve"> Instagram: </w:t>
      </w:r>
      <w:r w:rsidRPr="00F701C5">
        <w:rPr>
          <w:rFonts w:ascii="Verdana" w:hAnsi="Verdana"/>
          <w:color w:val="0000FF"/>
          <w:u w:val="single"/>
        </w:rPr>
        <w:t>@colombiacompraeficiente_cce</w:t>
      </w:r>
    </w:p>
    <w:p w14:paraId="1DE835CC" w14:textId="77777777" w:rsidR="006F012C" w:rsidRPr="00F701C5" w:rsidRDefault="006F012C" w:rsidP="00763254">
      <w:pPr>
        <w:widowControl w:val="0"/>
        <w:autoSpaceDE w:val="0"/>
        <w:autoSpaceDN w:val="0"/>
        <w:spacing w:after="0" w:line="276" w:lineRule="auto"/>
        <w:jc w:val="both"/>
        <w:rPr>
          <w:rFonts w:ascii="Verdana" w:hAnsi="Verdana" w:cs="Arial"/>
          <w:color w:val="FF0000"/>
          <w:shd w:val="clear" w:color="auto" w:fill="FFFFFF"/>
          <w:lang w:val="es-ES_tradnl"/>
        </w:rPr>
      </w:pPr>
      <w:r w:rsidRPr="00F701C5">
        <w:rPr>
          <w:rFonts w:ascii="Verdana" w:hAnsi="Verdana" w:cs="Arial"/>
          <w:color w:val="FF0000"/>
          <w:shd w:val="clear" w:color="auto" w:fill="FFFFFF"/>
          <w:lang w:val="es-ES_tradnl"/>
        </w:rPr>
        <w:t xml:space="preserve">              </w:t>
      </w:r>
    </w:p>
    <w:p w14:paraId="70649AAA" w14:textId="77777777" w:rsidR="006F012C" w:rsidRPr="00F701C5" w:rsidRDefault="006F012C" w:rsidP="00763254">
      <w:pPr>
        <w:widowControl w:val="0"/>
        <w:autoSpaceDE w:val="0"/>
        <w:autoSpaceDN w:val="0"/>
        <w:spacing w:after="0" w:line="276" w:lineRule="auto"/>
        <w:jc w:val="both"/>
        <w:rPr>
          <w:rFonts w:ascii="Verdana" w:hAnsi="Verdana" w:cs="Arial"/>
          <w:lang w:val="es-ES_tradnl"/>
        </w:rPr>
      </w:pPr>
      <w:r w:rsidRPr="00F701C5">
        <w:rPr>
          <w:rFonts w:ascii="Verdana" w:hAnsi="Verdana" w:cs="Arial"/>
        </w:rPr>
        <w:t xml:space="preserve">Este concepto tiene el alcance previsto en el artículo 28 del Código de Procedimiento Administrativo y de lo Contencioso Administrativo </w:t>
      </w:r>
      <w:r w:rsidRPr="00F701C5">
        <w:rPr>
          <w:rFonts w:ascii="Verdana" w:hAnsi="Verdana" w:cs="Arial"/>
          <w:lang w:val="es-ES_tradnl"/>
        </w:rPr>
        <w:t>y las expresiones aquí utilizadas con mayúscula inicial deben ser entendidas con el significado que les otorga el artículo 2.2.1.1.1.3.1. del Decreto 1082 de 2015.</w:t>
      </w:r>
    </w:p>
    <w:p w14:paraId="5E8E5781" w14:textId="77777777" w:rsidR="006F012C" w:rsidRPr="00F701C5" w:rsidRDefault="006F012C" w:rsidP="00763254">
      <w:pPr>
        <w:widowControl w:val="0"/>
        <w:autoSpaceDE w:val="0"/>
        <w:autoSpaceDN w:val="0"/>
        <w:spacing w:after="0" w:line="276" w:lineRule="auto"/>
        <w:jc w:val="both"/>
        <w:rPr>
          <w:rFonts w:ascii="Verdana" w:hAnsi="Verdana" w:cs="Arial"/>
        </w:rPr>
      </w:pPr>
    </w:p>
    <w:p w14:paraId="15BFD17F" w14:textId="77777777" w:rsidR="006F012C" w:rsidRPr="00F701C5" w:rsidRDefault="006F012C" w:rsidP="00763254">
      <w:pPr>
        <w:spacing w:after="0" w:line="276" w:lineRule="auto"/>
        <w:rPr>
          <w:rFonts w:ascii="Verdana" w:hAnsi="Verdana" w:cs="Arial"/>
          <w:lang w:eastAsia="es-CO"/>
        </w:rPr>
      </w:pPr>
      <w:r w:rsidRPr="00F701C5">
        <w:rPr>
          <w:rFonts w:ascii="Verdana" w:eastAsia="Times New Roman" w:hAnsi="Verdana" w:cs="Arial"/>
          <w:lang w:eastAsia="es-CO"/>
        </w:rPr>
        <w:t>Atentamente,</w:t>
      </w:r>
      <w:r w:rsidRPr="00F701C5">
        <w:rPr>
          <w:rFonts w:ascii="Verdana" w:hAnsi="Verdana" w:cs="Arial"/>
          <w:lang w:eastAsia="es-CO"/>
        </w:rPr>
        <w:t xml:space="preserve"> </w:t>
      </w:r>
    </w:p>
    <w:p w14:paraId="7AD4C29C" w14:textId="42F3A033" w:rsidR="006F012C" w:rsidRDefault="006F012C" w:rsidP="006F012C">
      <w:pPr>
        <w:spacing w:after="120" w:line="276" w:lineRule="auto"/>
        <w:contextualSpacing/>
        <w:jc w:val="both"/>
        <w:rPr>
          <w:rFonts w:ascii="Verdana" w:eastAsia="Calibri" w:hAnsi="Verdana" w:cs="Times New Roman"/>
          <w:noProof/>
          <w:color w:val="EE0000"/>
          <w14:ligatures w14:val="standardContextual"/>
        </w:rPr>
      </w:pPr>
    </w:p>
    <w:p w14:paraId="487E86C8" w14:textId="77777777" w:rsidR="00FC0A32" w:rsidRDefault="00FC0A32" w:rsidP="006F012C">
      <w:pPr>
        <w:spacing w:after="120" w:line="276" w:lineRule="auto"/>
        <w:contextualSpacing/>
        <w:jc w:val="both"/>
        <w:rPr>
          <w:rFonts w:ascii="Verdana" w:eastAsia="Calibri" w:hAnsi="Verdana" w:cs="Times New Roman"/>
          <w:noProof/>
          <w:color w:val="EE0000"/>
          <w14:ligatures w14:val="standardContextual"/>
        </w:rPr>
      </w:pPr>
    </w:p>
    <w:p w14:paraId="366D859C" w14:textId="22AB9434" w:rsidR="00FC0A32" w:rsidRPr="00182F6A" w:rsidRDefault="00FC0A32" w:rsidP="00FC0A32">
      <w:pPr>
        <w:spacing w:after="120" w:line="276" w:lineRule="auto"/>
        <w:contextualSpacing/>
        <w:jc w:val="center"/>
        <w:rPr>
          <w:rFonts w:ascii="Verdana" w:eastAsia="Aptos" w:hAnsi="Verdana" w:cs="Arial"/>
          <w:shd w:val="clear" w:color="auto" w:fill="FFFFFF"/>
          <w:lang w:val="es-ES"/>
        </w:rPr>
      </w:pPr>
      <w:r w:rsidRPr="002C3AD6">
        <w:rPr>
          <w:rFonts w:ascii="Century Gothic" w:hAnsi="Century Gothic"/>
          <w:noProof/>
        </w:rPr>
        <w:drawing>
          <wp:inline distT="0" distB="0" distL="0" distR="0" wp14:anchorId="2B616343" wp14:editId="5229C90C">
            <wp:extent cx="2867025" cy="1064274"/>
            <wp:effectExtent l="0" t="0" r="0" b="254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5"/>
                    <a:stretch>
                      <a:fillRect/>
                    </a:stretch>
                  </pic:blipFill>
                  <pic:spPr>
                    <a:xfrm>
                      <a:off x="0" y="0"/>
                      <a:ext cx="2881292" cy="1069570"/>
                    </a:xfrm>
                    <a:prstGeom prst="rect">
                      <a:avLst/>
                    </a:prstGeom>
                  </pic:spPr>
                </pic:pic>
              </a:graphicData>
            </a:graphic>
          </wp:inline>
        </w:drawing>
      </w:r>
    </w:p>
    <w:p w14:paraId="2DE9C4E6" w14:textId="77777777" w:rsidR="006F012C" w:rsidRPr="00182F6A" w:rsidRDefault="006F012C" w:rsidP="006F012C">
      <w:pPr>
        <w:spacing w:after="120" w:line="276" w:lineRule="auto"/>
        <w:contextualSpacing/>
        <w:jc w:val="both"/>
        <w:rPr>
          <w:rFonts w:ascii="Verdana" w:eastAsia="Aptos" w:hAnsi="Verdana" w:cs="Arial"/>
          <w:shd w:val="clear" w:color="auto" w:fill="FFFFFF"/>
          <w:lang w:val="es-ES"/>
        </w:rPr>
      </w:pPr>
    </w:p>
    <w:p w14:paraId="04E95CB2" w14:textId="77777777" w:rsidR="006F012C" w:rsidRPr="008278B1" w:rsidRDefault="006F012C" w:rsidP="00872D91">
      <w:pPr>
        <w:spacing w:after="0" w:line="276" w:lineRule="auto"/>
        <w:rPr>
          <w:rFonts w:ascii="Verdana" w:hAnsi="Verdana" w:cs="Arial"/>
          <w:lang w:val="es-ES"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6F012C" w:rsidRPr="008278B1" w14:paraId="3A59B3E6" w14:textId="77777777" w:rsidTr="004E205F">
        <w:trPr>
          <w:trHeight w:val="315"/>
        </w:trPr>
        <w:tc>
          <w:tcPr>
            <w:tcW w:w="893" w:type="dxa"/>
            <w:vAlign w:val="center"/>
            <w:hideMark/>
          </w:tcPr>
          <w:p w14:paraId="0795DC41" w14:textId="77777777" w:rsidR="006F012C" w:rsidRPr="008278B1" w:rsidRDefault="006F012C" w:rsidP="004E205F">
            <w:pPr>
              <w:contextualSpacing/>
              <w:rPr>
                <w:rFonts w:ascii="Verdana" w:hAnsi="Verdana" w:cs="Arial"/>
                <w:sz w:val="16"/>
                <w:szCs w:val="16"/>
                <w:lang w:val="es-ES" w:eastAsia="es-ES"/>
              </w:rPr>
            </w:pPr>
            <w:r w:rsidRPr="008278B1">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1B2F56F3" w14:textId="77777777" w:rsidR="006F012C" w:rsidRPr="00860461" w:rsidRDefault="006F012C" w:rsidP="004E205F">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Oscar David Morelo Pedrozo</w:t>
            </w:r>
          </w:p>
          <w:p w14:paraId="022757A3" w14:textId="77777777" w:rsidR="006F012C" w:rsidRPr="00860461" w:rsidRDefault="006F012C" w:rsidP="004E205F">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Analista T2 –02 de la Subdirección de Gestión Contractual</w:t>
            </w:r>
          </w:p>
        </w:tc>
      </w:tr>
      <w:tr w:rsidR="006F012C" w:rsidRPr="00F84F36" w14:paraId="51D43F42" w14:textId="77777777" w:rsidTr="004E205F">
        <w:trPr>
          <w:trHeight w:val="330"/>
        </w:trPr>
        <w:tc>
          <w:tcPr>
            <w:tcW w:w="893" w:type="dxa"/>
            <w:vAlign w:val="center"/>
            <w:hideMark/>
          </w:tcPr>
          <w:p w14:paraId="1E57546D" w14:textId="77777777" w:rsidR="006F012C" w:rsidRPr="0025661F" w:rsidRDefault="006F012C" w:rsidP="004E205F">
            <w:pPr>
              <w:contextualSpacing/>
              <w:rPr>
                <w:rFonts w:ascii="Verdana" w:hAnsi="Verdana" w:cs="Arial"/>
                <w:color w:val="000000" w:themeColor="text1"/>
                <w:sz w:val="16"/>
                <w:szCs w:val="16"/>
                <w:lang w:val="es-ES" w:eastAsia="es-ES"/>
              </w:rPr>
            </w:pPr>
            <w:r w:rsidRPr="0025661F">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174EAA39" w14:textId="77777777" w:rsidR="006F012C" w:rsidRPr="00D62D2E" w:rsidRDefault="006F012C" w:rsidP="004E205F">
            <w:pPr>
              <w:rPr>
                <w:rFonts w:ascii="Verdana" w:eastAsia="Times New Roman" w:hAnsi="Verdana" w:cs="Arial"/>
                <w:color w:val="000000" w:themeColor="text1"/>
                <w:sz w:val="16"/>
                <w:szCs w:val="16"/>
                <w:lang w:eastAsia="es-ES"/>
              </w:rPr>
            </w:pPr>
            <w:r w:rsidRPr="00D62D2E">
              <w:rPr>
                <w:rFonts w:ascii="Verdana" w:eastAsia="Times New Roman" w:hAnsi="Verdana" w:cs="Arial"/>
                <w:color w:val="000000" w:themeColor="text1"/>
                <w:sz w:val="16"/>
                <w:szCs w:val="16"/>
                <w:lang w:eastAsia="es-ES"/>
              </w:rPr>
              <w:t>Diana Lucia Saavedra</w:t>
            </w:r>
            <w:r>
              <w:rPr>
                <w:rFonts w:ascii="Verdana" w:eastAsia="Times New Roman" w:hAnsi="Verdana" w:cs="Arial"/>
                <w:color w:val="000000" w:themeColor="text1"/>
                <w:sz w:val="16"/>
                <w:szCs w:val="16"/>
                <w:lang w:eastAsia="es-ES"/>
              </w:rPr>
              <w:t xml:space="preserve"> Castañeda</w:t>
            </w:r>
          </w:p>
          <w:p w14:paraId="3FE51144" w14:textId="77777777" w:rsidR="006F012C" w:rsidRPr="0025661F" w:rsidRDefault="006F012C" w:rsidP="004E205F">
            <w:pPr>
              <w:pStyle w:val="paragraph"/>
              <w:spacing w:before="0" w:beforeAutospacing="0" w:after="0" w:afterAutospacing="0"/>
              <w:contextualSpacing/>
              <w:textAlignment w:val="baseline"/>
              <w:rPr>
                <w:rFonts w:ascii="Verdana" w:hAnsi="Verdana" w:cs="Segoe UI"/>
                <w:color w:val="000000" w:themeColor="text1"/>
                <w:sz w:val="16"/>
                <w:szCs w:val="16"/>
                <w:lang w:val="es-ES"/>
              </w:rPr>
            </w:pPr>
            <w:r w:rsidRPr="00D62D2E">
              <w:rPr>
                <w:rFonts w:ascii="Verdana" w:hAnsi="Verdana" w:cs="Arial"/>
                <w:color w:val="000000" w:themeColor="text1"/>
                <w:sz w:val="16"/>
                <w:szCs w:val="16"/>
                <w:lang w:eastAsia="es-ES"/>
              </w:rPr>
              <w:t>Contratista de la Subdirección de Gestión Contractual</w:t>
            </w:r>
          </w:p>
        </w:tc>
      </w:tr>
      <w:tr w:rsidR="006F012C" w:rsidRPr="00F84F36" w14:paraId="3A853B2F" w14:textId="77777777" w:rsidTr="004E205F">
        <w:trPr>
          <w:trHeight w:val="300"/>
        </w:trPr>
        <w:tc>
          <w:tcPr>
            <w:tcW w:w="893" w:type="dxa"/>
            <w:vAlign w:val="center"/>
          </w:tcPr>
          <w:p w14:paraId="568BB3D9" w14:textId="77777777" w:rsidR="006F012C" w:rsidRPr="008278B1" w:rsidRDefault="006F012C" w:rsidP="004E205F">
            <w:pPr>
              <w:contextualSpacing/>
              <w:rPr>
                <w:rFonts w:ascii="Verdana" w:hAnsi="Verdana" w:cs="Arial"/>
                <w:sz w:val="16"/>
                <w:szCs w:val="16"/>
                <w:lang w:val="es-ES" w:eastAsia="es-ES"/>
              </w:rPr>
            </w:pPr>
            <w:r w:rsidRPr="008278B1">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487F62C0" w14:textId="77777777" w:rsidR="006F012C" w:rsidRPr="008278B1" w:rsidRDefault="006F012C" w:rsidP="004E205F">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Carolina Quintero Gacharná</w:t>
            </w:r>
          </w:p>
          <w:p w14:paraId="59FC2E33" w14:textId="77777777" w:rsidR="006F012C" w:rsidRPr="008278B1" w:rsidRDefault="006F012C" w:rsidP="004E205F">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Subdirectora de Gestión Contractual ANCP – CCE</w:t>
            </w:r>
          </w:p>
        </w:tc>
      </w:tr>
    </w:tbl>
    <w:p w14:paraId="243C600E" w14:textId="77777777" w:rsidR="006F012C" w:rsidRDefault="006F012C" w:rsidP="006F012C">
      <w:pPr>
        <w:spacing w:after="0" w:line="240" w:lineRule="auto"/>
        <w:rPr>
          <w:rFonts w:ascii="Verdana" w:eastAsia="Geomanist Light" w:hAnsi="Verdana" w:cs="Arial"/>
          <w:color w:val="000000" w:themeColor="text1"/>
        </w:rPr>
      </w:pPr>
    </w:p>
    <w:bookmarkEnd w:id="0"/>
    <w:p w14:paraId="524A8F90" w14:textId="4F7C9A79" w:rsidR="006F012C" w:rsidRPr="0024624F" w:rsidRDefault="006F012C" w:rsidP="30821638">
      <w:pPr>
        <w:spacing w:after="0"/>
        <w:rPr>
          <w:rFonts w:ascii="Verdana" w:eastAsia="Verdana" w:hAnsi="Verdana" w:cs="Verdana"/>
        </w:rPr>
      </w:pPr>
    </w:p>
    <w:sectPr w:rsidR="006F012C" w:rsidRPr="0024624F" w:rsidSect="007C0C0F">
      <w:headerReference w:type="default" r:id="rId26"/>
      <w:footerReference w:type="default" r:id="rId27"/>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266D2" w14:textId="77777777" w:rsidR="00A859D4" w:rsidRDefault="00A859D4" w:rsidP="004A1847">
      <w:pPr>
        <w:spacing w:after="0" w:line="240" w:lineRule="auto"/>
      </w:pPr>
      <w:r>
        <w:separator/>
      </w:r>
    </w:p>
  </w:endnote>
  <w:endnote w:type="continuationSeparator" w:id="0">
    <w:p w14:paraId="3323B63A" w14:textId="77777777" w:rsidR="00A859D4" w:rsidRDefault="00A859D4"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Work Sans">
    <w:charset w:val="00"/>
    <w:family w:val="auto"/>
    <w:pitch w:val="variable"/>
    <w:sig w:usb0="A00000FF" w:usb1="5000E07B"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D9A15" w14:textId="77777777" w:rsidR="00A859D4" w:rsidRDefault="00A859D4" w:rsidP="004A1847">
      <w:pPr>
        <w:spacing w:after="0" w:line="240" w:lineRule="auto"/>
      </w:pPr>
      <w:r>
        <w:separator/>
      </w:r>
    </w:p>
  </w:footnote>
  <w:footnote w:type="continuationSeparator" w:id="0">
    <w:p w14:paraId="02020D99" w14:textId="77777777" w:rsidR="00A859D4" w:rsidRDefault="00A859D4" w:rsidP="004A1847">
      <w:pPr>
        <w:spacing w:after="0" w:line="240" w:lineRule="auto"/>
      </w:pPr>
      <w:r>
        <w:continuationSeparator/>
      </w:r>
    </w:p>
  </w:footnote>
  <w:footnote w:id="1">
    <w:p w14:paraId="65127004" w14:textId="77777777" w:rsidR="006F012C" w:rsidRPr="00763254" w:rsidRDefault="006F012C" w:rsidP="006F012C">
      <w:pPr>
        <w:pStyle w:val="Textonotapie"/>
        <w:ind w:firstLine="709"/>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El artículo 127 de la Constitución Política señala: “Los servidores públicos no podrán celebrar, por si o por interpuesta persona, o en representación de otro, contrato alguno con entidades públicas o con personas privadas que manejen o administren recursos públicos, salvo las excepciones legales. </w:t>
      </w:r>
    </w:p>
    <w:p w14:paraId="0F604084" w14:textId="77777777" w:rsidR="006F012C" w:rsidRPr="00763254" w:rsidRDefault="006F012C" w:rsidP="006F012C">
      <w:pPr>
        <w:pStyle w:val="Textonotapie"/>
        <w:ind w:firstLine="709"/>
        <w:jc w:val="both"/>
        <w:rPr>
          <w:rFonts w:ascii="Verdana" w:hAnsi="Verdana" w:cs="Arial"/>
          <w:sz w:val="14"/>
          <w:szCs w:val="14"/>
        </w:rPr>
      </w:pPr>
      <w:r w:rsidRPr="00763254">
        <w:rPr>
          <w:rFonts w:ascii="Verdana" w:hAnsi="Verdana" w:cs="Arial"/>
          <w:sz w:val="14"/>
          <w:szCs w:val="14"/>
        </w:rPr>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 A los miembros de la Fuerza Pública en servicio activo se les aplican las limitaciones contempladas en el artículo 219 de la Constitución. Los empleados no contemplados en esta prohibición solo podrán participar en dichas actividades y controversias en las condiciones que señale la Ley Estatutaria”.</w:t>
      </w:r>
    </w:p>
  </w:footnote>
  <w:footnote w:id="2">
    <w:p w14:paraId="7A97D37A" w14:textId="77777777" w:rsidR="006F012C" w:rsidRPr="00763254" w:rsidRDefault="006F012C" w:rsidP="006F012C">
      <w:pPr>
        <w:pStyle w:val="Textonotapie"/>
        <w:ind w:firstLine="709"/>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Gaceta del Congreso de la República No. 71 del 2005.</w:t>
      </w:r>
    </w:p>
  </w:footnote>
  <w:footnote w:id="3">
    <w:p w14:paraId="2D98F31F" w14:textId="77777777" w:rsidR="006F012C" w:rsidRPr="00763254" w:rsidRDefault="006F012C" w:rsidP="006F012C">
      <w:pPr>
        <w:pStyle w:val="Textonotapie"/>
        <w:ind w:firstLine="709"/>
        <w:jc w:val="both"/>
        <w:rPr>
          <w:rFonts w:ascii="Verdana" w:hAnsi="Verdana" w:cs="Arial"/>
          <w:sz w:val="14"/>
          <w:szCs w:val="14"/>
          <w:lang w:val="pt-BR"/>
        </w:rPr>
      </w:pPr>
      <w:r w:rsidRPr="00763254">
        <w:rPr>
          <w:rStyle w:val="Refdenotaalpie"/>
          <w:rFonts w:ascii="Verdana" w:hAnsi="Verdana" w:cs="Arial"/>
          <w:sz w:val="14"/>
          <w:szCs w:val="14"/>
        </w:rPr>
        <w:footnoteRef/>
      </w:r>
      <w:r w:rsidRPr="00763254">
        <w:rPr>
          <w:rFonts w:ascii="Verdana" w:hAnsi="Verdana" w:cs="Arial"/>
          <w:sz w:val="14"/>
          <w:szCs w:val="14"/>
          <w:lang w:val="pt-BR"/>
        </w:rPr>
        <w:t xml:space="preserve"> Corte Constitucional, Sentencia C- 1153 de 2005, M.P. Marco Gerardo Monroy Cabra.</w:t>
      </w:r>
    </w:p>
  </w:footnote>
  <w:footnote w:id="4">
    <w:p w14:paraId="5FB3B338" w14:textId="77777777" w:rsidR="006F012C" w:rsidRPr="00763254" w:rsidRDefault="006F012C" w:rsidP="006F012C">
      <w:pPr>
        <w:pStyle w:val="Textonotapie"/>
        <w:ind w:firstLine="709"/>
        <w:jc w:val="both"/>
        <w:rPr>
          <w:rFonts w:ascii="Verdana" w:hAnsi="Verdana" w:cs="Arial"/>
          <w:sz w:val="14"/>
          <w:szCs w:val="14"/>
          <w:lang w:val="pt-BR"/>
        </w:rPr>
      </w:pPr>
      <w:r w:rsidRPr="00763254">
        <w:rPr>
          <w:rStyle w:val="Refdenotaalpie"/>
          <w:rFonts w:ascii="Verdana" w:hAnsi="Verdana" w:cs="Arial"/>
          <w:sz w:val="14"/>
          <w:szCs w:val="14"/>
        </w:rPr>
        <w:footnoteRef/>
      </w:r>
      <w:r w:rsidRPr="00763254">
        <w:rPr>
          <w:rFonts w:ascii="Verdana" w:hAnsi="Verdana" w:cs="Arial"/>
          <w:sz w:val="14"/>
          <w:szCs w:val="14"/>
          <w:lang w:val="pt-BR"/>
        </w:rPr>
        <w:t xml:space="preserve"> Corte Constitucional. Sentencias: C-233 de 4 de abril de 2002, expediente: D-3704; C-551 de 9 de julio de 2003, expediente: CRF-001 de 9 de julio de 2003; C-652 de 5 de agosto de 2003, expediente: D-4330; C-353 de 20 de mayo de 2009, expediente: D-7518, C-541 de 30 de junio de 2010, expediente: DD7966; entre otras.</w:t>
      </w:r>
    </w:p>
  </w:footnote>
  <w:footnote w:id="5">
    <w:p w14:paraId="0BEF45B6" w14:textId="77777777" w:rsidR="006F012C" w:rsidRPr="00763254" w:rsidRDefault="006F012C" w:rsidP="006F012C">
      <w:pPr>
        <w:pStyle w:val="Textonotapie"/>
        <w:ind w:firstLine="709"/>
        <w:jc w:val="both"/>
        <w:rPr>
          <w:rFonts w:ascii="Verdana" w:hAnsi="Verdana" w:cs="Arial"/>
          <w:sz w:val="14"/>
          <w:szCs w:val="14"/>
          <w:lang w:val="es-CO"/>
        </w:rPr>
      </w:pPr>
      <w:r w:rsidRPr="00763254">
        <w:rPr>
          <w:rStyle w:val="Refdenotaalpie"/>
          <w:rFonts w:ascii="Verdana" w:hAnsi="Verdana" w:cs="Arial"/>
          <w:sz w:val="14"/>
          <w:szCs w:val="14"/>
        </w:rPr>
        <w:footnoteRef/>
      </w:r>
      <w:r w:rsidRPr="00763254">
        <w:rPr>
          <w:rFonts w:ascii="Verdana" w:hAnsi="Verdana" w:cs="Arial"/>
          <w:sz w:val="14"/>
          <w:szCs w:val="14"/>
          <w:lang w:val="es-CO"/>
        </w:rPr>
        <w:t xml:space="preserve"> Consejo de Estado, Sala de lo Contencioso Administrativo, Sección Primera. Sentencia de 3 de marzo de 2005, expediente número 2004-00823-01(PI). Ver también, de la Sección Tercera. Sentencia de 22 de enero de 2002, expediente número 2001-0148-01 y, Sección Tercera. Sentencia de 20 de noviembre de 2001, expediente número 2001-0130-01(PI), entre otras.</w:t>
      </w:r>
    </w:p>
  </w:footnote>
  <w:footnote w:id="6">
    <w:p w14:paraId="75520CD6" w14:textId="77777777" w:rsidR="006F012C" w:rsidRPr="00763254" w:rsidRDefault="006F012C" w:rsidP="006F012C">
      <w:pPr>
        <w:pStyle w:val="Textonotapie"/>
        <w:ind w:firstLine="709"/>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Consejo de Estado, Sala de Consulta y Servicio Civil de fecha 24 de julio de 2013, radicado 2166, C. P. Álvaro Namén Vargas.  </w:t>
      </w:r>
    </w:p>
  </w:footnote>
  <w:footnote w:id="7">
    <w:p w14:paraId="67C37702" w14:textId="77777777" w:rsidR="006F012C" w:rsidRPr="00763254" w:rsidRDefault="006F012C" w:rsidP="006F012C">
      <w:pPr>
        <w:spacing w:after="0" w:line="240" w:lineRule="auto"/>
        <w:ind w:firstLine="709"/>
        <w:jc w:val="both"/>
        <w:rPr>
          <w:rFonts w:ascii="Verdana" w:eastAsia="Times New Roman"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w:t>
      </w:r>
      <w:bookmarkStart w:id="5" w:name="33"/>
      <w:r w:rsidRPr="00763254">
        <w:rPr>
          <w:rFonts w:ascii="Verdana" w:eastAsia="Calibri" w:hAnsi="Verdana" w:cs="Arial"/>
          <w:color w:val="000000"/>
          <w:sz w:val="14"/>
          <w:szCs w:val="14"/>
        </w:rPr>
        <w:t>“</w:t>
      </w:r>
      <w:r w:rsidRPr="00763254">
        <w:rPr>
          <w:rFonts w:ascii="Verdana" w:eastAsia="Times New Roman" w:hAnsi="Verdana" w:cs="Arial"/>
          <w:sz w:val="14"/>
          <w:szCs w:val="14"/>
        </w:rPr>
        <w:t>Artículo 33. Restricciones a la contratación pública.</w:t>
      </w:r>
      <w:bookmarkEnd w:id="5"/>
      <w:r w:rsidRPr="00763254">
        <w:rPr>
          <w:rFonts w:ascii="Verdana" w:eastAsia="Times New Roman" w:hAnsi="Verdana" w:cs="Arial"/>
          <w:sz w:val="14"/>
          <w:szCs w:val="14"/>
        </w:rPr>
        <w:t> Durante los cuatro (4) meses anteriores a la elección presidencial y hasta la realización de la elección en la segunda vuelta, si fuere el caso, queda prohibida la contratación directa por parte de todos los entes del Estado.</w:t>
      </w:r>
    </w:p>
    <w:p w14:paraId="50B97EF0" w14:textId="77777777" w:rsidR="006F012C" w:rsidRPr="00763254" w:rsidRDefault="006F012C" w:rsidP="006F012C">
      <w:pPr>
        <w:spacing w:after="0" w:line="240" w:lineRule="auto"/>
        <w:ind w:firstLine="709"/>
        <w:jc w:val="both"/>
        <w:rPr>
          <w:rFonts w:ascii="Verdana" w:eastAsia="Times New Roman" w:hAnsi="Verdana" w:cs="Arial"/>
          <w:sz w:val="14"/>
          <w:szCs w:val="14"/>
        </w:rPr>
      </w:pPr>
      <w:r w:rsidRPr="00763254">
        <w:rPr>
          <w:rFonts w:ascii="Verdana" w:eastAsia="Times New Roman" w:hAnsi="Verdana" w:cs="Arial"/>
          <w:sz w:val="14"/>
          <w:szCs w:val="14"/>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763254">
        <w:rPr>
          <w:rFonts w:ascii="Verdana" w:eastAsia="Calibri" w:hAnsi="Verdana" w:cs="Arial"/>
          <w:color w:val="000000"/>
          <w:sz w:val="14"/>
          <w:szCs w:val="14"/>
        </w:rPr>
        <w:t>”</w:t>
      </w:r>
      <w:r w:rsidRPr="00763254">
        <w:rPr>
          <w:rFonts w:ascii="Verdana" w:eastAsia="Times New Roman" w:hAnsi="Verdana" w:cs="Arial"/>
          <w:sz w:val="14"/>
          <w:szCs w:val="14"/>
        </w:rPr>
        <w:t>.</w:t>
      </w:r>
    </w:p>
  </w:footnote>
  <w:footnote w:id="8">
    <w:p w14:paraId="774796A6" w14:textId="77777777" w:rsidR="006F012C" w:rsidRPr="00763254" w:rsidRDefault="006F012C" w:rsidP="006F012C">
      <w:pPr>
        <w:pStyle w:val="NormalWeb"/>
        <w:spacing w:before="0" w:beforeAutospacing="0" w:after="0" w:afterAutospacing="0"/>
        <w:ind w:firstLine="709"/>
        <w:jc w:val="both"/>
        <w:rPr>
          <w:rFonts w:ascii="Verdana" w:hAnsi="Verdana" w:cs="Arial"/>
          <w:sz w:val="14"/>
          <w:szCs w:val="14"/>
          <w:lang w:val="es-MX"/>
        </w:rPr>
      </w:pPr>
      <w:r w:rsidRPr="00763254">
        <w:rPr>
          <w:rStyle w:val="Refdenotaalpie"/>
          <w:rFonts w:ascii="Verdana" w:hAnsi="Verdana" w:cs="Arial"/>
          <w:sz w:val="14"/>
          <w:szCs w:val="14"/>
        </w:rPr>
        <w:footnoteRef/>
      </w:r>
      <w:r w:rsidRPr="00763254">
        <w:rPr>
          <w:rFonts w:ascii="Verdana" w:hAnsi="Verdana" w:cs="Arial"/>
          <w:sz w:val="14"/>
          <w:szCs w:val="14"/>
        </w:rPr>
        <w:t xml:space="preserve"> </w:t>
      </w:r>
      <w:bookmarkStart w:id="6" w:name="38"/>
      <w:r w:rsidRPr="00763254">
        <w:rPr>
          <w:rFonts w:ascii="Verdana" w:eastAsia="Calibri" w:hAnsi="Verdana" w:cs="Arial"/>
          <w:color w:val="000000"/>
          <w:sz w:val="14"/>
          <w:szCs w:val="14"/>
        </w:rPr>
        <w:t>“</w:t>
      </w:r>
      <w:r w:rsidRPr="00763254">
        <w:rPr>
          <w:rFonts w:ascii="Verdana" w:hAnsi="Verdana" w:cs="Arial"/>
          <w:sz w:val="14"/>
          <w:szCs w:val="14"/>
          <w:lang w:val="es-MX"/>
        </w:rPr>
        <w:t>Artículo 38. Prohibiciones para los servidores públicos. A los empleados del Estado les está prohibido:</w:t>
      </w:r>
      <w:bookmarkEnd w:id="6"/>
      <w:r w:rsidRPr="00763254">
        <w:rPr>
          <w:rFonts w:ascii="Verdana" w:hAnsi="Verdana" w:cs="Arial"/>
          <w:sz w:val="14"/>
          <w:szCs w:val="14"/>
          <w:lang w:val="es-MX"/>
        </w:rPr>
        <w:t xml:space="preserve"> […]</w:t>
      </w:r>
    </w:p>
    <w:p w14:paraId="106B59DD" w14:textId="77777777" w:rsidR="006F012C" w:rsidRPr="00763254" w:rsidRDefault="006F012C" w:rsidP="006F012C">
      <w:pPr>
        <w:pStyle w:val="NormalWeb"/>
        <w:spacing w:before="0" w:beforeAutospacing="0" w:after="0" w:afterAutospacing="0"/>
        <w:ind w:firstLine="709"/>
        <w:jc w:val="both"/>
        <w:rPr>
          <w:rFonts w:ascii="Verdana" w:hAnsi="Verdana" w:cs="Arial"/>
          <w:sz w:val="14"/>
          <w:szCs w:val="14"/>
          <w:lang w:val="es-MX"/>
        </w:rPr>
      </w:pPr>
      <w:r w:rsidRPr="00763254">
        <w:rPr>
          <w:rStyle w:val="baj"/>
          <w:rFonts w:ascii="Verdana" w:eastAsiaTheme="minorEastAsia" w:hAnsi="Verdana" w:cs="Arial"/>
          <w:sz w:val="14"/>
          <w:szCs w:val="14"/>
          <w:lang w:val="es-MX"/>
        </w:rPr>
        <w:t>Parágrafo.</w:t>
      </w:r>
      <w:r w:rsidRPr="00763254">
        <w:rPr>
          <w:rFonts w:ascii="Verdana" w:hAnsi="Verdana" w:cs="Arial"/>
          <w:sz w:val="14"/>
          <w:szCs w:val="14"/>
          <w:lang w:val="es-MX"/>
        </w:rPr>
        <w:t>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763254">
        <w:rPr>
          <w:rFonts w:ascii="Verdana" w:eastAsia="Calibri" w:hAnsi="Verdana" w:cs="Arial"/>
          <w:color w:val="000000"/>
          <w:sz w:val="14"/>
          <w:szCs w:val="14"/>
        </w:rPr>
        <w:t>”</w:t>
      </w:r>
      <w:r w:rsidRPr="00763254">
        <w:rPr>
          <w:rFonts w:ascii="Verdana" w:hAnsi="Verdana" w:cs="Arial"/>
          <w:sz w:val="14"/>
          <w:szCs w:val="14"/>
          <w:lang w:val="es-MX"/>
        </w:rPr>
        <w:t>.</w:t>
      </w:r>
    </w:p>
  </w:footnote>
  <w:footnote w:id="9">
    <w:p w14:paraId="01633AFF" w14:textId="77777777" w:rsidR="006F012C" w:rsidRPr="00763254" w:rsidRDefault="006F012C" w:rsidP="006F012C">
      <w:pPr>
        <w:pStyle w:val="Textonotapie"/>
        <w:ind w:firstLine="708"/>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Colombia Compra Eficiente. Circular Externa Única. Numeral 16.5. </w:t>
      </w:r>
    </w:p>
  </w:footnote>
  <w:footnote w:id="10">
    <w:p w14:paraId="56DAF598" w14:textId="77777777" w:rsidR="006F012C" w:rsidRPr="00763254" w:rsidRDefault="006F012C" w:rsidP="006F012C">
      <w:pPr>
        <w:spacing w:after="0" w:line="240" w:lineRule="auto"/>
        <w:ind w:left="100" w:right="244" w:firstLine="709"/>
        <w:jc w:val="both"/>
        <w:rPr>
          <w:rFonts w:ascii="Verdana" w:hAnsi="Verdana" w:cs="Arial"/>
          <w:sz w:val="14"/>
          <w:szCs w:val="14"/>
          <w:lang w:val="es-ES"/>
        </w:rPr>
      </w:pPr>
      <w:r w:rsidRPr="00763254">
        <w:rPr>
          <w:rStyle w:val="Refdenotaalpie"/>
          <w:rFonts w:ascii="Verdana" w:hAnsi="Verdana" w:cs="Arial"/>
          <w:sz w:val="14"/>
          <w:szCs w:val="14"/>
        </w:rPr>
        <w:footnoteRef/>
      </w:r>
      <w:r w:rsidRPr="00763254">
        <w:rPr>
          <w:rFonts w:ascii="Verdana" w:hAnsi="Verdana" w:cs="Arial"/>
          <w:sz w:val="14"/>
          <w:szCs w:val="14"/>
        </w:rPr>
        <w:t xml:space="preserve"> Consejo de Estado. Sala de Consulta y Servicio Civil. Concepto del 17 de febrero de 2015. C.P. William Zambrano Cetina. Radicación No. 11001-03-06-000-2015-00164-00(2269).</w:t>
      </w:r>
    </w:p>
  </w:footnote>
  <w:footnote w:id="11">
    <w:p w14:paraId="290CA176" w14:textId="77777777" w:rsidR="006F012C" w:rsidRPr="00763254" w:rsidRDefault="006F012C" w:rsidP="006F012C">
      <w:pPr>
        <w:pStyle w:val="Textonotapie"/>
        <w:ind w:right="51" w:firstLine="709"/>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w:t>
      </w:r>
      <w:r w:rsidRPr="00763254">
        <w:rPr>
          <w:rFonts w:ascii="Verdana" w:hAnsi="Verdana" w:cs="Arial"/>
          <w:sz w:val="14"/>
          <w:szCs w:val="14"/>
          <w:lang w:val="es-ES"/>
        </w:rPr>
        <w:t xml:space="preserve">[25] </w:t>
      </w:r>
      <w:r w:rsidRPr="00763254">
        <w:rPr>
          <w:rFonts w:ascii="Verdana" w:hAnsi="Verdana" w:cs="Arial"/>
          <w:sz w:val="14"/>
          <w:szCs w:val="14"/>
        </w:rPr>
        <w:t>Cfr. Consejo de Estado. Sección Tercera. Sentencia de 3 de diciembre de 2007. Radicados: 24.715, 25.206, 25.409, 24.524, 27.834, 25.410, 26.105, 28.244, 31.447 -acumulados-“.</w:t>
      </w:r>
    </w:p>
  </w:footnote>
  <w:footnote w:id="12">
    <w:p w14:paraId="649AF79E" w14:textId="77777777" w:rsidR="006F012C" w:rsidRPr="00763254" w:rsidRDefault="006F012C" w:rsidP="006F012C">
      <w:pPr>
        <w:pStyle w:val="Textonotapie"/>
        <w:ind w:right="51" w:firstLine="709"/>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w:t>
      </w:r>
      <w:r w:rsidRPr="00763254">
        <w:rPr>
          <w:rFonts w:ascii="Verdana" w:hAnsi="Verdana" w:cs="Arial"/>
          <w:sz w:val="14"/>
          <w:szCs w:val="14"/>
          <w:lang w:val="es-ES"/>
        </w:rPr>
        <w:t xml:space="preserve">[26] </w:t>
      </w:r>
      <w:r w:rsidRPr="00763254">
        <w:rPr>
          <w:rFonts w:ascii="Verdana" w:hAnsi="Verdana" w:cs="Arial"/>
          <w:sz w:val="14"/>
          <w:szCs w:val="14"/>
        </w:rPr>
        <w:t>Al respecto ver el concepto 1712 de 2 de febrero de 2006. Consejo de Estado Sala de Consulta y Servicio Civil”.</w:t>
      </w:r>
    </w:p>
  </w:footnote>
  <w:footnote w:id="13">
    <w:p w14:paraId="281A5ABE" w14:textId="77777777" w:rsidR="006F012C" w:rsidRPr="00763254" w:rsidRDefault="006F012C" w:rsidP="006F012C">
      <w:pPr>
        <w:pStyle w:val="Textonotapie"/>
        <w:ind w:firstLine="709"/>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Consejo de Estado. Sala de Consulta y Servicio Civil. Concepto del 2 de septiembre de 2013. Radicación número: 11001-03-06-000-2013-00412-00 (2168). Consejero Ponente: Álvaro Namén Vargas.</w:t>
      </w:r>
    </w:p>
  </w:footnote>
  <w:footnote w:id="14">
    <w:p w14:paraId="1617E58C" w14:textId="77777777" w:rsidR="006F012C" w:rsidRPr="00763254" w:rsidRDefault="006F012C" w:rsidP="006F012C">
      <w:pPr>
        <w:pStyle w:val="Textonotapie"/>
        <w:ind w:firstLine="709"/>
        <w:jc w:val="both"/>
        <w:rPr>
          <w:rFonts w:ascii="Verdana" w:hAnsi="Verdana" w:cs="Arial"/>
          <w:sz w:val="14"/>
          <w:szCs w:val="14"/>
          <w:lang w:val="es-ES"/>
        </w:rPr>
      </w:pPr>
      <w:r w:rsidRPr="00763254">
        <w:rPr>
          <w:rStyle w:val="Refdenotaalpie"/>
          <w:rFonts w:ascii="Verdana" w:hAnsi="Verdana" w:cs="Arial"/>
          <w:sz w:val="14"/>
          <w:szCs w:val="14"/>
        </w:rPr>
        <w:footnoteRef/>
      </w:r>
      <w:r w:rsidRPr="00763254">
        <w:rPr>
          <w:rFonts w:ascii="Verdana" w:hAnsi="Verdana" w:cs="Arial"/>
          <w:sz w:val="14"/>
          <w:szCs w:val="14"/>
        </w:rPr>
        <w:t xml:space="preserve"> </w:t>
      </w:r>
      <w:r w:rsidRPr="00763254">
        <w:rPr>
          <w:rFonts w:ascii="Verdana" w:hAnsi="Verdana" w:cs="Arial"/>
          <w:sz w:val="14"/>
          <w:szCs w:val="14"/>
          <w:lang w:val="es-ES"/>
        </w:rPr>
        <w:t xml:space="preserve">Artículo 2. </w:t>
      </w:r>
    </w:p>
  </w:footnote>
  <w:footnote w:id="15">
    <w:p w14:paraId="2DCDDA04" w14:textId="77777777" w:rsidR="006F012C" w:rsidRPr="00763254" w:rsidRDefault="006F012C" w:rsidP="006F012C">
      <w:pPr>
        <w:pStyle w:val="Textonotapie"/>
        <w:ind w:firstLine="709"/>
        <w:jc w:val="both"/>
        <w:rPr>
          <w:rFonts w:ascii="Verdana" w:hAnsi="Verdana" w:cs="Arial"/>
          <w:sz w:val="14"/>
          <w:szCs w:val="14"/>
          <w:lang w:val="es-ES"/>
        </w:rPr>
      </w:pPr>
      <w:r w:rsidRPr="00763254">
        <w:rPr>
          <w:rStyle w:val="Refdenotaalpie"/>
          <w:rFonts w:ascii="Verdana" w:hAnsi="Verdana" w:cs="Arial"/>
          <w:sz w:val="14"/>
          <w:szCs w:val="14"/>
        </w:rPr>
        <w:footnoteRef/>
      </w:r>
      <w:r w:rsidRPr="00763254">
        <w:rPr>
          <w:rFonts w:ascii="Verdana" w:hAnsi="Verdana" w:cs="Arial"/>
          <w:sz w:val="14"/>
          <w:szCs w:val="14"/>
        </w:rPr>
        <w:t xml:space="preserve"> </w:t>
      </w:r>
      <w:r w:rsidRPr="00763254">
        <w:rPr>
          <w:rFonts w:ascii="Verdana" w:hAnsi="Verdana" w:cs="Arial"/>
          <w:i/>
          <w:sz w:val="14"/>
          <w:szCs w:val="14"/>
          <w:lang w:val="es-ES"/>
        </w:rPr>
        <w:t>Ídem</w:t>
      </w:r>
      <w:r w:rsidRPr="00763254">
        <w:rPr>
          <w:rFonts w:ascii="Verdana" w:hAnsi="Verdana" w:cs="Arial"/>
          <w:sz w:val="14"/>
          <w:szCs w:val="14"/>
          <w:lang w:val="es-ES"/>
        </w:rPr>
        <w:t>.</w:t>
      </w:r>
    </w:p>
  </w:footnote>
  <w:footnote w:id="16">
    <w:p w14:paraId="4D31A118" w14:textId="77777777" w:rsidR="006F012C" w:rsidRPr="00763254" w:rsidRDefault="006F012C" w:rsidP="006F012C">
      <w:pPr>
        <w:pStyle w:val="Textonotapie"/>
        <w:ind w:firstLine="709"/>
        <w:jc w:val="both"/>
        <w:rPr>
          <w:rFonts w:ascii="Verdana" w:hAnsi="Verdana" w:cs="Arial"/>
          <w:sz w:val="14"/>
          <w:szCs w:val="14"/>
          <w:lang w:val="es-ES"/>
        </w:rPr>
      </w:pPr>
      <w:r w:rsidRPr="00763254">
        <w:rPr>
          <w:rStyle w:val="Refdenotaalpie"/>
          <w:rFonts w:ascii="Verdana" w:hAnsi="Verdana" w:cs="Arial"/>
          <w:sz w:val="14"/>
          <w:szCs w:val="14"/>
        </w:rPr>
        <w:footnoteRef/>
      </w:r>
      <w:r w:rsidRPr="00763254">
        <w:rPr>
          <w:rStyle w:val="Refdenotaalpie"/>
          <w:rFonts w:ascii="Verdana" w:hAnsi="Verdana" w:cs="Arial"/>
          <w:sz w:val="14"/>
          <w:szCs w:val="14"/>
        </w:rPr>
        <w:t xml:space="preserve"> </w:t>
      </w:r>
      <w:r w:rsidRPr="00763254">
        <w:rPr>
          <w:rFonts w:ascii="Verdana" w:hAnsi="Verdana" w:cs="Arial"/>
          <w:sz w:val="14"/>
          <w:szCs w:val="14"/>
          <w:lang w:val="es-ES"/>
        </w:rPr>
        <w:t xml:space="preserve">“[…] A este respecto, cabe recordar que el artículo 860 del Código de Comercio regula la licitación en el derecho privado”. </w:t>
      </w:r>
    </w:p>
  </w:footnote>
  <w:footnote w:id="17">
    <w:p w14:paraId="03FE072A" w14:textId="77777777" w:rsidR="006F012C" w:rsidRPr="00763254" w:rsidRDefault="006F012C" w:rsidP="006F012C">
      <w:pPr>
        <w:shd w:val="clear" w:color="auto" w:fill="FFFFFF"/>
        <w:spacing w:after="0" w:line="240" w:lineRule="auto"/>
        <w:ind w:firstLine="709"/>
        <w:jc w:val="both"/>
        <w:rPr>
          <w:rFonts w:ascii="Verdana" w:hAnsi="Verdana" w:cs="Arial"/>
          <w:sz w:val="14"/>
          <w:szCs w:val="14"/>
          <w:lang w:val="es-ES"/>
        </w:rPr>
      </w:pPr>
      <w:r w:rsidRPr="00763254">
        <w:rPr>
          <w:rStyle w:val="Refdenotaalpie"/>
          <w:rFonts w:ascii="Verdana" w:hAnsi="Verdana" w:cs="Arial"/>
          <w:sz w:val="14"/>
          <w:szCs w:val="14"/>
        </w:rPr>
        <w:footnoteRef/>
      </w:r>
      <w:r w:rsidRPr="00763254">
        <w:rPr>
          <w:rStyle w:val="Refdenotaalpie"/>
          <w:rFonts w:ascii="Verdana" w:hAnsi="Verdana" w:cs="Arial"/>
          <w:sz w:val="14"/>
          <w:szCs w:val="14"/>
        </w:rPr>
        <w:t xml:space="preserve"> </w:t>
      </w:r>
      <w:r w:rsidRPr="00763254">
        <w:rPr>
          <w:rFonts w:ascii="Verdana" w:hAnsi="Verdana" w:cs="Arial"/>
          <w:sz w:val="14"/>
          <w:szCs w:val="14"/>
          <w:lang w:val="es-ES"/>
        </w:rPr>
        <w:t>Consejo de Estado. Sala de Consulta y Servicio Civil, Concepto de 8 de mayo de 2018. Radicación Número: 11001-03-06-000-2018-00095-00(2382). C.P. Álvaro Namén Vargas.</w:t>
      </w:r>
    </w:p>
  </w:footnote>
  <w:footnote w:id="18">
    <w:p w14:paraId="436589E2" w14:textId="77777777" w:rsidR="006F012C" w:rsidRPr="00763254" w:rsidRDefault="006F012C" w:rsidP="006F012C">
      <w:pPr>
        <w:pStyle w:val="Textonotapie"/>
        <w:ind w:firstLine="709"/>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Consejo de Estado. Sala de Consulta y Servicio Civil. Concepto del 08 de mayo de 2018. Exp. 2.382. C.P. Álvaro Namén Vargas.</w:t>
      </w:r>
    </w:p>
  </w:footnote>
  <w:footnote w:id="19">
    <w:p w14:paraId="296782B6" w14:textId="77777777" w:rsidR="006F012C" w:rsidRPr="00763254" w:rsidRDefault="006F012C" w:rsidP="006F012C">
      <w:pPr>
        <w:pStyle w:val="Textonotapie"/>
        <w:ind w:firstLine="708"/>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Colombia Compra Eficiente. Circular Externa Única. Numeral 16.5. En este sentido, la Agencia ha expresado: “[…] las prórrogas, modificaciones o adiciones, y la cesión de los contratos suscritos antes del período de la campaña electoral, pueden realizarse en cualquier tiempo antes o después del comienzo de la aplicación de la Ley de Garantías, siempre y cuando el contrato se encuentre vigente y se observen las demás disposiciones conforme a las cuales deben realizarse dichas actuaciones”.</w:t>
      </w:r>
    </w:p>
  </w:footnote>
  <w:footnote w:id="20">
    <w:p w14:paraId="030E5145" w14:textId="77777777" w:rsidR="006F012C" w:rsidRPr="00763254" w:rsidRDefault="006F012C" w:rsidP="006F012C">
      <w:pPr>
        <w:pStyle w:val="Textonotapie"/>
        <w:ind w:firstLine="709"/>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La Corte Constitucional mediante Sentencia C-1153-05 de 11 de noviembre de 2005, Magistrado Ponente Marco Gerardo Monroy Cabra, efectuó el Control constitucional al Proyecto de Ley Estatutaria N° 216/05 Senado, N° 235-Cámara que dio lugar a la Ley de Garantías Electorales.</w:t>
      </w:r>
    </w:p>
  </w:footnote>
  <w:footnote w:id="21">
    <w:p w14:paraId="57506CAD" w14:textId="77777777" w:rsidR="006F012C" w:rsidRPr="00763254" w:rsidRDefault="006F012C" w:rsidP="006F012C">
      <w:pPr>
        <w:spacing w:after="0" w:line="240" w:lineRule="auto"/>
        <w:ind w:firstLine="709"/>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Consejo de Estado. Sala de Consulta y Servicio Civil. Concepto de 20 de febrero de 2006. Radicación Número: 11001-03-06-000-2006-00026-00 (1727). C.P. Enrique José Arboleda Perdomo. Conceptuó que para las entidades que contratan por el derecho privado, estaba prohibida la contratación diferente de la licitación pública regulada por el código de comercio, criterio que luego se extendió para aquellos procesos que, en algunos sistemas de contratación utilizados por entidades públicas con regímenes especiales y establecidos en sus manuales de contratación, utilicen convocatoria de manera pública y se permita la participación de una pluralidad de oferentes.</w:t>
      </w:r>
    </w:p>
  </w:footnote>
  <w:footnote w:id="22">
    <w:p w14:paraId="436613EC" w14:textId="77777777" w:rsidR="006F012C" w:rsidRPr="00763254" w:rsidRDefault="006F012C" w:rsidP="006F012C">
      <w:pPr>
        <w:pStyle w:val="Textonotapie"/>
        <w:ind w:right="51" w:firstLine="709"/>
        <w:jc w:val="both"/>
        <w:rPr>
          <w:rFonts w:ascii="Verdana" w:eastAsia="Times New Roman" w:hAnsi="Verdana" w:cs="Arial"/>
          <w:bCs/>
          <w:sz w:val="14"/>
          <w:szCs w:val="14"/>
          <w:lang w:eastAsia="x-none"/>
        </w:rPr>
      </w:pPr>
      <w:r w:rsidRPr="00763254">
        <w:rPr>
          <w:rStyle w:val="Refdenotaalpie"/>
          <w:rFonts w:ascii="Verdana" w:hAnsi="Verdana" w:cs="Arial"/>
          <w:sz w:val="14"/>
          <w:szCs w:val="14"/>
        </w:rPr>
        <w:footnoteRef/>
      </w:r>
      <w:r w:rsidRPr="00763254">
        <w:rPr>
          <w:rFonts w:ascii="Verdana" w:hAnsi="Verdana" w:cs="Arial"/>
          <w:sz w:val="14"/>
          <w:szCs w:val="14"/>
        </w:rPr>
        <w:t xml:space="preserve"> Consejo de Estado. Sala de Consulta y Servicio Civil. Concepto de 6 de abril de 2006. Radicación Número: 11001-03-06-000-2006-00038-00 (1738). C.P. Enrique José Arboleda Perdomo:</w:t>
      </w:r>
      <w:r w:rsidRPr="00763254">
        <w:rPr>
          <w:rFonts w:ascii="Verdana" w:eastAsia="Times New Roman" w:hAnsi="Verdana" w:cs="Arial"/>
          <w:bCs/>
          <w:sz w:val="14"/>
          <w:szCs w:val="14"/>
          <w:lang w:eastAsia="x-none"/>
        </w:rPr>
        <w:t xml:space="preserve"> “</w:t>
      </w:r>
      <w:r w:rsidRPr="00763254">
        <w:rPr>
          <w:rFonts w:ascii="Verdana" w:hAnsi="Verdana" w:cs="Arial"/>
          <w:sz w:val="14"/>
          <w:szCs w:val="14"/>
        </w:rPr>
        <w:t>Si bien en el tema del concepto del que se extractaron los párrafos transcritos, se hacía referencia a las empresas de servicios públicos domiciliarios mixtas, la explicación dada cobija también a las empresas industriales y comerciales del estado y a las de crédito, pues todas ellas hacen parte de la definición de administración pública de la ley 489 de 1998, y además encajan dentro de la noción de todos los entes del Estado que trae la ley 996 de 2005 en el artículo 33, de manera que no es lógico pretender exonerarse de ésta prohibición alegando un régimen especial de los actos o contratos</w:t>
      </w:r>
      <w:r w:rsidRPr="00763254">
        <w:rPr>
          <w:rFonts w:ascii="Verdana" w:eastAsia="Times New Roman" w:hAnsi="Verdana" w:cs="Arial"/>
          <w:bCs/>
          <w:sz w:val="14"/>
          <w:szCs w:val="14"/>
          <w:lang w:eastAsia="x-none"/>
        </w:rPr>
        <w:t>”.</w:t>
      </w:r>
    </w:p>
  </w:footnote>
  <w:footnote w:id="23">
    <w:p w14:paraId="3E1724DE" w14:textId="77777777" w:rsidR="006F012C" w:rsidRPr="00763254" w:rsidRDefault="006F012C" w:rsidP="006F012C">
      <w:pPr>
        <w:spacing w:after="0" w:line="240" w:lineRule="auto"/>
        <w:ind w:firstLine="708"/>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Consejo de Estado. Sala de Consulta y Servicio Civil. Concepto de 6 de abril de 2006. Radicación Número: 11001-03-06-000-2006-00038-00(1738). Consejero Ponente: Enrique José Arboleda Perdomo. </w:t>
      </w:r>
    </w:p>
  </w:footnote>
  <w:footnote w:id="24">
    <w:p w14:paraId="18EE3437" w14:textId="77777777" w:rsidR="006F012C" w:rsidRPr="00763254" w:rsidRDefault="006F012C" w:rsidP="006F012C">
      <w:pPr>
        <w:pStyle w:val="Textonotapie"/>
        <w:ind w:right="51" w:firstLine="709"/>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Consejo de Estado. Sala de Consulta y Servicio Civil, ídem.</w:t>
      </w:r>
    </w:p>
  </w:footnote>
  <w:footnote w:id="25">
    <w:p w14:paraId="0555D41D" w14:textId="77777777" w:rsidR="006F012C" w:rsidRPr="00763254" w:rsidRDefault="006F012C" w:rsidP="006F012C">
      <w:pPr>
        <w:pStyle w:val="Textonotapie"/>
        <w:ind w:right="51" w:firstLine="709"/>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Consejo de Estado. Sala de Consulta y Servicio Civil. Concepto del 20 de febrero de 2006. Rad. 1727. C.P. Enrique José Arboleda Perdomo. </w:t>
      </w:r>
    </w:p>
  </w:footnote>
  <w:footnote w:id="26">
    <w:p w14:paraId="48B6FD81" w14:textId="77777777" w:rsidR="006F012C" w:rsidRPr="00763254" w:rsidRDefault="006F012C" w:rsidP="006F012C">
      <w:pPr>
        <w:pStyle w:val="Textonotapie"/>
        <w:ind w:firstLine="709"/>
        <w:jc w:val="both"/>
        <w:rPr>
          <w:rFonts w:ascii="Verdana" w:hAnsi="Verdana" w:cs="Arial"/>
          <w:sz w:val="14"/>
          <w:szCs w:val="14"/>
        </w:rPr>
      </w:pPr>
      <w:r w:rsidRPr="00763254">
        <w:rPr>
          <w:rStyle w:val="Refdenotaalpie"/>
          <w:rFonts w:ascii="Verdana" w:hAnsi="Verdana" w:cs="Arial"/>
          <w:sz w:val="14"/>
          <w:szCs w:val="14"/>
        </w:rPr>
        <w:footnoteRef/>
      </w:r>
      <w:r w:rsidRPr="00763254">
        <w:rPr>
          <w:rFonts w:ascii="Verdana" w:hAnsi="Verdana" w:cs="Arial"/>
          <w:sz w:val="14"/>
          <w:szCs w:val="14"/>
        </w:rPr>
        <w:t xml:space="preserve"> </w:t>
      </w:r>
      <w:bookmarkStart w:id="13" w:name="_Hlk192533196"/>
      <w:r w:rsidRPr="00763254">
        <w:rPr>
          <w:rFonts w:ascii="Verdana" w:hAnsi="Verdana" w:cs="Arial"/>
          <w:sz w:val="14"/>
          <w:szCs w:val="14"/>
        </w:rPr>
        <w:t>Consejo de Estado. Sala de Consulta y Servicio Civil. Concepto del 15 de noviembre de 2007. Rad. 1863. C.P.: Luis Fernando Álvarez Jaramillo.</w:t>
      </w:r>
      <w:bookmarkEnd w:id="1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1FD1C243" w14:textId="1060FF58" w:rsidR="008A446D" w:rsidRPr="00C925AC" w:rsidRDefault="008A446D" w:rsidP="000D5DA7">
    <w:pPr>
      <w:spacing w:after="0" w:line="480" w:lineRule="auto"/>
      <w:rPr>
        <w:rFonts w:ascii="Verdana" w:hAnsi="Verdana"/>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1758954">
    <w:abstractNumId w:val="6"/>
  </w:num>
  <w:num w:numId="2" w16cid:durableId="2048991199">
    <w:abstractNumId w:val="1"/>
  </w:num>
  <w:num w:numId="3" w16cid:durableId="2038577288">
    <w:abstractNumId w:val="4"/>
  </w:num>
  <w:num w:numId="4" w16cid:durableId="14949500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2349401">
    <w:abstractNumId w:val="1"/>
  </w:num>
  <w:num w:numId="6" w16cid:durableId="1407342211">
    <w:abstractNumId w:val="13"/>
  </w:num>
  <w:num w:numId="7" w16cid:durableId="1981038280">
    <w:abstractNumId w:val="5"/>
  </w:num>
  <w:num w:numId="8" w16cid:durableId="1719014339">
    <w:abstractNumId w:val="12"/>
  </w:num>
  <w:num w:numId="9" w16cid:durableId="103421516">
    <w:abstractNumId w:val="7"/>
  </w:num>
  <w:num w:numId="10" w16cid:durableId="2004813308">
    <w:abstractNumId w:val="11"/>
  </w:num>
  <w:num w:numId="11" w16cid:durableId="1136263569">
    <w:abstractNumId w:val="8"/>
  </w:num>
  <w:num w:numId="12" w16cid:durableId="810366182">
    <w:abstractNumId w:val="0"/>
  </w:num>
  <w:num w:numId="13" w16cid:durableId="1170027264">
    <w:abstractNumId w:val="2"/>
  </w:num>
  <w:num w:numId="14" w16cid:durableId="749930079">
    <w:abstractNumId w:val="14"/>
  </w:num>
  <w:num w:numId="15" w16cid:durableId="679697212">
    <w:abstractNumId w:val="10"/>
  </w:num>
  <w:num w:numId="16" w16cid:durableId="1740202389">
    <w:abstractNumId w:val="3"/>
  </w:num>
  <w:num w:numId="17" w16cid:durableId="12096099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490D"/>
    <w:rsid w:val="00016F78"/>
    <w:rsid w:val="00046945"/>
    <w:rsid w:val="00061B2A"/>
    <w:rsid w:val="00082362"/>
    <w:rsid w:val="00085C97"/>
    <w:rsid w:val="000A683E"/>
    <w:rsid w:val="000B19B9"/>
    <w:rsid w:val="000D0334"/>
    <w:rsid w:val="000D5DA7"/>
    <w:rsid w:val="000F6486"/>
    <w:rsid w:val="00116940"/>
    <w:rsid w:val="00125105"/>
    <w:rsid w:val="00127233"/>
    <w:rsid w:val="0015699B"/>
    <w:rsid w:val="001A33BF"/>
    <w:rsid w:val="001A3FB0"/>
    <w:rsid w:val="001E4177"/>
    <w:rsid w:val="001F0B24"/>
    <w:rsid w:val="001F7DC6"/>
    <w:rsid w:val="00207ED4"/>
    <w:rsid w:val="0022400B"/>
    <w:rsid w:val="002421BB"/>
    <w:rsid w:val="0025796E"/>
    <w:rsid w:val="002707A2"/>
    <w:rsid w:val="00292861"/>
    <w:rsid w:val="002951A0"/>
    <w:rsid w:val="002962BC"/>
    <w:rsid w:val="002A093D"/>
    <w:rsid w:val="002A0DD0"/>
    <w:rsid w:val="002A49AC"/>
    <w:rsid w:val="002A64FD"/>
    <w:rsid w:val="002B0705"/>
    <w:rsid w:val="002C7A84"/>
    <w:rsid w:val="002D009A"/>
    <w:rsid w:val="002E2BF8"/>
    <w:rsid w:val="002E4FD9"/>
    <w:rsid w:val="002F5FAA"/>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71170"/>
    <w:rsid w:val="004775F6"/>
    <w:rsid w:val="004A1847"/>
    <w:rsid w:val="004A305D"/>
    <w:rsid w:val="004E205F"/>
    <w:rsid w:val="004F21C4"/>
    <w:rsid w:val="004F685F"/>
    <w:rsid w:val="005566E8"/>
    <w:rsid w:val="00574867"/>
    <w:rsid w:val="00576FA0"/>
    <w:rsid w:val="00591460"/>
    <w:rsid w:val="00592543"/>
    <w:rsid w:val="005A65E0"/>
    <w:rsid w:val="005C3777"/>
    <w:rsid w:val="005C5CDC"/>
    <w:rsid w:val="005D476C"/>
    <w:rsid w:val="006200BF"/>
    <w:rsid w:val="00621901"/>
    <w:rsid w:val="006219F8"/>
    <w:rsid w:val="006302F7"/>
    <w:rsid w:val="00646B9F"/>
    <w:rsid w:val="00665D70"/>
    <w:rsid w:val="006900D9"/>
    <w:rsid w:val="006F012C"/>
    <w:rsid w:val="00706C16"/>
    <w:rsid w:val="007340C3"/>
    <w:rsid w:val="0075235A"/>
    <w:rsid w:val="00756841"/>
    <w:rsid w:val="00763254"/>
    <w:rsid w:val="007649AB"/>
    <w:rsid w:val="00771D0C"/>
    <w:rsid w:val="007833AC"/>
    <w:rsid w:val="007B268C"/>
    <w:rsid w:val="007B7171"/>
    <w:rsid w:val="007C0C0F"/>
    <w:rsid w:val="007C3DC2"/>
    <w:rsid w:val="007E5497"/>
    <w:rsid w:val="00806F5F"/>
    <w:rsid w:val="00820278"/>
    <w:rsid w:val="008258C9"/>
    <w:rsid w:val="0082761E"/>
    <w:rsid w:val="00827C20"/>
    <w:rsid w:val="00844AE9"/>
    <w:rsid w:val="00867F95"/>
    <w:rsid w:val="00872D91"/>
    <w:rsid w:val="008843B6"/>
    <w:rsid w:val="00891928"/>
    <w:rsid w:val="008A446D"/>
    <w:rsid w:val="008B25F1"/>
    <w:rsid w:val="008D180B"/>
    <w:rsid w:val="008F0EA7"/>
    <w:rsid w:val="00923EEF"/>
    <w:rsid w:val="009419F9"/>
    <w:rsid w:val="0095685E"/>
    <w:rsid w:val="00961B09"/>
    <w:rsid w:val="00965334"/>
    <w:rsid w:val="0097093E"/>
    <w:rsid w:val="00982EA5"/>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859D4"/>
    <w:rsid w:val="00AB0ADB"/>
    <w:rsid w:val="00AD7975"/>
    <w:rsid w:val="00AE33A0"/>
    <w:rsid w:val="00AF59B8"/>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CC5B75"/>
    <w:rsid w:val="00CF1CB3"/>
    <w:rsid w:val="00D13AA8"/>
    <w:rsid w:val="00D32DDC"/>
    <w:rsid w:val="00D361FD"/>
    <w:rsid w:val="00D423A2"/>
    <w:rsid w:val="00D44E26"/>
    <w:rsid w:val="00D520D8"/>
    <w:rsid w:val="00D63AC2"/>
    <w:rsid w:val="00D7383B"/>
    <w:rsid w:val="00D7788A"/>
    <w:rsid w:val="00DA10B5"/>
    <w:rsid w:val="00DA231B"/>
    <w:rsid w:val="00DB3F76"/>
    <w:rsid w:val="00DC39FC"/>
    <w:rsid w:val="00DD79FA"/>
    <w:rsid w:val="00DF5254"/>
    <w:rsid w:val="00E02524"/>
    <w:rsid w:val="00E16408"/>
    <w:rsid w:val="00E20894"/>
    <w:rsid w:val="00E245AB"/>
    <w:rsid w:val="00E2764C"/>
    <w:rsid w:val="00E27F2E"/>
    <w:rsid w:val="00E50AFE"/>
    <w:rsid w:val="00E75C92"/>
    <w:rsid w:val="00E771DC"/>
    <w:rsid w:val="00E80B85"/>
    <w:rsid w:val="00E81C15"/>
    <w:rsid w:val="00E8772A"/>
    <w:rsid w:val="00E90F6B"/>
    <w:rsid w:val="00E92C27"/>
    <w:rsid w:val="00EA0E3D"/>
    <w:rsid w:val="00EC38A7"/>
    <w:rsid w:val="00EE1AA8"/>
    <w:rsid w:val="00F23FEA"/>
    <w:rsid w:val="00F31EDC"/>
    <w:rsid w:val="00F462B3"/>
    <w:rsid w:val="00F47F6E"/>
    <w:rsid w:val="00F5664F"/>
    <w:rsid w:val="00F666C4"/>
    <w:rsid w:val="00F701C5"/>
    <w:rsid w:val="00F76AFC"/>
    <w:rsid w:val="00FA47C0"/>
    <w:rsid w:val="00FB5DD1"/>
    <w:rsid w:val="00FC0A32"/>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3440EBBB-6FE9-469C-9D91-77D1F658D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C9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6F012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6F012C"/>
    <w:pPr>
      <w:spacing w:line="240" w:lineRule="exact"/>
    </w:pPr>
    <w:rPr>
      <w:vertAlign w:val="superscript"/>
    </w:rPr>
  </w:style>
  <w:style w:type="character" w:customStyle="1" w:styleId="NormalWebCar">
    <w:name w:val="Normal (Web) Car"/>
    <w:link w:val="NormalWeb"/>
    <w:uiPriority w:val="99"/>
    <w:locked/>
    <w:rsid w:val="006F012C"/>
    <w:rPr>
      <w:rFonts w:ascii="Times New Roman" w:eastAsia="Times New Roman" w:hAnsi="Times New Roman" w:cs="Times New Roman"/>
      <w:sz w:val="24"/>
      <w:szCs w:val="24"/>
      <w:lang w:eastAsia="es-CO"/>
    </w:rPr>
  </w:style>
  <w:style w:type="character" w:customStyle="1" w:styleId="baj">
    <w:name w:val="b_aj"/>
    <w:basedOn w:val="Fuentedeprrafopredeter"/>
    <w:rsid w:val="006F012C"/>
  </w:style>
  <w:style w:type="character" w:styleId="Fuerte">
    <w:name w:val="Strong"/>
    <w:basedOn w:val="Fuentedeprrafopredeter"/>
    <w:uiPriority w:val="22"/>
    <w:qFormat/>
    <w:rsid w:val="00F701C5"/>
    <w:rPr>
      <w:b/>
      <w:bCs/>
    </w:rPr>
  </w:style>
  <w:style w:type="character" w:styleId="nfasis">
    <w:name w:val="Emphasis"/>
    <w:basedOn w:val="Fuentedeprrafopredeter"/>
    <w:uiPriority w:val="20"/>
    <w:qFormat/>
    <w:rsid w:val="00F701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1802071365">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uncionpublica.gov.co/eva/gestornormativo/norma.php?i=1501" TargetMode="External"/><Relationship Id="rId18" Type="http://schemas.openxmlformats.org/officeDocument/2006/relationships/hyperlink" Target="https://relatoria.colombiacompra.gov.co/busqueda/concepto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7" Type="http://schemas.openxmlformats.org/officeDocument/2006/relationships/webSettings" Target="webSettings.xml"/><Relationship Id="rId12" Type="http://schemas.openxmlformats.org/officeDocument/2006/relationships/hyperlink" Target="mailto:dargiraldo1@gmail.com" TargetMode="External"/><Relationship Id="rId17" Type="http://schemas.openxmlformats.org/officeDocument/2006/relationships/hyperlink" Target="https://www.funcionpublica.gov.co/eva/gestornormativo/norma.php?i=18232"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funcionpublica.gov.co/eva/gestornormativo/norma.php?i=18232" TargetMode="External"/><Relationship Id="rId20" Type="http://schemas.openxmlformats.org/officeDocument/2006/relationships/hyperlink" Target="https://www.colombiacompra.gov.co/normativa-y-relatoria/documentos-tipo"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hyperlink" Target="https://forms.office.com/r/pPHyWVs2SZ" TargetMode="External"/><Relationship Id="rId5" Type="http://schemas.openxmlformats.org/officeDocument/2006/relationships/styles" Target="styles.xml"/><Relationship Id="rId15" Type="http://schemas.openxmlformats.org/officeDocument/2006/relationships/hyperlink" Target="https://www.funcionpublica.gov.co/eva/gestornormativo/norma.php?i=18232" TargetMode="External"/><Relationship Id="rId23" Type="http://schemas.openxmlformats.org/officeDocument/2006/relationships/hyperlink" Target="https://www.colombiacompra.gov.co/pqrsd/informacion-importante-antes-de-formular-una-pqrsd" TargetMode="External"/><Relationship Id="rId28" Type="http://schemas.openxmlformats.org/officeDocument/2006/relationships/fontTable" Target="fontTable.xml"/><Relationship Id="rId10" Type="http://schemas.openxmlformats.org/officeDocument/2006/relationships/hyperlink" Target="https://www.funcionpublica.gov.co/eva/gestornormativo/norma.php?i=1501" TargetMode="External"/><Relationship Id="rId19" Type="http://schemas.openxmlformats.org/officeDocument/2006/relationships/hyperlink" Target="https://formacionvirtual.colombiacompra.gov.co/mod/page/view.php?id=371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uncionpublica.gov.co/eva/gestornormativo/norma.php?i=18232" TargetMode="External"/><Relationship Id="rId22" Type="http://schemas.openxmlformats.org/officeDocument/2006/relationships/hyperlink" Target="mailto:ventanilladeradicacion@colombiacompra.gov.co"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94CDBE-F280-4EEA-8570-8BD574135930}"/>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8</TotalTime>
  <Pages>30</Pages>
  <Words>11167</Words>
  <Characters>61423</Characters>
  <Application>Microsoft Office Word</Application>
  <DocSecurity>0</DocSecurity>
  <Lines>511</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Oscar David Mórelo Pedroza</cp:lastModifiedBy>
  <cp:revision>2</cp:revision>
  <cp:lastPrinted>2023-01-10T18:18:00Z</cp:lastPrinted>
  <dcterms:created xsi:type="dcterms:W3CDTF">2026-07-29T20:20:00Z</dcterms:created>
  <dcterms:modified xsi:type="dcterms:W3CDTF">2026-07-29T20:20:00Z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