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D37D3" w14:textId="2F114032" w:rsidR="00F47F6E" w:rsidRDefault="00F47F6E" w:rsidP="00F47F6E">
      <w:pPr>
        <w:spacing w:after="0"/>
        <w:ind w:left="4248" w:firstLine="708"/>
        <w:rPr>
          <w:rFonts w:ascii="Verdana" w:eastAsia="Verdana" w:hAnsi="Verdana" w:cs="Verdana"/>
        </w:rPr>
      </w:pPr>
      <w:bookmarkStart w:id="0" w:name="_Hlk143780582"/>
    </w:p>
    <w:p w14:paraId="714C382C" w14:textId="77777777" w:rsidR="00F47F6E" w:rsidRDefault="00F47F6E" w:rsidP="30821638">
      <w:pPr>
        <w:spacing w:after="0"/>
        <w:rPr>
          <w:rFonts w:ascii="Verdana" w:eastAsia="Verdana" w:hAnsi="Verdana" w:cs="Verdana"/>
        </w:rPr>
      </w:pPr>
    </w:p>
    <w:p w14:paraId="07191C81" w14:textId="77777777" w:rsidR="00F47F6E" w:rsidRDefault="00F47F6E" w:rsidP="30821638">
      <w:pPr>
        <w:spacing w:after="0"/>
        <w:rPr>
          <w:rFonts w:ascii="Verdana" w:eastAsia="Verdana" w:hAnsi="Verdana" w:cs="Verdana"/>
        </w:rPr>
      </w:pPr>
    </w:p>
    <w:p w14:paraId="19756FDF"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t xml:space="preserve">LEY DE GARANTÍAS ELECTORALES </w:t>
      </w:r>
      <w:r w:rsidRPr="00437C34">
        <w:rPr>
          <w:rFonts w:ascii="Verdana" w:hAnsi="Verdana" w:cs="Arial"/>
          <w:b/>
          <w:bCs/>
          <w:lang w:val="es-MX" w:eastAsia="es-ES_tradnl"/>
        </w:rPr>
        <w:t>‒</w:t>
      </w:r>
      <w:r w:rsidRPr="00437C34">
        <w:rPr>
          <w:rFonts w:ascii="Verdana" w:hAnsi="Verdana" w:cs="Arial"/>
          <w:b/>
          <w:lang w:val="es-MX" w:eastAsia="es-ES_tradnl"/>
        </w:rPr>
        <w:t xml:space="preserve"> Finalidad </w:t>
      </w:r>
    </w:p>
    <w:p w14:paraId="495177C8" w14:textId="77777777" w:rsidR="006F012C" w:rsidRPr="00437C34" w:rsidRDefault="006F012C" w:rsidP="006F012C">
      <w:pPr>
        <w:spacing w:after="0" w:line="240" w:lineRule="auto"/>
        <w:jc w:val="both"/>
        <w:rPr>
          <w:rFonts w:ascii="Verdana" w:hAnsi="Verdana" w:cs="Arial"/>
          <w:b/>
          <w:lang w:val="es-MX" w:eastAsia="es-ES_tradnl"/>
        </w:rPr>
      </w:pPr>
    </w:p>
    <w:p w14:paraId="556D0F38" w14:textId="77777777" w:rsidR="006F012C" w:rsidRPr="00437C34" w:rsidRDefault="006F012C" w:rsidP="006F012C">
      <w:pPr>
        <w:spacing w:after="0" w:line="240" w:lineRule="auto"/>
        <w:jc w:val="both"/>
        <w:rPr>
          <w:rFonts w:ascii="Verdana" w:eastAsia="Times New Roman" w:hAnsi="Verdana" w:cs="Arial"/>
          <w:sz w:val="20"/>
          <w:lang w:val="es-MX" w:eastAsia="es-CO"/>
        </w:rPr>
      </w:pPr>
      <w:r w:rsidRPr="00437C34">
        <w:rPr>
          <w:rFonts w:ascii="Verdana" w:eastAsia="Times New Roman" w:hAnsi="Verdana" w:cs="Arial"/>
          <w:sz w:val="20"/>
          <w:lang w:val="es-MX" w:eastAsia="es-CO"/>
        </w:rPr>
        <w:t>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w:t>
      </w:r>
    </w:p>
    <w:p w14:paraId="53EDAFD5" w14:textId="77777777" w:rsidR="006F012C" w:rsidRPr="00437C34" w:rsidRDefault="006F012C" w:rsidP="006F012C">
      <w:pPr>
        <w:spacing w:after="0" w:line="240" w:lineRule="auto"/>
        <w:jc w:val="both"/>
        <w:rPr>
          <w:rFonts w:ascii="Verdana" w:hAnsi="Verdana" w:cs="Arial"/>
          <w:b/>
          <w:sz w:val="20"/>
          <w:lang w:val="es-MX" w:eastAsia="es-ES_tradnl"/>
        </w:rPr>
      </w:pPr>
    </w:p>
    <w:p w14:paraId="607F6C13"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t xml:space="preserve">LEY DE GARANTÍAS ELECTORALES </w:t>
      </w:r>
      <w:r w:rsidRPr="00437C34">
        <w:rPr>
          <w:rFonts w:ascii="Verdana" w:hAnsi="Verdana" w:cs="Arial"/>
          <w:b/>
          <w:bCs/>
          <w:lang w:val="es-MX" w:eastAsia="es-ES_tradnl"/>
        </w:rPr>
        <w:t>‒</w:t>
      </w:r>
      <w:r w:rsidRPr="00437C34">
        <w:rPr>
          <w:rFonts w:ascii="Verdana" w:hAnsi="Verdana" w:cs="Arial"/>
          <w:b/>
          <w:lang w:val="es-MX" w:eastAsia="es-ES_tradnl"/>
        </w:rPr>
        <w:t xml:space="preserve"> Tipos de restricciones </w:t>
      </w:r>
      <w:r w:rsidRPr="00437C34">
        <w:rPr>
          <w:rFonts w:ascii="Verdana" w:hAnsi="Verdana" w:cs="Arial"/>
          <w:b/>
          <w:bCs/>
          <w:lang w:val="es-MX" w:eastAsia="es-ES_tradnl"/>
        </w:rPr>
        <w:t>‒</w:t>
      </w:r>
      <w:r w:rsidRPr="00437C34">
        <w:rPr>
          <w:rFonts w:ascii="Verdana" w:hAnsi="Verdana" w:cs="Arial"/>
          <w:b/>
          <w:lang w:val="es-MX" w:eastAsia="es-ES_tradnl"/>
        </w:rPr>
        <w:t xml:space="preserve"> Ámbito temporal – </w:t>
      </w:r>
      <w:r>
        <w:rPr>
          <w:rFonts w:ascii="Verdana" w:hAnsi="Verdana" w:cs="Arial"/>
          <w:b/>
          <w:lang w:val="es-MX" w:eastAsia="es-ES_tradnl"/>
        </w:rPr>
        <w:t>C</w:t>
      </w:r>
      <w:r w:rsidRPr="00437C34">
        <w:rPr>
          <w:rFonts w:ascii="Verdana" w:hAnsi="Verdana" w:cs="Arial"/>
          <w:b/>
          <w:lang w:val="es-MX" w:eastAsia="es-ES_tradnl"/>
        </w:rPr>
        <w:t>elebración</w:t>
      </w:r>
      <w:r>
        <w:rPr>
          <w:rFonts w:ascii="Verdana" w:hAnsi="Verdana" w:cs="Arial"/>
          <w:b/>
          <w:lang w:val="es-MX" w:eastAsia="es-ES_tradnl"/>
        </w:rPr>
        <w:t xml:space="preserve"> </w:t>
      </w:r>
      <w:r w:rsidRPr="002D53EA">
        <w:rPr>
          <w:rFonts w:ascii="Verdana" w:hAnsi="Verdana" w:cs="Arial"/>
          <w:b/>
          <w:bCs/>
          <w:lang w:val="es-ES" w:eastAsia="es-ES_tradnl"/>
        </w:rPr>
        <w:t>–</w:t>
      </w:r>
      <w:r w:rsidRPr="00437C34">
        <w:rPr>
          <w:rFonts w:ascii="Verdana" w:hAnsi="Verdana" w:cs="Arial"/>
          <w:b/>
          <w:lang w:val="es-MX" w:eastAsia="es-ES_tradnl"/>
        </w:rPr>
        <w:t xml:space="preserve"> </w:t>
      </w:r>
      <w:r>
        <w:rPr>
          <w:rFonts w:ascii="Verdana" w:hAnsi="Verdana" w:cs="Arial"/>
          <w:b/>
          <w:lang w:val="es-MX" w:eastAsia="es-ES_tradnl"/>
        </w:rPr>
        <w:t>L</w:t>
      </w:r>
      <w:r w:rsidRPr="00437C34">
        <w:rPr>
          <w:rFonts w:ascii="Verdana" w:hAnsi="Verdana" w:cs="Arial"/>
          <w:b/>
          <w:lang w:val="es-MX" w:eastAsia="es-ES_tradnl"/>
        </w:rPr>
        <w:t>ímite</w:t>
      </w:r>
    </w:p>
    <w:p w14:paraId="1361EBBF" w14:textId="77777777" w:rsidR="006F012C" w:rsidRPr="00437C34" w:rsidRDefault="006F012C" w:rsidP="006F012C">
      <w:pPr>
        <w:spacing w:after="0" w:line="240" w:lineRule="auto"/>
        <w:jc w:val="both"/>
        <w:rPr>
          <w:rFonts w:ascii="Verdana" w:hAnsi="Verdana" w:cs="Arial"/>
          <w:b/>
          <w:lang w:val="es-MX" w:eastAsia="es-ES_tradnl"/>
        </w:rPr>
      </w:pPr>
    </w:p>
    <w:p w14:paraId="2E9DC5DF" w14:textId="77777777" w:rsidR="006F012C" w:rsidRPr="00437C34" w:rsidRDefault="006F012C" w:rsidP="006F012C">
      <w:pPr>
        <w:spacing w:after="0" w:line="240" w:lineRule="auto"/>
        <w:jc w:val="both"/>
        <w:rPr>
          <w:rFonts w:ascii="Verdana" w:eastAsia="Calibri" w:hAnsi="Verdana" w:cs="Arial"/>
          <w:sz w:val="20"/>
        </w:rPr>
      </w:pPr>
      <w:r w:rsidRPr="00437C34">
        <w:rPr>
          <w:rFonts w:ascii="Verdana" w:eastAsia="Calibri" w:hAnsi="Verdana" w:cs="Arial"/>
          <w:sz w:val="20"/>
        </w:rPr>
        <w:t xml:space="preserve">Por un lado, el </w:t>
      </w:r>
      <w:r w:rsidRPr="00437C34">
        <w:rPr>
          <w:rFonts w:ascii="Verdana" w:eastAsia="Calibri" w:hAnsi="Verdana" w:cs="Arial"/>
          <w:i/>
          <w:iCs/>
          <w:sz w:val="20"/>
        </w:rPr>
        <w:t>artículo 33 de la Ley 996 de 2005</w:t>
      </w:r>
      <w:r w:rsidRPr="00437C34">
        <w:rPr>
          <w:rFonts w:ascii="Verdana" w:eastAsia="Calibri" w:hAnsi="Verdana" w:cs="Arial"/>
          <w:sz w:val="20"/>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75BCBA6D" w14:textId="77777777" w:rsidR="006F012C" w:rsidRPr="00437C34" w:rsidRDefault="006F012C" w:rsidP="006F012C">
      <w:pPr>
        <w:spacing w:after="0" w:line="240" w:lineRule="auto"/>
        <w:jc w:val="both"/>
        <w:rPr>
          <w:rFonts w:ascii="Verdana" w:eastAsia="Calibri" w:hAnsi="Verdana" w:cs="Arial"/>
          <w:sz w:val="20"/>
        </w:rPr>
      </w:pPr>
    </w:p>
    <w:p w14:paraId="6448CD33" w14:textId="77777777" w:rsidR="006F012C" w:rsidRPr="00437C34" w:rsidRDefault="006F012C" w:rsidP="006F012C">
      <w:pPr>
        <w:widowControl w:val="0"/>
        <w:autoSpaceDE w:val="0"/>
        <w:autoSpaceDN w:val="0"/>
        <w:spacing w:after="0" w:line="240" w:lineRule="auto"/>
        <w:ind w:right="113"/>
        <w:jc w:val="both"/>
        <w:rPr>
          <w:rFonts w:ascii="Verdana" w:eastAsia="Arial" w:hAnsi="Verdana" w:cs="Arial"/>
          <w:sz w:val="20"/>
          <w:lang w:val="es-ES" w:eastAsia="es-ES" w:bidi="es-ES"/>
        </w:rPr>
      </w:pPr>
      <w:r w:rsidRPr="00437C34">
        <w:rPr>
          <w:rFonts w:ascii="Verdana" w:eastAsia="Calibri" w:hAnsi="Verdana" w:cs="Arial"/>
          <w:sz w:val="20"/>
        </w:rPr>
        <w:t xml:space="preserve">Por otro lado, </w:t>
      </w:r>
      <w:r w:rsidRPr="00437C34">
        <w:rPr>
          <w:rFonts w:ascii="Verdana" w:eastAsia="Calibri" w:hAnsi="Verdana" w:cs="Arial"/>
          <w:i/>
          <w:iCs/>
          <w:sz w:val="20"/>
        </w:rPr>
        <w:t>el parágrafo del artículo 38 de la Ley 996 de 2005</w:t>
      </w:r>
      <w:r w:rsidRPr="00437C34">
        <w:rPr>
          <w:rFonts w:ascii="Verdana" w:eastAsia="Calibri" w:hAnsi="Verdana" w:cs="Arial"/>
          <w:sz w:val="20"/>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437C34">
        <w:rPr>
          <w:rFonts w:ascii="Verdana" w:eastAsia="Calibri" w:hAnsi="Verdana" w:cs="Arial"/>
          <w:sz w:val="20"/>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437C34">
        <w:rPr>
          <w:rFonts w:ascii="Verdana" w:eastAsia="Calibri" w:hAnsi="Verdana" w:cs="Arial"/>
          <w:sz w:val="20"/>
        </w:rPr>
        <w:t>”</w:t>
      </w:r>
      <w:r w:rsidRPr="00437C34">
        <w:rPr>
          <w:rFonts w:ascii="Verdana" w:eastAsia="Calibri" w:hAnsi="Verdana" w:cs="Arial"/>
          <w:sz w:val="20"/>
          <w:lang w:val="es-MX"/>
        </w:rPr>
        <w:t>.</w:t>
      </w:r>
      <w:r w:rsidRPr="00437C34">
        <w:rPr>
          <w:rFonts w:ascii="Verdana" w:eastAsia="Arial" w:hAnsi="Verdana" w:cs="Arial"/>
          <w:sz w:val="20"/>
          <w:lang w:val="es-ES" w:eastAsia="es-ES" w:bidi="es-ES"/>
        </w:rPr>
        <w:t xml:space="preserve"> </w:t>
      </w:r>
    </w:p>
    <w:p w14:paraId="57F5030E" w14:textId="77777777" w:rsidR="006F012C" w:rsidRPr="00437C34" w:rsidRDefault="006F012C" w:rsidP="006F012C">
      <w:pPr>
        <w:widowControl w:val="0"/>
        <w:autoSpaceDE w:val="0"/>
        <w:autoSpaceDN w:val="0"/>
        <w:spacing w:after="0" w:line="240" w:lineRule="auto"/>
        <w:ind w:right="113"/>
        <w:jc w:val="both"/>
        <w:rPr>
          <w:rFonts w:ascii="Verdana" w:eastAsia="Arial" w:hAnsi="Verdana" w:cs="Arial"/>
          <w:sz w:val="20"/>
          <w:lang w:val="es-ES" w:eastAsia="es-ES" w:bidi="es-ES"/>
        </w:rPr>
      </w:pPr>
    </w:p>
    <w:p w14:paraId="6D830EA5" w14:textId="77777777" w:rsidR="006F012C" w:rsidRPr="00437C34" w:rsidRDefault="006F012C" w:rsidP="006F012C">
      <w:pPr>
        <w:spacing w:after="0" w:line="240" w:lineRule="auto"/>
        <w:jc w:val="both"/>
        <w:rPr>
          <w:rFonts w:ascii="Verdana" w:eastAsia="Times New Roman" w:hAnsi="Verdana" w:cs="Arial"/>
          <w:bCs/>
          <w:sz w:val="20"/>
          <w:lang w:val="es-ES" w:eastAsia="es-CO"/>
        </w:rPr>
      </w:pPr>
      <w:r w:rsidRPr="00437C34">
        <w:rPr>
          <w:rFonts w:ascii="Verdana" w:eastAsia="Times New Roman" w:hAnsi="Verdana" w:cs="Arial"/>
          <w:bCs/>
          <w:sz w:val="20"/>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437C34">
        <w:rPr>
          <w:rFonts w:ascii="Verdana" w:eastAsia="Times New Roman" w:hAnsi="Verdana" w:cs="Arial"/>
          <w:bCs/>
          <w:sz w:val="20"/>
          <w:lang w:val="es-ES" w:eastAsia="es-CO"/>
        </w:rPr>
        <w:t xml:space="preserve">la existencia de los contratos estatales, es decir, la producción de efectos jurídicos en los términos del artículo 1501 </w:t>
      </w:r>
      <w:r w:rsidRPr="00437C34">
        <w:rPr>
          <w:rFonts w:ascii="Verdana" w:eastAsia="Times New Roman" w:hAnsi="Verdana" w:cs="Arial"/>
          <w:bCs/>
          <w:i/>
          <w:sz w:val="20"/>
          <w:lang w:val="es-ES" w:eastAsia="es-CO"/>
        </w:rPr>
        <w:t>ibídem</w:t>
      </w:r>
      <w:r w:rsidRPr="00437C34">
        <w:rPr>
          <w:rFonts w:ascii="Verdana" w:eastAsia="Times New Roman" w:hAnsi="Verdana" w:cs="Arial"/>
          <w:bCs/>
          <w:sz w:val="20"/>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57D5B29F" w14:textId="77777777" w:rsidR="006F012C" w:rsidRPr="00437C34" w:rsidRDefault="006F012C" w:rsidP="006F012C">
      <w:pPr>
        <w:spacing w:after="0" w:line="240" w:lineRule="auto"/>
        <w:jc w:val="both"/>
        <w:rPr>
          <w:rFonts w:ascii="Verdana" w:hAnsi="Verdana" w:cs="Arial"/>
          <w:b/>
          <w:sz w:val="20"/>
          <w:lang w:val="es-MX" w:eastAsia="es-ES_tradnl"/>
        </w:rPr>
      </w:pPr>
    </w:p>
    <w:p w14:paraId="3C326025"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lastRenderedPageBreak/>
        <w:t xml:space="preserve">LEY DE GARANTÍAS ELECTORALES – Prohibición artículo 33 – Contratación directa – Alcance </w:t>
      </w:r>
    </w:p>
    <w:p w14:paraId="739F31DF" w14:textId="77777777" w:rsidR="006F012C" w:rsidRPr="00437C34" w:rsidRDefault="006F012C" w:rsidP="006F012C">
      <w:pPr>
        <w:spacing w:after="0" w:line="240" w:lineRule="auto"/>
        <w:jc w:val="both"/>
        <w:rPr>
          <w:rFonts w:ascii="Verdana" w:hAnsi="Verdana" w:cs="Arial"/>
          <w:b/>
          <w:lang w:val="es-MX" w:eastAsia="es-ES_tradnl"/>
        </w:rPr>
      </w:pPr>
    </w:p>
    <w:p w14:paraId="3D492E53" w14:textId="77777777" w:rsidR="006F012C" w:rsidRPr="00437C34" w:rsidRDefault="006F012C" w:rsidP="006F012C">
      <w:pPr>
        <w:spacing w:after="0" w:line="240" w:lineRule="auto"/>
        <w:jc w:val="both"/>
        <w:rPr>
          <w:rFonts w:ascii="Verdana" w:eastAsia="Times New Roman" w:hAnsi="Verdana" w:cs="Arial"/>
          <w:bCs/>
          <w:sz w:val="20"/>
          <w:lang w:eastAsia="x-none"/>
        </w:rPr>
      </w:pPr>
      <w:r w:rsidRPr="00437C34">
        <w:rPr>
          <w:rFonts w:ascii="Verdana" w:eastAsia="Times New Roman" w:hAnsi="Verdana" w:cs="Arial"/>
          <w:sz w:val="20"/>
          <w:lang w:eastAsia="x-none"/>
        </w:rPr>
        <w:t xml:space="preserve">De acuerdo con el citado concepto, la prohibición del artículo 33 de la Ley de Garantías Electorales se refiere a </w:t>
      </w:r>
      <w:r w:rsidRPr="00437C34">
        <w:rPr>
          <w:rFonts w:ascii="Verdana" w:eastAsia="Times New Roman" w:hAnsi="Verdana" w:cs="Arial"/>
          <w:sz w:val="18"/>
          <w:szCs w:val="19"/>
          <w:lang w:eastAsia="en-GB"/>
        </w:rPr>
        <w:t>“</w:t>
      </w:r>
      <w:r w:rsidRPr="00437C34">
        <w:rPr>
          <w:rFonts w:ascii="Verdana" w:eastAsia="Times New Roman" w:hAnsi="Verdana" w:cs="Arial"/>
          <w:sz w:val="20"/>
          <w:lang w:eastAsia="x-none"/>
        </w:rPr>
        <w:t>cualquier sistema que no implique convocatoria pública y posibilidad de pluralidad de oferentes</w:t>
      </w:r>
      <w:r w:rsidRPr="00437C34">
        <w:rPr>
          <w:rFonts w:ascii="Verdana" w:eastAsia="Times New Roman" w:hAnsi="Verdana" w:cs="Arial"/>
          <w:sz w:val="20"/>
          <w:lang w:eastAsia="en-GB"/>
        </w:rPr>
        <w:t>”</w:t>
      </w:r>
      <w:r w:rsidRPr="00437C34">
        <w:rPr>
          <w:rFonts w:ascii="Verdana" w:eastAsia="Times New Roman" w:hAnsi="Verdana" w:cs="Arial"/>
          <w:sz w:val="20"/>
          <w:lang w:eastAsia="x-none"/>
        </w:rPr>
        <w:t xml:space="preserve">, por lo que excluye las demás modalidades de contratación previstas en la Ley 1150 de 2007, es decir, la licitación pública, la selección abreviada, el concurso de méritos </w:t>
      </w:r>
      <w:r w:rsidRPr="00437C34">
        <w:rPr>
          <w:rFonts w:ascii="Verdana" w:eastAsia="Times New Roman" w:hAnsi="Verdana" w:cs="Arial"/>
          <w:sz w:val="20"/>
          <w:lang w:val="es-ES_tradnl" w:eastAsia="x-none"/>
        </w:rPr>
        <w:t>y la mínima cuantía</w:t>
      </w:r>
      <w:r w:rsidRPr="00437C34" w:rsidDel="00A85D9F">
        <w:rPr>
          <w:rFonts w:ascii="Verdana" w:eastAsia="Times New Roman" w:hAnsi="Verdana" w:cs="Arial"/>
          <w:sz w:val="20"/>
          <w:lang w:eastAsia="x-none"/>
        </w:rPr>
        <w:t xml:space="preserve"> </w:t>
      </w:r>
      <w:r w:rsidRPr="00437C34">
        <w:rPr>
          <w:rFonts w:ascii="Verdana" w:eastAsia="Times New Roman" w:hAnsi="Verdana" w:cs="Arial"/>
          <w:sz w:val="20"/>
          <w:lang w:eastAsia="x-none"/>
        </w:rPr>
        <w:t xml:space="preserve">u otros previstos en normas especiales. Esta posición es congruente con la expedición de la Ley 1150 de 2007 que, entre otras reformas, introdujo la selección abreviada, rediseñó el concurso de méritos y sistematizó las causales de contratación directa, </w:t>
      </w:r>
      <w:r w:rsidRPr="00437C34">
        <w:rPr>
          <w:rFonts w:ascii="Verdana" w:eastAsia="Calibri" w:hAnsi="Verdana" w:cs="Arial"/>
          <w:sz w:val="20"/>
          <w:szCs w:val="24"/>
          <w:lang w:eastAsia="x-none"/>
        </w:rPr>
        <w:t>además lo es con la posterior creación de la modalidad de mínima cuantía establecida actualmente en el numeral 5 del artículo 2 de la Ley 1150 de 2007, de acuerdo con las modificaciones realizadas por leyes posteriores.</w:t>
      </w:r>
    </w:p>
    <w:p w14:paraId="3B82F8CD" w14:textId="77777777" w:rsidR="006F012C" w:rsidRPr="00437C34" w:rsidRDefault="006F012C" w:rsidP="006F012C">
      <w:pPr>
        <w:spacing w:after="0" w:line="240" w:lineRule="auto"/>
        <w:jc w:val="both"/>
        <w:rPr>
          <w:rFonts w:ascii="Verdana" w:hAnsi="Verdana" w:cs="Arial"/>
          <w:b/>
          <w:lang w:eastAsia="es-ES_tradnl"/>
        </w:rPr>
      </w:pPr>
    </w:p>
    <w:p w14:paraId="2A8F915D"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t>LEY DE GARANTÍAS ELECTORALES – Excepciones</w:t>
      </w:r>
    </w:p>
    <w:p w14:paraId="60C85BCC" w14:textId="77777777" w:rsidR="006F012C" w:rsidRPr="00437C34" w:rsidRDefault="006F012C" w:rsidP="006F012C">
      <w:pPr>
        <w:spacing w:after="0" w:line="240" w:lineRule="auto"/>
        <w:jc w:val="both"/>
        <w:rPr>
          <w:rFonts w:ascii="Verdana" w:hAnsi="Verdana" w:cs="Arial"/>
          <w:b/>
          <w:sz w:val="20"/>
          <w:lang w:val="es-MX" w:eastAsia="es-ES_tradnl"/>
        </w:rPr>
      </w:pPr>
    </w:p>
    <w:p w14:paraId="0176981A" w14:textId="77777777" w:rsidR="006F012C" w:rsidRPr="00437C34" w:rsidRDefault="006F012C" w:rsidP="006F012C">
      <w:pPr>
        <w:spacing w:after="0" w:line="240" w:lineRule="auto"/>
        <w:jc w:val="both"/>
        <w:rPr>
          <w:rFonts w:ascii="Verdana" w:eastAsia="Times New Roman" w:hAnsi="Verdana" w:cs="Arial"/>
          <w:bCs/>
          <w:sz w:val="20"/>
          <w:lang w:val="es-MX" w:eastAsia="es-CO"/>
        </w:rPr>
      </w:pPr>
      <w:r w:rsidRPr="00437C34">
        <w:rPr>
          <w:rFonts w:ascii="Verdana" w:eastAsia="Times New Roman" w:hAnsi="Verdana" w:cs="Arial"/>
          <w:bCs/>
          <w:sz w:val="20"/>
          <w:lang w:val="es-MX" w:eastAsia="x-none"/>
        </w:rPr>
        <w:t>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437C34">
        <w:rPr>
          <w:rFonts w:ascii="Verdana" w:eastAsia="Times New Roman" w:hAnsi="Verdana" w:cs="Arial"/>
          <w:bCs/>
          <w:sz w:val="20"/>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3DB5BBA4" w14:textId="77777777" w:rsidR="006F012C" w:rsidRPr="00437C34" w:rsidRDefault="006F012C" w:rsidP="006F012C">
      <w:pPr>
        <w:spacing w:after="0" w:line="240" w:lineRule="auto"/>
        <w:jc w:val="both"/>
        <w:rPr>
          <w:rFonts w:ascii="Verdana" w:hAnsi="Verdana" w:cs="Arial"/>
          <w:b/>
          <w:lang w:val="es-MX" w:eastAsia="es-ES_tradnl"/>
        </w:rPr>
      </w:pPr>
    </w:p>
    <w:p w14:paraId="7FEC6422"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t xml:space="preserve"> LEY DE GARANTÍAS ELECTORALES – Prohibición del artículo 33 – Destinatarios </w:t>
      </w:r>
    </w:p>
    <w:p w14:paraId="2ACA64B0" w14:textId="77777777" w:rsidR="006F012C" w:rsidRPr="00437C34" w:rsidRDefault="006F012C" w:rsidP="006F012C">
      <w:pPr>
        <w:spacing w:after="0" w:line="240" w:lineRule="auto"/>
        <w:rPr>
          <w:rFonts w:ascii="Verdana" w:hAnsi="Verdana" w:cs="Arial"/>
          <w:lang w:val="es-MX" w:eastAsia="es-ES_tradnl"/>
        </w:rPr>
      </w:pPr>
    </w:p>
    <w:p w14:paraId="318582FD" w14:textId="77777777" w:rsidR="006F012C" w:rsidRPr="00437C34" w:rsidRDefault="006F012C" w:rsidP="006F012C">
      <w:pPr>
        <w:spacing w:after="0" w:line="240" w:lineRule="auto"/>
        <w:jc w:val="both"/>
        <w:rPr>
          <w:rFonts w:ascii="Verdana" w:hAnsi="Verdana" w:cs="Arial"/>
          <w:sz w:val="20"/>
          <w:lang w:val="es-MX" w:eastAsia="es-ES_tradnl"/>
        </w:rPr>
      </w:pPr>
      <w:r w:rsidRPr="00437C34">
        <w:rPr>
          <w:rFonts w:ascii="Verdana" w:eastAsia="Calibri" w:hAnsi="Verdana" w:cs="Arial"/>
          <w:sz w:val="20"/>
          <w:lang w:val="es-MX"/>
        </w:rPr>
        <w:t xml:space="preserve">De acuerdo con estos pronunciamientos de la Sala de Consulta y Servicio Civil del Consejo de Estado, la prohibición de la contratación directa también aplica frente a las entidades exceptuadas de la aplicación del EGCAP y que se rigen en materia contractual por el derecho privado. Sin embargo, señaló que algunas de estas entidades, como sucede con las empresas de servicios públicos domiciliarios, los </w:t>
      </w:r>
      <w:r w:rsidRPr="00437C34">
        <w:rPr>
          <w:rFonts w:ascii="Verdana" w:eastAsia="Times New Roman" w:hAnsi="Verdana" w:cs="Arial"/>
          <w:bCs/>
          <w:sz w:val="20"/>
          <w:lang w:val="es-MX" w:eastAsia="x-none"/>
        </w:rPr>
        <w:t>establecimientos de crédito, las sociedades de servicios financieros y las entidades aseguradoras</w:t>
      </w:r>
      <w:r w:rsidRPr="00437C34">
        <w:rPr>
          <w:rFonts w:ascii="Verdana" w:eastAsia="Calibri" w:hAnsi="Verdana" w:cs="Arial"/>
          <w:sz w:val="20"/>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w:t>
      </w:r>
      <w:r w:rsidRPr="00437C34">
        <w:rPr>
          <w:rFonts w:ascii="Verdana" w:eastAsia="Calibri" w:hAnsi="Verdana" w:cs="Arial"/>
          <w:sz w:val="20"/>
          <w:lang w:val="es-MX"/>
        </w:rPr>
        <w:lastRenderedPageBreak/>
        <w:t>pues significaría la parálisis de una actividad propia de la administración, que incluso podría desconocer los derechos fundamentales”</w:t>
      </w:r>
    </w:p>
    <w:p w14:paraId="69FEEF96" w14:textId="77777777" w:rsidR="006F012C" w:rsidRPr="00437C34" w:rsidRDefault="006F012C" w:rsidP="006F012C">
      <w:pPr>
        <w:spacing w:after="0" w:line="240" w:lineRule="auto"/>
        <w:jc w:val="both"/>
        <w:rPr>
          <w:rFonts w:ascii="Verdana" w:hAnsi="Verdana"/>
          <w:b/>
        </w:rPr>
      </w:pPr>
    </w:p>
    <w:p w14:paraId="743A38DD" w14:textId="77777777" w:rsidR="006F012C" w:rsidRPr="00437C34" w:rsidRDefault="006F012C" w:rsidP="006F012C">
      <w:pPr>
        <w:spacing w:after="0" w:line="240" w:lineRule="auto"/>
        <w:jc w:val="both"/>
        <w:rPr>
          <w:rFonts w:ascii="Verdana" w:hAnsi="Verdana"/>
          <w:b/>
        </w:rPr>
      </w:pPr>
      <w:r w:rsidRPr="00437C34">
        <w:rPr>
          <w:rFonts w:ascii="Verdana" w:hAnsi="Verdana"/>
          <w:b/>
        </w:rPr>
        <w:t xml:space="preserve">SISTEMA GENERAL DE REGALÍAS – Objeto – Artículo </w:t>
      </w:r>
      <w:r>
        <w:rPr>
          <w:rFonts w:ascii="Verdana" w:hAnsi="Verdana"/>
          <w:b/>
        </w:rPr>
        <w:t>87</w:t>
      </w:r>
      <w:r w:rsidRPr="00437C34">
        <w:rPr>
          <w:rFonts w:ascii="Verdana" w:hAnsi="Verdana"/>
          <w:b/>
        </w:rPr>
        <w:t xml:space="preserve"> – Ley de Garantías Electorales </w:t>
      </w:r>
    </w:p>
    <w:p w14:paraId="78A45B49" w14:textId="77777777" w:rsidR="006F012C" w:rsidRPr="00437C34" w:rsidRDefault="006F012C" w:rsidP="006F012C">
      <w:pPr>
        <w:spacing w:after="0" w:line="240" w:lineRule="auto"/>
        <w:jc w:val="both"/>
        <w:rPr>
          <w:rFonts w:ascii="Verdana" w:hAnsi="Verdana"/>
          <w:b/>
        </w:rPr>
      </w:pPr>
    </w:p>
    <w:p w14:paraId="544EFA07" w14:textId="77777777" w:rsidR="006F012C" w:rsidRPr="00437C34" w:rsidRDefault="006F012C" w:rsidP="006F012C">
      <w:pPr>
        <w:spacing w:after="0" w:line="240" w:lineRule="auto"/>
        <w:jc w:val="both"/>
        <w:rPr>
          <w:rFonts w:ascii="Verdana" w:hAnsi="Verdana"/>
          <w:bCs/>
          <w:sz w:val="20"/>
        </w:rPr>
      </w:pPr>
      <w:r w:rsidRPr="00437C34">
        <w:rPr>
          <w:rFonts w:ascii="Verdana" w:hAnsi="Verdana"/>
          <w:bCs/>
          <w:sz w:val="20"/>
        </w:rPr>
        <w:t xml:space="preserve">Teniendo en cuenta estas precisiones, es necesario revisar si lo dispuesto en el Sistema General de Regalías le aplica la Ley 996 de 2005 –Ley de Garantías Electorales- y en particular lo señalado en el artículo </w:t>
      </w:r>
      <w:r>
        <w:rPr>
          <w:rFonts w:ascii="Verdana" w:hAnsi="Verdana"/>
          <w:bCs/>
          <w:sz w:val="20"/>
        </w:rPr>
        <w:t>87</w:t>
      </w:r>
      <w:r w:rsidRPr="00437C34">
        <w:rPr>
          <w:rFonts w:ascii="Verdana" w:hAnsi="Verdana"/>
          <w:bCs/>
          <w:sz w:val="20"/>
        </w:rPr>
        <w:t xml:space="preserve"> de la Ley 2056 de 2020. Para ello, es importante señalar que la Ley 2056 de 2020, “por la cual se regula la organización y el funcionamiento del Sistema General de Regalías”, tiene por objeto: “[…] determinar la distribución, objetivos, fines, administración, ejecución, control, el uso eficiente y la destinación de los ingresos provenientes de la explotación de los recursos naturales no renovables precisando las condiciones de participación de sus beneficiarios. Este conjunto de ingresos, asignaciones, órganos, procedimientos, y regulaciones constituye el Sistema General de Regalías”.</w:t>
      </w:r>
    </w:p>
    <w:p w14:paraId="74DAB7C8" w14:textId="77777777" w:rsidR="006F012C" w:rsidRPr="00437C34" w:rsidRDefault="006F012C" w:rsidP="006F012C">
      <w:pPr>
        <w:spacing w:after="0" w:line="240" w:lineRule="auto"/>
        <w:jc w:val="both"/>
        <w:rPr>
          <w:rFonts w:ascii="Verdana" w:hAnsi="Verdana"/>
          <w:bCs/>
          <w:sz w:val="20"/>
        </w:rPr>
      </w:pPr>
    </w:p>
    <w:p w14:paraId="05C95A50" w14:textId="77777777" w:rsidR="006F012C" w:rsidRPr="00437C34" w:rsidRDefault="006F012C" w:rsidP="006F012C">
      <w:pPr>
        <w:spacing w:after="0" w:line="240" w:lineRule="auto"/>
        <w:jc w:val="both"/>
        <w:rPr>
          <w:rFonts w:ascii="Verdana" w:hAnsi="Verdana"/>
          <w:bCs/>
          <w:sz w:val="20"/>
        </w:rPr>
      </w:pPr>
      <w:r w:rsidRPr="00437C34">
        <w:rPr>
          <w:rFonts w:ascii="Verdana" w:eastAsia="Calibri" w:hAnsi="Verdana" w:cs="Arial"/>
          <w:sz w:val="20"/>
        </w:rPr>
        <w:t>[…]</w:t>
      </w:r>
    </w:p>
    <w:p w14:paraId="189A5CD9" w14:textId="77777777" w:rsidR="006F012C" w:rsidRPr="00437C34" w:rsidRDefault="006F012C" w:rsidP="006F012C">
      <w:pPr>
        <w:spacing w:after="0" w:line="240" w:lineRule="auto"/>
        <w:jc w:val="both"/>
        <w:rPr>
          <w:rFonts w:ascii="Verdana" w:hAnsi="Verdana"/>
          <w:bCs/>
          <w:sz w:val="20"/>
        </w:rPr>
      </w:pPr>
    </w:p>
    <w:p w14:paraId="74E8A3A1" w14:textId="77777777" w:rsidR="006F012C" w:rsidRPr="00437C34" w:rsidRDefault="006F012C" w:rsidP="006F012C">
      <w:pPr>
        <w:spacing w:after="0" w:line="240" w:lineRule="auto"/>
        <w:jc w:val="both"/>
        <w:rPr>
          <w:rFonts w:ascii="Verdana" w:hAnsi="Verdana"/>
          <w:bCs/>
          <w:sz w:val="20"/>
        </w:rPr>
      </w:pPr>
      <w:r w:rsidRPr="00437C34">
        <w:rPr>
          <w:rFonts w:ascii="Verdana" w:hAnsi="Verdana"/>
          <w:bCs/>
          <w:sz w:val="20"/>
        </w:rPr>
        <w:t xml:space="preserve">Pues bien, analizado el marco normativo expuesto no se evidencia una excepción a lo dispuesto en el artículo 33 de la Ley 996 de 2005 que restringe la contratación directa en el periodo preelectoral a las elecciones presidenciales por el tipo de recurso que pretende ejecutarse. En otras palabras, esta normatividad especial para la ejecución de recursos del Sistema General de Regalías no implica que esté exonerada de la restricción, pues el legislador no hizo distinción del tipo de recursos al establecer la prohibición.  En este sentido, aplicará la restricción señalada respecto de todos los entes del Estado, con independencia de la fuente de los recursos. </w:t>
      </w:r>
    </w:p>
    <w:p w14:paraId="1BDA5D8A" w14:textId="77777777" w:rsidR="006F012C" w:rsidRPr="00437C34" w:rsidRDefault="006F012C" w:rsidP="006F012C">
      <w:pPr>
        <w:spacing w:after="0" w:line="240" w:lineRule="auto"/>
        <w:jc w:val="both"/>
        <w:rPr>
          <w:rFonts w:ascii="Verdana" w:hAnsi="Verdana"/>
          <w:bCs/>
          <w:sz w:val="20"/>
        </w:rPr>
      </w:pPr>
    </w:p>
    <w:p w14:paraId="234328F6" w14:textId="77777777" w:rsidR="006F012C" w:rsidRPr="00437C34" w:rsidRDefault="006F012C" w:rsidP="006F012C">
      <w:pPr>
        <w:spacing w:after="0" w:line="240" w:lineRule="auto"/>
        <w:jc w:val="both"/>
        <w:rPr>
          <w:rFonts w:ascii="Verdana" w:hAnsi="Verdana"/>
          <w:bCs/>
          <w:sz w:val="20"/>
        </w:rPr>
      </w:pPr>
      <w:r w:rsidRPr="00437C34">
        <w:rPr>
          <w:rFonts w:ascii="Verdana" w:hAnsi="Verdana"/>
          <w:bCs/>
          <w:sz w:val="20"/>
        </w:rPr>
        <w:t xml:space="preserve">En efecto, si bien el artículo </w:t>
      </w:r>
      <w:r>
        <w:rPr>
          <w:rFonts w:ascii="Verdana" w:hAnsi="Verdana"/>
          <w:bCs/>
          <w:sz w:val="20"/>
        </w:rPr>
        <w:t>87</w:t>
      </w:r>
      <w:r w:rsidRPr="00437C34">
        <w:rPr>
          <w:rFonts w:ascii="Verdana" w:hAnsi="Verdana"/>
          <w:bCs/>
          <w:sz w:val="20"/>
        </w:rPr>
        <w:t xml:space="preserve"> de la Ley 2056 de 2020 dispone el deber de suscribir un</w:t>
      </w:r>
      <w:r w:rsidRPr="00130686">
        <w:rPr>
          <w:rFonts w:ascii="Work Sans" w:hAnsi="Work Sans"/>
          <w:color w:val="333333"/>
          <w:sz w:val="25"/>
          <w:szCs w:val="25"/>
          <w:shd w:val="clear" w:color="auto" w:fill="FFFFFF"/>
        </w:rPr>
        <w:t xml:space="preserve"> </w:t>
      </w:r>
      <w:r w:rsidRPr="00130686">
        <w:rPr>
          <w:rFonts w:ascii="Verdana" w:hAnsi="Verdana"/>
          <w:color w:val="333333"/>
          <w:sz w:val="20"/>
          <w:szCs w:val="20"/>
          <w:shd w:val="clear" w:color="auto" w:fill="FFFFFF"/>
        </w:rPr>
        <w:t>convenio d</w:t>
      </w:r>
      <w:r w:rsidRPr="00130686">
        <w:rPr>
          <w:rFonts w:ascii="Verdana" w:hAnsi="Verdana"/>
          <w:bCs/>
          <w:sz w:val="20"/>
          <w:szCs w:val="20"/>
        </w:rPr>
        <w:t>entro de los dos (2) meses siguientes a la aprobación del proyecto de</w:t>
      </w:r>
      <w:r w:rsidRPr="00130686">
        <w:rPr>
          <w:rFonts w:ascii="Verdana" w:hAnsi="Verdana"/>
          <w:bCs/>
          <w:sz w:val="20"/>
        </w:rPr>
        <w:t xml:space="preserve"> inversión, se suscribirá un convenio entre el alcalde o gobernador y el representante o autoridad indígena que lo haya presentado, mediante el cual se formalizará la entrega del proyecto</w:t>
      </w:r>
      <w:r w:rsidRPr="00437C34">
        <w:rPr>
          <w:rFonts w:ascii="Verdana" w:hAnsi="Verdana"/>
          <w:bCs/>
          <w:sz w:val="20"/>
        </w:rPr>
        <w:t>. En este caso, el legislador se limitó a establecer un término para la celebración del convenio, pero no señaló que esta actuación contractual pudiera adelantarse durante el periodo de restricción electoral ni excluyó expresamente su aplicación del régimen de la Ley de Garantías Electorales.</w:t>
      </w:r>
    </w:p>
    <w:p w14:paraId="62873730" w14:textId="77777777" w:rsidR="006F012C" w:rsidRPr="00437C34" w:rsidRDefault="006F012C" w:rsidP="006F012C">
      <w:pPr>
        <w:spacing w:after="0" w:line="240" w:lineRule="auto"/>
        <w:jc w:val="both"/>
        <w:rPr>
          <w:rFonts w:ascii="Verdana" w:hAnsi="Verdana"/>
          <w:lang w:val="es-MX"/>
        </w:rPr>
      </w:pPr>
    </w:p>
    <w:p w14:paraId="785D13C3" w14:textId="77777777" w:rsidR="006F012C" w:rsidRPr="00437C34" w:rsidRDefault="006F012C" w:rsidP="006F012C">
      <w:pPr>
        <w:spacing w:after="0" w:line="240" w:lineRule="auto"/>
        <w:jc w:val="both"/>
        <w:rPr>
          <w:rFonts w:ascii="Verdana" w:hAnsi="Verdana"/>
          <w:lang w:val="es-MX"/>
        </w:rPr>
      </w:pPr>
    </w:p>
    <w:p w14:paraId="25CC0C30" w14:textId="77777777" w:rsidR="006F012C" w:rsidRPr="00437C34" w:rsidRDefault="006F012C" w:rsidP="006F012C">
      <w:pPr>
        <w:spacing w:after="0" w:line="240" w:lineRule="auto"/>
        <w:jc w:val="both"/>
        <w:rPr>
          <w:rFonts w:ascii="Verdana" w:hAnsi="Verdana"/>
          <w:lang w:val="es-MX"/>
        </w:rPr>
      </w:pPr>
    </w:p>
    <w:p w14:paraId="1FFC5A17" w14:textId="77777777" w:rsidR="006F012C" w:rsidRPr="00437C34" w:rsidRDefault="006F012C" w:rsidP="006F012C">
      <w:pPr>
        <w:spacing w:after="0" w:line="240" w:lineRule="auto"/>
        <w:jc w:val="both"/>
        <w:rPr>
          <w:rFonts w:ascii="Verdana" w:hAnsi="Verdana"/>
          <w:lang w:val="es-MX"/>
        </w:rPr>
      </w:pPr>
    </w:p>
    <w:p w14:paraId="2F18F73A" w14:textId="77777777" w:rsidR="006F012C" w:rsidRPr="00437C34" w:rsidRDefault="006F012C" w:rsidP="006F012C">
      <w:pPr>
        <w:spacing w:after="0" w:line="240" w:lineRule="auto"/>
        <w:jc w:val="both"/>
        <w:rPr>
          <w:rFonts w:ascii="Verdana" w:hAnsi="Verdana"/>
          <w:lang w:val="es-MX"/>
        </w:rPr>
      </w:pPr>
    </w:p>
    <w:p w14:paraId="6BD141DC" w14:textId="77777777" w:rsidR="006F012C" w:rsidRPr="00437C34" w:rsidRDefault="006F012C" w:rsidP="006F012C">
      <w:pPr>
        <w:spacing w:after="0" w:line="240" w:lineRule="auto"/>
        <w:jc w:val="both"/>
        <w:rPr>
          <w:rFonts w:ascii="Verdana" w:hAnsi="Verdana"/>
          <w:lang w:val="es-MX"/>
        </w:rPr>
      </w:pPr>
    </w:p>
    <w:p w14:paraId="55D8944D" w14:textId="77777777" w:rsidR="006F012C" w:rsidRPr="00437C34" w:rsidRDefault="006F012C" w:rsidP="006F012C">
      <w:pPr>
        <w:spacing w:after="0" w:line="240" w:lineRule="auto"/>
        <w:jc w:val="both"/>
        <w:rPr>
          <w:rFonts w:ascii="Verdana" w:hAnsi="Verdana"/>
          <w:lang w:val="es-MX"/>
        </w:rPr>
      </w:pPr>
    </w:p>
    <w:p w14:paraId="70BE1FB7" w14:textId="77777777" w:rsidR="006F012C" w:rsidRDefault="006F012C" w:rsidP="006F012C">
      <w:pPr>
        <w:spacing w:after="0" w:line="240" w:lineRule="auto"/>
        <w:rPr>
          <w:rFonts w:ascii="Verdana" w:eastAsia="Geomanist Light" w:hAnsi="Verdana" w:cs="Arial"/>
          <w:color w:val="000000" w:themeColor="text1"/>
          <w:lang w:val="es-MX"/>
        </w:rPr>
      </w:pPr>
    </w:p>
    <w:p w14:paraId="48D3B634" w14:textId="77777777" w:rsidR="006F012C" w:rsidRDefault="006F012C" w:rsidP="006F012C">
      <w:pPr>
        <w:spacing w:after="0" w:line="240" w:lineRule="auto"/>
        <w:rPr>
          <w:rFonts w:ascii="Verdana" w:eastAsia="Geomanist Light" w:hAnsi="Verdana" w:cs="Arial"/>
          <w:color w:val="000000" w:themeColor="text1"/>
          <w:lang w:val="es-MX"/>
        </w:rPr>
      </w:pPr>
    </w:p>
    <w:p w14:paraId="7D01B324" w14:textId="77777777" w:rsidR="006F012C" w:rsidRDefault="006F012C" w:rsidP="006F012C">
      <w:pPr>
        <w:spacing w:after="0" w:line="240" w:lineRule="auto"/>
        <w:rPr>
          <w:rFonts w:ascii="Verdana" w:eastAsia="Geomanist Light" w:hAnsi="Verdana" w:cs="Arial"/>
          <w:color w:val="000000" w:themeColor="text1"/>
          <w:lang w:val="es-MX"/>
        </w:rPr>
      </w:pPr>
    </w:p>
    <w:p w14:paraId="6C9AD3FD" w14:textId="77777777" w:rsidR="006F012C" w:rsidRPr="00437C34" w:rsidRDefault="006F012C" w:rsidP="006F012C">
      <w:pPr>
        <w:spacing w:after="0"/>
        <w:rPr>
          <w:rFonts w:ascii="Verdana" w:hAnsi="Verdana"/>
        </w:rPr>
      </w:pPr>
    </w:p>
    <w:p w14:paraId="53AE4EDD" w14:textId="6BDDAC41" w:rsidR="00DD79FA" w:rsidRDefault="00D32DDC" w:rsidP="00AF59B8">
      <w:pPr>
        <w:spacing w:after="0"/>
        <w:ind w:left="4248" w:firstLine="708"/>
        <w:rPr>
          <w:rFonts w:ascii="Verdana" w:eastAsia="Verdana" w:hAnsi="Verdana" w:cs="Verdana"/>
        </w:rPr>
      </w:pPr>
      <w:r w:rsidRPr="00D32DDC">
        <w:rPr>
          <w:rFonts w:ascii="Verdana" w:eastAsia="Verdana" w:hAnsi="Verdana" w:cs="Verdana"/>
          <w:noProof/>
        </w:rPr>
        <w:lastRenderedPageBreak/>
        <w:drawing>
          <wp:inline distT="0" distB="0" distL="0" distR="0" wp14:anchorId="37C8BE30" wp14:editId="21B923A9">
            <wp:extent cx="2076450" cy="575147"/>
            <wp:effectExtent l="0" t="0" r="0" b="0"/>
            <wp:docPr id="303732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2137" cy="576722"/>
                    </a:xfrm>
                    <a:prstGeom prst="rect">
                      <a:avLst/>
                    </a:prstGeom>
                    <a:noFill/>
                    <a:ln>
                      <a:noFill/>
                    </a:ln>
                  </pic:spPr>
                </pic:pic>
              </a:graphicData>
            </a:graphic>
          </wp:inline>
        </w:drawing>
      </w:r>
    </w:p>
    <w:p w14:paraId="380F4A9A" w14:textId="0DF6659B" w:rsidR="00DD79FA" w:rsidRPr="00DA10B5" w:rsidRDefault="00DD79FA" w:rsidP="00763254">
      <w:pPr>
        <w:spacing w:after="0" w:line="240" w:lineRule="auto"/>
        <w:rPr>
          <w:rFonts w:ascii="Verdana" w:eastAsia="Verdana" w:hAnsi="Verdana" w:cs="Verdana"/>
        </w:rPr>
      </w:pPr>
      <w:r w:rsidRPr="00DA10B5">
        <w:rPr>
          <w:rFonts w:ascii="Verdana" w:eastAsia="Verdana" w:hAnsi="Verdana" w:cs="Verdana"/>
        </w:rPr>
        <w:t>Bogotá D.C., 3 de Ju</w:t>
      </w:r>
      <w:r w:rsidR="00DA10B5">
        <w:rPr>
          <w:rFonts w:ascii="Verdana" w:eastAsia="Verdana" w:hAnsi="Verdana" w:cs="Verdana"/>
        </w:rPr>
        <w:t>l</w:t>
      </w:r>
      <w:r w:rsidRPr="00DA10B5">
        <w:rPr>
          <w:rFonts w:ascii="Verdana" w:eastAsia="Verdana" w:hAnsi="Verdana" w:cs="Verdana"/>
        </w:rPr>
        <w:t>io del 2026</w:t>
      </w:r>
    </w:p>
    <w:p w14:paraId="0A7B5241" w14:textId="77777777" w:rsidR="00DD79FA" w:rsidRPr="00DA10B5" w:rsidRDefault="00DD79FA" w:rsidP="00DA10B5">
      <w:pPr>
        <w:spacing w:after="0" w:line="240" w:lineRule="auto"/>
        <w:rPr>
          <w:rFonts w:ascii="Verdana" w:eastAsia="Calibri" w:hAnsi="Verdana" w:cs="Times New Roman"/>
        </w:rPr>
      </w:pPr>
    </w:p>
    <w:p w14:paraId="0AC38B1F" w14:textId="49BA487A" w:rsidR="006F012C" w:rsidRPr="00DA10B5" w:rsidRDefault="006F012C" w:rsidP="00DA10B5">
      <w:pPr>
        <w:spacing w:after="0" w:line="240" w:lineRule="auto"/>
        <w:rPr>
          <w:rFonts w:ascii="Verdana" w:eastAsia="Calibri" w:hAnsi="Verdana" w:cs="Times New Roman"/>
          <w:lang w:val="es-MX"/>
        </w:rPr>
      </w:pPr>
      <w:r w:rsidRPr="00DA10B5">
        <w:rPr>
          <w:rFonts w:ascii="Verdana" w:eastAsia="Calibri" w:hAnsi="Verdana" w:cs="Times New Roman"/>
          <w:lang w:val="es-MX"/>
        </w:rPr>
        <w:t>Señor</w:t>
      </w:r>
    </w:p>
    <w:p w14:paraId="0ABCE1A2" w14:textId="7DC91FF3" w:rsidR="006F012C" w:rsidRDefault="006F012C" w:rsidP="00DA10B5">
      <w:pPr>
        <w:spacing w:after="0" w:line="240" w:lineRule="auto"/>
        <w:rPr>
          <w:rFonts w:ascii="Verdana" w:eastAsia="Calibri" w:hAnsi="Verdana" w:cs="Times New Roman"/>
          <w:b/>
          <w:bCs/>
          <w:lang w:val="es-MX"/>
        </w:rPr>
      </w:pPr>
      <w:r w:rsidRPr="00DA10B5">
        <w:rPr>
          <w:rFonts w:ascii="Verdana" w:eastAsia="Calibri" w:hAnsi="Verdana" w:cs="Times New Roman"/>
          <w:b/>
          <w:bCs/>
          <w:lang w:val="es-MX"/>
        </w:rPr>
        <w:t>Darwin Giraldo</w:t>
      </w:r>
    </w:p>
    <w:p w14:paraId="27DBB7BF" w14:textId="57703FB1" w:rsidR="00DA10B5" w:rsidRPr="00DA10B5" w:rsidRDefault="00DA10B5" w:rsidP="00DA10B5">
      <w:pPr>
        <w:spacing w:after="0" w:line="240" w:lineRule="auto"/>
        <w:rPr>
          <w:rFonts w:ascii="Verdana" w:eastAsia="Calibri" w:hAnsi="Verdana" w:cs="Times New Roman"/>
          <w:b/>
          <w:bCs/>
          <w:lang w:val="es-MX"/>
        </w:rPr>
      </w:pPr>
      <w:r w:rsidRPr="00DA10B5">
        <w:rPr>
          <w:rFonts w:ascii="Verdana" w:eastAsia="Calibri" w:hAnsi="Verdana" w:cs="Times New Roman"/>
          <w:b/>
          <w:bCs/>
          <w:lang w:val="es-MX"/>
        </w:rPr>
        <w:t>Asesor Externo Banco de Proyectos del Sistema General de Regalías.</w:t>
      </w:r>
    </w:p>
    <w:p w14:paraId="0B28AE44" w14:textId="77777777" w:rsidR="006F012C" w:rsidRPr="00DA10B5" w:rsidRDefault="006F012C" w:rsidP="00DA10B5">
      <w:pPr>
        <w:spacing w:after="0" w:line="240" w:lineRule="auto"/>
        <w:rPr>
          <w:rFonts w:ascii="Verdana" w:eastAsia="Calibri" w:hAnsi="Verdana" w:cs="Times New Roman"/>
          <w:lang w:val="es-MX"/>
        </w:rPr>
      </w:pPr>
      <w:hyperlink r:id="rId11" w:history="1">
        <w:r w:rsidRPr="00DA10B5">
          <w:rPr>
            <w:rStyle w:val="Hipervnculo"/>
            <w:rFonts w:ascii="Verdana" w:eastAsia="Calibri" w:hAnsi="Verdana" w:cs="Times New Roman"/>
            <w:color w:val="auto"/>
            <w:lang w:val="es-MX"/>
          </w:rPr>
          <w:t>dargiraldo1@gmail.com</w:t>
        </w:r>
      </w:hyperlink>
    </w:p>
    <w:p w14:paraId="32B212D6" w14:textId="77777777" w:rsidR="006F012C" w:rsidRPr="00DA10B5" w:rsidRDefault="006F012C" w:rsidP="00DA10B5">
      <w:pPr>
        <w:spacing w:after="0" w:line="240" w:lineRule="auto"/>
        <w:rPr>
          <w:rFonts w:ascii="Verdana" w:eastAsia="Calibri" w:hAnsi="Verdana" w:cs="Times New Roman"/>
          <w:lang w:val="es-MX"/>
        </w:rPr>
      </w:pPr>
      <w:r w:rsidRPr="00DA10B5">
        <w:rPr>
          <w:rFonts w:ascii="Verdana" w:eastAsia="Calibri" w:hAnsi="Verdana" w:cs="Times New Roman"/>
          <w:lang w:val="es-MX"/>
        </w:rPr>
        <w:t>Ciudad</w:t>
      </w:r>
    </w:p>
    <w:p w14:paraId="7489750E" w14:textId="77777777" w:rsidR="006F012C" w:rsidRPr="00DA10B5" w:rsidRDefault="006F012C" w:rsidP="00763254">
      <w:pPr>
        <w:spacing w:after="0" w:line="240" w:lineRule="auto"/>
        <w:rPr>
          <w:rFonts w:ascii="Verdana" w:eastAsia="Calibri" w:hAnsi="Verdana" w:cs="Times New Roman"/>
        </w:rPr>
      </w:pPr>
    </w:p>
    <w:p w14:paraId="585C87B4" w14:textId="77777777" w:rsidR="006F012C" w:rsidRPr="00DA10B5" w:rsidRDefault="006F012C" w:rsidP="00763254">
      <w:pPr>
        <w:spacing w:after="0" w:line="240" w:lineRule="auto"/>
        <w:rPr>
          <w:rFonts w:ascii="Verdana" w:eastAsia="Calibri" w:hAnsi="Verdana" w:cs="Times New Roman"/>
        </w:rPr>
      </w:pPr>
    </w:p>
    <w:p w14:paraId="70CEFAB3" w14:textId="77777777" w:rsidR="006F012C" w:rsidRPr="00DA10B5" w:rsidRDefault="006F012C" w:rsidP="00763254">
      <w:pPr>
        <w:spacing w:after="0" w:line="240" w:lineRule="auto"/>
        <w:rPr>
          <w:rFonts w:ascii="Verdana" w:eastAsia="Calibri" w:hAnsi="Verdana" w:cs="Times New Roman"/>
          <w:b/>
          <w:bCs/>
          <w:lang w:val="es-ES"/>
        </w:rPr>
      </w:pPr>
      <w:r w:rsidRPr="00DA10B5">
        <w:rPr>
          <w:rFonts w:ascii="Verdana" w:eastAsia="Calibri" w:hAnsi="Verdana" w:cs="Times New Roman"/>
          <w:b/>
          <w:bCs/>
          <w:lang w:val="es-ES"/>
        </w:rPr>
        <w:t xml:space="preserve">                                    Concepto C- 855 de 2026</w:t>
      </w:r>
    </w:p>
    <w:p w14:paraId="4F749DF6" w14:textId="77777777" w:rsidR="006F012C" w:rsidRPr="00DA10B5" w:rsidRDefault="006F012C" w:rsidP="00763254">
      <w:pPr>
        <w:spacing w:after="0" w:line="240"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6F012C" w:rsidRPr="00DA10B5" w14:paraId="3D90F68E" w14:textId="77777777" w:rsidTr="004E205F">
        <w:trPr>
          <w:trHeight w:val="645"/>
        </w:trPr>
        <w:tc>
          <w:tcPr>
            <w:tcW w:w="2685" w:type="dxa"/>
            <w:hideMark/>
          </w:tcPr>
          <w:p w14:paraId="47DCC6CD" w14:textId="77777777" w:rsidR="006F012C" w:rsidRPr="00DA10B5" w:rsidRDefault="006F012C" w:rsidP="00763254">
            <w:pPr>
              <w:rPr>
                <w:rFonts w:ascii="Verdana" w:hAnsi="Verdana"/>
                <w:b/>
                <w:bCs/>
                <w:lang w:val="es-ES_tradnl"/>
              </w:rPr>
            </w:pPr>
            <w:r w:rsidRPr="00DA10B5">
              <w:rPr>
                <w:rFonts w:ascii="Verdana" w:hAnsi="Verdana"/>
                <w:b/>
                <w:bCs/>
                <w:lang w:val="es-ES_tradnl"/>
              </w:rPr>
              <w:t xml:space="preserve">Temas:                   </w:t>
            </w:r>
          </w:p>
        </w:tc>
        <w:tc>
          <w:tcPr>
            <w:tcW w:w="6241" w:type="dxa"/>
            <w:hideMark/>
          </w:tcPr>
          <w:p w14:paraId="7BC3778B" w14:textId="77777777" w:rsidR="006F012C" w:rsidRPr="00DA10B5" w:rsidRDefault="006F012C" w:rsidP="00763254">
            <w:pPr>
              <w:jc w:val="both"/>
              <w:rPr>
                <w:rFonts w:ascii="Verdana" w:hAnsi="Verdana" w:cs="Arial"/>
                <w:lang w:val="es-MX" w:eastAsia="es-ES_tradnl"/>
              </w:rPr>
            </w:pPr>
            <w:r w:rsidRPr="00DA10B5">
              <w:rPr>
                <w:rFonts w:ascii="Verdana" w:hAnsi="Verdana" w:cs="Arial"/>
                <w:lang w:val="es-MX" w:eastAsia="es-ES_tradnl"/>
              </w:rPr>
              <w:t xml:space="preserve">LEY DE GARANTÍAS ELECTORALES </w:t>
            </w:r>
            <w:r w:rsidRPr="00DA10B5">
              <w:rPr>
                <w:rFonts w:ascii="Verdana" w:hAnsi="Verdana" w:cs="Arial"/>
                <w:bCs/>
                <w:lang w:val="es-MX" w:eastAsia="es-ES_tradnl"/>
              </w:rPr>
              <w:t>‒</w:t>
            </w:r>
            <w:r w:rsidRPr="00DA10B5">
              <w:rPr>
                <w:rFonts w:ascii="Verdana" w:hAnsi="Verdana" w:cs="Arial"/>
                <w:lang w:val="es-MX" w:eastAsia="es-ES_tradnl"/>
              </w:rPr>
              <w:t xml:space="preserve"> Finalidad / LEY DE GARANTÍAS ELECTORALES </w:t>
            </w:r>
            <w:r w:rsidRPr="00DA10B5">
              <w:rPr>
                <w:rFonts w:ascii="Verdana" w:hAnsi="Verdana" w:cs="Arial"/>
                <w:bCs/>
                <w:lang w:val="es-MX" w:eastAsia="es-ES_tradnl"/>
              </w:rPr>
              <w:t>‒</w:t>
            </w:r>
            <w:r w:rsidRPr="00DA10B5">
              <w:rPr>
                <w:rFonts w:ascii="Verdana" w:hAnsi="Verdana" w:cs="Arial"/>
                <w:lang w:val="es-MX" w:eastAsia="es-ES_tradnl"/>
              </w:rPr>
              <w:t xml:space="preserve"> Tipos de restricciones </w:t>
            </w:r>
            <w:r w:rsidRPr="00DA10B5">
              <w:rPr>
                <w:rFonts w:ascii="Verdana" w:hAnsi="Verdana" w:cs="Arial"/>
                <w:bCs/>
                <w:lang w:val="es-MX" w:eastAsia="es-ES_tradnl"/>
              </w:rPr>
              <w:t>‒</w:t>
            </w:r>
            <w:r w:rsidRPr="00DA10B5">
              <w:rPr>
                <w:rFonts w:ascii="Verdana" w:hAnsi="Verdana" w:cs="Arial"/>
                <w:lang w:val="es-MX" w:eastAsia="es-ES_tradnl"/>
              </w:rPr>
              <w:t xml:space="preserve"> Ámbito temporal – celebración- límite / LEY DE GARANTÍAS ELECTORALES – Prohibición artículo 33 – Contratación directa – Alcance / LEY DE GARANTÍAS ELECTORALES – Excepciones / LEY DE GARANTÍAS ELECTORALES – Prohibición del artículo 33 – Destinatarios / SISTEMA GENERAL DE REGALÍAS – Objeto – </w:t>
            </w:r>
            <w:r w:rsidRPr="00DA10B5">
              <w:rPr>
                <w:rFonts w:ascii="Verdana" w:hAnsi="Verdana"/>
                <w:bCs/>
              </w:rPr>
              <w:t xml:space="preserve">Artículo 87 </w:t>
            </w:r>
            <w:r w:rsidRPr="00DA10B5">
              <w:rPr>
                <w:rFonts w:ascii="Verdana" w:hAnsi="Verdana"/>
                <w:b/>
              </w:rPr>
              <w:t>–</w:t>
            </w:r>
            <w:r w:rsidRPr="00DA10B5">
              <w:rPr>
                <w:rFonts w:ascii="Verdana" w:hAnsi="Verdana" w:cs="Arial"/>
                <w:lang w:val="es-MX" w:eastAsia="es-ES_tradnl"/>
              </w:rPr>
              <w:t xml:space="preserve"> Ley de Garantías Electorales </w:t>
            </w:r>
            <w:r w:rsidRPr="00DA10B5">
              <w:rPr>
                <w:rFonts w:ascii="Verdana" w:hAnsi="Verdana"/>
                <w:b/>
              </w:rPr>
              <w:t>–</w:t>
            </w:r>
            <w:r w:rsidRPr="00DA10B5">
              <w:rPr>
                <w:rFonts w:ascii="Verdana" w:hAnsi="Verdana" w:cs="Arial"/>
                <w:lang w:val="es-MX" w:eastAsia="es-ES_tradnl"/>
              </w:rPr>
              <w:t xml:space="preserve"> </w:t>
            </w:r>
            <w:r w:rsidRPr="00DA10B5">
              <w:rPr>
                <w:rFonts w:ascii="Verdana" w:hAnsi="Verdana" w:cs="Arial"/>
                <w:lang w:eastAsia="es-ES_tradnl"/>
              </w:rPr>
              <w:t>Pueblos y Comunidades Indígenas</w:t>
            </w:r>
          </w:p>
        </w:tc>
        <w:tc>
          <w:tcPr>
            <w:tcW w:w="6237" w:type="dxa"/>
          </w:tcPr>
          <w:p w14:paraId="14CDFDDE" w14:textId="77777777" w:rsidR="006F012C" w:rsidRPr="00DA10B5" w:rsidRDefault="006F012C" w:rsidP="00763254">
            <w:pPr>
              <w:rPr>
                <w:rFonts w:ascii="Verdana" w:hAnsi="Verdana"/>
              </w:rPr>
            </w:pPr>
          </w:p>
        </w:tc>
      </w:tr>
      <w:tr w:rsidR="006F012C" w:rsidRPr="00DA10B5" w14:paraId="12577E36" w14:textId="77777777" w:rsidTr="004E205F">
        <w:trPr>
          <w:trHeight w:val="414"/>
        </w:trPr>
        <w:tc>
          <w:tcPr>
            <w:tcW w:w="2685" w:type="dxa"/>
          </w:tcPr>
          <w:p w14:paraId="7D4F754E" w14:textId="77777777" w:rsidR="006F012C" w:rsidRPr="00DA10B5" w:rsidRDefault="006F012C" w:rsidP="00763254">
            <w:pPr>
              <w:rPr>
                <w:rFonts w:ascii="Verdana" w:hAnsi="Verdana"/>
                <w:b/>
                <w:bCs/>
                <w:lang w:val="es-ES_tradnl"/>
              </w:rPr>
            </w:pPr>
          </w:p>
          <w:p w14:paraId="6C543BBA" w14:textId="77777777" w:rsidR="006F012C" w:rsidRPr="00DA10B5" w:rsidRDefault="006F012C" w:rsidP="00763254">
            <w:pPr>
              <w:rPr>
                <w:rFonts w:ascii="Verdana" w:hAnsi="Verdana"/>
                <w:b/>
                <w:bCs/>
                <w:lang w:val="es-ES_tradnl"/>
              </w:rPr>
            </w:pPr>
          </w:p>
          <w:p w14:paraId="76843B4A" w14:textId="77777777" w:rsidR="006F012C" w:rsidRPr="00DA10B5" w:rsidRDefault="006F012C" w:rsidP="00763254">
            <w:pPr>
              <w:rPr>
                <w:rFonts w:ascii="Verdana" w:hAnsi="Verdana"/>
                <w:b/>
                <w:bCs/>
                <w:lang w:val="es-ES_tradnl"/>
              </w:rPr>
            </w:pPr>
            <w:r w:rsidRPr="00DA10B5">
              <w:rPr>
                <w:rFonts w:ascii="Verdana" w:hAnsi="Verdana"/>
                <w:b/>
                <w:bCs/>
                <w:lang w:val="es-ES_tradnl"/>
              </w:rPr>
              <w:t xml:space="preserve">Radicación:               </w:t>
            </w:r>
          </w:p>
        </w:tc>
        <w:tc>
          <w:tcPr>
            <w:tcW w:w="6241" w:type="dxa"/>
          </w:tcPr>
          <w:p w14:paraId="49E3754D" w14:textId="77777777" w:rsidR="006F012C" w:rsidRPr="00DA10B5" w:rsidRDefault="006F012C" w:rsidP="00763254">
            <w:pPr>
              <w:jc w:val="both"/>
              <w:rPr>
                <w:rFonts w:ascii="Verdana" w:hAnsi="Verdana"/>
                <w:lang w:val="es-ES_tradnl"/>
              </w:rPr>
            </w:pPr>
          </w:p>
          <w:p w14:paraId="3617E8B5" w14:textId="4296AAD8" w:rsidR="006F012C" w:rsidRPr="00DA10B5" w:rsidRDefault="006F012C" w:rsidP="00763254">
            <w:pPr>
              <w:jc w:val="both"/>
              <w:rPr>
                <w:rFonts w:ascii="Verdana" w:hAnsi="Verdana"/>
                <w:lang w:val="es-ES_tradnl"/>
              </w:rPr>
            </w:pPr>
            <w:r w:rsidRPr="00DA10B5">
              <w:rPr>
                <w:rFonts w:ascii="Verdana" w:hAnsi="Verdana"/>
                <w:lang w:val="es-ES_tradnl"/>
              </w:rPr>
              <w:t>Respuesta a consultas con radicados Nos.</w:t>
            </w:r>
            <w:r w:rsidRPr="00763254">
              <w:rPr>
                <w:rFonts w:ascii="Verdana" w:hAnsi="Verdana"/>
              </w:rPr>
              <w:t xml:space="preserve"> </w:t>
            </w:r>
            <w:r w:rsidRPr="00DA10B5">
              <w:rPr>
                <w:rFonts w:ascii="Verdana" w:hAnsi="Verdana" w:cs="Calibri"/>
                <w:color w:val="000000"/>
              </w:rPr>
              <w:t>1_2026_05_22_006897</w:t>
            </w:r>
            <w:r w:rsidR="00DA10B5">
              <w:rPr>
                <w:rFonts w:ascii="Verdana" w:hAnsi="Verdana" w:cs="Calibri"/>
                <w:color w:val="000000"/>
              </w:rPr>
              <w:t xml:space="preserve"> </w:t>
            </w:r>
            <w:r w:rsidRPr="00DA10B5">
              <w:rPr>
                <w:rFonts w:ascii="Verdana" w:hAnsi="Verdana" w:cs="Calibri"/>
                <w:color w:val="000000"/>
              </w:rPr>
              <w:t>y</w:t>
            </w:r>
            <w:r w:rsidR="00DA10B5">
              <w:rPr>
                <w:rFonts w:ascii="Verdana" w:hAnsi="Verdana" w:cs="Calibri"/>
                <w:color w:val="000000"/>
              </w:rPr>
              <w:t xml:space="preserve"> </w:t>
            </w:r>
            <w:r w:rsidRPr="00DA10B5">
              <w:rPr>
                <w:rFonts w:ascii="Verdana" w:hAnsi="Verdana" w:cs="Calibri"/>
                <w:color w:val="000000"/>
              </w:rPr>
              <w:t>1_2026_05_22_006897</w:t>
            </w:r>
            <w:r w:rsidR="00DA10B5">
              <w:rPr>
                <w:rFonts w:ascii="Verdana" w:hAnsi="Verdana" w:cs="Calibri"/>
                <w:color w:val="000000"/>
              </w:rPr>
              <w:t xml:space="preserve"> </w:t>
            </w:r>
            <w:r w:rsidRPr="00DA10B5">
              <w:rPr>
                <w:rFonts w:ascii="Verdana" w:hAnsi="Verdana"/>
                <w:lang w:val="es-ES_tradnl"/>
              </w:rPr>
              <w:t>(Acumulados)</w:t>
            </w:r>
          </w:p>
          <w:p w14:paraId="4E474A82" w14:textId="77777777" w:rsidR="006F012C" w:rsidRPr="00DA10B5" w:rsidRDefault="006F012C" w:rsidP="00763254">
            <w:pPr>
              <w:jc w:val="both"/>
              <w:rPr>
                <w:rFonts w:ascii="Verdana" w:hAnsi="Verdana"/>
              </w:rPr>
            </w:pPr>
          </w:p>
        </w:tc>
        <w:tc>
          <w:tcPr>
            <w:tcW w:w="6237" w:type="dxa"/>
          </w:tcPr>
          <w:p w14:paraId="20024681" w14:textId="77777777" w:rsidR="006F012C" w:rsidRPr="00DA10B5" w:rsidRDefault="006F012C" w:rsidP="00763254">
            <w:pPr>
              <w:rPr>
                <w:rFonts w:ascii="Verdana" w:hAnsi="Verdana"/>
                <w:lang w:val="es-ES_tradnl"/>
              </w:rPr>
            </w:pPr>
          </w:p>
        </w:tc>
      </w:tr>
    </w:tbl>
    <w:p w14:paraId="41918BB3" w14:textId="77777777" w:rsidR="006F012C" w:rsidRPr="00DA10B5" w:rsidRDefault="006F012C" w:rsidP="00763254">
      <w:pPr>
        <w:spacing w:after="0" w:line="240" w:lineRule="auto"/>
        <w:rPr>
          <w:rFonts w:ascii="Verdana" w:eastAsia="Calibri" w:hAnsi="Verdana" w:cs="Times New Roman"/>
          <w:lang w:val="es-ES"/>
        </w:rPr>
      </w:pPr>
    </w:p>
    <w:p w14:paraId="07A920B5" w14:textId="03C2DD8F" w:rsidR="006F012C" w:rsidRPr="00437C34" w:rsidRDefault="006F012C" w:rsidP="00763254">
      <w:pPr>
        <w:spacing w:after="0" w:line="276" w:lineRule="auto"/>
        <w:rPr>
          <w:rFonts w:ascii="Verdana" w:eastAsia="Calibri" w:hAnsi="Verdana" w:cs="Times New Roman"/>
          <w:lang w:val="es-ES"/>
        </w:rPr>
      </w:pPr>
      <w:r w:rsidRPr="00437C34">
        <w:rPr>
          <w:rFonts w:ascii="Verdana" w:eastAsia="Calibri" w:hAnsi="Verdana" w:cs="Times New Roman"/>
          <w:lang w:val="es-ES"/>
        </w:rPr>
        <w:t>Estimado Señor</w:t>
      </w:r>
      <w:r>
        <w:rPr>
          <w:rFonts w:ascii="Verdana" w:hAnsi="Verdana" w:cs="Arial"/>
        </w:rPr>
        <w:t xml:space="preserve"> </w:t>
      </w:r>
      <w:r w:rsidR="00DD79FA">
        <w:rPr>
          <w:rFonts w:ascii="Verdana" w:hAnsi="Verdana" w:cs="Arial"/>
        </w:rPr>
        <w:t>Giraldo:</w:t>
      </w:r>
      <w:r w:rsidRPr="00437C34">
        <w:rPr>
          <w:rFonts w:ascii="Verdana" w:eastAsia="Calibri" w:hAnsi="Verdana" w:cs="Times New Roman"/>
          <w:lang w:val="es-ES"/>
        </w:rPr>
        <w:t xml:space="preserve">  </w:t>
      </w:r>
    </w:p>
    <w:p w14:paraId="7E586896" w14:textId="77777777" w:rsidR="006F012C" w:rsidRPr="00437C34" w:rsidRDefault="006F012C" w:rsidP="00763254">
      <w:pPr>
        <w:spacing w:after="0" w:line="276" w:lineRule="auto"/>
        <w:rPr>
          <w:rFonts w:ascii="Verdana" w:eastAsia="Calibri" w:hAnsi="Verdana" w:cs="Times New Roman"/>
          <w:lang w:val="es-ES"/>
        </w:rPr>
      </w:pPr>
    </w:p>
    <w:p w14:paraId="20B14279" w14:textId="77777777" w:rsidR="006F012C" w:rsidRPr="00437C34" w:rsidRDefault="006F012C" w:rsidP="00DA10B5">
      <w:pPr>
        <w:spacing w:after="0" w:line="276" w:lineRule="auto"/>
        <w:jc w:val="both"/>
        <w:rPr>
          <w:rFonts w:ascii="Verdana" w:eastAsia="Calibri" w:hAnsi="Verdana" w:cs="Times New Roman"/>
        </w:rPr>
      </w:pPr>
      <w:r w:rsidRPr="00437C34">
        <w:rPr>
          <w:rFonts w:ascii="Verdana" w:eastAsia="Calibri" w:hAnsi="Verdana" w:cs="Times New Roman"/>
          <w:bCs/>
          <w:lang w:val="es-ES" w:bidi="es-ES"/>
        </w:rPr>
        <w:t xml:space="preserve">En ejercicio de la competencia otorgada por los artículos 3, numeral 5º, y 11, numeral 8º, del Decreto Ley 4170 de 2011, </w:t>
      </w:r>
      <w:r w:rsidRPr="00437C34">
        <w:rPr>
          <w:rFonts w:ascii="Verdana" w:eastAsia="Calibri" w:hAnsi="Verdana" w:cs="Times New Roman"/>
          <w:bCs/>
        </w:rPr>
        <w:t xml:space="preserve">así como lo establecido por la Resolución 469 de 2025 expedida por esta Entidad, </w:t>
      </w:r>
      <w:r w:rsidRPr="00437C34">
        <w:rPr>
          <w:rFonts w:ascii="Verdana" w:eastAsia="Calibri" w:hAnsi="Verdana" w:cs="Times New Roman"/>
          <w:bCs/>
          <w:lang w:val="es-ES" w:bidi="es-ES"/>
        </w:rPr>
        <w:t>la Agencia Nacional de Contratación Pública – Colombia Compra Eficiente–</w:t>
      </w:r>
      <w:r w:rsidRPr="00437C34">
        <w:rPr>
          <w:rFonts w:ascii="Verdana" w:eastAsia="Calibri" w:hAnsi="Verdana" w:cs="Times New Roman"/>
          <w:lang w:val="es-ES"/>
        </w:rPr>
        <w:t xml:space="preserve"> responde la solicitud de consulta presentada el </w:t>
      </w:r>
      <w:r>
        <w:rPr>
          <w:rFonts w:ascii="Verdana" w:eastAsia="Calibri" w:hAnsi="Verdana" w:cs="Times New Roman"/>
          <w:lang w:val="es-ES"/>
        </w:rPr>
        <w:t>22</w:t>
      </w:r>
      <w:r w:rsidRPr="00437C34">
        <w:rPr>
          <w:rFonts w:ascii="Verdana" w:eastAsia="Calibri" w:hAnsi="Verdana" w:cs="Times New Roman"/>
          <w:lang w:val="es-ES"/>
        </w:rPr>
        <w:t xml:space="preserve"> de </w:t>
      </w:r>
      <w:r>
        <w:rPr>
          <w:rFonts w:ascii="Verdana" w:eastAsia="Calibri" w:hAnsi="Verdana" w:cs="Times New Roman"/>
          <w:lang w:val="es-ES"/>
        </w:rPr>
        <w:t>Mayo</w:t>
      </w:r>
      <w:r w:rsidRPr="00437C34">
        <w:rPr>
          <w:rFonts w:ascii="Verdana" w:eastAsia="Calibri" w:hAnsi="Verdana" w:cs="Times New Roman"/>
          <w:lang w:val="es-ES"/>
        </w:rPr>
        <w:t xml:space="preserve"> de 2026, en la cual manifiesta:</w:t>
      </w:r>
      <w:r w:rsidRPr="00437C34">
        <w:rPr>
          <w:rFonts w:ascii="Verdana" w:eastAsia="Calibri" w:hAnsi="Verdana" w:cs="Times New Roman"/>
        </w:rPr>
        <w:t xml:space="preserve"> </w:t>
      </w:r>
    </w:p>
    <w:p w14:paraId="3C8FA878" w14:textId="77777777" w:rsidR="006F012C" w:rsidRDefault="006F012C" w:rsidP="00763254">
      <w:pPr>
        <w:spacing w:after="0" w:line="276" w:lineRule="auto"/>
        <w:ind w:right="709"/>
        <w:jc w:val="both"/>
        <w:rPr>
          <w:rFonts w:ascii="Verdana" w:eastAsia="Calibri" w:hAnsi="Verdana" w:cs="Times New Roman"/>
          <w:sz w:val="20"/>
          <w:szCs w:val="20"/>
        </w:rPr>
      </w:pPr>
    </w:p>
    <w:p w14:paraId="6E3ED9E9" w14:textId="4626348D" w:rsidR="006F012C" w:rsidRDefault="00DA10B5" w:rsidP="00DA10B5">
      <w:pPr>
        <w:spacing w:after="0" w:line="240" w:lineRule="auto"/>
        <w:ind w:left="737" w:right="737"/>
        <w:jc w:val="both"/>
        <w:rPr>
          <w:rFonts w:ascii="Verdana" w:eastAsia="Calibri" w:hAnsi="Verdana" w:cs="Times New Roman"/>
          <w:sz w:val="20"/>
          <w:szCs w:val="20"/>
        </w:rPr>
      </w:pPr>
      <w:r>
        <w:rPr>
          <w:rFonts w:ascii="Verdana" w:eastAsia="Calibri" w:hAnsi="Verdana" w:cs="Times New Roman"/>
          <w:sz w:val="20"/>
          <w:szCs w:val="20"/>
        </w:rPr>
        <w:t>“</w:t>
      </w:r>
      <w:r w:rsidR="006F012C" w:rsidRPr="00052C22">
        <w:rPr>
          <w:rFonts w:ascii="Verdana" w:eastAsia="Calibri" w:hAnsi="Verdana" w:cs="Times New Roman"/>
          <w:sz w:val="20"/>
          <w:szCs w:val="20"/>
        </w:rPr>
        <w:t xml:space="preserve">¿Puede una entidad territorial suscribir un convenio de formalización de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 xml:space="preserve">entrega de proyecto con comunidades étnicas o autoridades indígenas, en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 xml:space="preserve">cumplimiento de lo dispuesto en el artículo 87 de la Ley 2056 de 2020,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 xml:space="preserve">durante la vigencia de la Ley de Garantías Electorales, cuando la entidad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lastRenderedPageBreak/>
        <w:t xml:space="preserve">propuesta como ejecutora corresponde a una entidad territorial de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naturaleza pública?</w:t>
      </w:r>
      <w:r>
        <w:rPr>
          <w:rFonts w:ascii="Verdana" w:eastAsia="Calibri" w:hAnsi="Verdana" w:cs="Times New Roman"/>
          <w:sz w:val="20"/>
          <w:szCs w:val="20"/>
        </w:rPr>
        <w:t>”</w:t>
      </w:r>
    </w:p>
    <w:p w14:paraId="7C3AA312" w14:textId="77777777" w:rsidR="006F012C" w:rsidRDefault="006F012C" w:rsidP="006F012C">
      <w:pPr>
        <w:spacing w:after="0" w:line="240" w:lineRule="auto"/>
        <w:ind w:right="709"/>
        <w:jc w:val="both"/>
        <w:rPr>
          <w:rFonts w:ascii="Verdana" w:eastAsia="Calibri" w:hAnsi="Verdana" w:cs="Times New Roman"/>
          <w:i/>
          <w:iCs/>
          <w:sz w:val="20"/>
        </w:rPr>
      </w:pPr>
    </w:p>
    <w:p w14:paraId="20222286" w14:textId="77777777" w:rsidR="006F012C" w:rsidRPr="00437C34" w:rsidRDefault="006F012C" w:rsidP="006F012C">
      <w:pPr>
        <w:spacing w:after="0" w:line="240" w:lineRule="auto"/>
        <w:ind w:right="709"/>
        <w:jc w:val="both"/>
        <w:rPr>
          <w:rFonts w:ascii="Verdana" w:eastAsia="Calibri" w:hAnsi="Verdana" w:cs="Times New Roman"/>
          <w:i/>
          <w:iCs/>
          <w:sz w:val="20"/>
        </w:rPr>
      </w:pPr>
    </w:p>
    <w:p w14:paraId="708EEB3D" w14:textId="77777777" w:rsidR="006F012C" w:rsidRPr="00437C34" w:rsidRDefault="006F012C" w:rsidP="006F012C">
      <w:pPr>
        <w:spacing w:after="120" w:line="276" w:lineRule="auto"/>
        <w:ind w:firstLine="709"/>
        <w:jc w:val="both"/>
        <w:rPr>
          <w:rFonts w:ascii="Verdana" w:eastAsia="Calibri" w:hAnsi="Verdana" w:cs="Times New Roman"/>
          <w:lang w:val="es-ES"/>
        </w:rPr>
      </w:pPr>
      <w:r w:rsidRPr="00437C34">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5E36D2F" w14:textId="77777777" w:rsidR="006F012C" w:rsidRPr="00437C34" w:rsidRDefault="006F012C" w:rsidP="006F012C">
      <w:pPr>
        <w:spacing w:after="0" w:line="276" w:lineRule="auto"/>
        <w:ind w:firstLine="708"/>
        <w:jc w:val="both"/>
        <w:rPr>
          <w:rFonts w:ascii="Verdana" w:eastAsia="Calibri" w:hAnsi="Verdana" w:cs="Times New Roman"/>
          <w:lang w:val="es-ES"/>
        </w:rPr>
      </w:pPr>
      <w:r w:rsidRPr="00437C34">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70E07ECF" w14:textId="77777777" w:rsidR="006F012C" w:rsidRPr="00437C34" w:rsidRDefault="006F012C" w:rsidP="006F012C">
      <w:pPr>
        <w:spacing w:after="0" w:line="276" w:lineRule="auto"/>
        <w:rPr>
          <w:rFonts w:ascii="Verdana" w:eastAsia="Calibri" w:hAnsi="Verdana" w:cs="Times New Roman"/>
          <w:lang w:val="es-ES"/>
        </w:rPr>
      </w:pPr>
    </w:p>
    <w:p w14:paraId="6F6DCA20" w14:textId="77777777" w:rsidR="006F012C" w:rsidRPr="00437C34" w:rsidRDefault="006F012C" w:rsidP="006F012C">
      <w:pPr>
        <w:numPr>
          <w:ilvl w:val="0"/>
          <w:numId w:val="16"/>
        </w:numPr>
        <w:spacing w:after="0" w:line="276" w:lineRule="auto"/>
        <w:contextualSpacing/>
        <w:rPr>
          <w:rFonts w:ascii="Verdana" w:eastAsia="Calibri" w:hAnsi="Verdana" w:cs="Times New Roman"/>
          <w:b/>
          <w:bCs/>
          <w:lang w:val="es-ES"/>
        </w:rPr>
      </w:pPr>
      <w:r w:rsidRPr="00437C34">
        <w:rPr>
          <w:rFonts w:ascii="Verdana" w:eastAsia="Calibri" w:hAnsi="Verdana" w:cs="Times New Roman"/>
          <w:b/>
          <w:bCs/>
          <w:lang w:val="es-ES"/>
        </w:rPr>
        <w:t>Problema planteado:</w:t>
      </w:r>
    </w:p>
    <w:p w14:paraId="61F02270" w14:textId="77777777" w:rsidR="006F012C" w:rsidRPr="00437C34" w:rsidRDefault="006F012C" w:rsidP="006F012C">
      <w:pPr>
        <w:spacing w:after="0" w:line="276" w:lineRule="auto"/>
        <w:rPr>
          <w:rFonts w:ascii="Verdana" w:eastAsia="Calibri" w:hAnsi="Verdana" w:cs="Times New Roman"/>
        </w:rPr>
      </w:pPr>
    </w:p>
    <w:p w14:paraId="5466036B" w14:textId="77777777" w:rsidR="006F012C" w:rsidRPr="00437C34" w:rsidRDefault="006F012C" w:rsidP="006F012C">
      <w:pPr>
        <w:spacing w:after="0" w:line="276" w:lineRule="auto"/>
        <w:jc w:val="both"/>
        <w:rPr>
          <w:rFonts w:ascii="Verdana" w:eastAsia="Calibri" w:hAnsi="Verdana" w:cs="Times New Roman"/>
          <w:iCs/>
        </w:rPr>
      </w:pPr>
      <w:r w:rsidRPr="00437C34">
        <w:rPr>
          <w:rFonts w:ascii="Verdana" w:eastAsia="Calibri" w:hAnsi="Verdana" w:cs="Times New Roman"/>
        </w:rPr>
        <w:t>De acuerdo con el contenido de sus solicitudes, esta Agencia procede a resolver el siguiente problema jurídico:</w:t>
      </w:r>
      <w:r w:rsidRPr="00437C34">
        <w:rPr>
          <w:rFonts w:ascii="Verdana" w:eastAsia="Calibri" w:hAnsi="Verdana" w:cs="Times New Roman"/>
          <w:iCs/>
          <w:lang w:val="es-ES"/>
        </w:rPr>
        <w:t xml:space="preserve"> ¿aplican las restricciones reguladas en la Ley 996 de 2005 </w:t>
      </w:r>
      <w:r w:rsidRPr="00437C34">
        <w:rPr>
          <w:rFonts w:ascii="Verdana" w:eastAsia="Calibri" w:hAnsi="Verdana" w:cs="Times New Roman"/>
          <w:bCs/>
          <w:iCs/>
        </w:rPr>
        <w:t xml:space="preserve">frente a los convenios contemplados en el artículo </w:t>
      </w:r>
      <w:r>
        <w:rPr>
          <w:rFonts w:ascii="Verdana" w:eastAsia="Calibri" w:hAnsi="Verdana" w:cs="Times New Roman"/>
          <w:bCs/>
          <w:iCs/>
        </w:rPr>
        <w:t xml:space="preserve">87 </w:t>
      </w:r>
      <w:r w:rsidRPr="00437C34">
        <w:rPr>
          <w:rFonts w:ascii="Verdana" w:eastAsia="Calibri" w:hAnsi="Verdana" w:cs="Times New Roman"/>
          <w:bCs/>
          <w:iCs/>
        </w:rPr>
        <w:t>de la Ley 2056 de 2020</w:t>
      </w:r>
      <w:r w:rsidRPr="00437C34">
        <w:rPr>
          <w:rFonts w:ascii="Verdana" w:eastAsia="Calibri" w:hAnsi="Verdana" w:cs="Times New Roman"/>
          <w:iCs/>
        </w:rPr>
        <w:t>?</w:t>
      </w:r>
    </w:p>
    <w:p w14:paraId="689E0CD1" w14:textId="77777777" w:rsidR="006F012C" w:rsidRPr="00437C34" w:rsidRDefault="006F012C" w:rsidP="006F012C">
      <w:pPr>
        <w:spacing w:after="0" w:line="276" w:lineRule="auto"/>
        <w:jc w:val="both"/>
        <w:rPr>
          <w:rFonts w:ascii="Verdana" w:eastAsia="Calibri" w:hAnsi="Verdana" w:cs="Times New Roman"/>
          <w:i/>
          <w:iCs/>
        </w:rPr>
      </w:pPr>
    </w:p>
    <w:p w14:paraId="125E8BD0" w14:textId="77777777" w:rsidR="006F012C" w:rsidRPr="00437C34" w:rsidRDefault="006F012C" w:rsidP="006F012C">
      <w:pPr>
        <w:numPr>
          <w:ilvl w:val="0"/>
          <w:numId w:val="16"/>
        </w:numPr>
        <w:spacing w:after="0" w:line="276" w:lineRule="auto"/>
        <w:contextualSpacing/>
        <w:rPr>
          <w:rFonts w:ascii="Verdana" w:eastAsia="Calibri" w:hAnsi="Verdana" w:cs="Times New Roman"/>
          <w:b/>
          <w:bCs/>
          <w:lang w:val="es-ES"/>
        </w:rPr>
      </w:pPr>
      <w:r w:rsidRPr="00437C34">
        <w:rPr>
          <w:rFonts w:ascii="Verdana" w:eastAsia="Calibri" w:hAnsi="Verdana" w:cs="Times New Roman"/>
          <w:b/>
          <w:bCs/>
          <w:lang w:val="es-ES"/>
        </w:rPr>
        <w:t>Respuesta:</w:t>
      </w:r>
    </w:p>
    <w:p w14:paraId="502674E4" w14:textId="77777777" w:rsidR="006F012C" w:rsidRPr="00437C34" w:rsidRDefault="006F012C" w:rsidP="006F012C">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6F012C" w:rsidRPr="00437C34" w14:paraId="3BC87629" w14:textId="77777777" w:rsidTr="004E205F">
        <w:trPr>
          <w:trHeight w:val="618"/>
          <w:jc w:val="center"/>
        </w:trPr>
        <w:tc>
          <w:tcPr>
            <w:tcW w:w="8784" w:type="dxa"/>
            <w:tcBorders>
              <w:bottom w:val="single" w:sz="4" w:space="0" w:color="auto"/>
            </w:tcBorders>
          </w:tcPr>
          <w:p w14:paraId="6E5F2FDC" w14:textId="77777777" w:rsidR="006F012C" w:rsidRPr="00437C34" w:rsidRDefault="006F012C" w:rsidP="004E205F">
            <w:pPr>
              <w:spacing w:before="120" w:after="120" w:line="276" w:lineRule="auto"/>
              <w:jc w:val="both"/>
              <w:rPr>
                <w:rFonts w:ascii="Verdana" w:eastAsia="Times New Roman" w:hAnsi="Verdana" w:cs="Arial"/>
                <w:bCs/>
                <w:lang w:val="es-MX" w:eastAsia="x-none"/>
              </w:rPr>
            </w:pPr>
            <w:r w:rsidRPr="00437C34">
              <w:rPr>
                <w:rFonts w:ascii="Verdana" w:eastAsia="Calibri" w:hAnsi="Verdana" w:cs="Times New Roman"/>
              </w:rPr>
              <w:t xml:space="preserve">En cuanto a </w:t>
            </w:r>
            <w:r w:rsidRPr="00437C34">
              <w:rPr>
                <w:rFonts w:ascii="Verdana" w:eastAsia="Calibri" w:hAnsi="Verdana" w:cs="Arial"/>
                <w:lang w:val="es-MX"/>
              </w:rPr>
              <w:t xml:space="preserve">la restricción prevista en el artículo 33 de la Ley 996 de 2005 es preciso resaltar que esta </w:t>
            </w:r>
            <w:r w:rsidRPr="00437C34">
              <w:rPr>
                <w:rFonts w:ascii="Verdana" w:eastAsia="Times New Roman" w:hAnsi="Verdana" w:cs="Arial"/>
                <w:bCs/>
                <w:lang w:val="es-MX" w:eastAsia="x-none"/>
              </w:rPr>
              <w:t xml:space="preserve">cobija a cualquier </w:t>
            </w:r>
            <w:r w:rsidRPr="00437C34">
              <w:rPr>
                <w:rFonts w:ascii="Verdana" w:eastAsia="Times New Roman" w:hAnsi="Verdana" w:cs="Arial"/>
                <w:bCs/>
                <w:i/>
                <w:iCs/>
                <w:lang w:val="es-MX" w:eastAsia="x-none"/>
              </w:rPr>
              <w:t>entidad pública</w:t>
            </w:r>
            <w:r w:rsidRPr="00437C34">
              <w:rPr>
                <w:rFonts w:ascii="Verdana" w:eastAsia="Times New Roman" w:hAnsi="Verdana" w:cs="Arial"/>
                <w:bCs/>
                <w:lang w:val="es-MX" w:eastAsia="x-none"/>
              </w:rPr>
              <w:t xml:space="preserve"> independiente del régimen jurídico, que pueda mediante la contratación directa romper el equilibrio entre los candidatos en desarrollo de las elecciones presidenciales. Tampoco existe un supuesto de exoneración a la prohibición por tener un </w:t>
            </w:r>
            <w:r w:rsidRPr="00437C34">
              <w:rPr>
                <w:rFonts w:ascii="Verdana" w:eastAsia="Times New Roman" w:hAnsi="Verdana" w:cs="Arial"/>
                <w:bCs/>
                <w:lang w:val="es-MX" w:eastAsia="x-none"/>
              </w:rPr>
              <w:lastRenderedPageBreak/>
              <w:t xml:space="preserve">régimen especial de los actos o contratos o </w:t>
            </w:r>
            <w:r w:rsidRPr="00437C34">
              <w:rPr>
                <w:rFonts w:ascii="Verdana" w:eastAsia="Times New Roman" w:hAnsi="Verdana" w:cs="Arial"/>
                <w:bCs/>
                <w:i/>
                <w:iCs/>
                <w:lang w:val="es-MX" w:eastAsia="x-none"/>
              </w:rPr>
              <w:t>por la ejecución de un cierto tipo de recursos en sus contrataciones</w:t>
            </w:r>
            <w:r w:rsidRPr="00437C34">
              <w:rPr>
                <w:rFonts w:ascii="Verdana" w:eastAsia="Times New Roman" w:hAnsi="Verdana" w:cs="Arial"/>
                <w:bCs/>
                <w:lang w:val="es-MX" w:eastAsia="x-none"/>
              </w:rPr>
              <w:t xml:space="preserve">, pues, la posibilidad de que los entes del Estado usen la contratación con fines políticos, esto es, con la intención de influir a los electores y alterar la voluntad popular en las contiendas electorales, puede presentarse tanto en la contratación regulada por la Ley 80 de 1993 como en la regida por normas especiales. </w:t>
            </w:r>
          </w:p>
          <w:p w14:paraId="54BBED60" w14:textId="77777777" w:rsidR="006F012C" w:rsidRPr="00437C34" w:rsidRDefault="006F012C" w:rsidP="004E205F">
            <w:pPr>
              <w:spacing w:after="120" w:line="276" w:lineRule="auto"/>
              <w:ind w:firstLine="709"/>
              <w:jc w:val="both"/>
              <w:rPr>
                <w:rFonts w:ascii="Verdana" w:eastAsia="Times New Roman" w:hAnsi="Verdana" w:cs="Arial"/>
                <w:bCs/>
                <w:lang w:val="es-MX" w:eastAsia="x-none"/>
              </w:rPr>
            </w:pPr>
            <w:r w:rsidRPr="00437C34">
              <w:rPr>
                <w:rFonts w:ascii="Verdana" w:eastAsia="Times New Roman" w:hAnsi="Verdana" w:cs="Arial"/>
                <w:bCs/>
                <w:lang w:val="es-MX" w:eastAsia="x-none"/>
              </w:rPr>
              <w:t xml:space="preserve">En relación con los destinatarios de la restricción analizada, el artículo 33 de la Ley 996 de 2005 los señala expresamente, en el sentido de que son </w:t>
            </w:r>
            <w:r w:rsidRPr="00437C34">
              <w:rPr>
                <w:rFonts w:ascii="Verdana" w:eastAsia="Times New Roman" w:hAnsi="Verdana" w:cs="Arial"/>
                <w:bCs/>
                <w:i/>
                <w:iCs/>
                <w:lang w:val="es-MX" w:eastAsia="x-none"/>
              </w:rPr>
              <w:t xml:space="preserve">“todos los entes del Estado”, </w:t>
            </w:r>
            <w:r w:rsidRPr="00437C34">
              <w:rPr>
                <w:rFonts w:ascii="Verdana" w:eastAsia="Times New Roman" w:hAnsi="Verdana" w:cs="Arial"/>
                <w:bCs/>
                <w:lang w:val="es-MX" w:eastAsia="x-none"/>
              </w:rPr>
              <w:t xml:space="preserve">expresión que contempla a los diferentes organismos o entidades autorizadas por la ley para suscribir contratos, </w:t>
            </w:r>
            <w:r w:rsidRPr="00437C34">
              <w:rPr>
                <w:rFonts w:ascii="Verdana" w:eastAsia="Times New Roman" w:hAnsi="Verdana" w:cs="Arial"/>
                <w:bCs/>
                <w:lang w:eastAsia="x-none"/>
              </w:rPr>
              <w:t xml:space="preserve">sin distinción del régimen jurídico, forma de organización o naturaleza, su pertenencia a una u otra rama del poder público o su autonomía, e incluso si se trata de entidades estatales que al estar sometidas a un régimen especial se encuentren del ámbito de aplicación del Estatuto General de Contratación de la Administración Pública. </w:t>
            </w:r>
          </w:p>
          <w:p w14:paraId="488E6FCA" w14:textId="02787310" w:rsidR="006F012C" w:rsidRPr="00437C34" w:rsidRDefault="006F012C" w:rsidP="004E205F">
            <w:pPr>
              <w:spacing w:after="120" w:line="276" w:lineRule="auto"/>
              <w:ind w:firstLine="709"/>
              <w:jc w:val="both"/>
              <w:rPr>
                <w:rFonts w:ascii="Verdana" w:hAnsi="Verdana" w:cs="Arial"/>
                <w:lang w:val="es-ES"/>
              </w:rPr>
            </w:pPr>
            <w:r w:rsidRPr="00437C34">
              <w:rPr>
                <w:rFonts w:ascii="Verdana" w:eastAsia="Times New Roman" w:hAnsi="Verdana" w:cs="Arial"/>
                <w:bCs/>
                <w:lang w:val="es-ES" w:eastAsia="x-none"/>
              </w:rPr>
              <w:t xml:space="preserve">En esta cuestión, </w:t>
            </w:r>
            <w:r w:rsidRPr="00437C34">
              <w:rPr>
                <w:rFonts w:ascii="Verdana" w:eastAsia="Times New Roman" w:hAnsi="Verdana" w:cs="Arial"/>
                <w:bCs/>
                <w:lang w:eastAsia="x-none"/>
              </w:rPr>
              <w:t>analizada la Ley 2056 de 2020 y en particular, el artículo</w:t>
            </w:r>
            <w:r>
              <w:rPr>
                <w:rFonts w:ascii="Verdana" w:eastAsia="Times New Roman" w:hAnsi="Verdana" w:cs="Arial"/>
                <w:bCs/>
                <w:lang w:eastAsia="x-none"/>
              </w:rPr>
              <w:t xml:space="preserve"> 87</w:t>
            </w:r>
            <w:r w:rsidRPr="00437C34">
              <w:rPr>
                <w:rFonts w:ascii="Verdana" w:eastAsia="Times New Roman" w:hAnsi="Verdana" w:cs="Arial"/>
                <w:bCs/>
                <w:lang w:eastAsia="x-none"/>
              </w:rPr>
              <w:t xml:space="preserve">, </w:t>
            </w:r>
            <w:r w:rsidRPr="00437C34">
              <w:rPr>
                <w:rFonts w:ascii="Verdana" w:eastAsia="Times New Roman" w:hAnsi="Verdana" w:cs="Arial"/>
                <w:bCs/>
                <w:lang w:val="es-ES" w:eastAsia="x-none"/>
              </w:rPr>
              <w:t xml:space="preserve">no se evidencia una excepción a lo dispuesto en el artículo 33 de la Ley 996 de 2005 </w:t>
            </w:r>
            <w:r w:rsidRPr="00437C34">
              <w:rPr>
                <w:rFonts w:ascii="Verdana" w:eastAsia="Times New Roman" w:hAnsi="Verdana" w:cs="Arial"/>
                <w:bCs/>
                <w:lang w:val="es-MX" w:eastAsia="x-none"/>
              </w:rPr>
              <w:t>que restringe la contratación directa en el periodo preelectoral a las elecciones presidenciales por el tipo de recurso que pretende ejecutarse. En otras palabras, esta normatividad especial para la ejecución de recursos del Sistema General de Regalías no implica que esté exonerada de la restricción, pues el legislador no hizo distinción del tipo de recursos al establecer la prohibición.  En este sentido, aplicará la restricción señalada respecto de todos los entes del Estado</w:t>
            </w:r>
            <w:r w:rsidRPr="00437C34">
              <w:rPr>
                <w:rFonts w:ascii="Verdana" w:eastAsia="Times New Roman" w:hAnsi="Verdana" w:cs="Arial"/>
                <w:bCs/>
                <w:i/>
                <w:iCs/>
                <w:lang w:val="es-MX" w:eastAsia="x-none"/>
              </w:rPr>
              <w:t>,</w:t>
            </w:r>
            <w:r w:rsidRPr="00437C34">
              <w:rPr>
                <w:rFonts w:ascii="Verdana" w:eastAsia="Times New Roman" w:hAnsi="Verdana" w:cs="Arial"/>
                <w:bCs/>
                <w:lang w:val="es-MX" w:eastAsia="x-none"/>
              </w:rPr>
              <w:t xml:space="preserve"> con independencia de la fuente de los recursos. </w:t>
            </w:r>
          </w:p>
          <w:p w14:paraId="1B637226" w14:textId="77777777" w:rsidR="006F012C" w:rsidRPr="00437C34" w:rsidRDefault="006F012C" w:rsidP="004E205F">
            <w:pPr>
              <w:spacing w:after="120" w:line="276" w:lineRule="auto"/>
              <w:ind w:firstLine="709"/>
              <w:jc w:val="both"/>
              <w:rPr>
                <w:rFonts w:ascii="Verdana" w:hAnsi="Verdana" w:cs="Arial"/>
                <w:lang w:val="es-ES"/>
              </w:rPr>
            </w:pPr>
            <w:r w:rsidRPr="00437C34">
              <w:rPr>
                <w:rFonts w:ascii="Verdana" w:hAnsi="Verdana" w:cs="Arial"/>
                <w:lang w:val="es-ES"/>
              </w:rPr>
              <w:t xml:space="preserve">En efecto, si bien el artículo </w:t>
            </w:r>
            <w:r>
              <w:rPr>
                <w:rFonts w:ascii="Verdana" w:hAnsi="Verdana" w:cs="Arial"/>
                <w:lang w:val="es-ES"/>
              </w:rPr>
              <w:t>87</w:t>
            </w:r>
            <w:r w:rsidRPr="00437C34">
              <w:rPr>
                <w:rFonts w:ascii="Verdana" w:hAnsi="Verdana" w:cs="Arial"/>
                <w:lang w:val="es-ES"/>
              </w:rPr>
              <w:t xml:space="preserve"> de la Ley 2056 de 2020 dispone el deber de suscribir un convenio dentro de los dos (2) meses siguientes a la aprobación del proyecto de inversión, dicha disposición no consagra de manera expresa una excepción a las restricciones previstas en el artículo 33 de la Ley 996 de 2005. En este caso, el legislador se limitó a establecer un término para la celebración del convenio, pero no señaló que esta actuación contractual pudiera adelantarse durante el periodo de restricción electoral ni excluyó expresamente su aplicación del régimen de la Ley de Garantías Electorales. </w:t>
            </w:r>
          </w:p>
          <w:p w14:paraId="511EE682" w14:textId="77777777" w:rsidR="006F012C" w:rsidRPr="00437C34" w:rsidRDefault="006F012C" w:rsidP="004E205F">
            <w:pPr>
              <w:spacing w:after="120" w:line="276" w:lineRule="auto"/>
              <w:ind w:firstLine="709"/>
              <w:jc w:val="both"/>
              <w:rPr>
                <w:rFonts w:ascii="Verdana" w:hAnsi="Verdana" w:cs="Arial"/>
                <w:lang w:val="es-ES"/>
              </w:rPr>
            </w:pPr>
            <w:r w:rsidRPr="00437C34">
              <w:rPr>
                <w:rFonts w:ascii="Verdana" w:hAnsi="Verdana" w:cs="Arial"/>
                <w:lang w:val="es-ES"/>
              </w:rPr>
              <w:t xml:space="preserve">Al respecto, es importante precisar que la previsión legal de un término para la suscripción del convenio no implica, por sí misma, que dicho plazo </w:t>
            </w:r>
            <w:r w:rsidRPr="00437C34">
              <w:rPr>
                <w:rFonts w:ascii="Verdana" w:hAnsi="Verdana" w:cs="Arial"/>
                <w:lang w:val="es-ES"/>
              </w:rPr>
              <w:lastRenderedPageBreak/>
              <w:t xml:space="preserve">prevalezca sobre las restricciones contenidas en la Ley de Garantías Electorales. Debe tenerse en cuenta que la Ley 996 de 2005, por su naturaleza estatutaria, goza de una jerarquía superior en el ordenamiento jurídico, en la medida que desarrolla materias relacionadas con las garantías electorales y la participación democrática. Por ello, no puede interpretarse que el término previsto en el artículo </w:t>
            </w:r>
            <w:r>
              <w:rPr>
                <w:rFonts w:ascii="Verdana" w:hAnsi="Verdana" w:cs="Arial"/>
                <w:lang w:val="es-ES"/>
              </w:rPr>
              <w:t>87</w:t>
            </w:r>
            <w:r w:rsidRPr="00437C34">
              <w:rPr>
                <w:rFonts w:ascii="Verdana" w:hAnsi="Verdana" w:cs="Arial"/>
                <w:lang w:val="es-ES"/>
              </w:rPr>
              <w:t xml:space="preserve"> de la Ley 2056 de 2020 para suscripción del convenio constituye, de manera implícita, una excepción a la prohibición de contratación durante el periodo electoral, pues esto implicaría hacer prevalecer una disposición de una ley ordinaria sobre una restricción establecida en una ley estatutaria, sin que el legislador hubiera previsto expresamente dicha consecuencia.</w:t>
            </w:r>
          </w:p>
          <w:p w14:paraId="297DE6BD" w14:textId="77777777" w:rsidR="006F012C" w:rsidRPr="00437C34" w:rsidRDefault="006F012C" w:rsidP="004E205F">
            <w:pPr>
              <w:spacing w:after="120" w:line="276" w:lineRule="auto"/>
              <w:ind w:firstLine="709"/>
              <w:jc w:val="both"/>
              <w:rPr>
                <w:rFonts w:ascii="Verdana" w:hAnsi="Verdana" w:cs="Arial"/>
                <w:lang w:val="es-ES"/>
              </w:rPr>
            </w:pPr>
            <w:r w:rsidRPr="00437C34">
              <w:rPr>
                <w:rFonts w:ascii="Verdana" w:hAnsi="Verdana" w:cs="Arial"/>
                <w:lang w:val="es-ES"/>
              </w:rPr>
              <w:t>En este sentido, no resulta jurídicamente viable sostener que en este caso existe una excepción a la Ley de Garantías Electorales por el deber de celebrar el convenio dentro de un plazo determinado, especialmente si se tiene en cuenta que las excepciones a las restricciones en materia electoral, debido a su naturaleza excepcional, deben estar consagradas de manera expresa y ser objeto de una interpretación estricta y restrictiva.</w:t>
            </w:r>
          </w:p>
          <w:p w14:paraId="5E09AE82" w14:textId="77777777" w:rsidR="006F012C" w:rsidRPr="00437C34" w:rsidRDefault="006F012C" w:rsidP="004E205F">
            <w:pPr>
              <w:tabs>
                <w:tab w:val="left" w:pos="1843"/>
              </w:tabs>
              <w:spacing w:after="120" w:line="276" w:lineRule="auto"/>
              <w:ind w:firstLine="709"/>
              <w:jc w:val="both"/>
              <w:rPr>
                <w:rFonts w:ascii="Verdana" w:eastAsia="Times New Roman" w:hAnsi="Verdana" w:cs="Arial"/>
                <w:bCs/>
                <w:lang w:val="es-MX" w:eastAsia="x-none"/>
              </w:rPr>
            </w:pPr>
            <w:r w:rsidRPr="00437C34">
              <w:rPr>
                <w:rFonts w:ascii="Verdana" w:hAnsi="Verdana" w:cs="Arial"/>
                <w:lang w:val="es-ES"/>
              </w:rPr>
              <w:t xml:space="preserve">En este contexto, debe reiterarse que </w:t>
            </w:r>
            <w:r w:rsidRPr="00437C34">
              <w:rPr>
                <w:rFonts w:ascii="Verdana" w:eastAsia="Times New Roman" w:hAnsi="Verdana" w:cs="Arial"/>
                <w:bCs/>
                <w:lang w:val="es-MX" w:eastAsia="x-none"/>
              </w:rPr>
              <w:t>la restricción del artículo 33 de la Ley de Garantías Electorales aplica, sin perjuicio de las excepciones establecidas en el inciso segundo del precitado artículo: i) los contratos relacionados con la defensa y seguridad del Estado, analizados en el Concepto 322 de 2026; ii) los contratos de crédito público, abordados en el Concepto CU-372 de 2026; iii) los contratos necesarios para atender emergencias educativas, sanitarias o desastres, tratados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118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176 de 2026, que tratan en este caso de la urgencia manifiesta; iv) los contratos destinados a la reconstrucción de infraestructura vial, energética y de comunicaciones afectada por atentados, acciones terroristas, desastres naturales o fuerza mayor, igualmente estudiados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118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176 de 2026, entre otros; y v) la contratación directa celebrada por entidades sanitarias y hospitalarias, objeto de análisis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1124 de 2026,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1406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 xml:space="preserve">1703 de 2026. </w:t>
            </w:r>
          </w:p>
          <w:p w14:paraId="3478A6DD" w14:textId="77777777" w:rsidR="006F012C" w:rsidRPr="00437C34" w:rsidRDefault="006F012C" w:rsidP="004E205F">
            <w:pPr>
              <w:tabs>
                <w:tab w:val="left" w:pos="1843"/>
              </w:tabs>
              <w:spacing w:after="120" w:line="276" w:lineRule="auto"/>
              <w:ind w:firstLine="709"/>
              <w:jc w:val="both"/>
              <w:rPr>
                <w:rFonts w:ascii="Verdana" w:eastAsia="Times New Roman" w:hAnsi="Verdana" w:cs="Arial"/>
                <w:bCs/>
                <w:lang w:eastAsia="es-CO"/>
              </w:rPr>
            </w:pPr>
            <w:r w:rsidRPr="00437C34">
              <w:rPr>
                <w:rFonts w:ascii="Verdana" w:eastAsia="Times New Roman" w:hAnsi="Verdana" w:cs="Arial"/>
                <w:bCs/>
                <w:lang w:eastAsia="es-CO"/>
              </w:rPr>
              <w:t>Bajo este contexto, corresponde a cada entidad estatal analizar, en el caso concreto, la naturaleza y finalidad de las actividades que pretende desarrollar mediante el respectivo convenio, con el propósito de determinar si su objeto se encuentra comprendido dentro de alguna de las excepciones expresamente admitidas al régimen de restricciones previsto en la Ley de Garantías Electorales</w:t>
            </w:r>
            <w:r w:rsidRPr="00437C34">
              <w:rPr>
                <w:rFonts w:ascii="Verdana" w:eastAsia="Times New Roman" w:hAnsi="Verdana" w:cs="Arial"/>
                <w:bCs/>
                <w:lang w:val="es-MX" w:eastAsia="es-CO"/>
              </w:rPr>
              <w:t xml:space="preserve">. Asimismo, </w:t>
            </w:r>
            <w:r w:rsidRPr="00437C34">
              <w:rPr>
                <w:rFonts w:ascii="Verdana" w:eastAsiaTheme="minorEastAsia" w:hAnsi="Verdana" w:cs="Arial"/>
                <w:lang w:eastAsia="es-CO"/>
              </w:rPr>
              <w:t xml:space="preserve">vale la pena indicar que </w:t>
            </w:r>
            <w:r w:rsidRPr="00437C34">
              <w:rPr>
                <w:rFonts w:ascii="Verdana" w:eastAsia="Calibri" w:hAnsi="Verdana" w:cs="Arial"/>
              </w:rPr>
              <w:t>l</w:t>
            </w:r>
            <w:r w:rsidRPr="00437C34">
              <w:rPr>
                <w:rFonts w:ascii="Verdana" w:eastAsia="Times New Roman" w:hAnsi="Verdana" w:cs="Arial"/>
                <w:bCs/>
                <w:lang w:val="es-ES" w:eastAsia="es-CO"/>
              </w:rPr>
              <w:t xml:space="preserve">a Sala de Consulta </w:t>
            </w:r>
            <w:r w:rsidRPr="00437C34">
              <w:rPr>
                <w:rFonts w:ascii="Verdana" w:eastAsia="Times New Roman" w:hAnsi="Verdana" w:cs="Arial"/>
                <w:bCs/>
                <w:lang w:val="es-ES" w:eastAsia="es-CO"/>
              </w:rPr>
              <w:lastRenderedPageBreak/>
              <w:t xml:space="preserve">y Servicio Civil del Consejo de Estado ha señalado algunas situaciones en las que se exceptúa la aplicación de la Ley de Garantías como, por ejemplo, para prestación de servicios públicos esenciales y el cumplimiento de un fallo judicial. </w:t>
            </w:r>
          </w:p>
          <w:p w14:paraId="13A64CDF" w14:textId="77777777" w:rsidR="006F012C" w:rsidRPr="00437C34" w:rsidRDefault="006F012C" w:rsidP="004E205F">
            <w:pPr>
              <w:spacing w:after="120" w:line="276" w:lineRule="auto"/>
              <w:ind w:firstLine="709"/>
              <w:jc w:val="both"/>
              <w:rPr>
                <w:rFonts w:ascii="Verdana" w:hAnsi="Verdana" w:cs="Arial"/>
                <w:lang w:val="es-ES"/>
              </w:rPr>
            </w:pPr>
            <w:r w:rsidRPr="00437C34">
              <w:rPr>
                <w:rFonts w:ascii="Verdana" w:hAnsi="Verdana" w:cs="Arial"/>
                <w:lang w:val="es-ES"/>
              </w:rPr>
              <w:t xml:space="preserve">Así las cosas, la Agencia considera que la posibilidad de suscribir un convenio con fundamento en el artículo </w:t>
            </w:r>
            <w:r>
              <w:rPr>
                <w:rFonts w:ascii="Verdana" w:hAnsi="Verdana" w:cs="Arial"/>
                <w:lang w:val="es-ES"/>
              </w:rPr>
              <w:t xml:space="preserve">87 </w:t>
            </w:r>
            <w:r w:rsidRPr="00437C34">
              <w:rPr>
                <w:rFonts w:ascii="Verdana" w:hAnsi="Verdana" w:cs="Arial"/>
                <w:lang w:val="es-ES"/>
              </w:rPr>
              <w:t>de la Ley 2056 de 2020, dependerá del análisis particular que realice la entidad sobre la existencia de alguna de las excepciones establecidas en el artículo 33 de la Ley de Garantías Electorales, sin perjuicio de lo expresado por la Sala de Consulta y Servicio Civil del Consejo que se expuso en el presente concepto.</w:t>
            </w:r>
          </w:p>
          <w:p w14:paraId="6DDFBFA8" w14:textId="77777777" w:rsidR="006F012C" w:rsidRPr="00437C34" w:rsidRDefault="006F012C" w:rsidP="004E205F">
            <w:pPr>
              <w:spacing w:after="120" w:line="276" w:lineRule="auto"/>
              <w:ind w:firstLine="709"/>
              <w:jc w:val="both"/>
              <w:rPr>
                <w:rFonts w:ascii="Verdana" w:eastAsia="Times New Roman" w:hAnsi="Verdana" w:cs="Arial"/>
                <w:bCs/>
                <w:lang w:val="es-ES" w:eastAsia="x-none"/>
              </w:rPr>
            </w:pPr>
            <w:r w:rsidRPr="00437C34">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39D905E7" w14:textId="77777777" w:rsidR="006F012C" w:rsidRPr="00437C34" w:rsidRDefault="006F012C" w:rsidP="006F012C">
      <w:pPr>
        <w:spacing w:after="0" w:line="276" w:lineRule="auto"/>
        <w:jc w:val="both"/>
        <w:rPr>
          <w:rFonts w:ascii="Verdana" w:eastAsia="Calibri" w:hAnsi="Verdana" w:cs="Arial"/>
          <w:bCs/>
          <w:color w:val="000000" w:themeColor="text1"/>
        </w:rPr>
      </w:pPr>
    </w:p>
    <w:p w14:paraId="55C45019" w14:textId="77777777" w:rsidR="006F012C" w:rsidRPr="00437C34" w:rsidRDefault="006F012C" w:rsidP="006F012C">
      <w:pPr>
        <w:numPr>
          <w:ilvl w:val="0"/>
          <w:numId w:val="16"/>
        </w:numPr>
        <w:tabs>
          <w:tab w:val="left" w:pos="2268"/>
        </w:tabs>
        <w:spacing w:after="0" w:line="276" w:lineRule="auto"/>
        <w:rPr>
          <w:rFonts w:ascii="Verdana" w:eastAsia="Calibri" w:hAnsi="Verdana" w:cs="Times New Roman"/>
          <w:b/>
          <w:bCs/>
          <w:lang w:val="es-ES"/>
        </w:rPr>
      </w:pPr>
      <w:r w:rsidRPr="00437C34">
        <w:rPr>
          <w:rFonts w:ascii="Verdana" w:eastAsia="Calibri" w:hAnsi="Verdana" w:cs="Times New Roman"/>
          <w:b/>
          <w:bCs/>
          <w:lang w:val="es-ES"/>
        </w:rPr>
        <w:t>Razones de la respuesta:</w:t>
      </w:r>
    </w:p>
    <w:p w14:paraId="6741BF79" w14:textId="77777777" w:rsidR="006F012C" w:rsidRPr="00437C34" w:rsidRDefault="006F012C" w:rsidP="006F012C">
      <w:pPr>
        <w:spacing w:after="0" w:line="276" w:lineRule="auto"/>
        <w:rPr>
          <w:rFonts w:ascii="Verdana" w:eastAsia="Calibri" w:hAnsi="Verdana" w:cs="Times New Roman"/>
          <w:b/>
          <w:bCs/>
          <w:lang w:val="es-ES"/>
        </w:rPr>
      </w:pPr>
    </w:p>
    <w:p w14:paraId="605B707A" w14:textId="77777777" w:rsidR="006F012C" w:rsidRPr="00437C34" w:rsidRDefault="006F012C" w:rsidP="006F012C">
      <w:pPr>
        <w:spacing w:after="0" w:line="276" w:lineRule="auto"/>
        <w:jc w:val="both"/>
        <w:rPr>
          <w:rFonts w:ascii="Verdana" w:eastAsia="Calibri" w:hAnsi="Verdana" w:cs="Arial"/>
          <w:lang w:val="es-ES"/>
        </w:rPr>
      </w:pPr>
      <w:r w:rsidRPr="00437C34">
        <w:rPr>
          <w:rFonts w:ascii="Verdana" w:eastAsia="Calibri" w:hAnsi="Verdana" w:cs="Arial"/>
          <w:lang w:val="es-ES"/>
        </w:rPr>
        <w:t xml:space="preserve">Lo anterior se sustenta en las siguientes consideraciones: </w:t>
      </w:r>
    </w:p>
    <w:p w14:paraId="2EF6EB43" w14:textId="77777777" w:rsidR="006F012C" w:rsidRPr="00437C34" w:rsidRDefault="006F012C" w:rsidP="006F012C">
      <w:pPr>
        <w:spacing w:after="0" w:line="276" w:lineRule="auto"/>
        <w:jc w:val="both"/>
        <w:rPr>
          <w:rFonts w:ascii="Verdana" w:eastAsia="Calibri" w:hAnsi="Verdana" w:cs="Arial"/>
          <w:color w:val="000000" w:themeColor="text1"/>
        </w:rPr>
      </w:pPr>
    </w:p>
    <w:p w14:paraId="51AC353E" w14:textId="77777777" w:rsidR="006F012C" w:rsidRPr="00437C34" w:rsidRDefault="006F012C" w:rsidP="006F012C">
      <w:pPr>
        <w:tabs>
          <w:tab w:val="left" w:pos="426"/>
        </w:tabs>
        <w:spacing w:after="120" w:line="276" w:lineRule="auto"/>
        <w:jc w:val="both"/>
        <w:rPr>
          <w:rFonts w:ascii="Verdana" w:eastAsia="Times New Roman" w:hAnsi="Verdana" w:cs="Arial"/>
          <w:lang w:eastAsia="es-CO"/>
        </w:rPr>
      </w:pPr>
      <w:r w:rsidRPr="00437C34">
        <w:rPr>
          <w:rFonts w:ascii="Verdana" w:eastAsia="Calibri" w:hAnsi="Verdana" w:cs="Arial"/>
        </w:rPr>
        <w:t>i. El ordenamiento jurídico colombiano contempla previsiones claras para evitar la obtención de beneficios personales en asuntos propios de la administración pública</w:t>
      </w:r>
      <w:r w:rsidRPr="00437C34">
        <w:rPr>
          <w:rFonts w:ascii="Verdana" w:eastAsia="Calibri" w:hAnsi="Verdana" w:cs="Arial"/>
          <w:i/>
        </w:rPr>
        <w:t xml:space="preserve">. </w:t>
      </w:r>
      <w:r w:rsidRPr="00437C34">
        <w:rPr>
          <w:rFonts w:ascii="Verdana" w:eastAsia="Calibri" w:hAnsi="Verdana" w:cs="Arial"/>
        </w:rPr>
        <w:t>Por ejemplo, el artículo 127 de la Constitución Política establece una prohibición contractual a los servidores públicos y, en cuanto a aspectos políticos, establece restricciones a ciertos empleados del Estado, incluso en época no electoral</w:t>
      </w:r>
      <w:r w:rsidRPr="00437C34">
        <w:rPr>
          <w:rFonts w:ascii="Verdana" w:hAnsi="Verdana"/>
          <w:vertAlign w:val="superscript"/>
        </w:rPr>
        <w:footnoteReference w:id="1"/>
      </w:r>
      <w:r w:rsidRPr="00437C34">
        <w:rPr>
          <w:rFonts w:ascii="Verdana" w:eastAsia="Calibri" w:hAnsi="Verdana" w:cs="Arial"/>
        </w:rPr>
        <w:t xml:space="preserve">. </w:t>
      </w:r>
    </w:p>
    <w:p w14:paraId="56836570" w14:textId="77777777" w:rsidR="006F012C" w:rsidRPr="00437C34" w:rsidRDefault="006F012C" w:rsidP="006F012C">
      <w:pPr>
        <w:tabs>
          <w:tab w:val="left" w:pos="426"/>
        </w:tabs>
        <w:spacing w:after="0" w:line="276" w:lineRule="auto"/>
        <w:ind w:firstLine="709"/>
        <w:jc w:val="both"/>
        <w:rPr>
          <w:rFonts w:ascii="Verdana" w:eastAsia="Calibri" w:hAnsi="Verdana" w:cs="Arial"/>
          <w:lang w:val="es-ES_tradnl"/>
        </w:rPr>
      </w:pPr>
      <w:r w:rsidRPr="00437C34">
        <w:rPr>
          <w:rFonts w:ascii="Verdana" w:eastAsia="Times New Roman" w:hAnsi="Verdana" w:cs="Arial"/>
          <w:lang w:eastAsia="es-CO"/>
        </w:rPr>
        <w:lastRenderedPageBreak/>
        <w:t>En el mismo sentido</w:t>
      </w:r>
      <w:r w:rsidRPr="00437C34">
        <w:rPr>
          <w:rFonts w:ascii="Verdana" w:eastAsia="Times New Roman" w:hAnsi="Verdana" w:cs="Arial"/>
          <w:lang w:val="es-MX" w:eastAsia="es-CO"/>
        </w:rPr>
        <w:t xml:space="preserve">, </w:t>
      </w:r>
      <w:bookmarkStart w:id="1" w:name="_Hlk99576829"/>
      <w:r w:rsidRPr="00437C34">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437C34">
        <w:rPr>
          <w:rFonts w:ascii="Verdana" w:eastAsia="Times New Roman" w:hAnsi="Verdana" w:cs="Arial"/>
          <w:vertAlign w:val="superscript"/>
          <w:lang w:val="es-MX" w:eastAsia="es-CO"/>
        </w:rPr>
        <w:footnoteReference w:id="2"/>
      </w:r>
      <w:r w:rsidRPr="00437C34">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437C34">
        <w:rPr>
          <w:rFonts w:ascii="Verdana" w:eastAsia="Calibri" w:hAnsi="Verdana" w:cs="Arial"/>
          <w:lang w:val="es-ES_tradnl"/>
        </w:rPr>
        <w:t xml:space="preserve"> </w:t>
      </w:r>
      <w:bookmarkEnd w:id="1"/>
      <w:r w:rsidRPr="00437C34">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09D75255" w14:textId="77777777" w:rsidR="006F012C" w:rsidRPr="00437C34" w:rsidRDefault="006F012C" w:rsidP="006F012C">
      <w:pPr>
        <w:spacing w:after="0" w:line="276" w:lineRule="auto"/>
        <w:ind w:right="709"/>
        <w:contextualSpacing/>
        <w:jc w:val="both"/>
        <w:rPr>
          <w:rFonts w:ascii="Verdana" w:eastAsia="Times New Roman" w:hAnsi="Verdana" w:cs="Arial"/>
          <w:lang w:val="es-ES" w:eastAsia="es-CO"/>
        </w:rPr>
      </w:pPr>
    </w:p>
    <w:p w14:paraId="247E35C9" w14:textId="62A0631F" w:rsidR="006F012C"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ES" w:eastAsia="es-CO"/>
        </w:rPr>
        <w:t xml:space="preserve">“[…] </w:t>
      </w:r>
      <w:r w:rsidRPr="00437C34">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3E077CB2" w14:textId="77777777" w:rsidR="002F5FAA" w:rsidRPr="00437C34" w:rsidRDefault="002F5FAA" w:rsidP="006F012C">
      <w:pPr>
        <w:spacing w:after="0" w:line="240" w:lineRule="auto"/>
        <w:ind w:left="709" w:right="709"/>
        <w:contextualSpacing/>
        <w:jc w:val="both"/>
        <w:rPr>
          <w:rFonts w:ascii="Verdana" w:eastAsia="Times New Roman" w:hAnsi="Verdana" w:cs="Arial"/>
          <w:sz w:val="20"/>
          <w:szCs w:val="20"/>
          <w:lang w:val="es-MX" w:eastAsia="es-CO"/>
        </w:rPr>
      </w:pPr>
    </w:p>
    <w:p w14:paraId="18E22E9F" w14:textId="77777777" w:rsidR="006F012C" w:rsidRPr="00437C34"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MX" w:eastAsia="es-CO"/>
        </w:rPr>
        <w:t xml:space="preserve">[…] </w:t>
      </w:r>
    </w:p>
    <w:p w14:paraId="3AB77F0B" w14:textId="77777777" w:rsidR="002F5FAA" w:rsidRDefault="002F5FAA" w:rsidP="006F012C">
      <w:pPr>
        <w:spacing w:after="0" w:line="240" w:lineRule="auto"/>
        <w:ind w:left="709" w:right="709"/>
        <w:contextualSpacing/>
        <w:jc w:val="both"/>
        <w:rPr>
          <w:rFonts w:ascii="Verdana" w:eastAsia="Times New Roman" w:hAnsi="Verdana" w:cs="Arial"/>
          <w:sz w:val="20"/>
          <w:szCs w:val="20"/>
          <w:lang w:val="es-MX" w:eastAsia="es-CO"/>
        </w:rPr>
      </w:pPr>
    </w:p>
    <w:p w14:paraId="382351FE" w14:textId="3EB82D88" w:rsidR="006F012C" w:rsidRPr="00437C34"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437C34">
        <w:rPr>
          <w:rFonts w:ascii="Verdana" w:eastAsia="Calibri" w:hAnsi="Verdana" w:cs="Arial"/>
          <w:sz w:val="20"/>
          <w:szCs w:val="20"/>
          <w:vertAlign w:val="superscript"/>
          <w:lang w:val="es-MX"/>
        </w:rPr>
        <w:footnoteReference w:id="3"/>
      </w:r>
    </w:p>
    <w:p w14:paraId="3E0D5B02" w14:textId="77777777" w:rsidR="006F012C" w:rsidRPr="00437C34" w:rsidRDefault="006F012C" w:rsidP="006F012C">
      <w:pPr>
        <w:spacing w:after="0" w:line="276" w:lineRule="auto"/>
        <w:ind w:firstLine="709"/>
        <w:jc w:val="both"/>
        <w:rPr>
          <w:rFonts w:ascii="Verdana" w:eastAsia="Times New Roman" w:hAnsi="Verdana" w:cs="Arial"/>
          <w:lang w:val="es-MX" w:eastAsia="es-CO"/>
        </w:rPr>
      </w:pPr>
      <w:bookmarkStart w:id="2" w:name="_Hlk78818186"/>
    </w:p>
    <w:p w14:paraId="21693E7C" w14:textId="77777777" w:rsidR="006F012C" w:rsidRPr="00437C34" w:rsidRDefault="006F012C" w:rsidP="006F012C">
      <w:pPr>
        <w:spacing w:after="0" w:line="276" w:lineRule="auto"/>
        <w:ind w:firstLine="709"/>
        <w:jc w:val="both"/>
        <w:rPr>
          <w:rFonts w:ascii="Verdana" w:eastAsia="Times New Roman" w:hAnsi="Verdana" w:cs="Arial"/>
          <w:lang w:val="es-MX" w:eastAsia="es-CO"/>
        </w:rPr>
      </w:pPr>
      <w:r w:rsidRPr="00437C34">
        <w:rPr>
          <w:rFonts w:ascii="Verdana" w:eastAsia="Times New Roman" w:hAnsi="Verdana" w:cs="Arial"/>
          <w:lang w:val="es-MX" w:eastAsia="es-CO"/>
        </w:rPr>
        <w:t xml:space="preserve">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w:t>
      </w:r>
      <w:bookmarkEnd w:id="2"/>
      <w:r w:rsidRPr="00437C34">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precisó:</w:t>
      </w:r>
    </w:p>
    <w:p w14:paraId="5D8EDDF5" w14:textId="77777777" w:rsidR="006F012C" w:rsidRPr="00437C34" w:rsidRDefault="006F012C" w:rsidP="006F012C">
      <w:pPr>
        <w:spacing w:after="0" w:line="276" w:lineRule="auto"/>
        <w:ind w:firstLine="709"/>
        <w:jc w:val="both"/>
        <w:rPr>
          <w:rFonts w:ascii="Verdana" w:eastAsia="Times New Roman" w:hAnsi="Verdana" w:cs="Arial"/>
          <w:lang w:val="es-MX" w:eastAsia="es-CO"/>
        </w:rPr>
      </w:pPr>
    </w:p>
    <w:p w14:paraId="4CE5E1B6" w14:textId="77777777" w:rsidR="006F012C" w:rsidRPr="00437C34"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MX" w:eastAsia="es-CO"/>
        </w:rPr>
        <w:lastRenderedPageBreak/>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2A10D790" w14:textId="77777777" w:rsidR="006F012C" w:rsidRPr="00437C34" w:rsidRDefault="006F012C" w:rsidP="006F012C">
      <w:pPr>
        <w:spacing w:after="0" w:line="240" w:lineRule="auto"/>
        <w:ind w:right="709"/>
        <w:contextualSpacing/>
        <w:jc w:val="both"/>
        <w:rPr>
          <w:rFonts w:ascii="Verdana" w:eastAsia="Times New Roman" w:hAnsi="Verdana" w:cs="Arial"/>
          <w:lang w:val="es-MX" w:eastAsia="es-CO"/>
        </w:rPr>
      </w:pPr>
    </w:p>
    <w:p w14:paraId="632A7DFC" w14:textId="77777777" w:rsidR="006F012C" w:rsidRPr="00437C34"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MX" w:eastAsia="es-CO"/>
        </w:rPr>
        <w:t>La jurisprudencia de la Corte Constitucional</w:t>
      </w:r>
      <w:r w:rsidRPr="00437C34">
        <w:rPr>
          <w:rFonts w:ascii="Verdana" w:eastAsia="Times New Roman" w:hAnsi="Verdana" w:cs="Arial"/>
          <w:sz w:val="20"/>
          <w:szCs w:val="20"/>
          <w:vertAlign w:val="superscript"/>
          <w:lang w:val="es-MX" w:eastAsia="es-CO"/>
        </w:rPr>
        <w:footnoteReference w:id="4"/>
      </w:r>
      <w:r w:rsidRPr="00437C34">
        <w:rPr>
          <w:rFonts w:ascii="Verdana" w:eastAsia="Times New Roman" w:hAnsi="Verdana" w:cs="Arial"/>
          <w:sz w:val="20"/>
          <w:szCs w:val="20"/>
          <w:lang w:val="es-MX" w:eastAsia="es-CO"/>
        </w:rPr>
        <w:t> y del Consejo de Estado</w:t>
      </w:r>
      <w:r w:rsidRPr="00437C34">
        <w:rPr>
          <w:rFonts w:ascii="Verdana" w:eastAsia="Times New Roman" w:hAnsi="Verdana" w:cs="Arial"/>
          <w:sz w:val="20"/>
          <w:szCs w:val="20"/>
          <w:vertAlign w:val="superscript"/>
          <w:lang w:val="es-MX" w:eastAsia="es-CO"/>
        </w:rPr>
        <w:footnoteReference w:id="5"/>
      </w:r>
      <w:r w:rsidRPr="00437C34">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437C34">
        <w:rPr>
          <w:rFonts w:ascii="Verdana" w:eastAsia="Times New Roman" w:hAnsi="Verdana" w:cs="Arial"/>
          <w:sz w:val="20"/>
          <w:szCs w:val="20"/>
          <w:vertAlign w:val="superscript"/>
          <w:lang w:val="es-MX" w:eastAsia="es-CO"/>
        </w:rPr>
        <w:footnoteReference w:id="6"/>
      </w:r>
      <w:r w:rsidRPr="00437C34">
        <w:rPr>
          <w:rFonts w:ascii="Verdana" w:eastAsia="Times New Roman" w:hAnsi="Verdana" w:cs="Arial"/>
          <w:sz w:val="20"/>
          <w:szCs w:val="20"/>
          <w:lang w:val="es-MX" w:eastAsia="es-CO"/>
        </w:rPr>
        <w:t>.</w:t>
      </w:r>
    </w:p>
    <w:p w14:paraId="7030221B" w14:textId="77777777" w:rsidR="006F012C" w:rsidRPr="00437C34" w:rsidRDefault="006F012C" w:rsidP="006F012C">
      <w:pPr>
        <w:spacing w:after="0" w:line="276" w:lineRule="auto"/>
        <w:jc w:val="both"/>
        <w:rPr>
          <w:rFonts w:ascii="Verdana" w:eastAsia="Calibri" w:hAnsi="Verdana" w:cs="Arial"/>
          <w:bCs/>
          <w:lang w:val="es-ES_tradnl"/>
        </w:rPr>
      </w:pPr>
    </w:p>
    <w:p w14:paraId="019965CA" w14:textId="77777777" w:rsidR="006F012C" w:rsidRPr="00437C34" w:rsidRDefault="006F012C" w:rsidP="006F012C">
      <w:pPr>
        <w:spacing w:after="120" w:line="276" w:lineRule="auto"/>
        <w:ind w:firstLine="709"/>
        <w:jc w:val="both"/>
        <w:rPr>
          <w:rFonts w:ascii="Verdana" w:eastAsia="Arial" w:hAnsi="Verdana" w:cs="Arial"/>
          <w:lang w:val="es-ES" w:eastAsia="es-ES" w:bidi="es-ES"/>
        </w:rPr>
      </w:pPr>
      <w:r w:rsidRPr="00437C34">
        <w:rPr>
          <w:rFonts w:ascii="Verdana" w:eastAsia="Times New Roman" w:hAnsi="Verdana" w:cs="Arial"/>
          <w:lang w:val="es-MX" w:eastAsia="es-CO"/>
        </w:rPr>
        <w:t>De</w:t>
      </w:r>
      <w:r w:rsidRPr="00437C34">
        <w:rPr>
          <w:rFonts w:ascii="Verdana" w:eastAsia="Arial" w:hAnsi="Verdana" w:cs="Arial"/>
          <w:lang w:val="es-ES" w:eastAsia="es-ES" w:bidi="es-ES"/>
        </w:rPr>
        <w:t xml:space="preserve"> conformidad con lo anterior, </w:t>
      </w:r>
      <w:bookmarkStart w:id="3" w:name="_Hlk77236098"/>
      <w:bookmarkStart w:id="4" w:name="_Hlk100679383"/>
      <w:r w:rsidRPr="00437C34">
        <w:rPr>
          <w:rFonts w:ascii="Verdana" w:eastAsia="Arial" w:hAnsi="Verdana" w:cs="Arial"/>
          <w:lang w:val="es-ES" w:eastAsia="es-ES" w:bidi="es-ES"/>
        </w:rPr>
        <w:t xml:space="preserve">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74E2B326" w14:textId="77777777" w:rsidR="006F012C" w:rsidRPr="00437C34" w:rsidRDefault="006F012C" w:rsidP="006F012C">
      <w:pPr>
        <w:spacing w:after="120" w:line="276" w:lineRule="auto"/>
        <w:jc w:val="both"/>
        <w:rPr>
          <w:rFonts w:ascii="Verdana" w:eastAsia="Arial" w:hAnsi="Verdana" w:cs="Arial"/>
          <w:lang w:val="es-ES" w:eastAsia="es-ES" w:bidi="es-ES"/>
        </w:rPr>
      </w:pPr>
      <w:r w:rsidRPr="00437C34">
        <w:rPr>
          <w:rFonts w:ascii="Verdana" w:eastAsia="Arial" w:hAnsi="Verdana" w:cs="Arial"/>
          <w:lang w:val="es-ES" w:eastAsia="es-ES" w:bidi="es-ES"/>
        </w:rPr>
        <w:t>ii. 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3"/>
    </w:p>
    <w:p w14:paraId="37FF9E8F" w14:textId="77777777" w:rsidR="006F012C" w:rsidRPr="00437C34" w:rsidRDefault="006F012C" w:rsidP="006F012C">
      <w:pPr>
        <w:spacing w:after="120" w:line="276" w:lineRule="auto"/>
        <w:ind w:firstLine="708"/>
        <w:jc w:val="both"/>
        <w:rPr>
          <w:rFonts w:ascii="Verdana" w:eastAsia="Calibri" w:hAnsi="Verdana" w:cs="Arial"/>
        </w:rPr>
      </w:pPr>
      <w:r w:rsidRPr="00437C34">
        <w:rPr>
          <w:rFonts w:ascii="Verdana" w:eastAsia="Calibri" w:hAnsi="Verdana" w:cs="Arial"/>
        </w:rPr>
        <w:t xml:space="preserve">Por un lado, el </w:t>
      </w:r>
      <w:r w:rsidRPr="00437C34">
        <w:rPr>
          <w:rFonts w:ascii="Verdana" w:eastAsia="Calibri" w:hAnsi="Verdana" w:cs="Arial"/>
          <w:i/>
          <w:iCs/>
        </w:rPr>
        <w:t>artículo 33 de la Ley 996 de 2005</w:t>
      </w:r>
      <w:r w:rsidRPr="00437C34">
        <w:rPr>
          <w:rFonts w:ascii="Verdana" w:eastAsia="Calibri" w:hAnsi="Verdana" w:cs="Arial"/>
        </w:rPr>
        <w:t xml:space="preserve"> prohíbe “[…] la contratación directa por parte de todos los entes del Estado” durante los cuatro (4) meses anteriores a las elecciones presidenciales, salvo “[…] lo referente a la </w:t>
      </w:r>
      <w:r w:rsidRPr="00437C34">
        <w:rPr>
          <w:rFonts w:ascii="Verdana" w:eastAsia="Calibri" w:hAnsi="Verdana" w:cs="Arial"/>
        </w:rPr>
        <w:lastRenderedPageBreak/>
        <w:t>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437C34">
        <w:rPr>
          <w:rFonts w:ascii="Verdana" w:eastAsia="Calibri" w:hAnsi="Verdana" w:cs="Arial"/>
          <w:vertAlign w:val="superscript"/>
        </w:rPr>
        <w:footnoteReference w:id="7"/>
      </w:r>
      <w:r w:rsidRPr="00437C34">
        <w:rPr>
          <w:rFonts w:ascii="Verdana" w:eastAsia="Calibri" w:hAnsi="Verdana" w:cs="Arial"/>
        </w:rPr>
        <w:t>.</w:t>
      </w:r>
    </w:p>
    <w:p w14:paraId="6472AC96" w14:textId="77777777" w:rsidR="006F012C" w:rsidRPr="00437C34" w:rsidRDefault="006F012C" w:rsidP="006F012C">
      <w:pPr>
        <w:widowControl w:val="0"/>
        <w:autoSpaceDE w:val="0"/>
        <w:autoSpaceDN w:val="0"/>
        <w:spacing w:after="120" w:line="276" w:lineRule="auto"/>
        <w:ind w:right="113" w:firstLine="709"/>
        <w:jc w:val="both"/>
        <w:rPr>
          <w:rFonts w:ascii="Verdana" w:eastAsia="Arial" w:hAnsi="Verdana" w:cs="Arial"/>
          <w:lang w:val="es-ES" w:eastAsia="es-ES" w:bidi="es-ES"/>
        </w:rPr>
      </w:pPr>
      <w:r w:rsidRPr="00437C34">
        <w:rPr>
          <w:rFonts w:ascii="Verdana" w:eastAsia="Calibri" w:hAnsi="Verdana" w:cs="Arial"/>
        </w:rPr>
        <w:t xml:space="preserve">Por otro lado, </w:t>
      </w:r>
      <w:r w:rsidRPr="00437C34">
        <w:rPr>
          <w:rFonts w:ascii="Verdana" w:eastAsia="Calibri" w:hAnsi="Verdana" w:cs="Arial"/>
          <w:i/>
          <w:iCs/>
        </w:rPr>
        <w:t>el parágrafo del artículo 38 de la Ley 996 de 2005</w:t>
      </w:r>
      <w:r w:rsidRPr="00437C34">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437C34">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437C34">
        <w:rPr>
          <w:rFonts w:ascii="Verdana" w:eastAsia="Calibri" w:hAnsi="Verdana" w:cs="Arial"/>
        </w:rPr>
        <w:t>”</w:t>
      </w:r>
      <w:bookmarkEnd w:id="4"/>
      <w:r w:rsidRPr="00437C34">
        <w:rPr>
          <w:rFonts w:ascii="Verdana" w:eastAsia="Calibri" w:hAnsi="Verdana" w:cs="Arial"/>
          <w:vertAlign w:val="superscript"/>
        </w:rPr>
        <w:footnoteReference w:id="8"/>
      </w:r>
      <w:r w:rsidRPr="00437C34">
        <w:rPr>
          <w:rFonts w:ascii="Verdana" w:eastAsia="Calibri" w:hAnsi="Verdana" w:cs="Arial"/>
          <w:lang w:val="es-MX"/>
        </w:rPr>
        <w:t>.</w:t>
      </w:r>
      <w:r w:rsidRPr="00437C34">
        <w:rPr>
          <w:rFonts w:ascii="Verdana" w:eastAsia="Arial" w:hAnsi="Verdana" w:cs="Arial"/>
          <w:lang w:val="es-ES" w:eastAsia="es-ES" w:bidi="es-ES"/>
        </w:rPr>
        <w:t xml:space="preserve"> </w:t>
      </w:r>
    </w:p>
    <w:p w14:paraId="1E53F220" w14:textId="77777777" w:rsidR="006F012C" w:rsidRPr="00437C34" w:rsidRDefault="006F012C" w:rsidP="006F012C">
      <w:pPr>
        <w:spacing w:after="120" w:line="276" w:lineRule="auto"/>
        <w:ind w:firstLine="708"/>
        <w:jc w:val="both"/>
        <w:rPr>
          <w:rFonts w:ascii="Verdana" w:eastAsia="Times New Roman" w:hAnsi="Verdana" w:cs="Arial"/>
          <w:bCs/>
          <w:lang w:eastAsia="es-CO"/>
        </w:rPr>
      </w:pPr>
      <w:r w:rsidRPr="00437C34">
        <w:rPr>
          <w:rFonts w:ascii="Verdana" w:eastAsia="Times New Roman" w:hAnsi="Verdana" w:cs="Arial"/>
          <w:bCs/>
          <w:lang w:val="es-MX" w:eastAsia="es-CO"/>
        </w:rPr>
        <w:t>Para entender el momento de aplicación de estas restricciones, es preciso señalar que el vocablo “celebrar” es definido por el Diccionario Panhispánico del Español Jurídico como: “</w:t>
      </w:r>
      <w:r w:rsidRPr="00437C34">
        <w:rPr>
          <w:rFonts w:ascii="Verdana" w:eastAsia="Times New Roman" w:hAnsi="Verdana" w:cs="Arial"/>
          <w:bCs/>
          <w:lang w:eastAsia="es-CO"/>
        </w:rPr>
        <w:t>1. </w:t>
      </w:r>
      <w:r w:rsidRPr="00437C34">
        <w:rPr>
          <w:rFonts w:ascii="Verdana" w:eastAsia="Times New Roman" w:hAnsi="Verdana" w:cs="Arial"/>
          <w:bCs/>
          <w:i/>
          <w:iCs/>
          <w:lang w:eastAsia="es-CO"/>
        </w:rPr>
        <w:t>Gral.</w:t>
      </w:r>
      <w:r w:rsidRPr="00437C34">
        <w:rPr>
          <w:rFonts w:ascii="Verdana" w:eastAsia="Times New Roman" w:hAnsi="Verdana" w:cs="Arial"/>
          <w:bCs/>
          <w:lang w:eastAsia="es-CO"/>
        </w:rPr>
        <w:t xml:space="preserve"> Otorgar o firmar un contrato. 2. </w:t>
      </w:r>
      <w:proofErr w:type="spellStart"/>
      <w:r w:rsidRPr="00437C34">
        <w:rPr>
          <w:rFonts w:ascii="Verdana" w:eastAsia="Times New Roman" w:hAnsi="Verdana" w:cs="Arial"/>
          <w:bCs/>
          <w:i/>
          <w:iCs/>
          <w:lang w:eastAsia="es-CO"/>
        </w:rPr>
        <w:t>Proc</w:t>
      </w:r>
      <w:proofErr w:type="spellEnd"/>
      <w:r w:rsidRPr="00437C34">
        <w:rPr>
          <w:rFonts w:ascii="Verdana" w:eastAsia="Times New Roman" w:hAnsi="Verdana" w:cs="Arial"/>
          <w:bCs/>
          <w:i/>
          <w:iCs/>
          <w:lang w:eastAsia="es-CO"/>
        </w:rPr>
        <w:t>.</w:t>
      </w:r>
      <w:r w:rsidRPr="00437C34">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157C843A" w14:textId="77777777" w:rsidR="006F012C" w:rsidRPr="00437C34" w:rsidRDefault="006F012C" w:rsidP="006F012C">
      <w:pPr>
        <w:spacing w:after="120" w:line="276" w:lineRule="auto"/>
        <w:ind w:firstLine="708"/>
        <w:jc w:val="both"/>
        <w:rPr>
          <w:rFonts w:ascii="Verdana" w:eastAsia="Times New Roman" w:hAnsi="Verdana" w:cs="Arial"/>
          <w:bCs/>
          <w:lang w:val="es-ES" w:eastAsia="es-CO"/>
        </w:rPr>
      </w:pPr>
      <w:r w:rsidRPr="00437C34">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437C34">
        <w:rPr>
          <w:rFonts w:ascii="Verdana" w:eastAsia="Times New Roman" w:hAnsi="Verdana" w:cs="Arial"/>
          <w:bCs/>
          <w:lang w:val="es-ES" w:eastAsia="es-CO"/>
        </w:rPr>
        <w:t xml:space="preserve">la existencia de los contratos estatales, es decir, la producción de efectos jurídicos en los términos del artículo 1501 </w:t>
      </w:r>
      <w:r w:rsidRPr="00437C34">
        <w:rPr>
          <w:rFonts w:ascii="Verdana" w:eastAsia="Times New Roman" w:hAnsi="Verdana" w:cs="Arial"/>
          <w:bCs/>
          <w:i/>
          <w:lang w:val="es-ES" w:eastAsia="es-CO"/>
        </w:rPr>
        <w:t>ibídem</w:t>
      </w:r>
      <w:r w:rsidRPr="00437C34">
        <w:rPr>
          <w:rFonts w:ascii="Verdana" w:eastAsia="Times New Roman" w:hAnsi="Verdana" w:cs="Arial"/>
          <w:bCs/>
          <w:lang w:val="es-ES" w:eastAsia="es-CO"/>
        </w:rPr>
        <w:t xml:space="preserve">, depende de la regulación del inciso primero de los artículos 39 y 41 de la Ley 80 de 1993. Por un lado, “Los contratos que celebren las entidades estatales constarán por escrito y no requerirán ser </w:t>
      </w:r>
      <w:r w:rsidRPr="00437C34">
        <w:rPr>
          <w:rFonts w:ascii="Verdana" w:eastAsia="Times New Roman" w:hAnsi="Verdana" w:cs="Arial"/>
          <w:bCs/>
          <w:lang w:val="es-ES" w:eastAsia="es-CO"/>
        </w:rPr>
        <w:lastRenderedPageBreak/>
        <w:t xml:space="preserve">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64E96D4D" w14:textId="77777777" w:rsidR="006F012C" w:rsidRPr="00437C34" w:rsidRDefault="006F012C" w:rsidP="006F012C">
      <w:pPr>
        <w:spacing w:after="120" w:line="276" w:lineRule="auto"/>
        <w:ind w:firstLine="708"/>
        <w:jc w:val="both"/>
        <w:rPr>
          <w:rFonts w:ascii="Verdana" w:eastAsia="Times New Roman" w:hAnsi="Verdana" w:cs="Arial"/>
          <w:bCs/>
          <w:lang w:val="es-ES" w:eastAsia="es-CO"/>
        </w:rPr>
      </w:pPr>
      <w:r w:rsidRPr="00437C34">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6A1300B5" w14:textId="77777777" w:rsidR="006F012C" w:rsidRPr="00437C34" w:rsidRDefault="006F012C" w:rsidP="006F012C">
      <w:pPr>
        <w:spacing w:after="120" w:line="276" w:lineRule="auto"/>
        <w:ind w:firstLine="708"/>
        <w:jc w:val="both"/>
        <w:rPr>
          <w:rFonts w:ascii="Verdana" w:eastAsia="Times New Roman" w:hAnsi="Verdana" w:cs="Arial"/>
          <w:bCs/>
          <w:lang w:val="es-ES" w:eastAsia="es-CO"/>
        </w:rPr>
      </w:pPr>
      <w:r w:rsidRPr="00437C34">
        <w:rPr>
          <w:rFonts w:ascii="Verdana" w:eastAsia="Times New Roman" w:hAnsi="Verdana" w:cs="Arial"/>
          <w:bCs/>
          <w:lang w:val="es-ES" w:eastAsia="es-CO"/>
        </w:rPr>
        <w:t xml:space="preserve">Así mismo, </w:t>
      </w:r>
      <w:r w:rsidRPr="00437C34">
        <w:rPr>
          <w:rFonts w:ascii="Verdana" w:eastAsia="Times New Roman" w:hAnsi="Verdana" w:cs="Arial"/>
          <w:bCs/>
          <w:lang w:val="es-MX"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r w:rsidRPr="00437C34">
        <w:rPr>
          <w:rFonts w:ascii="Verdana" w:eastAsia="Times New Roman" w:hAnsi="Verdana" w:cs="Arial"/>
          <w:bCs/>
          <w:vertAlign w:val="superscript"/>
          <w:lang w:val="es-MX" w:eastAsia="es-CO"/>
        </w:rPr>
        <w:footnoteReference w:id="9"/>
      </w:r>
      <w:r w:rsidRPr="00437C34">
        <w:rPr>
          <w:rFonts w:ascii="Verdana" w:eastAsia="Times New Roman" w:hAnsi="Verdana" w:cs="Arial"/>
          <w:bCs/>
          <w:lang w:val="es-MX" w:eastAsia="es-CO"/>
        </w:rPr>
        <w:t xml:space="preserve">. </w:t>
      </w:r>
    </w:p>
    <w:p w14:paraId="760F0282" w14:textId="77777777" w:rsidR="006F012C" w:rsidRPr="00437C34" w:rsidRDefault="006F012C" w:rsidP="006F012C">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sidRPr="00437C34">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38E01E80" w14:textId="77777777" w:rsidR="006F012C" w:rsidRPr="00437C34" w:rsidRDefault="006F012C" w:rsidP="006F012C">
      <w:pPr>
        <w:widowControl w:val="0"/>
        <w:autoSpaceDE w:val="0"/>
        <w:autoSpaceDN w:val="0"/>
        <w:spacing w:after="0" w:line="240" w:lineRule="auto"/>
        <w:ind w:left="805" w:right="812"/>
        <w:contextualSpacing/>
        <w:jc w:val="both"/>
        <w:rPr>
          <w:rFonts w:ascii="Verdana" w:eastAsia="Arial" w:hAnsi="Verdana" w:cs="Arial"/>
          <w:lang w:val="es-ES" w:eastAsia="es-ES" w:bidi="es-ES"/>
        </w:rPr>
      </w:pPr>
    </w:p>
    <w:p w14:paraId="08FEF649" w14:textId="77777777" w:rsidR="006F012C" w:rsidRPr="00437C34" w:rsidRDefault="006F012C" w:rsidP="006F012C">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437C34">
        <w:rPr>
          <w:rFonts w:ascii="Verdana" w:eastAsia="Arial" w:hAnsi="Verdana" w:cs="Arial"/>
          <w:sz w:val="20"/>
          <w:szCs w:val="20"/>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7" w:name="_Hlk76109421"/>
      <w:r w:rsidRPr="00437C34">
        <w:rPr>
          <w:rFonts w:ascii="Verdana" w:eastAsia="Arial" w:hAnsi="Verdana" w:cs="Arial"/>
          <w:sz w:val="20"/>
          <w:szCs w:val="20"/>
          <w:lang w:eastAsia="es-ES" w:bidi="es-ES"/>
        </w:rPr>
        <w:t>se integran parcialmente</w:t>
      </w:r>
      <w:bookmarkEnd w:id="7"/>
      <w:r w:rsidRPr="00437C34">
        <w:rPr>
          <w:rFonts w:ascii="Verdana" w:eastAsia="Arial" w:hAnsi="Verdana" w:cs="Arial"/>
          <w:sz w:val="20"/>
          <w:szCs w:val="20"/>
          <w:lang w:eastAsia="es-ES" w:bidi="es-ES"/>
        </w:rPr>
        <w:t xml:space="preserv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w:t>
      </w:r>
      <w:r w:rsidRPr="00437C34">
        <w:rPr>
          <w:rFonts w:ascii="Verdana" w:eastAsia="Arial" w:hAnsi="Verdana" w:cs="Arial"/>
          <w:sz w:val="20"/>
          <w:szCs w:val="20"/>
          <w:lang w:eastAsia="es-ES" w:bidi="es-ES"/>
        </w:rPr>
        <w:lastRenderedPageBreak/>
        <w:t>contenidas en el parágrafo del artículo 38”.</w:t>
      </w:r>
      <w:r w:rsidRPr="00437C34">
        <w:rPr>
          <w:rFonts w:ascii="Verdana" w:eastAsia="Arial" w:hAnsi="Verdana" w:cs="Arial"/>
          <w:sz w:val="20"/>
          <w:szCs w:val="20"/>
          <w:vertAlign w:val="superscript"/>
          <w:lang w:eastAsia="es-ES" w:bidi="es-ES"/>
        </w:rPr>
        <w:footnoteReference w:id="10"/>
      </w:r>
    </w:p>
    <w:p w14:paraId="383B0392" w14:textId="77777777" w:rsidR="006F012C" w:rsidRPr="00437C34" w:rsidRDefault="006F012C" w:rsidP="006F012C">
      <w:pPr>
        <w:widowControl w:val="0"/>
        <w:autoSpaceDE w:val="0"/>
        <w:autoSpaceDN w:val="0"/>
        <w:spacing w:after="0" w:line="276" w:lineRule="auto"/>
        <w:contextualSpacing/>
        <w:rPr>
          <w:rFonts w:ascii="Verdana" w:eastAsia="Arial" w:hAnsi="Verdana" w:cs="Arial"/>
          <w:lang w:val="es-ES" w:eastAsia="es-ES" w:bidi="es-ES"/>
        </w:rPr>
      </w:pPr>
    </w:p>
    <w:p w14:paraId="4B04C298" w14:textId="77777777" w:rsidR="006F012C" w:rsidRPr="00437C34" w:rsidRDefault="006F012C" w:rsidP="006F012C">
      <w:pPr>
        <w:spacing w:after="120" w:line="276" w:lineRule="auto"/>
        <w:ind w:firstLine="709"/>
        <w:jc w:val="both"/>
        <w:rPr>
          <w:rFonts w:ascii="Verdana" w:eastAsia="Arial" w:hAnsi="Verdana" w:cs="Arial"/>
          <w:lang w:val="es-ES" w:eastAsia="es-ES" w:bidi="es-ES"/>
        </w:rPr>
      </w:pPr>
      <w:r w:rsidRPr="00437C34">
        <w:rPr>
          <w:rFonts w:ascii="Verdana" w:eastAsia="Arial" w:hAnsi="Verdana" w:cs="Arial"/>
          <w:lang w:val="es-ES" w:eastAsia="es-ES" w:bidi="es-ES"/>
        </w:rPr>
        <w:t xml:space="preserve">De conformidad con lo anterior, </w:t>
      </w:r>
      <w:bookmarkStart w:id="8" w:name="_Hlk77236420"/>
      <w:bookmarkStart w:id="9" w:name="_Hlk78818435"/>
      <w:bookmarkStart w:id="10" w:name="_Hlk75780333"/>
      <w:r w:rsidRPr="00437C34">
        <w:rPr>
          <w:rFonts w:ascii="Verdana" w:eastAsia="Arial" w:hAnsi="Verdana" w:cs="Arial"/>
          <w:lang w:val="es-ES" w:eastAsia="es-ES" w:bidi="es-ES"/>
        </w:rPr>
        <w:t xml:space="preserve">la Ley 996 de 2005 establece dos (2) tipos de restricciones en materia de contratación, las cuales coinciden parcialmente. </w:t>
      </w:r>
      <w:r w:rsidRPr="00437C34">
        <w:rPr>
          <w:rFonts w:ascii="Verdana" w:eastAsia="Arial" w:hAnsi="Verdana" w:cs="Arial"/>
          <w:i/>
          <w:lang w:val="es-ES" w:eastAsia="es-ES" w:bidi="es-ES"/>
        </w:rPr>
        <w:t>En primer lugar</w:t>
      </w:r>
      <w:r w:rsidRPr="00437C34">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437C34">
        <w:rPr>
          <w:rFonts w:ascii="Verdana" w:eastAsia="Arial" w:hAnsi="Verdana" w:cs="Arial"/>
          <w:i/>
          <w:lang w:val="es-ES" w:eastAsia="es-ES" w:bidi="es-ES"/>
        </w:rPr>
        <w:t>En segundo lugar</w:t>
      </w:r>
      <w:r w:rsidRPr="00437C34">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8"/>
    </w:p>
    <w:bookmarkEnd w:id="9"/>
    <w:p w14:paraId="10AA10CC" w14:textId="77777777" w:rsidR="006F012C" w:rsidRPr="00437C34" w:rsidRDefault="006F012C" w:rsidP="006F012C">
      <w:pPr>
        <w:spacing w:after="120" w:line="276" w:lineRule="auto"/>
        <w:ind w:firstLine="709"/>
        <w:jc w:val="both"/>
        <w:rPr>
          <w:rFonts w:ascii="Verdana" w:eastAsia="Arial" w:hAnsi="Verdana" w:cs="Arial"/>
          <w:lang w:val="es-ES" w:eastAsia="es-ES" w:bidi="es-ES"/>
        </w:rPr>
      </w:pPr>
      <w:r w:rsidRPr="00437C34">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0"/>
    <w:p w14:paraId="675311D6" w14:textId="75CDA8E4" w:rsidR="006F012C" w:rsidRDefault="006F012C" w:rsidP="002F5FAA">
      <w:pPr>
        <w:spacing w:after="0" w:line="276" w:lineRule="auto"/>
        <w:ind w:firstLine="709"/>
        <w:jc w:val="both"/>
        <w:rPr>
          <w:rFonts w:ascii="Verdana" w:eastAsia="Arial" w:hAnsi="Verdana" w:cs="Arial"/>
          <w:lang w:val="es-ES" w:eastAsia="es-ES" w:bidi="es-ES"/>
        </w:rPr>
      </w:pPr>
      <w:r w:rsidRPr="00437C34">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w:t>
      </w:r>
      <w:r w:rsidRPr="00437C34">
        <w:rPr>
          <w:rFonts w:ascii="Verdana" w:eastAsia="Arial" w:hAnsi="Verdana" w:cs="Arial"/>
          <w:lang w:val="es-ES" w:eastAsia="es-ES" w:bidi="es-ES"/>
        </w:rPr>
        <w:lastRenderedPageBreak/>
        <w:t xml:space="preserve">ejercido por un tiempo inferior a tres (3) meses durante el respectivo cuatrienio, en forma continua o discontinua, conforme al artículo 197 de la Constitución Política. </w:t>
      </w:r>
      <w:bookmarkStart w:id="11" w:name="_Hlk78820161"/>
    </w:p>
    <w:p w14:paraId="6DD5228B" w14:textId="77777777" w:rsidR="002F5FAA" w:rsidRPr="00437C34" w:rsidRDefault="002F5FAA" w:rsidP="00763254">
      <w:pPr>
        <w:spacing w:after="0" w:line="276" w:lineRule="auto"/>
        <w:ind w:firstLine="709"/>
        <w:jc w:val="both"/>
        <w:rPr>
          <w:rFonts w:ascii="Verdana" w:eastAsia="Arial" w:hAnsi="Verdana" w:cs="Arial"/>
          <w:lang w:val="es-ES" w:eastAsia="es-ES" w:bidi="es-ES"/>
        </w:rPr>
      </w:pPr>
    </w:p>
    <w:p w14:paraId="78E033A1" w14:textId="77777777" w:rsidR="006F012C" w:rsidRPr="00437C34" w:rsidRDefault="006F012C" w:rsidP="00763254">
      <w:pPr>
        <w:spacing w:after="0" w:line="276" w:lineRule="auto"/>
        <w:jc w:val="both"/>
        <w:rPr>
          <w:rFonts w:ascii="Verdana" w:eastAsia="Arial" w:hAnsi="Verdana" w:cs="Arial"/>
          <w:lang w:val="es-ES" w:eastAsia="es-ES" w:bidi="es-ES"/>
        </w:rPr>
      </w:pPr>
      <w:r w:rsidRPr="00437C34">
        <w:rPr>
          <w:rFonts w:ascii="Verdana" w:eastAsia="Arial" w:hAnsi="Verdana" w:cs="Arial"/>
          <w:lang w:val="es-ES" w:eastAsia="es-ES" w:bidi="es-ES"/>
        </w:rPr>
        <w:t xml:space="preserve">iii. </w:t>
      </w:r>
      <w:r w:rsidRPr="00437C34">
        <w:rPr>
          <w:rFonts w:ascii="Verdana" w:eastAsia="Times New Roman" w:hAnsi="Verdana" w:cs="Arial"/>
          <w:bCs/>
          <w:lang w:val="es-MX" w:eastAsia="x-none"/>
        </w:rPr>
        <w:t xml:space="preserve">El ámbito material de la prohibición contenida en el artículo 33 de la ley 996 de 2005 está delimitado por la expresión </w:t>
      </w:r>
      <w:r w:rsidRPr="00437C34">
        <w:rPr>
          <w:rFonts w:ascii="Verdana" w:eastAsia="Calibri" w:hAnsi="Verdana" w:cs="Arial"/>
          <w:bCs/>
          <w:sz w:val="20"/>
          <w:szCs w:val="20"/>
          <w:lang w:val="es-MX"/>
        </w:rPr>
        <w:t>“</w:t>
      </w:r>
      <w:r w:rsidRPr="00437C34">
        <w:rPr>
          <w:rFonts w:ascii="Verdana" w:eastAsia="Times New Roman" w:hAnsi="Verdana" w:cs="Arial"/>
          <w:bCs/>
          <w:lang w:val="es-MX" w:eastAsia="x-none"/>
        </w:rPr>
        <w:t>queda prohibida la contratación directa</w:t>
      </w:r>
      <w:r w:rsidRPr="00437C34">
        <w:rPr>
          <w:rFonts w:ascii="Verdana" w:eastAsia="Calibri" w:hAnsi="Verdana" w:cs="Arial"/>
          <w:sz w:val="20"/>
          <w:szCs w:val="20"/>
          <w:lang w:val="es-MX"/>
        </w:rPr>
        <w:t>”</w:t>
      </w:r>
      <w:r w:rsidRPr="00437C34">
        <w:rPr>
          <w:rFonts w:ascii="Verdana" w:eastAsia="Times New Roman" w:hAnsi="Verdana" w:cs="Arial"/>
          <w:bCs/>
          <w:lang w:val="es-MX" w:eastAsia="x-none"/>
        </w:rPr>
        <w:t xml:space="preserve">. </w:t>
      </w:r>
      <w:r w:rsidRPr="00437C34">
        <w:rPr>
          <w:rFonts w:ascii="Verdana" w:eastAsia="Times New Roman" w:hAnsi="Verdana" w:cs="Arial"/>
          <w:lang w:val="es-MX" w:eastAsia="es-CO"/>
        </w:rPr>
        <w:t xml:space="preserve"> A propósito de </w:t>
      </w:r>
      <w:r w:rsidRPr="00437C34">
        <w:rPr>
          <w:rFonts w:ascii="Verdana" w:eastAsia="Times New Roman" w:hAnsi="Verdana" w:cs="Arial"/>
          <w:lang w:eastAsia="es-CO"/>
        </w:rPr>
        <w:t>esta restricción de la Ley de Garantías Electorales, la Sala de Consulta y Servicio Civil del Consejo de Estado ha considerado que:</w:t>
      </w:r>
    </w:p>
    <w:p w14:paraId="4C298F1D" w14:textId="77777777" w:rsidR="006F012C" w:rsidRPr="00437C34" w:rsidRDefault="006F012C" w:rsidP="002F5FAA">
      <w:pPr>
        <w:spacing w:after="0" w:line="240" w:lineRule="auto"/>
        <w:ind w:left="708" w:right="709"/>
        <w:jc w:val="both"/>
        <w:rPr>
          <w:rFonts w:ascii="Verdana" w:eastAsia="Calibri" w:hAnsi="Verdana" w:cs="Arial"/>
          <w:sz w:val="21"/>
          <w:szCs w:val="21"/>
          <w:lang w:val="es-MX"/>
        </w:rPr>
      </w:pPr>
    </w:p>
    <w:p w14:paraId="71642D77" w14:textId="2CF60005" w:rsidR="006F012C" w:rsidRDefault="002F5FAA" w:rsidP="002F5FAA">
      <w:pPr>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w:t>
      </w:r>
      <w:r w:rsidR="006F012C" w:rsidRPr="00437C34">
        <w:rPr>
          <w:rFonts w:ascii="Verdana" w:eastAsia="Calibri" w:hAnsi="Verdana" w:cs="Arial"/>
          <w:sz w:val="20"/>
          <w:szCs w:val="20"/>
          <w:lang w:val="es-MX"/>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006F012C" w:rsidRPr="00437C34">
        <w:rPr>
          <w:rFonts w:ascii="Verdana" w:eastAsia="Times New Roman" w:hAnsi="Verdana" w:cs="Arial"/>
          <w:sz w:val="20"/>
          <w:szCs w:val="20"/>
          <w:vertAlign w:val="superscript"/>
          <w:lang w:eastAsia="es-CO"/>
        </w:rPr>
        <w:footnoteReference w:id="11"/>
      </w:r>
      <w:r w:rsidR="006F012C" w:rsidRPr="00437C34">
        <w:rPr>
          <w:rFonts w:ascii="Verdana" w:eastAsia="Calibri" w:hAnsi="Verdana" w:cs="Arial"/>
          <w:sz w:val="20"/>
          <w:szCs w:val="20"/>
          <w:lang w:val="es-MX"/>
        </w:rPr>
        <w:t>.</w:t>
      </w:r>
    </w:p>
    <w:p w14:paraId="746B80B4" w14:textId="77777777" w:rsidR="002F5FAA" w:rsidRPr="00437C34" w:rsidRDefault="002F5FAA" w:rsidP="00763254">
      <w:pPr>
        <w:spacing w:after="0" w:line="240" w:lineRule="auto"/>
        <w:ind w:left="709" w:right="709"/>
        <w:jc w:val="both"/>
        <w:rPr>
          <w:rFonts w:ascii="Verdana" w:eastAsia="Calibri" w:hAnsi="Verdana" w:cs="Arial"/>
          <w:sz w:val="20"/>
          <w:szCs w:val="20"/>
          <w:lang w:val="es-MX"/>
        </w:rPr>
      </w:pPr>
    </w:p>
    <w:p w14:paraId="2B311795" w14:textId="484548AC" w:rsidR="006F012C" w:rsidRPr="00437C34" w:rsidRDefault="006F012C" w:rsidP="002F5FAA">
      <w:pPr>
        <w:spacing w:after="0" w:line="240" w:lineRule="auto"/>
        <w:ind w:left="708" w:right="709"/>
        <w:jc w:val="both"/>
        <w:rPr>
          <w:rFonts w:ascii="Verdana" w:eastAsia="Calibri" w:hAnsi="Verdana" w:cs="Arial"/>
          <w:sz w:val="21"/>
          <w:szCs w:val="21"/>
          <w:lang w:val="es-MX"/>
        </w:rPr>
      </w:pPr>
      <w:r w:rsidRPr="00437C34">
        <w:rPr>
          <w:rFonts w:ascii="Verdana" w:eastAsia="Calibri" w:hAnsi="Verdana" w:cs="Arial"/>
          <w:sz w:val="20"/>
          <w:szCs w:val="20"/>
          <w:lang w:val="es-MX"/>
        </w:rPr>
        <w:t>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437C34">
        <w:rPr>
          <w:rFonts w:ascii="Verdana" w:eastAsia="Times New Roman" w:hAnsi="Verdana" w:cs="Arial"/>
          <w:sz w:val="20"/>
          <w:szCs w:val="20"/>
          <w:vertAlign w:val="superscript"/>
          <w:lang w:val="es-MX"/>
        </w:rPr>
        <w:footnoteReference w:id="12"/>
      </w:r>
      <w:r w:rsidRPr="00437C34">
        <w:rPr>
          <w:rFonts w:ascii="Verdana" w:eastAsia="Times New Roman" w:hAnsi="Verdana" w:cs="Arial"/>
          <w:sz w:val="20"/>
          <w:szCs w:val="20"/>
          <w:vertAlign w:val="superscript"/>
          <w:lang w:val="es-MX"/>
        </w:rPr>
        <w:t>.</w:t>
      </w:r>
      <w:r w:rsidRPr="00437C34">
        <w:rPr>
          <w:rFonts w:ascii="Verdana" w:eastAsia="Calibri"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002F5FAA">
        <w:rPr>
          <w:rFonts w:ascii="Verdana" w:eastAsia="Calibri" w:hAnsi="Verdana" w:cs="Arial"/>
          <w:sz w:val="20"/>
          <w:szCs w:val="20"/>
          <w:lang w:val="es-MX"/>
        </w:rPr>
        <w:t>”…</w:t>
      </w:r>
      <w:r w:rsidRPr="00437C34">
        <w:rPr>
          <w:rFonts w:ascii="Verdana" w:eastAsia="Calibri" w:hAnsi="Verdana" w:cs="Arial"/>
          <w:sz w:val="20"/>
          <w:szCs w:val="20"/>
          <w:lang w:val="es-MX"/>
        </w:rPr>
        <w:t>]</w:t>
      </w:r>
      <w:r w:rsidR="002F5FAA">
        <w:rPr>
          <w:rFonts w:ascii="Verdana" w:eastAsia="Calibri" w:hAnsi="Verdana" w:cs="Arial"/>
          <w:sz w:val="20"/>
          <w:szCs w:val="20"/>
          <w:lang w:val="es-MX"/>
        </w:rPr>
        <w:t>"</w:t>
      </w:r>
      <w:r w:rsidRPr="00437C34">
        <w:rPr>
          <w:rFonts w:ascii="Verdana" w:eastAsia="Times New Roman" w:hAnsi="Verdana" w:cs="Arial"/>
          <w:vertAlign w:val="superscript"/>
          <w:lang w:eastAsia="es-CO"/>
        </w:rPr>
        <w:footnoteReference w:id="13"/>
      </w:r>
      <w:r w:rsidRPr="00437C34">
        <w:rPr>
          <w:rFonts w:ascii="Verdana" w:eastAsia="Calibri" w:hAnsi="Verdana" w:cs="Arial"/>
          <w:sz w:val="21"/>
          <w:szCs w:val="21"/>
          <w:lang w:val="es-MX"/>
        </w:rPr>
        <w:t xml:space="preserve"> .</w:t>
      </w:r>
    </w:p>
    <w:p w14:paraId="15627198" w14:textId="77777777" w:rsidR="006F012C" w:rsidRPr="00437C34" w:rsidRDefault="006F012C" w:rsidP="006F012C">
      <w:pPr>
        <w:shd w:val="clear" w:color="auto" w:fill="FFFFFF"/>
        <w:spacing w:after="0" w:line="276" w:lineRule="auto"/>
        <w:ind w:firstLine="709"/>
        <w:jc w:val="both"/>
        <w:rPr>
          <w:rFonts w:ascii="Verdana" w:eastAsia="Times New Roman" w:hAnsi="Verdana" w:cs="Arial"/>
          <w:lang w:eastAsia="x-none"/>
        </w:rPr>
      </w:pPr>
    </w:p>
    <w:p w14:paraId="7CAC8C1D" w14:textId="77777777" w:rsidR="006F012C" w:rsidRPr="00437C34" w:rsidRDefault="006F012C" w:rsidP="006F012C">
      <w:pPr>
        <w:spacing w:after="120" w:line="276" w:lineRule="auto"/>
        <w:ind w:firstLine="708"/>
        <w:jc w:val="both"/>
        <w:rPr>
          <w:rFonts w:ascii="Verdana" w:eastAsia="Times New Roman" w:hAnsi="Verdana" w:cs="Arial"/>
          <w:bCs/>
          <w:lang w:eastAsia="x-none"/>
        </w:rPr>
      </w:pPr>
      <w:r w:rsidRPr="00437C34">
        <w:rPr>
          <w:rFonts w:ascii="Verdana" w:eastAsia="Times New Roman" w:hAnsi="Verdana" w:cs="Arial"/>
          <w:lang w:eastAsia="x-none"/>
        </w:rPr>
        <w:t xml:space="preserve">De acuerdo con el citado concepto, la prohibición del artículo 33 de la Ley de Garantías Electorales se refiere a </w:t>
      </w:r>
      <w:r w:rsidRPr="00437C34">
        <w:rPr>
          <w:rFonts w:ascii="Verdana" w:eastAsia="Times New Roman" w:hAnsi="Verdana" w:cs="Arial"/>
          <w:sz w:val="19"/>
          <w:szCs w:val="19"/>
          <w:lang w:eastAsia="en-GB"/>
        </w:rPr>
        <w:t>“</w:t>
      </w:r>
      <w:r w:rsidRPr="00437C34">
        <w:rPr>
          <w:rFonts w:ascii="Verdana" w:eastAsia="Times New Roman" w:hAnsi="Verdana" w:cs="Arial"/>
          <w:lang w:eastAsia="x-none"/>
        </w:rPr>
        <w:t>cualquier sistema que no implique convocatoria pública y posibilidad de pluralidad de oferentes</w:t>
      </w:r>
      <w:r w:rsidRPr="00437C34">
        <w:rPr>
          <w:rFonts w:ascii="Verdana" w:eastAsia="Times New Roman" w:hAnsi="Verdana" w:cs="Arial"/>
          <w:lang w:eastAsia="en-GB"/>
        </w:rPr>
        <w:t>”</w:t>
      </w:r>
      <w:r w:rsidRPr="00437C34">
        <w:rPr>
          <w:rFonts w:ascii="Verdana" w:eastAsia="Times New Roman" w:hAnsi="Verdana" w:cs="Arial"/>
          <w:lang w:eastAsia="x-none"/>
        </w:rPr>
        <w:t xml:space="preserve">, por lo que excluye las demás modalidades de contratación previstas en la Ley 1150 de 2007, es decir, la licitación pública, la selección abreviada, el concurso de méritos </w:t>
      </w:r>
      <w:r w:rsidRPr="00437C34">
        <w:rPr>
          <w:rFonts w:ascii="Verdana" w:eastAsia="Times New Roman" w:hAnsi="Verdana" w:cs="Arial"/>
          <w:lang w:val="es-ES_tradnl" w:eastAsia="x-none"/>
        </w:rPr>
        <w:t>y la mínima cuantía</w:t>
      </w:r>
      <w:r w:rsidRPr="00437C34" w:rsidDel="00A85D9F">
        <w:rPr>
          <w:rFonts w:ascii="Verdana" w:eastAsia="Times New Roman" w:hAnsi="Verdana" w:cs="Arial"/>
          <w:lang w:eastAsia="x-none"/>
        </w:rPr>
        <w:t xml:space="preserve"> </w:t>
      </w:r>
      <w:r w:rsidRPr="00437C34">
        <w:rPr>
          <w:rFonts w:ascii="Verdana" w:eastAsia="Times New Roman" w:hAnsi="Verdana" w:cs="Arial"/>
          <w:lang w:eastAsia="x-none"/>
        </w:rPr>
        <w:t>u otros previstos en normas especiales. Esta posición es congruente con la expedición de la Ley 1150 de 2007 que, entre otras reformas, introdujo la selección abreviada, rediseñó el concurso de méritos</w:t>
      </w:r>
      <w:r w:rsidRPr="00437C34">
        <w:rPr>
          <w:rFonts w:ascii="Verdana" w:eastAsia="Times New Roman" w:hAnsi="Verdana" w:cs="Arial"/>
          <w:vertAlign w:val="superscript"/>
          <w:lang w:val="en-GB" w:eastAsia="x-none"/>
        </w:rPr>
        <w:footnoteReference w:id="14"/>
      </w:r>
      <w:r w:rsidRPr="00437C34">
        <w:rPr>
          <w:rFonts w:ascii="Verdana" w:eastAsia="Times New Roman" w:hAnsi="Verdana" w:cs="Arial"/>
          <w:lang w:eastAsia="x-none"/>
        </w:rPr>
        <w:t xml:space="preserve"> y sistematizó </w:t>
      </w:r>
      <w:r w:rsidRPr="00437C34">
        <w:rPr>
          <w:rFonts w:ascii="Verdana" w:eastAsia="Times New Roman" w:hAnsi="Verdana" w:cs="Arial"/>
          <w:lang w:eastAsia="x-none"/>
        </w:rPr>
        <w:lastRenderedPageBreak/>
        <w:t>las causales de contratación directa</w:t>
      </w:r>
      <w:r w:rsidRPr="00437C34">
        <w:rPr>
          <w:rFonts w:ascii="Verdana" w:eastAsia="Times New Roman" w:hAnsi="Verdana" w:cs="Arial"/>
          <w:vertAlign w:val="superscript"/>
          <w:lang w:val="en-GB" w:eastAsia="x-none"/>
        </w:rPr>
        <w:footnoteReference w:id="15"/>
      </w:r>
      <w:r w:rsidRPr="00437C34">
        <w:rPr>
          <w:rFonts w:ascii="Verdana" w:eastAsia="Times New Roman" w:hAnsi="Verdana" w:cs="Arial"/>
          <w:lang w:eastAsia="x-none"/>
        </w:rPr>
        <w:t xml:space="preserve">, </w:t>
      </w:r>
      <w:r w:rsidRPr="00437C34">
        <w:rPr>
          <w:rFonts w:ascii="Verdana" w:eastAsia="Calibri" w:hAnsi="Verdana" w:cs="Arial"/>
          <w:szCs w:val="24"/>
          <w:lang w:eastAsia="x-none"/>
        </w:rPr>
        <w:t>además lo es con la posterior creación de la modalidad de mínima cuantía establecida actualmente en el numeral 5 del artículo 2 de la Ley 1150 de 2007, de acuerdo con las modificaciones realizadas por leyes posteriores.</w:t>
      </w:r>
    </w:p>
    <w:p w14:paraId="028821B6" w14:textId="77777777" w:rsidR="006F012C" w:rsidRPr="00437C34" w:rsidRDefault="006F012C" w:rsidP="006F012C">
      <w:pPr>
        <w:spacing w:after="120" w:line="276" w:lineRule="auto"/>
        <w:ind w:firstLine="708"/>
        <w:jc w:val="both"/>
        <w:rPr>
          <w:rFonts w:ascii="Verdana" w:eastAsia="Times New Roman" w:hAnsi="Verdana" w:cs="Arial"/>
          <w:lang w:val="es-MX" w:eastAsia="x-none"/>
        </w:rPr>
      </w:pPr>
      <w:r w:rsidRPr="00437C34">
        <w:rPr>
          <w:rFonts w:ascii="Verdana" w:eastAsia="Times New Roman" w:hAnsi="Verdana" w:cs="Arial"/>
          <w:lang w:eastAsia="x-none"/>
        </w:rPr>
        <w:t xml:space="preserve">De esta forma, con fundamento en la evolución de la normativa sobre la contratación pública, se ha depurado la noción de </w:t>
      </w:r>
      <w:r w:rsidRPr="00437C34">
        <w:rPr>
          <w:rFonts w:ascii="Verdana" w:eastAsia="Times New Roman" w:hAnsi="Verdana" w:cs="Arial"/>
          <w:sz w:val="19"/>
          <w:szCs w:val="19"/>
          <w:lang w:eastAsia="en-GB"/>
        </w:rPr>
        <w:t>“</w:t>
      </w:r>
      <w:r w:rsidRPr="00437C34">
        <w:rPr>
          <w:rFonts w:ascii="Verdana" w:eastAsia="Times New Roman" w:hAnsi="Verdana" w:cs="Arial"/>
          <w:lang w:eastAsia="x-none"/>
        </w:rPr>
        <w:t>contratación directa</w:t>
      </w:r>
      <w:r w:rsidRPr="00437C34">
        <w:rPr>
          <w:rFonts w:ascii="Verdana" w:eastAsia="Times New Roman" w:hAnsi="Verdana" w:cs="Arial"/>
          <w:lang w:eastAsia="en-GB"/>
        </w:rPr>
        <w:t>”</w:t>
      </w:r>
      <w:r w:rsidRPr="00437C34">
        <w:rPr>
          <w:rFonts w:ascii="Verdana" w:eastAsia="Times New Roman" w:hAnsi="Verdana" w:cs="Arial"/>
          <w:lang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437C34">
        <w:rPr>
          <w:rFonts w:ascii="Verdana" w:eastAsia="Times New Roman" w:hAnsi="Verdana" w:cs="Arial"/>
          <w:vertAlign w:val="superscript"/>
          <w:lang w:val="en-GB" w:eastAsia="x-none"/>
        </w:rPr>
        <w:footnoteReference w:id="16"/>
      </w:r>
      <w:r w:rsidRPr="00437C34">
        <w:rPr>
          <w:rFonts w:ascii="Verdana" w:eastAsia="Times New Roman" w:hAnsi="Verdana" w:cs="Arial"/>
          <w:lang w:eastAsia="x-none"/>
        </w:rPr>
        <w:t>, han establecido sistemas de contratación que implican convocatoria pública y participación de varios oferentes</w:t>
      </w:r>
      <w:r w:rsidRPr="00437C34">
        <w:rPr>
          <w:rFonts w:ascii="Verdana" w:eastAsia="Times New Roman" w:hAnsi="Verdana" w:cs="Arial"/>
          <w:lang w:eastAsia="en-GB"/>
        </w:rPr>
        <w:t>”</w:t>
      </w:r>
      <w:r w:rsidRPr="00437C34">
        <w:rPr>
          <w:rFonts w:ascii="Verdana" w:eastAsia="Times New Roman" w:hAnsi="Verdana" w:cs="Arial"/>
          <w:lang w:eastAsia="x-none"/>
        </w:rPr>
        <w:t xml:space="preserve">. </w:t>
      </w:r>
    </w:p>
    <w:p w14:paraId="3B81E942" w14:textId="77777777" w:rsidR="006F012C" w:rsidRPr="00437C34" w:rsidRDefault="006F012C" w:rsidP="006F012C">
      <w:pPr>
        <w:spacing w:after="120" w:line="276" w:lineRule="auto"/>
        <w:ind w:firstLine="708"/>
        <w:jc w:val="both"/>
        <w:rPr>
          <w:rFonts w:ascii="Verdana" w:eastAsia="Times New Roman" w:hAnsi="Verdana" w:cs="Arial"/>
          <w:bCs/>
          <w:lang w:val="es-MX" w:eastAsia="es-CO"/>
        </w:rPr>
      </w:pPr>
      <w:r w:rsidRPr="00437C34">
        <w:rPr>
          <w:rFonts w:ascii="Verdana" w:eastAsia="Times New Roman" w:hAnsi="Verdana" w:cs="Arial"/>
          <w:bCs/>
          <w:lang w:val="es-MX" w:eastAsia="x-none"/>
        </w:rPr>
        <w:t>E</w:t>
      </w:r>
      <w:r w:rsidRPr="00437C34">
        <w:rPr>
          <w:rFonts w:ascii="Verdana" w:eastAsia="Times New Roman" w:hAnsi="Verdana" w:cs="Arial"/>
          <w:lang w:eastAsia="x-none"/>
        </w:rPr>
        <w:t>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oferentes</w:t>
      </w:r>
      <w:r w:rsidRPr="00437C34">
        <w:rPr>
          <w:rFonts w:ascii="Verdana" w:eastAsia="Times New Roman" w:hAnsi="Verdana" w:cs="Arial"/>
          <w:vertAlign w:val="superscript"/>
          <w:lang w:eastAsia="x-none"/>
        </w:rPr>
        <w:footnoteReference w:id="17"/>
      </w:r>
      <w:r w:rsidRPr="00437C34">
        <w:rPr>
          <w:rFonts w:ascii="Verdana" w:eastAsia="Times New Roman" w:hAnsi="Verdana" w:cs="Arial"/>
          <w:lang w:eastAsia="x-none"/>
        </w:rPr>
        <w:t xml:space="preserve">. </w:t>
      </w:r>
    </w:p>
    <w:p w14:paraId="01DE4DEB" w14:textId="77777777" w:rsidR="006F012C" w:rsidRPr="00437C34" w:rsidRDefault="006F012C" w:rsidP="006F012C">
      <w:pPr>
        <w:spacing w:after="120" w:line="276" w:lineRule="auto"/>
        <w:ind w:firstLine="708"/>
        <w:jc w:val="both"/>
        <w:rPr>
          <w:rFonts w:ascii="Verdana" w:eastAsia="Times New Roman" w:hAnsi="Verdana" w:cs="Arial"/>
          <w:bCs/>
          <w:lang w:val="es-MX" w:eastAsia="es-CO"/>
        </w:rPr>
      </w:pPr>
      <w:r w:rsidRPr="00437C34">
        <w:rPr>
          <w:rFonts w:ascii="Verdana" w:eastAsia="Times New Roman" w:hAnsi="Verdana" w:cs="Arial"/>
          <w:bCs/>
          <w:lang w:val="es-MX" w:eastAsia="es-CO"/>
        </w:rPr>
        <w:t>Como se advierte de lo anterior, el Consejo de Estado realiza una interpretación amplia de la contratación directa, para efectos de aplicar las restricciones establecidas en la Ley de Garantías,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485FD8AF" w14:textId="77777777" w:rsidR="006F012C" w:rsidRPr="00437C34" w:rsidRDefault="006F012C" w:rsidP="006F012C">
      <w:pPr>
        <w:spacing w:after="120" w:line="276" w:lineRule="auto"/>
        <w:ind w:firstLine="708"/>
        <w:jc w:val="both"/>
        <w:rPr>
          <w:rFonts w:ascii="Verdana" w:eastAsia="Times New Roman" w:hAnsi="Verdana" w:cs="Arial"/>
          <w:bCs/>
          <w:lang w:val="es-MX" w:eastAsia="x-none"/>
        </w:rPr>
      </w:pPr>
      <w:r w:rsidRPr="00437C34">
        <w:rPr>
          <w:rFonts w:ascii="Verdana" w:eastAsia="Times New Roman" w:hAnsi="Verdana" w:cs="Arial"/>
          <w:bCs/>
          <w:lang w:val="es-MX" w:eastAsia="x-none"/>
        </w:rPr>
        <w:lastRenderedPageBreak/>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437C34">
        <w:rPr>
          <w:rFonts w:ascii="Verdana" w:eastAsia="Times New Roman" w:hAnsi="Verdana" w:cs="Arial"/>
          <w:vertAlign w:val="superscript"/>
          <w:lang w:eastAsia="x-none"/>
        </w:rPr>
        <w:footnoteReference w:id="18"/>
      </w:r>
      <w:r w:rsidRPr="00437C34">
        <w:rPr>
          <w:rFonts w:ascii="Verdana" w:eastAsia="Times New Roman" w:hAnsi="Verdana" w:cs="Arial"/>
          <w:bCs/>
          <w:lang w:val="es-MX" w:eastAsia="x-none"/>
        </w:rPr>
        <w:t>.</w:t>
      </w:r>
      <w:r w:rsidRPr="00437C34">
        <w:rPr>
          <w:rFonts w:ascii="Verdana" w:eastAsia="Times New Roman" w:hAnsi="Verdana" w:cs="Arial"/>
          <w:vertAlign w:val="superscript"/>
          <w:lang w:eastAsia="x-none"/>
        </w:rPr>
        <w:t xml:space="preserve"> </w:t>
      </w:r>
    </w:p>
    <w:p w14:paraId="200880C7" w14:textId="77777777" w:rsidR="006F012C" w:rsidRPr="00437C34" w:rsidRDefault="006F012C" w:rsidP="006F012C">
      <w:pPr>
        <w:spacing w:after="120" w:line="276" w:lineRule="auto"/>
        <w:ind w:firstLine="708"/>
        <w:jc w:val="both"/>
        <w:rPr>
          <w:rFonts w:ascii="Verdana" w:eastAsia="Times New Roman" w:hAnsi="Verdana" w:cs="Arial"/>
          <w:lang w:eastAsia="x-none"/>
        </w:rPr>
      </w:pPr>
      <w:r w:rsidRPr="00437C34">
        <w:rPr>
          <w:rFonts w:ascii="Verdana" w:eastAsia="Times New Roman" w:hAnsi="Verdana" w:cs="Arial"/>
          <w:bCs/>
          <w:lang w:val="es-MX" w:eastAsia="x-none"/>
        </w:rPr>
        <w:t>De lo anterior se desprende que la restricción aplica, sin perjuicio de las excepciones establecidas en la misma ley, para celebrar cualquier contrato de forma directa, esto es, sin que exista un proceso abierto y competitivo.</w:t>
      </w:r>
      <w:r w:rsidRPr="00437C34">
        <w:rPr>
          <w:rFonts w:ascii="Verdana" w:eastAsia="Times New Roman" w:hAnsi="Verdana" w:cs="Arial"/>
          <w:lang w:eastAsia="x-none"/>
        </w:rPr>
        <w:t xml:space="preserve">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01411C8D" w14:textId="77777777" w:rsidR="006F012C" w:rsidRPr="00437C34" w:rsidRDefault="006F012C" w:rsidP="006F012C">
      <w:pPr>
        <w:spacing w:after="120" w:line="276" w:lineRule="auto"/>
        <w:ind w:firstLine="708"/>
        <w:jc w:val="both"/>
        <w:rPr>
          <w:rFonts w:ascii="Verdana" w:eastAsia="Times New Roman" w:hAnsi="Verdana" w:cs="Arial"/>
          <w:bCs/>
          <w:lang w:val="es-MX" w:eastAsia="es-CO"/>
        </w:rPr>
      </w:pPr>
      <w:r w:rsidRPr="00437C34">
        <w:rPr>
          <w:rFonts w:ascii="Verdana" w:eastAsia="Times New Roman" w:hAnsi="Verdana" w:cs="Arial"/>
          <w:bCs/>
          <w:lang w:val="es-MX"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r w:rsidRPr="00437C34">
        <w:rPr>
          <w:rFonts w:ascii="Verdana" w:eastAsia="Times New Roman" w:hAnsi="Verdana" w:cs="Arial"/>
          <w:bCs/>
          <w:vertAlign w:val="superscript"/>
          <w:lang w:val="es-MX" w:eastAsia="es-CO"/>
        </w:rPr>
        <w:footnoteReference w:id="19"/>
      </w:r>
      <w:r w:rsidRPr="00437C34">
        <w:rPr>
          <w:rFonts w:ascii="Verdana" w:eastAsia="Times New Roman" w:hAnsi="Verdana" w:cs="Arial"/>
          <w:bCs/>
          <w:lang w:val="es-MX" w:eastAsia="es-CO"/>
        </w:rPr>
        <w:t xml:space="preserve">. Además, también es posible que contratos celebrados previamente se continúen ejecutando con normalidad. </w:t>
      </w:r>
    </w:p>
    <w:p w14:paraId="39F100ED" w14:textId="77777777" w:rsidR="006F012C" w:rsidRPr="00437C34" w:rsidRDefault="006F012C" w:rsidP="006F012C">
      <w:pPr>
        <w:spacing w:after="120" w:line="276" w:lineRule="auto"/>
        <w:ind w:firstLine="708"/>
        <w:jc w:val="both"/>
        <w:rPr>
          <w:rFonts w:ascii="Verdana" w:eastAsia="Times New Roman" w:hAnsi="Verdana" w:cs="Arial"/>
          <w:bCs/>
          <w:lang w:val="es-MX" w:eastAsia="es-CO"/>
        </w:rPr>
      </w:pPr>
      <w:r w:rsidRPr="00437C34">
        <w:rPr>
          <w:rFonts w:ascii="Verdana" w:eastAsia="Times New Roman" w:hAnsi="Verdana" w:cs="Arial"/>
          <w:bCs/>
          <w:lang w:val="es-MX" w:eastAsia="x-none"/>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w:t>
      </w:r>
      <w:r w:rsidRPr="00437C34">
        <w:rPr>
          <w:rFonts w:ascii="Verdana" w:eastAsia="Times New Roman" w:hAnsi="Verdana" w:cs="Arial"/>
          <w:bCs/>
          <w:lang w:val="es-MX" w:eastAsia="x-none"/>
        </w:rPr>
        <w:lastRenderedPageBreak/>
        <w:t>realizar las entidades sanitarias y hospitalarias.</w:t>
      </w:r>
      <w:r w:rsidRPr="00437C34">
        <w:rPr>
          <w:rFonts w:ascii="Verdana" w:eastAsia="Times New Roman" w:hAnsi="Verdana" w:cs="Arial"/>
          <w:bCs/>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6DBD444F" w14:textId="17D1D494" w:rsidR="006F012C" w:rsidRDefault="006F012C" w:rsidP="002F5FAA">
      <w:pPr>
        <w:spacing w:after="0" w:line="276" w:lineRule="auto"/>
        <w:ind w:firstLine="709"/>
        <w:jc w:val="both"/>
        <w:rPr>
          <w:rFonts w:ascii="Verdana" w:eastAsia="Times New Roman" w:hAnsi="Verdana" w:cs="Arial"/>
          <w:bCs/>
          <w:lang w:val="es-MX" w:eastAsia="x-none"/>
        </w:rPr>
      </w:pPr>
      <w:r w:rsidRPr="00437C34">
        <w:rPr>
          <w:rFonts w:ascii="Verdana" w:eastAsia="Times New Roman" w:hAnsi="Verdana" w:cs="Arial"/>
          <w:bCs/>
          <w:lang w:val="es-MX" w:eastAsia="x-none"/>
        </w:rPr>
        <w:t>En esta labor es importante tener en cuenta, como lo anotó la Corte Constitucional, en Sentencia C-1153 de noviembre 11 de 2005 que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sidRPr="00437C34">
        <w:rPr>
          <w:rFonts w:ascii="Verdana" w:eastAsia="Calibri" w:hAnsi="Verdana" w:cs="Arial"/>
          <w:vertAlign w:val="superscript"/>
          <w:lang w:val="es-MX"/>
        </w:rPr>
        <w:footnoteReference w:id="20"/>
      </w:r>
      <w:r w:rsidRPr="00437C34">
        <w:rPr>
          <w:rFonts w:ascii="Verdana" w:eastAsia="Times New Roman" w:hAnsi="Verdana"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67D4E1F1" w14:textId="77777777" w:rsidR="002F5FAA" w:rsidRPr="00437C34" w:rsidRDefault="002F5FAA" w:rsidP="00763254">
      <w:pPr>
        <w:spacing w:after="0" w:line="276" w:lineRule="auto"/>
        <w:ind w:firstLine="709"/>
        <w:jc w:val="both"/>
        <w:rPr>
          <w:rFonts w:ascii="Verdana" w:eastAsia="Times New Roman" w:hAnsi="Verdana" w:cs="Arial"/>
          <w:bCs/>
          <w:lang w:val="es-MX" w:eastAsia="x-none"/>
        </w:rPr>
      </w:pPr>
    </w:p>
    <w:p w14:paraId="10F2898E" w14:textId="77777777" w:rsidR="006F012C" w:rsidRPr="00437C34" w:rsidRDefault="006F012C" w:rsidP="006F012C">
      <w:pPr>
        <w:spacing w:after="0" w:line="276" w:lineRule="auto"/>
        <w:jc w:val="both"/>
        <w:rPr>
          <w:rFonts w:ascii="Verdana" w:eastAsia="Times New Roman" w:hAnsi="Verdana" w:cs="Arial"/>
          <w:bCs/>
          <w:lang w:val="es-MX" w:eastAsia="x-none"/>
        </w:rPr>
      </w:pPr>
      <w:r w:rsidRPr="00437C34">
        <w:rPr>
          <w:rFonts w:ascii="Verdana" w:eastAsia="Times New Roman" w:hAnsi="Verdana" w:cs="Arial"/>
          <w:bCs/>
          <w:lang w:val="es-MX" w:eastAsia="x-none"/>
        </w:rPr>
        <w:t>iv. En relación con los destinatarios de la restricción analizada, el artículo 33 de la Ley 996 de 2005 los señala expresamente, en el sentido de que son “todos los entes del Estado”, expresión que contempla a los diferentes organismos o entidades autorizadas por la ley para suscribir contratos.</w:t>
      </w:r>
      <w:r w:rsidRPr="00437C34">
        <w:rPr>
          <w:rFonts w:ascii="Verdana" w:eastAsia="Calibri" w:hAnsi="Verdana" w:cs="Arial"/>
          <w:sz w:val="24"/>
          <w:lang w:val="es-MX"/>
        </w:rPr>
        <w:t xml:space="preserve"> </w:t>
      </w:r>
      <w:r w:rsidRPr="00437C34">
        <w:rPr>
          <w:rFonts w:ascii="Verdana" w:eastAsia="Times New Roman" w:hAnsi="Verdana" w:cs="Arial"/>
          <w:bCs/>
          <w:lang w:val="es-MX" w:eastAsia="x-none"/>
        </w:rPr>
        <w:t>En efecto, tal como lo ha sostenido el Consejo de Estado, el vocablo “todos” utilizado por el legislador comprende</w:t>
      </w:r>
      <w:r w:rsidRPr="00437C34">
        <w:rPr>
          <w:rFonts w:ascii="Verdana" w:eastAsia="Calibri" w:hAnsi="Verdana" w:cs="Arial"/>
          <w:sz w:val="24"/>
          <w:lang w:val="es-MX"/>
        </w:rPr>
        <w:t xml:space="preserve"> </w:t>
      </w:r>
      <w:r w:rsidRPr="00437C34">
        <w:rPr>
          <w:rFonts w:ascii="Verdana" w:eastAsia="Times New Roman" w:hAnsi="Verdana" w:cs="Arial"/>
          <w:bCs/>
          <w:lang w:val="es-MX" w:eastAsia="x-none"/>
        </w:rPr>
        <w:t xml:space="preserve">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r w:rsidRPr="00437C34">
        <w:rPr>
          <w:rFonts w:ascii="Verdana" w:eastAsia="Times New Roman" w:hAnsi="Verdana" w:cs="Arial"/>
          <w:bCs/>
          <w:lang w:val="es-ES_tradnl" w:eastAsia="x-none"/>
        </w:rPr>
        <w:t xml:space="preserve">La Sala de Consulta y Servicio Civil del Consejo de Estado, en Concepto 1727 de fecha 20 de febrero de 2006, consideró que: </w:t>
      </w:r>
    </w:p>
    <w:p w14:paraId="4393D3FE" w14:textId="77777777" w:rsidR="006F012C" w:rsidRPr="00437C34" w:rsidRDefault="006F012C" w:rsidP="006F012C">
      <w:pPr>
        <w:spacing w:after="0" w:line="276" w:lineRule="auto"/>
        <w:jc w:val="both"/>
        <w:rPr>
          <w:rFonts w:ascii="Verdana" w:eastAsia="Times New Roman" w:hAnsi="Verdana" w:cs="Arial"/>
          <w:bCs/>
          <w:lang w:val="es-MX" w:eastAsia="x-none"/>
        </w:rPr>
      </w:pPr>
    </w:p>
    <w:p w14:paraId="19389516" w14:textId="72A6CC7E" w:rsidR="006F012C" w:rsidRPr="00437C34" w:rsidRDefault="002F5FAA" w:rsidP="00763254">
      <w:pPr>
        <w:spacing w:after="0" w:line="240" w:lineRule="auto"/>
        <w:ind w:left="709" w:right="709"/>
        <w:jc w:val="both"/>
        <w:rPr>
          <w:rFonts w:ascii="Verdana" w:eastAsia="Times New Roman" w:hAnsi="Verdana" w:cs="Arial"/>
          <w:bCs/>
          <w:sz w:val="21"/>
          <w:szCs w:val="21"/>
          <w:lang w:val="es-MX" w:eastAsia="es-CO"/>
        </w:rPr>
      </w:pPr>
      <w:r>
        <w:rPr>
          <w:rFonts w:ascii="Verdana" w:eastAsia="Times New Roman" w:hAnsi="Verdana" w:cs="Arial"/>
          <w:bCs/>
          <w:sz w:val="20"/>
          <w:szCs w:val="20"/>
          <w:lang w:val="es-MX" w:eastAsia="x-none"/>
        </w:rPr>
        <w:t>“</w:t>
      </w:r>
      <w:r w:rsidR="006F012C" w:rsidRPr="00437C34">
        <w:rPr>
          <w:rFonts w:ascii="Verdana" w:eastAsia="Times New Roman" w:hAnsi="Verdana" w:cs="Arial"/>
          <w:bCs/>
          <w:sz w:val="20"/>
          <w:szCs w:val="20"/>
          <w:lang w:val="es-MX" w:eastAsia="x-none"/>
        </w:rPr>
        <w:t xml:space="preserve">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w:t>
      </w:r>
      <w:r w:rsidR="006F012C" w:rsidRPr="00437C34">
        <w:rPr>
          <w:rFonts w:ascii="Verdana" w:eastAsia="Times New Roman" w:hAnsi="Verdana" w:cs="Arial"/>
          <w:bCs/>
          <w:sz w:val="20"/>
          <w:szCs w:val="20"/>
          <w:lang w:val="es-MX" w:eastAsia="x-none"/>
        </w:rPr>
        <w:lastRenderedPageBreak/>
        <w:t>prestadores directos, incluyendo las excepciones contenidas en el segundo inciso de esta norma</w:t>
      </w:r>
      <w:r>
        <w:rPr>
          <w:rFonts w:ascii="Verdana" w:eastAsia="Times New Roman" w:hAnsi="Verdana" w:cs="Arial"/>
          <w:bCs/>
          <w:sz w:val="20"/>
          <w:szCs w:val="20"/>
          <w:lang w:val="es-MX" w:eastAsia="x-none"/>
        </w:rPr>
        <w:t>”</w:t>
      </w:r>
      <w:r w:rsidR="006F012C" w:rsidRPr="00437C34">
        <w:rPr>
          <w:rFonts w:ascii="Verdana" w:eastAsia="Times New Roman" w:hAnsi="Verdana" w:cs="Arial"/>
          <w:bCs/>
          <w:sz w:val="21"/>
          <w:szCs w:val="21"/>
          <w:vertAlign w:val="superscript"/>
          <w:lang w:val="es-MX" w:eastAsia="x-none"/>
        </w:rPr>
        <w:footnoteReference w:id="21"/>
      </w:r>
      <w:r w:rsidR="006F012C" w:rsidRPr="00437C34">
        <w:rPr>
          <w:rFonts w:ascii="Verdana" w:eastAsia="Times New Roman" w:hAnsi="Verdana" w:cs="Arial"/>
          <w:bCs/>
          <w:sz w:val="21"/>
          <w:szCs w:val="21"/>
          <w:lang w:val="es-MX" w:eastAsia="x-none"/>
        </w:rPr>
        <w:t>.</w:t>
      </w:r>
      <w:r w:rsidR="006F012C" w:rsidRPr="00437C34">
        <w:rPr>
          <w:rFonts w:ascii="Verdana" w:eastAsia="Times New Roman" w:hAnsi="Verdana" w:cs="Arial"/>
          <w:bCs/>
          <w:sz w:val="21"/>
          <w:szCs w:val="21"/>
          <w:lang w:val="es-MX" w:eastAsia="es-CO"/>
        </w:rPr>
        <w:t xml:space="preserve"> </w:t>
      </w:r>
    </w:p>
    <w:p w14:paraId="2ABC305B" w14:textId="77777777" w:rsidR="006F012C" w:rsidRPr="00437C34" w:rsidRDefault="006F012C" w:rsidP="006F012C">
      <w:pPr>
        <w:spacing w:after="0" w:line="276" w:lineRule="auto"/>
        <w:ind w:firstLine="708"/>
        <w:jc w:val="both"/>
        <w:rPr>
          <w:rFonts w:ascii="Verdana" w:eastAsia="Times New Roman" w:hAnsi="Verdana" w:cs="Arial"/>
          <w:bCs/>
          <w:lang w:val="es-MX" w:eastAsia="es-CO"/>
        </w:rPr>
      </w:pPr>
    </w:p>
    <w:p w14:paraId="1097D1DA" w14:textId="77777777" w:rsidR="006F012C" w:rsidRPr="00437C34" w:rsidRDefault="006F012C" w:rsidP="006F012C">
      <w:pPr>
        <w:spacing w:after="0" w:line="276" w:lineRule="auto"/>
        <w:ind w:firstLine="708"/>
        <w:jc w:val="both"/>
        <w:rPr>
          <w:rFonts w:ascii="Verdana" w:eastAsia="Calibri" w:hAnsi="Verdana" w:cs="Arial"/>
          <w:lang w:val="es-MX"/>
        </w:rPr>
      </w:pPr>
      <w:r w:rsidRPr="00437C34">
        <w:rPr>
          <w:rFonts w:ascii="Verdana" w:eastAsia="Times New Roman" w:hAnsi="Verdana" w:cs="Arial"/>
          <w:bCs/>
          <w:lang w:val="es-MX" w:eastAsia="x-none"/>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437C34">
        <w:rPr>
          <w:rFonts w:ascii="Verdana" w:eastAsia="Calibri" w:hAnsi="Verdana" w:cs="Arial"/>
          <w:sz w:val="24"/>
          <w:vertAlign w:val="superscript"/>
          <w:lang w:val="es-MX"/>
        </w:rPr>
        <w:footnoteReference w:id="22"/>
      </w:r>
      <w:r w:rsidRPr="00437C34">
        <w:rPr>
          <w:rFonts w:ascii="Verdana" w:eastAsia="Times New Roman" w:hAnsi="Verdana" w:cs="Arial"/>
          <w:bCs/>
          <w:lang w:val="es-MX" w:eastAsia="x-none"/>
        </w:rPr>
        <w:t>.</w:t>
      </w:r>
      <w:r w:rsidRPr="00437C34">
        <w:rPr>
          <w:rFonts w:ascii="Verdana" w:eastAsia="Calibri" w:hAnsi="Verdana" w:cs="Arial"/>
          <w:lang w:val="es-MX"/>
        </w:rPr>
        <w:t xml:space="preserve"> Además, la Sala de Consulta y Servicio Civil del Consejo de Estado realizó la siguiente distinción, retomando el pronunciamiento de la misma sala del 20 de febrero de 2006, citado anteriormente:</w:t>
      </w:r>
    </w:p>
    <w:p w14:paraId="2B5A53EA" w14:textId="77777777" w:rsidR="006F012C" w:rsidRPr="00437C34" w:rsidRDefault="006F012C" w:rsidP="006F012C">
      <w:pPr>
        <w:spacing w:after="0" w:line="276" w:lineRule="auto"/>
        <w:jc w:val="both"/>
        <w:rPr>
          <w:rFonts w:ascii="Verdana" w:eastAsia="Calibri" w:hAnsi="Verdana" w:cs="Arial"/>
          <w:lang w:val="es-MX"/>
        </w:rPr>
      </w:pPr>
    </w:p>
    <w:p w14:paraId="435208EE" w14:textId="4B86D180" w:rsidR="006F012C" w:rsidRPr="00437C34" w:rsidRDefault="00621901" w:rsidP="00763254">
      <w:pPr>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w:t>
      </w:r>
      <w:r w:rsidR="006F012C" w:rsidRPr="00437C34">
        <w:rPr>
          <w:rFonts w:ascii="Verdana" w:eastAsia="Calibri" w:hAnsi="Verdana" w:cs="Arial"/>
          <w:sz w:val="20"/>
          <w:szCs w:val="20"/>
          <w:lang w:val="es-MX"/>
        </w:rPr>
        <w:t>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p>
    <w:p w14:paraId="3D2D72E5" w14:textId="77777777" w:rsidR="006F012C" w:rsidRPr="00437C34" w:rsidRDefault="006F012C" w:rsidP="006F012C">
      <w:pPr>
        <w:spacing w:after="0" w:line="240" w:lineRule="auto"/>
        <w:ind w:left="708" w:right="709"/>
        <w:jc w:val="both"/>
        <w:rPr>
          <w:rFonts w:ascii="Verdana" w:eastAsia="Calibri" w:hAnsi="Verdana" w:cs="Arial"/>
          <w:sz w:val="20"/>
          <w:szCs w:val="20"/>
          <w:lang w:val="es-MX"/>
        </w:rPr>
      </w:pPr>
    </w:p>
    <w:p w14:paraId="139D8C44" w14:textId="12153C32" w:rsidR="006F012C" w:rsidRPr="00437C34" w:rsidRDefault="006F012C" w:rsidP="006F012C">
      <w:pPr>
        <w:spacing w:after="0" w:line="240" w:lineRule="auto"/>
        <w:ind w:left="708" w:right="709"/>
        <w:jc w:val="both"/>
        <w:rPr>
          <w:rFonts w:ascii="Verdana" w:eastAsia="Calibri" w:hAnsi="Verdana" w:cs="Arial"/>
          <w:sz w:val="20"/>
          <w:szCs w:val="20"/>
          <w:lang w:val="es-MX"/>
        </w:rPr>
      </w:pPr>
      <w:r w:rsidRPr="00437C34">
        <w:rPr>
          <w:rFonts w:ascii="Verdana" w:eastAsia="Times New Roman" w:hAnsi="Verdana" w:cs="Arial"/>
          <w:bCs/>
          <w:sz w:val="20"/>
          <w:szCs w:val="20"/>
          <w:lang w:val="es-MX" w:eastAsia="x-none"/>
        </w:rPr>
        <w:t xml:space="preserve">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w:t>
      </w:r>
      <w:r w:rsidRPr="00437C34">
        <w:rPr>
          <w:rFonts w:ascii="Verdana" w:eastAsia="Times New Roman" w:hAnsi="Verdana" w:cs="Arial"/>
          <w:bCs/>
          <w:sz w:val="20"/>
          <w:szCs w:val="20"/>
          <w:lang w:val="es-MX" w:eastAsia="x-none"/>
        </w:rPr>
        <w:lastRenderedPageBreak/>
        <w:t>de igualdad. Si se supusiera que está prohibida su contratación directa, significaría la parálisis de tal actividad de interés público, lo que de ninguna manera es lo querido por la ley 996 de 2005</w:t>
      </w:r>
      <w:r w:rsidR="00621901">
        <w:rPr>
          <w:rFonts w:ascii="Verdana" w:eastAsia="Times New Roman" w:hAnsi="Verdana" w:cs="Arial"/>
          <w:bCs/>
          <w:sz w:val="20"/>
          <w:szCs w:val="20"/>
          <w:lang w:val="es-MX" w:eastAsia="x-none"/>
        </w:rPr>
        <w:t>”</w:t>
      </w:r>
      <w:r w:rsidRPr="00437C34">
        <w:rPr>
          <w:rFonts w:ascii="Verdana" w:eastAsia="Calibri" w:hAnsi="Verdana" w:cs="Arial"/>
          <w:sz w:val="20"/>
          <w:szCs w:val="20"/>
          <w:vertAlign w:val="superscript"/>
          <w:lang w:val="es-MX"/>
        </w:rPr>
        <w:footnoteReference w:id="23"/>
      </w:r>
      <w:r w:rsidRPr="00437C34">
        <w:rPr>
          <w:rFonts w:ascii="Verdana" w:eastAsia="Times New Roman" w:hAnsi="Verdana" w:cs="Arial"/>
          <w:bCs/>
          <w:sz w:val="20"/>
          <w:szCs w:val="20"/>
          <w:lang w:val="es-MX" w:eastAsia="x-none"/>
        </w:rPr>
        <w:t>.</w:t>
      </w:r>
    </w:p>
    <w:p w14:paraId="1E1AD4B6" w14:textId="77777777" w:rsidR="006F012C" w:rsidRPr="00437C34" w:rsidRDefault="006F012C" w:rsidP="006F012C">
      <w:pPr>
        <w:spacing w:after="0" w:line="276" w:lineRule="auto"/>
        <w:jc w:val="both"/>
        <w:rPr>
          <w:rFonts w:ascii="Verdana" w:eastAsia="Calibri" w:hAnsi="Verdana" w:cs="Arial"/>
          <w:lang w:val="es-MX"/>
        </w:rPr>
      </w:pPr>
    </w:p>
    <w:p w14:paraId="065F12F4" w14:textId="77777777" w:rsidR="006F012C" w:rsidRPr="00437C34" w:rsidRDefault="006F012C" w:rsidP="006F012C">
      <w:pPr>
        <w:spacing w:after="120" w:line="276" w:lineRule="auto"/>
        <w:ind w:firstLine="709"/>
        <w:jc w:val="both"/>
        <w:rPr>
          <w:rFonts w:ascii="Verdana" w:eastAsia="Times New Roman" w:hAnsi="Verdana" w:cs="Arial"/>
          <w:lang w:eastAsia="es-CO"/>
        </w:rPr>
      </w:pPr>
      <w:r w:rsidRPr="00437C34">
        <w:rPr>
          <w:rFonts w:ascii="Verdana" w:eastAsia="Calibri" w:hAnsi="Verdana" w:cs="Arial"/>
          <w:lang w:val="es-MX"/>
        </w:rPr>
        <w:t xml:space="preserve">De acuerdo con estos pronunciamientos de la Sala de Consulta y Servicio Civil del Consejo de Estado, la prohibición de la contratación directa también aplica frente a las entidades exceptuadas de la aplicación del EGCAP y que se rigen en materia contractual por el derecho privado. Sin embargo, señaló que algunas de estas entidades, como sucede con las empresas de servicios públicos domiciliarios, los </w:t>
      </w:r>
      <w:r w:rsidRPr="00437C34">
        <w:rPr>
          <w:rFonts w:ascii="Verdana" w:eastAsia="Times New Roman" w:hAnsi="Verdana" w:cs="Arial"/>
          <w:bCs/>
          <w:lang w:val="es-MX" w:eastAsia="x-none"/>
        </w:rPr>
        <w:t>establecimientos de crédito, las sociedades de servicios financieros y las entidades aseguradoras</w:t>
      </w:r>
      <w:r w:rsidRPr="00437C34">
        <w:rPr>
          <w:rFonts w:ascii="Verdana" w:eastAsia="Calibri" w:hAnsi="Verdana" w:cs="Arial"/>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sidRPr="00437C34">
        <w:rPr>
          <w:rFonts w:ascii="Verdana" w:eastAsia="Calibri" w:hAnsi="Verdana" w:cs="Arial"/>
          <w:vertAlign w:val="superscript"/>
          <w:lang w:val="es-MX"/>
        </w:rPr>
        <w:footnoteReference w:id="24"/>
      </w:r>
      <w:r w:rsidRPr="00437C34">
        <w:rPr>
          <w:rFonts w:ascii="Verdana" w:eastAsia="Calibri" w:hAnsi="Verdana" w:cs="Arial"/>
          <w:lang w:val="es-MX"/>
        </w:rPr>
        <w:t>.</w:t>
      </w:r>
      <w:r w:rsidRPr="00437C34">
        <w:rPr>
          <w:rFonts w:ascii="Verdana" w:eastAsia="Times New Roman" w:hAnsi="Verdana" w:cs="Arial"/>
          <w:lang w:eastAsia="es-CO"/>
        </w:rPr>
        <w:t xml:space="preserve"> </w:t>
      </w:r>
    </w:p>
    <w:p w14:paraId="0866BD09" w14:textId="317D4981" w:rsidR="006F012C" w:rsidRDefault="006F012C" w:rsidP="00621901">
      <w:pPr>
        <w:spacing w:after="0" w:line="276" w:lineRule="auto"/>
        <w:ind w:firstLine="709"/>
        <w:jc w:val="both"/>
        <w:rPr>
          <w:rFonts w:ascii="Verdana" w:eastAsia="Times New Roman" w:hAnsi="Verdana" w:cs="Arial"/>
          <w:bCs/>
          <w:lang w:val="es-MX" w:eastAsia="x-none"/>
        </w:rPr>
      </w:pPr>
      <w:r w:rsidRPr="00437C34">
        <w:rPr>
          <w:rFonts w:ascii="Verdana" w:eastAsia="Times New Roman" w:hAnsi="Verdana" w:cs="Arial"/>
          <w:lang w:eastAsia="es-CO"/>
        </w:rPr>
        <w:t>Sin perjuicio de estos pronunciamientos de la Sala de Consulta y Servicio Civil</w:t>
      </w:r>
      <w:r w:rsidRPr="00437C34">
        <w:rPr>
          <w:rFonts w:ascii="Verdana" w:eastAsia="Calibri" w:hAnsi="Verdana" w:cs="Arial"/>
          <w:lang w:val="es-MX"/>
        </w:rPr>
        <w:t xml:space="preserve">, como la ha señalado esa misma Corporación, la restricción prevista en la Ley 996 de 2005 </w:t>
      </w:r>
      <w:r w:rsidRPr="00437C34">
        <w:rPr>
          <w:rFonts w:ascii="Verdana" w:eastAsia="Times New Roman" w:hAnsi="Verdana" w:cs="Arial"/>
          <w:bCs/>
          <w:lang w:val="es-MX" w:eastAsia="x-none"/>
        </w:rPr>
        <w:t>cobija a cualquier entidad pública independiente del régimen jurídico, que pueda mediante la contratación directa romper el equilibrio entre los candidatos en desarrollo de las elecciones presidenciales. Tampoco existe un supuesto de exoneración a la prohibición por tener un régimen especial de los actos o contratos o por la ejecución de un cierto tipo de recursos en sus contrataciones, pues, la posibilidad de que los entes del Estado usen la contratación con fines políticos, esto es, con la intención de influir a los electores y alterar la voluntad popular en las contiendas electorales, puede presentarse tanto en la contratación regulada por la Ley 80 de 1993 como en la regida por normas especiales.</w:t>
      </w:r>
    </w:p>
    <w:p w14:paraId="2E7999DA" w14:textId="77777777" w:rsidR="00621901" w:rsidRPr="00437C34" w:rsidRDefault="00621901" w:rsidP="00763254">
      <w:pPr>
        <w:spacing w:after="0" w:line="276" w:lineRule="auto"/>
        <w:ind w:firstLine="709"/>
        <w:jc w:val="both"/>
        <w:rPr>
          <w:rFonts w:ascii="Verdana" w:eastAsia="Times New Roman" w:hAnsi="Verdana" w:cs="Arial"/>
          <w:bCs/>
          <w:lang w:val="es-MX" w:eastAsia="x-none"/>
        </w:rPr>
      </w:pPr>
    </w:p>
    <w:p w14:paraId="686EC40E" w14:textId="77777777" w:rsidR="006F012C" w:rsidRPr="00437C34" w:rsidRDefault="006F012C" w:rsidP="006F012C">
      <w:pPr>
        <w:spacing w:after="120" w:line="276" w:lineRule="auto"/>
        <w:jc w:val="both"/>
        <w:rPr>
          <w:rFonts w:ascii="Verdana" w:eastAsia="Times New Roman" w:hAnsi="Verdana" w:cs="Arial"/>
          <w:bCs/>
          <w:lang w:eastAsia="x-none"/>
        </w:rPr>
      </w:pPr>
      <w:r w:rsidRPr="00437C34">
        <w:rPr>
          <w:rFonts w:ascii="Verdana" w:eastAsia="Times New Roman" w:hAnsi="Verdana" w:cs="Arial"/>
          <w:bCs/>
          <w:lang w:val="es-MX" w:eastAsia="x-none"/>
        </w:rPr>
        <w:t xml:space="preserve">v. Teniendo en cuenta estas precisiones, es necesario revisar si lo dispuesto en el Sistema General de Regalías le aplica la Ley 996 de 2005 –Ley de Garantías Electorales- y en particular a lo contemplado en el artículo </w:t>
      </w:r>
      <w:r>
        <w:rPr>
          <w:rFonts w:ascii="Verdana" w:eastAsia="Times New Roman" w:hAnsi="Verdana" w:cs="Arial"/>
          <w:bCs/>
          <w:lang w:val="es-MX" w:eastAsia="x-none"/>
        </w:rPr>
        <w:t>87</w:t>
      </w:r>
      <w:r w:rsidRPr="00437C34">
        <w:rPr>
          <w:rFonts w:ascii="Verdana" w:eastAsia="Times New Roman" w:hAnsi="Verdana" w:cs="Arial"/>
          <w:bCs/>
          <w:lang w:val="es-MX" w:eastAsia="x-none"/>
        </w:rPr>
        <w:t xml:space="preserve"> de la Ley 2056 de 2020. Para ello, es importante señalar que la Ley 2056 de 2020, “</w:t>
      </w:r>
      <w:r w:rsidRPr="00437C34">
        <w:rPr>
          <w:rFonts w:ascii="Verdana" w:eastAsia="Times New Roman" w:hAnsi="Verdana" w:cs="Arial"/>
          <w:bCs/>
          <w:lang w:eastAsia="x-none"/>
        </w:rPr>
        <w:t xml:space="preserve">por la cual se regula la organización y el funcionamiento del Sistema General de Regalías”, </w:t>
      </w:r>
      <w:r w:rsidRPr="00437C34">
        <w:rPr>
          <w:rFonts w:ascii="Verdana" w:eastAsia="Times New Roman" w:hAnsi="Verdana" w:cs="Arial"/>
          <w:bCs/>
          <w:lang w:eastAsia="x-none"/>
        </w:rPr>
        <w:lastRenderedPageBreak/>
        <w:t>tiene por objeto: “[…] determinar la distribución, objetivos, fines, administración, ejecución, control, el uso eficiente y la destinación de los ingresos provenientes de la explotación de los recursos naturales no renovables precisando las condiciones de participación de sus beneficiarios. Este conjunto de ingresos, asignaciones, órganos, procedimientos, y regulaciones constituye el Sistema General de Regalías”.</w:t>
      </w:r>
    </w:p>
    <w:p w14:paraId="7C64395B" w14:textId="77777777" w:rsidR="006F012C" w:rsidRPr="00437C34" w:rsidRDefault="006F012C" w:rsidP="006F012C">
      <w:pPr>
        <w:spacing w:after="120" w:line="276" w:lineRule="auto"/>
        <w:ind w:firstLine="709"/>
        <w:jc w:val="both"/>
        <w:rPr>
          <w:rFonts w:ascii="Verdana" w:eastAsia="Times New Roman" w:hAnsi="Verdana" w:cs="Arial"/>
          <w:bCs/>
          <w:lang w:eastAsia="x-none"/>
        </w:rPr>
      </w:pPr>
      <w:r w:rsidRPr="00437C34">
        <w:rPr>
          <w:rFonts w:ascii="Verdana" w:hAnsi="Verdana" w:cs="Arial"/>
          <w:lang w:val="es-ES"/>
        </w:rPr>
        <w:t>En el Título IV, Capítulo I, la Ley 2056 de 2020 establece las reglas generales para los proyectos de inversión financiados con recursos del SGR. En esta línea, regula la destinación de los proyectos del Sistema –artículo 28–, las características de los proyectos de inversión –artículo 29–, los ejercicios de planeación –artículo 30–, el ciclo de los proyectos de inversión –artículo 31–, el registro de proyectos –artículo 32–, formulación y presentación de los proyectos –artículo 33–, viabilidad de los proyectos –artículo 34–, priorización y aprobación de los proyectos de inversión de la asignación para la inversión regional –artículo 35–, priorización y aprobación de proyectos de inversión para las asignaciones directas y asignación para la inversión local –artículo 36–, así como la ejecución de proyectos de inversión –artículo 37–. De esta manera, se destacan algunos artículos que regulan aspectos importantes en la materia.</w:t>
      </w:r>
    </w:p>
    <w:p w14:paraId="2BF943F5"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hAnsi="Verdana" w:cs="Arial"/>
          <w:lang w:val="es-ES"/>
        </w:rPr>
        <w:t>Sobre el tipo de asignaciones, es importante resaltar que los proyectos de inversión pueden financiarse con cargo a Asignaciones Directas, a la Asignación para la Inversión Local o la Asignación para la Inversión Regional,</w:t>
      </w:r>
      <w:r w:rsidRPr="00437C34">
        <w:rPr>
          <w:rFonts w:ascii="Verdana" w:eastAsia="Times New Roman" w:hAnsi="Verdana" w:cs="Arial"/>
          <w:color w:val="0D0D0D"/>
          <w:position w:val="3"/>
          <w:sz w:val="28"/>
          <w:szCs w:val="28"/>
          <w:lang w:val="es-MX" w:eastAsia="es-CO"/>
        </w:rPr>
        <w:t xml:space="preserve"> </w:t>
      </w:r>
      <w:r w:rsidRPr="00437C34">
        <w:rPr>
          <w:rFonts w:ascii="Verdana" w:hAnsi="Verdana" w:cs="Arial"/>
          <w:lang w:val="es-ES"/>
        </w:rPr>
        <w:t xml:space="preserve">a la </w:t>
      </w:r>
      <w:r w:rsidRPr="00437C34">
        <w:rPr>
          <w:rFonts w:ascii="Verdana" w:hAnsi="Verdana" w:cs="Arial"/>
          <w:lang w:val="es-MX"/>
        </w:rPr>
        <w:t>Asignación para la inversión en ciencia, tecnología e innovación, entre otros</w:t>
      </w:r>
      <w:r w:rsidRPr="00437C34">
        <w:rPr>
          <w:rFonts w:ascii="Verdana" w:hAnsi="Verdana" w:cs="Arial"/>
          <w:lang w:val="es-ES"/>
        </w:rPr>
        <w:t xml:space="preserve">. Atendiendo al tipo de asignación, la Ley 2056 de 2020 establece un procedimiento distinto para la viabilidad, priorización y aprobación de los proyectos, así como para la designación del ejecutor y órganos responsables. </w:t>
      </w:r>
    </w:p>
    <w:p w14:paraId="14B0D710" w14:textId="77777777" w:rsidR="006F012C" w:rsidRPr="00437C34" w:rsidRDefault="006F012C" w:rsidP="00763254">
      <w:pPr>
        <w:spacing w:after="0" w:line="276" w:lineRule="auto"/>
        <w:ind w:firstLine="709"/>
        <w:jc w:val="both"/>
        <w:rPr>
          <w:rFonts w:ascii="Verdana" w:hAnsi="Verdana" w:cs="Arial"/>
          <w:lang w:val="es-ES"/>
        </w:rPr>
      </w:pPr>
      <w:r w:rsidRPr="00437C34">
        <w:rPr>
          <w:rFonts w:ascii="Verdana" w:hAnsi="Verdana" w:cs="Arial"/>
          <w:lang w:val="es-ES"/>
        </w:rPr>
        <w:t xml:space="preserve">Asimismo, tratándose de proyectos financiados con Asignaciones Directas, se establece que una vez aprobados deberá suscribirse un convenio entre el alcalde o gobernador y el representante legal que presentó el proyecto, con el fin de formalizar su entrega y ejecución conforme a las normas del Sistema General de Regalías y del régimen de contratación estatal –artículo </w:t>
      </w:r>
      <w:r>
        <w:rPr>
          <w:rFonts w:ascii="Verdana" w:hAnsi="Verdana" w:cs="Arial"/>
          <w:lang w:val="es-ES"/>
        </w:rPr>
        <w:t>87</w:t>
      </w:r>
      <w:r w:rsidRPr="00437C34">
        <w:rPr>
          <w:rFonts w:ascii="Verdana" w:hAnsi="Verdana" w:cs="Arial"/>
          <w:lang w:val="es-ES"/>
        </w:rPr>
        <w:t xml:space="preserve">–. En concreto esta norma dispone lo siguiente: </w:t>
      </w:r>
    </w:p>
    <w:p w14:paraId="5F37381C" w14:textId="77777777" w:rsidR="006F012C" w:rsidRPr="007F3393" w:rsidRDefault="006F012C" w:rsidP="006F012C">
      <w:pPr>
        <w:spacing w:after="0" w:line="276" w:lineRule="auto"/>
        <w:ind w:firstLine="709"/>
        <w:jc w:val="both"/>
        <w:rPr>
          <w:rFonts w:ascii="Verdana" w:hAnsi="Verdana" w:cs="Arial"/>
          <w:sz w:val="20"/>
          <w:szCs w:val="20"/>
          <w:lang w:val="es-ES"/>
        </w:rPr>
      </w:pPr>
    </w:p>
    <w:p w14:paraId="647065F5" w14:textId="2501C1BB" w:rsidR="006F012C" w:rsidRPr="00763254" w:rsidRDefault="006F012C" w:rsidP="00763254">
      <w:pPr>
        <w:spacing w:after="0" w:line="240" w:lineRule="auto"/>
        <w:ind w:left="709" w:right="709"/>
        <w:jc w:val="both"/>
        <w:rPr>
          <w:rFonts w:ascii="Times New Roman" w:eastAsia="Times New Roman" w:hAnsi="Times New Roman" w:cs="Times New Roman"/>
          <w:sz w:val="24"/>
          <w:szCs w:val="24"/>
          <w:lang w:eastAsia="es-ES_tradnl"/>
        </w:rPr>
      </w:pPr>
      <w:r w:rsidRPr="00621901">
        <w:rPr>
          <w:rFonts w:ascii="Verdana" w:hAnsi="Verdana" w:cs="Arial"/>
          <w:sz w:val="20"/>
          <w:szCs w:val="20"/>
        </w:rPr>
        <w:t>“</w:t>
      </w:r>
      <w:r w:rsidR="00F701C5" w:rsidRPr="00F701C5">
        <w:rPr>
          <w:rFonts w:ascii="Arial" w:eastAsia="Times New Roman" w:hAnsi="Arial" w:cs="Arial"/>
          <w:b/>
          <w:bCs/>
          <w:color w:val="000000"/>
          <w:sz w:val="21"/>
          <w:szCs w:val="21"/>
          <w:lang w:eastAsia="es-ES_tradnl"/>
        </w:rPr>
        <w:t>Artículo 87. </w:t>
      </w:r>
      <w:r w:rsidR="00F701C5" w:rsidRPr="00F701C5">
        <w:rPr>
          <w:rFonts w:ascii="Arial" w:eastAsia="Times New Roman" w:hAnsi="Arial" w:cs="Arial"/>
          <w:b/>
          <w:bCs/>
          <w:i/>
          <w:iCs/>
          <w:color w:val="000000"/>
          <w:sz w:val="21"/>
          <w:szCs w:val="21"/>
          <w:lang w:eastAsia="es-ES_tradnl"/>
        </w:rPr>
        <w:t>Proyectos financiables con recursos de la Asignación Directa.</w:t>
      </w:r>
      <w:r w:rsidR="00F701C5">
        <w:rPr>
          <w:rFonts w:ascii="Times New Roman" w:eastAsia="Times New Roman" w:hAnsi="Times New Roman" w:cs="Times New Roman"/>
          <w:sz w:val="24"/>
          <w:szCs w:val="24"/>
          <w:lang w:eastAsia="es-ES_tradnl"/>
        </w:rPr>
        <w:t xml:space="preserve"> P</w:t>
      </w:r>
      <w:r w:rsidRPr="00621901">
        <w:rPr>
          <w:rFonts w:ascii="Verdana" w:hAnsi="Verdana" w:cs="Arial"/>
          <w:sz w:val="20"/>
          <w:szCs w:val="20"/>
        </w:rPr>
        <w:t>ara el caso de los proyectos de inversión con cargo a la asignación directa para Pueblos y Comunidades Indígenas, una vez sean formulados, serán sus autoridades o representantes legales quienes realizarán la viabilidad, registro, priorización y aprobación conforme su derecho propio y las nomas del Sistema General de Regalías.</w:t>
      </w:r>
    </w:p>
    <w:p w14:paraId="2FF52D55" w14:textId="77777777" w:rsidR="00F701C5" w:rsidRDefault="00F701C5" w:rsidP="00F701C5">
      <w:pPr>
        <w:spacing w:after="0" w:line="240" w:lineRule="auto"/>
        <w:ind w:left="709" w:right="709"/>
        <w:jc w:val="both"/>
        <w:rPr>
          <w:rFonts w:ascii="Verdana" w:hAnsi="Verdana" w:cs="Arial"/>
          <w:sz w:val="20"/>
          <w:szCs w:val="20"/>
        </w:rPr>
      </w:pPr>
    </w:p>
    <w:p w14:paraId="47045566" w14:textId="2297ADD9" w:rsidR="006F012C" w:rsidRPr="00621901" w:rsidRDefault="006F012C" w:rsidP="00763254">
      <w:pPr>
        <w:spacing w:after="0" w:line="240" w:lineRule="auto"/>
        <w:ind w:left="709" w:right="709"/>
        <w:jc w:val="both"/>
        <w:rPr>
          <w:rFonts w:ascii="Verdana" w:hAnsi="Verdana" w:cs="Arial"/>
          <w:sz w:val="20"/>
          <w:szCs w:val="20"/>
        </w:rPr>
      </w:pPr>
      <w:r w:rsidRPr="00621901">
        <w:rPr>
          <w:rFonts w:ascii="Verdana" w:hAnsi="Verdana" w:cs="Arial"/>
          <w:sz w:val="20"/>
          <w:szCs w:val="20"/>
        </w:rPr>
        <w:t>Dentro de los dos (2) meses siguientes a la aprobación del proyecto de inversión, se suscribirá un convenio entre el alcalde o gobernador y el representante o autoridad indígena que lo haya presentado, mediante el cual se formalizará la entrega del proyecto. En caso de que transcurrido este término no se haya suscrito el correspondiente convenio, el alcalde o Gobernador estará sujeto a las sanciones a las que haya lugar.</w:t>
      </w:r>
    </w:p>
    <w:p w14:paraId="790B30E4" w14:textId="77777777" w:rsidR="00F701C5" w:rsidRDefault="00F701C5" w:rsidP="00F701C5">
      <w:pPr>
        <w:spacing w:after="0" w:line="240" w:lineRule="auto"/>
        <w:ind w:left="709" w:right="709"/>
        <w:jc w:val="both"/>
        <w:rPr>
          <w:rFonts w:ascii="Verdana" w:hAnsi="Verdana" w:cs="Arial"/>
          <w:sz w:val="20"/>
          <w:szCs w:val="20"/>
        </w:rPr>
      </w:pPr>
    </w:p>
    <w:p w14:paraId="0C4D0B64" w14:textId="647F0C63" w:rsidR="006F012C" w:rsidRPr="00621901" w:rsidRDefault="006F012C" w:rsidP="00763254">
      <w:pPr>
        <w:spacing w:after="0" w:line="240" w:lineRule="auto"/>
        <w:ind w:left="709" w:right="709"/>
        <w:jc w:val="both"/>
        <w:rPr>
          <w:rFonts w:ascii="Verdana" w:hAnsi="Verdana" w:cs="Arial"/>
          <w:sz w:val="20"/>
          <w:szCs w:val="20"/>
        </w:rPr>
      </w:pPr>
      <w:r w:rsidRPr="00621901">
        <w:rPr>
          <w:rFonts w:ascii="Verdana" w:hAnsi="Verdana" w:cs="Arial"/>
          <w:sz w:val="20"/>
          <w:szCs w:val="20"/>
        </w:rPr>
        <w:t>Mediante acto administrativo el alcalde o gobernador designará a la entidad ejecutora propuesta en el proyecto de inversión, la cual debe corresponder a una de las entidades previstas en el estatuto de contratación estatal o el Decreto </w:t>
      </w:r>
      <w:hyperlink r:id="rId12" w:anchor="1088" w:history="1">
        <w:r w:rsidRPr="00621901">
          <w:rPr>
            <w:rStyle w:val="Hipervnculo"/>
            <w:rFonts w:ascii="Verdana" w:hAnsi="Verdana" w:cs="Arial"/>
            <w:sz w:val="20"/>
            <w:szCs w:val="20"/>
          </w:rPr>
          <w:t>1088 </w:t>
        </w:r>
      </w:hyperlink>
      <w:r w:rsidRPr="00621901">
        <w:rPr>
          <w:rFonts w:ascii="Verdana" w:hAnsi="Verdana" w:cs="Arial"/>
          <w:sz w:val="20"/>
          <w:szCs w:val="20"/>
        </w:rPr>
        <w:t>de 1993 adicionado por el Decreto 252 de 2020, quien se encargará de contratar la ejecución del proyecto de inversión y la interventoría de éste cuando aplique.”</w:t>
      </w:r>
    </w:p>
    <w:p w14:paraId="02BAACEF" w14:textId="77777777" w:rsidR="006F012C" w:rsidRPr="007F3393" w:rsidRDefault="006F012C" w:rsidP="006F012C">
      <w:pPr>
        <w:spacing w:after="120" w:line="276" w:lineRule="auto"/>
        <w:ind w:firstLine="709"/>
        <w:jc w:val="both"/>
        <w:rPr>
          <w:rFonts w:ascii="Verdana" w:hAnsi="Verdana" w:cs="Arial"/>
          <w:sz w:val="20"/>
          <w:szCs w:val="20"/>
        </w:rPr>
      </w:pPr>
    </w:p>
    <w:p w14:paraId="4E8909BE" w14:textId="77777777" w:rsidR="006F012C" w:rsidRPr="00437C34" w:rsidRDefault="006F012C" w:rsidP="006F012C">
      <w:pPr>
        <w:spacing w:after="120" w:line="276" w:lineRule="auto"/>
        <w:ind w:firstLine="709"/>
        <w:jc w:val="both"/>
        <w:rPr>
          <w:rFonts w:ascii="Verdana" w:eastAsia="Times New Roman" w:hAnsi="Verdana" w:cs="Arial"/>
          <w:bCs/>
          <w:lang w:eastAsia="x-none"/>
        </w:rPr>
      </w:pPr>
      <w:r w:rsidRPr="00437C34">
        <w:rPr>
          <w:rFonts w:ascii="Verdana" w:eastAsia="Times New Roman" w:hAnsi="Verdana" w:cs="Arial"/>
          <w:bCs/>
          <w:lang w:val="es-MX" w:eastAsia="x-none"/>
        </w:rPr>
        <w:t xml:space="preserve">Ahora bien, conforme a la consulta planteada, surge la inquietud concreta sobre la aplicación de las restricciones de la Ley de Garantías Electorales en relación con el artículo </w:t>
      </w:r>
      <w:r>
        <w:rPr>
          <w:rFonts w:ascii="Verdana" w:eastAsia="Times New Roman" w:hAnsi="Verdana" w:cs="Arial"/>
          <w:bCs/>
          <w:lang w:val="es-MX" w:eastAsia="x-none"/>
        </w:rPr>
        <w:t>87</w:t>
      </w:r>
      <w:r w:rsidRPr="00437C34">
        <w:rPr>
          <w:rFonts w:ascii="Verdana" w:eastAsia="Times New Roman" w:hAnsi="Verdana" w:cs="Arial"/>
          <w:bCs/>
          <w:lang w:val="es-MX" w:eastAsia="x-none"/>
        </w:rPr>
        <w:t xml:space="preserve"> en mención, en particular respecto del deber que impone la norma de celebrar un convenio </w:t>
      </w:r>
      <w:r w:rsidRPr="00437C34">
        <w:rPr>
          <w:rFonts w:ascii="Verdana" w:eastAsia="Times New Roman" w:hAnsi="Verdana" w:cs="Arial"/>
          <w:bCs/>
          <w:i/>
          <w:iCs/>
          <w:lang w:eastAsia="x-none"/>
        </w:rPr>
        <w:t>dentro de los dos (2) meses</w:t>
      </w:r>
      <w:r w:rsidRPr="00437C34">
        <w:rPr>
          <w:rFonts w:ascii="Verdana" w:eastAsia="Times New Roman" w:hAnsi="Verdana" w:cs="Arial"/>
          <w:bCs/>
          <w:lang w:eastAsia="x-none"/>
        </w:rPr>
        <w:t xml:space="preserve"> siguientes a la aprobación del proyecto de inversión</w:t>
      </w:r>
      <w:r w:rsidRPr="00130686">
        <w:rPr>
          <w:rFonts w:ascii="Work Sans" w:hAnsi="Work Sans"/>
          <w:color w:val="333333"/>
          <w:sz w:val="25"/>
          <w:szCs w:val="25"/>
          <w:shd w:val="clear" w:color="auto" w:fill="FFFFFF"/>
        </w:rPr>
        <w:t xml:space="preserve"> </w:t>
      </w:r>
      <w:r w:rsidRPr="00130686">
        <w:rPr>
          <w:rFonts w:ascii="Verdana" w:eastAsia="Times New Roman" w:hAnsi="Verdana" w:cs="Arial"/>
          <w:bCs/>
          <w:lang w:eastAsia="x-none"/>
        </w:rPr>
        <w:t>representante o autoridad indígena que lo haya presentado, mediante el cual se formalizará la entrega del proyecto</w:t>
      </w:r>
      <w:r w:rsidRPr="00437C34">
        <w:rPr>
          <w:rFonts w:ascii="Verdana" w:eastAsia="Times New Roman" w:hAnsi="Verdana" w:cs="Arial"/>
          <w:bCs/>
          <w:lang w:eastAsia="x-none"/>
        </w:rPr>
        <w:t xml:space="preserve"> que lo haya presentado. </w:t>
      </w:r>
    </w:p>
    <w:p w14:paraId="7A478B59"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eastAsia="Times New Roman" w:hAnsi="Verdana" w:cs="Arial"/>
          <w:bCs/>
          <w:lang w:eastAsia="x-none"/>
        </w:rPr>
        <w:t xml:space="preserve">Pues bien, analizado el marco normativo expuesto </w:t>
      </w:r>
      <w:r w:rsidRPr="00437C34">
        <w:rPr>
          <w:rFonts w:ascii="Verdana" w:eastAsia="Times New Roman" w:hAnsi="Verdana" w:cs="Arial"/>
          <w:bCs/>
          <w:lang w:val="es-ES" w:eastAsia="x-none"/>
        </w:rPr>
        <w:t xml:space="preserve">no se evidencia una excepción a lo dispuesto en el artículo 33 de la Ley 996 de 2005 </w:t>
      </w:r>
      <w:r w:rsidRPr="00437C34">
        <w:rPr>
          <w:rFonts w:ascii="Verdana" w:eastAsia="Times New Roman" w:hAnsi="Verdana" w:cs="Arial"/>
          <w:bCs/>
          <w:lang w:val="es-MX" w:eastAsia="x-none"/>
        </w:rPr>
        <w:t xml:space="preserve">que restringe la contratación directa en el periodo preelectoral a las elecciones presidenciales por el tipo de recurso que pretende ejecutarse. En otras palabras, esta normatividad especial para la ejecución de recursos del Sistema General de Regalías, no implica que esté exonerada de la restricción, pues el legislador no hizo distinción del tipo de recursos al establecer la prohibición.  En este sentido, aplicará la restricción señalada respecto de todos los </w:t>
      </w:r>
      <w:r w:rsidRPr="00437C34">
        <w:rPr>
          <w:rFonts w:ascii="Verdana" w:eastAsia="Times New Roman" w:hAnsi="Verdana" w:cs="Arial"/>
          <w:bCs/>
          <w:i/>
          <w:iCs/>
          <w:lang w:val="es-MX" w:eastAsia="x-none"/>
        </w:rPr>
        <w:t>entes del Estado,</w:t>
      </w:r>
      <w:r w:rsidRPr="00437C34">
        <w:rPr>
          <w:rFonts w:ascii="Verdana" w:eastAsia="Times New Roman" w:hAnsi="Verdana" w:cs="Arial"/>
          <w:bCs/>
          <w:lang w:val="es-MX" w:eastAsia="x-none"/>
        </w:rPr>
        <w:t xml:space="preserve"> con independencia de la fuente de los recursos. </w:t>
      </w:r>
    </w:p>
    <w:p w14:paraId="25B9D78F"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hAnsi="Verdana" w:cs="Arial"/>
          <w:lang w:val="es-ES"/>
        </w:rPr>
        <w:t xml:space="preserve">En efecto, si bien el artículo </w:t>
      </w:r>
      <w:r>
        <w:rPr>
          <w:rFonts w:ascii="Verdana" w:hAnsi="Verdana" w:cs="Arial"/>
          <w:lang w:val="es-ES"/>
        </w:rPr>
        <w:t>87</w:t>
      </w:r>
      <w:r w:rsidRPr="00437C34">
        <w:rPr>
          <w:rFonts w:ascii="Verdana" w:hAnsi="Verdana" w:cs="Arial"/>
          <w:lang w:val="es-ES"/>
        </w:rPr>
        <w:t xml:space="preserve"> de la Ley 2056 de 2020 dispone el deber de suscribir un convenio dentro de los dos (2) meses siguientes a la aprobación del proyecto de inversión, dicha disposición no consagra de manera expresa una excepción a las restricciones previstas en el artículo 33 de la Ley 996 de 2005. En este caso, el legislador se limitó a establecer un término para la celebración del convenio, pero no señaló que esta actuación contractual pudiera adelantarse durante el periodo de restricción electoral ni excluyó expresamente su aplicación del régimen de la Ley de Garantías Electorales. </w:t>
      </w:r>
    </w:p>
    <w:p w14:paraId="658F5719"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hAnsi="Verdana" w:cs="Arial"/>
          <w:lang w:val="es-ES"/>
        </w:rPr>
        <w:lastRenderedPageBreak/>
        <w:t xml:space="preserve">Al respecto, es importante precisar que la previsión legal de un término para la suscripción del convenio no implica, por sí misma, que dicho plazo prevalezca sobre las restricciones contenidas en la Ley de Garantías Electorales. Debe tenerse en cuenta que la Ley 996 de 2005, por su naturaleza estatutaria, goza de una jerarquía superior en el ordenamiento jurídico, en la medida que desarrolla materias relacionadas con las garantías electorales y la participación democrática. Por ello, no puede interpretarse que el término previsto en el artículo </w:t>
      </w:r>
      <w:r>
        <w:rPr>
          <w:rFonts w:ascii="Verdana" w:hAnsi="Verdana" w:cs="Arial"/>
          <w:lang w:val="es-ES"/>
        </w:rPr>
        <w:t>87</w:t>
      </w:r>
      <w:r w:rsidRPr="00437C34">
        <w:rPr>
          <w:rFonts w:ascii="Verdana" w:hAnsi="Verdana" w:cs="Arial"/>
          <w:lang w:val="es-ES"/>
        </w:rPr>
        <w:t xml:space="preserve"> de la Ley 2056 de 2020 para suscripción del convenio constituye, de manera implícita, una excepción a la prohibición de contratación durante el periodo electoral, pues esto implicaría hacer prevalecer una disposición de una ley ordinaria sobre una restricción establecida en una ley estatutaria, sin que el legislador hubiera previsto expresamente dicha consecuencia.</w:t>
      </w:r>
    </w:p>
    <w:p w14:paraId="470D453B"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hAnsi="Verdana" w:cs="Arial"/>
          <w:lang w:val="es-ES"/>
        </w:rPr>
        <w:t>En este sentido, no resulta jurídicamente viable sostener que en este caso existe una excepción a la Ley de Garantías Electorales por el deber de celebrar el convenio dentro de un plazo determinado, especialmente si se tiene en cuenta que las excepciones a las restricciones en materia electoral, debido a su naturaleza excepcional, deben estar consagradas de manera expresa y ser objeto de una interpretación estricta y restrictiva.</w:t>
      </w:r>
    </w:p>
    <w:p w14:paraId="6325B888" w14:textId="77777777" w:rsidR="006F012C" w:rsidRPr="00437C34" w:rsidRDefault="006F012C" w:rsidP="006F012C">
      <w:pPr>
        <w:tabs>
          <w:tab w:val="left" w:pos="1843"/>
        </w:tabs>
        <w:spacing w:after="120" w:line="276" w:lineRule="auto"/>
        <w:ind w:firstLine="709"/>
        <w:jc w:val="both"/>
        <w:rPr>
          <w:rFonts w:ascii="Verdana" w:eastAsia="Times New Roman" w:hAnsi="Verdana" w:cs="Arial"/>
          <w:bCs/>
          <w:lang w:val="es-MX" w:eastAsia="x-none"/>
        </w:rPr>
      </w:pPr>
      <w:r w:rsidRPr="00437C34">
        <w:rPr>
          <w:rFonts w:ascii="Verdana" w:hAnsi="Verdana" w:cs="Arial"/>
          <w:lang w:val="es-ES"/>
        </w:rPr>
        <w:t xml:space="preserve">En este contexto, debe reiterarse que </w:t>
      </w:r>
      <w:r w:rsidRPr="00437C34">
        <w:rPr>
          <w:rFonts w:ascii="Verdana" w:eastAsia="Times New Roman" w:hAnsi="Verdana" w:cs="Arial"/>
          <w:bCs/>
          <w:lang w:val="es-MX" w:eastAsia="x-none"/>
        </w:rPr>
        <w:t>la restricción del artículo 33 de la Ley de Garantías Electorales aplica, sin perjuicio de las excepciones establecidas en el inciso segundo del precitado artículo: i) los contratos relacionados con la defensa y seguridad del Estado, analizados en el Concepto 322 de 2026; ii) los contratos de crédito público, abordados en el Concepto CU-372 de 2026; iii) los contratos necesarios para atender emergencias educativas, sanitarias o desastres, tratados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118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176 de 2026, que tratan en este caso de la urgencia manifiesta; iv) los contratos destinados a la reconstrucción de infraestructura vial, energética y de comunicaciones afectada por atentados, acciones terroristas, desastres naturales o fuerza mayor, igualmente estudiados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118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176 de 2026, entre otros; y v) la contratación directa celebrada por entidades sanitarias y hospitalarias, objeto de análisis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1124 de 2026,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1406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 xml:space="preserve">1703 de 2026. </w:t>
      </w:r>
    </w:p>
    <w:p w14:paraId="392519EA" w14:textId="77777777" w:rsidR="006F012C" w:rsidRPr="00437C34" w:rsidRDefault="006F012C" w:rsidP="006F012C">
      <w:pPr>
        <w:tabs>
          <w:tab w:val="left" w:pos="1843"/>
        </w:tabs>
        <w:spacing w:after="120" w:line="276" w:lineRule="auto"/>
        <w:ind w:firstLine="709"/>
        <w:jc w:val="both"/>
        <w:rPr>
          <w:rFonts w:ascii="Verdana" w:eastAsia="Times New Roman" w:hAnsi="Verdana" w:cs="Arial"/>
          <w:bCs/>
          <w:lang w:val="es-MX" w:eastAsia="es-CO"/>
        </w:rPr>
      </w:pPr>
      <w:r w:rsidRPr="00437C34">
        <w:rPr>
          <w:rFonts w:ascii="Verdana" w:eastAsia="Times New Roman" w:hAnsi="Verdana" w:cs="Arial"/>
          <w:bCs/>
          <w:lang w:eastAsia="es-CO"/>
        </w:rPr>
        <w:t xml:space="preserve">Bajo este contexto, corresponde a cada entidad estatal analizar, en el caso concreto, la naturaleza y finalidad de las actividades que pretende desarrollar mediante el respectivo convenio, con el propósito de determinar si su objeto se encuentra comprendido dentro de alguna de las excepciones expresamente admitidas al régimen de restricciones previsto en la Ley de Garantías Electorales. </w:t>
      </w:r>
    </w:p>
    <w:p w14:paraId="5F5FFE0C" w14:textId="77777777" w:rsidR="006F012C" w:rsidRPr="00437C34" w:rsidRDefault="006F012C" w:rsidP="006F012C">
      <w:pPr>
        <w:spacing w:after="0" w:line="276" w:lineRule="auto"/>
        <w:ind w:firstLine="709"/>
        <w:jc w:val="both"/>
        <w:rPr>
          <w:rFonts w:ascii="Verdana" w:eastAsiaTheme="minorEastAsia" w:hAnsi="Verdana" w:cs="Arial"/>
          <w:lang w:eastAsia="es-CO"/>
        </w:rPr>
      </w:pPr>
      <w:r w:rsidRPr="00437C34">
        <w:rPr>
          <w:rFonts w:ascii="Verdana" w:eastAsiaTheme="minorEastAsia" w:hAnsi="Verdana" w:cs="Arial"/>
          <w:lang w:eastAsia="es-CO"/>
        </w:rPr>
        <w:lastRenderedPageBreak/>
        <w:t xml:space="preserve">Asimismo, vale la pena indicar que </w:t>
      </w:r>
      <w:r w:rsidRPr="00437C34">
        <w:rPr>
          <w:rFonts w:ascii="Verdana" w:eastAsia="Calibri" w:hAnsi="Verdana" w:cs="Arial"/>
        </w:rPr>
        <w:t>l</w:t>
      </w:r>
      <w:r w:rsidRPr="00437C34">
        <w:rPr>
          <w:rFonts w:ascii="Verdana" w:eastAsia="Times New Roman" w:hAnsi="Verdana" w:cs="Arial"/>
          <w:bCs/>
          <w:lang w:val="es-ES" w:eastAsia="es-CO"/>
        </w:rPr>
        <w:t>a Sala de Consulta y Servicio Civil del Consejo de Estado ha señalado que las restricciones de la Ley de Garantías Electorales deben interpretarse con especial cuidado cuando se trata de Empresas de Servicios Públicos Domiciliarios. En el Concepto 1727 de 2006, la Sala precisó que, aunque la norma limita la contratación directa durante la campaña presidencial, existen excepciones justificadas por razones de orden público social, particularmente en lo relacionado con la prestación de servicios públicos esenciales. Al respecto, expresó</w:t>
      </w:r>
      <w:r w:rsidRPr="00437C34">
        <w:rPr>
          <w:rFonts w:ascii="Verdana" w:eastAsia="Calibri" w:hAnsi="Verdana" w:cs="Arial"/>
          <w:lang w:val="es-MX"/>
        </w:rPr>
        <w:t>:</w:t>
      </w:r>
    </w:p>
    <w:p w14:paraId="00A1FC9D" w14:textId="77777777" w:rsidR="006F012C" w:rsidRPr="00437C34" w:rsidRDefault="006F012C" w:rsidP="006F012C">
      <w:pPr>
        <w:spacing w:after="0" w:line="276" w:lineRule="auto"/>
        <w:ind w:left="709" w:right="709"/>
        <w:jc w:val="both"/>
        <w:rPr>
          <w:rFonts w:ascii="Verdana" w:eastAsia="Calibri" w:hAnsi="Verdana" w:cs="Arial"/>
          <w:sz w:val="20"/>
          <w:szCs w:val="20"/>
        </w:rPr>
      </w:pPr>
    </w:p>
    <w:p w14:paraId="6164B5E0" w14:textId="77777777" w:rsidR="006F012C" w:rsidRPr="00437C34" w:rsidRDefault="006F012C" w:rsidP="006F012C">
      <w:pPr>
        <w:spacing w:after="0" w:line="240" w:lineRule="auto"/>
        <w:ind w:left="709" w:right="709"/>
        <w:jc w:val="both"/>
        <w:rPr>
          <w:rFonts w:ascii="Verdana" w:eastAsia="Times New Roman" w:hAnsi="Verdana" w:cs="Arial"/>
          <w:lang w:eastAsia="es-CO"/>
        </w:rPr>
      </w:pPr>
      <w:r w:rsidRPr="00437C34">
        <w:rPr>
          <w:rFonts w:ascii="Verdana" w:eastAsia="Calibri" w:hAnsi="Verdana" w:cs="Arial"/>
          <w:sz w:val="20"/>
          <w:szCs w:val="20"/>
        </w:rPr>
        <w:t xml:space="preserve">“[…] en la medida en que los reglamentos internos de una empresa de servicios públicos domiciliarios determinen que la adquisición de algún insumo esencial para la prestación del servicio se realice por contratación directa, y que mientras se adelanta el trámite de la licitación pública del artículo 860 del código de comercio puede verse suspendido o gravemente afectado el servicio a su cargo, para evitar esta emergencia puede acudir a la contratación directa, pues se encontraría dentro de la excepción a la prohibición por causa de la sanidad y del mantenimiento del orden público en su elemento de salubridad, esenciales a la organización del Estado. Se anota que frente a los servicios públicos domiciliarios, los usuarios tienen un derecho subjetivo a su prestación, que en veces está en conexión con los derechos fundamentales, como en el caso de los servicios del acueducto, alcantarillado, saneamiento básico, </w:t>
      </w:r>
      <w:proofErr w:type="spellStart"/>
      <w:r w:rsidRPr="00437C34">
        <w:rPr>
          <w:rFonts w:ascii="Verdana" w:eastAsia="Calibri" w:hAnsi="Verdana" w:cs="Arial"/>
          <w:sz w:val="20"/>
          <w:szCs w:val="20"/>
        </w:rPr>
        <w:t>etc</w:t>
      </w:r>
      <w:proofErr w:type="spellEnd"/>
      <w:r w:rsidRPr="00437C34">
        <w:rPr>
          <w:rFonts w:ascii="Verdana" w:eastAsia="Calibri" w:hAnsi="Verdana" w:cs="Arial"/>
          <w:lang w:val="es-MX"/>
        </w:rPr>
        <w:t>”</w:t>
      </w:r>
      <w:r w:rsidRPr="00437C34">
        <w:rPr>
          <w:rFonts w:ascii="Verdana" w:eastAsia="Calibri" w:hAnsi="Verdana" w:cs="Arial"/>
          <w:vertAlign w:val="superscript"/>
          <w:lang w:val="es-MX"/>
        </w:rPr>
        <w:footnoteReference w:id="25"/>
      </w:r>
      <w:r w:rsidRPr="00437C34">
        <w:rPr>
          <w:rFonts w:ascii="Verdana" w:eastAsia="Calibri" w:hAnsi="Verdana" w:cs="Arial"/>
          <w:lang w:val="es-MX"/>
        </w:rPr>
        <w:t>.</w:t>
      </w:r>
      <w:r w:rsidRPr="00437C34">
        <w:rPr>
          <w:rFonts w:ascii="Verdana" w:eastAsia="Times New Roman" w:hAnsi="Verdana" w:cs="Arial"/>
          <w:lang w:val="es-MX" w:eastAsia="es-CO"/>
        </w:rPr>
        <w:t xml:space="preserve"> </w:t>
      </w:r>
    </w:p>
    <w:p w14:paraId="6FA23DF8" w14:textId="77777777" w:rsidR="006F012C" w:rsidRPr="00437C34" w:rsidRDefault="006F012C" w:rsidP="006F012C">
      <w:pPr>
        <w:spacing w:after="0" w:line="276" w:lineRule="auto"/>
        <w:ind w:left="709" w:right="709"/>
        <w:jc w:val="both"/>
        <w:rPr>
          <w:rFonts w:ascii="Verdana" w:eastAsia="Calibri" w:hAnsi="Verdana" w:cs="Arial"/>
          <w:sz w:val="20"/>
          <w:szCs w:val="20"/>
        </w:rPr>
      </w:pPr>
    </w:p>
    <w:p w14:paraId="3E305877" w14:textId="77777777" w:rsidR="006F012C" w:rsidRPr="00437C34" w:rsidRDefault="006F012C" w:rsidP="006F012C">
      <w:pPr>
        <w:spacing w:after="120" w:line="276" w:lineRule="auto"/>
        <w:ind w:firstLine="708"/>
        <w:jc w:val="both"/>
        <w:rPr>
          <w:rFonts w:ascii="Verdana" w:eastAsia="Arial" w:hAnsi="Verdana" w:cs="Arial"/>
          <w:lang w:val="es-ES" w:eastAsia="es-ES" w:bidi="es-ES"/>
        </w:rPr>
      </w:pPr>
      <w:r w:rsidRPr="00437C34">
        <w:rPr>
          <w:rFonts w:ascii="Verdana" w:hAnsi="Verdana" w:cs="Arial"/>
          <w:lang w:val="es-ES_tradnl"/>
        </w:rPr>
        <w:t>También la Sala de Consulta y Servicio Civil del Consejo de Estado ha presentado supuestos de excepción a la restricción de los artículos 33 y 38 cuando la contratación se enmarca en una providencia judicial</w:t>
      </w:r>
      <w:r w:rsidRPr="00437C34">
        <w:rPr>
          <w:rFonts w:ascii="Verdana" w:eastAsia="Arial" w:hAnsi="Verdana" w:cs="Arial"/>
          <w:lang w:val="es-ES" w:eastAsia="es-ES" w:bidi="es-ES"/>
        </w:rPr>
        <w:t>, pues en dicho caso debe tenerse en cuenta que las decisiones judiciales tienen fuerza vinculante y cumplirse en virtud del principio de supremacía constitucional y del derecho fundamental de acceso a la administración de justicia. La celebración de un contrato de forma directa o de un convenio interadministrativo para la ejecución de recursos públicos no obedece a una decisión discrecional de la administración, sino al cumplimiento de un mandato judicial, lo cual la diferencia de la contratación ordinaria y lo pone en un plano de obligatoriedad que no puede desconocerse por las restricciones de la Ley de Garantías.</w:t>
      </w:r>
    </w:p>
    <w:p w14:paraId="5FBEB35B" w14:textId="77777777" w:rsidR="006F012C" w:rsidRPr="00437C34" w:rsidRDefault="006F012C" w:rsidP="006F012C">
      <w:pPr>
        <w:spacing w:after="0" w:line="276" w:lineRule="auto"/>
        <w:ind w:firstLine="709"/>
        <w:jc w:val="both"/>
        <w:rPr>
          <w:rFonts w:ascii="Verdana" w:eastAsia="Arial" w:hAnsi="Verdana" w:cs="Arial"/>
          <w:lang w:val="es-ES" w:eastAsia="es-ES" w:bidi="es-ES"/>
        </w:rPr>
      </w:pPr>
      <w:r w:rsidRPr="00437C34">
        <w:rPr>
          <w:rFonts w:ascii="Verdana" w:eastAsia="Arial" w:hAnsi="Verdana" w:cs="Arial"/>
          <w:lang w:val="es-ES" w:eastAsia="es-ES" w:bidi="es-ES"/>
        </w:rPr>
        <w:t xml:space="preserve">En este asunto, es importante resaltar que la Sala de Consulta y Servicio Civil del Consejo de Estado mediante Concepto con Radicado 1863 del 15 de noviembre de 2007 se ha pronunciado en el sentido de que </w:t>
      </w:r>
      <w:bookmarkStart w:id="12" w:name="_Hlk78820889"/>
      <w:r w:rsidRPr="00437C34">
        <w:rPr>
          <w:rFonts w:ascii="Verdana" w:eastAsia="Arial" w:hAnsi="Verdana" w:cs="Arial"/>
          <w:lang w:val="es-ES" w:eastAsia="es-ES" w:bidi="es-ES"/>
        </w:rPr>
        <w:t xml:space="preserve">no se les aplica las restricciones contempladas en Ley de Garantías Electorales que deben celebrarse en virtud de un fallo judicial. Esto, en la medida que la obligatoriedad </w:t>
      </w:r>
      <w:r w:rsidRPr="00437C34">
        <w:rPr>
          <w:rFonts w:ascii="Verdana" w:eastAsia="Arial" w:hAnsi="Verdana" w:cs="Arial"/>
          <w:lang w:val="es-ES" w:eastAsia="es-ES" w:bidi="es-ES"/>
        </w:rPr>
        <w:lastRenderedPageBreak/>
        <w:t>y la fuerza vinculante de las sentencias ejecutoriadas proferidas por los funcionarios investidos del poder judicial emanan de la autonomía conferida a estos por la Constitución y del derecho que tienen los ciudadanos al acceso y oportuna administración de justicia</w:t>
      </w:r>
      <w:bookmarkEnd w:id="12"/>
      <w:r w:rsidRPr="00437C34">
        <w:rPr>
          <w:rFonts w:ascii="Verdana" w:eastAsia="Arial" w:hAnsi="Verdana" w:cs="Arial"/>
          <w:vertAlign w:val="superscript"/>
          <w:lang w:val="es-ES" w:eastAsia="es-ES" w:bidi="es-ES"/>
        </w:rPr>
        <w:footnoteReference w:id="26"/>
      </w:r>
      <w:r w:rsidRPr="00437C34">
        <w:rPr>
          <w:rFonts w:ascii="Verdana" w:eastAsia="Arial" w:hAnsi="Verdana" w:cs="Arial"/>
          <w:lang w:val="es-ES" w:eastAsia="es-ES" w:bidi="es-ES"/>
        </w:rPr>
        <w:t>. Al respecto, dicho Concepto expresa:</w:t>
      </w:r>
    </w:p>
    <w:p w14:paraId="31F39A01" w14:textId="77777777" w:rsidR="006F012C" w:rsidRPr="00437C34" w:rsidRDefault="006F012C" w:rsidP="006F012C">
      <w:pPr>
        <w:spacing w:after="0" w:line="276" w:lineRule="auto"/>
        <w:ind w:firstLine="709"/>
        <w:jc w:val="both"/>
        <w:rPr>
          <w:rFonts w:ascii="Verdana" w:eastAsia="Arial" w:hAnsi="Verdana" w:cs="Arial"/>
          <w:lang w:val="es-ES" w:eastAsia="es-ES" w:bidi="es-ES"/>
        </w:rPr>
      </w:pPr>
    </w:p>
    <w:p w14:paraId="6967DA13"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r w:rsidRPr="00437C34">
        <w:rPr>
          <w:rFonts w:ascii="Verdana" w:eastAsia="Arial" w:hAnsi="Verdana" w:cs="Arial"/>
          <w:sz w:val="20"/>
          <w:lang w:val="es-ES" w:eastAsia="es-ES" w:bidi="es-ES"/>
        </w:rPr>
        <w:t xml:space="preserve">“[…] considera </w:t>
      </w:r>
      <w:r w:rsidRPr="00437C34">
        <w:rPr>
          <w:rFonts w:ascii="Verdana" w:eastAsia="Arial" w:hAnsi="Verdana" w:cs="Arial"/>
          <w:sz w:val="20"/>
          <w:lang w:eastAsia="es-ES" w:bidi="es-ES"/>
        </w:rPr>
        <w:t>la Sala que los servidores públicos del nivel nacional o territorial que en cumplimiento de una sentencia judicial o de una providencia proferida en una acción popular o de tutela, deban contratar, ejecutar obras, efectuar gastos e incluso hacer algún reintegro de personal durante los cuatro meses anteriores a las elecciones para cargos de elección popular general o de Presidente, según el caso, no violan la ley de garantías electorales, por las razones de orden constitucional y legal que se explican a continuación.</w:t>
      </w:r>
    </w:p>
    <w:p w14:paraId="5025F034"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p>
    <w:p w14:paraId="5A7CEAE8"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r w:rsidRPr="00437C34">
        <w:rPr>
          <w:rFonts w:ascii="Verdana" w:eastAsia="Arial" w:hAnsi="Verdana" w:cs="Arial"/>
          <w:sz w:val="20"/>
          <w:lang w:eastAsia="es-ES" w:bidi="es-ES"/>
        </w:rPr>
        <w:t>Con fundamento en la autonomía del poder judicial derivada de la separación de poderes y del derecho al acceso a la administración de justicia que tienen todos los ciudadanos, las decisiones de los jueces, como ya se expuso en el acápite anterior, son de obligatorio cumplimiento para la administración y los particulares en los términos y condiciones previstos en cada providencia.</w:t>
      </w:r>
    </w:p>
    <w:p w14:paraId="054CB554"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p>
    <w:p w14:paraId="6AD51255"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r w:rsidRPr="00437C34">
        <w:rPr>
          <w:rFonts w:ascii="Verdana" w:eastAsia="Arial" w:hAnsi="Verdana" w:cs="Arial"/>
          <w:sz w:val="20"/>
          <w:lang w:eastAsia="es-ES" w:bidi="es-ES"/>
        </w:rPr>
        <w:t>Los actos de ejecución que la administración deba expedir o realizar para dar cabal cumplimiento a lo ordenado en las providencias judiciales, se fundamentan en decisiones desprovistas </w:t>
      </w:r>
      <w:r w:rsidRPr="00437C34">
        <w:rPr>
          <w:rFonts w:ascii="Verdana" w:eastAsia="Arial" w:hAnsi="Verdana" w:cs="Arial"/>
          <w:i/>
          <w:iCs/>
          <w:sz w:val="20"/>
          <w:lang w:eastAsia="es-ES" w:bidi="es-ES"/>
        </w:rPr>
        <w:t>per se </w:t>
      </w:r>
      <w:r w:rsidRPr="00437C34">
        <w:rPr>
          <w:rFonts w:ascii="Verdana" w:eastAsia="Arial" w:hAnsi="Verdana" w:cs="Arial"/>
          <w:sz w:val="20"/>
          <w:lang w:eastAsia="es-ES" w:bidi="es-ES"/>
        </w:rPr>
        <w:t>de intereses proselitistas, pues los funcionarios investidos de jurisdicción, al impartir justicia sólo están sometidos al imperio de la Constitución y de la ley (artículo 230 C.P.) , de manera que sus fallos no son fruto de las presiones propias de épocas de campaña electoral, ni comprometen o amenazan la transparencia de la actividad administrativa tutelada en la ley de </w:t>
      </w:r>
      <w:hyperlink r:id="rId13" w:anchor="0" w:history="1">
        <w:r w:rsidRPr="00437C34">
          <w:rPr>
            <w:rFonts w:ascii="Verdana" w:eastAsia="Arial" w:hAnsi="Verdana" w:cs="Arial"/>
            <w:color w:val="000000" w:themeColor="text1"/>
            <w:sz w:val="20"/>
            <w:lang w:eastAsia="es-ES" w:bidi="es-ES"/>
          </w:rPr>
          <w:t>996</w:t>
        </w:r>
      </w:hyperlink>
      <w:r w:rsidRPr="00437C34">
        <w:rPr>
          <w:rFonts w:ascii="Verdana" w:eastAsia="Arial" w:hAnsi="Verdana" w:cs="Arial"/>
          <w:color w:val="000000" w:themeColor="text1"/>
          <w:sz w:val="20"/>
          <w:lang w:eastAsia="es-ES" w:bidi="es-ES"/>
        </w:rPr>
        <w:t xml:space="preserve"> de </w:t>
      </w:r>
      <w:r w:rsidRPr="00437C34">
        <w:rPr>
          <w:rFonts w:ascii="Verdana" w:eastAsia="Arial" w:hAnsi="Verdana" w:cs="Arial"/>
          <w:sz w:val="20"/>
          <w:lang w:eastAsia="es-ES" w:bidi="es-ES"/>
        </w:rPr>
        <w:t>2005.</w:t>
      </w:r>
    </w:p>
    <w:p w14:paraId="0B2D3746"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p>
    <w:p w14:paraId="60AE3D96"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r w:rsidRPr="00437C34">
        <w:rPr>
          <w:rFonts w:ascii="Verdana" w:eastAsia="Arial" w:hAnsi="Verdana" w:cs="Arial"/>
          <w:sz w:val="20"/>
          <w:lang w:eastAsia="es-ES" w:bidi="es-ES"/>
        </w:rPr>
        <w:t xml:space="preserve">Por tanto, el derecho de acceso y de obtener una pronta y cumplida administración de justicia , que se concreta cuando se cumple lo ordenado en las respectivas sentencias, hacen que no sea necesario que el legislador hubiese incluido el cumplimiento de fallos judiciales como parte de las excepciones a los regímenes prohibitivos contendido en los </w:t>
      </w:r>
      <w:r w:rsidRPr="00437C34">
        <w:rPr>
          <w:rFonts w:ascii="Verdana" w:eastAsia="Arial" w:hAnsi="Verdana" w:cs="Arial"/>
          <w:color w:val="000000" w:themeColor="text1"/>
          <w:sz w:val="20"/>
          <w:lang w:eastAsia="es-ES" w:bidi="es-ES"/>
        </w:rPr>
        <w:t>artículos </w:t>
      </w:r>
      <w:hyperlink r:id="rId14" w:anchor="32" w:history="1">
        <w:r w:rsidRPr="00437C34">
          <w:rPr>
            <w:rFonts w:ascii="Verdana" w:eastAsia="Arial" w:hAnsi="Verdana" w:cs="Arial"/>
            <w:color w:val="000000" w:themeColor="text1"/>
            <w:sz w:val="20"/>
            <w:lang w:eastAsia="es-ES" w:bidi="es-ES"/>
          </w:rPr>
          <w:t>32</w:t>
        </w:r>
      </w:hyperlink>
      <w:r w:rsidRPr="00437C34">
        <w:rPr>
          <w:rFonts w:ascii="Verdana" w:eastAsia="Arial" w:hAnsi="Verdana" w:cs="Arial"/>
          <w:color w:val="000000" w:themeColor="text1"/>
          <w:sz w:val="20"/>
          <w:lang w:eastAsia="es-ES" w:bidi="es-ES"/>
        </w:rPr>
        <w:t>, </w:t>
      </w:r>
      <w:hyperlink r:id="rId15" w:anchor="33" w:history="1">
        <w:r w:rsidRPr="00437C34">
          <w:rPr>
            <w:rFonts w:ascii="Verdana" w:eastAsia="Arial" w:hAnsi="Verdana" w:cs="Arial"/>
            <w:color w:val="000000" w:themeColor="text1"/>
            <w:sz w:val="20"/>
            <w:lang w:eastAsia="es-ES" w:bidi="es-ES"/>
          </w:rPr>
          <w:t>33</w:t>
        </w:r>
      </w:hyperlink>
      <w:r w:rsidRPr="00437C34">
        <w:rPr>
          <w:rFonts w:ascii="Verdana" w:eastAsia="Arial" w:hAnsi="Verdana" w:cs="Arial"/>
          <w:color w:val="000000" w:themeColor="text1"/>
          <w:sz w:val="20"/>
          <w:lang w:eastAsia="es-ES" w:bidi="es-ES"/>
        </w:rPr>
        <w:t> y el parágrafo del artículo </w:t>
      </w:r>
      <w:hyperlink r:id="rId16" w:anchor="38" w:history="1">
        <w:r w:rsidRPr="00437C34">
          <w:rPr>
            <w:rFonts w:ascii="Verdana" w:eastAsia="Arial" w:hAnsi="Verdana" w:cs="Arial"/>
            <w:color w:val="000000" w:themeColor="text1"/>
            <w:sz w:val="20"/>
            <w:lang w:eastAsia="es-ES" w:bidi="es-ES"/>
          </w:rPr>
          <w:t>38</w:t>
        </w:r>
      </w:hyperlink>
      <w:r w:rsidRPr="00437C34">
        <w:rPr>
          <w:rFonts w:ascii="Verdana" w:eastAsia="Arial" w:hAnsi="Verdana" w:cs="Arial"/>
          <w:color w:val="000000" w:themeColor="text1"/>
          <w:sz w:val="20"/>
          <w:lang w:eastAsia="es-ES" w:bidi="es-ES"/>
        </w:rPr>
        <w:t xml:space="preserve">, todos ellos de la ley 996 de 2005, ya que la fuerza vinculante de la sentencias emana directamente de estructura del Estado y de la autonomía conferida </w:t>
      </w:r>
      <w:r w:rsidRPr="00437C34">
        <w:rPr>
          <w:rFonts w:ascii="Verdana" w:eastAsia="Arial" w:hAnsi="Verdana" w:cs="Arial"/>
          <w:sz w:val="20"/>
          <w:lang w:eastAsia="es-ES" w:bidi="es-ES"/>
        </w:rPr>
        <w:t xml:space="preserve">al poder judicial”. (énfasis dentro del texto). </w:t>
      </w:r>
    </w:p>
    <w:p w14:paraId="177D966F" w14:textId="77777777" w:rsidR="006F012C" w:rsidRPr="00437C34" w:rsidRDefault="006F012C" w:rsidP="006F012C">
      <w:pPr>
        <w:spacing w:after="120" w:line="240" w:lineRule="auto"/>
        <w:ind w:firstLine="709"/>
        <w:jc w:val="both"/>
        <w:rPr>
          <w:rFonts w:ascii="Verdana" w:eastAsia="Arial" w:hAnsi="Verdana" w:cs="Arial"/>
          <w:lang w:eastAsia="es-ES" w:bidi="es-ES"/>
        </w:rPr>
      </w:pPr>
    </w:p>
    <w:p w14:paraId="4800EC3A" w14:textId="77777777" w:rsidR="006F012C" w:rsidRPr="00437C34" w:rsidRDefault="006F012C" w:rsidP="006F012C">
      <w:pPr>
        <w:spacing w:after="120" w:line="276" w:lineRule="auto"/>
        <w:ind w:firstLine="708"/>
        <w:jc w:val="both"/>
        <w:rPr>
          <w:rFonts w:ascii="Verdana" w:hAnsi="Verdana" w:cs="Arial"/>
          <w:lang w:val="es-ES"/>
        </w:rPr>
      </w:pPr>
      <w:r w:rsidRPr="00437C34">
        <w:rPr>
          <w:rFonts w:ascii="Verdana" w:hAnsi="Verdana" w:cs="Arial"/>
          <w:lang w:val="es-ES"/>
        </w:rPr>
        <w:t xml:space="preserve">El razonamiento de la Sala de Consulta y Servicio Civil del Consejo de Estado establece que las decisiones judiciales no se encuentran restringidas por las limitaciones de la Ley de Garantías Electorales. En consecuencia, es posible </w:t>
      </w:r>
      <w:r w:rsidRPr="00437C34">
        <w:rPr>
          <w:rFonts w:ascii="Verdana" w:hAnsi="Verdana" w:cs="Arial"/>
          <w:lang w:val="es-ES"/>
        </w:rPr>
        <w:lastRenderedPageBreak/>
        <w:t>que un juez ordene la suscripción de un contrato de manera directa, como ocurre con la contratación de un perito dentro de un proceso judicial. De tal manera, negar esta posibilidad significaría desconocer el principio de colaboración armónica entre poderes y, además, vulnerar el derecho fundamental de acceso a la justicia. Por ello, debe entenderse que el cumplimiento de órdenes judiciales se encuentra por fuera de los fines, límites y condiciones previstos en la Ley de Garantías Electorales, pues su naturaleza responde a la obligación constitucional de garantizar la efectividad de las decisiones judiciales y la protección de los derechos fundamentales.</w:t>
      </w:r>
    </w:p>
    <w:p w14:paraId="667346FB" w14:textId="77777777" w:rsidR="006F012C" w:rsidRPr="00437C34" w:rsidRDefault="006F012C" w:rsidP="006F012C">
      <w:pPr>
        <w:spacing w:after="120" w:line="276" w:lineRule="auto"/>
        <w:ind w:firstLine="709"/>
        <w:jc w:val="both"/>
        <w:rPr>
          <w:rFonts w:ascii="Verdana" w:eastAsia="Times New Roman" w:hAnsi="Verdana" w:cs="Arial"/>
          <w:bCs/>
          <w:lang w:val="es-ES" w:eastAsia="es-CO"/>
        </w:rPr>
      </w:pPr>
      <w:r w:rsidRPr="00437C34">
        <w:rPr>
          <w:rFonts w:ascii="Verdana" w:eastAsia="Arial" w:hAnsi="Verdana" w:cs="Arial"/>
          <w:lang w:val="es-ES" w:eastAsia="es-ES" w:bidi="es-ES"/>
        </w:rPr>
        <w:t>De igual manera, resulta pertinente traer a colación el pronunciamiento de la Sala de Consulta y Servicio Civil del Consejo de Estado</w:t>
      </w:r>
      <w:r w:rsidRPr="00437C34">
        <w:rPr>
          <w:rFonts w:ascii="Verdana" w:eastAsia="Arial" w:hAnsi="Verdana" w:cs="Arial"/>
          <w:vertAlign w:val="superscript"/>
          <w:lang w:val="es-ES" w:eastAsia="es-ES" w:bidi="es-ES"/>
        </w:rPr>
        <w:t xml:space="preserve"> </w:t>
      </w:r>
      <w:r w:rsidRPr="00437C34">
        <w:rPr>
          <w:rFonts w:ascii="Verdana" w:hAnsi="Verdana"/>
        </w:rPr>
        <w:t>en Concepto con Radicado 1736</w:t>
      </w:r>
      <w:r w:rsidRPr="00437C34">
        <w:rPr>
          <w:rFonts w:ascii="Verdana" w:eastAsia="Arial" w:hAnsi="Verdana" w:cs="Arial"/>
          <w:lang w:val="es-ES" w:eastAsia="es-ES" w:bidi="es-ES"/>
        </w:rPr>
        <w:t>, el cual, en un tema concerniente a las restricciones de la Ley de Garantías Electorales, expresa que si bien la seguridad social no está expresamente definida como derecho fundamental, adquiere ese carácter cuando su protección resulta necesaria para salvaguardar derechos esenciales como la vida, la dignidad o la integridad de las personas mayores, lo que hace imperativo mantener el programa de apoyo a ancianos indigentes mediante subsidio indirecto; por ello, el Administrador Fiduciario puede contratar directamente con los Centros de Bienestar del Adulto Mayor para asegurar la continuidad de los cupos asignados, y los alcaldes, a su vez, pueden celebrar estos mismos acuerdos en representación de sus municipios cuando administran recursos destinados a comunidades indígenas en resguardo, garantizando así la continuidad y eficacia de la protección estatal.</w:t>
      </w:r>
      <w:r w:rsidRPr="00437C34">
        <w:rPr>
          <w:rFonts w:ascii="Verdana" w:eastAsia="Times New Roman" w:hAnsi="Verdana" w:cs="Arial"/>
          <w:bCs/>
          <w:lang w:val="es-ES" w:eastAsia="es-CO"/>
        </w:rPr>
        <w:t xml:space="preserve"> </w:t>
      </w:r>
    </w:p>
    <w:p w14:paraId="6F770A2F" w14:textId="77777777" w:rsidR="006F012C" w:rsidRPr="00437C34" w:rsidRDefault="006F012C" w:rsidP="006F012C">
      <w:pPr>
        <w:spacing w:after="120" w:line="276" w:lineRule="auto"/>
        <w:ind w:firstLine="709"/>
        <w:jc w:val="both"/>
        <w:rPr>
          <w:rFonts w:ascii="Verdana" w:eastAsiaTheme="minorEastAsia" w:hAnsi="Verdana" w:cs="Arial"/>
          <w:lang w:eastAsia="es-CO"/>
        </w:rPr>
      </w:pPr>
      <w:r w:rsidRPr="00437C34">
        <w:rPr>
          <w:rFonts w:ascii="Verdana" w:hAnsi="Verdana" w:cs="Arial"/>
          <w:lang w:val="es-ES"/>
        </w:rPr>
        <w:t xml:space="preserve">En todo caso, la Agencia considera que la posibilidad de suscribir un convenio con fundamento en el artículo </w:t>
      </w:r>
      <w:r>
        <w:rPr>
          <w:rFonts w:ascii="Verdana" w:hAnsi="Verdana" w:cs="Arial"/>
          <w:lang w:val="es-ES"/>
        </w:rPr>
        <w:t>87</w:t>
      </w:r>
      <w:r w:rsidRPr="00437C34">
        <w:rPr>
          <w:rFonts w:ascii="Verdana" w:hAnsi="Verdana" w:cs="Arial"/>
          <w:lang w:val="es-ES"/>
        </w:rPr>
        <w:t xml:space="preserve"> de la Ley 2056 de 2020, dependerá del análisis particular que realice la entidad sobre la existencia de alguna de las excepciones establecidas en el artículo 33 de la Ley de Garantías Electorales, sin perjuicio de lo expresado por la Sala de Consulta y Servicio Civil del Consejo que se expuso previamente. </w:t>
      </w:r>
      <w:bookmarkEnd w:id="11"/>
    </w:p>
    <w:p w14:paraId="44CEA8B5" w14:textId="77777777" w:rsidR="006F012C" w:rsidRPr="00437C34" w:rsidRDefault="006F012C" w:rsidP="006F012C">
      <w:pPr>
        <w:spacing w:after="120" w:line="276" w:lineRule="auto"/>
        <w:jc w:val="both"/>
        <w:rPr>
          <w:rFonts w:ascii="Verdana" w:eastAsiaTheme="minorEastAsia" w:hAnsi="Verdana" w:cs="Arial"/>
          <w:lang w:eastAsia="es-CO"/>
        </w:rPr>
      </w:pPr>
      <w:r w:rsidRPr="00437C34">
        <w:rPr>
          <w:rFonts w:ascii="Verdana" w:eastAsia="Calibri" w:hAnsi="Verdana" w:cs="Arial"/>
          <w:bCs/>
          <w:iCs/>
          <w:lang w:val="es-ES" w:eastAsia="es-ES_tradnl"/>
        </w:rPr>
        <w:t xml:space="preserve">v. </w:t>
      </w:r>
      <w:r w:rsidRPr="00437C34">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w:t>
      </w:r>
      <w:r w:rsidRPr="00437C34">
        <w:rPr>
          <w:rFonts w:ascii="Verdana" w:eastAsia="Calibri" w:hAnsi="Verdana" w:cs="Arial"/>
          <w:bCs/>
          <w:color w:val="000000" w:themeColor="text1"/>
        </w:rPr>
        <w:lastRenderedPageBreak/>
        <w:t>correspondiente y, en caso de conflicto, a las autoridades judiciales, fiscales y disciplinarias.</w:t>
      </w:r>
    </w:p>
    <w:p w14:paraId="4B2115D8" w14:textId="51E46B61" w:rsidR="00F701C5" w:rsidRPr="00437C34" w:rsidRDefault="006F012C" w:rsidP="00763254">
      <w:pPr>
        <w:spacing w:after="0" w:line="276" w:lineRule="auto"/>
        <w:ind w:firstLine="708"/>
        <w:jc w:val="both"/>
        <w:rPr>
          <w:rFonts w:ascii="Verdana" w:eastAsia="Calibri" w:hAnsi="Verdana" w:cs="Arial"/>
          <w:bCs/>
          <w:color w:val="000000" w:themeColor="text1"/>
        </w:rPr>
      </w:pPr>
      <w:r w:rsidRPr="00437C34">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563F8908" w14:textId="77777777" w:rsidR="006F012C" w:rsidRPr="00F701C5" w:rsidRDefault="006F012C" w:rsidP="00763254">
      <w:pPr>
        <w:spacing w:after="0" w:line="276" w:lineRule="auto"/>
        <w:ind w:firstLine="708"/>
        <w:jc w:val="both"/>
        <w:rPr>
          <w:rFonts w:ascii="Verdana" w:eastAsia="Arial" w:hAnsi="Verdana" w:cs="Arial"/>
          <w:bCs/>
          <w:lang w:eastAsia="es-ES" w:bidi="es-ES"/>
        </w:rPr>
      </w:pPr>
    </w:p>
    <w:p w14:paraId="5E78CD66" w14:textId="77777777" w:rsidR="006F012C" w:rsidRPr="00F701C5" w:rsidRDefault="006F012C" w:rsidP="00F701C5">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F701C5">
        <w:rPr>
          <w:rFonts w:ascii="Verdana" w:eastAsia="Century Gothic" w:hAnsi="Verdana" w:cs="Century Gothic"/>
          <w:b/>
          <w:bCs/>
          <w:lang w:val="es-ES"/>
        </w:rPr>
        <w:t xml:space="preserve">Referencias normativas, jurisprudenciales y otras fuentes </w:t>
      </w:r>
    </w:p>
    <w:p w14:paraId="5B6CA58F" w14:textId="77777777" w:rsidR="006F012C" w:rsidRPr="00F701C5" w:rsidRDefault="006F012C" w:rsidP="00F701C5">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F012C" w:rsidRPr="00F701C5" w14:paraId="0E20CE67" w14:textId="77777777" w:rsidTr="004E205F">
        <w:trPr>
          <w:trHeight w:val="477"/>
          <w:jc w:val="center"/>
        </w:trPr>
        <w:tc>
          <w:tcPr>
            <w:tcW w:w="8647" w:type="dxa"/>
          </w:tcPr>
          <w:p w14:paraId="7218412D" w14:textId="77777777" w:rsidR="006F012C" w:rsidRPr="00F701C5" w:rsidRDefault="006F012C" w:rsidP="00763254">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sidRPr="00F701C5">
              <w:rPr>
                <w:rFonts w:ascii="Verdana" w:eastAsia="Arial MT" w:hAnsi="Verdana" w:cs="Arial"/>
                <w:lang w:eastAsia="es-ES" w:bidi="es-ES"/>
              </w:rPr>
              <w:t>Constitución Política: Artículo 127.</w:t>
            </w:r>
          </w:p>
          <w:p w14:paraId="27896092" w14:textId="77777777" w:rsidR="006F012C" w:rsidRPr="00F701C5" w:rsidRDefault="006F012C" w:rsidP="00763254">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sidRPr="00F701C5">
              <w:rPr>
                <w:rFonts w:ascii="Verdana" w:eastAsia="Arial MT" w:hAnsi="Verdana" w:cs="Arial"/>
                <w:bCs/>
                <w:lang w:val="es-ES" w:eastAsia="es-ES" w:bidi="es-ES"/>
              </w:rPr>
              <w:t>Ley 996 de 2005: artículos 33 y 38 parágrafo.</w:t>
            </w:r>
          </w:p>
          <w:p w14:paraId="5C4A9961" w14:textId="77777777" w:rsidR="006F012C" w:rsidRPr="00F701C5" w:rsidRDefault="006F012C" w:rsidP="00763254">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sidRPr="00F701C5">
              <w:rPr>
                <w:rFonts w:ascii="Verdana" w:eastAsia="Arial MT" w:hAnsi="Verdana" w:cs="Arial"/>
                <w:bCs/>
                <w:lang w:val="es-ES" w:eastAsia="es-ES" w:bidi="es-ES"/>
              </w:rPr>
              <w:t>Ley 2056 de 2020</w:t>
            </w:r>
          </w:p>
          <w:p w14:paraId="34EAFDFF"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Consejo de Estado. Sala de Consulta y Servicio Civil. Concepto de 20 de febrero de 2006. Radicado. 1727. C.P. Enrique José Arboleda Perdomo.</w:t>
            </w:r>
          </w:p>
          <w:p w14:paraId="361EFEB9"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 xml:space="preserve">Consejo de Estado. Sala de Consulta y Servicio Civil. Concepto de 6 de abril de 2006. Radicado. 1738. C.P. Enrique José Arboleda Perdomo. </w:t>
            </w:r>
          </w:p>
          <w:p w14:paraId="5E1EC5F0"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rPr>
            </w:pPr>
            <w:r w:rsidRPr="00F701C5">
              <w:rPr>
                <w:rFonts w:ascii="Verdana" w:eastAsia="Calibri" w:hAnsi="Verdana" w:cs="Arial"/>
              </w:rPr>
              <w:t xml:space="preserve">Consejo de Estado. Sala de Consulta y Servicio Civil. Concepto del 15 de noviembre de 2007. Rad. 1863. C.P. Luis Fernando Álvarez Jaramillo. </w:t>
            </w:r>
          </w:p>
          <w:p w14:paraId="5D9C7402"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 xml:space="preserve">Consejo de Estado, Sala de Consulta y Servicio Civil de fecha 24 de julio de 2013, Radicado 2166, C. P. Álvaro Namén Vargas.  </w:t>
            </w:r>
          </w:p>
          <w:p w14:paraId="561B592D"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 xml:space="preserve">Consejo de Estado. Sala de Consulta y Servicio Civil. Concepto del 2 de septiembre de 2013. Radicado: 2168. C.P. Álvaro Namén Vargas. </w:t>
            </w:r>
          </w:p>
          <w:p w14:paraId="7238F520"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Consejo de Estado. Sala de Consulta y Servicio Civil. Concepto del 08 de mayo de 2018. Radicado. 2.382. C.P. Álvaro Namén Vargas.</w:t>
            </w:r>
          </w:p>
        </w:tc>
      </w:tr>
    </w:tbl>
    <w:p w14:paraId="1B9B0FF9" w14:textId="77777777" w:rsidR="006F012C" w:rsidRPr="00F701C5" w:rsidRDefault="006F012C" w:rsidP="00F701C5">
      <w:pPr>
        <w:widowControl w:val="0"/>
        <w:autoSpaceDE w:val="0"/>
        <w:autoSpaceDN w:val="0"/>
        <w:spacing w:after="0" w:line="276" w:lineRule="auto"/>
        <w:jc w:val="both"/>
        <w:rPr>
          <w:rFonts w:ascii="Verdana" w:hAnsi="Verdana" w:cs="Arial"/>
          <w:lang w:val="pt-BR"/>
        </w:rPr>
      </w:pPr>
    </w:p>
    <w:p w14:paraId="26C09308" w14:textId="77777777" w:rsidR="006F012C" w:rsidRPr="00F701C5" w:rsidRDefault="006F012C" w:rsidP="00F701C5">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F701C5">
        <w:rPr>
          <w:rFonts w:ascii="Verdana" w:eastAsia="Century Gothic" w:hAnsi="Verdana" w:cs="Century Gothic"/>
          <w:b/>
          <w:bCs/>
          <w:lang w:val="es-ES"/>
        </w:rPr>
        <w:t>Doctrina de la Agencia Nacional de Contratación Pública:</w:t>
      </w:r>
    </w:p>
    <w:p w14:paraId="44D57000" w14:textId="77777777" w:rsidR="006F012C" w:rsidRPr="00F701C5" w:rsidRDefault="006F012C" w:rsidP="00F701C5">
      <w:pPr>
        <w:widowControl w:val="0"/>
        <w:autoSpaceDE w:val="0"/>
        <w:autoSpaceDN w:val="0"/>
        <w:spacing w:after="0" w:line="276" w:lineRule="auto"/>
        <w:jc w:val="both"/>
        <w:rPr>
          <w:rFonts w:ascii="Verdana" w:hAnsi="Verdana" w:cs="Arial"/>
        </w:rPr>
      </w:pPr>
    </w:p>
    <w:p w14:paraId="4B367E86" w14:textId="77777777" w:rsidR="006F012C" w:rsidRPr="00F701C5" w:rsidRDefault="006F012C" w:rsidP="00763254">
      <w:pPr>
        <w:widowControl w:val="0"/>
        <w:autoSpaceDE w:val="0"/>
        <w:autoSpaceDN w:val="0"/>
        <w:spacing w:after="0" w:line="276" w:lineRule="auto"/>
        <w:jc w:val="both"/>
        <w:rPr>
          <w:rFonts w:ascii="Verdana" w:hAnsi="Verdana" w:cs="Arial"/>
          <w:bCs/>
          <w:shd w:val="clear" w:color="auto" w:fill="FFFFFF"/>
        </w:rPr>
      </w:pPr>
      <w:r w:rsidRPr="00F701C5">
        <w:rPr>
          <w:rFonts w:ascii="Verdana" w:hAnsi="Verdana" w:cs="Arial"/>
          <w:shd w:val="clear" w:color="auto" w:fill="FFFFFF"/>
          <w:lang w:val="es-ES"/>
        </w:rPr>
        <w:t xml:space="preserve">Sobre la finalidad y propósito de la Ley de Garantías Electorales, la ANCP- CCE se ha pronunciado en los Conceptos 4201913000004536 de 17 de julio de 2019, 4201912000005556 del 12 de septiembre de 2019, 4201913000005175 del 13 </w:t>
      </w:r>
      <w:r w:rsidRPr="00F701C5">
        <w:rPr>
          <w:rFonts w:ascii="Verdana" w:hAnsi="Verdana" w:cs="Arial"/>
          <w:shd w:val="clear" w:color="auto" w:fill="FFFFFF"/>
          <w:lang w:val="es-ES"/>
        </w:rPr>
        <w:lastRenderedPageBreak/>
        <w:t xml:space="preserve">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 C-686 del 21 de diciembre de 2021, C-697 del 3 de enero de 2022, C-317 del 25 de abril de 2025, C-510 del 4 de junio de 2025, 646 del 26 de junio de 2025, C-957 del 23 de agosto de 2025, C-975 del 28 de agosto de 2025, C-1015 del 4 de septiembre de 2025, C-1096 del 28 de agosto de 2025, C-1170 del 16 de septiembre de 2025, C-1236 del 17 de octubre de 2025, C-1488 del 30 de octubre de 2025, entre otros. </w:t>
      </w:r>
      <w:r w:rsidRPr="00F701C5">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04A0C24F" w14:textId="77777777" w:rsidR="006F012C" w:rsidRPr="00F701C5" w:rsidRDefault="006F012C" w:rsidP="00763254">
      <w:pPr>
        <w:spacing w:after="0" w:line="276" w:lineRule="auto"/>
        <w:jc w:val="both"/>
        <w:rPr>
          <w:rFonts w:ascii="Verdana" w:eastAsia="Calibri" w:hAnsi="Verdana" w:cs="Times New Roman"/>
        </w:rPr>
      </w:pPr>
      <w:hyperlink r:id="rId17" w:history="1">
        <w:r w:rsidRPr="00F701C5">
          <w:rPr>
            <w:rFonts w:ascii="Verdana" w:eastAsia="Calibri" w:hAnsi="Verdana" w:cs="Times New Roman"/>
            <w:color w:val="0000FF"/>
            <w:u w:val="single"/>
            <w:lang w:val="es-ES"/>
          </w:rPr>
          <w:t>https://relatoria.colombiacompra.gov.co/busqueda/conceptos</w:t>
        </w:r>
      </w:hyperlink>
      <w:r w:rsidRPr="00F701C5">
        <w:rPr>
          <w:rFonts w:ascii="Verdana" w:eastAsia="Calibri" w:hAnsi="Verdana" w:cs="Times New Roman"/>
        </w:rPr>
        <w:t xml:space="preserve">. </w:t>
      </w:r>
    </w:p>
    <w:p w14:paraId="264B0C32" w14:textId="77777777" w:rsidR="006F012C" w:rsidRPr="00F701C5" w:rsidRDefault="006F012C" w:rsidP="00763254">
      <w:pPr>
        <w:widowControl w:val="0"/>
        <w:autoSpaceDE w:val="0"/>
        <w:autoSpaceDN w:val="0"/>
        <w:spacing w:after="0" w:line="276" w:lineRule="auto"/>
        <w:jc w:val="both"/>
        <w:rPr>
          <w:rFonts w:ascii="Verdana" w:eastAsia="Calibri" w:hAnsi="Verdana" w:cs="Arial"/>
          <w:color w:val="FF0000"/>
          <w:shd w:val="clear" w:color="auto" w:fill="FFFFFF"/>
          <w:lang w:val="es-ES_tradnl"/>
        </w:rPr>
      </w:pPr>
    </w:p>
    <w:p w14:paraId="281F962F" w14:textId="776C9287" w:rsidR="006F012C" w:rsidRDefault="006F012C" w:rsidP="00F701C5">
      <w:pPr>
        <w:spacing w:after="0" w:line="276" w:lineRule="auto"/>
        <w:jc w:val="both"/>
        <w:rPr>
          <w:rFonts w:ascii="Verdana" w:hAnsi="Verdana"/>
          <w:color w:val="0000FF"/>
          <w:u w:val="single"/>
        </w:rPr>
      </w:pPr>
      <w:r w:rsidRPr="00F701C5">
        <w:rPr>
          <w:rFonts w:ascii="Verdana" w:hAnsi="Verdana"/>
        </w:rPr>
        <w:t xml:space="preserve">La sostenibilidad no es una opción, es una obligación. Por ello, la Agencia Nacional de Contratación Pública –Colombia Compra Eficiente– te invita a realizar el </w:t>
      </w:r>
      <w:r w:rsidRPr="00F701C5">
        <w:rPr>
          <w:rFonts w:ascii="Verdana" w:hAnsi="Verdana"/>
          <w:b/>
          <w:bCs/>
        </w:rPr>
        <w:t>Curso de Contratación Pública Sostenible y Socialmente Responsable</w:t>
      </w:r>
      <w:r w:rsidRPr="00F701C5">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F701C5">
        <w:rPr>
          <w:rFonts w:ascii="Verdana" w:hAnsi="Verdana"/>
        </w:rPr>
        <w:br/>
      </w:r>
      <w:hyperlink r:id="rId18" w:tgtFrame="_new" w:history="1">
        <w:r w:rsidRPr="00F701C5">
          <w:rPr>
            <w:rFonts w:ascii="Verdana" w:hAnsi="Verdana"/>
            <w:color w:val="0000FF"/>
            <w:u w:val="single"/>
          </w:rPr>
          <w:t>https://formacionvirtual.colombiacompra.gov.co/mod/page/view.php?id=3718</w:t>
        </w:r>
      </w:hyperlink>
    </w:p>
    <w:p w14:paraId="1B3E4F4A" w14:textId="77777777" w:rsidR="00F701C5" w:rsidRPr="00F701C5" w:rsidRDefault="00F701C5" w:rsidP="00763254">
      <w:pPr>
        <w:spacing w:after="0" w:line="276" w:lineRule="auto"/>
        <w:jc w:val="both"/>
        <w:rPr>
          <w:rFonts w:ascii="Verdana" w:hAnsi="Verdana"/>
        </w:rPr>
      </w:pPr>
    </w:p>
    <w:p w14:paraId="5ED14F81"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De otro lado, te contamos que esta Agencia ha da un paso decisivo en la estandarización y modernización del </w:t>
      </w:r>
      <w:r w:rsidRPr="00F701C5">
        <w:rPr>
          <w:rFonts w:ascii="Verdana" w:hAnsi="Verdana"/>
          <w:b/>
          <w:bCs/>
        </w:rPr>
        <w:t>sector  social</w:t>
      </w:r>
      <w:r w:rsidRPr="00F701C5">
        <w:rPr>
          <w:rFonts w:ascii="Verdana" w:hAnsi="Verdana"/>
        </w:rPr>
        <w:t xml:space="preserve"> con la expedición de las </w:t>
      </w:r>
      <w:r w:rsidRPr="00F701C5">
        <w:rPr>
          <w:rFonts w:ascii="Verdana" w:hAnsi="Verdana"/>
          <w:b/>
          <w:bCs/>
        </w:rPr>
        <w:t>Resoluciones 539, 540, 541, 952 y 953 de 2025</w:t>
      </w:r>
      <w:r w:rsidRPr="00F701C5">
        <w:rPr>
          <w:rFonts w:ascii="Verdana" w:hAnsi="Verdana"/>
        </w:rPr>
        <w:t xml:space="preserve">, </w:t>
      </w:r>
      <w:r w:rsidRPr="00F701C5">
        <w:rPr>
          <w:rFonts w:ascii="Verdana" w:hAnsi="Verdana"/>
          <w:b/>
          <w:bCs/>
        </w:rPr>
        <w:t>mediante las cuales adoptó Documentos Tipo</w:t>
      </w:r>
      <w:r w:rsidRPr="00F701C5">
        <w:rPr>
          <w:rFonts w:ascii="Verdana" w:hAnsi="Verdana"/>
        </w:rPr>
        <w:t xml:space="preserve"> para las modalidades de selección de</w:t>
      </w:r>
      <w:r w:rsidRPr="00F701C5">
        <w:rPr>
          <w:rFonts w:ascii="Verdana" w:hAnsi="Verdana"/>
          <w:b/>
          <w:bCs/>
        </w:rPr>
        <w:t xml:space="preserve"> licitación pública (versión 2), selección abreviada de menor cuantía, mínima cuantía, consultoría e interventoría</w:t>
      </w:r>
      <w:r w:rsidRPr="00F701C5">
        <w:rPr>
          <w:rFonts w:ascii="Verdana" w:hAnsi="Verdana"/>
        </w:rPr>
        <w:t xml:space="preserve">, promoviendo procesos más transparentes, eficientes  competitivos y sostenibles en sectores estratégicos como educación, salud, cultura, recreación, deporte, institucional y vivienda. </w:t>
      </w:r>
      <w:r w:rsidRPr="00F701C5">
        <w:rPr>
          <w:rFonts w:ascii="Verdana" w:hAnsi="Verdana"/>
        </w:rPr>
        <w:lastRenderedPageBreak/>
        <w:t xml:space="preserve">Consulta y descarga los documentos aquí: </w:t>
      </w:r>
      <w:hyperlink r:id="rId19" w:tgtFrame="_new" w:history="1">
        <w:r w:rsidRPr="00F701C5">
          <w:rPr>
            <w:rFonts w:ascii="Verdana" w:hAnsi="Verdana"/>
            <w:color w:val="0000FF"/>
            <w:u w:val="single"/>
          </w:rPr>
          <w:t>https://www.colombiacompra.gov.co/normativa-y-relatoria/documentos-tipo</w:t>
        </w:r>
      </w:hyperlink>
    </w:p>
    <w:p w14:paraId="5350A8B5" w14:textId="77777777" w:rsidR="00F701C5" w:rsidRDefault="00F701C5" w:rsidP="00F701C5">
      <w:pPr>
        <w:spacing w:after="0" w:line="276" w:lineRule="auto"/>
        <w:jc w:val="both"/>
        <w:rPr>
          <w:rFonts w:ascii="Verdana" w:hAnsi="Verdana"/>
        </w:rPr>
      </w:pPr>
    </w:p>
    <w:p w14:paraId="1EE3FE2D" w14:textId="54EAEB45" w:rsidR="006F012C" w:rsidRPr="00F701C5" w:rsidRDefault="006F012C" w:rsidP="00763254">
      <w:pPr>
        <w:spacing w:after="0" w:line="276" w:lineRule="auto"/>
        <w:jc w:val="both"/>
        <w:rPr>
          <w:rFonts w:ascii="Verdana" w:hAnsi="Verdana"/>
          <w:color w:val="000000"/>
          <w:lang w:val="es-ES_tradnl"/>
        </w:rPr>
      </w:pPr>
      <w:r w:rsidRPr="00F701C5">
        <w:rPr>
          <w:rFonts w:ascii="Verdana" w:hAnsi="Verdana"/>
        </w:rPr>
        <w:t xml:space="preserve">Si quieres conocer más sobre la aplicación de Documentos Tipo puedes consultar la última versión de la </w:t>
      </w:r>
      <w:r w:rsidRPr="00F701C5">
        <w:rPr>
          <w:rFonts w:ascii="Verdana" w:hAnsi="Verdana"/>
          <w:b/>
          <w:bCs/>
        </w:rPr>
        <w:t>Guía para la comprensión e implementación de los Documentos Tipo de obra pública de infraestructura de transporte</w:t>
      </w:r>
      <w:r w:rsidRPr="00F701C5">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F701C5">
        <w:rPr>
          <w:rFonts w:ascii="Verdana" w:hAnsi="Verdana"/>
        </w:rPr>
        <w:br/>
      </w:r>
      <w:hyperlink r:id="rId20" w:tgtFrame="_new" w:history="1">
        <w:r w:rsidRPr="00F701C5">
          <w:rPr>
            <w:rFonts w:ascii="Verdana" w:hAnsi="Verdana"/>
            <w:color w:val="0000FF"/>
            <w:u w:val="single"/>
          </w:rPr>
          <w:t>https://www.colombiacompra.gov.co/archivos/manual/guia-para-la-comprension-e-implementacion-de-los-documentos-tipo-de-obra-publica-de-infraestructura-de-transporte-bajo-las-diferentes-modalidades-de-contratacion-vigentes</w:t>
        </w:r>
      </w:hyperlink>
    </w:p>
    <w:p w14:paraId="20180E62" w14:textId="77777777" w:rsidR="00F701C5" w:rsidRDefault="00F701C5" w:rsidP="00F701C5">
      <w:pPr>
        <w:spacing w:after="0" w:line="276" w:lineRule="auto"/>
        <w:jc w:val="both"/>
        <w:rPr>
          <w:rFonts w:ascii="Verdana" w:hAnsi="Verdana"/>
        </w:rPr>
      </w:pPr>
    </w:p>
    <w:p w14:paraId="2B9AD6EC" w14:textId="1DA00CCE" w:rsidR="006F012C" w:rsidRPr="00F701C5" w:rsidRDefault="006F012C" w:rsidP="00763254">
      <w:pPr>
        <w:spacing w:after="0" w:line="276" w:lineRule="auto"/>
        <w:jc w:val="both"/>
        <w:rPr>
          <w:rFonts w:ascii="Verdana" w:hAnsi="Verdana"/>
        </w:rPr>
      </w:pPr>
      <w:r w:rsidRPr="00F701C5">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6E33D5A7" w14:textId="77777777" w:rsidR="006F012C" w:rsidRPr="00F701C5" w:rsidRDefault="006F012C" w:rsidP="00763254">
      <w:pPr>
        <w:spacing w:after="0" w:line="276" w:lineRule="auto"/>
        <w:jc w:val="both"/>
        <w:rPr>
          <w:rFonts w:ascii="Verdana" w:hAnsi="Verdana"/>
        </w:rPr>
      </w:pPr>
    </w:p>
    <w:p w14:paraId="5598512A" w14:textId="77777777" w:rsidR="006F012C" w:rsidRPr="00F701C5" w:rsidRDefault="006F012C" w:rsidP="00763254">
      <w:pPr>
        <w:numPr>
          <w:ilvl w:val="0"/>
          <w:numId w:val="15"/>
        </w:numPr>
        <w:spacing w:after="0" w:line="276" w:lineRule="auto"/>
        <w:jc w:val="both"/>
        <w:rPr>
          <w:rFonts w:ascii="Verdana" w:eastAsia="Verdana" w:hAnsi="Verdana" w:cs="Verdana"/>
          <w:color w:val="4472C4" w:themeColor="accent1"/>
          <w:u w:val="single"/>
          <w:lang w:val="es-MX"/>
        </w:rPr>
      </w:pPr>
      <w:r w:rsidRPr="00F701C5">
        <w:rPr>
          <w:rFonts w:ascii="Verdana" w:eastAsia="Verdana" w:hAnsi="Verdana" w:cs="Verdana"/>
          <w:lang w:val="es-MX"/>
        </w:rPr>
        <w:t xml:space="preserve">Línea nacional gratuita o servicio a la ciudadanía (Mesa de servicio): </w:t>
      </w:r>
      <w:r w:rsidRPr="00F701C5">
        <w:rPr>
          <w:rFonts w:ascii="Verdana" w:hAnsi="Verdana"/>
          <w:color w:val="0000FF"/>
          <w:u w:val="single"/>
          <w:lang w:val="es-ES"/>
        </w:rPr>
        <w:t>01800 0520808</w:t>
      </w:r>
    </w:p>
    <w:p w14:paraId="4F6EAEDE" w14:textId="77777777" w:rsidR="006F012C" w:rsidRPr="00F701C5" w:rsidRDefault="006F012C" w:rsidP="00763254">
      <w:pPr>
        <w:numPr>
          <w:ilvl w:val="0"/>
          <w:numId w:val="15"/>
        </w:numPr>
        <w:spacing w:after="0" w:line="276" w:lineRule="auto"/>
        <w:rPr>
          <w:rFonts w:ascii="Verdana" w:eastAsia="Verdana" w:hAnsi="Verdana" w:cs="Verdana"/>
          <w:color w:val="4472C4" w:themeColor="accent1"/>
          <w:u w:val="single"/>
          <w:lang w:val="es-MX"/>
        </w:rPr>
      </w:pPr>
      <w:r w:rsidRPr="00F701C5">
        <w:rPr>
          <w:rFonts w:ascii="Verdana" w:eastAsia="Verdana" w:hAnsi="Verdana" w:cs="Verdana"/>
          <w:lang w:val="es-MX"/>
        </w:rPr>
        <w:t>Línea en Bogotá (Mesa de servicio):</w:t>
      </w:r>
      <w:r w:rsidRPr="00F701C5">
        <w:rPr>
          <w:rFonts w:ascii="Verdana" w:hAnsi="Verdana"/>
          <w:color w:val="0000FF"/>
          <w:u w:val="single"/>
          <w:lang w:val="es-ES"/>
        </w:rPr>
        <w:t>+57 601 7456788</w:t>
      </w:r>
    </w:p>
    <w:p w14:paraId="64376917" w14:textId="77777777" w:rsidR="006F012C" w:rsidRPr="00F701C5" w:rsidRDefault="006F012C" w:rsidP="00763254">
      <w:pPr>
        <w:numPr>
          <w:ilvl w:val="0"/>
          <w:numId w:val="15"/>
        </w:numPr>
        <w:spacing w:after="0" w:line="276" w:lineRule="auto"/>
        <w:rPr>
          <w:rFonts w:ascii="Verdana" w:eastAsia="Verdana" w:hAnsi="Verdana" w:cs="Verdana"/>
          <w:color w:val="0000FF"/>
          <w:u w:val="single"/>
          <w:lang w:val="es-MX"/>
        </w:rPr>
      </w:pPr>
      <w:r w:rsidRPr="00F701C5">
        <w:rPr>
          <w:rFonts w:ascii="Verdana" w:eastAsia="Verdana" w:hAnsi="Verdana" w:cs="Verdana"/>
          <w:lang w:val="es-MX"/>
        </w:rPr>
        <w:t xml:space="preserve">Correo de radicación de correspondencia: </w:t>
      </w:r>
      <w:hyperlink r:id="rId21" w:history="1">
        <w:r w:rsidRPr="00F701C5">
          <w:rPr>
            <w:rFonts w:ascii="Verdana" w:eastAsia="Verdana" w:hAnsi="Verdana" w:cs="Verdana"/>
            <w:color w:val="0000FF"/>
            <w:u w:val="single"/>
            <w:lang w:val="es-MX"/>
          </w:rPr>
          <w:t>ventanilladeradicacion@colombiacompra.gov.co</w:t>
        </w:r>
      </w:hyperlink>
    </w:p>
    <w:p w14:paraId="3CC78D85" w14:textId="77777777" w:rsidR="006F012C" w:rsidRPr="00F701C5" w:rsidRDefault="006F012C" w:rsidP="00763254">
      <w:pPr>
        <w:numPr>
          <w:ilvl w:val="0"/>
          <w:numId w:val="15"/>
        </w:numPr>
        <w:spacing w:after="0" w:line="276" w:lineRule="auto"/>
        <w:rPr>
          <w:rFonts w:ascii="Verdana" w:eastAsia="Verdana" w:hAnsi="Verdana" w:cs="Verdana"/>
          <w:color w:val="0000FF"/>
          <w:u w:val="single"/>
          <w:lang w:val="es-MX"/>
        </w:rPr>
      </w:pPr>
      <w:r w:rsidRPr="00F701C5">
        <w:rPr>
          <w:rFonts w:ascii="Verdana" w:eastAsia="Verdana" w:hAnsi="Verdana" w:cs="Verdana"/>
          <w:lang w:val="es-ES"/>
        </w:rPr>
        <w:t xml:space="preserve">Formulario web para PQRSD: </w:t>
      </w:r>
      <w:hyperlink r:id="rId22" w:history="1">
        <w:r w:rsidRPr="00F701C5">
          <w:rPr>
            <w:rFonts w:ascii="Verdana" w:eastAsia="Verdana" w:hAnsi="Verdana" w:cs="Verdana"/>
            <w:color w:val="0000FF"/>
            <w:u w:val="single"/>
            <w:lang w:val="es-MX"/>
          </w:rPr>
          <w:t>https://www.colombiacompra.gov.co/pqrsd/informacion-importante-antes-de-formular-una-pqrsd</w:t>
        </w:r>
      </w:hyperlink>
    </w:p>
    <w:p w14:paraId="4E8CEBF3" w14:textId="77777777" w:rsidR="006F012C" w:rsidRPr="00F701C5" w:rsidRDefault="006F012C" w:rsidP="00763254">
      <w:pPr>
        <w:spacing w:after="0" w:line="276" w:lineRule="auto"/>
        <w:ind w:left="720"/>
        <w:jc w:val="both"/>
        <w:rPr>
          <w:rFonts w:ascii="Verdana" w:hAnsi="Verdana"/>
        </w:rPr>
      </w:pPr>
    </w:p>
    <w:p w14:paraId="0F44B1CE" w14:textId="77777777" w:rsidR="006F012C" w:rsidRPr="00F701C5" w:rsidRDefault="006F012C" w:rsidP="00763254">
      <w:pPr>
        <w:spacing w:after="0" w:line="276" w:lineRule="auto"/>
        <w:rPr>
          <w:rFonts w:ascii="Verdana" w:hAnsi="Verdana"/>
        </w:rPr>
      </w:pPr>
      <w:r w:rsidRPr="00F701C5">
        <w:rPr>
          <w:rFonts w:ascii="Verdana" w:hAnsi="Verdana"/>
        </w:rPr>
        <w:t xml:space="preserve">Evalúa el servicio que ofrece la Agencia por el canal de atención de PQRSD en el siguiente </w:t>
      </w:r>
      <w:proofErr w:type="gramStart"/>
      <w:r w:rsidRPr="00F701C5">
        <w:rPr>
          <w:rFonts w:ascii="Verdana" w:hAnsi="Verdana"/>
        </w:rPr>
        <w:t>enlace :</w:t>
      </w:r>
      <w:proofErr w:type="gramEnd"/>
      <w:hyperlink r:id="rId23" w:tgtFrame="_blank" w:tooltip="https://forms.office.com/r/pphywvs2sz" w:history="1">
        <w:r w:rsidRPr="00F701C5">
          <w:rPr>
            <w:rFonts w:ascii="Verdana" w:hAnsi="Verdana"/>
            <w:color w:val="0000FF"/>
            <w:u w:val="single"/>
          </w:rPr>
          <w:t>https://forms.office.com/r/pPHyWVs2SZ</w:t>
        </w:r>
      </w:hyperlink>
      <w:r w:rsidRPr="00F701C5">
        <w:rPr>
          <w:rFonts w:ascii="Verdana" w:hAnsi="Verdana"/>
        </w:rPr>
        <w:t xml:space="preserve"> .¡Ayúdanos a mejorar porque el compromiso es de todos!</w:t>
      </w:r>
    </w:p>
    <w:p w14:paraId="5965EE39" w14:textId="77777777" w:rsidR="006F012C" w:rsidRPr="00F701C5" w:rsidRDefault="006F012C" w:rsidP="00763254">
      <w:pPr>
        <w:spacing w:after="0" w:line="276" w:lineRule="auto"/>
        <w:rPr>
          <w:rFonts w:ascii="Verdana" w:hAnsi="Verdana"/>
        </w:rPr>
      </w:pPr>
    </w:p>
    <w:p w14:paraId="3670D800"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Por último, lo invitamos a seguirnos en las redes sociales en las cuales se difunde información institucional: </w:t>
      </w:r>
    </w:p>
    <w:p w14:paraId="221B42EE" w14:textId="77777777" w:rsidR="006F012C" w:rsidRPr="00F701C5" w:rsidRDefault="006F012C" w:rsidP="00763254">
      <w:pPr>
        <w:spacing w:after="0" w:line="276" w:lineRule="auto"/>
        <w:jc w:val="both"/>
        <w:rPr>
          <w:rFonts w:ascii="Verdana" w:hAnsi="Verdana"/>
        </w:rPr>
      </w:pPr>
    </w:p>
    <w:p w14:paraId="0AE37084"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Twitter: </w:t>
      </w:r>
      <w:r w:rsidRPr="00F701C5">
        <w:rPr>
          <w:rFonts w:ascii="Verdana" w:hAnsi="Verdana"/>
          <w:color w:val="0000FF"/>
          <w:u w:val="single"/>
        </w:rPr>
        <w:t>@colombiacompra</w:t>
      </w:r>
      <w:r w:rsidRPr="00F701C5">
        <w:rPr>
          <w:rFonts w:ascii="Verdana" w:hAnsi="Verdana"/>
        </w:rPr>
        <w:t xml:space="preserve"> </w:t>
      </w:r>
    </w:p>
    <w:p w14:paraId="52603971"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Facebook: </w:t>
      </w:r>
      <w:proofErr w:type="spellStart"/>
      <w:r w:rsidRPr="00F701C5">
        <w:rPr>
          <w:rFonts w:ascii="Verdana" w:hAnsi="Verdana"/>
          <w:color w:val="0000FF"/>
          <w:u w:val="single"/>
        </w:rPr>
        <w:t>ColombiaCompraEficiente</w:t>
      </w:r>
      <w:proofErr w:type="spellEnd"/>
    </w:p>
    <w:p w14:paraId="50887473"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LinkedIn: </w:t>
      </w:r>
      <w:r w:rsidRPr="00F701C5">
        <w:rPr>
          <w:rFonts w:ascii="Verdana" w:hAnsi="Verdana"/>
          <w:color w:val="0000FF"/>
          <w:u w:val="single"/>
        </w:rPr>
        <w:t>Agencia Nacional de Contratación Pública - Colombia Compra Eficiente</w:t>
      </w:r>
      <w:r w:rsidRPr="00F701C5">
        <w:rPr>
          <w:rFonts w:ascii="Verdana" w:hAnsi="Verdana"/>
        </w:rPr>
        <w:t xml:space="preserve"> Instagram: </w:t>
      </w:r>
      <w:r w:rsidRPr="00F701C5">
        <w:rPr>
          <w:rFonts w:ascii="Verdana" w:hAnsi="Verdana"/>
          <w:color w:val="0000FF"/>
          <w:u w:val="single"/>
        </w:rPr>
        <w:t>@colombiacompraeficiente_cce</w:t>
      </w:r>
    </w:p>
    <w:p w14:paraId="1DE835CC" w14:textId="77777777" w:rsidR="006F012C" w:rsidRPr="00F701C5" w:rsidRDefault="006F012C" w:rsidP="00763254">
      <w:pPr>
        <w:widowControl w:val="0"/>
        <w:autoSpaceDE w:val="0"/>
        <w:autoSpaceDN w:val="0"/>
        <w:spacing w:after="0" w:line="276" w:lineRule="auto"/>
        <w:jc w:val="both"/>
        <w:rPr>
          <w:rFonts w:ascii="Verdana" w:hAnsi="Verdana" w:cs="Arial"/>
          <w:color w:val="FF0000"/>
          <w:shd w:val="clear" w:color="auto" w:fill="FFFFFF"/>
          <w:lang w:val="es-ES_tradnl"/>
        </w:rPr>
      </w:pPr>
      <w:r w:rsidRPr="00F701C5">
        <w:rPr>
          <w:rFonts w:ascii="Verdana" w:hAnsi="Verdana" w:cs="Arial"/>
          <w:color w:val="FF0000"/>
          <w:shd w:val="clear" w:color="auto" w:fill="FFFFFF"/>
          <w:lang w:val="es-ES_tradnl"/>
        </w:rPr>
        <w:t xml:space="preserve">              </w:t>
      </w:r>
    </w:p>
    <w:p w14:paraId="70649AAA" w14:textId="77777777" w:rsidR="006F012C" w:rsidRPr="00F701C5" w:rsidRDefault="006F012C" w:rsidP="00763254">
      <w:pPr>
        <w:widowControl w:val="0"/>
        <w:autoSpaceDE w:val="0"/>
        <w:autoSpaceDN w:val="0"/>
        <w:spacing w:after="0" w:line="276" w:lineRule="auto"/>
        <w:jc w:val="both"/>
        <w:rPr>
          <w:rFonts w:ascii="Verdana" w:hAnsi="Verdana" w:cs="Arial"/>
          <w:lang w:val="es-ES_tradnl"/>
        </w:rPr>
      </w:pPr>
      <w:r w:rsidRPr="00F701C5">
        <w:rPr>
          <w:rFonts w:ascii="Verdana" w:hAnsi="Verdana" w:cs="Arial"/>
        </w:rPr>
        <w:t xml:space="preserve">Este concepto tiene el alcance previsto en el artículo 28 del Código de Procedimiento Administrativo y de lo Contencioso Administrativo </w:t>
      </w:r>
      <w:r w:rsidRPr="00F701C5">
        <w:rPr>
          <w:rFonts w:ascii="Verdana" w:hAnsi="Verdana" w:cs="Arial"/>
          <w:lang w:val="es-ES_tradnl"/>
        </w:rPr>
        <w:t>y las expresiones aquí utilizadas con mayúscula inicial deben ser entendidas con el significado que les otorga el artículo 2.2.1.1.1.3.1. del Decreto 1082 de 2015.</w:t>
      </w:r>
    </w:p>
    <w:p w14:paraId="5E8E5781" w14:textId="77777777" w:rsidR="006F012C" w:rsidRPr="00F701C5" w:rsidRDefault="006F012C" w:rsidP="00763254">
      <w:pPr>
        <w:widowControl w:val="0"/>
        <w:autoSpaceDE w:val="0"/>
        <w:autoSpaceDN w:val="0"/>
        <w:spacing w:after="0" w:line="276" w:lineRule="auto"/>
        <w:jc w:val="both"/>
        <w:rPr>
          <w:rFonts w:ascii="Verdana" w:hAnsi="Verdana" w:cs="Arial"/>
        </w:rPr>
      </w:pPr>
    </w:p>
    <w:p w14:paraId="15BFD17F" w14:textId="77777777" w:rsidR="006F012C" w:rsidRPr="00F701C5" w:rsidRDefault="006F012C" w:rsidP="00763254">
      <w:pPr>
        <w:spacing w:after="0" w:line="276" w:lineRule="auto"/>
        <w:rPr>
          <w:rFonts w:ascii="Verdana" w:hAnsi="Verdana" w:cs="Arial"/>
          <w:lang w:eastAsia="es-CO"/>
        </w:rPr>
      </w:pPr>
      <w:r w:rsidRPr="00F701C5">
        <w:rPr>
          <w:rFonts w:ascii="Verdana" w:eastAsia="Times New Roman" w:hAnsi="Verdana" w:cs="Arial"/>
          <w:lang w:eastAsia="es-CO"/>
        </w:rPr>
        <w:t>Atentamente,</w:t>
      </w:r>
      <w:r w:rsidRPr="00F701C5">
        <w:rPr>
          <w:rFonts w:ascii="Verdana" w:hAnsi="Verdana" w:cs="Arial"/>
          <w:lang w:eastAsia="es-CO"/>
        </w:rPr>
        <w:t xml:space="preserve"> </w:t>
      </w:r>
    </w:p>
    <w:p w14:paraId="7AD4C29C" w14:textId="42F3A033" w:rsidR="006F012C" w:rsidRDefault="006F012C" w:rsidP="006F012C">
      <w:pPr>
        <w:spacing w:after="120" w:line="276" w:lineRule="auto"/>
        <w:contextualSpacing/>
        <w:jc w:val="both"/>
        <w:rPr>
          <w:rFonts w:ascii="Verdana" w:eastAsia="Calibri" w:hAnsi="Verdana" w:cs="Times New Roman"/>
          <w:noProof/>
          <w:color w:val="EE0000"/>
          <w14:ligatures w14:val="standardContextual"/>
        </w:rPr>
      </w:pPr>
    </w:p>
    <w:p w14:paraId="487E86C8" w14:textId="77777777" w:rsidR="00FC0A32" w:rsidRDefault="00FC0A32" w:rsidP="006F012C">
      <w:pPr>
        <w:spacing w:after="120" w:line="276" w:lineRule="auto"/>
        <w:contextualSpacing/>
        <w:jc w:val="both"/>
        <w:rPr>
          <w:rFonts w:ascii="Verdana" w:eastAsia="Calibri" w:hAnsi="Verdana" w:cs="Times New Roman"/>
          <w:noProof/>
          <w:color w:val="EE0000"/>
          <w14:ligatures w14:val="standardContextual"/>
        </w:rPr>
      </w:pPr>
    </w:p>
    <w:p w14:paraId="366D859C" w14:textId="22AB9434" w:rsidR="00FC0A32" w:rsidRPr="00182F6A" w:rsidRDefault="00FC0A32" w:rsidP="00FC0A32">
      <w:pPr>
        <w:spacing w:after="120" w:line="276" w:lineRule="auto"/>
        <w:contextualSpacing/>
        <w:jc w:val="center"/>
        <w:rPr>
          <w:rFonts w:ascii="Verdana" w:eastAsia="Aptos" w:hAnsi="Verdana" w:cs="Arial"/>
          <w:shd w:val="clear" w:color="auto" w:fill="FFFFFF"/>
          <w:lang w:val="es-ES"/>
        </w:rPr>
      </w:pPr>
      <w:r w:rsidRPr="002C3AD6">
        <w:rPr>
          <w:rFonts w:ascii="Century Gothic" w:hAnsi="Century Gothic"/>
          <w:noProof/>
        </w:rPr>
        <w:drawing>
          <wp:inline distT="0" distB="0" distL="0" distR="0" wp14:anchorId="2B616343" wp14:editId="5229C90C">
            <wp:extent cx="2867025" cy="1064274"/>
            <wp:effectExtent l="0" t="0" r="0" b="254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4"/>
                    <a:stretch>
                      <a:fillRect/>
                    </a:stretch>
                  </pic:blipFill>
                  <pic:spPr>
                    <a:xfrm>
                      <a:off x="0" y="0"/>
                      <a:ext cx="2881292" cy="1069570"/>
                    </a:xfrm>
                    <a:prstGeom prst="rect">
                      <a:avLst/>
                    </a:prstGeom>
                  </pic:spPr>
                </pic:pic>
              </a:graphicData>
            </a:graphic>
          </wp:inline>
        </w:drawing>
      </w:r>
    </w:p>
    <w:p w14:paraId="2DE9C4E6" w14:textId="77777777" w:rsidR="006F012C" w:rsidRPr="00182F6A" w:rsidRDefault="006F012C" w:rsidP="006F012C">
      <w:pPr>
        <w:spacing w:after="120" w:line="276" w:lineRule="auto"/>
        <w:contextualSpacing/>
        <w:jc w:val="both"/>
        <w:rPr>
          <w:rFonts w:ascii="Verdana" w:eastAsia="Aptos" w:hAnsi="Verdana" w:cs="Arial"/>
          <w:shd w:val="clear" w:color="auto" w:fill="FFFFFF"/>
          <w:lang w:val="es-ES"/>
        </w:rPr>
      </w:pPr>
    </w:p>
    <w:p w14:paraId="04E95CB2" w14:textId="77777777" w:rsidR="006F012C" w:rsidRPr="008278B1" w:rsidRDefault="006F012C" w:rsidP="00872D91">
      <w:pPr>
        <w:spacing w:after="0" w:line="276" w:lineRule="auto"/>
        <w:rPr>
          <w:rFonts w:ascii="Verdana" w:hAnsi="Verdana" w:cs="Arial"/>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F012C" w:rsidRPr="008278B1" w14:paraId="3A59B3E6" w14:textId="77777777" w:rsidTr="004E205F">
        <w:trPr>
          <w:trHeight w:val="315"/>
        </w:trPr>
        <w:tc>
          <w:tcPr>
            <w:tcW w:w="893" w:type="dxa"/>
            <w:vAlign w:val="center"/>
            <w:hideMark/>
          </w:tcPr>
          <w:p w14:paraId="0795DC41" w14:textId="77777777" w:rsidR="006F012C" w:rsidRPr="008278B1" w:rsidRDefault="006F012C" w:rsidP="004E205F">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B2F56F3" w14:textId="77777777" w:rsidR="006F012C" w:rsidRPr="00860461" w:rsidRDefault="006F012C" w:rsidP="004E205F">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022757A3" w14:textId="77777777" w:rsidR="006F012C" w:rsidRPr="00860461" w:rsidRDefault="006F012C" w:rsidP="004E205F">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6F012C" w:rsidRPr="00F84F36" w14:paraId="51D43F42" w14:textId="77777777" w:rsidTr="004E205F">
        <w:trPr>
          <w:trHeight w:val="330"/>
        </w:trPr>
        <w:tc>
          <w:tcPr>
            <w:tcW w:w="893" w:type="dxa"/>
            <w:vAlign w:val="center"/>
            <w:hideMark/>
          </w:tcPr>
          <w:p w14:paraId="1E57546D" w14:textId="77777777" w:rsidR="006F012C" w:rsidRPr="0025661F" w:rsidRDefault="006F012C" w:rsidP="004E205F">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74EAA39" w14:textId="77777777" w:rsidR="006F012C" w:rsidRPr="00D62D2E" w:rsidRDefault="006F012C" w:rsidP="004E205F">
            <w:pPr>
              <w:rPr>
                <w:rFonts w:ascii="Verdana" w:eastAsia="Times New Roman" w:hAnsi="Verdana" w:cs="Arial"/>
                <w:color w:val="000000" w:themeColor="text1"/>
                <w:sz w:val="16"/>
                <w:szCs w:val="16"/>
                <w:lang w:eastAsia="es-ES"/>
              </w:rPr>
            </w:pPr>
            <w:r w:rsidRPr="00D62D2E">
              <w:rPr>
                <w:rFonts w:ascii="Verdana" w:eastAsia="Times New Roman" w:hAnsi="Verdana" w:cs="Arial"/>
                <w:color w:val="000000" w:themeColor="text1"/>
                <w:sz w:val="16"/>
                <w:szCs w:val="16"/>
                <w:lang w:eastAsia="es-ES"/>
              </w:rPr>
              <w:t>Diana Lucia Saavedra</w:t>
            </w:r>
            <w:r>
              <w:rPr>
                <w:rFonts w:ascii="Verdana" w:eastAsia="Times New Roman" w:hAnsi="Verdana" w:cs="Arial"/>
                <w:color w:val="000000" w:themeColor="text1"/>
                <w:sz w:val="16"/>
                <w:szCs w:val="16"/>
                <w:lang w:eastAsia="es-ES"/>
              </w:rPr>
              <w:t xml:space="preserve"> Castañeda</w:t>
            </w:r>
          </w:p>
          <w:p w14:paraId="3FE51144" w14:textId="77777777" w:rsidR="006F012C" w:rsidRPr="0025661F" w:rsidRDefault="006F012C" w:rsidP="004E205F">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D62D2E">
              <w:rPr>
                <w:rFonts w:ascii="Verdana" w:hAnsi="Verdana" w:cs="Arial"/>
                <w:color w:val="000000" w:themeColor="text1"/>
                <w:sz w:val="16"/>
                <w:szCs w:val="16"/>
                <w:lang w:eastAsia="es-ES"/>
              </w:rPr>
              <w:t>Contratista de la Subdirección de Gestión Contractual</w:t>
            </w:r>
          </w:p>
        </w:tc>
      </w:tr>
      <w:tr w:rsidR="006F012C" w:rsidRPr="00F84F36" w14:paraId="3A853B2F" w14:textId="77777777" w:rsidTr="004E205F">
        <w:trPr>
          <w:trHeight w:val="300"/>
        </w:trPr>
        <w:tc>
          <w:tcPr>
            <w:tcW w:w="893" w:type="dxa"/>
            <w:vAlign w:val="center"/>
          </w:tcPr>
          <w:p w14:paraId="568BB3D9" w14:textId="77777777" w:rsidR="006F012C" w:rsidRPr="008278B1" w:rsidRDefault="006F012C" w:rsidP="004E205F">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87F62C0" w14:textId="77777777" w:rsidR="006F012C" w:rsidRPr="008278B1" w:rsidRDefault="006F012C" w:rsidP="004E205F">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59FC2E33" w14:textId="77777777" w:rsidR="006F012C" w:rsidRPr="008278B1" w:rsidRDefault="006F012C" w:rsidP="004E205F">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243C600E" w14:textId="77777777" w:rsidR="006F012C" w:rsidRDefault="006F012C" w:rsidP="006F012C">
      <w:pPr>
        <w:spacing w:after="0" w:line="240" w:lineRule="auto"/>
        <w:rPr>
          <w:rFonts w:ascii="Verdana" w:eastAsia="Geomanist Light" w:hAnsi="Verdana" w:cs="Arial"/>
          <w:color w:val="000000" w:themeColor="text1"/>
        </w:rPr>
      </w:pPr>
    </w:p>
    <w:bookmarkEnd w:id="0"/>
    <w:p w14:paraId="524A8F90" w14:textId="4F7C9A79" w:rsidR="006F012C" w:rsidRPr="0024624F" w:rsidRDefault="006F012C" w:rsidP="30821638">
      <w:pPr>
        <w:spacing w:after="0"/>
        <w:rPr>
          <w:rFonts w:ascii="Verdana" w:eastAsia="Verdana" w:hAnsi="Verdana" w:cs="Verdana"/>
        </w:rPr>
      </w:pPr>
    </w:p>
    <w:sectPr w:rsidR="006F012C" w:rsidRPr="0024624F" w:rsidSect="007C0C0F">
      <w:headerReference w:type="default" r:id="rId25"/>
      <w:footerReference w:type="default" r:id="rId2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C64A" w14:textId="77777777" w:rsidR="002B0705" w:rsidRDefault="002B0705" w:rsidP="004A1847">
      <w:pPr>
        <w:spacing w:after="0" w:line="240" w:lineRule="auto"/>
      </w:pPr>
      <w:r>
        <w:separator/>
      </w:r>
    </w:p>
  </w:endnote>
  <w:endnote w:type="continuationSeparator" w:id="0">
    <w:p w14:paraId="111417F0" w14:textId="77777777" w:rsidR="002B0705" w:rsidRDefault="002B070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Work Sans">
    <w:charset w:val="00"/>
    <w:family w:val="auto"/>
    <w:pitch w:val="variable"/>
    <w:sig w:usb0="A00000FF" w:usb1="5000E07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30552" w14:textId="77777777" w:rsidR="002B0705" w:rsidRDefault="002B0705" w:rsidP="004A1847">
      <w:pPr>
        <w:spacing w:after="0" w:line="240" w:lineRule="auto"/>
      </w:pPr>
      <w:r>
        <w:separator/>
      </w:r>
    </w:p>
  </w:footnote>
  <w:footnote w:type="continuationSeparator" w:id="0">
    <w:p w14:paraId="69FF12BE" w14:textId="77777777" w:rsidR="002B0705" w:rsidRDefault="002B0705" w:rsidP="004A1847">
      <w:pPr>
        <w:spacing w:after="0" w:line="240" w:lineRule="auto"/>
      </w:pPr>
      <w:r>
        <w:continuationSeparator/>
      </w:r>
    </w:p>
  </w:footnote>
  <w:footnote w:id="1">
    <w:p w14:paraId="65127004"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0F604084" w14:textId="77777777" w:rsidR="006F012C" w:rsidRPr="00763254" w:rsidRDefault="006F012C" w:rsidP="006F012C">
      <w:pPr>
        <w:pStyle w:val="Textonotapie"/>
        <w:ind w:firstLine="709"/>
        <w:jc w:val="both"/>
        <w:rPr>
          <w:rFonts w:ascii="Verdana" w:hAnsi="Verdana" w:cs="Arial"/>
          <w:sz w:val="14"/>
          <w:szCs w:val="14"/>
        </w:rPr>
      </w:pPr>
      <w:r w:rsidRPr="00763254">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2">
    <w:p w14:paraId="7A97D37A"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Gaceta del Congreso de la República No. 71 del 2005.</w:t>
      </w:r>
    </w:p>
  </w:footnote>
  <w:footnote w:id="3">
    <w:p w14:paraId="2D98F31F" w14:textId="77777777" w:rsidR="006F012C" w:rsidRPr="00763254" w:rsidRDefault="006F012C" w:rsidP="006F012C">
      <w:pPr>
        <w:pStyle w:val="Textonotapie"/>
        <w:ind w:firstLine="709"/>
        <w:jc w:val="both"/>
        <w:rPr>
          <w:rFonts w:ascii="Verdana" w:hAnsi="Verdana" w:cs="Arial"/>
          <w:sz w:val="14"/>
          <w:szCs w:val="14"/>
          <w:lang w:val="pt-BR"/>
        </w:rPr>
      </w:pPr>
      <w:r w:rsidRPr="00763254">
        <w:rPr>
          <w:rStyle w:val="Refdenotaalpie"/>
          <w:rFonts w:ascii="Verdana" w:hAnsi="Verdana" w:cs="Arial"/>
          <w:sz w:val="14"/>
          <w:szCs w:val="14"/>
        </w:rPr>
        <w:footnoteRef/>
      </w:r>
      <w:r w:rsidRPr="00763254">
        <w:rPr>
          <w:rFonts w:ascii="Verdana" w:hAnsi="Verdana" w:cs="Arial"/>
          <w:sz w:val="14"/>
          <w:szCs w:val="14"/>
          <w:lang w:val="pt-BR"/>
        </w:rPr>
        <w:t xml:space="preserve"> Corte Constitucional, Sentencia C- 1153 de 2005, M.P. Marco Gerardo Monroy Cabra.</w:t>
      </w:r>
    </w:p>
  </w:footnote>
  <w:footnote w:id="4">
    <w:p w14:paraId="5FB3B338" w14:textId="77777777" w:rsidR="006F012C" w:rsidRPr="00763254" w:rsidRDefault="006F012C" w:rsidP="006F012C">
      <w:pPr>
        <w:pStyle w:val="Textonotapie"/>
        <w:ind w:firstLine="709"/>
        <w:jc w:val="both"/>
        <w:rPr>
          <w:rFonts w:ascii="Verdana" w:hAnsi="Verdana" w:cs="Arial"/>
          <w:sz w:val="14"/>
          <w:szCs w:val="14"/>
          <w:lang w:val="pt-BR"/>
        </w:rPr>
      </w:pPr>
      <w:r w:rsidRPr="00763254">
        <w:rPr>
          <w:rStyle w:val="Refdenotaalpie"/>
          <w:rFonts w:ascii="Verdana" w:hAnsi="Verdana" w:cs="Arial"/>
          <w:sz w:val="14"/>
          <w:szCs w:val="14"/>
        </w:rPr>
        <w:footnoteRef/>
      </w:r>
      <w:r w:rsidRPr="00763254">
        <w:rPr>
          <w:rFonts w:ascii="Verdana" w:hAnsi="Verdana" w:cs="Arial"/>
          <w:sz w:val="14"/>
          <w:szCs w:val="14"/>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5">
    <w:p w14:paraId="0BEF45B6" w14:textId="77777777" w:rsidR="006F012C" w:rsidRPr="00763254" w:rsidRDefault="006F012C" w:rsidP="006F012C">
      <w:pPr>
        <w:pStyle w:val="Textonotapie"/>
        <w:ind w:firstLine="709"/>
        <w:jc w:val="both"/>
        <w:rPr>
          <w:rFonts w:ascii="Verdana" w:hAnsi="Verdana" w:cs="Arial"/>
          <w:sz w:val="14"/>
          <w:szCs w:val="14"/>
          <w:lang w:val="es-CO"/>
        </w:rPr>
      </w:pPr>
      <w:r w:rsidRPr="00763254">
        <w:rPr>
          <w:rStyle w:val="Refdenotaalpie"/>
          <w:rFonts w:ascii="Verdana" w:hAnsi="Verdana" w:cs="Arial"/>
          <w:sz w:val="14"/>
          <w:szCs w:val="14"/>
        </w:rPr>
        <w:footnoteRef/>
      </w:r>
      <w:r w:rsidRPr="00763254">
        <w:rPr>
          <w:rFonts w:ascii="Verdana" w:hAnsi="Verdana" w:cs="Arial"/>
          <w:sz w:val="14"/>
          <w:szCs w:val="14"/>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6">
    <w:p w14:paraId="75520CD6"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de fecha 24 de julio de 2013, radicado 2166, C. P. Álvaro Namén Vargas.  </w:t>
      </w:r>
    </w:p>
  </w:footnote>
  <w:footnote w:id="7">
    <w:p w14:paraId="67C37702" w14:textId="77777777" w:rsidR="006F012C" w:rsidRPr="00763254" w:rsidRDefault="006F012C" w:rsidP="006F012C">
      <w:pPr>
        <w:spacing w:after="0" w:line="240" w:lineRule="auto"/>
        <w:ind w:firstLine="709"/>
        <w:jc w:val="both"/>
        <w:rPr>
          <w:rFonts w:ascii="Verdana" w:eastAsia="Times New Roman"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w:t>
      </w:r>
      <w:bookmarkStart w:id="5" w:name="33"/>
      <w:r w:rsidRPr="00763254">
        <w:rPr>
          <w:rFonts w:ascii="Verdana" w:eastAsia="Calibri" w:hAnsi="Verdana" w:cs="Arial"/>
          <w:color w:val="000000"/>
          <w:sz w:val="14"/>
          <w:szCs w:val="14"/>
        </w:rPr>
        <w:t>“</w:t>
      </w:r>
      <w:r w:rsidRPr="00763254">
        <w:rPr>
          <w:rFonts w:ascii="Verdana" w:eastAsia="Times New Roman" w:hAnsi="Verdana" w:cs="Arial"/>
          <w:sz w:val="14"/>
          <w:szCs w:val="14"/>
        </w:rPr>
        <w:t>Artículo 33. Restricciones a la contratación pública.</w:t>
      </w:r>
      <w:bookmarkEnd w:id="5"/>
      <w:r w:rsidRPr="00763254">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50B97EF0" w14:textId="77777777" w:rsidR="006F012C" w:rsidRPr="00763254" w:rsidRDefault="006F012C" w:rsidP="006F012C">
      <w:pPr>
        <w:spacing w:after="0" w:line="240" w:lineRule="auto"/>
        <w:ind w:firstLine="709"/>
        <w:jc w:val="both"/>
        <w:rPr>
          <w:rFonts w:ascii="Verdana" w:eastAsia="Times New Roman" w:hAnsi="Verdana" w:cs="Arial"/>
          <w:sz w:val="14"/>
          <w:szCs w:val="14"/>
        </w:rPr>
      </w:pPr>
      <w:r w:rsidRPr="00763254">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763254">
        <w:rPr>
          <w:rFonts w:ascii="Verdana" w:eastAsia="Calibri" w:hAnsi="Verdana" w:cs="Arial"/>
          <w:color w:val="000000"/>
          <w:sz w:val="14"/>
          <w:szCs w:val="14"/>
        </w:rPr>
        <w:t>”</w:t>
      </w:r>
      <w:r w:rsidRPr="00763254">
        <w:rPr>
          <w:rFonts w:ascii="Verdana" w:eastAsia="Times New Roman" w:hAnsi="Verdana" w:cs="Arial"/>
          <w:sz w:val="14"/>
          <w:szCs w:val="14"/>
        </w:rPr>
        <w:t>.</w:t>
      </w:r>
    </w:p>
  </w:footnote>
  <w:footnote w:id="8">
    <w:p w14:paraId="774796A6" w14:textId="77777777" w:rsidR="006F012C" w:rsidRPr="00763254" w:rsidRDefault="006F012C" w:rsidP="006F012C">
      <w:pPr>
        <w:pStyle w:val="NormalWeb"/>
        <w:spacing w:before="0" w:beforeAutospacing="0" w:after="0" w:afterAutospacing="0"/>
        <w:ind w:firstLine="709"/>
        <w:jc w:val="both"/>
        <w:rPr>
          <w:rFonts w:ascii="Verdana" w:hAnsi="Verdana" w:cs="Arial"/>
          <w:sz w:val="14"/>
          <w:szCs w:val="14"/>
          <w:lang w:val="es-MX"/>
        </w:rPr>
      </w:pPr>
      <w:r w:rsidRPr="00763254">
        <w:rPr>
          <w:rStyle w:val="Refdenotaalpie"/>
          <w:rFonts w:ascii="Verdana" w:hAnsi="Verdana" w:cs="Arial"/>
          <w:sz w:val="14"/>
          <w:szCs w:val="14"/>
        </w:rPr>
        <w:footnoteRef/>
      </w:r>
      <w:r w:rsidRPr="00763254">
        <w:rPr>
          <w:rFonts w:ascii="Verdana" w:hAnsi="Verdana" w:cs="Arial"/>
          <w:sz w:val="14"/>
          <w:szCs w:val="14"/>
        </w:rPr>
        <w:t xml:space="preserve"> </w:t>
      </w:r>
      <w:bookmarkStart w:id="6" w:name="38"/>
      <w:r w:rsidRPr="00763254">
        <w:rPr>
          <w:rFonts w:ascii="Verdana" w:eastAsia="Calibri" w:hAnsi="Verdana" w:cs="Arial"/>
          <w:color w:val="000000"/>
          <w:sz w:val="14"/>
          <w:szCs w:val="14"/>
        </w:rPr>
        <w:t>“</w:t>
      </w:r>
      <w:r w:rsidRPr="00763254">
        <w:rPr>
          <w:rFonts w:ascii="Verdana" w:hAnsi="Verdana" w:cs="Arial"/>
          <w:sz w:val="14"/>
          <w:szCs w:val="14"/>
          <w:lang w:val="es-MX"/>
        </w:rPr>
        <w:t>Artículo 38. Prohibiciones para los servidores públicos. A los empleados del Estado les está prohibido:</w:t>
      </w:r>
      <w:bookmarkEnd w:id="6"/>
      <w:r w:rsidRPr="00763254">
        <w:rPr>
          <w:rFonts w:ascii="Verdana" w:hAnsi="Verdana" w:cs="Arial"/>
          <w:sz w:val="14"/>
          <w:szCs w:val="14"/>
          <w:lang w:val="es-MX"/>
        </w:rPr>
        <w:t xml:space="preserve"> […]</w:t>
      </w:r>
    </w:p>
    <w:p w14:paraId="106B59DD" w14:textId="77777777" w:rsidR="006F012C" w:rsidRPr="00763254" w:rsidRDefault="006F012C" w:rsidP="006F012C">
      <w:pPr>
        <w:pStyle w:val="NormalWeb"/>
        <w:spacing w:before="0" w:beforeAutospacing="0" w:after="0" w:afterAutospacing="0"/>
        <w:ind w:firstLine="709"/>
        <w:jc w:val="both"/>
        <w:rPr>
          <w:rFonts w:ascii="Verdana" w:hAnsi="Verdana" w:cs="Arial"/>
          <w:sz w:val="14"/>
          <w:szCs w:val="14"/>
          <w:lang w:val="es-MX"/>
        </w:rPr>
      </w:pPr>
      <w:r w:rsidRPr="00763254">
        <w:rPr>
          <w:rStyle w:val="baj"/>
          <w:rFonts w:ascii="Verdana" w:eastAsiaTheme="minorEastAsia" w:hAnsi="Verdana" w:cs="Arial"/>
          <w:sz w:val="14"/>
          <w:szCs w:val="14"/>
          <w:lang w:val="es-MX"/>
        </w:rPr>
        <w:t>Parágrafo.</w:t>
      </w:r>
      <w:r w:rsidRPr="00763254">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763254">
        <w:rPr>
          <w:rFonts w:ascii="Verdana" w:eastAsia="Calibri" w:hAnsi="Verdana" w:cs="Arial"/>
          <w:color w:val="000000"/>
          <w:sz w:val="14"/>
          <w:szCs w:val="14"/>
        </w:rPr>
        <w:t>”</w:t>
      </w:r>
      <w:r w:rsidRPr="00763254">
        <w:rPr>
          <w:rFonts w:ascii="Verdana" w:hAnsi="Verdana" w:cs="Arial"/>
          <w:sz w:val="14"/>
          <w:szCs w:val="14"/>
          <w:lang w:val="es-MX"/>
        </w:rPr>
        <w:t>.</w:t>
      </w:r>
    </w:p>
  </w:footnote>
  <w:footnote w:id="9">
    <w:p w14:paraId="01633AFF" w14:textId="77777777" w:rsidR="006F012C" w:rsidRPr="00763254" w:rsidRDefault="006F012C" w:rsidP="006F012C">
      <w:pPr>
        <w:pStyle w:val="Textonotapie"/>
        <w:ind w:firstLine="708"/>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Colombia Compra Eficiente. Circular Externa Única. Numeral 16.5. </w:t>
      </w:r>
    </w:p>
  </w:footnote>
  <w:footnote w:id="10">
    <w:p w14:paraId="56DAF598" w14:textId="77777777" w:rsidR="006F012C" w:rsidRPr="00763254" w:rsidRDefault="006F012C" w:rsidP="006F012C">
      <w:pPr>
        <w:spacing w:after="0" w:line="240" w:lineRule="auto"/>
        <w:ind w:left="100" w:right="244"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del 17 de febrero de 2015. C.P. William Zambrano Cetina. Radicación No. 11001-03-06-000-2015-00164-00(2269).</w:t>
      </w:r>
    </w:p>
  </w:footnote>
  <w:footnote w:id="11">
    <w:p w14:paraId="290CA176" w14:textId="77777777" w:rsidR="006F012C" w:rsidRPr="00763254" w:rsidRDefault="006F012C" w:rsidP="006F012C">
      <w:pPr>
        <w:pStyle w:val="Textonotapie"/>
        <w:ind w:right="51"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w:t>
      </w:r>
      <w:r w:rsidRPr="00763254">
        <w:rPr>
          <w:rFonts w:ascii="Verdana" w:hAnsi="Verdana" w:cs="Arial"/>
          <w:sz w:val="14"/>
          <w:szCs w:val="14"/>
          <w:lang w:val="es-ES"/>
        </w:rPr>
        <w:t xml:space="preserve">[25] </w:t>
      </w:r>
      <w:r w:rsidRPr="00763254">
        <w:rPr>
          <w:rFonts w:ascii="Verdana" w:hAnsi="Verdana" w:cs="Arial"/>
          <w:sz w:val="14"/>
          <w:szCs w:val="14"/>
        </w:rPr>
        <w:t>Cfr. Consejo de Estado. Sección Tercera. Sentencia de 3 de diciembre de 2007. Radicados: 24.715, 25.206, 25.409, 24.524, 27.834, 25.410, 26.105, 28.244, 31.447 -acumulados-“.</w:t>
      </w:r>
    </w:p>
  </w:footnote>
  <w:footnote w:id="12">
    <w:p w14:paraId="649AF79E" w14:textId="77777777" w:rsidR="006F012C" w:rsidRPr="00763254" w:rsidRDefault="006F012C" w:rsidP="006F012C">
      <w:pPr>
        <w:pStyle w:val="Textonotapie"/>
        <w:ind w:right="51"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w:t>
      </w:r>
      <w:r w:rsidRPr="00763254">
        <w:rPr>
          <w:rFonts w:ascii="Verdana" w:hAnsi="Verdana" w:cs="Arial"/>
          <w:sz w:val="14"/>
          <w:szCs w:val="14"/>
          <w:lang w:val="es-ES"/>
        </w:rPr>
        <w:t xml:space="preserve">[26] </w:t>
      </w:r>
      <w:r w:rsidRPr="00763254">
        <w:rPr>
          <w:rFonts w:ascii="Verdana" w:hAnsi="Verdana" w:cs="Arial"/>
          <w:sz w:val="14"/>
          <w:szCs w:val="14"/>
        </w:rPr>
        <w:t>Al respecto ver el concepto 1712 de 2 de febrero de 2006. Consejo de Estado Sala de Consulta y Servicio Civil”.</w:t>
      </w:r>
    </w:p>
  </w:footnote>
  <w:footnote w:id="13">
    <w:p w14:paraId="281A5ABE"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del 2 de septiembre de 2013. Radicación número: 11001-03-06-000-2013-00412-00 (2168). Consejero Ponente: Álvaro Namén Vargas.</w:t>
      </w:r>
    </w:p>
  </w:footnote>
  <w:footnote w:id="14">
    <w:p w14:paraId="1617E58C" w14:textId="77777777" w:rsidR="006F012C" w:rsidRPr="00763254" w:rsidRDefault="006F012C" w:rsidP="006F012C">
      <w:pPr>
        <w:pStyle w:val="Textonotapie"/>
        <w:ind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Fonts w:ascii="Verdana" w:hAnsi="Verdana" w:cs="Arial"/>
          <w:sz w:val="14"/>
          <w:szCs w:val="14"/>
        </w:rPr>
        <w:t xml:space="preserve"> </w:t>
      </w:r>
      <w:r w:rsidRPr="00763254">
        <w:rPr>
          <w:rFonts w:ascii="Verdana" w:hAnsi="Verdana" w:cs="Arial"/>
          <w:sz w:val="14"/>
          <w:szCs w:val="14"/>
          <w:lang w:val="es-ES"/>
        </w:rPr>
        <w:t xml:space="preserve">Artículo 2. </w:t>
      </w:r>
    </w:p>
  </w:footnote>
  <w:footnote w:id="15">
    <w:p w14:paraId="2DCDDA04" w14:textId="77777777" w:rsidR="006F012C" w:rsidRPr="00763254" w:rsidRDefault="006F012C" w:rsidP="006F012C">
      <w:pPr>
        <w:pStyle w:val="Textonotapie"/>
        <w:ind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Fonts w:ascii="Verdana" w:hAnsi="Verdana" w:cs="Arial"/>
          <w:sz w:val="14"/>
          <w:szCs w:val="14"/>
        </w:rPr>
        <w:t xml:space="preserve"> </w:t>
      </w:r>
      <w:r w:rsidRPr="00763254">
        <w:rPr>
          <w:rFonts w:ascii="Verdana" w:hAnsi="Verdana" w:cs="Arial"/>
          <w:i/>
          <w:sz w:val="14"/>
          <w:szCs w:val="14"/>
          <w:lang w:val="es-ES"/>
        </w:rPr>
        <w:t>Ídem</w:t>
      </w:r>
      <w:r w:rsidRPr="00763254">
        <w:rPr>
          <w:rFonts w:ascii="Verdana" w:hAnsi="Verdana" w:cs="Arial"/>
          <w:sz w:val="14"/>
          <w:szCs w:val="14"/>
          <w:lang w:val="es-ES"/>
        </w:rPr>
        <w:t>.</w:t>
      </w:r>
    </w:p>
  </w:footnote>
  <w:footnote w:id="16">
    <w:p w14:paraId="4D31A118" w14:textId="77777777" w:rsidR="006F012C" w:rsidRPr="00763254" w:rsidRDefault="006F012C" w:rsidP="006F012C">
      <w:pPr>
        <w:pStyle w:val="Textonotapie"/>
        <w:ind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Style w:val="Refdenotaalpie"/>
          <w:rFonts w:ascii="Verdana" w:hAnsi="Verdana" w:cs="Arial"/>
          <w:sz w:val="14"/>
          <w:szCs w:val="14"/>
        </w:rPr>
        <w:t xml:space="preserve"> </w:t>
      </w:r>
      <w:r w:rsidRPr="00763254">
        <w:rPr>
          <w:rFonts w:ascii="Verdana" w:hAnsi="Verdana" w:cs="Arial"/>
          <w:sz w:val="14"/>
          <w:szCs w:val="14"/>
          <w:lang w:val="es-ES"/>
        </w:rPr>
        <w:t xml:space="preserve">“[…] A este respecto, cabe recordar que el artículo 860 del Código de Comercio regula la licitación en el derecho privado”. </w:t>
      </w:r>
    </w:p>
  </w:footnote>
  <w:footnote w:id="17">
    <w:p w14:paraId="03FE072A" w14:textId="77777777" w:rsidR="006F012C" w:rsidRPr="00763254" w:rsidRDefault="006F012C" w:rsidP="006F012C">
      <w:pPr>
        <w:shd w:val="clear" w:color="auto" w:fill="FFFFFF"/>
        <w:spacing w:after="0" w:line="240" w:lineRule="auto"/>
        <w:ind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Style w:val="Refdenotaalpie"/>
          <w:rFonts w:ascii="Verdana" w:hAnsi="Verdana" w:cs="Arial"/>
          <w:sz w:val="14"/>
          <w:szCs w:val="14"/>
        </w:rPr>
        <w:t xml:space="preserve"> </w:t>
      </w:r>
      <w:r w:rsidRPr="00763254">
        <w:rPr>
          <w:rFonts w:ascii="Verdana" w:hAnsi="Verdana" w:cs="Arial"/>
          <w:sz w:val="14"/>
          <w:szCs w:val="14"/>
          <w:lang w:val="es-ES"/>
        </w:rPr>
        <w:t>Consejo de Estado. Sala de Consulta y Servicio Civil, Concepto de 8 de mayo de 2018. Radicación Número: 11001-03-06-000-2018-00095-00(2382). C.P. Álvaro Namén Vargas.</w:t>
      </w:r>
    </w:p>
  </w:footnote>
  <w:footnote w:id="18">
    <w:p w14:paraId="436589E2"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del 08 de mayo de 2018. Exp. 2.382. C.P. Álvaro Namén Vargas.</w:t>
      </w:r>
    </w:p>
  </w:footnote>
  <w:footnote w:id="19">
    <w:p w14:paraId="296782B6" w14:textId="77777777" w:rsidR="006F012C" w:rsidRPr="00763254" w:rsidRDefault="006F012C" w:rsidP="006F012C">
      <w:pPr>
        <w:pStyle w:val="Textonotapie"/>
        <w:ind w:firstLine="708"/>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Colombia Compra Eficiente. Circular Externa Única. Numeral 16.5. En este sentido, la Agencia ha expresado: “[…] las prórrogas, modificaciones o adiciones, y la cesión de los contratos suscritos antes del período de la campaña electoral, pueden realizarse en cualquier tiempo antes o después del comienzo de la aplicación de la Ley de Garantías, siempre y cuando el contrato se encuentre vigente y se observen las demás disposiciones conforme a las cuales deben realizarse dichas actuaciones”.</w:t>
      </w:r>
    </w:p>
  </w:footnote>
  <w:footnote w:id="20">
    <w:p w14:paraId="030E5145"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footnote>
  <w:footnote w:id="21">
    <w:p w14:paraId="57506CAD" w14:textId="77777777" w:rsidR="006F012C" w:rsidRPr="00763254" w:rsidRDefault="006F012C" w:rsidP="006F012C">
      <w:pPr>
        <w:spacing w:after="0" w:line="240" w:lineRule="auto"/>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22">
    <w:p w14:paraId="436613EC" w14:textId="77777777" w:rsidR="006F012C" w:rsidRPr="00763254" w:rsidRDefault="006F012C" w:rsidP="006F012C">
      <w:pPr>
        <w:pStyle w:val="Textonotapie"/>
        <w:ind w:right="51" w:firstLine="709"/>
        <w:jc w:val="both"/>
        <w:rPr>
          <w:rFonts w:ascii="Verdana" w:eastAsia="Times New Roman" w:hAnsi="Verdana" w:cs="Arial"/>
          <w:bCs/>
          <w:sz w:val="14"/>
          <w:szCs w:val="14"/>
          <w:lang w:eastAsia="x-none"/>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 6 de abril de 2006. Radicación Número: 11001-03-06-000-2006-00038-00 (1738). C.P. Enrique José Arboleda Perdomo:</w:t>
      </w:r>
      <w:r w:rsidRPr="00763254">
        <w:rPr>
          <w:rFonts w:ascii="Verdana" w:eastAsia="Times New Roman" w:hAnsi="Verdana" w:cs="Arial"/>
          <w:bCs/>
          <w:sz w:val="14"/>
          <w:szCs w:val="14"/>
          <w:lang w:eastAsia="x-none"/>
        </w:rPr>
        <w:t xml:space="preserve"> “</w:t>
      </w:r>
      <w:r w:rsidRPr="00763254">
        <w:rPr>
          <w:rFonts w:ascii="Verdana" w:hAnsi="Verdana" w:cs="Arial"/>
          <w:sz w:val="14"/>
          <w:szCs w:val="14"/>
        </w:rPr>
        <w:t>Si bien en el tema del concepto del que se extractaron 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763254">
        <w:rPr>
          <w:rFonts w:ascii="Verdana" w:eastAsia="Times New Roman" w:hAnsi="Verdana" w:cs="Arial"/>
          <w:bCs/>
          <w:sz w:val="14"/>
          <w:szCs w:val="14"/>
          <w:lang w:eastAsia="x-none"/>
        </w:rPr>
        <w:t>”.</w:t>
      </w:r>
    </w:p>
  </w:footnote>
  <w:footnote w:id="23">
    <w:p w14:paraId="3E1724DE" w14:textId="77777777" w:rsidR="006F012C" w:rsidRPr="00763254" w:rsidRDefault="006F012C" w:rsidP="006F012C">
      <w:pPr>
        <w:spacing w:after="0" w:line="240" w:lineRule="auto"/>
        <w:ind w:firstLine="708"/>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 6 de abril de 2006. Radicación Número: 11001-03-06-000-2006-00038-00(1738). Consejero Ponente: Enrique José Arboleda Perdomo. </w:t>
      </w:r>
    </w:p>
  </w:footnote>
  <w:footnote w:id="24">
    <w:p w14:paraId="18EE3437" w14:textId="77777777" w:rsidR="006F012C" w:rsidRPr="00763254" w:rsidRDefault="006F012C" w:rsidP="006F012C">
      <w:pPr>
        <w:pStyle w:val="Textonotapie"/>
        <w:ind w:right="51"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ídem.</w:t>
      </w:r>
    </w:p>
  </w:footnote>
  <w:footnote w:id="25">
    <w:p w14:paraId="0555D41D" w14:textId="77777777" w:rsidR="006F012C" w:rsidRPr="00763254" w:rsidRDefault="006F012C" w:rsidP="006F012C">
      <w:pPr>
        <w:pStyle w:val="Textonotapie"/>
        <w:ind w:right="51"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del 20 de febrero de 2006. Rad. 1727. C.P. Enrique José Arboleda Perdomo. </w:t>
      </w:r>
    </w:p>
  </w:footnote>
  <w:footnote w:id="26">
    <w:p w14:paraId="48B6FD81"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w:t>
      </w:r>
      <w:bookmarkStart w:id="13" w:name="_Hlk192533196"/>
      <w:r w:rsidRPr="00763254">
        <w:rPr>
          <w:rFonts w:ascii="Verdana" w:hAnsi="Verdana" w:cs="Arial"/>
          <w:sz w:val="14"/>
          <w:szCs w:val="14"/>
        </w:rPr>
        <w:t>Consejo de Estado. Sala de Consulta y Servicio Civil. Concepto del 15 de noviembre de 2007. Rad. 1863. C.P.: Luis Fernando Álvarez Jaramillo.</w:t>
      </w:r>
      <w:bookmarkEnd w:id="1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1060FF58" w:rsidR="008A446D" w:rsidRPr="00C925AC" w:rsidRDefault="008A446D"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1758954">
    <w:abstractNumId w:val="6"/>
  </w:num>
  <w:num w:numId="2" w16cid:durableId="2048991199">
    <w:abstractNumId w:val="1"/>
  </w:num>
  <w:num w:numId="3" w16cid:durableId="2038577288">
    <w:abstractNumId w:val="4"/>
  </w:num>
  <w:num w:numId="4" w16cid:durableId="14949500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2349401">
    <w:abstractNumId w:val="1"/>
  </w:num>
  <w:num w:numId="6" w16cid:durableId="1407342211">
    <w:abstractNumId w:val="13"/>
  </w:num>
  <w:num w:numId="7" w16cid:durableId="1981038280">
    <w:abstractNumId w:val="5"/>
  </w:num>
  <w:num w:numId="8" w16cid:durableId="1719014339">
    <w:abstractNumId w:val="12"/>
  </w:num>
  <w:num w:numId="9" w16cid:durableId="103421516">
    <w:abstractNumId w:val="7"/>
  </w:num>
  <w:num w:numId="10" w16cid:durableId="2004813308">
    <w:abstractNumId w:val="11"/>
  </w:num>
  <w:num w:numId="11" w16cid:durableId="1136263569">
    <w:abstractNumId w:val="8"/>
  </w:num>
  <w:num w:numId="12" w16cid:durableId="810366182">
    <w:abstractNumId w:val="0"/>
  </w:num>
  <w:num w:numId="13" w16cid:durableId="1170027264">
    <w:abstractNumId w:val="2"/>
  </w:num>
  <w:num w:numId="14" w16cid:durableId="749930079">
    <w:abstractNumId w:val="14"/>
  </w:num>
  <w:num w:numId="15" w16cid:durableId="679697212">
    <w:abstractNumId w:val="10"/>
  </w:num>
  <w:num w:numId="16" w16cid:durableId="1740202389">
    <w:abstractNumId w:val="3"/>
  </w:num>
  <w:num w:numId="17" w16cid:durableId="1209609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490D"/>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A3FB0"/>
    <w:rsid w:val="001E4177"/>
    <w:rsid w:val="001F0B24"/>
    <w:rsid w:val="001F7DC6"/>
    <w:rsid w:val="0022400B"/>
    <w:rsid w:val="002421BB"/>
    <w:rsid w:val="0025796E"/>
    <w:rsid w:val="002707A2"/>
    <w:rsid w:val="00292861"/>
    <w:rsid w:val="002951A0"/>
    <w:rsid w:val="002962BC"/>
    <w:rsid w:val="002A093D"/>
    <w:rsid w:val="002A0DD0"/>
    <w:rsid w:val="002A49AC"/>
    <w:rsid w:val="002A64FD"/>
    <w:rsid w:val="002B0705"/>
    <w:rsid w:val="002C7A84"/>
    <w:rsid w:val="002D009A"/>
    <w:rsid w:val="002E2BF8"/>
    <w:rsid w:val="002E4FD9"/>
    <w:rsid w:val="002F5FAA"/>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71170"/>
    <w:rsid w:val="004775F6"/>
    <w:rsid w:val="004A1847"/>
    <w:rsid w:val="004A305D"/>
    <w:rsid w:val="004E205F"/>
    <w:rsid w:val="004F21C4"/>
    <w:rsid w:val="004F685F"/>
    <w:rsid w:val="005566E8"/>
    <w:rsid w:val="00574867"/>
    <w:rsid w:val="00591460"/>
    <w:rsid w:val="005A65E0"/>
    <w:rsid w:val="005C3777"/>
    <w:rsid w:val="005C5CDC"/>
    <w:rsid w:val="005D476C"/>
    <w:rsid w:val="006200BF"/>
    <w:rsid w:val="00621901"/>
    <w:rsid w:val="006219F8"/>
    <w:rsid w:val="006302F7"/>
    <w:rsid w:val="00646B9F"/>
    <w:rsid w:val="00665D70"/>
    <w:rsid w:val="006900D9"/>
    <w:rsid w:val="006F012C"/>
    <w:rsid w:val="00706C16"/>
    <w:rsid w:val="007340C3"/>
    <w:rsid w:val="0075235A"/>
    <w:rsid w:val="00756841"/>
    <w:rsid w:val="00763254"/>
    <w:rsid w:val="007649AB"/>
    <w:rsid w:val="00771D0C"/>
    <w:rsid w:val="007833AC"/>
    <w:rsid w:val="007B268C"/>
    <w:rsid w:val="007B7171"/>
    <w:rsid w:val="007C0C0F"/>
    <w:rsid w:val="007C3DC2"/>
    <w:rsid w:val="007E5497"/>
    <w:rsid w:val="00806F5F"/>
    <w:rsid w:val="00820278"/>
    <w:rsid w:val="008258C9"/>
    <w:rsid w:val="0082761E"/>
    <w:rsid w:val="00844AE9"/>
    <w:rsid w:val="00867F95"/>
    <w:rsid w:val="00872D91"/>
    <w:rsid w:val="008843B6"/>
    <w:rsid w:val="00891928"/>
    <w:rsid w:val="008A446D"/>
    <w:rsid w:val="008B25F1"/>
    <w:rsid w:val="008D180B"/>
    <w:rsid w:val="008F0EA7"/>
    <w:rsid w:val="00923EEF"/>
    <w:rsid w:val="009419F9"/>
    <w:rsid w:val="0095685E"/>
    <w:rsid w:val="00961B09"/>
    <w:rsid w:val="00965334"/>
    <w:rsid w:val="0097093E"/>
    <w:rsid w:val="00982EA5"/>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E33A0"/>
    <w:rsid w:val="00AF59B8"/>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F1CB3"/>
    <w:rsid w:val="00D13AA8"/>
    <w:rsid w:val="00D32DDC"/>
    <w:rsid w:val="00D361FD"/>
    <w:rsid w:val="00D423A2"/>
    <w:rsid w:val="00D44E26"/>
    <w:rsid w:val="00D520D8"/>
    <w:rsid w:val="00D63AC2"/>
    <w:rsid w:val="00D7383B"/>
    <w:rsid w:val="00D7788A"/>
    <w:rsid w:val="00DA10B5"/>
    <w:rsid w:val="00DA231B"/>
    <w:rsid w:val="00DC39FC"/>
    <w:rsid w:val="00DD79FA"/>
    <w:rsid w:val="00DF5254"/>
    <w:rsid w:val="00E02524"/>
    <w:rsid w:val="00E16408"/>
    <w:rsid w:val="00E20894"/>
    <w:rsid w:val="00E245AB"/>
    <w:rsid w:val="00E2764C"/>
    <w:rsid w:val="00E27F2E"/>
    <w:rsid w:val="00E50AFE"/>
    <w:rsid w:val="00E75C92"/>
    <w:rsid w:val="00E771DC"/>
    <w:rsid w:val="00E80B85"/>
    <w:rsid w:val="00E8772A"/>
    <w:rsid w:val="00E90F6B"/>
    <w:rsid w:val="00E92C27"/>
    <w:rsid w:val="00EA0E3D"/>
    <w:rsid w:val="00EC38A7"/>
    <w:rsid w:val="00EE1AA8"/>
    <w:rsid w:val="00F23FEA"/>
    <w:rsid w:val="00F31EDC"/>
    <w:rsid w:val="00F462B3"/>
    <w:rsid w:val="00F47F6E"/>
    <w:rsid w:val="00F5664F"/>
    <w:rsid w:val="00F666C4"/>
    <w:rsid w:val="00F701C5"/>
    <w:rsid w:val="00F76AFC"/>
    <w:rsid w:val="00FA47C0"/>
    <w:rsid w:val="00FB5DD1"/>
    <w:rsid w:val="00FC0A32"/>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3440EBBB-6FE9-469C-9D91-77D1F658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6F01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6F012C"/>
    <w:pPr>
      <w:spacing w:line="240" w:lineRule="exact"/>
    </w:pPr>
    <w:rPr>
      <w:vertAlign w:val="superscript"/>
    </w:rPr>
  </w:style>
  <w:style w:type="character" w:customStyle="1" w:styleId="NormalWebCar">
    <w:name w:val="Normal (Web) Car"/>
    <w:link w:val="NormalWeb"/>
    <w:uiPriority w:val="99"/>
    <w:locked/>
    <w:rsid w:val="006F012C"/>
    <w:rPr>
      <w:rFonts w:ascii="Times New Roman" w:eastAsia="Times New Roman" w:hAnsi="Times New Roman" w:cs="Times New Roman"/>
      <w:sz w:val="24"/>
      <w:szCs w:val="24"/>
      <w:lang w:eastAsia="es-CO"/>
    </w:rPr>
  </w:style>
  <w:style w:type="character" w:customStyle="1" w:styleId="baj">
    <w:name w:val="b_aj"/>
    <w:basedOn w:val="Fuentedeprrafopredeter"/>
    <w:rsid w:val="006F012C"/>
  </w:style>
  <w:style w:type="character" w:styleId="Fuerte">
    <w:name w:val="Strong"/>
    <w:basedOn w:val="Fuentedeprrafopredeter"/>
    <w:uiPriority w:val="22"/>
    <w:qFormat/>
    <w:rsid w:val="00F701C5"/>
    <w:rPr>
      <w:b/>
      <w:bCs/>
    </w:rPr>
  </w:style>
  <w:style w:type="character" w:styleId="nfasis">
    <w:name w:val="Emphasis"/>
    <w:basedOn w:val="Fuentedeprrafopredeter"/>
    <w:uiPriority w:val="20"/>
    <w:qFormat/>
    <w:rsid w:val="00F70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2071365">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uncionpublica.gov.co/eva/gestornormativo/norma.php?i=18232" TargetMode="External"/><Relationship Id="rId18" Type="http://schemas.openxmlformats.org/officeDocument/2006/relationships/hyperlink" Target="https://formacionvirtual.colombiacompra.gov.co/mod/page/view.php?id=3718"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ventanilladeradicacion@colombiacompra.gov.co" TargetMode="External"/><Relationship Id="rId7" Type="http://schemas.openxmlformats.org/officeDocument/2006/relationships/webSettings" Target="webSettings.xml"/><Relationship Id="rId12" Type="http://schemas.openxmlformats.org/officeDocument/2006/relationships/hyperlink" Target="https://www.funcionpublica.gov.co/eva/gestornormativo/norma.php?i=1501" TargetMode="External"/><Relationship Id="rId17" Type="http://schemas.openxmlformats.org/officeDocument/2006/relationships/hyperlink" Target="https://relatoria.colombiacompra.gov.co/busqueda/concepto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uncionpublica.gov.co/eva/gestornormativo/norma.php?i=18232" TargetMode="External"/><Relationship Id="rId20"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rgiraldo1@gmail.com" TargetMode="External"/><Relationship Id="rId24"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www.funcionpublica.gov.co/eva/gestornormativo/norma.php?i=18232" TargetMode="External"/><Relationship Id="rId23" Type="http://schemas.openxmlformats.org/officeDocument/2006/relationships/hyperlink" Target="https://forms.office.com/r/pPHyWVs2SZ"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s://www.colombiacompra.gov.co/normativa-y-relatoria/documentos-tip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uncionpublica.gov.co/eva/gestornormativo/norma.php?i=18232" TargetMode="External"/><Relationship Id="rId22" Type="http://schemas.openxmlformats.org/officeDocument/2006/relationships/hyperlink" Target="https://www.colombiacompra.gov.co/pqrsd/informacion-importante-antes-de-formular-una-pqrsd"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C196FF2AF41514EBB935E2CF30B9437" ma:contentTypeVersion="3" ma:contentTypeDescription="Crear nuevo documento." ma:contentTypeScope="" ma:versionID="e5f6c34c979a99315e3f6de084ac7c09">
  <xsd:schema xmlns:xsd="http://www.w3.org/2001/XMLSchema" xmlns:xs="http://www.w3.org/2001/XMLSchema" xmlns:p="http://schemas.microsoft.com/office/2006/metadata/properties" xmlns:ns2="6e84f033-3d06-4253-91db-0196cb85bbfd" targetNamespace="http://schemas.microsoft.com/office/2006/metadata/properties" ma:root="true" ma:fieldsID="c8544dc9a0ffd9133b043ce74a9a3a06" ns2:_="">
    <xsd:import namespace="6e84f033-3d06-4253-91db-0196cb85bb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4f033-3d06-4253-91db-0196cb85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A5C15F8A-011C-4414-85BD-547D8E871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4f033-3d06-4253-91db-0196cb85b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29</Pages>
  <Words>10885</Words>
  <Characters>59873</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7</cp:revision>
  <cp:lastPrinted>2023-01-10T18:18:00Z</cp:lastPrinted>
  <dcterms:created xsi:type="dcterms:W3CDTF">2026-07-03T21:17:00Z</dcterms:created>
  <dcterms:modified xsi:type="dcterms:W3CDTF">2026-07-10T21:33:00Z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0x0101007C196FF2AF41514EBB935E2CF30B9437</vt:lpwstr>
  </property>
  <property fmtid="{D5CDD505-2E9C-101B-9397-08002B2CF9AE}" pid="3" name="MediaServiceImageTags">
    <vt:lpwstr/>
  </property>
</Properties>
</file>