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37242" w14:textId="5745C5A5" w:rsidR="00120B7E" w:rsidRPr="00120B7E" w:rsidRDefault="00120B7E" w:rsidP="00120B7E">
      <w:pPr>
        <w:spacing w:after="0"/>
        <w:jc w:val="both"/>
        <w:rPr>
          <w:rFonts w:ascii="Verdana" w:eastAsia="Verdana" w:hAnsi="Verdana" w:cs="Verdana"/>
        </w:rPr>
      </w:pPr>
      <w:bookmarkStart w:id="0" w:name="_Hlk143780582"/>
      <w:r w:rsidRPr="00120B7E">
        <w:rPr>
          <w:rFonts w:ascii="Verdana" w:eastAsia="Calibri" w:hAnsi="Verdana" w:cs="Arial"/>
          <w:b/>
          <w:bCs/>
          <w:kern w:val="2"/>
          <w:lang w:val="es-MX" w:eastAsia="es-ES_tradnl"/>
          <w14:ligatures w14:val="standardContextual"/>
        </w:rPr>
        <w:t xml:space="preserve">INALTERABILIDAD – Documentos Tipo – Alcance </w:t>
      </w:r>
    </w:p>
    <w:p w14:paraId="6FC31156" w14:textId="77777777" w:rsidR="00120B7E" w:rsidRPr="00120B7E" w:rsidRDefault="00120B7E" w:rsidP="00120B7E">
      <w:pPr>
        <w:spacing w:after="0" w:line="276" w:lineRule="auto"/>
        <w:jc w:val="both"/>
        <w:rPr>
          <w:rFonts w:ascii="Verdana" w:eastAsia="Calibri" w:hAnsi="Verdana" w:cs="Arial"/>
          <w:b/>
          <w:bCs/>
          <w:kern w:val="2"/>
          <w:lang w:val="es-MX" w:eastAsia="es-ES_tradnl"/>
          <w14:ligatures w14:val="standardContextual"/>
        </w:rPr>
      </w:pPr>
    </w:p>
    <w:p w14:paraId="79FF1CF3" w14:textId="012DD518" w:rsidR="000C2319" w:rsidRDefault="000C2319" w:rsidP="000F4F64">
      <w:pPr>
        <w:tabs>
          <w:tab w:val="center" w:pos="4419"/>
          <w:tab w:val="right" w:pos="8838"/>
        </w:tabs>
        <w:spacing w:after="0" w:line="240" w:lineRule="auto"/>
        <w:jc w:val="both"/>
        <w:rPr>
          <w:rFonts w:ascii="Verdana" w:eastAsia="Calibri" w:hAnsi="Verdana" w:cs="Arial"/>
          <w:color w:val="000000"/>
          <w:sz w:val="20"/>
          <w:szCs w:val="20"/>
          <w:lang w:val="es-ES"/>
        </w:rPr>
      </w:pPr>
      <w:r w:rsidRPr="000F4F64">
        <w:rPr>
          <w:rFonts w:ascii="Verdana" w:eastAsia="Calibri" w:hAnsi="Verdana" w:cs="Arial"/>
          <w:color w:val="000000"/>
          <w:sz w:val="20"/>
          <w:szCs w:val="20"/>
          <w:lang w:val="es-ES"/>
        </w:rPr>
        <w:t xml:space="preserve">Todas las resoluciones expedidas por la Agencia Nacional de Contratación Pública – Colombia Compra Eficiente, mediante las cuales se adoptaron los documentos tipo, consagran la regla de la inalterabilidad. Esta prohibición consiste en que las entidades estatales no pueden incluir o modificar en los </w:t>
      </w:r>
      <w:r w:rsidRPr="000F4F64">
        <w:rPr>
          <w:rFonts w:ascii="Verdana" w:eastAsia="Calibri" w:hAnsi="Verdana" w:cs="Arial"/>
          <w:i/>
          <w:iCs/>
          <w:color w:val="000000"/>
          <w:sz w:val="20"/>
          <w:szCs w:val="20"/>
          <w:lang w:val="es-ES"/>
        </w:rPr>
        <w:t>Documentos del Proceso</w:t>
      </w:r>
      <w:r w:rsidRPr="000F4F64">
        <w:rPr>
          <w:rFonts w:ascii="Verdana" w:eastAsia="Calibri" w:hAnsi="Verdana" w:cs="Arial"/>
          <w:color w:val="000000"/>
          <w:sz w:val="20"/>
          <w:szCs w:val="20"/>
          <w:lang w:val="es-ES"/>
        </w:rPr>
        <w:t xml:space="preserve"> las condiciones habilitantes, los factores técnicos y económicos de escogencia y los sistemas de ponderación distintos a los señalados en los documentos tipo. En consecuencia, las condiciones establecidas en los documentos tipo son de obligatorio cumplimiento para las entidades sometidas al Estatuto General de Contratación de la Administración Pública que adelanten procesos que deban regirse por su contenido, y no pueden variarse los requisitos fijados en ellos. Por lo tanto, las entidades estatales, al realizar sus procedimientos de selección, solo podrán modificarlos en los aspectos en que los documentos tipo lo permitan.</w:t>
      </w:r>
    </w:p>
    <w:p w14:paraId="40F4CCC5" w14:textId="77777777" w:rsidR="000F4F64" w:rsidRPr="000F4F64" w:rsidRDefault="000F4F64" w:rsidP="000F4F64">
      <w:pPr>
        <w:tabs>
          <w:tab w:val="center" w:pos="4419"/>
          <w:tab w:val="right" w:pos="8838"/>
        </w:tabs>
        <w:spacing w:after="0" w:line="240" w:lineRule="auto"/>
        <w:jc w:val="both"/>
        <w:rPr>
          <w:rFonts w:ascii="Verdana" w:eastAsia="Calibri" w:hAnsi="Verdana" w:cs="Arial"/>
          <w:color w:val="000000"/>
          <w:sz w:val="20"/>
          <w:szCs w:val="20"/>
          <w:lang w:val="es-ES"/>
        </w:rPr>
      </w:pPr>
    </w:p>
    <w:p w14:paraId="3BF30D98" w14:textId="4B068266" w:rsidR="00120B7E" w:rsidRPr="000F4F64" w:rsidRDefault="000C2319" w:rsidP="000F4F64">
      <w:pPr>
        <w:tabs>
          <w:tab w:val="center" w:pos="4419"/>
          <w:tab w:val="right" w:pos="8838"/>
        </w:tabs>
        <w:snapToGrid w:val="0"/>
        <w:spacing w:after="0" w:line="240" w:lineRule="auto"/>
        <w:jc w:val="both"/>
        <w:rPr>
          <w:rFonts w:ascii="Verdana" w:eastAsia="Calibri" w:hAnsi="Verdana" w:cs="Arial"/>
          <w:sz w:val="20"/>
          <w:szCs w:val="20"/>
          <w:lang w:val="es-ES_tradnl"/>
        </w:rPr>
      </w:pPr>
      <w:r w:rsidRPr="000F4F64">
        <w:rPr>
          <w:rFonts w:ascii="Verdana" w:eastAsia="Calibri" w:hAnsi="Verdana" w:cs="Arial"/>
          <w:sz w:val="20"/>
          <w:szCs w:val="20"/>
          <w:lang w:val="es-ES_tradnl"/>
        </w:rPr>
        <w:t xml:space="preserve">El fundamento legal vigente de la regla de la inalterabilidad está en el artículo 1 de la Ley 2022 de 2020, según el cual “(…) serán de obligatorio cumplimiento en la actividad contractual de todas las entidades sometidas al Estatuto General de Contratación de la Administración Pública”. Pero eso no significa que antes no rigiera, pues así también lo disponía el artículo 4 de la Ley 1882 de 2018. Por vía reglamentaria, también quedó consignado en su momento el carácter inmodificable de los pliegos tipo en el artículo 1 de los Decretos 342 de 2019, Decreto 2096 de 2019 y 594 de 2020, que adicionaron, respectivamente, los artículos 2.2.1.2.6.1.4, 2.2.1.2.6.2.3 y 2.2.1.2.6.3.4 al Decreto 1082 de 2015. En esta línea, las entidades públicas deberán sujetarse de forma irrestricta a las reglas establecidas en los documentos tipo, dispuestas en las diferentes resoluciones expedidas por la Agencia, por lo que no pueden hacer excepciones bajo una supuesta discrecionalidad a estas reglas que son obligatorias. </w:t>
      </w:r>
      <w:r w:rsidR="00120B7E" w:rsidRPr="000F4F64">
        <w:rPr>
          <w:rFonts w:ascii="Verdana" w:eastAsia="Calibri" w:hAnsi="Verdana" w:cs="Arial"/>
          <w:sz w:val="20"/>
          <w:szCs w:val="20"/>
          <w:lang w:val="es-ES_tradnl"/>
        </w:rPr>
        <w:t xml:space="preserve"> </w:t>
      </w:r>
    </w:p>
    <w:p w14:paraId="765D5868" w14:textId="77777777" w:rsidR="00120B7E" w:rsidRPr="00120B7E" w:rsidRDefault="00120B7E" w:rsidP="00120B7E">
      <w:pPr>
        <w:spacing w:after="0" w:line="276" w:lineRule="auto"/>
        <w:jc w:val="both"/>
        <w:rPr>
          <w:rFonts w:ascii="Verdana" w:eastAsia="Calibri" w:hAnsi="Verdana" w:cs="Arial"/>
          <w:b/>
          <w:bCs/>
          <w:kern w:val="2"/>
          <w:lang w:val="es-MX" w:eastAsia="es-ES_tradnl"/>
          <w14:ligatures w14:val="standardContextual"/>
        </w:rPr>
      </w:pPr>
    </w:p>
    <w:p w14:paraId="761585F7" w14:textId="77777777" w:rsidR="00120B7E" w:rsidRPr="00120B7E" w:rsidRDefault="00120B7E" w:rsidP="00120B7E">
      <w:pPr>
        <w:spacing w:after="0" w:line="276" w:lineRule="auto"/>
        <w:jc w:val="both"/>
        <w:rPr>
          <w:rFonts w:ascii="Verdana" w:eastAsia="Verdana" w:hAnsi="Verdana" w:cs="Verdana"/>
          <w:sz w:val="21"/>
          <w:szCs w:val="21"/>
        </w:rPr>
      </w:pPr>
      <w:r w:rsidRPr="00120B7E">
        <w:rPr>
          <w:rFonts w:ascii="Verdana" w:eastAsia="Calibri" w:hAnsi="Verdana" w:cs="Arial"/>
          <w:b/>
          <w:bCs/>
          <w:kern w:val="2"/>
          <w:lang w:val="es-MX" w:eastAsia="es-ES_tradnl"/>
          <w14:ligatures w14:val="standardContextual"/>
        </w:rPr>
        <w:t>DETERMINACIÓN DEL VALOR DEL CONTRATO – Etapa de planeación – Metodologías – Factores que inciden</w:t>
      </w:r>
    </w:p>
    <w:p w14:paraId="7AD5DC32" w14:textId="77777777" w:rsidR="000F4F64" w:rsidRPr="000F4F64" w:rsidRDefault="000F4F64" w:rsidP="000F4F64">
      <w:pPr>
        <w:spacing w:after="0" w:line="276" w:lineRule="auto"/>
        <w:jc w:val="both"/>
        <w:rPr>
          <w:rFonts w:ascii="Verdana" w:eastAsia="Calibri" w:hAnsi="Verdana" w:cs="Arial"/>
          <w:b/>
          <w:bCs/>
          <w:kern w:val="2"/>
          <w:lang w:val="es-MX" w:eastAsia="es-ES_tradnl"/>
          <w14:ligatures w14:val="standardContextual"/>
        </w:rPr>
      </w:pPr>
    </w:p>
    <w:p w14:paraId="3D83494B" w14:textId="2EDCC4C7" w:rsidR="00631501" w:rsidRDefault="00631501" w:rsidP="000F4F64">
      <w:pPr>
        <w:spacing w:after="0" w:line="240" w:lineRule="auto"/>
        <w:jc w:val="both"/>
        <w:rPr>
          <w:rFonts w:ascii="Verdana" w:eastAsia="Calibri" w:hAnsi="Verdana" w:cs="Arial"/>
          <w:bCs/>
          <w:sz w:val="20"/>
          <w:szCs w:val="20"/>
          <w:lang w:val="es-ES_tradnl"/>
        </w:rPr>
      </w:pPr>
      <w:r w:rsidRPr="000F4F64">
        <w:rPr>
          <w:rFonts w:ascii="Verdana" w:eastAsia="Calibri" w:hAnsi="Verdana" w:cs="Arial"/>
          <w:bCs/>
          <w:sz w:val="20"/>
          <w:szCs w:val="20"/>
          <w:lang w:val="es-ES_tradnl"/>
        </w:rPr>
        <w:t>Desde la etapa de planeación, en la fase precontractual, las entidades estatales deben calcular el presupuesto oficial, mediante la realización del análisis del sector –que incluye el estudio del mercado– y definir la metodología con la cual estructurarán el precio del contrato. Dicho de otro modo, hace parte de los estudios previos la definición del esquema que la entidad usará para estipular el precio. Tal metodología generalmente depende del tipo de contrato, pues hay algunas modalidades más comunes en los de obra pública; otras más utilizadas en los de prestación de servicios y otras más indicadas para los de concesión, por mencionar algunos ejemplos.</w:t>
      </w:r>
    </w:p>
    <w:p w14:paraId="7B6A62D3" w14:textId="77777777" w:rsidR="000F4F64" w:rsidRPr="000F4F64" w:rsidRDefault="000F4F64" w:rsidP="000F4F64">
      <w:pPr>
        <w:spacing w:after="0" w:line="240" w:lineRule="auto"/>
        <w:jc w:val="both"/>
        <w:rPr>
          <w:rFonts w:ascii="Verdana" w:eastAsia="Calibri" w:hAnsi="Verdana" w:cs="Arial"/>
          <w:bCs/>
          <w:sz w:val="20"/>
          <w:szCs w:val="20"/>
          <w:lang w:val="es-ES_tradnl"/>
        </w:rPr>
      </w:pPr>
    </w:p>
    <w:p w14:paraId="3A9A02D7" w14:textId="5524E133" w:rsidR="00120B7E" w:rsidRPr="00120B7E" w:rsidRDefault="00631501" w:rsidP="00631501">
      <w:pPr>
        <w:spacing w:after="0" w:line="240" w:lineRule="auto"/>
        <w:jc w:val="both"/>
        <w:rPr>
          <w:rFonts w:ascii="Verdana" w:eastAsia="Calibri" w:hAnsi="Verdana" w:cs="Arial"/>
          <w:sz w:val="20"/>
          <w:szCs w:val="20"/>
          <w:lang w:val="es-ES"/>
        </w:rPr>
      </w:pPr>
      <w:r w:rsidRPr="000F4F64">
        <w:rPr>
          <w:rFonts w:ascii="Verdana" w:eastAsia="Calibri" w:hAnsi="Verdana" w:cs="Arial"/>
          <w:sz w:val="20"/>
          <w:szCs w:val="20"/>
          <w:lang w:val="es-ES"/>
        </w:rPr>
        <w:t>No hay, pues, una sola metodología para pactar el precio y, en gran medida, la manera de hacerlo ha obedecido a la costumbre mercantil y a la influencia de disciplinas técnicas, como la ingeniería o la administración de empresas, en la contratación estatal. Dentro de tales esquemas de establecimiento del precio pueden citarse, entre otros: i) los precios unitarios –calculados de acuerdo con las unidades que componen el objeto del contrato–; ii) el precio global –que equivale al monto total, sin discriminar unidades–, y iii) la administración delegada de recursos –en la que se distinguen los costos de inversión de los honorarios del administrador–.</w:t>
      </w:r>
    </w:p>
    <w:p w14:paraId="416BD097" w14:textId="77777777" w:rsidR="00120B7E" w:rsidRPr="00120B7E" w:rsidRDefault="00120B7E" w:rsidP="00222662">
      <w:pPr>
        <w:spacing w:after="0" w:line="276" w:lineRule="auto"/>
        <w:rPr>
          <w:rFonts w:ascii="Verdana" w:eastAsia="Geomanist Light" w:hAnsi="Verdana" w:cs="Arial"/>
          <w:color w:val="000000"/>
          <w:kern w:val="2"/>
          <w:lang w:val="es-ES_tradnl"/>
          <w14:ligatures w14:val="standardContextual"/>
        </w:rPr>
      </w:pPr>
    </w:p>
    <w:p w14:paraId="602E0C91" w14:textId="77777777" w:rsidR="00120B7E" w:rsidRPr="00120B7E" w:rsidRDefault="00120B7E" w:rsidP="00120B7E">
      <w:pPr>
        <w:spacing w:after="0" w:line="276" w:lineRule="auto"/>
        <w:jc w:val="both"/>
        <w:rPr>
          <w:rFonts w:ascii="Verdana" w:eastAsia="Calibri" w:hAnsi="Verdana" w:cs="Arial"/>
          <w:b/>
          <w:kern w:val="2"/>
          <w:lang w:val="es-ES"/>
          <w14:ligatures w14:val="standardContextual"/>
        </w:rPr>
      </w:pPr>
      <w:r w:rsidRPr="00120B7E">
        <w:rPr>
          <w:rFonts w:ascii="Verdana" w:eastAsia="Calibri" w:hAnsi="Verdana" w:cs="Arial"/>
          <w:b/>
          <w:kern w:val="2"/>
          <w:lang w:val="es-ES"/>
          <w14:ligatures w14:val="standardContextual"/>
        </w:rPr>
        <w:t>VALOR ESTIMADO DEL CONTRATO – Precios unitarios – Precio global – Estudios previos – Modificación de la forma de pago – Documentos Tipo</w:t>
      </w:r>
    </w:p>
    <w:p w14:paraId="61A4FD1A" w14:textId="77777777" w:rsidR="00120B7E" w:rsidRPr="00120B7E" w:rsidRDefault="00120B7E" w:rsidP="00120B7E">
      <w:pPr>
        <w:spacing w:after="0" w:line="240" w:lineRule="auto"/>
        <w:jc w:val="both"/>
        <w:rPr>
          <w:rFonts w:ascii="Verdana" w:eastAsia="Calibri" w:hAnsi="Verdana" w:cs="Arial"/>
          <w:b/>
          <w:kern w:val="2"/>
          <w:lang w:val="es-ES"/>
          <w14:ligatures w14:val="standardContextual"/>
        </w:rPr>
      </w:pPr>
    </w:p>
    <w:p w14:paraId="506FAD20" w14:textId="77777777" w:rsidR="000F4F64" w:rsidRDefault="000F4F64" w:rsidP="009939B0">
      <w:pPr>
        <w:spacing w:after="0" w:line="240" w:lineRule="auto"/>
        <w:jc w:val="both"/>
        <w:rPr>
          <w:rFonts w:ascii="Verdana" w:eastAsia="Calibri" w:hAnsi="Verdana" w:cs="Arial"/>
          <w:bCs/>
          <w:color w:val="000000"/>
          <w:sz w:val="20"/>
          <w:szCs w:val="20"/>
          <w:lang w:val="es-ES_tradnl"/>
        </w:rPr>
      </w:pPr>
      <w:r w:rsidRPr="009939B0">
        <w:rPr>
          <w:rFonts w:ascii="Verdana" w:eastAsia="Calibri" w:hAnsi="Verdana" w:cs="Arial"/>
          <w:bCs/>
          <w:color w:val="000000"/>
          <w:sz w:val="20"/>
          <w:szCs w:val="20"/>
          <w:lang w:val="es-ES_tradnl"/>
        </w:rPr>
        <w:t xml:space="preserve">Respecto al valor estimado, la norma citada no establece de manera expresa que se deban incluir en los estudios y documentos previos la forma y el soporte de los cálculos en los contratos por precio global. </w:t>
      </w:r>
      <w:r w:rsidRPr="009939B0">
        <w:rPr>
          <w:rFonts w:ascii="Verdana" w:eastAsia="Calibri" w:hAnsi="Verdana" w:cs="Arial"/>
          <w:color w:val="000000"/>
          <w:sz w:val="20"/>
          <w:szCs w:val="20"/>
          <w:lang w:val="es-ES_tradnl"/>
        </w:rPr>
        <w:t xml:space="preserve">No obstante, las Entidades sí están obligadas a presentar el valor de la contratación y la justificación </w:t>
      </w:r>
      <w:r w:rsidRPr="009939B0">
        <w:rPr>
          <w:rFonts w:ascii="Verdana" w:eastAsia="Calibri" w:hAnsi="Verdana" w:cs="Arial"/>
          <w:bCs/>
          <w:color w:val="000000"/>
          <w:sz w:val="20"/>
          <w:szCs w:val="20"/>
          <w:lang w:val="es-ES_tradnl"/>
        </w:rPr>
        <w:t>de este</w:t>
      </w:r>
      <w:r w:rsidRPr="009939B0">
        <w:rPr>
          <w:rFonts w:ascii="Verdana" w:eastAsia="Calibri" w:hAnsi="Verdana" w:cs="Arial"/>
          <w:color w:val="000000"/>
          <w:sz w:val="20"/>
          <w:szCs w:val="20"/>
          <w:lang w:val="es-ES_tradnl"/>
        </w:rPr>
        <w:t>, para lo cual deberá informar los factores relevantes y metodología para la determinación del valor del contrato</w:t>
      </w:r>
      <w:r w:rsidRPr="009939B0">
        <w:rPr>
          <w:rFonts w:ascii="Verdana" w:eastAsia="Calibri" w:hAnsi="Verdana" w:cs="Arial"/>
          <w:bCs/>
          <w:color w:val="000000"/>
          <w:sz w:val="20"/>
          <w:szCs w:val="20"/>
          <w:lang w:val="es-ES_tradnl"/>
        </w:rPr>
        <w:t xml:space="preserve">, obligación predicable respecto de toda la contratación –no sometida a reserva–, de la que no están exentos los contratos con precio global. </w:t>
      </w:r>
    </w:p>
    <w:p w14:paraId="7AEDC05D" w14:textId="77777777" w:rsidR="009939B0" w:rsidRPr="009939B0" w:rsidRDefault="009939B0" w:rsidP="009939B0">
      <w:pPr>
        <w:spacing w:after="0" w:line="240" w:lineRule="auto"/>
        <w:jc w:val="both"/>
        <w:rPr>
          <w:rFonts w:ascii="Verdana" w:eastAsia="Calibri" w:hAnsi="Verdana" w:cs="Arial"/>
          <w:bCs/>
          <w:color w:val="000000"/>
          <w:sz w:val="20"/>
          <w:szCs w:val="20"/>
          <w:lang w:val="es-ES_tradnl"/>
        </w:rPr>
      </w:pPr>
    </w:p>
    <w:p w14:paraId="312DB03F" w14:textId="434ABD7F" w:rsidR="00120B7E" w:rsidRPr="009939B0" w:rsidRDefault="000F4F64" w:rsidP="009939B0">
      <w:pPr>
        <w:spacing w:after="0" w:line="240" w:lineRule="auto"/>
        <w:jc w:val="both"/>
        <w:rPr>
          <w:rFonts w:ascii="Verdana" w:eastAsia="Calibri" w:hAnsi="Verdana" w:cs="Arial"/>
          <w:sz w:val="20"/>
          <w:szCs w:val="20"/>
          <w:lang w:val="es-ES" w:eastAsia="es-ES"/>
        </w:rPr>
      </w:pPr>
      <w:r w:rsidRPr="009939B0">
        <w:rPr>
          <w:rFonts w:ascii="Verdana" w:eastAsia="Calibri" w:hAnsi="Verdana" w:cs="Arial"/>
          <w:bCs/>
          <w:color w:val="000000"/>
          <w:sz w:val="20"/>
          <w:szCs w:val="20"/>
          <w:lang w:val="es-ES_tradnl"/>
        </w:rPr>
        <w:t xml:space="preserve">La exigencia existe para los contratos a precios unitarios, </w:t>
      </w:r>
      <w:r w:rsidRPr="009939B0">
        <w:rPr>
          <w:rFonts w:ascii="Verdana" w:eastAsia="Calibri" w:hAnsi="Verdana" w:cs="Arial"/>
          <w:sz w:val="20"/>
          <w:szCs w:val="20"/>
          <w:lang w:val="es-ES" w:eastAsia="es-ES"/>
        </w:rPr>
        <w:t xml:space="preserve">pues lo usual es discriminar los </w:t>
      </w:r>
      <w:r w:rsidRPr="009939B0">
        <w:rPr>
          <w:rFonts w:ascii="Verdana" w:eastAsia="Calibri" w:hAnsi="Verdana" w:cs="Arial"/>
          <w:i/>
          <w:iCs/>
          <w:sz w:val="20"/>
          <w:szCs w:val="20"/>
          <w:lang w:val="es-ES" w:eastAsia="es-ES"/>
        </w:rPr>
        <w:t>costos directos</w:t>
      </w:r>
      <w:r w:rsidRPr="009939B0">
        <w:rPr>
          <w:rFonts w:ascii="Verdana" w:eastAsia="Calibri" w:hAnsi="Verdana" w:cs="Arial"/>
          <w:sz w:val="20"/>
          <w:szCs w:val="20"/>
          <w:lang w:val="es-ES" w:eastAsia="es-ES"/>
        </w:rPr>
        <w:t xml:space="preserve"> –es decir, los que están directamente implicados en la ejecución del objeto– de los </w:t>
      </w:r>
      <w:r w:rsidRPr="009939B0">
        <w:rPr>
          <w:rFonts w:ascii="Verdana" w:eastAsia="Calibri" w:hAnsi="Verdana" w:cs="Arial"/>
          <w:i/>
          <w:iCs/>
          <w:sz w:val="20"/>
          <w:szCs w:val="20"/>
          <w:lang w:val="es-ES" w:eastAsia="es-ES"/>
        </w:rPr>
        <w:t>costos indirectos</w:t>
      </w:r>
      <w:r w:rsidRPr="009939B0">
        <w:rPr>
          <w:rFonts w:ascii="Verdana" w:eastAsia="Calibri" w:hAnsi="Verdana" w:cs="Arial"/>
          <w:sz w:val="20"/>
          <w:szCs w:val="20"/>
          <w:lang w:val="es-ES" w:eastAsia="es-ES"/>
        </w:rPr>
        <w:t xml:space="preserve">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A diferencia de los precios globales que carecen de esta desagregación, mientras que los </w:t>
      </w:r>
      <w:r w:rsidRPr="009939B0">
        <w:rPr>
          <w:rFonts w:ascii="Verdana" w:eastAsia="Calibri" w:hAnsi="Verdana" w:cs="Arial"/>
          <w:i/>
          <w:iCs/>
          <w:sz w:val="20"/>
          <w:szCs w:val="20"/>
          <w:lang w:val="es-ES" w:eastAsia="es-ES"/>
        </w:rPr>
        <w:t>costos directos</w:t>
      </w:r>
      <w:r w:rsidRPr="009939B0">
        <w:rPr>
          <w:rFonts w:ascii="Verdana" w:eastAsia="Calibri" w:hAnsi="Verdana" w:cs="Arial"/>
          <w:sz w:val="20"/>
          <w:szCs w:val="20"/>
          <w:lang w:val="es-ES" w:eastAsia="es-ES"/>
        </w:rPr>
        <w:t xml:space="preserve"> se evidencian en el análisis de precios unitarios –APU–, como la sumatoria de los valores de los </w:t>
      </w:r>
      <w:r w:rsidRPr="009939B0">
        <w:rPr>
          <w:rFonts w:ascii="Verdana" w:eastAsia="Calibri" w:hAnsi="Verdana" w:cs="Arial"/>
          <w:i/>
          <w:iCs/>
          <w:sz w:val="20"/>
          <w:szCs w:val="20"/>
          <w:lang w:val="es-ES" w:eastAsia="es-ES"/>
        </w:rPr>
        <w:t>ítems</w:t>
      </w:r>
      <w:r w:rsidRPr="009939B0">
        <w:rPr>
          <w:rFonts w:ascii="Verdana" w:eastAsia="Calibri" w:hAnsi="Verdana" w:cs="Arial"/>
          <w:sz w:val="20"/>
          <w:szCs w:val="20"/>
          <w:lang w:val="es-ES" w:eastAsia="es-ES"/>
        </w:rPr>
        <w:t xml:space="preserve"> según su unidad de medida, los </w:t>
      </w:r>
      <w:r w:rsidRPr="009939B0">
        <w:rPr>
          <w:rFonts w:ascii="Verdana" w:eastAsia="Calibri" w:hAnsi="Verdana" w:cs="Arial"/>
          <w:i/>
          <w:iCs/>
          <w:sz w:val="20"/>
          <w:szCs w:val="20"/>
          <w:lang w:val="es-ES" w:eastAsia="es-ES"/>
        </w:rPr>
        <w:t>costos indirectos</w:t>
      </w:r>
      <w:r w:rsidRPr="009939B0">
        <w:rPr>
          <w:rFonts w:ascii="Verdana" w:eastAsia="Calibri" w:hAnsi="Verdana" w:cs="Arial"/>
          <w:sz w:val="20"/>
          <w:szCs w:val="20"/>
          <w:lang w:val="es-ES" w:eastAsia="es-ES"/>
        </w:rPr>
        <w:t xml:space="preserve"> se suelen abreviar en las variables que integran el acrónimo AIU –Administración, Imprevistos y Utilidad–.</w:t>
      </w:r>
    </w:p>
    <w:p w14:paraId="40CF1C74" w14:textId="77777777" w:rsidR="00120B7E" w:rsidRPr="009939B0" w:rsidRDefault="00120B7E" w:rsidP="009939B0">
      <w:pPr>
        <w:spacing w:after="0" w:line="240" w:lineRule="auto"/>
        <w:jc w:val="both"/>
        <w:rPr>
          <w:rFonts w:ascii="Verdana" w:eastAsia="Calibri" w:hAnsi="Verdana" w:cs="Arial"/>
          <w:sz w:val="20"/>
          <w:szCs w:val="20"/>
          <w:lang w:val="es-ES" w:eastAsia="es-ES"/>
        </w:rPr>
      </w:pPr>
      <w:r w:rsidRPr="009939B0">
        <w:rPr>
          <w:rFonts w:ascii="Verdana" w:eastAsia="Calibri" w:hAnsi="Verdana" w:cs="Arial"/>
          <w:sz w:val="20"/>
          <w:szCs w:val="20"/>
          <w:lang w:val="es-ES" w:eastAsia="es-ES"/>
        </w:rPr>
        <w:t>[…]</w:t>
      </w:r>
    </w:p>
    <w:p w14:paraId="1CCECA9E" w14:textId="77777777" w:rsidR="000F4F64" w:rsidRPr="009939B0" w:rsidRDefault="000F4F64" w:rsidP="009939B0">
      <w:pPr>
        <w:spacing w:after="0" w:line="240" w:lineRule="auto"/>
        <w:jc w:val="both"/>
        <w:rPr>
          <w:rFonts w:ascii="Verdana" w:eastAsia="Aptos" w:hAnsi="Verdana" w:cs="Arial"/>
          <w:kern w:val="2"/>
          <w:sz w:val="20"/>
          <w:szCs w:val="20"/>
          <w:lang w:val="es-ES" w:eastAsia="es-ES"/>
          <w14:ligatures w14:val="standardContextual"/>
        </w:rPr>
      </w:pPr>
      <w:r w:rsidRPr="009939B0">
        <w:rPr>
          <w:rFonts w:ascii="Verdana" w:eastAsia="Aptos" w:hAnsi="Verdana" w:cs="Arial"/>
          <w:kern w:val="2"/>
          <w:sz w:val="20"/>
          <w:szCs w:val="20"/>
          <w:lang w:val="es-ES" w:eastAsia="es-ES"/>
          <w14:ligatures w14:val="standardContextual"/>
        </w:rPr>
        <w:t>En consecuencia, tanto las entidades sometidas al Estatuto General de Contratación de la Administración Pública, como las excluidas de este –es decir, las que tienen un régimen especial– gozan de autonomía para configurar el precio y para establecer el sistema de pago más apropiado para satisfacer los fines de la contratación, respetando los límites previstos en el ordenamiento. Esta decisión debe obedecer a un juicioso análisis de oportunidad y conveniencia, que consulte las reglas de la experiencia, así como los aspectos particulares de cada negocio. Lo anterior en armonía con la garantía de los principios de la función administrativa y de la gestión fiscal, dentro de los cuales se halla el principio de economía, postulado que exige la optimización de los recursos públicos.</w:t>
      </w:r>
    </w:p>
    <w:p w14:paraId="228BDF16" w14:textId="77777777" w:rsidR="00120B7E" w:rsidRPr="00120B7E" w:rsidRDefault="00120B7E" w:rsidP="00120B7E">
      <w:pPr>
        <w:spacing w:after="0" w:line="240" w:lineRule="auto"/>
        <w:jc w:val="both"/>
        <w:rPr>
          <w:rFonts w:ascii="Verdana" w:eastAsia="Calibri" w:hAnsi="Verdana" w:cs="Arial"/>
          <w:sz w:val="20"/>
          <w:szCs w:val="20"/>
          <w:lang w:val="es-ES" w:eastAsia="es-ES"/>
        </w:rPr>
      </w:pPr>
    </w:p>
    <w:p w14:paraId="6AFA1F50" w14:textId="77777777" w:rsidR="00120B7E" w:rsidRPr="00120B7E" w:rsidRDefault="00120B7E" w:rsidP="00120B7E">
      <w:pPr>
        <w:spacing w:after="0" w:line="276" w:lineRule="auto"/>
        <w:jc w:val="both"/>
        <w:rPr>
          <w:rFonts w:ascii="Verdana" w:eastAsia="Calibri" w:hAnsi="Verdana" w:cs="Arial"/>
          <w:b/>
          <w:color w:val="000000"/>
          <w:kern w:val="2"/>
          <w:lang w:val="es-ES"/>
          <w14:ligatures w14:val="standardContextual"/>
        </w:rPr>
      </w:pPr>
    </w:p>
    <w:p w14:paraId="1890357A" w14:textId="77777777" w:rsidR="00120B7E" w:rsidRPr="00120B7E" w:rsidRDefault="00120B7E" w:rsidP="00120B7E">
      <w:pPr>
        <w:spacing w:after="0" w:line="240" w:lineRule="auto"/>
        <w:jc w:val="both"/>
        <w:rPr>
          <w:rFonts w:ascii="Verdana" w:eastAsia="Calibri" w:hAnsi="Verdana" w:cs="Arial"/>
          <w:iCs/>
          <w:color w:val="000000"/>
          <w:lang w:val="es-ES"/>
        </w:rPr>
      </w:pPr>
    </w:p>
    <w:p w14:paraId="6F605512" w14:textId="77777777" w:rsidR="00120B7E" w:rsidRPr="00120B7E" w:rsidRDefault="00120B7E" w:rsidP="00120B7E">
      <w:pPr>
        <w:spacing w:after="0" w:line="240" w:lineRule="auto"/>
        <w:jc w:val="both"/>
        <w:rPr>
          <w:rFonts w:ascii="Verdana" w:eastAsia="Calibri" w:hAnsi="Verdana" w:cs="Arial"/>
          <w:iCs/>
          <w:color w:val="000000"/>
          <w:lang w:val="es-ES"/>
        </w:rPr>
      </w:pPr>
    </w:p>
    <w:p w14:paraId="5DAC85E1" w14:textId="77777777" w:rsidR="00120B7E" w:rsidRPr="00120B7E" w:rsidRDefault="00120B7E" w:rsidP="00120B7E">
      <w:pPr>
        <w:spacing w:after="0" w:line="240" w:lineRule="auto"/>
        <w:jc w:val="both"/>
        <w:rPr>
          <w:rFonts w:ascii="Verdana" w:eastAsia="Calibri" w:hAnsi="Verdana" w:cs="Arial"/>
          <w:iCs/>
          <w:color w:val="000000"/>
          <w:lang w:val="es-ES"/>
        </w:rPr>
      </w:pPr>
    </w:p>
    <w:p w14:paraId="0B4D0D07" w14:textId="77777777" w:rsidR="00120B7E" w:rsidRPr="00120B7E" w:rsidRDefault="00120B7E" w:rsidP="00120B7E">
      <w:pPr>
        <w:spacing w:after="0" w:line="240" w:lineRule="auto"/>
        <w:rPr>
          <w:rFonts w:ascii="Verdana" w:eastAsia="Geomanist Light" w:hAnsi="Verdana" w:cs="Arial"/>
          <w:color w:val="000000"/>
          <w:lang w:val="es-MX"/>
        </w:rPr>
      </w:pPr>
    </w:p>
    <w:p w14:paraId="6CC75BF4" w14:textId="7E928966" w:rsidR="00120B7E" w:rsidRPr="00120B7E" w:rsidRDefault="00E55B69" w:rsidP="00E55B69">
      <w:pPr>
        <w:spacing w:after="0" w:line="240" w:lineRule="auto"/>
        <w:rPr>
          <w:rFonts w:ascii="Verdana" w:eastAsia="Calibri" w:hAnsi="Verdana" w:cs="Vrinda"/>
        </w:rPr>
      </w:pPr>
      <w:r w:rsidRPr="30821638">
        <w:rPr>
          <w:rFonts w:ascii="Verdana" w:eastAsia="Verdana" w:hAnsi="Verdana" w:cs="Verdana"/>
        </w:rPr>
        <w:t xml:space="preserve">Bogotá D.C., </w:t>
      </w:r>
      <w:r w:rsidR="0083390F">
        <w:rPr>
          <w:rFonts w:ascii="Verdana" w:eastAsia="Verdana" w:hAnsi="Verdana" w:cs="Verdana"/>
        </w:rPr>
        <w:t>03 Julio 2026</w:t>
      </w:r>
    </w:p>
    <w:p w14:paraId="6504629B" w14:textId="63277D36" w:rsidR="00E55B69" w:rsidRPr="00120B7E" w:rsidRDefault="0083390F" w:rsidP="0083390F">
      <w:pPr>
        <w:spacing w:after="0" w:line="240" w:lineRule="auto"/>
        <w:jc w:val="right"/>
        <w:rPr>
          <w:rFonts w:ascii="Verdana" w:eastAsia="Calibri" w:hAnsi="Verdana" w:cs="Vrinda"/>
        </w:rPr>
      </w:pPr>
      <w:r>
        <w:rPr>
          <w:rFonts w:ascii="Verdana" w:eastAsia="Calibri" w:hAnsi="Verdana" w:cs="Vrinda"/>
          <w:noProof/>
        </w:rPr>
        <w:drawing>
          <wp:inline distT="0" distB="0" distL="0" distR="0" wp14:anchorId="7CFB5AD4" wp14:editId="5901F5D6">
            <wp:extent cx="2295728" cy="640072"/>
            <wp:effectExtent l="0" t="0" r="3175" b="0"/>
            <wp:docPr id="15000436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43633" name="Imagen 1500043633"/>
                    <pic:cNvPicPr/>
                  </pic:nvPicPr>
                  <pic:blipFill>
                    <a:blip r:embed="rId10">
                      <a:extLst>
                        <a:ext uri="{28A0092B-C50C-407E-A947-70E740481C1C}">
                          <a14:useLocalDpi xmlns:a14="http://schemas.microsoft.com/office/drawing/2010/main" val="0"/>
                        </a:ext>
                      </a:extLst>
                    </a:blip>
                    <a:stretch>
                      <a:fillRect/>
                    </a:stretch>
                  </pic:blipFill>
                  <pic:spPr>
                    <a:xfrm>
                      <a:off x="0" y="0"/>
                      <a:ext cx="2305913" cy="642912"/>
                    </a:xfrm>
                    <a:prstGeom prst="rect">
                      <a:avLst/>
                    </a:prstGeom>
                  </pic:spPr>
                </pic:pic>
              </a:graphicData>
            </a:graphic>
          </wp:inline>
        </w:drawing>
      </w:r>
    </w:p>
    <w:p w14:paraId="523B7F1D" w14:textId="77777777" w:rsidR="00120B7E" w:rsidRPr="00120B7E" w:rsidRDefault="00120B7E" w:rsidP="00120B7E">
      <w:pPr>
        <w:spacing w:after="0" w:line="276" w:lineRule="auto"/>
        <w:rPr>
          <w:rFonts w:ascii="Verdana" w:eastAsia="Calibri" w:hAnsi="Verdana" w:cs="Arial"/>
          <w:lang w:val="es-ES" w:eastAsia="es-ES"/>
        </w:rPr>
      </w:pPr>
      <w:r w:rsidRPr="00120B7E">
        <w:rPr>
          <w:rFonts w:ascii="Verdana" w:eastAsia="Calibri" w:hAnsi="Verdana" w:cs="Arial"/>
          <w:lang w:val="es-ES" w:eastAsia="es-ES"/>
        </w:rPr>
        <w:t>Señor</w:t>
      </w:r>
    </w:p>
    <w:p w14:paraId="4F885766" w14:textId="77777777" w:rsidR="00120B7E" w:rsidRPr="00120B7E" w:rsidRDefault="00120B7E" w:rsidP="00120B7E">
      <w:pPr>
        <w:spacing w:after="0" w:line="276" w:lineRule="auto"/>
        <w:rPr>
          <w:rFonts w:ascii="Verdana" w:eastAsia="Times New Roman" w:hAnsi="Verdana" w:cs="Times New Roman"/>
          <w:b/>
          <w:bCs/>
          <w:color w:val="242424"/>
          <w:shd w:val="clear" w:color="auto" w:fill="FFFFFF"/>
          <w:lang w:eastAsia="es-MX"/>
        </w:rPr>
      </w:pPr>
      <w:r w:rsidRPr="00120B7E">
        <w:rPr>
          <w:rFonts w:ascii="Verdana" w:eastAsia="Times New Roman" w:hAnsi="Verdana" w:cs="Times New Roman"/>
          <w:b/>
          <w:bCs/>
          <w:color w:val="242424"/>
          <w:shd w:val="clear" w:color="auto" w:fill="FFFFFF"/>
          <w:lang w:eastAsia="es-MX"/>
        </w:rPr>
        <w:t>Libardo Orduña Amado</w:t>
      </w:r>
    </w:p>
    <w:p w14:paraId="3C8DB20E" w14:textId="77777777" w:rsidR="00120B7E" w:rsidRPr="00120B7E" w:rsidRDefault="00120B7E" w:rsidP="00120B7E">
      <w:pPr>
        <w:spacing w:after="0" w:line="276" w:lineRule="auto"/>
        <w:rPr>
          <w:rFonts w:ascii="Verdana" w:eastAsia="Times New Roman" w:hAnsi="Verdana" w:cs="Times New Roman"/>
          <w:color w:val="242424"/>
          <w:shd w:val="clear" w:color="auto" w:fill="FFFFFF"/>
          <w:lang w:eastAsia="es-MX"/>
        </w:rPr>
      </w:pPr>
      <w:r w:rsidRPr="00120B7E">
        <w:rPr>
          <w:rFonts w:ascii="Verdana" w:eastAsia="Times New Roman" w:hAnsi="Verdana" w:cs="Times New Roman"/>
          <w:color w:val="242424"/>
          <w:shd w:val="clear" w:color="auto" w:fill="FFFFFF"/>
          <w:lang w:eastAsia="es-MX"/>
        </w:rPr>
        <w:t>Secretario de Gobierno</w:t>
      </w:r>
    </w:p>
    <w:p w14:paraId="22F4A04D" w14:textId="77777777" w:rsidR="00120B7E" w:rsidRPr="00120B7E" w:rsidRDefault="00120B7E" w:rsidP="00120B7E">
      <w:pPr>
        <w:spacing w:after="0" w:line="276" w:lineRule="auto"/>
        <w:rPr>
          <w:rFonts w:ascii="Verdana" w:eastAsia="Times New Roman" w:hAnsi="Verdana" w:cs="Times New Roman"/>
          <w:color w:val="242424"/>
          <w:shd w:val="clear" w:color="auto" w:fill="FFFFFF"/>
          <w:lang w:eastAsia="es-MX"/>
        </w:rPr>
      </w:pPr>
      <w:r w:rsidRPr="00120B7E">
        <w:rPr>
          <w:rFonts w:ascii="Verdana" w:eastAsia="Times New Roman" w:hAnsi="Verdana" w:cs="Times New Roman"/>
          <w:color w:val="242424"/>
          <w:shd w:val="clear" w:color="auto" w:fill="FFFFFF"/>
          <w:lang w:eastAsia="es-MX"/>
        </w:rPr>
        <w:t>San Benito, Santander</w:t>
      </w:r>
    </w:p>
    <w:p w14:paraId="1DB65BF4" w14:textId="77777777" w:rsidR="00120B7E" w:rsidRPr="00120B7E" w:rsidRDefault="00120B7E" w:rsidP="00120B7E">
      <w:pPr>
        <w:spacing w:after="0" w:line="276" w:lineRule="auto"/>
        <w:rPr>
          <w:rFonts w:ascii="Verdana" w:eastAsia="Calibri" w:hAnsi="Verdana" w:cs="Arial"/>
          <w:b/>
          <w:bCs/>
          <w:color w:val="000000"/>
          <w:lang w:val="es-ES_tradnl" w:eastAsia="es-ES_tradnl"/>
        </w:rPr>
      </w:pPr>
    </w:p>
    <w:p w14:paraId="77F25908" w14:textId="77777777" w:rsidR="00120B7E" w:rsidRPr="00120B7E" w:rsidRDefault="00120B7E" w:rsidP="00120B7E">
      <w:pPr>
        <w:spacing w:after="0" w:line="276" w:lineRule="auto"/>
        <w:rPr>
          <w:rFonts w:ascii="Verdana" w:eastAsia="Calibri" w:hAnsi="Verdana" w:cs="Arial"/>
          <w:b/>
          <w:bCs/>
          <w:color w:val="000000"/>
          <w:lang w:val="es-ES_tradnl" w:eastAsia="es-ES_tradnl"/>
        </w:rPr>
      </w:pPr>
    </w:p>
    <w:p w14:paraId="274E8D5B" w14:textId="77777777" w:rsidR="00120B7E" w:rsidRPr="00120B7E" w:rsidRDefault="00120B7E" w:rsidP="00120B7E">
      <w:pPr>
        <w:spacing w:after="0" w:line="276" w:lineRule="auto"/>
        <w:rPr>
          <w:rFonts w:ascii="Verdana" w:eastAsia="Calibri" w:hAnsi="Verdana" w:cs="Arial"/>
          <w:b/>
          <w:bCs/>
          <w:color w:val="000000"/>
          <w:lang w:val="es-ES_tradnl" w:eastAsia="es-ES_tradnl"/>
        </w:rPr>
      </w:pP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120B7E" w:rsidRPr="00120B7E" w14:paraId="49441C3B" w14:textId="77777777" w:rsidTr="002C15D5">
        <w:trPr>
          <w:trHeight w:val="884"/>
        </w:trPr>
        <w:tc>
          <w:tcPr>
            <w:tcW w:w="2689" w:type="dxa"/>
          </w:tcPr>
          <w:p w14:paraId="0B91A2DF" w14:textId="77777777" w:rsidR="00120B7E" w:rsidRPr="00120B7E" w:rsidRDefault="00120B7E" w:rsidP="00120B7E">
            <w:pPr>
              <w:spacing w:line="276" w:lineRule="auto"/>
              <w:jc w:val="both"/>
              <w:rPr>
                <w:rFonts w:ascii="Verdana" w:eastAsia="Calibri" w:hAnsi="Verdana" w:cs="Arial"/>
                <w:b/>
                <w:bCs/>
                <w:color w:val="7030A0"/>
                <w:lang w:val="es-ES_tradnl" w:eastAsia="es-ES_tradnl"/>
              </w:rPr>
            </w:pPr>
          </w:p>
        </w:tc>
        <w:tc>
          <w:tcPr>
            <w:tcW w:w="6100" w:type="dxa"/>
          </w:tcPr>
          <w:p w14:paraId="6D21EB13" w14:textId="77777777" w:rsidR="00120B7E" w:rsidRPr="00120B7E" w:rsidRDefault="00120B7E" w:rsidP="00120B7E">
            <w:pPr>
              <w:spacing w:line="276" w:lineRule="auto"/>
              <w:jc w:val="both"/>
              <w:rPr>
                <w:rFonts w:ascii="Verdana" w:eastAsia="Calibri" w:hAnsi="Verdana" w:cs="Arial"/>
                <w:b/>
                <w:bCs/>
                <w:color w:val="7030A0"/>
                <w:lang w:val="es-ES" w:eastAsia="es-ES"/>
              </w:rPr>
            </w:pPr>
            <w:r w:rsidRPr="00120B7E">
              <w:rPr>
                <w:rFonts w:ascii="Verdana" w:eastAsia="Calibri" w:hAnsi="Verdana" w:cs="Arial"/>
                <w:b/>
                <w:bCs/>
                <w:lang w:val="es-ES" w:eastAsia="es-ES"/>
              </w:rPr>
              <w:t>Concepto C – 857 de 2026</w:t>
            </w:r>
          </w:p>
        </w:tc>
      </w:tr>
      <w:tr w:rsidR="00120B7E" w:rsidRPr="00120B7E" w14:paraId="1A19582D" w14:textId="77777777" w:rsidTr="002C15D5">
        <w:trPr>
          <w:trHeight w:val="884"/>
        </w:trPr>
        <w:tc>
          <w:tcPr>
            <w:tcW w:w="2689" w:type="dxa"/>
          </w:tcPr>
          <w:p w14:paraId="54FBE5AA" w14:textId="77777777" w:rsidR="00120B7E" w:rsidRPr="00120B7E" w:rsidRDefault="00120B7E" w:rsidP="00120B7E">
            <w:pPr>
              <w:spacing w:line="276" w:lineRule="auto"/>
              <w:jc w:val="both"/>
              <w:rPr>
                <w:rFonts w:ascii="Verdana" w:eastAsia="Calibri" w:hAnsi="Verdana" w:cs="Arial"/>
                <w:color w:val="000000"/>
                <w:lang w:val="es-ES_tradnl" w:eastAsia="es-ES_tradnl"/>
              </w:rPr>
            </w:pPr>
            <w:r w:rsidRPr="00120B7E">
              <w:rPr>
                <w:rFonts w:ascii="Verdana" w:eastAsia="Calibri" w:hAnsi="Verdana" w:cs="Arial"/>
                <w:b/>
                <w:color w:val="000000"/>
                <w:lang w:val="es-ES_tradnl" w:eastAsia="es-ES_tradnl"/>
              </w:rPr>
              <w:t>Temas:</w:t>
            </w:r>
            <w:r w:rsidRPr="00120B7E">
              <w:rPr>
                <w:rFonts w:ascii="Verdana" w:eastAsia="Calibri" w:hAnsi="Verdana" w:cs="Arial"/>
                <w:color w:val="000000"/>
                <w:lang w:val="es-ES_tradnl" w:eastAsia="es-ES_tradnl"/>
              </w:rPr>
              <w:t xml:space="preserve">                   </w:t>
            </w:r>
          </w:p>
        </w:tc>
        <w:tc>
          <w:tcPr>
            <w:tcW w:w="6100" w:type="dxa"/>
          </w:tcPr>
          <w:p w14:paraId="5EA6899E" w14:textId="77777777" w:rsidR="00120B7E" w:rsidRPr="00120B7E" w:rsidRDefault="00120B7E" w:rsidP="00120B7E">
            <w:pPr>
              <w:spacing w:line="276" w:lineRule="auto"/>
              <w:jc w:val="both"/>
              <w:rPr>
                <w:rFonts w:ascii="Verdana" w:eastAsia="Calibri" w:hAnsi="Verdana" w:cs="Arial"/>
                <w:b/>
                <w:lang w:val="es-ES"/>
              </w:rPr>
            </w:pPr>
            <w:r w:rsidRPr="00120B7E">
              <w:rPr>
                <w:rFonts w:ascii="Verdana" w:eastAsia="Calibri" w:hAnsi="Verdana" w:cs="Arial"/>
                <w:lang w:val="es-MX" w:eastAsia="es-ES_tradnl"/>
              </w:rPr>
              <w:t xml:space="preserve">INALTERABILIDAD – Documentos Tipo / DETERMINACIÓN DEL VALOR DEL CONTRATO – Etapa de planeación – Metodologías – Factores que inciden / </w:t>
            </w:r>
            <w:r w:rsidRPr="00120B7E">
              <w:rPr>
                <w:rFonts w:ascii="Verdana" w:eastAsia="Calibri" w:hAnsi="Verdana" w:cs="Arial"/>
                <w:lang w:val="es-ES"/>
              </w:rPr>
              <w:t>VALOR ESTIMADO DEL CONTRATO – Precios unitarios – Precio global – Estudios previos – Modificación de la forma de pago – Documentos Tipo</w:t>
            </w:r>
          </w:p>
          <w:p w14:paraId="35FA4A97" w14:textId="77777777" w:rsidR="00120B7E" w:rsidRPr="00120B7E" w:rsidRDefault="00120B7E" w:rsidP="00120B7E">
            <w:pPr>
              <w:spacing w:line="276" w:lineRule="auto"/>
              <w:jc w:val="both"/>
              <w:rPr>
                <w:rFonts w:ascii="Verdana" w:eastAsia="Calibri" w:hAnsi="Verdana" w:cs="Times New Roman"/>
                <w:sz w:val="20"/>
                <w:szCs w:val="20"/>
                <w:highlight w:val="yellow"/>
                <w:lang w:val="es-ES_tradnl" w:eastAsia="es-ES_tradnl"/>
              </w:rPr>
            </w:pPr>
          </w:p>
          <w:p w14:paraId="5E0C54AD" w14:textId="77777777" w:rsidR="00120B7E" w:rsidRPr="00120B7E" w:rsidRDefault="00120B7E" w:rsidP="00120B7E">
            <w:pPr>
              <w:spacing w:line="276" w:lineRule="auto"/>
              <w:jc w:val="both"/>
              <w:rPr>
                <w:rFonts w:ascii="Verdana" w:eastAsia="Calibri" w:hAnsi="Verdana" w:cs="Arial"/>
                <w:highlight w:val="yellow"/>
                <w:lang w:val="es-ES"/>
              </w:rPr>
            </w:pPr>
            <w:r w:rsidRPr="00120B7E">
              <w:rPr>
                <w:rFonts w:ascii="Verdana" w:eastAsia="Calibri" w:hAnsi="Verdana" w:cs="Arial"/>
                <w:highlight w:val="yellow"/>
                <w:lang w:val="es-ES" w:eastAsia="es-ES"/>
              </w:rPr>
              <w:t xml:space="preserve"> </w:t>
            </w:r>
          </w:p>
        </w:tc>
      </w:tr>
      <w:tr w:rsidR="00120B7E" w:rsidRPr="00120B7E" w14:paraId="3BBD9589" w14:textId="77777777" w:rsidTr="002C15D5">
        <w:tc>
          <w:tcPr>
            <w:tcW w:w="2689" w:type="dxa"/>
          </w:tcPr>
          <w:p w14:paraId="59587C54" w14:textId="77777777" w:rsidR="00120B7E" w:rsidRPr="00120B7E" w:rsidRDefault="00120B7E" w:rsidP="00120B7E">
            <w:pPr>
              <w:spacing w:line="276" w:lineRule="auto"/>
              <w:jc w:val="both"/>
              <w:rPr>
                <w:rFonts w:ascii="Verdana" w:eastAsia="Calibri" w:hAnsi="Verdana" w:cs="Arial"/>
                <w:b/>
                <w:lang w:val="es-ES_tradnl" w:eastAsia="es-ES_tradnl"/>
              </w:rPr>
            </w:pPr>
            <w:r w:rsidRPr="00120B7E">
              <w:rPr>
                <w:rFonts w:ascii="Verdana" w:eastAsia="Calibri" w:hAnsi="Verdana" w:cs="Arial"/>
                <w:b/>
                <w:lang w:val="es-ES_tradnl" w:eastAsia="es-ES_tradnl"/>
              </w:rPr>
              <w:t>Radicación:</w:t>
            </w:r>
            <w:r w:rsidRPr="00120B7E">
              <w:rPr>
                <w:rFonts w:ascii="Verdana" w:eastAsia="Calibri" w:hAnsi="Verdana" w:cs="Arial"/>
                <w:lang w:val="es-ES_tradnl" w:eastAsia="es-ES_tradnl"/>
              </w:rPr>
              <w:t xml:space="preserve">               </w:t>
            </w:r>
          </w:p>
        </w:tc>
        <w:tc>
          <w:tcPr>
            <w:tcW w:w="6100" w:type="dxa"/>
          </w:tcPr>
          <w:p w14:paraId="32A69562" w14:textId="77777777" w:rsidR="00120B7E" w:rsidRPr="00120B7E" w:rsidRDefault="00120B7E" w:rsidP="00120B7E">
            <w:pPr>
              <w:spacing w:line="276" w:lineRule="auto"/>
              <w:jc w:val="both"/>
              <w:rPr>
                <w:rFonts w:ascii="Verdana" w:eastAsia="Calibri" w:hAnsi="Verdana" w:cs="Arial"/>
                <w:lang w:eastAsia="es-ES_tradnl"/>
              </w:rPr>
            </w:pPr>
            <w:r w:rsidRPr="00120B7E">
              <w:rPr>
                <w:rFonts w:ascii="Verdana" w:eastAsia="Calibri" w:hAnsi="Verdana" w:cs="Arial"/>
                <w:lang w:val="es-ES_tradnl" w:eastAsia="es-ES_tradnl"/>
              </w:rPr>
              <w:t>Respuesta a la consulta con radicado No. 1_2026_05_22_006902</w:t>
            </w:r>
          </w:p>
        </w:tc>
      </w:tr>
    </w:tbl>
    <w:p w14:paraId="731E86CD" w14:textId="77777777" w:rsidR="00120B7E" w:rsidRPr="00120B7E" w:rsidRDefault="00120B7E" w:rsidP="00120B7E">
      <w:pPr>
        <w:spacing w:after="0" w:line="276" w:lineRule="auto"/>
        <w:jc w:val="both"/>
        <w:rPr>
          <w:rFonts w:ascii="Verdana" w:eastAsia="Calibri" w:hAnsi="Verdana" w:cs="Arial"/>
          <w:color w:val="000000"/>
          <w:lang w:val="es-ES_tradnl" w:eastAsia="es-ES_tradnl"/>
        </w:rPr>
      </w:pPr>
    </w:p>
    <w:p w14:paraId="75266519" w14:textId="77777777" w:rsidR="00120B7E" w:rsidRPr="00120B7E" w:rsidRDefault="00120B7E" w:rsidP="00120B7E">
      <w:pPr>
        <w:spacing w:after="0" w:line="276" w:lineRule="auto"/>
        <w:jc w:val="both"/>
        <w:rPr>
          <w:rFonts w:ascii="Verdana" w:eastAsia="Calibri" w:hAnsi="Verdana" w:cs="Arial"/>
          <w:lang w:val="es-ES" w:eastAsia="es-ES"/>
        </w:rPr>
      </w:pPr>
    </w:p>
    <w:p w14:paraId="5D016F62" w14:textId="77777777" w:rsidR="00120B7E" w:rsidRPr="00120B7E" w:rsidRDefault="00120B7E" w:rsidP="00120B7E">
      <w:pPr>
        <w:spacing w:after="0" w:line="276" w:lineRule="auto"/>
        <w:jc w:val="both"/>
        <w:rPr>
          <w:rFonts w:ascii="Verdana" w:eastAsia="Calibri" w:hAnsi="Verdana" w:cs="Arial"/>
          <w:lang w:val="es-ES" w:eastAsia="es-ES"/>
        </w:rPr>
      </w:pPr>
      <w:r w:rsidRPr="00120B7E">
        <w:rPr>
          <w:rFonts w:ascii="Verdana" w:eastAsia="Calibri" w:hAnsi="Verdana" w:cs="Arial"/>
          <w:lang w:val="es-ES" w:eastAsia="es-ES"/>
        </w:rPr>
        <w:t>Estimado señor Orduña Amado</w:t>
      </w:r>
      <w:r w:rsidRPr="00120B7E">
        <w:rPr>
          <w:rFonts w:ascii="Verdana" w:eastAsia="Calibri" w:hAnsi="Verdana" w:cs="Arial"/>
          <w:bCs/>
          <w:lang w:val="es-ES" w:eastAsia="es-ES"/>
        </w:rPr>
        <w:t>:</w:t>
      </w:r>
      <w:r w:rsidRPr="00120B7E">
        <w:rPr>
          <w:rFonts w:ascii="Verdana" w:eastAsia="Calibri" w:hAnsi="Verdana" w:cs="Arial"/>
          <w:lang w:val="es-ES" w:eastAsia="es-ES"/>
        </w:rPr>
        <w:t xml:space="preserve"> </w:t>
      </w:r>
    </w:p>
    <w:p w14:paraId="1B1AF3D2" w14:textId="77777777" w:rsidR="00120B7E" w:rsidRPr="00120B7E" w:rsidRDefault="00120B7E" w:rsidP="00120B7E">
      <w:pPr>
        <w:tabs>
          <w:tab w:val="left" w:pos="3768"/>
        </w:tabs>
        <w:spacing w:after="0" w:line="276" w:lineRule="auto"/>
        <w:jc w:val="both"/>
        <w:rPr>
          <w:rFonts w:ascii="Verdana" w:eastAsia="Calibri" w:hAnsi="Verdana" w:cs="Arial"/>
          <w:color w:val="000000"/>
          <w:lang w:val="es-ES" w:eastAsia="es-ES"/>
        </w:rPr>
      </w:pPr>
      <w:r w:rsidRPr="00120B7E">
        <w:rPr>
          <w:rFonts w:ascii="Verdana" w:eastAsia="Calibri" w:hAnsi="Verdana" w:cs="Arial"/>
          <w:color w:val="000000"/>
          <w:lang w:val="es-ES" w:eastAsia="es-ES"/>
        </w:rPr>
        <w:tab/>
      </w:r>
    </w:p>
    <w:p w14:paraId="7408845F" w14:textId="77777777" w:rsidR="00120B7E" w:rsidRPr="00120B7E" w:rsidRDefault="00120B7E" w:rsidP="00120B7E">
      <w:pPr>
        <w:spacing w:after="0" w:line="276" w:lineRule="auto"/>
        <w:jc w:val="both"/>
        <w:rPr>
          <w:rFonts w:ascii="Verdana" w:eastAsia="Calibri" w:hAnsi="Verdana" w:cs="Arial"/>
          <w:color w:val="7030A0"/>
          <w:lang w:val="es-ES" w:eastAsia="es-ES"/>
        </w:rPr>
      </w:pPr>
      <w:r w:rsidRPr="00120B7E">
        <w:rPr>
          <w:rFonts w:ascii="Verdana" w:eastAsia="Calibri" w:hAnsi="Verdana" w:cs="Arial"/>
          <w:color w:val="000000"/>
          <w:lang w:val="es-ES" w:eastAsia="es-ES"/>
        </w:rPr>
        <w:t>En ejercicio de la competencia otorgada por los artículos 3, numeral 5º, y 11, numeral 8º, del Decreto Ley 4170 de 2011,</w:t>
      </w:r>
      <w:r w:rsidRPr="00120B7E">
        <w:rPr>
          <w:rFonts w:ascii="Verdana" w:eastAsia="Arial MT" w:hAnsi="Verdana" w:cs="Arial MT"/>
          <w:lang w:val="es-ES" w:eastAsia="es-ES"/>
        </w:rPr>
        <w:t xml:space="preserve"> </w:t>
      </w:r>
      <w:r w:rsidRPr="00120B7E">
        <w:rPr>
          <w:rFonts w:ascii="Verdana" w:eastAsia="Calibri" w:hAnsi="Verdana" w:cs="Arial"/>
        </w:rPr>
        <w:t xml:space="preserve">así como lo establecido en la Resolución No. 469 de 2025 expedida por esta Entidad, </w:t>
      </w:r>
      <w:r w:rsidRPr="00120B7E">
        <w:rPr>
          <w:rFonts w:ascii="Verdana" w:eastAsia="Calibri" w:hAnsi="Verdana" w:cs="Arial"/>
          <w:color w:val="000000"/>
          <w:lang w:val="es-ES" w:eastAsia="es-ES"/>
        </w:rPr>
        <w:t xml:space="preserve">la Agencia Nacional de Contratación Pública – Colombia Compra Eficiente responde su solicitud de consulta de </w:t>
      </w:r>
      <w:r w:rsidRPr="00120B7E">
        <w:rPr>
          <w:rFonts w:ascii="Verdana" w:eastAsia="Calibri" w:hAnsi="Verdana" w:cs="Arial"/>
          <w:lang w:val="es-ES" w:eastAsia="es-ES"/>
        </w:rPr>
        <w:t xml:space="preserve">fecha 20 de mayo de 2026, en la cual manifiesta lo siguiente: </w:t>
      </w:r>
    </w:p>
    <w:p w14:paraId="05CB1C7D" w14:textId="77777777" w:rsidR="00120B7E" w:rsidRPr="00120B7E" w:rsidRDefault="00120B7E" w:rsidP="00120B7E">
      <w:pPr>
        <w:tabs>
          <w:tab w:val="left" w:pos="142"/>
          <w:tab w:val="left" w:pos="284"/>
        </w:tabs>
        <w:spacing w:after="0" w:line="276" w:lineRule="auto"/>
        <w:contextualSpacing/>
        <w:jc w:val="both"/>
        <w:rPr>
          <w:rFonts w:ascii="Verdana" w:eastAsia="Century Gothic" w:hAnsi="Verdana" w:cs="Century Gothic"/>
          <w:b/>
          <w:bCs/>
          <w:lang w:val="es-ES"/>
        </w:rPr>
      </w:pPr>
    </w:p>
    <w:p w14:paraId="5C109125" w14:textId="77777777" w:rsidR="00120B7E" w:rsidRPr="00120B7E" w:rsidRDefault="00120B7E" w:rsidP="00120B7E">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120B7E">
        <w:rPr>
          <w:rFonts w:ascii="Verdana" w:eastAsia="Times New Roman" w:hAnsi="Verdana" w:cs="Times New Roman"/>
          <w:color w:val="242424"/>
          <w:sz w:val="21"/>
          <w:szCs w:val="21"/>
          <w:lang w:eastAsia="es-MX"/>
        </w:rPr>
        <w:t>“</w:t>
      </w:r>
      <w:r w:rsidRPr="00120B7E">
        <w:rPr>
          <w:rFonts w:ascii="Verdana" w:eastAsia="Aptos" w:hAnsi="Verdana" w:cs="Times New Roman"/>
          <w:kern w:val="2"/>
          <w:sz w:val="21"/>
          <w:szCs w:val="21"/>
          <w14:ligatures w14:val="standardContextual"/>
        </w:rPr>
        <w:t>1. ¿La forma de pago, entendida como la determinación del porcentaje de anticipo y la definición de los hitos o eventos que condicionan los desembolsos, hace parte del contenido inalterable de los Documentos Tipo adoptados por Colombia Compra Eficiente para los procesos de obra pública, o constituye un aspecto que la entidad estatal define dentro de los parámetros o rangos que el respectivo Documento Tipo permite?</w:t>
      </w:r>
    </w:p>
    <w:p w14:paraId="029D18F4" w14:textId="77777777" w:rsidR="00120B7E" w:rsidRPr="00120B7E" w:rsidRDefault="00120B7E" w:rsidP="00120B7E">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120B7E">
        <w:rPr>
          <w:rFonts w:ascii="Verdana" w:eastAsia="Aptos" w:hAnsi="Verdana" w:cs="Times New Roman"/>
          <w:kern w:val="2"/>
          <w:sz w:val="21"/>
          <w:szCs w:val="21"/>
          <w14:ligatures w14:val="standardContextual"/>
        </w:rPr>
        <w:t>2. ¿El principio de inalterabilidad de los Documentos Tipo se predica exclusivamente de la etapa precontractual, esto es, de la estructuración del pliego de condiciones y del proceso de selección, o también limita la facultad de las partes para modificar el contrato durante su etapa de ejecución?</w:t>
      </w:r>
    </w:p>
    <w:p w14:paraId="5FD2FA51" w14:textId="77777777" w:rsidR="00120B7E" w:rsidRPr="00120B7E" w:rsidRDefault="00120B7E" w:rsidP="00120B7E">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120B7E">
        <w:rPr>
          <w:rFonts w:ascii="Verdana" w:eastAsia="Aptos" w:hAnsi="Verdana" w:cs="Times New Roman"/>
          <w:kern w:val="2"/>
          <w:sz w:val="21"/>
          <w:szCs w:val="21"/>
          <w14:ligatures w14:val="standardContextual"/>
        </w:rPr>
        <w:t>3. Una vez perfeccionado y suscrito el contrato de obra pública derivado de un proceso estructurado con Documentos Tipo, ¿es jurídicamente viable que las partes modifiquen, mediante acuerdo bilateral, la forma de pago inicialmente pactada, cuando dicha modificación tenga por único objeto asegurar la culminación de la obra y prevenir el desfinanciamiento del contratista?</w:t>
      </w:r>
    </w:p>
    <w:p w14:paraId="3BD9DFAD" w14:textId="77777777" w:rsidR="00120B7E" w:rsidRPr="00120B7E" w:rsidRDefault="00120B7E" w:rsidP="00120B7E">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120B7E">
        <w:rPr>
          <w:rFonts w:ascii="Verdana" w:eastAsia="Aptos" w:hAnsi="Verdana" w:cs="Times New Roman"/>
          <w:kern w:val="2"/>
          <w:sz w:val="21"/>
          <w:szCs w:val="21"/>
          <w14:ligatures w14:val="standardContextual"/>
        </w:rPr>
        <w:t>4. ¿Una modificación de la forma de pago adoptada durante la ejecución del contrato, que reorganice los hitos de desembolso sin alterar el valor total del contrato, puede entenderse como una alteración de las condiciones del proceso de selección o como una afectación al principio de igualdad de los oferentes y, por tanto, encontrarse prohibida?</w:t>
      </w:r>
    </w:p>
    <w:p w14:paraId="3066D00F" w14:textId="77777777" w:rsidR="00120B7E" w:rsidRPr="00120B7E" w:rsidRDefault="00120B7E" w:rsidP="00120B7E">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120B7E">
        <w:rPr>
          <w:rFonts w:ascii="Verdana" w:eastAsia="Aptos" w:hAnsi="Verdana" w:cs="Times New Roman"/>
          <w:kern w:val="2"/>
          <w:sz w:val="21"/>
          <w:szCs w:val="21"/>
          <w14:ligatures w14:val="standardContextual"/>
        </w:rPr>
        <w:t>5. ¿La circunstancia de que el proponente haya conocido y aceptado, sin objeción, la forma de pago contenida en el pliego de condiciones al momento de presentar su oferta, impide o restringe que, con posterioridad a la celebración del contrato, las partes acuerden modificar dicha forma de pago durante la ejecución?</w:t>
      </w:r>
    </w:p>
    <w:p w14:paraId="73488B9D" w14:textId="77777777" w:rsidR="00120B7E" w:rsidRPr="00120B7E" w:rsidRDefault="00120B7E" w:rsidP="00120B7E">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120B7E">
        <w:rPr>
          <w:rFonts w:ascii="Verdana" w:eastAsia="Aptos" w:hAnsi="Verdana" w:cs="Times New Roman"/>
          <w:kern w:val="2"/>
          <w:sz w:val="21"/>
          <w:szCs w:val="21"/>
          <w14:ligatures w14:val="standardContextual"/>
        </w:rPr>
        <w:t>6. En el evento de que esa Agencia considere jurídicamente viable la modificación de la forma de pago durante la ejecución contractual, ¿cuáles serían las condiciones, justificaciones y límites que la entidad estatal debería observar para que dicha modificación se ajuste al ordenamiento jurídico, en particular frente al límite del anticipo previsto en el artículo 40 de la Ley 80 de 1993, a la debida justificación técnica y financiera, y a la prohibición de alterar las condiciones esenciales que determinaron la selección del contratista?</w:t>
      </w:r>
    </w:p>
    <w:p w14:paraId="412100C5" w14:textId="77777777" w:rsidR="00120B7E" w:rsidRPr="00120B7E" w:rsidRDefault="00120B7E" w:rsidP="00120B7E">
      <w:pPr>
        <w:shd w:val="clear" w:color="auto" w:fill="FFFFFF"/>
        <w:spacing w:after="0" w:line="240" w:lineRule="auto"/>
        <w:ind w:left="709" w:right="709"/>
        <w:jc w:val="both"/>
        <w:rPr>
          <w:rFonts w:ascii="Verdana" w:eastAsia="Aptos" w:hAnsi="Verdana" w:cs="Times New Roman"/>
          <w:kern w:val="2"/>
          <w14:ligatures w14:val="standardContextual"/>
        </w:rPr>
      </w:pPr>
      <w:r w:rsidRPr="00120B7E">
        <w:rPr>
          <w:rFonts w:ascii="Verdana" w:eastAsia="Aptos" w:hAnsi="Verdana" w:cs="Times New Roman"/>
          <w:kern w:val="2"/>
          <w:sz w:val="21"/>
          <w:szCs w:val="21"/>
          <w14:ligatures w14:val="standardContextual"/>
        </w:rPr>
        <w:t xml:space="preserve">7. ¿Cuál es la vía jurídica idónea para atender una situación de eventual desfinanciamiento del contratista derivada de la estructura de pagos pactada: la modificación bilateral del contrato, el ajuste del cronograma o plan de pagos, la figura del restablecimiento del equilibrio económico del contrato, u otra distinta que esa Agencia estime </w:t>
      </w:r>
      <w:r w:rsidRPr="00120B7E">
        <w:rPr>
          <w:rFonts w:ascii="Verdana" w:eastAsia="Aptos" w:hAnsi="Verdana" w:cs="Times New Roman"/>
          <w:kern w:val="2"/>
          <w14:ligatures w14:val="standardContextual"/>
        </w:rPr>
        <w:t>procedente?”</w:t>
      </w:r>
    </w:p>
    <w:p w14:paraId="2A274D6D" w14:textId="77777777" w:rsidR="00120B7E" w:rsidRPr="00120B7E" w:rsidRDefault="00120B7E" w:rsidP="00120B7E">
      <w:pPr>
        <w:tabs>
          <w:tab w:val="left" w:pos="142"/>
          <w:tab w:val="left" w:pos="284"/>
        </w:tabs>
        <w:spacing w:after="0" w:line="276" w:lineRule="auto"/>
        <w:contextualSpacing/>
        <w:jc w:val="both"/>
        <w:rPr>
          <w:rFonts w:ascii="Verdana" w:eastAsia="Century Gothic" w:hAnsi="Verdana" w:cs="Century Gothic"/>
          <w:b/>
          <w:bCs/>
          <w:lang w:val="es-ES"/>
        </w:rPr>
      </w:pPr>
    </w:p>
    <w:p w14:paraId="40D2097E" w14:textId="77777777" w:rsidR="00120B7E" w:rsidRPr="00120B7E" w:rsidRDefault="00120B7E" w:rsidP="00120B7E">
      <w:pPr>
        <w:spacing w:after="120" w:line="276" w:lineRule="auto"/>
        <w:ind w:firstLine="709"/>
        <w:jc w:val="both"/>
        <w:rPr>
          <w:rFonts w:ascii="Verdana" w:eastAsia="Calibri" w:hAnsi="Verdana" w:cs="Arial"/>
          <w:color w:val="000000"/>
          <w:lang w:val="es-ES" w:eastAsia="es-ES"/>
        </w:rPr>
      </w:pPr>
      <w:r w:rsidRPr="00120B7E">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120B7E">
        <w:rPr>
          <w:rFonts w:ascii="Verdana" w:eastAsia="Calibri" w:hAnsi="Verdana" w:cs="Arial"/>
          <w:color w:val="000000"/>
          <w:szCs w:val="24"/>
          <w:lang w:val="es-ES_tradnl" w:eastAsia="es-ES_tradnl"/>
        </w:rPr>
        <w:tab/>
      </w:r>
    </w:p>
    <w:p w14:paraId="54C2F7C5" w14:textId="77777777" w:rsidR="00120B7E" w:rsidRPr="00120B7E" w:rsidRDefault="00120B7E" w:rsidP="00120B7E">
      <w:pPr>
        <w:spacing w:after="0" w:line="276" w:lineRule="auto"/>
        <w:ind w:firstLine="709"/>
        <w:jc w:val="both"/>
        <w:rPr>
          <w:rFonts w:ascii="Verdana" w:eastAsia="Calibri" w:hAnsi="Verdana" w:cs="Arial"/>
          <w:color w:val="000000"/>
          <w:lang w:val="es-ES" w:eastAsia="es-ES"/>
        </w:rPr>
      </w:pPr>
      <w:r w:rsidRPr="00120B7E">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w:t>
      </w:r>
      <w:r w:rsidRPr="00120B7E">
        <w:rPr>
          <w:rFonts w:ascii="Verdana" w:eastAsia="Calibri" w:hAnsi="Verdana" w:cs="Arial"/>
          <w:color w:val="7030A0"/>
          <w:lang w:val="es-ES" w:eastAsia="es-ES"/>
        </w:rPr>
        <w:t xml:space="preserve"> </w:t>
      </w:r>
      <w:r w:rsidRPr="00120B7E">
        <w:rPr>
          <w:rFonts w:ascii="Verdana" w:eastAsia="Calibri" w:hAnsi="Verdana" w:cs="Arial"/>
          <w:color w:val="000000"/>
          <w:lang w:val="es-ES" w:eastAsia="es-ES"/>
        </w:rPr>
        <w:t>problema</w:t>
      </w:r>
      <w:r w:rsidRPr="00120B7E">
        <w:rPr>
          <w:rFonts w:ascii="Verdana" w:eastAsia="Calibri" w:hAnsi="Verdana" w:cs="Arial"/>
          <w:color w:val="7030A0"/>
          <w:lang w:val="es-ES" w:eastAsia="es-ES"/>
        </w:rPr>
        <w:t xml:space="preserve"> </w:t>
      </w:r>
      <w:r w:rsidRPr="00120B7E">
        <w:rPr>
          <w:rFonts w:ascii="Verdana" w:eastAsia="Calibri" w:hAnsi="Verdana" w:cs="Arial"/>
          <w:color w:val="000000"/>
          <w:lang w:val="es-ES" w:eastAsia="es-ES"/>
        </w:rPr>
        <w:t>jurídico</w:t>
      </w:r>
      <w:r w:rsidRPr="00120B7E">
        <w:rPr>
          <w:rFonts w:ascii="Verdana" w:eastAsia="Calibri" w:hAnsi="Verdana" w:cs="Arial"/>
          <w:color w:val="7030A0"/>
          <w:lang w:val="es-ES" w:eastAsia="es-ES"/>
        </w:rPr>
        <w:t xml:space="preserve"> </w:t>
      </w:r>
      <w:r w:rsidRPr="00120B7E">
        <w:rPr>
          <w:rFonts w:ascii="Verdana" w:eastAsia="Calibri" w:hAnsi="Verdana" w:cs="Arial"/>
          <w:color w:val="000000"/>
          <w:lang w:val="es-ES" w:eastAsia="es-ES"/>
        </w:rPr>
        <w:t xml:space="preserve">de su consulta. </w:t>
      </w:r>
    </w:p>
    <w:p w14:paraId="56A827F7" w14:textId="77777777" w:rsidR="00120B7E" w:rsidRPr="00120B7E" w:rsidRDefault="00120B7E" w:rsidP="00120B7E">
      <w:pPr>
        <w:spacing w:after="0" w:line="276" w:lineRule="auto"/>
        <w:ind w:firstLine="709"/>
        <w:jc w:val="both"/>
        <w:rPr>
          <w:rFonts w:ascii="Verdana" w:eastAsia="Calibri" w:hAnsi="Verdana" w:cs="Arial"/>
          <w:color w:val="000000"/>
          <w:lang w:val="es-ES" w:eastAsia="es-ES"/>
        </w:rPr>
      </w:pPr>
    </w:p>
    <w:p w14:paraId="0C12220C" w14:textId="77777777" w:rsidR="00120B7E" w:rsidRPr="00120B7E" w:rsidRDefault="00120B7E" w:rsidP="00120B7E">
      <w:pPr>
        <w:numPr>
          <w:ilvl w:val="0"/>
          <w:numId w:val="17"/>
        </w:numPr>
        <w:tabs>
          <w:tab w:val="left" w:pos="142"/>
          <w:tab w:val="left" w:pos="284"/>
        </w:tabs>
        <w:spacing w:after="0" w:line="276" w:lineRule="auto"/>
        <w:contextualSpacing/>
        <w:jc w:val="both"/>
        <w:rPr>
          <w:rFonts w:ascii="Verdana" w:eastAsia="Century Gothic" w:hAnsi="Verdana" w:cs="Century Gothic"/>
          <w:b/>
          <w:bCs/>
          <w:lang w:val="es-ES"/>
        </w:rPr>
      </w:pPr>
      <w:r w:rsidRPr="00120B7E">
        <w:rPr>
          <w:rFonts w:ascii="Verdana" w:eastAsia="Century Gothic" w:hAnsi="Verdana" w:cs="Century Gothic"/>
          <w:b/>
          <w:bCs/>
          <w:lang w:val="es-ES"/>
        </w:rPr>
        <w:t>Problema planteado:</w:t>
      </w:r>
    </w:p>
    <w:p w14:paraId="2EB0EEBE" w14:textId="77777777" w:rsidR="00120B7E" w:rsidRPr="00120B7E" w:rsidRDefault="00120B7E" w:rsidP="00120B7E">
      <w:pPr>
        <w:tabs>
          <w:tab w:val="left" w:pos="426"/>
        </w:tabs>
        <w:spacing w:after="0" w:line="276" w:lineRule="auto"/>
        <w:jc w:val="both"/>
        <w:rPr>
          <w:rFonts w:ascii="Verdana" w:eastAsia="Century Gothic" w:hAnsi="Verdana" w:cs="Century Gothic"/>
          <w:lang w:val="es-ES"/>
        </w:rPr>
      </w:pPr>
    </w:p>
    <w:p w14:paraId="54C3B455" w14:textId="77777777" w:rsidR="00120B7E" w:rsidRPr="00120B7E" w:rsidRDefault="00120B7E" w:rsidP="00120B7E">
      <w:pPr>
        <w:spacing w:after="0" w:line="276" w:lineRule="auto"/>
        <w:jc w:val="both"/>
        <w:rPr>
          <w:rFonts w:ascii="Verdana" w:eastAsia="Century Gothic" w:hAnsi="Verdana" w:cs="Century Gothic"/>
          <w:kern w:val="2"/>
          <w14:ligatures w14:val="standardContextual"/>
        </w:rPr>
      </w:pPr>
      <w:r w:rsidRPr="00120B7E">
        <w:rPr>
          <w:rFonts w:ascii="Verdana" w:eastAsia="Century Gothic" w:hAnsi="Verdana" w:cs="Century Gothic"/>
        </w:rPr>
        <w:t>De acuerdo con el contenido de su solicitud, depurada la competencia consultiva de la entidad, esta Agencia resolverá el siguiente problema jurídico: teniendo en cuenta la regla de inalterabilidad de los documentos tipo, ¿cuál es la posibilidad de variar la forma de pago durante la ejecución de un contrato?</w:t>
      </w:r>
    </w:p>
    <w:p w14:paraId="72E9FB64" w14:textId="77777777" w:rsidR="00120B7E" w:rsidRPr="00120B7E" w:rsidRDefault="00120B7E" w:rsidP="00120B7E">
      <w:pPr>
        <w:spacing w:after="0" w:line="276" w:lineRule="auto"/>
        <w:jc w:val="both"/>
        <w:rPr>
          <w:rFonts w:ascii="Verdana" w:eastAsia="Calibri" w:hAnsi="Verdana" w:cs="Arial"/>
          <w:color w:val="7030A0"/>
        </w:rPr>
      </w:pPr>
    </w:p>
    <w:p w14:paraId="155E155B" w14:textId="77777777" w:rsidR="00120B7E" w:rsidRPr="00120B7E" w:rsidRDefault="00120B7E" w:rsidP="00120B7E">
      <w:pPr>
        <w:numPr>
          <w:ilvl w:val="0"/>
          <w:numId w:val="17"/>
        </w:numPr>
        <w:tabs>
          <w:tab w:val="left" w:pos="142"/>
          <w:tab w:val="left" w:pos="284"/>
        </w:tabs>
        <w:spacing w:after="0" w:line="276" w:lineRule="auto"/>
        <w:contextualSpacing/>
        <w:jc w:val="both"/>
        <w:rPr>
          <w:rFonts w:ascii="Verdana" w:eastAsia="Century Gothic" w:hAnsi="Verdana" w:cs="Century Gothic"/>
          <w:b/>
          <w:bCs/>
          <w:lang w:val="es-ES"/>
        </w:rPr>
      </w:pPr>
      <w:r w:rsidRPr="00120B7E">
        <w:rPr>
          <w:rFonts w:ascii="Verdana" w:eastAsia="Century Gothic" w:hAnsi="Verdana" w:cs="Century Gothic"/>
          <w:b/>
          <w:bCs/>
          <w:lang w:val="es-ES"/>
        </w:rPr>
        <w:t>Respuesta:</w:t>
      </w:r>
    </w:p>
    <w:p w14:paraId="5565F86F" w14:textId="77777777" w:rsidR="00120B7E" w:rsidRPr="00120B7E" w:rsidRDefault="00120B7E" w:rsidP="00120B7E">
      <w:pPr>
        <w:tabs>
          <w:tab w:val="left" w:pos="142"/>
          <w:tab w:val="left" w:pos="284"/>
        </w:tabs>
        <w:spacing w:after="0" w:line="276" w:lineRule="auto"/>
        <w:jc w:val="both"/>
        <w:rPr>
          <w:rFonts w:ascii="Verdana" w:eastAsia="Century Gothic" w:hAnsi="Verdana" w:cs="Century Gothic"/>
          <w:b/>
          <w:bCs/>
          <w:lang w:val="es-ES"/>
        </w:rPr>
      </w:pPr>
    </w:p>
    <w:tbl>
      <w:tblPr>
        <w:tblStyle w:val="TableGrid"/>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120B7E" w:rsidRPr="00120B7E" w14:paraId="28AE11CB" w14:textId="77777777" w:rsidTr="002C15D5">
        <w:trPr>
          <w:jc w:val="center"/>
        </w:trPr>
        <w:tc>
          <w:tcPr>
            <w:tcW w:w="8828" w:type="dxa"/>
          </w:tcPr>
          <w:p w14:paraId="43F892E4" w14:textId="77777777" w:rsidR="00120B7E" w:rsidRPr="00120B7E" w:rsidRDefault="00120B7E" w:rsidP="00120B7E">
            <w:pPr>
              <w:tabs>
                <w:tab w:val="center" w:pos="4419"/>
                <w:tab w:val="right" w:pos="8838"/>
              </w:tabs>
              <w:spacing w:after="120" w:line="276" w:lineRule="auto"/>
              <w:jc w:val="both"/>
              <w:rPr>
                <w:rFonts w:ascii="Verdana" w:eastAsia="Calibri" w:hAnsi="Verdana" w:cs="Arial"/>
                <w:color w:val="000000"/>
                <w:lang w:val="es-ES"/>
              </w:rPr>
            </w:pPr>
            <w:bookmarkStart w:id="1" w:name="_Hlk171694685"/>
            <w:r w:rsidRPr="00120B7E">
              <w:rPr>
                <w:rFonts w:ascii="Verdana" w:eastAsia="Calibri" w:hAnsi="Verdana" w:cs="Arial"/>
                <w:lang w:val="es-ES"/>
              </w:rPr>
              <w:t xml:space="preserve">i. </w:t>
            </w:r>
            <w:r w:rsidRPr="00120B7E">
              <w:rPr>
                <w:rFonts w:ascii="Verdana" w:eastAsia="Calibri" w:hAnsi="Verdana" w:cs="Arial"/>
                <w:color w:val="000000"/>
                <w:lang w:val="es-ES"/>
              </w:rPr>
              <w:t>Todas las resoluciones</w:t>
            </w:r>
            <w:r w:rsidRPr="00120B7E">
              <w:rPr>
                <w:rFonts w:ascii="Verdana" w:eastAsia="Calibri" w:hAnsi="Verdana" w:cs="Arial"/>
                <w:color w:val="000000"/>
                <w:vertAlign w:val="superscript"/>
                <w:lang w:val="es-ES"/>
              </w:rPr>
              <w:footnoteReference w:id="1"/>
            </w:r>
            <w:r w:rsidRPr="00120B7E">
              <w:rPr>
                <w:rFonts w:ascii="Verdana" w:eastAsia="Calibri" w:hAnsi="Verdana" w:cs="Arial"/>
                <w:color w:val="000000"/>
                <w:lang w:val="es-ES"/>
              </w:rPr>
              <w:t xml:space="preserve"> expedidas por la Agencia Nacional de Contratación Pública – Colombia Compra Eficiente, mediante las cuales se adoptaron los documentos tipo, consagran la regla de la inalterabilidad. Esta prohibición consiste en que las entidades estatales no pueden incluir o modificar en los </w:t>
            </w:r>
            <w:r w:rsidRPr="00120B7E">
              <w:rPr>
                <w:rFonts w:ascii="Verdana" w:eastAsia="Calibri" w:hAnsi="Verdana" w:cs="Arial"/>
                <w:i/>
                <w:iCs/>
                <w:color w:val="000000"/>
                <w:lang w:val="es-ES"/>
              </w:rPr>
              <w:t>Documentos del Proceso</w:t>
            </w:r>
            <w:r w:rsidRPr="00120B7E">
              <w:rPr>
                <w:rFonts w:ascii="Verdana" w:eastAsia="Calibri" w:hAnsi="Verdana" w:cs="Arial"/>
                <w:color w:val="000000"/>
                <w:lang w:val="es-ES"/>
              </w:rPr>
              <w:t xml:space="preserve"> las condiciones habilitantes, los factores técnicos y económicos de escogencia y los sistemas de ponderación distintos a los señalados en los documentos tipo. En consecuencia, las condiciones establecidas en los documentos tipo son de obligatorio cumplimiento para las entidades sometidas al Estatuto General de Contratación de la Administración Pública que adelanten procesos que deban regirse por su contenido, y no pueden variarse los requisitos fijados en ellos. Por lo tanto, las entidades estatales, al realizar sus procedimientos de selección, solo podrán modificarlos en los aspectos en que los documentos tipo lo permitan.</w:t>
            </w:r>
          </w:p>
          <w:p w14:paraId="32280321" w14:textId="77777777" w:rsidR="00120B7E" w:rsidRPr="00120B7E" w:rsidRDefault="00120B7E" w:rsidP="00120B7E">
            <w:pPr>
              <w:spacing w:before="120" w:after="120" w:line="276" w:lineRule="auto"/>
              <w:ind w:firstLine="709"/>
              <w:jc w:val="both"/>
              <w:rPr>
                <w:rFonts w:ascii="Verdana" w:eastAsia="Calibri" w:hAnsi="Verdana" w:cs="Arial"/>
                <w:bCs/>
                <w:lang w:val="es-MX"/>
              </w:rPr>
            </w:pPr>
            <w:r w:rsidRPr="00120B7E">
              <w:rPr>
                <w:rFonts w:ascii="Verdana" w:eastAsia="Calibri" w:hAnsi="Verdana" w:cs="Arial"/>
                <w:bCs/>
                <w:lang w:val="es-MX"/>
              </w:rPr>
              <w:t>Así, la regla general frente la aplicación de los documentos tipo es su inalterabilidad, y no podrán incluirse o modificarse en los documentos del proceso las condiciones habilitantes, los factores técnicos y económicos de escogencia y los sistemas de ponderación distintos a los señalados en los documentos tipo. En tal sentido, estos solo se podrán modificar respecto a aquellos contenidos que el mismo documento tipo lo permita.</w:t>
            </w:r>
          </w:p>
          <w:p w14:paraId="440CDBB6" w14:textId="77777777" w:rsidR="00120B7E" w:rsidRPr="00120B7E" w:rsidRDefault="00120B7E" w:rsidP="00120B7E">
            <w:pPr>
              <w:spacing w:before="120" w:line="276" w:lineRule="auto"/>
              <w:ind w:firstLine="709"/>
              <w:jc w:val="both"/>
              <w:rPr>
                <w:rFonts w:ascii="Verdana" w:eastAsia="Calibri" w:hAnsi="Verdana" w:cs="Arial"/>
                <w:bCs/>
                <w:lang w:val="es-MX"/>
              </w:rPr>
            </w:pPr>
            <w:r w:rsidRPr="00120B7E">
              <w:rPr>
                <w:rFonts w:ascii="Verdana" w:eastAsia="Calibri" w:hAnsi="Verdana" w:cs="Arial"/>
                <w:bCs/>
                <w:lang w:val="es-MX"/>
              </w:rPr>
              <w:t xml:space="preserve">Esta regla de inalterabilidad </w:t>
            </w:r>
            <w:r w:rsidRPr="00120B7E">
              <w:rPr>
                <w:rFonts w:ascii="Verdana" w:eastAsia="Calibri" w:hAnsi="Verdana" w:cs="Arial"/>
                <w:bCs/>
                <w:i/>
                <w:iCs/>
                <w:lang w:val="es-MX"/>
              </w:rPr>
              <w:t>también aplica a los formatos, formularios, anexos y matrices</w:t>
            </w:r>
            <w:r w:rsidRPr="00120B7E">
              <w:rPr>
                <w:rFonts w:ascii="Verdana" w:eastAsia="Calibri" w:hAnsi="Verdana" w:cs="Arial"/>
                <w:bCs/>
                <w:lang w:val="es-MX"/>
              </w:rPr>
              <w:t xml:space="preserve"> implementados junto con el “Documento Base”, los cuales deben usarse en el procedimiento de contratación. Estos, al igual que el “Documento Base”, contienen apartes entre corchetes y resaltados en gris, los cuales deben ser diligenciados por la entidad, al igual que otros aspectos relativos a información que debe ser completada por los oferentes al hacer uso del formato. </w:t>
            </w:r>
          </w:p>
          <w:p w14:paraId="3C559CF9" w14:textId="77777777" w:rsidR="00120B7E" w:rsidRPr="00120B7E" w:rsidRDefault="00120B7E" w:rsidP="00120B7E">
            <w:pPr>
              <w:spacing w:line="276" w:lineRule="auto"/>
              <w:jc w:val="both"/>
              <w:rPr>
                <w:rFonts w:ascii="Verdana" w:eastAsia="Arial" w:hAnsi="Verdana" w:cs="Arial"/>
                <w:lang w:val="es-ES_tradnl" w:eastAsia="es-ES" w:bidi="es-ES"/>
              </w:rPr>
            </w:pPr>
          </w:p>
          <w:p w14:paraId="3B73DDB7" w14:textId="77777777" w:rsidR="00120B7E" w:rsidRPr="00120B7E" w:rsidRDefault="00120B7E" w:rsidP="00120B7E">
            <w:pPr>
              <w:spacing w:after="120" w:line="276" w:lineRule="auto"/>
              <w:jc w:val="both"/>
              <w:rPr>
                <w:rFonts w:ascii="Verdana" w:eastAsia="Aptos" w:hAnsi="Verdana" w:cs="Arial"/>
                <w:lang w:val="es-ES" w:eastAsia="es-ES"/>
              </w:rPr>
            </w:pPr>
            <w:r w:rsidRPr="00120B7E">
              <w:rPr>
                <w:rFonts w:ascii="Verdana" w:eastAsia="Arial" w:hAnsi="Verdana" w:cs="Arial"/>
                <w:lang w:val="es-ES_tradnl" w:eastAsia="es-ES" w:bidi="es-ES"/>
              </w:rPr>
              <w:t>ii. T</w:t>
            </w:r>
            <w:r w:rsidRPr="00120B7E">
              <w:rPr>
                <w:rFonts w:ascii="Verdana" w:eastAsia="Aptos" w:hAnsi="Verdana" w:cs="Arial"/>
                <w:lang w:val="es-ES" w:eastAsia="es-ES"/>
              </w:rPr>
              <w:t>anto las entidades sometidas al Estatuto General de Contratación de la Administración Pública, como las excluidas de este –es decir, las que tienen un régimen especial– gozan de autonomía para configurar el precio y para establecer el sistema de pago más apropiado para satisfacer los fines de la contratación, respetando los límites previstos en el ordenamiento. Esta decisión debe obedecer a un juicioso análisis de oportunidad y conveniencia, que consulte las reglas de la experiencia, así como los aspectos particulares de cada negocio. Lo anterior en armonía con la garantía de los principios de la función administrativa y de la gestión fiscal, dentro de los cuales se halla el principio de economía, postulado que exige la optimización de los recursos públicos.</w:t>
            </w:r>
          </w:p>
          <w:p w14:paraId="670D867A" w14:textId="77777777" w:rsidR="00120B7E" w:rsidRPr="00120B7E" w:rsidRDefault="00120B7E" w:rsidP="00120B7E">
            <w:pPr>
              <w:spacing w:line="276" w:lineRule="auto"/>
              <w:ind w:firstLine="709"/>
              <w:jc w:val="both"/>
              <w:rPr>
                <w:rFonts w:ascii="Verdana" w:eastAsia="Aptos" w:hAnsi="Verdana" w:cs="Arial"/>
                <w:kern w:val="2"/>
                <w:lang w:val="es-ES" w:eastAsia="es-ES"/>
                <w14:ligatures w14:val="standardContextual"/>
              </w:rPr>
            </w:pPr>
            <w:r w:rsidRPr="00120B7E">
              <w:rPr>
                <w:rFonts w:ascii="Verdana" w:eastAsia="Calibri" w:hAnsi="Verdana" w:cs="Arial"/>
                <w:iCs/>
                <w:color w:val="000000"/>
                <w:lang w:val="es-ES"/>
              </w:rPr>
              <w:t>Ahora bien,</w:t>
            </w:r>
            <w:r w:rsidRPr="00120B7E">
              <w:rPr>
                <w:rFonts w:ascii="Verdana" w:eastAsia="Calibri" w:hAnsi="Verdana" w:cs="Arial"/>
                <w:lang w:val="es-ES"/>
              </w:rPr>
              <w:t xml:space="preserve"> en el documento base de los documentos tipo se establece lo siguiente frente a la posibilidad de establecer la forma de pago:</w:t>
            </w:r>
          </w:p>
          <w:p w14:paraId="0CECDDBA" w14:textId="77777777" w:rsidR="00120B7E" w:rsidRPr="00120B7E" w:rsidRDefault="00120B7E" w:rsidP="00120B7E">
            <w:pPr>
              <w:snapToGrid w:val="0"/>
              <w:spacing w:line="276" w:lineRule="auto"/>
              <w:jc w:val="both"/>
              <w:rPr>
                <w:rFonts w:ascii="Verdana" w:eastAsia="Aptos" w:hAnsi="Verdana" w:cs="Times New Roman"/>
                <w:highlight w:val="lightGray"/>
                <w:lang w:val="es-MX"/>
              </w:rPr>
            </w:pPr>
          </w:p>
          <w:p w14:paraId="7602CF28" w14:textId="77777777" w:rsidR="00120B7E" w:rsidRPr="00120B7E" w:rsidRDefault="00120B7E" w:rsidP="00120B7E">
            <w:pPr>
              <w:snapToGrid w:val="0"/>
              <w:ind w:left="709" w:right="709"/>
              <w:jc w:val="both"/>
              <w:rPr>
                <w:rFonts w:ascii="Verdana" w:eastAsia="Aptos" w:hAnsi="Verdana" w:cs="Times New Roman"/>
                <w:sz w:val="21"/>
                <w:szCs w:val="21"/>
                <w:highlight w:val="lightGray"/>
                <w:lang w:val="es-MX"/>
              </w:rPr>
            </w:pPr>
            <w:r w:rsidRPr="00120B7E">
              <w:rPr>
                <w:rFonts w:ascii="Verdana" w:eastAsia="Aptos" w:hAnsi="Verdana" w:cs="Times New Roman"/>
                <w:sz w:val="21"/>
                <w:szCs w:val="21"/>
                <w:highlight w:val="lightGray"/>
                <w:lang w:val="es-MX"/>
              </w:rPr>
              <w:t>[La entidad debe indicar si la forma de pago es por precio global, llave en mano, precios unitarios, administración delegada o reembolso de gastos. El Anexo 1 – Anexo Técnico y el Formulario 1– Formulario de Presupuesto Oficial debe ser concordante con la modalidad de pago seleccionada]</w:t>
            </w:r>
          </w:p>
          <w:p w14:paraId="64D22046" w14:textId="77777777" w:rsidR="00120B7E" w:rsidRPr="00120B7E" w:rsidRDefault="00120B7E" w:rsidP="00120B7E">
            <w:pPr>
              <w:widowControl w:val="0"/>
              <w:autoSpaceDE w:val="0"/>
              <w:autoSpaceDN w:val="0"/>
              <w:spacing w:line="276" w:lineRule="auto"/>
              <w:jc w:val="both"/>
              <w:rPr>
                <w:rFonts w:ascii="Verdana" w:eastAsia="Calibri" w:hAnsi="Verdana" w:cs="Arial"/>
                <w:lang w:val="es-ES"/>
              </w:rPr>
            </w:pPr>
          </w:p>
          <w:p w14:paraId="6C2D0940" w14:textId="77777777" w:rsidR="00120B7E" w:rsidRPr="00120B7E" w:rsidRDefault="00120B7E" w:rsidP="00120B7E">
            <w:pPr>
              <w:widowControl w:val="0"/>
              <w:autoSpaceDE w:val="0"/>
              <w:autoSpaceDN w:val="0"/>
              <w:snapToGrid w:val="0"/>
              <w:spacing w:after="120" w:line="276" w:lineRule="auto"/>
              <w:ind w:firstLine="709"/>
              <w:jc w:val="both"/>
              <w:rPr>
                <w:rFonts w:ascii="Verdana" w:eastAsia="Calibri" w:hAnsi="Verdana" w:cs="Arial"/>
                <w:lang w:val="es-ES"/>
              </w:rPr>
            </w:pPr>
            <w:r w:rsidRPr="00120B7E">
              <w:rPr>
                <w:rFonts w:ascii="Verdana" w:eastAsia="Calibri" w:hAnsi="Verdana" w:cs="Arial"/>
                <w:lang w:val="es-ES"/>
              </w:rPr>
              <w:t xml:space="preserve">En ese orden, con sujeción a la elección que realice la Entidad Estatal, deben observarse las reglas establecidas en los documentos tipo para cada modalidad, particularmente, cuando el proceso de contratación se estructure por precios unitarios. </w:t>
            </w:r>
          </w:p>
          <w:p w14:paraId="16C8C4B4" w14:textId="77777777" w:rsidR="00120B7E" w:rsidRPr="00120B7E" w:rsidRDefault="00120B7E" w:rsidP="00120B7E">
            <w:pPr>
              <w:snapToGrid w:val="0"/>
              <w:spacing w:after="120" w:line="276" w:lineRule="auto"/>
              <w:ind w:firstLine="709"/>
              <w:jc w:val="both"/>
              <w:rPr>
                <w:rFonts w:ascii="Verdana" w:eastAsia="Aptos" w:hAnsi="Verdana" w:cs="Arial"/>
                <w:kern w:val="2"/>
                <w:lang w:val="es-ES"/>
                <w14:ligatures w14:val="standardContextual"/>
              </w:rPr>
            </w:pPr>
            <w:r w:rsidRPr="00120B7E">
              <w:rPr>
                <w:rFonts w:ascii="Verdana" w:eastAsia="Aptos" w:hAnsi="Verdana" w:cs="Arial"/>
                <w:lang w:val="es-ES"/>
              </w:rPr>
              <w:t xml:space="preserve">Con todo, incluso en procesos de contratación adelantados con documentos tipo, las entidades cuentan con autonomía para determinar el precio y el sistema de pago más adecuado. Para las entidades que se rigen por el Estatuto General de Contratación de la Administración Pública, tal autonomía está reconocida en los artículos 13, 32 y 40 de la Ley 80 de 1993. En este contexto, en procesos de contratación con pliegos tipo, las entidades están facultadas para establecer si la forma de pago es por precio global, llave en mano, precios unitarios, administración delegada o reembolso de gastos, así como para cambiar de un sistema a otro después del perfeccionamiento del contrato, sin que ello implique una trasgresión del mandato de inalterabilidad. </w:t>
            </w:r>
          </w:p>
          <w:p w14:paraId="2F2EE8F6" w14:textId="77777777" w:rsidR="00120B7E" w:rsidRPr="00120B7E" w:rsidRDefault="00120B7E" w:rsidP="00120B7E">
            <w:pPr>
              <w:snapToGrid w:val="0"/>
              <w:spacing w:after="120" w:line="276" w:lineRule="auto"/>
              <w:ind w:firstLine="709"/>
              <w:jc w:val="both"/>
              <w:rPr>
                <w:rFonts w:ascii="Verdana" w:eastAsia="Aptos" w:hAnsi="Verdana" w:cs="Times New Roman"/>
                <w:lang w:val="es-ES_tradnl"/>
              </w:rPr>
            </w:pPr>
            <w:r w:rsidRPr="00120B7E">
              <w:rPr>
                <w:rFonts w:ascii="Verdana" w:eastAsia="Aptos" w:hAnsi="Verdana" w:cs="Times New Roman"/>
                <w:lang w:val="es-ES_tradnl"/>
              </w:rPr>
              <w:t>Sin embargo, conviene señalar que, aun cuando es viable jurídicamente modificar los contratos estatales, dicha medida tiene un carácter excepcional y solo procede cuando con ella se pretende garantizar el interés público, cuando la entidad haya verificado y así pueda constatarse, que la causa de la modificación es real y cierta; y cuando se deriva de previsiones legales, esto es, cuando la modificación encuentra sustento no solo en circunstancias fácticas propias de la ejecución del contrato, sino, además, cuando tales situaciones ponen de presente la necesidad de dar cumplimiento a previsiones establecidas por el legislador. De esta manera, para establecer si un contrato determinado puede ser susceptible de modificación, se hace necesario que la Administración analice, en cada caso, la concurrencia de los aspectos antes referidos.</w:t>
            </w:r>
          </w:p>
          <w:p w14:paraId="35ABE85B" w14:textId="77777777" w:rsidR="00120B7E" w:rsidRPr="00120B7E" w:rsidRDefault="00120B7E" w:rsidP="00120B7E">
            <w:pPr>
              <w:snapToGrid w:val="0"/>
              <w:spacing w:after="120" w:line="276" w:lineRule="auto"/>
              <w:ind w:firstLine="709"/>
              <w:jc w:val="both"/>
              <w:rPr>
                <w:rFonts w:ascii="Verdana" w:eastAsia="Aptos" w:hAnsi="Verdana" w:cs="Arial"/>
                <w:bCs/>
                <w:lang w:val="es-MX" w:eastAsia="es-ES_tradnl" w:bidi="es-ES"/>
              </w:rPr>
            </w:pPr>
            <w:r w:rsidRPr="00120B7E">
              <w:rPr>
                <w:rFonts w:ascii="Verdana" w:eastAsia="Aptos" w:hAnsi="Verdana" w:cs="Times New Roman"/>
                <w:lang w:val="es-ES_tradnl"/>
              </w:rPr>
              <w:t xml:space="preserve">En ese contexto, las modificaciones no podrán suponer la variación del objeto de un contrato, pues ello supondría la alteración de su esencia y lo convertiría en otro tipo de negocio jurídico. Si se presentara esta situación lo indicado sería no modificar el contrato, sino, celebrar uno nuevo. </w:t>
            </w:r>
            <w:r w:rsidRPr="00120B7E">
              <w:rPr>
                <w:rFonts w:ascii="Verdana" w:eastAsia="Aptos" w:hAnsi="Verdana" w:cs="Arial"/>
                <w:bCs/>
                <w:lang w:val="es-MX" w:eastAsia="es-ES_tradnl" w:bidi="es-ES"/>
              </w:rPr>
              <w:t>Sobre este último punto, la doctrina</w:t>
            </w:r>
            <w:r w:rsidRPr="00120B7E">
              <w:rPr>
                <w:rFonts w:ascii="Verdana" w:eastAsia="Aptos" w:hAnsi="Verdana" w:cs="Arial"/>
                <w:bCs/>
                <w:vertAlign w:val="superscript"/>
                <w:lang w:val="es-MX" w:eastAsia="es-ES_tradnl" w:bidi="es-ES"/>
              </w:rPr>
              <w:footnoteReference w:id="2"/>
            </w:r>
            <w:r w:rsidRPr="00120B7E">
              <w:rPr>
                <w:rFonts w:ascii="Verdana" w:eastAsia="Aptos" w:hAnsi="Verdana" w:cs="Arial"/>
                <w:bCs/>
                <w:lang w:val="es-MX" w:eastAsia="es-ES_tradnl" w:bidi="es-ES"/>
              </w:rPr>
              <w:t xml:space="preserve"> ha precisado que cuando </w:t>
            </w:r>
            <w:r w:rsidRPr="00120B7E">
              <w:rPr>
                <w:rFonts w:ascii="Verdana" w:eastAsia="Aptos" w:hAnsi="Verdana" w:cs="Arial"/>
                <w:bCs/>
                <w:lang w:val="es-MX" w:eastAsia="es-ES_tradnl"/>
              </w:rPr>
              <w:t>“</w:t>
            </w:r>
            <w:r w:rsidRPr="00120B7E">
              <w:rPr>
                <w:rFonts w:ascii="Verdana" w:eastAsia="Aptos" w:hAnsi="Verdana" w:cs="Arial"/>
                <w:bCs/>
                <w:lang w:val="es-MX" w:eastAsia="es-ES_tradnl" w:bidi="es-ES"/>
              </w:rPr>
              <w:t>se alude a la modificación del contrato se lo hace para referirse a alteraciones, variaciones, sustituciones de calidad, componentes o número de obras, bienes o servicios. No implican la sustitución del género del contrato sino modificaciones que responden a necesidades sobrevivientes o a errores en la fase previa</w:t>
            </w:r>
            <w:r w:rsidRPr="00120B7E">
              <w:rPr>
                <w:rFonts w:ascii="Verdana" w:eastAsia="Aptos" w:hAnsi="Verdana" w:cs="Arial"/>
                <w:bCs/>
                <w:lang w:val="es-MX" w:eastAsia="es-ES_tradnl"/>
              </w:rPr>
              <w:t>”</w:t>
            </w:r>
            <w:r w:rsidRPr="00120B7E">
              <w:rPr>
                <w:rFonts w:ascii="Verdana" w:eastAsia="Aptos" w:hAnsi="Verdana" w:cs="Arial"/>
                <w:bCs/>
                <w:vertAlign w:val="superscript"/>
                <w:lang w:val="es-MX" w:eastAsia="es-ES_tradnl"/>
              </w:rPr>
              <w:footnoteReference w:id="3"/>
            </w:r>
            <w:r w:rsidRPr="00120B7E">
              <w:rPr>
                <w:rFonts w:ascii="Verdana" w:eastAsia="Aptos" w:hAnsi="Verdana" w:cs="Arial"/>
                <w:bCs/>
                <w:lang w:val="es-MX" w:eastAsia="es-ES_tradnl" w:bidi="es-ES"/>
              </w:rPr>
              <w:t xml:space="preserve">. </w:t>
            </w:r>
          </w:p>
          <w:p w14:paraId="1EFDAD5F" w14:textId="77777777" w:rsidR="00120B7E" w:rsidRPr="00120B7E" w:rsidRDefault="00120B7E" w:rsidP="00120B7E">
            <w:pPr>
              <w:snapToGrid w:val="0"/>
              <w:spacing w:after="120" w:line="276" w:lineRule="auto"/>
              <w:ind w:firstLine="709"/>
              <w:jc w:val="both"/>
              <w:rPr>
                <w:rFonts w:ascii="Verdana" w:eastAsia="Aptos" w:hAnsi="Verdana" w:cs="Arial"/>
                <w:bCs/>
                <w:lang w:val="es-MX" w:eastAsia="es-ES_tradnl" w:bidi="es-ES"/>
              </w:rPr>
            </w:pPr>
            <w:r w:rsidRPr="00120B7E">
              <w:rPr>
                <w:rFonts w:ascii="Verdana" w:eastAsia="Aptos" w:hAnsi="Verdana" w:cs="Arial"/>
                <w:bCs/>
                <w:lang w:val="es-MX" w:eastAsia="es-ES_tradnl" w:bidi="es-ES"/>
              </w:rPr>
              <w:t xml:space="preserve">Para la determinación de los aspectos que no alteran la esencia del contrato estatal y que por ello al variarse no lo convierte en otro contrato, resulta útil remitirse a lo previsto en el artículo 1501 del Código Civil, que establece que los contratos tienen elementos de su esencia, de su naturaleza y accidentales. Las definiciones de cada uno de dichos conceptos efectuadas en el artículo en comento resultarán útiles para establecer, en un caso determinado, si una específica modificación altera la esencia del contrato. </w:t>
            </w:r>
          </w:p>
          <w:p w14:paraId="04F0E5D7" w14:textId="77777777" w:rsidR="00120B7E" w:rsidRPr="00120B7E" w:rsidRDefault="00120B7E" w:rsidP="00120B7E">
            <w:pPr>
              <w:snapToGrid w:val="0"/>
              <w:spacing w:line="276" w:lineRule="auto"/>
              <w:ind w:firstLine="709"/>
              <w:jc w:val="both"/>
              <w:rPr>
                <w:rFonts w:ascii="Verdana" w:eastAsia="Aptos" w:hAnsi="Verdana" w:cs="Arial"/>
                <w:bCs/>
                <w:kern w:val="2"/>
                <w:lang w:val="es-MX" w:eastAsia="es-ES_tradnl" w:bidi="es-ES"/>
                <w14:ligatures w14:val="standardContextual"/>
              </w:rPr>
            </w:pPr>
            <w:r w:rsidRPr="00120B7E">
              <w:rPr>
                <w:rFonts w:ascii="Verdana" w:eastAsia="Aptos" w:hAnsi="Verdana" w:cs="Times New Roman"/>
                <w:lang w:val="es-ES_tradnl"/>
              </w:rPr>
              <w:t xml:space="preserve">De todas formas, corresponderá a cada Entidad Estatal realizar el análisis respecto a la procedencia de modificar determinado contrato estatal, en el entendido de que se respeten las reglas establecidas en el ordenamiento jurídico, de acuerdo </w:t>
            </w:r>
            <w:r w:rsidRPr="00120B7E">
              <w:rPr>
                <w:rFonts w:ascii="Verdana" w:eastAsia="Aptos" w:hAnsi="Verdana" w:cs="Arial"/>
                <w:bCs/>
                <w:lang w:val="es-MX" w:eastAsia="es-ES_tradnl" w:bidi="es-ES"/>
              </w:rPr>
              <w:t>con lo expuesto anteriormente, además de definir previamente su procedencia desde la perspectiva jurídica, técnica y financiera.</w:t>
            </w:r>
            <w:r w:rsidRPr="00120B7E">
              <w:rPr>
                <w:rFonts w:ascii="Verdana" w:eastAsia="Arial" w:hAnsi="Verdana" w:cs="Arial"/>
                <w:lang w:val="es-ES" w:eastAsia="es-ES" w:bidi="es-ES"/>
              </w:rPr>
              <w:t xml:space="preserve"> </w:t>
            </w:r>
          </w:p>
        </w:tc>
      </w:tr>
      <w:bookmarkEnd w:id="1"/>
    </w:tbl>
    <w:p w14:paraId="38ED646D" w14:textId="77777777" w:rsidR="00120B7E" w:rsidRPr="00120B7E" w:rsidRDefault="00120B7E" w:rsidP="00120B7E">
      <w:pPr>
        <w:tabs>
          <w:tab w:val="left" w:pos="142"/>
          <w:tab w:val="left" w:pos="284"/>
        </w:tabs>
        <w:spacing w:after="0" w:line="276" w:lineRule="auto"/>
        <w:ind w:left="360"/>
        <w:jc w:val="both"/>
        <w:rPr>
          <w:rFonts w:ascii="Verdana" w:eastAsia="Century Gothic" w:hAnsi="Verdana" w:cs="Century Gothic"/>
          <w:lang w:val="es-ES"/>
        </w:rPr>
      </w:pPr>
    </w:p>
    <w:p w14:paraId="06326E9C" w14:textId="77777777" w:rsidR="00120B7E" w:rsidRPr="00120B7E" w:rsidRDefault="00120B7E" w:rsidP="00120B7E">
      <w:pPr>
        <w:numPr>
          <w:ilvl w:val="0"/>
          <w:numId w:val="17"/>
        </w:numPr>
        <w:tabs>
          <w:tab w:val="left" w:pos="142"/>
          <w:tab w:val="left" w:pos="284"/>
        </w:tabs>
        <w:spacing w:after="0" w:line="276" w:lineRule="auto"/>
        <w:jc w:val="both"/>
        <w:rPr>
          <w:rFonts w:ascii="Verdana" w:eastAsia="Century Gothic" w:hAnsi="Verdana" w:cs="Century Gothic"/>
          <w:b/>
          <w:bCs/>
          <w:lang w:val="es-ES"/>
        </w:rPr>
      </w:pPr>
      <w:r w:rsidRPr="00120B7E">
        <w:rPr>
          <w:rFonts w:ascii="Verdana" w:eastAsia="Century Gothic" w:hAnsi="Verdana" w:cs="Century Gothic"/>
          <w:b/>
          <w:bCs/>
          <w:lang w:val="es-ES"/>
        </w:rPr>
        <w:t>Razones de la respuesta:</w:t>
      </w:r>
    </w:p>
    <w:p w14:paraId="57CA1550" w14:textId="77777777" w:rsidR="00120B7E" w:rsidRPr="00120B7E" w:rsidRDefault="00120B7E" w:rsidP="00120B7E">
      <w:pPr>
        <w:spacing w:after="0" w:line="276" w:lineRule="auto"/>
        <w:jc w:val="both"/>
        <w:rPr>
          <w:rFonts w:ascii="Verdana" w:eastAsia="Calibri" w:hAnsi="Verdana" w:cs="Arial"/>
          <w:color w:val="7030A0"/>
          <w:lang w:val="es-ES"/>
        </w:rPr>
      </w:pPr>
    </w:p>
    <w:p w14:paraId="7EA07234" w14:textId="77777777" w:rsidR="00120B7E" w:rsidRPr="00120B7E" w:rsidRDefault="00120B7E" w:rsidP="00120B7E">
      <w:pPr>
        <w:spacing w:after="0" w:line="276" w:lineRule="auto"/>
        <w:jc w:val="both"/>
        <w:rPr>
          <w:rFonts w:ascii="Verdana" w:eastAsia="Calibri" w:hAnsi="Verdana" w:cs="Arial"/>
          <w:lang w:val="es-ES"/>
        </w:rPr>
      </w:pPr>
      <w:r w:rsidRPr="00120B7E">
        <w:rPr>
          <w:rFonts w:ascii="Verdana" w:eastAsia="Calibri" w:hAnsi="Verdana" w:cs="Arial"/>
          <w:lang w:val="es-ES"/>
        </w:rPr>
        <w:t>Lo anterior se sustenta en las siguientes consideraciones:</w:t>
      </w:r>
    </w:p>
    <w:p w14:paraId="6C4A346B" w14:textId="77777777" w:rsidR="00120B7E" w:rsidRPr="00120B7E" w:rsidRDefault="00120B7E" w:rsidP="00120B7E">
      <w:pPr>
        <w:spacing w:after="0" w:line="276" w:lineRule="auto"/>
        <w:jc w:val="both"/>
        <w:rPr>
          <w:rFonts w:ascii="Verdana" w:eastAsia="Calibri" w:hAnsi="Verdana" w:cs="Arial"/>
          <w:lang w:val="es-ES"/>
        </w:rPr>
      </w:pPr>
    </w:p>
    <w:p w14:paraId="75C9CCB4" w14:textId="77777777" w:rsidR="00120B7E" w:rsidRPr="00120B7E" w:rsidRDefault="00120B7E" w:rsidP="00120B7E">
      <w:pPr>
        <w:tabs>
          <w:tab w:val="center" w:pos="4419"/>
          <w:tab w:val="right" w:pos="8838"/>
        </w:tabs>
        <w:spacing w:after="120" w:line="276" w:lineRule="auto"/>
        <w:jc w:val="both"/>
        <w:rPr>
          <w:rFonts w:ascii="Verdana" w:eastAsia="Calibri" w:hAnsi="Verdana" w:cs="Arial"/>
          <w:color w:val="000000"/>
          <w:lang w:val="es-ES"/>
        </w:rPr>
      </w:pPr>
      <w:r w:rsidRPr="00120B7E">
        <w:rPr>
          <w:rFonts w:ascii="Verdana" w:eastAsia="Calibri" w:hAnsi="Verdana" w:cs="Arial"/>
          <w:lang w:val="es-ES"/>
        </w:rPr>
        <w:t xml:space="preserve">i. </w:t>
      </w:r>
      <w:r w:rsidRPr="00120B7E">
        <w:rPr>
          <w:rFonts w:ascii="Verdana" w:eastAsia="Calibri" w:hAnsi="Verdana" w:cs="Arial"/>
          <w:color w:val="000000"/>
          <w:lang w:val="es-ES"/>
        </w:rPr>
        <w:t>Todas las resoluciones</w:t>
      </w:r>
      <w:r w:rsidRPr="00120B7E">
        <w:rPr>
          <w:rFonts w:ascii="Verdana" w:eastAsia="Calibri" w:hAnsi="Verdana" w:cs="Arial"/>
          <w:color w:val="000000"/>
          <w:vertAlign w:val="superscript"/>
          <w:lang w:val="es-ES"/>
        </w:rPr>
        <w:footnoteReference w:id="4"/>
      </w:r>
      <w:r w:rsidRPr="00120B7E">
        <w:rPr>
          <w:rFonts w:ascii="Verdana" w:eastAsia="Calibri" w:hAnsi="Verdana" w:cs="Arial"/>
          <w:color w:val="000000"/>
          <w:lang w:val="es-ES"/>
        </w:rPr>
        <w:t xml:space="preserve"> expedidas por la Agencia Nacional de Contratación Pública – Colombia Compra Eficiente, mediante las cuales se adoptaron los documentos tipo, consagran la regla de la inalterabilidad. Esta prohibición consiste en que las entidades estatales no pueden incluir o modificar en los </w:t>
      </w:r>
      <w:r w:rsidRPr="00120B7E">
        <w:rPr>
          <w:rFonts w:ascii="Verdana" w:eastAsia="Calibri" w:hAnsi="Verdana" w:cs="Arial"/>
          <w:i/>
          <w:iCs/>
          <w:color w:val="000000"/>
          <w:lang w:val="es-ES"/>
        </w:rPr>
        <w:t>Documentos del Proceso</w:t>
      </w:r>
      <w:r w:rsidRPr="00120B7E">
        <w:rPr>
          <w:rFonts w:ascii="Verdana" w:eastAsia="Calibri" w:hAnsi="Verdana" w:cs="Arial"/>
          <w:color w:val="000000"/>
          <w:lang w:val="es-ES"/>
        </w:rPr>
        <w:t xml:space="preserve"> las condiciones habilitantes, los factores técnicos y económicos de escogencia y los sistemas de ponderación distintos a los señalados en los documentos tipo. En consecuencia, las condiciones establecidas en los documentos tipo son de obligatorio cumplimiento para las entidades sometidas al Estatuto General de Contratación de la Administración Pública que adelanten procesos que deban regirse por su contenido, y no pueden variarse los requisitos fijados en ellos. Por lo tanto, las entidades estatales, al realizar sus procedimientos de selección, solo podrán modificarlos en los aspectos en que los documentos tipo lo permitan.</w:t>
      </w:r>
    </w:p>
    <w:p w14:paraId="59BEFB84" w14:textId="77777777" w:rsidR="00120B7E" w:rsidRPr="00120B7E" w:rsidRDefault="00120B7E" w:rsidP="00120B7E">
      <w:pPr>
        <w:spacing w:before="120" w:after="120" w:line="276" w:lineRule="auto"/>
        <w:ind w:firstLine="709"/>
        <w:jc w:val="both"/>
        <w:rPr>
          <w:rFonts w:ascii="Verdana" w:eastAsia="Calibri" w:hAnsi="Verdana" w:cs="Arial"/>
          <w:lang w:val="es-ES_tradnl"/>
        </w:rPr>
      </w:pPr>
      <w:r w:rsidRPr="00120B7E">
        <w:rPr>
          <w:rFonts w:ascii="Verdana" w:eastAsia="Calibri" w:hAnsi="Verdana" w:cs="Arial"/>
          <w:lang w:val="es-ES_tradnl"/>
        </w:rPr>
        <w:t xml:space="preserve">El fundamento legal vigente de la regla de la inalterabilidad está en el artículo 1 de la Ley 2022 de 2020, según el cual “(…) serán de obligatorio cumplimiento en la actividad contractual de todas las entidades sometidas al Estatuto General de Contratación de la Administración Pública”. Pero eso no significa que antes no rigiera, pues así también lo disponía el artículo 4 de la Ley 1882 de 2018. Por vía reglamentaria, también quedó consignado en su momento el carácter inmodificable de los pliegos tipo en el artículo 1 de los Decretos 342 de 2019, Decreto 2096 de 2019 y 594 de 2020, que adicionaron, respectivamente, los artículos 2.2.1.2.6.1.4, 2.2.1.2.6.2.3 y 2.2.1.2.6.3.4 al Decreto 1082 de 2015. En esta línea, las entidades públicas deberán sujetarse de forma irrestricta a las reglas establecidas en los documentos tipo, dispuestas en las diferentes resoluciones expedidas por la Agencia, por lo que no pueden hacer excepciones bajo una supuesta discrecionalidad a estas reglas que son obligatorias. </w:t>
      </w:r>
    </w:p>
    <w:p w14:paraId="0EC3E6F9" w14:textId="77777777" w:rsidR="00120B7E" w:rsidRPr="00120B7E" w:rsidRDefault="00120B7E" w:rsidP="00120B7E">
      <w:pPr>
        <w:spacing w:before="120" w:after="120" w:line="276" w:lineRule="auto"/>
        <w:ind w:firstLine="709"/>
        <w:jc w:val="both"/>
        <w:rPr>
          <w:rFonts w:ascii="Verdana" w:eastAsia="Calibri" w:hAnsi="Verdana" w:cs="Arial"/>
          <w:lang w:val="es-ES_tradnl"/>
        </w:rPr>
      </w:pPr>
      <w:r w:rsidRPr="00120B7E">
        <w:rPr>
          <w:rFonts w:ascii="Verdana" w:eastAsia="Calibri" w:hAnsi="Verdana" w:cs="Arial"/>
          <w:lang w:val="es-ES_tradnl"/>
        </w:rPr>
        <w:t>La inalterabilidad de los documentos tipo es una manifestación en mayor grado de las potestades regladas, lo cual implica una reducción de la discrecionalidad de la Administración en el momento de tomar una decisión en el proceso de contratación</w:t>
      </w:r>
      <w:r w:rsidRPr="00120B7E">
        <w:rPr>
          <w:rFonts w:ascii="Verdana" w:eastAsia="Calibri" w:hAnsi="Verdana" w:cs="Arial"/>
          <w:vertAlign w:val="superscript"/>
          <w:lang w:val="es-ES_tradnl"/>
        </w:rPr>
        <w:footnoteReference w:id="5"/>
      </w:r>
      <w:r w:rsidRPr="00120B7E">
        <w:rPr>
          <w:rFonts w:ascii="Verdana" w:eastAsia="Calibri" w:hAnsi="Verdana" w:cs="Arial"/>
          <w:lang w:val="es-ES_tradnl"/>
        </w:rPr>
        <w:t xml:space="preserve">. Cada entidad pública sujeta a los documentos tipo deberá hacer una aplicación o constatación irrestricta de las reglas y condiciones dispuestas en estos, salvo que las mismas posibilitan la discrecionalidad en determinados aspectos. </w:t>
      </w:r>
    </w:p>
    <w:p w14:paraId="0C80A724" w14:textId="77777777" w:rsidR="00120B7E" w:rsidRPr="00120B7E" w:rsidRDefault="00120B7E" w:rsidP="00120B7E">
      <w:pPr>
        <w:spacing w:before="120" w:after="120" w:line="276" w:lineRule="auto"/>
        <w:ind w:firstLine="709"/>
        <w:jc w:val="both"/>
        <w:rPr>
          <w:rFonts w:ascii="Verdana" w:eastAsia="Calibri" w:hAnsi="Verdana" w:cs="Arial"/>
          <w:lang w:val="es-ES"/>
        </w:rPr>
      </w:pPr>
      <w:r w:rsidRPr="00120B7E">
        <w:rPr>
          <w:rFonts w:ascii="Verdana" w:eastAsia="Calibri" w:hAnsi="Verdana" w:cs="Arial"/>
          <w:lang w:val="es-ES"/>
        </w:rPr>
        <w:t xml:space="preserve">Además, las entidades estatales deben garantizar el </w:t>
      </w:r>
      <w:r w:rsidRPr="00120B7E">
        <w:rPr>
          <w:rFonts w:ascii="Verdana" w:eastAsia="Calibri" w:hAnsi="Verdana" w:cs="Arial"/>
          <w:i/>
          <w:iCs/>
          <w:lang w:val="es-ES"/>
        </w:rPr>
        <w:t>principio de economía</w:t>
      </w:r>
      <w:r w:rsidRPr="00120B7E">
        <w:rPr>
          <w:rFonts w:ascii="Verdana" w:eastAsia="Calibri" w:hAnsi="Verdana" w:cs="Arial"/>
          <w:lang w:val="es-ES"/>
        </w:rPr>
        <w:t>, del cual se desprende que no pueden exigir documentos o requisitos más allá de los que permitan la Constitución, la ley y los reglamentos. Este postulado ha sido recogido no solo en la contratación estatal</w:t>
      </w:r>
      <w:r w:rsidRPr="00120B7E">
        <w:rPr>
          <w:rFonts w:ascii="Verdana" w:eastAsia="Calibri" w:hAnsi="Verdana" w:cs="Arial"/>
          <w:vertAlign w:val="superscript"/>
          <w:lang w:val="es-ES"/>
        </w:rPr>
        <w:footnoteReference w:id="6"/>
      </w:r>
      <w:r w:rsidRPr="00120B7E">
        <w:rPr>
          <w:rFonts w:ascii="Verdana" w:eastAsia="Calibri" w:hAnsi="Verdana" w:cs="Arial"/>
          <w:lang w:val="es-ES"/>
        </w:rPr>
        <w:t xml:space="preserve"> sino además en la normativa antitrámites</w:t>
      </w:r>
      <w:r w:rsidRPr="00120B7E">
        <w:rPr>
          <w:rFonts w:ascii="Verdana" w:eastAsia="Calibri" w:hAnsi="Verdana" w:cs="Arial"/>
          <w:vertAlign w:val="superscript"/>
          <w:lang w:val="es-ES"/>
        </w:rPr>
        <w:footnoteReference w:id="7"/>
      </w:r>
      <w:r w:rsidRPr="00120B7E">
        <w:rPr>
          <w:rFonts w:ascii="Verdana" w:eastAsia="Calibri" w:hAnsi="Verdana" w:cs="Arial"/>
          <w:lang w:val="es-ES"/>
        </w:rPr>
        <w:t>; pues se inscribe dentro de la tendencia de simplificación y racionalización de los procedimientos administrativos. De ahí que cuando las autoridades solicitan la entrega de documentación innecesaria, desconocen el principio de economía.</w:t>
      </w:r>
    </w:p>
    <w:p w14:paraId="3E98CAE6" w14:textId="77777777" w:rsidR="00120B7E" w:rsidRPr="00120B7E" w:rsidRDefault="00120B7E" w:rsidP="00120B7E">
      <w:pPr>
        <w:spacing w:after="120" w:line="276" w:lineRule="auto"/>
        <w:ind w:firstLine="708"/>
        <w:jc w:val="both"/>
        <w:rPr>
          <w:rFonts w:ascii="Verdana" w:eastAsia="Calibri" w:hAnsi="Verdana" w:cs="Arial"/>
          <w:color w:val="000000"/>
          <w:lang w:val="es-ES"/>
        </w:rPr>
      </w:pPr>
      <w:r w:rsidRPr="00120B7E">
        <w:rPr>
          <w:rFonts w:ascii="Verdana" w:eastAsia="Calibri" w:hAnsi="Verdana" w:cs="Arial"/>
          <w:color w:val="000000"/>
          <w:lang w:val="es-ES"/>
        </w:rPr>
        <w:t>Otro aspecto sobre el principio que inalterabilidad que debe destacarse es que, sin mínimos inalterables, los documentos tipo, estándar o normalizados, sencillamente, perderían sus características. Bajo riesgo de señalar una obviedad, se debe decir que la definición del término estándar es “Que sirve como tipo, modelo, norma, patrón o referencia”</w:t>
      </w:r>
      <w:r w:rsidRPr="00120B7E">
        <w:rPr>
          <w:rFonts w:ascii="Verdana" w:eastAsia="Calibri" w:hAnsi="Verdana" w:cs="Arial"/>
          <w:color w:val="000000"/>
          <w:vertAlign w:val="superscript"/>
          <w:lang w:val="es-ES"/>
        </w:rPr>
        <w:footnoteReference w:id="8"/>
      </w:r>
      <w:r w:rsidRPr="00120B7E">
        <w:rPr>
          <w:rFonts w:ascii="Verdana" w:eastAsia="Calibri" w:hAnsi="Verdana" w:cs="Arial"/>
          <w:color w:val="000000"/>
          <w:lang w:val="es-ES"/>
        </w:rPr>
        <w:t xml:space="preserve">. Si las autoridades pudiesen agregar, eliminar o modificar todos y cada uno de los aspectos contenidos en los pliegos tipo, estos documentos, llanamente, no podrían ser llamados pliegos tipo. </w:t>
      </w:r>
    </w:p>
    <w:p w14:paraId="06ACA396" w14:textId="77777777" w:rsidR="00120B7E" w:rsidRPr="00120B7E" w:rsidRDefault="00120B7E" w:rsidP="00120B7E">
      <w:pPr>
        <w:spacing w:after="120" w:line="276" w:lineRule="auto"/>
        <w:ind w:firstLine="708"/>
        <w:jc w:val="both"/>
        <w:rPr>
          <w:rFonts w:ascii="Verdana" w:eastAsia="Calibri" w:hAnsi="Verdana" w:cs="Arial"/>
          <w:color w:val="000000"/>
          <w:lang w:val="es-ES"/>
        </w:rPr>
      </w:pPr>
      <w:r w:rsidRPr="00120B7E">
        <w:rPr>
          <w:rFonts w:ascii="Verdana" w:eastAsia="Calibri" w:hAnsi="Verdana" w:cs="Arial"/>
          <w:color w:val="000000"/>
          <w:lang w:val="es-ES"/>
        </w:rPr>
        <w:t xml:space="preserve">De otra parte, a la luz de los objetivos perseguidos, si la normativa permitiera la alteración de todo el documento tipo, sería imposible verificar en la práctica las ventajas perseguidas por el legislador. Así, por ejemplo, si cada autoridad pudiese rediseñar por completo el documento, la transparencia del sistema de compras públicas no sería mayor con la introducción de la estandarización de documentos. De similar manera, bajo la hipótesis de trabajo referida, las entidades podrían modificar todo el contenido del pliego, retornando a una de las prácticas que se buscó eliminar: la elaboración de “pliegos sastre”, que eliminan la competencia. En ese orden, si se permite ilimitadamente introducir ajustes, las entidades estatales podrían reintroducir los sesgos interpretativos incorrectos que se buscó erradicar con la introducción de la herramienta analizada. </w:t>
      </w:r>
    </w:p>
    <w:p w14:paraId="280C76A7" w14:textId="77777777" w:rsidR="00120B7E" w:rsidRPr="00120B7E" w:rsidRDefault="00120B7E" w:rsidP="00120B7E">
      <w:pPr>
        <w:spacing w:after="120" w:line="276" w:lineRule="auto"/>
        <w:ind w:firstLine="708"/>
        <w:jc w:val="both"/>
        <w:rPr>
          <w:rFonts w:ascii="Verdana" w:eastAsia="Calibri" w:hAnsi="Verdana" w:cs="Arial"/>
          <w:color w:val="000000"/>
          <w:lang w:val="es-ES"/>
        </w:rPr>
      </w:pPr>
      <w:r w:rsidRPr="00120B7E">
        <w:rPr>
          <w:rFonts w:ascii="Verdana" w:eastAsia="Calibri" w:hAnsi="Verdana" w:cs="Arial"/>
          <w:color w:val="000000"/>
          <w:lang w:val="es-ES"/>
        </w:rPr>
        <w:t>Con base en lo dicho, se observa con toda claridad la necesidad de que existan unos mínimos inalterables que permitan, de un lado, que los pliegos tipo sean propiamente tales y, del otro, que se garanticen los fines expresamente perseguidos por el legislador con su introducción al ordenamiento nacional.</w:t>
      </w:r>
    </w:p>
    <w:p w14:paraId="0130B140" w14:textId="77777777" w:rsidR="00120B7E" w:rsidRPr="00120B7E" w:rsidRDefault="00120B7E" w:rsidP="00120B7E">
      <w:pPr>
        <w:spacing w:after="120" w:line="276" w:lineRule="auto"/>
        <w:ind w:firstLine="708"/>
        <w:jc w:val="both"/>
        <w:rPr>
          <w:rFonts w:ascii="Verdana" w:eastAsia="Calibri" w:hAnsi="Verdana" w:cs="Arial"/>
          <w:color w:val="000000"/>
          <w:lang w:val="es-ES"/>
        </w:rPr>
      </w:pPr>
      <w:r w:rsidRPr="00120B7E">
        <w:rPr>
          <w:rFonts w:ascii="Verdana" w:eastAsia="Calibri" w:hAnsi="Verdana" w:cs="Arial"/>
          <w:lang w:val="es-MX"/>
        </w:rPr>
        <w:t xml:space="preserve">No obstante, la parte introductoria de los documentos base de los documentos tipo disponen que los aspectos incluidos en corchetes y resaltados en gris </w:t>
      </w:r>
      <w:r w:rsidRPr="00120B7E">
        <w:rPr>
          <w:rFonts w:ascii="Verdana" w:eastAsia="Aptos" w:hAnsi="Verdana" w:cs="Arial"/>
        </w:rPr>
        <w:t>–[</w:t>
      </w:r>
      <w:r w:rsidRPr="00120B7E">
        <w:rPr>
          <w:rFonts w:ascii="Verdana" w:eastAsia="Aptos" w:hAnsi="Verdana" w:cs="Arial"/>
          <w:highlight w:val="lightGray"/>
        </w:rPr>
        <w:t>texto de ejemplo</w:t>
      </w:r>
      <w:r w:rsidRPr="00120B7E">
        <w:rPr>
          <w:rFonts w:ascii="Verdana" w:eastAsia="Aptos" w:hAnsi="Verdana" w:cs="Arial"/>
        </w:rPr>
        <w:t xml:space="preserve">]– </w:t>
      </w:r>
      <w:r w:rsidRPr="00120B7E">
        <w:rPr>
          <w:rFonts w:ascii="Verdana" w:eastAsia="Calibri" w:hAnsi="Verdana" w:cs="Arial"/>
          <w:lang w:val="es-MX"/>
        </w:rPr>
        <w:t xml:space="preserve">deben ser diligenciados por la entidad. Excepcionalmente le corresponde al proponente consignar la información incluida en corchetes y resaltada en gris, como, por ejemplo, los formatos que requieren de la firma del proponente o su representante legal. De todos modos, en cada acápite que esté resaltado en gris la entidad tendrá la libertad de determinar la información que se diligenciará en los documentos tipo, de acuerdo con su necesidad y las instrucciones de los mismos documentos tipo. </w:t>
      </w:r>
    </w:p>
    <w:p w14:paraId="440C89CA" w14:textId="77777777" w:rsidR="00120B7E" w:rsidRPr="00120B7E" w:rsidRDefault="00120B7E" w:rsidP="00120B7E">
      <w:pPr>
        <w:spacing w:after="120" w:line="276" w:lineRule="auto"/>
        <w:ind w:firstLine="708"/>
        <w:jc w:val="both"/>
        <w:rPr>
          <w:rFonts w:ascii="Aptos" w:eastAsia="Aptos" w:hAnsi="Aptos" w:cs="Times New Roman"/>
          <w:kern w:val="2"/>
          <w:sz w:val="24"/>
          <w:szCs w:val="24"/>
          <w:lang w:val="es-MX"/>
          <w14:ligatures w14:val="standardContextual"/>
        </w:rPr>
      </w:pPr>
      <w:r w:rsidRPr="00120B7E">
        <w:rPr>
          <w:rFonts w:ascii="Verdana" w:eastAsia="Calibri" w:hAnsi="Verdana" w:cs="Arial"/>
          <w:lang w:val="es-MX"/>
        </w:rPr>
        <w:t xml:space="preserve">Debe indicarse que, la regla de inalterabilidad que recae sobre los documentos tipo, también se encuentra consagrada de forma expresa en el documento base. Así, por ejemplo, en el aparte sobre las normas de interpretación del pliego de condiciones, el literal I del numeral 1.17 del pliego tipo de los documentos tipo de licitación de obra pública de infraestructura de transporte dispone lo siguiente: </w:t>
      </w:r>
      <w:r w:rsidRPr="00120B7E">
        <w:rPr>
          <w:rFonts w:ascii="Verdana" w:eastAsia="Calibri" w:hAnsi="Verdana" w:cs="Arial"/>
          <w:i/>
          <w:iCs/>
          <w:lang w:val="es-MX"/>
        </w:rPr>
        <w:t>“</w:t>
      </w:r>
      <w:r w:rsidRPr="00120B7E">
        <w:rPr>
          <w:rFonts w:ascii="Verdana" w:eastAsia="Aptos" w:hAnsi="Verdana" w:cs="Times New Roman"/>
          <w:i/>
          <w:iCs/>
          <w:kern w:val="2"/>
          <w:lang w:val="es-MX"/>
          <w14:ligatures w14:val="standardContextual"/>
        </w:rPr>
        <w:t>Los Documentos Tipo son inalterables y no se podrán incluir o modificar los Anexos, Formatos y Formularios, ni exigir soportes o requisitos adicionales; salvo cuando se permita en forma expresa, es decir, en los aspectos incluidos en corchetes y resaltados en gris”.</w:t>
      </w:r>
      <w:r w:rsidRPr="00120B7E">
        <w:rPr>
          <w:rFonts w:ascii="Aptos" w:eastAsia="Aptos" w:hAnsi="Aptos" w:cs="Times New Roman"/>
          <w:kern w:val="2"/>
          <w:sz w:val="24"/>
          <w:szCs w:val="24"/>
          <w:lang w:val="es-MX"/>
          <w14:ligatures w14:val="standardContextual"/>
        </w:rPr>
        <w:t xml:space="preserve"> </w:t>
      </w:r>
    </w:p>
    <w:p w14:paraId="300EE44D" w14:textId="77777777" w:rsidR="00120B7E" w:rsidRPr="00120B7E" w:rsidRDefault="00120B7E" w:rsidP="00120B7E">
      <w:pPr>
        <w:spacing w:before="120" w:after="120" w:line="276" w:lineRule="auto"/>
        <w:ind w:firstLine="709"/>
        <w:jc w:val="both"/>
        <w:rPr>
          <w:rFonts w:ascii="Verdana" w:eastAsia="Calibri" w:hAnsi="Verdana" w:cs="Arial"/>
          <w:bCs/>
          <w:lang w:val="es-MX"/>
        </w:rPr>
      </w:pPr>
      <w:r w:rsidRPr="00120B7E">
        <w:rPr>
          <w:rFonts w:ascii="Verdana" w:eastAsia="Calibri" w:hAnsi="Verdana" w:cs="Arial"/>
          <w:bCs/>
          <w:lang w:val="es-MX"/>
        </w:rPr>
        <w:t>En suma, la regla general frente la aplicación de los documentos tipo es su inalterabilidad, y no podrán incluirse o modificarse en los documentos del proceso las condiciones habilitantes, los factores técnicos y económicos de escogencia y los sistemas de ponderación distintos a los señalados en los documentos tipo. En tal sentido, estos solo se podrán modificar respecto a aquellos contenidos que el mismo documento tipo lo permita.</w:t>
      </w:r>
    </w:p>
    <w:p w14:paraId="46591BB7" w14:textId="77777777" w:rsidR="00120B7E" w:rsidRPr="00120B7E" w:rsidRDefault="00120B7E" w:rsidP="00120B7E">
      <w:pPr>
        <w:spacing w:before="120" w:after="120" w:line="276" w:lineRule="auto"/>
        <w:ind w:firstLine="709"/>
        <w:jc w:val="both"/>
        <w:rPr>
          <w:rFonts w:ascii="Verdana" w:eastAsia="Calibri" w:hAnsi="Verdana" w:cs="Arial"/>
          <w:bCs/>
          <w:lang w:val="es-MX"/>
        </w:rPr>
      </w:pPr>
      <w:r w:rsidRPr="00120B7E">
        <w:rPr>
          <w:rFonts w:ascii="Verdana" w:eastAsia="Calibri" w:hAnsi="Verdana" w:cs="Arial"/>
          <w:bCs/>
          <w:lang w:val="es-MX"/>
        </w:rPr>
        <w:t xml:space="preserve">Esta regla de inalterabilidad </w:t>
      </w:r>
      <w:r w:rsidRPr="00120B7E">
        <w:rPr>
          <w:rFonts w:ascii="Verdana" w:eastAsia="Calibri" w:hAnsi="Verdana" w:cs="Arial"/>
          <w:bCs/>
          <w:i/>
          <w:iCs/>
          <w:lang w:val="es-MX"/>
        </w:rPr>
        <w:t>también aplica a los formatos, formularios, anexos y matrices</w:t>
      </w:r>
      <w:r w:rsidRPr="00120B7E">
        <w:rPr>
          <w:rFonts w:ascii="Verdana" w:eastAsia="Calibri" w:hAnsi="Verdana" w:cs="Arial"/>
          <w:bCs/>
          <w:lang w:val="es-MX"/>
        </w:rPr>
        <w:t xml:space="preserve"> implementados junto con el “Documento Base”, los cuales deben usarse en el procedimiento de contratación. Estos, al igual que el “Documento Base”, contienen apartes entre corchetes y resaltados en gris, los cuales deben ser diligenciados por la entidad, al igual que otros aspectos relativos a información que debe ser completada por los oferentes al hacer uso del formato. </w:t>
      </w:r>
    </w:p>
    <w:p w14:paraId="638908BB" w14:textId="77777777" w:rsidR="00120B7E" w:rsidRPr="00120B7E" w:rsidRDefault="00120B7E" w:rsidP="00120B7E">
      <w:pPr>
        <w:spacing w:before="120" w:after="120" w:line="276" w:lineRule="auto"/>
        <w:ind w:firstLine="709"/>
        <w:jc w:val="both"/>
        <w:rPr>
          <w:rFonts w:ascii="Verdana" w:eastAsia="Calibri" w:hAnsi="Verdana" w:cs="Arial"/>
          <w:lang w:val="es-MX"/>
        </w:rPr>
      </w:pPr>
      <w:r w:rsidRPr="00120B7E">
        <w:rPr>
          <w:rFonts w:ascii="Verdana" w:eastAsia="Calibri" w:hAnsi="Verdana" w:cs="Arial"/>
          <w:lang w:val="es-MX"/>
        </w:rPr>
        <w:t xml:space="preserve">Con todo, la regla de inalterabilidad de los documentos tipo debe armonizarse con principios de orden constitucional, especialmente con el de prevalencia del derecho sustancial, consagrado en el artículo 228 de la Constitución Política. La interpretación armónica de tales principios, a juicio de la Agencia Nacional de Contratación Pública, impide que la entidad que adelanta el proceso contractual le rinda culto a las “formas”, pues, en últimas, el deber que le asiste es el de tener en cuenta y aplicar los aspectos sustanciales de los documentos tipo, sin distingo de la formalidad de la que se sirva para ello los actores de la contratación pública. </w:t>
      </w:r>
    </w:p>
    <w:p w14:paraId="1B20D231" w14:textId="77777777" w:rsidR="00120B7E" w:rsidRPr="00120B7E" w:rsidRDefault="00120B7E" w:rsidP="00120B7E">
      <w:pPr>
        <w:spacing w:before="120" w:after="120" w:line="276" w:lineRule="auto"/>
        <w:ind w:firstLine="709"/>
        <w:jc w:val="both"/>
        <w:rPr>
          <w:rFonts w:ascii="Verdana" w:eastAsia="Aptos" w:hAnsi="Verdana" w:cs="Arial"/>
        </w:rPr>
      </w:pPr>
      <w:r w:rsidRPr="00120B7E">
        <w:rPr>
          <w:rFonts w:ascii="Verdana" w:eastAsia="Aptos" w:hAnsi="Verdana" w:cs="Arial"/>
        </w:rPr>
        <w:t xml:space="preserve">En relación con el principio constitucional </w:t>
      </w:r>
      <w:r w:rsidRPr="00120B7E">
        <w:rPr>
          <w:rFonts w:ascii="Verdana" w:eastAsia="Aptos" w:hAnsi="Verdana" w:cs="Arial"/>
          <w:i/>
          <w:iCs/>
        </w:rPr>
        <w:t>sub examine</w:t>
      </w:r>
      <w:r w:rsidRPr="00120B7E">
        <w:rPr>
          <w:rFonts w:ascii="Verdana" w:eastAsia="Aptos" w:hAnsi="Verdana" w:cs="Arial"/>
        </w:rPr>
        <w:t>, la Corte Constitucional explica que “(…) por disposición del artículo 228 Superior, las formas no deben convertirse en un obstáculo para la efectividad del derecho sustancial, sino que deben propender por su realización. Es decir, que las normas procesales son un medio para lograr la efectividad de los derechos subjetivos y no fines en sí mismas”</w:t>
      </w:r>
      <w:r w:rsidRPr="00120B7E">
        <w:rPr>
          <w:rFonts w:ascii="Verdana" w:eastAsia="Aptos" w:hAnsi="Verdana" w:cs="Arial"/>
          <w:vertAlign w:val="superscript"/>
        </w:rPr>
        <w:footnoteReference w:id="9"/>
      </w:r>
      <w:r w:rsidRPr="00120B7E">
        <w:rPr>
          <w:rFonts w:ascii="Verdana" w:eastAsia="Aptos" w:hAnsi="Verdana" w:cs="Arial"/>
        </w:rPr>
        <w:t xml:space="preserve">. </w:t>
      </w:r>
    </w:p>
    <w:p w14:paraId="552C56A0" w14:textId="77777777" w:rsidR="00120B7E" w:rsidRPr="00120B7E" w:rsidRDefault="00120B7E" w:rsidP="00120B7E">
      <w:pPr>
        <w:snapToGrid w:val="0"/>
        <w:spacing w:before="120" w:after="120" w:line="276" w:lineRule="auto"/>
        <w:ind w:firstLine="709"/>
        <w:jc w:val="both"/>
        <w:rPr>
          <w:rFonts w:ascii="Verdana" w:eastAsia="Calibri" w:hAnsi="Verdana" w:cs="Arial"/>
          <w:lang w:val="es-MX"/>
        </w:rPr>
      </w:pPr>
      <w:r w:rsidRPr="00120B7E">
        <w:rPr>
          <w:rFonts w:ascii="Verdana" w:eastAsia="Calibri" w:hAnsi="Verdana" w:cs="Arial"/>
          <w:lang w:val="es-MX"/>
        </w:rPr>
        <w:t>El carácter inalterable de los documentos tipo no puede, por tanto, hacerse extensivo a los aspectos meramente formales de tales documentos, esto es, el tamaño y tipo de letra, las márgenes o las expresiones que pretenden hacer más comprensible el documento, como es el caso de aquellas que informan que una expresión larga será referida con otra similar pero más corta. Lo anterior considerando que estos aspectos en nada afectan la aplicación y alcance de los documentos tipos, es decir, no afectan su contenido esencial y, mucho menos, las obligaciones, deberes y derechos que se derivan para las partes contratantes.</w:t>
      </w:r>
    </w:p>
    <w:p w14:paraId="21041424" w14:textId="77777777" w:rsidR="00120B7E" w:rsidRPr="00120B7E" w:rsidRDefault="00120B7E" w:rsidP="04E14B99">
      <w:pPr>
        <w:snapToGrid w:val="0"/>
        <w:spacing w:before="120" w:after="0" w:line="276" w:lineRule="auto"/>
        <w:ind w:firstLine="709"/>
        <w:jc w:val="both"/>
        <w:rPr>
          <w:rFonts w:ascii="Verdana" w:eastAsia="Calibri" w:hAnsi="Verdana" w:cs="Arial"/>
          <w:color w:val="000000"/>
          <w:kern w:val="2"/>
          <w:lang w:val="es-ES"/>
          <w14:ligatures w14:val="standardContextual"/>
        </w:rPr>
      </w:pPr>
      <w:r w:rsidRPr="04E14B99">
        <w:rPr>
          <w:rFonts w:ascii="Verdana" w:eastAsia="Calibri" w:hAnsi="Verdana" w:cs="Arial"/>
          <w:kern w:val="2"/>
          <w:lang w:val="es-ES"/>
          <w14:ligatures w14:val="standardContextual"/>
        </w:rPr>
        <w:t xml:space="preserve">En todo caso, bajo este entendimiento principialístico, el análisis en torno a los aspectos meramente formales de los formatos deberá hacerse en cada caso, de acuerdo con el alcance, el contenido y la finalidad de cada documento, sin perjuicio de las reglas de subsanabilidad de las ofertas establecidas en los documentos base y en el artículo 5 de la Ley 1882 de 2018. </w:t>
      </w:r>
    </w:p>
    <w:p w14:paraId="34855EA7" w14:textId="77777777" w:rsidR="00120B7E" w:rsidRPr="00120B7E" w:rsidRDefault="00120B7E" w:rsidP="00120B7E">
      <w:pPr>
        <w:spacing w:after="0" w:line="276" w:lineRule="auto"/>
        <w:jc w:val="both"/>
        <w:rPr>
          <w:rFonts w:ascii="Verdana" w:eastAsia="Calibri" w:hAnsi="Verdana" w:cs="Arial"/>
          <w:lang w:val="es-ES"/>
        </w:rPr>
      </w:pPr>
    </w:p>
    <w:p w14:paraId="7B8D01A2" w14:textId="77777777" w:rsidR="00120B7E" w:rsidRPr="00120B7E" w:rsidRDefault="00120B7E" w:rsidP="00120B7E">
      <w:pPr>
        <w:spacing w:after="120" w:line="276" w:lineRule="auto"/>
        <w:jc w:val="both"/>
        <w:rPr>
          <w:rFonts w:ascii="Verdana" w:eastAsia="Calibri" w:hAnsi="Verdana" w:cs="Arial"/>
          <w:lang w:val="es-ES"/>
        </w:rPr>
      </w:pPr>
      <w:r w:rsidRPr="00120B7E">
        <w:rPr>
          <w:rFonts w:ascii="Verdana" w:eastAsia="Calibri" w:hAnsi="Verdana" w:cs="Arial"/>
          <w:bCs/>
          <w:szCs w:val="24"/>
          <w:lang w:val="es-ES_tradnl" w:eastAsia="es-ES_tradnl"/>
        </w:rPr>
        <w:t xml:space="preserve">ii. </w:t>
      </w:r>
      <w:r w:rsidRPr="00120B7E">
        <w:rPr>
          <w:rFonts w:ascii="Verdana" w:eastAsia="Calibri" w:hAnsi="Verdana" w:cs="Arial"/>
          <w:bCs/>
          <w:lang w:val="es-ES_tradnl"/>
        </w:rPr>
        <w:t xml:space="preserve">Como es sabido, uno de los elementos más comunes en los contratos estatales es el </w:t>
      </w:r>
      <w:r w:rsidRPr="00120B7E">
        <w:rPr>
          <w:rFonts w:ascii="Verdana" w:eastAsia="Calibri" w:hAnsi="Verdana" w:cs="Arial"/>
          <w:bCs/>
          <w:i/>
          <w:iCs/>
          <w:lang w:val="es-ES_tradnl"/>
        </w:rPr>
        <w:t>precio</w:t>
      </w:r>
      <w:r w:rsidRPr="00120B7E">
        <w:rPr>
          <w:rFonts w:ascii="Verdana" w:eastAsia="Calibri" w:hAnsi="Verdana" w:cs="Arial"/>
          <w:bCs/>
          <w:lang w:val="es-ES_tradnl"/>
        </w:rPr>
        <w:t>, también conocido como valor. Aunque no todo contrato lo incluye –pues también existen negocios gratuitos– lo usual es que los contratos estatales se perfeccionen como onerosos y, la mayoría de las veces, como conmutativos. Adicionalmente, el precio suele ser el elemento más importante para el contratista, porque equivale a la remuneración que la entidad contratante le pagará por la ejecución del objeto contractual.</w:t>
      </w:r>
    </w:p>
    <w:p w14:paraId="6B84A34D" w14:textId="77777777" w:rsidR="00120B7E" w:rsidRPr="00120B7E" w:rsidRDefault="00120B7E" w:rsidP="00120B7E">
      <w:pPr>
        <w:spacing w:before="120" w:after="120" w:line="276" w:lineRule="auto"/>
        <w:ind w:firstLine="709"/>
        <w:jc w:val="both"/>
        <w:rPr>
          <w:rFonts w:ascii="Verdana" w:eastAsia="Calibri" w:hAnsi="Verdana" w:cs="Arial"/>
          <w:bCs/>
          <w:lang w:val="es-ES_tradnl"/>
        </w:rPr>
      </w:pPr>
      <w:r w:rsidRPr="00120B7E">
        <w:rPr>
          <w:rFonts w:ascii="Verdana" w:eastAsia="Calibri" w:hAnsi="Verdana" w:cs="Arial"/>
          <w:bCs/>
          <w:lang w:val="es-ES_tradnl"/>
        </w:rPr>
        <w:t>Desde la etapa de planeación, en la fase precontractual, las entidades estatales deben calcular el presupuesto oficial, mediante la realización del análisis del sector –que incluye el estudio del mercado– y definir la metodología con la cual estructurarán el precio del contrato. Dicho de otro modo, hace parte de los estudios previos la definición del esquema que la entidad usará para estipular el precio. Tal metodología generalmente depende del tipo de contrato, pues hay algunas modalidades más comunes en los de obra pública; otras más utilizadas en los de prestación de servicios y otras más indicadas para los de concesión, por mencionar algunos ejemplos</w:t>
      </w:r>
      <w:r w:rsidRPr="00120B7E">
        <w:rPr>
          <w:rFonts w:ascii="Verdana" w:eastAsia="Calibri" w:hAnsi="Verdana" w:cs="Arial"/>
          <w:bCs/>
          <w:vertAlign w:val="superscript"/>
          <w:lang w:val="es-ES_tradnl"/>
        </w:rPr>
        <w:footnoteReference w:id="10"/>
      </w:r>
      <w:r w:rsidRPr="00120B7E">
        <w:rPr>
          <w:rFonts w:ascii="Verdana" w:eastAsia="Calibri" w:hAnsi="Verdana" w:cs="Arial"/>
          <w:bCs/>
          <w:lang w:val="es-ES_tradnl"/>
        </w:rPr>
        <w:t>.</w:t>
      </w:r>
    </w:p>
    <w:p w14:paraId="5A79C020" w14:textId="77777777" w:rsidR="00120B7E" w:rsidRPr="00120B7E" w:rsidRDefault="00120B7E" w:rsidP="00120B7E">
      <w:pPr>
        <w:spacing w:before="120" w:after="120" w:line="276" w:lineRule="auto"/>
        <w:ind w:firstLine="709"/>
        <w:jc w:val="both"/>
        <w:rPr>
          <w:rFonts w:ascii="Verdana" w:eastAsia="Calibri" w:hAnsi="Verdana" w:cs="Arial"/>
          <w:lang w:val="es-ES"/>
        </w:rPr>
      </w:pPr>
      <w:r w:rsidRPr="00120B7E">
        <w:rPr>
          <w:rFonts w:ascii="Verdana" w:eastAsia="Calibri" w:hAnsi="Verdana" w:cs="Arial"/>
          <w:lang w:val="es-ES"/>
        </w:rPr>
        <w:t>No hay, pues, una sola metodología para pactar el precio y, en gran medida, la manera de hacerlo ha obedecido a la costumbre mercantil y a la influencia de disciplinas técnicas, como la ingeniería o la administración de empresas, en la contratación estatal. Dentro de tales esquemas de establecimiento del precio pueden citarse, entre otros: i) los precios unitarios –calculados de acuerdo con las unidades que componen el objeto del contrato–; ii) el precio global –que equivale al monto total, sin discriminar unidades–, y iii) la administración delegada de recursos –en la que se distinguen los costos de inversión de los honorarios del administrador–.</w:t>
      </w:r>
    </w:p>
    <w:p w14:paraId="0BCC6EE9" w14:textId="77777777" w:rsidR="00120B7E" w:rsidRPr="00120B7E" w:rsidRDefault="00120B7E" w:rsidP="00120B7E">
      <w:pPr>
        <w:shd w:val="clear" w:color="auto" w:fill="FFFFFF"/>
        <w:spacing w:after="120" w:line="276" w:lineRule="auto"/>
        <w:jc w:val="both"/>
        <w:textAlignment w:val="baseline"/>
        <w:rPr>
          <w:rFonts w:ascii="Verdana" w:eastAsia="Calibri" w:hAnsi="Verdana" w:cs="Arial"/>
          <w:bCs/>
          <w:color w:val="000000"/>
          <w:lang w:val="es-ES_tradnl" w:eastAsia="es-CO"/>
        </w:rPr>
      </w:pPr>
      <w:r w:rsidRPr="00120B7E">
        <w:rPr>
          <w:rFonts w:ascii="Verdana" w:eastAsia="Calibri" w:hAnsi="Verdana" w:cs="Arial"/>
          <w:bCs/>
          <w:color w:val="000000"/>
          <w:lang w:val="es-ES_tradnl" w:eastAsia="es-CO"/>
        </w:rPr>
        <w:tab/>
        <w:t xml:space="preserve">Por ejemplo, los artículos 88 y 89 del derogado Decreto Ley 222 de 1983 definían los sistemas del precio global y unitarios. Por un lado, “Los contratos a precio global son aquellos en los que el contratista, a cambio de las prestaciones a que se compromete, obtiene como remuneración una suma global fija en la cual están incluidos sus honorarios […]. Por otra parte, “Los contratos a precios unitarios son aquellos en los cuales se pacta el precio por unidades o cantidades de obra y su valor total es la suma de los productos que resulten de multiplicar las cantidades de obras ejecutadas por el precio de cada una de ellas, dentro de los límites que el mismo convenio fije”. Aunque estas definiciones no están vigentes, son de gran relevancia técnica, pues su alcance delimita la forma en que se estructuran algunos contratos estatales. </w:t>
      </w:r>
    </w:p>
    <w:p w14:paraId="3CC7879C" w14:textId="77777777" w:rsidR="00120B7E" w:rsidRPr="00120B7E" w:rsidRDefault="00120B7E" w:rsidP="00120B7E">
      <w:pPr>
        <w:shd w:val="clear" w:color="auto" w:fill="FFFFFF"/>
        <w:spacing w:after="0" w:line="276" w:lineRule="auto"/>
        <w:jc w:val="both"/>
        <w:textAlignment w:val="baseline"/>
        <w:rPr>
          <w:rFonts w:ascii="Verdana" w:eastAsia="Calibri" w:hAnsi="Verdana" w:cs="Arial"/>
          <w:bCs/>
          <w:color w:val="000000"/>
          <w:lang w:val="es-ES_tradnl" w:eastAsia="es-CO"/>
        </w:rPr>
      </w:pPr>
      <w:r w:rsidRPr="00120B7E">
        <w:rPr>
          <w:rFonts w:ascii="Verdana" w:eastAsia="Calibri" w:hAnsi="Verdana" w:cs="Arial"/>
          <w:bCs/>
          <w:color w:val="000000"/>
          <w:lang w:val="es-ES_tradnl" w:eastAsia="es-CO"/>
        </w:rPr>
        <w:tab/>
        <w:t>Por ello, desde el punto de vista práctico, la regla general es que el valor del contrato se cuantifica por el método de precio global o de precios unitarios, sin que ambas confluyan en una misma prestación contractual. Aunque es posible la celebración de contratos mixtos –por ejemplo, como sucede en la contratación de diseños y ejecución de la obra– o adjudicar contratos por lotes –caso en el cual, cada lote puede tener reglas distintas para el cálculo del precio–, lo usual es que sobre un mismo objeto el precio global excluya los precios unitarios y viceversa. Esto se debe a que ambas metodologías implican una distribución de riesgos entre las partes, pues mientras los precios unitarios tienden a beneficiar al contratista, el precio global usualmente otorga mayor seguridad al contratante:</w:t>
      </w:r>
    </w:p>
    <w:p w14:paraId="4DAA3088" w14:textId="77777777" w:rsidR="00120B7E" w:rsidRPr="00120B7E" w:rsidRDefault="00120B7E" w:rsidP="00120B7E">
      <w:pPr>
        <w:shd w:val="clear" w:color="auto" w:fill="FFFFFF"/>
        <w:spacing w:after="0" w:line="276" w:lineRule="auto"/>
        <w:jc w:val="both"/>
        <w:textAlignment w:val="baseline"/>
        <w:rPr>
          <w:rFonts w:ascii="Verdana" w:eastAsia="Calibri" w:hAnsi="Verdana" w:cs="Arial"/>
          <w:bCs/>
          <w:color w:val="000000"/>
          <w:lang w:val="es-ES_tradnl" w:eastAsia="es-CO"/>
        </w:rPr>
      </w:pPr>
    </w:p>
    <w:p w14:paraId="1514A87A" w14:textId="77777777" w:rsidR="00120B7E" w:rsidRPr="00120B7E" w:rsidRDefault="00120B7E" w:rsidP="00120B7E">
      <w:pPr>
        <w:shd w:val="clear" w:color="auto" w:fill="FFFFFF"/>
        <w:spacing w:after="120" w:line="240" w:lineRule="auto"/>
        <w:ind w:left="709" w:right="709"/>
        <w:jc w:val="both"/>
        <w:textAlignment w:val="baseline"/>
        <w:rPr>
          <w:rFonts w:ascii="Verdana" w:eastAsia="Calibri" w:hAnsi="Verdana" w:cs="Arial"/>
          <w:color w:val="000000"/>
          <w:sz w:val="21"/>
          <w:szCs w:val="21"/>
          <w:lang w:val="es-ES" w:eastAsia="es-CO"/>
        </w:rPr>
      </w:pPr>
      <w:r w:rsidRPr="00120B7E">
        <w:rPr>
          <w:rFonts w:ascii="Verdana" w:eastAsia="Calibri" w:hAnsi="Verdana" w:cs="Arial"/>
          <w:color w:val="000000"/>
          <w:sz w:val="21"/>
          <w:szCs w:val="21"/>
          <w:lang w:val="es-ES" w:eastAsia="es-CO"/>
        </w:rPr>
        <w:t>“El objetivo que se busca en el contrato a suma alzada es que las partes convengan un precio único y definitivo por la ejecución de la totalidad de la obra encomendada. De esta manera entonces, el propietario de la obra tiene certeza del valor final de la ejecución de la misma, quedando liberado de los riesgos de la variación de los costos de la ejecución del proyecto, ya sea que este provenga o se vean afectados por una variación en los materiales, insumos, herramientas, costos previsionales, impositivos, etc.</w:t>
      </w:r>
    </w:p>
    <w:p w14:paraId="54900658" w14:textId="77777777" w:rsidR="00120B7E" w:rsidRPr="00120B7E" w:rsidRDefault="00120B7E" w:rsidP="00120B7E">
      <w:pPr>
        <w:shd w:val="clear" w:color="auto" w:fill="FFFFFF"/>
        <w:spacing w:after="0" w:line="240" w:lineRule="auto"/>
        <w:ind w:left="709" w:right="709"/>
        <w:jc w:val="both"/>
        <w:textAlignment w:val="baseline"/>
        <w:rPr>
          <w:rFonts w:ascii="Verdana" w:eastAsia="Calibri" w:hAnsi="Verdana" w:cs="Arial"/>
          <w:bCs/>
          <w:color w:val="000000"/>
          <w:sz w:val="21"/>
          <w:szCs w:val="21"/>
          <w:lang w:val="es-ES_tradnl" w:eastAsia="es-CO"/>
        </w:rPr>
      </w:pPr>
      <w:r w:rsidRPr="00120B7E">
        <w:rPr>
          <w:rFonts w:ascii="Verdana" w:eastAsia="Calibri" w:hAnsi="Verdana" w:cs="Arial"/>
          <w:bCs/>
          <w:color w:val="000000"/>
          <w:sz w:val="21"/>
          <w:szCs w:val="21"/>
          <w:lang w:val="es-ES_tradnl" w:eastAsia="es-CO"/>
        </w:rPr>
        <w:t>De este modo, el contratista es quien, a cambio de un precio fijo y determinado, asume el riesgo no solo de la ejecución de la obra, sino que también de ejecutarla por el precio convenido, tomando sobre sí los riesgos de las eventuales variaciones que puedan experimentar los costos directos e indirectos de la ejecución de la obra”</w:t>
      </w:r>
      <w:r w:rsidRPr="00120B7E">
        <w:rPr>
          <w:rFonts w:ascii="Verdana" w:eastAsia="Calibri" w:hAnsi="Verdana" w:cs="Arial"/>
          <w:bCs/>
          <w:color w:val="000000"/>
          <w:sz w:val="21"/>
          <w:szCs w:val="21"/>
          <w:vertAlign w:val="superscript"/>
          <w:lang w:val="es-ES_tradnl" w:eastAsia="es-CO"/>
        </w:rPr>
        <w:footnoteReference w:id="11"/>
      </w:r>
      <w:r w:rsidRPr="00120B7E">
        <w:rPr>
          <w:rFonts w:ascii="Verdana" w:eastAsia="Calibri" w:hAnsi="Verdana" w:cs="Arial"/>
          <w:bCs/>
          <w:color w:val="000000"/>
          <w:sz w:val="21"/>
          <w:szCs w:val="21"/>
          <w:lang w:val="es-ES_tradnl" w:eastAsia="es-CO"/>
        </w:rPr>
        <w:t xml:space="preserve">. </w:t>
      </w:r>
    </w:p>
    <w:p w14:paraId="34503663" w14:textId="77777777" w:rsidR="00120B7E" w:rsidRPr="00120B7E" w:rsidRDefault="00120B7E" w:rsidP="00120B7E">
      <w:pPr>
        <w:shd w:val="clear" w:color="auto" w:fill="FFFFFF"/>
        <w:spacing w:after="0" w:line="276" w:lineRule="auto"/>
        <w:ind w:firstLine="708"/>
        <w:jc w:val="both"/>
        <w:textAlignment w:val="baseline"/>
        <w:rPr>
          <w:rFonts w:ascii="Verdana" w:eastAsia="Calibri" w:hAnsi="Verdana" w:cs="Arial"/>
          <w:bCs/>
          <w:color w:val="000000"/>
          <w:lang w:val="es-ES_tradnl" w:eastAsia="es-CO"/>
        </w:rPr>
      </w:pPr>
    </w:p>
    <w:p w14:paraId="04433455" w14:textId="77777777" w:rsidR="00120B7E" w:rsidRPr="00120B7E" w:rsidRDefault="00120B7E" w:rsidP="00120B7E">
      <w:pPr>
        <w:shd w:val="clear" w:color="auto" w:fill="FFFFFF"/>
        <w:spacing w:after="0" w:line="276" w:lineRule="auto"/>
        <w:ind w:firstLine="708"/>
        <w:jc w:val="both"/>
        <w:textAlignment w:val="baseline"/>
        <w:rPr>
          <w:rFonts w:ascii="Verdana" w:eastAsia="Calibri" w:hAnsi="Verdana" w:cs="Arial"/>
          <w:bCs/>
          <w:color w:val="000000"/>
          <w:lang w:val="es-ES_tradnl" w:eastAsia="es-CO"/>
        </w:rPr>
      </w:pPr>
      <w:r w:rsidRPr="00120B7E">
        <w:rPr>
          <w:rFonts w:ascii="Verdana" w:eastAsia="Calibri" w:hAnsi="Verdana" w:cs="Arial"/>
          <w:bCs/>
          <w:color w:val="000000"/>
          <w:lang w:val="es-ES_tradnl" w:eastAsia="es-CO"/>
        </w:rPr>
        <w:t>En contraste, en los negocios ejecutados a precios unitarios:</w:t>
      </w:r>
    </w:p>
    <w:p w14:paraId="213B557B" w14:textId="77777777" w:rsidR="00120B7E" w:rsidRPr="00120B7E" w:rsidRDefault="00120B7E" w:rsidP="00120B7E">
      <w:pPr>
        <w:shd w:val="clear" w:color="auto" w:fill="FFFFFF"/>
        <w:spacing w:after="0" w:line="240" w:lineRule="auto"/>
        <w:ind w:left="709" w:right="709"/>
        <w:jc w:val="both"/>
        <w:textAlignment w:val="baseline"/>
        <w:rPr>
          <w:rFonts w:ascii="Verdana" w:eastAsia="Calibri" w:hAnsi="Verdana" w:cs="Arial"/>
          <w:color w:val="000000"/>
          <w:lang w:val="es-ES" w:eastAsia="es-CO"/>
        </w:rPr>
      </w:pPr>
    </w:p>
    <w:p w14:paraId="7C4B16CA" w14:textId="77777777" w:rsidR="00120B7E" w:rsidRPr="00120B7E" w:rsidRDefault="00120B7E" w:rsidP="00120B7E">
      <w:pPr>
        <w:shd w:val="clear" w:color="auto" w:fill="FFFFFF"/>
        <w:spacing w:after="0" w:line="240" w:lineRule="auto"/>
        <w:ind w:left="709" w:right="709"/>
        <w:jc w:val="both"/>
        <w:textAlignment w:val="baseline"/>
        <w:rPr>
          <w:rFonts w:ascii="Verdana" w:eastAsia="Calibri" w:hAnsi="Verdana" w:cs="Arial"/>
          <w:color w:val="000000"/>
          <w:sz w:val="21"/>
          <w:szCs w:val="21"/>
          <w:lang w:val="es-ES" w:eastAsia="es-CO"/>
        </w:rPr>
      </w:pPr>
      <w:r w:rsidRPr="00120B7E">
        <w:rPr>
          <w:rFonts w:ascii="Verdana" w:eastAsia="Calibri" w:hAnsi="Verdana" w:cs="Arial"/>
          <w:color w:val="000000"/>
          <w:sz w:val="21"/>
          <w:szCs w:val="21"/>
          <w:lang w:val="es-ES" w:eastAsia="es-CO"/>
        </w:rPr>
        <w:t>“[…] la ventaja que tiene para el contratista es que si en el pliego se calculó que las cantidades eran menores, pero al construir resultaron superiores, le pagarán lo que realmente ejecute. De este modo, el contratista no corre el riesgo de perder dinero, porque no asume, con su patrimonio, el desfase de las cantidades de obra -como sucede en el precio global-. De esta manera, el contratista tiene tranquilidad en un aspecto tan crítico como es la estabilidad del valor del contrato”</w:t>
      </w:r>
      <w:r w:rsidRPr="00120B7E">
        <w:rPr>
          <w:rFonts w:ascii="Verdana" w:eastAsia="Calibri" w:hAnsi="Verdana" w:cs="Arial"/>
          <w:color w:val="000000"/>
          <w:sz w:val="21"/>
          <w:szCs w:val="21"/>
          <w:vertAlign w:val="superscript"/>
          <w:lang w:val="es-ES" w:eastAsia="es-CO"/>
        </w:rPr>
        <w:footnoteReference w:id="12"/>
      </w:r>
      <w:r w:rsidRPr="00120B7E">
        <w:rPr>
          <w:rFonts w:ascii="Verdana" w:eastAsia="Calibri" w:hAnsi="Verdana" w:cs="Arial"/>
          <w:color w:val="000000"/>
          <w:sz w:val="21"/>
          <w:szCs w:val="21"/>
          <w:lang w:val="es-ES" w:eastAsia="es-CO"/>
        </w:rPr>
        <w:t>.</w:t>
      </w:r>
    </w:p>
    <w:p w14:paraId="67B62BAE" w14:textId="77777777" w:rsidR="00120B7E" w:rsidRPr="00120B7E" w:rsidRDefault="00120B7E" w:rsidP="00120B7E">
      <w:pPr>
        <w:shd w:val="clear" w:color="auto" w:fill="FFFFFF"/>
        <w:spacing w:after="0" w:line="276" w:lineRule="auto"/>
        <w:jc w:val="both"/>
        <w:textAlignment w:val="baseline"/>
        <w:rPr>
          <w:rFonts w:ascii="Verdana" w:eastAsia="Calibri" w:hAnsi="Verdana" w:cs="Arial"/>
          <w:bCs/>
          <w:color w:val="000000"/>
          <w:lang w:val="es-ES_tradnl" w:eastAsia="es-CO"/>
        </w:rPr>
      </w:pPr>
    </w:p>
    <w:p w14:paraId="52B6AC6B" w14:textId="77777777" w:rsidR="00120B7E" w:rsidRPr="00120B7E" w:rsidRDefault="00120B7E" w:rsidP="00120B7E">
      <w:pPr>
        <w:tabs>
          <w:tab w:val="left" w:pos="0"/>
        </w:tabs>
        <w:spacing w:after="120" w:line="276" w:lineRule="auto"/>
        <w:jc w:val="both"/>
        <w:rPr>
          <w:rFonts w:ascii="Verdana" w:eastAsia="Calibri" w:hAnsi="Verdana" w:cs="Arial"/>
          <w:bCs/>
          <w:color w:val="000000"/>
        </w:rPr>
      </w:pPr>
      <w:r w:rsidRPr="00120B7E">
        <w:rPr>
          <w:rFonts w:ascii="Verdana" w:eastAsia="Calibri" w:hAnsi="Verdana" w:cs="Arial"/>
          <w:bCs/>
          <w:color w:val="000000"/>
          <w:lang w:val="es-ES_tradnl"/>
        </w:rPr>
        <w:tab/>
        <w:t>La elección entre uno u otro sistema depende de la planeación realizada por la entidad contratante, pues es una herramienta de gerencia pública, la cual exige estructurar el proceso contractual dedicando tiempo y esfuerzos para elaborar estudios previos. Lo anterior, con la finalidad de determinar la necesidad que pretende satisfacer y cuál es la mejor manera de hacerlo, consultando el tipo de bienes y servicios que ofrece el mercado y cuáles son sus características, especificaciones, precios, costos, riesgos, garantías, disponibilidad, oferentes, etc., que conlleven a una diligente escogencia de la mejor oferta para beneficiar los intereses y fines públicos inmersos en la contratación de las entidades estatales</w:t>
      </w:r>
      <w:r w:rsidRPr="00120B7E">
        <w:rPr>
          <w:rFonts w:ascii="Verdana" w:eastAsia="Calibri" w:hAnsi="Verdana" w:cs="Arial"/>
          <w:bCs/>
          <w:color w:val="000000"/>
          <w:sz w:val="21"/>
          <w:szCs w:val="21"/>
          <w:lang w:val="es-ES_tradnl"/>
        </w:rPr>
        <w:t>.</w:t>
      </w:r>
    </w:p>
    <w:p w14:paraId="45016887" w14:textId="77777777" w:rsidR="00120B7E" w:rsidRPr="00120B7E" w:rsidRDefault="00120B7E" w:rsidP="00120B7E">
      <w:pPr>
        <w:spacing w:after="0" w:line="276" w:lineRule="auto"/>
        <w:ind w:firstLine="708"/>
        <w:jc w:val="both"/>
        <w:rPr>
          <w:rFonts w:ascii="Verdana" w:eastAsia="Calibri" w:hAnsi="Verdana" w:cs="Arial"/>
          <w:color w:val="000000"/>
          <w:lang w:val="es-MX"/>
        </w:rPr>
      </w:pPr>
      <w:r w:rsidRPr="00120B7E">
        <w:rPr>
          <w:rFonts w:ascii="Verdana" w:eastAsia="Calibri" w:hAnsi="Verdana" w:cs="Arial"/>
          <w:color w:val="000000"/>
        </w:rPr>
        <w:t>E</w:t>
      </w:r>
      <w:r w:rsidRPr="00120B7E">
        <w:rPr>
          <w:rFonts w:ascii="Verdana" w:eastAsia="Calibri" w:hAnsi="Verdana" w:cs="Arial"/>
          <w:color w:val="000000"/>
          <w:lang w:val="es-MX"/>
        </w:rPr>
        <w:t xml:space="preserve">n virtud del principio de economía, para iniciar un proceso de contratación se requieren unos estudios previos que permitan estructurar, concretar y viabilizar los aspectos esenciales del futuro contrato, dentro de los cuales se encuentran su objeto y valor estimado, entre otros elementos. Los componentes de los estudios previos que sirven de soporte para elaborar el proyecto de pliego, los pliegos de condiciones y el contrato, están previstos en el artículo 2.2.1.1.2.1.1 del Decreto 1082 de 2015, norma que exige que se determine el objeto a contratar con sus especificaciones y se estime el costo que implica la celebración del contrato de la siguiente manera: </w:t>
      </w:r>
    </w:p>
    <w:p w14:paraId="6213CCD8" w14:textId="77777777" w:rsidR="00120B7E" w:rsidRPr="00120B7E" w:rsidRDefault="00120B7E" w:rsidP="00120B7E">
      <w:pPr>
        <w:spacing w:after="0" w:line="276" w:lineRule="auto"/>
        <w:jc w:val="both"/>
        <w:rPr>
          <w:rFonts w:ascii="Verdana" w:eastAsia="Calibri" w:hAnsi="Verdana" w:cs="Arial"/>
          <w:color w:val="000000"/>
          <w:sz w:val="24"/>
          <w:lang w:val="es-MX"/>
        </w:rPr>
      </w:pPr>
    </w:p>
    <w:p w14:paraId="2CA67773" w14:textId="77777777" w:rsidR="00120B7E" w:rsidRPr="00120B7E" w:rsidRDefault="00120B7E" w:rsidP="00120B7E">
      <w:pPr>
        <w:spacing w:after="120" w:line="240" w:lineRule="auto"/>
        <w:ind w:left="709" w:right="709"/>
        <w:jc w:val="both"/>
        <w:rPr>
          <w:rFonts w:ascii="Verdana" w:eastAsia="Calibri" w:hAnsi="Verdana" w:cs="Arial"/>
          <w:color w:val="000000"/>
          <w:sz w:val="21"/>
          <w:szCs w:val="21"/>
          <w:lang w:val="es-MX"/>
        </w:rPr>
      </w:pPr>
      <w:r w:rsidRPr="00120B7E">
        <w:rPr>
          <w:rFonts w:ascii="Verdana" w:eastAsia="Calibri" w:hAnsi="Verdana" w:cs="Arial"/>
          <w:color w:val="000000"/>
          <w:sz w:val="21"/>
          <w:szCs w:val="21"/>
          <w:lang w:val="es-MX"/>
        </w:rPr>
        <w:t>“2. El objeto a contratar, con sus especificaciones, las autorizaciones, permisos y licencias requeridos para su ejecución, y cuando el contrato incluye diseño y construcción, los documentos técnicos para el desarrollo del proyecto.</w:t>
      </w:r>
    </w:p>
    <w:p w14:paraId="09414FB9" w14:textId="77777777" w:rsidR="00120B7E" w:rsidRPr="00120B7E" w:rsidRDefault="00120B7E" w:rsidP="00120B7E">
      <w:pPr>
        <w:spacing w:after="120" w:line="240" w:lineRule="auto"/>
        <w:ind w:left="709" w:right="709"/>
        <w:jc w:val="both"/>
        <w:rPr>
          <w:rFonts w:ascii="Verdana" w:eastAsia="Calibri" w:hAnsi="Verdana" w:cs="Arial"/>
          <w:color w:val="000000"/>
          <w:sz w:val="21"/>
          <w:szCs w:val="21"/>
          <w:lang w:val="es-MX"/>
        </w:rPr>
      </w:pPr>
      <w:r w:rsidRPr="00120B7E">
        <w:rPr>
          <w:rFonts w:ascii="Verdana" w:eastAsia="Calibri" w:hAnsi="Verdana" w:cs="Arial"/>
          <w:color w:val="000000"/>
          <w:sz w:val="21"/>
          <w:szCs w:val="21"/>
          <w:lang w:val="es-MX"/>
        </w:rPr>
        <w:t>[…]</w:t>
      </w:r>
    </w:p>
    <w:p w14:paraId="299C10A0" w14:textId="77777777" w:rsidR="00120B7E" w:rsidRPr="00120B7E" w:rsidRDefault="00120B7E" w:rsidP="00120B7E">
      <w:pPr>
        <w:spacing w:after="0" w:line="240" w:lineRule="auto"/>
        <w:ind w:left="709" w:right="709"/>
        <w:jc w:val="both"/>
        <w:rPr>
          <w:rFonts w:ascii="Verdana" w:eastAsia="Calibri" w:hAnsi="Verdana" w:cs="Arial"/>
          <w:color w:val="000000"/>
          <w:sz w:val="21"/>
          <w:szCs w:val="21"/>
          <w:lang w:val="es-MX"/>
        </w:rPr>
      </w:pPr>
      <w:r w:rsidRPr="00120B7E">
        <w:rPr>
          <w:rFonts w:ascii="Verdana" w:eastAsia="Calibri" w:hAnsi="Verdana" w:cs="Arial"/>
          <w:color w:val="000000"/>
          <w:sz w:val="21"/>
          <w:szCs w:val="21"/>
          <w:lang w:val="es-MX"/>
        </w:rPr>
        <w:t xml:space="preserve">4. El valor estimado del contrato y la justificación del mismo. </w:t>
      </w:r>
      <w:r w:rsidRPr="00120B7E">
        <w:rPr>
          <w:rFonts w:ascii="Verdana" w:eastAsia="Calibri" w:hAnsi="Verdana" w:cs="Arial"/>
          <w:i/>
          <w:iCs/>
          <w:color w:val="000000"/>
          <w:sz w:val="21"/>
          <w:szCs w:val="21"/>
          <w:lang w:val="es-MX"/>
        </w:rPr>
        <w:t>Cuando el valor del contrato esté determinado por precios unitarios, la Entidad Estatal debe incluir la forma como los calculó y soportar sus cálculos presupuestales en la estimación de aquellos</w:t>
      </w:r>
      <w:r w:rsidRPr="00120B7E">
        <w:rPr>
          <w:rFonts w:ascii="Verdana" w:eastAsia="Calibri" w:hAnsi="Verdana" w:cs="Arial"/>
          <w:color w:val="000000"/>
          <w:sz w:val="21"/>
          <w:szCs w:val="21"/>
          <w:lang w:val="es-MX"/>
        </w:rPr>
        <w:t xml:space="preserve">. Si el contrato es de concesión, la Entidad Estatal no debe publicar el modelo financiero utilizado en su estructuración”. (Énfasis fuera de texto)    </w:t>
      </w:r>
    </w:p>
    <w:p w14:paraId="6336883D" w14:textId="77777777" w:rsidR="00120B7E" w:rsidRPr="00120B7E" w:rsidRDefault="00120B7E" w:rsidP="00120B7E">
      <w:pPr>
        <w:spacing w:after="0" w:line="276" w:lineRule="auto"/>
        <w:ind w:firstLine="709"/>
        <w:jc w:val="both"/>
        <w:rPr>
          <w:rFonts w:ascii="Verdana" w:eastAsia="Calibri" w:hAnsi="Verdana" w:cs="Arial"/>
          <w:bCs/>
          <w:color w:val="000000"/>
          <w:lang w:val="es-ES_tradnl"/>
        </w:rPr>
      </w:pPr>
    </w:p>
    <w:p w14:paraId="3E157C41" w14:textId="77777777" w:rsidR="00120B7E" w:rsidRPr="00120B7E" w:rsidRDefault="00120B7E" w:rsidP="00120B7E">
      <w:pPr>
        <w:spacing w:after="120" w:line="276" w:lineRule="auto"/>
        <w:ind w:firstLine="709"/>
        <w:jc w:val="both"/>
        <w:rPr>
          <w:rFonts w:ascii="Verdana" w:eastAsia="Calibri" w:hAnsi="Verdana" w:cs="Arial"/>
          <w:bCs/>
          <w:color w:val="000000"/>
          <w:lang w:val="es-ES_tradnl"/>
        </w:rPr>
      </w:pPr>
      <w:r w:rsidRPr="00120B7E">
        <w:rPr>
          <w:rFonts w:ascii="Verdana" w:eastAsia="Calibri" w:hAnsi="Verdana" w:cs="Arial"/>
          <w:bCs/>
          <w:color w:val="000000"/>
          <w:lang w:val="es-ES_tradnl"/>
        </w:rPr>
        <w:t xml:space="preserve">Respecto al valor estimado, la norma citada no establece de manera expresa que se deban incluir en los estudios y documentos previos la forma y el soporte de los cálculos en los contratos por precio global. </w:t>
      </w:r>
      <w:r w:rsidRPr="00120B7E">
        <w:rPr>
          <w:rFonts w:ascii="Verdana" w:eastAsia="Calibri" w:hAnsi="Verdana" w:cs="Arial"/>
          <w:color w:val="000000"/>
          <w:lang w:val="es-ES_tradnl"/>
        </w:rPr>
        <w:t xml:space="preserve">No obstante, las Entidades sí están obligadas a presentar el valor de la contratación y la justificación </w:t>
      </w:r>
      <w:r w:rsidRPr="00120B7E">
        <w:rPr>
          <w:rFonts w:ascii="Verdana" w:eastAsia="Calibri" w:hAnsi="Verdana" w:cs="Arial"/>
          <w:bCs/>
          <w:color w:val="000000"/>
          <w:lang w:val="es-ES_tradnl"/>
        </w:rPr>
        <w:t>de este</w:t>
      </w:r>
      <w:r w:rsidRPr="00120B7E">
        <w:rPr>
          <w:rFonts w:ascii="Verdana" w:eastAsia="Calibri" w:hAnsi="Verdana" w:cs="Arial"/>
          <w:color w:val="000000"/>
          <w:lang w:val="es-ES_tradnl"/>
        </w:rPr>
        <w:t>, para lo cual deberá informar los factores relevantes y metodología para la determinación del valor del contrato</w:t>
      </w:r>
      <w:r w:rsidRPr="00120B7E">
        <w:rPr>
          <w:rFonts w:ascii="Verdana" w:eastAsia="Calibri" w:hAnsi="Verdana" w:cs="Arial"/>
          <w:bCs/>
          <w:color w:val="000000"/>
          <w:lang w:val="es-ES_tradnl"/>
        </w:rPr>
        <w:t xml:space="preserve">, obligación predicable respecto de toda la contratación –no sometida a reserva–, de la que no están exentos los contratos con precio global. </w:t>
      </w:r>
    </w:p>
    <w:p w14:paraId="594C9943" w14:textId="77777777" w:rsidR="00120B7E" w:rsidRPr="00120B7E" w:rsidRDefault="00120B7E" w:rsidP="00120B7E">
      <w:pPr>
        <w:spacing w:after="120" w:line="276" w:lineRule="auto"/>
        <w:ind w:firstLine="709"/>
        <w:jc w:val="both"/>
        <w:rPr>
          <w:rFonts w:ascii="Verdana" w:eastAsia="Calibri" w:hAnsi="Verdana" w:cs="Arial"/>
          <w:lang w:val="es-ES" w:eastAsia="es-ES"/>
        </w:rPr>
      </w:pPr>
      <w:r w:rsidRPr="00120B7E">
        <w:rPr>
          <w:rFonts w:ascii="Verdana" w:eastAsia="Calibri" w:hAnsi="Verdana" w:cs="Arial"/>
          <w:bCs/>
          <w:color w:val="000000"/>
          <w:lang w:val="es-ES_tradnl"/>
        </w:rPr>
        <w:t xml:space="preserve">La exigencia existe para los contratos a precios unitarios, </w:t>
      </w:r>
      <w:r w:rsidRPr="00120B7E">
        <w:rPr>
          <w:rFonts w:ascii="Verdana" w:eastAsia="Calibri" w:hAnsi="Verdana" w:cs="Arial"/>
          <w:lang w:val="es-ES" w:eastAsia="es-ES"/>
        </w:rPr>
        <w:t xml:space="preserve">pues lo usual es discriminar los </w:t>
      </w:r>
      <w:r w:rsidRPr="00120B7E">
        <w:rPr>
          <w:rFonts w:ascii="Verdana" w:eastAsia="Calibri" w:hAnsi="Verdana" w:cs="Arial"/>
          <w:i/>
          <w:iCs/>
          <w:lang w:val="es-ES" w:eastAsia="es-ES"/>
        </w:rPr>
        <w:t>costos directos</w:t>
      </w:r>
      <w:r w:rsidRPr="00120B7E">
        <w:rPr>
          <w:rFonts w:ascii="Verdana" w:eastAsia="Calibri" w:hAnsi="Verdana" w:cs="Arial"/>
          <w:lang w:val="es-ES" w:eastAsia="es-ES"/>
        </w:rPr>
        <w:t xml:space="preserve"> –es decir, los que están directamente implicados en la ejecución del objeto– de los </w:t>
      </w:r>
      <w:r w:rsidRPr="00120B7E">
        <w:rPr>
          <w:rFonts w:ascii="Verdana" w:eastAsia="Calibri" w:hAnsi="Verdana" w:cs="Arial"/>
          <w:i/>
          <w:iCs/>
          <w:lang w:val="es-ES" w:eastAsia="es-ES"/>
        </w:rPr>
        <w:t>costos indirectos</w:t>
      </w:r>
      <w:r w:rsidRPr="00120B7E">
        <w:rPr>
          <w:rFonts w:ascii="Verdana" w:eastAsia="Calibri" w:hAnsi="Verdana" w:cs="Arial"/>
          <w:lang w:val="es-ES" w:eastAsia="es-ES"/>
        </w:rPr>
        <w:t xml:space="preserve">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A diferencia de los precios globales que carecen de esta desagregación, mientras que los </w:t>
      </w:r>
      <w:r w:rsidRPr="00120B7E">
        <w:rPr>
          <w:rFonts w:ascii="Verdana" w:eastAsia="Calibri" w:hAnsi="Verdana" w:cs="Arial"/>
          <w:i/>
          <w:iCs/>
          <w:lang w:val="es-ES" w:eastAsia="es-ES"/>
        </w:rPr>
        <w:t>costos directos</w:t>
      </w:r>
      <w:r w:rsidRPr="00120B7E">
        <w:rPr>
          <w:rFonts w:ascii="Verdana" w:eastAsia="Calibri" w:hAnsi="Verdana" w:cs="Arial"/>
          <w:lang w:val="es-ES" w:eastAsia="es-ES"/>
        </w:rPr>
        <w:t xml:space="preserve"> se evidencian en el análisis de precios unitarios –APU–, como la sumatoria de los valores de los </w:t>
      </w:r>
      <w:r w:rsidRPr="00120B7E">
        <w:rPr>
          <w:rFonts w:ascii="Verdana" w:eastAsia="Calibri" w:hAnsi="Verdana" w:cs="Arial"/>
          <w:i/>
          <w:iCs/>
          <w:lang w:val="es-ES" w:eastAsia="es-ES"/>
        </w:rPr>
        <w:t>ítems</w:t>
      </w:r>
      <w:r w:rsidRPr="00120B7E">
        <w:rPr>
          <w:rFonts w:ascii="Verdana" w:eastAsia="Calibri" w:hAnsi="Verdana" w:cs="Arial"/>
          <w:lang w:val="es-ES" w:eastAsia="es-ES"/>
        </w:rPr>
        <w:t xml:space="preserve"> según su unidad de medida, los </w:t>
      </w:r>
      <w:r w:rsidRPr="00120B7E">
        <w:rPr>
          <w:rFonts w:ascii="Verdana" w:eastAsia="Calibri" w:hAnsi="Verdana" w:cs="Arial"/>
          <w:i/>
          <w:iCs/>
          <w:lang w:val="es-ES" w:eastAsia="es-ES"/>
        </w:rPr>
        <w:t>costos indirectos</w:t>
      </w:r>
      <w:r w:rsidRPr="00120B7E">
        <w:rPr>
          <w:rFonts w:ascii="Verdana" w:eastAsia="Calibri" w:hAnsi="Verdana" w:cs="Arial"/>
          <w:lang w:val="es-ES" w:eastAsia="es-ES"/>
        </w:rPr>
        <w:t xml:space="preserve"> se suelen abreviar en las variables que integran el acrónimo AIU –Administración, Imprevistos y Utilidad–.</w:t>
      </w:r>
    </w:p>
    <w:p w14:paraId="6AA07C66" w14:textId="77777777" w:rsidR="00120B7E" w:rsidRPr="00120B7E" w:rsidRDefault="00120B7E" w:rsidP="00120B7E">
      <w:pPr>
        <w:spacing w:after="120" w:line="276" w:lineRule="auto"/>
        <w:ind w:firstLine="709"/>
        <w:jc w:val="both"/>
        <w:rPr>
          <w:rFonts w:ascii="Verdana" w:eastAsia="Aptos" w:hAnsi="Verdana" w:cs="Arial"/>
          <w:kern w:val="2"/>
          <w:lang w:val="es-ES" w:eastAsia="es-ES"/>
          <w14:ligatures w14:val="standardContextual"/>
        </w:rPr>
      </w:pPr>
      <w:r w:rsidRPr="00120B7E">
        <w:rPr>
          <w:rFonts w:ascii="Verdana" w:eastAsia="Aptos" w:hAnsi="Verdana" w:cs="Arial"/>
          <w:kern w:val="2"/>
          <w:lang w:val="es-ES" w:eastAsia="es-ES"/>
          <w14:ligatures w14:val="standardContextual"/>
        </w:rPr>
        <w:t>En consecuencia, tanto las entidades sometidas al Estatuto General de Contratación de la Administración Pública, como las excluidas de este –es decir, las que tienen un régimen especial– gozan de autonomía para configurar el precio y para establecer el sistema de pago más apropiado para satisfacer los fines de la contratación, respetando los límites previstos en el ordenamiento. Esta decisión debe obedecer a un juicioso análisis de oportunidad y conveniencia, que consulte las reglas de la experiencia, así como los aspectos particulares de cada negocio. Lo anterior en armonía con la garantía de los principios de la función administrativa y de la gestión fiscal, dentro de los cuales se halla el principio de economía, postulado que exige la optimización de los recursos públicos.</w:t>
      </w:r>
    </w:p>
    <w:p w14:paraId="29D145D3" w14:textId="77777777" w:rsidR="00120B7E" w:rsidRPr="00120B7E" w:rsidRDefault="00120B7E" w:rsidP="00120B7E">
      <w:pPr>
        <w:spacing w:after="0" w:line="276" w:lineRule="auto"/>
        <w:ind w:firstLine="709"/>
        <w:jc w:val="both"/>
        <w:rPr>
          <w:rFonts w:ascii="Verdana" w:eastAsia="Aptos" w:hAnsi="Verdana" w:cs="Arial"/>
          <w:kern w:val="2"/>
          <w:lang w:val="es-ES" w:eastAsia="es-ES"/>
          <w14:ligatures w14:val="standardContextual"/>
        </w:rPr>
      </w:pPr>
      <w:r w:rsidRPr="00120B7E">
        <w:rPr>
          <w:rFonts w:ascii="Verdana" w:eastAsia="Calibri" w:hAnsi="Verdana" w:cs="Arial"/>
          <w:iCs/>
          <w:color w:val="000000"/>
          <w:lang w:val="es-ES"/>
        </w:rPr>
        <w:t>Ahora bien,</w:t>
      </w:r>
      <w:r w:rsidRPr="00120B7E">
        <w:rPr>
          <w:rFonts w:ascii="Verdana" w:eastAsia="Calibri" w:hAnsi="Verdana" w:cs="Arial"/>
          <w:lang w:val="es-ES"/>
        </w:rPr>
        <w:t xml:space="preserve"> en el documento base de los documentos tipo se establece lo siguiente frente a la posibilidad de establecer la forma de pago:</w:t>
      </w:r>
    </w:p>
    <w:p w14:paraId="5C70714A" w14:textId="77777777" w:rsidR="00120B7E" w:rsidRPr="00120B7E" w:rsidRDefault="00120B7E" w:rsidP="00120B7E">
      <w:pPr>
        <w:snapToGrid w:val="0"/>
        <w:spacing w:after="0" w:line="276" w:lineRule="auto"/>
        <w:jc w:val="both"/>
        <w:rPr>
          <w:rFonts w:ascii="Verdana" w:eastAsia="Aptos" w:hAnsi="Verdana" w:cs="Times New Roman"/>
          <w:kern w:val="2"/>
          <w:highlight w:val="lightGray"/>
          <w:lang w:val="es-MX"/>
          <w14:ligatures w14:val="standardContextual"/>
        </w:rPr>
      </w:pPr>
    </w:p>
    <w:p w14:paraId="60B70237" w14:textId="77777777" w:rsidR="00120B7E" w:rsidRPr="00120B7E" w:rsidRDefault="00120B7E" w:rsidP="00120B7E">
      <w:pPr>
        <w:snapToGrid w:val="0"/>
        <w:spacing w:after="0" w:line="240" w:lineRule="auto"/>
        <w:ind w:left="709" w:right="709"/>
        <w:jc w:val="both"/>
        <w:rPr>
          <w:rFonts w:ascii="Verdana" w:eastAsia="Aptos" w:hAnsi="Verdana" w:cs="Times New Roman"/>
          <w:kern w:val="2"/>
          <w:sz w:val="21"/>
          <w:szCs w:val="21"/>
          <w:highlight w:val="lightGray"/>
          <w:lang w:val="es-MX"/>
          <w14:ligatures w14:val="standardContextual"/>
        </w:rPr>
      </w:pPr>
      <w:r w:rsidRPr="00120B7E">
        <w:rPr>
          <w:rFonts w:ascii="Verdana" w:eastAsia="Aptos" w:hAnsi="Verdana" w:cs="Times New Roman"/>
          <w:kern w:val="2"/>
          <w:sz w:val="21"/>
          <w:szCs w:val="21"/>
          <w:highlight w:val="lightGray"/>
          <w:lang w:val="es-MX"/>
          <w14:ligatures w14:val="standardContextual"/>
        </w:rPr>
        <w:t>[La entidad debe indicar si la forma de pago es por precio global, llave en mano, precios unitarios, administración delegada o reembolso de gastos. El Anexo 1 – Anexo Técnico y el Formulario 1– Formulario de Presupuesto Oficial debe ser concordante con la modalidad de pago seleccionada]</w:t>
      </w:r>
    </w:p>
    <w:p w14:paraId="67DCEC1E" w14:textId="77777777" w:rsidR="00120B7E" w:rsidRPr="00120B7E" w:rsidRDefault="00120B7E" w:rsidP="00120B7E">
      <w:pPr>
        <w:widowControl w:val="0"/>
        <w:autoSpaceDE w:val="0"/>
        <w:autoSpaceDN w:val="0"/>
        <w:spacing w:after="0" w:line="276" w:lineRule="auto"/>
        <w:jc w:val="both"/>
        <w:rPr>
          <w:rFonts w:ascii="Verdana" w:eastAsia="Calibri" w:hAnsi="Verdana" w:cs="Arial"/>
          <w:lang w:val="es-ES"/>
        </w:rPr>
      </w:pPr>
    </w:p>
    <w:p w14:paraId="215B2992" w14:textId="77777777" w:rsidR="00120B7E" w:rsidRPr="00120B7E" w:rsidRDefault="00120B7E" w:rsidP="00120B7E">
      <w:pPr>
        <w:widowControl w:val="0"/>
        <w:autoSpaceDE w:val="0"/>
        <w:autoSpaceDN w:val="0"/>
        <w:snapToGrid w:val="0"/>
        <w:spacing w:after="120" w:line="276" w:lineRule="auto"/>
        <w:ind w:firstLine="709"/>
        <w:jc w:val="both"/>
        <w:rPr>
          <w:rFonts w:ascii="Verdana" w:eastAsia="Calibri" w:hAnsi="Verdana" w:cs="Arial"/>
          <w:lang w:val="es-ES"/>
        </w:rPr>
      </w:pPr>
      <w:r w:rsidRPr="00120B7E">
        <w:rPr>
          <w:rFonts w:ascii="Verdana" w:eastAsia="Calibri" w:hAnsi="Verdana" w:cs="Arial"/>
          <w:lang w:val="es-ES"/>
        </w:rPr>
        <w:t xml:space="preserve">En ese orden, con sujeción a la elección que realice la Entidad Estatal, deben observarse las reglas establecidas en los documentos tipo para cada modalidad, particularmente, cuando el proceso de contratación se estructure por precios unitarios. </w:t>
      </w:r>
    </w:p>
    <w:p w14:paraId="41568461" w14:textId="77777777" w:rsidR="00120B7E" w:rsidRPr="00120B7E" w:rsidRDefault="00120B7E" w:rsidP="00120B7E">
      <w:pPr>
        <w:snapToGrid w:val="0"/>
        <w:spacing w:after="120" w:line="276" w:lineRule="auto"/>
        <w:ind w:firstLine="709"/>
        <w:jc w:val="both"/>
        <w:rPr>
          <w:rFonts w:ascii="Verdana" w:eastAsia="Aptos" w:hAnsi="Verdana" w:cs="Arial"/>
          <w:kern w:val="2"/>
          <w:lang w:val="es-ES"/>
          <w14:ligatures w14:val="standardContextual"/>
        </w:rPr>
      </w:pPr>
      <w:r w:rsidRPr="00120B7E">
        <w:rPr>
          <w:rFonts w:ascii="Verdana" w:eastAsia="Aptos" w:hAnsi="Verdana" w:cs="Arial"/>
          <w:kern w:val="2"/>
          <w:lang w:val="es-ES"/>
          <w14:ligatures w14:val="standardContextual"/>
        </w:rPr>
        <w:t xml:space="preserve">Con todo, incluso en procesos de contratación adelantados con documentos tipo, las entidades cuentan con autonomía para determinar el precio y el sistema de pago más adecuado. Para las entidades que se rigen por el Estatuto General de Contratación de la Administración Pública, tal autonomía está reconocida en los artículos 13, 32 y 40 de la Ley 80 de 1993. En este contexto, en procesos de contratación con pliegos tipo, las entidades están facultadas para establecer si la forma de pago es por precio global, llave en mano, precios unitarios, administración delegada o reembolso de gastos, así como para cambiar de un sistema a otro después del perfeccionamiento del contrato, sin que ello implique una trasgresión del mandato de inalterabilidad. </w:t>
      </w:r>
    </w:p>
    <w:p w14:paraId="2F215BE0" w14:textId="77777777" w:rsidR="00120B7E" w:rsidRPr="00120B7E" w:rsidRDefault="00120B7E" w:rsidP="00120B7E">
      <w:pPr>
        <w:snapToGrid w:val="0"/>
        <w:spacing w:after="120" w:line="276" w:lineRule="auto"/>
        <w:ind w:firstLine="709"/>
        <w:jc w:val="both"/>
        <w:rPr>
          <w:rFonts w:ascii="Verdana" w:eastAsia="Aptos" w:hAnsi="Verdana" w:cs="Times New Roman"/>
          <w:kern w:val="2"/>
          <w:lang w:val="es-ES_tradnl"/>
          <w14:ligatures w14:val="standardContextual"/>
        </w:rPr>
      </w:pPr>
      <w:r w:rsidRPr="00120B7E">
        <w:rPr>
          <w:rFonts w:ascii="Verdana" w:eastAsia="Aptos" w:hAnsi="Verdana" w:cs="Times New Roman"/>
          <w:kern w:val="2"/>
          <w:lang w:val="es-ES_tradnl"/>
          <w14:ligatures w14:val="standardContextual"/>
        </w:rPr>
        <w:t>Sin embargo, conviene señalar que, aun cuando es viable jurídicamente modificar los contratos estatales, dicha medida tiene un carácter excepcional y solo procede cuando con ella se pretende garantizar el interés público, cuando la entidad haya verificado y así pueda constatarse, que la causa de la modificación es real y cierta; y cuando se deriva de previsiones legales, esto es, cuando la modificación encuentra sustento no solo en circunstancias fácticas propias de la ejecución del contrato, sino, además, cuando tales situaciones ponen de presente la necesidad de dar cumplimiento a previsiones establecidas por el legislador. De esta manera, para establecer si un contrato determinado puede ser susceptible de modificación, se hace necesario que la Administración analice, en cada caso, la concurrencia de los aspectos antes referidos.</w:t>
      </w:r>
    </w:p>
    <w:p w14:paraId="2DCE63A9" w14:textId="77777777" w:rsidR="00120B7E" w:rsidRPr="00120B7E" w:rsidRDefault="00120B7E" w:rsidP="00120B7E">
      <w:pPr>
        <w:snapToGrid w:val="0"/>
        <w:spacing w:after="120" w:line="276" w:lineRule="auto"/>
        <w:ind w:firstLine="709"/>
        <w:jc w:val="both"/>
        <w:rPr>
          <w:rFonts w:ascii="Verdana" w:eastAsia="Aptos" w:hAnsi="Verdana" w:cs="Arial"/>
          <w:bCs/>
          <w:kern w:val="2"/>
          <w:lang w:val="es-MX" w:eastAsia="es-ES_tradnl" w:bidi="es-ES"/>
          <w14:ligatures w14:val="standardContextual"/>
        </w:rPr>
      </w:pPr>
      <w:r w:rsidRPr="00120B7E">
        <w:rPr>
          <w:rFonts w:ascii="Verdana" w:eastAsia="Aptos" w:hAnsi="Verdana" w:cs="Times New Roman"/>
          <w:kern w:val="2"/>
          <w:lang w:val="es-ES_tradnl"/>
          <w14:ligatures w14:val="standardContextual"/>
        </w:rPr>
        <w:t xml:space="preserve">En ese contexto, las modificaciones no podrán suponer la variación del objeto de un contrato, pues ello supondría la alteración de su esencia y lo convertiría en otro tipo de negocio jurídico. Si se presentara esta situación lo indicado sería no modificar el contrato, sino, celebrar uno nuevo. </w:t>
      </w:r>
      <w:r w:rsidRPr="00120B7E">
        <w:rPr>
          <w:rFonts w:ascii="Verdana" w:eastAsia="Aptos" w:hAnsi="Verdana" w:cs="Arial"/>
          <w:bCs/>
          <w:kern w:val="2"/>
          <w:lang w:val="es-MX" w:eastAsia="es-ES_tradnl" w:bidi="es-ES"/>
          <w14:ligatures w14:val="standardContextual"/>
        </w:rPr>
        <w:t>Sobre este último punto, la doctrina</w:t>
      </w:r>
      <w:r w:rsidRPr="00120B7E">
        <w:rPr>
          <w:rFonts w:ascii="Verdana" w:eastAsia="Aptos" w:hAnsi="Verdana" w:cs="Arial"/>
          <w:bCs/>
          <w:kern w:val="2"/>
          <w:vertAlign w:val="superscript"/>
          <w:lang w:val="es-MX" w:eastAsia="es-ES_tradnl" w:bidi="es-ES"/>
          <w14:ligatures w14:val="standardContextual"/>
        </w:rPr>
        <w:footnoteReference w:id="13"/>
      </w:r>
      <w:r w:rsidRPr="00120B7E">
        <w:rPr>
          <w:rFonts w:ascii="Verdana" w:eastAsia="Aptos" w:hAnsi="Verdana" w:cs="Arial"/>
          <w:bCs/>
          <w:kern w:val="2"/>
          <w:lang w:val="es-MX" w:eastAsia="es-ES_tradnl" w:bidi="es-ES"/>
          <w14:ligatures w14:val="standardContextual"/>
        </w:rPr>
        <w:t xml:space="preserve"> ha precisado que cuando </w:t>
      </w:r>
      <w:r w:rsidRPr="00120B7E">
        <w:rPr>
          <w:rFonts w:ascii="Verdana" w:eastAsia="Aptos" w:hAnsi="Verdana" w:cs="Arial"/>
          <w:bCs/>
          <w:kern w:val="2"/>
          <w:lang w:val="es-MX" w:eastAsia="es-ES_tradnl"/>
          <w14:ligatures w14:val="standardContextual"/>
        </w:rPr>
        <w:t>“</w:t>
      </w:r>
      <w:r w:rsidRPr="00120B7E">
        <w:rPr>
          <w:rFonts w:ascii="Verdana" w:eastAsia="Aptos" w:hAnsi="Verdana" w:cs="Arial"/>
          <w:bCs/>
          <w:kern w:val="2"/>
          <w:lang w:val="es-MX" w:eastAsia="es-ES_tradnl" w:bidi="es-ES"/>
          <w14:ligatures w14:val="standardContextual"/>
        </w:rPr>
        <w:t>se alude a la modificación del contrato se lo hace para referirse a alteraciones, variaciones, sustituciones de calidad, componentes o número de obras, bienes o servicios. No implican la sustitución del género del contrato sino modificaciones que responden a necesidades sobrevivientes o a errores en la fase previa</w:t>
      </w:r>
      <w:r w:rsidRPr="00120B7E">
        <w:rPr>
          <w:rFonts w:ascii="Verdana" w:eastAsia="Aptos" w:hAnsi="Verdana" w:cs="Arial"/>
          <w:bCs/>
          <w:kern w:val="2"/>
          <w:lang w:val="es-MX" w:eastAsia="es-ES_tradnl"/>
          <w14:ligatures w14:val="standardContextual"/>
        </w:rPr>
        <w:t>”</w:t>
      </w:r>
      <w:r w:rsidRPr="00120B7E">
        <w:rPr>
          <w:rFonts w:ascii="Verdana" w:eastAsia="Aptos" w:hAnsi="Verdana" w:cs="Arial"/>
          <w:bCs/>
          <w:kern w:val="2"/>
          <w:vertAlign w:val="superscript"/>
          <w:lang w:val="es-MX" w:eastAsia="es-ES_tradnl"/>
          <w14:ligatures w14:val="standardContextual"/>
        </w:rPr>
        <w:footnoteReference w:id="14"/>
      </w:r>
      <w:r w:rsidRPr="00120B7E">
        <w:rPr>
          <w:rFonts w:ascii="Verdana" w:eastAsia="Aptos" w:hAnsi="Verdana" w:cs="Arial"/>
          <w:bCs/>
          <w:kern w:val="2"/>
          <w:lang w:val="es-MX" w:eastAsia="es-ES_tradnl" w:bidi="es-ES"/>
          <w14:ligatures w14:val="standardContextual"/>
        </w:rPr>
        <w:t xml:space="preserve">. </w:t>
      </w:r>
    </w:p>
    <w:p w14:paraId="61D22894" w14:textId="77777777" w:rsidR="00120B7E" w:rsidRPr="00120B7E" w:rsidRDefault="00120B7E" w:rsidP="00120B7E">
      <w:pPr>
        <w:snapToGrid w:val="0"/>
        <w:spacing w:after="120" w:line="276" w:lineRule="auto"/>
        <w:ind w:firstLine="709"/>
        <w:jc w:val="both"/>
        <w:rPr>
          <w:rFonts w:ascii="Verdana" w:eastAsia="Aptos" w:hAnsi="Verdana" w:cs="Arial"/>
          <w:bCs/>
          <w:kern w:val="2"/>
          <w:lang w:val="es-MX" w:eastAsia="es-ES_tradnl" w:bidi="es-ES"/>
          <w14:ligatures w14:val="standardContextual"/>
        </w:rPr>
      </w:pPr>
      <w:r w:rsidRPr="00120B7E">
        <w:rPr>
          <w:rFonts w:ascii="Verdana" w:eastAsia="Aptos" w:hAnsi="Verdana" w:cs="Arial"/>
          <w:bCs/>
          <w:kern w:val="2"/>
          <w:lang w:val="es-MX" w:eastAsia="es-ES_tradnl" w:bidi="es-ES"/>
          <w14:ligatures w14:val="standardContextual"/>
        </w:rPr>
        <w:t xml:space="preserve">Para la determinación de los aspectos que no alteran la esencia del contrato estatal y que por ello al variarse no lo convierte en otro contrato, resulta útil remitirse a lo previsto en el artículo 1501 del Código Civil, que establece que los contratos tienen elementos de su esencia, de su naturaleza y accidentales. Las definiciones de cada uno de dichos conceptos efectuadas en el artículo en comento resultarán útiles para establecer, en un caso determinado, si una específica modificación altera la esencia del contrato. </w:t>
      </w:r>
    </w:p>
    <w:p w14:paraId="566B9BF7" w14:textId="77777777" w:rsidR="00120B7E" w:rsidRPr="00120B7E" w:rsidRDefault="00120B7E" w:rsidP="00120B7E">
      <w:pPr>
        <w:snapToGrid w:val="0"/>
        <w:spacing w:after="0" w:line="276" w:lineRule="auto"/>
        <w:ind w:firstLine="709"/>
        <w:jc w:val="both"/>
        <w:rPr>
          <w:rFonts w:ascii="Verdana" w:eastAsia="Aptos" w:hAnsi="Verdana" w:cs="Arial"/>
          <w:bCs/>
          <w:kern w:val="2"/>
          <w:lang w:val="es-MX" w:eastAsia="es-ES_tradnl" w:bidi="es-ES"/>
          <w14:ligatures w14:val="standardContextual"/>
        </w:rPr>
      </w:pPr>
      <w:r w:rsidRPr="00120B7E">
        <w:rPr>
          <w:rFonts w:ascii="Verdana" w:eastAsia="Aptos" w:hAnsi="Verdana" w:cs="Times New Roman"/>
          <w:kern w:val="2"/>
          <w:lang w:val="es-ES_tradnl"/>
          <w14:ligatures w14:val="standardContextual"/>
        </w:rPr>
        <w:t xml:space="preserve">De todas formas, corresponderá a cada Entidad Estatal realizar el análisis respecto a la procedencia de modificar determinado contrato estatal, en el entendido de que se respeten las reglas establecidas en el ordenamiento jurídico, de acuerdo </w:t>
      </w:r>
      <w:r w:rsidRPr="00120B7E">
        <w:rPr>
          <w:rFonts w:ascii="Verdana" w:eastAsia="Aptos" w:hAnsi="Verdana" w:cs="Arial"/>
          <w:bCs/>
          <w:kern w:val="2"/>
          <w:lang w:val="es-MX" w:eastAsia="es-ES_tradnl" w:bidi="es-ES"/>
          <w14:ligatures w14:val="standardContextual"/>
        </w:rPr>
        <w:t>con lo expuesto anteriormente, además de definir previamente su procedencia desde la perspectiva jurídica, técnica y financiera.</w:t>
      </w:r>
    </w:p>
    <w:p w14:paraId="794B49A3" w14:textId="77777777" w:rsidR="00120B7E" w:rsidRPr="00120B7E" w:rsidRDefault="00120B7E" w:rsidP="00120B7E">
      <w:pPr>
        <w:spacing w:after="0" w:line="276" w:lineRule="auto"/>
        <w:jc w:val="both"/>
        <w:rPr>
          <w:rFonts w:ascii="Verdana" w:eastAsia="Times New Roman" w:hAnsi="Verdana" w:cs="Arial"/>
          <w:color w:val="000000"/>
          <w:lang w:eastAsia="es-CO"/>
        </w:rPr>
      </w:pPr>
    </w:p>
    <w:p w14:paraId="5854FC88" w14:textId="77777777" w:rsidR="00120B7E" w:rsidRPr="00120B7E" w:rsidRDefault="00120B7E" w:rsidP="00120B7E">
      <w:pPr>
        <w:numPr>
          <w:ilvl w:val="0"/>
          <w:numId w:val="17"/>
        </w:numPr>
        <w:tabs>
          <w:tab w:val="left" w:pos="142"/>
          <w:tab w:val="left" w:pos="284"/>
        </w:tabs>
        <w:spacing w:after="0" w:line="276" w:lineRule="auto"/>
        <w:jc w:val="both"/>
        <w:rPr>
          <w:rFonts w:ascii="Verdana" w:eastAsia="Century Gothic" w:hAnsi="Verdana" w:cs="Century Gothic"/>
          <w:b/>
          <w:bCs/>
          <w:lang w:val="es-ES"/>
        </w:rPr>
      </w:pPr>
      <w:r w:rsidRPr="00120B7E">
        <w:rPr>
          <w:rFonts w:ascii="Verdana" w:eastAsia="Century Gothic" w:hAnsi="Verdana" w:cs="Century Gothic"/>
          <w:b/>
          <w:bCs/>
          <w:lang w:val="es-ES"/>
        </w:rPr>
        <w:t>Referencias normativas, jurisprudenciales y otras fuentes:</w:t>
      </w:r>
    </w:p>
    <w:p w14:paraId="4F68D33C" w14:textId="77777777" w:rsidR="00120B7E" w:rsidRPr="00120B7E" w:rsidRDefault="00120B7E" w:rsidP="00120B7E">
      <w:pPr>
        <w:widowControl w:val="0"/>
        <w:autoSpaceDE w:val="0"/>
        <w:autoSpaceDN w:val="0"/>
        <w:spacing w:after="0" w:line="276" w:lineRule="auto"/>
        <w:jc w:val="both"/>
        <w:rPr>
          <w:rFonts w:ascii="Verdana" w:eastAsia="Calibri" w:hAnsi="Verdana" w:cs="Arial"/>
        </w:rPr>
      </w:pPr>
    </w:p>
    <w:tbl>
      <w:tblPr>
        <w:tblStyle w:val="TableGrid"/>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20B7E" w:rsidRPr="00120B7E" w14:paraId="33A7A5FC" w14:textId="77777777" w:rsidTr="002C15D5">
        <w:trPr>
          <w:trHeight w:val="404"/>
          <w:jc w:val="center"/>
        </w:trPr>
        <w:tc>
          <w:tcPr>
            <w:tcW w:w="8647" w:type="dxa"/>
          </w:tcPr>
          <w:p w14:paraId="037C78DF" w14:textId="77777777" w:rsidR="00120B7E" w:rsidRPr="00120B7E" w:rsidRDefault="00120B7E" w:rsidP="00120B7E">
            <w:pPr>
              <w:widowControl w:val="0"/>
              <w:numPr>
                <w:ilvl w:val="0"/>
                <w:numId w:val="16"/>
              </w:numPr>
              <w:autoSpaceDE w:val="0"/>
              <w:autoSpaceDN w:val="0"/>
              <w:snapToGrid w:val="0"/>
              <w:spacing w:after="120" w:line="276" w:lineRule="auto"/>
              <w:ind w:left="714" w:hanging="357"/>
              <w:jc w:val="both"/>
              <w:rPr>
                <w:rFonts w:ascii="Verdana" w:eastAsia="Calibri" w:hAnsi="Verdana" w:cs="Arial"/>
                <w:lang w:val="es-ES"/>
              </w:rPr>
            </w:pPr>
            <w:r w:rsidRPr="00120B7E">
              <w:rPr>
                <w:rFonts w:ascii="Verdana" w:eastAsia="Calibri" w:hAnsi="Verdana" w:cs="Arial"/>
                <w:lang w:val="es-ES"/>
              </w:rPr>
              <w:t>Ley 2022 de 2020, artículo 1.</w:t>
            </w:r>
          </w:p>
          <w:p w14:paraId="5935AED8" w14:textId="77777777" w:rsidR="00120B7E" w:rsidRPr="00120B7E" w:rsidRDefault="00120B7E" w:rsidP="00120B7E">
            <w:pPr>
              <w:widowControl w:val="0"/>
              <w:numPr>
                <w:ilvl w:val="0"/>
                <w:numId w:val="16"/>
              </w:numPr>
              <w:autoSpaceDE w:val="0"/>
              <w:autoSpaceDN w:val="0"/>
              <w:snapToGrid w:val="0"/>
              <w:spacing w:after="120" w:line="276" w:lineRule="auto"/>
              <w:ind w:left="714" w:hanging="357"/>
              <w:jc w:val="both"/>
              <w:rPr>
                <w:rFonts w:ascii="Verdana" w:eastAsia="Calibri" w:hAnsi="Verdana" w:cs="Arial"/>
                <w:lang w:val="es-ES"/>
              </w:rPr>
            </w:pPr>
            <w:r w:rsidRPr="00120B7E">
              <w:rPr>
                <w:rFonts w:ascii="Verdana" w:eastAsia="Calibri" w:hAnsi="Verdana" w:cs="Arial"/>
                <w:lang w:val="es-ES"/>
              </w:rPr>
              <w:t>Ley 80 de 1993, artículo 13, 32 y 40.</w:t>
            </w:r>
          </w:p>
          <w:p w14:paraId="7B817845" w14:textId="77777777" w:rsidR="00120B7E" w:rsidRPr="00120B7E" w:rsidRDefault="00120B7E" w:rsidP="00120B7E">
            <w:pPr>
              <w:widowControl w:val="0"/>
              <w:numPr>
                <w:ilvl w:val="0"/>
                <w:numId w:val="16"/>
              </w:numPr>
              <w:autoSpaceDE w:val="0"/>
              <w:autoSpaceDN w:val="0"/>
              <w:snapToGrid w:val="0"/>
              <w:spacing w:after="120" w:line="276" w:lineRule="auto"/>
              <w:ind w:left="714" w:hanging="357"/>
              <w:jc w:val="both"/>
              <w:rPr>
                <w:rFonts w:ascii="Verdana" w:eastAsia="Calibri" w:hAnsi="Verdana" w:cs="Arial"/>
                <w:lang w:val="es-ES"/>
              </w:rPr>
            </w:pPr>
            <w:r w:rsidRPr="00120B7E">
              <w:rPr>
                <w:rFonts w:ascii="Verdana" w:eastAsia="Calibri" w:hAnsi="Verdana" w:cs="Arial"/>
                <w:lang w:val="es-ES"/>
              </w:rPr>
              <w:t>Decreto 1082 de 2015, artículo 2.2.1.1.2.1.1.</w:t>
            </w:r>
          </w:p>
          <w:p w14:paraId="30EFED2C" w14:textId="77777777" w:rsidR="00120B7E" w:rsidRPr="00120B7E" w:rsidRDefault="00120B7E" w:rsidP="00120B7E">
            <w:pPr>
              <w:widowControl w:val="0"/>
              <w:numPr>
                <w:ilvl w:val="0"/>
                <w:numId w:val="16"/>
              </w:numPr>
              <w:autoSpaceDE w:val="0"/>
              <w:autoSpaceDN w:val="0"/>
              <w:snapToGrid w:val="0"/>
              <w:spacing w:after="120" w:line="276" w:lineRule="auto"/>
              <w:ind w:left="714" w:hanging="357"/>
              <w:jc w:val="both"/>
              <w:rPr>
                <w:rFonts w:ascii="Verdana" w:eastAsia="Calibri" w:hAnsi="Verdana" w:cs="Arial"/>
                <w:lang w:val="es-ES"/>
              </w:rPr>
            </w:pPr>
            <w:r w:rsidRPr="00120B7E">
              <w:rPr>
                <w:rFonts w:ascii="Verdana" w:eastAsia="Aptos" w:hAnsi="Verdana" w:cs="Arial"/>
                <w:lang w:val="es-ES_tradnl"/>
              </w:rPr>
              <w:t>Consejo de Estado. Sección Tercera. Subsección A, expediente 47001-23-33-000-2018-00035-01 (63.854), C.P. Marta Nubia Velásquez Rico.</w:t>
            </w:r>
          </w:p>
          <w:p w14:paraId="7F6A7F6E" w14:textId="77777777" w:rsidR="00120B7E" w:rsidRPr="00120B7E" w:rsidRDefault="00120B7E" w:rsidP="00120B7E">
            <w:pPr>
              <w:widowControl w:val="0"/>
              <w:numPr>
                <w:ilvl w:val="0"/>
                <w:numId w:val="16"/>
              </w:numPr>
              <w:autoSpaceDE w:val="0"/>
              <w:autoSpaceDN w:val="0"/>
              <w:snapToGrid w:val="0"/>
              <w:spacing w:after="120" w:line="276" w:lineRule="auto"/>
              <w:ind w:left="714" w:hanging="357"/>
              <w:jc w:val="both"/>
              <w:rPr>
                <w:rFonts w:ascii="Verdana" w:eastAsia="Calibri" w:hAnsi="Verdana" w:cs="Arial"/>
                <w:lang w:val="es-ES"/>
              </w:rPr>
            </w:pPr>
            <w:r w:rsidRPr="00120B7E">
              <w:rPr>
                <w:rFonts w:ascii="Verdana" w:eastAsia="Calibri" w:hAnsi="Verdana" w:cs="Arial"/>
                <w:lang w:val="es-ES_tradnl"/>
              </w:rPr>
              <w:t xml:space="preserve">Documentos Tipo. Disponibles en: </w:t>
            </w:r>
            <w:hyperlink r:id="rId11" w:history="1">
              <w:r w:rsidRPr="00120B7E">
                <w:rPr>
                  <w:rFonts w:ascii="Verdana" w:eastAsia="Calibri" w:hAnsi="Verdana" w:cs="Arial"/>
                  <w:color w:val="0000FF"/>
                  <w:u w:val="single"/>
                  <w:lang w:val="es-ES_tradnl"/>
                </w:rPr>
                <w:t>https://www.colombiacompra.gov.co/documentos-tipo/documentos-tipo</w:t>
              </w:r>
            </w:hyperlink>
            <w:r w:rsidRPr="00120B7E">
              <w:rPr>
                <w:rFonts w:ascii="Verdana" w:eastAsia="Calibri" w:hAnsi="Verdana" w:cs="Arial"/>
                <w:lang w:val="es-ES_tradnl"/>
              </w:rPr>
              <w:t>.</w:t>
            </w:r>
          </w:p>
        </w:tc>
      </w:tr>
    </w:tbl>
    <w:p w14:paraId="41977450" w14:textId="77777777" w:rsidR="00120B7E" w:rsidRPr="00120B7E" w:rsidRDefault="00120B7E" w:rsidP="00120B7E">
      <w:pPr>
        <w:widowControl w:val="0"/>
        <w:autoSpaceDE w:val="0"/>
        <w:autoSpaceDN w:val="0"/>
        <w:snapToGrid w:val="0"/>
        <w:spacing w:after="0" w:line="276" w:lineRule="auto"/>
        <w:jc w:val="both"/>
        <w:rPr>
          <w:rFonts w:ascii="Verdana" w:eastAsia="Calibri" w:hAnsi="Verdana" w:cs="Arial"/>
        </w:rPr>
      </w:pPr>
    </w:p>
    <w:p w14:paraId="6A55EAA4" w14:textId="77777777" w:rsidR="00120B7E" w:rsidRPr="00120B7E" w:rsidRDefault="00120B7E" w:rsidP="00120B7E">
      <w:pPr>
        <w:numPr>
          <w:ilvl w:val="0"/>
          <w:numId w:val="17"/>
        </w:numPr>
        <w:tabs>
          <w:tab w:val="left" w:pos="142"/>
          <w:tab w:val="left" w:pos="284"/>
        </w:tabs>
        <w:snapToGrid w:val="0"/>
        <w:spacing w:after="0" w:line="276" w:lineRule="auto"/>
        <w:jc w:val="both"/>
        <w:rPr>
          <w:rFonts w:ascii="Verdana" w:eastAsia="Century Gothic" w:hAnsi="Verdana" w:cs="Century Gothic"/>
          <w:b/>
          <w:bCs/>
          <w:lang w:val="es-ES"/>
        </w:rPr>
      </w:pPr>
      <w:r w:rsidRPr="00120B7E">
        <w:rPr>
          <w:rFonts w:ascii="Verdana" w:eastAsia="Century Gothic" w:hAnsi="Verdana" w:cs="Century Gothic"/>
          <w:b/>
          <w:bCs/>
          <w:lang w:val="es-ES"/>
        </w:rPr>
        <w:t>Doctrina de la Agencia Nacional de Contratación Pública:</w:t>
      </w:r>
    </w:p>
    <w:p w14:paraId="7D177DA6" w14:textId="77777777" w:rsidR="00120B7E" w:rsidRPr="00120B7E" w:rsidRDefault="00120B7E" w:rsidP="00120B7E">
      <w:pPr>
        <w:widowControl w:val="0"/>
        <w:autoSpaceDE w:val="0"/>
        <w:autoSpaceDN w:val="0"/>
        <w:snapToGrid w:val="0"/>
        <w:spacing w:after="0" w:line="276" w:lineRule="auto"/>
        <w:jc w:val="both"/>
        <w:rPr>
          <w:rFonts w:ascii="Verdana" w:eastAsia="Calibri" w:hAnsi="Verdana" w:cs="Arial"/>
        </w:rPr>
      </w:pPr>
    </w:p>
    <w:p w14:paraId="093C54FA" w14:textId="77777777" w:rsidR="00120B7E" w:rsidRPr="00120B7E" w:rsidRDefault="00120B7E" w:rsidP="00120B7E">
      <w:pPr>
        <w:widowControl w:val="0"/>
        <w:autoSpaceDE w:val="0"/>
        <w:autoSpaceDN w:val="0"/>
        <w:spacing w:after="0" w:line="276" w:lineRule="auto"/>
        <w:jc w:val="both"/>
        <w:rPr>
          <w:rFonts w:ascii="Verdana" w:eastAsia="Times New Roman" w:hAnsi="Verdana" w:cs="Arial"/>
          <w:kern w:val="2"/>
          <w:shd w:val="clear" w:color="auto" w:fill="FFFFFF"/>
          <w:lang w:val="es-ES"/>
          <w14:ligatures w14:val="standardContextual"/>
        </w:rPr>
      </w:pPr>
      <w:r w:rsidRPr="00120B7E">
        <w:rPr>
          <w:rFonts w:ascii="Verdana" w:eastAsia="Calibri" w:hAnsi="Verdana" w:cs="Arial"/>
          <w:shd w:val="clear" w:color="auto" w:fill="FFFFFF"/>
        </w:rPr>
        <w:t>La Agencia Nacional de Contratación Pública – Colombia Compra Eficiente se ha pronunciado sobre la regla de la inalterabilidad de los documentos tipo en los siguiente conceptos: C-058 del 8 de marzo de 2022, C-657 del 11 de octubre de 2022, C-051 del 28 de abril de 2023, C-513 del 7 de octubre de 2024, C-730 del 27 de noviembre de 2024, C-870 del 15 de diciembre de 2024, C-092 del 4 de marzo de 2025, C-110 del 7 de marzo de 2025, C-133 del 10 de marzo de 2025, C-241 del 14 de marzo de 2025, C-283 del 14 de abril de 2025, C-302 del 21 de abril de 2025, C-386 del 22 de abril de 2025, C-322 del 25 de abril de 2025, C-325 del 25 de abril de 2025, C-342 del 25 de abril de 2025, C-365 del 2 de mayo de 2025, C-382 del 6 de mayo de 2025, C497 del 5 de junio de 2025, C-522 del 9 de junio de 2025, C-562 del 19 de junio de 2025, C-582 del 25 de junio de 2025, C-043 del 13 de febrero de 2026, C-246 del 12 de marzo de 2026, C-467 del 21 de abril de 2026, entre otros.</w:t>
      </w:r>
      <w:r w:rsidRPr="00120B7E">
        <w:rPr>
          <w:rFonts w:ascii="Verdana" w:eastAsia="Times New Roman" w:hAnsi="Verdana" w:cs="Arial"/>
          <w:kern w:val="2"/>
          <w:shd w:val="clear" w:color="auto" w:fill="FFFFFF"/>
          <w:lang w:val="es-ES"/>
          <w14:ligatures w14:val="standardContextual"/>
        </w:rPr>
        <w:t xml:space="preserve"> Estos y otros conceptos se encuentran disponibles para consulta en el Sistema de Relatoría de la Agencia, en el cual también podrá encontrar jurisprudencia del Consejo de Estado, laudos arbitrales y la normativa de la contratación concordada con la doctrina de la Subdirección de Gestión Contractual. Acceda a través del siguiente enlace: </w:t>
      </w:r>
      <w:hyperlink r:id="rId12" w:tgtFrame="_blank" w:tooltip="Dirección URL original: https://relatoria.colombiacompra.gov.co/. Haga clic o pulse si confía en este vínculo." w:history="1">
        <w:r w:rsidRPr="00120B7E">
          <w:rPr>
            <w:rFonts w:ascii="Verdana" w:eastAsia="Calibri" w:hAnsi="Verdana" w:cs="Arial"/>
            <w:color w:val="0000FF"/>
            <w:kern w:val="2"/>
            <w:u w:val="single"/>
            <w:shd w:val="clear" w:color="auto" w:fill="FFFFFF"/>
            <w14:ligatures w14:val="standardContextual"/>
          </w:rPr>
          <w:t>https://relatoria.colombiacompra.gov.co/</w:t>
        </w:r>
      </w:hyperlink>
      <w:r w:rsidRPr="00120B7E">
        <w:rPr>
          <w:rFonts w:ascii="Verdana" w:eastAsia="Calibri" w:hAnsi="Verdana" w:cs="Arial"/>
          <w:color w:val="0000FF"/>
          <w:kern w:val="2"/>
          <w:u w:val="single"/>
          <w:shd w:val="clear" w:color="auto" w:fill="FFFFFF"/>
          <w14:ligatures w14:val="standardContextual"/>
        </w:rPr>
        <w:t> .</w:t>
      </w:r>
    </w:p>
    <w:p w14:paraId="6A949E1C" w14:textId="77777777" w:rsidR="00120B7E" w:rsidRPr="00120B7E" w:rsidRDefault="00120B7E" w:rsidP="00120B7E">
      <w:pPr>
        <w:spacing w:after="0" w:line="240" w:lineRule="auto"/>
        <w:jc w:val="both"/>
        <w:rPr>
          <w:rFonts w:ascii="Verdana" w:eastAsia="Calibri" w:hAnsi="Verdana" w:cs="Arial"/>
          <w:color w:val="000000"/>
          <w:kern w:val="2"/>
          <w:shd w:val="clear" w:color="auto" w:fill="FFFFFF"/>
          <w14:ligatures w14:val="standardContextual"/>
        </w:rPr>
      </w:pPr>
    </w:p>
    <w:p w14:paraId="62828737" w14:textId="77777777" w:rsidR="00120B7E" w:rsidRPr="00120B7E" w:rsidRDefault="00120B7E" w:rsidP="00120B7E">
      <w:pPr>
        <w:spacing w:after="0" w:line="276" w:lineRule="auto"/>
        <w:jc w:val="both"/>
        <w:rPr>
          <w:rFonts w:ascii="Verdana" w:eastAsia="Aptos" w:hAnsi="Verdana" w:cs="Arial"/>
          <w:kern w:val="2"/>
          <w14:ligatures w14:val="standardContextual"/>
        </w:rPr>
      </w:pPr>
      <w:r w:rsidRPr="00120B7E">
        <w:rPr>
          <w:rFonts w:ascii="Verdana" w:eastAsia="Aptos" w:hAnsi="Verdana" w:cs="Arial"/>
          <w:kern w:val="2"/>
          <w14:ligatures w14:val="standardContextual"/>
        </w:rPr>
        <w:t xml:space="preserve">La sostenibilidad no es una opción, es una obligación. Por ello, la Agencia Nacional de Contratación Pública –Colombia Compra Eficiente– le invita a realizar el </w:t>
      </w:r>
      <w:r w:rsidRPr="00120B7E">
        <w:rPr>
          <w:rFonts w:ascii="Verdana" w:eastAsia="Aptos" w:hAnsi="Verdana" w:cs="Arial"/>
          <w:b/>
          <w:bCs/>
          <w:kern w:val="2"/>
          <w14:ligatures w14:val="standardContextual"/>
        </w:rPr>
        <w:t>Curso de Contratación Pública Sostenible y Socialmente Responsable</w:t>
      </w:r>
      <w:r w:rsidRPr="00120B7E">
        <w:rPr>
          <w:rFonts w:ascii="Verdana" w:eastAsia="Aptos" w:hAnsi="Verdana" w:cs="Arial"/>
          <w:kern w:val="2"/>
          <w14:ligatures w14:val="standardContextual"/>
        </w:rPr>
        <w:t>, una herramienta clave para fortalecer las capacidades de todos los compradores públicos, proveedores, servidores públicos y para generar mayor valor público. Acceda al curso y aprenda cómo implementar criterios sociales y ambientales en las diferentes etapas del proceso de contratación:</w:t>
      </w:r>
      <w:r w:rsidRPr="00120B7E">
        <w:rPr>
          <w:rFonts w:ascii="Verdana" w:eastAsia="Aptos" w:hAnsi="Verdana" w:cs="Arial"/>
          <w:kern w:val="2"/>
          <w14:ligatures w14:val="standardContextual"/>
        </w:rPr>
        <w:br/>
      </w:r>
      <w:hyperlink r:id="rId13" w:tgtFrame="_new" w:history="1">
        <w:r w:rsidRPr="00120B7E">
          <w:rPr>
            <w:rFonts w:ascii="Verdana" w:eastAsia="Aptos" w:hAnsi="Verdana" w:cs="Arial"/>
            <w:color w:val="0000FF"/>
            <w:kern w:val="2"/>
            <w:u w:val="single"/>
            <w14:ligatures w14:val="standardContextual"/>
          </w:rPr>
          <w:t>https://formacionvirtual.colombiacompra.gov.co/mod/page/view.php?id=3718</w:t>
        </w:r>
      </w:hyperlink>
    </w:p>
    <w:p w14:paraId="448A2A2A" w14:textId="77777777" w:rsidR="00120B7E" w:rsidRPr="00120B7E" w:rsidRDefault="00120B7E" w:rsidP="00120B7E">
      <w:pPr>
        <w:spacing w:after="0" w:line="276" w:lineRule="auto"/>
        <w:jc w:val="both"/>
        <w:rPr>
          <w:rFonts w:ascii="Verdana" w:eastAsia="Aptos" w:hAnsi="Verdana" w:cs="Arial"/>
          <w:kern w:val="2"/>
          <w14:ligatures w14:val="standardContextual"/>
        </w:rPr>
      </w:pPr>
      <w:r w:rsidRPr="00120B7E">
        <w:rPr>
          <w:rFonts w:ascii="Verdana" w:eastAsia="Aptos" w:hAnsi="Verdana" w:cs="Arial"/>
          <w:kern w:val="2"/>
          <w14:ligatures w14:val="standardContextual"/>
        </w:rPr>
        <w:t xml:space="preserve">De otro lado, le contamos que esta Agencia ha da un paso decisivo en la estandarización y modernización del </w:t>
      </w:r>
      <w:r w:rsidRPr="00120B7E">
        <w:rPr>
          <w:rFonts w:ascii="Verdana" w:eastAsia="Aptos" w:hAnsi="Verdana" w:cs="Arial"/>
          <w:b/>
          <w:bCs/>
          <w:kern w:val="2"/>
          <w14:ligatures w14:val="standardContextual"/>
        </w:rPr>
        <w:t>sector  social</w:t>
      </w:r>
      <w:r w:rsidRPr="00120B7E">
        <w:rPr>
          <w:rFonts w:ascii="Verdana" w:eastAsia="Aptos" w:hAnsi="Verdana" w:cs="Arial"/>
          <w:kern w:val="2"/>
          <w14:ligatures w14:val="standardContextual"/>
        </w:rPr>
        <w:t xml:space="preserve"> con la expedición de las </w:t>
      </w:r>
      <w:r w:rsidRPr="00120B7E">
        <w:rPr>
          <w:rFonts w:ascii="Verdana" w:eastAsia="Aptos" w:hAnsi="Verdana" w:cs="Arial"/>
          <w:b/>
          <w:bCs/>
          <w:kern w:val="2"/>
          <w14:ligatures w14:val="standardContextual"/>
        </w:rPr>
        <w:t>Resoluciones 539, 540, 541, 952 y 953 de 2025</w:t>
      </w:r>
      <w:r w:rsidRPr="00120B7E">
        <w:rPr>
          <w:rFonts w:ascii="Verdana" w:eastAsia="Aptos" w:hAnsi="Verdana" w:cs="Arial"/>
          <w:kern w:val="2"/>
          <w14:ligatures w14:val="standardContextual"/>
        </w:rPr>
        <w:t xml:space="preserve">, </w:t>
      </w:r>
      <w:r w:rsidRPr="00120B7E">
        <w:rPr>
          <w:rFonts w:ascii="Verdana" w:eastAsia="Aptos" w:hAnsi="Verdana" w:cs="Arial"/>
          <w:b/>
          <w:bCs/>
          <w:kern w:val="2"/>
          <w14:ligatures w14:val="standardContextual"/>
        </w:rPr>
        <w:t>mediante las cuales adoptó Documentos Tipo</w:t>
      </w:r>
      <w:r w:rsidRPr="00120B7E">
        <w:rPr>
          <w:rFonts w:ascii="Verdana" w:eastAsia="Aptos" w:hAnsi="Verdana" w:cs="Arial"/>
          <w:kern w:val="2"/>
          <w14:ligatures w14:val="standardContextual"/>
        </w:rPr>
        <w:t xml:space="preserve"> para las modalidades de selección de</w:t>
      </w:r>
      <w:r w:rsidRPr="00120B7E">
        <w:rPr>
          <w:rFonts w:ascii="Verdana" w:eastAsia="Aptos" w:hAnsi="Verdana" w:cs="Arial"/>
          <w:b/>
          <w:bCs/>
          <w:kern w:val="2"/>
          <w14:ligatures w14:val="standardContextual"/>
        </w:rPr>
        <w:t xml:space="preserve"> licitación pública (versión 2), selección abreviada de menor cuantía, mínima cuantía, consultoría e interventoría</w:t>
      </w:r>
      <w:r w:rsidRPr="00120B7E">
        <w:rPr>
          <w:rFonts w:ascii="Verdana" w:eastAsia="Aptos" w:hAnsi="Verdana" w:cs="Arial"/>
          <w:kern w:val="2"/>
          <w14:ligatures w14:val="standardContextual"/>
        </w:rPr>
        <w:t xml:space="preserve">, promoviendo procesos más transparentes, eficientes  competitivos y sostenibles en sectores estratégicos como educación, salud, cultura, recreación, deporte, institucional y vivienda. Consulte y descargue los documentos aquí: </w:t>
      </w:r>
      <w:hyperlink r:id="rId14" w:tgtFrame="_new" w:history="1">
        <w:r w:rsidRPr="00120B7E">
          <w:rPr>
            <w:rFonts w:ascii="Verdana" w:eastAsia="Aptos" w:hAnsi="Verdana" w:cs="Arial"/>
            <w:color w:val="0000FF"/>
            <w:kern w:val="2"/>
            <w:u w:val="single"/>
            <w14:ligatures w14:val="standardContextual"/>
          </w:rPr>
          <w:t>https://www.colombiacompra.gov.co/normativa-y-relatoria/documentos-tipo</w:t>
        </w:r>
      </w:hyperlink>
    </w:p>
    <w:p w14:paraId="0380574A" w14:textId="77777777" w:rsidR="00120B7E" w:rsidRPr="00120B7E" w:rsidRDefault="00120B7E" w:rsidP="00120B7E">
      <w:pPr>
        <w:spacing w:after="0" w:line="276" w:lineRule="auto"/>
        <w:jc w:val="both"/>
        <w:rPr>
          <w:rFonts w:ascii="Verdana" w:eastAsia="Aptos" w:hAnsi="Verdana" w:cs="Arial"/>
          <w:kern w:val="2"/>
          <w14:ligatures w14:val="standardContextual"/>
        </w:rPr>
      </w:pPr>
    </w:p>
    <w:p w14:paraId="6DA1770A" w14:textId="77777777" w:rsidR="00120B7E" w:rsidRPr="00120B7E" w:rsidRDefault="00120B7E" w:rsidP="00120B7E">
      <w:pPr>
        <w:spacing w:after="0" w:line="276" w:lineRule="auto"/>
        <w:jc w:val="both"/>
        <w:rPr>
          <w:rFonts w:ascii="Verdana" w:eastAsia="Aptos" w:hAnsi="Verdana" w:cs="Arial"/>
          <w:kern w:val="2"/>
          <w14:ligatures w14:val="standardContextual"/>
        </w:rPr>
      </w:pPr>
      <w:r w:rsidRPr="00120B7E">
        <w:rPr>
          <w:rFonts w:ascii="Verdana" w:eastAsia="Aptos" w:hAnsi="Verdana" w:cs="Arial"/>
          <w:kern w:val="2"/>
          <w14:ligatures w14:val="standardContextual"/>
        </w:rPr>
        <w:t xml:space="preserve">Si quiere conocer más sobre la aplicación de Documentos Tipo puede consultar la última versión de la </w:t>
      </w:r>
      <w:r w:rsidRPr="00120B7E">
        <w:rPr>
          <w:rFonts w:ascii="Verdana" w:eastAsia="Aptos" w:hAnsi="Verdana" w:cs="Arial"/>
          <w:b/>
          <w:bCs/>
          <w:kern w:val="2"/>
          <w14:ligatures w14:val="standardContextual"/>
        </w:rPr>
        <w:t>Guía para la comprensión e implementación de los Documentos Tipo de obra pública de infraestructura de transporte</w:t>
      </w:r>
      <w:r w:rsidRPr="00120B7E">
        <w:rPr>
          <w:rFonts w:ascii="Verdana" w:eastAsia="Aptos" w:hAnsi="Verdana" w:cs="Arial"/>
          <w:kern w:val="2"/>
          <w14:ligatures w14:val="standardContextual"/>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Consulte la guía aquí:</w:t>
      </w:r>
      <w:r w:rsidRPr="00120B7E">
        <w:rPr>
          <w:rFonts w:ascii="Verdana" w:eastAsia="Aptos" w:hAnsi="Verdana" w:cs="Arial"/>
          <w:kern w:val="2"/>
          <w14:ligatures w14:val="standardContextual"/>
        </w:rPr>
        <w:br/>
      </w:r>
      <w:hyperlink r:id="rId15" w:tgtFrame="_new" w:history="1">
        <w:r w:rsidRPr="00120B7E">
          <w:rPr>
            <w:rFonts w:ascii="Verdana" w:eastAsia="Aptos" w:hAnsi="Verdana" w:cs="Arial"/>
            <w:color w:val="0000FF"/>
            <w:kern w:val="2"/>
            <w:u w:val="single"/>
            <w14:ligatures w14:val="standardContextual"/>
          </w:rPr>
          <w:t>https://www.colombiacompra.gov.co/archivos/manual/guia-para-la-comprension-e-implementacion-de-los-documentos-tipo-de-obra-publica-de-infraestructura-de-transporte-bajo-las-diferentes-modalidades-de-contratacion-vigentes</w:t>
        </w:r>
      </w:hyperlink>
    </w:p>
    <w:p w14:paraId="6660AD92" w14:textId="77777777" w:rsidR="00120B7E" w:rsidRPr="00120B7E" w:rsidRDefault="00120B7E" w:rsidP="00120B7E">
      <w:pPr>
        <w:spacing w:after="0"/>
        <w:jc w:val="both"/>
        <w:rPr>
          <w:rFonts w:ascii="Verdana" w:eastAsia="Aptos" w:hAnsi="Verdana" w:cs="Times New Roman"/>
          <w:color w:val="212121"/>
        </w:rPr>
      </w:pPr>
    </w:p>
    <w:p w14:paraId="25EFAC75" w14:textId="77777777" w:rsidR="00120B7E" w:rsidRPr="00120B7E" w:rsidRDefault="00120B7E" w:rsidP="00120B7E">
      <w:pPr>
        <w:spacing w:after="0" w:line="240" w:lineRule="auto"/>
        <w:jc w:val="both"/>
        <w:rPr>
          <w:rFonts w:ascii="Verdana" w:eastAsia="Calibri" w:hAnsi="Verdana" w:cs="Times New Roman"/>
        </w:rPr>
      </w:pPr>
      <w:r w:rsidRPr="00120B7E">
        <w:rPr>
          <w:rFonts w:ascii="Verdana" w:eastAsia="Aptos" w:hAnsi="Verdana" w:cs="Times New Roman"/>
        </w:rPr>
        <w:t xml:space="preserve">Por último, le invitamos a seguirnos en las redes sociales en las cuales se difunde información institucional: </w:t>
      </w:r>
    </w:p>
    <w:p w14:paraId="76B7C5FD" w14:textId="77777777" w:rsidR="00120B7E" w:rsidRPr="00120B7E" w:rsidRDefault="00120B7E" w:rsidP="00120B7E">
      <w:pPr>
        <w:spacing w:after="0" w:line="240" w:lineRule="auto"/>
        <w:jc w:val="both"/>
        <w:rPr>
          <w:rFonts w:ascii="Verdana" w:eastAsia="Aptos" w:hAnsi="Verdana" w:cs="Times New Roman"/>
        </w:rPr>
      </w:pPr>
    </w:p>
    <w:p w14:paraId="033371AD" w14:textId="77777777" w:rsidR="00120B7E" w:rsidRPr="00120B7E" w:rsidRDefault="00120B7E" w:rsidP="00120B7E">
      <w:pPr>
        <w:spacing w:after="0" w:line="240" w:lineRule="auto"/>
        <w:jc w:val="both"/>
        <w:rPr>
          <w:rFonts w:ascii="Verdana" w:eastAsia="Verdana" w:hAnsi="Verdana" w:cs="Verdana"/>
        </w:rPr>
      </w:pPr>
      <w:r w:rsidRPr="00120B7E">
        <w:rPr>
          <w:rFonts w:ascii="Verdana" w:eastAsia="Aptos" w:hAnsi="Verdana" w:cs="Times New Roman"/>
        </w:rPr>
        <w:t>X</w:t>
      </w:r>
      <w:r w:rsidRPr="00120B7E">
        <w:rPr>
          <w:rFonts w:ascii="Verdana" w:eastAsia="Verdana" w:hAnsi="Verdana" w:cs="Verdana"/>
        </w:rPr>
        <w:t xml:space="preserve">: </w:t>
      </w:r>
      <w:r w:rsidRPr="00120B7E">
        <w:rPr>
          <w:rFonts w:ascii="Verdana" w:eastAsia="Calibri" w:hAnsi="Verdana" w:cs="Times New Roman"/>
          <w:color w:val="156082"/>
          <w:u w:val="single"/>
        </w:rPr>
        <w:t>@colombiacompra</w:t>
      </w:r>
      <w:r w:rsidRPr="00120B7E">
        <w:rPr>
          <w:rFonts w:ascii="Verdana" w:eastAsia="Calibri" w:hAnsi="Verdana" w:cs="Times New Roman"/>
          <w:color w:val="156082"/>
        </w:rPr>
        <w:t xml:space="preserve"> </w:t>
      </w:r>
    </w:p>
    <w:p w14:paraId="679CA993" w14:textId="77777777" w:rsidR="00120B7E" w:rsidRPr="00120B7E" w:rsidRDefault="00120B7E" w:rsidP="00120B7E">
      <w:pPr>
        <w:spacing w:after="0" w:line="240" w:lineRule="auto"/>
        <w:jc w:val="both"/>
        <w:rPr>
          <w:rFonts w:ascii="Verdana" w:eastAsia="Verdana" w:hAnsi="Verdana" w:cs="Verdana"/>
        </w:rPr>
      </w:pPr>
      <w:r w:rsidRPr="00120B7E">
        <w:rPr>
          <w:rFonts w:ascii="Verdana" w:eastAsia="Verdana" w:hAnsi="Verdana" w:cs="Verdana"/>
        </w:rPr>
        <w:t xml:space="preserve">Facebook: </w:t>
      </w:r>
      <w:r w:rsidRPr="00120B7E">
        <w:rPr>
          <w:rFonts w:ascii="Verdana" w:eastAsia="Calibri" w:hAnsi="Verdana" w:cs="Times New Roman"/>
          <w:color w:val="156082"/>
          <w:u w:val="single"/>
        </w:rPr>
        <w:t>ColombiaCompraEficiente</w:t>
      </w:r>
    </w:p>
    <w:p w14:paraId="0022614C" w14:textId="77777777" w:rsidR="00120B7E" w:rsidRPr="00120B7E" w:rsidRDefault="00120B7E" w:rsidP="00120B7E">
      <w:pPr>
        <w:spacing w:after="0" w:line="240" w:lineRule="auto"/>
        <w:jc w:val="both"/>
        <w:rPr>
          <w:rFonts w:ascii="Verdana" w:eastAsia="Verdana" w:hAnsi="Verdana" w:cs="Verdana"/>
        </w:rPr>
      </w:pPr>
      <w:r w:rsidRPr="00120B7E">
        <w:rPr>
          <w:rFonts w:ascii="Verdana" w:eastAsia="Verdana" w:hAnsi="Verdana" w:cs="Verdana"/>
        </w:rPr>
        <w:t xml:space="preserve">LinkedIn: </w:t>
      </w:r>
      <w:r w:rsidRPr="00120B7E">
        <w:rPr>
          <w:rFonts w:ascii="Verdana" w:eastAsia="Calibri" w:hAnsi="Verdana" w:cs="Times New Roman"/>
          <w:color w:val="156082"/>
          <w:u w:val="single"/>
        </w:rPr>
        <w:t>Agencia Nacional de Contratación Pública - Colombia Compra Eficiente</w:t>
      </w:r>
      <w:r w:rsidRPr="00120B7E">
        <w:rPr>
          <w:rFonts w:ascii="Verdana" w:eastAsia="Calibri" w:hAnsi="Verdana" w:cs="Times New Roman"/>
          <w:color w:val="156082"/>
        </w:rPr>
        <w:t xml:space="preserve"> </w:t>
      </w:r>
      <w:r w:rsidRPr="00120B7E">
        <w:rPr>
          <w:rFonts w:ascii="Verdana" w:eastAsia="Verdana" w:hAnsi="Verdana" w:cs="Verdana"/>
        </w:rPr>
        <w:t xml:space="preserve">Instagram: </w:t>
      </w:r>
      <w:r w:rsidRPr="00120B7E">
        <w:rPr>
          <w:rFonts w:ascii="Verdana" w:eastAsia="Calibri" w:hAnsi="Verdana" w:cs="Times New Roman"/>
          <w:color w:val="156082"/>
          <w:u w:val="single"/>
        </w:rPr>
        <w:t>@colombiacompraeficiente_cce</w:t>
      </w:r>
    </w:p>
    <w:p w14:paraId="41FB5283" w14:textId="77777777" w:rsidR="00120B7E" w:rsidRPr="00120B7E" w:rsidRDefault="00120B7E" w:rsidP="00120B7E">
      <w:pPr>
        <w:spacing w:after="0" w:line="276" w:lineRule="auto"/>
        <w:jc w:val="both"/>
        <w:rPr>
          <w:rFonts w:ascii="Verdana" w:eastAsia="Verdana" w:hAnsi="Verdana" w:cs="Verdana"/>
        </w:rPr>
      </w:pPr>
    </w:p>
    <w:p w14:paraId="61994461" w14:textId="77777777" w:rsidR="00120B7E" w:rsidRPr="00120B7E" w:rsidRDefault="00120B7E" w:rsidP="00120B7E">
      <w:pPr>
        <w:spacing w:after="0" w:line="276" w:lineRule="auto"/>
        <w:jc w:val="both"/>
        <w:rPr>
          <w:rFonts w:ascii="Verdana" w:eastAsia="Calibri" w:hAnsi="Verdana" w:cs="Times New Roman"/>
          <w:bCs/>
          <w:lang w:val="es-ES_tradnl"/>
        </w:rPr>
      </w:pPr>
      <w:r w:rsidRPr="00120B7E">
        <w:rPr>
          <w:rFonts w:ascii="Verdana" w:eastAsia="Calibri" w:hAnsi="Verdana" w:cs="Times New Roman"/>
          <w:lang w:val="es-ES_tradn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4FE12ED4" w14:textId="77777777" w:rsidR="00120B7E" w:rsidRPr="00120B7E" w:rsidRDefault="00120B7E" w:rsidP="00120B7E">
      <w:pPr>
        <w:spacing w:after="0" w:line="276" w:lineRule="auto"/>
        <w:jc w:val="both"/>
        <w:rPr>
          <w:rFonts w:ascii="Verdana" w:eastAsia="Calibri" w:hAnsi="Verdana" w:cs="Times New Roman"/>
        </w:rPr>
      </w:pPr>
    </w:p>
    <w:p w14:paraId="0CCE62F2" w14:textId="77777777" w:rsidR="00120B7E" w:rsidRPr="00120B7E" w:rsidRDefault="00120B7E" w:rsidP="00120B7E">
      <w:pPr>
        <w:spacing w:after="0" w:line="276" w:lineRule="auto"/>
        <w:jc w:val="both"/>
        <w:rPr>
          <w:rFonts w:ascii="Verdana" w:eastAsia="Calibri" w:hAnsi="Verdana" w:cs="Times New Roman"/>
        </w:rPr>
      </w:pPr>
      <w:r w:rsidRPr="00120B7E">
        <w:rPr>
          <w:rFonts w:ascii="Verdana" w:eastAsia="Calibri" w:hAnsi="Verdana" w:cs="Times New Roman"/>
        </w:rPr>
        <w:t>Atentamente,</w:t>
      </w:r>
    </w:p>
    <w:p w14:paraId="64B68EEA" w14:textId="4D9CCFA7" w:rsidR="00120B7E" w:rsidRPr="00120B7E" w:rsidRDefault="00BF4A11" w:rsidP="00120B7E">
      <w:pPr>
        <w:jc w:val="center"/>
        <w:rPr>
          <w:rFonts w:ascii="Verdana" w:eastAsia="Calibri" w:hAnsi="Verdana" w:cs="Times New Roman"/>
        </w:rPr>
      </w:pPr>
      <w:r w:rsidRPr="002C3AD6">
        <w:rPr>
          <w:rFonts w:ascii="Century Gothic" w:hAnsi="Century Gothic"/>
          <w:noProof/>
        </w:rPr>
        <w:drawing>
          <wp:inline distT="0" distB="0" distL="0" distR="0" wp14:anchorId="13D72305" wp14:editId="3F673921">
            <wp:extent cx="3172570" cy="1177696"/>
            <wp:effectExtent l="0" t="0" r="2540" b="381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6"/>
                    <a:stretch>
                      <a:fillRect/>
                    </a:stretch>
                  </pic:blipFill>
                  <pic:spPr>
                    <a:xfrm>
                      <a:off x="0" y="0"/>
                      <a:ext cx="3190313" cy="1184282"/>
                    </a:xfrm>
                    <a:prstGeom prst="rect">
                      <a:avLst/>
                    </a:prstGeom>
                  </pic:spPr>
                </pic:pic>
              </a:graphicData>
            </a:graphic>
          </wp:inline>
        </w:drawing>
      </w:r>
    </w:p>
    <w:tbl>
      <w:tblPr>
        <w:tblStyle w:val="TableGrid"/>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120B7E" w:rsidRPr="00120B7E" w14:paraId="31A47A2A" w14:textId="77777777" w:rsidTr="002C15D5">
        <w:trPr>
          <w:trHeight w:val="315"/>
        </w:trPr>
        <w:tc>
          <w:tcPr>
            <w:tcW w:w="893" w:type="dxa"/>
            <w:vAlign w:val="center"/>
            <w:hideMark/>
          </w:tcPr>
          <w:p w14:paraId="4A959F44" w14:textId="77777777" w:rsidR="00120B7E" w:rsidRPr="00120B7E" w:rsidRDefault="00120B7E" w:rsidP="00120B7E">
            <w:pPr>
              <w:rPr>
                <w:rFonts w:ascii="Verdana" w:eastAsia="Calibri" w:hAnsi="Verdana" w:cs="Arial"/>
                <w:sz w:val="16"/>
                <w:szCs w:val="16"/>
                <w:lang w:eastAsia="es-ES"/>
              </w:rPr>
            </w:pPr>
            <w:r w:rsidRPr="00120B7E">
              <w:rPr>
                <w:rFonts w:ascii="Verdana" w:eastAsia="Calibri" w:hAnsi="Verdana" w:cs="Arial"/>
                <w:sz w:val="16"/>
                <w:szCs w:val="16"/>
                <w:lang w:eastAsia="es-ES"/>
              </w:rPr>
              <w:t>Elaboró:</w:t>
            </w:r>
          </w:p>
        </w:tc>
        <w:tc>
          <w:tcPr>
            <w:tcW w:w="5628" w:type="dxa"/>
            <w:tcBorders>
              <w:top w:val="nil"/>
              <w:left w:val="nil"/>
              <w:bottom w:val="dotted" w:sz="4" w:space="0" w:color="7F7F7F"/>
              <w:right w:val="nil"/>
            </w:tcBorders>
            <w:vAlign w:val="center"/>
            <w:hideMark/>
          </w:tcPr>
          <w:p w14:paraId="690BE1FF" w14:textId="77777777" w:rsidR="00120B7E" w:rsidRPr="00120B7E" w:rsidRDefault="00120B7E" w:rsidP="00120B7E">
            <w:pPr>
              <w:rPr>
                <w:rFonts w:ascii="Verdana" w:eastAsia="Arial" w:hAnsi="Verdana" w:cs="Arial"/>
                <w:sz w:val="16"/>
                <w:szCs w:val="16"/>
              </w:rPr>
            </w:pPr>
            <w:r w:rsidRPr="00120B7E">
              <w:rPr>
                <w:rFonts w:ascii="Verdana" w:eastAsia="Arial" w:hAnsi="Verdana" w:cs="Arial"/>
                <w:sz w:val="16"/>
                <w:szCs w:val="16"/>
              </w:rPr>
              <w:t>Kevin Arlid Herrera Santa</w:t>
            </w:r>
          </w:p>
          <w:p w14:paraId="07E9DBDE" w14:textId="77777777" w:rsidR="00120B7E" w:rsidRPr="00120B7E" w:rsidRDefault="00120B7E" w:rsidP="00120B7E">
            <w:pPr>
              <w:rPr>
                <w:rFonts w:ascii="Verdana" w:eastAsia="Arial" w:hAnsi="Verdana" w:cs="Arial"/>
                <w:sz w:val="16"/>
                <w:szCs w:val="16"/>
              </w:rPr>
            </w:pPr>
            <w:r w:rsidRPr="00120B7E">
              <w:rPr>
                <w:rFonts w:ascii="Verdana" w:eastAsia="Arial" w:hAnsi="Verdana" w:cs="Arial"/>
                <w:sz w:val="16"/>
                <w:szCs w:val="16"/>
              </w:rPr>
              <w:t>Contratista de la Subdirección de Gestión Contractual</w:t>
            </w:r>
          </w:p>
        </w:tc>
      </w:tr>
      <w:tr w:rsidR="00120B7E" w:rsidRPr="00120B7E" w14:paraId="5352F4FC" w14:textId="77777777" w:rsidTr="002C15D5">
        <w:trPr>
          <w:trHeight w:val="330"/>
        </w:trPr>
        <w:tc>
          <w:tcPr>
            <w:tcW w:w="893" w:type="dxa"/>
            <w:vAlign w:val="center"/>
            <w:hideMark/>
          </w:tcPr>
          <w:p w14:paraId="0DEF5EAC" w14:textId="77777777" w:rsidR="00120B7E" w:rsidRPr="00120B7E" w:rsidRDefault="00120B7E" w:rsidP="00120B7E">
            <w:pPr>
              <w:rPr>
                <w:rFonts w:ascii="Verdana" w:eastAsia="Calibri" w:hAnsi="Verdana" w:cs="Arial"/>
                <w:sz w:val="16"/>
                <w:szCs w:val="16"/>
                <w:lang w:eastAsia="es-ES"/>
              </w:rPr>
            </w:pPr>
            <w:r w:rsidRPr="00120B7E">
              <w:rPr>
                <w:rFonts w:ascii="Verdana" w:eastAsia="Calibri" w:hAnsi="Verdana" w:cs="Arial"/>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330FB5EA" w14:textId="77777777" w:rsidR="00120B7E" w:rsidRPr="00120B7E" w:rsidRDefault="00120B7E" w:rsidP="00120B7E">
            <w:pPr>
              <w:rPr>
                <w:rFonts w:ascii="Verdana" w:eastAsia="Times New Roman" w:hAnsi="Verdana" w:cs="Aptos"/>
                <w:sz w:val="16"/>
                <w:szCs w:val="16"/>
                <w:lang w:eastAsia="es-CO"/>
              </w:rPr>
            </w:pPr>
            <w:r w:rsidRPr="00120B7E">
              <w:rPr>
                <w:rFonts w:ascii="Verdana" w:eastAsia="Times New Roman" w:hAnsi="Verdana" w:cs="Aptos"/>
                <w:sz w:val="16"/>
                <w:szCs w:val="16"/>
                <w:lang w:eastAsia="es-CO"/>
              </w:rPr>
              <w:t>Martha Alicia Romero Vargas</w:t>
            </w:r>
          </w:p>
          <w:p w14:paraId="7CC2AC25" w14:textId="77777777" w:rsidR="00120B7E" w:rsidRPr="00120B7E" w:rsidRDefault="00120B7E" w:rsidP="00120B7E">
            <w:pPr>
              <w:rPr>
                <w:rFonts w:ascii="Verdana" w:eastAsia="Arial" w:hAnsi="Verdana" w:cs="Arial"/>
                <w:sz w:val="16"/>
                <w:szCs w:val="16"/>
              </w:rPr>
            </w:pPr>
            <w:r w:rsidRPr="00120B7E">
              <w:rPr>
                <w:rFonts w:ascii="Verdana" w:eastAsia="Arial" w:hAnsi="Verdana" w:cs="Arial"/>
                <w:sz w:val="16"/>
                <w:szCs w:val="16"/>
              </w:rPr>
              <w:t>Gestor T1-15 de la Subdirección de Gestión Contractual</w:t>
            </w:r>
          </w:p>
        </w:tc>
      </w:tr>
      <w:tr w:rsidR="00120B7E" w:rsidRPr="00120B7E" w14:paraId="627814EE" w14:textId="77777777" w:rsidTr="002C15D5">
        <w:trPr>
          <w:trHeight w:val="300"/>
        </w:trPr>
        <w:tc>
          <w:tcPr>
            <w:tcW w:w="893" w:type="dxa"/>
            <w:vAlign w:val="center"/>
          </w:tcPr>
          <w:p w14:paraId="308D56F7" w14:textId="77777777" w:rsidR="00120B7E" w:rsidRPr="00120B7E" w:rsidRDefault="00120B7E" w:rsidP="00120B7E">
            <w:pPr>
              <w:rPr>
                <w:rFonts w:ascii="Verdana" w:eastAsia="Calibri" w:hAnsi="Verdana" w:cs="Arial"/>
                <w:sz w:val="16"/>
                <w:szCs w:val="16"/>
                <w:lang w:eastAsia="es-ES"/>
              </w:rPr>
            </w:pPr>
            <w:r w:rsidRPr="00120B7E">
              <w:rPr>
                <w:rFonts w:ascii="Verdana" w:eastAsia="Calibri" w:hAnsi="Verdana" w:cs="Arial"/>
                <w:sz w:val="16"/>
                <w:szCs w:val="16"/>
                <w:lang w:eastAsia="es-ES"/>
              </w:rPr>
              <w:t>Aprobó:</w:t>
            </w:r>
          </w:p>
        </w:tc>
        <w:tc>
          <w:tcPr>
            <w:tcW w:w="5628" w:type="dxa"/>
            <w:tcBorders>
              <w:top w:val="dotted" w:sz="4" w:space="0" w:color="7F7F7F"/>
              <w:left w:val="nil"/>
              <w:bottom w:val="dotted" w:sz="4" w:space="0" w:color="7F7F7F"/>
              <w:right w:val="nil"/>
            </w:tcBorders>
            <w:vAlign w:val="center"/>
          </w:tcPr>
          <w:p w14:paraId="394E1F64" w14:textId="77777777" w:rsidR="00120B7E" w:rsidRPr="00120B7E" w:rsidRDefault="00120B7E" w:rsidP="00120B7E">
            <w:pPr>
              <w:rPr>
                <w:rFonts w:ascii="Verdana" w:eastAsia="Calibri" w:hAnsi="Verdana" w:cs="Arial"/>
                <w:sz w:val="16"/>
                <w:szCs w:val="16"/>
                <w:lang w:eastAsia="es-ES"/>
              </w:rPr>
            </w:pPr>
            <w:r w:rsidRPr="00120B7E">
              <w:rPr>
                <w:rFonts w:ascii="Verdana" w:eastAsia="Calibri" w:hAnsi="Verdana" w:cs="Arial"/>
                <w:sz w:val="16"/>
                <w:szCs w:val="16"/>
                <w:lang w:eastAsia="es-ES"/>
              </w:rPr>
              <w:t>Carolina Quintero Gacharná</w:t>
            </w:r>
          </w:p>
          <w:p w14:paraId="05171B1F" w14:textId="77777777" w:rsidR="00120B7E" w:rsidRPr="00120B7E" w:rsidRDefault="00120B7E" w:rsidP="00120B7E">
            <w:pPr>
              <w:rPr>
                <w:rFonts w:ascii="Verdana" w:eastAsia="Calibri" w:hAnsi="Verdana" w:cs="Arial"/>
                <w:sz w:val="16"/>
                <w:szCs w:val="16"/>
                <w:lang w:eastAsia="es-ES"/>
              </w:rPr>
            </w:pPr>
            <w:r w:rsidRPr="00120B7E">
              <w:rPr>
                <w:rFonts w:ascii="Verdana" w:eastAsia="Calibri" w:hAnsi="Verdana" w:cs="Arial"/>
                <w:sz w:val="16"/>
                <w:szCs w:val="16"/>
                <w:lang w:eastAsia="es-ES"/>
              </w:rPr>
              <w:t>Subdirectora de Gestión Contractual ANCP – CCE</w:t>
            </w:r>
          </w:p>
        </w:tc>
      </w:tr>
    </w:tbl>
    <w:p w14:paraId="69BC4D14" w14:textId="1926B1DA"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62F5A" w14:textId="77777777" w:rsidR="00CF39E1" w:rsidRDefault="00CF39E1" w:rsidP="004A1847">
      <w:pPr>
        <w:spacing w:after="0" w:line="240" w:lineRule="auto"/>
      </w:pPr>
      <w:r>
        <w:separator/>
      </w:r>
    </w:p>
  </w:endnote>
  <w:endnote w:type="continuationSeparator" w:id="0">
    <w:p w14:paraId="71976036" w14:textId="77777777" w:rsidR="00CF39E1" w:rsidRDefault="00CF39E1"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panose1 w:val="00000000000000000000"/>
    <w:charset w:val="00"/>
    <w:family w:val="roman"/>
    <w:notTrueType/>
    <w:pitch w:val="default"/>
  </w:font>
  <w:font w:name="Vrinda">
    <w:panose1 w:val="00000400000000000000"/>
    <w:charset w:val="01"/>
    <w:family w:val="roman"/>
    <w:pitch w:val="variable"/>
  </w:font>
  <w:font w:name="Arial MT">
    <w:altName w:val="Arial"/>
    <w:charset w:val="01"/>
    <w:family w:val="swiss"/>
    <w:pitch w:val="variable"/>
  </w:font>
  <w:font w:name="Century Gothic">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Footer"/>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4A3EB" w14:textId="77777777" w:rsidR="00CF39E1" w:rsidRDefault="00CF39E1" w:rsidP="004A1847">
      <w:pPr>
        <w:spacing w:after="0" w:line="240" w:lineRule="auto"/>
      </w:pPr>
      <w:r>
        <w:separator/>
      </w:r>
    </w:p>
  </w:footnote>
  <w:footnote w:type="continuationSeparator" w:id="0">
    <w:p w14:paraId="21FB2916" w14:textId="77777777" w:rsidR="00CF39E1" w:rsidRDefault="00CF39E1" w:rsidP="004A1847">
      <w:pPr>
        <w:spacing w:after="0" w:line="240" w:lineRule="auto"/>
      </w:pPr>
      <w:r>
        <w:continuationSeparator/>
      </w:r>
    </w:p>
  </w:footnote>
  <w:footnote w:id="1">
    <w:p w14:paraId="7DB129EF" w14:textId="77777777" w:rsidR="00120B7E" w:rsidRPr="00E30F8D" w:rsidRDefault="00120B7E" w:rsidP="00120B7E">
      <w:pPr>
        <w:pStyle w:val="FootnoteText"/>
        <w:jc w:val="both"/>
        <w:rPr>
          <w:rFonts w:ascii="Verdana" w:hAnsi="Verdana" w:cs="Arial"/>
          <w:sz w:val="18"/>
          <w:szCs w:val="18"/>
        </w:rPr>
      </w:pPr>
    </w:p>
    <w:p w14:paraId="10A2AF83" w14:textId="77777777" w:rsidR="00120B7E" w:rsidRPr="00E30F8D" w:rsidRDefault="00120B7E" w:rsidP="00120B7E">
      <w:pPr>
        <w:pStyle w:val="FootnoteText"/>
        <w:ind w:firstLine="709"/>
        <w:jc w:val="both"/>
        <w:rPr>
          <w:rFonts w:ascii="Verdana" w:hAnsi="Verdana" w:cs="Arial"/>
          <w:sz w:val="18"/>
          <w:szCs w:val="18"/>
          <w:lang w:val="es-ES"/>
        </w:rPr>
      </w:pPr>
      <w:r w:rsidRPr="00E30F8D">
        <w:rPr>
          <w:rStyle w:val="FootnoteReference"/>
          <w:rFonts w:ascii="Verdana" w:hAnsi="Verdana" w:cs="Arial"/>
          <w:sz w:val="18"/>
          <w:szCs w:val="18"/>
        </w:rPr>
        <w:footnoteRef/>
      </w:r>
      <w:r w:rsidRPr="00E30F8D">
        <w:rPr>
          <w:rFonts w:ascii="Verdana" w:hAnsi="Verdana" w:cs="Arial"/>
          <w:sz w:val="18"/>
          <w:szCs w:val="18"/>
        </w:rPr>
        <w:t xml:space="preserve"> </w:t>
      </w:r>
      <w:r w:rsidRPr="00E30F8D">
        <w:rPr>
          <w:rFonts w:ascii="Verdana" w:hAnsi="Verdana" w:cs="Arial"/>
          <w:sz w:val="18"/>
          <w:szCs w:val="18"/>
          <w:lang w:val="es-ES"/>
        </w:rPr>
        <w:t xml:space="preserve">En cuanto a las resoluciones vigentes, dicha regla se observa en el artículo 3 de las Resoluciones 248 de 2020, 249 de 2020, 269 de 2020, 219 de 2021, 220 de 2021, 392 de 2021, 454 de 2021, 333 de 2022, 358 de 2023, 798 de 2023, 456 de 2024, 463 de 2024, 464 de 2024, 725 de 2024, 726 de 2024, entre otras. </w:t>
      </w:r>
    </w:p>
    <w:p w14:paraId="4C33E777" w14:textId="77777777" w:rsidR="00120B7E" w:rsidRPr="00E30F8D" w:rsidRDefault="00120B7E" w:rsidP="00120B7E">
      <w:pPr>
        <w:pStyle w:val="FootnoteText"/>
        <w:ind w:firstLine="709"/>
        <w:jc w:val="both"/>
        <w:rPr>
          <w:rFonts w:ascii="Verdana" w:hAnsi="Verdana" w:cs="Arial"/>
          <w:sz w:val="18"/>
          <w:szCs w:val="18"/>
          <w:lang w:val="es-ES"/>
        </w:rPr>
      </w:pPr>
    </w:p>
  </w:footnote>
  <w:footnote w:id="2">
    <w:p w14:paraId="7E43A6E1" w14:textId="77777777" w:rsidR="00120B7E" w:rsidRPr="00E30F8D" w:rsidRDefault="00120B7E" w:rsidP="00120B7E">
      <w:pPr>
        <w:pStyle w:val="FootnoteText"/>
        <w:ind w:firstLine="708"/>
        <w:jc w:val="both"/>
        <w:rPr>
          <w:rFonts w:ascii="Verdana" w:hAnsi="Verdana" w:cs="Arial"/>
          <w:sz w:val="18"/>
          <w:szCs w:val="18"/>
        </w:rPr>
      </w:pPr>
      <w:r w:rsidRPr="00E30F8D">
        <w:rPr>
          <w:rStyle w:val="FootnoteReference"/>
          <w:rFonts w:ascii="Verdana" w:hAnsi="Verdana" w:cs="Arial"/>
          <w:sz w:val="18"/>
          <w:szCs w:val="18"/>
        </w:rPr>
        <w:footnoteRef/>
      </w:r>
      <w:r w:rsidRPr="00E30F8D">
        <w:rPr>
          <w:rFonts w:ascii="Verdana" w:hAnsi="Verdana" w:cs="Arial"/>
          <w:sz w:val="18"/>
          <w:szCs w:val="18"/>
        </w:rPr>
        <w:t xml:space="preserve"> </w:t>
      </w:r>
      <w:r w:rsidRPr="00120B7E">
        <w:rPr>
          <w:rFonts w:ascii="Verdana" w:hAnsi="Verdana" w:cs="Arial"/>
          <w:color w:val="000000"/>
          <w:sz w:val="18"/>
          <w:szCs w:val="18"/>
        </w:rPr>
        <w:t>Cfr. DAVILA VINUEZA Luis Guillermo. Régimen Jurídico de la contratación estatal. Bogotá: Editorial Legis, 2001, p. 387.</w:t>
      </w:r>
    </w:p>
    <w:p w14:paraId="0466001A" w14:textId="77777777" w:rsidR="00120B7E" w:rsidRPr="00E30F8D" w:rsidRDefault="00120B7E" w:rsidP="00120B7E">
      <w:pPr>
        <w:pStyle w:val="FootnoteText"/>
        <w:ind w:firstLine="708"/>
        <w:jc w:val="both"/>
        <w:rPr>
          <w:rFonts w:ascii="Verdana" w:hAnsi="Verdana" w:cs="Arial"/>
          <w:sz w:val="18"/>
          <w:szCs w:val="18"/>
          <w:lang w:val="es-CO"/>
        </w:rPr>
      </w:pPr>
    </w:p>
  </w:footnote>
  <w:footnote w:id="3">
    <w:p w14:paraId="581E8A62" w14:textId="77777777" w:rsidR="00120B7E" w:rsidRPr="00E30F8D" w:rsidRDefault="00120B7E" w:rsidP="00120B7E">
      <w:pPr>
        <w:pStyle w:val="FootnoteText"/>
        <w:ind w:firstLine="708"/>
        <w:jc w:val="both"/>
        <w:rPr>
          <w:rFonts w:ascii="Verdana" w:hAnsi="Verdana" w:cs="Arial"/>
          <w:sz w:val="18"/>
          <w:szCs w:val="18"/>
          <w:lang w:val="es-CO"/>
        </w:rPr>
      </w:pPr>
      <w:r w:rsidRPr="00E30F8D">
        <w:rPr>
          <w:rStyle w:val="FootnoteReference"/>
          <w:rFonts w:ascii="Verdana" w:hAnsi="Verdana" w:cs="Arial"/>
          <w:sz w:val="18"/>
          <w:szCs w:val="18"/>
        </w:rPr>
        <w:footnoteRef/>
      </w:r>
      <w:r w:rsidRPr="00E30F8D">
        <w:rPr>
          <w:rFonts w:ascii="Verdana" w:hAnsi="Verdana" w:cs="Arial"/>
          <w:sz w:val="18"/>
          <w:szCs w:val="18"/>
        </w:rPr>
        <w:t xml:space="preserve"> </w:t>
      </w:r>
      <w:r w:rsidRPr="00120B7E">
        <w:rPr>
          <w:rFonts w:ascii="Verdana" w:hAnsi="Verdana" w:cs="Arial"/>
          <w:color w:val="000000"/>
          <w:sz w:val="18"/>
          <w:szCs w:val="18"/>
        </w:rPr>
        <w:t>Sobre el particular resultan pertinentes las consideraciones efectuadas en el mismo sentido por la Sala de Consulta y Servicio Civil del Consejo de Estado en el concepto del 13 de agosto de 2009, rad. 1.952, C.P. Enrique José Arboleda Perdomo y por la Corte Constitucional en la sentencia C-300 de 2012.</w:t>
      </w:r>
      <w:r w:rsidRPr="00E30F8D">
        <w:rPr>
          <w:rFonts w:ascii="Verdana" w:eastAsia="Times New Roman" w:hAnsi="Verdana" w:cs="Arial"/>
          <w:bCs/>
          <w:sz w:val="18"/>
          <w:szCs w:val="18"/>
          <w:lang w:val="es-ES" w:eastAsia="es-ES"/>
        </w:rPr>
        <w:t xml:space="preserve"> </w:t>
      </w:r>
    </w:p>
  </w:footnote>
  <w:footnote w:id="4">
    <w:p w14:paraId="26AFC07F" w14:textId="77777777" w:rsidR="00120B7E" w:rsidRPr="00E30F8D" w:rsidRDefault="00120B7E" w:rsidP="00120B7E">
      <w:pPr>
        <w:pStyle w:val="FootnoteText"/>
        <w:jc w:val="both"/>
        <w:rPr>
          <w:rFonts w:ascii="Verdana" w:hAnsi="Verdana" w:cs="Arial"/>
          <w:sz w:val="18"/>
          <w:szCs w:val="18"/>
        </w:rPr>
      </w:pPr>
    </w:p>
    <w:p w14:paraId="3F789B62" w14:textId="77777777" w:rsidR="00120B7E" w:rsidRPr="00E30F8D" w:rsidRDefault="00120B7E" w:rsidP="00120B7E">
      <w:pPr>
        <w:pStyle w:val="FootnoteText"/>
        <w:ind w:firstLine="709"/>
        <w:jc w:val="both"/>
        <w:rPr>
          <w:rFonts w:ascii="Verdana" w:hAnsi="Verdana" w:cs="Arial"/>
          <w:sz w:val="18"/>
          <w:szCs w:val="18"/>
          <w:lang w:val="es-ES"/>
        </w:rPr>
      </w:pPr>
      <w:r w:rsidRPr="00E30F8D">
        <w:rPr>
          <w:rStyle w:val="FootnoteReference"/>
          <w:rFonts w:ascii="Verdana" w:hAnsi="Verdana" w:cs="Arial"/>
          <w:sz w:val="18"/>
          <w:szCs w:val="18"/>
        </w:rPr>
        <w:footnoteRef/>
      </w:r>
      <w:r w:rsidRPr="00E30F8D">
        <w:rPr>
          <w:rFonts w:ascii="Verdana" w:hAnsi="Verdana" w:cs="Arial"/>
          <w:sz w:val="18"/>
          <w:szCs w:val="18"/>
        </w:rPr>
        <w:t xml:space="preserve"> </w:t>
      </w:r>
      <w:r w:rsidRPr="00E30F8D">
        <w:rPr>
          <w:rFonts w:ascii="Verdana" w:hAnsi="Verdana" w:cs="Arial"/>
          <w:sz w:val="18"/>
          <w:szCs w:val="18"/>
          <w:lang w:val="es-ES"/>
        </w:rPr>
        <w:t>En cuanto a las resoluciones vigentes, dicha regla se observa en el artículo 3 de las Resoluciones</w:t>
      </w:r>
      <w:bookmarkStart w:id="2" w:name="_Hlk82363077"/>
      <w:r w:rsidRPr="00E30F8D">
        <w:rPr>
          <w:rFonts w:ascii="Verdana" w:hAnsi="Verdana" w:cs="Arial"/>
          <w:sz w:val="18"/>
          <w:szCs w:val="18"/>
          <w:lang w:val="es-ES"/>
        </w:rPr>
        <w:t xml:space="preserve"> 248 de 2020, 249 de 2020, 269 de 2020, 219 de 2021, 220 de 2021, 392 de 2021, 454 de 2021, 333 de 2022, 358 de 2023, 798 de 2023, 456 de 2024, 463 de 2024, 464 de 2024, 725 de 2024, 726 de 2024, entre otras</w:t>
      </w:r>
      <w:bookmarkEnd w:id="2"/>
      <w:r w:rsidRPr="00E30F8D">
        <w:rPr>
          <w:rFonts w:ascii="Verdana" w:hAnsi="Verdana" w:cs="Arial"/>
          <w:sz w:val="18"/>
          <w:szCs w:val="18"/>
          <w:lang w:val="es-ES"/>
        </w:rPr>
        <w:t xml:space="preserve">. </w:t>
      </w:r>
    </w:p>
    <w:p w14:paraId="10EDD0E0" w14:textId="77777777" w:rsidR="00120B7E" w:rsidRPr="00E30F8D" w:rsidRDefault="00120B7E" w:rsidP="00120B7E">
      <w:pPr>
        <w:pStyle w:val="FootnoteText"/>
        <w:ind w:firstLine="709"/>
        <w:jc w:val="both"/>
        <w:rPr>
          <w:rFonts w:ascii="Verdana" w:hAnsi="Verdana" w:cs="Arial"/>
          <w:sz w:val="18"/>
          <w:szCs w:val="18"/>
          <w:lang w:val="es-ES"/>
        </w:rPr>
      </w:pPr>
    </w:p>
  </w:footnote>
  <w:footnote w:id="5">
    <w:p w14:paraId="0E72E5CA" w14:textId="77777777" w:rsidR="00120B7E" w:rsidRPr="00E30F8D" w:rsidRDefault="00120B7E" w:rsidP="00120B7E">
      <w:pPr>
        <w:pStyle w:val="FootnoteText"/>
        <w:ind w:firstLine="708"/>
        <w:jc w:val="both"/>
        <w:rPr>
          <w:rFonts w:ascii="Verdana" w:hAnsi="Verdana" w:cs="Arial"/>
          <w:sz w:val="18"/>
          <w:szCs w:val="18"/>
        </w:rPr>
      </w:pPr>
      <w:r w:rsidRPr="00E30F8D">
        <w:rPr>
          <w:rStyle w:val="FootnoteReference"/>
          <w:rFonts w:ascii="Verdana" w:hAnsi="Verdana" w:cs="Arial"/>
          <w:sz w:val="18"/>
          <w:szCs w:val="18"/>
        </w:rPr>
        <w:footnoteRef/>
      </w:r>
      <w:r w:rsidRPr="00E30F8D">
        <w:rPr>
          <w:rFonts w:ascii="Verdana" w:hAnsi="Verdana" w:cs="Arial"/>
          <w:sz w:val="18"/>
          <w:szCs w:val="18"/>
        </w:rPr>
        <w:t xml:space="preserve"> En torno a las potestades regladas, García de Enterría y Ramón Fernández manifiestan: “El ejercicio de las potestades regladas reduce a la Administración a la constatación (accertamento, en el expresivo concepto italiano) del supuesto de hecho legalmente definido de manera completa y aplicar en presencia del mismo lo que la propia Ley ha determinado también agotadoramente […] La decisión en que consista el ejercicio de la potestad es obligatoria en presencia de dicho supuesto y su contenido no puede ser configurado libremente por la Administración, sino que ha de limitarse a lo que la propia Ley ha previsto sobre ese contenido de modo preciso y completo” (GARCÍA DE ENTERRÍA, Eduardo; y RAMÓN FERNÁNDEZ, Tomas. Curso de derecho administrativo. Tomo I. Madrid: Civitas, 1997. pp. 444-445).</w:t>
      </w:r>
    </w:p>
    <w:p w14:paraId="68E623A3" w14:textId="77777777" w:rsidR="00120B7E" w:rsidRPr="00E30F8D" w:rsidRDefault="00120B7E" w:rsidP="00120B7E">
      <w:pPr>
        <w:pStyle w:val="FootnoteText"/>
        <w:ind w:firstLine="708"/>
        <w:jc w:val="both"/>
        <w:rPr>
          <w:rFonts w:ascii="Verdana" w:hAnsi="Verdana" w:cs="Arial"/>
          <w:sz w:val="18"/>
          <w:szCs w:val="18"/>
        </w:rPr>
      </w:pPr>
    </w:p>
  </w:footnote>
  <w:footnote w:id="6">
    <w:p w14:paraId="5FF21953" w14:textId="77777777" w:rsidR="00120B7E" w:rsidRPr="00E30F8D" w:rsidRDefault="00120B7E" w:rsidP="00120B7E">
      <w:pPr>
        <w:pStyle w:val="FootnoteText"/>
        <w:ind w:firstLine="709"/>
        <w:jc w:val="both"/>
        <w:rPr>
          <w:rFonts w:ascii="Verdana" w:hAnsi="Verdana" w:cs="Arial"/>
          <w:sz w:val="18"/>
          <w:szCs w:val="18"/>
        </w:rPr>
      </w:pPr>
      <w:r w:rsidRPr="00E30F8D">
        <w:rPr>
          <w:rStyle w:val="FootnoteReference"/>
          <w:rFonts w:ascii="Verdana" w:hAnsi="Verdana" w:cs="Arial"/>
          <w:sz w:val="18"/>
          <w:szCs w:val="18"/>
        </w:rPr>
        <w:footnoteRef/>
      </w:r>
      <w:r w:rsidRPr="00E30F8D">
        <w:rPr>
          <w:rFonts w:ascii="Verdana" w:hAnsi="Verdana" w:cs="Arial"/>
          <w:sz w:val="18"/>
          <w:szCs w:val="18"/>
        </w:rPr>
        <w:t xml:space="preserve"> El artículo 25, numeral 1º de la Ley 80 de 1993 establece que “En las normas de selección y en los pliegos de condiciones para la escogencia de contratistas, se cumplirán y establecerán los procedimientos y etapas estrictamente necesarios para asegurar la selección objetiva de la propuesta más favorable. Para este propósito, se señalarán términos preclusivos y perentorios para las diferentes etapas de la selección y las autoridades darán impulso oficioso a las actuaciones”.</w:t>
      </w:r>
    </w:p>
    <w:p w14:paraId="65C281AE" w14:textId="77777777" w:rsidR="00120B7E" w:rsidRPr="00E30F8D" w:rsidRDefault="00120B7E" w:rsidP="00120B7E">
      <w:pPr>
        <w:pStyle w:val="FootnoteText"/>
        <w:ind w:firstLine="709"/>
        <w:jc w:val="both"/>
        <w:rPr>
          <w:rFonts w:ascii="Verdana" w:hAnsi="Verdana" w:cs="Arial"/>
          <w:sz w:val="18"/>
          <w:szCs w:val="18"/>
        </w:rPr>
      </w:pPr>
    </w:p>
  </w:footnote>
  <w:footnote w:id="7">
    <w:p w14:paraId="71F5EC11" w14:textId="77777777" w:rsidR="00120B7E" w:rsidRPr="00E30F8D" w:rsidRDefault="00120B7E" w:rsidP="00120B7E">
      <w:pPr>
        <w:spacing w:after="0" w:line="240" w:lineRule="auto"/>
        <w:ind w:firstLine="709"/>
        <w:jc w:val="both"/>
        <w:rPr>
          <w:rFonts w:ascii="Verdana" w:hAnsi="Verdana" w:cs="Arial"/>
          <w:sz w:val="18"/>
          <w:szCs w:val="18"/>
          <w:lang w:val="es-ES"/>
        </w:rPr>
      </w:pPr>
      <w:r w:rsidRPr="00E30F8D">
        <w:rPr>
          <w:rStyle w:val="FootnoteReference"/>
          <w:rFonts w:ascii="Verdana" w:hAnsi="Verdana" w:cs="Arial"/>
          <w:sz w:val="18"/>
          <w:szCs w:val="18"/>
        </w:rPr>
        <w:footnoteRef/>
      </w:r>
      <w:r w:rsidRPr="00E30F8D">
        <w:rPr>
          <w:rFonts w:ascii="Verdana" w:hAnsi="Verdana" w:cs="Arial"/>
          <w:sz w:val="18"/>
          <w:szCs w:val="18"/>
        </w:rPr>
        <w:t xml:space="preserve"> </w:t>
      </w:r>
      <w:r w:rsidRPr="00E30F8D">
        <w:rPr>
          <w:rFonts w:ascii="Verdana" w:hAnsi="Verdana" w:cs="Arial"/>
          <w:sz w:val="18"/>
          <w:szCs w:val="18"/>
          <w:lang w:val="es-ES"/>
        </w:rPr>
        <w:t>En efecto, el artículo 5 del Decreto 019 de 2012 prevé lo siguiente: “Las normas de procedimiento administrativo deben ser utilizadas para agilizar las decisiones; los procedimientos se deben adelantar en el menor tiempo y con la menor cantidad de gastos de quienes intervienen en ellos; las autoridades administrativas y los particulares que cumplen funciones administrativas no deben exigir más documentos y copias que los estrictamente necesarios, ni autenticaciones ni notas de presentación personal sino cuando la ley lo ordene en forma expresa, o tratándose de poderes especiales. En tal virtud, las autoridades deberán proceder con austeridad y eficiencia, optimizar el uso del tiempo y de los demás recursos, procurando el más alto nivel de calidad en sus actuaciones y la protección de los derechos de las personas”.</w:t>
      </w:r>
    </w:p>
    <w:p w14:paraId="026E2BAF" w14:textId="77777777" w:rsidR="00120B7E" w:rsidRPr="00E30F8D" w:rsidRDefault="00120B7E" w:rsidP="00120B7E">
      <w:pPr>
        <w:spacing w:after="0" w:line="240" w:lineRule="auto"/>
        <w:ind w:firstLine="709"/>
        <w:jc w:val="both"/>
        <w:rPr>
          <w:rFonts w:ascii="Verdana" w:hAnsi="Verdana" w:cs="Arial"/>
          <w:sz w:val="18"/>
          <w:szCs w:val="18"/>
          <w:lang w:val="es-ES"/>
        </w:rPr>
      </w:pPr>
    </w:p>
  </w:footnote>
  <w:footnote w:id="8">
    <w:p w14:paraId="578E9471" w14:textId="77777777" w:rsidR="00120B7E" w:rsidRPr="00E30F8D" w:rsidRDefault="00120B7E" w:rsidP="00120B7E">
      <w:pPr>
        <w:pStyle w:val="FootnoteText"/>
        <w:ind w:firstLine="708"/>
        <w:jc w:val="both"/>
        <w:rPr>
          <w:rFonts w:ascii="Verdana" w:hAnsi="Verdana" w:cs="Arial"/>
          <w:sz w:val="18"/>
          <w:szCs w:val="18"/>
          <w:lang w:val="es-ES"/>
        </w:rPr>
      </w:pPr>
      <w:r w:rsidRPr="00E30F8D">
        <w:rPr>
          <w:rStyle w:val="FootnoteReference"/>
          <w:rFonts w:ascii="Verdana" w:hAnsi="Verdana" w:cs="Arial"/>
          <w:sz w:val="18"/>
          <w:szCs w:val="18"/>
        </w:rPr>
        <w:footnoteRef/>
      </w:r>
      <w:r w:rsidRPr="00E30F8D">
        <w:rPr>
          <w:rFonts w:ascii="Verdana" w:hAnsi="Verdana" w:cs="Arial"/>
          <w:sz w:val="18"/>
          <w:szCs w:val="18"/>
        </w:rPr>
        <w:t xml:space="preserve"> Diccionario de la Real Academia Española, versión online disponible en: </w:t>
      </w:r>
      <w:hyperlink r:id="rId1" w:history="1">
        <w:r w:rsidRPr="00E30F8D">
          <w:rPr>
            <w:rStyle w:val="Hyperlink"/>
            <w:rFonts w:ascii="Verdana" w:hAnsi="Verdana" w:cs="Arial"/>
            <w:color w:val="auto"/>
            <w:sz w:val="18"/>
            <w:szCs w:val="18"/>
          </w:rPr>
          <w:t>https://dle.rae.es/est%C3%A1ndar</w:t>
        </w:r>
      </w:hyperlink>
      <w:r w:rsidRPr="00E30F8D">
        <w:rPr>
          <w:rFonts w:ascii="Verdana" w:hAnsi="Verdana" w:cs="Arial"/>
          <w:sz w:val="18"/>
          <w:szCs w:val="18"/>
        </w:rPr>
        <w:t xml:space="preserve">, consultado el 23 de abril de 2026. </w:t>
      </w:r>
    </w:p>
  </w:footnote>
  <w:footnote w:id="9">
    <w:p w14:paraId="13E191EA" w14:textId="77777777" w:rsidR="00120B7E" w:rsidRPr="00E30F8D" w:rsidRDefault="00120B7E" w:rsidP="00120B7E">
      <w:pPr>
        <w:spacing w:after="0" w:line="240" w:lineRule="auto"/>
        <w:ind w:firstLine="708"/>
        <w:jc w:val="both"/>
        <w:rPr>
          <w:rFonts w:ascii="Verdana" w:hAnsi="Verdana" w:cs="Arial"/>
          <w:sz w:val="18"/>
          <w:szCs w:val="18"/>
        </w:rPr>
      </w:pPr>
      <w:r w:rsidRPr="00E30F8D">
        <w:rPr>
          <w:rStyle w:val="FootnoteReference"/>
          <w:rFonts w:ascii="Verdana" w:hAnsi="Verdana" w:cs="Arial"/>
          <w:sz w:val="18"/>
          <w:szCs w:val="18"/>
        </w:rPr>
        <w:footnoteRef/>
      </w:r>
      <w:r w:rsidRPr="00E30F8D">
        <w:rPr>
          <w:rFonts w:ascii="Verdana" w:hAnsi="Verdana" w:cs="Arial"/>
          <w:sz w:val="18"/>
          <w:szCs w:val="18"/>
        </w:rPr>
        <w:t xml:space="preserve"> Cita tomada de la providencia del 20 de febrero de 2020, dictada por el Consejo de Estado. Sección Tercera. Subsección A, dentro del expediente 47001-23-33-000-2018-00035-01 (63.854), cuya ponente fue Marta Nubia Velásquez Rico.</w:t>
      </w:r>
    </w:p>
    <w:p w14:paraId="4FA786D6" w14:textId="77777777" w:rsidR="00120B7E" w:rsidRPr="00E30F8D" w:rsidRDefault="00120B7E" w:rsidP="00120B7E">
      <w:pPr>
        <w:spacing w:after="0" w:line="240" w:lineRule="auto"/>
        <w:ind w:firstLine="708"/>
        <w:jc w:val="both"/>
        <w:rPr>
          <w:rFonts w:ascii="Verdana" w:hAnsi="Verdana" w:cs="Arial"/>
          <w:sz w:val="18"/>
          <w:szCs w:val="18"/>
        </w:rPr>
      </w:pPr>
    </w:p>
  </w:footnote>
  <w:footnote w:id="10">
    <w:p w14:paraId="68ECAEDC" w14:textId="77777777" w:rsidR="00120B7E" w:rsidRPr="00E30F8D" w:rsidRDefault="00120B7E" w:rsidP="00120B7E">
      <w:pPr>
        <w:pStyle w:val="FootnoteText"/>
        <w:ind w:firstLine="709"/>
        <w:jc w:val="both"/>
        <w:rPr>
          <w:rFonts w:ascii="Verdana" w:hAnsi="Verdana" w:cs="Arial"/>
          <w:sz w:val="18"/>
          <w:szCs w:val="18"/>
          <w:lang w:val="es-ES"/>
        </w:rPr>
      </w:pPr>
      <w:r w:rsidRPr="00E30F8D">
        <w:rPr>
          <w:rStyle w:val="FootnoteReference"/>
          <w:rFonts w:ascii="Verdana" w:hAnsi="Verdana" w:cs="Arial"/>
          <w:sz w:val="18"/>
          <w:szCs w:val="18"/>
        </w:rPr>
        <w:footnoteRef/>
      </w:r>
      <w:r w:rsidRPr="00E30F8D">
        <w:rPr>
          <w:rFonts w:ascii="Verdana" w:hAnsi="Verdana" w:cs="Arial"/>
          <w:sz w:val="18"/>
          <w:szCs w:val="18"/>
        </w:rPr>
        <w:t xml:space="preserve"> </w:t>
      </w:r>
      <w:r w:rsidRPr="00E30F8D">
        <w:rPr>
          <w:rFonts w:ascii="Verdana" w:hAnsi="Verdana" w:cs="Arial"/>
          <w:sz w:val="18"/>
          <w:szCs w:val="18"/>
          <w:lang w:val="es-ES"/>
        </w:rPr>
        <w:t>“La manera como las ofertas presentan el precio varía demasiado, incluso por razón de la costumbre que se impone en determinados negocios. Por ejemplo, tratándose de la compraventa, del suministro o la prestación de servicios profesionales –entre otros contratos, que de hecho son la mayoría– el valor que se ofrece no se desglosa para revelar al destinatario su estructura de costos. El proponente se limita a establecer una cifra por la que está dispuesto a asumir ciertas obligaciones, pero el comprador desconoce cómo se compone internamente, es decir, no sabe –ni usualmente le interesa conocerlo– qué parte del valor corresponde a gastos de mano de obra, de transporte, de energía, cuál es la utilidad esperada, entre otros conceptos. En estos casos se limita a conocer con claridad absoluta cuánto le costará el bien o el servicio, porque es lo que pagará.</w:t>
      </w:r>
    </w:p>
    <w:p w14:paraId="5AFD1612" w14:textId="77777777" w:rsidR="00120B7E" w:rsidRPr="00E30F8D" w:rsidRDefault="00120B7E" w:rsidP="00120B7E">
      <w:pPr>
        <w:pStyle w:val="FootnoteText"/>
        <w:ind w:firstLine="709"/>
        <w:jc w:val="both"/>
        <w:rPr>
          <w:rFonts w:ascii="Verdana" w:hAnsi="Verdana" w:cs="Arial"/>
          <w:sz w:val="18"/>
          <w:szCs w:val="18"/>
          <w:lang w:val="es-ES"/>
        </w:rPr>
      </w:pPr>
      <w:r w:rsidRPr="00E30F8D">
        <w:rPr>
          <w:rFonts w:ascii="Verdana" w:hAnsi="Verdana" w:cs="Arial"/>
          <w:sz w:val="18"/>
          <w:szCs w:val="18"/>
          <w:lang w:val="es-ES"/>
        </w:rPr>
        <w:t xml:space="preserve">Sin embargo, en otros negocios, como la obra pública, la concesión y la consultoría, el Estado está acostumbrado a que se desglosen intensamente los costos, exigiendo no sólo el precio total sino una distinción entre los </w:t>
      </w:r>
      <w:r w:rsidRPr="00E30F8D">
        <w:rPr>
          <w:rFonts w:ascii="Verdana" w:hAnsi="Verdana" w:cs="Arial"/>
          <w:i/>
          <w:iCs/>
          <w:sz w:val="18"/>
          <w:szCs w:val="18"/>
          <w:lang w:val="es-ES"/>
        </w:rPr>
        <w:t>costos directos</w:t>
      </w:r>
      <w:r w:rsidRPr="00E30F8D">
        <w:rPr>
          <w:rFonts w:ascii="Verdana" w:hAnsi="Verdana" w:cs="Arial"/>
          <w:sz w:val="18"/>
          <w:szCs w:val="18"/>
          <w:lang w:val="es-ES"/>
        </w:rPr>
        <w:t xml:space="preserve"> y los</w:t>
      </w:r>
      <w:r w:rsidRPr="00E30F8D">
        <w:rPr>
          <w:rFonts w:ascii="Verdana" w:hAnsi="Verdana" w:cs="Arial"/>
          <w:i/>
          <w:iCs/>
          <w:sz w:val="18"/>
          <w:szCs w:val="18"/>
          <w:lang w:val="es-ES"/>
        </w:rPr>
        <w:t xml:space="preserve"> costos indirectos</w:t>
      </w:r>
      <w:r w:rsidRPr="00E30F8D">
        <w:rPr>
          <w:rFonts w:ascii="Verdana" w:hAnsi="Verdana" w:cs="Arial"/>
          <w:sz w:val="18"/>
          <w:szCs w:val="18"/>
          <w:lang w:val="es-ES"/>
        </w:rPr>
        <w:t xml:space="preserve">. Los primeros son los gastos imprescindibles para ejecutar la obra, entre los que se encuentra: la adquisición de materiales, insumos y suministros, la inversión en equipos, el pago de la mano de obra de las cuadrillas de trabajadores obreros y otros gastos afines –representados en los </w:t>
      </w:r>
      <w:r w:rsidRPr="00E30F8D">
        <w:rPr>
          <w:rFonts w:ascii="Verdana" w:hAnsi="Verdana" w:cs="Arial"/>
          <w:i/>
          <w:iCs/>
          <w:sz w:val="18"/>
          <w:szCs w:val="18"/>
          <w:lang w:val="es-ES"/>
        </w:rPr>
        <w:t>ítems</w:t>
      </w:r>
      <w:r w:rsidRPr="00E30F8D">
        <w:rPr>
          <w:rFonts w:ascii="Verdana" w:hAnsi="Verdana" w:cs="Arial"/>
          <w:sz w:val="18"/>
          <w:szCs w:val="18"/>
          <w:lang w:val="es-ES"/>
        </w:rPr>
        <w:t xml:space="preserve"> que componen el contrato–. Los costos </w:t>
      </w:r>
      <w:r w:rsidRPr="00E30F8D">
        <w:rPr>
          <w:rFonts w:ascii="Verdana" w:hAnsi="Verdana" w:cs="Arial"/>
          <w:i/>
          <w:iCs/>
          <w:sz w:val="18"/>
          <w:szCs w:val="18"/>
          <w:lang w:val="es-ES"/>
        </w:rPr>
        <w:t>indirectos</w:t>
      </w:r>
      <w:r w:rsidRPr="00E30F8D">
        <w:rPr>
          <w:rFonts w:ascii="Verdana" w:hAnsi="Verdana" w:cs="Arial"/>
          <w:sz w:val="18"/>
          <w:szCs w:val="18"/>
          <w:lang w:val="es-ES"/>
        </w:rPr>
        <w:t xml:space="preserve"> aluden a los gastos que también son necesarios para la obra, pero que no hacen parte de los elementos mismos con los que se construye, es decir, se trata de los costos de administración de la obra, los imprevistos que se presentan durante su ejecución y la utilidad esperada” (MARÍN CORTÉS, Fabián. El precio. Serie: Las cláusulas del contrato estatal. Medellín: Librería Jurídica Sánchez y Centro de Estudios de Derecho Administrativo –CEDA–, 2012. pp. 63-64).</w:t>
      </w:r>
    </w:p>
  </w:footnote>
  <w:footnote w:id="11">
    <w:p w14:paraId="3A449CD0" w14:textId="77777777" w:rsidR="00120B7E" w:rsidRPr="00E30F8D" w:rsidRDefault="00120B7E" w:rsidP="00120B7E">
      <w:pPr>
        <w:pStyle w:val="FootnoteText"/>
        <w:ind w:firstLine="708"/>
        <w:jc w:val="both"/>
        <w:rPr>
          <w:rFonts w:ascii="Verdana" w:hAnsi="Verdana"/>
          <w:sz w:val="18"/>
          <w:szCs w:val="18"/>
          <w:lang w:val="es-CO"/>
        </w:rPr>
      </w:pPr>
      <w:r w:rsidRPr="00E30F8D">
        <w:rPr>
          <w:rStyle w:val="FootnoteReference"/>
          <w:rFonts w:ascii="Verdana" w:hAnsi="Verdana"/>
          <w:sz w:val="18"/>
          <w:szCs w:val="18"/>
        </w:rPr>
        <w:footnoteRef/>
      </w:r>
      <w:r w:rsidRPr="00E30F8D">
        <w:rPr>
          <w:rFonts w:ascii="Verdana" w:hAnsi="Verdana"/>
          <w:sz w:val="18"/>
          <w:szCs w:val="18"/>
        </w:rPr>
        <w:t xml:space="preserve"> MOLINA ZALDÍVAR, Carlos y RÍOS SALAS, Víctor. Derecho de la construcción. Santiago de Chile: O 'Print Impresores S.A, 2016. p. 49.</w:t>
      </w:r>
    </w:p>
  </w:footnote>
  <w:footnote w:id="12">
    <w:p w14:paraId="75409D18" w14:textId="77777777" w:rsidR="00120B7E" w:rsidRPr="00E30F8D" w:rsidRDefault="00120B7E" w:rsidP="00120B7E">
      <w:pPr>
        <w:pStyle w:val="FootnoteText"/>
        <w:ind w:firstLine="708"/>
        <w:jc w:val="both"/>
        <w:rPr>
          <w:rFonts w:ascii="Verdana" w:hAnsi="Verdana"/>
          <w:sz w:val="18"/>
          <w:szCs w:val="18"/>
          <w:lang w:val="es-CO"/>
        </w:rPr>
      </w:pPr>
      <w:r w:rsidRPr="00E30F8D">
        <w:rPr>
          <w:rStyle w:val="FootnoteReference"/>
          <w:rFonts w:ascii="Verdana" w:hAnsi="Verdana"/>
          <w:sz w:val="18"/>
          <w:szCs w:val="18"/>
        </w:rPr>
        <w:footnoteRef/>
      </w:r>
      <w:r w:rsidRPr="00E30F8D">
        <w:rPr>
          <w:rFonts w:ascii="Verdana" w:hAnsi="Verdana"/>
          <w:sz w:val="18"/>
          <w:szCs w:val="18"/>
        </w:rPr>
        <w:t xml:space="preserve"> </w:t>
      </w:r>
      <w:r w:rsidRPr="00E30F8D">
        <w:rPr>
          <w:rFonts w:ascii="Verdana" w:hAnsi="Verdana" w:cs="Arial"/>
          <w:sz w:val="18"/>
          <w:szCs w:val="18"/>
          <w:lang w:val="es-ES"/>
        </w:rPr>
        <w:t>MARÍN CORTÉS, Ob. cit., p. 147.</w:t>
      </w:r>
    </w:p>
  </w:footnote>
  <w:footnote w:id="13">
    <w:p w14:paraId="4AD79123" w14:textId="77777777" w:rsidR="00120B7E" w:rsidRPr="00E30F8D" w:rsidRDefault="00120B7E" w:rsidP="00120B7E">
      <w:pPr>
        <w:pStyle w:val="FootnoteText"/>
        <w:ind w:firstLine="708"/>
        <w:jc w:val="both"/>
        <w:rPr>
          <w:rFonts w:ascii="Verdana" w:hAnsi="Verdana" w:cs="Arial"/>
          <w:sz w:val="18"/>
          <w:szCs w:val="18"/>
        </w:rPr>
      </w:pPr>
      <w:r w:rsidRPr="00E30F8D">
        <w:rPr>
          <w:rStyle w:val="FootnoteReference"/>
          <w:rFonts w:ascii="Verdana" w:hAnsi="Verdana" w:cs="Arial"/>
          <w:sz w:val="18"/>
          <w:szCs w:val="18"/>
        </w:rPr>
        <w:footnoteRef/>
      </w:r>
      <w:r w:rsidRPr="00E30F8D">
        <w:rPr>
          <w:rFonts w:ascii="Verdana" w:hAnsi="Verdana" w:cs="Arial"/>
          <w:sz w:val="18"/>
          <w:szCs w:val="18"/>
        </w:rPr>
        <w:t xml:space="preserve"> </w:t>
      </w:r>
      <w:r w:rsidRPr="00120B7E">
        <w:rPr>
          <w:rFonts w:ascii="Verdana" w:hAnsi="Verdana" w:cs="Arial"/>
          <w:color w:val="000000"/>
          <w:sz w:val="18"/>
          <w:szCs w:val="18"/>
        </w:rPr>
        <w:t>Cfr. DAVILA VINUEZA Luis Guillermo. Régimen Jurídico de la contratación estatal. Bogotá: Editorial Legis, 2001, p. 387.</w:t>
      </w:r>
    </w:p>
    <w:p w14:paraId="4AE7C973" w14:textId="77777777" w:rsidR="00120B7E" w:rsidRPr="00E30F8D" w:rsidRDefault="00120B7E" w:rsidP="00120B7E">
      <w:pPr>
        <w:pStyle w:val="FootnoteText"/>
        <w:ind w:firstLine="708"/>
        <w:jc w:val="both"/>
        <w:rPr>
          <w:rFonts w:ascii="Verdana" w:hAnsi="Verdana" w:cs="Arial"/>
          <w:sz w:val="18"/>
          <w:szCs w:val="18"/>
          <w:lang w:val="es-CO"/>
        </w:rPr>
      </w:pPr>
    </w:p>
  </w:footnote>
  <w:footnote w:id="14">
    <w:p w14:paraId="39282389" w14:textId="77777777" w:rsidR="00120B7E" w:rsidRPr="00E30F8D" w:rsidRDefault="00120B7E" w:rsidP="00120B7E">
      <w:pPr>
        <w:pStyle w:val="FootnoteText"/>
        <w:ind w:firstLine="708"/>
        <w:jc w:val="both"/>
        <w:rPr>
          <w:rFonts w:ascii="Verdana" w:hAnsi="Verdana" w:cs="Arial"/>
          <w:sz w:val="18"/>
          <w:szCs w:val="18"/>
          <w:lang w:val="es-CO"/>
        </w:rPr>
      </w:pPr>
      <w:r w:rsidRPr="00E30F8D">
        <w:rPr>
          <w:rStyle w:val="FootnoteReference"/>
          <w:rFonts w:ascii="Verdana" w:hAnsi="Verdana" w:cs="Arial"/>
          <w:sz w:val="18"/>
          <w:szCs w:val="18"/>
        </w:rPr>
        <w:footnoteRef/>
      </w:r>
      <w:r w:rsidRPr="00E30F8D">
        <w:rPr>
          <w:rFonts w:ascii="Verdana" w:hAnsi="Verdana" w:cs="Arial"/>
          <w:sz w:val="18"/>
          <w:szCs w:val="18"/>
        </w:rPr>
        <w:t xml:space="preserve"> </w:t>
      </w:r>
      <w:r w:rsidRPr="00120B7E">
        <w:rPr>
          <w:rFonts w:ascii="Verdana" w:hAnsi="Verdana" w:cs="Arial"/>
          <w:color w:val="000000"/>
          <w:sz w:val="18"/>
          <w:szCs w:val="18"/>
        </w:rPr>
        <w:t>Sobre el particular resultan pertinentes las consideraciones efectuadas en el mismo sentido por la Sala de Consulta y Servicio Civil del Consejo de Estado en el concepto del 13 de agosto de 2009, rad. 1.952, C.P. Enrique José Arboleda Perdomo y por la Corte Constitucional en la sentencia C-300 de 2012.</w:t>
      </w:r>
      <w:r w:rsidRPr="00E30F8D">
        <w:rPr>
          <w:rFonts w:ascii="Verdana" w:eastAsia="Times New Roman" w:hAnsi="Verdana" w:cs="Arial"/>
          <w:bCs/>
          <w:sz w:val="18"/>
          <w:szCs w:val="18"/>
          <w:lang w:val="es-ES" w:eastAsia="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Header"/>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Header"/>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AFC16BB"/>
    <w:multiLevelType w:val="hybridMultilevel"/>
    <w:tmpl w:val="50367D3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3"/>
  </w:num>
  <w:num w:numId="7" w16cid:durableId="1946422806">
    <w:abstractNumId w:val="4"/>
  </w:num>
  <w:num w:numId="8" w16cid:durableId="152644682">
    <w:abstractNumId w:val="12"/>
  </w:num>
  <w:num w:numId="9" w16cid:durableId="1317221377">
    <w:abstractNumId w:val="6"/>
  </w:num>
  <w:num w:numId="10" w16cid:durableId="1471245386">
    <w:abstractNumId w:val="11"/>
  </w:num>
  <w:num w:numId="11" w16cid:durableId="289172385">
    <w:abstractNumId w:val="7"/>
  </w:num>
  <w:num w:numId="12" w16cid:durableId="1470781324">
    <w:abstractNumId w:val="0"/>
  </w:num>
  <w:num w:numId="13" w16cid:durableId="1512908409">
    <w:abstractNumId w:val="2"/>
  </w:num>
  <w:num w:numId="14" w16cid:durableId="895897244">
    <w:abstractNumId w:val="14"/>
  </w:num>
  <w:num w:numId="15" w16cid:durableId="390349800">
    <w:abstractNumId w:val="10"/>
  </w:num>
  <w:num w:numId="16" w16cid:durableId="679089576">
    <w:abstractNumId w:val="8"/>
  </w:num>
  <w:num w:numId="17" w16cid:durableId="2554038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C2319"/>
    <w:rsid w:val="000D0334"/>
    <w:rsid w:val="000D5DA7"/>
    <w:rsid w:val="000F4F64"/>
    <w:rsid w:val="000F6486"/>
    <w:rsid w:val="00116940"/>
    <w:rsid w:val="00120B7E"/>
    <w:rsid w:val="00125105"/>
    <w:rsid w:val="00127233"/>
    <w:rsid w:val="00153E81"/>
    <w:rsid w:val="0015699B"/>
    <w:rsid w:val="001A33BF"/>
    <w:rsid w:val="001E4177"/>
    <w:rsid w:val="001F0B24"/>
    <w:rsid w:val="001F7DC6"/>
    <w:rsid w:val="00222662"/>
    <w:rsid w:val="0022400B"/>
    <w:rsid w:val="002421BB"/>
    <w:rsid w:val="0025796E"/>
    <w:rsid w:val="002707A2"/>
    <w:rsid w:val="002951A0"/>
    <w:rsid w:val="002962BC"/>
    <w:rsid w:val="002A093D"/>
    <w:rsid w:val="002A0DD0"/>
    <w:rsid w:val="002A49AC"/>
    <w:rsid w:val="002A64FD"/>
    <w:rsid w:val="002C15D5"/>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37C00"/>
    <w:rsid w:val="0044528D"/>
    <w:rsid w:val="00466E39"/>
    <w:rsid w:val="004A1847"/>
    <w:rsid w:val="004A305D"/>
    <w:rsid w:val="004F21C4"/>
    <w:rsid w:val="004F685F"/>
    <w:rsid w:val="00545E98"/>
    <w:rsid w:val="005566E8"/>
    <w:rsid w:val="00574867"/>
    <w:rsid w:val="00591460"/>
    <w:rsid w:val="005A65E0"/>
    <w:rsid w:val="005C3777"/>
    <w:rsid w:val="005C5CDC"/>
    <w:rsid w:val="005D476C"/>
    <w:rsid w:val="006200BF"/>
    <w:rsid w:val="006219F8"/>
    <w:rsid w:val="006302F7"/>
    <w:rsid w:val="00631501"/>
    <w:rsid w:val="00646B9F"/>
    <w:rsid w:val="00665D70"/>
    <w:rsid w:val="006900D9"/>
    <w:rsid w:val="006A603B"/>
    <w:rsid w:val="006F4FA0"/>
    <w:rsid w:val="00706C16"/>
    <w:rsid w:val="007340C3"/>
    <w:rsid w:val="0075235A"/>
    <w:rsid w:val="00756841"/>
    <w:rsid w:val="007649AB"/>
    <w:rsid w:val="00771D0C"/>
    <w:rsid w:val="007755D8"/>
    <w:rsid w:val="007833AC"/>
    <w:rsid w:val="007B268C"/>
    <w:rsid w:val="007B7171"/>
    <w:rsid w:val="007C0C0F"/>
    <w:rsid w:val="007C3DC2"/>
    <w:rsid w:val="007E5497"/>
    <w:rsid w:val="00806F5F"/>
    <w:rsid w:val="00820278"/>
    <w:rsid w:val="008258C9"/>
    <w:rsid w:val="0083390F"/>
    <w:rsid w:val="00844AE9"/>
    <w:rsid w:val="00867F95"/>
    <w:rsid w:val="008843B6"/>
    <w:rsid w:val="00891928"/>
    <w:rsid w:val="008A446D"/>
    <w:rsid w:val="008B25F1"/>
    <w:rsid w:val="008D180B"/>
    <w:rsid w:val="008F0EA7"/>
    <w:rsid w:val="00923EEF"/>
    <w:rsid w:val="00934894"/>
    <w:rsid w:val="009419F9"/>
    <w:rsid w:val="0095685E"/>
    <w:rsid w:val="00961B09"/>
    <w:rsid w:val="00965334"/>
    <w:rsid w:val="0097093E"/>
    <w:rsid w:val="009939B0"/>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C3D36"/>
    <w:rsid w:val="00BD54A6"/>
    <w:rsid w:val="00BD7F72"/>
    <w:rsid w:val="00BF4A11"/>
    <w:rsid w:val="00BF7425"/>
    <w:rsid w:val="00C04FB3"/>
    <w:rsid w:val="00C100A5"/>
    <w:rsid w:val="00C11D8B"/>
    <w:rsid w:val="00C15139"/>
    <w:rsid w:val="00C330EB"/>
    <w:rsid w:val="00C50D69"/>
    <w:rsid w:val="00C529CC"/>
    <w:rsid w:val="00C5365C"/>
    <w:rsid w:val="00C754BE"/>
    <w:rsid w:val="00C76B1C"/>
    <w:rsid w:val="00C925AC"/>
    <w:rsid w:val="00CB6357"/>
    <w:rsid w:val="00CC1B26"/>
    <w:rsid w:val="00CD74AA"/>
    <w:rsid w:val="00CF39E1"/>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55B69"/>
    <w:rsid w:val="00E75C92"/>
    <w:rsid w:val="00E771DC"/>
    <w:rsid w:val="00E8772A"/>
    <w:rsid w:val="00E90F6B"/>
    <w:rsid w:val="00E92C27"/>
    <w:rsid w:val="00E94273"/>
    <w:rsid w:val="00E97F07"/>
    <w:rsid w:val="00EA0E3D"/>
    <w:rsid w:val="00EC38A7"/>
    <w:rsid w:val="00EE1AA8"/>
    <w:rsid w:val="00F23FEA"/>
    <w:rsid w:val="00F31EDC"/>
    <w:rsid w:val="00F462B3"/>
    <w:rsid w:val="00F5664F"/>
    <w:rsid w:val="00F666C4"/>
    <w:rsid w:val="00F76AFC"/>
    <w:rsid w:val="00FA47C0"/>
    <w:rsid w:val="00FB5DD1"/>
    <w:rsid w:val="00FC2B5D"/>
    <w:rsid w:val="00FF1449"/>
    <w:rsid w:val="00FF7963"/>
    <w:rsid w:val="04E14B99"/>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41B95C0C-18CB-4407-8F54-2763A8A80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1847"/>
    <w:pPr>
      <w:tabs>
        <w:tab w:val="center" w:pos="4419"/>
        <w:tab w:val="right" w:pos="8838"/>
      </w:tabs>
      <w:spacing w:after="0" w:line="240" w:lineRule="auto"/>
    </w:pPr>
  </w:style>
  <w:style w:type="character" w:customStyle="1" w:styleId="HeaderChar">
    <w:name w:val="Header Char"/>
    <w:basedOn w:val="DefaultParagraphFont"/>
    <w:link w:val="Header"/>
    <w:uiPriority w:val="99"/>
    <w:rsid w:val="004A1847"/>
  </w:style>
  <w:style w:type="paragraph" w:styleId="Footer">
    <w:name w:val="footer"/>
    <w:basedOn w:val="Normal"/>
    <w:link w:val="FooterChar"/>
    <w:uiPriority w:val="99"/>
    <w:unhideWhenUsed/>
    <w:rsid w:val="004A1847"/>
    <w:pPr>
      <w:tabs>
        <w:tab w:val="center" w:pos="4419"/>
        <w:tab w:val="right" w:pos="8838"/>
      </w:tabs>
      <w:spacing w:after="0" w:line="240" w:lineRule="auto"/>
    </w:pPr>
  </w:style>
  <w:style w:type="character" w:customStyle="1" w:styleId="FooterChar">
    <w:name w:val="Footer Char"/>
    <w:basedOn w:val="DefaultParagraphFont"/>
    <w:link w:val="Footer"/>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FootnoteTextChar">
    <w:name w:val="Footnote Text Char"/>
    <w:aliases w:val="Ref. de nota al pie1 Char,Texto de nota al pie Char,referencia nota al pie Char,Appel note de bas de page Char,Footnotes refss Char,Footnote number Char,BVI fnr Char,Footnote Text Char Char Char Char Char Char,Footnote reference Char"/>
    <w:basedOn w:val="DefaultParagraphFont"/>
    <w:link w:val="FootnoteText"/>
    <w:uiPriority w:val="99"/>
    <w:qFormat/>
    <w:locked/>
    <w:rsid w:val="006219F8"/>
    <w:rPr>
      <w:sz w:val="20"/>
      <w:szCs w:val="20"/>
      <w:lang w:val="es-MX"/>
    </w:rPr>
  </w:style>
  <w:style w:type="paragraph" w:styleId="FootnoteText">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FootnoteTextChar"/>
    <w:uiPriority w:val="99"/>
    <w:unhideWhenUsed/>
    <w:qFormat/>
    <w:rsid w:val="006219F8"/>
    <w:pPr>
      <w:spacing w:after="0" w:line="240" w:lineRule="auto"/>
    </w:pPr>
    <w:rPr>
      <w:sz w:val="20"/>
      <w:szCs w:val="20"/>
      <w:lang w:val="es-MX"/>
    </w:rPr>
  </w:style>
  <w:style w:type="character" w:customStyle="1" w:styleId="TextonotapieCar1">
    <w:name w:val="Texto nota pie Car1"/>
    <w:basedOn w:val="DefaultParagraphFont"/>
    <w:uiPriority w:val="99"/>
    <w:semiHidden/>
    <w:rsid w:val="006219F8"/>
    <w:rPr>
      <w:sz w:val="20"/>
      <w:szCs w:val="20"/>
    </w:rPr>
  </w:style>
  <w:style w:type="character" w:styleId="FootnoteReference">
    <w:name w:val="footnote reference"/>
    <w:aliases w:val="Ref. de nota al pie 2,Ref,de nota al pie,FC,Appel note de bas de p,f,4_G,16 Point,Superscript 6 Point,Texto nota al pie,Pie de Página,Texto de nota al pi,Nota de pie,Texto de nota al p,Footnote Reference Char3,Texto nota pie Car2,F,R"/>
    <w:basedOn w:val="DefaultParagraphFont"/>
    <w:link w:val="Appelnotedebasde"/>
    <w:uiPriority w:val="99"/>
    <w:unhideWhenUsed/>
    <w:qFormat/>
    <w:rsid w:val="006219F8"/>
    <w:rPr>
      <w:vertAlign w:val="superscript"/>
    </w:rPr>
  </w:style>
  <w:style w:type="character" w:customStyle="1" w:styleId="normaltextrun">
    <w:name w:val="normaltextrun"/>
    <w:basedOn w:val="DefaultParagraphFont"/>
    <w:rsid w:val="006219F8"/>
  </w:style>
  <w:style w:type="table" w:styleId="TableGrid">
    <w:name w:val="Table Grid"/>
    <w:basedOn w:val="Table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66E8"/>
    <w:pPr>
      <w:ind w:left="720"/>
      <w:contextualSpacing/>
    </w:pPr>
    <w:rPr>
      <w:rFonts w:ascii="Geomanist Light" w:hAnsi="Geomanist Light"/>
      <w:lang w:val="es-ES"/>
    </w:rPr>
  </w:style>
  <w:style w:type="paragraph" w:styleId="Title">
    <w:name w:val="Title"/>
    <w:basedOn w:val="Normal"/>
    <w:next w:val="Normal"/>
    <w:link w:val="TitleCh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itleChar">
    <w:name w:val="Title Char"/>
    <w:basedOn w:val="DefaultParagraphFont"/>
    <w:link w:val="Title"/>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DefaultParagraphFont"/>
    <w:rsid w:val="00DA231B"/>
  </w:style>
  <w:style w:type="character" w:styleId="Hyperlink">
    <w:name w:val="Hyperlink"/>
    <w:basedOn w:val="DefaultParagraphFont"/>
    <w:uiPriority w:val="99"/>
    <w:unhideWhenUsed/>
    <w:rsid w:val="00125105"/>
    <w:rPr>
      <w:color w:val="0000FF"/>
      <w:u w:val="single"/>
    </w:rPr>
  </w:style>
  <w:style w:type="character" w:styleId="FollowedHyperlink">
    <w:name w:val="FollowedHyperlink"/>
    <w:basedOn w:val="DefaultParagraphFont"/>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DefaultParagraphFont"/>
    <w:rsid w:val="00322A85"/>
  </w:style>
  <w:style w:type="character" w:customStyle="1" w:styleId="eop">
    <w:name w:val="eop"/>
    <w:basedOn w:val="DefaultParagraphFont"/>
    <w:rsid w:val="00322A85"/>
  </w:style>
  <w:style w:type="character" w:styleId="UnresolvedMention">
    <w:name w:val="Unresolved Mention"/>
    <w:basedOn w:val="DefaultParagraphFont"/>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on">
    <w:name w:val="Revision"/>
    <w:hidden/>
    <w:uiPriority w:val="99"/>
    <w:semiHidden/>
    <w:rsid w:val="009F3A13"/>
    <w:pPr>
      <w:spacing w:after="0" w:line="240" w:lineRule="auto"/>
    </w:pPr>
  </w:style>
  <w:style w:type="paragraph" w:customStyle="1" w:styleId="Appelnotedebasde">
    <w:name w:val="Appel note de bas de..."/>
    <w:basedOn w:val="Normal"/>
    <w:link w:val="FootnoteReference"/>
    <w:uiPriority w:val="99"/>
    <w:rsid w:val="00120B7E"/>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documentos-tipo/documentos-tipo"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le.rae.es/est%C3%A1nda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D93CE2A2-AB2D-46DA-9260-6D18F89BD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6807</Words>
  <Characters>38806</Characters>
  <Application>Microsoft Office Word</Application>
  <DocSecurity>4</DocSecurity>
  <Lines>323</Lines>
  <Paragraphs>91</Paragraphs>
  <ScaleCrop>false</ScaleCrop>
  <Company/>
  <LinksUpToDate>false</LinksUpToDate>
  <CharactersWithSpaces>45522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Kevin Arlid Herrera Santa</cp:lastModifiedBy>
  <cp:revision>7</cp:revision>
  <cp:lastPrinted>2023-01-11T00:18:00Z</cp:lastPrinted>
  <dcterms:created xsi:type="dcterms:W3CDTF">2026-07-08T00:09:00Z</dcterms:created>
  <dcterms:modified xsi:type="dcterms:W3CDTF">2026-07-07T22:33:00Z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