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43740" w14:textId="77777777" w:rsidR="00D100F8" w:rsidRDefault="00D100F8" w:rsidP="30821638">
      <w:pPr>
        <w:spacing w:after="0"/>
        <w:rPr>
          <w:rFonts w:ascii="Verdana" w:eastAsia="Verdana" w:hAnsi="Verdana" w:cs="Verdana"/>
        </w:rPr>
      </w:pPr>
      <w:bookmarkStart w:id="0" w:name="_Hlk143780582"/>
    </w:p>
    <w:p w14:paraId="3C351089" w14:textId="77777777" w:rsidR="00810EBE" w:rsidRDefault="00810EBE" w:rsidP="00810EBE">
      <w:pPr>
        <w:spacing w:after="0" w:line="240" w:lineRule="auto"/>
        <w:jc w:val="both"/>
        <w:rPr>
          <w:rFonts w:ascii="Verdana" w:eastAsia="Calibri" w:hAnsi="Verdana" w:cs="Arial"/>
          <w:b/>
          <w:bCs/>
          <w:lang w:val="es-MX" w:eastAsia="es-ES_tradnl"/>
        </w:rPr>
      </w:pPr>
      <w:r w:rsidRPr="00380FFB">
        <w:rPr>
          <w:rFonts w:ascii="Verdana" w:eastAsia="Calibri" w:hAnsi="Verdana" w:cs="Arial"/>
          <w:b/>
          <w:bCs/>
          <w:lang w:val="es-MX" w:eastAsia="es-ES_tradnl"/>
        </w:rPr>
        <w:t xml:space="preserve">LEY DE GARANTÍAS ELECTORALES ‒ Finalidad </w:t>
      </w:r>
    </w:p>
    <w:p w14:paraId="5AC81955" w14:textId="77777777" w:rsidR="00810EBE" w:rsidRPr="00380FFB" w:rsidRDefault="00810EBE" w:rsidP="00810EBE">
      <w:pPr>
        <w:spacing w:after="0" w:line="240" w:lineRule="auto"/>
        <w:jc w:val="both"/>
        <w:rPr>
          <w:rFonts w:ascii="Verdana" w:eastAsia="Calibri" w:hAnsi="Verdana" w:cs="Arial"/>
          <w:b/>
          <w:bCs/>
          <w:lang w:val="es-MX" w:eastAsia="es-ES_tradnl"/>
        </w:rPr>
      </w:pPr>
    </w:p>
    <w:p w14:paraId="4980A93F" w14:textId="77777777" w:rsidR="00810EBE" w:rsidRDefault="00810EBE" w:rsidP="00810EBE">
      <w:pPr>
        <w:jc w:val="both"/>
        <w:rPr>
          <w:rFonts w:ascii="Verdana" w:eastAsia="Calibri" w:hAnsi="Verdana" w:cs="Arial"/>
          <w:sz w:val="20"/>
          <w:szCs w:val="20"/>
          <w:lang w:val="es-MX" w:eastAsia="es-ES_tradnl"/>
        </w:rPr>
      </w:pPr>
      <w:r>
        <w:rPr>
          <w:rFonts w:ascii="Verdana" w:eastAsia="Calibri" w:hAnsi="Verdana" w:cs="Arial"/>
          <w:sz w:val="20"/>
          <w:szCs w:val="20"/>
          <w:lang w:val="es-MX" w:eastAsia="es-ES_tradnl"/>
        </w:rPr>
        <w:t>L</w:t>
      </w:r>
      <w:r w:rsidRPr="00EC0195">
        <w:rPr>
          <w:rFonts w:ascii="Verdana" w:eastAsia="Calibri" w:hAnsi="Verdana" w:cs="Arial"/>
          <w:sz w:val="20"/>
          <w:szCs w:val="20"/>
          <w:lang w:val="es-MX" w:eastAsia="es-ES_tradnl"/>
        </w:rPr>
        <w:t>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EC0195">
        <w:rPr>
          <w:rFonts w:ascii="Verdana" w:eastAsia="Calibri" w:hAnsi="Verdana" w:cs="Arial"/>
          <w:sz w:val="20"/>
          <w:szCs w:val="20"/>
          <w:vertAlign w:val="superscript"/>
          <w:lang w:val="es-MX" w:eastAsia="es-ES_tradnl"/>
        </w:rPr>
        <w:footnoteReference w:id="1"/>
      </w:r>
      <w:r w:rsidRPr="00EC0195">
        <w:rPr>
          <w:rFonts w:ascii="Verdana" w:eastAsia="Calibri" w:hAnsi="Verdana" w:cs="Arial"/>
          <w:sz w:val="20"/>
          <w:szCs w:val="20"/>
          <w:lang w:val="es-MX" w:eastAsia="es-ES_tradnl"/>
        </w:rPr>
        <w:t>. En esta medida, introduce limitaciones para realizar nombramientos, postulaciones, contrataciones o cualquier otro tipo de actividad que implique destinación de recursos públicos bajo el devenir propio de las Entidades Estatales.</w:t>
      </w:r>
    </w:p>
    <w:p w14:paraId="67E9A7C8" w14:textId="77777777" w:rsidR="00810EBE" w:rsidRPr="00A7472C" w:rsidRDefault="00810EBE" w:rsidP="00810EBE">
      <w:pPr>
        <w:spacing w:after="0" w:line="240" w:lineRule="auto"/>
        <w:jc w:val="both"/>
        <w:rPr>
          <w:rFonts w:ascii="Verdana" w:eastAsia="Calibri" w:hAnsi="Verdana" w:cs="Arial"/>
          <w:sz w:val="20"/>
          <w:szCs w:val="20"/>
          <w:lang w:val="es-MX" w:eastAsia="es-ES_tradnl"/>
        </w:rPr>
      </w:pPr>
    </w:p>
    <w:p w14:paraId="09D691F4" w14:textId="77777777" w:rsidR="00810EBE" w:rsidRDefault="00810EBE" w:rsidP="00810EBE">
      <w:pPr>
        <w:spacing w:after="0" w:line="240" w:lineRule="auto"/>
        <w:jc w:val="both"/>
        <w:rPr>
          <w:rFonts w:ascii="Verdana" w:eastAsia="Calibri" w:hAnsi="Verdana" w:cs="Arial"/>
          <w:b/>
          <w:bCs/>
          <w:lang w:val="es-MX" w:eastAsia="es-ES_tradnl"/>
        </w:rPr>
      </w:pPr>
      <w:r w:rsidRPr="00380FFB">
        <w:rPr>
          <w:rFonts w:ascii="Verdana" w:eastAsia="Calibri" w:hAnsi="Verdana" w:cs="Arial"/>
          <w:b/>
          <w:bCs/>
          <w:lang w:val="es-MX" w:eastAsia="es-ES_tradnl"/>
        </w:rPr>
        <w:t xml:space="preserve">LEY DE GARANTÍAS ELECTORALES ‒ Tipos de restricciones ‒ Ámbito temporal </w:t>
      </w:r>
    </w:p>
    <w:p w14:paraId="07A9FF82" w14:textId="77777777" w:rsidR="00810EBE" w:rsidRPr="00380FFB" w:rsidRDefault="00810EBE" w:rsidP="00810EBE">
      <w:pPr>
        <w:spacing w:after="0" w:line="240" w:lineRule="auto"/>
        <w:jc w:val="both"/>
        <w:rPr>
          <w:rFonts w:ascii="Verdana" w:eastAsia="Calibri" w:hAnsi="Verdana" w:cs="Arial"/>
          <w:b/>
          <w:bCs/>
          <w:lang w:val="es-MX" w:eastAsia="es-ES_tradnl"/>
        </w:rPr>
      </w:pPr>
    </w:p>
    <w:p w14:paraId="1FBBC4BE" w14:textId="77777777" w:rsidR="00810EBE" w:rsidRDefault="00810EBE" w:rsidP="00810EBE">
      <w:pPr>
        <w:jc w:val="both"/>
        <w:rPr>
          <w:rFonts w:ascii="Verdana" w:eastAsia="Arial" w:hAnsi="Verdana" w:cs="Arial"/>
          <w:sz w:val="20"/>
          <w:szCs w:val="20"/>
          <w:lang w:val="es-ES" w:eastAsia="es-ES" w:bidi="es-ES"/>
        </w:rPr>
      </w:pPr>
      <w:r w:rsidRPr="00A14964">
        <w:rPr>
          <w:rFonts w:ascii="Verdana" w:eastAsia="Arial" w:hAnsi="Verdana" w:cs="Arial"/>
          <w:sz w:val="20"/>
          <w:szCs w:val="20"/>
          <w:lang w:val="es-ES" w:eastAsia="es-ES" w:bidi="es-ES"/>
        </w:rPr>
        <w:t xml:space="preserve">La Ley 996 de 2005 establece dos (2) tipos de restricciones en materia de contratación, las cuales coinciden parcialmente. </w:t>
      </w:r>
      <w:r w:rsidRPr="00A14964">
        <w:rPr>
          <w:rFonts w:ascii="Verdana" w:eastAsia="Arial" w:hAnsi="Verdana" w:cs="Arial"/>
          <w:i/>
          <w:sz w:val="20"/>
          <w:szCs w:val="20"/>
          <w:lang w:val="es-ES" w:eastAsia="es-ES" w:bidi="es-ES"/>
        </w:rPr>
        <w:t>En primer lugar</w:t>
      </w:r>
      <w:r w:rsidRPr="00A14964">
        <w:rPr>
          <w:rFonts w:ascii="Verdana" w:eastAsia="Arial" w:hAnsi="Verdana" w:cs="Arial"/>
          <w:sz w:val="20"/>
          <w:szCs w:val="20"/>
          <w:lang w:val="es-ES" w:eastAsia="es-ES" w:bidi="es-ES"/>
        </w:rPr>
        <w:t xml:space="preserve">,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A14964">
        <w:rPr>
          <w:rFonts w:ascii="Verdana" w:eastAsia="Arial" w:hAnsi="Verdana" w:cs="Arial"/>
          <w:i/>
          <w:sz w:val="20"/>
          <w:szCs w:val="20"/>
          <w:lang w:val="es-ES" w:eastAsia="es-ES" w:bidi="es-ES"/>
        </w:rPr>
        <w:t>En segundo lugar</w:t>
      </w:r>
      <w:r w:rsidRPr="00A14964">
        <w:rPr>
          <w:rFonts w:ascii="Verdana" w:eastAsia="Arial" w:hAnsi="Verdana" w:cs="Arial"/>
          <w:sz w:val="20"/>
          <w:szCs w:val="20"/>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01776E71" w14:textId="77777777" w:rsidR="00810EBE" w:rsidRPr="00A14964" w:rsidRDefault="00810EBE" w:rsidP="00810EBE">
      <w:pPr>
        <w:spacing w:after="0" w:line="240" w:lineRule="auto"/>
        <w:jc w:val="both"/>
        <w:rPr>
          <w:rFonts w:ascii="Verdana" w:eastAsia="Calibri" w:hAnsi="Verdana" w:cs="Arial"/>
          <w:b/>
          <w:bCs/>
          <w:sz w:val="20"/>
          <w:szCs w:val="20"/>
          <w:lang w:val="es-MX" w:eastAsia="es-ES_tradnl"/>
        </w:rPr>
      </w:pPr>
    </w:p>
    <w:p w14:paraId="5DD4881E" w14:textId="77777777" w:rsidR="00810EBE" w:rsidRDefault="00810EBE" w:rsidP="00810EBE">
      <w:pPr>
        <w:spacing w:after="0" w:line="240" w:lineRule="auto"/>
        <w:jc w:val="both"/>
        <w:rPr>
          <w:rFonts w:ascii="Verdana" w:eastAsia="Calibri" w:hAnsi="Verdana" w:cs="Arial"/>
          <w:b/>
          <w:bCs/>
          <w:lang w:val="es-MX" w:eastAsia="es-ES_tradnl"/>
        </w:rPr>
      </w:pPr>
      <w:r w:rsidRPr="00380FFB">
        <w:rPr>
          <w:rFonts w:ascii="Verdana" w:eastAsia="Calibri" w:hAnsi="Verdana" w:cs="Arial"/>
          <w:b/>
          <w:bCs/>
          <w:lang w:val="es-MX" w:eastAsia="es-ES_tradnl"/>
        </w:rPr>
        <w:t xml:space="preserve"> LEY DE GARANTÍAS ELECTORALES ‒ Prohibición por elección de cargos populares </w:t>
      </w:r>
    </w:p>
    <w:p w14:paraId="3D76C10A" w14:textId="77777777" w:rsidR="00810EBE" w:rsidRPr="00380FFB" w:rsidRDefault="00810EBE" w:rsidP="00810EBE">
      <w:pPr>
        <w:spacing w:after="0" w:line="240" w:lineRule="auto"/>
        <w:jc w:val="both"/>
        <w:rPr>
          <w:rFonts w:ascii="Verdana" w:eastAsia="Calibri" w:hAnsi="Verdana" w:cs="Arial"/>
          <w:b/>
          <w:bCs/>
          <w:lang w:val="es-MX" w:eastAsia="es-ES_tradnl"/>
        </w:rPr>
      </w:pPr>
    </w:p>
    <w:p w14:paraId="0FD86F48" w14:textId="77777777" w:rsidR="00810EBE" w:rsidRDefault="00810EBE" w:rsidP="00810EBE">
      <w:pPr>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E</w:t>
      </w:r>
      <w:r w:rsidRPr="00A14964">
        <w:rPr>
          <w:rFonts w:ascii="Verdana" w:eastAsia="Times New Roman" w:hAnsi="Verdana" w:cs="Arial"/>
          <w:sz w:val="20"/>
          <w:szCs w:val="20"/>
          <w:lang w:val="es-MX" w:eastAsia="es-CO"/>
        </w:rPr>
        <w:t xml:space="preserve">l parágrafo del artículo 38 de la Ley 996 de 2005 prohíbe a los Alcaldes, Gobernadores, Secretarios, Gerentes y Directores de las entidades del orden municipal, departamental o distrital celebrar </w:t>
      </w:r>
      <w:r w:rsidRPr="00A14964">
        <w:rPr>
          <w:rFonts w:ascii="Verdana" w:eastAsia="Times New Roman" w:hAnsi="Verdana" w:cs="Arial"/>
          <w:i/>
          <w:iCs/>
          <w:sz w:val="20"/>
          <w:szCs w:val="20"/>
          <w:lang w:val="es-MX" w:eastAsia="es-CO"/>
        </w:rPr>
        <w:t>convenios interadministrativos</w:t>
      </w:r>
      <w:r w:rsidRPr="00A14964">
        <w:rPr>
          <w:rFonts w:ascii="Verdana" w:eastAsia="Times New Roman" w:hAnsi="Verdana" w:cs="Arial"/>
          <w:sz w:val="20"/>
          <w:szCs w:val="20"/>
          <w:lang w:val="es-MX" w:eastAsia="es-CO"/>
        </w:rPr>
        <w:t xml:space="preserve"> para la ejecución de recursos públicos. En este sentido, si una o ambas partes de la relación contractual es una entidad de aquellas descritas en el parágrafo </w:t>
      </w:r>
      <w:r w:rsidRPr="00A14964">
        <w:rPr>
          <w:rFonts w:ascii="Verdana" w:eastAsia="Times New Roman" w:hAnsi="Verdana" w:cs="Arial"/>
          <w:i/>
          <w:sz w:val="20"/>
          <w:szCs w:val="20"/>
          <w:lang w:val="es-MX" w:eastAsia="es-CO"/>
        </w:rPr>
        <w:t>ibidem</w:t>
      </w:r>
      <w:r w:rsidRPr="00A14964">
        <w:rPr>
          <w:rFonts w:ascii="Verdana" w:eastAsia="Times New Roman" w:hAnsi="Verdana" w:cs="Arial"/>
          <w:sz w:val="20"/>
          <w:szCs w:val="20"/>
          <w:lang w:val="es-MX" w:eastAsia="es-CO"/>
        </w:rPr>
        <w:t xml:space="preserve">, no podrá celebrar tales </w:t>
      </w:r>
      <w:r w:rsidRPr="00A14964">
        <w:rPr>
          <w:rFonts w:ascii="Verdana" w:eastAsia="Times New Roman" w:hAnsi="Verdana" w:cs="Arial"/>
          <w:i/>
          <w:iCs/>
          <w:sz w:val="20"/>
          <w:szCs w:val="20"/>
          <w:lang w:val="es-MX" w:eastAsia="es-CO"/>
        </w:rPr>
        <w:t>convenios</w:t>
      </w:r>
      <w:r w:rsidRPr="00A14964">
        <w:rPr>
          <w:rFonts w:ascii="Verdana" w:eastAsia="Times New Roman" w:hAnsi="Verdana" w:cs="Arial"/>
          <w:sz w:val="20"/>
          <w:szCs w:val="20"/>
          <w:lang w:val="es-MX" w:eastAsia="es-CO"/>
        </w:rPr>
        <w:t xml:space="preserve"> durante la aplicación de la Ley de Garantías Electorales, toda vez que la citada disposición hace </w:t>
      </w:r>
      <w:r w:rsidRPr="00A14964">
        <w:rPr>
          <w:rFonts w:ascii="Verdana" w:eastAsia="Times New Roman" w:hAnsi="Verdana" w:cs="Arial"/>
          <w:sz w:val="20"/>
          <w:szCs w:val="20"/>
          <w:lang w:val="es-MX" w:eastAsia="es-CO"/>
        </w:rPr>
        <w:lastRenderedPageBreak/>
        <w:t>referencia a dicha tipología contractual sin que el legislador hubiere contemplado un efecto extensivo a otra tipología</w:t>
      </w:r>
      <w:r>
        <w:rPr>
          <w:rFonts w:ascii="Verdana" w:eastAsia="Times New Roman" w:hAnsi="Verdana" w:cs="Arial"/>
          <w:sz w:val="20"/>
          <w:szCs w:val="20"/>
          <w:lang w:val="es-MX" w:eastAsia="es-CO"/>
        </w:rPr>
        <w:t>.</w:t>
      </w:r>
    </w:p>
    <w:p w14:paraId="7D31DE0A" w14:textId="77777777" w:rsidR="00810EBE" w:rsidRPr="00A14964" w:rsidRDefault="00810EBE" w:rsidP="00810EBE">
      <w:pPr>
        <w:spacing w:after="0" w:line="240" w:lineRule="auto"/>
        <w:jc w:val="both"/>
        <w:rPr>
          <w:rFonts w:ascii="Verdana" w:eastAsia="Calibri" w:hAnsi="Verdana" w:cs="Arial"/>
          <w:b/>
          <w:bCs/>
          <w:sz w:val="20"/>
          <w:szCs w:val="20"/>
          <w:lang w:val="es-MX" w:eastAsia="es-ES_tradnl"/>
        </w:rPr>
      </w:pPr>
    </w:p>
    <w:p w14:paraId="7D20315F" w14:textId="77777777" w:rsidR="00810EBE" w:rsidRPr="00380FFB" w:rsidRDefault="00810EBE" w:rsidP="00810EBE">
      <w:pPr>
        <w:spacing w:after="0" w:line="240" w:lineRule="auto"/>
        <w:jc w:val="both"/>
        <w:rPr>
          <w:rFonts w:ascii="Verdana" w:eastAsia="Calibri" w:hAnsi="Verdana" w:cs="Arial"/>
          <w:b/>
          <w:bCs/>
          <w:lang w:val="es-ES" w:eastAsia="es-ES"/>
        </w:rPr>
      </w:pPr>
      <w:r w:rsidRPr="00380FFB">
        <w:rPr>
          <w:rFonts w:ascii="Verdana" w:eastAsia="Calibri" w:hAnsi="Verdana" w:cs="Arial"/>
          <w:b/>
          <w:bCs/>
          <w:lang w:val="es-MX" w:eastAsia="es-ES_tradnl"/>
        </w:rPr>
        <w:t>ELECCIONES ATÍPICAS</w:t>
      </w:r>
      <w:r w:rsidRPr="00380FFB">
        <w:rPr>
          <w:rFonts w:ascii="Verdana" w:eastAsia="Calibri" w:hAnsi="Verdana" w:cs="Arial"/>
          <w:b/>
          <w:bCs/>
          <w:lang w:val="es-ES" w:eastAsia="es-ES"/>
        </w:rPr>
        <w:t xml:space="preserve"> – Aplicación ley de garantías</w:t>
      </w:r>
    </w:p>
    <w:p w14:paraId="57130092" w14:textId="77777777" w:rsidR="00810EBE" w:rsidRDefault="00810EBE" w:rsidP="00810EBE">
      <w:pPr>
        <w:spacing w:after="0" w:line="240" w:lineRule="auto"/>
        <w:rPr>
          <w:rFonts w:ascii="Verdana" w:eastAsia="Geomanist Light" w:hAnsi="Verdana" w:cs="Arial"/>
          <w:color w:val="000000" w:themeColor="text1"/>
        </w:rPr>
      </w:pPr>
    </w:p>
    <w:p w14:paraId="0F09D302" w14:textId="77777777" w:rsidR="00810EBE" w:rsidRPr="00A14964" w:rsidRDefault="00810EBE" w:rsidP="00810EBE">
      <w:pPr>
        <w:spacing w:after="0" w:line="240" w:lineRule="auto"/>
        <w:jc w:val="both"/>
        <w:rPr>
          <w:rFonts w:ascii="Verdana" w:eastAsia="Geomanist Light" w:hAnsi="Verdana" w:cs="Arial"/>
          <w:color w:val="000000" w:themeColor="text1"/>
          <w:sz w:val="20"/>
          <w:szCs w:val="20"/>
        </w:rPr>
      </w:pPr>
      <w:r>
        <w:rPr>
          <w:rFonts w:ascii="Verdana" w:eastAsia="Calibri" w:hAnsi="Verdana" w:cs="Arial"/>
          <w:sz w:val="20"/>
          <w:szCs w:val="20"/>
          <w:lang w:eastAsia="es-ES" w:bidi="es-ES"/>
        </w:rPr>
        <w:t>P</w:t>
      </w:r>
      <w:r w:rsidRPr="00A14964">
        <w:rPr>
          <w:rFonts w:ascii="Verdana" w:eastAsia="Calibri" w:hAnsi="Verdana" w:cs="Arial"/>
          <w:sz w:val="20"/>
          <w:szCs w:val="20"/>
          <w:lang w:eastAsia="es-ES" w:bidi="es-ES"/>
        </w:rPr>
        <w:t>ara las elecciones atípicas de alcaldía resulta aplicable las restricciones señaladas en el parágrafo del artículo 38 de la Ley 996 de 2005, lo que significa que, en materia de contratación estatal, los Alcaldes, los Gobernadores, Alcaldes Municipales y/o Distritales, Secretarios, Gerentes y directores de Entidades Descentralizadas del orden Municipal, Departamental o Distrital, no podrán celebrar convenios interadministrativos para la ejecución de recursos públicos, dentro del periodo en que se convocó a las elecciones atípicas y su votación.</w:t>
      </w:r>
    </w:p>
    <w:p w14:paraId="0B09821A" w14:textId="77777777" w:rsidR="00D100F8" w:rsidRDefault="00D100F8">
      <w:pPr>
        <w:rPr>
          <w:rFonts w:ascii="Verdana" w:eastAsia="Verdana" w:hAnsi="Verdana" w:cs="Verdana"/>
        </w:rPr>
      </w:pPr>
      <w:r>
        <w:rPr>
          <w:rFonts w:ascii="Verdana" w:eastAsia="Verdana" w:hAnsi="Verdana" w:cs="Verdana"/>
        </w:rPr>
        <w:br w:type="page"/>
      </w:r>
    </w:p>
    <w:p w14:paraId="12443EE0" w14:textId="4934E87C" w:rsidR="00C15139" w:rsidRPr="005229F0" w:rsidRDefault="002831C0" w:rsidP="30821638">
      <w:pPr>
        <w:spacing w:after="0"/>
        <w:rPr>
          <w:rFonts w:ascii="Verdana" w:eastAsia="Verdana" w:hAnsi="Verdana" w:cs="Verdana"/>
        </w:rPr>
      </w:pPr>
      <w:r w:rsidRPr="002831C0">
        <w:rPr>
          <w:rFonts w:ascii="Verdana" w:eastAsia="Verdana" w:hAnsi="Verdana" w:cs="Verdana"/>
          <w:noProof/>
        </w:rPr>
        <w:lastRenderedPageBreak/>
        <w:drawing>
          <wp:anchor distT="0" distB="0" distL="114300" distR="114300" simplePos="0" relativeHeight="251659264" behindDoc="1" locked="0" layoutInCell="1" allowOverlap="1" wp14:anchorId="3B34A691" wp14:editId="4FB0C31A">
            <wp:simplePos x="0" y="0"/>
            <wp:positionH relativeFrom="column">
              <wp:posOffset>3120306</wp:posOffset>
            </wp:positionH>
            <wp:positionV relativeFrom="paragraph">
              <wp:posOffset>516</wp:posOffset>
            </wp:positionV>
            <wp:extent cx="2679065" cy="922655"/>
            <wp:effectExtent l="0" t="0" r="6985" b="0"/>
            <wp:wrapTight wrapText="bothSides">
              <wp:wrapPolygon edited="0">
                <wp:start x="0" y="0"/>
                <wp:lineTo x="0" y="20961"/>
                <wp:lineTo x="21503" y="20961"/>
                <wp:lineTo x="21503" y="0"/>
                <wp:lineTo x="0" y="0"/>
              </wp:wrapPolygon>
            </wp:wrapTight>
            <wp:docPr id="10980491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9065" cy="922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Pr>
          <w:rFonts w:ascii="Verdana" w:eastAsia="Verdana" w:hAnsi="Verdana" w:cs="Verdana"/>
        </w:rPr>
        <w:t xml:space="preserve">6 </w:t>
      </w:r>
      <w:r w:rsidR="00D91EE8">
        <w:rPr>
          <w:rFonts w:ascii="Verdana" w:eastAsia="Verdana" w:hAnsi="Verdana" w:cs="Verdana"/>
        </w:rPr>
        <w:t>julio</w:t>
      </w:r>
      <w:r>
        <w:rPr>
          <w:rFonts w:ascii="Verdana" w:eastAsia="Verdana" w:hAnsi="Verdana" w:cs="Verdana"/>
        </w:rPr>
        <w:t xml:space="preserve"> 2026</w:t>
      </w:r>
      <w:r w:rsidR="00C15139">
        <w:tab/>
      </w:r>
      <w:r w:rsidR="00C15139">
        <w:br/>
      </w:r>
      <w:r w:rsidR="00C15139">
        <w:tab/>
      </w:r>
    </w:p>
    <w:p w14:paraId="4B03230F" w14:textId="3577387F" w:rsidR="00E245AB" w:rsidRDefault="00C15139" w:rsidP="30821638">
      <w:pPr>
        <w:spacing w:after="0"/>
        <w:rPr>
          <w:rFonts w:ascii="Verdana" w:eastAsia="Verdana" w:hAnsi="Verdana" w:cs="Verdana"/>
          <w:lang w:val="es-MX"/>
        </w:rPr>
      </w:pPr>
      <w:r w:rsidRPr="30821638">
        <w:rPr>
          <w:rFonts w:ascii="Verdana" w:eastAsia="Verdana" w:hAnsi="Verdana" w:cs="Verdana"/>
          <w:lang w:val="es-MX"/>
        </w:rPr>
        <w:t xml:space="preserve">Señor </w:t>
      </w:r>
    </w:p>
    <w:p w14:paraId="782B7CF9" w14:textId="7ABC0EFC" w:rsidR="00AF74F3" w:rsidRPr="001C30DA" w:rsidRDefault="00AF74F3" w:rsidP="30821638">
      <w:pPr>
        <w:spacing w:after="0"/>
        <w:rPr>
          <w:rFonts w:ascii="Verdana" w:eastAsia="Verdana" w:hAnsi="Verdana" w:cs="Verdana"/>
          <w:b/>
          <w:bCs/>
          <w:lang w:val="es-MX"/>
        </w:rPr>
      </w:pPr>
      <w:r w:rsidRPr="001C30DA">
        <w:rPr>
          <w:rFonts w:ascii="Verdana" w:eastAsia="Verdana" w:hAnsi="Verdana" w:cs="Verdana"/>
          <w:b/>
          <w:bCs/>
          <w:lang w:val="es-MX"/>
        </w:rPr>
        <w:t xml:space="preserve">Danyel Ebrain Silva Espitia </w:t>
      </w:r>
    </w:p>
    <w:p w14:paraId="28BDACC7" w14:textId="2EC1D005" w:rsidR="00AF74F3" w:rsidRDefault="001C30DA" w:rsidP="30821638">
      <w:pPr>
        <w:spacing w:after="0"/>
        <w:rPr>
          <w:rFonts w:ascii="Verdana" w:eastAsia="Verdana" w:hAnsi="Verdana" w:cs="Verdana"/>
          <w:lang w:val="es-MX"/>
        </w:rPr>
      </w:pPr>
      <w:hyperlink r:id="rId11" w:history="1">
        <w:r w:rsidRPr="00EE2DDD">
          <w:rPr>
            <w:rStyle w:val="Hipervnculo"/>
            <w:rFonts w:ascii="Verdana" w:eastAsia="Verdana" w:hAnsi="Verdana" w:cs="Verdana"/>
            <w:lang w:val="es-MX"/>
          </w:rPr>
          <w:t>danyelsilva@gmail.com</w:t>
        </w:r>
      </w:hyperlink>
      <w:r>
        <w:rPr>
          <w:rFonts w:ascii="Verdana" w:eastAsia="Verdana" w:hAnsi="Verdana" w:cs="Verdana"/>
          <w:lang w:val="es-MX"/>
        </w:rPr>
        <w:t xml:space="preserve"> </w:t>
      </w:r>
    </w:p>
    <w:p w14:paraId="10E84C93" w14:textId="7AF79F40" w:rsidR="001C30DA" w:rsidRDefault="001C30DA" w:rsidP="30821638">
      <w:pPr>
        <w:spacing w:after="0"/>
        <w:rPr>
          <w:rFonts w:ascii="Verdana" w:eastAsia="Verdana" w:hAnsi="Verdana" w:cs="Verdana"/>
          <w:lang w:val="es-MX"/>
        </w:rPr>
      </w:pPr>
      <w:r>
        <w:rPr>
          <w:rFonts w:ascii="Verdana" w:eastAsia="Verdana" w:hAnsi="Verdana" w:cs="Verdana"/>
          <w:lang w:val="es-MX"/>
        </w:rPr>
        <w:t xml:space="preserve">Tunja, Colombia </w:t>
      </w:r>
    </w:p>
    <w:p w14:paraId="0787AD9F" w14:textId="77777777" w:rsidR="00B46617" w:rsidRPr="00A12CB6" w:rsidRDefault="00B46617" w:rsidP="00B46617">
      <w:pPr>
        <w:spacing w:after="0" w:line="256" w:lineRule="auto"/>
        <w:rPr>
          <w:rFonts w:ascii="Verdana" w:eastAsia="Calibri" w:hAnsi="Verdana" w:cs="Times New Roman"/>
        </w:rPr>
      </w:pPr>
    </w:p>
    <w:p w14:paraId="7B1C69D3" w14:textId="383F0F31" w:rsidR="00B46617" w:rsidRPr="00A12CB6" w:rsidRDefault="00B46617" w:rsidP="00B46617">
      <w:pPr>
        <w:spacing w:after="0" w:line="256" w:lineRule="auto"/>
        <w:rPr>
          <w:rFonts w:ascii="Verdana" w:eastAsia="Calibri" w:hAnsi="Verdana" w:cs="Times New Roman"/>
          <w:b/>
          <w:bCs/>
          <w:lang w:val="es-ES"/>
        </w:rPr>
      </w:pPr>
      <w:r w:rsidRPr="00A12CB6">
        <w:rPr>
          <w:rFonts w:ascii="Verdana" w:eastAsia="Calibri" w:hAnsi="Verdana" w:cs="Times New Roman"/>
          <w:b/>
          <w:bCs/>
          <w:lang w:val="es-ES"/>
        </w:rPr>
        <w:t xml:space="preserve">                  </w:t>
      </w:r>
      <w:r>
        <w:rPr>
          <w:rFonts w:ascii="Verdana" w:eastAsia="Calibri" w:hAnsi="Verdana" w:cs="Times New Roman"/>
          <w:b/>
          <w:bCs/>
          <w:lang w:val="es-ES"/>
        </w:rPr>
        <w:t xml:space="preserve">                  Concepto C–858 </w:t>
      </w:r>
      <w:r w:rsidRPr="00A12CB6">
        <w:rPr>
          <w:rFonts w:ascii="Verdana" w:eastAsia="Calibri" w:hAnsi="Verdana" w:cs="Times New Roman"/>
          <w:b/>
          <w:bCs/>
          <w:lang w:val="es-ES"/>
        </w:rPr>
        <w:t>de 202</w:t>
      </w:r>
      <w:r>
        <w:rPr>
          <w:rFonts w:ascii="Verdana" w:eastAsia="Calibri" w:hAnsi="Verdana" w:cs="Times New Roman"/>
          <w:b/>
          <w:bCs/>
          <w:lang w:val="es-ES"/>
        </w:rPr>
        <w:t>6</w:t>
      </w:r>
    </w:p>
    <w:p w14:paraId="0C14C548" w14:textId="77777777" w:rsidR="00B46617" w:rsidRPr="00A12CB6" w:rsidRDefault="00B46617" w:rsidP="00B46617">
      <w:pPr>
        <w:spacing w:after="0" w:line="256"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B81274" w:rsidRPr="00A12CB6" w14:paraId="4D7DEDE8" w14:textId="77777777" w:rsidTr="003E261D">
        <w:trPr>
          <w:trHeight w:val="645"/>
        </w:trPr>
        <w:tc>
          <w:tcPr>
            <w:tcW w:w="2685" w:type="dxa"/>
            <w:hideMark/>
          </w:tcPr>
          <w:p w14:paraId="13E117ED" w14:textId="77777777" w:rsidR="00B81274" w:rsidRPr="00A12CB6" w:rsidRDefault="00B81274" w:rsidP="00B81274">
            <w:pPr>
              <w:spacing w:line="256" w:lineRule="auto"/>
              <w:rPr>
                <w:rFonts w:ascii="Verdana" w:hAnsi="Verdana"/>
                <w:b/>
                <w:bCs/>
                <w:lang w:val="es-ES_tradnl"/>
              </w:rPr>
            </w:pPr>
            <w:r w:rsidRPr="00A12CB6">
              <w:rPr>
                <w:rFonts w:ascii="Verdana" w:hAnsi="Verdana"/>
                <w:b/>
                <w:bCs/>
                <w:lang w:val="es-ES_tradnl"/>
              </w:rPr>
              <w:t xml:space="preserve">Temas:                   </w:t>
            </w:r>
          </w:p>
        </w:tc>
        <w:tc>
          <w:tcPr>
            <w:tcW w:w="6241" w:type="dxa"/>
            <w:hideMark/>
          </w:tcPr>
          <w:p w14:paraId="504B3FB7" w14:textId="77777777" w:rsidR="00B81274" w:rsidRPr="00461891" w:rsidRDefault="00B81274" w:rsidP="00B81274">
            <w:pPr>
              <w:spacing w:line="276" w:lineRule="auto"/>
              <w:jc w:val="both"/>
              <w:rPr>
                <w:rFonts w:ascii="Verdana" w:hAnsi="Verdana" w:cs="Arial"/>
                <w:lang w:val="es-ES" w:eastAsia="es-ES"/>
              </w:rPr>
            </w:pPr>
            <w:r w:rsidRPr="00461891">
              <w:rPr>
                <w:rFonts w:ascii="Verdana" w:hAnsi="Verdana" w:cs="Arial"/>
                <w:lang w:val="es-MX" w:eastAsia="es-ES_tradnl"/>
              </w:rPr>
              <w:t xml:space="preserve">LEY DE GARANTÍAS ELECTORALES </w:t>
            </w:r>
            <w:r w:rsidRPr="00461891">
              <w:rPr>
                <w:rFonts w:ascii="Verdana" w:hAnsi="Verdana" w:cs="Arial"/>
                <w:bCs/>
                <w:lang w:val="es-MX" w:eastAsia="es-ES_tradnl"/>
              </w:rPr>
              <w:t>‒</w:t>
            </w:r>
            <w:r w:rsidRPr="00461891">
              <w:rPr>
                <w:rFonts w:ascii="Verdana" w:hAnsi="Verdana" w:cs="Arial"/>
                <w:lang w:val="es-MX" w:eastAsia="es-ES_tradnl"/>
              </w:rPr>
              <w:t xml:space="preserve"> Finalidad / LEY DE GARANTÍAS ELECTORALES </w:t>
            </w:r>
            <w:r w:rsidRPr="00461891">
              <w:rPr>
                <w:rFonts w:ascii="Verdana" w:hAnsi="Verdana" w:cs="Arial"/>
                <w:bCs/>
                <w:lang w:val="es-MX" w:eastAsia="es-ES_tradnl"/>
              </w:rPr>
              <w:t>‒</w:t>
            </w:r>
            <w:r w:rsidRPr="00461891">
              <w:rPr>
                <w:rFonts w:ascii="Verdana" w:hAnsi="Verdana" w:cs="Arial"/>
                <w:lang w:val="es-MX" w:eastAsia="es-ES_tradnl"/>
              </w:rPr>
              <w:t xml:space="preserve"> Tipos de restricciones </w:t>
            </w:r>
            <w:r w:rsidRPr="00461891">
              <w:rPr>
                <w:rFonts w:ascii="Verdana" w:hAnsi="Verdana" w:cs="Arial"/>
                <w:bCs/>
                <w:lang w:val="es-MX" w:eastAsia="es-ES_tradnl"/>
              </w:rPr>
              <w:t>‒</w:t>
            </w:r>
            <w:r w:rsidRPr="00461891">
              <w:rPr>
                <w:rFonts w:ascii="Verdana" w:hAnsi="Verdana" w:cs="Arial"/>
                <w:lang w:val="es-MX" w:eastAsia="es-ES_tradnl"/>
              </w:rPr>
              <w:t xml:space="preserve"> Ámbito temporal / LEY DE GARANTÍAS ELECTORALES </w:t>
            </w:r>
            <w:r w:rsidRPr="00461891">
              <w:rPr>
                <w:rFonts w:ascii="Verdana" w:hAnsi="Verdana" w:cs="Arial"/>
                <w:bCs/>
                <w:lang w:val="es-MX" w:eastAsia="es-ES_tradnl"/>
              </w:rPr>
              <w:t>‒</w:t>
            </w:r>
            <w:r w:rsidRPr="00461891">
              <w:rPr>
                <w:rFonts w:ascii="Verdana" w:hAnsi="Verdana" w:cs="Arial"/>
                <w:lang w:val="es-MX" w:eastAsia="es-ES_tradnl"/>
              </w:rPr>
              <w:t xml:space="preserve"> Prohibición por elección de cargos populares –ELECCIONES ATÍPICAS</w:t>
            </w:r>
            <w:r w:rsidRPr="00461891">
              <w:rPr>
                <w:rFonts w:ascii="Verdana" w:hAnsi="Verdana" w:cs="Arial"/>
                <w:lang w:val="es-ES" w:eastAsia="es-ES"/>
              </w:rPr>
              <w:t xml:space="preserve"> – Aplicación ley de garantías</w:t>
            </w:r>
          </w:p>
          <w:p w14:paraId="3D5F9E7D" w14:textId="04D9BC6F" w:rsidR="00B81274" w:rsidRPr="00AA1328" w:rsidRDefault="00B81274" w:rsidP="00B81274">
            <w:pPr>
              <w:spacing w:line="276" w:lineRule="auto"/>
              <w:jc w:val="both"/>
              <w:rPr>
                <w:rFonts w:ascii="Verdana" w:hAnsi="Verdana" w:cs="Arial"/>
                <w:lang w:val="es-ES" w:eastAsia="es-ES"/>
              </w:rPr>
            </w:pPr>
          </w:p>
        </w:tc>
        <w:tc>
          <w:tcPr>
            <w:tcW w:w="6237" w:type="dxa"/>
          </w:tcPr>
          <w:p w14:paraId="184FEE84" w14:textId="77777777" w:rsidR="00B81274" w:rsidRPr="00A12CB6" w:rsidRDefault="00B81274" w:rsidP="00B81274">
            <w:pPr>
              <w:spacing w:line="256" w:lineRule="auto"/>
              <w:rPr>
                <w:rFonts w:ascii="Verdana" w:hAnsi="Verdana"/>
              </w:rPr>
            </w:pPr>
          </w:p>
        </w:tc>
      </w:tr>
      <w:tr w:rsidR="00B81274" w:rsidRPr="00A12CB6" w14:paraId="1078BD84" w14:textId="77777777" w:rsidTr="003E261D">
        <w:tc>
          <w:tcPr>
            <w:tcW w:w="2685" w:type="dxa"/>
          </w:tcPr>
          <w:p w14:paraId="731CC0B5" w14:textId="77777777" w:rsidR="00B81274" w:rsidRDefault="00B81274" w:rsidP="00B81274">
            <w:pPr>
              <w:spacing w:line="256" w:lineRule="auto"/>
              <w:rPr>
                <w:rFonts w:ascii="Verdana" w:hAnsi="Verdana"/>
                <w:lang w:val="es-ES_tradnl"/>
              </w:rPr>
            </w:pPr>
          </w:p>
          <w:p w14:paraId="3119E162" w14:textId="77777777" w:rsidR="00B81274" w:rsidRPr="00A12CB6" w:rsidRDefault="00B81274" w:rsidP="00B81274">
            <w:pPr>
              <w:spacing w:line="256" w:lineRule="auto"/>
              <w:rPr>
                <w:rFonts w:ascii="Verdana" w:hAnsi="Verdana"/>
                <w:lang w:val="es-ES_tradnl"/>
              </w:rPr>
            </w:pPr>
          </w:p>
          <w:p w14:paraId="48E8295E" w14:textId="77777777" w:rsidR="00B81274" w:rsidRPr="00A12CB6" w:rsidRDefault="00B81274" w:rsidP="00B81274">
            <w:pPr>
              <w:spacing w:line="256" w:lineRule="auto"/>
              <w:rPr>
                <w:rFonts w:ascii="Verdana" w:hAnsi="Verdana"/>
                <w:b/>
                <w:bCs/>
                <w:lang w:val="es-ES_tradnl"/>
              </w:rPr>
            </w:pPr>
            <w:r w:rsidRPr="00A12CB6">
              <w:rPr>
                <w:rFonts w:ascii="Verdana" w:hAnsi="Verdana"/>
                <w:b/>
                <w:bCs/>
                <w:lang w:val="es-ES_tradnl"/>
              </w:rPr>
              <w:t xml:space="preserve">Radicación:               </w:t>
            </w:r>
          </w:p>
        </w:tc>
        <w:tc>
          <w:tcPr>
            <w:tcW w:w="6241" w:type="dxa"/>
          </w:tcPr>
          <w:p w14:paraId="0D87E0E8" w14:textId="77777777" w:rsidR="00B81274" w:rsidRDefault="00B81274" w:rsidP="00B81274">
            <w:pPr>
              <w:spacing w:line="257" w:lineRule="auto"/>
              <w:rPr>
                <w:rFonts w:ascii="Verdana" w:hAnsi="Verdana"/>
                <w:lang w:val="es-ES_tradnl"/>
              </w:rPr>
            </w:pPr>
          </w:p>
          <w:p w14:paraId="30CBCB05" w14:textId="77777777" w:rsidR="00B81274" w:rsidRPr="00A12CB6" w:rsidRDefault="00B81274" w:rsidP="00B81274">
            <w:pPr>
              <w:spacing w:line="257" w:lineRule="auto"/>
              <w:rPr>
                <w:rFonts w:ascii="Verdana" w:hAnsi="Verdana"/>
                <w:lang w:val="es-ES_tradnl"/>
              </w:rPr>
            </w:pPr>
          </w:p>
          <w:p w14:paraId="50645187" w14:textId="0E2AC744" w:rsidR="00B81274" w:rsidRPr="00ED5E39" w:rsidRDefault="00B81274" w:rsidP="00B81274">
            <w:pPr>
              <w:spacing w:line="257" w:lineRule="auto"/>
              <w:jc w:val="both"/>
              <w:rPr>
                <w:rFonts w:ascii="Verdana" w:hAnsi="Verdana"/>
              </w:rPr>
            </w:pPr>
            <w:r w:rsidRPr="00A12CB6">
              <w:rPr>
                <w:rFonts w:ascii="Verdana" w:hAnsi="Verdana"/>
                <w:lang w:val="es-ES_tradnl"/>
              </w:rPr>
              <w:t xml:space="preserve">Respuesta a consulta con radicado No. </w:t>
            </w:r>
            <w:r w:rsidR="002831C0">
              <w:rPr>
                <w:rFonts w:ascii="Verdana" w:hAnsi="Verdana" w:cs="Calibri"/>
              </w:rPr>
              <w:t>1_2026_05_22_006905</w:t>
            </w:r>
          </w:p>
          <w:p w14:paraId="15385523" w14:textId="7300ACAE" w:rsidR="00B81274" w:rsidRPr="00630891" w:rsidRDefault="00B81274" w:rsidP="00B81274">
            <w:pPr>
              <w:spacing w:line="257" w:lineRule="auto"/>
              <w:jc w:val="both"/>
              <w:rPr>
                <w:rFonts w:ascii="Verdana" w:hAnsi="Verdana"/>
              </w:rPr>
            </w:pPr>
            <w:r>
              <w:rPr>
                <w:rFonts w:ascii="Verdana" w:hAnsi="Verdana"/>
              </w:rPr>
              <w:t xml:space="preserve"> </w:t>
            </w:r>
          </w:p>
          <w:p w14:paraId="2D26DCC8" w14:textId="77777777" w:rsidR="00B81274" w:rsidRPr="00630891" w:rsidRDefault="00B81274" w:rsidP="00B81274">
            <w:pPr>
              <w:spacing w:line="257" w:lineRule="auto"/>
              <w:jc w:val="both"/>
              <w:rPr>
                <w:rFonts w:ascii="Verdana" w:hAnsi="Verdana"/>
              </w:rPr>
            </w:pPr>
          </w:p>
          <w:p w14:paraId="46F0BFEB" w14:textId="77777777" w:rsidR="00B81274" w:rsidRPr="00A12CB6" w:rsidRDefault="00B81274" w:rsidP="00B81274">
            <w:pPr>
              <w:spacing w:line="257" w:lineRule="auto"/>
              <w:jc w:val="both"/>
              <w:rPr>
                <w:rFonts w:ascii="Verdana" w:hAnsi="Verdana"/>
              </w:rPr>
            </w:pPr>
          </w:p>
        </w:tc>
        <w:tc>
          <w:tcPr>
            <w:tcW w:w="6237" w:type="dxa"/>
          </w:tcPr>
          <w:p w14:paraId="1CFF7D5B" w14:textId="77777777" w:rsidR="00B81274" w:rsidRPr="00A12CB6" w:rsidRDefault="00B81274" w:rsidP="00B81274">
            <w:pPr>
              <w:spacing w:line="256" w:lineRule="auto"/>
              <w:rPr>
                <w:rFonts w:ascii="Verdana" w:hAnsi="Verdana"/>
                <w:lang w:val="es-ES_tradnl"/>
              </w:rPr>
            </w:pPr>
          </w:p>
        </w:tc>
      </w:tr>
    </w:tbl>
    <w:p w14:paraId="25DA93B5" w14:textId="77777777" w:rsidR="00ED5E39" w:rsidRDefault="00ED5E39" w:rsidP="00B46617">
      <w:pPr>
        <w:spacing w:after="0" w:line="256" w:lineRule="auto"/>
        <w:rPr>
          <w:rFonts w:ascii="Verdana" w:eastAsia="Calibri" w:hAnsi="Verdana" w:cs="Times New Roman"/>
          <w:lang w:val="es-ES"/>
        </w:rPr>
      </w:pPr>
    </w:p>
    <w:p w14:paraId="030B1FF0" w14:textId="758C65EC" w:rsidR="00B46617" w:rsidRPr="00A12CB6" w:rsidRDefault="00B46617" w:rsidP="00B46617">
      <w:pPr>
        <w:spacing w:after="0" w:line="256" w:lineRule="auto"/>
        <w:rPr>
          <w:rFonts w:ascii="Verdana" w:eastAsia="Calibri" w:hAnsi="Verdana" w:cs="Times New Roman"/>
          <w:lang w:val="es-ES"/>
        </w:rPr>
      </w:pPr>
      <w:r>
        <w:rPr>
          <w:rFonts w:ascii="Verdana" w:eastAsia="Calibri" w:hAnsi="Verdana" w:cs="Times New Roman"/>
          <w:lang w:val="es-ES"/>
        </w:rPr>
        <w:t>Estimad</w:t>
      </w:r>
      <w:r w:rsidR="00ED5E39">
        <w:rPr>
          <w:rFonts w:ascii="Verdana" w:eastAsia="Calibri" w:hAnsi="Verdana" w:cs="Times New Roman"/>
          <w:lang w:val="es-ES"/>
        </w:rPr>
        <w:t>o</w:t>
      </w:r>
      <w:r>
        <w:rPr>
          <w:rFonts w:ascii="Verdana" w:eastAsia="Calibri" w:hAnsi="Verdana" w:cs="Times New Roman"/>
          <w:lang w:val="es-ES"/>
        </w:rPr>
        <w:t xml:space="preserve"> Señor </w:t>
      </w:r>
      <w:r w:rsidR="00ED5E39">
        <w:rPr>
          <w:rFonts w:ascii="Verdana" w:eastAsia="Calibri" w:hAnsi="Verdana" w:cs="Times New Roman"/>
          <w:lang w:val="es-ES"/>
        </w:rPr>
        <w:t>Silva Espitia</w:t>
      </w:r>
      <w:r w:rsidRPr="003469FD">
        <w:rPr>
          <w:rFonts w:ascii="Verdana" w:eastAsia="Calibri" w:hAnsi="Verdana" w:cs="Times New Roman"/>
          <w:lang w:val="es-ES"/>
        </w:rPr>
        <w:t>:</w:t>
      </w:r>
      <w:r w:rsidRPr="00A12CB6">
        <w:rPr>
          <w:rFonts w:ascii="Verdana" w:eastAsia="Calibri" w:hAnsi="Verdana" w:cs="Times New Roman"/>
          <w:lang w:val="es-ES"/>
        </w:rPr>
        <w:t xml:space="preserve"> </w:t>
      </w:r>
    </w:p>
    <w:p w14:paraId="5CD4E964" w14:textId="77777777" w:rsidR="00B46617" w:rsidRPr="00A12CB6" w:rsidRDefault="00B46617" w:rsidP="00B46617">
      <w:pPr>
        <w:spacing w:after="0" w:line="256" w:lineRule="auto"/>
        <w:rPr>
          <w:rFonts w:ascii="Verdana" w:eastAsia="Calibri" w:hAnsi="Verdana" w:cs="Times New Roman"/>
          <w:lang w:val="es-ES"/>
        </w:rPr>
      </w:pPr>
    </w:p>
    <w:p w14:paraId="6F0A8BCD" w14:textId="6607BBA4" w:rsidR="00B46617" w:rsidRDefault="00B46617" w:rsidP="00B46617">
      <w:pPr>
        <w:spacing w:after="0" w:line="276" w:lineRule="auto"/>
        <w:jc w:val="both"/>
        <w:rPr>
          <w:rFonts w:ascii="Verdana" w:eastAsia="Calibri" w:hAnsi="Verdana" w:cs="Times New Roman"/>
        </w:rPr>
      </w:pPr>
      <w:r w:rsidRPr="00A12061">
        <w:rPr>
          <w:rFonts w:ascii="Verdana" w:eastAsia="Calibri" w:hAnsi="Verdana" w:cs="Times New Roman"/>
          <w:lang w:val="es-ES"/>
        </w:rPr>
        <w:t>En ejercicio de la competencia otorgada por los artículos 3, numeral 5º, y 11, numeral 8º, del Decreto Ley 4170 de 2011, la Agencia Nacional de Contratación Pública – Colombia Compra Eficiente– responde la solicit</w:t>
      </w:r>
      <w:r>
        <w:rPr>
          <w:rFonts w:ascii="Verdana" w:eastAsia="Calibri" w:hAnsi="Verdana" w:cs="Times New Roman"/>
          <w:lang w:val="es-ES"/>
        </w:rPr>
        <w:t>ud de consulta presentada el 2</w:t>
      </w:r>
      <w:r w:rsidR="00BD3181">
        <w:rPr>
          <w:rFonts w:ascii="Verdana" w:eastAsia="Calibri" w:hAnsi="Verdana" w:cs="Times New Roman"/>
          <w:lang w:val="es-ES"/>
        </w:rPr>
        <w:t>2</w:t>
      </w:r>
      <w:r>
        <w:rPr>
          <w:rFonts w:ascii="Verdana" w:eastAsia="Calibri" w:hAnsi="Verdana" w:cs="Times New Roman"/>
          <w:lang w:val="es-ES"/>
        </w:rPr>
        <w:t xml:space="preserve"> de </w:t>
      </w:r>
      <w:r w:rsidR="00BD3181">
        <w:rPr>
          <w:rFonts w:ascii="Verdana" w:eastAsia="Calibri" w:hAnsi="Verdana" w:cs="Times New Roman"/>
          <w:lang w:val="es-ES"/>
        </w:rPr>
        <w:t xml:space="preserve">mayo </w:t>
      </w:r>
      <w:r>
        <w:rPr>
          <w:rFonts w:ascii="Verdana" w:eastAsia="Calibri" w:hAnsi="Verdana" w:cs="Times New Roman"/>
          <w:lang w:val="es-ES"/>
        </w:rPr>
        <w:t>de 202</w:t>
      </w:r>
      <w:r w:rsidR="00BD3181">
        <w:rPr>
          <w:rFonts w:ascii="Verdana" w:eastAsia="Calibri" w:hAnsi="Verdana" w:cs="Times New Roman"/>
          <w:lang w:val="es-ES"/>
        </w:rPr>
        <w:t>6</w:t>
      </w:r>
      <w:r w:rsidRPr="00A12061">
        <w:rPr>
          <w:rFonts w:ascii="Verdana" w:eastAsia="Calibri" w:hAnsi="Verdana" w:cs="Times New Roman"/>
          <w:lang w:val="es-ES"/>
        </w:rPr>
        <w:t>, en la cual manifiesta lo siguiente:</w:t>
      </w:r>
      <w:r w:rsidRPr="000D6D0E">
        <w:rPr>
          <w:rFonts w:ascii="Verdana" w:eastAsia="Calibri" w:hAnsi="Verdana" w:cs="Times New Roman"/>
        </w:rPr>
        <w:t xml:space="preserve"> </w:t>
      </w:r>
    </w:p>
    <w:p w14:paraId="02A22C97" w14:textId="77777777" w:rsidR="00B46617" w:rsidRPr="00E2397D" w:rsidRDefault="00B46617" w:rsidP="00B46617">
      <w:pPr>
        <w:spacing w:after="0" w:line="240" w:lineRule="auto"/>
        <w:ind w:right="709"/>
        <w:jc w:val="both"/>
        <w:rPr>
          <w:rFonts w:ascii="Verdana" w:eastAsia="Calibri" w:hAnsi="Verdana" w:cs="Times New Roman"/>
          <w:i/>
          <w:iCs/>
          <w:sz w:val="20"/>
        </w:rPr>
      </w:pPr>
    </w:p>
    <w:p w14:paraId="1CF5B1D1" w14:textId="4F9399FA" w:rsidR="00B46617" w:rsidRDefault="00B46617" w:rsidP="00F4012F">
      <w:pPr>
        <w:pStyle w:val="Prrafodelista"/>
        <w:spacing w:after="0" w:line="240" w:lineRule="auto"/>
        <w:ind w:right="709"/>
        <w:jc w:val="both"/>
        <w:rPr>
          <w:rFonts w:ascii="Verdana" w:eastAsia="Calibri" w:hAnsi="Verdana" w:cs="Times New Roman"/>
          <w:i/>
          <w:iCs/>
          <w:sz w:val="20"/>
          <w:szCs w:val="20"/>
        </w:rPr>
      </w:pPr>
      <w:r w:rsidRPr="00F61ABB">
        <w:rPr>
          <w:rFonts w:ascii="Verdana" w:eastAsia="Calibri" w:hAnsi="Verdana" w:cs="Times New Roman"/>
          <w:i/>
          <w:iCs/>
          <w:sz w:val="20"/>
          <w:szCs w:val="20"/>
        </w:rPr>
        <w:t>“</w:t>
      </w:r>
      <w:r w:rsidR="00D254D9">
        <w:rPr>
          <w:rFonts w:ascii="Verdana" w:eastAsia="Calibri" w:hAnsi="Verdana" w:cs="Times New Roman"/>
          <w:i/>
          <w:iCs/>
          <w:sz w:val="20"/>
          <w:szCs w:val="20"/>
        </w:rPr>
        <w:t>[…]</w:t>
      </w:r>
    </w:p>
    <w:p w14:paraId="1124D38A" w14:textId="58BE7534" w:rsidR="00F4012F" w:rsidRDefault="00F4012F" w:rsidP="00F4012F">
      <w:pPr>
        <w:pStyle w:val="Prrafodelista"/>
        <w:spacing w:after="0" w:line="240" w:lineRule="auto"/>
        <w:ind w:right="709"/>
        <w:jc w:val="both"/>
        <w:rPr>
          <w:rFonts w:ascii="Verdana" w:eastAsia="Calibri" w:hAnsi="Verdana" w:cs="Times New Roman"/>
          <w:i/>
          <w:iCs/>
          <w:sz w:val="20"/>
          <w:szCs w:val="20"/>
        </w:rPr>
      </w:pPr>
      <w:r>
        <w:rPr>
          <w:rFonts w:ascii="Verdana" w:eastAsia="Calibri" w:hAnsi="Verdana" w:cs="Times New Roman"/>
          <w:i/>
          <w:iCs/>
          <w:sz w:val="20"/>
          <w:szCs w:val="20"/>
        </w:rPr>
        <w:t>(i) Es posible adelantar Contratación en la modalidad Directa</w:t>
      </w:r>
      <w:r w:rsidR="009438C2">
        <w:rPr>
          <w:rFonts w:ascii="Verdana" w:eastAsia="Calibri" w:hAnsi="Verdana" w:cs="Times New Roman"/>
          <w:i/>
          <w:iCs/>
          <w:sz w:val="20"/>
          <w:szCs w:val="20"/>
        </w:rPr>
        <w:t xml:space="preserve">, desde la fijación del calendario electoral y hasta la elección del nuevo alcalde teniendo en cuenta que a la luz del alcance del artículo 33 de la Ley 996 de 2005 no le aplica </w:t>
      </w:r>
      <w:r w:rsidR="00FB7B5F">
        <w:rPr>
          <w:rFonts w:ascii="Verdana" w:eastAsia="Calibri" w:hAnsi="Verdana" w:cs="Times New Roman"/>
          <w:i/>
          <w:iCs/>
          <w:sz w:val="20"/>
          <w:szCs w:val="20"/>
        </w:rPr>
        <w:t xml:space="preserve">Ley de Garantías para entidades Territorial de orden Municipal. </w:t>
      </w:r>
    </w:p>
    <w:p w14:paraId="19DC66BA" w14:textId="77777777" w:rsidR="00FB7B5F" w:rsidRDefault="00FB7B5F" w:rsidP="00F4012F">
      <w:pPr>
        <w:pStyle w:val="Prrafodelista"/>
        <w:spacing w:after="0" w:line="240" w:lineRule="auto"/>
        <w:ind w:right="709"/>
        <w:jc w:val="both"/>
        <w:rPr>
          <w:rFonts w:ascii="Verdana" w:eastAsia="Calibri" w:hAnsi="Verdana" w:cs="Times New Roman"/>
          <w:i/>
          <w:iCs/>
          <w:sz w:val="20"/>
          <w:szCs w:val="20"/>
        </w:rPr>
      </w:pPr>
    </w:p>
    <w:p w14:paraId="3A63AFC4" w14:textId="5941E254" w:rsidR="00616DB2" w:rsidRDefault="00616DB2" w:rsidP="00F4012F">
      <w:pPr>
        <w:pStyle w:val="Prrafodelista"/>
        <w:spacing w:after="0" w:line="240" w:lineRule="auto"/>
        <w:ind w:right="709"/>
        <w:jc w:val="both"/>
        <w:rPr>
          <w:rFonts w:ascii="Verdana" w:eastAsia="Calibri" w:hAnsi="Verdana" w:cs="Times New Roman"/>
          <w:i/>
          <w:iCs/>
          <w:sz w:val="20"/>
          <w:szCs w:val="20"/>
        </w:rPr>
      </w:pPr>
      <w:r>
        <w:rPr>
          <w:rFonts w:ascii="Verdana" w:eastAsia="Calibri" w:hAnsi="Verdana" w:cs="Times New Roman"/>
          <w:i/>
          <w:iCs/>
          <w:sz w:val="20"/>
          <w:szCs w:val="20"/>
        </w:rPr>
        <w:t xml:space="preserve">(ii) Es posible por parte de la administración municipal y hasta </w:t>
      </w:r>
      <w:r w:rsidR="00151FB0">
        <w:rPr>
          <w:rFonts w:ascii="Verdana" w:eastAsia="Calibri" w:hAnsi="Verdana" w:cs="Times New Roman"/>
          <w:i/>
          <w:iCs/>
          <w:sz w:val="20"/>
          <w:szCs w:val="20"/>
        </w:rPr>
        <w:t>cuándo</w:t>
      </w:r>
      <w:r>
        <w:rPr>
          <w:rFonts w:ascii="Verdana" w:eastAsia="Calibri" w:hAnsi="Verdana" w:cs="Times New Roman"/>
          <w:i/>
          <w:iCs/>
          <w:sz w:val="20"/>
          <w:szCs w:val="20"/>
        </w:rPr>
        <w:t xml:space="preserve"> se puede realizar modificación de la </w:t>
      </w:r>
      <w:r w:rsidR="00151FB0">
        <w:rPr>
          <w:rFonts w:ascii="Verdana" w:eastAsia="Calibri" w:hAnsi="Verdana" w:cs="Times New Roman"/>
          <w:i/>
          <w:iCs/>
          <w:sz w:val="20"/>
          <w:szCs w:val="20"/>
        </w:rPr>
        <w:t>nómina</w:t>
      </w:r>
      <w:r>
        <w:rPr>
          <w:rFonts w:ascii="Verdana" w:eastAsia="Calibri" w:hAnsi="Verdana" w:cs="Times New Roman"/>
          <w:i/>
          <w:iCs/>
          <w:sz w:val="20"/>
          <w:szCs w:val="20"/>
        </w:rPr>
        <w:t xml:space="preserve"> del respectivo ente territorial conforme lo establecido en el inciso cuarto del Parágrafo del artículo 38 de la Ley 996 de 2005 en virtud de la concurrencia de ley de garantías – </w:t>
      </w:r>
      <w:r>
        <w:rPr>
          <w:rFonts w:ascii="Verdana" w:eastAsia="Calibri" w:hAnsi="Verdana" w:cs="Times New Roman"/>
          <w:i/>
          <w:iCs/>
          <w:sz w:val="20"/>
          <w:szCs w:val="20"/>
        </w:rPr>
        <w:lastRenderedPageBreak/>
        <w:t>elecciones presidenciales hasta el 31 de mayo o hasta el 21 de junio</w:t>
      </w:r>
      <w:r w:rsidR="00863AEA">
        <w:rPr>
          <w:rFonts w:ascii="Verdana" w:eastAsia="Calibri" w:hAnsi="Verdana" w:cs="Times New Roman"/>
          <w:i/>
          <w:iCs/>
          <w:sz w:val="20"/>
          <w:szCs w:val="20"/>
        </w:rPr>
        <w:t xml:space="preserve"> y elecciones atípicas desde la fijación del calendario electoral y hasta la elección del nuevo alcalde la cual se tiene como posible fecha prevista el 26 de julio de 2026</w:t>
      </w:r>
      <w:r w:rsidR="00151FB0">
        <w:rPr>
          <w:rFonts w:ascii="Verdana" w:eastAsia="Calibri" w:hAnsi="Verdana" w:cs="Times New Roman"/>
          <w:i/>
          <w:iCs/>
          <w:sz w:val="20"/>
          <w:szCs w:val="20"/>
        </w:rPr>
        <w:t>” (SIC)</w:t>
      </w:r>
      <w:r w:rsidR="00863AEA">
        <w:rPr>
          <w:rFonts w:ascii="Verdana" w:eastAsia="Calibri" w:hAnsi="Verdana" w:cs="Times New Roman"/>
          <w:i/>
          <w:iCs/>
          <w:sz w:val="20"/>
          <w:szCs w:val="20"/>
        </w:rPr>
        <w:t xml:space="preserve">. </w:t>
      </w:r>
    </w:p>
    <w:p w14:paraId="01B967BF" w14:textId="77777777" w:rsidR="00863AEA" w:rsidRDefault="00863AEA" w:rsidP="00F4012F">
      <w:pPr>
        <w:pStyle w:val="Prrafodelista"/>
        <w:spacing w:after="0" w:line="240" w:lineRule="auto"/>
        <w:ind w:right="709"/>
        <w:jc w:val="both"/>
        <w:rPr>
          <w:rFonts w:ascii="Verdana" w:eastAsia="Calibri" w:hAnsi="Verdana" w:cs="Times New Roman"/>
          <w:i/>
          <w:iCs/>
          <w:sz w:val="20"/>
          <w:szCs w:val="20"/>
        </w:rPr>
      </w:pPr>
    </w:p>
    <w:p w14:paraId="326F1CA3" w14:textId="77777777" w:rsidR="00863AEA" w:rsidRPr="00F4012F" w:rsidRDefault="00863AEA" w:rsidP="00F4012F">
      <w:pPr>
        <w:pStyle w:val="Prrafodelista"/>
        <w:spacing w:after="0" w:line="240" w:lineRule="auto"/>
        <w:ind w:right="709"/>
        <w:jc w:val="both"/>
        <w:rPr>
          <w:rFonts w:ascii="Verdana" w:eastAsia="Calibri" w:hAnsi="Verdana" w:cs="Times New Roman"/>
          <w:i/>
          <w:iCs/>
          <w:sz w:val="20"/>
          <w:szCs w:val="20"/>
        </w:rPr>
      </w:pPr>
    </w:p>
    <w:p w14:paraId="18B36270" w14:textId="77777777" w:rsidR="00B46617" w:rsidRPr="00A12CB6" w:rsidRDefault="00B46617" w:rsidP="00B46617">
      <w:pPr>
        <w:spacing w:after="120" w:line="276" w:lineRule="auto"/>
        <w:ind w:firstLine="709"/>
        <w:jc w:val="both"/>
        <w:rPr>
          <w:rFonts w:ascii="Verdana" w:eastAsia="Calibri" w:hAnsi="Verdana" w:cs="Times New Roman"/>
          <w:lang w:val="es-ES"/>
        </w:rPr>
      </w:pPr>
      <w:r w:rsidRPr="00A12CB6">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34D42F6A" w14:textId="77777777" w:rsidR="00B46617" w:rsidRPr="00A12CB6" w:rsidRDefault="00B46617" w:rsidP="00B46617">
      <w:pPr>
        <w:spacing w:after="0" w:line="276" w:lineRule="auto"/>
        <w:ind w:firstLine="708"/>
        <w:jc w:val="both"/>
        <w:rPr>
          <w:rFonts w:ascii="Verdana" w:eastAsia="Calibri" w:hAnsi="Verdana" w:cs="Times New Roman"/>
          <w:lang w:val="es-ES"/>
        </w:rPr>
      </w:pPr>
      <w:r w:rsidRPr="00A12CB6">
        <w:rPr>
          <w:rFonts w:ascii="Verdana" w:eastAsia="Calibri" w:hAnsi="Verdana" w:cs="Times New Roman"/>
          <w:lang w:val="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w:t>
      </w:r>
      <w:r>
        <w:rPr>
          <w:rFonts w:ascii="Verdana" w:eastAsia="Calibri" w:hAnsi="Verdana" w:cs="Times New Roman"/>
          <w:lang w:val="es-ES"/>
        </w:rPr>
        <w:t xml:space="preserve">s generales relacionadas con los problemas jurídicos de su consulta. </w:t>
      </w:r>
    </w:p>
    <w:p w14:paraId="23BF7889" w14:textId="77777777" w:rsidR="00151FB0" w:rsidRDefault="00151FB0" w:rsidP="00151FB0">
      <w:pPr>
        <w:spacing w:after="0" w:line="256" w:lineRule="auto"/>
        <w:contextualSpacing/>
        <w:rPr>
          <w:rFonts w:ascii="Verdana" w:eastAsia="Calibri" w:hAnsi="Verdana" w:cs="Times New Roman"/>
          <w:lang w:val="es-ES"/>
        </w:rPr>
      </w:pPr>
    </w:p>
    <w:p w14:paraId="6ABE5B00" w14:textId="30D9DD1F" w:rsidR="00B46617" w:rsidRPr="00A12CB6" w:rsidRDefault="00151FB0" w:rsidP="00151FB0">
      <w:pPr>
        <w:spacing w:after="0" w:line="256" w:lineRule="auto"/>
        <w:contextualSpacing/>
        <w:rPr>
          <w:rFonts w:ascii="Verdana" w:eastAsia="Calibri" w:hAnsi="Verdana" w:cs="Times New Roman"/>
          <w:b/>
          <w:bCs/>
          <w:lang w:val="es-ES"/>
        </w:rPr>
      </w:pPr>
      <w:r w:rsidRPr="00151FB0">
        <w:rPr>
          <w:rFonts w:ascii="Verdana" w:eastAsia="Calibri" w:hAnsi="Verdana" w:cs="Times New Roman"/>
          <w:b/>
          <w:bCs/>
          <w:lang w:val="es-ES"/>
        </w:rPr>
        <w:t>1.</w:t>
      </w:r>
      <w:r>
        <w:rPr>
          <w:rFonts w:ascii="Verdana" w:eastAsia="Calibri" w:hAnsi="Verdana" w:cs="Times New Roman"/>
          <w:lang w:val="es-ES"/>
        </w:rPr>
        <w:t xml:space="preserve"> </w:t>
      </w:r>
      <w:r w:rsidR="00B46617" w:rsidRPr="00A12CB6">
        <w:rPr>
          <w:rFonts w:ascii="Verdana" w:eastAsia="Calibri" w:hAnsi="Verdana" w:cs="Times New Roman"/>
          <w:b/>
          <w:bCs/>
          <w:lang w:val="es-ES"/>
        </w:rPr>
        <w:t>Problema planteado:</w:t>
      </w:r>
    </w:p>
    <w:p w14:paraId="23B60EC1" w14:textId="77777777" w:rsidR="00B46617" w:rsidRPr="00A12CB6" w:rsidRDefault="00B46617" w:rsidP="00B46617">
      <w:pPr>
        <w:spacing w:after="0" w:line="256" w:lineRule="auto"/>
        <w:rPr>
          <w:rFonts w:ascii="Verdana" w:eastAsia="Calibri" w:hAnsi="Verdana" w:cs="Times New Roman"/>
        </w:rPr>
      </w:pPr>
    </w:p>
    <w:p w14:paraId="1A60D057" w14:textId="145B0AE4" w:rsidR="00B46617" w:rsidRDefault="00B46617" w:rsidP="00B46617">
      <w:pPr>
        <w:spacing w:after="0" w:line="276" w:lineRule="auto"/>
        <w:jc w:val="both"/>
        <w:rPr>
          <w:rFonts w:ascii="Verdana" w:eastAsia="Calibri" w:hAnsi="Verdana" w:cs="Times New Roman"/>
          <w:iCs/>
          <w:lang w:val="es-ES"/>
        </w:rPr>
      </w:pPr>
      <w:r w:rsidRPr="134495F9">
        <w:rPr>
          <w:rFonts w:ascii="Verdana" w:eastAsia="Calibri" w:hAnsi="Verdana" w:cs="Times New Roman"/>
        </w:rPr>
        <w:t>De acuerdo con el contenido de sus solicitudes, esta Agencia procede a resolver los siguientes problemas jurídicos:</w:t>
      </w:r>
      <w:r>
        <w:rPr>
          <w:rFonts w:ascii="Verdana" w:eastAsia="Calibri" w:hAnsi="Verdana" w:cs="Times New Roman"/>
          <w:iCs/>
          <w:lang w:val="es-ES"/>
        </w:rPr>
        <w:t xml:space="preserve"> </w:t>
      </w:r>
      <w:r w:rsidRPr="00277150">
        <w:rPr>
          <w:rFonts w:ascii="Verdana" w:eastAsia="Calibri" w:hAnsi="Verdana" w:cs="Times New Roman"/>
          <w:iCs/>
          <w:lang w:val="es-ES"/>
        </w:rPr>
        <w:t>¿</w:t>
      </w:r>
      <w:r>
        <w:rPr>
          <w:rFonts w:ascii="Verdana" w:eastAsia="Calibri" w:hAnsi="Verdana" w:cs="Times New Roman"/>
          <w:iCs/>
          <w:lang w:val="es-ES"/>
        </w:rPr>
        <w:t xml:space="preserve">Existen restricciones para la contratación en elección territoriales atípicas en el marco de la Ley de Garantías Electorales? </w:t>
      </w:r>
    </w:p>
    <w:p w14:paraId="288F6F2A" w14:textId="77777777" w:rsidR="0067575D" w:rsidRDefault="0067575D" w:rsidP="00B46617">
      <w:pPr>
        <w:spacing w:after="0" w:line="276" w:lineRule="auto"/>
        <w:jc w:val="both"/>
        <w:rPr>
          <w:rFonts w:ascii="Verdana" w:eastAsia="Calibri" w:hAnsi="Verdana" w:cs="Times New Roman"/>
          <w:i/>
          <w:iCs/>
          <w:lang w:val="es-ES"/>
        </w:rPr>
      </w:pPr>
    </w:p>
    <w:p w14:paraId="28AE4667" w14:textId="36C09419" w:rsidR="00B46617" w:rsidRDefault="00AA494E" w:rsidP="00151FB0">
      <w:pPr>
        <w:spacing w:after="0" w:line="256" w:lineRule="auto"/>
        <w:contextualSpacing/>
        <w:rPr>
          <w:rFonts w:ascii="Verdana" w:eastAsia="Calibri" w:hAnsi="Verdana" w:cs="Times New Roman"/>
          <w:b/>
          <w:bCs/>
          <w:lang w:val="es-ES"/>
        </w:rPr>
      </w:pPr>
      <w:r w:rsidRPr="00AA494E">
        <w:rPr>
          <w:rFonts w:ascii="Verdana" w:eastAsia="Calibri" w:hAnsi="Verdana" w:cs="Times New Roman"/>
          <w:b/>
          <w:bCs/>
          <w:i/>
          <w:iCs/>
          <w:lang w:val="es-ES"/>
        </w:rPr>
        <w:t xml:space="preserve">2. </w:t>
      </w:r>
      <w:r w:rsidR="00B46617" w:rsidRPr="00AA494E">
        <w:rPr>
          <w:rFonts w:ascii="Verdana" w:eastAsia="Calibri" w:hAnsi="Verdana" w:cs="Times New Roman"/>
          <w:b/>
          <w:bCs/>
          <w:lang w:val="es-ES"/>
        </w:rPr>
        <w:t>Respuesta:</w:t>
      </w:r>
    </w:p>
    <w:p w14:paraId="7993A5B1" w14:textId="77777777" w:rsidR="00AA494E" w:rsidRDefault="00AA494E" w:rsidP="00F311D5">
      <w:pPr>
        <w:spacing w:after="0" w:line="256" w:lineRule="auto"/>
        <w:contextualSpacing/>
        <w:jc w:val="both"/>
        <w:rPr>
          <w:rFonts w:ascii="Verdana" w:eastAsia="Calibri" w:hAnsi="Verdana" w:cs="Times New Roman"/>
          <w:b/>
          <w:bCs/>
          <w:lang w:val="es-ES"/>
        </w:rPr>
      </w:pPr>
    </w:p>
    <w:p w14:paraId="552F3D5C" w14:textId="2F712C2E" w:rsidR="003E3926" w:rsidRDefault="00AA494E" w:rsidP="24DD2DC5">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eastAsia="Arial" w:hAnsi="Verdana" w:cs="Arial"/>
          <w:lang w:val="es-ES" w:eastAsia="es-ES" w:bidi="es-ES"/>
        </w:rPr>
      </w:pPr>
      <w:r w:rsidRPr="24DD2DC5">
        <w:rPr>
          <w:rFonts w:ascii="Verdana" w:eastAsia="Calibri" w:hAnsi="Verdana" w:cs="Times New Roman"/>
          <w:lang w:val="es-ES"/>
        </w:rPr>
        <w:t xml:space="preserve">En relación con el problema jurídico planteado, se precisa que, </w:t>
      </w:r>
      <w:r w:rsidR="003B4480" w:rsidRPr="24DD2DC5">
        <w:rPr>
          <w:rFonts w:ascii="Verdana" w:eastAsia="Calibri" w:hAnsi="Verdana" w:cs="Times New Roman"/>
          <w:lang w:val="es-ES"/>
        </w:rPr>
        <w:t xml:space="preserve">de acuerdo a la interpretación de las normas generales del sistema de compras públicas, la </w:t>
      </w:r>
      <w:r w:rsidR="003B4480" w:rsidRPr="24DD2DC5">
        <w:rPr>
          <w:rFonts w:ascii="Verdana" w:eastAsia="Calibri" w:hAnsi="Verdana" w:cs="Times New Roman"/>
          <w:lang w:val="es-ES"/>
        </w:rPr>
        <w:lastRenderedPageBreak/>
        <w:t xml:space="preserve">Ley 996 de 2005 establece dos (2) tipos de restricciones en materia </w:t>
      </w:r>
      <w:r w:rsidR="00F311D5" w:rsidRPr="24DD2DC5">
        <w:rPr>
          <w:rFonts w:ascii="Verdana" w:eastAsia="Calibri" w:hAnsi="Verdana" w:cs="Times New Roman"/>
          <w:lang w:val="es-ES"/>
        </w:rPr>
        <w:t xml:space="preserve">de </w:t>
      </w:r>
      <w:r w:rsidR="003B4480" w:rsidRPr="24DD2DC5">
        <w:rPr>
          <w:rFonts w:ascii="Verdana" w:eastAsia="Calibri" w:hAnsi="Verdana" w:cs="Times New Roman"/>
          <w:lang w:val="es-ES"/>
        </w:rPr>
        <w:t xml:space="preserve">contratación, las cuales </w:t>
      </w:r>
      <w:r w:rsidR="00A26983" w:rsidRPr="24DD2DC5">
        <w:rPr>
          <w:rFonts w:ascii="Verdana" w:eastAsia="Calibri" w:hAnsi="Verdana" w:cs="Times New Roman"/>
          <w:lang w:val="es-ES"/>
        </w:rPr>
        <w:t>coinciden parcialmente, e</w:t>
      </w:r>
      <w:r w:rsidR="12C630D1" w:rsidRPr="24DD2DC5">
        <w:rPr>
          <w:rFonts w:ascii="Verdana" w:eastAsia="Calibri" w:hAnsi="Verdana" w:cs="Times New Roman"/>
          <w:lang w:val="es-ES"/>
        </w:rPr>
        <w:t>n</w:t>
      </w:r>
      <w:r w:rsidR="00A26983" w:rsidRPr="24DD2DC5">
        <w:rPr>
          <w:rFonts w:ascii="Verdana" w:eastAsia="Calibri" w:hAnsi="Verdana" w:cs="Times New Roman"/>
          <w:lang w:val="es-ES"/>
        </w:rPr>
        <w:t xml:space="preserve"> primer lugar, la del artículo 33 que aplica </w:t>
      </w:r>
      <w:r w:rsidR="002E6D74" w:rsidRPr="24DD2DC5">
        <w:rPr>
          <w:rFonts w:ascii="Verdana" w:eastAsia="Calibri" w:hAnsi="Verdana" w:cs="Times New Roman"/>
          <w:lang w:val="es-ES"/>
        </w:rPr>
        <w:t xml:space="preserve">solo respecto de las elecciones presidenciales, en virtud de la cual queda proscrita la contratación directa dentro de los cuatro (4) </w:t>
      </w:r>
      <w:r w:rsidR="002F7632" w:rsidRPr="24DD2DC5">
        <w:rPr>
          <w:rFonts w:ascii="Verdana" w:eastAsia="Calibri" w:hAnsi="Verdana" w:cs="Times New Roman"/>
          <w:lang w:val="es-ES"/>
        </w:rPr>
        <w:t>meses anteriores a la celebración de los com</w:t>
      </w:r>
      <w:r w:rsidR="00CD3E39" w:rsidRPr="24DD2DC5">
        <w:rPr>
          <w:rFonts w:ascii="Verdana" w:eastAsia="Calibri" w:hAnsi="Verdana" w:cs="Times New Roman"/>
          <w:lang w:val="es-ES"/>
        </w:rPr>
        <w:t xml:space="preserve">icios, salvo las citadas excepciones. Sin embargo, </w:t>
      </w:r>
      <w:r w:rsidR="003E3926" w:rsidRPr="24DD2DC5">
        <w:rPr>
          <w:rFonts w:ascii="Verdana" w:eastAsia="Arial" w:hAnsi="Verdana" w:cs="Arial"/>
          <w:lang w:val="es-ES" w:eastAsia="es-ES" w:bidi="es-ES"/>
        </w:rPr>
        <w:t xml:space="preserve">si ningún candidato obtiene la mitad más uno de los votos que, de manera secreta y directa, depositen los ciudadanos, se celebrará una nueva votación que tendrá lugar tres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003E3926" w:rsidRPr="24DD2DC5">
        <w:rPr>
          <w:rFonts w:ascii="Verdana" w:eastAsia="Arial" w:hAnsi="Verdana" w:cs="Arial"/>
          <w:i/>
          <w:iCs/>
          <w:lang w:val="es-ES" w:eastAsia="es-ES" w:bidi="es-ES"/>
        </w:rPr>
        <w:t>En segundo lugar</w:t>
      </w:r>
      <w:r w:rsidR="003E3926" w:rsidRPr="24DD2DC5">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1051DA93" w14:textId="77777777" w:rsidR="003E3926" w:rsidRPr="00554BD4" w:rsidRDefault="003E3926" w:rsidP="003E3926">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eastAsia="Arial" w:hAnsi="Verdana" w:cs="Arial"/>
          <w:lang w:val="es-ES" w:eastAsia="es-ES" w:bidi="es-ES"/>
        </w:rPr>
      </w:pPr>
      <w:r w:rsidRPr="00554BD4">
        <w:rPr>
          <w:rFonts w:ascii="Verdana" w:eastAsia="Arial" w:hAnsi="Verdana" w:cs="Arial"/>
          <w:lang w:val="es-ES" w:eastAsia="es-ES" w:bidi="es-ES"/>
        </w:rPr>
        <w:t xml:space="preserve">De esta manera, tratándose de elecciones en general, excluyendo las correspondientes al Presidente de la República, las restricciones que resultan aplicables son las contenidas en el parágrafo del artículo 38. Es decir, cuando se convoca a elecciones para cargos de elección popular los </w:t>
      </w:r>
      <w:r w:rsidRPr="00554BD4">
        <w:rPr>
          <w:rFonts w:ascii="Verdana" w:eastAsia="Arial" w:hAnsi="Verdana" w:cs="Arial"/>
          <w:lang w:eastAsia="es-ES" w:bidi="es-ES"/>
        </w:rPr>
        <w:t xml:space="preserve">Gobernadores, Alcaldes Municipales y/o Distritales, Secretarios, Gerentes y directores de Entidades Descentralizadas del orden Municipal, Departamental o Distrital, no podrán celebrar convenios interadministrativos para la ejecución de recursos públicos, dentro de los cuatro (4) meses anteriores a las elecciones. </w:t>
      </w:r>
    </w:p>
    <w:p w14:paraId="2F3AFF50" w14:textId="77777777" w:rsidR="003E3926" w:rsidRPr="00E2397D" w:rsidRDefault="003E3926" w:rsidP="003E3926">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eastAsia="Calibri" w:hAnsi="Verdana" w:cs="Arial"/>
        </w:rPr>
      </w:pPr>
      <w:r w:rsidRPr="00E2397D">
        <w:rPr>
          <w:rFonts w:ascii="Verdana" w:eastAsia="Calibri" w:hAnsi="Verdana" w:cs="Arial"/>
        </w:rPr>
        <w:t xml:space="preserve">En efecto, al analizar el contenido del parágrafo del artículo 38 de la Ley 996 de 2005 se evidencia que la prohibición se refiere de forma general a las “elecciones” sin realizar distinción respecto de si esta jornada de votación se realizará dentro del calendario electoral ordinario o de forma atípica. Este último tipo de elecciones “son eventos electorales que se realizan por fuera del calendario electoral ordinario, con el fin de cubrir la vacancia absoluta de un mandatario y elegir una autoridad por el tiempo que resta del periodo constitucional del cargo, cuando esta vacancia se registra faltando 18 meses o más para la terminación de dicho periodo”. Su convocatoria puede derivar de diferentes situaciones como la muerte del gobernador o el alcalde, la renuncia aceptada, incapacidad física permanente, la declaratoria de nulidad por su </w:t>
      </w:r>
      <w:r w:rsidRPr="00E2397D">
        <w:rPr>
          <w:rFonts w:ascii="Verdana" w:eastAsia="Calibri" w:hAnsi="Verdana" w:cs="Arial"/>
        </w:rPr>
        <w:lastRenderedPageBreak/>
        <w:t>elección, la interdicción judicial, la destitución, la revocatoria del mandato y la incapacidad por enfermedad superior a ciento ochenta (180) días.</w:t>
      </w:r>
    </w:p>
    <w:p w14:paraId="0561659A" w14:textId="77777777" w:rsidR="003E3926" w:rsidRPr="00E2397D" w:rsidRDefault="003E3926" w:rsidP="003E3926">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eastAsia="Calibri" w:hAnsi="Verdana" w:cs="Arial"/>
        </w:rPr>
      </w:pPr>
      <w:r w:rsidRPr="00E2397D">
        <w:rPr>
          <w:rFonts w:ascii="Verdana" w:eastAsia="Calibri" w:hAnsi="Verdana" w:cs="Arial"/>
        </w:rPr>
        <w:t xml:space="preserve">En tal sentido, aunque las elecciones atípicas se efectúan fuera de las fechas establecidas en la Ley, por circunstancias excepcionales que requieren una convocatoria urgente, tienen el mismo propósito de las elecciones ordinarias de asegurar la provisión de un cargo de elección popular. Por tanto, la naturaleza y el fin de las elecciones atípicas son idénticos a los de las elecciones ordinarias, ya que ambas buscan asegurar el adecuado funcionamiento de las instituciones públicas y salvaguardar la democracia. </w:t>
      </w:r>
    </w:p>
    <w:p w14:paraId="048367A4" w14:textId="77777777" w:rsidR="003E3926" w:rsidRDefault="003E3926" w:rsidP="003E3926">
      <w:pPr>
        <w:widowControl w:val="0"/>
        <w:pBdr>
          <w:top w:val="single" w:sz="4" w:space="1" w:color="auto"/>
          <w:left w:val="single" w:sz="4" w:space="4" w:color="auto"/>
          <w:bottom w:val="single" w:sz="4" w:space="1" w:color="auto"/>
          <w:right w:val="single" w:sz="4" w:space="4" w:color="auto"/>
        </w:pBdr>
        <w:autoSpaceDE w:val="0"/>
        <w:autoSpaceDN w:val="0"/>
        <w:spacing w:after="120" w:line="276" w:lineRule="auto"/>
        <w:ind w:firstLine="709"/>
        <w:jc w:val="both"/>
        <w:rPr>
          <w:rFonts w:ascii="Verdana" w:eastAsia="Calibri" w:hAnsi="Verdana" w:cs="Arial"/>
          <w:lang w:eastAsia="es-ES" w:bidi="es-ES"/>
        </w:rPr>
      </w:pPr>
      <w:r>
        <w:rPr>
          <w:rFonts w:ascii="Verdana" w:eastAsia="Calibri" w:hAnsi="Verdana" w:cs="Arial"/>
          <w:lang w:eastAsia="es-ES" w:bidi="es-ES"/>
        </w:rPr>
        <w:t>Así las cosas</w:t>
      </w:r>
      <w:r w:rsidRPr="00E2397D">
        <w:rPr>
          <w:rFonts w:ascii="Verdana" w:eastAsia="Calibri" w:hAnsi="Verdana" w:cs="Arial"/>
          <w:lang w:eastAsia="es-ES" w:bidi="es-ES"/>
        </w:rPr>
        <w:t>, se concluye que p</w:t>
      </w:r>
      <w:r>
        <w:rPr>
          <w:rFonts w:ascii="Verdana" w:eastAsia="Calibri" w:hAnsi="Verdana" w:cs="Arial"/>
          <w:lang w:eastAsia="es-ES" w:bidi="es-ES"/>
        </w:rPr>
        <w:t xml:space="preserve">ara las elecciones territoriales atípicas </w:t>
      </w:r>
      <w:r w:rsidRPr="00E2397D">
        <w:rPr>
          <w:rFonts w:ascii="Verdana" w:eastAsia="Calibri" w:hAnsi="Verdana" w:cs="Arial"/>
          <w:lang w:eastAsia="es-ES" w:bidi="es-ES"/>
        </w:rPr>
        <w:t xml:space="preserve">resulta aplicable las restricciones señaladas en el parágrafo del artículo 38 de la Ley 996 de 2005, lo que significa que, en materia de contratación estatal, los Alcaldes, los Gobernadores, Alcaldes Municipales y/o Distritales, Secretarios, Gerentes y directores de Entidades Descentralizadas del orden Municipal, Departamental o Distrital, no podrán celebrar convenios interadministrativos para la ejecución de recursos públicos, dentro del periodo en que se convocó a las elecciones atípicas y su votación. </w:t>
      </w:r>
    </w:p>
    <w:p w14:paraId="690420E0" w14:textId="5E6E29A2" w:rsidR="00647360" w:rsidRDefault="00647360" w:rsidP="003E3926">
      <w:pPr>
        <w:widowControl w:val="0"/>
        <w:pBdr>
          <w:top w:val="single" w:sz="4" w:space="1" w:color="auto"/>
          <w:left w:val="single" w:sz="4" w:space="4" w:color="auto"/>
          <w:bottom w:val="single" w:sz="4" w:space="1" w:color="auto"/>
          <w:right w:val="single" w:sz="4" w:space="4" w:color="auto"/>
        </w:pBdr>
        <w:autoSpaceDE w:val="0"/>
        <w:autoSpaceDN w:val="0"/>
        <w:spacing w:after="120" w:line="276" w:lineRule="auto"/>
        <w:ind w:firstLine="709"/>
        <w:jc w:val="both"/>
        <w:rPr>
          <w:rFonts w:ascii="Verdana" w:eastAsia="Calibri" w:hAnsi="Verdana" w:cs="Arial"/>
          <w:lang w:eastAsia="es-ES" w:bidi="es-ES"/>
        </w:rPr>
      </w:pPr>
      <w:r w:rsidRPr="006B14B5">
        <w:rPr>
          <w:rFonts w:ascii="Verdana" w:eastAsia="Times New Roman" w:hAnsi="Verdana" w:cs="Arial"/>
          <w:color w:val="000000"/>
          <w:lang w:val="es-ES" w:eastAsia="es-ES"/>
        </w:rPr>
        <w:t>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w:t>
      </w:r>
      <w:r>
        <w:rPr>
          <w:rFonts w:ascii="Verdana" w:eastAsia="Times New Roman" w:hAnsi="Verdana" w:cs="Arial"/>
          <w:color w:val="000000"/>
          <w:lang w:val="es-ES" w:eastAsia="es-ES"/>
        </w:rPr>
        <w:t>sión que corresponda, lo cual sea</w:t>
      </w:r>
      <w:r w:rsidRPr="006B14B5">
        <w:rPr>
          <w:rFonts w:ascii="Verdana" w:eastAsia="Times New Roman" w:hAnsi="Verdana" w:cs="Arial"/>
          <w:color w:val="000000"/>
          <w:lang w:val="es-ES" w:eastAsia="es-ES"/>
        </w:rPr>
        <w:t xml:space="preserve"> acorde con el principio de juridicidad.</w:t>
      </w:r>
    </w:p>
    <w:p w14:paraId="70F98D0F" w14:textId="402BB5E0" w:rsidR="00CD3E39" w:rsidRPr="003E3926" w:rsidRDefault="00CD3E39" w:rsidP="00F311D5">
      <w:pPr>
        <w:spacing w:after="0" w:line="256" w:lineRule="auto"/>
        <w:contextualSpacing/>
        <w:jc w:val="both"/>
        <w:rPr>
          <w:rFonts w:ascii="Verdana" w:eastAsia="Calibri" w:hAnsi="Verdana" w:cs="Times New Roman"/>
        </w:rPr>
      </w:pPr>
    </w:p>
    <w:p w14:paraId="18D68830" w14:textId="70F125A0" w:rsidR="001C30DA" w:rsidRDefault="00CA57A7" w:rsidP="30821638">
      <w:pPr>
        <w:spacing w:after="0"/>
        <w:rPr>
          <w:rFonts w:ascii="Verdana" w:eastAsia="Calibri" w:hAnsi="Verdana" w:cs="Times New Roman"/>
          <w:b/>
          <w:bCs/>
          <w:lang w:val="es-ES"/>
        </w:rPr>
      </w:pPr>
      <w:r>
        <w:rPr>
          <w:rFonts w:ascii="Verdana" w:eastAsia="Calibri" w:hAnsi="Verdana" w:cs="Times New Roman"/>
          <w:b/>
          <w:bCs/>
          <w:lang w:val="es-ES"/>
        </w:rPr>
        <w:t>3. Razones de la respuesta:</w:t>
      </w:r>
    </w:p>
    <w:p w14:paraId="16B93A5B" w14:textId="77777777" w:rsidR="00647360" w:rsidRDefault="00647360" w:rsidP="30821638">
      <w:pPr>
        <w:spacing w:after="0"/>
        <w:rPr>
          <w:rFonts w:ascii="Verdana" w:eastAsia="Calibri" w:hAnsi="Verdana" w:cs="Times New Roman"/>
          <w:b/>
          <w:bCs/>
          <w:lang w:val="es-ES"/>
        </w:rPr>
      </w:pPr>
    </w:p>
    <w:p w14:paraId="41F6E739" w14:textId="77777777" w:rsidR="005C148F" w:rsidRPr="00A12CB6" w:rsidRDefault="005C148F" w:rsidP="005C148F">
      <w:pPr>
        <w:spacing w:after="0" w:line="276" w:lineRule="auto"/>
        <w:jc w:val="both"/>
        <w:rPr>
          <w:rFonts w:ascii="Verdana" w:eastAsia="Calibri" w:hAnsi="Verdana" w:cs="Arial"/>
          <w:lang w:val="es-ES"/>
        </w:rPr>
      </w:pPr>
      <w:r w:rsidRPr="00A12CB6">
        <w:rPr>
          <w:rFonts w:ascii="Verdana" w:eastAsia="Calibri" w:hAnsi="Verdana" w:cs="Arial"/>
          <w:lang w:val="es-ES"/>
        </w:rPr>
        <w:t xml:space="preserve">Lo anterior se sustenta en las siguientes consideraciones: </w:t>
      </w:r>
    </w:p>
    <w:p w14:paraId="381147AE" w14:textId="77777777" w:rsidR="005C148F" w:rsidRPr="00E2397D" w:rsidRDefault="005C148F" w:rsidP="005C148F">
      <w:pPr>
        <w:spacing w:after="0" w:line="276" w:lineRule="auto"/>
        <w:jc w:val="both"/>
        <w:rPr>
          <w:rFonts w:ascii="Verdana" w:eastAsia="Calibri" w:hAnsi="Verdana" w:cs="Arial"/>
          <w:color w:val="000000" w:themeColor="text1"/>
        </w:rPr>
      </w:pPr>
    </w:p>
    <w:p w14:paraId="09F7AD1D" w14:textId="77777777" w:rsidR="005C148F" w:rsidRPr="00E2397D" w:rsidRDefault="005C148F" w:rsidP="005C148F">
      <w:pPr>
        <w:tabs>
          <w:tab w:val="left" w:pos="426"/>
        </w:tabs>
        <w:spacing w:after="120" w:line="276" w:lineRule="auto"/>
        <w:jc w:val="both"/>
        <w:rPr>
          <w:rFonts w:ascii="Verdana" w:eastAsia="Times New Roman" w:hAnsi="Verdana" w:cs="Arial"/>
          <w:lang w:eastAsia="es-CO"/>
        </w:rPr>
      </w:pPr>
      <w:r w:rsidRPr="00E2397D">
        <w:rPr>
          <w:rFonts w:ascii="Verdana" w:eastAsia="Calibri" w:hAnsi="Verdana" w:cs="Arial"/>
        </w:rPr>
        <w:t>i. El ordenamiento jurídico colombiano contempla previsiones claras para evitar la obtención de beneficios personales en asuntos propios de la administración pública</w:t>
      </w:r>
      <w:r w:rsidRPr="00E2397D">
        <w:rPr>
          <w:rFonts w:ascii="Verdana" w:eastAsia="Calibri" w:hAnsi="Verdana" w:cs="Arial"/>
          <w:i/>
        </w:rPr>
        <w:t xml:space="preserve">. </w:t>
      </w:r>
      <w:r w:rsidRPr="00E2397D">
        <w:rPr>
          <w:rFonts w:ascii="Verdana" w:eastAsia="Calibri" w:hAnsi="Verdana" w:cs="Arial"/>
        </w:rPr>
        <w:t xml:space="preserve">Por ejemplo, el artículo 127 de la Constitución Política establece una prohibición contractual a los servidores públicos y, en cuanto a aspectos </w:t>
      </w:r>
      <w:r w:rsidRPr="00E2397D">
        <w:rPr>
          <w:rFonts w:ascii="Verdana" w:eastAsia="Calibri" w:hAnsi="Verdana" w:cs="Arial"/>
        </w:rPr>
        <w:lastRenderedPageBreak/>
        <w:t>políticos, consagra restricciones a ciertos empleados del Estado, incluso en época no electoral</w:t>
      </w:r>
      <w:r w:rsidRPr="00E2397D">
        <w:rPr>
          <w:vertAlign w:val="superscript"/>
        </w:rPr>
        <w:footnoteReference w:id="2"/>
      </w:r>
      <w:r w:rsidRPr="00E2397D">
        <w:rPr>
          <w:rFonts w:ascii="Verdana" w:eastAsia="Calibri" w:hAnsi="Verdana" w:cs="Arial"/>
        </w:rPr>
        <w:t xml:space="preserve">. </w:t>
      </w:r>
    </w:p>
    <w:p w14:paraId="7DB8EF46" w14:textId="77777777" w:rsidR="005C148F" w:rsidRPr="006B14B5" w:rsidRDefault="005C148F" w:rsidP="005C148F">
      <w:pPr>
        <w:tabs>
          <w:tab w:val="left" w:pos="426"/>
        </w:tabs>
        <w:spacing w:after="120" w:line="276" w:lineRule="auto"/>
        <w:ind w:firstLine="709"/>
        <w:jc w:val="both"/>
        <w:rPr>
          <w:rFonts w:ascii="Verdana" w:eastAsia="Calibri" w:hAnsi="Verdana" w:cs="Arial"/>
          <w:lang w:val="es-ES_tradnl"/>
        </w:rPr>
      </w:pPr>
      <w:r w:rsidRPr="00E2397D">
        <w:rPr>
          <w:rFonts w:ascii="Verdana" w:eastAsia="Times New Roman" w:hAnsi="Verdana" w:cs="Arial"/>
          <w:lang w:eastAsia="es-CO"/>
        </w:rPr>
        <w:t>En el mismo sentido</w:t>
      </w:r>
      <w:r w:rsidRPr="00E2397D">
        <w:rPr>
          <w:rFonts w:ascii="Verdana" w:eastAsia="Times New Roman" w:hAnsi="Verdana" w:cs="Arial"/>
          <w:lang w:val="es-MX" w:eastAsia="es-CO"/>
        </w:rPr>
        <w:t xml:space="preserve">, </w:t>
      </w:r>
      <w:bookmarkStart w:id="1" w:name="_Hlk99576829"/>
      <w:r w:rsidRPr="00E2397D">
        <w:rPr>
          <w:rFonts w:ascii="Verdana" w:eastAsia="Times New Roman" w:hAnsi="Verdana" w:cs="Arial"/>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E2397D">
        <w:rPr>
          <w:rFonts w:ascii="Verdana" w:eastAsia="Times New Roman" w:hAnsi="Verdana" w:cs="Arial"/>
          <w:vertAlign w:val="superscript"/>
          <w:lang w:val="es-MX" w:eastAsia="es-CO"/>
        </w:rPr>
        <w:footnoteReference w:id="3"/>
      </w:r>
      <w:r w:rsidRPr="00E2397D">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sidRPr="00E2397D">
        <w:rPr>
          <w:rFonts w:ascii="Verdana" w:eastAsia="Calibri" w:hAnsi="Verdana" w:cs="Arial"/>
          <w:lang w:val="es-ES_tradnl"/>
        </w:rPr>
        <w:t xml:space="preserve"> </w:t>
      </w:r>
      <w:bookmarkEnd w:id="1"/>
      <w:r w:rsidRPr="00E2397D">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3AC0440B" w14:textId="77777777" w:rsidR="005C148F" w:rsidRPr="00E2397D" w:rsidRDefault="005C148F" w:rsidP="005C148F">
      <w:pPr>
        <w:spacing w:after="0" w:line="276" w:lineRule="auto"/>
        <w:ind w:right="709"/>
        <w:contextualSpacing/>
        <w:jc w:val="both"/>
        <w:rPr>
          <w:rFonts w:ascii="Verdana" w:eastAsia="Times New Roman" w:hAnsi="Verdana" w:cs="Arial"/>
          <w:lang w:val="es-ES" w:eastAsia="es-CO"/>
        </w:rPr>
      </w:pPr>
    </w:p>
    <w:p w14:paraId="7CFF3E52" w14:textId="77777777" w:rsidR="005C148F" w:rsidRPr="00E2397D" w:rsidRDefault="005C148F" w:rsidP="005C148F">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ES" w:eastAsia="es-CO"/>
        </w:rPr>
        <w:t xml:space="preserve">“[…] </w:t>
      </w:r>
      <w:r w:rsidRPr="00E2397D">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6706D84E" w14:textId="77777777" w:rsidR="005C148F" w:rsidRPr="00E2397D" w:rsidRDefault="005C148F" w:rsidP="005C148F">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 xml:space="preserve">[…] </w:t>
      </w:r>
    </w:p>
    <w:p w14:paraId="0CA526BE" w14:textId="77777777" w:rsidR="005C148F" w:rsidRPr="00E2397D" w:rsidRDefault="005C148F" w:rsidP="005C148F">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E2397D">
        <w:rPr>
          <w:rFonts w:ascii="Verdana" w:eastAsia="Calibri" w:hAnsi="Verdana" w:cs="Arial"/>
          <w:sz w:val="20"/>
          <w:szCs w:val="20"/>
          <w:vertAlign w:val="superscript"/>
          <w:lang w:val="es-MX"/>
        </w:rPr>
        <w:footnoteReference w:id="4"/>
      </w:r>
    </w:p>
    <w:p w14:paraId="36CC0AE9" w14:textId="77777777" w:rsidR="005C148F" w:rsidRPr="00E2397D" w:rsidRDefault="005C148F" w:rsidP="005C148F">
      <w:pPr>
        <w:spacing w:after="0" w:line="276" w:lineRule="auto"/>
        <w:ind w:firstLine="709"/>
        <w:jc w:val="both"/>
        <w:rPr>
          <w:rFonts w:ascii="Verdana" w:eastAsia="Times New Roman" w:hAnsi="Verdana" w:cs="Arial"/>
          <w:lang w:val="es-MX" w:eastAsia="es-CO"/>
        </w:rPr>
      </w:pPr>
      <w:bookmarkStart w:id="2" w:name="_Hlk78818186"/>
    </w:p>
    <w:p w14:paraId="4CCB55D9" w14:textId="77777777" w:rsidR="005C148F" w:rsidRPr="00E2397D" w:rsidRDefault="005C148F" w:rsidP="005C148F">
      <w:pPr>
        <w:spacing w:after="0" w:line="276" w:lineRule="auto"/>
        <w:ind w:firstLine="709"/>
        <w:jc w:val="both"/>
        <w:rPr>
          <w:rFonts w:ascii="Verdana" w:eastAsia="Times New Roman" w:hAnsi="Verdana" w:cs="Arial"/>
          <w:lang w:val="es-MX" w:eastAsia="es-CO"/>
        </w:rPr>
      </w:pPr>
      <w:r w:rsidRPr="00E2397D">
        <w:rPr>
          <w:rFonts w:ascii="Verdana" w:eastAsia="Times New Roman" w:hAnsi="Verdana" w:cs="Arial"/>
          <w:lang w:val="es-MX" w:eastAsia="es-CO"/>
        </w:rPr>
        <w:lastRenderedPageBreak/>
        <w:t>En este contexto, la Ley de Garantías Electorales establece el marco jurídico para el desarrollo de las elecciones, procurando condiciones de igualdad y transparencia para los aspirantes. Paralelamente,</w:t>
      </w:r>
      <w:r>
        <w:rPr>
          <w:rFonts w:ascii="Verdana" w:eastAsia="Times New Roman" w:hAnsi="Verdana" w:cs="Arial"/>
          <w:lang w:val="es-MX" w:eastAsia="es-CO"/>
        </w:rPr>
        <w:t xml:space="preserve"> se incluyen restricciones en las actuaciones</w:t>
      </w:r>
      <w:r w:rsidRPr="00E2397D">
        <w:rPr>
          <w:rFonts w:ascii="Verdana" w:eastAsia="Times New Roman" w:hAnsi="Verdana" w:cs="Arial"/>
          <w:lang w:val="es-MX" w:eastAsia="es-CO"/>
        </w:rPr>
        <w:t xml:space="preserve"> de los servidores públicos, evitando interferencias en la contienda electoral, así como la posible desviación de recursos públicos en aspiraciones electorales. </w:t>
      </w:r>
      <w:bookmarkEnd w:id="2"/>
      <w:r w:rsidRPr="00E2397D">
        <w:rPr>
          <w:rFonts w:ascii="Verdana" w:eastAsia="Times New Roman" w:hAnsi="Verdana" w:cs="Arial"/>
          <w:lang w:val="es-MX" w:eastAsia="es-CO"/>
        </w:rPr>
        <w:t>Por ello, varias de las disposiciones de la Ley 996 de 2005, al contener normas prohibitivas, no admiten una interpretación amplia, sino que deben interpretarse restrictivamente. En efecto, la Sala de Consulta y Servicio Civil del Consejo de Estado, precisó lo siguiente:</w:t>
      </w:r>
    </w:p>
    <w:p w14:paraId="2FA9516E" w14:textId="77777777" w:rsidR="005C148F" w:rsidRPr="008841E9" w:rsidRDefault="005C148F" w:rsidP="005C148F">
      <w:pPr>
        <w:spacing w:after="0" w:line="276" w:lineRule="auto"/>
        <w:ind w:firstLine="709"/>
        <w:jc w:val="both"/>
        <w:rPr>
          <w:rFonts w:ascii="Verdana" w:eastAsia="Times New Roman" w:hAnsi="Verdana" w:cs="Arial"/>
          <w:lang w:val="es-ES" w:eastAsia="es-CO"/>
        </w:rPr>
      </w:pPr>
    </w:p>
    <w:p w14:paraId="0DA5BC82" w14:textId="77777777" w:rsidR="005C148F" w:rsidRPr="00E2397D" w:rsidRDefault="005C148F" w:rsidP="005C148F">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MX"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2A3D8F02" w14:textId="77777777" w:rsidR="005C148F" w:rsidRPr="00E2397D" w:rsidRDefault="005C148F" w:rsidP="005C148F">
      <w:pPr>
        <w:spacing w:after="0" w:line="240" w:lineRule="auto"/>
        <w:ind w:right="709"/>
        <w:contextualSpacing/>
        <w:jc w:val="both"/>
        <w:rPr>
          <w:rFonts w:ascii="Verdana" w:eastAsia="Times New Roman" w:hAnsi="Verdana" w:cs="Arial"/>
          <w:lang w:val="es-MX" w:eastAsia="es-CO"/>
        </w:rPr>
      </w:pPr>
    </w:p>
    <w:p w14:paraId="16A41A05" w14:textId="77777777" w:rsidR="005C148F" w:rsidRPr="00E2397D" w:rsidRDefault="005C148F" w:rsidP="005C148F">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MX" w:eastAsia="es-CO"/>
        </w:rPr>
        <w:t>La jurisprudencia de la Corte Constitucional</w:t>
      </w:r>
      <w:r w:rsidRPr="00E2397D">
        <w:rPr>
          <w:rFonts w:ascii="Verdana" w:eastAsia="Times New Roman" w:hAnsi="Verdana" w:cs="Arial"/>
          <w:sz w:val="20"/>
          <w:szCs w:val="20"/>
          <w:vertAlign w:val="superscript"/>
          <w:lang w:val="es-MX" w:eastAsia="es-CO"/>
        </w:rPr>
        <w:footnoteReference w:id="5"/>
      </w:r>
      <w:r w:rsidRPr="00E2397D">
        <w:rPr>
          <w:rFonts w:ascii="Verdana" w:eastAsia="Times New Roman" w:hAnsi="Verdana" w:cs="Arial"/>
          <w:sz w:val="20"/>
          <w:szCs w:val="20"/>
          <w:lang w:val="es-MX" w:eastAsia="es-CO"/>
        </w:rPr>
        <w:t> y del Consejo de Estado</w:t>
      </w:r>
      <w:r w:rsidRPr="00E2397D">
        <w:rPr>
          <w:rFonts w:ascii="Verdana" w:eastAsia="Times New Roman" w:hAnsi="Verdana" w:cs="Arial"/>
          <w:sz w:val="20"/>
          <w:szCs w:val="20"/>
          <w:vertAlign w:val="superscript"/>
          <w:lang w:val="es-MX" w:eastAsia="es-CO"/>
        </w:rPr>
        <w:footnoteReference w:id="6"/>
      </w:r>
      <w:r w:rsidRPr="00E2397D">
        <w:rPr>
          <w:rFonts w:ascii="Verdana" w:eastAsia="Times New Roman" w:hAnsi="Verdana" w:cs="Arial"/>
          <w:sz w:val="20"/>
          <w:szCs w:val="20"/>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E2397D">
        <w:rPr>
          <w:rFonts w:ascii="Verdana" w:eastAsia="Times New Roman" w:hAnsi="Verdana" w:cs="Arial"/>
          <w:sz w:val="20"/>
          <w:szCs w:val="20"/>
          <w:vertAlign w:val="superscript"/>
          <w:lang w:val="es-MX" w:eastAsia="es-CO"/>
        </w:rPr>
        <w:footnoteReference w:id="7"/>
      </w:r>
      <w:r w:rsidRPr="00E2397D">
        <w:rPr>
          <w:rFonts w:ascii="Verdana" w:eastAsia="Times New Roman" w:hAnsi="Verdana" w:cs="Arial"/>
          <w:sz w:val="20"/>
          <w:szCs w:val="20"/>
          <w:lang w:val="es-MX" w:eastAsia="es-CO"/>
        </w:rPr>
        <w:t>.</w:t>
      </w:r>
    </w:p>
    <w:p w14:paraId="3086E093" w14:textId="77777777" w:rsidR="005C148F" w:rsidRPr="00E2397D" w:rsidRDefault="005C148F" w:rsidP="005C148F">
      <w:pPr>
        <w:spacing w:after="0" w:line="276" w:lineRule="auto"/>
        <w:jc w:val="both"/>
        <w:rPr>
          <w:rFonts w:ascii="Verdana" w:eastAsia="Calibri" w:hAnsi="Verdana" w:cs="Arial"/>
          <w:bCs/>
          <w:lang w:val="es-ES_tradnl"/>
        </w:rPr>
      </w:pPr>
    </w:p>
    <w:p w14:paraId="41622811" w14:textId="77777777" w:rsidR="005C148F" w:rsidRDefault="005C148F" w:rsidP="005C148F">
      <w:pPr>
        <w:spacing w:after="0" w:line="276" w:lineRule="auto"/>
        <w:ind w:firstLine="709"/>
        <w:jc w:val="both"/>
        <w:rPr>
          <w:rFonts w:ascii="Verdana" w:eastAsia="Arial" w:hAnsi="Verdana" w:cs="Arial"/>
          <w:lang w:val="es-ES" w:eastAsia="es-ES" w:bidi="es-ES"/>
        </w:rPr>
      </w:pPr>
      <w:r w:rsidRPr="00E2397D">
        <w:rPr>
          <w:rFonts w:ascii="Verdana" w:eastAsia="Times New Roman" w:hAnsi="Verdana" w:cs="Arial"/>
          <w:lang w:val="es-MX" w:eastAsia="es-CO"/>
        </w:rPr>
        <w:lastRenderedPageBreak/>
        <w:t>De</w:t>
      </w:r>
      <w:r w:rsidRPr="00E2397D">
        <w:rPr>
          <w:rFonts w:ascii="Verdana" w:eastAsia="Arial" w:hAnsi="Verdana" w:cs="Arial"/>
          <w:lang w:val="es-ES" w:eastAsia="es-ES" w:bidi="es-ES"/>
        </w:rPr>
        <w:t xml:space="preserve"> conformidad con lo anterior, </w:t>
      </w:r>
      <w:bookmarkStart w:id="3" w:name="_Hlk77236098"/>
      <w:bookmarkStart w:id="4" w:name="_Hlk100679383"/>
      <w:r w:rsidRPr="00E2397D">
        <w:rPr>
          <w:rFonts w:ascii="Verdana" w:eastAsia="Arial" w:hAnsi="Verdana" w:cs="Arial"/>
          <w:lang w:val="es-ES" w:eastAsia="es-ES" w:bidi="es-ES"/>
        </w:rPr>
        <w:t xml:space="preserve">la Ley de Garantías Electorales fijó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6DA7E4A5" w14:textId="77777777" w:rsidR="005C148F" w:rsidRPr="00E2397D" w:rsidRDefault="005C148F" w:rsidP="005C148F">
      <w:pPr>
        <w:spacing w:after="0" w:line="276" w:lineRule="auto"/>
        <w:ind w:firstLine="709"/>
        <w:jc w:val="both"/>
        <w:rPr>
          <w:rFonts w:ascii="Verdana" w:eastAsia="Arial" w:hAnsi="Verdana" w:cs="Arial"/>
          <w:lang w:val="es-ES" w:eastAsia="es-ES" w:bidi="es-ES"/>
        </w:rPr>
      </w:pPr>
    </w:p>
    <w:p w14:paraId="5CFB914A" w14:textId="77777777" w:rsidR="005C148F" w:rsidRPr="00E2397D" w:rsidRDefault="005C148F" w:rsidP="005C148F">
      <w:pPr>
        <w:spacing w:after="120" w:line="276" w:lineRule="auto"/>
        <w:jc w:val="both"/>
        <w:rPr>
          <w:rFonts w:ascii="Verdana" w:eastAsia="Arial" w:hAnsi="Verdana" w:cs="Arial"/>
          <w:lang w:val="es-ES" w:eastAsia="es-ES" w:bidi="es-ES"/>
        </w:rPr>
      </w:pPr>
      <w:r w:rsidRPr="00E2397D">
        <w:rPr>
          <w:rFonts w:ascii="Verdana" w:eastAsia="Arial" w:hAnsi="Verdana" w:cs="Arial"/>
          <w:lang w:val="es-ES" w:eastAsia="es-ES" w:bidi="es-ES"/>
        </w:rPr>
        <w:t>ii. Precisado el propósito de la Ley, es pertinente señalar que las restricciones consagradas en la citada Ley se dirigen a dos (2) tipos de campañas electorales claramente diferenciadas: las presidenciales y las demás que se adelanten para la elección de los demás cargos de elección popular, tanto a nivel nacional como territorial.</w:t>
      </w:r>
      <w:bookmarkEnd w:id="3"/>
    </w:p>
    <w:p w14:paraId="3A01ADC2" w14:textId="77777777" w:rsidR="005C148F" w:rsidRPr="00E2397D" w:rsidRDefault="005C148F" w:rsidP="005C148F">
      <w:pPr>
        <w:spacing w:after="120" w:line="276" w:lineRule="auto"/>
        <w:ind w:firstLine="708"/>
        <w:jc w:val="both"/>
        <w:rPr>
          <w:rFonts w:ascii="Verdana" w:eastAsia="Calibri" w:hAnsi="Verdana" w:cs="Arial"/>
        </w:rPr>
      </w:pPr>
      <w:r w:rsidRPr="00E2397D">
        <w:rPr>
          <w:rFonts w:ascii="Verdana" w:eastAsia="Calibri" w:hAnsi="Verdana" w:cs="Arial"/>
        </w:rPr>
        <w:t xml:space="preserve">Por un lado, el </w:t>
      </w:r>
      <w:r w:rsidRPr="00E2397D">
        <w:rPr>
          <w:rFonts w:ascii="Verdana" w:eastAsia="Calibri" w:hAnsi="Verdana" w:cs="Arial"/>
          <w:i/>
          <w:iCs/>
        </w:rPr>
        <w:t>artículo 33 de la Ley 996 de 2005</w:t>
      </w:r>
      <w:r w:rsidRPr="00E2397D">
        <w:rPr>
          <w:rFonts w:ascii="Verdana" w:eastAsia="Calibri" w:hAnsi="Verdana" w:cs="Arial"/>
        </w:rPr>
        <w:t xml:space="preserve">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E2397D">
        <w:rPr>
          <w:rFonts w:ascii="Verdana" w:eastAsia="Calibri" w:hAnsi="Verdana" w:cs="Arial"/>
          <w:vertAlign w:val="superscript"/>
        </w:rPr>
        <w:footnoteReference w:id="8"/>
      </w:r>
      <w:r w:rsidRPr="00E2397D">
        <w:rPr>
          <w:rFonts w:ascii="Verdana" w:eastAsia="Calibri" w:hAnsi="Verdana" w:cs="Arial"/>
        </w:rPr>
        <w:t>.</w:t>
      </w:r>
    </w:p>
    <w:p w14:paraId="6D73B833" w14:textId="77777777" w:rsidR="005C148F" w:rsidRPr="00E2397D" w:rsidRDefault="005C148F" w:rsidP="005C148F">
      <w:pPr>
        <w:widowControl w:val="0"/>
        <w:autoSpaceDE w:val="0"/>
        <w:autoSpaceDN w:val="0"/>
        <w:spacing w:after="120" w:line="276" w:lineRule="auto"/>
        <w:ind w:right="113" w:firstLine="709"/>
        <w:jc w:val="both"/>
        <w:rPr>
          <w:rFonts w:ascii="Verdana" w:eastAsia="Arial" w:hAnsi="Verdana" w:cs="Arial"/>
          <w:lang w:val="es-ES" w:eastAsia="es-ES" w:bidi="es-ES"/>
        </w:rPr>
      </w:pPr>
      <w:r w:rsidRPr="00E2397D">
        <w:rPr>
          <w:rFonts w:ascii="Verdana" w:eastAsia="Calibri" w:hAnsi="Verdana" w:cs="Arial"/>
        </w:rPr>
        <w:t xml:space="preserve">Por otro lado, </w:t>
      </w:r>
      <w:r w:rsidRPr="00E2397D">
        <w:rPr>
          <w:rFonts w:ascii="Verdana" w:eastAsia="Calibri" w:hAnsi="Verdana" w:cs="Arial"/>
          <w:i/>
          <w:iCs/>
        </w:rPr>
        <w:t>el parágrafo del artículo 38 de la Ley 996 de 2005</w:t>
      </w:r>
      <w:r w:rsidRPr="00E2397D">
        <w:rPr>
          <w:rFonts w:ascii="Verdana" w:eastAsia="Calibri" w:hAnsi="Verdana" w:cs="Arial"/>
        </w:rPr>
        <w:t xml:space="preserve"> prevé una restricción, aplicable respecto de cualquier tipo de contienda electoral, que prohíbe a los gobernadores, alcaldes municipales o distritales, secretarios, gerentes y directores de entidades descentralizadas del orden municipal, departamental o distrital “[…] </w:t>
      </w:r>
      <w:r w:rsidRPr="00E2397D">
        <w:rPr>
          <w:rFonts w:ascii="Verdana" w:eastAsia="Calibri" w:hAnsi="Verdana" w:cs="Arial"/>
          <w:lang w:val="es-MX"/>
        </w:rPr>
        <w:t xml:space="preserve">celebrar convenios interadministrativos para la ejecución de recursos públicos, ni participar, promover y destinar recursos públicos de las entidades a su cargo, como tampoco de las que participen como miembros de sus juntas directivas, en o para reuniones de carácter </w:t>
      </w:r>
      <w:r w:rsidRPr="00E2397D">
        <w:rPr>
          <w:rFonts w:ascii="Verdana" w:eastAsia="Calibri" w:hAnsi="Verdana" w:cs="Arial"/>
          <w:lang w:val="es-MX"/>
        </w:rPr>
        <w:lastRenderedPageBreak/>
        <w:t>proselitista</w:t>
      </w:r>
      <w:r w:rsidRPr="00E2397D">
        <w:rPr>
          <w:rFonts w:ascii="Verdana" w:eastAsia="Calibri" w:hAnsi="Verdana" w:cs="Arial"/>
        </w:rPr>
        <w:t>”</w:t>
      </w:r>
      <w:bookmarkEnd w:id="4"/>
      <w:r w:rsidRPr="00E2397D">
        <w:rPr>
          <w:rFonts w:ascii="Verdana" w:eastAsia="Calibri" w:hAnsi="Verdana" w:cs="Arial"/>
          <w:vertAlign w:val="superscript"/>
        </w:rPr>
        <w:footnoteReference w:id="9"/>
      </w:r>
      <w:r w:rsidRPr="00E2397D">
        <w:rPr>
          <w:rFonts w:ascii="Verdana" w:eastAsia="Calibri" w:hAnsi="Verdana" w:cs="Arial"/>
          <w:lang w:val="es-MX"/>
        </w:rPr>
        <w:t>.</w:t>
      </w:r>
      <w:r w:rsidRPr="00E2397D">
        <w:rPr>
          <w:rFonts w:ascii="Verdana" w:eastAsia="Arial" w:hAnsi="Verdana" w:cs="Arial"/>
          <w:lang w:val="es-ES" w:eastAsia="es-ES" w:bidi="es-ES"/>
        </w:rPr>
        <w:t xml:space="preserve"> </w:t>
      </w:r>
    </w:p>
    <w:p w14:paraId="0B6E7CBC" w14:textId="77777777" w:rsidR="005C148F" w:rsidRPr="00E2397D" w:rsidRDefault="005C148F" w:rsidP="005C148F">
      <w:pPr>
        <w:widowControl w:val="0"/>
        <w:autoSpaceDE w:val="0"/>
        <w:autoSpaceDN w:val="0"/>
        <w:spacing w:after="0" w:line="276" w:lineRule="auto"/>
        <w:ind w:right="113" w:firstLine="708"/>
        <w:contextualSpacing/>
        <w:jc w:val="both"/>
        <w:rPr>
          <w:rFonts w:ascii="Verdana" w:eastAsia="Arial" w:hAnsi="Verdana" w:cs="Arial"/>
          <w:lang w:val="es-ES" w:eastAsia="es-ES" w:bidi="es-ES"/>
        </w:rPr>
      </w:pPr>
      <w:r w:rsidRPr="00E2397D">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w:t>
      </w:r>
      <w:r>
        <w:rPr>
          <w:rFonts w:ascii="Verdana" w:eastAsia="Arial" w:hAnsi="Verdana" w:cs="Arial"/>
          <w:lang w:val="es-ES" w:eastAsia="es-ES" w:bidi="es-ES"/>
        </w:rPr>
        <w:t>era</w:t>
      </w:r>
      <w:r w:rsidRPr="00E2397D">
        <w:rPr>
          <w:rFonts w:ascii="Verdana" w:eastAsia="Arial" w:hAnsi="Verdana" w:cs="Arial"/>
          <w:lang w:val="es-ES" w:eastAsia="es-ES" w:bidi="es-ES"/>
        </w:rPr>
        <w:t>:</w:t>
      </w:r>
    </w:p>
    <w:p w14:paraId="28B3E3AF" w14:textId="77777777" w:rsidR="005C148F" w:rsidRPr="00E2397D" w:rsidRDefault="005C148F" w:rsidP="005C148F">
      <w:pPr>
        <w:widowControl w:val="0"/>
        <w:autoSpaceDE w:val="0"/>
        <w:autoSpaceDN w:val="0"/>
        <w:spacing w:after="0" w:line="240" w:lineRule="auto"/>
        <w:ind w:left="805" w:right="812"/>
        <w:contextualSpacing/>
        <w:jc w:val="both"/>
        <w:rPr>
          <w:rFonts w:ascii="Verdana" w:eastAsia="Arial" w:hAnsi="Verdana" w:cs="Arial"/>
          <w:lang w:val="es-ES" w:eastAsia="es-ES" w:bidi="es-ES"/>
        </w:rPr>
      </w:pPr>
    </w:p>
    <w:p w14:paraId="18326A92" w14:textId="77777777" w:rsidR="005C148F" w:rsidRPr="00E2397D" w:rsidRDefault="005C148F" w:rsidP="005C148F">
      <w:pPr>
        <w:widowControl w:val="0"/>
        <w:autoSpaceDE w:val="0"/>
        <w:autoSpaceDN w:val="0"/>
        <w:spacing w:after="0" w:line="240" w:lineRule="auto"/>
        <w:ind w:left="709" w:right="709"/>
        <w:jc w:val="both"/>
        <w:rPr>
          <w:rFonts w:ascii="Verdana" w:eastAsia="Arial" w:hAnsi="Verdana" w:cs="Arial"/>
          <w:sz w:val="20"/>
          <w:szCs w:val="20"/>
          <w:lang w:eastAsia="es-ES" w:bidi="es-ES"/>
        </w:rPr>
      </w:pPr>
      <w:r w:rsidRPr="00E2397D">
        <w:rPr>
          <w:rFonts w:ascii="Verdana" w:eastAsia="Arial" w:hAnsi="Verdana" w:cs="Arial"/>
          <w:sz w:val="20"/>
          <w:szCs w:val="20"/>
          <w:lang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7" w:name="_Hlk76109421"/>
      <w:r w:rsidRPr="00E2397D">
        <w:rPr>
          <w:rFonts w:ascii="Verdana" w:eastAsia="Arial" w:hAnsi="Verdana" w:cs="Arial"/>
          <w:sz w:val="20"/>
          <w:szCs w:val="20"/>
          <w:lang w:eastAsia="es-ES" w:bidi="es-ES"/>
        </w:rPr>
        <w:t>se integran parcialmente</w:t>
      </w:r>
      <w:bookmarkEnd w:id="7"/>
      <w:r w:rsidRPr="00E2397D">
        <w:rPr>
          <w:rFonts w:ascii="Verdana" w:eastAsia="Arial" w:hAnsi="Verdana" w:cs="Arial"/>
          <w:sz w:val="20"/>
          <w:szCs w:val="20"/>
          <w:lang w:eastAsia="es-ES" w:bidi="es-ES"/>
        </w:rPr>
        <w:t>,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contenidas en el parágrafo del artículo 38”.</w:t>
      </w:r>
      <w:r w:rsidRPr="00E2397D">
        <w:rPr>
          <w:rFonts w:ascii="Verdana" w:eastAsia="Arial" w:hAnsi="Verdana" w:cs="Arial"/>
          <w:sz w:val="20"/>
          <w:szCs w:val="20"/>
          <w:vertAlign w:val="superscript"/>
          <w:lang w:eastAsia="es-ES" w:bidi="es-ES"/>
        </w:rPr>
        <w:footnoteReference w:id="10"/>
      </w:r>
    </w:p>
    <w:p w14:paraId="612F2D24" w14:textId="77777777" w:rsidR="005C148F" w:rsidRPr="00E2397D" w:rsidRDefault="005C148F" w:rsidP="005C148F">
      <w:pPr>
        <w:widowControl w:val="0"/>
        <w:autoSpaceDE w:val="0"/>
        <w:autoSpaceDN w:val="0"/>
        <w:spacing w:after="0" w:line="276" w:lineRule="auto"/>
        <w:contextualSpacing/>
        <w:rPr>
          <w:rFonts w:ascii="Verdana" w:eastAsia="Arial" w:hAnsi="Verdana" w:cs="Arial"/>
          <w:lang w:val="es-ES" w:eastAsia="es-ES" w:bidi="es-ES"/>
        </w:rPr>
      </w:pPr>
    </w:p>
    <w:p w14:paraId="69E3B091" w14:textId="77777777" w:rsidR="005C148F" w:rsidRPr="00E2397D" w:rsidRDefault="005C148F" w:rsidP="005C148F">
      <w:pPr>
        <w:spacing w:after="120" w:line="276" w:lineRule="auto"/>
        <w:ind w:firstLine="709"/>
        <w:jc w:val="both"/>
        <w:rPr>
          <w:rFonts w:ascii="Verdana" w:eastAsia="Arial" w:hAnsi="Verdana" w:cs="Arial"/>
          <w:lang w:val="es-ES" w:eastAsia="es-ES" w:bidi="es-ES"/>
        </w:rPr>
      </w:pPr>
      <w:r w:rsidRPr="00E2397D">
        <w:rPr>
          <w:rFonts w:ascii="Verdana" w:eastAsia="Arial" w:hAnsi="Verdana" w:cs="Arial"/>
          <w:lang w:val="es-ES" w:eastAsia="es-ES" w:bidi="es-ES"/>
        </w:rPr>
        <w:t xml:space="preserve">De conformidad con lo anterior, </w:t>
      </w:r>
      <w:bookmarkStart w:id="8" w:name="_Hlk77236420"/>
      <w:bookmarkStart w:id="9" w:name="_Hlk78818435"/>
      <w:bookmarkStart w:id="10" w:name="_Hlk75780333"/>
      <w:r w:rsidRPr="00E2397D">
        <w:rPr>
          <w:rFonts w:ascii="Verdana" w:eastAsia="Arial" w:hAnsi="Verdana" w:cs="Arial"/>
          <w:lang w:val="es-ES" w:eastAsia="es-ES" w:bidi="es-ES"/>
        </w:rPr>
        <w:t xml:space="preserve">la Ley 996 de 2005 establece dos (2) tipos de restricciones en materia de contratación, las cuales coinciden parcialmente. </w:t>
      </w:r>
      <w:r w:rsidRPr="00E2397D">
        <w:rPr>
          <w:rFonts w:ascii="Verdana" w:eastAsia="Arial" w:hAnsi="Verdana" w:cs="Arial"/>
          <w:i/>
          <w:lang w:val="es-ES" w:eastAsia="es-ES" w:bidi="es-ES"/>
        </w:rPr>
        <w:t>En primer lugar</w:t>
      </w:r>
      <w:r w:rsidRPr="00E2397D">
        <w:rPr>
          <w:rFonts w:ascii="Verdana" w:eastAsia="Arial" w:hAnsi="Verdana" w:cs="Arial"/>
          <w:lang w:val="es-ES" w:eastAsia="es-ES" w:bidi="es-ES"/>
        </w:rPr>
        <w:t xml:space="preserve">, la del artículo 33 que </w:t>
      </w:r>
      <w:r>
        <w:rPr>
          <w:rFonts w:ascii="Verdana" w:eastAsia="Arial" w:hAnsi="Verdana" w:cs="Arial"/>
          <w:lang w:val="es-ES" w:eastAsia="es-ES" w:bidi="es-ES"/>
        </w:rPr>
        <w:t xml:space="preserve">aplica </w:t>
      </w:r>
      <w:r w:rsidRPr="00E2397D">
        <w:rPr>
          <w:rFonts w:ascii="Verdana" w:eastAsia="Arial" w:hAnsi="Verdana" w:cs="Arial"/>
          <w:lang w:val="es-ES" w:eastAsia="es-ES" w:bidi="es-ES"/>
        </w:rPr>
        <w:t xml:space="preserve">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w:t>
      </w:r>
      <w:r w:rsidRPr="00E2397D">
        <w:rPr>
          <w:rFonts w:ascii="Verdana" w:eastAsia="Arial" w:hAnsi="Verdana" w:cs="Arial"/>
          <w:lang w:val="es-ES" w:eastAsia="es-ES" w:bidi="es-ES"/>
        </w:rPr>
        <w:lastRenderedPageBreak/>
        <w:t xml:space="preserve">segunda vuelta. </w:t>
      </w:r>
      <w:r w:rsidRPr="00E2397D">
        <w:rPr>
          <w:rFonts w:ascii="Verdana" w:eastAsia="Arial" w:hAnsi="Verdana" w:cs="Arial"/>
          <w:i/>
          <w:lang w:val="es-ES" w:eastAsia="es-ES" w:bidi="es-ES"/>
        </w:rPr>
        <w:t>En segundo lugar</w:t>
      </w:r>
      <w:r w:rsidRPr="00E2397D">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8"/>
    </w:p>
    <w:bookmarkEnd w:id="9"/>
    <w:p w14:paraId="5EF9997E" w14:textId="77777777" w:rsidR="005C148F" w:rsidRPr="00E2397D" w:rsidRDefault="005C148F" w:rsidP="005C148F">
      <w:pPr>
        <w:spacing w:after="120" w:line="276" w:lineRule="auto"/>
        <w:ind w:firstLine="709"/>
        <w:jc w:val="both"/>
        <w:rPr>
          <w:rFonts w:ascii="Verdana" w:eastAsia="Arial" w:hAnsi="Verdana" w:cs="Arial"/>
          <w:lang w:val="es-ES" w:eastAsia="es-ES" w:bidi="es-ES"/>
        </w:rPr>
      </w:pPr>
      <w:r w:rsidRPr="00E2397D">
        <w:rPr>
          <w:rFonts w:ascii="Verdana" w:eastAsia="Arial" w:hAnsi="Verdana" w:cs="Arial"/>
          <w:lang w:val="es-ES" w:eastAsia="es-ES" w:bidi="es-ES"/>
        </w:rPr>
        <w:t>Ambas restricciones no son excluyentes, lo que permite concluir que</w:t>
      </w:r>
      <w:r>
        <w:rPr>
          <w:rFonts w:ascii="Verdana" w:eastAsia="Arial" w:hAnsi="Verdana" w:cs="Arial"/>
          <w:lang w:val="es-ES" w:eastAsia="es-ES" w:bidi="es-ES"/>
        </w:rPr>
        <w:t>,</w:t>
      </w:r>
      <w:r w:rsidRPr="00E2397D">
        <w:rPr>
          <w:rFonts w:ascii="Verdana" w:eastAsia="Arial" w:hAnsi="Verdana" w:cs="Arial"/>
          <w:lang w:val="es-ES" w:eastAsia="es-ES" w:bidi="es-ES"/>
        </w:rPr>
        <w:t xml:space="preserv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bookmarkEnd w:id="10"/>
    <w:p w14:paraId="2882696A" w14:textId="77777777" w:rsidR="005C148F" w:rsidRDefault="005C148F" w:rsidP="005C148F">
      <w:pPr>
        <w:spacing w:after="0" w:line="276" w:lineRule="auto"/>
        <w:ind w:firstLine="709"/>
        <w:jc w:val="both"/>
        <w:rPr>
          <w:rFonts w:ascii="Verdana" w:eastAsia="Arial" w:hAnsi="Verdana" w:cs="Arial"/>
          <w:lang w:val="es-ES" w:eastAsia="es-ES" w:bidi="es-ES"/>
        </w:rPr>
      </w:pPr>
      <w:r w:rsidRPr="00E2397D">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(6)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Esto excepto para el Vicepresidente que no haya ejercido la presidencia o que la haya ejercido por un tiempo inferior a tres (3) meses durante el respectivo cuatrienio, en forma continua o discontinua, conforme al artículo 197 de la Constitución Política. </w:t>
      </w:r>
    </w:p>
    <w:p w14:paraId="2E12DDE7" w14:textId="77777777" w:rsidR="005C148F" w:rsidRPr="00E2397D" w:rsidRDefault="005C148F" w:rsidP="005C148F">
      <w:pPr>
        <w:spacing w:after="120" w:line="276" w:lineRule="auto"/>
        <w:ind w:firstLine="708"/>
        <w:jc w:val="both"/>
        <w:rPr>
          <w:rFonts w:ascii="Verdana" w:eastAsia="Arial" w:hAnsi="Verdana" w:cs="Arial"/>
          <w:lang w:val="es-ES" w:eastAsia="es-ES" w:bidi="es-ES"/>
        </w:rPr>
      </w:pPr>
      <w:r w:rsidRPr="00E2397D">
        <w:rPr>
          <w:rFonts w:ascii="Verdana" w:eastAsia="Arial" w:hAnsi="Verdana" w:cs="Arial"/>
          <w:lang w:val="es-ES" w:eastAsia="es-ES" w:bidi="es-ES"/>
        </w:rPr>
        <w:t xml:space="preserve"> </w:t>
      </w:r>
    </w:p>
    <w:p w14:paraId="24D7AAF4" w14:textId="77777777" w:rsidR="005C148F" w:rsidRPr="00E2397D" w:rsidRDefault="005C148F" w:rsidP="005C148F">
      <w:pPr>
        <w:spacing w:after="120" w:line="276" w:lineRule="auto"/>
        <w:jc w:val="both"/>
        <w:rPr>
          <w:rFonts w:ascii="Verdana" w:eastAsia="Times New Roman" w:hAnsi="Verdana" w:cs="Arial"/>
          <w:lang w:val="es-MX" w:eastAsia="x-none"/>
        </w:rPr>
      </w:pPr>
      <w:r w:rsidRPr="00E2397D">
        <w:rPr>
          <w:rFonts w:ascii="Verdana" w:eastAsia="Arial" w:hAnsi="Verdana" w:cs="Arial"/>
          <w:lang w:val="es-ES" w:eastAsia="es-ES" w:bidi="es-ES"/>
        </w:rPr>
        <w:t xml:space="preserve">iii. Ahora bien, </w:t>
      </w:r>
      <w:r w:rsidRPr="00E2397D">
        <w:rPr>
          <w:rFonts w:ascii="Verdana" w:eastAsia="Calibri" w:hAnsi="Verdana" w:cs="Arial"/>
          <w:lang w:eastAsia="es-ES" w:bidi="es-ES"/>
        </w:rPr>
        <w:t xml:space="preserve">para </w:t>
      </w:r>
      <w:r>
        <w:rPr>
          <w:rFonts w:ascii="Verdana" w:eastAsia="Calibri" w:hAnsi="Verdana" w:cs="Arial"/>
          <w:lang w:eastAsia="es-ES" w:bidi="es-ES"/>
        </w:rPr>
        <w:t xml:space="preserve">responder al problema jurídico </w:t>
      </w:r>
      <w:r w:rsidRPr="00E2397D">
        <w:rPr>
          <w:rFonts w:ascii="Verdana" w:eastAsia="Calibri" w:hAnsi="Verdana" w:cs="Arial"/>
          <w:lang w:eastAsia="es-ES" w:bidi="es-ES"/>
        </w:rPr>
        <w:t xml:space="preserve">planteado resulta necesario precisar el alcance de la prohibición </w:t>
      </w:r>
      <w:r w:rsidRPr="00E2397D">
        <w:rPr>
          <w:rFonts w:ascii="Verdana" w:eastAsia="Arial" w:hAnsi="Verdana" w:cs="Arial"/>
          <w:lang w:val="es-ES" w:eastAsia="es-ES" w:bidi="es-ES"/>
        </w:rPr>
        <w:t>establecida en e</w:t>
      </w:r>
      <w:r w:rsidRPr="00E2397D">
        <w:rPr>
          <w:rFonts w:ascii="Verdana" w:eastAsia="Calibri" w:hAnsi="Verdana" w:cs="Arial"/>
        </w:rPr>
        <w:t>l parágrafo del artículo 38 de la Ley 996 de 2005. La citada norm</w:t>
      </w:r>
      <w:r>
        <w:rPr>
          <w:rFonts w:ascii="Verdana" w:eastAsia="Calibri" w:hAnsi="Verdana" w:cs="Arial"/>
        </w:rPr>
        <w:t xml:space="preserve">a dispone: </w:t>
      </w:r>
      <w:r w:rsidRPr="00E2397D">
        <w:rPr>
          <w:rFonts w:ascii="Verdana" w:eastAsia="Calibri" w:hAnsi="Verdana" w:cs="Arial"/>
        </w:rPr>
        <w:t xml:space="preserve">“[l]os Gobernadores, Alcaldes Municipales y/o Distritales, Secretarios, Gerentes y directores de Entidades Descentralizadas del orden Municipal, Departamental o Distrital, dentro de los cuatro (4) meses anteriores a las elecciones, no podrán celebrar </w:t>
      </w:r>
      <w:r w:rsidRPr="00E2397D">
        <w:rPr>
          <w:rFonts w:ascii="Verdana" w:eastAsia="Calibri" w:hAnsi="Verdana" w:cs="Arial"/>
          <w:i/>
          <w:iCs/>
        </w:rPr>
        <w:t>convenios interadministrativos</w:t>
      </w:r>
      <w:r w:rsidRPr="00E2397D">
        <w:rPr>
          <w:rFonts w:ascii="Verdana" w:eastAsia="Calibri" w:hAnsi="Verdana" w:cs="Arial"/>
        </w:rPr>
        <w:t xml:space="preserve"> para la ejecución de recursos públicos”.</w:t>
      </w:r>
      <w:r w:rsidRPr="00E2397D">
        <w:rPr>
          <w:rFonts w:ascii="Verdana" w:eastAsia="Times New Roman" w:hAnsi="Verdana" w:cs="Arial"/>
          <w:lang w:val="es-MX" w:eastAsia="x-none"/>
        </w:rPr>
        <w:t xml:space="preserve"> </w:t>
      </w:r>
      <w:bookmarkStart w:id="11" w:name="_Hlk99578153"/>
      <w:r w:rsidRPr="00E2397D">
        <w:rPr>
          <w:rFonts w:ascii="Verdana" w:eastAsia="Times New Roman" w:hAnsi="Verdana" w:cs="Arial"/>
          <w:lang w:val="es-MX" w:eastAsia="x-none"/>
        </w:rPr>
        <w:t>[Énfasis fuera del texto original]</w:t>
      </w:r>
    </w:p>
    <w:p w14:paraId="00C629C9" w14:textId="77777777" w:rsidR="005C148F" w:rsidRPr="00E2397D" w:rsidRDefault="005C148F" w:rsidP="005C148F">
      <w:pPr>
        <w:spacing w:after="120" w:line="276" w:lineRule="auto"/>
        <w:ind w:firstLine="709"/>
        <w:jc w:val="both"/>
        <w:rPr>
          <w:rFonts w:ascii="Verdana" w:eastAsia="Calibri" w:hAnsi="Verdana" w:cs="Arial"/>
          <w:lang w:bidi="es-ES"/>
        </w:rPr>
      </w:pPr>
      <w:r w:rsidRPr="00E2397D">
        <w:rPr>
          <w:rFonts w:ascii="Verdana" w:eastAsia="Times New Roman" w:hAnsi="Verdana" w:cs="Arial"/>
          <w:lang w:val="es-MX" w:eastAsia="x-none"/>
        </w:rPr>
        <w:lastRenderedPageBreak/>
        <w:t xml:space="preserve">Sobre este aspecto, es importante señalar que esta Subdirección, en los conceptos emitidos sobre la aplicación de la Ley de Garantías Electorales, ha defendido y mantenido la postura acerca de que la prohibición señalada en </w:t>
      </w:r>
      <w:r w:rsidRPr="00E2397D">
        <w:rPr>
          <w:rFonts w:ascii="Verdana" w:eastAsia="Arial" w:hAnsi="Verdana" w:cs="Arial"/>
          <w:lang w:val="es-ES" w:eastAsia="es-ES" w:bidi="es-ES"/>
        </w:rPr>
        <w:t>e</w:t>
      </w:r>
      <w:r w:rsidRPr="00E2397D">
        <w:rPr>
          <w:rFonts w:ascii="Verdana" w:eastAsia="Calibri" w:hAnsi="Verdana" w:cs="Arial"/>
        </w:rPr>
        <w:t xml:space="preserve">l parágrafo del artículo 38 cobija tanto a los convenios como a los contratos interadministrativos. Esta tesis se fundamenta en que </w:t>
      </w:r>
      <w:r w:rsidRPr="00E2397D">
        <w:rPr>
          <w:rFonts w:ascii="Verdana" w:eastAsia="Calibri" w:hAnsi="Verdana" w:cs="Arial"/>
          <w:lang w:bidi="es-ES"/>
        </w:rPr>
        <w:t>si bien actualmente el Estatuto General de Contratación de la Administración Públ</w:t>
      </w:r>
      <w:r>
        <w:rPr>
          <w:rFonts w:ascii="Verdana" w:eastAsia="Calibri" w:hAnsi="Verdana" w:cs="Arial"/>
          <w:lang w:bidi="es-ES"/>
        </w:rPr>
        <w:t>ica – en adelante EGCAP – se refiere</w:t>
      </w:r>
      <w:r w:rsidRPr="00E2397D">
        <w:rPr>
          <w:rFonts w:ascii="Verdana" w:eastAsia="Calibri" w:hAnsi="Verdana" w:cs="Arial"/>
          <w:lang w:bidi="es-ES"/>
        </w:rPr>
        <w:t xml:space="preserve"> de manera expresa al contrato interadministrativo o en términos generales a los interadministrativos y no al convenio, no por esto puede concluirse que se trate de figuras totalmente diferentes, pues las Entidades del Estado, en el marco de la Ley 80 de 1993, pueden acordar entre sí diferentes tipos de obligaciones, siempre que su objeto de creación les permita cumplirlas, con el objetivo común de materializar los fines del Estado. </w:t>
      </w:r>
    </w:p>
    <w:p w14:paraId="4D3DC103" w14:textId="77777777" w:rsidR="005C148F" w:rsidRPr="00E2397D" w:rsidRDefault="005C148F" w:rsidP="005C148F">
      <w:pPr>
        <w:spacing w:after="120" w:line="276" w:lineRule="auto"/>
        <w:ind w:firstLine="709"/>
        <w:jc w:val="both"/>
        <w:rPr>
          <w:rFonts w:ascii="Verdana" w:eastAsia="Calibri" w:hAnsi="Verdana" w:cs="Arial"/>
          <w:lang w:bidi="es-ES"/>
        </w:rPr>
      </w:pPr>
      <w:r w:rsidRPr="00E2397D">
        <w:rPr>
          <w:rFonts w:ascii="Verdana" w:eastAsia="Calibri" w:hAnsi="Verdana" w:cs="Arial"/>
          <w:lang w:bidi="es-ES"/>
        </w:rPr>
        <w:t xml:space="preserve">Por este motivo, se argumenta en dichos conceptos que cuando la Ley 80 de 1993 se refiere a contratos interadministrativos de la misma forma lo hace frente a los convenios, entre otras razones, porque este cuerpo normativo faculta a las Entidades Públicas a celebrar los demás acuerdos que permitan la autonomía de la voluntad y requieran el cumplimiento de los fines estatales. Además, se señala que </w:t>
      </w:r>
      <w:r w:rsidRPr="00E2397D">
        <w:rPr>
          <w:rFonts w:ascii="Verdana" w:eastAsia="Arial" w:hAnsi="Verdana" w:cs="Arial"/>
          <w:lang w:val="es-ES" w:eastAsia="es-ES" w:bidi="es-ES"/>
        </w:rPr>
        <w:t>el legislador y el ordenamiento jurídico, en general, en distintas ocasiones utiliza de forma indistinta los conceptos de contrato o convenio para referirse a la misma institución jurídica</w:t>
      </w:r>
      <w:r w:rsidRPr="00E2397D">
        <w:rPr>
          <w:rFonts w:ascii="Verdana" w:eastAsia="Arial" w:hAnsi="Verdana" w:cs="Arial"/>
          <w:vertAlign w:val="superscript"/>
          <w:lang w:val="es-ES" w:eastAsia="es-ES" w:bidi="es-ES"/>
        </w:rPr>
        <w:footnoteReference w:id="11"/>
      </w:r>
      <w:r w:rsidRPr="00E2397D">
        <w:rPr>
          <w:rFonts w:ascii="Verdana" w:eastAsia="Arial" w:hAnsi="Verdana" w:cs="Arial"/>
          <w:lang w:val="es-ES" w:eastAsia="es-ES" w:bidi="es-ES"/>
        </w:rPr>
        <w:t>. Incluso, la Corte Constitucional fundamenta la posibilidad de celebrar convenios interadministrativos de forma directa, con fundamento en la causal establecida en la Ley 1150 de 2007 respecto a los contratos interadministrativos</w:t>
      </w:r>
      <w:r w:rsidRPr="00E2397D">
        <w:rPr>
          <w:rFonts w:ascii="Verdana" w:eastAsia="Arial" w:hAnsi="Verdana" w:cs="Arial"/>
          <w:vertAlign w:val="superscript"/>
          <w:lang w:val="es-ES" w:eastAsia="es-ES" w:bidi="es-ES"/>
        </w:rPr>
        <w:footnoteReference w:id="12"/>
      </w:r>
      <w:r w:rsidRPr="00E2397D">
        <w:rPr>
          <w:rFonts w:ascii="Verdana" w:eastAsia="Arial" w:hAnsi="Verdana" w:cs="Arial"/>
          <w:lang w:val="es-ES" w:eastAsia="es-ES" w:bidi="es-ES"/>
        </w:rPr>
        <w:t>.</w:t>
      </w:r>
    </w:p>
    <w:p w14:paraId="55226462" w14:textId="77777777" w:rsidR="005C148F" w:rsidRPr="00E2397D" w:rsidRDefault="005C148F" w:rsidP="005C148F">
      <w:pPr>
        <w:widowControl w:val="0"/>
        <w:autoSpaceDE w:val="0"/>
        <w:autoSpaceDN w:val="0"/>
        <w:spacing w:after="0" w:line="276" w:lineRule="auto"/>
        <w:ind w:firstLine="709"/>
        <w:contextualSpacing/>
        <w:jc w:val="both"/>
        <w:rPr>
          <w:rFonts w:ascii="Verdana" w:eastAsia="Arial" w:hAnsi="Verdana" w:cs="Arial"/>
          <w:lang w:val="es-ES" w:eastAsia="es-ES" w:bidi="es-ES"/>
        </w:rPr>
      </w:pPr>
      <w:r w:rsidRPr="00E2397D">
        <w:rPr>
          <w:rFonts w:ascii="Verdana" w:eastAsia="Calibri" w:hAnsi="Verdana" w:cs="Arial"/>
          <w:lang w:val="es-ES" w:bidi="es-ES"/>
        </w:rPr>
        <w:t>De este modo, en la Circular Externa</w:t>
      </w:r>
      <w:r w:rsidRPr="00E2397D">
        <w:rPr>
          <w:rFonts w:ascii="Verdana" w:eastAsia="Arial" w:hAnsi="Verdana" w:cs="Arial"/>
          <w:lang w:val="es-ES" w:eastAsia="es-ES" w:bidi="es-ES"/>
        </w:rPr>
        <w:t xml:space="preserve"> Única de Colombia Compra Eficiente, pese a reconocer que se han realizado algunas distinciones jurisprudenciales en torno a los contratos y convenios interadministrativos, relacionados con el alcance de las obligaciones que los caracterizan, se señaló que no existe una definición legal que diferencie los conceptos de convenio o de contrato. En este sentido, la Circular, refiriéndose al parágrafo del artículo 38 de la Ley 996 de </w:t>
      </w:r>
      <w:r w:rsidRPr="00E2397D">
        <w:rPr>
          <w:rFonts w:ascii="Verdana" w:eastAsia="Arial" w:hAnsi="Verdana" w:cs="Arial"/>
          <w:lang w:val="es-ES" w:eastAsia="es-ES" w:bidi="es-ES"/>
        </w:rPr>
        <w:lastRenderedPageBreak/>
        <w:t>2005, expresa lo siguiente en el numeral 16.2:</w:t>
      </w:r>
    </w:p>
    <w:p w14:paraId="2371F62B" w14:textId="77777777" w:rsidR="005C148F" w:rsidRPr="00E2397D" w:rsidRDefault="005C148F" w:rsidP="005C148F">
      <w:pPr>
        <w:widowControl w:val="0"/>
        <w:autoSpaceDE w:val="0"/>
        <w:autoSpaceDN w:val="0"/>
        <w:spacing w:after="0" w:line="276" w:lineRule="auto"/>
        <w:contextualSpacing/>
        <w:jc w:val="both"/>
        <w:rPr>
          <w:rFonts w:ascii="Verdana" w:eastAsia="Arial" w:hAnsi="Verdana" w:cs="Arial"/>
          <w:lang w:val="es-ES" w:eastAsia="es-ES" w:bidi="es-ES"/>
        </w:rPr>
      </w:pPr>
    </w:p>
    <w:p w14:paraId="65FD9F0B" w14:textId="77777777" w:rsidR="005C148F" w:rsidRPr="00E2397D" w:rsidRDefault="005C148F" w:rsidP="005C148F">
      <w:pPr>
        <w:spacing w:after="0" w:line="240" w:lineRule="auto"/>
        <w:ind w:left="709" w:right="709"/>
        <w:jc w:val="both"/>
        <w:rPr>
          <w:rFonts w:ascii="Verdana" w:eastAsia="Calibri" w:hAnsi="Verdana" w:cs="Arial"/>
          <w:sz w:val="20"/>
          <w:szCs w:val="20"/>
          <w:lang w:val="es-MX"/>
        </w:rPr>
      </w:pPr>
      <w:r w:rsidRPr="00E2397D">
        <w:rPr>
          <w:rFonts w:ascii="Verdana" w:eastAsia="Calibri" w:hAnsi="Verdana" w:cs="Arial"/>
          <w:sz w:val="20"/>
          <w:szCs w:val="20"/>
          <w:lang w:val="es-ES_tradnl"/>
        </w:rPr>
        <w:t xml:space="preserve">“Esta restricción es aplicable tanto a los convenios como a los contratos interadministrativos. Toda vez que, al no existir definición legal que diferencie el concepto de convenio del concepto de contrato, la denominación prevista por la Ley 80 de 1993 y la Ley 1150 de 2007 </w:t>
      </w:r>
      <w:r w:rsidRPr="00E2397D">
        <w:rPr>
          <w:rFonts w:ascii="Verdana" w:eastAsia="Calibri" w:hAnsi="Verdana" w:cs="Arial"/>
          <w:sz w:val="20"/>
          <w:szCs w:val="20"/>
          <w:lang w:val="es-MX"/>
        </w:rPr>
        <w:t>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w:t>
      </w:r>
    </w:p>
    <w:p w14:paraId="4DCB5784" w14:textId="77777777" w:rsidR="005C148F" w:rsidRPr="00E2397D" w:rsidRDefault="005C148F" w:rsidP="005C148F">
      <w:pPr>
        <w:spacing w:after="0" w:line="240" w:lineRule="auto"/>
        <w:ind w:left="709" w:right="709"/>
        <w:jc w:val="both"/>
        <w:rPr>
          <w:rFonts w:ascii="Verdana" w:eastAsia="Calibri" w:hAnsi="Verdana" w:cs="Arial"/>
          <w:sz w:val="20"/>
          <w:szCs w:val="20"/>
          <w:lang w:val="es-MX"/>
        </w:rPr>
      </w:pPr>
    </w:p>
    <w:p w14:paraId="0CE939B9" w14:textId="77777777" w:rsidR="005C148F" w:rsidRPr="00E2397D" w:rsidRDefault="005C148F" w:rsidP="005C148F">
      <w:pPr>
        <w:spacing w:after="0" w:line="240" w:lineRule="auto"/>
        <w:ind w:left="709" w:right="709"/>
        <w:jc w:val="both"/>
        <w:rPr>
          <w:rFonts w:ascii="Verdana" w:eastAsia="Calibri" w:hAnsi="Verdana" w:cs="Arial"/>
          <w:sz w:val="20"/>
          <w:szCs w:val="20"/>
          <w:lang w:val="es-MX"/>
        </w:rPr>
      </w:pPr>
      <w:r w:rsidRPr="00E2397D">
        <w:rPr>
          <w:rFonts w:ascii="Verdana" w:eastAsia="Calibri" w:hAnsi="Verdana" w:cs="Arial"/>
          <w:sz w:val="20"/>
          <w:szCs w:val="20"/>
          <w:lang w:val="es-MX"/>
        </w:rPr>
        <w:t>No obstante, por vía jurisprudencial se ha establecido que en los contratos interadministrativos existe una contraprestación directa a favor de la entidad que ha entregado el bien o prestado el servicio a la Entidad contratante, habilitado para ello por su objeto legal como entidad ejecutora, como quiera que las obligaciones asignadas legalmente a aquella entidad pública están directamente relacionadas con el objeto contractual. Por su parte, en los convenios interadministrativos las entidades se asocian con el fin de cooperar en el cumplimiento de funciones administrativas o de prestar conjuntamente servicios que se hallen a su cargo, sin que exista una contraprestación para ninguna de las entidades ni la prestación de un servicio a cargo de alguna de ellas y en favor de la otra parte del convenio.</w:t>
      </w:r>
    </w:p>
    <w:p w14:paraId="6A582EB8" w14:textId="77777777" w:rsidR="005C148F" w:rsidRPr="00E2397D" w:rsidRDefault="005C148F" w:rsidP="005C148F">
      <w:pPr>
        <w:spacing w:after="0" w:line="240" w:lineRule="auto"/>
        <w:ind w:left="709" w:right="709"/>
        <w:jc w:val="both"/>
        <w:rPr>
          <w:rFonts w:ascii="Verdana" w:eastAsia="Calibri" w:hAnsi="Verdana" w:cs="Arial"/>
          <w:sz w:val="20"/>
          <w:szCs w:val="20"/>
          <w:lang w:val="es-MX"/>
        </w:rPr>
      </w:pPr>
    </w:p>
    <w:p w14:paraId="540531BE" w14:textId="77777777" w:rsidR="005C148F" w:rsidRPr="00E2397D" w:rsidRDefault="005C148F" w:rsidP="005C148F">
      <w:pPr>
        <w:spacing w:after="0" w:line="240" w:lineRule="auto"/>
        <w:ind w:left="709" w:right="709"/>
        <w:jc w:val="both"/>
        <w:rPr>
          <w:rFonts w:ascii="Verdana" w:eastAsia="Calibri" w:hAnsi="Verdana" w:cs="Arial"/>
          <w:sz w:val="20"/>
          <w:szCs w:val="20"/>
          <w:lang w:val="es-MX"/>
        </w:rPr>
      </w:pPr>
      <w:bookmarkStart w:id="12" w:name="_Hlk193459059"/>
      <w:r w:rsidRPr="00E2397D">
        <w:rPr>
          <w:rFonts w:ascii="Verdana" w:eastAsia="Calibri" w:hAnsi="Verdana" w:cs="Arial"/>
          <w:sz w:val="20"/>
          <w:szCs w:val="20"/>
          <w:lang w:val="es-MX"/>
        </w:rPr>
        <w:t>En el contexto de la Ley de Garantías, las restricciones además de propender por la igualdad de los candidatos están encaminadas a evitar que por medio de la contratación se altere la voluntad popular, lo cual se puede lograr a través de contratos o convenios. En este sentido, la prohibición que establece el parágrafo del artículo 38 de la Ley de Garantías consiste en evitar que los recursos del Estado se ejecuten para lograr apoyos indebidos mediante la suscripción de contratos y/o convenios, que para efectos de la Ley de Garantías tienen la misma connotación y propósit</w:t>
      </w:r>
      <w:bookmarkEnd w:id="12"/>
      <w:r w:rsidRPr="00E2397D">
        <w:rPr>
          <w:rFonts w:ascii="Verdana" w:eastAsia="Calibri" w:hAnsi="Verdana" w:cs="Arial"/>
          <w:sz w:val="20"/>
          <w:szCs w:val="20"/>
          <w:lang w:val="es-MX"/>
        </w:rPr>
        <w:t>o”.</w:t>
      </w:r>
    </w:p>
    <w:p w14:paraId="66522B40" w14:textId="77777777" w:rsidR="005C148F" w:rsidRPr="00E2397D" w:rsidRDefault="005C148F" w:rsidP="005C148F">
      <w:pPr>
        <w:widowControl w:val="0"/>
        <w:autoSpaceDE w:val="0"/>
        <w:autoSpaceDN w:val="0"/>
        <w:spacing w:after="0" w:line="276" w:lineRule="auto"/>
        <w:contextualSpacing/>
        <w:jc w:val="both"/>
        <w:rPr>
          <w:rFonts w:ascii="Verdana" w:eastAsia="Arial" w:hAnsi="Verdana" w:cs="Arial"/>
          <w:lang w:val="es-ES" w:eastAsia="es-ES" w:bidi="es-ES"/>
        </w:rPr>
      </w:pPr>
    </w:p>
    <w:p w14:paraId="79521F4C" w14:textId="77777777" w:rsidR="005C148F" w:rsidRPr="00E2397D" w:rsidRDefault="005C148F" w:rsidP="005C148F">
      <w:pPr>
        <w:spacing w:after="120" w:line="276" w:lineRule="auto"/>
        <w:ind w:firstLine="709"/>
        <w:jc w:val="both"/>
        <w:rPr>
          <w:rFonts w:ascii="Verdana" w:eastAsia="Arial" w:hAnsi="Verdana" w:cs="Arial"/>
          <w:lang w:val="es-MX" w:eastAsia="es-ES" w:bidi="es-ES"/>
        </w:rPr>
      </w:pPr>
      <w:r w:rsidRPr="00E2397D">
        <w:rPr>
          <w:rFonts w:ascii="Verdana" w:eastAsia="Arial" w:hAnsi="Verdana" w:cs="Arial"/>
          <w:lang w:val="es-ES" w:eastAsia="es-ES" w:bidi="es-ES"/>
        </w:rPr>
        <w:t>Con base en lo expuesto, debido a que no existe una definición legal que diferencie los conceptos de contrato y convenio, esta Agencia ha partido de su asimilación para la aplicación de la Ley de Garantías Electorales, por lo que la interpretación que se ha efectuado d</w:t>
      </w:r>
      <w:r w:rsidRPr="00E2397D">
        <w:rPr>
          <w:rFonts w:ascii="Verdana" w:eastAsia="Arial" w:hAnsi="Verdana" w:cs="Arial"/>
          <w:lang w:val="es-MX" w:eastAsia="es-ES" w:bidi="es-ES"/>
        </w:rPr>
        <w:t>el parágrafo del artículo 38 de la Ley 996 de 2005 es que prohíbe a los alcaldes, gobernadores, secretarios, gerentes y directores de las entidades del orden municipal, departamental o distrital celebrar convenios y contratos interadministrativos para la ejecución de recursos públicos.</w:t>
      </w:r>
    </w:p>
    <w:p w14:paraId="5E8799C6" w14:textId="77777777" w:rsidR="005C148F" w:rsidRPr="00E2397D" w:rsidRDefault="005C148F" w:rsidP="005C148F">
      <w:pPr>
        <w:spacing w:after="0" w:line="276" w:lineRule="auto"/>
        <w:ind w:firstLine="709"/>
        <w:jc w:val="both"/>
      </w:pPr>
      <w:r w:rsidRPr="00E2397D">
        <w:rPr>
          <w:rFonts w:ascii="Verdana" w:eastAsia="Arial" w:hAnsi="Verdana" w:cs="Arial"/>
          <w:lang w:val="es-MX" w:eastAsia="es-ES" w:bidi="es-ES"/>
        </w:rPr>
        <w:lastRenderedPageBreak/>
        <w:t xml:space="preserve">No obstante, conviene señalar que, mediante auto de 4 de octubre del 2024, el Consejo de Estado, Sección Tercera, decretó medida de suspensión provisional parcial del </w:t>
      </w:r>
      <w:r w:rsidRPr="00E2397D">
        <w:rPr>
          <w:rFonts w:ascii="Verdana" w:hAnsi="Verdana"/>
        </w:rPr>
        <w:t>numeral 16.2 de la Circular Externa Única de 2022 expedida por la Agencia Nacional de Contratación Pública -Colombia Compra Eficiente-, concretamente, respecto de los siguientes apartes normativos</w:t>
      </w:r>
      <w:r w:rsidRPr="00E2397D">
        <w:rPr>
          <w:rFonts w:ascii="Verdana" w:hAnsi="Verdana"/>
          <w:vertAlign w:val="superscript"/>
        </w:rPr>
        <w:footnoteReference w:id="13"/>
      </w:r>
      <w:r w:rsidRPr="00E2397D">
        <w:rPr>
          <w:rFonts w:ascii="Verdana" w:hAnsi="Verdana"/>
        </w:rPr>
        <w:t>:</w:t>
      </w:r>
      <w:r w:rsidRPr="00E2397D">
        <w:t xml:space="preserve"> </w:t>
      </w:r>
    </w:p>
    <w:p w14:paraId="132321D1" w14:textId="77777777" w:rsidR="005C148F" w:rsidRPr="00E2397D" w:rsidRDefault="005C148F" w:rsidP="005C148F">
      <w:pPr>
        <w:spacing w:after="0" w:line="276" w:lineRule="auto"/>
        <w:ind w:firstLine="709"/>
        <w:jc w:val="both"/>
      </w:pPr>
    </w:p>
    <w:p w14:paraId="45D4FD15" w14:textId="77777777" w:rsidR="005C148F" w:rsidRPr="00E2397D" w:rsidRDefault="005C148F" w:rsidP="005C148F">
      <w:pPr>
        <w:spacing w:after="0" w:line="240" w:lineRule="auto"/>
        <w:ind w:left="709" w:right="709"/>
        <w:jc w:val="both"/>
        <w:rPr>
          <w:rFonts w:ascii="Verdana" w:eastAsia="Calibri" w:hAnsi="Verdana" w:cs="Arial"/>
          <w:sz w:val="20"/>
          <w:szCs w:val="20"/>
        </w:rPr>
      </w:pPr>
      <w:r w:rsidRPr="00E2397D">
        <w:rPr>
          <w:rFonts w:ascii="Verdana" w:eastAsia="Calibri" w:hAnsi="Verdana" w:cs="Arial"/>
          <w:sz w:val="20"/>
          <w:szCs w:val="20"/>
          <w:lang w:val="es-MX"/>
        </w:rPr>
        <w:t>i)</w:t>
      </w:r>
      <w:r w:rsidRPr="00E2397D">
        <w:rPr>
          <w:rFonts w:ascii="Verdana" w:eastAsia="Calibri" w:hAnsi="Verdana" w:cs="Arial"/>
          <w:sz w:val="20"/>
          <w:szCs w:val="20"/>
        </w:rPr>
        <w:t xml:space="preserve"> el inciso segundo 2 que dispone: “Esta restricción es aplicable tanto a los convenios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 y, </w:t>
      </w:r>
    </w:p>
    <w:p w14:paraId="16FDE446" w14:textId="77777777" w:rsidR="005C148F" w:rsidRPr="00E2397D" w:rsidRDefault="005C148F" w:rsidP="005C148F">
      <w:pPr>
        <w:spacing w:after="0" w:line="240" w:lineRule="auto"/>
        <w:ind w:left="709" w:right="709"/>
        <w:jc w:val="both"/>
        <w:rPr>
          <w:rFonts w:ascii="Verdana" w:eastAsia="Calibri" w:hAnsi="Verdana" w:cs="Arial"/>
          <w:sz w:val="20"/>
          <w:szCs w:val="20"/>
        </w:rPr>
      </w:pPr>
    </w:p>
    <w:p w14:paraId="252B1C83" w14:textId="77777777" w:rsidR="005C148F" w:rsidRPr="00E2397D" w:rsidRDefault="005C148F" w:rsidP="005C148F">
      <w:pPr>
        <w:spacing w:after="0" w:line="240" w:lineRule="auto"/>
        <w:ind w:left="709" w:right="709"/>
        <w:jc w:val="both"/>
        <w:rPr>
          <w:rFonts w:ascii="Verdana" w:hAnsi="Verdana"/>
          <w:sz w:val="20"/>
          <w:szCs w:val="20"/>
        </w:rPr>
      </w:pPr>
      <w:r w:rsidRPr="00E2397D">
        <w:rPr>
          <w:rFonts w:ascii="Verdana" w:hAnsi="Verdana"/>
          <w:sz w:val="20"/>
          <w:szCs w:val="20"/>
        </w:rPr>
        <w:t xml:space="preserve">ii) la expresión y el siguiente párrafo contenidos en el inciso cuarto “contratos” y “En este sentido, la prohibición que establece el parágrafo del artículo 38 de la Ley de Garantías consiste en evitar que los recursos del Estado se ejecuten para lograr apoyos indebidos mediante la suscripción de contratos y/o convenios, que, para efectos de la Ley de Garantías, tienen la misma connotación y propósito”. </w:t>
      </w:r>
    </w:p>
    <w:p w14:paraId="01F18138" w14:textId="77777777" w:rsidR="005C148F" w:rsidRPr="00E2397D" w:rsidRDefault="005C148F" w:rsidP="005C148F">
      <w:pPr>
        <w:spacing w:after="0" w:line="276" w:lineRule="auto"/>
        <w:ind w:left="709" w:right="709"/>
        <w:jc w:val="both"/>
        <w:rPr>
          <w:rFonts w:ascii="Verdana" w:hAnsi="Verdana"/>
        </w:rPr>
      </w:pPr>
    </w:p>
    <w:p w14:paraId="28F6FA97" w14:textId="77777777" w:rsidR="005C148F" w:rsidRPr="00E2397D" w:rsidRDefault="005C148F" w:rsidP="005C148F">
      <w:pPr>
        <w:spacing w:after="120" w:line="276" w:lineRule="auto"/>
        <w:ind w:firstLine="709"/>
        <w:jc w:val="both"/>
        <w:rPr>
          <w:rFonts w:ascii="Verdana" w:eastAsia="Arial" w:hAnsi="Verdana" w:cs="Arial"/>
          <w:i/>
          <w:iCs/>
          <w:lang w:val="es-MX" w:eastAsia="es-ES" w:bidi="es-ES"/>
        </w:rPr>
      </w:pPr>
      <w:r w:rsidRPr="00E2397D">
        <w:rPr>
          <w:rFonts w:ascii="Verdana" w:eastAsia="Arial" w:hAnsi="Verdana" w:cs="Arial"/>
          <w:lang w:val="es-MX" w:eastAsia="es-ES" w:bidi="es-ES"/>
        </w:rPr>
        <w:t xml:space="preserve">De conformidad con los argumentos de dicha providencia, se parte de la distinción entre los conceptos </w:t>
      </w:r>
      <w:r w:rsidRPr="00E2397D">
        <w:rPr>
          <w:rFonts w:ascii="Verdana" w:eastAsia="Arial" w:hAnsi="Verdana" w:cs="Arial"/>
          <w:lang w:eastAsia="es-ES" w:bidi="es-ES"/>
        </w:rPr>
        <w:t xml:space="preserve">de “convenio” y “contrato” interadministrativos, para diferenciarlos en su naturaleza, contenido y alcance, lo cual ha servido de fundamento para que tanto la Sección Tercera como también la Sala de Consulta y Servicio Civil de esa Corporación hayan realzado la distinción entre uno y otro negocio jurídico. En este sentido, en relación con el parágrafo del artículo 38 de la Ley 996 de 2005 concluyó que </w:t>
      </w:r>
      <w:r w:rsidRPr="00E2397D">
        <w:rPr>
          <w:rFonts w:ascii="Verdana" w:eastAsia="Arial" w:hAnsi="Verdana" w:cs="Arial"/>
          <w:i/>
          <w:iCs/>
          <w:lang w:eastAsia="es-ES" w:bidi="es-ES"/>
        </w:rPr>
        <w:t xml:space="preserve">“si el legislador no diferenció al establecer la prohibición o la restricción, mal haría el reglamento en aplicar un efecto expansivo o extensivo para incluir una categoría no cobijada con la limitación, (…)”. </w:t>
      </w:r>
      <w:r w:rsidRPr="00E2397D">
        <w:rPr>
          <w:rFonts w:ascii="Verdana" w:eastAsia="Arial" w:hAnsi="Verdana" w:cs="Arial"/>
          <w:lang w:eastAsia="es-ES" w:bidi="es-ES"/>
        </w:rPr>
        <w:t xml:space="preserve">Por tal motivo, para efectos de decretar la medida de suspensión provisional de los apartes señalados del numeral </w:t>
      </w:r>
      <w:bookmarkStart w:id="13" w:name="_Hlk192497089"/>
      <w:r w:rsidRPr="00E2397D">
        <w:rPr>
          <w:rFonts w:ascii="Verdana" w:eastAsia="Arial" w:hAnsi="Verdana" w:cs="Arial"/>
          <w:lang w:eastAsia="es-ES" w:bidi="es-ES"/>
        </w:rPr>
        <w:t>16.2 de la Circular Externa Única</w:t>
      </w:r>
      <w:bookmarkEnd w:id="13"/>
      <w:r w:rsidRPr="00E2397D">
        <w:rPr>
          <w:rFonts w:ascii="Verdana" w:eastAsia="Arial" w:hAnsi="Verdana" w:cs="Arial"/>
          <w:lang w:eastAsia="es-ES" w:bidi="es-ES"/>
        </w:rPr>
        <w:t xml:space="preserve">, argumentó que </w:t>
      </w:r>
      <w:r w:rsidRPr="00E2397D">
        <w:rPr>
          <w:rFonts w:ascii="Verdana" w:eastAsia="Arial" w:hAnsi="Verdana" w:cs="Arial"/>
          <w:i/>
          <w:iCs/>
          <w:lang w:eastAsia="es-ES" w:bidi="es-ES"/>
        </w:rPr>
        <w:t xml:space="preserve">“con independencia del propósito loable o plausible de la disposición ya que, procura que no se usen los recursos estatales para incidir o afectar la contienda electoral, no cabe duda de que la entidad demandada </w:t>
      </w:r>
      <w:r w:rsidRPr="00E2397D">
        <w:rPr>
          <w:rFonts w:ascii="Verdana" w:eastAsia="Arial" w:hAnsi="Verdana" w:cs="Arial"/>
          <w:i/>
          <w:iCs/>
          <w:lang w:eastAsia="es-ES" w:bidi="es-ES"/>
        </w:rPr>
        <w:lastRenderedPageBreak/>
        <w:t xml:space="preserve">incorporó en la prohibición una categoría que no quedó comprendida expresa e inequívocamente en la ley”. </w:t>
      </w:r>
    </w:p>
    <w:p w14:paraId="25F84402" w14:textId="77777777" w:rsidR="005C148F" w:rsidRPr="00E2397D" w:rsidRDefault="005C148F" w:rsidP="005C148F">
      <w:pPr>
        <w:spacing w:after="120" w:line="276" w:lineRule="auto"/>
        <w:ind w:firstLine="709"/>
        <w:jc w:val="both"/>
        <w:rPr>
          <w:rFonts w:ascii="Verdana" w:eastAsia="Calibri" w:hAnsi="Verdana" w:cs="Arial"/>
          <w:lang w:val="es-MX"/>
        </w:rPr>
      </w:pPr>
      <w:r w:rsidRPr="00E2397D">
        <w:rPr>
          <w:rFonts w:ascii="Verdana" w:eastAsia="Arial" w:hAnsi="Verdana" w:cs="Arial"/>
          <w:lang w:val="es-MX" w:eastAsia="es-ES" w:bidi="es-ES"/>
        </w:rPr>
        <w:t xml:space="preserve">Bajo este contexto, esta Agencia debe manifestar que, si bien respeta y acata las decisiones proferidas por el Consejo de Estado, como es el caso del auto de suspensión provisional parcial del numeral </w:t>
      </w:r>
      <w:r w:rsidRPr="00E2397D">
        <w:rPr>
          <w:rFonts w:ascii="Verdana" w:eastAsia="Arial" w:hAnsi="Verdana" w:cs="Arial"/>
          <w:lang w:eastAsia="es-ES" w:bidi="es-ES"/>
        </w:rPr>
        <w:t>16.2 de la Circular Externa Única</w:t>
      </w:r>
      <w:r w:rsidRPr="00E2397D">
        <w:rPr>
          <w:rFonts w:ascii="Verdana" w:eastAsia="Arial" w:hAnsi="Verdana" w:cs="Arial"/>
          <w:lang w:val="es-MX" w:eastAsia="es-ES" w:bidi="es-ES"/>
        </w:rPr>
        <w:t xml:space="preserve">, no comparte los argumentos expuestos por dicha Corporación. Esto, en la medida que, a juicio de esta Entidad, señalar que la Ley de Garantías Electorales no aplica para el caso de los contratos interadministrativos deja sin efecto el propósito buscado por la norma, que no es otro que </w:t>
      </w:r>
      <w:r w:rsidRPr="00E2397D">
        <w:rPr>
          <w:rFonts w:ascii="Verdana" w:eastAsia="Times New Roman" w:hAnsi="Verdana" w:cs="Arial"/>
          <w:lang w:val="es-MX" w:eastAsia="es-CO"/>
        </w:rPr>
        <w:t xml:space="preserve">evitar cualquier tipo de arbitrariedad, de ventaja injustificada, de uso irregular de los recursos del Estado en las campañas políticas, o que </w:t>
      </w:r>
      <w:r w:rsidRPr="00E2397D">
        <w:rPr>
          <w:rFonts w:ascii="Verdana" w:eastAsia="Calibri" w:hAnsi="Verdana" w:cs="Arial"/>
          <w:lang w:val="es-MX"/>
        </w:rPr>
        <w:t xml:space="preserve">los recursos del Estado se ejecuten para lograr apoyos indebidos mediante la suscripción de contratos y/o convenios, que para efectos de la Ley de Garantías tienen la misma connotación y propósitos. </w:t>
      </w:r>
    </w:p>
    <w:p w14:paraId="4055C057" w14:textId="77777777" w:rsidR="005C148F" w:rsidRPr="00E2397D" w:rsidRDefault="005C148F" w:rsidP="005C148F">
      <w:pPr>
        <w:spacing w:after="120" w:line="276" w:lineRule="auto"/>
        <w:ind w:firstLine="709"/>
        <w:jc w:val="both"/>
        <w:rPr>
          <w:rFonts w:ascii="Verdana" w:eastAsia="Arial" w:hAnsi="Verdana" w:cs="Arial"/>
          <w:lang w:val="es-MX" w:eastAsia="es-ES" w:bidi="es-ES"/>
        </w:rPr>
      </w:pPr>
      <w:r w:rsidRPr="00E2397D">
        <w:rPr>
          <w:rFonts w:ascii="Verdana" w:eastAsia="Calibri" w:hAnsi="Verdana" w:cs="Arial"/>
        </w:rPr>
        <w:t xml:space="preserve">Conforme a lo anterior, si bien la Agencia es respetuosa de las providencias proferidas por las autoridades judiciales, es necesario expresar el desacuerdo con el decreto de medida cautelar de suspensión provisional y la oposición a que se declare la nulidad del numeral </w:t>
      </w:r>
      <w:r w:rsidRPr="00E2397D">
        <w:rPr>
          <w:rFonts w:ascii="Verdana" w:eastAsia="Arial" w:hAnsi="Verdana" w:cs="Arial"/>
          <w:lang w:eastAsia="es-ES" w:bidi="es-ES"/>
        </w:rPr>
        <w:t xml:space="preserve">16.2 de la Circular Externa Única. Al señalar que los contratos interadministrativos deberían estar sujetos a las restricciones consagradas en el parágrafo del artículo 38, la Agencia busca proteger la transparencia, igualdad e integridad del proceso electoral. Así las cosas, </w:t>
      </w:r>
      <w:r w:rsidRPr="00E2397D">
        <w:rPr>
          <w:rFonts w:ascii="Verdana" w:eastAsia="Calibri" w:hAnsi="Verdana" w:cs="Arial"/>
          <w:lang w:val="es-MX"/>
        </w:rPr>
        <w:t xml:space="preserve">a la fecha, se espera la decisión final respecto a la declaratoria de nulidad del numeral 16.2 de la Circular Externa Única que adopte el Consejo de Estado. </w:t>
      </w:r>
    </w:p>
    <w:p w14:paraId="34C0AB9D" w14:textId="77777777" w:rsidR="005C148F" w:rsidRPr="00E2397D" w:rsidRDefault="005C148F" w:rsidP="005C148F">
      <w:pPr>
        <w:spacing w:after="120" w:line="276" w:lineRule="auto"/>
        <w:ind w:firstLine="709"/>
        <w:jc w:val="both"/>
        <w:rPr>
          <w:rFonts w:ascii="Verdana" w:eastAsia="Times New Roman" w:hAnsi="Verdana" w:cs="Arial"/>
          <w:lang w:val="es-MX" w:eastAsia="es-CO"/>
        </w:rPr>
      </w:pPr>
      <w:r w:rsidRPr="00E2397D">
        <w:rPr>
          <w:rFonts w:ascii="Verdana" w:eastAsia="Arial" w:hAnsi="Verdana" w:cs="Arial"/>
          <w:lang w:val="es-MX" w:eastAsia="es-ES" w:bidi="es-ES"/>
        </w:rPr>
        <w:t xml:space="preserve"> De esta manera, </w:t>
      </w:r>
      <w:bookmarkEnd w:id="11"/>
      <w:r w:rsidRPr="00E2397D">
        <w:rPr>
          <w:rFonts w:ascii="Verdana" w:eastAsia="Arial" w:hAnsi="Verdana" w:cs="Arial"/>
          <w:lang w:val="es-MX" w:eastAsia="es-ES" w:bidi="es-ES"/>
        </w:rPr>
        <w:t>s</w:t>
      </w:r>
      <w:proofErr w:type="spellStart"/>
      <w:r w:rsidRPr="00E2397D">
        <w:rPr>
          <w:rFonts w:ascii="Verdana" w:eastAsia="Times New Roman" w:hAnsi="Verdana" w:cs="Arial"/>
          <w:lang w:eastAsia="es-CO"/>
        </w:rPr>
        <w:t>e</w:t>
      </w:r>
      <w:proofErr w:type="spellEnd"/>
      <w:r w:rsidRPr="00E2397D">
        <w:rPr>
          <w:rFonts w:ascii="Verdana" w:eastAsia="Times New Roman" w:hAnsi="Verdana" w:cs="Arial"/>
          <w:lang w:eastAsia="es-CO"/>
        </w:rPr>
        <w:t xml:space="preserve"> observa entonces que </w:t>
      </w:r>
      <w:r w:rsidRPr="00E2397D">
        <w:rPr>
          <w:rFonts w:ascii="Verdana" w:eastAsia="Times New Roman" w:hAnsi="Verdana" w:cs="Arial"/>
          <w:lang w:val="es-MX" w:eastAsia="es-CO"/>
        </w:rPr>
        <w:t xml:space="preserve">el parágrafo del artículo 38 de la Ley 996 de 2005 prohíbe a los Alcaldes, Gobernadores, Secretarios, Gerentes y Directores de las entidades del orden municipal, departamental o distrital celebrar </w:t>
      </w:r>
      <w:r w:rsidRPr="00E2397D">
        <w:rPr>
          <w:rFonts w:ascii="Verdana" w:eastAsia="Times New Roman" w:hAnsi="Verdana" w:cs="Arial"/>
          <w:i/>
          <w:iCs/>
          <w:lang w:val="es-MX" w:eastAsia="es-CO"/>
        </w:rPr>
        <w:t>convenios interadministrativos</w:t>
      </w:r>
      <w:r w:rsidRPr="00E2397D">
        <w:rPr>
          <w:rFonts w:ascii="Verdana" w:eastAsia="Times New Roman" w:hAnsi="Verdana" w:cs="Arial"/>
          <w:lang w:val="es-MX" w:eastAsia="es-CO"/>
        </w:rPr>
        <w:t xml:space="preserve"> para la ejecución de recursos públicos. En este sentido, si una o ambas partes de la relación contractual es una entidad de aquellas descritas en el parágrafo </w:t>
      </w:r>
      <w:r w:rsidRPr="00E2397D">
        <w:rPr>
          <w:rFonts w:ascii="Verdana" w:eastAsia="Times New Roman" w:hAnsi="Verdana" w:cs="Arial"/>
          <w:i/>
          <w:lang w:val="es-MX" w:eastAsia="es-CO"/>
        </w:rPr>
        <w:t>ibidem</w:t>
      </w:r>
      <w:r w:rsidRPr="00E2397D">
        <w:rPr>
          <w:rFonts w:ascii="Verdana" w:eastAsia="Times New Roman" w:hAnsi="Verdana" w:cs="Arial"/>
          <w:lang w:val="es-MX" w:eastAsia="es-CO"/>
        </w:rPr>
        <w:t xml:space="preserve">, no podrá celebrar tales </w:t>
      </w:r>
      <w:r w:rsidRPr="00E2397D">
        <w:rPr>
          <w:rFonts w:ascii="Verdana" w:eastAsia="Times New Roman" w:hAnsi="Verdana" w:cs="Arial"/>
          <w:i/>
          <w:iCs/>
          <w:lang w:val="es-MX" w:eastAsia="es-CO"/>
        </w:rPr>
        <w:t>convenios</w:t>
      </w:r>
      <w:r w:rsidRPr="00E2397D">
        <w:rPr>
          <w:rFonts w:ascii="Verdana" w:eastAsia="Times New Roman" w:hAnsi="Verdana" w:cs="Arial"/>
          <w:lang w:val="es-MX" w:eastAsia="es-CO"/>
        </w:rPr>
        <w:t xml:space="preserve"> durante la aplicación de la Ley de Garantías Electorales, toda vez que la citada disposición hace referencia a dicha tipología contractual sin que el legislador hubiere contemplado un efecto extensivo a otra tipología. Ahora bien, como se expuso anteriormente, para esta Agencia tal restricción también cobijaría a los contratos interadministrativos.  </w:t>
      </w:r>
    </w:p>
    <w:p w14:paraId="5E846FFD" w14:textId="77777777" w:rsidR="005C148F" w:rsidRDefault="005C148F" w:rsidP="005C148F">
      <w:pPr>
        <w:spacing w:after="0" w:line="276" w:lineRule="auto"/>
        <w:ind w:firstLine="709"/>
        <w:jc w:val="both"/>
        <w:rPr>
          <w:rFonts w:ascii="Verdana" w:eastAsia="Arial" w:hAnsi="Verdana" w:cs="Arial"/>
          <w:lang w:val="es-ES" w:eastAsia="es-ES" w:bidi="es-ES"/>
        </w:rPr>
      </w:pPr>
      <w:bookmarkStart w:id="14" w:name="_Hlk77154098"/>
      <w:r w:rsidRPr="00E2397D">
        <w:rPr>
          <w:rFonts w:ascii="Verdana" w:eastAsia="Times New Roman" w:hAnsi="Verdana" w:cs="Arial"/>
          <w:lang w:val="es-ES" w:eastAsia="es-CO" w:bidi="es-ES"/>
        </w:rPr>
        <w:lastRenderedPageBreak/>
        <w:t>En todo caso</w:t>
      </w:r>
      <w:r w:rsidRPr="00E2397D">
        <w:rPr>
          <w:rFonts w:ascii="Verdana" w:eastAsia="Arial" w:hAnsi="Verdana" w:cs="Arial"/>
          <w:lang w:val="es-ES" w:eastAsia="es-ES" w:bidi="es-ES"/>
        </w:rPr>
        <w:t xml:space="preserve">, es importante resaltar que la Sala de Consulta y Servicio Civil del Consejo de Estado se ha pronunciado en el sentido de que </w:t>
      </w:r>
      <w:bookmarkStart w:id="15" w:name="_Hlk78820889"/>
      <w:r w:rsidRPr="00E2397D">
        <w:rPr>
          <w:rFonts w:ascii="Verdana" w:eastAsia="Arial" w:hAnsi="Verdana" w:cs="Arial"/>
          <w:lang w:val="es-ES" w:eastAsia="es-ES" w:bidi="es-ES"/>
        </w:rPr>
        <w:t>no se les aplica la restricción contemplada en el artículo 38 de la Ley de Garantías a los convenios interadministrativos que deben celebrarse en virtud de un fallo judicial. Esto en la medida que la obligatoriedad y la fuerza vinculante de las sentencias ejecutoriadas proferidas por los funcionarios investidos del poder judicial emanan de la autonomía conferida a estos por la Constitución y del derecho que tienen los ciudadanos al acceso y oportuna administración de justicia</w:t>
      </w:r>
      <w:bookmarkEnd w:id="15"/>
      <w:r w:rsidRPr="00E2397D">
        <w:rPr>
          <w:rFonts w:ascii="Verdana" w:eastAsia="Arial" w:hAnsi="Verdana" w:cs="Arial"/>
          <w:vertAlign w:val="superscript"/>
          <w:lang w:val="es-ES" w:eastAsia="es-ES" w:bidi="es-ES"/>
        </w:rPr>
        <w:footnoteReference w:id="14"/>
      </w:r>
      <w:r w:rsidRPr="00E2397D">
        <w:rPr>
          <w:rFonts w:ascii="Verdana" w:eastAsia="Arial" w:hAnsi="Verdana" w:cs="Arial"/>
          <w:lang w:val="es-ES" w:eastAsia="es-ES" w:bidi="es-ES"/>
        </w:rPr>
        <w:t>.</w:t>
      </w:r>
      <w:bookmarkEnd w:id="14"/>
    </w:p>
    <w:p w14:paraId="19C92177" w14:textId="77777777" w:rsidR="005C148F" w:rsidRPr="00E2397D" w:rsidRDefault="005C148F" w:rsidP="005C148F">
      <w:pPr>
        <w:spacing w:after="120" w:line="276" w:lineRule="auto"/>
        <w:ind w:firstLine="709"/>
        <w:jc w:val="both"/>
        <w:rPr>
          <w:rFonts w:ascii="Verdana" w:eastAsia="Arial" w:hAnsi="Verdana" w:cs="Arial"/>
          <w:lang w:val="es-ES" w:eastAsia="es-ES" w:bidi="es-ES"/>
        </w:rPr>
      </w:pPr>
    </w:p>
    <w:p w14:paraId="5415A2ED" w14:textId="77777777" w:rsidR="005C148F" w:rsidRPr="00E2397D" w:rsidRDefault="005C148F" w:rsidP="005C148F">
      <w:pPr>
        <w:spacing w:after="120" w:line="276" w:lineRule="auto"/>
        <w:jc w:val="both"/>
        <w:rPr>
          <w:rFonts w:ascii="Verdana" w:eastAsia="Calibri" w:hAnsi="Verdana" w:cs="Arial"/>
        </w:rPr>
      </w:pPr>
      <w:proofErr w:type="spellStart"/>
      <w:r w:rsidRPr="00E2397D">
        <w:rPr>
          <w:rFonts w:ascii="Verdana" w:eastAsia="Arial" w:hAnsi="Verdana" w:cs="Arial"/>
          <w:lang w:val="es-ES" w:eastAsia="es-ES" w:bidi="es-ES"/>
        </w:rPr>
        <w:t>iv</w:t>
      </w:r>
      <w:proofErr w:type="spellEnd"/>
      <w:r w:rsidRPr="00E2397D">
        <w:rPr>
          <w:rFonts w:ascii="Verdana" w:eastAsia="Arial" w:hAnsi="Verdana" w:cs="Arial"/>
          <w:lang w:val="es-ES" w:eastAsia="es-ES" w:bidi="es-ES"/>
        </w:rPr>
        <w:t xml:space="preserve">) Precisado lo anterior, en relación con el problema jurídico planteado se tiene que, tratándose de elecciones en general, excluyendo las correspondientes al Presidente de la República, las restricciones que resultan aplicables son las contenidas en el parágrafo del artículo 38. Es decir, cuando se convoca a elecciones para cargos de elección popular los </w:t>
      </w:r>
      <w:r w:rsidRPr="00E2397D">
        <w:rPr>
          <w:rFonts w:ascii="Verdana" w:eastAsia="Calibri" w:hAnsi="Verdana" w:cs="Arial"/>
        </w:rPr>
        <w:t xml:space="preserve">Gobernadores, Alcaldes Municipales y/o Distritales, Secretarios, Gerentes y directores de Entidades Descentralizadas del orden Municipal, Departamental o Distrital, no podrán celebrar convenios interadministrativos para la ejecución de recursos públicos, dentro de los cuatro (4) meses anteriores a las elecciones. Esta prohibición aplica incluso cuando se trate de elecciones atípicas de alcaldes o gobernadores, esto es, elecciones que se realicen por fuera del calendario ordinario electoral. </w:t>
      </w:r>
    </w:p>
    <w:p w14:paraId="5D184FFD" w14:textId="77777777" w:rsidR="005C148F" w:rsidRPr="00E2397D" w:rsidRDefault="005C148F" w:rsidP="005C148F">
      <w:pPr>
        <w:spacing w:after="120" w:line="276" w:lineRule="auto"/>
        <w:ind w:firstLine="709"/>
        <w:jc w:val="both"/>
        <w:rPr>
          <w:rFonts w:ascii="Verdana" w:eastAsia="Calibri" w:hAnsi="Verdana" w:cs="Arial"/>
        </w:rPr>
      </w:pPr>
      <w:r w:rsidRPr="00E2397D">
        <w:rPr>
          <w:rFonts w:ascii="Verdana" w:eastAsia="Calibri" w:hAnsi="Verdana" w:cs="Arial"/>
        </w:rPr>
        <w:t>En efecto, al analizar el contenido del parágrafo del artículo 38 de la Ley 996 de 2005 se evidencia que la prohibición se refiere de forma general a las “elecciones” sin realizar distinción respecto de si esta jornada de votación se realizará dentro del calendario electoral ordinario o de forma atípica. Este último tipo de elecciones “son eventos electorales que se realizan por fuera del calendario electoral ordinario, con el fin de cubrir la vacancia absoluta de un mandatario y elegir una autoridad por el tiempo que resta del periodo constitucional del cargo, cuando esta vacancia se registra faltando 18 meses o más para la terminación de dicho periodo”</w:t>
      </w:r>
      <w:r w:rsidRPr="00E2397D">
        <w:rPr>
          <w:rFonts w:ascii="Verdana" w:eastAsia="Calibri" w:hAnsi="Verdana" w:cs="Arial"/>
          <w:vertAlign w:val="superscript"/>
        </w:rPr>
        <w:footnoteReference w:id="15"/>
      </w:r>
      <w:r w:rsidRPr="00E2397D">
        <w:rPr>
          <w:rFonts w:ascii="Verdana" w:eastAsia="Calibri" w:hAnsi="Verdana" w:cs="Arial"/>
        </w:rPr>
        <w:t xml:space="preserve">. Su convocatoria puede derivar de diferentes situaciones como la muerte del gobernador o el alcalde, la renuncia aceptada, incapacidad física permanente, la declaratoria de nulidad por su </w:t>
      </w:r>
      <w:r w:rsidRPr="00E2397D">
        <w:rPr>
          <w:rFonts w:ascii="Verdana" w:eastAsia="Calibri" w:hAnsi="Verdana" w:cs="Arial"/>
        </w:rPr>
        <w:lastRenderedPageBreak/>
        <w:t>elección, la interdicción judicial, la destitución, la revocatoria del mandato y la incapacidad por enfermedad superior a ciento ochenta (180) días</w:t>
      </w:r>
      <w:r w:rsidRPr="00E2397D">
        <w:rPr>
          <w:rFonts w:ascii="Verdana" w:eastAsia="Calibri" w:hAnsi="Verdana" w:cs="Arial"/>
          <w:vertAlign w:val="superscript"/>
        </w:rPr>
        <w:footnoteReference w:id="16"/>
      </w:r>
      <w:r w:rsidRPr="00E2397D">
        <w:rPr>
          <w:rFonts w:ascii="Verdana" w:eastAsia="Calibri" w:hAnsi="Verdana" w:cs="Arial"/>
        </w:rPr>
        <w:t>.</w:t>
      </w:r>
    </w:p>
    <w:p w14:paraId="08C17A59" w14:textId="77777777" w:rsidR="005C148F" w:rsidRPr="00E2397D" w:rsidRDefault="005C148F" w:rsidP="005C148F">
      <w:pPr>
        <w:spacing w:after="120" w:line="276" w:lineRule="auto"/>
        <w:ind w:firstLine="709"/>
        <w:jc w:val="both"/>
        <w:rPr>
          <w:rFonts w:ascii="Verdana" w:eastAsia="Calibri" w:hAnsi="Verdana" w:cs="Arial"/>
        </w:rPr>
      </w:pPr>
      <w:r w:rsidRPr="00E2397D">
        <w:rPr>
          <w:rFonts w:ascii="Verdana" w:eastAsia="Calibri" w:hAnsi="Verdana" w:cs="Arial"/>
        </w:rPr>
        <w:t xml:space="preserve">En tal sentido, aunque las elecciones atípicas se efectúan fuera de las fechas establecidas en la Ley, por circunstancias excepcionales que requieren una convocatoria urgente, tienen el mismo propósito de las elecciones ordinarias de asegurar la provisión de un cargo de elección popular. Por tanto, la naturaleza y el fin de las elecciones atípicas son idénticos a los de las elecciones ordinarias, ya que ambas buscan asegurar el adecuado funcionamiento de las instituciones públicas y salvaguardar la democracia. </w:t>
      </w:r>
    </w:p>
    <w:p w14:paraId="017F6F38" w14:textId="77777777" w:rsidR="005C148F" w:rsidRPr="00E2397D" w:rsidRDefault="005C148F" w:rsidP="005C148F">
      <w:pPr>
        <w:spacing w:after="0" w:line="276" w:lineRule="auto"/>
        <w:ind w:firstLine="709"/>
        <w:jc w:val="both"/>
        <w:rPr>
          <w:rFonts w:ascii="Verdana" w:eastAsia="Calibri" w:hAnsi="Verdana" w:cs="Arial"/>
        </w:rPr>
      </w:pPr>
      <w:r w:rsidRPr="00E2397D">
        <w:rPr>
          <w:rFonts w:ascii="Verdana" w:eastAsia="Calibri" w:hAnsi="Verdana" w:cs="Arial"/>
        </w:rPr>
        <w:t xml:space="preserve">Aunado a lo anterior, como se expuso, el propósito de la Ley 996 de 2005 es asegurar condiciones de igualdad y transparencia para todos los aspirantes en el proceso electoral, de manera que los participantes tengan las mismas oportunidades y no enfrenten ventajas indebidas durante la contienda electoral. Al mismo tiempo, la Ley establece restricciones que previenen la desviación de recursos públicos con fines electorales, prohibiendo que los fondos y bienes del Estado sean utilizados para beneficiar a ciertos aspirantes. De este modo, en la Ley de Garantías se plantea como objetivos: </w:t>
      </w:r>
    </w:p>
    <w:p w14:paraId="10DA6461" w14:textId="77777777" w:rsidR="005C148F" w:rsidRPr="00E2397D" w:rsidRDefault="005C148F" w:rsidP="005C148F">
      <w:pPr>
        <w:spacing w:after="0" w:line="276" w:lineRule="auto"/>
        <w:ind w:firstLine="709"/>
        <w:jc w:val="both"/>
        <w:rPr>
          <w:rFonts w:ascii="Verdana" w:eastAsia="Calibri" w:hAnsi="Verdana" w:cs="Arial"/>
        </w:rPr>
      </w:pPr>
    </w:p>
    <w:p w14:paraId="25499716" w14:textId="77777777" w:rsidR="005C148F" w:rsidRPr="00E2397D" w:rsidRDefault="005C148F" w:rsidP="005C148F">
      <w:pPr>
        <w:spacing w:after="0" w:line="240" w:lineRule="auto"/>
        <w:ind w:left="709" w:right="709"/>
        <w:jc w:val="both"/>
        <w:rPr>
          <w:rFonts w:ascii="Verdana" w:eastAsia="Calibri" w:hAnsi="Verdana" w:cs="Arial"/>
          <w:sz w:val="20"/>
          <w:szCs w:val="20"/>
        </w:rPr>
      </w:pPr>
      <w:r w:rsidRPr="00E2397D">
        <w:rPr>
          <w:rFonts w:ascii="Verdana" w:eastAsia="Calibri" w:hAnsi="Verdana" w:cs="Arial"/>
          <w:sz w:val="20"/>
          <w:szCs w:val="20"/>
        </w:rPr>
        <w:t>“a) garantizar la igualdad y equidad entre los candidatos que aspiran a ocupar cargos de elección popular, b) evitar que la voluntad de los electores sea influenciada por la acción u omisión de los servidores públicos, c) asegurar la objetividad y transparencia en las decisiones administrativas, d) impedir que el empleo público se utilice para obtener votos de los servidores o sus allegados, e) proteger al empleado que tiene una inclinación política distinta al nominador, y f) imposibilitar que las vinculaciones al Estado se utilicen como un mecanismo para buscar favores políticos durante las contiendas electorales”</w:t>
      </w:r>
      <w:r w:rsidRPr="00E2397D">
        <w:rPr>
          <w:rFonts w:ascii="Verdana" w:eastAsia="Calibri" w:hAnsi="Verdana" w:cs="Arial"/>
          <w:sz w:val="20"/>
          <w:szCs w:val="20"/>
          <w:vertAlign w:val="superscript"/>
        </w:rPr>
        <w:footnoteReference w:id="17"/>
      </w:r>
      <w:r w:rsidRPr="00E2397D">
        <w:rPr>
          <w:rFonts w:ascii="Verdana" w:eastAsia="Calibri" w:hAnsi="Verdana" w:cs="Arial"/>
          <w:sz w:val="20"/>
          <w:szCs w:val="20"/>
        </w:rPr>
        <w:t>. </w:t>
      </w:r>
    </w:p>
    <w:p w14:paraId="1335EEAA" w14:textId="77777777" w:rsidR="005C148F" w:rsidRPr="00E2397D" w:rsidRDefault="005C148F" w:rsidP="005C148F">
      <w:pPr>
        <w:widowControl w:val="0"/>
        <w:autoSpaceDE w:val="0"/>
        <w:autoSpaceDN w:val="0"/>
        <w:spacing w:after="0" w:line="276" w:lineRule="auto"/>
        <w:ind w:firstLine="709"/>
        <w:contextualSpacing/>
        <w:jc w:val="both"/>
        <w:rPr>
          <w:rFonts w:ascii="Verdana" w:eastAsia="Calibri" w:hAnsi="Verdana" w:cs="Arial"/>
          <w:lang w:eastAsia="es-ES" w:bidi="es-ES"/>
        </w:rPr>
      </w:pPr>
    </w:p>
    <w:p w14:paraId="1711AC6A" w14:textId="77777777" w:rsidR="005C148F" w:rsidRPr="00E2397D" w:rsidRDefault="005C148F" w:rsidP="005C148F">
      <w:pPr>
        <w:widowControl w:val="0"/>
        <w:autoSpaceDE w:val="0"/>
        <w:autoSpaceDN w:val="0"/>
        <w:spacing w:after="0" w:line="276" w:lineRule="auto"/>
        <w:ind w:firstLine="709"/>
        <w:contextualSpacing/>
        <w:jc w:val="both"/>
        <w:rPr>
          <w:rFonts w:ascii="Verdana" w:eastAsia="Calibri" w:hAnsi="Verdana" w:cs="Arial"/>
          <w:lang w:eastAsia="es-ES" w:bidi="es-ES"/>
        </w:rPr>
      </w:pPr>
      <w:r w:rsidRPr="00E2397D">
        <w:rPr>
          <w:rFonts w:ascii="Verdana" w:eastAsia="Calibri" w:hAnsi="Verdana" w:cs="Arial"/>
          <w:lang w:eastAsia="es-ES" w:bidi="es-ES"/>
        </w:rPr>
        <w:t xml:space="preserve">Así las cosas, las restricciones establecidas en la Ley de Garantías Electorales buscan cumplir el propósito de proteger la democracia participativa y la igualdad entre candidatos, independientemente de la naturaleza de la elección. Por ello, la Ley de Garantías debe ser aplicada sin distinción asegurando que, tanto en elecciones ordinarias como las atípicas, se mantenga la integridad del proceso electoral. Sobre el particular, el Consejo Nacional Electoral en </w:t>
      </w:r>
      <w:r w:rsidRPr="00E2397D">
        <w:rPr>
          <w:rFonts w:ascii="Verdana" w:eastAsia="Calibri" w:hAnsi="Verdana" w:cs="Arial"/>
          <w:lang w:eastAsia="es-ES" w:bidi="es-ES"/>
        </w:rPr>
        <w:lastRenderedPageBreak/>
        <w:t>concepto 9519 del 14 de octubre de 2020</w:t>
      </w:r>
      <w:r w:rsidRPr="00E2397D">
        <w:rPr>
          <w:rFonts w:ascii="Verdana" w:eastAsia="Calibri" w:hAnsi="Verdana" w:cs="Arial"/>
          <w:vertAlign w:val="superscript"/>
          <w:lang w:eastAsia="es-ES" w:bidi="es-ES"/>
        </w:rPr>
        <w:footnoteReference w:id="18"/>
      </w:r>
      <w:r w:rsidRPr="00E2397D">
        <w:rPr>
          <w:rFonts w:ascii="Verdana" w:eastAsia="Calibri" w:hAnsi="Verdana" w:cs="Arial"/>
          <w:lang w:eastAsia="es-ES" w:bidi="es-ES"/>
        </w:rPr>
        <w:t xml:space="preserve">, frente a la aplicación de la ley de garantías en elecciones atípicas señaló lo siguiente: </w:t>
      </w:r>
    </w:p>
    <w:p w14:paraId="1C1026A1" w14:textId="77777777" w:rsidR="005C148F" w:rsidRPr="00E2397D" w:rsidRDefault="005C148F" w:rsidP="005C148F">
      <w:pPr>
        <w:widowControl w:val="0"/>
        <w:autoSpaceDE w:val="0"/>
        <w:autoSpaceDN w:val="0"/>
        <w:spacing w:after="0" w:line="276" w:lineRule="auto"/>
        <w:ind w:firstLine="709"/>
        <w:contextualSpacing/>
        <w:jc w:val="both"/>
        <w:rPr>
          <w:rFonts w:ascii="Verdana" w:eastAsia="Calibri" w:hAnsi="Verdana" w:cs="Arial"/>
          <w:lang w:eastAsia="es-ES" w:bidi="es-ES"/>
        </w:rPr>
      </w:pPr>
    </w:p>
    <w:p w14:paraId="32A6AE97" w14:textId="77777777" w:rsidR="005C148F" w:rsidRPr="00E2397D" w:rsidRDefault="005C148F" w:rsidP="005C148F">
      <w:pPr>
        <w:widowControl w:val="0"/>
        <w:autoSpaceDE w:val="0"/>
        <w:autoSpaceDN w:val="0"/>
        <w:spacing w:after="0" w:line="240" w:lineRule="auto"/>
        <w:ind w:left="709" w:right="616"/>
        <w:contextualSpacing/>
        <w:jc w:val="both"/>
        <w:rPr>
          <w:rFonts w:ascii="Verdana" w:eastAsia="Calibri" w:hAnsi="Verdana" w:cs="Arial"/>
          <w:sz w:val="20"/>
          <w:szCs w:val="20"/>
          <w:lang w:eastAsia="es-ES" w:bidi="es-ES"/>
        </w:rPr>
      </w:pPr>
      <w:r w:rsidRPr="00E2397D">
        <w:rPr>
          <w:rFonts w:ascii="Verdana" w:eastAsia="Calibri" w:hAnsi="Verdana" w:cs="Arial"/>
          <w:sz w:val="20"/>
          <w:szCs w:val="20"/>
          <w:lang w:eastAsia="es-ES" w:bidi="es-ES"/>
        </w:rPr>
        <w:t xml:space="preserve">“En esta elección atípica como evento electoral extraordinario que se realiza por fuera del calendario electoral ordinario, con el fin de cubrir la vacancia absoluta de un mandatario y elegir una autoridad por el tiempo que resta del periodo constitucional del cargo, siempre y cuando esta vacancia se registre faltando 18 meses o más para la terminación de dicho periodo, como es el caso concreto </w:t>
      </w:r>
      <w:r w:rsidRPr="00E2397D">
        <w:rPr>
          <w:rFonts w:ascii="Verdana" w:eastAsia="Calibri" w:hAnsi="Verdana" w:cs="Arial"/>
          <w:i/>
          <w:iCs/>
          <w:sz w:val="20"/>
          <w:szCs w:val="20"/>
          <w:lang w:eastAsia="es-ES" w:bidi="es-ES"/>
        </w:rPr>
        <w:t>solo le es aplicable de la Ley 996 de 2005 el parágrafo del artículo 38</w:t>
      </w:r>
      <w:r w:rsidRPr="00E2397D">
        <w:rPr>
          <w:rFonts w:ascii="Verdana" w:eastAsia="Calibri" w:hAnsi="Verdana" w:cs="Arial"/>
          <w:sz w:val="20"/>
          <w:szCs w:val="20"/>
          <w:lang w:eastAsia="es-ES" w:bidi="es-ES"/>
        </w:rPr>
        <w:t xml:space="preserve"> y enunciado en el numeral 3.1.2 de los fundamentos jurídicos.</w:t>
      </w:r>
    </w:p>
    <w:p w14:paraId="3F84AC9C" w14:textId="77777777" w:rsidR="005C148F" w:rsidRPr="00E2397D" w:rsidRDefault="005C148F" w:rsidP="005C148F">
      <w:pPr>
        <w:widowControl w:val="0"/>
        <w:autoSpaceDE w:val="0"/>
        <w:autoSpaceDN w:val="0"/>
        <w:spacing w:after="0" w:line="240" w:lineRule="auto"/>
        <w:ind w:firstLine="709"/>
        <w:contextualSpacing/>
        <w:jc w:val="both"/>
        <w:rPr>
          <w:rFonts w:ascii="Verdana" w:eastAsia="Calibri" w:hAnsi="Verdana" w:cs="Arial"/>
          <w:sz w:val="20"/>
          <w:szCs w:val="20"/>
          <w:lang w:eastAsia="es-ES" w:bidi="es-ES"/>
        </w:rPr>
      </w:pPr>
    </w:p>
    <w:p w14:paraId="5FDEC562" w14:textId="77777777" w:rsidR="005C148F" w:rsidRPr="00E2397D" w:rsidRDefault="005C148F" w:rsidP="005C148F">
      <w:pPr>
        <w:widowControl w:val="0"/>
        <w:autoSpaceDE w:val="0"/>
        <w:autoSpaceDN w:val="0"/>
        <w:spacing w:after="0" w:line="240" w:lineRule="auto"/>
        <w:ind w:left="709" w:right="616"/>
        <w:contextualSpacing/>
        <w:jc w:val="both"/>
        <w:rPr>
          <w:rFonts w:ascii="Verdana" w:hAnsi="Verdana"/>
          <w:sz w:val="20"/>
          <w:szCs w:val="20"/>
        </w:rPr>
      </w:pPr>
      <w:r w:rsidRPr="00E2397D">
        <w:rPr>
          <w:rFonts w:ascii="Verdana" w:hAnsi="Verdana"/>
          <w:sz w:val="20"/>
          <w:szCs w:val="20"/>
        </w:rPr>
        <w:t xml:space="preserve">Por lo expuesto, en los procesos </w:t>
      </w:r>
      <w:proofErr w:type="spellStart"/>
      <w:r w:rsidRPr="00E2397D">
        <w:rPr>
          <w:rFonts w:ascii="Verdana" w:hAnsi="Verdana"/>
          <w:sz w:val="20"/>
          <w:szCs w:val="20"/>
        </w:rPr>
        <w:t>pre-electorales</w:t>
      </w:r>
      <w:proofErr w:type="spellEnd"/>
      <w:r w:rsidRPr="00E2397D">
        <w:rPr>
          <w:rFonts w:ascii="Verdana" w:hAnsi="Verdana"/>
          <w:sz w:val="20"/>
          <w:szCs w:val="20"/>
        </w:rPr>
        <w:t xml:space="preserve"> de estas elecciones atípicos para Alcaldía Municipal, deben seguirse las siguientes reglas: </w:t>
      </w:r>
    </w:p>
    <w:p w14:paraId="0047278F" w14:textId="77777777" w:rsidR="005C148F" w:rsidRPr="00E2397D" w:rsidRDefault="005C148F" w:rsidP="005C148F">
      <w:pPr>
        <w:widowControl w:val="0"/>
        <w:autoSpaceDE w:val="0"/>
        <w:autoSpaceDN w:val="0"/>
        <w:spacing w:after="0" w:line="240" w:lineRule="auto"/>
        <w:ind w:left="709" w:right="616"/>
        <w:contextualSpacing/>
        <w:jc w:val="both"/>
        <w:rPr>
          <w:rFonts w:ascii="Verdana" w:hAnsi="Verdana"/>
          <w:sz w:val="20"/>
          <w:szCs w:val="20"/>
        </w:rPr>
      </w:pPr>
    </w:p>
    <w:p w14:paraId="44C53C17" w14:textId="77777777" w:rsidR="005C148F" w:rsidRPr="00E2397D" w:rsidRDefault="005C148F" w:rsidP="005C148F">
      <w:pPr>
        <w:widowControl w:val="0"/>
        <w:autoSpaceDE w:val="0"/>
        <w:autoSpaceDN w:val="0"/>
        <w:spacing w:after="0" w:line="240" w:lineRule="auto"/>
        <w:ind w:left="709" w:right="616"/>
        <w:contextualSpacing/>
        <w:jc w:val="both"/>
        <w:rPr>
          <w:rFonts w:ascii="Verdana" w:hAnsi="Verdana"/>
          <w:sz w:val="20"/>
          <w:szCs w:val="20"/>
        </w:rPr>
      </w:pPr>
      <w:r w:rsidRPr="00E2397D">
        <w:rPr>
          <w:rFonts w:ascii="Verdana" w:hAnsi="Verdana"/>
          <w:sz w:val="20"/>
          <w:szCs w:val="20"/>
        </w:rPr>
        <w:t>a) Los gobernadores, alcaldes municipales o distritales, secretarios, gerentes y directores de las entidades descentralizadas del orden municipal, departamental o distrital no pueden celebrar convenios interadministrativos para la ejecución de recursos públicos, ni participar, promover o destinar recursos públicos de las entidades a su cargo, como tampoco de las que participen como miembros de sus juntas directivas, en o para reuniones de carácter proselitista dentro de los cuatro (4) meses a</w:t>
      </w:r>
      <w:r>
        <w:rPr>
          <w:rFonts w:ascii="Verdana" w:hAnsi="Verdana"/>
          <w:sz w:val="20"/>
          <w:szCs w:val="20"/>
        </w:rPr>
        <w:t xml:space="preserve">nteriores a las elecciones. </w:t>
      </w:r>
    </w:p>
    <w:p w14:paraId="5D9F1F76" w14:textId="77777777" w:rsidR="005C148F" w:rsidRPr="00E2397D" w:rsidRDefault="005C148F" w:rsidP="005C148F">
      <w:pPr>
        <w:widowControl w:val="0"/>
        <w:autoSpaceDE w:val="0"/>
        <w:autoSpaceDN w:val="0"/>
        <w:spacing w:after="0" w:line="240" w:lineRule="auto"/>
        <w:ind w:left="709" w:right="616"/>
        <w:contextualSpacing/>
        <w:jc w:val="both"/>
        <w:rPr>
          <w:rFonts w:ascii="Verdana" w:hAnsi="Verdana"/>
          <w:sz w:val="20"/>
          <w:szCs w:val="20"/>
        </w:rPr>
      </w:pPr>
      <w:r>
        <w:rPr>
          <w:rFonts w:ascii="Verdana" w:hAnsi="Verdana"/>
          <w:sz w:val="20"/>
          <w:szCs w:val="20"/>
        </w:rPr>
        <w:t>[…]</w:t>
      </w:r>
    </w:p>
    <w:p w14:paraId="3C86E9AE" w14:textId="77777777" w:rsidR="005C148F" w:rsidRPr="00E2397D" w:rsidRDefault="005C148F" w:rsidP="005C148F">
      <w:pPr>
        <w:widowControl w:val="0"/>
        <w:autoSpaceDE w:val="0"/>
        <w:autoSpaceDN w:val="0"/>
        <w:spacing w:after="0" w:line="240" w:lineRule="auto"/>
        <w:ind w:left="709" w:right="616"/>
        <w:contextualSpacing/>
        <w:jc w:val="both"/>
        <w:rPr>
          <w:rFonts w:ascii="Verdana" w:eastAsia="Calibri" w:hAnsi="Verdana" w:cs="Arial"/>
          <w:sz w:val="20"/>
          <w:szCs w:val="20"/>
          <w:lang w:eastAsia="es-ES" w:bidi="es-ES"/>
        </w:rPr>
      </w:pPr>
      <w:r w:rsidRPr="00E2397D">
        <w:rPr>
          <w:rFonts w:ascii="Verdana" w:hAnsi="Verdana"/>
          <w:sz w:val="20"/>
          <w:szCs w:val="20"/>
        </w:rPr>
        <w:t>Ahora bien, como se referenció previamente, las normas vigentes establecen que entre el Decreto que convoca a elecciones complementarias, y la votación para las mismas transcurren aproximadamente 60 días o lo que es lo mismo, dos (2) meses. En consecuencia, si la norma establece un plazo aproximado de 60 días para que se celebren las votaciones complementarias, no es posible aplicar al efecto la prohibición de modificar nómina y de celebrar convenios interadministrativos, dentro de los cuatro (4) meses anteriores a las elecciones, contemplados en el parágrafo del artículo 38 de la Ley 996 de 2005”. (Énfasis por fuera de texto)</w:t>
      </w:r>
    </w:p>
    <w:p w14:paraId="1EBF7CB3" w14:textId="77777777" w:rsidR="005C148F" w:rsidRPr="00E2397D" w:rsidRDefault="005C148F" w:rsidP="005C148F">
      <w:pPr>
        <w:widowControl w:val="0"/>
        <w:autoSpaceDE w:val="0"/>
        <w:autoSpaceDN w:val="0"/>
        <w:spacing w:after="0" w:line="276" w:lineRule="auto"/>
        <w:ind w:firstLine="709"/>
        <w:contextualSpacing/>
        <w:jc w:val="both"/>
        <w:rPr>
          <w:rFonts w:ascii="Verdana" w:eastAsia="Calibri" w:hAnsi="Verdana" w:cs="Arial"/>
          <w:lang w:eastAsia="es-ES" w:bidi="es-ES"/>
        </w:rPr>
      </w:pPr>
    </w:p>
    <w:p w14:paraId="331F9341" w14:textId="77777777" w:rsidR="005C148F" w:rsidRDefault="005C148F" w:rsidP="005C148F">
      <w:pPr>
        <w:widowControl w:val="0"/>
        <w:autoSpaceDE w:val="0"/>
        <w:autoSpaceDN w:val="0"/>
        <w:spacing w:after="120" w:line="276" w:lineRule="auto"/>
        <w:ind w:firstLine="709"/>
        <w:jc w:val="both"/>
        <w:rPr>
          <w:rFonts w:ascii="Verdana" w:eastAsia="Calibri" w:hAnsi="Verdana" w:cs="Arial"/>
          <w:lang w:eastAsia="es-ES" w:bidi="es-ES"/>
        </w:rPr>
      </w:pPr>
      <w:r w:rsidRPr="00E2397D">
        <w:rPr>
          <w:rFonts w:ascii="Verdana" w:eastAsia="Calibri" w:hAnsi="Verdana" w:cs="Arial"/>
          <w:lang w:eastAsia="es-ES" w:bidi="es-ES"/>
        </w:rPr>
        <w:t xml:space="preserve">Bajo estas consideraciones, se concluye que para las elecciones atípicas de alcaldía resulta aplicable las restricciones señaladas en el parágrafo del artículo 38 de la Ley 996 de 2005, lo que significa que, en materia de contratación estatal, los Alcaldes, los Gobernadores, Alcaldes Municipales y/o Distritales, Secretarios, Gerentes y directores de Entidades Descentralizadas del orden Municipal, Departamental o Distrital, no podrán celebrar convenios </w:t>
      </w:r>
      <w:r w:rsidRPr="00E2397D">
        <w:rPr>
          <w:rFonts w:ascii="Verdana" w:eastAsia="Calibri" w:hAnsi="Verdana" w:cs="Arial"/>
          <w:lang w:eastAsia="es-ES" w:bidi="es-ES"/>
        </w:rPr>
        <w:lastRenderedPageBreak/>
        <w:t xml:space="preserve">interadministrativos para la ejecución de recursos públicos, dentro del periodo en que se convocó a las elecciones atípicas y su votación. Naturalmente, en este caso, las restricciones del parágrafo del artículo 38, como lo expone el Consejo Nacional Electoral, no podrán aplicarse dentro del plazo señalado en la norma, por ello, tendrán lugar respecto del plazo que transcurre entre el momento en que se convoca a elecciones y el día en que se realizan efectivamente conforme con la normatividad vigente. </w:t>
      </w:r>
    </w:p>
    <w:p w14:paraId="3BF2E2B3" w14:textId="77777777" w:rsidR="00BB5AA3" w:rsidRPr="006B14B5" w:rsidRDefault="00BB5AA3" w:rsidP="00BB5AA3">
      <w:pPr>
        <w:spacing w:after="120" w:line="276" w:lineRule="auto"/>
        <w:ind w:firstLine="708"/>
        <w:jc w:val="both"/>
        <w:rPr>
          <w:rFonts w:ascii="Verdana" w:eastAsia="Calibri" w:hAnsi="Verdana" w:cs="Arial"/>
          <w:lang w:val="es-ES"/>
        </w:rPr>
      </w:pPr>
      <w:r w:rsidRPr="006B14B5">
        <w:rPr>
          <w:rFonts w:ascii="Verdana" w:eastAsia="Times New Roman" w:hAnsi="Verdana" w:cs="Arial"/>
          <w:color w:val="000000"/>
          <w:lang w:val="es-ES" w:eastAsia="es-ES"/>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w:t>
      </w:r>
      <w:r>
        <w:rPr>
          <w:rFonts w:ascii="Verdana" w:eastAsia="Times New Roman" w:hAnsi="Verdana" w:cs="Arial"/>
          <w:color w:val="000000"/>
          <w:lang w:val="es-ES" w:eastAsia="es-ES"/>
        </w:rPr>
        <w:t>establecerá</w:t>
      </w:r>
      <w:r w:rsidRPr="006B14B5">
        <w:rPr>
          <w:rFonts w:ascii="Verdana" w:eastAsia="Times New Roman" w:hAnsi="Verdana" w:cs="Arial"/>
          <w:color w:val="000000"/>
          <w:lang w:val="es-ES" w:eastAsia="es-ES"/>
        </w:rPr>
        <w:t xml:space="preserve"> la forma de adelantar su gestión contractual, sin que sea atribución de la Agencia Nacional de Contratación Pública - Colombia Compra Eficiente</w:t>
      </w:r>
      <w:r>
        <w:rPr>
          <w:rFonts w:ascii="Verdana" w:eastAsia="Times New Roman" w:hAnsi="Verdana" w:cs="Arial"/>
          <w:color w:val="000000"/>
          <w:lang w:val="es-ES" w:eastAsia="es-ES"/>
        </w:rPr>
        <w:t xml:space="preserve"> validarla</w:t>
      </w:r>
      <w:r w:rsidRPr="006B14B5">
        <w:rPr>
          <w:rFonts w:ascii="Verdana" w:eastAsia="Times New Roman" w:hAnsi="Verdana" w:cs="Arial"/>
          <w:color w:val="000000"/>
          <w:lang w:val="es-ES" w:eastAsia="es-ES"/>
        </w:rPr>
        <w:t xml:space="preserve">. </w:t>
      </w:r>
    </w:p>
    <w:p w14:paraId="6FEFB5EE" w14:textId="77777777" w:rsidR="00BB5AA3" w:rsidRPr="000974AC" w:rsidRDefault="00BB5AA3" w:rsidP="00BB5AA3">
      <w:pPr>
        <w:spacing w:after="0" w:line="276" w:lineRule="auto"/>
        <w:jc w:val="both"/>
        <w:rPr>
          <w:rFonts w:ascii="Verdana" w:eastAsia="Calibri" w:hAnsi="Verdana" w:cs="Arial"/>
          <w:lang w:val="es-ES" w:eastAsia="es-MX"/>
        </w:rPr>
      </w:pPr>
    </w:p>
    <w:p w14:paraId="5A23618C" w14:textId="77777777" w:rsidR="00BB5AA3" w:rsidRPr="008853C1" w:rsidRDefault="00BB5AA3" w:rsidP="00BB5AA3">
      <w:pPr>
        <w:pStyle w:val="Prrafodelista"/>
        <w:numPr>
          <w:ilvl w:val="0"/>
          <w:numId w:val="16"/>
        </w:numPr>
        <w:tabs>
          <w:tab w:val="left" w:pos="142"/>
          <w:tab w:val="left" w:pos="284"/>
        </w:tabs>
        <w:spacing w:after="0" w:line="276" w:lineRule="auto"/>
        <w:jc w:val="both"/>
        <w:rPr>
          <w:rFonts w:ascii="Verdana" w:eastAsia="Century Gothic" w:hAnsi="Verdana" w:cs="Century Gothic"/>
          <w:b/>
          <w:bCs/>
        </w:rPr>
      </w:pPr>
      <w:r w:rsidRPr="008853C1">
        <w:rPr>
          <w:rFonts w:ascii="Verdana" w:eastAsia="Century Gothic" w:hAnsi="Verdana" w:cs="Century Gothic"/>
          <w:b/>
          <w:bCs/>
        </w:rPr>
        <w:t xml:space="preserve">Referencias normativas </w:t>
      </w:r>
    </w:p>
    <w:p w14:paraId="1A621BE4" w14:textId="77777777" w:rsidR="00BB5AA3" w:rsidRPr="00E2397D" w:rsidRDefault="00BB5AA3" w:rsidP="00BB5AA3">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B5AA3" w:rsidRPr="00E2397D" w14:paraId="41D18224" w14:textId="77777777" w:rsidTr="003E261D">
        <w:trPr>
          <w:trHeight w:val="856"/>
          <w:jc w:val="center"/>
        </w:trPr>
        <w:tc>
          <w:tcPr>
            <w:tcW w:w="8647" w:type="dxa"/>
          </w:tcPr>
          <w:p w14:paraId="40D4C01C" w14:textId="77777777" w:rsidR="00BB5AA3" w:rsidRPr="00E2397D" w:rsidRDefault="00BB5AA3" w:rsidP="00BB5AA3">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sidRPr="00E2397D">
              <w:rPr>
                <w:rFonts w:ascii="Verdana" w:eastAsia="Arial MT" w:hAnsi="Verdana" w:cs="Arial"/>
                <w:lang w:eastAsia="es-ES" w:bidi="es-ES"/>
              </w:rPr>
              <w:t>Constitución Política: Artículo 127.</w:t>
            </w:r>
          </w:p>
          <w:p w14:paraId="3CDADA8C" w14:textId="77777777" w:rsidR="00BB5AA3" w:rsidRPr="006B4CA3" w:rsidRDefault="00BB5AA3" w:rsidP="00BB5AA3">
            <w:pPr>
              <w:widowControl w:val="0"/>
              <w:numPr>
                <w:ilvl w:val="0"/>
                <w:numId w:val="17"/>
              </w:numPr>
              <w:autoSpaceDE w:val="0"/>
              <w:autoSpaceDN w:val="0"/>
              <w:spacing w:after="120" w:line="276" w:lineRule="auto"/>
              <w:ind w:left="714" w:hanging="357"/>
              <w:jc w:val="both"/>
              <w:rPr>
                <w:rFonts w:ascii="Verdana" w:eastAsia="Arial MT" w:hAnsi="Verdana" w:cs="Arial"/>
                <w:lang w:val="es-ES" w:eastAsia="es-ES" w:bidi="es-ES"/>
              </w:rPr>
            </w:pPr>
            <w:r w:rsidRPr="006B4CA3">
              <w:rPr>
                <w:rFonts w:ascii="Verdana" w:eastAsia="Arial MT" w:hAnsi="Verdana" w:cs="Arial"/>
                <w:lang w:val="es-ES" w:eastAsia="es-ES" w:bidi="es-ES"/>
              </w:rPr>
              <w:t xml:space="preserve">Ley 80 de 1993, artículos 39, 41, 44, 46, 49 y 60. </w:t>
            </w:r>
          </w:p>
          <w:p w14:paraId="32FF07AC" w14:textId="77777777" w:rsidR="00BB5AA3" w:rsidRPr="006B4CA3" w:rsidRDefault="00BB5AA3" w:rsidP="00BB5AA3">
            <w:pPr>
              <w:widowControl w:val="0"/>
              <w:numPr>
                <w:ilvl w:val="0"/>
                <w:numId w:val="17"/>
              </w:numPr>
              <w:autoSpaceDE w:val="0"/>
              <w:autoSpaceDN w:val="0"/>
              <w:spacing w:after="120" w:line="276" w:lineRule="auto"/>
              <w:ind w:left="714" w:hanging="357"/>
              <w:jc w:val="both"/>
              <w:rPr>
                <w:rFonts w:ascii="Verdana" w:eastAsia="Arial MT" w:hAnsi="Verdana" w:cs="Arial"/>
                <w:lang w:val="es-ES" w:eastAsia="es-ES" w:bidi="es-ES"/>
              </w:rPr>
            </w:pPr>
            <w:r w:rsidRPr="006B4CA3">
              <w:rPr>
                <w:rFonts w:ascii="Verdana" w:eastAsia="Arial MT" w:hAnsi="Verdana" w:cs="Arial"/>
                <w:lang w:val="es-ES" w:eastAsia="es-ES" w:bidi="es-ES"/>
              </w:rPr>
              <w:t xml:space="preserve">Ley 1150 de 2007, artículo 11. </w:t>
            </w:r>
          </w:p>
          <w:p w14:paraId="7CD63104" w14:textId="77777777" w:rsidR="00BB5AA3" w:rsidRPr="006B4CA3" w:rsidRDefault="00BB5AA3" w:rsidP="00BB5AA3">
            <w:pPr>
              <w:widowControl w:val="0"/>
              <w:numPr>
                <w:ilvl w:val="0"/>
                <w:numId w:val="17"/>
              </w:numPr>
              <w:autoSpaceDE w:val="0"/>
              <w:autoSpaceDN w:val="0"/>
              <w:spacing w:after="120" w:line="276" w:lineRule="auto"/>
              <w:ind w:left="714" w:hanging="357"/>
              <w:jc w:val="both"/>
              <w:rPr>
                <w:rFonts w:ascii="Verdana" w:eastAsia="Arial MT" w:hAnsi="Verdana" w:cs="Arial"/>
                <w:lang w:val="es-ES" w:eastAsia="es-ES" w:bidi="es-ES"/>
              </w:rPr>
            </w:pPr>
            <w:r w:rsidRPr="006B4CA3">
              <w:rPr>
                <w:rFonts w:ascii="Verdana" w:eastAsia="Arial MT" w:hAnsi="Verdana" w:cs="Arial"/>
                <w:lang w:eastAsia="es-ES" w:bidi="es-ES"/>
              </w:rPr>
              <w:t>Ley 1437 de 2011, artículos 10, 141 y 164.</w:t>
            </w:r>
          </w:p>
          <w:p w14:paraId="402356FF" w14:textId="77777777" w:rsidR="00BB5AA3" w:rsidRPr="006B4CA3" w:rsidRDefault="00BB5AA3" w:rsidP="00BB5AA3">
            <w:pPr>
              <w:widowControl w:val="0"/>
              <w:numPr>
                <w:ilvl w:val="0"/>
                <w:numId w:val="17"/>
              </w:numPr>
              <w:autoSpaceDE w:val="0"/>
              <w:autoSpaceDN w:val="0"/>
              <w:spacing w:after="120" w:line="276" w:lineRule="auto"/>
              <w:ind w:left="714" w:hanging="357"/>
              <w:jc w:val="both"/>
              <w:rPr>
                <w:rFonts w:ascii="Verdana" w:eastAsia="Arial MT" w:hAnsi="Verdana" w:cs="Arial"/>
                <w:lang w:val="es-ES" w:eastAsia="es-ES" w:bidi="es-ES"/>
              </w:rPr>
            </w:pPr>
            <w:r w:rsidRPr="006B4CA3">
              <w:rPr>
                <w:rFonts w:ascii="Verdana" w:eastAsia="Arial MT" w:hAnsi="Verdana" w:cs="Arial"/>
                <w:lang w:val="es-ES" w:eastAsia="es-ES" w:bidi="es-ES"/>
              </w:rPr>
              <w:t>Código Civil. Artículo 1740, 1741</w:t>
            </w:r>
            <w:r>
              <w:rPr>
                <w:rFonts w:ascii="Verdana" w:eastAsia="Arial MT" w:hAnsi="Verdana" w:cs="Arial"/>
                <w:lang w:val="es-ES" w:eastAsia="es-ES" w:bidi="es-ES"/>
              </w:rPr>
              <w:t>.</w:t>
            </w:r>
          </w:p>
          <w:p w14:paraId="26CD47E2" w14:textId="77777777" w:rsidR="00BB5AA3" w:rsidRPr="006B4CA3" w:rsidRDefault="00BB5AA3" w:rsidP="00BB5AA3">
            <w:pPr>
              <w:widowControl w:val="0"/>
              <w:numPr>
                <w:ilvl w:val="0"/>
                <w:numId w:val="17"/>
              </w:numPr>
              <w:autoSpaceDE w:val="0"/>
              <w:autoSpaceDN w:val="0"/>
              <w:spacing w:after="120" w:line="276" w:lineRule="auto"/>
              <w:ind w:left="714" w:hanging="357"/>
              <w:jc w:val="both"/>
              <w:rPr>
                <w:rFonts w:ascii="Verdana" w:eastAsia="Arial MT" w:hAnsi="Verdana" w:cs="Arial"/>
                <w:lang w:val="es-ES" w:eastAsia="es-ES" w:bidi="es-ES"/>
              </w:rPr>
            </w:pPr>
            <w:r w:rsidRPr="006B4CA3">
              <w:rPr>
                <w:rFonts w:ascii="Verdana" w:eastAsia="Arial MT" w:hAnsi="Verdana" w:cs="Arial"/>
                <w:lang w:val="es-ES" w:eastAsia="es-ES" w:bidi="es-ES"/>
              </w:rPr>
              <w:t>Código de Comercio. Artículo 899</w:t>
            </w:r>
            <w:r>
              <w:rPr>
                <w:rFonts w:ascii="Verdana" w:eastAsia="Arial MT" w:hAnsi="Verdana" w:cs="Arial"/>
                <w:lang w:val="es-ES" w:eastAsia="es-ES" w:bidi="es-ES"/>
              </w:rPr>
              <w:t xml:space="preserve">. </w:t>
            </w:r>
          </w:p>
          <w:p w14:paraId="66C8D648" w14:textId="457BE8B2" w:rsidR="00BB5AA3" w:rsidRPr="00960115" w:rsidRDefault="00BB5AA3" w:rsidP="00960115">
            <w:pPr>
              <w:widowControl w:val="0"/>
              <w:numPr>
                <w:ilvl w:val="0"/>
                <w:numId w:val="17"/>
              </w:numPr>
              <w:autoSpaceDE w:val="0"/>
              <w:autoSpaceDN w:val="0"/>
              <w:spacing w:after="120" w:line="276" w:lineRule="auto"/>
              <w:ind w:left="714" w:hanging="357"/>
              <w:jc w:val="both"/>
              <w:rPr>
                <w:rFonts w:ascii="Verdana" w:eastAsia="Arial MT" w:hAnsi="Verdana" w:cs="Arial"/>
                <w:lang w:val="es-ES" w:eastAsia="es-ES" w:bidi="es-ES"/>
              </w:rPr>
            </w:pPr>
            <w:r w:rsidRPr="00E2397D">
              <w:rPr>
                <w:rFonts w:ascii="Verdana" w:eastAsia="Arial MT" w:hAnsi="Verdana" w:cs="Arial"/>
                <w:bCs/>
                <w:lang w:val="es-ES" w:eastAsia="es-ES" w:bidi="es-ES"/>
              </w:rPr>
              <w:t>Ley 996 de 2005: artículos 33 y 38 parágrafo.</w:t>
            </w:r>
          </w:p>
        </w:tc>
      </w:tr>
    </w:tbl>
    <w:p w14:paraId="1D7A6DD5" w14:textId="77777777" w:rsidR="00BB5AA3" w:rsidRPr="00E2397D" w:rsidRDefault="00BB5AA3" w:rsidP="00BB5AA3">
      <w:pPr>
        <w:widowControl w:val="0"/>
        <w:autoSpaceDE w:val="0"/>
        <w:autoSpaceDN w:val="0"/>
        <w:spacing w:after="0" w:line="276" w:lineRule="auto"/>
        <w:jc w:val="both"/>
        <w:rPr>
          <w:rFonts w:ascii="Verdana" w:hAnsi="Verdana" w:cs="Arial"/>
        </w:rPr>
      </w:pPr>
    </w:p>
    <w:p w14:paraId="7CD4342E" w14:textId="77777777" w:rsidR="00BB5AA3" w:rsidRPr="00E2397D" w:rsidRDefault="00BB5AA3" w:rsidP="00BB5AA3">
      <w:pPr>
        <w:tabs>
          <w:tab w:val="left" w:pos="142"/>
          <w:tab w:val="left" w:pos="284"/>
        </w:tabs>
        <w:spacing w:after="0" w:line="276" w:lineRule="auto"/>
        <w:jc w:val="both"/>
        <w:rPr>
          <w:rFonts w:ascii="Verdana" w:eastAsia="Century Gothic" w:hAnsi="Verdana" w:cs="Century Gothic"/>
          <w:b/>
          <w:bCs/>
        </w:rPr>
      </w:pPr>
      <w:r w:rsidRPr="00E2397D">
        <w:rPr>
          <w:rFonts w:ascii="Verdana" w:eastAsia="Century Gothic" w:hAnsi="Verdana" w:cs="Century Gothic"/>
          <w:b/>
          <w:bCs/>
        </w:rPr>
        <w:t>Doctrina de la Agencia Nacional de Contratación Pública:</w:t>
      </w:r>
    </w:p>
    <w:p w14:paraId="73E2C491" w14:textId="77777777" w:rsidR="00BB5AA3" w:rsidRPr="00E2397D" w:rsidRDefault="00BB5AA3" w:rsidP="00BB5AA3">
      <w:pPr>
        <w:widowControl w:val="0"/>
        <w:autoSpaceDE w:val="0"/>
        <w:autoSpaceDN w:val="0"/>
        <w:spacing w:after="0" w:line="276" w:lineRule="auto"/>
        <w:jc w:val="both"/>
        <w:rPr>
          <w:rFonts w:ascii="Verdana" w:hAnsi="Verdana" w:cs="Arial"/>
        </w:rPr>
      </w:pPr>
    </w:p>
    <w:p w14:paraId="5D9BD241" w14:textId="7E90B660" w:rsidR="00BB5AA3" w:rsidRPr="00E2397D" w:rsidRDefault="00BB5AA3" w:rsidP="00BB5AA3">
      <w:pPr>
        <w:widowControl w:val="0"/>
        <w:autoSpaceDE w:val="0"/>
        <w:autoSpaceDN w:val="0"/>
        <w:spacing w:after="0" w:line="276" w:lineRule="auto"/>
        <w:jc w:val="both"/>
        <w:rPr>
          <w:rFonts w:ascii="Verdana" w:eastAsia="Calibri" w:hAnsi="Verdana" w:cs="Arial"/>
          <w:color w:val="000000" w:themeColor="text1"/>
          <w:lang w:val="es-ES_tradnl" w:eastAsia="es-ES_tradnl"/>
        </w:rPr>
      </w:pPr>
      <w:r w:rsidRPr="00E2397D">
        <w:rPr>
          <w:rFonts w:ascii="Verdana" w:hAnsi="Verdana" w:cs="Arial"/>
          <w:shd w:val="clear" w:color="auto" w:fill="FFFFFF"/>
          <w:lang w:val="es-ES"/>
        </w:rPr>
        <w:t xml:space="preserve">Sobre la finalidad y propósito de la Ley de Garantías Electorales, la ANCP- CCE se ha pronunciado en los Conceptos 4201913000004536 de 17 de julio de 2019, 4201912000005556 del 12 de septiembre de 2019, 4201913000005175 del 13 </w:t>
      </w:r>
      <w:r w:rsidRPr="00E2397D">
        <w:rPr>
          <w:rFonts w:ascii="Verdana" w:hAnsi="Verdana" w:cs="Arial"/>
          <w:shd w:val="clear" w:color="auto" w:fill="FFFFFF"/>
          <w:lang w:val="es-ES"/>
        </w:rPr>
        <w:lastRenderedPageBreak/>
        <w:t xml:space="preserve">de septiembre de 2019, 4201913000006452 del 07 de octubre de 2019, 4201913000005082 del 17 de octubre de 2019,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C- 528 del 27 de septiembre de 2021, C-550 del 5 de octubre de 2021 y C-523 del 10 de octubre de 2021, C-606 del 28 de octubre de 2021 y C-614 del 2 de noviembre de 2021, C-636 del 16 de noviembre de 2021, 681 del 7 de diciembre de 2021, C-686 del 21 de diciembre de 2021, C-697 del 3 de enero de 2022, entre otros. </w:t>
      </w:r>
      <w:r>
        <w:rPr>
          <w:rFonts w:ascii="Verdana" w:hAnsi="Verdana" w:cs="Arial"/>
          <w:shd w:val="clear" w:color="auto" w:fill="FFFFFF"/>
        </w:rPr>
        <w:t>Éstos</w:t>
      </w:r>
      <w:r w:rsidRPr="00E2397D">
        <w:rPr>
          <w:rFonts w:ascii="Verdana" w:hAnsi="Verdana" w:cs="Arial"/>
          <w:shd w:val="clear" w:color="auto" w:fill="FFFFFF"/>
          <w:lang w:val="es-ES"/>
        </w:rPr>
        <w:t xml:space="preserve"> y otros </w:t>
      </w:r>
      <w:r w:rsidRPr="00E2397D">
        <w:rPr>
          <w:rFonts w:ascii="Verdana" w:hAnsi="Verdana"/>
        </w:rPr>
        <w:t>conceptos se encuentran disponibles para consulta en el Sistema de relatoría de la Agencia, al cual se puede acceder a través del siguiente enlace:</w:t>
      </w:r>
      <w:r w:rsidRPr="00E2397D">
        <w:rPr>
          <w:rFonts w:ascii="Verdana" w:hAnsi="Verdana" w:cs="Arial"/>
          <w:shd w:val="clear" w:color="auto" w:fill="FFFFFF"/>
        </w:rPr>
        <w:t xml:space="preserve"> </w:t>
      </w:r>
      <w:hyperlink r:id="rId12" w:history="1">
        <w:r w:rsidRPr="00E2397D">
          <w:rPr>
            <w:rFonts w:ascii="Verdana" w:hAnsi="Verdana" w:cs="Arial"/>
            <w:color w:val="0563C1" w:themeColor="hyperlink"/>
            <w:u w:val="single"/>
            <w:shd w:val="clear" w:color="auto" w:fill="FFFFFF"/>
          </w:rPr>
          <w:t>https://relatoria.colombiacompra.gov.co/busqueda/conceptos</w:t>
        </w:r>
      </w:hyperlink>
      <w:r w:rsidRPr="00E2397D">
        <w:rPr>
          <w:rFonts w:ascii="Verdana" w:hAnsi="Verdana" w:cs="Arial"/>
          <w:shd w:val="clear" w:color="auto" w:fill="FFFFFF"/>
        </w:rPr>
        <w:t>.</w:t>
      </w:r>
      <w:r w:rsidRPr="00E2397D">
        <w:rPr>
          <w:rFonts w:ascii="Verdana" w:hAnsi="Verdana" w:cs="Arial"/>
          <w:color w:val="FF0000"/>
          <w:shd w:val="clear" w:color="auto" w:fill="FFFFFF"/>
        </w:rPr>
        <w:t xml:space="preserve"> </w:t>
      </w:r>
      <w:r w:rsidRPr="00E2397D">
        <w:rPr>
          <w:rFonts w:ascii="Verdana" w:hAnsi="Verdana" w:cs="Arial"/>
          <w:color w:val="000000" w:themeColor="text1"/>
          <w:shd w:val="clear" w:color="auto" w:fill="FFFFFF"/>
        </w:rPr>
        <w:t>  </w:t>
      </w:r>
    </w:p>
    <w:p w14:paraId="387AEFAB" w14:textId="77777777" w:rsidR="00647360" w:rsidRPr="00BB5AA3" w:rsidRDefault="00647360" w:rsidP="30821638">
      <w:pPr>
        <w:spacing w:after="0"/>
        <w:rPr>
          <w:rFonts w:ascii="Verdana" w:eastAsia="Calibri" w:hAnsi="Verdana" w:cs="Times New Roman"/>
          <w:b/>
          <w:bCs/>
          <w:lang w:val="es-ES_tradnl"/>
        </w:rPr>
      </w:pPr>
    </w:p>
    <w:p w14:paraId="17D9AEAC" w14:textId="77777777" w:rsidR="00CC45DB" w:rsidRPr="009A385A" w:rsidRDefault="00CC45DB" w:rsidP="00CC45DB">
      <w:pPr>
        <w:spacing w:after="0" w:line="276" w:lineRule="auto"/>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150ECCBC" w14:textId="77777777" w:rsidR="00CC45DB" w:rsidRDefault="00CC45DB" w:rsidP="00CC45DB">
      <w:pPr>
        <w:spacing w:after="0" w:line="276" w:lineRule="auto"/>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73D11060" w14:textId="77777777" w:rsidR="00CC45DB" w:rsidRPr="00C25CDD" w:rsidRDefault="00CC45DB" w:rsidP="00CC45DB">
      <w:pPr>
        <w:spacing w:after="0" w:line="276" w:lineRule="auto"/>
        <w:jc w:val="both"/>
        <w:rPr>
          <w:rFonts w:ascii="Verdana" w:hAnsi="Verdana"/>
        </w:rPr>
      </w:pPr>
    </w:p>
    <w:p w14:paraId="366E290A" w14:textId="77777777" w:rsidR="00CC45DB" w:rsidRDefault="00CC45DB" w:rsidP="00CC45DB">
      <w:pPr>
        <w:spacing w:after="0" w:line="276" w:lineRule="auto"/>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lastRenderedPageBreak/>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3B292958" w14:textId="77777777" w:rsidR="00CC45DB" w:rsidRPr="00605E0D" w:rsidRDefault="00CC45DB" w:rsidP="00CC45DB">
      <w:pPr>
        <w:spacing w:after="0" w:line="276" w:lineRule="auto"/>
        <w:jc w:val="both"/>
        <w:rPr>
          <w:rFonts w:ascii="Verdana" w:hAnsi="Verdana"/>
        </w:rPr>
      </w:pPr>
      <w:r w:rsidRPr="00284526">
        <w:rPr>
          <w:rFonts w:ascii="Verdana" w:hAnsi="Verdana" w:cs="Arial"/>
          <w:shd w:val="clear" w:color="auto" w:fill="FFFFFF"/>
        </w:rPr>
        <w:t xml:space="preserve">Por último, lo invitamos a seguirnos en las redes sociales en las cuales se difunde información institucional: </w:t>
      </w:r>
    </w:p>
    <w:p w14:paraId="3523DE1A" w14:textId="77777777" w:rsidR="00CC45DB" w:rsidRPr="00284526" w:rsidRDefault="00CC45DB" w:rsidP="00CC45DB">
      <w:pPr>
        <w:spacing w:after="0" w:line="276" w:lineRule="auto"/>
        <w:jc w:val="both"/>
        <w:rPr>
          <w:rFonts w:ascii="Verdana" w:hAnsi="Verdana" w:cs="Arial"/>
          <w:shd w:val="clear" w:color="auto" w:fill="FFFFFF"/>
        </w:rPr>
      </w:pPr>
    </w:p>
    <w:p w14:paraId="3C0C49B6" w14:textId="77777777" w:rsidR="00CC45DB" w:rsidRPr="00284526" w:rsidRDefault="00CC45DB" w:rsidP="00CC45DB">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Twitter: </w:t>
      </w:r>
      <w:r w:rsidRPr="00284526">
        <w:rPr>
          <w:rStyle w:val="Hipervnculo"/>
          <w:rFonts w:ascii="Verdana" w:hAnsi="Verdana"/>
          <w:lang w:val="es-ES"/>
        </w:rPr>
        <w:t xml:space="preserve">@colombiacompra </w:t>
      </w:r>
    </w:p>
    <w:p w14:paraId="3E74A2C9" w14:textId="77777777" w:rsidR="00CC45DB" w:rsidRPr="00284526" w:rsidRDefault="00CC45DB" w:rsidP="00CC45DB">
      <w:pPr>
        <w:spacing w:after="0" w:line="276" w:lineRule="auto"/>
        <w:jc w:val="both"/>
        <w:rPr>
          <w:rFonts w:ascii="Verdana" w:hAnsi="Verdana" w:cs="Arial"/>
          <w:shd w:val="clear" w:color="auto" w:fill="FFFFFF"/>
        </w:rPr>
      </w:pPr>
      <w:r w:rsidRPr="00284526">
        <w:rPr>
          <w:rFonts w:ascii="Verdana" w:hAnsi="Verdana" w:cs="Arial"/>
          <w:shd w:val="clear" w:color="auto" w:fill="FFFFFF"/>
        </w:rPr>
        <w:t>Facebook:</w:t>
      </w:r>
      <w:r w:rsidRPr="00284526">
        <w:rPr>
          <w:rStyle w:val="Hipervnculo"/>
          <w:rFonts w:ascii="Verdana" w:hAnsi="Verdana"/>
          <w:color w:val="auto"/>
          <w:lang w:val="es-ES"/>
        </w:rPr>
        <w:t xml:space="preserve"> </w:t>
      </w:r>
      <w:proofErr w:type="spellStart"/>
      <w:r w:rsidRPr="00284526">
        <w:rPr>
          <w:rStyle w:val="Hipervnculo"/>
          <w:rFonts w:ascii="Verdana" w:hAnsi="Verdana"/>
          <w:lang w:val="es-ES"/>
        </w:rPr>
        <w:t>ColombiaCompraEficiente</w:t>
      </w:r>
      <w:proofErr w:type="spellEnd"/>
    </w:p>
    <w:p w14:paraId="1B95C06E" w14:textId="77777777" w:rsidR="00CC45DB" w:rsidRPr="00284526" w:rsidRDefault="00CC45DB" w:rsidP="00CC45DB">
      <w:pPr>
        <w:spacing w:after="0" w:line="276" w:lineRule="auto"/>
        <w:jc w:val="both"/>
        <w:rPr>
          <w:rFonts w:ascii="Verdana" w:hAnsi="Verdana" w:cs="Arial"/>
          <w:color w:val="0000FF"/>
          <w:shd w:val="clear" w:color="auto" w:fill="FFFFFF"/>
        </w:rPr>
      </w:pPr>
      <w:r w:rsidRPr="00284526">
        <w:rPr>
          <w:rFonts w:ascii="Verdana" w:hAnsi="Verdana" w:cs="Arial"/>
          <w:shd w:val="clear" w:color="auto" w:fill="FFFFFF"/>
        </w:rPr>
        <w:t xml:space="preserve">LinkedIn: </w:t>
      </w:r>
      <w:r w:rsidRPr="00284526">
        <w:rPr>
          <w:rStyle w:val="Hipervnculo"/>
          <w:rFonts w:ascii="Verdana" w:hAnsi="Verdana"/>
          <w:lang w:val="es-ES"/>
        </w:rPr>
        <w:t>Agencia Nacional de Contratación Pública - Colombia Compra Eficiente</w:t>
      </w:r>
      <w:r w:rsidRPr="00284526">
        <w:rPr>
          <w:rFonts w:ascii="Verdana" w:hAnsi="Verdana" w:cs="Arial"/>
          <w:color w:val="0000FF"/>
          <w:shd w:val="clear" w:color="auto" w:fill="FFFFFF"/>
        </w:rPr>
        <w:t xml:space="preserve"> </w:t>
      </w:r>
    </w:p>
    <w:p w14:paraId="5B03F368" w14:textId="77777777" w:rsidR="00CC45DB" w:rsidRPr="00284526" w:rsidRDefault="00CC45DB" w:rsidP="00CC45DB">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Instagram: </w:t>
      </w:r>
      <w:r w:rsidRPr="00284526">
        <w:rPr>
          <w:rStyle w:val="Hipervnculo"/>
          <w:rFonts w:ascii="Verdana" w:hAnsi="Verdana"/>
          <w:lang w:val="es-ES"/>
        </w:rPr>
        <w:t>@colombiacompraeficiente_cce</w:t>
      </w:r>
    </w:p>
    <w:p w14:paraId="419DC681" w14:textId="77777777" w:rsidR="00CC45DB" w:rsidRPr="00284526" w:rsidRDefault="00CC45DB" w:rsidP="00CC45DB">
      <w:pPr>
        <w:widowControl w:val="0"/>
        <w:autoSpaceDE w:val="0"/>
        <w:autoSpaceDN w:val="0"/>
        <w:spacing w:after="0" w:line="276" w:lineRule="auto"/>
        <w:jc w:val="both"/>
        <w:rPr>
          <w:rFonts w:ascii="Verdana" w:hAnsi="Verdana" w:cs="Arial"/>
          <w:lang w:val="es-ES"/>
        </w:rPr>
      </w:pPr>
    </w:p>
    <w:p w14:paraId="5CD52804" w14:textId="77777777" w:rsidR="00CC45DB" w:rsidRDefault="00CC45DB" w:rsidP="00CC45DB">
      <w:pPr>
        <w:spacing w:after="0" w:line="276" w:lineRule="auto"/>
        <w:rPr>
          <w:rFonts w:ascii="Verdana" w:eastAsia="Verdana" w:hAnsi="Verdana" w:cs="Verdana"/>
        </w:rPr>
      </w:pPr>
      <w:r w:rsidRPr="30821638">
        <w:rPr>
          <w:rFonts w:ascii="Verdana" w:eastAsia="Verdana" w:hAnsi="Verdana" w:cs="Verdana"/>
        </w:rPr>
        <w:t>Evalúa el servicio que ofrece la Agencia por el canal de atención de PQRSD en el siguiente enlace</w:t>
      </w:r>
      <w:r w:rsidRPr="00C25CDD">
        <w:rPr>
          <w:rFonts w:ascii="Verdana" w:eastAsia="Verdana" w:hAnsi="Verdana" w:cs="Verdana"/>
        </w:rPr>
        <w:t>:</w:t>
      </w:r>
      <w:r>
        <w:rPr>
          <w:rFonts w:ascii="Verdana" w:eastAsia="Verdana" w:hAnsi="Verdana" w:cs="Verdana"/>
        </w:rPr>
        <w:t xml:space="preserve"> </w:t>
      </w:r>
      <w:hyperlink r:id="rId16" w:history="1">
        <w:r w:rsidRPr="00C25CDD">
          <w:rPr>
            <w:rStyle w:val="Hipervnculo"/>
            <w:rFonts w:ascii="Verdana" w:eastAsia="Verdana" w:hAnsi="Verdana" w:cs="Verdana"/>
          </w:rPr>
          <w:t>https://forms.office.com/r/pPHyWVs2SZ</w:t>
        </w:r>
      </w:hyperlink>
      <w:r w:rsidRPr="30821638">
        <w:rPr>
          <w:rFonts w:ascii="Verdana" w:eastAsia="Verdana" w:hAnsi="Verdana" w:cs="Verdana"/>
        </w:rPr>
        <w:t xml:space="preserve"> .¡Ayúdanos a mejorar porque el compromiso es de todos!</w:t>
      </w:r>
    </w:p>
    <w:p w14:paraId="786D0388" w14:textId="77777777" w:rsidR="00CC45DB" w:rsidRDefault="00CC45DB" w:rsidP="00CC45DB">
      <w:pPr>
        <w:spacing w:after="0" w:line="276" w:lineRule="auto"/>
        <w:rPr>
          <w:rFonts w:ascii="Verdana" w:eastAsia="Verdana" w:hAnsi="Verdana" w:cs="Verdana"/>
        </w:rPr>
      </w:pPr>
    </w:p>
    <w:p w14:paraId="092D6FB2" w14:textId="77777777" w:rsidR="00CC45DB" w:rsidRPr="00284526" w:rsidRDefault="00CC45DB" w:rsidP="00CC45DB">
      <w:pPr>
        <w:widowControl w:val="0"/>
        <w:autoSpaceDE w:val="0"/>
        <w:autoSpaceDN w:val="0"/>
        <w:spacing w:after="0" w:line="276" w:lineRule="auto"/>
        <w:jc w:val="both"/>
        <w:rPr>
          <w:rFonts w:ascii="Verdana" w:hAnsi="Verdana" w:cs="Arial"/>
          <w:lang w:val="es-ES"/>
        </w:rPr>
      </w:pPr>
      <w:r w:rsidRPr="0028452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F22B9BC" w14:textId="77777777" w:rsidR="00CC45DB" w:rsidRPr="00116940" w:rsidRDefault="00CC45DB" w:rsidP="00CC45DB">
      <w:pPr>
        <w:spacing w:after="0" w:line="276" w:lineRule="auto"/>
        <w:jc w:val="both"/>
        <w:rPr>
          <w:rFonts w:ascii="Verdana" w:eastAsia="Verdana" w:hAnsi="Verdana" w:cs="Verdana"/>
        </w:rPr>
      </w:pPr>
    </w:p>
    <w:p w14:paraId="623C325E" w14:textId="668CFD96" w:rsidR="00CC45DB" w:rsidRDefault="002831C0" w:rsidP="00CC45DB">
      <w:pPr>
        <w:spacing w:after="0" w:line="276" w:lineRule="auto"/>
        <w:jc w:val="both"/>
        <w:rPr>
          <w:rFonts w:ascii="Verdana" w:eastAsia="Verdana" w:hAnsi="Verdana" w:cs="Verdana"/>
          <w:lang w:val="es-MX"/>
        </w:rPr>
      </w:pPr>
      <w:r w:rsidRPr="002C3AD6">
        <w:rPr>
          <w:rFonts w:ascii="Century Gothic" w:hAnsi="Century Gothic"/>
          <w:noProof/>
          <w:lang w:val="en-US"/>
        </w:rPr>
        <w:drawing>
          <wp:anchor distT="0" distB="0" distL="114300" distR="114300" simplePos="0" relativeHeight="251660288" behindDoc="1" locked="0" layoutInCell="1" allowOverlap="1" wp14:anchorId="618CB2CF" wp14:editId="5FCAF808">
            <wp:simplePos x="0" y="0"/>
            <wp:positionH relativeFrom="column">
              <wp:posOffset>1282844</wp:posOffset>
            </wp:positionH>
            <wp:positionV relativeFrom="paragraph">
              <wp:posOffset>76239</wp:posOffset>
            </wp:positionV>
            <wp:extent cx="3279697" cy="1217463"/>
            <wp:effectExtent l="0" t="0" r="0" b="1905"/>
            <wp:wrapTight wrapText="bothSides">
              <wp:wrapPolygon edited="0">
                <wp:start x="0" y="0"/>
                <wp:lineTo x="0" y="21296"/>
                <wp:lineTo x="21458" y="21296"/>
                <wp:lineTo x="21458" y="0"/>
                <wp:lineTo x="0" y="0"/>
              </wp:wrapPolygon>
            </wp:wrapTight>
            <wp:docPr id="3"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3279697" cy="1217463"/>
                    </a:xfrm>
                    <a:prstGeom prst="rect">
                      <a:avLst/>
                    </a:prstGeom>
                  </pic:spPr>
                </pic:pic>
              </a:graphicData>
            </a:graphic>
          </wp:anchor>
        </w:drawing>
      </w:r>
      <w:r w:rsidR="00CC45DB" w:rsidRPr="30821638">
        <w:rPr>
          <w:rFonts w:ascii="Verdana" w:eastAsia="Verdana" w:hAnsi="Verdana" w:cs="Verdana"/>
          <w:lang w:val="es-MX"/>
        </w:rPr>
        <w:t>Cordialmente,</w:t>
      </w:r>
      <w:r w:rsidR="00CC45DB">
        <w:rPr>
          <w:rFonts w:ascii="Verdana" w:eastAsia="Verdana" w:hAnsi="Verdana" w:cs="Verdana"/>
          <w:lang w:val="es-MX"/>
        </w:rPr>
        <w:t xml:space="preserve"> </w:t>
      </w:r>
    </w:p>
    <w:p w14:paraId="3A652E85" w14:textId="6BF9BB22" w:rsidR="00CC45DB" w:rsidRDefault="00CC45DB" w:rsidP="00CC45DB">
      <w:pPr>
        <w:spacing w:after="0" w:line="276" w:lineRule="auto"/>
        <w:jc w:val="both"/>
        <w:rPr>
          <w:rFonts w:ascii="Verdana" w:eastAsia="Century Gothic" w:hAnsi="Verdana" w:cs="Century Gothic"/>
        </w:rPr>
      </w:pPr>
    </w:p>
    <w:p w14:paraId="56B66D25" w14:textId="77777777" w:rsidR="00CC45DB" w:rsidRDefault="00CC45DB" w:rsidP="00CC45DB">
      <w:pPr>
        <w:spacing w:after="0" w:line="276" w:lineRule="auto"/>
        <w:jc w:val="both"/>
        <w:rPr>
          <w:rFonts w:ascii="Verdana" w:eastAsia="Century Gothic" w:hAnsi="Verdana" w:cs="Century Gothic"/>
        </w:rPr>
      </w:pPr>
    </w:p>
    <w:p w14:paraId="2F861390" w14:textId="77777777" w:rsidR="00CC45DB" w:rsidRDefault="00CC45DB" w:rsidP="00CC45DB">
      <w:pPr>
        <w:spacing w:after="0" w:line="276" w:lineRule="auto"/>
        <w:jc w:val="both"/>
        <w:rPr>
          <w:rFonts w:ascii="Verdana" w:eastAsia="Century Gothic" w:hAnsi="Verdana" w:cs="Century Gothic"/>
        </w:rPr>
      </w:pPr>
    </w:p>
    <w:p w14:paraId="45A93D19" w14:textId="77777777" w:rsidR="00CC45DB" w:rsidRDefault="00CC45DB" w:rsidP="00CC45DB">
      <w:pPr>
        <w:spacing w:after="0" w:line="276" w:lineRule="auto"/>
        <w:jc w:val="both"/>
        <w:rPr>
          <w:rFonts w:ascii="Verdana" w:eastAsia="Century Gothic" w:hAnsi="Verdana" w:cs="Century Gothic"/>
        </w:rPr>
      </w:pPr>
    </w:p>
    <w:p w14:paraId="0899D45B" w14:textId="77777777" w:rsidR="00CC45DB" w:rsidRDefault="00CC45DB" w:rsidP="00CC45DB">
      <w:pPr>
        <w:spacing w:after="0" w:line="276" w:lineRule="auto"/>
        <w:jc w:val="both"/>
        <w:rPr>
          <w:rFonts w:ascii="Verdana" w:eastAsia="Century Gothic" w:hAnsi="Verdana" w:cs="Century Gothic"/>
        </w:rPr>
      </w:pPr>
    </w:p>
    <w:p w14:paraId="10746C98" w14:textId="77777777" w:rsidR="00CC45DB" w:rsidRDefault="00CC45DB" w:rsidP="00CC45DB">
      <w:pPr>
        <w:spacing w:after="120" w:line="276" w:lineRule="auto"/>
        <w:contextualSpacing/>
        <w:jc w:val="both"/>
        <w:rPr>
          <w:rFonts w:ascii="Verdana" w:eastAsia="Aptos" w:hAnsi="Verdana" w:cs="Arial"/>
          <w:shd w:val="clear" w:color="auto" w:fill="FFFFFF"/>
          <w:lang w:val="es-ES"/>
        </w:rPr>
      </w:pPr>
    </w:p>
    <w:tbl>
      <w:tblPr>
        <w:tblStyle w:val="Tablaconcuadrcula"/>
        <w:tblW w:w="6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436"/>
      </w:tblGrid>
      <w:tr w:rsidR="00CC45DB" w:rsidRPr="004C0111" w14:paraId="647514D9" w14:textId="77777777" w:rsidTr="003E261D">
        <w:trPr>
          <w:trHeight w:val="622"/>
        </w:trPr>
        <w:tc>
          <w:tcPr>
            <w:tcW w:w="893" w:type="dxa"/>
            <w:vAlign w:val="center"/>
            <w:hideMark/>
          </w:tcPr>
          <w:p w14:paraId="5D76CC46" w14:textId="77777777" w:rsidR="00CC45DB" w:rsidRPr="004C0111" w:rsidRDefault="00CC45DB" w:rsidP="003E261D">
            <w:pPr>
              <w:rPr>
                <w:rFonts w:ascii="Verdana" w:eastAsia="Calibri" w:hAnsi="Verdana" w:cs="Arial"/>
                <w:sz w:val="16"/>
                <w:szCs w:val="16"/>
                <w:lang w:val="es-ES_tradnl"/>
              </w:rPr>
            </w:pPr>
            <w:r w:rsidRPr="004C0111">
              <w:rPr>
                <w:rFonts w:ascii="Verdana" w:eastAsia="Calibri" w:hAnsi="Verdana" w:cs="Arial"/>
                <w:sz w:val="16"/>
                <w:szCs w:val="16"/>
                <w:lang w:val="es-ES_tradnl"/>
              </w:rPr>
              <w:t>Elaboró:</w:t>
            </w:r>
          </w:p>
        </w:tc>
        <w:tc>
          <w:tcPr>
            <w:tcW w:w="5436" w:type="dxa"/>
            <w:tcBorders>
              <w:top w:val="nil"/>
              <w:left w:val="nil"/>
              <w:bottom w:val="dotted" w:sz="4" w:space="0" w:color="7F7F7F" w:themeColor="text1" w:themeTint="80"/>
              <w:right w:val="nil"/>
            </w:tcBorders>
            <w:vAlign w:val="center"/>
            <w:hideMark/>
          </w:tcPr>
          <w:tbl>
            <w:tblPr>
              <w:tblW w:w="50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1"/>
            </w:tblGrid>
            <w:tr w:rsidR="00CC45DB" w:rsidRPr="004C0111" w14:paraId="0ACA177A" w14:textId="77777777" w:rsidTr="003E261D">
              <w:trPr>
                <w:trHeight w:val="45"/>
              </w:trPr>
              <w:tc>
                <w:tcPr>
                  <w:tcW w:w="5091" w:type="dxa"/>
                  <w:tcBorders>
                    <w:top w:val="dotted" w:sz="6" w:space="0" w:color="7F7F7F" w:themeColor="text1" w:themeTint="80"/>
                    <w:left w:val="nil"/>
                    <w:bottom w:val="dotted" w:sz="6" w:space="0" w:color="7F7F7F" w:themeColor="text1" w:themeTint="80"/>
                    <w:right w:val="nil"/>
                  </w:tcBorders>
                  <w:vAlign w:val="center"/>
                  <w:hideMark/>
                </w:tcPr>
                <w:p w14:paraId="31877717" w14:textId="77777777" w:rsidR="00CC45DB" w:rsidRPr="004C0111" w:rsidRDefault="00CC45DB" w:rsidP="003E261D">
                  <w:pPr>
                    <w:spacing w:after="0" w:line="240" w:lineRule="auto"/>
                    <w:rPr>
                      <w:rFonts w:ascii="Verdana" w:eastAsia="Times New Roman" w:hAnsi="Verdana" w:cs="Arial"/>
                      <w:sz w:val="16"/>
                      <w:szCs w:val="16"/>
                      <w:lang w:val="es-ES" w:eastAsia="es-ES"/>
                    </w:rPr>
                  </w:pPr>
                  <w:r w:rsidRPr="731A4B47">
                    <w:rPr>
                      <w:rFonts w:ascii="Verdana" w:eastAsia="Times New Roman" w:hAnsi="Verdana" w:cs="Arial"/>
                      <w:sz w:val="16"/>
                      <w:szCs w:val="16"/>
                      <w:lang w:val="es-ES" w:eastAsia="es-ES"/>
                    </w:rPr>
                    <w:t>Kelmis Yirama Brugés Alvarado</w:t>
                  </w:r>
                </w:p>
                <w:p w14:paraId="34F08925" w14:textId="77777777" w:rsidR="00CC45DB" w:rsidRPr="004C0111" w:rsidRDefault="00CC45DB" w:rsidP="003E261D">
                  <w:pPr>
                    <w:spacing w:after="0" w:line="240" w:lineRule="auto"/>
                    <w:rPr>
                      <w:rFonts w:ascii="Verdana" w:eastAsia="Times New Roman" w:hAnsi="Verdana" w:cs="Arial"/>
                      <w:sz w:val="16"/>
                      <w:szCs w:val="16"/>
                      <w:lang w:val="es-MX" w:eastAsia="es-CO"/>
                    </w:rPr>
                  </w:pPr>
                  <w:r w:rsidRPr="004C0111">
                    <w:rPr>
                      <w:rFonts w:ascii="Verdana" w:eastAsia="Times New Roman" w:hAnsi="Verdana" w:cs="Arial"/>
                      <w:sz w:val="16"/>
                      <w:szCs w:val="16"/>
                      <w:lang w:eastAsia="es-ES"/>
                    </w:rPr>
                    <w:t>Analista T2-</w:t>
                  </w:r>
                  <w:r>
                    <w:rPr>
                      <w:rFonts w:ascii="Verdana" w:eastAsia="Times New Roman" w:hAnsi="Verdana" w:cs="Arial"/>
                      <w:sz w:val="16"/>
                      <w:szCs w:val="16"/>
                      <w:lang w:eastAsia="es-ES"/>
                    </w:rPr>
                    <w:t>04</w:t>
                  </w:r>
                  <w:r w:rsidRPr="004C0111">
                    <w:rPr>
                      <w:rFonts w:ascii="Verdana" w:eastAsia="Times New Roman" w:hAnsi="Verdana" w:cs="Arial"/>
                      <w:sz w:val="16"/>
                      <w:szCs w:val="16"/>
                      <w:lang w:eastAsia="es-ES"/>
                    </w:rPr>
                    <w:t xml:space="preserve"> de la Subdirección de Gestión Contractual</w:t>
                  </w:r>
                </w:p>
              </w:tc>
            </w:tr>
          </w:tbl>
          <w:p w14:paraId="05F35E4B" w14:textId="77777777" w:rsidR="00CC45DB" w:rsidRPr="004C0111" w:rsidRDefault="00CC45DB" w:rsidP="003E261D">
            <w:pPr>
              <w:rPr>
                <w:rFonts w:ascii="Verdana" w:eastAsia="Calibri" w:hAnsi="Verdana" w:cs="Arial"/>
                <w:sz w:val="16"/>
                <w:szCs w:val="16"/>
                <w:lang w:val="es-MX"/>
              </w:rPr>
            </w:pPr>
          </w:p>
        </w:tc>
      </w:tr>
      <w:tr w:rsidR="00CC45DB" w:rsidRPr="004C0111" w14:paraId="25FB4296" w14:textId="77777777" w:rsidTr="003E261D">
        <w:trPr>
          <w:trHeight w:val="330"/>
        </w:trPr>
        <w:tc>
          <w:tcPr>
            <w:tcW w:w="893" w:type="dxa"/>
            <w:vAlign w:val="center"/>
            <w:hideMark/>
          </w:tcPr>
          <w:p w14:paraId="7AADAC1C" w14:textId="77777777" w:rsidR="00CC45DB" w:rsidRPr="004C0111" w:rsidRDefault="00CC45DB" w:rsidP="003E261D">
            <w:pPr>
              <w:rPr>
                <w:rFonts w:ascii="Verdana" w:eastAsia="Calibri" w:hAnsi="Verdana" w:cs="Arial"/>
                <w:sz w:val="16"/>
                <w:szCs w:val="16"/>
                <w:lang w:val="es-ES_tradnl"/>
              </w:rPr>
            </w:pPr>
            <w:r w:rsidRPr="004C0111">
              <w:rPr>
                <w:rFonts w:ascii="Verdana" w:eastAsia="Calibri" w:hAnsi="Verdana" w:cs="Arial"/>
                <w:sz w:val="16"/>
                <w:szCs w:val="16"/>
                <w:lang w:val="es-ES_tradnl"/>
              </w:rPr>
              <w:lastRenderedPageBreak/>
              <w:t>Revisó:</w:t>
            </w:r>
          </w:p>
        </w:tc>
        <w:tc>
          <w:tcPr>
            <w:tcW w:w="5436" w:type="dxa"/>
            <w:tcBorders>
              <w:top w:val="dotted" w:sz="4" w:space="0" w:color="7F7F7F" w:themeColor="text1" w:themeTint="80"/>
              <w:left w:val="nil"/>
              <w:bottom w:val="dotted" w:sz="4" w:space="0" w:color="7F7F7F" w:themeColor="text1" w:themeTint="80"/>
              <w:right w:val="nil"/>
            </w:tcBorders>
            <w:vAlign w:val="center"/>
            <w:hideMark/>
          </w:tcPr>
          <w:p w14:paraId="73B0A1DC" w14:textId="77777777" w:rsidR="00CC45DB" w:rsidRPr="004C0111" w:rsidRDefault="00CC45DB" w:rsidP="003E261D">
            <w:pPr>
              <w:textAlignment w:val="baseline"/>
              <w:rPr>
                <w:rFonts w:ascii="Verdana" w:eastAsia="Times New Roman" w:hAnsi="Verdana" w:cs="Arial"/>
                <w:sz w:val="16"/>
                <w:szCs w:val="16"/>
                <w:lang w:eastAsia="es-CO"/>
              </w:rPr>
            </w:pPr>
            <w:r>
              <w:rPr>
                <w:rFonts w:ascii="Verdana" w:eastAsia="Times New Roman" w:hAnsi="Verdana" w:cs="Arial"/>
                <w:sz w:val="16"/>
                <w:szCs w:val="16"/>
                <w:lang w:eastAsia="es-CO"/>
              </w:rPr>
              <w:t>Adriana López Rodríguez</w:t>
            </w:r>
          </w:p>
          <w:p w14:paraId="5A3E6025" w14:textId="77777777" w:rsidR="00CC45DB" w:rsidRPr="004C0111" w:rsidRDefault="00CC45DB" w:rsidP="003E261D">
            <w:pPr>
              <w:textAlignment w:val="baseline"/>
              <w:rPr>
                <w:rFonts w:ascii="Verdana" w:eastAsia="Times New Roman" w:hAnsi="Verdana" w:cs="Arial"/>
                <w:sz w:val="16"/>
                <w:szCs w:val="16"/>
                <w:lang w:val="es-MX" w:eastAsia="es-CO"/>
              </w:rPr>
            </w:pPr>
            <w:r>
              <w:rPr>
                <w:rFonts w:ascii="Verdana" w:eastAsia="Times New Roman" w:hAnsi="Verdana" w:cs="Arial"/>
                <w:sz w:val="16"/>
                <w:szCs w:val="16"/>
                <w:lang w:eastAsia="es-CO"/>
              </w:rPr>
              <w:t xml:space="preserve">Contratista </w:t>
            </w:r>
            <w:r w:rsidRPr="004C0111">
              <w:rPr>
                <w:rFonts w:ascii="Verdana" w:eastAsia="Times New Roman" w:hAnsi="Verdana" w:cs="Arial"/>
                <w:sz w:val="16"/>
                <w:szCs w:val="16"/>
                <w:lang w:eastAsia="es-CO"/>
              </w:rPr>
              <w:t>de la Subdirección de Gestión Contractual</w:t>
            </w:r>
          </w:p>
        </w:tc>
      </w:tr>
      <w:tr w:rsidR="00CC45DB" w:rsidRPr="004C0111" w14:paraId="59B98D32" w14:textId="77777777" w:rsidTr="003E261D">
        <w:trPr>
          <w:trHeight w:val="77"/>
        </w:trPr>
        <w:tc>
          <w:tcPr>
            <w:tcW w:w="893" w:type="dxa"/>
            <w:vAlign w:val="center"/>
          </w:tcPr>
          <w:p w14:paraId="3336317C" w14:textId="77777777" w:rsidR="00CC45DB" w:rsidRPr="004C0111" w:rsidRDefault="00CC45DB" w:rsidP="003E261D">
            <w:pPr>
              <w:rPr>
                <w:rFonts w:ascii="Verdana" w:eastAsia="Calibri" w:hAnsi="Verdana" w:cs="Arial"/>
                <w:sz w:val="16"/>
                <w:szCs w:val="16"/>
                <w:lang w:val="es-ES_tradnl"/>
              </w:rPr>
            </w:pPr>
            <w:r w:rsidRPr="004C0111">
              <w:rPr>
                <w:rFonts w:ascii="Verdana" w:eastAsia="Calibri" w:hAnsi="Verdana" w:cs="Arial"/>
                <w:sz w:val="16"/>
                <w:szCs w:val="16"/>
                <w:lang w:val="es-ES_tradnl"/>
              </w:rPr>
              <w:t>Aprobó:</w:t>
            </w:r>
          </w:p>
        </w:tc>
        <w:tc>
          <w:tcPr>
            <w:tcW w:w="5436" w:type="dxa"/>
            <w:tcBorders>
              <w:top w:val="dotted" w:sz="4" w:space="0" w:color="7F7F7F" w:themeColor="text1" w:themeTint="80"/>
              <w:left w:val="nil"/>
              <w:bottom w:val="dotted" w:sz="4" w:space="0" w:color="7F7F7F" w:themeColor="text1" w:themeTint="80"/>
              <w:right w:val="nil"/>
            </w:tcBorders>
            <w:vAlign w:val="center"/>
          </w:tcPr>
          <w:p w14:paraId="41153657" w14:textId="77777777" w:rsidR="00CC45DB" w:rsidRPr="002F2853" w:rsidRDefault="00CC45DB" w:rsidP="003E261D">
            <w:pPr>
              <w:rPr>
                <w:rFonts w:ascii="Verdana" w:eastAsia="Times New Roman" w:hAnsi="Verdana" w:cs="Arial"/>
                <w:sz w:val="16"/>
                <w:szCs w:val="16"/>
                <w:lang w:eastAsia="es-ES"/>
              </w:rPr>
            </w:pPr>
            <w:r w:rsidRPr="002F2853">
              <w:rPr>
                <w:rFonts w:ascii="Verdana" w:eastAsia="Times New Roman" w:hAnsi="Verdana" w:cs="Arial"/>
                <w:sz w:val="16"/>
                <w:szCs w:val="16"/>
                <w:lang w:eastAsia="es-ES"/>
              </w:rPr>
              <w:t>Carolina Quintero Gacharná</w:t>
            </w:r>
          </w:p>
          <w:p w14:paraId="65D28EB4" w14:textId="77777777" w:rsidR="00CC45DB" w:rsidRPr="004C0111" w:rsidRDefault="00CC45DB" w:rsidP="003E261D">
            <w:pPr>
              <w:rPr>
                <w:rFonts w:ascii="Verdana" w:eastAsia="Calibri" w:hAnsi="Verdana" w:cs="Arial"/>
                <w:sz w:val="16"/>
                <w:szCs w:val="16"/>
                <w:lang w:val="es-ES_tradnl"/>
              </w:rPr>
            </w:pPr>
            <w:r w:rsidRPr="002F2853">
              <w:rPr>
                <w:rFonts w:ascii="Verdana" w:eastAsia="Times New Roman" w:hAnsi="Verdana" w:cs="Arial"/>
                <w:sz w:val="16"/>
                <w:szCs w:val="16"/>
                <w:lang w:eastAsia="es-ES"/>
              </w:rPr>
              <w:t>Subdirectora de Gestión Contractual ANCP – CCE</w:t>
            </w:r>
          </w:p>
        </w:tc>
      </w:tr>
    </w:tbl>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4B399349"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6EFA6" w14:textId="77777777" w:rsidR="00360DAB" w:rsidRDefault="00360DAB" w:rsidP="004A1847">
      <w:pPr>
        <w:spacing w:after="0" w:line="240" w:lineRule="auto"/>
      </w:pPr>
      <w:r>
        <w:separator/>
      </w:r>
    </w:p>
  </w:endnote>
  <w:endnote w:type="continuationSeparator" w:id="0">
    <w:p w14:paraId="22D7B112" w14:textId="77777777" w:rsidR="00360DAB" w:rsidRDefault="00360DAB"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82509" w14:textId="77777777" w:rsidR="00360DAB" w:rsidRDefault="00360DAB" w:rsidP="004A1847">
      <w:pPr>
        <w:spacing w:after="0" w:line="240" w:lineRule="auto"/>
      </w:pPr>
      <w:r>
        <w:separator/>
      </w:r>
    </w:p>
  </w:footnote>
  <w:footnote w:type="continuationSeparator" w:id="0">
    <w:p w14:paraId="548C6B2F" w14:textId="77777777" w:rsidR="00360DAB" w:rsidRDefault="00360DAB" w:rsidP="004A1847">
      <w:pPr>
        <w:spacing w:after="0" w:line="240" w:lineRule="auto"/>
      </w:pPr>
      <w:r>
        <w:continuationSeparator/>
      </w:r>
    </w:p>
  </w:footnote>
  <w:footnote w:id="1">
    <w:p w14:paraId="06F0B1C5" w14:textId="77777777" w:rsidR="00810EBE" w:rsidRPr="00FA6811" w:rsidRDefault="00810EBE" w:rsidP="00810EBE">
      <w:pPr>
        <w:pStyle w:val="Textonotapie"/>
        <w:ind w:firstLine="709"/>
        <w:contextualSpacing/>
        <w:jc w:val="both"/>
        <w:rPr>
          <w:rFonts w:ascii="Verdana" w:hAnsi="Verdana" w:cs="Arial"/>
          <w:sz w:val="16"/>
          <w:szCs w:val="16"/>
        </w:rPr>
      </w:pPr>
      <w:r w:rsidRPr="00FA6811">
        <w:rPr>
          <w:rStyle w:val="Refdenotaalpie"/>
          <w:rFonts w:ascii="Verdana" w:hAnsi="Verdana" w:cs="Arial"/>
          <w:sz w:val="16"/>
          <w:szCs w:val="16"/>
        </w:rPr>
        <w:footnoteRef/>
      </w:r>
      <w:r w:rsidRPr="00FA6811">
        <w:rPr>
          <w:rFonts w:ascii="Verdana" w:hAnsi="Verdana" w:cs="Arial"/>
          <w:sz w:val="16"/>
          <w:szCs w:val="16"/>
        </w:rPr>
        <w:t xml:space="preserve"> Gaceta del Congreso de la República No. 71 del 2005.</w:t>
      </w:r>
    </w:p>
  </w:footnote>
  <w:footnote w:id="2">
    <w:p w14:paraId="5D60EF3E" w14:textId="77777777" w:rsidR="005C148F" w:rsidRPr="00310E5C" w:rsidRDefault="005C148F" w:rsidP="005C148F">
      <w:pPr>
        <w:pStyle w:val="Textonotapie"/>
        <w:ind w:firstLine="709"/>
        <w:jc w:val="both"/>
        <w:rPr>
          <w:rFonts w:ascii="Verdana" w:hAnsi="Verdana" w:cs="Arial"/>
          <w:sz w:val="16"/>
          <w:szCs w:val="16"/>
        </w:rPr>
      </w:pPr>
      <w:r w:rsidRPr="00FA6811">
        <w:rPr>
          <w:rStyle w:val="Refdenotaalpie"/>
          <w:rFonts w:ascii="Verdana" w:hAnsi="Verdana" w:cs="Arial"/>
          <w:sz w:val="16"/>
          <w:szCs w:val="16"/>
        </w:rPr>
        <w:footnoteRef/>
      </w:r>
      <w:r w:rsidRPr="00FA6811">
        <w:rPr>
          <w:rFonts w:ascii="Verdana" w:hAnsi="Verdana" w:cs="Arial"/>
          <w:sz w:val="16"/>
          <w:szCs w:val="16"/>
        </w:rPr>
        <w:t xml:space="preserve"> El artículo 127 de l</w:t>
      </w:r>
      <w:r w:rsidRPr="00310E5C">
        <w:rPr>
          <w:rFonts w:ascii="Verdana" w:hAnsi="Verdana" w:cs="Arial"/>
          <w:sz w:val="16"/>
          <w:szCs w:val="16"/>
        </w:rPr>
        <w:t xml:space="preserve">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6AC6F410" w14:textId="77777777" w:rsidR="005C148F" w:rsidRPr="00310E5C" w:rsidRDefault="005C148F" w:rsidP="005C148F">
      <w:pPr>
        <w:pStyle w:val="Textonotapie"/>
        <w:ind w:firstLine="709"/>
        <w:jc w:val="both"/>
        <w:rPr>
          <w:rFonts w:ascii="Verdana" w:hAnsi="Verdana" w:cs="Arial"/>
          <w:sz w:val="16"/>
          <w:szCs w:val="16"/>
        </w:rPr>
      </w:pPr>
      <w:r w:rsidRPr="00310E5C">
        <w:rPr>
          <w:rFonts w:ascii="Verdana" w:hAnsi="Verdana" w:cs="Arial"/>
          <w:sz w:val="16"/>
          <w:szCs w:val="16"/>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3">
    <w:p w14:paraId="6D8E0225" w14:textId="77777777" w:rsidR="005C148F" w:rsidRPr="00310E5C" w:rsidRDefault="005C148F" w:rsidP="005C148F">
      <w:pPr>
        <w:pStyle w:val="Textonotapie"/>
        <w:ind w:firstLine="709"/>
        <w:jc w:val="both"/>
        <w:rPr>
          <w:rFonts w:ascii="Verdana" w:hAnsi="Verdana" w:cs="Arial"/>
          <w:sz w:val="16"/>
          <w:szCs w:val="16"/>
        </w:rPr>
      </w:pPr>
      <w:r w:rsidRPr="00310E5C">
        <w:rPr>
          <w:rStyle w:val="Refdenotaalpie"/>
          <w:rFonts w:ascii="Verdana" w:hAnsi="Verdana" w:cs="Arial"/>
          <w:sz w:val="16"/>
          <w:szCs w:val="16"/>
        </w:rPr>
        <w:footnoteRef/>
      </w:r>
      <w:r w:rsidRPr="00310E5C">
        <w:rPr>
          <w:rFonts w:ascii="Verdana" w:hAnsi="Verdana" w:cs="Arial"/>
          <w:sz w:val="16"/>
          <w:szCs w:val="16"/>
        </w:rPr>
        <w:t xml:space="preserve"> Gaceta del Congreso de la República No. 71 del 2005.</w:t>
      </w:r>
    </w:p>
  </w:footnote>
  <w:footnote w:id="4">
    <w:p w14:paraId="7BF53ADA" w14:textId="77777777" w:rsidR="005C148F" w:rsidRPr="00310E5C" w:rsidRDefault="005C148F" w:rsidP="005C148F">
      <w:pPr>
        <w:pStyle w:val="Textonotapie"/>
        <w:ind w:firstLine="709"/>
        <w:jc w:val="both"/>
        <w:rPr>
          <w:rFonts w:ascii="Verdana" w:hAnsi="Verdana" w:cs="Arial"/>
          <w:sz w:val="16"/>
          <w:szCs w:val="16"/>
          <w:lang w:val="pt-BR"/>
        </w:rPr>
      </w:pPr>
      <w:r w:rsidRPr="00310E5C">
        <w:rPr>
          <w:rStyle w:val="Refdenotaalpie"/>
          <w:rFonts w:ascii="Verdana" w:hAnsi="Verdana" w:cs="Arial"/>
          <w:sz w:val="16"/>
          <w:szCs w:val="16"/>
        </w:rPr>
        <w:footnoteRef/>
      </w:r>
      <w:r w:rsidRPr="00310E5C">
        <w:rPr>
          <w:rFonts w:ascii="Verdana" w:hAnsi="Verdana" w:cs="Arial"/>
          <w:sz w:val="16"/>
          <w:szCs w:val="16"/>
          <w:lang w:val="pt-BR"/>
        </w:rPr>
        <w:t xml:space="preserve"> Corte Constitucional, Sentencia C- 1153 de 2005, M.P. Marco Gerardo </w:t>
      </w:r>
      <w:proofErr w:type="spellStart"/>
      <w:r w:rsidRPr="00310E5C">
        <w:rPr>
          <w:rFonts w:ascii="Verdana" w:hAnsi="Verdana" w:cs="Arial"/>
          <w:sz w:val="16"/>
          <w:szCs w:val="16"/>
          <w:lang w:val="pt-BR"/>
        </w:rPr>
        <w:t>Monroy</w:t>
      </w:r>
      <w:proofErr w:type="spellEnd"/>
      <w:r w:rsidRPr="00310E5C">
        <w:rPr>
          <w:rFonts w:ascii="Verdana" w:hAnsi="Verdana" w:cs="Arial"/>
          <w:sz w:val="16"/>
          <w:szCs w:val="16"/>
          <w:lang w:val="pt-BR"/>
        </w:rPr>
        <w:t xml:space="preserve"> Cabra.</w:t>
      </w:r>
    </w:p>
  </w:footnote>
  <w:footnote w:id="5">
    <w:p w14:paraId="09DFAF51" w14:textId="77777777" w:rsidR="005C148F" w:rsidRPr="00310E5C" w:rsidRDefault="005C148F" w:rsidP="005C148F">
      <w:pPr>
        <w:pStyle w:val="Textonotapie"/>
        <w:ind w:firstLine="709"/>
        <w:jc w:val="both"/>
        <w:rPr>
          <w:rFonts w:ascii="Verdana" w:hAnsi="Verdana" w:cs="Arial"/>
          <w:sz w:val="16"/>
          <w:szCs w:val="16"/>
          <w:lang w:val="pt-BR"/>
        </w:rPr>
      </w:pPr>
      <w:r w:rsidRPr="00310E5C">
        <w:rPr>
          <w:rStyle w:val="Refdenotaalpie"/>
          <w:rFonts w:ascii="Verdana" w:hAnsi="Verdana" w:cs="Arial"/>
          <w:sz w:val="16"/>
          <w:szCs w:val="16"/>
        </w:rPr>
        <w:footnoteRef/>
      </w:r>
      <w:r w:rsidRPr="00310E5C">
        <w:rPr>
          <w:rFonts w:ascii="Verdana" w:hAnsi="Verdana" w:cs="Arial"/>
          <w:sz w:val="16"/>
          <w:szCs w:val="16"/>
          <w:lang w:val="pt-BR"/>
        </w:rPr>
        <w:t xml:space="preserve"> Corte Constitucional. Sentencias: C-233 de 4 de abril de 2002, expediente: D-3704; C-551 de 9 de </w:t>
      </w:r>
      <w:proofErr w:type="spellStart"/>
      <w:r w:rsidRPr="00310E5C">
        <w:rPr>
          <w:rFonts w:ascii="Verdana" w:hAnsi="Verdana" w:cs="Arial"/>
          <w:sz w:val="16"/>
          <w:szCs w:val="16"/>
          <w:lang w:val="pt-BR"/>
        </w:rPr>
        <w:t>julio</w:t>
      </w:r>
      <w:proofErr w:type="spellEnd"/>
      <w:r w:rsidRPr="00310E5C">
        <w:rPr>
          <w:rFonts w:ascii="Verdana" w:hAnsi="Verdana" w:cs="Arial"/>
          <w:sz w:val="16"/>
          <w:szCs w:val="16"/>
          <w:lang w:val="pt-BR"/>
        </w:rPr>
        <w:t xml:space="preserve"> de 2003, expediente: CRF-001 de 9 de </w:t>
      </w:r>
      <w:proofErr w:type="spellStart"/>
      <w:r w:rsidRPr="00310E5C">
        <w:rPr>
          <w:rFonts w:ascii="Verdana" w:hAnsi="Verdana" w:cs="Arial"/>
          <w:sz w:val="16"/>
          <w:szCs w:val="16"/>
          <w:lang w:val="pt-BR"/>
        </w:rPr>
        <w:t>julio</w:t>
      </w:r>
      <w:proofErr w:type="spellEnd"/>
      <w:r w:rsidRPr="00310E5C">
        <w:rPr>
          <w:rFonts w:ascii="Verdana" w:hAnsi="Verdana" w:cs="Arial"/>
          <w:sz w:val="16"/>
          <w:szCs w:val="16"/>
          <w:lang w:val="pt-BR"/>
        </w:rPr>
        <w:t xml:space="preserve"> de 2003; C-652 de 5 de agosto de 2003, expediente: D-4330; C-353 de 20 de mayo de 2009, expediente: D-7518, C-541 de 30 de junio de 2010, expediente: DD7966; entre otras.</w:t>
      </w:r>
    </w:p>
  </w:footnote>
  <w:footnote w:id="6">
    <w:p w14:paraId="65555C1D" w14:textId="77777777" w:rsidR="005C148F" w:rsidRPr="00310E5C" w:rsidRDefault="005C148F" w:rsidP="005C148F">
      <w:pPr>
        <w:pStyle w:val="Textonotapie"/>
        <w:ind w:firstLine="709"/>
        <w:jc w:val="both"/>
        <w:rPr>
          <w:rFonts w:ascii="Verdana" w:hAnsi="Verdana" w:cs="Arial"/>
          <w:sz w:val="16"/>
          <w:szCs w:val="16"/>
          <w:lang w:val="es-CO"/>
        </w:rPr>
      </w:pPr>
      <w:r w:rsidRPr="00310E5C">
        <w:rPr>
          <w:rStyle w:val="Refdenotaalpie"/>
          <w:rFonts w:ascii="Verdana" w:hAnsi="Verdana" w:cs="Arial"/>
          <w:sz w:val="16"/>
          <w:szCs w:val="16"/>
        </w:rPr>
        <w:footnoteRef/>
      </w:r>
      <w:r w:rsidRPr="00310E5C">
        <w:rPr>
          <w:rFonts w:ascii="Verdana" w:hAnsi="Verdana" w:cs="Arial"/>
          <w:sz w:val="16"/>
          <w:szCs w:val="16"/>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7">
    <w:p w14:paraId="16BBAC63" w14:textId="77777777" w:rsidR="005C148F" w:rsidRPr="00310E5C" w:rsidRDefault="005C148F" w:rsidP="005C148F">
      <w:pPr>
        <w:pStyle w:val="Textonotapie"/>
        <w:ind w:firstLine="709"/>
        <w:jc w:val="both"/>
        <w:rPr>
          <w:rFonts w:ascii="Verdana" w:hAnsi="Verdana" w:cs="Arial"/>
          <w:sz w:val="16"/>
          <w:szCs w:val="16"/>
        </w:rPr>
      </w:pPr>
      <w:r w:rsidRPr="00310E5C">
        <w:rPr>
          <w:rStyle w:val="Refdenotaalpie"/>
          <w:rFonts w:ascii="Verdana" w:hAnsi="Verdana" w:cs="Arial"/>
          <w:sz w:val="16"/>
          <w:szCs w:val="16"/>
        </w:rPr>
        <w:footnoteRef/>
      </w:r>
      <w:r w:rsidRPr="00310E5C">
        <w:rPr>
          <w:rFonts w:ascii="Verdana" w:hAnsi="Verdana" w:cs="Arial"/>
          <w:sz w:val="16"/>
          <w:szCs w:val="16"/>
        </w:rPr>
        <w:t xml:space="preserve"> Consejo de Estado, Sala de Consulta y Servicio Civil de fecha 24 de julio de 2013, radicado 2166, C. P. Álvaro Namén Vargas.  </w:t>
      </w:r>
    </w:p>
  </w:footnote>
  <w:footnote w:id="8">
    <w:p w14:paraId="38D1225D" w14:textId="77777777" w:rsidR="005C148F" w:rsidRPr="00310E5C" w:rsidRDefault="005C148F" w:rsidP="005C148F">
      <w:pPr>
        <w:spacing w:after="0" w:line="240" w:lineRule="auto"/>
        <w:ind w:firstLine="709"/>
        <w:jc w:val="both"/>
        <w:rPr>
          <w:rFonts w:ascii="Verdana" w:eastAsia="Times New Roman" w:hAnsi="Verdana" w:cs="Arial"/>
          <w:sz w:val="16"/>
          <w:szCs w:val="16"/>
        </w:rPr>
      </w:pPr>
      <w:r w:rsidRPr="00310E5C">
        <w:rPr>
          <w:rStyle w:val="Refdenotaalpie"/>
          <w:rFonts w:ascii="Verdana" w:hAnsi="Verdana" w:cs="Arial"/>
          <w:sz w:val="16"/>
          <w:szCs w:val="16"/>
        </w:rPr>
        <w:footnoteRef/>
      </w:r>
      <w:r w:rsidRPr="00310E5C">
        <w:rPr>
          <w:rFonts w:ascii="Verdana" w:hAnsi="Verdana" w:cs="Arial"/>
          <w:sz w:val="16"/>
          <w:szCs w:val="16"/>
        </w:rPr>
        <w:t xml:space="preserve"> </w:t>
      </w:r>
      <w:bookmarkStart w:id="5" w:name="33"/>
      <w:r w:rsidRPr="00310E5C">
        <w:rPr>
          <w:rFonts w:ascii="Verdana" w:eastAsia="Calibri" w:hAnsi="Verdana" w:cs="Arial"/>
          <w:color w:val="000000"/>
          <w:sz w:val="16"/>
          <w:szCs w:val="16"/>
        </w:rPr>
        <w:t>“</w:t>
      </w:r>
      <w:r w:rsidRPr="00310E5C">
        <w:rPr>
          <w:rFonts w:ascii="Verdana" w:eastAsia="Times New Roman" w:hAnsi="Verdana" w:cs="Arial"/>
          <w:sz w:val="16"/>
          <w:szCs w:val="16"/>
        </w:rPr>
        <w:t>Artículo 33. Restricciones a la contratación pública.</w:t>
      </w:r>
      <w:bookmarkEnd w:id="5"/>
      <w:r w:rsidRPr="00310E5C">
        <w:rPr>
          <w:rFonts w:ascii="Verdana" w:eastAsia="Times New Roman" w:hAnsi="Verdana" w:cs="Arial"/>
          <w:sz w:val="16"/>
          <w:szCs w:val="16"/>
        </w:rPr>
        <w:t> Durante los cuatro (4) meses anteriores a la elección presidencial y hasta la realización de la elección en la segunda vuelta, si fuere el caso, queda prohibida la contratación directa por parte de todos los entes del Estado.</w:t>
      </w:r>
    </w:p>
    <w:p w14:paraId="4A201FCD" w14:textId="77777777" w:rsidR="005C148F" w:rsidRPr="00310E5C" w:rsidRDefault="005C148F" w:rsidP="005C148F">
      <w:pPr>
        <w:spacing w:after="0" w:line="240" w:lineRule="auto"/>
        <w:ind w:firstLine="709"/>
        <w:jc w:val="both"/>
        <w:rPr>
          <w:rFonts w:ascii="Verdana" w:eastAsia="Times New Roman" w:hAnsi="Verdana" w:cs="Arial"/>
          <w:sz w:val="16"/>
          <w:szCs w:val="16"/>
        </w:rPr>
      </w:pPr>
      <w:r w:rsidRPr="00310E5C">
        <w:rPr>
          <w:rFonts w:ascii="Verdana" w:eastAsia="Times New Roman" w:hAnsi="Verdana" w:cs="Arial"/>
          <w:sz w:val="16"/>
          <w:szCs w:val="16"/>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310E5C">
        <w:rPr>
          <w:rFonts w:ascii="Verdana" w:eastAsia="Calibri" w:hAnsi="Verdana" w:cs="Arial"/>
          <w:color w:val="000000"/>
          <w:sz w:val="16"/>
          <w:szCs w:val="16"/>
        </w:rPr>
        <w:t>”</w:t>
      </w:r>
      <w:r w:rsidRPr="00310E5C">
        <w:rPr>
          <w:rFonts w:ascii="Verdana" w:eastAsia="Times New Roman" w:hAnsi="Verdana" w:cs="Arial"/>
          <w:sz w:val="16"/>
          <w:szCs w:val="16"/>
        </w:rPr>
        <w:t>.</w:t>
      </w:r>
    </w:p>
    <w:p w14:paraId="4D70E964" w14:textId="77777777" w:rsidR="005C148F" w:rsidRPr="00310E5C" w:rsidRDefault="005C148F" w:rsidP="005C148F">
      <w:pPr>
        <w:spacing w:after="0" w:line="240" w:lineRule="auto"/>
        <w:ind w:firstLine="709"/>
        <w:jc w:val="both"/>
        <w:rPr>
          <w:rFonts w:ascii="Verdana" w:eastAsia="Times New Roman" w:hAnsi="Verdana" w:cs="Arial"/>
          <w:sz w:val="16"/>
          <w:szCs w:val="16"/>
        </w:rPr>
      </w:pPr>
    </w:p>
  </w:footnote>
  <w:footnote w:id="9">
    <w:p w14:paraId="7FB68D12" w14:textId="77777777" w:rsidR="005C148F" w:rsidRPr="00310E5C" w:rsidRDefault="005C148F" w:rsidP="005C148F">
      <w:pPr>
        <w:pStyle w:val="NormalWeb"/>
        <w:spacing w:before="0" w:beforeAutospacing="0" w:after="0" w:afterAutospacing="0"/>
        <w:ind w:firstLine="709"/>
        <w:jc w:val="both"/>
        <w:rPr>
          <w:rFonts w:ascii="Verdana" w:hAnsi="Verdana" w:cs="Arial"/>
          <w:sz w:val="16"/>
          <w:szCs w:val="16"/>
          <w:lang w:val="es-MX"/>
        </w:rPr>
      </w:pPr>
      <w:r w:rsidRPr="00310E5C">
        <w:rPr>
          <w:rStyle w:val="Refdenotaalpie"/>
          <w:rFonts w:ascii="Verdana" w:hAnsi="Verdana" w:cs="Arial"/>
          <w:sz w:val="16"/>
          <w:szCs w:val="16"/>
        </w:rPr>
        <w:footnoteRef/>
      </w:r>
      <w:r w:rsidRPr="00310E5C">
        <w:rPr>
          <w:rFonts w:ascii="Verdana" w:hAnsi="Verdana" w:cs="Arial"/>
          <w:sz w:val="16"/>
          <w:szCs w:val="16"/>
        </w:rPr>
        <w:t xml:space="preserve"> </w:t>
      </w:r>
      <w:bookmarkStart w:id="6" w:name="38"/>
      <w:r w:rsidRPr="00310E5C">
        <w:rPr>
          <w:rFonts w:ascii="Verdana" w:eastAsia="Calibri" w:hAnsi="Verdana" w:cs="Arial"/>
          <w:color w:val="000000"/>
          <w:sz w:val="16"/>
          <w:szCs w:val="16"/>
        </w:rPr>
        <w:t>“</w:t>
      </w:r>
      <w:r w:rsidRPr="00310E5C">
        <w:rPr>
          <w:rFonts w:ascii="Verdana" w:hAnsi="Verdana" w:cs="Arial"/>
          <w:sz w:val="16"/>
          <w:szCs w:val="16"/>
          <w:lang w:val="es-MX"/>
        </w:rPr>
        <w:t>Artículo 38. Prohibiciones para los servidores públicos. A los empleados del Estado les está prohibido:</w:t>
      </w:r>
      <w:bookmarkEnd w:id="6"/>
      <w:r w:rsidRPr="00310E5C">
        <w:rPr>
          <w:rFonts w:ascii="Verdana" w:hAnsi="Verdana" w:cs="Arial"/>
          <w:sz w:val="16"/>
          <w:szCs w:val="16"/>
          <w:lang w:val="es-MX"/>
        </w:rPr>
        <w:t xml:space="preserve"> […]</w:t>
      </w:r>
    </w:p>
    <w:p w14:paraId="194EF363" w14:textId="77777777" w:rsidR="005C148F" w:rsidRPr="00310E5C" w:rsidRDefault="005C148F" w:rsidP="005C148F">
      <w:pPr>
        <w:pStyle w:val="NormalWeb"/>
        <w:spacing w:before="0" w:beforeAutospacing="0" w:after="0" w:afterAutospacing="0"/>
        <w:ind w:firstLine="709"/>
        <w:jc w:val="both"/>
        <w:rPr>
          <w:rFonts w:ascii="Verdana" w:hAnsi="Verdana" w:cs="Arial"/>
          <w:sz w:val="16"/>
          <w:szCs w:val="16"/>
          <w:lang w:val="es-MX"/>
        </w:rPr>
      </w:pPr>
      <w:r w:rsidRPr="00310E5C">
        <w:rPr>
          <w:rStyle w:val="baj"/>
          <w:rFonts w:ascii="Verdana" w:hAnsi="Verdana" w:cs="Arial"/>
          <w:sz w:val="16"/>
          <w:szCs w:val="16"/>
          <w:lang w:val="es-MX"/>
        </w:rPr>
        <w:t>Parágrafo.</w:t>
      </w:r>
      <w:r w:rsidRPr="00310E5C">
        <w:rPr>
          <w:rFonts w:ascii="Verdana" w:hAnsi="Verdana" w:cs="Arial"/>
          <w:sz w:val="16"/>
          <w:szCs w:val="16"/>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310E5C">
        <w:rPr>
          <w:rFonts w:ascii="Verdana" w:eastAsia="Calibri" w:hAnsi="Verdana" w:cs="Arial"/>
          <w:color w:val="000000"/>
          <w:sz w:val="16"/>
          <w:szCs w:val="16"/>
        </w:rPr>
        <w:t>”</w:t>
      </w:r>
      <w:r>
        <w:rPr>
          <w:rFonts w:ascii="Verdana" w:hAnsi="Verdana" w:cs="Arial"/>
          <w:sz w:val="16"/>
          <w:szCs w:val="16"/>
          <w:lang w:val="es-MX"/>
        </w:rPr>
        <w:t>.</w:t>
      </w:r>
    </w:p>
  </w:footnote>
  <w:footnote w:id="10">
    <w:p w14:paraId="04DBDC95" w14:textId="77777777" w:rsidR="005C148F" w:rsidRPr="00310E5C" w:rsidRDefault="005C148F" w:rsidP="005C148F">
      <w:pPr>
        <w:spacing w:after="0" w:line="240" w:lineRule="auto"/>
        <w:ind w:left="100" w:right="244" w:firstLine="709"/>
        <w:jc w:val="both"/>
        <w:rPr>
          <w:rFonts w:ascii="Verdana" w:hAnsi="Verdana" w:cs="Arial"/>
          <w:sz w:val="16"/>
          <w:szCs w:val="16"/>
          <w:lang w:val="es-ES"/>
        </w:rPr>
      </w:pPr>
      <w:r w:rsidRPr="00310E5C">
        <w:rPr>
          <w:rStyle w:val="Refdenotaalpie"/>
          <w:rFonts w:ascii="Verdana" w:hAnsi="Verdana" w:cs="Arial"/>
          <w:sz w:val="16"/>
          <w:szCs w:val="16"/>
        </w:rPr>
        <w:footnoteRef/>
      </w:r>
      <w:r w:rsidRPr="00310E5C">
        <w:rPr>
          <w:rFonts w:ascii="Verdana" w:hAnsi="Verdana" w:cs="Arial"/>
          <w:sz w:val="16"/>
          <w:szCs w:val="16"/>
        </w:rPr>
        <w:t xml:space="preserve"> Consejo de Estado. Sala de Consulta y Servicio Civil. Concepto del 17 de febrero de 2015. C.P. William Zambrano Cetina. Radicación No. 11001-03-06-000-2015-00164-00(2269).</w:t>
      </w:r>
    </w:p>
  </w:footnote>
  <w:footnote w:id="11">
    <w:p w14:paraId="01A9FBC7" w14:textId="77777777" w:rsidR="005C148F" w:rsidRPr="00310E5C" w:rsidRDefault="005C148F" w:rsidP="005C148F">
      <w:pPr>
        <w:pStyle w:val="Textonotapie"/>
        <w:ind w:firstLine="708"/>
        <w:jc w:val="both"/>
        <w:rPr>
          <w:rFonts w:ascii="Verdana" w:hAnsi="Verdana" w:cs="Arial"/>
          <w:sz w:val="16"/>
          <w:szCs w:val="16"/>
        </w:rPr>
      </w:pPr>
      <w:r w:rsidRPr="00310E5C">
        <w:rPr>
          <w:rStyle w:val="Refdenotaalpie"/>
          <w:rFonts w:ascii="Verdana" w:hAnsi="Verdana" w:cs="Arial"/>
          <w:sz w:val="16"/>
          <w:szCs w:val="16"/>
        </w:rPr>
        <w:footnoteRef/>
      </w:r>
      <w:r w:rsidRPr="00310E5C">
        <w:rPr>
          <w:rFonts w:ascii="Verdana" w:hAnsi="Verdana" w:cs="Arial"/>
          <w:sz w:val="16"/>
          <w:szCs w:val="16"/>
        </w:rPr>
        <w:t xml:space="preserve"> Es lo que sucede, por ejemplo, con el Decreto 092 de 2017, que en su desarrollo hace referencia tanto a los “contratos” como a los “convenios”. </w:t>
      </w:r>
    </w:p>
  </w:footnote>
  <w:footnote w:id="12">
    <w:p w14:paraId="712CA4E2" w14:textId="77777777" w:rsidR="005C148F" w:rsidRPr="00310E5C" w:rsidRDefault="005C148F" w:rsidP="005C148F">
      <w:pPr>
        <w:pStyle w:val="Textonotapie"/>
        <w:ind w:firstLine="708"/>
        <w:jc w:val="both"/>
        <w:rPr>
          <w:rFonts w:ascii="Verdana" w:hAnsi="Verdana" w:cs="Arial"/>
          <w:sz w:val="16"/>
          <w:szCs w:val="16"/>
          <w:lang w:val="pt-BR"/>
        </w:rPr>
      </w:pPr>
      <w:r w:rsidRPr="00310E5C">
        <w:rPr>
          <w:rStyle w:val="Refdenotaalpie"/>
          <w:rFonts w:ascii="Verdana" w:hAnsi="Verdana" w:cs="Arial"/>
          <w:sz w:val="16"/>
          <w:szCs w:val="16"/>
        </w:rPr>
        <w:footnoteRef/>
      </w:r>
      <w:r w:rsidRPr="00310E5C">
        <w:rPr>
          <w:rFonts w:ascii="Verdana" w:hAnsi="Verdana" w:cs="Arial"/>
          <w:sz w:val="16"/>
          <w:szCs w:val="16"/>
        </w:rPr>
        <w:t xml:space="preserve"> A pesar de que la norma se refiere únicamente a los contratos interadministrativos, esto no implica que la excepción a la licitación pública sólo se aplique a éstos y no a los convenios interadministrativos, puesto que ello conduciría a una interpretación irrazonable según la cual esta modalidad contractual, cuyo objeto y finalidad sólo interesa a la administración, deba ser celebrado siguiendo el procedimiento de selección objetiva y en la cual únicamente será proponente aquélla. En tal sentido, la causal de contratación directa es aplicable a los convenios y a los contratos interadministrativos”. </w:t>
      </w:r>
      <w:r w:rsidRPr="00310E5C">
        <w:rPr>
          <w:rFonts w:ascii="Verdana" w:hAnsi="Verdana" w:cs="Arial"/>
          <w:sz w:val="16"/>
          <w:szCs w:val="16"/>
          <w:lang w:val="pt-BR"/>
        </w:rPr>
        <w:t>(Corte Constitucional. Sentencia C-671 de 2015. M.P. Alberto Rojas Ríos).</w:t>
      </w:r>
    </w:p>
  </w:footnote>
  <w:footnote w:id="13">
    <w:p w14:paraId="58BE56A8" w14:textId="77777777" w:rsidR="005C148F" w:rsidRPr="00310E5C" w:rsidRDefault="005C148F" w:rsidP="005C148F">
      <w:pPr>
        <w:pStyle w:val="Textonotapie"/>
        <w:ind w:firstLine="709"/>
        <w:rPr>
          <w:rFonts w:ascii="Verdana" w:hAnsi="Verdana"/>
          <w:sz w:val="16"/>
          <w:szCs w:val="16"/>
          <w:lang w:val="pt-BR"/>
        </w:rPr>
      </w:pPr>
      <w:r w:rsidRPr="00310E5C">
        <w:rPr>
          <w:rStyle w:val="Refdenotaalpie"/>
          <w:rFonts w:ascii="Verdana" w:hAnsi="Verdana"/>
          <w:sz w:val="16"/>
          <w:szCs w:val="16"/>
        </w:rPr>
        <w:footnoteRef/>
      </w:r>
      <w:r w:rsidRPr="00310E5C">
        <w:rPr>
          <w:rFonts w:ascii="Verdana" w:hAnsi="Verdana"/>
          <w:sz w:val="16"/>
          <w:szCs w:val="16"/>
          <w:lang w:val="pt-BR"/>
        </w:rPr>
        <w:t xml:space="preserve"> </w:t>
      </w:r>
      <w:proofErr w:type="spellStart"/>
      <w:r w:rsidRPr="00310E5C">
        <w:rPr>
          <w:rFonts w:ascii="Verdana" w:hAnsi="Verdana" w:cs="Arial"/>
          <w:sz w:val="16"/>
          <w:szCs w:val="16"/>
          <w:lang w:val="pt-BR"/>
        </w:rPr>
        <w:t>Consejo</w:t>
      </w:r>
      <w:proofErr w:type="spellEnd"/>
      <w:r w:rsidRPr="00310E5C">
        <w:rPr>
          <w:rFonts w:ascii="Verdana" w:hAnsi="Verdana" w:cs="Arial"/>
          <w:sz w:val="16"/>
          <w:szCs w:val="16"/>
          <w:lang w:val="pt-BR"/>
        </w:rPr>
        <w:t xml:space="preserve"> de Estado, Sala de </w:t>
      </w:r>
      <w:proofErr w:type="spellStart"/>
      <w:r w:rsidRPr="00310E5C">
        <w:rPr>
          <w:rFonts w:ascii="Verdana" w:hAnsi="Verdana" w:cs="Arial"/>
          <w:sz w:val="16"/>
          <w:szCs w:val="16"/>
          <w:lang w:val="pt-BR"/>
        </w:rPr>
        <w:t>lo</w:t>
      </w:r>
      <w:proofErr w:type="spellEnd"/>
      <w:r w:rsidRPr="00310E5C">
        <w:rPr>
          <w:rFonts w:ascii="Verdana" w:hAnsi="Verdana" w:cs="Arial"/>
          <w:sz w:val="16"/>
          <w:szCs w:val="16"/>
          <w:lang w:val="pt-BR"/>
        </w:rPr>
        <w:t xml:space="preserve"> Contencioso Administrativo, </w:t>
      </w:r>
      <w:proofErr w:type="spellStart"/>
      <w:r w:rsidRPr="00310E5C">
        <w:rPr>
          <w:rFonts w:ascii="Verdana" w:hAnsi="Verdana" w:cs="Arial"/>
          <w:sz w:val="16"/>
          <w:szCs w:val="16"/>
          <w:lang w:val="pt-BR"/>
        </w:rPr>
        <w:t>Sección</w:t>
      </w:r>
      <w:proofErr w:type="spellEnd"/>
      <w:r w:rsidRPr="00310E5C">
        <w:rPr>
          <w:rFonts w:ascii="Verdana" w:hAnsi="Verdana" w:cs="Arial"/>
          <w:sz w:val="16"/>
          <w:szCs w:val="16"/>
          <w:lang w:val="pt-BR"/>
        </w:rPr>
        <w:t xml:space="preserve"> Tercera. Auto </w:t>
      </w:r>
      <w:proofErr w:type="spellStart"/>
      <w:r w:rsidRPr="00310E5C">
        <w:rPr>
          <w:rFonts w:ascii="Verdana" w:hAnsi="Verdana" w:cs="Arial"/>
          <w:sz w:val="16"/>
          <w:szCs w:val="16"/>
          <w:lang w:val="pt-BR"/>
        </w:rPr>
        <w:t>del</w:t>
      </w:r>
      <w:proofErr w:type="spellEnd"/>
      <w:r w:rsidRPr="00310E5C">
        <w:rPr>
          <w:rFonts w:ascii="Verdana" w:hAnsi="Verdana" w:cs="Arial"/>
          <w:sz w:val="16"/>
          <w:szCs w:val="16"/>
          <w:lang w:val="pt-BR"/>
        </w:rPr>
        <w:t xml:space="preserve"> 4 de </w:t>
      </w:r>
      <w:proofErr w:type="spellStart"/>
      <w:r w:rsidRPr="00310E5C">
        <w:rPr>
          <w:rFonts w:ascii="Verdana" w:hAnsi="Verdana" w:cs="Arial"/>
          <w:sz w:val="16"/>
          <w:szCs w:val="16"/>
          <w:lang w:val="pt-BR"/>
        </w:rPr>
        <w:t>octubre</w:t>
      </w:r>
      <w:proofErr w:type="spellEnd"/>
      <w:r w:rsidRPr="00310E5C">
        <w:rPr>
          <w:rFonts w:ascii="Verdana" w:hAnsi="Verdana" w:cs="Arial"/>
          <w:sz w:val="16"/>
          <w:szCs w:val="16"/>
          <w:lang w:val="pt-BR"/>
        </w:rPr>
        <w:t xml:space="preserve"> de 2024. Radicado No. 70.313. MP: Fredy Ibarra Martínez</w:t>
      </w:r>
    </w:p>
  </w:footnote>
  <w:footnote w:id="14">
    <w:p w14:paraId="190F4745" w14:textId="77777777" w:rsidR="005C148F" w:rsidRPr="000974AC" w:rsidRDefault="005C148F" w:rsidP="005C148F">
      <w:pPr>
        <w:pStyle w:val="Textonotapie"/>
        <w:ind w:firstLine="709"/>
        <w:jc w:val="both"/>
        <w:rPr>
          <w:rFonts w:ascii="Verdana" w:hAnsi="Verdana" w:cs="Arial"/>
          <w:sz w:val="16"/>
          <w:szCs w:val="16"/>
        </w:rPr>
      </w:pPr>
      <w:r w:rsidRPr="000974AC">
        <w:rPr>
          <w:rStyle w:val="Refdenotaalpie"/>
          <w:rFonts w:ascii="Verdana" w:hAnsi="Verdana" w:cs="Arial"/>
          <w:sz w:val="16"/>
          <w:szCs w:val="16"/>
        </w:rPr>
        <w:footnoteRef/>
      </w:r>
      <w:r w:rsidRPr="000974AC">
        <w:rPr>
          <w:rFonts w:ascii="Verdana" w:hAnsi="Verdana" w:cs="Arial"/>
          <w:sz w:val="16"/>
          <w:szCs w:val="16"/>
        </w:rPr>
        <w:t xml:space="preserve"> </w:t>
      </w:r>
      <w:bookmarkStart w:id="16" w:name="_Hlk192533196"/>
      <w:r w:rsidRPr="000974AC">
        <w:rPr>
          <w:rFonts w:ascii="Verdana" w:hAnsi="Verdana" w:cs="Arial"/>
          <w:sz w:val="16"/>
          <w:szCs w:val="16"/>
        </w:rPr>
        <w:t>Consejo de Estado. Sala de Consulta y Servicio Civil. Concepto del 15 de noviembre de 2007. Expediente número 1863. Consejero Ponente: Luis Fernando Álvarez Jaramillo.</w:t>
      </w:r>
    </w:p>
    <w:bookmarkEnd w:id="16"/>
  </w:footnote>
  <w:footnote w:id="15">
    <w:p w14:paraId="7A2DEC8B" w14:textId="77777777" w:rsidR="005C148F" w:rsidRPr="000974AC" w:rsidRDefault="005C148F" w:rsidP="005C148F">
      <w:pPr>
        <w:pStyle w:val="Textonotapie"/>
        <w:ind w:firstLine="709"/>
        <w:jc w:val="both"/>
        <w:rPr>
          <w:rFonts w:ascii="Verdana" w:hAnsi="Verdana"/>
          <w:sz w:val="16"/>
          <w:szCs w:val="16"/>
          <w:lang w:val="es-CO"/>
        </w:rPr>
      </w:pPr>
      <w:r w:rsidRPr="000974AC">
        <w:rPr>
          <w:rStyle w:val="Refdenotaalpie"/>
          <w:rFonts w:ascii="Verdana" w:hAnsi="Verdana"/>
          <w:sz w:val="16"/>
          <w:szCs w:val="16"/>
        </w:rPr>
        <w:footnoteRef/>
      </w:r>
      <w:r w:rsidRPr="000974AC">
        <w:rPr>
          <w:rFonts w:ascii="Verdana" w:hAnsi="Verdana"/>
          <w:sz w:val="16"/>
          <w:szCs w:val="16"/>
        </w:rPr>
        <w:t xml:space="preserve"> </w:t>
      </w:r>
      <w:r>
        <w:rPr>
          <w:rFonts w:ascii="Verdana" w:hAnsi="Verdana"/>
          <w:sz w:val="16"/>
          <w:szCs w:val="16"/>
        </w:rPr>
        <w:t xml:space="preserve">Registraduría Nacional del Estado Civil. Disponible en línea: </w:t>
      </w:r>
      <w:hyperlink r:id="rId1" w:history="1">
        <w:r w:rsidRPr="000974AC">
          <w:rPr>
            <w:rStyle w:val="Hipervnculo"/>
            <w:rFonts w:ascii="Verdana" w:hAnsi="Verdana"/>
            <w:sz w:val="16"/>
            <w:szCs w:val="16"/>
          </w:rPr>
          <w:t>https://registraduria.gov.co/Que-son-las-elecciones-atipicas.html</w:t>
        </w:r>
      </w:hyperlink>
      <w:r w:rsidRPr="000974AC">
        <w:rPr>
          <w:rFonts w:ascii="Verdana" w:hAnsi="Verdana"/>
          <w:sz w:val="16"/>
          <w:szCs w:val="16"/>
        </w:rPr>
        <w:t xml:space="preserve"> </w:t>
      </w:r>
    </w:p>
  </w:footnote>
  <w:footnote w:id="16">
    <w:p w14:paraId="4ED87F77" w14:textId="77777777" w:rsidR="005C148F" w:rsidRPr="000974AC" w:rsidRDefault="005C148F" w:rsidP="005C148F">
      <w:pPr>
        <w:pStyle w:val="Textonotapie"/>
        <w:ind w:firstLine="709"/>
        <w:rPr>
          <w:rFonts w:ascii="Verdana" w:hAnsi="Verdana"/>
          <w:sz w:val="16"/>
          <w:szCs w:val="16"/>
          <w:lang w:val="es-CO"/>
        </w:rPr>
      </w:pPr>
      <w:r w:rsidRPr="000974AC">
        <w:rPr>
          <w:rStyle w:val="Refdenotaalpie"/>
          <w:rFonts w:ascii="Verdana" w:hAnsi="Verdana"/>
          <w:sz w:val="16"/>
          <w:szCs w:val="16"/>
        </w:rPr>
        <w:footnoteRef/>
      </w:r>
      <w:r w:rsidRPr="000974AC">
        <w:rPr>
          <w:rFonts w:ascii="Verdana" w:hAnsi="Verdana"/>
          <w:sz w:val="16"/>
          <w:szCs w:val="16"/>
        </w:rPr>
        <w:t xml:space="preserve"> </w:t>
      </w:r>
      <w:r w:rsidRPr="000974AC">
        <w:rPr>
          <w:rFonts w:ascii="Verdana" w:hAnsi="Verdana"/>
          <w:sz w:val="16"/>
          <w:szCs w:val="16"/>
          <w:lang w:val="es-CO"/>
        </w:rPr>
        <w:t>Ley 136 de 1994. Artículo 98</w:t>
      </w:r>
    </w:p>
  </w:footnote>
  <w:footnote w:id="17">
    <w:p w14:paraId="629ED284" w14:textId="77777777" w:rsidR="005C148F" w:rsidRPr="000974AC" w:rsidRDefault="005C148F" w:rsidP="005C148F">
      <w:pPr>
        <w:pStyle w:val="Textonotapie"/>
        <w:ind w:firstLine="709"/>
        <w:jc w:val="both"/>
        <w:rPr>
          <w:rFonts w:ascii="Verdana" w:hAnsi="Verdana" w:cs="Arial"/>
          <w:sz w:val="16"/>
          <w:szCs w:val="16"/>
        </w:rPr>
      </w:pPr>
      <w:r w:rsidRPr="000974AC">
        <w:rPr>
          <w:rStyle w:val="Refdenotaalpie"/>
          <w:rFonts w:ascii="Verdana" w:hAnsi="Verdana"/>
          <w:sz w:val="16"/>
          <w:szCs w:val="16"/>
        </w:rPr>
        <w:footnoteRef/>
      </w:r>
      <w:r w:rsidRPr="000974AC">
        <w:rPr>
          <w:rFonts w:ascii="Verdana" w:hAnsi="Verdana"/>
          <w:sz w:val="16"/>
          <w:szCs w:val="16"/>
        </w:rPr>
        <w:t xml:space="preserve"> </w:t>
      </w:r>
      <w:r w:rsidRPr="000974AC">
        <w:rPr>
          <w:rFonts w:ascii="Verdana" w:hAnsi="Verdana" w:cs="Arial"/>
          <w:sz w:val="16"/>
          <w:szCs w:val="16"/>
        </w:rPr>
        <w:t>Consejo de Estado. Sala de Consulta y Servicio Civil. Concepto del 20 de febrero de 2018. Expediente número 12366. Consejero Ponente: Oscar Darío Amaya Navas.</w:t>
      </w:r>
    </w:p>
  </w:footnote>
  <w:footnote w:id="18">
    <w:p w14:paraId="01FF0D70" w14:textId="77777777" w:rsidR="005C148F" w:rsidRPr="000974AC" w:rsidRDefault="005C148F" w:rsidP="005C148F">
      <w:pPr>
        <w:pStyle w:val="Textonotapie"/>
        <w:ind w:firstLine="709"/>
        <w:rPr>
          <w:rFonts w:ascii="Verdana" w:hAnsi="Verdana"/>
          <w:sz w:val="16"/>
          <w:szCs w:val="16"/>
          <w:lang w:val="es-CO"/>
        </w:rPr>
      </w:pPr>
      <w:r w:rsidRPr="000974AC">
        <w:rPr>
          <w:rStyle w:val="Refdenotaalpie"/>
          <w:rFonts w:ascii="Verdana" w:hAnsi="Verdana"/>
          <w:sz w:val="16"/>
          <w:szCs w:val="16"/>
        </w:rPr>
        <w:footnoteRef/>
      </w:r>
      <w:r w:rsidRPr="000974AC">
        <w:rPr>
          <w:rFonts w:ascii="Verdana" w:hAnsi="Verdana"/>
          <w:sz w:val="16"/>
          <w:szCs w:val="16"/>
        </w:rPr>
        <w:t xml:space="preserve"> Disponible en: </w:t>
      </w:r>
      <w:hyperlink r:id="rId2" w:history="1">
        <w:r w:rsidRPr="000974AC">
          <w:rPr>
            <w:rStyle w:val="Hipervnculo"/>
            <w:rFonts w:ascii="Verdana" w:hAnsi="Verdana"/>
            <w:sz w:val="16"/>
            <w:szCs w:val="16"/>
          </w:rPr>
          <w:t>https://relatoria.cne.gov.co/relatoria/</w:t>
        </w:r>
      </w:hyperlink>
      <w:r w:rsidRPr="000974AC">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0"/>
  </w:num>
  <w:num w:numId="13" w16cid:durableId="1512908409">
    <w:abstractNumId w:val="2"/>
  </w:num>
  <w:num w:numId="14" w16cid:durableId="895897244">
    <w:abstractNumId w:val="14"/>
  </w:num>
  <w:num w:numId="15" w16cid:durableId="390349800">
    <w:abstractNumId w:val="10"/>
  </w:num>
  <w:num w:numId="16" w16cid:durableId="1153714390">
    <w:abstractNumId w:val="3"/>
  </w:num>
  <w:num w:numId="17" w16cid:durableId="10072463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16FB"/>
    <w:rsid w:val="00031AEC"/>
    <w:rsid w:val="00042C00"/>
    <w:rsid w:val="00046945"/>
    <w:rsid w:val="00061B2A"/>
    <w:rsid w:val="00082362"/>
    <w:rsid w:val="000A367E"/>
    <w:rsid w:val="000A683E"/>
    <w:rsid w:val="000B19B9"/>
    <w:rsid w:val="000B4C7D"/>
    <w:rsid w:val="000C2AF2"/>
    <w:rsid w:val="000C36F8"/>
    <w:rsid w:val="000D0334"/>
    <w:rsid w:val="000D5DA7"/>
    <w:rsid w:val="000F6486"/>
    <w:rsid w:val="00104C52"/>
    <w:rsid w:val="00116940"/>
    <w:rsid w:val="00125105"/>
    <w:rsid w:val="0012688E"/>
    <w:rsid w:val="00127233"/>
    <w:rsid w:val="00135F30"/>
    <w:rsid w:val="001373E7"/>
    <w:rsid w:val="00147DF8"/>
    <w:rsid w:val="00151FB0"/>
    <w:rsid w:val="0015699B"/>
    <w:rsid w:val="00181969"/>
    <w:rsid w:val="00181B82"/>
    <w:rsid w:val="001A33BF"/>
    <w:rsid w:val="001C30DA"/>
    <w:rsid w:val="001C4A08"/>
    <w:rsid w:val="001C687B"/>
    <w:rsid w:val="001E4177"/>
    <w:rsid w:val="001F0B24"/>
    <w:rsid w:val="001F3ACD"/>
    <w:rsid w:val="001F7DC6"/>
    <w:rsid w:val="002118CC"/>
    <w:rsid w:val="0022400B"/>
    <w:rsid w:val="002421BB"/>
    <w:rsid w:val="0025796E"/>
    <w:rsid w:val="002707A2"/>
    <w:rsid w:val="002831C0"/>
    <w:rsid w:val="00293A2E"/>
    <w:rsid w:val="002951A0"/>
    <w:rsid w:val="002962BC"/>
    <w:rsid w:val="002A093D"/>
    <w:rsid w:val="002A0DD0"/>
    <w:rsid w:val="002A49AC"/>
    <w:rsid w:val="002A5BCC"/>
    <w:rsid w:val="002A64FD"/>
    <w:rsid w:val="002C7A84"/>
    <w:rsid w:val="002E2BF8"/>
    <w:rsid w:val="002E4FD9"/>
    <w:rsid w:val="002E6D74"/>
    <w:rsid w:val="002F1F9B"/>
    <w:rsid w:val="002F7632"/>
    <w:rsid w:val="0030657A"/>
    <w:rsid w:val="00322A85"/>
    <w:rsid w:val="00324168"/>
    <w:rsid w:val="00330834"/>
    <w:rsid w:val="003316B4"/>
    <w:rsid w:val="003448F4"/>
    <w:rsid w:val="003477DD"/>
    <w:rsid w:val="00360DAB"/>
    <w:rsid w:val="00374F5E"/>
    <w:rsid w:val="00377E3E"/>
    <w:rsid w:val="003A779E"/>
    <w:rsid w:val="003B4480"/>
    <w:rsid w:val="003C3E31"/>
    <w:rsid w:val="003D0F4D"/>
    <w:rsid w:val="003D25C4"/>
    <w:rsid w:val="003D5B0D"/>
    <w:rsid w:val="003E0499"/>
    <w:rsid w:val="003E261D"/>
    <w:rsid w:val="003E3917"/>
    <w:rsid w:val="003E3926"/>
    <w:rsid w:val="003E4F80"/>
    <w:rsid w:val="003E6439"/>
    <w:rsid w:val="003E6E19"/>
    <w:rsid w:val="003F3941"/>
    <w:rsid w:val="00406575"/>
    <w:rsid w:val="00414C74"/>
    <w:rsid w:val="0042722E"/>
    <w:rsid w:val="0044528D"/>
    <w:rsid w:val="00452FB7"/>
    <w:rsid w:val="00466E39"/>
    <w:rsid w:val="004A1847"/>
    <w:rsid w:val="004A305D"/>
    <w:rsid w:val="004B35F0"/>
    <w:rsid w:val="004C4290"/>
    <w:rsid w:val="004F21C4"/>
    <w:rsid w:val="004F685F"/>
    <w:rsid w:val="00504810"/>
    <w:rsid w:val="005229F0"/>
    <w:rsid w:val="00535050"/>
    <w:rsid w:val="005566E8"/>
    <w:rsid w:val="005701C8"/>
    <w:rsid w:val="00574867"/>
    <w:rsid w:val="00591460"/>
    <w:rsid w:val="005A65E0"/>
    <w:rsid w:val="005C148F"/>
    <w:rsid w:val="005C3777"/>
    <w:rsid w:val="005C5CDC"/>
    <w:rsid w:val="005C5D90"/>
    <w:rsid w:val="005D476C"/>
    <w:rsid w:val="0060172F"/>
    <w:rsid w:val="00616DB2"/>
    <w:rsid w:val="006200BF"/>
    <w:rsid w:val="006219F8"/>
    <w:rsid w:val="006302F7"/>
    <w:rsid w:val="00646B9F"/>
    <w:rsid w:val="00647360"/>
    <w:rsid w:val="00665D70"/>
    <w:rsid w:val="0067575D"/>
    <w:rsid w:val="006900D9"/>
    <w:rsid w:val="006B5BA5"/>
    <w:rsid w:val="00702E46"/>
    <w:rsid w:val="00706C16"/>
    <w:rsid w:val="00721500"/>
    <w:rsid w:val="007340C3"/>
    <w:rsid w:val="007515B4"/>
    <w:rsid w:val="0075235A"/>
    <w:rsid w:val="00756841"/>
    <w:rsid w:val="007649AB"/>
    <w:rsid w:val="00771D0C"/>
    <w:rsid w:val="00776DDD"/>
    <w:rsid w:val="007833AC"/>
    <w:rsid w:val="007A7122"/>
    <w:rsid w:val="007B268C"/>
    <w:rsid w:val="007B7171"/>
    <w:rsid w:val="007C0C0F"/>
    <w:rsid w:val="007C3DC2"/>
    <w:rsid w:val="007C4D8E"/>
    <w:rsid w:val="007E5497"/>
    <w:rsid w:val="00806F5F"/>
    <w:rsid w:val="00810EBE"/>
    <w:rsid w:val="00820278"/>
    <w:rsid w:val="008258C9"/>
    <w:rsid w:val="00832175"/>
    <w:rsid w:val="00844AE9"/>
    <w:rsid w:val="00863AEA"/>
    <w:rsid w:val="00867F95"/>
    <w:rsid w:val="0087383C"/>
    <w:rsid w:val="008843B6"/>
    <w:rsid w:val="00891928"/>
    <w:rsid w:val="008A446D"/>
    <w:rsid w:val="008B24E0"/>
    <w:rsid w:val="008B25F1"/>
    <w:rsid w:val="008D180B"/>
    <w:rsid w:val="008E21D6"/>
    <w:rsid w:val="008F0EA7"/>
    <w:rsid w:val="00923EEF"/>
    <w:rsid w:val="009419F9"/>
    <w:rsid w:val="009438C2"/>
    <w:rsid w:val="0094510F"/>
    <w:rsid w:val="00952553"/>
    <w:rsid w:val="0095685E"/>
    <w:rsid w:val="00960115"/>
    <w:rsid w:val="00961B09"/>
    <w:rsid w:val="00965334"/>
    <w:rsid w:val="0097093E"/>
    <w:rsid w:val="009758DD"/>
    <w:rsid w:val="009A0DFA"/>
    <w:rsid w:val="009A1C6F"/>
    <w:rsid w:val="009B2D26"/>
    <w:rsid w:val="009C71FA"/>
    <w:rsid w:val="009C72E7"/>
    <w:rsid w:val="009C7F7E"/>
    <w:rsid w:val="009D3058"/>
    <w:rsid w:val="009D51A5"/>
    <w:rsid w:val="009F3A13"/>
    <w:rsid w:val="00A122D3"/>
    <w:rsid w:val="00A14468"/>
    <w:rsid w:val="00A17F13"/>
    <w:rsid w:val="00A20739"/>
    <w:rsid w:val="00A23AF9"/>
    <w:rsid w:val="00A242E9"/>
    <w:rsid w:val="00A26983"/>
    <w:rsid w:val="00A33C78"/>
    <w:rsid w:val="00A54A6C"/>
    <w:rsid w:val="00A54A74"/>
    <w:rsid w:val="00A6587D"/>
    <w:rsid w:val="00AA494E"/>
    <w:rsid w:val="00AB0ADB"/>
    <w:rsid w:val="00AB422A"/>
    <w:rsid w:val="00AB5309"/>
    <w:rsid w:val="00AF1426"/>
    <w:rsid w:val="00AF74F3"/>
    <w:rsid w:val="00B00C0E"/>
    <w:rsid w:val="00B01B1A"/>
    <w:rsid w:val="00B0381D"/>
    <w:rsid w:val="00B44A47"/>
    <w:rsid w:val="00B46617"/>
    <w:rsid w:val="00B72CD3"/>
    <w:rsid w:val="00B72FFF"/>
    <w:rsid w:val="00B76DBE"/>
    <w:rsid w:val="00B81274"/>
    <w:rsid w:val="00B92414"/>
    <w:rsid w:val="00BB5AA3"/>
    <w:rsid w:val="00BC3D36"/>
    <w:rsid w:val="00BD3181"/>
    <w:rsid w:val="00BD54A6"/>
    <w:rsid w:val="00BD7F72"/>
    <w:rsid w:val="00BF7425"/>
    <w:rsid w:val="00C04FB3"/>
    <w:rsid w:val="00C11D8B"/>
    <w:rsid w:val="00C14A11"/>
    <w:rsid w:val="00C15139"/>
    <w:rsid w:val="00C330EB"/>
    <w:rsid w:val="00C34D77"/>
    <w:rsid w:val="00C50D69"/>
    <w:rsid w:val="00C5365C"/>
    <w:rsid w:val="00C63683"/>
    <w:rsid w:val="00C754BE"/>
    <w:rsid w:val="00C76B1C"/>
    <w:rsid w:val="00C925AC"/>
    <w:rsid w:val="00C97D21"/>
    <w:rsid w:val="00CA57A7"/>
    <w:rsid w:val="00CB2205"/>
    <w:rsid w:val="00CB6357"/>
    <w:rsid w:val="00CC1B26"/>
    <w:rsid w:val="00CC45DB"/>
    <w:rsid w:val="00CD3E39"/>
    <w:rsid w:val="00CD7F61"/>
    <w:rsid w:val="00CE35A1"/>
    <w:rsid w:val="00D100F8"/>
    <w:rsid w:val="00D254D9"/>
    <w:rsid w:val="00D258FE"/>
    <w:rsid w:val="00D361FD"/>
    <w:rsid w:val="00D423A2"/>
    <w:rsid w:val="00D44E26"/>
    <w:rsid w:val="00D520D8"/>
    <w:rsid w:val="00D63AC2"/>
    <w:rsid w:val="00D676FE"/>
    <w:rsid w:val="00D7383B"/>
    <w:rsid w:val="00D7788A"/>
    <w:rsid w:val="00D901D1"/>
    <w:rsid w:val="00D91EE8"/>
    <w:rsid w:val="00D939F9"/>
    <w:rsid w:val="00DA231B"/>
    <w:rsid w:val="00DC39FC"/>
    <w:rsid w:val="00DC3FE0"/>
    <w:rsid w:val="00DF3A01"/>
    <w:rsid w:val="00DF5254"/>
    <w:rsid w:val="00E02524"/>
    <w:rsid w:val="00E16408"/>
    <w:rsid w:val="00E20894"/>
    <w:rsid w:val="00E245AB"/>
    <w:rsid w:val="00E2764C"/>
    <w:rsid w:val="00E27F2E"/>
    <w:rsid w:val="00E50AFE"/>
    <w:rsid w:val="00E75C92"/>
    <w:rsid w:val="00E771DC"/>
    <w:rsid w:val="00E85297"/>
    <w:rsid w:val="00E8772A"/>
    <w:rsid w:val="00E90F6B"/>
    <w:rsid w:val="00E92C27"/>
    <w:rsid w:val="00EA0E3D"/>
    <w:rsid w:val="00EC38A7"/>
    <w:rsid w:val="00ED5E39"/>
    <w:rsid w:val="00EE1AA8"/>
    <w:rsid w:val="00F210CE"/>
    <w:rsid w:val="00F23FEA"/>
    <w:rsid w:val="00F311D5"/>
    <w:rsid w:val="00F31EDC"/>
    <w:rsid w:val="00F4012F"/>
    <w:rsid w:val="00F462B3"/>
    <w:rsid w:val="00F5664F"/>
    <w:rsid w:val="00F666C4"/>
    <w:rsid w:val="00F76AFC"/>
    <w:rsid w:val="00FA47C0"/>
    <w:rsid w:val="00FB5DD1"/>
    <w:rsid w:val="00FB7B5F"/>
    <w:rsid w:val="00FC2B5D"/>
    <w:rsid w:val="00FC55C7"/>
    <w:rsid w:val="00FF1449"/>
    <w:rsid w:val="00FF7963"/>
    <w:rsid w:val="071B8F93"/>
    <w:rsid w:val="07C73DD1"/>
    <w:rsid w:val="09908A09"/>
    <w:rsid w:val="0EEB769F"/>
    <w:rsid w:val="0EFE6349"/>
    <w:rsid w:val="0FF4CCA8"/>
    <w:rsid w:val="12C630D1"/>
    <w:rsid w:val="13CFC91B"/>
    <w:rsid w:val="162F176B"/>
    <w:rsid w:val="19A2EC2C"/>
    <w:rsid w:val="21779BE6"/>
    <w:rsid w:val="24DD2DC5"/>
    <w:rsid w:val="2859CA1B"/>
    <w:rsid w:val="2C4D2425"/>
    <w:rsid w:val="2EE1E026"/>
    <w:rsid w:val="2F44F38F"/>
    <w:rsid w:val="30821638"/>
    <w:rsid w:val="32A4F9CF"/>
    <w:rsid w:val="33A1FF93"/>
    <w:rsid w:val="356CEDFD"/>
    <w:rsid w:val="3C591AFD"/>
    <w:rsid w:val="42183F0A"/>
    <w:rsid w:val="545B112A"/>
    <w:rsid w:val="5BEB1497"/>
    <w:rsid w:val="6864E1AC"/>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265EDF66-5AC6-4D03-AA01-A23DA367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B466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B46617"/>
    <w:rPr>
      <w:rFonts w:ascii="Geomanist Light" w:hAnsi="Geomanist Light"/>
      <w:lang w:val="es-ES"/>
    </w:rPr>
  </w:style>
  <w:style w:type="paragraph" w:customStyle="1" w:styleId="Appelnotedebasde">
    <w:name w:val="Appel note de bas de..."/>
    <w:basedOn w:val="Normal"/>
    <w:link w:val="Refdenotaalpie"/>
    <w:uiPriority w:val="99"/>
    <w:rsid w:val="005C148F"/>
    <w:pPr>
      <w:spacing w:line="240" w:lineRule="exact"/>
    </w:pPr>
    <w:rPr>
      <w:vertAlign w:val="superscript"/>
    </w:rPr>
  </w:style>
  <w:style w:type="character" w:customStyle="1" w:styleId="NormalWebCar">
    <w:name w:val="Normal (Web) Car"/>
    <w:link w:val="NormalWeb"/>
    <w:uiPriority w:val="99"/>
    <w:locked/>
    <w:rsid w:val="005C148F"/>
    <w:rPr>
      <w:rFonts w:ascii="Times New Roman" w:eastAsia="Times New Roman" w:hAnsi="Times New Roman" w:cs="Times New Roman"/>
      <w:sz w:val="24"/>
      <w:szCs w:val="24"/>
      <w:lang w:eastAsia="es-CO"/>
    </w:rPr>
  </w:style>
  <w:style w:type="character" w:customStyle="1" w:styleId="baj">
    <w:name w:val="b_aj"/>
    <w:basedOn w:val="Fuentedeprrafopredeter"/>
    <w:rsid w:val="005C1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39209418">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forms.office.com/r/pPHyWVs2S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nyelsilva@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elatoria.cne.gov.co/relatoria/" TargetMode="External"/><Relationship Id="rId1" Type="http://schemas.openxmlformats.org/officeDocument/2006/relationships/hyperlink" Target="https://registraduria.gov.co/Que-son-las-elecciones-atipicas.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947D81B5-FE58-43F5-95BB-7BCCFB3C7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TotalTime>
  <Pages>22</Pages>
  <Words>7067</Words>
  <Characters>38869</Characters>
  <Application>Microsoft Office Word</Application>
  <DocSecurity>0</DocSecurity>
  <Lines>323</Lines>
  <Paragraphs>91</Paragraphs>
  <ScaleCrop>false</ScaleCrop>
  <Company/>
  <LinksUpToDate>false</LinksUpToDate>
  <CharactersWithSpaces>45845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3</cp:revision>
  <cp:lastPrinted>2023-01-11T00:18:00Z</cp:lastPrinted>
  <dcterms:created xsi:type="dcterms:W3CDTF">2026-07-07T12:51:00Z</dcterms:created>
  <dcterms:modified xsi:type="dcterms:W3CDTF">2026-07-08T17:33:00Z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