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C7065" w14:textId="77777777" w:rsidR="005D3A8E" w:rsidRPr="005D3A8E" w:rsidRDefault="005D3A8E" w:rsidP="005D3A8E">
      <w:pPr>
        <w:spacing w:line="240" w:lineRule="auto"/>
        <w:jc w:val="both"/>
        <w:rPr>
          <w:rFonts w:ascii="Verdana" w:hAnsi="Verdana" w:cs="Arial"/>
          <w:b/>
          <w:color w:val="000000" w:themeColor="text1"/>
          <w:lang w:val="es-ES_tradnl"/>
        </w:rPr>
      </w:pPr>
      <w:r w:rsidRPr="005D3A8E">
        <w:rPr>
          <w:rFonts w:ascii="Verdana" w:hAnsi="Verdana" w:cs="Arial"/>
          <w:b/>
          <w:color w:val="000000" w:themeColor="text1"/>
          <w:lang w:val="es-ES_tradnl"/>
        </w:rPr>
        <w:t>CONTRATO DE COMODATO – Régimen jurídico aplicable</w:t>
      </w:r>
    </w:p>
    <w:p w14:paraId="191630AB" w14:textId="77777777" w:rsidR="005D3A8E" w:rsidRPr="007157DD" w:rsidRDefault="005D3A8E" w:rsidP="007157DD">
      <w:pPr>
        <w:widowControl w:val="0"/>
        <w:autoSpaceDE w:val="0"/>
        <w:autoSpaceDN w:val="0"/>
        <w:spacing w:after="0" w:line="240" w:lineRule="auto"/>
        <w:jc w:val="both"/>
        <w:rPr>
          <w:rFonts w:ascii="Verdana" w:hAnsi="Verdana" w:cs="Arial"/>
          <w:color w:val="000000" w:themeColor="text1"/>
          <w:sz w:val="20"/>
          <w:szCs w:val="20"/>
        </w:rPr>
      </w:pPr>
      <w:r w:rsidRPr="007157DD">
        <w:rPr>
          <w:rFonts w:ascii="Verdana" w:hAnsi="Verdana" w:cs="Arial"/>
          <w:color w:val="000000" w:themeColor="text1"/>
          <w:sz w:val="20"/>
          <w:szCs w:val="20"/>
        </w:rPr>
        <w:t xml:space="preserve">En síntesis, i) las entidades públicas no podrán dar en comodato sus inmuebles sino únicamente a otras entidades públicas, sindicatos, cooperativas, asociaciones y fundaciones que no repartan utilidades entre sus asociados o fundadores ni adjudiquen sus activos en el momento de su liquidación a los mismos, juntas de acción comunal, fondos de empleados y las demás que puedan asimilarse a las anteriores, por un término máximo de cinco (5) años, renovables, de acuerdo con el artículo 38 de la Ley 9 de 1989; </w:t>
      </w:r>
      <w:proofErr w:type="spellStart"/>
      <w:r w:rsidRPr="007157DD">
        <w:rPr>
          <w:rFonts w:ascii="Verdana" w:hAnsi="Verdana" w:cs="Arial"/>
          <w:color w:val="000000" w:themeColor="text1"/>
          <w:sz w:val="20"/>
          <w:szCs w:val="20"/>
        </w:rPr>
        <w:t>ii</w:t>
      </w:r>
      <w:proofErr w:type="spellEnd"/>
      <w:r w:rsidRPr="007157DD">
        <w:rPr>
          <w:rFonts w:ascii="Verdana" w:hAnsi="Verdana" w:cs="Arial"/>
          <w:color w:val="000000" w:themeColor="text1"/>
          <w:sz w:val="20"/>
          <w:szCs w:val="20"/>
        </w:rPr>
        <w:t xml:space="preserve">) las entidades estatales pueden celebrar contratos de comodato de bienes muebles entre sí, de acuerdo con las reglas del Código Civil; </w:t>
      </w:r>
      <w:proofErr w:type="spellStart"/>
      <w:r w:rsidRPr="007157DD">
        <w:rPr>
          <w:rFonts w:ascii="Verdana" w:hAnsi="Verdana" w:cs="Arial"/>
          <w:color w:val="000000" w:themeColor="text1"/>
          <w:sz w:val="20"/>
          <w:szCs w:val="20"/>
        </w:rPr>
        <w:t>iii</w:t>
      </w:r>
      <w:proofErr w:type="spellEnd"/>
      <w:r w:rsidRPr="007157DD">
        <w:rPr>
          <w:rFonts w:ascii="Verdana" w:hAnsi="Verdana" w:cs="Arial"/>
          <w:color w:val="000000" w:themeColor="text1"/>
          <w:sz w:val="20"/>
          <w:szCs w:val="20"/>
        </w:rPr>
        <w:t xml:space="preserve">) en virtud del artículo 355 de la Constitución Política, las entidades estatales pueden entregar en comodato sus bienes muebles a entidades privadas sin ánimo de lucro, y el tiempo de duración del contrato estará sujeto en todo caso a la actividad misional de la respectiva entidad estatal de acuerdo con lo previsto en el artículo 96 de la Ley 489 de 1998 y; </w:t>
      </w:r>
      <w:proofErr w:type="spellStart"/>
      <w:r w:rsidRPr="007157DD">
        <w:rPr>
          <w:rFonts w:ascii="Verdana" w:hAnsi="Verdana" w:cs="Arial"/>
          <w:color w:val="000000" w:themeColor="text1"/>
          <w:sz w:val="20"/>
          <w:szCs w:val="20"/>
        </w:rPr>
        <w:t>iv</w:t>
      </w:r>
      <w:proofErr w:type="spellEnd"/>
      <w:r w:rsidRPr="007157DD">
        <w:rPr>
          <w:rFonts w:ascii="Verdana" w:hAnsi="Verdana" w:cs="Arial"/>
          <w:color w:val="000000" w:themeColor="text1"/>
          <w:sz w:val="20"/>
          <w:szCs w:val="20"/>
        </w:rPr>
        <w:t>) las entidades estatales pueden celebrar contratos de comodato con privados, actuando en calidad de comodatarias, caso en el cual no tienen restricción normativa para celebrar este tipo de contratos, con fundamento en la autonomía de la voluntad que establece el artículo 32 de la Ley 80 de 1993, sin perjuicio del cumplimiento de los principios constitucionales aplicables a la función administrativa y los de la contratación estatal. En estos eventos, sin perjuicio de las reglas especiales previstas en el EGCAP, el tipo contractual se rige por los artículos 2200 al 2220, dada la remisión expresa del artículo 13 de la Ley 80 de 1993 en cuanto al régimen aplicable a los contratos estatales.</w:t>
      </w:r>
    </w:p>
    <w:p w14:paraId="28250399" w14:textId="77777777" w:rsidR="007157DD" w:rsidRDefault="007157DD" w:rsidP="00D22A2A">
      <w:pPr>
        <w:spacing w:after="0" w:line="240" w:lineRule="auto"/>
        <w:rPr>
          <w:rFonts w:ascii="Verdana" w:hAnsi="Verdana" w:cs="Arial"/>
          <w:b/>
          <w:color w:val="000000" w:themeColor="text1"/>
          <w:lang w:val="es-ES_tradnl"/>
        </w:rPr>
      </w:pPr>
    </w:p>
    <w:p w14:paraId="3BEB6996" w14:textId="6B9AAE7E" w:rsidR="00B46C84" w:rsidRDefault="00555B17" w:rsidP="007157DD">
      <w:pPr>
        <w:spacing w:after="0" w:line="240" w:lineRule="auto"/>
        <w:jc w:val="both"/>
        <w:rPr>
          <w:rFonts w:ascii="Verdana" w:hAnsi="Verdana" w:cs="Arial"/>
          <w:b/>
          <w:color w:val="000000" w:themeColor="text1"/>
          <w:lang w:val="es-ES_tradnl"/>
        </w:rPr>
      </w:pPr>
      <w:r>
        <w:rPr>
          <w:rFonts w:ascii="Verdana" w:hAnsi="Verdana" w:cs="Arial"/>
          <w:b/>
          <w:color w:val="000000" w:themeColor="text1"/>
          <w:lang w:val="es-ES_tradnl"/>
        </w:rPr>
        <w:t xml:space="preserve">LEY DE GARANTIAS ELECTORALES – Restricciones </w:t>
      </w:r>
    </w:p>
    <w:p w14:paraId="66C40C66" w14:textId="77777777" w:rsidR="00B46C84" w:rsidRDefault="00B46C84" w:rsidP="00D22A2A">
      <w:pPr>
        <w:spacing w:after="0" w:line="240" w:lineRule="auto"/>
        <w:rPr>
          <w:rFonts w:ascii="Verdana" w:hAnsi="Verdana" w:cs="Arial"/>
          <w:b/>
          <w:color w:val="000000" w:themeColor="text1"/>
          <w:lang w:val="es-ES_tradnl"/>
        </w:rPr>
      </w:pPr>
    </w:p>
    <w:p w14:paraId="426B440D" w14:textId="77777777" w:rsidR="00555B17" w:rsidRPr="007157DD" w:rsidRDefault="00555B17" w:rsidP="007157DD">
      <w:pPr>
        <w:spacing w:after="120" w:line="240" w:lineRule="auto"/>
        <w:jc w:val="both"/>
        <w:rPr>
          <w:rFonts w:ascii="Verdana" w:eastAsia="Arial" w:hAnsi="Verdana" w:cs="Arial"/>
          <w:sz w:val="20"/>
          <w:szCs w:val="20"/>
          <w:lang w:val="es-ES" w:eastAsia="es-ES" w:bidi="es-ES"/>
        </w:rPr>
      </w:pPr>
      <w:r w:rsidRPr="007157DD">
        <w:rPr>
          <w:rFonts w:ascii="Verdana" w:eastAsia="Arial" w:hAnsi="Verdana" w:cs="Arial"/>
          <w:sz w:val="20"/>
          <w:szCs w:val="20"/>
          <w:lang w:val="es-ES" w:eastAsia="es-ES" w:bidi="es-ES"/>
        </w:rPr>
        <w:t xml:space="preserve">De conformidad con lo anterior, la Ley 996 de 2005 establece dos (2) tipos de restricciones en materia de contratación, las cuales coinciden parcialmente. </w:t>
      </w:r>
      <w:r w:rsidRPr="007157DD">
        <w:rPr>
          <w:rFonts w:ascii="Verdana" w:eastAsia="Arial" w:hAnsi="Verdana" w:cs="Arial"/>
          <w:i/>
          <w:sz w:val="20"/>
          <w:szCs w:val="20"/>
          <w:lang w:val="es-ES" w:eastAsia="es-ES" w:bidi="es-ES"/>
        </w:rPr>
        <w:t>En primer lugar</w:t>
      </w:r>
      <w:r w:rsidRPr="007157DD">
        <w:rPr>
          <w:rFonts w:ascii="Verdana" w:eastAsia="Arial" w:hAnsi="Verdana" w:cs="Arial"/>
          <w:sz w:val="20"/>
          <w:szCs w:val="20"/>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7157DD">
        <w:rPr>
          <w:rFonts w:ascii="Verdana" w:eastAsia="Arial" w:hAnsi="Verdana" w:cs="Arial"/>
          <w:i/>
          <w:sz w:val="20"/>
          <w:szCs w:val="20"/>
          <w:lang w:val="es-ES" w:eastAsia="es-ES" w:bidi="es-ES"/>
        </w:rPr>
        <w:t>En segundo lugar</w:t>
      </w:r>
      <w:r w:rsidRPr="007157DD">
        <w:rPr>
          <w:rFonts w:ascii="Verdana" w:eastAsia="Arial" w:hAnsi="Verdana" w:cs="Arial"/>
          <w:sz w:val="20"/>
          <w:szCs w:val="20"/>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069B168F" w14:textId="77777777" w:rsidR="00B46C84" w:rsidRDefault="00B46C84" w:rsidP="00D22A2A">
      <w:pPr>
        <w:spacing w:after="0" w:line="240" w:lineRule="auto"/>
        <w:rPr>
          <w:rFonts w:ascii="Verdana" w:hAnsi="Verdana" w:cs="Arial"/>
          <w:b/>
          <w:color w:val="000000" w:themeColor="text1"/>
          <w:lang w:val="es-ES_tradnl"/>
        </w:rPr>
      </w:pPr>
    </w:p>
    <w:p w14:paraId="21937CF3" w14:textId="2CC2ADCC" w:rsidR="00B46C84" w:rsidRPr="00555B17" w:rsidRDefault="00555B17" w:rsidP="007157DD">
      <w:pPr>
        <w:spacing w:after="0" w:line="240" w:lineRule="auto"/>
        <w:jc w:val="both"/>
        <w:rPr>
          <w:rFonts w:ascii="Verdana" w:eastAsia="Geomanist Light" w:hAnsi="Verdana" w:cs="Arial"/>
          <w:b/>
          <w:bCs/>
          <w:color w:val="000000" w:themeColor="text1"/>
          <w:lang w:val="es-MX"/>
        </w:rPr>
      </w:pPr>
      <w:r w:rsidRPr="00555B17">
        <w:rPr>
          <w:rFonts w:ascii="Verdana" w:eastAsia="Geomanist Light" w:hAnsi="Verdana" w:cs="Arial"/>
          <w:b/>
          <w:bCs/>
          <w:color w:val="000000" w:themeColor="text1"/>
          <w:lang w:val="es-MX"/>
        </w:rPr>
        <w:t xml:space="preserve">CONTRATO DE COMODATO – Restricción – </w:t>
      </w:r>
      <w:r w:rsidR="00B834D9">
        <w:rPr>
          <w:rFonts w:ascii="Verdana" w:eastAsia="Geomanist Light" w:hAnsi="Verdana" w:cs="Arial"/>
          <w:b/>
          <w:bCs/>
          <w:color w:val="000000" w:themeColor="text1"/>
          <w:lang w:val="es-MX"/>
        </w:rPr>
        <w:t xml:space="preserve">Entidades estatales </w:t>
      </w:r>
      <w:r w:rsidR="007157DD" w:rsidRPr="007157DD">
        <w:rPr>
          <w:rFonts w:ascii="Verdana" w:eastAsia="Geomanist Light" w:hAnsi="Verdana" w:cs="Arial"/>
          <w:b/>
          <w:bCs/>
          <w:color w:val="000000" w:themeColor="text1"/>
          <w:lang w:val="es-ES"/>
        </w:rPr>
        <w:t>–</w:t>
      </w:r>
      <w:r w:rsidR="00B834D9">
        <w:rPr>
          <w:rFonts w:ascii="Verdana" w:eastAsia="Geomanist Light" w:hAnsi="Verdana" w:cs="Arial"/>
          <w:b/>
          <w:bCs/>
          <w:color w:val="000000" w:themeColor="text1"/>
          <w:lang w:val="es-MX"/>
        </w:rPr>
        <w:t xml:space="preserve"> </w:t>
      </w:r>
      <w:r w:rsidRPr="00555B17">
        <w:rPr>
          <w:rFonts w:ascii="Verdana" w:eastAsia="Geomanist Light" w:hAnsi="Verdana" w:cs="Arial"/>
          <w:b/>
          <w:bCs/>
          <w:color w:val="000000" w:themeColor="text1"/>
          <w:lang w:val="es-MX"/>
        </w:rPr>
        <w:t xml:space="preserve">Sociedad Anónima </w:t>
      </w:r>
    </w:p>
    <w:p w14:paraId="672E9757" w14:textId="77777777" w:rsidR="00555B17" w:rsidRDefault="00555B17" w:rsidP="00D22A2A">
      <w:pPr>
        <w:spacing w:after="0" w:line="240" w:lineRule="auto"/>
        <w:rPr>
          <w:rFonts w:ascii="Verdana" w:eastAsia="Geomanist Light" w:hAnsi="Verdana" w:cs="Arial"/>
          <w:color w:val="000000" w:themeColor="text1"/>
          <w:lang w:val="es-MX"/>
        </w:rPr>
      </w:pPr>
    </w:p>
    <w:p w14:paraId="7455C096" w14:textId="77777777" w:rsidR="00555B17" w:rsidRPr="007157DD" w:rsidRDefault="00555B17" w:rsidP="007157DD">
      <w:pPr>
        <w:widowControl w:val="0"/>
        <w:autoSpaceDE w:val="0"/>
        <w:autoSpaceDN w:val="0"/>
        <w:spacing w:after="120" w:line="240" w:lineRule="auto"/>
        <w:ind w:left="24"/>
        <w:jc w:val="both"/>
        <w:rPr>
          <w:rFonts w:ascii="Verdana" w:eastAsia="Arial" w:hAnsi="Verdana" w:cs="Arial"/>
          <w:sz w:val="20"/>
          <w:szCs w:val="20"/>
          <w:lang w:val="es-ES" w:eastAsia="es-ES" w:bidi="es-ES"/>
        </w:rPr>
      </w:pPr>
      <w:r w:rsidRPr="007157DD">
        <w:rPr>
          <w:rFonts w:ascii="Verdana" w:eastAsia="Arial" w:hAnsi="Verdana" w:cs="Arial"/>
          <w:sz w:val="20"/>
          <w:szCs w:val="20"/>
          <w:lang w:val="es-ES" w:eastAsia="es-ES" w:bidi="es-ES"/>
        </w:rPr>
        <w:t xml:space="preserve">Una sociedad anónima —S.A.— es, por su naturaleza mercantil definida en los artículos 373 y siguientes del Código de Comercio, una sociedad de capital constituida con el fin </w:t>
      </w:r>
      <w:r w:rsidRPr="007157DD">
        <w:rPr>
          <w:rFonts w:ascii="Verdana" w:eastAsia="Arial" w:hAnsi="Verdana" w:cs="Arial"/>
          <w:sz w:val="20"/>
          <w:szCs w:val="20"/>
          <w:lang w:val="es-ES" w:eastAsia="es-ES" w:bidi="es-ES"/>
        </w:rPr>
        <w:lastRenderedPageBreak/>
        <w:t>de obtener utilidades para distribuirlas entre sus accionistas en forma de dividendos. Esta característica estructural la excluye del listado del artículo 38 de la Ley 9 de 1989, cuyo criterio determinante para las personas jurídicas de derecho privado es precisamente que no repartan utilidades entre sus asociados. La restricción no admite excepción fundada en el objeto social de la sociedad, en la naturaleza del servicio que presta ni en la finalidad de interés general que persigue. El artículo 38 no distingue entre sociedades que prestan servicios públicos y sociedades que desarrollan otras actividades comerciales: el criterio es orgánico —la naturaleza jurídica del comodatario— y no funcional.</w:t>
      </w:r>
    </w:p>
    <w:p w14:paraId="62CD2D75" w14:textId="77777777" w:rsidR="00555B17" w:rsidRDefault="00555B17" w:rsidP="00D22A2A">
      <w:pPr>
        <w:spacing w:after="0" w:line="240" w:lineRule="auto"/>
        <w:rPr>
          <w:rFonts w:ascii="Verdana" w:eastAsia="Geomanist Light" w:hAnsi="Verdana" w:cs="Arial"/>
          <w:color w:val="000000" w:themeColor="text1"/>
          <w:lang w:val="es-MX"/>
        </w:rPr>
      </w:pPr>
    </w:p>
    <w:p w14:paraId="0E293B90" w14:textId="5EDECAB8" w:rsidR="0046138D" w:rsidRDefault="0046138D" w:rsidP="00D22A2A">
      <w:pPr>
        <w:spacing w:after="0" w:line="240" w:lineRule="auto"/>
        <w:rPr>
          <w:rFonts w:ascii="Verdana" w:eastAsia="Geomanist Light" w:hAnsi="Verdana" w:cs="Arial"/>
          <w:color w:val="000000" w:themeColor="text1"/>
          <w:lang w:val="es-MX"/>
        </w:rPr>
      </w:pPr>
    </w:p>
    <w:p w14:paraId="2413D2A8" w14:textId="27853A65" w:rsidR="0046138D" w:rsidRDefault="0046138D" w:rsidP="00D22A2A">
      <w:pPr>
        <w:spacing w:after="0" w:line="240" w:lineRule="auto"/>
        <w:rPr>
          <w:rFonts w:ascii="Verdana" w:eastAsia="Geomanist Light" w:hAnsi="Verdana" w:cs="Arial"/>
          <w:color w:val="000000" w:themeColor="text1"/>
          <w:lang w:val="es-MX"/>
        </w:rPr>
      </w:pPr>
    </w:p>
    <w:p w14:paraId="3D1DF37B" w14:textId="411297C4" w:rsidR="0046138D" w:rsidRDefault="0046138D" w:rsidP="00D22A2A">
      <w:pPr>
        <w:spacing w:after="0" w:line="240" w:lineRule="auto"/>
        <w:rPr>
          <w:rFonts w:ascii="Verdana" w:eastAsia="Geomanist Light" w:hAnsi="Verdana" w:cs="Arial"/>
          <w:color w:val="000000" w:themeColor="text1"/>
          <w:lang w:val="es-MX"/>
        </w:rPr>
      </w:pPr>
    </w:p>
    <w:p w14:paraId="01550B21" w14:textId="77777777" w:rsidR="0046138D" w:rsidRDefault="0046138D" w:rsidP="00D22A2A">
      <w:pPr>
        <w:spacing w:after="0" w:line="240" w:lineRule="auto"/>
        <w:rPr>
          <w:rFonts w:ascii="Verdana" w:eastAsia="Geomanist Light" w:hAnsi="Verdana" w:cs="Arial"/>
          <w:color w:val="000000" w:themeColor="text1"/>
          <w:lang w:val="es-MX"/>
        </w:rPr>
      </w:pPr>
    </w:p>
    <w:p w14:paraId="0AB11D58" w14:textId="77777777" w:rsidR="00555B17" w:rsidRDefault="00555B17" w:rsidP="00D22A2A">
      <w:pPr>
        <w:spacing w:after="0" w:line="240" w:lineRule="auto"/>
        <w:rPr>
          <w:rFonts w:ascii="Verdana" w:eastAsia="Geomanist Light" w:hAnsi="Verdana" w:cs="Arial"/>
          <w:color w:val="000000" w:themeColor="text1"/>
          <w:lang w:val="es-MX"/>
        </w:rPr>
      </w:pPr>
    </w:p>
    <w:p w14:paraId="178A6DC0" w14:textId="77777777" w:rsidR="00555B17" w:rsidRDefault="00555B17" w:rsidP="00D22A2A">
      <w:pPr>
        <w:spacing w:after="0" w:line="240" w:lineRule="auto"/>
        <w:rPr>
          <w:rFonts w:ascii="Verdana" w:eastAsia="Geomanist Light" w:hAnsi="Verdana" w:cs="Arial"/>
          <w:color w:val="000000" w:themeColor="text1"/>
          <w:lang w:val="es-MX"/>
        </w:rPr>
      </w:pPr>
    </w:p>
    <w:p w14:paraId="23C91B49" w14:textId="77777777" w:rsidR="00555B17" w:rsidRDefault="00555B17" w:rsidP="00D22A2A">
      <w:pPr>
        <w:spacing w:after="0" w:line="240" w:lineRule="auto"/>
        <w:rPr>
          <w:rFonts w:ascii="Verdana" w:eastAsia="Geomanist Light" w:hAnsi="Verdana" w:cs="Arial"/>
          <w:color w:val="000000" w:themeColor="text1"/>
          <w:lang w:val="es-MX"/>
        </w:rPr>
      </w:pPr>
    </w:p>
    <w:p w14:paraId="2E9C321C" w14:textId="77777777" w:rsidR="00555B17" w:rsidRDefault="00555B17" w:rsidP="00D22A2A">
      <w:pPr>
        <w:spacing w:after="0" w:line="240" w:lineRule="auto"/>
        <w:rPr>
          <w:rFonts w:ascii="Verdana" w:eastAsia="Geomanist Light" w:hAnsi="Verdana" w:cs="Arial"/>
          <w:color w:val="000000" w:themeColor="text1"/>
          <w:lang w:val="es-MX"/>
        </w:rPr>
      </w:pPr>
    </w:p>
    <w:p w14:paraId="2B3894F1" w14:textId="77777777" w:rsidR="00555B17" w:rsidRDefault="00555B17" w:rsidP="00D22A2A">
      <w:pPr>
        <w:spacing w:after="0" w:line="240" w:lineRule="auto"/>
        <w:rPr>
          <w:rFonts w:ascii="Verdana" w:eastAsia="Geomanist Light" w:hAnsi="Verdana" w:cs="Arial"/>
          <w:color w:val="000000" w:themeColor="text1"/>
          <w:lang w:val="es-MX"/>
        </w:rPr>
      </w:pPr>
    </w:p>
    <w:p w14:paraId="5F5712FC" w14:textId="77777777" w:rsidR="00555B17" w:rsidRDefault="00555B17" w:rsidP="00D22A2A">
      <w:pPr>
        <w:spacing w:after="0" w:line="240" w:lineRule="auto"/>
        <w:rPr>
          <w:rFonts w:ascii="Verdana" w:eastAsia="Geomanist Light" w:hAnsi="Verdana" w:cs="Arial"/>
          <w:color w:val="000000" w:themeColor="text1"/>
          <w:lang w:val="es-MX"/>
        </w:rPr>
      </w:pPr>
    </w:p>
    <w:p w14:paraId="12E3C216" w14:textId="77777777" w:rsidR="00555B17" w:rsidRDefault="00555B17" w:rsidP="00D22A2A">
      <w:pPr>
        <w:spacing w:after="0" w:line="240" w:lineRule="auto"/>
        <w:rPr>
          <w:rFonts w:ascii="Verdana" w:eastAsia="Geomanist Light" w:hAnsi="Verdana" w:cs="Arial"/>
          <w:color w:val="000000" w:themeColor="text1"/>
          <w:lang w:val="es-MX"/>
        </w:rPr>
      </w:pPr>
    </w:p>
    <w:p w14:paraId="0A34727E" w14:textId="77777777" w:rsidR="00555B17" w:rsidRDefault="00555B17" w:rsidP="00D22A2A">
      <w:pPr>
        <w:spacing w:after="0" w:line="240" w:lineRule="auto"/>
        <w:rPr>
          <w:rFonts w:ascii="Verdana" w:eastAsia="Geomanist Light" w:hAnsi="Verdana" w:cs="Arial"/>
          <w:color w:val="000000" w:themeColor="text1"/>
          <w:lang w:val="es-MX"/>
        </w:rPr>
      </w:pPr>
    </w:p>
    <w:p w14:paraId="6E5893AE" w14:textId="77777777" w:rsidR="00555B17" w:rsidRDefault="00555B17" w:rsidP="00D22A2A">
      <w:pPr>
        <w:spacing w:after="0" w:line="240" w:lineRule="auto"/>
        <w:rPr>
          <w:rFonts w:ascii="Verdana" w:eastAsia="Geomanist Light" w:hAnsi="Verdana" w:cs="Arial"/>
          <w:color w:val="000000" w:themeColor="text1"/>
          <w:lang w:val="es-MX"/>
        </w:rPr>
      </w:pPr>
    </w:p>
    <w:p w14:paraId="76F16BC2" w14:textId="77777777" w:rsidR="00555B17" w:rsidRDefault="00555B17" w:rsidP="00D22A2A">
      <w:pPr>
        <w:spacing w:after="0" w:line="240" w:lineRule="auto"/>
        <w:rPr>
          <w:rFonts w:ascii="Verdana" w:eastAsia="Geomanist Light" w:hAnsi="Verdana" w:cs="Arial"/>
          <w:color w:val="000000" w:themeColor="text1"/>
          <w:lang w:val="es-MX"/>
        </w:rPr>
      </w:pPr>
    </w:p>
    <w:p w14:paraId="28C1FEC3" w14:textId="77777777" w:rsidR="00555B17" w:rsidRDefault="00555B17" w:rsidP="00D22A2A">
      <w:pPr>
        <w:spacing w:after="0" w:line="240" w:lineRule="auto"/>
        <w:rPr>
          <w:rFonts w:ascii="Verdana" w:eastAsia="Geomanist Light" w:hAnsi="Verdana" w:cs="Arial"/>
          <w:color w:val="000000" w:themeColor="text1"/>
          <w:lang w:val="es-MX"/>
        </w:rPr>
      </w:pPr>
    </w:p>
    <w:p w14:paraId="6EB62DA3" w14:textId="77777777" w:rsidR="00555B17" w:rsidRDefault="00555B17" w:rsidP="00D22A2A">
      <w:pPr>
        <w:spacing w:after="0" w:line="240" w:lineRule="auto"/>
        <w:rPr>
          <w:rFonts w:ascii="Verdana" w:eastAsia="Geomanist Light" w:hAnsi="Verdana" w:cs="Arial"/>
          <w:color w:val="000000" w:themeColor="text1"/>
          <w:lang w:val="es-MX"/>
        </w:rPr>
      </w:pPr>
    </w:p>
    <w:p w14:paraId="0231CA8F" w14:textId="77777777" w:rsidR="00555B17" w:rsidRDefault="00555B17" w:rsidP="00D22A2A">
      <w:pPr>
        <w:spacing w:after="0" w:line="240" w:lineRule="auto"/>
        <w:rPr>
          <w:rFonts w:ascii="Verdana" w:eastAsia="Geomanist Light" w:hAnsi="Verdana" w:cs="Arial"/>
          <w:color w:val="000000" w:themeColor="text1"/>
          <w:lang w:val="es-MX"/>
        </w:rPr>
      </w:pPr>
    </w:p>
    <w:p w14:paraId="0CE346A7" w14:textId="77777777" w:rsidR="005D3A8E" w:rsidRDefault="005D3A8E" w:rsidP="00D22A2A">
      <w:pPr>
        <w:spacing w:after="0" w:line="240" w:lineRule="auto"/>
        <w:rPr>
          <w:rFonts w:ascii="Verdana" w:eastAsia="Geomanist Light" w:hAnsi="Verdana" w:cs="Arial"/>
          <w:color w:val="000000" w:themeColor="text1"/>
          <w:lang w:val="es-MX"/>
        </w:rPr>
      </w:pPr>
    </w:p>
    <w:p w14:paraId="5854BE1C" w14:textId="77777777" w:rsidR="007157DD" w:rsidRDefault="007157DD" w:rsidP="006732BD">
      <w:pPr>
        <w:spacing w:after="0" w:line="240" w:lineRule="auto"/>
        <w:jc w:val="both"/>
        <w:rPr>
          <w:rFonts w:ascii="Verdana" w:eastAsia="Geomanist Light" w:hAnsi="Verdana" w:cs="Arial"/>
          <w:color w:val="000000" w:themeColor="text1"/>
          <w:lang w:val="es-MX"/>
        </w:rPr>
      </w:pPr>
    </w:p>
    <w:p w14:paraId="25FDE171" w14:textId="77777777" w:rsidR="007157DD" w:rsidRDefault="007157DD" w:rsidP="006732BD">
      <w:pPr>
        <w:spacing w:after="0" w:line="240" w:lineRule="auto"/>
        <w:jc w:val="both"/>
        <w:rPr>
          <w:rFonts w:ascii="Verdana" w:eastAsia="Geomanist Light" w:hAnsi="Verdana" w:cs="Arial"/>
          <w:color w:val="000000" w:themeColor="text1"/>
          <w:lang w:val="es-MX"/>
        </w:rPr>
      </w:pPr>
    </w:p>
    <w:p w14:paraId="02B3328C" w14:textId="77777777" w:rsidR="007157DD" w:rsidRDefault="007157DD" w:rsidP="006732BD">
      <w:pPr>
        <w:spacing w:after="0" w:line="240" w:lineRule="auto"/>
        <w:jc w:val="both"/>
        <w:rPr>
          <w:rFonts w:ascii="Verdana" w:eastAsia="Geomanist Light" w:hAnsi="Verdana" w:cs="Arial"/>
          <w:color w:val="000000" w:themeColor="text1"/>
          <w:lang w:val="es-MX"/>
        </w:rPr>
      </w:pPr>
    </w:p>
    <w:p w14:paraId="2FCBC126" w14:textId="77777777" w:rsidR="007157DD" w:rsidRDefault="007157DD" w:rsidP="006732BD">
      <w:pPr>
        <w:spacing w:after="0" w:line="240" w:lineRule="auto"/>
        <w:jc w:val="both"/>
        <w:rPr>
          <w:rFonts w:ascii="Verdana" w:eastAsia="Geomanist Light" w:hAnsi="Verdana" w:cs="Arial"/>
          <w:color w:val="000000" w:themeColor="text1"/>
          <w:lang w:val="es-MX"/>
        </w:rPr>
      </w:pPr>
    </w:p>
    <w:p w14:paraId="23E7A008" w14:textId="77777777" w:rsidR="007157DD" w:rsidRDefault="007157DD" w:rsidP="006732BD">
      <w:pPr>
        <w:spacing w:after="0" w:line="240" w:lineRule="auto"/>
        <w:jc w:val="both"/>
        <w:rPr>
          <w:rFonts w:ascii="Verdana" w:eastAsia="Geomanist Light" w:hAnsi="Verdana" w:cs="Arial"/>
          <w:color w:val="000000" w:themeColor="text1"/>
          <w:lang w:val="es-MX"/>
        </w:rPr>
      </w:pPr>
    </w:p>
    <w:p w14:paraId="13035B5C" w14:textId="77777777" w:rsidR="007157DD" w:rsidRDefault="007157DD" w:rsidP="006732BD">
      <w:pPr>
        <w:spacing w:after="0" w:line="240" w:lineRule="auto"/>
        <w:jc w:val="both"/>
        <w:rPr>
          <w:rFonts w:ascii="Verdana" w:eastAsia="Geomanist Light" w:hAnsi="Verdana" w:cs="Arial"/>
          <w:color w:val="000000" w:themeColor="text1"/>
          <w:lang w:val="es-MX"/>
        </w:rPr>
      </w:pPr>
    </w:p>
    <w:p w14:paraId="31972ABE" w14:textId="77777777" w:rsidR="007157DD" w:rsidRDefault="007157DD" w:rsidP="006732BD">
      <w:pPr>
        <w:spacing w:after="0" w:line="240" w:lineRule="auto"/>
        <w:jc w:val="both"/>
        <w:rPr>
          <w:rFonts w:ascii="Verdana" w:eastAsia="Geomanist Light" w:hAnsi="Verdana" w:cs="Arial"/>
          <w:color w:val="000000" w:themeColor="text1"/>
          <w:lang w:val="es-MX"/>
        </w:rPr>
      </w:pPr>
    </w:p>
    <w:p w14:paraId="78292C53" w14:textId="77777777" w:rsidR="007157DD" w:rsidRDefault="007157DD" w:rsidP="006732BD">
      <w:pPr>
        <w:spacing w:after="0" w:line="240" w:lineRule="auto"/>
        <w:jc w:val="both"/>
        <w:rPr>
          <w:rFonts w:ascii="Verdana" w:eastAsia="Geomanist Light" w:hAnsi="Verdana" w:cs="Arial"/>
          <w:color w:val="000000" w:themeColor="text1"/>
          <w:lang w:val="es-MX"/>
        </w:rPr>
      </w:pPr>
    </w:p>
    <w:p w14:paraId="48B6F430" w14:textId="77777777" w:rsidR="007157DD" w:rsidRDefault="007157DD" w:rsidP="006732BD">
      <w:pPr>
        <w:spacing w:after="0" w:line="240" w:lineRule="auto"/>
        <w:jc w:val="both"/>
        <w:rPr>
          <w:rFonts w:ascii="Verdana" w:eastAsia="Geomanist Light" w:hAnsi="Verdana" w:cs="Arial"/>
          <w:color w:val="000000" w:themeColor="text1"/>
          <w:lang w:val="es-MX"/>
        </w:rPr>
      </w:pPr>
    </w:p>
    <w:p w14:paraId="1EF0BDCE" w14:textId="77777777" w:rsidR="007157DD" w:rsidRDefault="007157DD" w:rsidP="006732BD">
      <w:pPr>
        <w:spacing w:after="0" w:line="240" w:lineRule="auto"/>
        <w:jc w:val="both"/>
        <w:rPr>
          <w:rFonts w:ascii="Verdana" w:eastAsia="Geomanist Light" w:hAnsi="Verdana" w:cs="Arial"/>
          <w:color w:val="000000" w:themeColor="text1"/>
          <w:lang w:val="es-MX"/>
        </w:rPr>
      </w:pPr>
    </w:p>
    <w:p w14:paraId="7F3F6E87" w14:textId="77777777" w:rsidR="007157DD" w:rsidRDefault="007157DD" w:rsidP="006732BD">
      <w:pPr>
        <w:spacing w:after="0" w:line="240" w:lineRule="auto"/>
        <w:jc w:val="both"/>
        <w:rPr>
          <w:rFonts w:ascii="Verdana" w:eastAsia="Geomanist Light" w:hAnsi="Verdana" w:cs="Arial"/>
          <w:color w:val="000000" w:themeColor="text1"/>
          <w:lang w:val="es-MX"/>
        </w:rPr>
      </w:pPr>
    </w:p>
    <w:p w14:paraId="32A93E53" w14:textId="77777777" w:rsidR="007157DD" w:rsidRDefault="007157DD" w:rsidP="006732BD">
      <w:pPr>
        <w:spacing w:after="0" w:line="240" w:lineRule="auto"/>
        <w:jc w:val="both"/>
        <w:rPr>
          <w:rFonts w:ascii="Verdana" w:eastAsia="Geomanist Light" w:hAnsi="Verdana" w:cs="Arial"/>
          <w:color w:val="000000" w:themeColor="text1"/>
          <w:lang w:val="es-MX"/>
        </w:rPr>
      </w:pPr>
    </w:p>
    <w:p w14:paraId="2CF1D6B3" w14:textId="77777777" w:rsidR="007157DD" w:rsidRDefault="007157DD" w:rsidP="006732BD">
      <w:pPr>
        <w:spacing w:after="0" w:line="240" w:lineRule="auto"/>
        <w:jc w:val="both"/>
        <w:rPr>
          <w:rFonts w:ascii="Verdana" w:eastAsia="Geomanist Light" w:hAnsi="Verdana" w:cs="Arial"/>
          <w:color w:val="000000" w:themeColor="text1"/>
          <w:lang w:val="es-MX"/>
        </w:rPr>
      </w:pPr>
    </w:p>
    <w:p w14:paraId="5B23F6A3" w14:textId="77777777" w:rsidR="007157DD" w:rsidRDefault="007157DD" w:rsidP="006732BD">
      <w:pPr>
        <w:spacing w:after="0" w:line="240" w:lineRule="auto"/>
        <w:jc w:val="both"/>
        <w:rPr>
          <w:rFonts w:ascii="Verdana" w:eastAsia="Geomanist Light" w:hAnsi="Verdana" w:cs="Arial"/>
          <w:color w:val="000000" w:themeColor="text1"/>
          <w:lang w:val="es-MX"/>
        </w:rPr>
      </w:pPr>
    </w:p>
    <w:p w14:paraId="761BFC9D" w14:textId="77777777" w:rsidR="00A90876" w:rsidRDefault="00A90876" w:rsidP="006732BD">
      <w:pPr>
        <w:spacing w:after="0" w:line="240" w:lineRule="auto"/>
        <w:jc w:val="both"/>
        <w:rPr>
          <w:rFonts w:ascii="Verdana" w:eastAsia="Geomanist Light" w:hAnsi="Verdana" w:cs="Arial"/>
          <w:color w:val="000000" w:themeColor="text1"/>
          <w:lang w:val="es-MX"/>
        </w:rPr>
      </w:pPr>
    </w:p>
    <w:p w14:paraId="38F946E0" w14:textId="56723304" w:rsidR="00E27ABA" w:rsidRDefault="00E27ABA" w:rsidP="006732BD">
      <w:pPr>
        <w:spacing w:after="0" w:line="240" w:lineRule="auto"/>
        <w:jc w:val="both"/>
        <w:rPr>
          <w:rFonts w:ascii="Verdana" w:eastAsia="Geomanist Light" w:hAnsi="Verdana" w:cs="Arial"/>
          <w:color w:val="000000" w:themeColor="text1"/>
          <w:lang w:val="es-MX"/>
        </w:rPr>
      </w:pPr>
      <w:r w:rsidRPr="00E27ABA">
        <w:rPr>
          <w:rFonts w:ascii="Verdana" w:eastAsia="Geomanist Light" w:hAnsi="Verdana" w:cs="Arial"/>
          <w:color w:val="000000" w:themeColor="text1"/>
          <w:lang w:val="es-MX"/>
        </w:rPr>
        <w:lastRenderedPageBreak/>
        <w:t>Bogotá D.C., 03 de Julio de 2026</w:t>
      </w:r>
    </w:p>
    <w:p w14:paraId="5D3FA464" w14:textId="41DC169A" w:rsidR="00E27ABA" w:rsidRDefault="00E27ABA" w:rsidP="006732BD">
      <w:pPr>
        <w:spacing w:after="0" w:line="240" w:lineRule="auto"/>
        <w:jc w:val="both"/>
        <w:rPr>
          <w:rFonts w:ascii="Verdana" w:eastAsia="Calibri" w:hAnsi="Verdana" w:cs="Arial"/>
          <w:color w:val="000000"/>
          <w:lang w:val="es-ES"/>
        </w:rPr>
      </w:pPr>
    </w:p>
    <w:p w14:paraId="17863A62" w14:textId="45BD5B15" w:rsidR="00D22A2A" w:rsidRPr="00AC61E0" w:rsidRDefault="00D22A2A" w:rsidP="00E27ABA">
      <w:pPr>
        <w:spacing w:after="0" w:line="240" w:lineRule="auto"/>
        <w:jc w:val="right"/>
        <w:rPr>
          <w:rFonts w:ascii="Verdana" w:eastAsia="Calibri" w:hAnsi="Verdana" w:cs="Arial"/>
          <w:color w:val="000000"/>
          <w:highlight w:val="red"/>
          <w:lang w:val="es-ES"/>
        </w:rPr>
      </w:pPr>
    </w:p>
    <w:p w14:paraId="73BB398E" w14:textId="5EC67D02" w:rsidR="00E56FA8" w:rsidRPr="00AC61E0" w:rsidRDefault="00E56FA8" w:rsidP="00D22A2A">
      <w:pPr>
        <w:spacing w:after="0" w:line="240" w:lineRule="auto"/>
        <w:jc w:val="both"/>
        <w:rPr>
          <w:rFonts w:ascii="Verdana" w:eastAsia="Calibri" w:hAnsi="Verdana" w:cs="Arial"/>
          <w:color w:val="000000"/>
          <w:highlight w:val="red"/>
          <w:lang w:val="es-ES"/>
        </w:rPr>
      </w:pPr>
    </w:p>
    <w:p w14:paraId="137A7348" w14:textId="335BF8E6" w:rsidR="00D22A2A" w:rsidRPr="006732BD" w:rsidRDefault="007157DD" w:rsidP="00D22A2A">
      <w:pPr>
        <w:spacing w:after="0" w:line="240" w:lineRule="auto"/>
        <w:jc w:val="both"/>
        <w:rPr>
          <w:rFonts w:ascii="Verdana" w:eastAsia="Calibri" w:hAnsi="Verdana" w:cs="Arial"/>
          <w:lang w:val="es-ES" w:eastAsia="es-ES"/>
        </w:rPr>
      </w:pPr>
      <w:r w:rsidRPr="00E27ABA">
        <w:rPr>
          <w:rFonts w:ascii="Verdana" w:eastAsia="Calibri" w:hAnsi="Verdana" w:cs="Arial"/>
          <w:noProof/>
          <w:color w:val="000000"/>
          <w:lang w:val="es-ES"/>
        </w:rPr>
        <w:drawing>
          <wp:anchor distT="0" distB="0" distL="114300" distR="114300" simplePos="0" relativeHeight="251658240" behindDoc="0" locked="0" layoutInCell="1" allowOverlap="1" wp14:anchorId="60C79E2D" wp14:editId="57B183F5">
            <wp:simplePos x="0" y="0"/>
            <wp:positionH relativeFrom="margin">
              <wp:align>right</wp:align>
            </wp:positionH>
            <wp:positionV relativeFrom="paragraph">
              <wp:posOffset>6985</wp:posOffset>
            </wp:positionV>
            <wp:extent cx="2172970" cy="691515"/>
            <wp:effectExtent l="0" t="0" r="0" b="0"/>
            <wp:wrapSquare wrapText="bothSides"/>
            <wp:docPr id="15171414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41400" name=""/>
                    <pic:cNvPicPr/>
                  </pic:nvPicPr>
                  <pic:blipFill>
                    <a:blip r:embed="rId10">
                      <a:extLst>
                        <a:ext uri="{28A0092B-C50C-407E-A947-70E740481C1C}">
                          <a14:useLocalDpi xmlns:a14="http://schemas.microsoft.com/office/drawing/2010/main" val="0"/>
                        </a:ext>
                      </a:extLst>
                    </a:blip>
                    <a:stretch>
                      <a:fillRect/>
                    </a:stretch>
                  </pic:blipFill>
                  <pic:spPr>
                    <a:xfrm>
                      <a:off x="0" y="0"/>
                      <a:ext cx="2176005" cy="692730"/>
                    </a:xfrm>
                    <a:prstGeom prst="rect">
                      <a:avLst/>
                    </a:prstGeom>
                  </pic:spPr>
                </pic:pic>
              </a:graphicData>
            </a:graphic>
            <wp14:sizeRelV relativeFrom="margin">
              <wp14:pctHeight>0</wp14:pctHeight>
            </wp14:sizeRelV>
          </wp:anchor>
        </w:drawing>
      </w:r>
      <w:r w:rsidR="00D22A2A" w:rsidRPr="006732BD">
        <w:rPr>
          <w:rFonts w:ascii="Verdana" w:eastAsia="Calibri" w:hAnsi="Verdana" w:cs="Arial"/>
          <w:lang w:val="es-ES" w:eastAsia="es-ES"/>
        </w:rPr>
        <w:t>Señor</w:t>
      </w:r>
      <w:r w:rsidR="006732BD" w:rsidRPr="006732BD">
        <w:rPr>
          <w:rFonts w:ascii="Verdana" w:eastAsia="Calibri" w:hAnsi="Verdana" w:cs="Arial"/>
          <w:lang w:val="es-ES" w:eastAsia="es-ES"/>
        </w:rPr>
        <w:t>es</w:t>
      </w:r>
    </w:p>
    <w:p w14:paraId="52EA80E3" w14:textId="77777777" w:rsidR="006732BD" w:rsidRPr="006732BD" w:rsidRDefault="006732BD" w:rsidP="00D22A2A">
      <w:pPr>
        <w:spacing w:after="0" w:line="240" w:lineRule="auto"/>
        <w:rPr>
          <w:rFonts w:ascii="Verdana" w:eastAsia="Calibri" w:hAnsi="Verdana" w:cs="Arial"/>
          <w:b/>
          <w:lang w:val="es-ES" w:eastAsia="es-ES"/>
        </w:rPr>
      </w:pPr>
      <w:r w:rsidRPr="006732BD">
        <w:rPr>
          <w:rFonts w:ascii="Verdana" w:eastAsia="Calibri" w:hAnsi="Verdana" w:cs="Arial"/>
          <w:b/>
          <w:lang w:val="es-ES" w:eastAsia="es-ES"/>
        </w:rPr>
        <w:t>HEGA S.A. E.S.P</w:t>
      </w:r>
    </w:p>
    <w:p w14:paraId="51DA46E9" w14:textId="78745D1F" w:rsidR="006732BD" w:rsidRPr="006732BD" w:rsidRDefault="006732BD" w:rsidP="00D22A2A">
      <w:pPr>
        <w:spacing w:after="0" w:line="240" w:lineRule="auto"/>
        <w:rPr>
          <w:rFonts w:ascii="Verdana" w:hAnsi="Verdana"/>
        </w:rPr>
      </w:pPr>
      <w:hyperlink r:id="rId11" w:history="1">
        <w:r w:rsidRPr="006732BD">
          <w:rPr>
            <w:rStyle w:val="Hipervnculo"/>
            <w:rFonts w:ascii="Verdana" w:hAnsi="Verdana"/>
          </w:rPr>
          <w:t>notificaciones.hegasa@gmail.com</w:t>
        </w:r>
      </w:hyperlink>
    </w:p>
    <w:p w14:paraId="39D4BF2C" w14:textId="74C8842F" w:rsidR="00D22A2A" w:rsidRPr="006732BD" w:rsidRDefault="006732BD" w:rsidP="00D22A2A">
      <w:pPr>
        <w:spacing w:after="0" w:line="240" w:lineRule="auto"/>
        <w:rPr>
          <w:rFonts w:ascii="Verdana" w:eastAsia="Calibri" w:hAnsi="Verdana" w:cs="Arial"/>
          <w:b/>
          <w:bCs/>
          <w:color w:val="000000"/>
          <w:highlight w:val="red"/>
          <w:lang w:val="es-ES_tradnl" w:eastAsia="es-ES_tradnl"/>
        </w:rPr>
      </w:pPr>
      <w:r w:rsidRPr="006732BD">
        <w:rPr>
          <w:rFonts w:ascii="Verdana" w:eastAsia="Calibri" w:hAnsi="Verdana" w:cs="Arial"/>
          <w:lang w:val="es-ES" w:eastAsia="es-ES"/>
        </w:rPr>
        <w:t xml:space="preserve">Bucaramanga, Santander </w:t>
      </w:r>
    </w:p>
    <w:p w14:paraId="31B6C2C4" w14:textId="77777777" w:rsidR="00D22A2A" w:rsidRPr="00AC61E0" w:rsidRDefault="00D22A2A" w:rsidP="00D22A2A">
      <w:pPr>
        <w:spacing w:after="0" w:line="240" w:lineRule="auto"/>
        <w:rPr>
          <w:rFonts w:ascii="Verdana" w:eastAsia="Calibri" w:hAnsi="Verdana" w:cs="Arial"/>
          <w:b/>
          <w:bCs/>
          <w:color w:val="000000"/>
          <w:highlight w:val="red"/>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22A2A" w:rsidRPr="00392407" w14:paraId="3A11D3C3" w14:textId="77777777" w:rsidTr="0066501B">
        <w:trPr>
          <w:trHeight w:val="218"/>
        </w:trPr>
        <w:tc>
          <w:tcPr>
            <w:tcW w:w="2689" w:type="dxa"/>
          </w:tcPr>
          <w:p w14:paraId="4B5AB37E" w14:textId="77777777" w:rsidR="00D22A2A" w:rsidRPr="00392407" w:rsidRDefault="00D22A2A" w:rsidP="0066501B">
            <w:pPr>
              <w:spacing w:line="240" w:lineRule="auto"/>
              <w:jc w:val="both"/>
              <w:rPr>
                <w:rFonts w:ascii="Verdana" w:eastAsia="Calibri" w:hAnsi="Verdana" w:cs="Arial"/>
                <w:b/>
                <w:bCs/>
                <w:color w:val="7030A0"/>
                <w:lang w:val="es-ES_tradnl" w:eastAsia="es-ES_tradnl"/>
              </w:rPr>
            </w:pPr>
          </w:p>
        </w:tc>
        <w:tc>
          <w:tcPr>
            <w:tcW w:w="6100" w:type="dxa"/>
            <w:hideMark/>
          </w:tcPr>
          <w:p w14:paraId="71A4BDE4" w14:textId="4B348CA4" w:rsidR="00D22A2A" w:rsidRPr="00392407" w:rsidRDefault="00D22A2A" w:rsidP="0066501B">
            <w:pPr>
              <w:spacing w:line="240" w:lineRule="auto"/>
              <w:jc w:val="both"/>
              <w:rPr>
                <w:rFonts w:ascii="Verdana" w:eastAsia="Calibri" w:hAnsi="Verdana" w:cs="Arial"/>
                <w:b/>
                <w:bCs/>
                <w:lang w:val="es-ES" w:eastAsia="es-ES"/>
              </w:rPr>
            </w:pPr>
            <w:r w:rsidRPr="00392407">
              <w:rPr>
                <w:rFonts w:ascii="Verdana" w:eastAsia="Calibri" w:hAnsi="Verdana" w:cs="Arial"/>
                <w:b/>
                <w:bCs/>
                <w:lang w:val="es-ES" w:eastAsia="es-ES"/>
              </w:rPr>
              <w:t xml:space="preserve">Concepto </w:t>
            </w:r>
            <w:r w:rsidR="00392407" w:rsidRPr="00392407">
              <w:rPr>
                <w:rFonts w:ascii="Verdana" w:eastAsia="Calibri" w:hAnsi="Verdana" w:cs="Arial"/>
                <w:b/>
                <w:bCs/>
                <w:lang w:val="es-ES" w:eastAsia="es-ES"/>
              </w:rPr>
              <w:t>C-861</w:t>
            </w:r>
            <w:r w:rsidR="00555B17">
              <w:rPr>
                <w:rFonts w:ascii="Verdana" w:eastAsia="Calibri" w:hAnsi="Verdana" w:cs="Arial"/>
                <w:b/>
                <w:bCs/>
                <w:lang w:val="es-ES" w:eastAsia="es-ES"/>
              </w:rPr>
              <w:t xml:space="preserve"> </w:t>
            </w:r>
            <w:r w:rsidRPr="00392407">
              <w:rPr>
                <w:rFonts w:ascii="Verdana" w:eastAsia="Calibri" w:hAnsi="Verdana" w:cs="Arial"/>
                <w:b/>
                <w:bCs/>
                <w:lang w:val="es-ES" w:eastAsia="es-ES"/>
              </w:rPr>
              <w:t>de 2025</w:t>
            </w:r>
          </w:p>
          <w:p w14:paraId="5815BADA" w14:textId="77777777" w:rsidR="00D22A2A" w:rsidRPr="00392407" w:rsidRDefault="00D22A2A" w:rsidP="0066501B">
            <w:pPr>
              <w:spacing w:line="240" w:lineRule="auto"/>
              <w:jc w:val="both"/>
              <w:rPr>
                <w:rFonts w:ascii="Verdana" w:eastAsia="Calibri" w:hAnsi="Verdana" w:cs="Arial"/>
                <w:b/>
                <w:bCs/>
                <w:lang w:val="es-ES" w:eastAsia="es-ES"/>
              </w:rPr>
            </w:pPr>
          </w:p>
          <w:p w14:paraId="54AE341B" w14:textId="77777777" w:rsidR="00D22A2A" w:rsidRPr="00392407" w:rsidRDefault="00D22A2A" w:rsidP="0066501B">
            <w:pPr>
              <w:spacing w:line="240" w:lineRule="auto"/>
              <w:jc w:val="both"/>
              <w:rPr>
                <w:rFonts w:ascii="Verdana" w:eastAsia="Calibri" w:hAnsi="Verdana" w:cs="Arial"/>
                <w:b/>
                <w:bCs/>
                <w:lang w:val="es-ES" w:eastAsia="es-ES"/>
              </w:rPr>
            </w:pPr>
          </w:p>
        </w:tc>
      </w:tr>
      <w:tr w:rsidR="00D22A2A" w:rsidRPr="00392407" w14:paraId="12AAD40F" w14:textId="77777777" w:rsidTr="0066501B">
        <w:trPr>
          <w:trHeight w:val="884"/>
        </w:trPr>
        <w:tc>
          <w:tcPr>
            <w:tcW w:w="2689" w:type="dxa"/>
            <w:hideMark/>
          </w:tcPr>
          <w:p w14:paraId="58F5C584" w14:textId="77777777" w:rsidR="00D22A2A" w:rsidRPr="00392407" w:rsidRDefault="00D22A2A" w:rsidP="0066501B">
            <w:pPr>
              <w:spacing w:line="240" w:lineRule="auto"/>
              <w:jc w:val="both"/>
              <w:rPr>
                <w:rFonts w:ascii="Verdana" w:eastAsia="Calibri" w:hAnsi="Verdana" w:cs="Arial"/>
                <w:color w:val="000000"/>
                <w:lang w:val="es-ES_tradnl" w:eastAsia="es-ES_tradnl"/>
              </w:rPr>
            </w:pPr>
            <w:r w:rsidRPr="00392407">
              <w:rPr>
                <w:rFonts w:ascii="Verdana" w:eastAsia="Calibri" w:hAnsi="Verdana" w:cs="Arial"/>
                <w:b/>
                <w:color w:val="000000"/>
                <w:lang w:val="es-ES_tradnl" w:eastAsia="es-ES_tradnl"/>
              </w:rPr>
              <w:t>Temas:</w:t>
            </w:r>
            <w:r w:rsidRPr="00392407">
              <w:rPr>
                <w:rFonts w:ascii="Verdana" w:eastAsia="Calibri" w:hAnsi="Verdana" w:cs="Arial"/>
                <w:color w:val="000000"/>
                <w:lang w:val="es-ES_tradnl" w:eastAsia="es-ES_tradnl"/>
              </w:rPr>
              <w:t xml:space="preserve">                   </w:t>
            </w:r>
          </w:p>
        </w:tc>
        <w:tc>
          <w:tcPr>
            <w:tcW w:w="6100" w:type="dxa"/>
            <w:hideMark/>
          </w:tcPr>
          <w:p w14:paraId="67A74572" w14:textId="79DA4888" w:rsidR="00D22A2A" w:rsidRPr="00392407" w:rsidRDefault="00D22A2A" w:rsidP="0066501B">
            <w:pPr>
              <w:spacing w:line="240" w:lineRule="auto"/>
              <w:jc w:val="both"/>
              <w:rPr>
                <w:rFonts w:ascii="Verdana" w:hAnsi="Verdana" w:cs="Arial"/>
                <w:bCs/>
                <w:color w:val="000000" w:themeColor="text1"/>
                <w:lang w:val="es-ES_tradnl"/>
              </w:rPr>
            </w:pPr>
            <w:r w:rsidRPr="00392407">
              <w:rPr>
                <w:rFonts w:ascii="Verdana" w:hAnsi="Verdana" w:cs="Arial"/>
                <w:bCs/>
                <w:color w:val="000000" w:themeColor="text1"/>
                <w:lang w:val="es-ES_tradnl"/>
              </w:rPr>
              <w:t xml:space="preserve">CONTRATO DE COMODATO – Régimen jurídico aplicable / </w:t>
            </w:r>
            <w:r w:rsidR="00555B17" w:rsidRPr="00555B17">
              <w:rPr>
                <w:rFonts w:ascii="Verdana" w:hAnsi="Verdana" w:cs="Arial"/>
                <w:bCs/>
                <w:color w:val="000000" w:themeColor="text1"/>
                <w:lang w:val="es-ES_tradnl"/>
              </w:rPr>
              <w:t>LEY DE GARANTIAS ELECTORALES – Restricciones</w:t>
            </w:r>
            <w:r w:rsidR="00B834D9">
              <w:rPr>
                <w:rFonts w:ascii="Verdana" w:hAnsi="Verdana" w:cs="Arial"/>
                <w:bCs/>
                <w:color w:val="000000" w:themeColor="text1"/>
                <w:lang w:val="es-ES_tradnl"/>
              </w:rPr>
              <w:t xml:space="preserve"> / </w:t>
            </w:r>
            <w:r w:rsidR="00B834D9" w:rsidRPr="00B834D9">
              <w:rPr>
                <w:rFonts w:ascii="Verdana" w:hAnsi="Verdana" w:cs="Arial"/>
                <w:bCs/>
                <w:color w:val="000000" w:themeColor="text1"/>
                <w:lang w:val="es-ES_tradnl"/>
              </w:rPr>
              <w:t xml:space="preserve">CONTRATO DE COMODATO – Restricción – Entidades estatales </w:t>
            </w:r>
            <w:r w:rsidR="007157DD" w:rsidRPr="007157DD">
              <w:rPr>
                <w:rFonts w:ascii="Verdana" w:hAnsi="Verdana" w:cs="Arial"/>
                <w:b/>
                <w:bCs/>
                <w:color w:val="000000" w:themeColor="text1"/>
                <w:lang w:val="es-ES"/>
              </w:rPr>
              <w:t>–</w:t>
            </w:r>
            <w:r w:rsidR="00B834D9" w:rsidRPr="00B834D9">
              <w:rPr>
                <w:rFonts w:ascii="Verdana" w:hAnsi="Verdana" w:cs="Arial"/>
                <w:bCs/>
                <w:color w:val="000000" w:themeColor="text1"/>
                <w:lang w:val="es-ES_tradnl"/>
              </w:rPr>
              <w:t xml:space="preserve"> Sociedad Anónima</w:t>
            </w:r>
          </w:p>
          <w:p w14:paraId="17202738" w14:textId="77777777" w:rsidR="00D22A2A" w:rsidRPr="00392407" w:rsidRDefault="00D22A2A" w:rsidP="0066501B">
            <w:pPr>
              <w:spacing w:line="240" w:lineRule="auto"/>
              <w:jc w:val="both"/>
              <w:rPr>
                <w:rFonts w:ascii="Verdana" w:hAnsi="Verdana" w:cs="Arial"/>
                <w:bCs/>
                <w:color w:val="000000" w:themeColor="text1"/>
                <w:lang w:val="es-ES_tradnl"/>
              </w:rPr>
            </w:pPr>
          </w:p>
          <w:p w14:paraId="478D4C09" w14:textId="77777777" w:rsidR="00D22A2A" w:rsidRPr="00392407" w:rsidRDefault="00D22A2A" w:rsidP="0066501B">
            <w:pPr>
              <w:spacing w:line="240" w:lineRule="auto"/>
              <w:jc w:val="both"/>
              <w:rPr>
                <w:rFonts w:ascii="Verdana" w:eastAsia="Calibri" w:hAnsi="Verdana" w:cs="Arial"/>
                <w:lang w:val="es-ES" w:eastAsia="es-ES"/>
              </w:rPr>
            </w:pPr>
          </w:p>
        </w:tc>
      </w:tr>
      <w:tr w:rsidR="00D22A2A" w:rsidRPr="00392407" w14:paraId="0311D489" w14:textId="77777777" w:rsidTr="0066501B">
        <w:tc>
          <w:tcPr>
            <w:tcW w:w="2689" w:type="dxa"/>
            <w:hideMark/>
          </w:tcPr>
          <w:p w14:paraId="3E95EE4F" w14:textId="77777777" w:rsidR="00D22A2A" w:rsidRPr="00392407" w:rsidRDefault="00D22A2A" w:rsidP="0066501B">
            <w:pPr>
              <w:spacing w:line="240" w:lineRule="auto"/>
              <w:jc w:val="both"/>
              <w:rPr>
                <w:rFonts w:ascii="Verdana" w:eastAsia="Calibri" w:hAnsi="Verdana" w:cs="Arial"/>
                <w:b/>
                <w:color w:val="7030A0"/>
                <w:lang w:val="es-ES_tradnl" w:eastAsia="es-ES_tradnl"/>
              </w:rPr>
            </w:pPr>
            <w:r w:rsidRPr="00392407">
              <w:rPr>
                <w:rFonts w:ascii="Verdana" w:eastAsia="Calibri" w:hAnsi="Verdana" w:cs="Arial"/>
                <w:b/>
                <w:lang w:val="es-ES_tradnl" w:eastAsia="es-ES_tradnl"/>
              </w:rPr>
              <w:t>Radicación:</w:t>
            </w:r>
            <w:r w:rsidRPr="00392407">
              <w:rPr>
                <w:rFonts w:ascii="Verdana" w:eastAsia="Calibri" w:hAnsi="Verdana" w:cs="Arial"/>
                <w:lang w:val="es-ES_tradnl" w:eastAsia="es-ES_tradnl"/>
              </w:rPr>
              <w:t xml:space="preserve">               </w:t>
            </w:r>
          </w:p>
        </w:tc>
        <w:tc>
          <w:tcPr>
            <w:tcW w:w="6100" w:type="dxa"/>
          </w:tcPr>
          <w:p w14:paraId="18E422A5" w14:textId="48193851" w:rsidR="00D22A2A" w:rsidRPr="00392407" w:rsidRDefault="00D22A2A" w:rsidP="0066501B">
            <w:pPr>
              <w:spacing w:line="240" w:lineRule="auto"/>
              <w:jc w:val="both"/>
              <w:rPr>
                <w:rFonts w:ascii="Verdana" w:eastAsia="Calibri" w:hAnsi="Verdana" w:cs="Arial"/>
                <w:lang w:val="es-ES_tradnl" w:eastAsia="es-ES_tradnl"/>
              </w:rPr>
            </w:pPr>
            <w:r w:rsidRPr="00392407">
              <w:rPr>
                <w:rFonts w:ascii="Verdana" w:eastAsia="Calibri" w:hAnsi="Verdana" w:cs="Arial"/>
                <w:lang w:val="es-ES_tradnl" w:eastAsia="es-ES_tradnl"/>
              </w:rPr>
              <w:t xml:space="preserve">Respuesta a consulta con radicado No. </w:t>
            </w:r>
            <w:r w:rsidR="00392407" w:rsidRPr="00392407">
              <w:rPr>
                <w:rFonts w:ascii="Verdana" w:eastAsia="Calibri" w:hAnsi="Verdana" w:cs="Arial"/>
                <w:lang w:val="es-ES_tradnl" w:eastAsia="es-ES_tradnl"/>
              </w:rPr>
              <w:t>1_2026_05_22_006934</w:t>
            </w:r>
          </w:p>
        </w:tc>
      </w:tr>
    </w:tbl>
    <w:p w14:paraId="5E132EE9" w14:textId="77777777" w:rsidR="00D22A2A" w:rsidRDefault="00D22A2A" w:rsidP="00597009">
      <w:pPr>
        <w:spacing w:after="0" w:line="276" w:lineRule="auto"/>
        <w:jc w:val="both"/>
        <w:rPr>
          <w:rFonts w:ascii="Verdana" w:eastAsia="Calibri" w:hAnsi="Verdana" w:cs="Arial"/>
          <w:color w:val="000000"/>
          <w:lang w:val="es-ES_tradnl" w:eastAsia="es-ES_tradnl"/>
        </w:rPr>
      </w:pPr>
    </w:p>
    <w:p w14:paraId="20FB81C2" w14:textId="77777777" w:rsidR="00D22A2A" w:rsidRDefault="00D22A2A" w:rsidP="00597009">
      <w:pPr>
        <w:spacing w:after="0" w:line="276" w:lineRule="auto"/>
        <w:jc w:val="both"/>
        <w:rPr>
          <w:rFonts w:ascii="Verdana" w:eastAsia="Calibri" w:hAnsi="Verdana" w:cs="Arial"/>
          <w:color w:val="000000"/>
          <w:lang w:val="es-ES_tradnl" w:eastAsia="es-ES_tradnl"/>
        </w:rPr>
      </w:pPr>
    </w:p>
    <w:p w14:paraId="6BADA32D" w14:textId="2095664C" w:rsidR="00D22A2A" w:rsidRDefault="007157DD" w:rsidP="00D22A2A">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Estimados señores</w:t>
      </w:r>
      <w:r w:rsidR="00392407">
        <w:rPr>
          <w:rFonts w:ascii="Verdana" w:eastAsia="Calibri" w:hAnsi="Verdana" w:cs="Arial"/>
          <w:color w:val="000000" w:themeColor="text1"/>
          <w:lang w:val="es-ES" w:eastAsia="es-ES"/>
        </w:rPr>
        <w:t xml:space="preserve"> </w:t>
      </w:r>
      <w:r w:rsidR="00392407" w:rsidRPr="00392407">
        <w:rPr>
          <w:rFonts w:ascii="Verdana" w:eastAsia="Calibri" w:hAnsi="Verdana" w:cs="Arial"/>
          <w:color w:val="000000" w:themeColor="text1"/>
          <w:lang w:val="es-ES" w:eastAsia="es-ES"/>
        </w:rPr>
        <w:t>HEGA S.A. E.S.P</w:t>
      </w:r>
      <w:r w:rsidR="00392407">
        <w:rPr>
          <w:rFonts w:ascii="Verdana" w:eastAsia="Calibri" w:hAnsi="Verdana" w:cs="Arial"/>
          <w:color w:val="000000" w:themeColor="text1"/>
          <w:lang w:val="es-ES" w:eastAsia="es-ES"/>
        </w:rPr>
        <w:t xml:space="preserve">: </w:t>
      </w:r>
    </w:p>
    <w:p w14:paraId="7F59DBEC" w14:textId="77777777" w:rsidR="00D22A2A" w:rsidRDefault="00D22A2A" w:rsidP="00D22A2A">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556E033" w14:textId="71CDFB93" w:rsidR="00D22A2A" w:rsidRDefault="00D22A2A" w:rsidP="00D22A2A">
      <w:pPr>
        <w:spacing w:after="0" w:line="276" w:lineRule="auto"/>
        <w:jc w:val="both"/>
        <w:rPr>
          <w:rFonts w:ascii="Verdana" w:eastAsia="Calibri" w:hAnsi="Verdana" w:cs="Arial"/>
          <w:color w:val="7030A0"/>
          <w:lang w:val="es-ES" w:eastAsia="es-ES"/>
        </w:rPr>
      </w:pPr>
      <w:r>
        <w:rPr>
          <w:rFonts w:ascii="Verdana" w:eastAsia="Calibri" w:hAnsi="Verdana" w:cs="Arial"/>
          <w:color w:val="000000" w:themeColor="text1"/>
          <w:lang w:val="es-ES" w:eastAsia="es-ES"/>
        </w:rPr>
        <w:t>En ejercicio de la competencia otorgada por los artículos 3, numeral 5º, y 11, numeral 8º, del Decreto Ley 4170 de 2011,</w:t>
      </w:r>
      <w:r>
        <w:rPr>
          <w:rFonts w:ascii="Verdana" w:eastAsia="Arial MT" w:hAnsi="Verdana" w:cs="Arial MT"/>
          <w:lang w:val="es-ES" w:eastAsia="es-ES"/>
        </w:rPr>
        <w:t xml:space="preserve"> </w:t>
      </w:r>
      <w:r>
        <w:rPr>
          <w:rFonts w:ascii="Verdana" w:hAnsi="Verdana" w:cs="Arial"/>
        </w:rPr>
        <w:t xml:space="preserve">así como lo establecido en el artículo 4 de la Resolución 1707 de 2018 expedida por esta Entidad, </w:t>
      </w:r>
      <w:r>
        <w:rPr>
          <w:rFonts w:ascii="Verdana" w:eastAsia="Calibri" w:hAnsi="Verdana" w:cs="Arial"/>
          <w:lang w:val="es-ES" w:eastAsia="es-ES"/>
        </w:rPr>
        <w:t xml:space="preserve">la Agencia Nacional de Contratación Pública – Colombia Compra Eficiente– responde su solicitud de consulta remitida por el Departamento Administrativo de la Función </w:t>
      </w:r>
      <w:r w:rsidRPr="00392407">
        <w:rPr>
          <w:rFonts w:ascii="Verdana" w:eastAsia="Calibri" w:hAnsi="Verdana" w:cs="Arial"/>
          <w:lang w:val="es-ES" w:eastAsia="es-ES"/>
        </w:rPr>
        <w:t xml:space="preserve">Pública el </w:t>
      </w:r>
      <w:r w:rsidR="00392407" w:rsidRPr="00392407">
        <w:rPr>
          <w:rFonts w:ascii="Verdana" w:eastAsia="Calibri" w:hAnsi="Verdana" w:cs="Arial"/>
          <w:lang w:val="es-ES" w:eastAsia="es-ES"/>
        </w:rPr>
        <w:t>22 de</w:t>
      </w:r>
      <w:r w:rsidRPr="00392407">
        <w:rPr>
          <w:rFonts w:ascii="Verdana" w:eastAsia="Calibri" w:hAnsi="Verdana" w:cs="Arial"/>
          <w:lang w:val="es-ES" w:eastAsia="es-ES"/>
        </w:rPr>
        <w:t xml:space="preserve"> </w:t>
      </w:r>
      <w:r w:rsidR="00392407" w:rsidRPr="00392407">
        <w:rPr>
          <w:rFonts w:ascii="Verdana" w:eastAsia="Calibri" w:hAnsi="Verdana" w:cs="Arial"/>
          <w:lang w:val="es-ES" w:eastAsia="es-ES"/>
        </w:rPr>
        <w:t>mayo</w:t>
      </w:r>
      <w:r w:rsidRPr="00392407">
        <w:rPr>
          <w:rFonts w:ascii="Verdana" w:eastAsia="Calibri" w:hAnsi="Verdana" w:cs="Arial"/>
          <w:lang w:val="es-ES" w:eastAsia="es-ES"/>
        </w:rPr>
        <w:t xml:space="preserve"> de 202</w:t>
      </w:r>
      <w:r w:rsidR="00392407" w:rsidRPr="00392407">
        <w:rPr>
          <w:rFonts w:ascii="Verdana" w:eastAsia="Calibri" w:hAnsi="Verdana" w:cs="Arial"/>
          <w:lang w:val="es-ES" w:eastAsia="es-ES"/>
        </w:rPr>
        <w:t>6</w:t>
      </w:r>
      <w:r w:rsidRPr="00392407">
        <w:rPr>
          <w:rFonts w:ascii="Verdana" w:eastAsia="Calibri" w:hAnsi="Verdana" w:cs="Arial"/>
          <w:lang w:val="es-ES" w:eastAsia="es-ES"/>
        </w:rPr>
        <w:t>, en la cual manifiesta lo siguiente:</w:t>
      </w:r>
      <w:r>
        <w:rPr>
          <w:rFonts w:ascii="Verdana" w:eastAsia="Calibri" w:hAnsi="Verdana" w:cs="Arial"/>
          <w:lang w:val="es-ES" w:eastAsia="es-ES"/>
        </w:rPr>
        <w:t xml:space="preserve"> </w:t>
      </w:r>
    </w:p>
    <w:p w14:paraId="60E3DAEB" w14:textId="77777777" w:rsidR="00D22A2A" w:rsidRDefault="00D22A2A" w:rsidP="00D22A2A">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1989DBAF" w14:textId="2DD072F8" w:rsidR="00AC61E0" w:rsidRPr="00AC61E0" w:rsidRDefault="00D22A2A" w:rsidP="00AC61E0">
      <w:pPr>
        <w:autoSpaceDE w:val="0"/>
        <w:autoSpaceDN w:val="0"/>
        <w:adjustRightInd w:val="0"/>
        <w:spacing w:after="0" w:line="240" w:lineRule="auto"/>
        <w:ind w:left="709" w:right="709"/>
        <w:jc w:val="both"/>
        <w:rPr>
          <w:rFonts w:ascii="Verdana" w:hAnsi="Verdana" w:cs="ArialMT"/>
          <w:sz w:val="20"/>
          <w:szCs w:val="20"/>
        </w:rPr>
      </w:pPr>
      <w:r>
        <w:rPr>
          <w:rFonts w:ascii="Verdana" w:hAnsi="Verdana" w:cs="ArialMT"/>
          <w:sz w:val="20"/>
          <w:szCs w:val="20"/>
        </w:rPr>
        <w:t>“</w:t>
      </w:r>
      <w:r w:rsidR="00AC61E0" w:rsidRPr="00AC61E0">
        <w:rPr>
          <w:rFonts w:ascii="Verdana" w:hAnsi="Verdana" w:cs="ArialMT"/>
          <w:sz w:val="20"/>
          <w:szCs w:val="20"/>
        </w:rPr>
        <w:t>PRIMERO. Se sirva emitir concepto jurídico en relación con la viabilidad de que un</w:t>
      </w:r>
      <w:r w:rsidR="00AC61E0">
        <w:rPr>
          <w:rFonts w:ascii="Verdana" w:hAnsi="Verdana" w:cs="ArialMT"/>
          <w:sz w:val="20"/>
          <w:szCs w:val="20"/>
        </w:rPr>
        <w:t xml:space="preserve"> </w:t>
      </w:r>
      <w:r w:rsidR="00AC61E0" w:rsidRPr="00AC61E0">
        <w:rPr>
          <w:rFonts w:ascii="Verdana" w:hAnsi="Verdana" w:cs="ArialMT"/>
          <w:sz w:val="20"/>
          <w:szCs w:val="20"/>
        </w:rPr>
        <w:t>municipio celebre un contrato de comodato con una empresa de servicios públicos</w:t>
      </w:r>
      <w:r w:rsidR="00AC61E0">
        <w:rPr>
          <w:rFonts w:ascii="Verdana" w:hAnsi="Verdana" w:cs="ArialMT"/>
          <w:sz w:val="20"/>
          <w:szCs w:val="20"/>
        </w:rPr>
        <w:t xml:space="preserve"> </w:t>
      </w:r>
      <w:r w:rsidR="00AC61E0" w:rsidRPr="00AC61E0">
        <w:rPr>
          <w:rFonts w:ascii="Verdana" w:hAnsi="Verdana" w:cs="ArialMT"/>
          <w:sz w:val="20"/>
          <w:szCs w:val="20"/>
        </w:rPr>
        <w:t>domiciliarios de naturaleza privada, durante la vigencia de la Ley de Garantías</w:t>
      </w:r>
      <w:r w:rsidR="00AC61E0">
        <w:rPr>
          <w:rFonts w:ascii="Verdana" w:hAnsi="Verdana" w:cs="ArialMT"/>
          <w:sz w:val="20"/>
          <w:szCs w:val="20"/>
        </w:rPr>
        <w:t xml:space="preserve"> </w:t>
      </w:r>
      <w:r w:rsidR="00AC61E0" w:rsidRPr="00AC61E0">
        <w:rPr>
          <w:rFonts w:ascii="Verdana" w:hAnsi="Verdana" w:cs="ArialMT"/>
          <w:sz w:val="20"/>
          <w:szCs w:val="20"/>
        </w:rPr>
        <w:t>Electorales.</w:t>
      </w:r>
    </w:p>
    <w:p w14:paraId="7D5AE026" w14:textId="4FBBA08D" w:rsidR="00AC61E0" w:rsidRPr="00AC61E0" w:rsidRDefault="00AC61E0" w:rsidP="00AC61E0">
      <w:pPr>
        <w:autoSpaceDE w:val="0"/>
        <w:autoSpaceDN w:val="0"/>
        <w:adjustRightInd w:val="0"/>
        <w:spacing w:after="0" w:line="240" w:lineRule="auto"/>
        <w:ind w:left="709" w:right="709"/>
        <w:jc w:val="both"/>
        <w:rPr>
          <w:rFonts w:ascii="Verdana" w:hAnsi="Verdana" w:cs="ArialMT"/>
          <w:sz w:val="20"/>
          <w:szCs w:val="20"/>
        </w:rPr>
      </w:pPr>
      <w:r w:rsidRPr="00AC61E0">
        <w:rPr>
          <w:rFonts w:ascii="Verdana" w:hAnsi="Verdana" w:cs="ArialMT"/>
          <w:sz w:val="20"/>
          <w:szCs w:val="20"/>
        </w:rPr>
        <w:t>SEGUNDO. Se indique si la naturaleza gratuita del contrato de comodato y su</w:t>
      </w:r>
      <w:r>
        <w:rPr>
          <w:rFonts w:ascii="Verdana" w:hAnsi="Verdana" w:cs="ArialMT"/>
          <w:sz w:val="20"/>
          <w:szCs w:val="20"/>
        </w:rPr>
        <w:t xml:space="preserve"> </w:t>
      </w:r>
      <w:r w:rsidRPr="00AC61E0">
        <w:rPr>
          <w:rFonts w:ascii="Verdana" w:hAnsi="Verdana" w:cs="ArialMT"/>
          <w:sz w:val="20"/>
          <w:szCs w:val="20"/>
        </w:rPr>
        <w:t>destinación exclusiva a la prestación de un servicio público esencial constituyen una</w:t>
      </w:r>
      <w:r>
        <w:rPr>
          <w:rFonts w:ascii="Verdana" w:hAnsi="Verdana" w:cs="ArialMT"/>
          <w:sz w:val="20"/>
          <w:szCs w:val="20"/>
        </w:rPr>
        <w:t xml:space="preserve"> </w:t>
      </w:r>
      <w:r w:rsidRPr="00AC61E0">
        <w:rPr>
          <w:rFonts w:ascii="Verdana" w:hAnsi="Verdana" w:cs="ArialMT"/>
          <w:sz w:val="20"/>
          <w:szCs w:val="20"/>
        </w:rPr>
        <w:t>excepción o circunstancia que permita su celebración dentro de las restricciones</w:t>
      </w:r>
      <w:r>
        <w:rPr>
          <w:rFonts w:ascii="Verdana" w:hAnsi="Verdana" w:cs="ArialMT"/>
          <w:sz w:val="20"/>
          <w:szCs w:val="20"/>
        </w:rPr>
        <w:t xml:space="preserve"> </w:t>
      </w:r>
      <w:r w:rsidRPr="00AC61E0">
        <w:rPr>
          <w:rFonts w:ascii="Verdana" w:hAnsi="Verdana" w:cs="ArialMT"/>
          <w:sz w:val="20"/>
          <w:szCs w:val="20"/>
        </w:rPr>
        <w:t>legales vigentes.</w:t>
      </w:r>
    </w:p>
    <w:p w14:paraId="1E4008CD" w14:textId="77777777" w:rsidR="00AC61E0" w:rsidRDefault="00AC61E0" w:rsidP="00AC61E0">
      <w:pPr>
        <w:autoSpaceDE w:val="0"/>
        <w:autoSpaceDN w:val="0"/>
        <w:adjustRightInd w:val="0"/>
        <w:spacing w:after="0" w:line="240" w:lineRule="auto"/>
        <w:ind w:left="709" w:right="709"/>
        <w:jc w:val="both"/>
        <w:rPr>
          <w:rFonts w:ascii="Verdana" w:hAnsi="Verdana" w:cs="ArialMT"/>
          <w:sz w:val="20"/>
          <w:szCs w:val="20"/>
        </w:rPr>
      </w:pPr>
      <w:r w:rsidRPr="00AC61E0">
        <w:rPr>
          <w:rFonts w:ascii="Verdana" w:hAnsi="Verdana" w:cs="ArialMT"/>
          <w:sz w:val="20"/>
          <w:szCs w:val="20"/>
        </w:rPr>
        <w:t>TERCERO. Se precise si la condición de HEGA S.A. E.S.P. como empresa prestadora</w:t>
      </w:r>
      <w:r>
        <w:rPr>
          <w:rFonts w:ascii="Verdana" w:hAnsi="Verdana" w:cs="ArialMT"/>
          <w:sz w:val="20"/>
          <w:szCs w:val="20"/>
        </w:rPr>
        <w:t xml:space="preserve"> </w:t>
      </w:r>
      <w:r w:rsidRPr="00AC61E0">
        <w:rPr>
          <w:rFonts w:ascii="Verdana" w:hAnsi="Verdana" w:cs="ArialMT"/>
          <w:sz w:val="20"/>
          <w:szCs w:val="20"/>
        </w:rPr>
        <w:t>de servicios públicos domiciliarios incide en la interpretación de las limitaciones</w:t>
      </w:r>
      <w:r>
        <w:rPr>
          <w:rFonts w:ascii="Verdana" w:hAnsi="Verdana" w:cs="ArialMT"/>
          <w:sz w:val="20"/>
          <w:szCs w:val="20"/>
        </w:rPr>
        <w:t xml:space="preserve"> </w:t>
      </w:r>
      <w:r w:rsidRPr="00AC61E0">
        <w:rPr>
          <w:rFonts w:ascii="Verdana" w:hAnsi="Verdana" w:cs="ArialMT"/>
          <w:sz w:val="20"/>
          <w:szCs w:val="20"/>
        </w:rPr>
        <w:t>establecidas en la Ley de Garantías, particularmente en lo relacionado con la</w:t>
      </w:r>
      <w:r>
        <w:rPr>
          <w:rFonts w:ascii="Verdana" w:hAnsi="Verdana" w:cs="ArialMT"/>
          <w:sz w:val="20"/>
          <w:szCs w:val="20"/>
        </w:rPr>
        <w:t xml:space="preserve"> </w:t>
      </w:r>
      <w:r w:rsidRPr="00AC61E0">
        <w:rPr>
          <w:rFonts w:ascii="Verdana" w:hAnsi="Verdana" w:cs="ArialMT"/>
          <w:sz w:val="20"/>
          <w:szCs w:val="20"/>
        </w:rPr>
        <w:t>celebración de contratos con entidades territoriales.</w:t>
      </w:r>
    </w:p>
    <w:p w14:paraId="581D9A1C" w14:textId="57A634AF" w:rsidR="00D22A2A" w:rsidRDefault="00AC61E0" w:rsidP="00AC61E0">
      <w:pPr>
        <w:autoSpaceDE w:val="0"/>
        <w:autoSpaceDN w:val="0"/>
        <w:adjustRightInd w:val="0"/>
        <w:spacing w:after="0" w:line="240" w:lineRule="auto"/>
        <w:ind w:left="709" w:right="709"/>
        <w:jc w:val="both"/>
        <w:rPr>
          <w:rFonts w:ascii="Verdana" w:hAnsi="Verdana" w:cs="ArialMT"/>
          <w:sz w:val="20"/>
          <w:szCs w:val="20"/>
        </w:rPr>
      </w:pPr>
      <w:r w:rsidRPr="00AC61E0">
        <w:rPr>
          <w:rFonts w:ascii="Verdana" w:hAnsi="Verdana" w:cs="ArialMT"/>
          <w:sz w:val="20"/>
          <w:szCs w:val="20"/>
        </w:rPr>
        <w:lastRenderedPageBreak/>
        <w:t>CUARTO. Se informe cuáles serían los requisitos, condiciones o salvaguardas jurídicas</w:t>
      </w:r>
      <w:r>
        <w:rPr>
          <w:rFonts w:ascii="Verdana" w:hAnsi="Verdana" w:cs="ArialMT"/>
          <w:sz w:val="20"/>
          <w:szCs w:val="20"/>
        </w:rPr>
        <w:t xml:space="preserve"> </w:t>
      </w:r>
      <w:r w:rsidRPr="00AC61E0">
        <w:rPr>
          <w:rFonts w:ascii="Verdana" w:hAnsi="Verdana" w:cs="ArialMT"/>
          <w:sz w:val="20"/>
          <w:szCs w:val="20"/>
        </w:rPr>
        <w:t>que, en caso de ser viable, deberían observarse para la suscripción del contrato de</w:t>
      </w:r>
      <w:r>
        <w:rPr>
          <w:rFonts w:ascii="Verdana" w:hAnsi="Verdana" w:cs="ArialMT"/>
          <w:sz w:val="20"/>
          <w:szCs w:val="20"/>
        </w:rPr>
        <w:t xml:space="preserve"> </w:t>
      </w:r>
      <w:r w:rsidRPr="00AC61E0">
        <w:rPr>
          <w:rFonts w:ascii="Verdana" w:hAnsi="Verdana" w:cs="ArialMT"/>
          <w:sz w:val="20"/>
          <w:szCs w:val="20"/>
        </w:rPr>
        <w:t>comodato en el contexto descrito</w:t>
      </w:r>
      <w:r w:rsidR="00D22A2A">
        <w:rPr>
          <w:rFonts w:ascii="Verdana" w:hAnsi="Verdana" w:cs="ArialMT"/>
          <w:sz w:val="20"/>
          <w:szCs w:val="20"/>
        </w:rPr>
        <w:t>”</w:t>
      </w:r>
    </w:p>
    <w:p w14:paraId="02ADF878" w14:textId="77777777" w:rsidR="00D22A2A" w:rsidRPr="00924340" w:rsidRDefault="00D22A2A" w:rsidP="00D22A2A">
      <w:pPr>
        <w:autoSpaceDE w:val="0"/>
        <w:autoSpaceDN w:val="0"/>
        <w:adjustRightInd w:val="0"/>
        <w:spacing w:after="0" w:line="276" w:lineRule="auto"/>
        <w:ind w:left="851" w:right="616"/>
        <w:jc w:val="both"/>
        <w:rPr>
          <w:rFonts w:ascii="Verdana" w:eastAsia="Century Gothic" w:hAnsi="Verdana" w:cs="Century Gothic"/>
          <w:b/>
        </w:rPr>
      </w:pPr>
    </w:p>
    <w:p w14:paraId="6721D454" w14:textId="77777777" w:rsidR="00D22A2A" w:rsidRDefault="00D22A2A" w:rsidP="00D22A2A">
      <w:pPr>
        <w:spacing w:after="120" w:line="276" w:lineRule="auto"/>
        <w:ind w:firstLine="709"/>
        <w:jc w:val="both"/>
        <w:rPr>
          <w:rFonts w:ascii="Verdana" w:eastAsia="Calibri" w:hAnsi="Verdana" w:cs="Arial"/>
          <w:color w:val="000000"/>
          <w:szCs w:val="24"/>
          <w:lang w:val="es-ES_tradnl" w:eastAsia="es-ES_tradnl"/>
        </w:rPr>
      </w:pPr>
      <w:r>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Pr>
          <w:rFonts w:ascii="Verdana" w:eastAsia="Calibri" w:hAnsi="Verdana" w:cs="Arial"/>
          <w:color w:val="000000"/>
          <w:szCs w:val="24"/>
          <w:lang w:val="es-ES_tradnl" w:eastAsia="es-ES_tradnl"/>
        </w:rPr>
        <w:tab/>
      </w:r>
    </w:p>
    <w:p w14:paraId="17DB9853" w14:textId="77777777" w:rsidR="00D22A2A" w:rsidRDefault="00D22A2A" w:rsidP="00D22A2A">
      <w:pPr>
        <w:spacing w:after="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unas consideraciones sobre las normas generales relacionadas con el</w:t>
      </w:r>
      <w:r>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Pr>
          <w:rFonts w:ascii="Verdana" w:eastAsia="Calibri" w:hAnsi="Verdana" w:cs="Arial"/>
          <w:color w:val="7030A0"/>
          <w:lang w:val="es-ES" w:eastAsia="es-ES"/>
        </w:rPr>
        <w:t xml:space="preserve"> </w:t>
      </w:r>
      <w:r>
        <w:rPr>
          <w:rFonts w:ascii="Verdana" w:eastAsia="Calibri" w:hAnsi="Verdana" w:cs="Arial"/>
          <w:color w:val="000000"/>
          <w:lang w:val="es-ES" w:eastAsia="es-ES"/>
        </w:rPr>
        <w:t xml:space="preserve">de su consulta. </w:t>
      </w:r>
    </w:p>
    <w:p w14:paraId="5E6F71A8" w14:textId="77777777" w:rsidR="00D22A2A" w:rsidRDefault="00D22A2A" w:rsidP="00D22A2A">
      <w:pPr>
        <w:spacing w:after="0" w:line="276" w:lineRule="auto"/>
        <w:ind w:firstLine="709"/>
        <w:jc w:val="both"/>
        <w:rPr>
          <w:rFonts w:ascii="Verdana" w:eastAsia="Calibri" w:hAnsi="Verdana" w:cs="Arial"/>
          <w:color w:val="000000"/>
          <w:lang w:val="es-ES" w:eastAsia="es-ES"/>
        </w:rPr>
      </w:pPr>
    </w:p>
    <w:p w14:paraId="74681B23" w14:textId="77777777" w:rsidR="00D22A2A" w:rsidRDefault="00D22A2A" w:rsidP="00D22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Problema planteado:</w:t>
      </w:r>
    </w:p>
    <w:p w14:paraId="58E5F723" w14:textId="77777777" w:rsidR="00D22A2A" w:rsidRDefault="00D22A2A" w:rsidP="00D22A2A">
      <w:pPr>
        <w:tabs>
          <w:tab w:val="left" w:pos="426"/>
        </w:tabs>
        <w:spacing w:after="0" w:line="276" w:lineRule="auto"/>
        <w:jc w:val="both"/>
        <w:rPr>
          <w:rFonts w:ascii="Verdana" w:eastAsia="Century Gothic" w:hAnsi="Verdana" w:cs="Century Gothic"/>
          <w:lang w:val="es-ES"/>
        </w:rPr>
      </w:pPr>
    </w:p>
    <w:p w14:paraId="0946E970" w14:textId="37586D90" w:rsidR="00D22A2A" w:rsidRDefault="00D22A2A" w:rsidP="00CC0406">
      <w:pPr>
        <w:spacing w:after="0" w:line="276" w:lineRule="auto"/>
        <w:jc w:val="both"/>
        <w:rPr>
          <w:rFonts w:ascii="Verdana" w:eastAsia="Century Gothic" w:hAnsi="Verdana" w:cs="Century Gothic"/>
        </w:rPr>
      </w:pPr>
      <w:r>
        <w:rPr>
          <w:rFonts w:ascii="Verdana" w:eastAsia="Century Gothic" w:hAnsi="Verdana" w:cs="Century Gothic"/>
        </w:rPr>
        <w:t xml:space="preserve">De acuerdo con el contenido de su solicitud, esta Agencia resolverá el siguiente problema jurídico: </w:t>
      </w:r>
      <w:r w:rsidR="00CC0406">
        <w:rPr>
          <w:rFonts w:ascii="Verdana" w:eastAsia="Century Gothic" w:hAnsi="Verdana" w:cs="Century Gothic"/>
        </w:rPr>
        <w:t>i.</w:t>
      </w:r>
      <w:r w:rsidR="00CC0406" w:rsidRPr="00CC0406">
        <w:rPr>
          <w:rFonts w:ascii="Verdana" w:eastAsia="Century Gothic" w:hAnsi="Verdana" w:cs="Century Gothic"/>
        </w:rPr>
        <w:t xml:space="preserve"> ¿Cuáles son las restricciones normativas aplicables al comodato de bienes inmuebles de propiedad de un municipio a favor de una empresa de servicios públicos domiciliarios de naturaleza privada, organizada como sociedad anónima?</w:t>
      </w:r>
      <w:r w:rsidR="00CC0406">
        <w:rPr>
          <w:rFonts w:ascii="Verdana" w:eastAsia="Century Gothic" w:hAnsi="Verdana" w:cs="Century Gothic"/>
        </w:rPr>
        <w:t xml:space="preserve">, </w:t>
      </w:r>
      <w:proofErr w:type="spellStart"/>
      <w:r w:rsidR="00CC0406">
        <w:rPr>
          <w:rFonts w:ascii="Verdana" w:eastAsia="Century Gothic" w:hAnsi="Verdana" w:cs="Century Gothic"/>
        </w:rPr>
        <w:t>ii</w:t>
      </w:r>
      <w:proofErr w:type="spellEnd"/>
      <w:r w:rsidR="00CC0406">
        <w:rPr>
          <w:rFonts w:ascii="Verdana" w:eastAsia="Century Gothic" w:hAnsi="Verdana" w:cs="Century Gothic"/>
        </w:rPr>
        <w:t xml:space="preserve">. </w:t>
      </w:r>
      <w:r w:rsidR="00CC0406" w:rsidRPr="00CC0406">
        <w:rPr>
          <w:rFonts w:ascii="Verdana" w:eastAsia="Century Gothic" w:hAnsi="Verdana" w:cs="Century Gothic"/>
        </w:rPr>
        <w:t>¿Incide la Ley de Garantías Electorales en la celebración de un contrato de comodato entre un municipio y una empresa privada prestadora de servicios públicos domiciliarios?</w:t>
      </w:r>
    </w:p>
    <w:p w14:paraId="00761A80" w14:textId="77777777" w:rsidR="00D22A2A" w:rsidRDefault="00D22A2A" w:rsidP="00D22A2A">
      <w:pPr>
        <w:spacing w:after="0" w:line="276" w:lineRule="auto"/>
        <w:jc w:val="both"/>
        <w:rPr>
          <w:rFonts w:ascii="Verdana" w:eastAsia="Calibri" w:hAnsi="Verdana" w:cs="Arial"/>
          <w:color w:val="7030A0"/>
          <w:lang w:val="es-ES"/>
        </w:rPr>
      </w:pPr>
    </w:p>
    <w:p w14:paraId="4DE34570" w14:textId="77777777" w:rsidR="00D22A2A" w:rsidRDefault="00D22A2A" w:rsidP="00D22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Respuesta:</w:t>
      </w:r>
    </w:p>
    <w:p w14:paraId="22EBC896" w14:textId="77777777" w:rsidR="00D22A2A" w:rsidRDefault="00D22A2A" w:rsidP="00D22A2A">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22A2A" w14:paraId="251A5A0B" w14:textId="77777777" w:rsidTr="0066501B">
        <w:tc>
          <w:tcPr>
            <w:tcW w:w="8828" w:type="dxa"/>
            <w:tcBorders>
              <w:top w:val="dotted" w:sz="4" w:space="0" w:color="auto"/>
              <w:left w:val="dotted" w:sz="4" w:space="0" w:color="auto"/>
              <w:bottom w:val="dotted" w:sz="4" w:space="0" w:color="auto"/>
              <w:right w:val="dotted" w:sz="4" w:space="0" w:color="auto"/>
            </w:tcBorders>
          </w:tcPr>
          <w:p w14:paraId="1A11CCD7" w14:textId="79A4DE7C" w:rsidR="00CC0406" w:rsidRPr="00B46C84" w:rsidRDefault="00CC0406" w:rsidP="00B46C84">
            <w:pPr>
              <w:pStyle w:val="Prrafodelista"/>
              <w:widowControl w:val="0"/>
              <w:numPr>
                <w:ilvl w:val="0"/>
                <w:numId w:val="21"/>
              </w:numPr>
              <w:autoSpaceDE w:val="0"/>
              <w:autoSpaceDN w:val="0"/>
              <w:spacing w:after="120" w:line="276" w:lineRule="auto"/>
              <w:ind w:left="24" w:firstLine="284"/>
              <w:jc w:val="both"/>
              <w:rPr>
                <w:rFonts w:ascii="Verdana" w:eastAsia="Arial" w:hAnsi="Verdana" w:cs="Arial"/>
                <w:lang w:eastAsia="es-ES" w:bidi="es-ES"/>
              </w:rPr>
            </w:pPr>
            <w:r w:rsidRPr="00B46C84">
              <w:rPr>
                <w:rFonts w:ascii="Verdana" w:eastAsia="Arial" w:hAnsi="Verdana" w:cs="Arial"/>
                <w:lang w:eastAsia="es-ES" w:bidi="es-ES"/>
              </w:rPr>
              <w:t xml:space="preserve">Esta Agencia sostiene que la celebración de un contrato de comodato de bien inmueble por parte de un municipio a favor de una empresa de servicios públicos domiciliarios de naturaleza privada, organizada como sociedad anónima, enfrenta una restricción legal expresa contenida en el </w:t>
            </w:r>
            <w:r w:rsidRPr="00B46C84">
              <w:rPr>
                <w:rFonts w:ascii="Verdana" w:eastAsia="Arial" w:hAnsi="Verdana" w:cs="Arial"/>
                <w:lang w:eastAsia="es-ES" w:bidi="es-ES"/>
              </w:rPr>
              <w:lastRenderedPageBreak/>
              <w:t>artículo 38 de la Ley 9 de 1989. Conforme a la doctrina consolidada de esta Agencia, la primera de las cuatro reglas que rigen el contrato de comodato en la contratación pública establece que las entidades públicas no podrán dar en comodato sus inmuebles sino únicamente a: (i) otras entidades públicas; (</w:t>
            </w:r>
            <w:proofErr w:type="spellStart"/>
            <w:r w:rsidRPr="00B46C84">
              <w:rPr>
                <w:rFonts w:ascii="Verdana" w:eastAsia="Arial" w:hAnsi="Verdana" w:cs="Arial"/>
                <w:lang w:eastAsia="es-ES" w:bidi="es-ES"/>
              </w:rPr>
              <w:t>ii</w:t>
            </w:r>
            <w:proofErr w:type="spellEnd"/>
            <w:r w:rsidRPr="00B46C84">
              <w:rPr>
                <w:rFonts w:ascii="Verdana" w:eastAsia="Arial" w:hAnsi="Verdana" w:cs="Arial"/>
                <w:lang w:eastAsia="es-ES" w:bidi="es-ES"/>
              </w:rPr>
              <w:t>) sindicatos; (</w:t>
            </w:r>
            <w:proofErr w:type="spellStart"/>
            <w:r w:rsidRPr="00B46C84">
              <w:rPr>
                <w:rFonts w:ascii="Verdana" w:eastAsia="Arial" w:hAnsi="Verdana" w:cs="Arial"/>
                <w:lang w:eastAsia="es-ES" w:bidi="es-ES"/>
              </w:rPr>
              <w:t>iii</w:t>
            </w:r>
            <w:proofErr w:type="spellEnd"/>
            <w:r w:rsidRPr="00B46C84">
              <w:rPr>
                <w:rFonts w:ascii="Verdana" w:eastAsia="Arial" w:hAnsi="Verdana" w:cs="Arial"/>
                <w:lang w:eastAsia="es-ES" w:bidi="es-ES"/>
              </w:rPr>
              <w:t>) cooperativas; (</w:t>
            </w:r>
            <w:proofErr w:type="spellStart"/>
            <w:r w:rsidRPr="00B46C84">
              <w:rPr>
                <w:rFonts w:ascii="Verdana" w:eastAsia="Arial" w:hAnsi="Verdana" w:cs="Arial"/>
                <w:lang w:eastAsia="es-ES" w:bidi="es-ES"/>
              </w:rPr>
              <w:t>iv</w:t>
            </w:r>
            <w:proofErr w:type="spellEnd"/>
            <w:r w:rsidRPr="00B46C84">
              <w:rPr>
                <w:rFonts w:ascii="Verdana" w:eastAsia="Arial" w:hAnsi="Verdana" w:cs="Arial"/>
                <w:lang w:eastAsia="es-ES" w:bidi="es-ES"/>
              </w:rPr>
              <w:t>) asociaciones y fundaciones que no repartan utilidades entre sus asociados o fundadores ni adjudiquen sus activos en el momento de su liquidación a los mismos; (v) juntas de acción comunal; (vi) fondos de empleados; y (</w:t>
            </w:r>
            <w:proofErr w:type="spellStart"/>
            <w:r w:rsidRPr="00B46C84">
              <w:rPr>
                <w:rFonts w:ascii="Verdana" w:eastAsia="Arial" w:hAnsi="Verdana" w:cs="Arial"/>
                <w:lang w:eastAsia="es-ES" w:bidi="es-ES"/>
              </w:rPr>
              <w:t>vii</w:t>
            </w:r>
            <w:proofErr w:type="spellEnd"/>
            <w:r w:rsidRPr="00B46C84">
              <w:rPr>
                <w:rFonts w:ascii="Verdana" w:eastAsia="Arial" w:hAnsi="Verdana" w:cs="Arial"/>
                <w:lang w:eastAsia="es-ES" w:bidi="es-ES"/>
              </w:rPr>
              <w:t>) las demás que puedan asimilarse a las anteriores. Este listado tiene carácter taxativo y cerrado: solo los sujetos expresamente mencionados o asimilables a ellos pueden recibir en comodato bienes inmuebles de las entidades públicas.</w:t>
            </w:r>
          </w:p>
          <w:p w14:paraId="37EC1704" w14:textId="77777777" w:rsidR="00CC0406" w:rsidRPr="00CC0406" w:rsidRDefault="00CC0406" w:rsidP="00B46C84">
            <w:pPr>
              <w:widowControl w:val="0"/>
              <w:autoSpaceDE w:val="0"/>
              <w:autoSpaceDN w:val="0"/>
              <w:spacing w:after="120" w:line="276" w:lineRule="auto"/>
              <w:ind w:left="24" w:firstLine="425"/>
              <w:jc w:val="both"/>
              <w:rPr>
                <w:rFonts w:ascii="Verdana" w:eastAsia="Arial" w:hAnsi="Verdana" w:cs="Arial"/>
                <w:lang w:val="es-ES" w:eastAsia="es-ES" w:bidi="es-ES"/>
              </w:rPr>
            </w:pPr>
            <w:r w:rsidRPr="00CC0406">
              <w:rPr>
                <w:rFonts w:ascii="Verdana" w:eastAsia="Arial" w:hAnsi="Verdana" w:cs="Arial"/>
                <w:lang w:val="es-ES" w:eastAsia="es-ES" w:bidi="es-ES"/>
              </w:rPr>
              <w:t>Una sociedad anónima —S.A.— es, por su naturaleza mercantil definida en los artículos 373 y siguientes del Código de Comercio, una sociedad de capital constituida con el fin de obtener utilidades para distribuirlas entre sus accionistas en forma de dividendos. Esta característica estructural la excluye del listado del artículo 38 de la Ley 9 de 1989, cuyo criterio determinante para las personas jurídicas de derecho privado es precisamente que no repartan utilidades entre sus asociados. La restricción no admite excepción fundada en el objeto social de la sociedad, en la naturaleza del servicio que presta ni en la finalidad de interés general que persigue. El artículo 38 no distingue entre sociedades que prestan servicios públicos y sociedades que desarrollan otras actividades comerciales: el criterio es orgánico —la naturaleza jurídica del comodatario— y no funcional.</w:t>
            </w:r>
          </w:p>
          <w:p w14:paraId="773BD628" w14:textId="77777777" w:rsidR="00CC0406" w:rsidRPr="00CC0406" w:rsidRDefault="00CC0406" w:rsidP="00B46C84">
            <w:pPr>
              <w:widowControl w:val="0"/>
              <w:autoSpaceDE w:val="0"/>
              <w:autoSpaceDN w:val="0"/>
              <w:spacing w:after="120" w:line="276" w:lineRule="auto"/>
              <w:ind w:firstLine="449"/>
              <w:jc w:val="both"/>
              <w:rPr>
                <w:rFonts w:ascii="Verdana" w:eastAsia="Arial" w:hAnsi="Verdana" w:cs="Arial"/>
                <w:lang w:val="es-ES" w:eastAsia="es-ES" w:bidi="es-ES"/>
              </w:rPr>
            </w:pPr>
            <w:r w:rsidRPr="00CC0406">
              <w:rPr>
                <w:rFonts w:ascii="Verdana" w:eastAsia="Arial" w:hAnsi="Verdana" w:cs="Arial"/>
                <w:lang w:val="es-ES" w:eastAsia="es-ES" w:bidi="es-ES"/>
              </w:rPr>
              <w:t>Es cierto que la Corte Constitucional, en la Sentencia C-736 de 2007, clasificó a las empresas de servicios públicos domiciliarios —oficiales, mixtas y privadas— como entidades descentralizadas por servicios, con independencia de la naturaleza y porcentaje de su capital. Sin embargo, esta categorización opera para efectos de la estructura de la administración pública y del régimen de contratación, y no tiene la virtualidad jurídica de transformar a una sociedad anónima de capital privado en una "entidad pública" para efectos de la primera categoría del artículo 38 de la Ley 9 de 1989. La norma distingue con claridad entre "otras entidades públicas" —primera categoría— y las demás categorías autorizadas —todas ellas de naturaleza asociativa sin ánimo de lucro—. La peticionaria se identifica expresamente como "una sociedad de naturaleza privada", lo que confirma que no se ubica en ninguna de las categorías habilitadas.</w:t>
            </w:r>
          </w:p>
          <w:p w14:paraId="4D93B757" w14:textId="1C0F8BA0" w:rsidR="00CC0406" w:rsidRPr="00CC0406" w:rsidRDefault="00CC0406" w:rsidP="00B46C84">
            <w:pPr>
              <w:widowControl w:val="0"/>
              <w:autoSpaceDE w:val="0"/>
              <w:autoSpaceDN w:val="0"/>
              <w:spacing w:after="120" w:line="276" w:lineRule="auto"/>
              <w:ind w:firstLine="449"/>
              <w:jc w:val="both"/>
              <w:rPr>
                <w:rFonts w:ascii="Verdana" w:eastAsia="Arial" w:hAnsi="Verdana" w:cs="Arial"/>
                <w:lang w:val="es-ES" w:eastAsia="es-ES" w:bidi="es-ES"/>
              </w:rPr>
            </w:pPr>
            <w:r w:rsidRPr="00CC0406">
              <w:rPr>
                <w:rFonts w:ascii="Verdana" w:eastAsia="Arial" w:hAnsi="Verdana" w:cs="Arial"/>
                <w:lang w:val="es-ES" w:eastAsia="es-ES" w:bidi="es-ES"/>
              </w:rPr>
              <w:lastRenderedPageBreak/>
              <w:t xml:space="preserve">En consecuencia, desde la perspectiva de las normas generales del sistema de compras y contratación pública, no se advierte la viabilidad </w:t>
            </w:r>
            <w:r>
              <w:rPr>
                <w:rFonts w:ascii="Verdana" w:eastAsia="Arial" w:hAnsi="Verdana" w:cs="Arial"/>
                <w:lang w:val="es-ES" w:eastAsia="es-ES" w:bidi="es-ES"/>
              </w:rPr>
              <w:t xml:space="preserve">jurídica </w:t>
            </w:r>
            <w:r w:rsidRPr="00CC0406">
              <w:rPr>
                <w:rFonts w:ascii="Verdana" w:eastAsia="Arial" w:hAnsi="Verdana" w:cs="Arial"/>
                <w:lang w:val="es-ES" w:eastAsia="es-ES" w:bidi="es-ES"/>
              </w:rPr>
              <w:t>del comodato de un lote de propiedad del municipio a favor de una S.A. E.S.P. de naturaleza privada, por cuanto dicha sociedad no se encuentra comprendida dentro del listado taxativo de sujetos habilitados por el artículo 38 de la Ley 9 de 1989 para recibir en comodato bienes inmuebles de entidades públicas.</w:t>
            </w:r>
          </w:p>
          <w:p w14:paraId="49A3A03A" w14:textId="20CC8EF3" w:rsidR="00CC0406" w:rsidRPr="00CC0406" w:rsidRDefault="00CC0406" w:rsidP="00B46C84">
            <w:pPr>
              <w:widowControl w:val="0"/>
              <w:autoSpaceDE w:val="0"/>
              <w:autoSpaceDN w:val="0"/>
              <w:spacing w:after="120" w:line="276" w:lineRule="auto"/>
              <w:ind w:firstLine="449"/>
              <w:jc w:val="both"/>
              <w:rPr>
                <w:rFonts w:ascii="Verdana" w:eastAsia="Arial" w:hAnsi="Verdana" w:cs="Arial"/>
                <w:lang w:val="es-ES" w:eastAsia="es-ES" w:bidi="es-ES"/>
              </w:rPr>
            </w:pPr>
            <w:r>
              <w:rPr>
                <w:rFonts w:ascii="Verdana" w:eastAsia="Arial" w:hAnsi="Verdana" w:cs="Arial"/>
                <w:lang w:val="es-ES" w:eastAsia="es-ES" w:bidi="es-ES"/>
              </w:rPr>
              <w:t>Po</w:t>
            </w:r>
            <w:r w:rsidR="00AC61E0">
              <w:rPr>
                <w:rFonts w:ascii="Verdana" w:eastAsia="Arial" w:hAnsi="Verdana" w:cs="Arial"/>
                <w:lang w:val="es-ES" w:eastAsia="es-ES" w:bidi="es-ES"/>
              </w:rPr>
              <w:t>r</w:t>
            </w:r>
            <w:r>
              <w:rPr>
                <w:rFonts w:ascii="Verdana" w:eastAsia="Arial" w:hAnsi="Verdana" w:cs="Arial"/>
                <w:lang w:val="es-ES" w:eastAsia="es-ES" w:bidi="es-ES"/>
              </w:rPr>
              <w:t xml:space="preserve"> otro lado, se debe preciar que n</w:t>
            </w:r>
            <w:r w:rsidRPr="00CC0406">
              <w:rPr>
                <w:rFonts w:ascii="Verdana" w:eastAsia="Arial" w:hAnsi="Verdana" w:cs="Arial"/>
                <w:lang w:val="es-ES" w:eastAsia="es-ES" w:bidi="es-ES"/>
              </w:rPr>
              <w:t>i la naturaleza gratuita del contrato de comodato ni la destinación del bien a la prestación de un servicio público esencial constituyen, por sí solas, circunstancias que exceptúen la restricción del artículo 38 de la Ley 9 de 1989 ni las prohibiciones de la Ley de Garantías Electorales.</w:t>
            </w:r>
          </w:p>
          <w:p w14:paraId="2546A691" w14:textId="717B1585" w:rsidR="00CC0406" w:rsidRPr="00CC0406" w:rsidRDefault="00B46C84" w:rsidP="00B46C84">
            <w:pPr>
              <w:widowControl w:val="0"/>
              <w:autoSpaceDE w:val="0"/>
              <w:autoSpaceDN w:val="0"/>
              <w:spacing w:after="120" w:line="276" w:lineRule="auto"/>
              <w:ind w:firstLine="449"/>
              <w:jc w:val="both"/>
              <w:rPr>
                <w:rFonts w:ascii="Verdana" w:eastAsia="Arial" w:hAnsi="Verdana" w:cs="Arial"/>
                <w:lang w:val="es-ES" w:eastAsia="es-ES" w:bidi="es-ES"/>
              </w:rPr>
            </w:pPr>
            <w:proofErr w:type="spellStart"/>
            <w:r>
              <w:rPr>
                <w:rFonts w:ascii="Verdana" w:eastAsia="Arial" w:hAnsi="Verdana" w:cs="Arial"/>
                <w:lang w:val="es-ES" w:eastAsia="es-ES" w:bidi="es-ES"/>
              </w:rPr>
              <w:t>ii</w:t>
            </w:r>
            <w:proofErr w:type="spellEnd"/>
            <w:r>
              <w:rPr>
                <w:rFonts w:ascii="Verdana" w:eastAsia="Arial" w:hAnsi="Verdana" w:cs="Arial"/>
                <w:lang w:val="es-ES" w:eastAsia="es-ES" w:bidi="es-ES"/>
              </w:rPr>
              <w:t xml:space="preserve">. </w:t>
            </w:r>
            <w:r w:rsidR="00CC0406" w:rsidRPr="00CC0406">
              <w:rPr>
                <w:rFonts w:ascii="Verdana" w:eastAsia="Arial" w:hAnsi="Verdana" w:cs="Arial"/>
                <w:lang w:val="es-ES" w:eastAsia="es-ES" w:bidi="es-ES"/>
              </w:rPr>
              <w:t>Respecto del artículo 38 de la Ley 9 de 1989, la norma no establece excepción alguna fundada en la gratuidad del contrato —que es, por lo demás, un elemento esencial de todo comodato conforme al artículo 2200 del Código Civil— ni en la finalidad social o de servicio público del comodatario. La restricción opera sobre la base de un criterio objetivo: la naturaleza jurídica del sujeto que recibe el bien, no el destino que se dará al inmueble. El legislador estableció un listado cerrado de comodatarios habilitados y no previó que la finalidad del préstamo de uso pudiera ampliar ese listado.</w:t>
            </w:r>
          </w:p>
          <w:p w14:paraId="5B61C528" w14:textId="77777777" w:rsidR="00CC0406" w:rsidRPr="00CC0406" w:rsidRDefault="00CC0406" w:rsidP="00B46C84">
            <w:pPr>
              <w:widowControl w:val="0"/>
              <w:autoSpaceDE w:val="0"/>
              <w:autoSpaceDN w:val="0"/>
              <w:spacing w:after="120" w:line="276" w:lineRule="auto"/>
              <w:ind w:firstLine="449"/>
              <w:jc w:val="both"/>
              <w:rPr>
                <w:rFonts w:ascii="Verdana" w:eastAsia="Arial" w:hAnsi="Verdana" w:cs="Arial"/>
                <w:lang w:val="es-ES" w:eastAsia="es-ES" w:bidi="es-ES"/>
              </w:rPr>
            </w:pPr>
            <w:r w:rsidRPr="00CC0406">
              <w:rPr>
                <w:rFonts w:ascii="Verdana" w:eastAsia="Arial" w:hAnsi="Verdana" w:cs="Arial"/>
                <w:lang w:val="es-ES" w:eastAsia="es-ES" w:bidi="es-ES"/>
              </w:rPr>
              <w:t xml:space="preserve">En relación con la prohibición del artículo 33 de la Ley 996 de 2005 —que aplica exclusivamente durante los cuatro meses anteriores a las elecciones presidenciales—, la Circular Externa 006 de 2025 de esta Agencia ha sido categórica al precisar que la restricción del artículo 33 no se encuentra condicionada por la ejecución de recursos en el marco de los respectivos contratos o el origen de estos, de manera que aplica independientemente de que el contrato implique o no la ejecución de recursos o si los recursos destinados son de naturaleza pública o privada (Circular Externa 006 de 2025, numeral 1, literal </w:t>
            </w:r>
            <w:proofErr w:type="spellStart"/>
            <w:r w:rsidRPr="00CC0406">
              <w:rPr>
                <w:rFonts w:ascii="Verdana" w:eastAsia="Arial" w:hAnsi="Verdana" w:cs="Arial"/>
                <w:lang w:val="es-ES" w:eastAsia="es-ES" w:bidi="es-ES"/>
              </w:rPr>
              <w:t>ii</w:t>
            </w:r>
            <w:proofErr w:type="spellEnd"/>
            <w:r w:rsidRPr="00CC0406">
              <w:rPr>
                <w:rFonts w:ascii="Verdana" w:eastAsia="Arial" w:hAnsi="Verdana" w:cs="Arial"/>
                <w:lang w:val="es-ES" w:eastAsia="es-ES" w:bidi="es-ES"/>
              </w:rPr>
              <w:t>). En consecuencia, la gratuidad del comodato no lo sustrae de la prohibición del artículo 33. Durante el período preelectoral presidencial, la celebración de un contrato de comodato por contratación directa por parte del municipio no sería procedente, sin que la gratuidad ni la finalidad de servicio público constituyan excepciones. Las excepciones del artículo 33 son taxativas y no incluyen la prestación del servicio de gas licuado de petróleo.</w:t>
            </w:r>
          </w:p>
          <w:p w14:paraId="50D56E64" w14:textId="77777777" w:rsidR="00CC0406" w:rsidRPr="00CC0406" w:rsidRDefault="00CC0406" w:rsidP="00B46C84">
            <w:pPr>
              <w:widowControl w:val="0"/>
              <w:autoSpaceDE w:val="0"/>
              <w:autoSpaceDN w:val="0"/>
              <w:spacing w:after="120" w:line="276" w:lineRule="auto"/>
              <w:ind w:firstLine="449"/>
              <w:jc w:val="both"/>
              <w:rPr>
                <w:rFonts w:ascii="Verdana" w:eastAsia="Arial" w:hAnsi="Verdana" w:cs="Arial"/>
                <w:lang w:val="es-ES" w:eastAsia="es-ES" w:bidi="es-ES"/>
              </w:rPr>
            </w:pPr>
            <w:r w:rsidRPr="00CC0406">
              <w:rPr>
                <w:rFonts w:ascii="Verdana" w:eastAsia="Arial" w:hAnsi="Verdana" w:cs="Arial"/>
                <w:lang w:val="es-ES" w:eastAsia="es-ES" w:bidi="es-ES"/>
              </w:rPr>
              <w:t xml:space="preserve">En relación con la prohibición del parágrafo del artículo 38 de la Ley 996 </w:t>
            </w:r>
            <w:r w:rsidRPr="00CC0406">
              <w:rPr>
                <w:rFonts w:ascii="Verdana" w:eastAsia="Arial" w:hAnsi="Verdana" w:cs="Arial"/>
                <w:lang w:val="es-ES" w:eastAsia="es-ES" w:bidi="es-ES"/>
              </w:rPr>
              <w:lastRenderedPageBreak/>
              <w:t xml:space="preserve">de 2005 —que aplica durante los cuatro meses anteriores a cualquier elección—, esta restricción recae sobre Gobernadores, </w:t>
            </w:r>
            <w:proofErr w:type="gramStart"/>
            <w:r w:rsidRPr="00CC0406">
              <w:rPr>
                <w:rFonts w:ascii="Verdana" w:eastAsia="Arial" w:hAnsi="Verdana" w:cs="Arial"/>
                <w:lang w:val="es-ES" w:eastAsia="es-ES" w:bidi="es-ES"/>
              </w:rPr>
              <w:t>Alcaldes</w:t>
            </w:r>
            <w:proofErr w:type="gramEnd"/>
            <w:r w:rsidRPr="00CC0406">
              <w:rPr>
                <w:rFonts w:ascii="Verdana" w:eastAsia="Arial" w:hAnsi="Verdana" w:cs="Arial"/>
                <w:lang w:val="es-ES" w:eastAsia="es-ES" w:bidi="es-ES"/>
              </w:rPr>
              <w:t xml:space="preserve">, </w:t>
            </w:r>
            <w:proofErr w:type="gramStart"/>
            <w:r w:rsidRPr="00CC0406">
              <w:rPr>
                <w:rFonts w:ascii="Verdana" w:eastAsia="Arial" w:hAnsi="Verdana" w:cs="Arial"/>
                <w:lang w:val="es-ES" w:eastAsia="es-ES" w:bidi="es-ES"/>
              </w:rPr>
              <w:t>Secretarios</w:t>
            </w:r>
            <w:proofErr w:type="gramEnd"/>
            <w:r w:rsidRPr="00CC0406">
              <w:rPr>
                <w:rFonts w:ascii="Verdana" w:eastAsia="Arial" w:hAnsi="Verdana" w:cs="Arial"/>
                <w:lang w:val="es-ES" w:eastAsia="es-ES" w:bidi="es-ES"/>
              </w:rPr>
              <w:t xml:space="preserve">, Gerentes y </w:t>
            </w:r>
            <w:proofErr w:type="gramStart"/>
            <w:r w:rsidRPr="00CC0406">
              <w:rPr>
                <w:rFonts w:ascii="Verdana" w:eastAsia="Arial" w:hAnsi="Verdana" w:cs="Arial"/>
                <w:lang w:val="es-ES" w:eastAsia="es-ES" w:bidi="es-ES"/>
              </w:rPr>
              <w:t>Directores</w:t>
            </w:r>
            <w:proofErr w:type="gramEnd"/>
            <w:r w:rsidRPr="00CC0406">
              <w:rPr>
                <w:rFonts w:ascii="Verdana" w:eastAsia="Arial" w:hAnsi="Verdana" w:cs="Arial"/>
                <w:lang w:val="es-ES" w:eastAsia="es-ES" w:bidi="es-ES"/>
              </w:rPr>
              <w:t xml:space="preserve"> de entidades descentralizadas del orden territorial, respecto de convenios interadministrativos para la ejecución de recursos públicos. El contrato de comodato entre el municipio y una empresa privada no tiene naturaleza interadministrativa —pues una de las partes no es una entidad estatal—, y además es un contrato a título gratuito que no comporta ejecución de recursos públicos. La Circular Externa 006 de 2025 ha precisado que la prohibición del parágrafo del artículo 38 no resulta aplicable a convenios interadministrativos a título gratuito, los cuales pueden celebrarse válidamente durante la vigencia de la mencionada restricción (Circular Externa 006 de 2025, numeral 2, literal </w:t>
            </w:r>
            <w:proofErr w:type="spellStart"/>
            <w:r w:rsidRPr="00CC0406">
              <w:rPr>
                <w:rFonts w:ascii="Verdana" w:eastAsia="Arial" w:hAnsi="Verdana" w:cs="Arial"/>
                <w:lang w:val="es-ES" w:eastAsia="es-ES" w:bidi="es-ES"/>
              </w:rPr>
              <w:t>iv</w:t>
            </w:r>
            <w:proofErr w:type="spellEnd"/>
            <w:r w:rsidRPr="00CC0406">
              <w:rPr>
                <w:rFonts w:ascii="Verdana" w:eastAsia="Arial" w:hAnsi="Verdana" w:cs="Arial"/>
                <w:lang w:val="es-ES" w:eastAsia="es-ES" w:bidi="es-ES"/>
              </w:rPr>
              <w:t>). Si bien esta precisión se formula en el contexto de los convenios interadministrativos —que no es el caso consultado—, confirma que la restricción del parágrafo del artículo 38 no cubriría este supuesto por ninguna de las dos razones señaladas.</w:t>
            </w:r>
          </w:p>
          <w:p w14:paraId="3C97C2D6" w14:textId="75DC1CBF" w:rsidR="00D22A2A" w:rsidRPr="00AC61E0" w:rsidRDefault="00AC61E0" w:rsidP="00B46C84">
            <w:pPr>
              <w:widowControl w:val="0"/>
              <w:autoSpaceDE w:val="0"/>
              <w:autoSpaceDN w:val="0"/>
              <w:spacing w:after="120" w:line="276" w:lineRule="auto"/>
              <w:ind w:firstLine="449"/>
              <w:jc w:val="both"/>
              <w:rPr>
                <w:rFonts w:ascii="Verdana" w:eastAsia="Arial" w:hAnsi="Verdana" w:cs="Arial"/>
                <w:lang w:val="es-ES" w:eastAsia="es-ES" w:bidi="es-ES"/>
              </w:rPr>
            </w:pPr>
            <w:r>
              <w:rPr>
                <w:rFonts w:ascii="Verdana" w:eastAsia="Arial" w:hAnsi="Verdana" w:cs="Arial"/>
                <w:lang w:val="es-ES" w:eastAsia="es-ES" w:bidi="es-ES"/>
              </w:rPr>
              <w:t>Por último, es de advertir que c</w:t>
            </w:r>
            <w:r w:rsidR="00CC0406" w:rsidRPr="00CC0406">
              <w:rPr>
                <w:rFonts w:ascii="Verdana" w:eastAsia="Arial" w:hAnsi="Verdana" w:cs="Arial"/>
                <w:lang w:val="es-ES" w:eastAsia="es-ES" w:bidi="es-ES"/>
              </w:rPr>
              <w:t>orresponde a las partes interesadas previo concepto de sus respectivos asesores jurídicos, determinar la figura contractual más adecuada para satisfacer la necesidad identificada, con sujeción a la normativa vigente y bajo su exclusiva responsabilidad. Esta Agencia se limita a señalar, como orientación general, que la restricción del artículo 38 de la Ley 9 de 1989 constituye un obstáculo normativo que las partes deben evaluar antes de definir la estructura contractual del negocio, y que la exploración de figuras jurídicas alternativas al comodato corresponde a la valoración técnica y jurídica que realice la entidad territorial en el marco de su autonomía.</w:t>
            </w:r>
          </w:p>
        </w:tc>
      </w:tr>
    </w:tbl>
    <w:p w14:paraId="7EFD2AB7" w14:textId="77777777" w:rsidR="00D22A2A" w:rsidRDefault="00D22A2A" w:rsidP="00D22A2A">
      <w:pPr>
        <w:tabs>
          <w:tab w:val="left" w:pos="142"/>
          <w:tab w:val="left" w:pos="284"/>
        </w:tabs>
        <w:spacing w:after="0" w:line="276" w:lineRule="auto"/>
        <w:jc w:val="both"/>
        <w:rPr>
          <w:rFonts w:ascii="Verdana" w:eastAsia="Century Gothic" w:hAnsi="Verdana" w:cs="Century Gothic"/>
          <w:b/>
          <w:bCs/>
          <w:lang w:val="es-ES"/>
        </w:rPr>
      </w:pPr>
    </w:p>
    <w:p w14:paraId="515C9CB3" w14:textId="77777777" w:rsidR="00D22A2A" w:rsidRDefault="00D22A2A" w:rsidP="00D22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Razones de la respuesta:</w:t>
      </w:r>
    </w:p>
    <w:p w14:paraId="68F4605B" w14:textId="77777777" w:rsidR="00D22A2A" w:rsidRDefault="00D22A2A" w:rsidP="00D22A2A">
      <w:pPr>
        <w:spacing w:after="0" w:line="276" w:lineRule="auto"/>
        <w:jc w:val="both"/>
        <w:rPr>
          <w:rFonts w:ascii="Verdana" w:eastAsia="Calibri" w:hAnsi="Verdana" w:cs="Arial"/>
          <w:color w:val="7030A0"/>
          <w:lang w:val="es-ES"/>
        </w:rPr>
      </w:pPr>
    </w:p>
    <w:p w14:paraId="02218164" w14:textId="77777777" w:rsidR="00D22A2A" w:rsidRDefault="00D22A2A" w:rsidP="00D22A2A">
      <w:pPr>
        <w:spacing w:after="0" w:line="276" w:lineRule="auto"/>
        <w:jc w:val="both"/>
        <w:rPr>
          <w:rFonts w:ascii="Verdana" w:eastAsia="Calibri" w:hAnsi="Verdana" w:cs="Arial"/>
          <w:lang w:val="es-ES"/>
        </w:rPr>
      </w:pPr>
      <w:r>
        <w:rPr>
          <w:rFonts w:ascii="Verdana" w:eastAsia="Calibri" w:hAnsi="Verdana" w:cs="Arial"/>
          <w:lang w:val="es-ES"/>
        </w:rPr>
        <w:t xml:space="preserve">Lo anterior se sustenta en las siguientes consideraciones: </w:t>
      </w:r>
    </w:p>
    <w:p w14:paraId="5A6D963E" w14:textId="77777777" w:rsidR="00D22A2A" w:rsidRDefault="00D22A2A" w:rsidP="00D22A2A">
      <w:pPr>
        <w:spacing w:after="0" w:line="276" w:lineRule="auto"/>
        <w:jc w:val="both"/>
        <w:rPr>
          <w:rFonts w:ascii="Verdana" w:eastAsia="Calibri" w:hAnsi="Verdana" w:cs="Arial"/>
          <w:lang w:val="es-ES"/>
        </w:rPr>
      </w:pPr>
    </w:p>
    <w:p w14:paraId="3929BC37" w14:textId="6313D046" w:rsidR="00D22A2A" w:rsidRDefault="00A85FF7" w:rsidP="000A53C6">
      <w:pPr>
        <w:spacing w:after="120" w:line="276" w:lineRule="auto"/>
        <w:jc w:val="both"/>
        <w:rPr>
          <w:rFonts w:ascii="Verdana" w:hAnsi="Verdana" w:cs="Arial"/>
        </w:rPr>
      </w:pPr>
      <w:r>
        <w:rPr>
          <w:rFonts w:ascii="Verdana" w:eastAsia="Calibri" w:hAnsi="Verdana" w:cs="Arial"/>
          <w:lang w:val="es-ES"/>
        </w:rPr>
        <w:t xml:space="preserve">i) </w:t>
      </w:r>
      <w:r w:rsidR="00D22A2A">
        <w:rPr>
          <w:rFonts w:ascii="Verdana" w:eastAsia="Calibri" w:hAnsi="Verdana" w:cs="Arial"/>
          <w:lang w:val="es-ES"/>
        </w:rPr>
        <w:t xml:space="preserve">El inciso primero </w:t>
      </w:r>
      <w:r w:rsidR="00D22A2A" w:rsidRPr="00CB68C5">
        <w:rPr>
          <w:rFonts w:ascii="Verdana" w:hAnsi="Verdana" w:cs="Arial"/>
        </w:rPr>
        <w:t xml:space="preserve">del artículo 13 </w:t>
      </w:r>
      <w:r w:rsidR="00D22A2A">
        <w:rPr>
          <w:rFonts w:ascii="Verdana" w:hAnsi="Verdana" w:cs="Arial"/>
        </w:rPr>
        <w:t xml:space="preserve">de la Ley 80 de 1993 </w:t>
      </w:r>
      <w:r w:rsidR="00D22A2A" w:rsidRPr="00CB68C5">
        <w:rPr>
          <w:rFonts w:ascii="Verdana" w:hAnsi="Verdana" w:cs="Arial"/>
        </w:rPr>
        <w:t>dispone que “Los contratos que celebren las entidades a que se refiere el artículo 2o. del presente estatuto se regirán por las disposiciones comerciales y civiles pertinentes, salvo en las materias particularmente reguladas en esta ley”.</w:t>
      </w:r>
    </w:p>
    <w:p w14:paraId="112665D9" w14:textId="4CFBE4D4" w:rsidR="00D22A2A" w:rsidRDefault="00D22A2A" w:rsidP="000A53C6">
      <w:pPr>
        <w:tabs>
          <w:tab w:val="left" w:pos="8789"/>
        </w:tabs>
        <w:spacing w:after="120" w:line="276" w:lineRule="auto"/>
        <w:ind w:firstLine="709"/>
        <w:jc w:val="both"/>
        <w:rPr>
          <w:rFonts w:ascii="Verdana" w:hAnsi="Verdana" w:cs="Arial"/>
        </w:rPr>
      </w:pPr>
      <w:r w:rsidRPr="00CB68C5">
        <w:rPr>
          <w:rFonts w:ascii="Verdana" w:hAnsi="Verdana" w:cs="Arial"/>
        </w:rPr>
        <w:t>Dicha idea también se reitera en el art</w:t>
      </w:r>
      <w:r>
        <w:rPr>
          <w:rFonts w:ascii="Verdana" w:hAnsi="Verdana" w:cs="Arial"/>
        </w:rPr>
        <w:t>ículo</w:t>
      </w:r>
      <w:r w:rsidRPr="00CB68C5">
        <w:rPr>
          <w:rFonts w:ascii="Verdana" w:hAnsi="Verdana" w:cs="Arial"/>
        </w:rPr>
        <w:t xml:space="preserve"> 32, inciso primero</w:t>
      </w:r>
      <w:r>
        <w:rPr>
          <w:rFonts w:ascii="Verdana" w:hAnsi="Verdana" w:cs="Arial"/>
        </w:rPr>
        <w:t xml:space="preserve">: </w:t>
      </w:r>
      <w:r w:rsidRPr="00CB68C5">
        <w:rPr>
          <w:rFonts w:ascii="Verdana" w:hAnsi="Verdana" w:cs="Arial"/>
        </w:rPr>
        <w:t>“Son</w:t>
      </w:r>
      <w:r w:rsidR="00B51543">
        <w:rPr>
          <w:rFonts w:ascii="Verdana" w:hAnsi="Verdana" w:cs="Arial"/>
        </w:rPr>
        <w:t xml:space="preserve"> </w:t>
      </w:r>
      <w:r w:rsidRPr="00CB68C5">
        <w:rPr>
          <w:rFonts w:ascii="Verdana" w:hAnsi="Verdana" w:cs="Arial"/>
        </w:rPr>
        <w:t xml:space="preserve">contratos estatales todos los actos jurídicos generadores de obligaciones que </w:t>
      </w:r>
      <w:r w:rsidRPr="00CB68C5">
        <w:rPr>
          <w:rFonts w:ascii="Verdana" w:hAnsi="Verdana" w:cs="Arial"/>
        </w:rPr>
        <w:lastRenderedPageBreak/>
        <w:t>celebren las entidades a que se refiere el presente estatuto, previstos en el derecho privado o en disposiciones especiales, o derivados del ejercicio de la autonomía de la voluntad</w:t>
      </w:r>
      <w:r>
        <w:rPr>
          <w:rFonts w:ascii="Verdana" w:hAnsi="Verdana" w:cs="Arial"/>
        </w:rPr>
        <w:t xml:space="preserve"> […]</w:t>
      </w:r>
      <w:r w:rsidRPr="00CB68C5">
        <w:rPr>
          <w:rFonts w:ascii="Verdana" w:hAnsi="Verdana" w:cs="Arial"/>
        </w:rPr>
        <w:t>”</w:t>
      </w:r>
      <w:r w:rsidR="00B7339E">
        <w:rPr>
          <w:rFonts w:ascii="Verdana" w:hAnsi="Verdana" w:cs="Arial"/>
        </w:rPr>
        <w:t xml:space="preserve">. Así mismo, </w:t>
      </w:r>
      <w:r>
        <w:rPr>
          <w:rFonts w:ascii="Verdana" w:hAnsi="Verdana" w:cs="Arial"/>
        </w:rPr>
        <w:t>en el artículo 40, inciso primero</w:t>
      </w:r>
      <w:r w:rsidR="00B7339E">
        <w:rPr>
          <w:rFonts w:ascii="Verdana" w:hAnsi="Verdana" w:cs="Arial"/>
        </w:rPr>
        <w:t>, que señala</w:t>
      </w:r>
      <w:r>
        <w:rPr>
          <w:rFonts w:ascii="Verdana" w:hAnsi="Verdana" w:cs="Arial"/>
        </w:rPr>
        <w:t xml:space="preserve">: </w:t>
      </w:r>
      <w:r w:rsidRPr="00CB68C5">
        <w:rPr>
          <w:rFonts w:ascii="Verdana" w:hAnsi="Verdana" w:cs="Arial"/>
        </w:rPr>
        <w:t xml:space="preserve">“Las estipulaciones de los contratos serán las </w:t>
      </w:r>
      <w:proofErr w:type="gramStart"/>
      <w:r w:rsidRPr="00CB68C5">
        <w:rPr>
          <w:rFonts w:ascii="Verdana" w:hAnsi="Verdana" w:cs="Arial"/>
        </w:rPr>
        <w:t>que</w:t>
      </w:r>
      <w:proofErr w:type="gramEnd"/>
      <w:r w:rsidRPr="00CB68C5">
        <w:rPr>
          <w:rFonts w:ascii="Verdana" w:hAnsi="Verdana" w:cs="Arial"/>
        </w:rPr>
        <w:t xml:space="preserve"> de acuerdo con las normas civiles, comerciales y las previstas en esta ley, correspondan a su esencia y naturaleza”.</w:t>
      </w:r>
    </w:p>
    <w:p w14:paraId="091DDD79" w14:textId="7773641A" w:rsidR="00D22A2A" w:rsidRDefault="00D22A2A" w:rsidP="000A53C6">
      <w:pPr>
        <w:spacing w:after="120" w:line="276" w:lineRule="auto"/>
        <w:ind w:firstLine="709"/>
        <w:mirrorIndents/>
        <w:jc w:val="both"/>
        <w:rPr>
          <w:rFonts w:ascii="Verdana" w:hAnsi="Verdana" w:cs="Arial"/>
        </w:rPr>
      </w:pPr>
      <w:r w:rsidRPr="00CB68C5">
        <w:rPr>
          <w:rFonts w:ascii="Verdana" w:hAnsi="Verdana" w:cs="Arial"/>
        </w:rPr>
        <w:t xml:space="preserve">Por ello, con excepción de las materias expresamente reguladas en el Estatuto </w:t>
      </w:r>
      <w:r w:rsidR="000D2B2E">
        <w:rPr>
          <w:rFonts w:ascii="Verdana" w:hAnsi="Verdana" w:cs="Arial"/>
        </w:rPr>
        <w:t xml:space="preserve">General </w:t>
      </w:r>
      <w:r w:rsidRPr="00CB68C5">
        <w:rPr>
          <w:rFonts w:ascii="Verdana" w:hAnsi="Verdana" w:cs="Arial"/>
        </w:rPr>
        <w:t>de Contratación</w:t>
      </w:r>
      <w:r w:rsidR="000D2B2E">
        <w:rPr>
          <w:rFonts w:ascii="Verdana" w:hAnsi="Verdana" w:cs="Arial"/>
        </w:rPr>
        <w:t xml:space="preserve"> de la Administración Pública</w:t>
      </w:r>
      <w:r w:rsidRPr="00CB68C5">
        <w:rPr>
          <w:rFonts w:ascii="Verdana" w:hAnsi="Verdana" w:cs="Arial"/>
        </w:rPr>
        <w:t>, es posible la aplicación de las normas de derecho privado.</w:t>
      </w:r>
      <w:r>
        <w:rPr>
          <w:rFonts w:ascii="Verdana" w:hAnsi="Verdana" w:cs="Arial"/>
        </w:rPr>
        <w:t xml:space="preserve"> </w:t>
      </w:r>
      <w:r w:rsidRPr="00CB68C5">
        <w:rPr>
          <w:rFonts w:ascii="Verdana" w:hAnsi="Verdana" w:cs="Arial"/>
        </w:rPr>
        <w:t xml:space="preserve">Esta precisión es importante, porque </w:t>
      </w:r>
      <w:r>
        <w:rPr>
          <w:rFonts w:ascii="Verdana" w:hAnsi="Verdana" w:cs="Arial"/>
        </w:rPr>
        <w:t>el comodato</w:t>
      </w:r>
      <w:r w:rsidRPr="00CB68C5">
        <w:rPr>
          <w:rFonts w:ascii="Verdana" w:hAnsi="Verdana" w:cs="Arial"/>
        </w:rPr>
        <w:t xml:space="preserve"> se encuentra tipificad</w:t>
      </w:r>
      <w:r>
        <w:rPr>
          <w:rFonts w:ascii="Verdana" w:hAnsi="Verdana" w:cs="Arial"/>
        </w:rPr>
        <w:t>o</w:t>
      </w:r>
      <w:r w:rsidRPr="00CB68C5">
        <w:rPr>
          <w:rFonts w:ascii="Verdana" w:hAnsi="Verdana" w:cs="Arial"/>
        </w:rPr>
        <w:t xml:space="preserve"> en el Código Civil y allí se encuentra gran parte de su régimen jurídico</w:t>
      </w:r>
      <w:r>
        <w:rPr>
          <w:rFonts w:ascii="Verdana" w:hAnsi="Verdana" w:cs="Arial"/>
        </w:rPr>
        <w:t>.</w:t>
      </w:r>
    </w:p>
    <w:p w14:paraId="59C621CE" w14:textId="77777777" w:rsidR="00D22A2A" w:rsidRPr="00222802" w:rsidRDefault="00D22A2A" w:rsidP="000A53C6">
      <w:pPr>
        <w:spacing w:after="120" w:line="276" w:lineRule="auto"/>
        <w:ind w:firstLine="708"/>
        <w:mirrorIndents/>
        <w:jc w:val="both"/>
        <w:rPr>
          <w:rFonts w:ascii="Verdana" w:eastAsia="Calibri" w:hAnsi="Verdana" w:cs="Arial"/>
          <w:bCs/>
          <w:color w:val="000000" w:themeColor="text1"/>
        </w:rPr>
      </w:pPr>
      <w:bookmarkStart w:id="0" w:name="_Hlk121750800"/>
      <w:r w:rsidRPr="00222802">
        <w:rPr>
          <w:rFonts w:ascii="Verdana" w:eastAsia="Calibri" w:hAnsi="Verdana" w:cs="Arial"/>
          <w:bCs/>
          <w:color w:val="000000" w:themeColor="text1"/>
        </w:rPr>
        <w:t xml:space="preserve">El comodato está previsto en el título XXIX del Código Civil, en cuyo artículo 2200 lo define como aquel en que </w:t>
      </w:r>
      <w:r>
        <w:rPr>
          <w:rFonts w:ascii="Verdana" w:eastAsia="Calibri" w:hAnsi="Verdana" w:cs="Arial"/>
          <w:bCs/>
          <w:color w:val="000000" w:themeColor="text1"/>
        </w:rPr>
        <w:t>“</w:t>
      </w:r>
      <w:r w:rsidRPr="00222802">
        <w:rPr>
          <w:rFonts w:ascii="Verdana" w:eastAsia="Calibri" w:hAnsi="Verdana" w:cs="Arial"/>
          <w:bCs/>
          <w:color w:val="000000" w:themeColor="text1"/>
        </w:rPr>
        <w:t>[…] una de las partes entrega a la otra gratuitamente una especie mueble o raíz, para que haga uso de ella y con cargo de restituir la misma especie después de terminar el uso</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w:t>
      </w:r>
      <w:bookmarkEnd w:id="0"/>
      <w:r w:rsidRPr="00222802">
        <w:rPr>
          <w:rFonts w:ascii="Verdana" w:eastAsia="Calibri" w:hAnsi="Verdana" w:cs="Arial"/>
          <w:bCs/>
          <w:color w:val="000000" w:themeColor="text1"/>
        </w:rPr>
        <w:t>En virtud de esta definición, se desprende su carácter de contrato nominado, principal, real, unilateral y gratuito</w:t>
      </w:r>
      <w:r w:rsidRPr="00222802">
        <w:rPr>
          <w:rFonts w:ascii="Verdana" w:eastAsia="Calibri" w:hAnsi="Verdana" w:cs="Arial"/>
          <w:bCs/>
          <w:color w:val="000000" w:themeColor="text1"/>
          <w:vertAlign w:val="superscript"/>
        </w:rPr>
        <w:footnoteReference w:id="2"/>
      </w:r>
      <w:r w:rsidRPr="00222802">
        <w:rPr>
          <w:rFonts w:ascii="Verdana" w:eastAsia="Calibri" w:hAnsi="Verdana" w:cs="Arial"/>
          <w:bCs/>
          <w:color w:val="000000" w:themeColor="text1"/>
        </w:rPr>
        <w:t xml:space="preserve">. También se le ha denominado a este negocio jurídico como préstamo de uso, aunque con características propias y completamente diferente al préstamo de consumo. </w:t>
      </w:r>
    </w:p>
    <w:p w14:paraId="210BB42E" w14:textId="324EEE69" w:rsidR="00D22A2A" w:rsidRPr="00222802" w:rsidRDefault="00D22A2A" w:rsidP="000A53C6">
      <w:pPr>
        <w:spacing w:after="120" w:line="276" w:lineRule="auto"/>
        <w:ind w:firstLine="708"/>
        <w:mirrorIndents/>
        <w:jc w:val="both"/>
        <w:rPr>
          <w:rFonts w:ascii="Verdana" w:eastAsia="Calibri" w:hAnsi="Verdana" w:cs="Arial"/>
          <w:bCs/>
          <w:color w:val="000000" w:themeColor="text1"/>
        </w:rPr>
      </w:pPr>
      <w:r w:rsidRPr="00222802">
        <w:rPr>
          <w:rFonts w:ascii="Verdana" w:eastAsia="Calibri" w:hAnsi="Verdana" w:cs="Arial"/>
          <w:bCs/>
          <w:color w:val="000000" w:themeColor="text1"/>
        </w:rPr>
        <w:t>De igual manera, el</w:t>
      </w:r>
      <w:r>
        <w:rPr>
          <w:rFonts w:ascii="Verdana" w:eastAsia="Calibri" w:hAnsi="Verdana" w:cs="Arial"/>
          <w:bCs/>
          <w:color w:val="000000" w:themeColor="text1"/>
        </w:rPr>
        <w:t xml:space="preserve"> </w:t>
      </w:r>
      <w:r w:rsidRPr="00222802">
        <w:rPr>
          <w:rFonts w:ascii="Verdana" w:eastAsia="Calibri" w:hAnsi="Verdana" w:cs="Arial"/>
          <w:bCs/>
          <w:color w:val="000000" w:themeColor="text1"/>
        </w:rPr>
        <w:t>artículo 2201</w:t>
      </w:r>
      <w:r>
        <w:rPr>
          <w:rFonts w:ascii="Verdana" w:eastAsia="Calibri" w:hAnsi="Verdana" w:cs="Arial"/>
          <w:bCs/>
          <w:color w:val="000000" w:themeColor="text1"/>
        </w:rPr>
        <w:t xml:space="preserve"> del </w:t>
      </w:r>
      <w:r w:rsidRPr="00222802">
        <w:rPr>
          <w:rFonts w:ascii="Verdana" w:eastAsia="Calibri" w:hAnsi="Verdana" w:cs="Arial"/>
          <w:bCs/>
          <w:color w:val="000000" w:themeColor="text1"/>
        </w:rPr>
        <w:t xml:space="preserve">Código Civil regula lo relacionado con los derechos del comodante. Al respecto, establece que el comodato no trasfiere el dominio de la cosa dada en comodato y, por ello, </w:t>
      </w:r>
      <w:r>
        <w:rPr>
          <w:rFonts w:ascii="Verdana" w:eastAsia="Calibri" w:hAnsi="Verdana" w:cs="Arial"/>
          <w:bCs/>
          <w:color w:val="000000" w:themeColor="text1"/>
        </w:rPr>
        <w:t>“E</w:t>
      </w:r>
      <w:r w:rsidRPr="00222802">
        <w:rPr>
          <w:rFonts w:ascii="Verdana" w:eastAsia="Calibri" w:hAnsi="Verdana" w:cs="Arial"/>
          <w:bCs/>
          <w:color w:val="000000" w:themeColor="text1"/>
        </w:rPr>
        <w:t>l comodante conserva sobre la cosa prestada todos los derechos que antes tenía, pero no su ejercicio, en cuanto fuere incompatible con el uso concedido al comodatario</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P</w:t>
      </w:r>
      <w:r w:rsidRPr="00222802">
        <w:rPr>
          <w:rFonts w:ascii="Verdana" w:eastAsia="Calibri" w:hAnsi="Verdana" w:cs="Arial"/>
          <w:bCs/>
          <w:color w:val="000000" w:themeColor="text1"/>
        </w:rPr>
        <w:t xml:space="preserve">or lo tanto, </w:t>
      </w:r>
      <w:bookmarkStart w:id="1" w:name="_Hlk121750901"/>
      <w:r w:rsidRPr="00222802">
        <w:rPr>
          <w:rFonts w:ascii="Verdana" w:eastAsia="Calibri" w:hAnsi="Verdana" w:cs="Arial"/>
          <w:bCs/>
          <w:color w:val="000000" w:themeColor="text1"/>
        </w:rPr>
        <w:t>el comodatario es un mero tenedor de la cosa y</w:t>
      </w:r>
      <w:r>
        <w:rPr>
          <w:rFonts w:ascii="Verdana" w:eastAsia="Calibri" w:hAnsi="Verdana" w:cs="Arial"/>
          <w:bCs/>
          <w:color w:val="000000" w:themeColor="text1"/>
        </w:rPr>
        <w:t xml:space="preserve">, en los términos del </w:t>
      </w:r>
      <w:r w:rsidRPr="00222802">
        <w:rPr>
          <w:rFonts w:ascii="Verdana" w:eastAsia="Calibri" w:hAnsi="Verdana" w:cs="Arial"/>
          <w:bCs/>
          <w:color w:val="000000" w:themeColor="text1"/>
        </w:rPr>
        <w:t>artículo 2205</w:t>
      </w:r>
      <w:r>
        <w:rPr>
          <w:rFonts w:ascii="Verdana" w:eastAsia="Calibri" w:hAnsi="Verdana" w:cs="Arial"/>
          <w:bCs/>
          <w:color w:val="000000" w:themeColor="text1"/>
        </w:rPr>
        <w:t xml:space="preserve"> </w:t>
      </w:r>
      <w:r w:rsidRPr="009F2D84">
        <w:rPr>
          <w:rFonts w:ascii="Verdana" w:eastAsia="Calibri" w:hAnsi="Verdana" w:cs="Arial"/>
          <w:bCs/>
          <w:i/>
          <w:iCs/>
          <w:color w:val="000000" w:themeColor="text1"/>
        </w:rPr>
        <w:t>ibidem</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está obligado a la restitución del bien entregado en comodato al vencimiento </w:t>
      </w:r>
      <w:r w:rsidRPr="00222802">
        <w:rPr>
          <w:rFonts w:ascii="Verdana" w:eastAsia="Calibri" w:hAnsi="Verdana" w:cs="Arial"/>
          <w:bCs/>
          <w:color w:val="000000" w:themeColor="text1"/>
        </w:rPr>
        <w:lastRenderedPageBreak/>
        <w:t>del plazo o cuando se ha cumplido el servicio para el cual ha sido prestada</w:t>
      </w:r>
      <w:bookmarkEnd w:id="1"/>
      <w:r w:rsidRPr="00222802">
        <w:rPr>
          <w:rStyle w:val="Refdenotaalpie"/>
          <w:rFonts w:ascii="Verdana" w:eastAsia="Calibri" w:hAnsi="Verdana" w:cs="Arial"/>
          <w:bCs/>
          <w:color w:val="000000" w:themeColor="text1"/>
        </w:rPr>
        <w:footnoteReference w:id="3"/>
      </w:r>
      <w:r w:rsidRPr="00222802">
        <w:rPr>
          <w:rFonts w:ascii="Verdana" w:eastAsia="Calibri" w:hAnsi="Verdana" w:cs="Arial"/>
          <w:bCs/>
          <w:color w:val="000000" w:themeColor="text1"/>
        </w:rPr>
        <w:t xml:space="preserve">. </w:t>
      </w:r>
    </w:p>
    <w:p w14:paraId="5B49B436" w14:textId="77777777" w:rsidR="00ED0CD0" w:rsidRDefault="00D22A2A" w:rsidP="000A53C6">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Conforme al </w:t>
      </w:r>
      <w:r w:rsidRPr="00222802">
        <w:rPr>
          <w:rFonts w:ascii="Verdana" w:eastAsia="Calibri" w:hAnsi="Verdana" w:cs="Arial"/>
          <w:bCs/>
          <w:color w:val="000000" w:themeColor="text1"/>
        </w:rPr>
        <w:t>artículo 2202</w:t>
      </w:r>
      <w:r>
        <w:rPr>
          <w:rFonts w:ascii="Verdana" w:eastAsia="Calibri" w:hAnsi="Verdana" w:cs="Arial"/>
          <w:bCs/>
          <w:color w:val="000000" w:themeColor="text1"/>
        </w:rPr>
        <w:t xml:space="preserve"> del Código Civil</w:t>
      </w:r>
      <w:r w:rsidRPr="00222802">
        <w:rPr>
          <w:rFonts w:ascii="Verdana" w:eastAsia="Calibri" w:hAnsi="Verdana" w:cs="Arial"/>
          <w:bCs/>
          <w:color w:val="000000" w:themeColor="text1"/>
        </w:rPr>
        <w:t>, el comodatario tendrá la obligación de emplear la cosa para el uso convenido, o a falta de acuerdo, está obligado a usar la cosa bajo el uso ordinario</w:t>
      </w:r>
      <w:r w:rsidRPr="00222802">
        <w:rPr>
          <w:rStyle w:val="Refdenotaalpie"/>
          <w:rFonts w:ascii="Verdana" w:eastAsia="Calibri" w:hAnsi="Verdana" w:cs="Arial"/>
          <w:bCs/>
          <w:color w:val="000000" w:themeColor="text1"/>
        </w:rPr>
        <w:footnoteReference w:id="4"/>
      </w:r>
      <w:r w:rsidRPr="00222802">
        <w:rPr>
          <w:rFonts w:ascii="Verdana" w:eastAsia="Calibri" w:hAnsi="Verdana" w:cs="Arial"/>
          <w:bCs/>
          <w:color w:val="000000" w:themeColor="text1"/>
        </w:rPr>
        <w:t xml:space="preserve">. De incumplir esta obligación, el comodante podrá exigir la reparación de perjuicios y la restitución inmediata de la cosa. </w:t>
      </w:r>
    </w:p>
    <w:p w14:paraId="590C021B" w14:textId="2DB386DE" w:rsidR="00D22A2A" w:rsidRDefault="00D22A2A" w:rsidP="00D22A2A">
      <w:pPr>
        <w:spacing w:after="0" w:line="276" w:lineRule="auto"/>
        <w:ind w:firstLine="709"/>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A propósito de las características del contrato de comodato, la Sala de Consulta y Servicio Civil del Consejo de Estado </w:t>
      </w:r>
      <w:r>
        <w:rPr>
          <w:rFonts w:ascii="Verdana" w:eastAsia="Calibri" w:hAnsi="Verdana" w:cs="Arial"/>
          <w:bCs/>
          <w:color w:val="000000" w:themeColor="text1"/>
        </w:rPr>
        <w:t>explica que</w:t>
      </w:r>
      <w:r w:rsidRPr="00222802">
        <w:rPr>
          <w:rFonts w:ascii="Verdana" w:eastAsia="Calibri" w:hAnsi="Verdana" w:cs="Arial"/>
          <w:bCs/>
          <w:color w:val="000000" w:themeColor="text1"/>
        </w:rPr>
        <w:t xml:space="preserve">: </w:t>
      </w:r>
    </w:p>
    <w:p w14:paraId="3CB9A4E5" w14:textId="77777777" w:rsidR="00D22A2A" w:rsidRPr="00222802" w:rsidRDefault="00D22A2A" w:rsidP="00D22A2A">
      <w:pPr>
        <w:spacing w:after="0" w:line="276" w:lineRule="auto"/>
        <w:ind w:firstLine="709"/>
        <w:jc w:val="both"/>
        <w:rPr>
          <w:rFonts w:ascii="Verdana" w:eastAsia="Calibri" w:hAnsi="Verdana" w:cs="Arial"/>
          <w:bCs/>
          <w:color w:val="000000" w:themeColor="text1"/>
        </w:rPr>
      </w:pPr>
    </w:p>
    <w:p w14:paraId="38F7ABED" w14:textId="77777777" w:rsidR="00D22A2A" w:rsidRPr="002964EC" w:rsidRDefault="00D22A2A" w:rsidP="002964EC">
      <w:pPr>
        <w:spacing w:after="0" w:line="240" w:lineRule="auto"/>
        <w:ind w:left="709" w:right="709"/>
        <w:contextualSpacing/>
        <w:jc w:val="both"/>
        <w:rPr>
          <w:rFonts w:ascii="Verdana" w:hAnsi="Verdana" w:cs="Arial"/>
          <w:color w:val="000000" w:themeColor="text1"/>
          <w:sz w:val="20"/>
          <w:szCs w:val="20"/>
        </w:rPr>
      </w:pPr>
      <w:r w:rsidRPr="002964EC">
        <w:rPr>
          <w:rFonts w:ascii="Verdana" w:hAnsi="Verdana" w:cs="Arial"/>
          <w:color w:val="000000" w:themeColor="text1"/>
          <w:sz w:val="20"/>
          <w:szCs w:val="20"/>
        </w:rPr>
        <w:t xml:space="preserve">“Cabe señalar que el contrato de comodato, hoy por hoy, es más común en el derecho contractual administrativo que en el derecho privado; es una figura que ha permitido a las diferentes entidades estatales generar ahorro en componentes de gastos, tales como arrendamiento de sedes, costos de administración, mantenimiento y conservación de los bienes públicos; lo que evidencia algunas de las bondades de esta figura independientemente de las políticas que se dicten en materia de administración de los bienes públicos y de las posibilidades económicas que el Estado tiene para su manejo directo. </w:t>
      </w:r>
    </w:p>
    <w:p w14:paraId="108B688F" w14:textId="77777777" w:rsidR="00D22A2A" w:rsidRPr="002964EC" w:rsidRDefault="00D22A2A" w:rsidP="002964EC">
      <w:pPr>
        <w:spacing w:after="0" w:line="240" w:lineRule="auto"/>
        <w:ind w:left="709" w:right="709"/>
        <w:contextualSpacing/>
        <w:jc w:val="both"/>
        <w:rPr>
          <w:rFonts w:ascii="Verdana" w:hAnsi="Verdana" w:cs="Arial"/>
          <w:color w:val="000000" w:themeColor="text1"/>
          <w:sz w:val="20"/>
          <w:szCs w:val="20"/>
        </w:rPr>
      </w:pPr>
      <w:r w:rsidRPr="002964EC">
        <w:rPr>
          <w:rFonts w:ascii="Verdana" w:hAnsi="Verdana" w:cs="Arial"/>
          <w:color w:val="000000" w:themeColor="text1"/>
          <w:sz w:val="20"/>
          <w:szCs w:val="20"/>
        </w:rPr>
        <w:t xml:space="preserve">[…] </w:t>
      </w:r>
    </w:p>
    <w:p w14:paraId="4F36F809" w14:textId="77777777" w:rsidR="00D22A2A" w:rsidRPr="002964EC" w:rsidRDefault="00D22A2A" w:rsidP="002964EC">
      <w:pPr>
        <w:spacing w:after="0" w:line="240" w:lineRule="auto"/>
        <w:ind w:left="709" w:right="709"/>
        <w:contextualSpacing/>
        <w:jc w:val="both"/>
        <w:rPr>
          <w:rFonts w:ascii="Verdana" w:hAnsi="Verdana" w:cs="Arial"/>
          <w:color w:val="000000" w:themeColor="text1"/>
          <w:sz w:val="20"/>
          <w:szCs w:val="20"/>
        </w:rPr>
      </w:pPr>
    </w:p>
    <w:p w14:paraId="0AD6530E" w14:textId="77777777" w:rsidR="00D22A2A" w:rsidRPr="002964EC" w:rsidRDefault="00D22A2A" w:rsidP="00D22A2A">
      <w:pPr>
        <w:spacing w:after="0" w:line="240" w:lineRule="auto"/>
        <w:ind w:left="709" w:right="709"/>
        <w:contextualSpacing/>
        <w:jc w:val="both"/>
        <w:rPr>
          <w:rFonts w:ascii="Verdana" w:hAnsi="Verdana" w:cs="Arial"/>
          <w:color w:val="000000" w:themeColor="text1"/>
          <w:sz w:val="20"/>
          <w:szCs w:val="20"/>
        </w:rPr>
      </w:pPr>
      <w:r w:rsidRPr="002964EC">
        <w:rPr>
          <w:rFonts w:ascii="Verdana" w:hAnsi="Verdana" w:cs="Arial"/>
          <w:color w:val="000000" w:themeColor="text1"/>
          <w:sz w:val="20"/>
          <w:szCs w:val="20"/>
        </w:rPr>
        <w:t>La Sala retoma algunos aspectos analizados en consultas anteriores sobre las características del contrato en comento y precisa lo siguiente con el fin de comprender el alcance de esta figura:</w:t>
      </w:r>
    </w:p>
    <w:p w14:paraId="5B3CF522" w14:textId="77777777" w:rsidR="00D22A2A" w:rsidRPr="002964EC" w:rsidRDefault="00D22A2A" w:rsidP="002964EC">
      <w:pPr>
        <w:spacing w:after="0" w:line="240" w:lineRule="auto"/>
        <w:ind w:left="709" w:right="709"/>
        <w:contextualSpacing/>
        <w:jc w:val="both"/>
        <w:rPr>
          <w:rFonts w:ascii="Verdana" w:eastAsia="Calibri" w:hAnsi="Verdana" w:cs="Arial"/>
          <w:color w:val="000000" w:themeColor="text1"/>
          <w:sz w:val="20"/>
          <w:szCs w:val="20"/>
        </w:rPr>
      </w:pPr>
    </w:p>
    <w:p w14:paraId="4C950A45" w14:textId="77777777" w:rsidR="00D22A2A" w:rsidRPr="002964EC" w:rsidRDefault="00D22A2A" w:rsidP="002964EC">
      <w:pPr>
        <w:numPr>
          <w:ilvl w:val="0"/>
          <w:numId w:val="18"/>
        </w:numPr>
        <w:tabs>
          <w:tab w:val="clear" w:pos="720"/>
          <w:tab w:val="num" w:pos="1068"/>
        </w:tabs>
        <w:spacing w:after="0" w:line="240" w:lineRule="auto"/>
        <w:ind w:left="1066" w:right="709" w:hanging="357"/>
        <w:contextualSpacing/>
        <w:jc w:val="both"/>
        <w:rPr>
          <w:rFonts w:ascii="Verdana" w:eastAsia="Calibri" w:hAnsi="Verdana" w:cs="Arial"/>
          <w:color w:val="000000" w:themeColor="text1"/>
          <w:sz w:val="20"/>
          <w:szCs w:val="20"/>
        </w:rPr>
      </w:pPr>
      <w:r w:rsidRPr="002964EC">
        <w:rPr>
          <w:rFonts w:ascii="Verdana" w:eastAsia="Calibri" w:hAnsi="Verdana" w:cs="Arial"/>
          <w:color w:val="000000" w:themeColor="text1"/>
          <w:sz w:val="20"/>
          <w:szCs w:val="20"/>
        </w:rPr>
        <w:t>El comodato se clasifica dentro de los denominados contratos traslaticios del uso y disfrute de un bien.</w:t>
      </w:r>
    </w:p>
    <w:p w14:paraId="0CB7C8A5" w14:textId="77777777" w:rsidR="00D22A2A" w:rsidRPr="002964EC" w:rsidRDefault="00D22A2A" w:rsidP="002964EC">
      <w:pPr>
        <w:tabs>
          <w:tab w:val="num" w:pos="1068"/>
        </w:tabs>
        <w:spacing w:after="0" w:line="240" w:lineRule="auto"/>
        <w:ind w:left="1066" w:right="709"/>
        <w:contextualSpacing/>
        <w:jc w:val="both"/>
        <w:rPr>
          <w:rFonts w:ascii="Verdana" w:eastAsia="Calibri" w:hAnsi="Verdana" w:cs="Arial"/>
          <w:color w:val="000000" w:themeColor="text1"/>
          <w:sz w:val="20"/>
          <w:szCs w:val="20"/>
        </w:rPr>
      </w:pPr>
    </w:p>
    <w:p w14:paraId="019911AD" w14:textId="77777777" w:rsidR="00D22A2A" w:rsidRPr="002964EC" w:rsidRDefault="00D22A2A" w:rsidP="00D22A2A">
      <w:pPr>
        <w:numPr>
          <w:ilvl w:val="0"/>
          <w:numId w:val="18"/>
        </w:numPr>
        <w:spacing w:after="0" w:line="240" w:lineRule="auto"/>
        <w:ind w:left="1069" w:right="709"/>
        <w:contextualSpacing/>
        <w:jc w:val="both"/>
        <w:rPr>
          <w:rFonts w:ascii="Verdana" w:eastAsia="Calibri" w:hAnsi="Verdana" w:cs="Arial"/>
          <w:color w:val="000000" w:themeColor="text1"/>
          <w:sz w:val="20"/>
          <w:szCs w:val="20"/>
        </w:rPr>
      </w:pPr>
      <w:r w:rsidRPr="002964EC">
        <w:rPr>
          <w:rFonts w:ascii="Verdana" w:eastAsia="Calibri" w:hAnsi="Verdana" w:cs="Arial"/>
          <w:color w:val="000000" w:themeColor="text1"/>
          <w:sz w:val="20"/>
          <w:szCs w:val="20"/>
        </w:rPr>
        <w:t xml:space="preserve">De conformidad con lo previsto en el artículo 32 de la ley 80 de 1993, las entidades estatales están facultadas para celebrar este tipo de contrato regulado por el derecho privado, observando los límites </w:t>
      </w:r>
      <w:r w:rsidRPr="002964EC">
        <w:rPr>
          <w:rFonts w:ascii="Verdana" w:eastAsia="Calibri" w:hAnsi="Verdana" w:cs="Arial"/>
          <w:color w:val="000000" w:themeColor="text1"/>
          <w:sz w:val="20"/>
          <w:szCs w:val="20"/>
        </w:rPr>
        <w:lastRenderedPageBreak/>
        <w:t>señalados en normas especiales sobre la materia, en cuanto al tiempo máximo de duración y la destinación o uso que debe darse al bien”</w:t>
      </w:r>
      <w:r w:rsidRPr="002964EC">
        <w:rPr>
          <w:rStyle w:val="Refdenotaalpie"/>
          <w:rFonts w:ascii="Verdana" w:eastAsia="Calibri" w:hAnsi="Verdana" w:cs="Arial"/>
          <w:color w:val="000000" w:themeColor="text1"/>
          <w:sz w:val="20"/>
          <w:szCs w:val="20"/>
        </w:rPr>
        <w:footnoteReference w:id="5"/>
      </w:r>
      <w:r w:rsidRPr="002964EC">
        <w:rPr>
          <w:rFonts w:ascii="Verdana" w:eastAsia="Calibri" w:hAnsi="Verdana" w:cs="Arial"/>
          <w:color w:val="000000" w:themeColor="text1"/>
          <w:sz w:val="20"/>
          <w:szCs w:val="20"/>
        </w:rPr>
        <w:t>.</w:t>
      </w:r>
    </w:p>
    <w:p w14:paraId="6847C202" w14:textId="77777777" w:rsidR="00D22A2A" w:rsidRPr="00222802" w:rsidRDefault="00D22A2A" w:rsidP="00D22A2A">
      <w:pPr>
        <w:spacing w:after="0" w:line="276" w:lineRule="auto"/>
        <w:ind w:firstLine="708"/>
        <w:jc w:val="both"/>
        <w:rPr>
          <w:rFonts w:ascii="Verdana" w:eastAsia="Calibri" w:hAnsi="Verdana" w:cs="Arial"/>
          <w:bCs/>
          <w:color w:val="000000" w:themeColor="text1"/>
        </w:rPr>
      </w:pPr>
    </w:p>
    <w:p w14:paraId="23EAAE5B" w14:textId="77777777" w:rsidR="00D22A2A" w:rsidRPr="00222802" w:rsidRDefault="00D22A2A" w:rsidP="002964EC">
      <w:pPr>
        <w:spacing w:after="120" w:line="276" w:lineRule="auto"/>
        <w:ind w:firstLine="709"/>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Si bien el artículo 1452 del Código Civil dispone que no existe donación en el comodato, implica un auxilio en favor de terceros. Para estos efectos, la jurisprudencia considera que el contrato </w:t>
      </w:r>
      <w:r>
        <w:rPr>
          <w:rFonts w:ascii="Verdana" w:eastAsia="Calibri" w:hAnsi="Verdana" w:cs="Arial"/>
          <w:bCs/>
          <w:color w:val="000000" w:themeColor="text1"/>
        </w:rPr>
        <w:t>“</w:t>
      </w:r>
      <w:r w:rsidRPr="001E075A">
        <w:rPr>
          <w:rFonts w:ascii="Verdana" w:eastAsia="Calibri" w:hAnsi="Verdana" w:cs="Arial"/>
          <w:bCs/>
          <w:iCs/>
          <w:color w:val="000000" w:themeColor="text1"/>
        </w:rPr>
        <w:t xml:space="preserve">Es tal vez una de las más elementales pero contundentes muestras de solidaridad, ayuda y auxilio, como que se trata de un acto de cortesía, benevolencia, beneficencia o complacencia que no tiene el lucro como inspiración esencial y que facilita al comodatario la satisfacción de sus necesidades […] No en vano, comodato viene del latín </w:t>
      </w:r>
      <w:proofErr w:type="spellStart"/>
      <w:r w:rsidRPr="001E075A">
        <w:rPr>
          <w:rFonts w:ascii="Verdana" w:eastAsia="Calibri" w:hAnsi="Verdana" w:cs="Arial"/>
          <w:bCs/>
          <w:i/>
          <w:color w:val="000000" w:themeColor="text1"/>
        </w:rPr>
        <w:t>commodatum</w:t>
      </w:r>
      <w:proofErr w:type="spellEnd"/>
      <w:r w:rsidRPr="001E075A">
        <w:rPr>
          <w:rFonts w:ascii="Verdana" w:eastAsia="Calibri" w:hAnsi="Verdana" w:cs="Arial"/>
          <w:bCs/>
          <w:iCs/>
          <w:color w:val="000000" w:themeColor="text1"/>
        </w:rPr>
        <w:t xml:space="preserve">, expresión que conjuga los términos </w:t>
      </w:r>
      <w:proofErr w:type="spellStart"/>
      <w:r w:rsidRPr="001E075A">
        <w:rPr>
          <w:rFonts w:ascii="Verdana" w:eastAsia="Calibri" w:hAnsi="Verdana" w:cs="Arial"/>
          <w:bCs/>
          <w:i/>
          <w:color w:val="000000" w:themeColor="text1"/>
        </w:rPr>
        <w:t>commodum</w:t>
      </w:r>
      <w:proofErr w:type="spellEnd"/>
      <w:r w:rsidRPr="001E075A">
        <w:rPr>
          <w:rFonts w:ascii="Verdana" w:eastAsia="Calibri" w:hAnsi="Verdana" w:cs="Arial"/>
          <w:bCs/>
          <w:iCs/>
          <w:color w:val="000000" w:themeColor="text1"/>
        </w:rPr>
        <w:t xml:space="preserve"> -utilidad, provecho- y </w:t>
      </w:r>
      <w:r w:rsidRPr="001E075A">
        <w:rPr>
          <w:rFonts w:ascii="Verdana" w:eastAsia="Calibri" w:hAnsi="Verdana" w:cs="Arial"/>
          <w:bCs/>
          <w:i/>
          <w:color w:val="000000" w:themeColor="text1"/>
        </w:rPr>
        <w:t>datum</w:t>
      </w:r>
      <w:r w:rsidRPr="001E075A">
        <w:rPr>
          <w:rFonts w:ascii="Verdana" w:eastAsia="Calibri" w:hAnsi="Verdana" w:cs="Arial"/>
          <w:bCs/>
          <w:iCs/>
          <w:color w:val="000000" w:themeColor="text1"/>
        </w:rPr>
        <w:t xml:space="preserve"> -dar-, es decir, entregar para utilidad de otro (</w:t>
      </w:r>
      <w:proofErr w:type="spellStart"/>
      <w:r w:rsidRPr="001E075A">
        <w:rPr>
          <w:rFonts w:ascii="Verdana" w:eastAsia="Calibri" w:hAnsi="Verdana" w:cs="Arial"/>
          <w:bCs/>
          <w:i/>
          <w:color w:val="000000" w:themeColor="text1"/>
        </w:rPr>
        <w:t>utendum</w:t>
      </w:r>
      <w:proofErr w:type="spellEnd"/>
      <w:r w:rsidRPr="001E075A">
        <w:rPr>
          <w:rFonts w:ascii="Verdana" w:eastAsia="Calibri" w:hAnsi="Verdana" w:cs="Arial"/>
          <w:bCs/>
          <w:i/>
          <w:color w:val="000000" w:themeColor="text1"/>
        </w:rPr>
        <w:t xml:space="preserve"> </w:t>
      </w:r>
      <w:proofErr w:type="spellStart"/>
      <w:r w:rsidRPr="001E075A">
        <w:rPr>
          <w:rFonts w:ascii="Verdana" w:eastAsia="Calibri" w:hAnsi="Verdana" w:cs="Arial"/>
          <w:bCs/>
          <w:i/>
          <w:color w:val="000000" w:themeColor="text1"/>
        </w:rPr>
        <w:t>dare</w:t>
      </w:r>
      <w:proofErr w:type="spellEnd"/>
      <w:r w:rsidRPr="001E075A">
        <w:rPr>
          <w:rFonts w:ascii="Verdana" w:eastAsia="Calibri" w:hAnsi="Verdana" w:cs="Arial"/>
          <w:bCs/>
          <w:iCs/>
          <w:color w:val="000000" w:themeColor="text1"/>
        </w:rPr>
        <w:t>)</w:t>
      </w:r>
      <w:r>
        <w:rPr>
          <w:rFonts w:ascii="Verdana" w:eastAsia="Calibri" w:hAnsi="Verdana" w:cs="Arial"/>
          <w:bCs/>
          <w:color w:val="000000" w:themeColor="text1"/>
        </w:rPr>
        <w:t>”</w:t>
      </w:r>
      <w:r w:rsidRPr="00222802">
        <w:rPr>
          <w:rFonts w:ascii="Verdana" w:eastAsia="Calibri" w:hAnsi="Verdana"/>
          <w:vertAlign w:val="superscript"/>
        </w:rPr>
        <w:footnoteReference w:id="6"/>
      </w:r>
      <w:bookmarkStart w:id="4" w:name="_Hlk35263504"/>
      <w:r w:rsidRPr="00222802">
        <w:rPr>
          <w:rFonts w:ascii="Verdana" w:eastAsia="Calibri" w:hAnsi="Verdana" w:cs="Arial"/>
          <w:bCs/>
          <w:color w:val="000000" w:themeColor="text1"/>
        </w:rPr>
        <w:t xml:space="preserve">. </w:t>
      </w:r>
    </w:p>
    <w:p w14:paraId="7D2FA003" w14:textId="77777777" w:rsidR="00D22A2A" w:rsidRPr="00222802" w:rsidRDefault="00D22A2A" w:rsidP="00D22A2A">
      <w:pPr>
        <w:spacing w:after="0" w:line="276" w:lineRule="auto"/>
        <w:ind w:firstLine="708"/>
        <w:contextualSpacing/>
        <w:mirrorIndents/>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Sin perjuicio de lo anterior, resulta relevante resaltar que </w:t>
      </w:r>
      <w:bookmarkStart w:id="5" w:name="_Hlk121742558"/>
      <w:r w:rsidRPr="00222802">
        <w:rPr>
          <w:rFonts w:ascii="Verdana" w:eastAsia="Calibri" w:hAnsi="Verdana" w:cs="Arial"/>
          <w:bCs/>
          <w:color w:val="000000" w:themeColor="text1"/>
        </w:rPr>
        <w:t>esta tipología contractual es restrictiva en la contratación pública, cuando se pretende celebrar con particulares, máxime cuando el ordenamiento s</w:t>
      </w:r>
      <w:r>
        <w:rPr>
          <w:rFonts w:ascii="Verdana" w:eastAsia="Calibri" w:hAnsi="Verdana" w:cs="Arial"/>
          <w:bCs/>
          <w:color w:val="000000" w:themeColor="text1"/>
        </w:rPr>
        <w:t>ó</w:t>
      </w:r>
      <w:r w:rsidRPr="00222802">
        <w:rPr>
          <w:rFonts w:ascii="Verdana" w:eastAsia="Calibri" w:hAnsi="Verdana" w:cs="Arial"/>
          <w:bCs/>
          <w:color w:val="000000" w:themeColor="text1"/>
        </w:rPr>
        <w:t>lo permite donaciones y auxilios a favor de entidades estatales.</w:t>
      </w:r>
      <w:bookmarkEnd w:id="5"/>
      <w:r w:rsidRPr="00222802">
        <w:rPr>
          <w:rFonts w:ascii="Verdana" w:eastAsia="Calibri" w:hAnsi="Verdana" w:cs="Arial"/>
          <w:bCs/>
          <w:color w:val="000000" w:themeColor="text1"/>
        </w:rPr>
        <w:t xml:space="preserve"> Al respecto, es importante destacar que el artículo 38 de la Ley 9 de 1989</w:t>
      </w:r>
      <w:bookmarkEnd w:id="4"/>
      <w:r w:rsidRPr="00222802">
        <w:rPr>
          <w:rFonts w:ascii="Verdana" w:eastAsia="Calibri" w:hAnsi="Verdana" w:cs="Arial"/>
          <w:bCs/>
          <w:color w:val="000000" w:themeColor="text1"/>
        </w:rPr>
        <w:t xml:space="preserve"> </w:t>
      </w:r>
      <w:r>
        <w:rPr>
          <w:rFonts w:ascii="Verdana" w:eastAsia="Calibri" w:hAnsi="Verdana" w:cs="Arial"/>
          <w:bCs/>
          <w:color w:val="000000" w:themeColor="text1"/>
        </w:rPr>
        <w:t>prescribe que</w:t>
      </w:r>
      <w:r w:rsidRPr="00222802">
        <w:rPr>
          <w:rFonts w:ascii="Verdana" w:eastAsia="Calibri" w:hAnsi="Verdana" w:cs="Arial"/>
          <w:bCs/>
          <w:color w:val="000000" w:themeColor="text1"/>
        </w:rPr>
        <w:t>:</w:t>
      </w:r>
    </w:p>
    <w:p w14:paraId="271A93D2" w14:textId="77777777" w:rsidR="00D22A2A" w:rsidRPr="00332CB9" w:rsidRDefault="00D22A2A" w:rsidP="002964EC">
      <w:pPr>
        <w:pStyle w:val="Prrafodelista"/>
        <w:spacing w:after="0" w:line="276" w:lineRule="auto"/>
        <w:jc w:val="both"/>
        <w:rPr>
          <w:rFonts w:ascii="Verdana" w:eastAsia="Calibri" w:hAnsi="Verdana" w:cs="Arial"/>
          <w:bCs/>
          <w:color w:val="000000" w:themeColor="text1"/>
          <w:lang w:val="es-ES_tradnl"/>
        </w:rPr>
      </w:pPr>
    </w:p>
    <w:p w14:paraId="41A5952A" w14:textId="77777777" w:rsidR="00D22A2A" w:rsidRPr="002964EC" w:rsidRDefault="00D22A2A" w:rsidP="002964EC">
      <w:pPr>
        <w:pStyle w:val="Prrafodelista"/>
        <w:spacing w:after="0" w:line="240" w:lineRule="auto"/>
        <w:ind w:left="709" w:right="709"/>
        <w:contextualSpacing w:val="0"/>
        <w:jc w:val="both"/>
        <w:rPr>
          <w:rFonts w:ascii="Verdana" w:eastAsia="Calibri" w:hAnsi="Verdana" w:cs="Arial"/>
          <w:color w:val="000000" w:themeColor="text1"/>
          <w:sz w:val="20"/>
          <w:szCs w:val="20"/>
          <w:lang w:val="es-ES_tradnl"/>
        </w:rPr>
      </w:pPr>
      <w:r w:rsidRPr="002964EC">
        <w:rPr>
          <w:rFonts w:ascii="Verdana" w:eastAsia="Calibri" w:hAnsi="Verdana" w:cs="Arial"/>
          <w:i/>
          <w:color w:val="000000" w:themeColor="text1"/>
          <w:sz w:val="20"/>
          <w:szCs w:val="20"/>
          <w:lang w:val="es-ES_tradnl"/>
        </w:rPr>
        <w:t>“Las entidades públicas no podrán dar en comodato sus inmuebles sino únicamente a otras entidades públicas, sindicatos, cooperativas, asociaciones y fundaciones que no repartan utilidades entre sus asociados o fundadores ni adjudiquen sus activos en el momento de su liquidación a los mismos, juntas de acción comunal, fondos de empleados y las demás que puedan asimilarse a las anteriores, y por un término máximo de cinco (5) años, renovables</w:t>
      </w:r>
      <w:r w:rsidRPr="002964EC">
        <w:rPr>
          <w:rFonts w:ascii="Verdana" w:eastAsia="Calibri" w:hAnsi="Verdana" w:cs="Arial"/>
          <w:color w:val="000000" w:themeColor="text1"/>
          <w:sz w:val="20"/>
          <w:szCs w:val="20"/>
          <w:lang w:val="es-ES_tradnl"/>
        </w:rPr>
        <w:t>.</w:t>
      </w:r>
    </w:p>
    <w:p w14:paraId="085836BE" w14:textId="77777777" w:rsidR="00D22A2A" w:rsidRPr="002964EC" w:rsidRDefault="00D22A2A" w:rsidP="002964EC">
      <w:pPr>
        <w:pStyle w:val="Prrafodelista"/>
        <w:spacing w:after="0" w:line="240" w:lineRule="auto"/>
        <w:ind w:left="709" w:right="709"/>
        <w:contextualSpacing w:val="0"/>
        <w:jc w:val="both"/>
        <w:rPr>
          <w:rFonts w:ascii="Verdana" w:eastAsia="Calibri" w:hAnsi="Verdana" w:cs="Arial"/>
          <w:color w:val="000000" w:themeColor="text1"/>
          <w:sz w:val="20"/>
          <w:szCs w:val="20"/>
          <w:lang w:val="es-ES_tradnl"/>
        </w:rPr>
      </w:pPr>
    </w:p>
    <w:p w14:paraId="3B38B944" w14:textId="77777777" w:rsidR="00D22A2A" w:rsidRPr="002964EC" w:rsidRDefault="00D22A2A" w:rsidP="002964EC">
      <w:pPr>
        <w:pStyle w:val="Prrafodelista"/>
        <w:spacing w:after="0" w:line="240" w:lineRule="auto"/>
        <w:ind w:left="709" w:right="709"/>
        <w:contextualSpacing w:val="0"/>
        <w:jc w:val="both"/>
        <w:rPr>
          <w:rFonts w:ascii="Verdana" w:eastAsia="Calibri" w:hAnsi="Verdana" w:cs="Arial"/>
          <w:color w:val="000000" w:themeColor="text1"/>
          <w:sz w:val="20"/>
          <w:szCs w:val="20"/>
          <w:lang w:val="es-ES_tradnl"/>
        </w:rPr>
      </w:pPr>
      <w:r w:rsidRPr="002964EC">
        <w:rPr>
          <w:rFonts w:ascii="Verdana" w:eastAsia="Calibri" w:hAnsi="Verdana" w:cs="Arial"/>
          <w:color w:val="000000" w:themeColor="text1"/>
          <w:sz w:val="20"/>
          <w:szCs w:val="20"/>
          <w:lang w:val="es-ES_tradnl"/>
        </w:rPr>
        <w:t>Los contratos de comodato existentes, y que hayan sido celebrados por las entidades públicas con personas distintas de las señaladas en el inciso anterior, serán renegociados por las primeras para limitar su término a tres (3) años renovables, contados a partir de la promulgación de la presente Ley”. (Énfasis fuera de texto)</w:t>
      </w:r>
    </w:p>
    <w:p w14:paraId="0A283FEC" w14:textId="77777777" w:rsidR="00D22A2A" w:rsidRPr="00222802" w:rsidRDefault="00D22A2A" w:rsidP="002964EC">
      <w:pPr>
        <w:pStyle w:val="Prrafodelista"/>
        <w:spacing w:after="0" w:line="276" w:lineRule="auto"/>
        <w:contextualSpacing w:val="0"/>
        <w:jc w:val="both"/>
        <w:rPr>
          <w:rFonts w:ascii="Verdana" w:eastAsia="Calibri" w:hAnsi="Verdana" w:cs="Arial"/>
          <w:bCs/>
          <w:color w:val="000000" w:themeColor="text1"/>
          <w:lang w:val="es-ES_tradnl"/>
        </w:rPr>
      </w:pPr>
    </w:p>
    <w:p w14:paraId="4528E885" w14:textId="2B0F83C7" w:rsidR="00D22A2A" w:rsidRPr="00222802" w:rsidRDefault="00D22A2A" w:rsidP="002964EC">
      <w:pPr>
        <w:tabs>
          <w:tab w:val="left" w:pos="8789"/>
        </w:tabs>
        <w:spacing w:after="120" w:line="276" w:lineRule="auto"/>
        <w:ind w:right="51" w:firstLine="709"/>
        <w:mirrorIndents/>
        <w:jc w:val="both"/>
        <w:rPr>
          <w:rFonts w:ascii="Verdana" w:eastAsia="Calibri" w:hAnsi="Verdana" w:cs="Arial"/>
          <w:bCs/>
          <w:color w:val="000000" w:themeColor="text1"/>
        </w:rPr>
      </w:pPr>
      <w:r>
        <w:rPr>
          <w:rFonts w:ascii="Verdana" w:eastAsia="Calibri" w:hAnsi="Verdana" w:cs="Arial"/>
          <w:bCs/>
          <w:color w:val="000000" w:themeColor="text1"/>
        </w:rPr>
        <w:t>Esta norma</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 xml:space="preserve">es congruente con </w:t>
      </w:r>
      <w:r w:rsidRPr="00222802">
        <w:rPr>
          <w:rFonts w:ascii="Verdana" w:eastAsia="Calibri" w:hAnsi="Verdana" w:cs="Arial"/>
          <w:bCs/>
          <w:color w:val="000000" w:themeColor="text1"/>
        </w:rPr>
        <w:t xml:space="preserve">el artículo 355 de la Constitución Política de 1991, el cual dispone que </w:t>
      </w:r>
      <w:r>
        <w:rPr>
          <w:rFonts w:ascii="Verdana" w:eastAsia="Calibri" w:hAnsi="Verdana" w:cs="Arial"/>
          <w:bCs/>
          <w:color w:val="000000" w:themeColor="text1"/>
        </w:rPr>
        <w:t>“</w:t>
      </w:r>
      <w:r w:rsidRPr="00222802">
        <w:rPr>
          <w:rFonts w:ascii="Verdana" w:eastAsia="Calibri" w:hAnsi="Verdana" w:cs="Arial"/>
          <w:bCs/>
          <w:color w:val="000000" w:themeColor="text1"/>
        </w:rPr>
        <w:t>Ninguna de las ramas u órganos del poder público podrá decretar auxilios o donaciones en favor de personas naturales o jurídicas de derecho privado</w:t>
      </w:r>
      <w:r>
        <w:rPr>
          <w:rFonts w:ascii="Verdana" w:eastAsia="Calibri" w:hAnsi="Verdana" w:cs="Arial"/>
          <w:bCs/>
          <w:color w:val="000000" w:themeColor="text1"/>
        </w:rPr>
        <w:t>”</w:t>
      </w:r>
      <w:r w:rsidRPr="00222802">
        <w:rPr>
          <w:rFonts w:ascii="Verdana" w:eastAsia="Calibri" w:hAnsi="Verdana" w:cs="Arial"/>
          <w:bCs/>
          <w:color w:val="000000" w:themeColor="text1"/>
        </w:rPr>
        <w:t>.</w:t>
      </w:r>
      <w:r>
        <w:rPr>
          <w:rFonts w:ascii="Verdana" w:eastAsia="Calibri" w:hAnsi="Verdana" w:cs="Arial"/>
          <w:bCs/>
          <w:color w:val="000000" w:themeColor="text1"/>
        </w:rPr>
        <w:t xml:space="preserve"> No obstante, el inciso segundo </w:t>
      </w:r>
      <w:r>
        <w:rPr>
          <w:rFonts w:ascii="Verdana" w:eastAsia="Calibri" w:hAnsi="Verdana" w:cs="Arial"/>
          <w:bCs/>
          <w:color w:val="000000" w:themeColor="text1"/>
        </w:rPr>
        <w:lastRenderedPageBreak/>
        <w:t>también señala lo siguiente: “</w:t>
      </w:r>
      <w:r w:rsidRPr="00CE3BCB">
        <w:rPr>
          <w:rFonts w:ascii="Verdana" w:eastAsia="Calibri" w:hAnsi="Verdana" w:cs="Arial"/>
          <w:bCs/>
          <w:color w:val="000000" w:themeColor="text1"/>
        </w:rPr>
        <w:t xml:space="preserve">El Gobierno, en los niveles nacional, departamental, distrital y municipal podrá, con recursos de los respectivos presupuestos, </w:t>
      </w:r>
      <w:r w:rsidR="00E428A6" w:rsidRPr="00CE3BCB">
        <w:rPr>
          <w:rFonts w:ascii="Verdana" w:eastAsia="Calibri" w:hAnsi="Verdana" w:cs="Arial"/>
          <w:bCs/>
          <w:color w:val="000000" w:themeColor="text1"/>
        </w:rPr>
        <w:t>celebrará</w:t>
      </w:r>
      <w:r w:rsidRPr="00CE3BCB">
        <w:rPr>
          <w:rFonts w:ascii="Verdana" w:eastAsia="Calibri" w:hAnsi="Verdana" w:cs="Arial"/>
          <w:bCs/>
          <w:color w:val="000000" w:themeColor="text1"/>
        </w:rPr>
        <w:t xml:space="preserve"> contratos con entidades privadas sin ánimo de lucro y de reconocida idoneidad con el fin de impulsar programas y actividades de interés público acordes con el Plan Nacional y con los planes seccionales de Desarrollo</w:t>
      </w:r>
      <w:r>
        <w:rPr>
          <w:rFonts w:ascii="Verdana" w:eastAsia="Calibri" w:hAnsi="Verdana" w:cs="Arial"/>
          <w:bCs/>
          <w:color w:val="000000" w:themeColor="text1"/>
        </w:rPr>
        <w:t xml:space="preserve"> […]”</w:t>
      </w:r>
      <w:r w:rsidRPr="00CE3BCB">
        <w:rPr>
          <w:rFonts w:ascii="Verdana" w:eastAsia="Calibri" w:hAnsi="Verdana" w:cs="Arial"/>
          <w:bCs/>
          <w:color w:val="000000" w:themeColor="text1"/>
        </w:rPr>
        <w:t>.</w:t>
      </w:r>
    </w:p>
    <w:p w14:paraId="4D6D2177" w14:textId="12456CE9" w:rsidR="00D22A2A" w:rsidRPr="00222802" w:rsidRDefault="00D22A2A" w:rsidP="002964EC">
      <w:pPr>
        <w:widowControl w:val="0"/>
        <w:tabs>
          <w:tab w:val="left" w:pos="8789"/>
        </w:tabs>
        <w:autoSpaceDE w:val="0"/>
        <w:autoSpaceDN w:val="0"/>
        <w:spacing w:after="120" w:line="276" w:lineRule="auto"/>
        <w:ind w:firstLine="709"/>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Mediante </w:t>
      </w:r>
      <w:r>
        <w:rPr>
          <w:rFonts w:ascii="Verdana" w:eastAsia="Calibri" w:hAnsi="Verdana" w:cs="Arial"/>
          <w:bCs/>
          <w:color w:val="000000" w:themeColor="text1"/>
        </w:rPr>
        <w:t>C</w:t>
      </w:r>
      <w:r w:rsidRPr="00222802">
        <w:rPr>
          <w:rFonts w:ascii="Verdana" w:eastAsia="Calibri" w:hAnsi="Verdana" w:cs="Arial"/>
          <w:bCs/>
          <w:color w:val="000000" w:themeColor="text1"/>
        </w:rPr>
        <w:t>oncepto</w:t>
      </w:r>
      <w:r>
        <w:rPr>
          <w:rFonts w:ascii="Verdana" w:eastAsia="Calibri" w:hAnsi="Verdana" w:cs="Arial"/>
          <w:bCs/>
          <w:color w:val="000000" w:themeColor="text1"/>
        </w:rPr>
        <w:t xml:space="preserve"> </w:t>
      </w:r>
      <w:r w:rsidRPr="00222802">
        <w:rPr>
          <w:rFonts w:ascii="Verdana" w:eastAsia="Calibri" w:hAnsi="Verdana" w:cs="Arial"/>
          <w:bCs/>
          <w:color w:val="000000" w:themeColor="text1"/>
        </w:rPr>
        <w:t xml:space="preserve">415140000909 de 2015, la </w:t>
      </w:r>
      <w:r w:rsidR="00937B31" w:rsidRPr="002964EC">
        <w:rPr>
          <w:rFonts w:ascii="Verdana" w:eastAsia="Calibri" w:hAnsi="Verdana" w:cs="Arial"/>
          <w:bCs/>
          <w:color w:val="000000" w:themeColor="text1"/>
        </w:rPr>
        <w:t>Agencia Nacional de Contratación Pública - Colombia Compra Eficiente</w:t>
      </w:r>
      <w:r w:rsidR="00937B31" w:rsidRPr="00937B31" w:rsidDel="00937B31">
        <w:rPr>
          <w:rFonts w:ascii="Verdana" w:eastAsia="Calibri" w:hAnsi="Verdana" w:cs="Arial"/>
          <w:bCs/>
          <w:color w:val="000000" w:themeColor="text1"/>
        </w:rPr>
        <w:t xml:space="preserve"> </w:t>
      </w:r>
      <w:r w:rsidRPr="00222802">
        <w:rPr>
          <w:rFonts w:ascii="Verdana" w:eastAsia="Calibri" w:hAnsi="Verdana" w:cs="Arial"/>
          <w:bCs/>
          <w:color w:val="000000" w:themeColor="text1"/>
        </w:rPr>
        <w:t xml:space="preserve">explicó que el artículo 38 de la Ley 9 de 1989 contiene una restricción al texto constitucional del artículo 355, toda vez que tratándose de bienes inmuebles establece dos (2) condiciones a las que están sujetas las entidades estatales para celebrar el contrato de comodato: i) el tiempo de duración del contrato y </w:t>
      </w:r>
      <w:proofErr w:type="spellStart"/>
      <w:r w:rsidRPr="00222802">
        <w:rPr>
          <w:rFonts w:ascii="Verdana" w:eastAsia="Calibri" w:hAnsi="Verdana" w:cs="Arial"/>
          <w:bCs/>
          <w:color w:val="000000" w:themeColor="text1"/>
        </w:rPr>
        <w:t>ii</w:t>
      </w:r>
      <w:proofErr w:type="spellEnd"/>
      <w:r w:rsidRPr="00222802">
        <w:rPr>
          <w:rFonts w:ascii="Verdana" w:eastAsia="Calibri" w:hAnsi="Verdana" w:cs="Arial"/>
          <w:bCs/>
          <w:color w:val="000000" w:themeColor="text1"/>
        </w:rPr>
        <w:t xml:space="preserve">) las personas con las cuales puede celebrarlo. Con fundamento en la misma norma, precisó que esta no establece restricción frente al contrato de comodato de bienes muebles, por tanto, las entidades estatales podrían celebrar contratos de comodato entre sí, de acuerdo con las reglas del Código Civil dispuestas entre los artículos 2200 al 2220. </w:t>
      </w:r>
    </w:p>
    <w:p w14:paraId="6EA9A254" w14:textId="77777777" w:rsidR="00D22A2A" w:rsidRPr="00222802" w:rsidRDefault="00D22A2A" w:rsidP="002964EC">
      <w:pPr>
        <w:widowControl w:val="0"/>
        <w:tabs>
          <w:tab w:val="left" w:pos="8789"/>
        </w:tabs>
        <w:autoSpaceDE w:val="0"/>
        <w:autoSpaceDN w:val="0"/>
        <w:spacing w:after="120" w:line="276" w:lineRule="auto"/>
        <w:ind w:firstLine="709"/>
        <w:jc w:val="both"/>
        <w:rPr>
          <w:rFonts w:ascii="Verdana" w:hAnsi="Verdana" w:cs="Arial"/>
          <w:color w:val="000000" w:themeColor="text1"/>
        </w:rPr>
      </w:pPr>
      <w:bookmarkStart w:id="6" w:name="_Hlk121751380"/>
      <w:r w:rsidRPr="00222802">
        <w:rPr>
          <w:rFonts w:ascii="Verdana" w:eastAsia="Calibri" w:hAnsi="Verdana" w:cs="Arial"/>
          <w:bCs/>
          <w:color w:val="000000" w:themeColor="text1"/>
        </w:rPr>
        <w:t xml:space="preserve">El supuesto antes </w:t>
      </w:r>
      <w:r>
        <w:rPr>
          <w:rFonts w:ascii="Verdana" w:eastAsia="Calibri" w:hAnsi="Verdana" w:cs="Arial"/>
          <w:bCs/>
          <w:color w:val="000000" w:themeColor="text1"/>
        </w:rPr>
        <w:t>descrito</w:t>
      </w:r>
      <w:r w:rsidRPr="00222802">
        <w:rPr>
          <w:rFonts w:ascii="Verdana" w:eastAsia="Calibri" w:hAnsi="Verdana" w:cs="Arial"/>
          <w:bCs/>
          <w:color w:val="000000" w:themeColor="text1"/>
        </w:rPr>
        <w:t xml:space="preserve"> hace referencia al caso cuando la entidad estatal tiene la condición de comodante</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E</w:t>
      </w:r>
      <w:r w:rsidRPr="00222802">
        <w:rPr>
          <w:rFonts w:ascii="Verdana" w:eastAsia="Calibri" w:hAnsi="Verdana" w:cs="Arial"/>
          <w:bCs/>
          <w:color w:val="000000" w:themeColor="text1"/>
        </w:rPr>
        <w:t xml:space="preserve">s decir, cuando la entidad tiene el dominio de la cosa y la entrega a otra persona –que deben ser a otras entidades públicas, sindicatos, cooperativas, asociaciones y fundaciones que no repartan utilidades entre sus asociados o fundadores ni adjudiquen sus activos en el momento de su liquidación a los mismos, juntas de acción comunal, fondos de empleados, conforme lo expuesto anteriormente– para que esta haga uso de ella. </w:t>
      </w:r>
    </w:p>
    <w:bookmarkEnd w:id="6"/>
    <w:p w14:paraId="7CC55105" w14:textId="77777777" w:rsidR="00D22A2A" w:rsidRDefault="00D22A2A" w:rsidP="00D22A2A">
      <w:pPr>
        <w:widowControl w:val="0"/>
        <w:autoSpaceDE w:val="0"/>
        <w:autoSpaceDN w:val="0"/>
        <w:spacing w:after="0" w:line="276" w:lineRule="auto"/>
        <w:ind w:firstLine="709"/>
        <w:jc w:val="both"/>
        <w:rPr>
          <w:rFonts w:ascii="Verdana" w:hAnsi="Verdana" w:cs="Arial"/>
          <w:color w:val="000000" w:themeColor="text1"/>
        </w:rPr>
      </w:pPr>
      <w:r w:rsidRPr="00222802">
        <w:rPr>
          <w:rFonts w:ascii="Verdana" w:hAnsi="Verdana" w:cs="Arial"/>
          <w:color w:val="000000" w:themeColor="text1"/>
        </w:rPr>
        <w:t xml:space="preserve">En síntesis, i) las entidades públicas no podrán dar en comodato sus inmuebles sino únicamente a otras entidades públicas, sindicatos, cooperativas, asociaciones y fundaciones que no repartan utilidades entre sus asociados o fundadores ni adjudiquen sus activos en el momento de su liquidación a los mismos, juntas de acción comunal, fondos de empleados y las demás que puedan asimilarse a las anteriores, por un término máximo de cinco (5) años, renovables, de acuerdo con el artículo 38 de la Ley 9 de 1989; </w:t>
      </w:r>
      <w:proofErr w:type="spellStart"/>
      <w:r w:rsidRPr="00222802">
        <w:rPr>
          <w:rFonts w:ascii="Verdana" w:hAnsi="Verdana" w:cs="Arial"/>
          <w:color w:val="000000" w:themeColor="text1"/>
        </w:rPr>
        <w:t>ii</w:t>
      </w:r>
      <w:proofErr w:type="spellEnd"/>
      <w:r w:rsidRPr="00222802">
        <w:rPr>
          <w:rFonts w:ascii="Verdana" w:hAnsi="Verdana" w:cs="Arial"/>
          <w:color w:val="000000" w:themeColor="text1"/>
        </w:rPr>
        <w:t>)</w:t>
      </w:r>
      <w:r>
        <w:rPr>
          <w:rFonts w:ascii="Verdana" w:hAnsi="Verdana" w:cs="Arial"/>
          <w:color w:val="000000" w:themeColor="text1"/>
        </w:rPr>
        <w:t xml:space="preserve"> l</w:t>
      </w:r>
      <w:r w:rsidRPr="00222802">
        <w:rPr>
          <w:rFonts w:ascii="Verdana" w:hAnsi="Verdana" w:cs="Arial"/>
          <w:color w:val="000000" w:themeColor="text1"/>
        </w:rPr>
        <w:t>as entidades estatales pueden celebrar contrato</w:t>
      </w:r>
      <w:r>
        <w:rPr>
          <w:rFonts w:ascii="Verdana" w:hAnsi="Verdana" w:cs="Arial"/>
          <w:color w:val="000000" w:themeColor="text1"/>
        </w:rPr>
        <w:t>s</w:t>
      </w:r>
      <w:r w:rsidRPr="00222802">
        <w:rPr>
          <w:rFonts w:ascii="Verdana" w:hAnsi="Verdana" w:cs="Arial"/>
          <w:color w:val="000000" w:themeColor="text1"/>
        </w:rPr>
        <w:t xml:space="preserve"> de comodato de bienes muebles entre sí, de acuerdo con las reglas del Código Civil; </w:t>
      </w:r>
      <w:proofErr w:type="spellStart"/>
      <w:r w:rsidRPr="00222802">
        <w:rPr>
          <w:rFonts w:ascii="Verdana" w:hAnsi="Verdana" w:cs="Arial"/>
          <w:color w:val="000000" w:themeColor="text1"/>
        </w:rPr>
        <w:t>iii</w:t>
      </w:r>
      <w:proofErr w:type="spellEnd"/>
      <w:r w:rsidRPr="00222802">
        <w:rPr>
          <w:rFonts w:ascii="Verdana" w:hAnsi="Verdana" w:cs="Arial"/>
          <w:color w:val="000000" w:themeColor="text1"/>
        </w:rPr>
        <w:t xml:space="preserve">) en virtud del artículo 355 de la Constitución Política, las entidades estatales pueden entregar en comodato sus bienes muebles a entidades privadas sin ánimo de lucro, y el tiempo de duración </w:t>
      </w:r>
      <w:r w:rsidRPr="00222802">
        <w:rPr>
          <w:rFonts w:ascii="Verdana" w:hAnsi="Verdana" w:cs="Arial"/>
          <w:color w:val="000000" w:themeColor="text1"/>
        </w:rPr>
        <w:lastRenderedPageBreak/>
        <w:t xml:space="preserve">del contrato estará sujeto en todo caso a la actividad misional de la respectiva entidad estatal de acuerdo con lo previsto en el artículo 96 de la Ley 489 de 1998 y; </w:t>
      </w:r>
      <w:proofErr w:type="spellStart"/>
      <w:r w:rsidRPr="00222802">
        <w:rPr>
          <w:rFonts w:ascii="Verdana" w:hAnsi="Verdana" w:cs="Arial"/>
          <w:color w:val="000000" w:themeColor="text1"/>
        </w:rPr>
        <w:t>iv</w:t>
      </w:r>
      <w:proofErr w:type="spellEnd"/>
      <w:r w:rsidRPr="00222802">
        <w:rPr>
          <w:rFonts w:ascii="Verdana" w:hAnsi="Verdana" w:cs="Arial"/>
          <w:color w:val="000000" w:themeColor="text1"/>
        </w:rPr>
        <w:t>) las entidades estatales pueden celebrar contratos de comodato con privados, actuando en calidad de comodatarias, caso en el cual no tienen restricción normativa para celebrar este tipo de contratos, con fundamento en la autonomía de la voluntad que establece el artículo 32 de la Ley 80 de 1993, sin perjuicio del cumplimiento de los principios constitucionales aplicables a la función administrativa y los de la contratación estatal. En estos eventos</w:t>
      </w:r>
      <w:r>
        <w:rPr>
          <w:rFonts w:ascii="Verdana" w:hAnsi="Verdana" w:cs="Arial"/>
          <w:color w:val="000000" w:themeColor="text1"/>
        </w:rPr>
        <w:t>, sin perjuicio de las reglas especiales previstas en el EGCAP,</w:t>
      </w:r>
      <w:r w:rsidRPr="00222802">
        <w:rPr>
          <w:rFonts w:ascii="Verdana" w:hAnsi="Verdana" w:cs="Arial"/>
          <w:color w:val="000000" w:themeColor="text1"/>
        </w:rPr>
        <w:t xml:space="preserve"> el tipo contractual se rige </w:t>
      </w:r>
      <w:r>
        <w:rPr>
          <w:rFonts w:ascii="Verdana" w:hAnsi="Verdana" w:cs="Arial"/>
          <w:color w:val="000000" w:themeColor="text1"/>
        </w:rPr>
        <w:t>por</w:t>
      </w:r>
      <w:r w:rsidRPr="00222802">
        <w:rPr>
          <w:rFonts w:ascii="Verdana" w:hAnsi="Verdana" w:cs="Arial"/>
          <w:color w:val="000000" w:themeColor="text1"/>
        </w:rPr>
        <w:t xml:space="preserve"> los artículos 2200 al 2220, dada la remisión expresa </w:t>
      </w:r>
      <w:r>
        <w:rPr>
          <w:rFonts w:ascii="Verdana" w:hAnsi="Verdana" w:cs="Arial"/>
          <w:color w:val="000000" w:themeColor="text1"/>
        </w:rPr>
        <w:t>d</w:t>
      </w:r>
      <w:r w:rsidRPr="00222802">
        <w:rPr>
          <w:rFonts w:ascii="Verdana" w:hAnsi="Verdana" w:cs="Arial"/>
          <w:color w:val="000000" w:themeColor="text1"/>
        </w:rPr>
        <w:t xml:space="preserve">el artículo 13 de la Ley 80 de 1993 en cuanto al régimen </w:t>
      </w:r>
      <w:r>
        <w:rPr>
          <w:rFonts w:ascii="Verdana" w:hAnsi="Verdana" w:cs="Arial"/>
          <w:color w:val="000000" w:themeColor="text1"/>
        </w:rPr>
        <w:t>aplicable</w:t>
      </w:r>
      <w:r w:rsidRPr="00222802">
        <w:rPr>
          <w:rFonts w:ascii="Verdana" w:hAnsi="Verdana" w:cs="Arial"/>
          <w:color w:val="000000" w:themeColor="text1"/>
        </w:rPr>
        <w:t xml:space="preserve"> a los contratos estatales.</w:t>
      </w:r>
    </w:p>
    <w:p w14:paraId="62A02972" w14:textId="77777777" w:rsidR="00B46C84" w:rsidRDefault="00B46C84" w:rsidP="00D22A2A">
      <w:pPr>
        <w:widowControl w:val="0"/>
        <w:autoSpaceDE w:val="0"/>
        <w:autoSpaceDN w:val="0"/>
        <w:spacing w:after="0" w:line="276" w:lineRule="auto"/>
        <w:ind w:firstLine="709"/>
        <w:jc w:val="both"/>
        <w:rPr>
          <w:rFonts w:ascii="Verdana" w:hAnsi="Verdana" w:cs="Arial"/>
          <w:color w:val="000000" w:themeColor="text1"/>
        </w:rPr>
      </w:pPr>
    </w:p>
    <w:p w14:paraId="7F5BFAD3" w14:textId="2228C65E" w:rsidR="0011018C" w:rsidRPr="00760383" w:rsidRDefault="0011018C" w:rsidP="0011018C">
      <w:pPr>
        <w:tabs>
          <w:tab w:val="left" w:pos="426"/>
        </w:tabs>
        <w:spacing w:after="120" w:line="276" w:lineRule="auto"/>
        <w:jc w:val="both"/>
        <w:rPr>
          <w:rFonts w:ascii="Verdana" w:eastAsia="Times New Roman" w:hAnsi="Verdana" w:cs="Arial"/>
          <w:lang w:eastAsia="es-CO"/>
        </w:rPr>
      </w:pPr>
      <w:proofErr w:type="spellStart"/>
      <w:r>
        <w:rPr>
          <w:rFonts w:ascii="Verdana" w:hAnsi="Verdana" w:cs="Arial"/>
          <w:color w:val="000000" w:themeColor="text1"/>
        </w:rPr>
        <w:t>i</w:t>
      </w:r>
      <w:r w:rsidRPr="00760383">
        <w:rPr>
          <w:rFonts w:ascii="Verdana" w:eastAsia="Calibri" w:hAnsi="Verdana" w:cs="Arial"/>
        </w:rPr>
        <w:t>i</w:t>
      </w:r>
      <w:proofErr w:type="spellEnd"/>
      <w:r w:rsidRPr="00760383">
        <w:rPr>
          <w:rFonts w:ascii="Verdana" w:eastAsia="Calibri" w:hAnsi="Verdana" w:cs="Arial"/>
        </w:rPr>
        <w:t>. El ordenamiento jurídico colombiano contempla previsiones claras para evitar la obtención de beneficios personales en asuntos propios de la administración pública</w:t>
      </w:r>
      <w:r w:rsidRPr="00760383">
        <w:rPr>
          <w:rFonts w:ascii="Verdana" w:eastAsia="Calibri" w:hAnsi="Verdana" w:cs="Arial"/>
          <w:i/>
        </w:rPr>
        <w:t xml:space="preserve">. </w:t>
      </w:r>
      <w:r w:rsidRPr="00760383">
        <w:rPr>
          <w:rFonts w:ascii="Verdana" w:eastAsia="Calibri" w:hAnsi="Verdana" w:cs="Arial"/>
        </w:rPr>
        <w:t>Por ejemplo, el artículo 127 de la Constitución Política establece una prohibición contractual a los servidores públicos y, en cuanto a aspectos políticos, establece restricciones a ciertos empleados del Estado, incluso en época no electoral</w:t>
      </w:r>
      <w:r w:rsidRPr="00834E33">
        <w:rPr>
          <w:rFonts w:ascii="Verdana" w:hAnsi="Verdana"/>
          <w:vertAlign w:val="superscript"/>
        </w:rPr>
        <w:footnoteReference w:id="7"/>
      </w:r>
      <w:r w:rsidRPr="00760383">
        <w:rPr>
          <w:rFonts w:ascii="Verdana" w:eastAsia="Calibri" w:hAnsi="Verdana" w:cs="Arial"/>
        </w:rPr>
        <w:t xml:space="preserve">. </w:t>
      </w:r>
    </w:p>
    <w:p w14:paraId="06B27B46" w14:textId="77777777" w:rsidR="0011018C" w:rsidRPr="00760383" w:rsidRDefault="0011018C" w:rsidP="0011018C">
      <w:pPr>
        <w:tabs>
          <w:tab w:val="left" w:pos="426"/>
        </w:tabs>
        <w:spacing w:after="0" w:line="276" w:lineRule="auto"/>
        <w:ind w:firstLine="567"/>
        <w:jc w:val="both"/>
        <w:rPr>
          <w:rFonts w:ascii="Verdana" w:eastAsia="Calibri" w:hAnsi="Verdana" w:cs="Arial"/>
          <w:lang w:val="es-ES_tradnl"/>
        </w:rPr>
      </w:pPr>
      <w:r w:rsidRPr="00760383">
        <w:rPr>
          <w:rFonts w:ascii="Verdana" w:eastAsia="Times New Roman" w:hAnsi="Verdana" w:cs="Arial"/>
          <w:lang w:eastAsia="es-CO"/>
        </w:rPr>
        <w:t>En el mismo sentido</w:t>
      </w:r>
      <w:r w:rsidRPr="00760383">
        <w:rPr>
          <w:rFonts w:ascii="Verdana" w:eastAsia="Times New Roman" w:hAnsi="Verdana" w:cs="Arial"/>
          <w:lang w:val="es-MX" w:eastAsia="es-CO"/>
        </w:rPr>
        <w:t>,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760383">
        <w:rPr>
          <w:rFonts w:ascii="Verdana" w:eastAsia="Times New Roman" w:hAnsi="Verdana" w:cs="Arial"/>
          <w:vertAlign w:val="superscript"/>
          <w:lang w:val="es-MX" w:eastAsia="es-CO"/>
        </w:rPr>
        <w:footnoteReference w:id="8"/>
      </w:r>
      <w:r w:rsidRPr="00760383">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760383">
        <w:rPr>
          <w:rFonts w:ascii="Verdana" w:eastAsia="Calibri" w:hAnsi="Verdana" w:cs="Arial"/>
          <w:lang w:val="es-ES_tradnl"/>
        </w:rPr>
        <w:t xml:space="preserve"> </w:t>
      </w:r>
      <w:r w:rsidRPr="00760383">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082FE142" w14:textId="77777777" w:rsidR="0011018C" w:rsidRPr="00760383" w:rsidRDefault="0011018C" w:rsidP="0011018C">
      <w:pPr>
        <w:spacing w:after="0" w:line="276" w:lineRule="auto"/>
        <w:ind w:left="426" w:right="709"/>
        <w:contextualSpacing/>
        <w:jc w:val="both"/>
        <w:rPr>
          <w:rFonts w:ascii="Verdana" w:eastAsia="Times New Roman" w:hAnsi="Verdana" w:cs="Arial"/>
          <w:lang w:val="es-ES" w:eastAsia="es-CO"/>
        </w:rPr>
      </w:pPr>
    </w:p>
    <w:p w14:paraId="2FE156A0" w14:textId="77777777" w:rsidR="0011018C" w:rsidRPr="00834E33" w:rsidRDefault="0011018C" w:rsidP="0011018C">
      <w:pPr>
        <w:spacing w:after="0" w:line="240" w:lineRule="auto"/>
        <w:ind w:left="1135" w:right="709"/>
        <w:contextualSpacing/>
        <w:jc w:val="both"/>
        <w:rPr>
          <w:rFonts w:ascii="Verdana" w:eastAsia="Times New Roman" w:hAnsi="Verdana" w:cs="Arial"/>
          <w:sz w:val="21"/>
          <w:szCs w:val="21"/>
          <w:lang w:val="es-MX" w:eastAsia="es-CO"/>
        </w:rPr>
      </w:pPr>
      <w:r w:rsidRPr="00834E33">
        <w:rPr>
          <w:rFonts w:ascii="Verdana" w:eastAsia="Times New Roman" w:hAnsi="Verdana" w:cs="Arial"/>
          <w:sz w:val="21"/>
          <w:szCs w:val="21"/>
          <w:lang w:val="es-ES" w:eastAsia="es-CO"/>
        </w:rPr>
        <w:lastRenderedPageBreak/>
        <w:t xml:space="preserve">“[…] </w:t>
      </w:r>
      <w:r w:rsidRPr="00834E33">
        <w:rPr>
          <w:rFonts w:ascii="Verdana" w:eastAsia="Times New Roman" w:hAnsi="Verdana" w:cs="Arial"/>
          <w:sz w:val="21"/>
          <w:szCs w:val="21"/>
          <w:lang w:val="es-MX" w:eastAsia="es-CO"/>
        </w:rPr>
        <w:t>la definición de reglas claras que permitan acceder a los canales de expresión democrática de manera efectiva e igualitaria. El objetivo de una ley de garantías es definir esas reglas.</w:t>
      </w:r>
    </w:p>
    <w:p w14:paraId="72C5140F" w14:textId="77777777" w:rsidR="0011018C" w:rsidRPr="00834E33" w:rsidRDefault="0011018C" w:rsidP="0011018C">
      <w:pPr>
        <w:spacing w:after="0" w:line="240" w:lineRule="auto"/>
        <w:ind w:left="1135" w:right="709"/>
        <w:contextualSpacing/>
        <w:jc w:val="both"/>
        <w:rPr>
          <w:rFonts w:ascii="Verdana" w:eastAsia="Times New Roman" w:hAnsi="Verdana" w:cs="Arial"/>
          <w:sz w:val="21"/>
          <w:szCs w:val="21"/>
          <w:lang w:val="es-MX" w:eastAsia="es-CO"/>
        </w:rPr>
      </w:pPr>
      <w:r w:rsidRPr="00834E33">
        <w:rPr>
          <w:rFonts w:ascii="Verdana" w:eastAsia="Times New Roman" w:hAnsi="Verdana" w:cs="Arial"/>
          <w:sz w:val="21"/>
          <w:szCs w:val="21"/>
          <w:lang w:val="es-MX" w:eastAsia="es-CO"/>
        </w:rPr>
        <w:t xml:space="preserve">[…] </w:t>
      </w:r>
    </w:p>
    <w:p w14:paraId="0D9F7EC9" w14:textId="77777777" w:rsidR="0011018C" w:rsidRPr="00834E33" w:rsidRDefault="0011018C" w:rsidP="0011018C">
      <w:pPr>
        <w:spacing w:after="0" w:line="240" w:lineRule="auto"/>
        <w:ind w:left="1135" w:right="709"/>
        <w:contextualSpacing/>
        <w:jc w:val="both"/>
        <w:rPr>
          <w:rFonts w:ascii="Verdana" w:eastAsia="Times New Roman" w:hAnsi="Verdana" w:cs="Arial"/>
          <w:sz w:val="21"/>
          <w:szCs w:val="21"/>
          <w:lang w:val="es-MX" w:eastAsia="es-CO"/>
        </w:rPr>
      </w:pPr>
      <w:r w:rsidRPr="00834E33">
        <w:rPr>
          <w:rFonts w:ascii="Verdana" w:eastAsia="Times New Roman" w:hAnsi="Verdana" w:cs="Arial"/>
          <w:sz w:val="21"/>
          <w:szCs w:val="21"/>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834E33">
        <w:rPr>
          <w:rFonts w:ascii="Verdana" w:eastAsia="Calibri" w:hAnsi="Verdana" w:cs="Arial"/>
          <w:sz w:val="21"/>
          <w:szCs w:val="21"/>
          <w:vertAlign w:val="superscript"/>
          <w:lang w:val="es-MX"/>
        </w:rPr>
        <w:footnoteReference w:id="9"/>
      </w:r>
    </w:p>
    <w:p w14:paraId="3ACF97BF" w14:textId="77777777" w:rsidR="0011018C" w:rsidRPr="00E2397D" w:rsidRDefault="0011018C" w:rsidP="0011018C">
      <w:pPr>
        <w:spacing w:after="0" w:line="276" w:lineRule="auto"/>
        <w:ind w:left="426" w:firstLine="709"/>
        <w:jc w:val="both"/>
        <w:rPr>
          <w:rFonts w:ascii="Verdana" w:eastAsia="Times New Roman" w:hAnsi="Verdana" w:cs="Arial"/>
          <w:lang w:val="es-MX" w:eastAsia="es-CO"/>
        </w:rPr>
      </w:pPr>
    </w:p>
    <w:p w14:paraId="48FD531A" w14:textId="77777777" w:rsidR="0011018C" w:rsidRPr="00E2397D" w:rsidRDefault="0011018C" w:rsidP="0011018C">
      <w:pPr>
        <w:spacing w:after="0" w:line="276" w:lineRule="auto"/>
        <w:ind w:firstLine="567"/>
        <w:jc w:val="both"/>
        <w:rPr>
          <w:rFonts w:ascii="Verdana" w:eastAsia="Times New Roman" w:hAnsi="Verdana" w:cs="Arial"/>
          <w:lang w:val="es-MX" w:eastAsia="es-CO"/>
        </w:rPr>
      </w:pPr>
      <w:r w:rsidRPr="00E2397D">
        <w:rPr>
          <w:rFonts w:ascii="Verdana" w:eastAsia="Times New Roman" w:hAnsi="Verdana" w:cs="Arial"/>
          <w:lang w:val="es-MX" w:eastAsia="es-CO"/>
        </w:rPr>
        <w:t>En este contexto, la Ley de Garantías Electorales establece el marco jurídico para el desarrollo de las elecciones, procurando condiciones de igualdad y transparencia para los aspirantes. Paralelamente,</w:t>
      </w:r>
      <w:r>
        <w:rPr>
          <w:rFonts w:ascii="Verdana" w:eastAsia="Times New Roman" w:hAnsi="Verdana" w:cs="Arial"/>
          <w:lang w:val="es-MX" w:eastAsia="es-CO"/>
        </w:rPr>
        <w:t xml:space="preserve"> se incluyen restricciones en las actuaciones</w:t>
      </w:r>
      <w:r w:rsidRPr="00E2397D">
        <w:rPr>
          <w:rFonts w:ascii="Verdana" w:eastAsia="Times New Roman" w:hAnsi="Verdana" w:cs="Arial"/>
          <w:lang w:val="es-MX" w:eastAsia="es-CO"/>
        </w:rPr>
        <w:t xml:space="preserve">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En efecto, la Sala de Consulta y Servicio Civil del Consejo de Estado, pre</w:t>
      </w:r>
      <w:r>
        <w:rPr>
          <w:rFonts w:ascii="Verdana" w:eastAsia="Times New Roman" w:hAnsi="Verdana" w:cs="Arial"/>
          <w:lang w:val="es-MX" w:eastAsia="es-CO"/>
        </w:rPr>
        <w:t>cisó</w:t>
      </w:r>
      <w:r w:rsidRPr="00E2397D">
        <w:rPr>
          <w:rFonts w:ascii="Verdana" w:eastAsia="Times New Roman" w:hAnsi="Verdana" w:cs="Arial"/>
          <w:lang w:val="es-MX" w:eastAsia="es-CO"/>
        </w:rPr>
        <w:t>:</w:t>
      </w:r>
    </w:p>
    <w:p w14:paraId="3969E8AF" w14:textId="77777777" w:rsidR="0011018C" w:rsidRPr="00886C02" w:rsidRDefault="0011018C" w:rsidP="0011018C">
      <w:pPr>
        <w:spacing w:after="0" w:line="276" w:lineRule="auto"/>
        <w:ind w:left="426" w:firstLine="709"/>
        <w:jc w:val="both"/>
        <w:rPr>
          <w:rFonts w:ascii="Verdana" w:eastAsia="Times New Roman" w:hAnsi="Verdana" w:cs="Arial"/>
          <w:lang w:val="es-MX" w:eastAsia="es-CO"/>
        </w:rPr>
      </w:pPr>
    </w:p>
    <w:p w14:paraId="2F104C0E" w14:textId="77777777" w:rsidR="0011018C" w:rsidRPr="0010534D" w:rsidRDefault="0011018C" w:rsidP="0011018C">
      <w:pPr>
        <w:spacing w:after="0" w:line="240" w:lineRule="auto"/>
        <w:ind w:left="1135" w:right="709"/>
        <w:contextualSpacing/>
        <w:jc w:val="both"/>
        <w:rPr>
          <w:rFonts w:ascii="Verdana" w:eastAsia="Times New Roman" w:hAnsi="Verdana" w:cs="Arial"/>
          <w:sz w:val="21"/>
          <w:szCs w:val="21"/>
          <w:lang w:val="es-MX" w:eastAsia="es-CO"/>
        </w:rPr>
      </w:pPr>
      <w:r w:rsidRPr="0010534D">
        <w:rPr>
          <w:rFonts w:ascii="Verdana" w:eastAsia="Times New Roman" w:hAnsi="Verdana" w:cs="Arial"/>
          <w:sz w:val="21"/>
          <w:szCs w:val="21"/>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10534D">
        <w:rPr>
          <w:rFonts w:ascii="Verdana" w:eastAsia="Times New Roman" w:hAnsi="Verdana" w:cs="Arial"/>
          <w:sz w:val="21"/>
          <w:szCs w:val="21"/>
          <w:lang w:val="es-MX" w:eastAsia="es-CO"/>
        </w:rPr>
        <w:t>legis</w:t>
      </w:r>
      <w:proofErr w:type="spellEnd"/>
      <w:r w:rsidRPr="0010534D">
        <w:rPr>
          <w:rFonts w:ascii="Verdana" w:eastAsia="Times New Roman" w:hAnsi="Verdana" w:cs="Arial"/>
          <w:sz w:val="21"/>
          <w:szCs w:val="21"/>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1F427DB2" w14:textId="77777777" w:rsidR="0011018C" w:rsidRPr="0010534D" w:rsidRDefault="0011018C" w:rsidP="0011018C">
      <w:pPr>
        <w:spacing w:after="0" w:line="240" w:lineRule="auto"/>
        <w:ind w:left="426" w:right="709"/>
        <w:contextualSpacing/>
        <w:jc w:val="both"/>
        <w:rPr>
          <w:rFonts w:ascii="Verdana" w:eastAsia="Times New Roman" w:hAnsi="Verdana" w:cs="Arial"/>
          <w:sz w:val="21"/>
          <w:szCs w:val="21"/>
          <w:lang w:val="es-MX" w:eastAsia="es-CO"/>
        </w:rPr>
      </w:pPr>
    </w:p>
    <w:p w14:paraId="54DCC983" w14:textId="77777777" w:rsidR="0011018C" w:rsidRPr="0010534D" w:rsidRDefault="0011018C" w:rsidP="0011018C">
      <w:pPr>
        <w:spacing w:after="0" w:line="240" w:lineRule="auto"/>
        <w:ind w:left="1135" w:right="709"/>
        <w:contextualSpacing/>
        <w:jc w:val="both"/>
        <w:rPr>
          <w:rFonts w:ascii="Verdana" w:eastAsia="Times New Roman" w:hAnsi="Verdana" w:cs="Arial"/>
          <w:sz w:val="21"/>
          <w:szCs w:val="21"/>
          <w:lang w:val="es-MX" w:eastAsia="es-CO"/>
        </w:rPr>
      </w:pPr>
      <w:r w:rsidRPr="0010534D">
        <w:rPr>
          <w:rFonts w:ascii="Verdana" w:eastAsia="Times New Roman" w:hAnsi="Verdana" w:cs="Arial"/>
          <w:sz w:val="21"/>
          <w:szCs w:val="21"/>
          <w:lang w:val="es-MX" w:eastAsia="es-CO"/>
        </w:rPr>
        <w:lastRenderedPageBreak/>
        <w:t>La jurisprudencia de la Corte Constitucional</w:t>
      </w:r>
      <w:r w:rsidRPr="0010534D">
        <w:rPr>
          <w:rFonts w:ascii="Verdana" w:eastAsia="Times New Roman" w:hAnsi="Verdana" w:cs="Arial"/>
          <w:sz w:val="21"/>
          <w:szCs w:val="21"/>
          <w:vertAlign w:val="superscript"/>
          <w:lang w:val="es-MX" w:eastAsia="es-CO"/>
        </w:rPr>
        <w:footnoteReference w:id="10"/>
      </w:r>
      <w:r w:rsidRPr="0010534D">
        <w:rPr>
          <w:rFonts w:ascii="Verdana" w:eastAsia="Times New Roman" w:hAnsi="Verdana" w:cs="Arial"/>
          <w:sz w:val="21"/>
          <w:szCs w:val="21"/>
          <w:lang w:val="es-MX" w:eastAsia="es-CO"/>
        </w:rPr>
        <w:t> y del Consejo de Estado</w:t>
      </w:r>
      <w:r w:rsidRPr="0010534D">
        <w:rPr>
          <w:rFonts w:ascii="Verdana" w:eastAsia="Times New Roman" w:hAnsi="Verdana" w:cs="Arial"/>
          <w:sz w:val="21"/>
          <w:szCs w:val="21"/>
          <w:vertAlign w:val="superscript"/>
          <w:lang w:val="es-MX" w:eastAsia="es-CO"/>
        </w:rPr>
        <w:footnoteReference w:id="11"/>
      </w:r>
      <w:r w:rsidRPr="0010534D">
        <w:rPr>
          <w:rFonts w:ascii="Verdana" w:eastAsia="Times New Roman" w:hAnsi="Verdana" w:cs="Arial"/>
          <w:sz w:val="21"/>
          <w:szCs w:val="21"/>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10534D">
        <w:rPr>
          <w:rFonts w:ascii="Verdana" w:eastAsia="Times New Roman" w:hAnsi="Verdana" w:cs="Arial"/>
          <w:sz w:val="21"/>
          <w:szCs w:val="21"/>
          <w:vertAlign w:val="superscript"/>
          <w:lang w:val="es-MX" w:eastAsia="es-CO"/>
        </w:rPr>
        <w:footnoteReference w:id="12"/>
      </w:r>
      <w:r w:rsidRPr="0010534D">
        <w:rPr>
          <w:rFonts w:ascii="Verdana" w:eastAsia="Times New Roman" w:hAnsi="Verdana" w:cs="Arial"/>
          <w:sz w:val="21"/>
          <w:szCs w:val="21"/>
          <w:lang w:val="es-MX" w:eastAsia="es-CO"/>
        </w:rPr>
        <w:t>.</w:t>
      </w:r>
    </w:p>
    <w:p w14:paraId="352B9B1B" w14:textId="77777777" w:rsidR="0011018C" w:rsidRPr="00E2397D" w:rsidRDefault="0011018C" w:rsidP="0011018C">
      <w:pPr>
        <w:spacing w:after="0" w:line="276" w:lineRule="auto"/>
        <w:ind w:left="426"/>
        <w:jc w:val="both"/>
        <w:rPr>
          <w:rFonts w:ascii="Verdana" w:eastAsia="Calibri" w:hAnsi="Verdana" w:cs="Arial"/>
          <w:bCs/>
          <w:lang w:val="es-ES_tradnl"/>
        </w:rPr>
      </w:pPr>
    </w:p>
    <w:p w14:paraId="64EA1F97" w14:textId="77777777" w:rsidR="0011018C" w:rsidRDefault="0011018C" w:rsidP="0011018C">
      <w:pPr>
        <w:spacing w:after="0" w:line="276" w:lineRule="auto"/>
        <w:ind w:firstLine="567"/>
        <w:jc w:val="both"/>
        <w:rPr>
          <w:rFonts w:ascii="Verdana" w:eastAsia="Arial" w:hAnsi="Verdana" w:cs="Arial"/>
          <w:lang w:val="es-ES" w:eastAsia="es-ES" w:bidi="es-ES"/>
        </w:rPr>
      </w:pPr>
      <w:r w:rsidRPr="00E2397D">
        <w:rPr>
          <w:rFonts w:ascii="Verdana" w:eastAsia="Times New Roman" w:hAnsi="Verdana" w:cs="Arial"/>
          <w:lang w:val="es-MX" w:eastAsia="es-CO"/>
        </w:rPr>
        <w:t>De</w:t>
      </w:r>
      <w:r w:rsidRPr="00E2397D">
        <w:rPr>
          <w:rFonts w:ascii="Verdana" w:eastAsia="Arial" w:hAnsi="Verdana" w:cs="Arial"/>
          <w:lang w:val="es-ES" w:eastAsia="es-ES" w:bidi="es-ES"/>
        </w:rPr>
        <w:t xml:space="preserve"> conformidad con lo anterior, la L</w:t>
      </w:r>
      <w:r>
        <w:rPr>
          <w:rFonts w:ascii="Verdana" w:eastAsia="Arial" w:hAnsi="Verdana" w:cs="Arial"/>
          <w:lang w:val="es-ES" w:eastAsia="es-ES" w:bidi="es-ES"/>
        </w:rPr>
        <w:t>ey de Garantías Electorales estableció</w:t>
      </w:r>
      <w:r w:rsidRPr="00E2397D">
        <w:rPr>
          <w:rFonts w:ascii="Verdana" w:eastAsia="Arial" w:hAnsi="Verdana" w:cs="Arial"/>
          <w:lang w:val="es-ES" w:eastAsia="es-ES" w:bidi="es-ES"/>
        </w:rPr>
        <w:t xml:space="preserve">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04CADA52" w14:textId="77777777" w:rsidR="0011018C" w:rsidRPr="00E2397D" w:rsidRDefault="0011018C" w:rsidP="0011018C">
      <w:pPr>
        <w:spacing w:after="0" w:line="276" w:lineRule="auto"/>
        <w:ind w:left="426" w:firstLine="709"/>
        <w:jc w:val="both"/>
        <w:rPr>
          <w:rFonts w:ascii="Verdana" w:eastAsia="Arial" w:hAnsi="Verdana" w:cs="Arial"/>
          <w:lang w:val="es-ES" w:eastAsia="es-ES" w:bidi="es-ES"/>
        </w:rPr>
      </w:pPr>
    </w:p>
    <w:p w14:paraId="752635EE" w14:textId="4E0FB56E" w:rsidR="0011018C" w:rsidRPr="00E2397D" w:rsidRDefault="0011018C" w:rsidP="0011018C">
      <w:pPr>
        <w:spacing w:after="120" w:line="276" w:lineRule="auto"/>
        <w:ind w:firstLine="567"/>
        <w:jc w:val="both"/>
        <w:rPr>
          <w:rFonts w:ascii="Verdana" w:eastAsia="Arial" w:hAnsi="Verdana" w:cs="Arial"/>
          <w:lang w:val="es-ES" w:eastAsia="es-ES" w:bidi="es-ES"/>
        </w:rPr>
      </w:pPr>
      <w:r w:rsidRPr="00E2397D">
        <w:rPr>
          <w:rFonts w:ascii="Verdana" w:eastAsia="Arial" w:hAnsi="Verdana" w:cs="Arial"/>
          <w:lang w:val="es-ES" w:eastAsia="es-ES" w:bidi="es-ES"/>
        </w:rPr>
        <w:t>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p>
    <w:p w14:paraId="55EFE9DD" w14:textId="77777777" w:rsidR="0011018C" w:rsidRPr="00E2397D" w:rsidRDefault="0011018C" w:rsidP="0011018C">
      <w:pPr>
        <w:spacing w:after="120" w:line="276" w:lineRule="auto"/>
        <w:ind w:firstLine="567"/>
        <w:jc w:val="both"/>
        <w:rPr>
          <w:rFonts w:ascii="Verdana" w:eastAsia="Calibri" w:hAnsi="Verdana" w:cs="Arial"/>
        </w:rPr>
      </w:pPr>
      <w:r w:rsidRPr="00E2397D">
        <w:rPr>
          <w:rFonts w:ascii="Verdana" w:eastAsia="Calibri" w:hAnsi="Verdana" w:cs="Arial"/>
        </w:rPr>
        <w:t xml:space="preserve">Por un lado, el </w:t>
      </w:r>
      <w:r w:rsidRPr="00E2397D">
        <w:rPr>
          <w:rFonts w:ascii="Verdana" w:eastAsia="Calibri" w:hAnsi="Verdana" w:cs="Arial"/>
          <w:i/>
          <w:iCs/>
        </w:rPr>
        <w:t>artículo 33 de la Ley 996 de 2005</w:t>
      </w:r>
      <w:r w:rsidRPr="00E2397D">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w:t>
      </w:r>
      <w:r w:rsidRPr="00E2397D">
        <w:rPr>
          <w:rFonts w:ascii="Verdana" w:eastAsia="Calibri" w:hAnsi="Verdana" w:cs="Arial"/>
        </w:rPr>
        <w:lastRenderedPageBreak/>
        <w:t>energética y de comunicaciones, en caso de que hayan sido objeto de atentados, acciones terroristas, desastres naturales o casos de fuerza mayor, y los que deban realizar las entidades sanitarias y hospitalarias”</w:t>
      </w:r>
      <w:r w:rsidRPr="00E2397D">
        <w:rPr>
          <w:rFonts w:ascii="Verdana" w:eastAsia="Calibri" w:hAnsi="Verdana" w:cs="Arial"/>
          <w:vertAlign w:val="superscript"/>
        </w:rPr>
        <w:footnoteReference w:id="13"/>
      </w:r>
      <w:r w:rsidRPr="00E2397D">
        <w:rPr>
          <w:rFonts w:ascii="Verdana" w:eastAsia="Calibri" w:hAnsi="Verdana" w:cs="Arial"/>
        </w:rPr>
        <w:t>.</w:t>
      </w:r>
    </w:p>
    <w:p w14:paraId="6FEBAD9B" w14:textId="77777777" w:rsidR="0011018C" w:rsidRDefault="0011018C" w:rsidP="0011018C">
      <w:pPr>
        <w:widowControl w:val="0"/>
        <w:autoSpaceDE w:val="0"/>
        <w:autoSpaceDN w:val="0"/>
        <w:spacing w:after="120" w:line="276" w:lineRule="auto"/>
        <w:ind w:right="113" w:firstLine="567"/>
        <w:jc w:val="both"/>
        <w:rPr>
          <w:rFonts w:ascii="Verdana" w:eastAsia="Arial" w:hAnsi="Verdana" w:cs="Arial"/>
          <w:lang w:val="es-ES" w:eastAsia="es-ES" w:bidi="es-ES"/>
        </w:rPr>
      </w:pPr>
      <w:r w:rsidRPr="00E2397D">
        <w:rPr>
          <w:rFonts w:ascii="Verdana" w:eastAsia="Calibri" w:hAnsi="Verdana" w:cs="Arial"/>
        </w:rPr>
        <w:t xml:space="preserve">Por otro lado, </w:t>
      </w:r>
      <w:r w:rsidRPr="00E2397D">
        <w:rPr>
          <w:rFonts w:ascii="Verdana" w:eastAsia="Calibri" w:hAnsi="Verdana" w:cs="Arial"/>
          <w:i/>
          <w:iCs/>
        </w:rPr>
        <w:t>el parágrafo del artículo 38 de la Ley 996 de 2005</w:t>
      </w:r>
      <w:r w:rsidRPr="00E2397D">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E2397D">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E2397D">
        <w:rPr>
          <w:rFonts w:ascii="Verdana" w:eastAsia="Calibri" w:hAnsi="Verdana" w:cs="Arial"/>
        </w:rPr>
        <w:t>”</w:t>
      </w:r>
      <w:r w:rsidRPr="00E2397D">
        <w:rPr>
          <w:rFonts w:ascii="Verdana" w:eastAsia="Calibri" w:hAnsi="Verdana" w:cs="Arial"/>
          <w:vertAlign w:val="superscript"/>
        </w:rPr>
        <w:footnoteReference w:id="14"/>
      </w:r>
      <w:r w:rsidRPr="00E2397D">
        <w:rPr>
          <w:rFonts w:ascii="Verdana" w:eastAsia="Calibri" w:hAnsi="Verdana" w:cs="Arial"/>
          <w:lang w:val="es-MX"/>
        </w:rPr>
        <w:t>.</w:t>
      </w:r>
      <w:r w:rsidRPr="00E2397D">
        <w:rPr>
          <w:rFonts w:ascii="Verdana" w:eastAsia="Arial" w:hAnsi="Verdana" w:cs="Arial"/>
          <w:lang w:val="es-ES" w:eastAsia="es-ES" w:bidi="es-ES"/>
        </w:rPr>
        <w:t xml:space="preserve"> </w:t>
      </w:r>
    </w:p>
    <w:p w14:paraId="3F7009D8" w14:textId="77777777" w:rsidR="0011018C" w:rsidRDefault="0011018C" w:rsidP="0011018C">
      <w:pPr>
        <w:spacing w:before="120" w:after="120" w:line="276" w:lineRule="auto"/>
        <w:ind w:firstLine="567"/>
        <w:jc w:val="both"/>
        <w:rPr>
          <w:rFonts w:ascii="Verdana" w:eastAsia="Times New Roman" w:hAnsi="Verdana" w:cs="Arial"/>
          <w:bCs/>
          <w:lang w:eastAsia="es-CO"/>
        </w:rPr>
      </w:pPr>
      <w:r>
        <w:rPr>
          <w:rFonts w:ascii="Verdana" w:eastAsia="Times New Roman" w:hAnsi="Verdana" w:cs="Arial"/>
          <w:bCs/>
          <w:lang w:val="es-MX" w:eastAsia="es-CO"/>
        </w:rPr>
        <w:t>Para entender el momento de aplicación de estas restricciones, es preciso señalar que el vocablo “celebrar” es definido por el Diccionario Panhispánico del Español Jurídico como:</w:t>
      </w:r>
      <w:r w:rsidRPr="00116894">
        <w:rPr>
          <w:rFonts w:ascii="Verdana" w:eastAsia="Times New Roman" w:hAnsi="Verdana" w:cs="Arial"/>
          <w:bCs/>
          <w:lang w:val="es-MX" w:eastAsia="es-CO"/>
        </w:rPr>
        <w:t xml:space="preserve"> “</w:t>
      </w:r>
      <w:r w:rsidRPr="00116894">
        <w:rPr>
          <w:rFonts w:ascii="Verdana" w:eastAsia="Times New Roman" w:hAnsi="Verdana" w:cs="Arial"/>
          <w:bCs/>
          <w:lang w:eastAsia="es-CO"/>
        </w:rPr>
        <w:t>1. </w:t>
      </w:r>
      <w:r w:rsidRPr="00116894">
        <w:rPr>
          <w:rFonts w:ascii="Verdana" w:eastAsia="Times New Roman" w:hAnsi="Verdana" w:cs="Arial"/>
          <w:bCs/>
          <w:i/>
          <w:iCs/>
          <w:lang w:eastAsia="es-CO"/>
        </w:rPr>
        <w:t>Gral.</w:t>
      </w:r>
      <w:r>
        <w:rPr>
          <w:rFonts w:ascii="Verdana" w:eastAsia="Times New Roman" w:hAnsi="Verdana" w:cs="Arial"/>
          <w:bCs/>
          <w:lang w:eastAsia="es-CO"/>
        </w:rPr>
        <w:t xml:space="preserve"> </w:t>
      </w:r>
      <w:r w:rsidRPr="00116894">
        <w:rPr>
          <w:rFonts w:ascii="Verdana" w:eastAsia="Times New Roman" w:hAnsi="Verdana" w:cs="Arial"/>
          <w:bCs/>
          <w:lang w:eastAsia="es-CO"/>
        </w:rPr>
        <w:t>Otorgar o firmar un contrato. 2</w:t>
      </w:r>
      <w:r>
        <w:rPr>
          <w:rFonts w:ascii="Verdana" w:eastAsia="Times New Roman" w:hAnsi="Verdana" w:cs="Arial"/>
          <w:bCs/>
          <w:lang w:eastAsia="es-CO"/>
        </w:rPr>
        <w:t xml:space="preserve">. </w:t>
      </w:r>
      <w:proofErr w:type="spellStart"/>
      <w:r w:rsidRPr="00116894">
        <w:rPr>
          <w:rFonts w:ascii="Verdana" w:eastAsia="Times New Roman" w:hAnsi="Verdana" w:cs="Arial"/>
          <w:bCs/>
          <w:i/>
          <w:iCs/>
          <w:lang w:eastAsia="es-CO"/>
        </w:rPr>
        <w:t>Proc</w:t>
      </w:r>
      <w:proofErr w:type="spellEnd"/>
      <w:r w:rsidRPr="00116894">
        <w:rPr>
          <w:rFonts w:ascii="Verdana" w:eastAsia="Times New Roman" w:hAnsi="Verdana" w:cs="Arial"/>
          <w:bCs/>
          <w:i/>
          <w:iCs/>
          <w:lang w:eastAsia="es-CO"/>
        </w:rPr>
        <w:t>.</w:t>
      </w:r>
      <w:r>
        <w:rPr>
          <w:rFonts w:ascii="Verdana" w:eastAsia="Times New Roman" w:hAnsi="Verdana" w:cs="Arial"/>
          <w:bCs/>
          <w:lang w:eastAsia="es-CO"/>
        </w:rPr>
        <w:t xml:space="preserve"> </w:t>
      </w:r>
      <w:r w:rsidRPr="00116894">
        <w:rPr>
          <w:rFonts w:ascii="Verdana" w:eastAsia="Times New Roman" w:hAnsi="Verdana" w:cs="Arial"/>
          <w:bCs/>
          <w:lang w:eastAsia="es-CO"/>
        </w:rPr>
        <w:t>Realizar los actos procesa</w:t>
      </w:r>
      <w:r>
        <w:rPr>
          <w:rFonts w:ascii="Verdana" w:eastAsia="Times New Roman" w:hAnsi="Verdana" w:cs="Arial"/>
          <w:bCs/>
          <w:lang w:eastAsia="es-CO"/>
        </w:rPr>
        <w:t xml:space="preserve">les propios de un juicio o vista”. Dentro de las dos definiciones, la que se acerca a la expresión “celebrar” en el contexto de la Ley de Garantías Electorales es la primera, esto es, al perfeccionamiento del contrato. En efecto, el concepto de celebración en el marco de la contratación estatal se relaciona con el perfeccionamiento, es decir, con los requisitos para que exista un contrato estatal. </w:t>
      </w:r>
    </w:p>
    <w:p w14:paraId="48368AF2" w14:textId="77777777" w:rsidR="0011018C" w:rsidRPr="00C056DC" w:rsidRDefault="0011018C" w:rsidP="0011018C">
      <w:pPr>
        <w:spacing w:before="120" w:after="120" w:line="276" w:lineRule="auto"/>
        <w:ind w:firstLine="567"/>
        <w:jc w:val="both"/>
        <w:rPr>
          <w:rFonts w:ascii="Verdana" w:eastAsia="Times New Roman" w:hAnsi="Verdana" w:cs="Arial"/>
          <w:bCs/>
          <w:lang w:eastAsia="es-CO"/>
        </w:rPr>
      </w:pPr>
      <w:r>
        <w:rPr>
          <w:rFonts w:ascii="Verdana" w:eastAsia="Times New Roman" w:hAnsi="Verdana" w:cs="Arial"/>
          <w:bCs/>
          <w:lang w:eastAsia="es-CO"/>
        </w:rPr>
        <w:t xml:space="preserve">Al respecto, se destaca que en entidades sometidas al Estatuto General de Contratación de la Administración Pública </w:t>
      </w:r>
      <w:r w:rsidRPr="00447D82">
        <w:rPr>
          <w:rFonts w:ascii="Verdana" w:eastAsia="Times New Roman" w:hAnsi="Verdana" w:cs="Arial"/>
          <w:bCs/>
          <w:lang w:val="es-ES" w:eastAsia="es-CO"/>
        </w:rPr>
        <w:t xml:space="preserve">la existencia de los contratos estatales, es decir, la producción de efectos jurídicos en los términos del artículo 1501 </w:t>
      </w:r>
      <w:proofErr w:type="spellStart"/>
      <w:r w:rsidRPr="00447D82">
        <w:rPr>
          <w:rFonts w:ascii="Verdana" w:eastAsia="Times New Roman" w:hAnsi="Verdana" w:cs="Arial"/>
          <w:bCs/>
          <w:i/>
          <w:lang w:val="es-ES" w:eastAsia="es-CO"/>
        </w:rPr>
        <w:t>ibídem</w:t>
      </w:r>
      <w:proofErr w:type="spellEnd"/>
      <w:r w:rsidRPr="00447D82">
        <w:rPr>
          <w:rFonts w:ascii="Verdana" w:eastAsia="Times New Roman" w:hAnsi="Verdana" w:cs="Arial"/>
          <w:bCs/>
          <w:lang w:val="es-ES" w:eastAsia="es-CO"/>
        </w:rPr>
        <w:t>, depende de la regulación del inciso primero d</w:t>
      </w:r>
      <w:r>
        <w:rPr>
          <w:rFonts w:ascii="Verdana" w:eastAsia="Times New Roman" w:hAnsi="Verdana" w:cs="Arial"/>
          <w:bCs/>
          <w:lang w:val="es-ES" w:eastAsia="es-CO"/>
        </w:rPr>
        <w:t xml:space="preserve">e los artículos 39 y 41 de </w:t>
      </w:r>
      <w:r>
        <w:rPr>
          <w:rFonts w:ascii="Verdana" w:eastAsia="Times New Roman" w:hAnsi="Verdana" w:cs="Arial"/>
          <w:bCs/>
          <w:lang w:val="es-ES" w:eastAsia="es-CO"/>
        </w:rPr>
        <w:lastRenderedPageBreak/>
        <w:t>la Ley 80 de 1993</w:t>
      </w:r>
      <w:r w:rsidRPr="00447D82">
        <w:rPr>
          <w:rFonts w:ascii="Verdana" w:eastAsia="Times New Roman" w:hAnsi="Verdana" w:cs="Arial"/>
          <w:bCs/>
          <w:lang w:val="es-ES" w:eastAsia="es-CO"/>
        </w:rPr>
        <w:t>.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w:t>
      </w:r>
      <w:r>
        <w:rPr>
          <w:rFonts w:ascii="Verdana" w:eastAsia="Times New Roman" w:hAnsi="Verdana" w:cs="Arial"/>
          <w:bCs/>
          <w:lang w:val="es-ES" w:eastAsia="es-CO"/>
        </w:rPr>
        <w:t xml:space="preserve"> </w:t>
      </w:r>
    </w:p>
    <w:p w14:paraId="6F7D39D5" w14:textId="77777777" w:rsidR="0011018C" w:rsidRPr="00894384" w:rsidRDefault="0011018C" w:rsidP="0011018C">
      <w:pPr>
        <w:spacing w:after="120" w:line="276" w:lineRule="auto"/>
        <w:ind w:firstLine="567"/>
        <w:jc w:val="both"/>
        <w:rPr>
          <w:rFonts w:ascii="Verdana" w:eastAsia="Times New Roman" w:hAnsi="Verdana" w:cs="Arial"/>
          <w:bCs/>
          <w:lang w:val="es-ES" w:eastAsia="es-CO"/>
        </w:rPr>
      </w:pPr>
      <w:r>
        <w:rPr>
          <w:rFonts w:ascii="Verdana" w:eastAsia="Times New Roman" w:hAnsi="Verdana" w:cs="Arial"/>
          <w:bCs/>
          <w:lang w:val="es-ES" w:eastAsia="es-CO"/>
        </w:rPr>
        <w:t xml:space="preserve">Así mismo, </w:t>
      </w:r>
      <w:r>
        <w:rPr>
          <w:rFonts w:ascii="Verdana" w:eastAsia="Times New Roman" w:hAnsi="Verdana" w:cs="Arial"/>
          <w:bCs/>
          <w:lang w:val="es-MX" w:eastAsia="es-CO"/>
        </w:rPr>
        <w:t>c</w:t>
      </w:r>
      <w:r w:rsidRPr="00894384">
        <w:rPr>
          <w:rFonts w:ascii="Verdana" w:eastAsia="Times New Roman" w:hAnsi="Verdana" w:cs="Arial"/>
          <w:bCs/>
          <w:lang w:val="es-MX" w:eastAsia="es-CO"/>
        </w:rPr>
        <w:t xml:space="preserve">omo en otras oportunidades lo ha manifestado esta Agencia, las prórrogas, modificaciones o adiciones de los contratos suscritos antes de la </w:t>
      </w:r>
      <w:proofErr w:type="gramStart"/>
      <w:r w:rsidRPr="00894384">
        <w:rPr>
          <w:rFonts w:ascii="Verdana" w:eastAsia="Times New Roman" w:hAnsi="Verdana" w:cs="Arial"/>
          <w:bCs/>
          <w:lang w:val="es-MX" w:eastAsia="es-CO"/>
        </w:rPr>
        <w:t>entrada en vigencia</w:t>
      </w:r>
      <w:proofErr w:type="gramEnd"/>
      <w:r w:rsidRPr="00894384">
        <w:rPr>
          <w:rFonts w:ascii="Verdana" w:eastAsia="Times New Roman" w:hAnsi="Verdana" w:cs="Arial"/>
          <w:bCs/>
          <w:lang w:val="es-MX" w:eastAsia="es-CO"/>
        </w:rPr>
        <w:t xml:space="preserve"> de las prohibiciones anotadas, así como la cesión de </w:t>
      </w:r>
      <w:proofErr w:type="gramStart"/>
      <w:r w:rsidRPr="00894384">
        <w:rPr>
          <w:rFonts w:ascii="Verdana" w:eastAsia="Times New Roman" w:hAnsi="Verdana" w:cs="Arial"/>
          <w:bCs/>
          <w:lang w:val="es-MX" w:eastAsia="es-CO"/>
        </w:rPr>
        <w:t>los mismos</w:t>
      </w:r>
      <w:proofErr w:type="gramEnd"/>
      <w:r w:rsidRPr="00894384">
        <w:rPr>
          <w:rFonts w:ascii="Verdana" w:eastAsia="Times New Roman" w:hAnsi="Verdana" w:cs="Arial"/>
          <w:bCs/>
          <w:lang w:val="es-MX" w:eastAsia="es-CO"/>
        </w:rPr>
        <w:t>, pueden tener lugar en el período de aplicación de la Ley de Garantías, sin que ello haga nugatoria la restricción de la contratación directa y siempre que cumplan los principios de planeación, transparencia y responsabilidad</w:t>
      </w:r>
      <w:r w:rsidRPr="00894384">
        <w:rPr>
          <w:rFonts w:ascii="Verdana" w:eastAsia="Times New Roman" w:hAnsi="Verdana" w:cs="Arial"/>
          <w:bCs/>
          <w:vertAlign w:val="superscript"/>
          <w:lang w:val="es-MX" w:eastAsia="es-CO"/>
        </w:rPr>
        <w:footnoteReference w:id="15"/>
      </w:r>
      <w:r w:rsidRPr="00894384">
        <w:rPr>
          <w:rFonts w:ascii="Verdana" w:eastAsia="Times New Roman" w:hAnsi="Verdana" w:cs="Arial"/>
          <w:bCs/>
          <w:lang w:val="es-MX" w:eastAsia="es-CO"/>
        </w:rPr>
        <w:t xml:space="preserve">. </w:t>
      </w:r>
    </w:p>
    <w:p w14:paraId="32208B01" w14:textId="77777777" w:rsidR="0011018C" w:rsidRPr="00E2397D" w:rsidRDefault="0011018C" w:rsidP="0011018C">
      <w:pPr>
        <w:widowControl w:val="0"/>
        <w:autoSpaceDE w:val="0"/>
        <w:autoSpaceDN w:val="0"/>
        <w:spacing w:after="0" w:line="276" w:lineRule="auto"/>
        <w:ind w:right="113" w:firstLine="567"/>
        <w:contextualSpacing/>
        <w:jc w:val="both"/>
        <w:rPr>
          <w:rFonts w:ascii="Verdana" w:eastAsia="Arial" w:hAnsi="Verdana" w:cs="Arial"/>
          <w:lang w:val="es-ES" w:eastAsia="es-ES" w:bidi="es-ES"/>
        </w:rPr>
      </w:pPr>
      <w:r w:rsidRPr="00E2397D">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w:t>
      </w:r>
      <w:r>
        <w:rPr>
          <w:rFonts w:ascii="Verdana" w:eastAsia="Arial" w:hAnsi="Verdana" w:cs="Arial"/>
          <w:lang w:val="es-ES" w:eastAsia="es-ES" w:bidi="es-ES"/>
        </w:rPr>
        <w:t>era</w:t>
      </w:r>
      <w:r w:rsidRPr="00E2397D">
        <w:rPr>
          <w:rFonts w:ascii="Verdana" w:eastAsia="Arial" w:hAnsi="Verdana" w:cs="Arial"/>
          <w:lang w:val="es-ES" w:eastAsia="es-ES" w:bidi="es-ES"/>
        </w:rPr>
        <w:t>:</w:t>
      </w:r>
    </w:p>
    <w:p w14:paraId="25816B20" w14:textId="77777777" w:rsidR="0011018C" w:rsidRPr="00E2397D" w:rsidRDefault="0011018C" w:rsidP="0011018C">
      <w:pPr>
        <w:widowControl w:val="0"/>
        <w:autoSpaceDE w:val="0"/>
        <w:autoSpaceDN w:val="0"/>
        <w:spacing w:after="0" w:line="240" w:lineRule="auto"/>
        <w:ind w:left="1231" w:right="812"/>
        <w:contextualSpacing/>
        <w:jc w:val="both"/>
        <w:rPr>
          <w:rFonts w:ascii="Verdana" w:eastAsia="Arial" w:hAnsi="Verdana" w:cs="Arial"/>
          <w:lang w:val="es-ES" w:eastAsia="es-ES" w:bidi="es-ES"/>
        </w:rPr>
      </w:pPr>
    </w:p>
    <w:p w14:paraId="70F76238" w14:textId="77777777" w:rsidR="0011018C" w:rsidRPr="00834E33" w:rsidRDefault="0011018C" w:rsidP="0011018C">
      <w:pPr>
        <w:widowControl w:val="0"/>
        <w:autoSpaceDE w:val="0"/>
        <w:autoSpaceDN w:val="0"/>
        <w:spacing w:after="0" w:line="240" w:lineRule="auto"/>
        <w:ind w:left="1135" w:right="709"/>
        <w:jc w:val="both"/>
        <w:rPr>
          <w:rFonts w:ascii="Verdana" w:eastAsia="Arial" w:hAnsi="Verdana" w:cs="Arial"/>
          <w:sz w:val="21"/>
          <w:szCs w:val="21"/>
          <w:lang w:eastAsia="es-ES" w:bidi="es-ES"/>
        </w:rPr>
      </w:pPr>
      <w:r w:rsidRPr="00834E33">
        <w:rPr>
          <w:rFonts w:ascii="Verdana" w:eastAsia="Arial" w:hAnsi="Verdana" w:cs="Arial"/>
          <w:sz w:val="21"/>
          <w:szCs w:val="21"/>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w:t>
      </w:r>
      <w:proofErr w:type="gramStart"/>
      <w:r w:rsidRPr="00834E33">
        <w:rPr>
          <w:rFonts w:ascii="Verdana" w:eastAsia="Arial" w:hAnsi="Verdana" w:cs="Arial"/>
          <w:sz w:val="21"/>
          <w:szCs w:val="21"/>
          <w:lang w:eastAsia="es-ES" w:bidi="es-ES"/>
        </w:rPr>
        <w:t>Presidente</w:t>
      </w:r>
      <w:proofErr w:type="gramEnd"/>
      <w:r w:rsidRPr="00834E33">
        <w:rPr>
          <w:rFonts w:ascii="Verdana" w:eastAsia="Arial" w:hAnsi="Verdana" w:cs="Arial"/>
          <w:sz w:val="21"/>
          <w:szCs w:val="21"/>
          <w:lang w:eastAsia="es-ES" w:bidi="es-ES"/>
        </w:rPr>
        <w:t xml:space="preserve"> de la República, a las autoridades territoriales allí mencionadas sólo se aplican las restricciones contenidas en el parágrafo del artículo 38”.</w:t>
      </w:r>
      <w:r w:rsidRPr="00834E33">
        <w:rPr>
          <w:rFonts w:ascii="Verdana" w:eastAsia="Arial" w:hAnsi="Verdana" w:cs="Arial"/>
          <w:sz w:val="21"/>
          <w:szCs w:val="21"/>
          <w:vertAlign w:val="superscript"/>
          <w:lang w:eastAsia="es-ES" w:bidi="es-ES"/>
        </w:rPr>
        <w:footnoteReference w:id="16"/>
      </w:r>
    </w:p>
    <w:p w14:paraId="5D7FF601" w14:textId="77777777" w:rsidR="0011018C" w:rsidRPr="00E2397D" w:rsidRDefault="0011018C" w:rsidP="0011018C">
      <w:pPr>
        <w:widowControl w:val="0"/>
        <w:autoSpaceDE w:val="0"/>
        <w:autoSpaceDN w:val="0"/>
        <w:spacing w:after="0" w:line="276" w:lineRule="auto"/>
        <w:ind w:left="426"/>
        <w:contextualSpacing/>
        <w:rPr>
          <w:rFonts w:ascii="Verdana" w:eastAsia="Arial" w:hAnsi="Verdana" w:cs="Arial"/>
          <w:lang w:val="es-ES" w:eastAsia="es-ES" w:bidi="es-ES"/>
        </w:rPr>
      </w:pPr>
    </w:p>
    <w:p w14:paraId="110D615A" w14:textId="77777777" w:rsidR="0011018C" w:rsidRPr="00E2397D" w:rsidRDefault="0011018C" w:rsidP="0011018C">
      <w:pPr>
        <w:spacing w:after="120" w:line="276" w:lineRule="auto"/>
        <w:ind w:firstLine="567"/>
        <w:jc w:val="both"/>
        <w:rPr>
          <w:rFonts w:ascii="Verdana" w:eastAsia="Arial" w:hAnsi="Verdana" w:cs="Arial"/>
          <w:lang w:val="es-ES" w:eastAsia="es-ES" w:bidi="es-ES"/>
        </w:rPr>
      </w:pPr>
      <w:r w:rsidRPr="00E2397D">
        <w:rPr>
          <w:rFonts w:ascii="Verdana" w:eastAsia="Arial" w:hAnsi="Verdana" w:cs="Arial"/>
          <w:lang w:val="es-ES" w:eastAsia="es-ES" w:bidi="es-ES"/>
        </w:rPr>
        <w:lastRenderedPageBreak/>
        <w:t xml:space="preserve">De conformidad con lo anterior, la Ley 996 de 2005 establece dos (2) tipos de restricciones en materia de contratación, las cuales coinciden parcialmente. </w:t>
      </w:r>
      <w:r w:rsidRPr="00E2397D">
        <w:rPr>
          <w:rFonts w:ascii="Verdana" w:eastAsia="Arial" w:hAnsi="Verdana" w:cs="Arial"/>
          <w:i/>
          <w:lang w:val="es-ES" w:eastAsia="es-ES" w:bidi="es-ES"/>
        </w:rPr>
        <w:t>En primer lugar</w:t>
      </w:r>
      <w:r w:rsidRPr="00E2397D">
        <w:rPr>
          <w:rFonts w:ascii="Verdana" w:eastAsia="Arial" w:hAnsi="Verdana" w:cs="Arial"/>
          <w:lang w:val="es-ES" w:eastAsia="es-ES" w:bidi="es-ES"/>
        </w:rPr>
        <w:t xml:space="preserve">, la del artículo 33 que </w:t>
      </w:r>
      <w:r>
        <w:rPr>
          <w:rFonts w:ascii="Verdana" w:eastAsia="Arial" w:hAnsi="Verdana" w:cs="Arial"/>
          <w:lang w:val="es-ES" w:eastAsia="es-ES" w:bidi="es-ES"/>
        </w:rPr>
        <w:t xml:space="preserve">aplica </w:t>
      </w:r>
      <w:r w:rsidRPr="00E2397D">
        <w:rPr>
          <w:rFonts w:ascii="Verdana" w:eastAsia="Arial" w:hAnsi="Verdana" w:cs="Arial"/>
          <w:lang w:val="es-ES" w:eastAsia="es-ES" w:bidi="es-ES"/>
        </w:rPr>
        <w:t xml:space="preserve">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E2397D">
        <w:rPr>
          <w:rFonts w:ascii="Verdana" w:eastAsia="Arial" w:hAnsi="Verdana" w:cs="Arial"/>
          <w:i/>
          <w:lang w:val="es-ES" w:eastAsia="es-ES" w:bidi="es-ES"/>
        </w:rPr>
        <w:t>En segundo lugar</w:t>
      </w:r>
      <w:r w:rsidRPr="00E2397D">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495C7D21" w14:textId="77777777" w:rsidR="0011018C" w:rsidRPr="00E2397D" w:rsidRDefault="0011018C" w:rsidP="0011018C">
      <w:pPr>
        <w:spacing w:after="120" w:line="276" w:lineRule="auto"/>
        <w:ind w:firstLine="567"/>
        <w:jc w:val="both"/>
        <w:rPr>
          <w:rFonts w:ascii="Verdana" w:eastAsia="Arial" w:hAnsi="Verdana" w:cs="Arial"/>
          <w:lang w:val="es-ES" w:eastAsia="es-ES" w:bidi="es-ES"/>
        </w:rPr>
      </w:pPr>
      <w:r w:rsidRPr="00E2397D">
        <w:rPr>
          <w:rFonts w:ascii="Verdana" w:eastAsia="Arial" w:hAnsi="Verdana" w:cs="Arial"/>
          <w:lang w:val="es-ES" w:eastAsia="es-ES" w:bidi="es-ES"/>
        </w:rPr>
        <w:t>Ambas restricciones no son excluyentes, lo que permite concluir que</w:t>
      </w:r>
      <w:r>
        <w:rPr>
          <w:rFonts w:ascii="Verdana" w:eastAsia="Arial" w:hAnsi="Verdana" w:cs="Arial"/>
          <w:lang w:val="es-ES" w:eastAsia="es-ES" w:bidi="es-ES"/>
        </w:rPr>
        <w:t>,</w:t>
      </w:r>
      <w:r w:rsidRPr="00E2397D">
        <w:rPr>
          <w:rFonts w:ascii="Verdana" w:eastAsia="Arial" w:hAnsi="Verdana" w:cs="Arial"/>
          <w:lang w:val="es-ES" w:eastAsia="es-ES" w:bidi="es-ES"/>
        </w:rPr>
        <w:t xml:space="preserve"> en el período preelectoral para elección de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de la República, a todos los entes del Estado, incluidos los territoriales, aplican las restricciones del artículo 33 con sus excepciones, así como las del parágrafo del artículo 38. En cambio, tratándose de elecciones en general, excluyendo las correspondientes al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de la República, las autoridades allí mencionadas sólo deben aplicar las restricciones contenidas en el parágrafo del artículo 38.</w:t>
      </w:r>
    </w:p>
    <w:p w14:paraId="653362A3" w14:textId="7C39471B" w:rsidR="0011018C" w:rsidRDefault="0011018C" w:rsidP="0011018C">
      <w:pPr>
        <w:widowControl w:val="0"/>
        <w:autoSpaceDE w:val="0"/>
        <w:autoSpaceDN w:val="0"/>
        <w:spacing w:after="0" w:line="276" w:lineRule="auto"/>
        <w:ind w:firstLine="567"/>
        <w:jc w:val="both"/>
        <w:rPr>
          <w:rFonts w:ascii="Verdana" w:hAnsi="Verdana" w:cs="Arial"/>
          <w:color w:val="000000" w:themeColor="text1"/>
        </w:rPr>
      </w:pPr>
      <w:r w:rsidRPr="00E2397D">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o el </w:t>
      </w:r>
      <w:proofErr w:type="gramStart"/>
      <w:r w:rsidRPr="00E2397D">
        <w:rPr>
          <w:rFonts w:ascii="Verdana" w:eastAsia="Arial" w:hAnsi="Verdana" w:cs="Arial"/>
          <w:lang w:val="es-ES" w:eastAsia="es-ES" w:bidi="es-ES"/>
        </w:rPr>
        <w:t>Vicepresidente</w:t>
      </w:r>
      <w:proofErr w:type="gramEnd"/>
      <w:r w:rsidRPr="00E2397D">
        <w:rPr>
          <w:rFonts w:ascii="Verdana" w:eastAsia="Arial" w:hAnsi="Verdana" w:cs="Arial"/>
          <w:lang w:val="es-ES" w:eastAsia="es-ES" w:bidi="es-ES"/>
        </w:rPr>
        <w:t xml:space="preserv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y el </w:t>
      </w:r>
      <w:proofErr w:type="gramStart"/>
      <w:r w:rsidRPr="00E2397D">
        <w:rPr>
          <w:rFonts w:ascii="Verdana" w:eastAsia="Arial" w:hAnsi="Verdana" w:cs="Arial"/>
          <w:lang w:val="es-ES" w:eastAsia="es-ES" w:bidi="es-ES"/>
        </w:rPr>
        <w:t>Vicepresidente</w:t>
      </w:r>
      <w:proofErr w:type="gramEnd"/>
      <w:r w:rsidRPr="00E2397D">
        <w:rPr>
          <w:rFonts w:ascii="Verdana" w:eastAsia="Arial" w:hAnsi="Verdana" w:cs="Arial"/>
          <w:lang w:val="es-ES" w:eastAsia="es-ES" w:bidi="es-ES"/>
        </w:rPr>
        <w:t xml:space="preserve"> de la República, ha perdido vigencia ante la prohibición de la reelección presidencial, restablecida por el Acto Legislativo 2 de 2015. Esto excepto para el </w:t>
      </w:r>
      <w:proofErr w:type="gramStart"/>
      <w:r w:rsidRPr="00E2397D">
        <w:rPr>
          <w:rFonts w:ascii="Verdana" w:eastAsia="Arial" w:hAnsi="Verdana" w:cs="Arial"/>
          <w:lang w:val="es-ES" w:eastAsia="es-ES" w:bidi="es-ES"/>
        </w:rPr>
        <w:t>Vicepresidente</w:t>
      </w:r>
      <w:proofErr w:type="gramEnd"/>
      <w:r w:rsidRPr="00E2397D">
        <w:rPr>
          <w:rFonts w:ascii="Verdana" w:eastAsia="Arial" w:hAnsi="Verdana" w:cs="Arial"/>
          <w:lang w:val="es-ES" w:eastAsia="es-ES" w:bidi="es-ES"/>
        </w:rPr>
        <w:t xml:space="preserve"> que no haya ejercido la presidencia o que la haya ejercido por un tiempo inferior a tres (3) meses durante el respectivo cuatrienio, en forma continua o discontinua, conforme al artículo 197 de la Constitución </w:t>
      </w:r>
      <w:r w:rsidRPr="00E2397D">
        <w:rPr>
          <w:rFonts w:ascii="Verdana" w:eastAsia="Arial" w:hAnsi="Verdana" w:cs="Arial"/>
          <w:lang w:val="es-ES" w:eastAsia="es-ES" w:bidi="es-ES"/>
        </w:rPr>
        <w:lastRenderedPageBreak/>
        <w:t>Política.</w:t>
      </w:r>
    </w:p>
    <w:p w14:paraId="2C379233" w14:textId="77777777" w:rsidR="00B46C84" w:rsidRDefault="00B46C84" w:rsidP="00D22A2A">
      <w:pPr>
        <w:widowControl w:val="0"/>
        <w:autoSpaceDE w:val="0"/>
        <w:autoSpaceDN w:val="0"/>
        <w:spacing w:after="0" w:line="276" w:lineRule="auto"/>
        <w:ind w:firstLine="709"/>
        <w:jc w:val="both"/>
        <w:rPr>
          <w:rFonts w:ascii="Verdana" w:hAnsi="Verdana" w:cs="Arial"/>
          <w:color w:val="000000" w:themeColor="text1"/>
        </w:rPr>
      </w:pPr>
    </w:p>
    <w:p w14:paraId="6C94249F" w14:textId="4BB01F6B" w:rsidR="00D22A2A" w:rsidRPr="00D220F6" w:rsidRDefault="00D22A2A" w:rsidP="0011018C">
      <w:pPr>
        <w:widowControl w:val="0"/>
        <w:autoSpaceDE w:val="0"/>
        <w:autoSpaceDN w:val="0"/>
        <w:spacing w:after="120" w:line="276" w:lineRule="auto"/>
        <w:ind w:firstLine="567"/>
        <w:jc w:val="both"/>
        <w:rPr>
          <w:rFonts w:ascii="Verdana" w:hAnsi="Verdana"/>
        </w:rPr>
      </w:pPr>
      <w:r>
        <w:rPr>
          <w:rFonts w:ascii="Verdana" w:hAnsi="Verdana"/>
        </w:rPr>
        <w:t xml:space="preserve"> </w:t>
      </w:r>
      <w:r w:rsidRPr="00301910">
        <w:rPr>
          <w:rFonts w:ascii="Verdana" w:hAnsi="Verdana" w:cs="Arial"/>
          <w:lang w:eastAsia="es-ES"/>
        </w:rPr>
        <w:t>Al margen de la explicación precedente</w:t>
      </w:r>
      <w:r>
        <w:rPr>
          <w:rFonts w:ascii="Verdana" w:hAnsi="Verdana" w:cs="Arial"/>
          <w:lang w:eastAsia="es-ES"/>
        </w:rPr>
        <w:t xml:space="preserve"> </w:t>
      </w:r>
      <w:r w:rsidRPr="00301910">
        <w:rPr>
          <w:rFonts w:ascii="Verdana" w:hAnsi="Verdana" w:cs="Arial"/>
          <w:lang w:eastAsia="es-ES"/>
        </w:rPr>
        <w:t>debe advertirse que el análisis requerido</w:t>
      </w:r>
      <w:r>
        <w:rPr>
          <w:rFonts w:ascii="Verdana" w:hAnsi="Verdana" w:cs="Arial"/>
          <w:lang w:eastAsia="es-ES"/>
        </w:rPr>
        <w:t xml:space="preserve"> </w:t>
      </w:r>
      <w:r w:rsidRPr="00301910">
        <w:rPr>
          <w:rFonts w:ascii="Verdana" w:hAnsi="Verdana" w:cs="Arial"/>
          <w:lang w:eastAsia="es-ES"/>
        </w:rPr>
        <w:t>para</w:t>
      </w:r>
      <w:r>
        <w:rPr>
          <w:rFonts w:ascii="Verdana" w:hAnsi="Verdana" w:cs="Arial"/>
          <w:lang w:eastAsia="es-ES"/>
        </w:rPr>
        <w:t xml:space="preserve"> resolver problemas específicos en torno a la celebración de contratos de comodato </w:t>
      </w:r>
      <w:r w:rsidRPr="00301910">
        <w:rPr>
          <w:rFonts w:ascii="Verdana" w:hAnsi="Verdana" w:cs="Arial"/>
          <w:lang w:eastAsia="es-ES"/>
        </w:rPr>
        <w:t>debe ser realizado por</w:t>
      </w:r>
      <w:r>
        <w:rPr>
          <w:rFonts w:ascii="Verdana" w:hAnsi="Verdana" w:cs="Arial"/>
          <w:lang w:eastAsia="es-ES"/>
        </w:rPr>
        <w:t xml:space="preserve"> </w:t>
      </w:r>
      <w:r w:rsidRPr="00301910">
        <w:rPr>
          <w:rFonts w:ascii="Verdana" w:hAnsi="Verdana" w:cs="Arial"/>
          <w:lang w:eastAsia="es-ES"/>
        </w:rPr>
        <w:t>quienes tengan interés en ello, de acuerdo con lo explicado</w:t>
      </w:r>
      <w:r>
        <w:rPr>
          <w:rFonts w:ascii="Verdana" w:hAnsi="Verdana" w:cs="Arial"/>
          <w:lang w:eastAsia="es-ES"/>
        </w:rPr>
        <w:t xml:space="preserve"> </w:t>
      </w:r>
      <w:r w:rsidRPr="00301910">
        <w:rPr>
          <w:rFonts w:ascii="Verdana" w:hAnsi="Verdana" w:cs="Arial"/>
          <w:lang w:eastAsia="es-ES"/>
        </w:rPr>
        <w:t>la aclaración preliminar del presente oficio. De esta manera, las afirmaciones aquí realizadas</w:t>
      </w:r>
      <w:r>
        <w:rPr>
          <w:rFonts w:ascii="Verdana" w:hAnsi="Verdana" w:cs="Arial"/>
          <w:lang w:eastAsia="es-ES"/>
        </w:rPr>
        <w:t xml:space="preserve"> </w:t>
      </w:r>
      <w:r w:rsidRPr="00301910">
        <w:rPr>
          <w:rFonts w:ascii="Verdana" w:hAnsi="Verdana" w:cs="Arial"/>
          <w:lang w:eastAsia="es-ES"/>
        </w:rPr>
        <w:t>no</w:t>
      </w:r>
      <w:r>
        <w:rPr>
          <w:rFonts w:ascii="Verdana" w:hAnsi="Verdana" w:cs="Arial"/>
          <w:lang w:eastAsia="es-ES"/>
        </w:rPr>
        <w:t xml:space="preserve"> </w:t>
      </w:r>
      <w:r w:rsidRPr="00301910">
        <w:rPr>
          <w:rFonts w:ascii="Verdana" w:hAnsi="Verdana" w:cs="Arial"/>
          <w:lang w:eastAsia="es-ES"/>
        </w:rPr>
        <w:t>pueden ser interpretadas como juicios de valor sobre circunstancias</w:t>
      </w:r>
      <w:r>
        <w:rPr>
          <w:rFonts w:ascii="Verdana" w:hAnsi="Verdana" w:cs="Arial"/>
          <w:lang w:eastAsia="es-ES"/>
        </w:rPr>
        <w:t xml:space="preserve"> </w:t>
      </w:r>
      <w:r w:rsidRPr="00301910">
        <w:rPr>
          <w:rFonts w:ascii="Verdana" w:hAnsi="Verdana" w:cs="Arial"/>
          <w:lang w:eastAsia="es-ES"/>
        </w:rPr>
        <w:t>concretas</w:t>
      </w:r>
      <w:r>
        <w:rPr>
          <w:rFonts w:ascii="Verdana" w:hAnsi="Verdana" w:cs="Arial"/>
          <w:lang w:eastAsia="es-ES"/>
        </w:rPr>
        <w:t xml:space="preserve"> </w:t>
      </w:r>
      <w:r w:rsidRPr="00301910">
        <w:rPr>
          <w:rFonts w:ascii="Verdana" w:hAnsi="Verdana" w:cs="Arial"/>
          <w:lang w:eastAsia="es-ES"/>
        </w:rPr>
        <w:t>relacionadas con los hechos que motivan la</w:t>
      </w:r>
      <w:r>
        <w:rPr>
          <w:rFonts w:ascii="Verdana" w:hAnsi="Verdana" w:cs="Arial"/>
          <w:lang w:eastAsia="es-ES"/>
        </w:rPr>
        <w:t xml:space="preserve"> </w:t>
      </w:r>
      <w:r w:rsidRPr="00301910">
        <w:rPr>
          <w:rFonts w:ascii="Verdana" w:hAnsi="Verdana" w:cs="Arial"/>
          <w:lang w:eastAsia="es-ES"/>
        </w:rPr>
        <w:t>consulta.</w:t>
      </w:r>
      <w:r>
        <w:rPr>
          <w:rFonts w:ascii="Verdana" w:hAnsi="Verdana" w:cs="Arial"/>
          <w:lang w:eastAsia="es-ES"/>
        </w:rPr>
        <w:t xml:space="preserve"> </w:t>
      </w:r>
      <w:r w:rsidRPr="00301910">
        <w:rPr>
          <w:rFonts w:ascii="Verdana" w:hAnsi="Verdana" w:cs="Arial"/>
          <w:lang w:eastAsia="es-ES"/>
        </w:rPr>
        <w:t>Por lo anterior, previo concepto de sus asesores, la solución de situaciones particulares corresponde a los interesados</w:t>
      </w:r>
      <w:r>
        <w:rPr>
          <w:rFonts w:ascii="Verdana" w:hAnsi="Verdana" w:cs="Arial"/>
          <w:lang w:eastAsia="es-ES"/>
        </w:rPr>
        <w:t xml:space="preserve"> </w:t>
      </w:r>
      <w:r w:rsidRPr="00301910">
        <w:rPr>
          <w:rFonts w:ascii="Verdana" w:hAnsi="Verdana" w:cs="Arial"/>
          <w:lang w:eastAsia="es-ES"/>
        </w:rPr>
        <w:t>adoptar la decisión correspondiente y, en caso de conflicto, a las autoridades judiciales, fiscales y disciplinarias.</w:t>
      </w:r>
    </w:p>
    <w:p w14:paraId="0A4DE006" w14:textId="77777777" w:rsidR="00D22A2A" w:rsidRPr="00301910" w:rsidRDefault="00D22A2A" w:rsidP="00D22A2A">
      <w:pPr>
        <w:spacing w:before="120" w:after="0" w:line="276" w:lineRule="auto"/>
        <w:ind w:firstLine="709"/>
        <w:jc w:val="both"/>
        <w:rPr>
          <w:rFonts w:ascii="Verdana" w:hAnsi="Verdana" w:cs="Arial"/>
          <w:lang w:eastAsia="es-ES"/>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w:t>
      </w:r>
      <w:r>
        <w:rPr>
          <w:rFonts w:ascii="Verdana" w:hAnsi="Verdana" w:cs="Arial"/>
          <w:lang w:eastAsia="es-ES"/>
        </w:rPr>
        <w:t>Así</w:t>
      </w:r>
      <w:r w:rsidRPr="00301910">
        <w:rPr>
          <w:rFonts w:ascii="Verdana" w:hAnsi="Verdana" w:cs="Arial"/>
          <w:lang w:eastAsia="es-ES"/>
        </w:rPr>
        <w:t>, cada entidad definirá la forma de adelantar su gestión contractual, sin que sea atribución de Colombia Compra Eficiente validar sus actuaciones.</w:t>
      </w:r>
    </w:p>
    <w:p w14:paraId="68980E2F" w14:textId="77777777" w:rsidR="00D22A2A" w:rsidRDefault="00D22A2A" w:rsidP="00D22A2A">
      <w:pPr>
        <w:widowControl w:val="0"/>
        <w:autoSpaceDE w:val="0"/>
        <w:autoSpaceDN w:val="0"/>
        <w:spacing w:after="0" w:line="276" w:lineRule="auto"/>
        <w:jc w:val="both"/>
        <w:rPr>
          <w:rFonts w:ascii="Verdana" w:hAnsi="Verdana" w:cs="Arial"/>
        </w:rPr>
      </w:pPr>
    </w:p>
    <w:p w14:paraId="2C651045" w14:textId="77777777" w:rsidR="00D22A2A" w:rsidRDefault="00D22A2A" w:rsidP="00D22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Referencias normativas, jurisprudenciales y otras fuentes:</w:t>
      </w:r>
    </w:p>
    <w:p w14:paraId="3C2DEFD3" w14:textId="77777777" w:rsidR="00D22A2A" w:rsidRDefault="00D22A2A" w:rsidP="00D22A2A">
      <w:pPr>
        <w:widowControl w:val="0"/>
        <w:autoSpaceDE w:val="0"/>
        <w:autoSpaceDN w:val="0"/>
        <w:spacing w:after="0" w:line="276" w:lineRule="auto"/>
        <w:jc w:val="both"/>
        <w:rPr>
          <w:rFonts w:ascii="Verdana" w:hAnsi="Verdana" w:cs="Arial"/>
        </w:rPr>
      </w:pPr>
    </w:p>
    <w:tbl>
      <w:tblPr>
        <w:tblStyle w:val="Tablaconcuadrcula"/>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D22A2A" w14:paraId="4DA86C6D" w14:textId="77777777" w:rsidTr="0066501B">
        <w:trPr>
          <w:trHeight w:val="870"/>
        </w:trPr>
        <w:tc>
          <w:tcPr>
            <w:tcW w:w="8647" w:type="dxa"/>
            <w:tcBorders>
              <w:top w:val="dotted" w:sz="4" w:space="0" w:color="auto"/>
              <w:left w:val="dotted" w:sz="4" w:space="0" w:color="auto"/>
              <w:bottom w:val="dotted" w:sz="4" w:space="0" w:color="auto"/>
              <w:right w:val="dotted" w:sz="4" w:space="0" w:color="auto"/>
            </w:tcBorders>
            <w:hideMark/>
          </w:tcPr>
          <w:p w14:paraId="49563370" w14:textId="77777777" w:rsidR="00D22A2A" w:rsidRDefault="00D22A2A" w:rsidP="0066501B">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Constitución Política de 1991, artículos 313 y 355.</w:t>
            </w:r>
          </w:p>
          <w:p w14:paraId="4A4E5F4E" w14:textId="77777777" w:rsidR="00155595" w:rsidRDefault="00155595" w:rsidP="00E97989">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 xml:space="preserve">Código Civil, artículos </w:t>
            </w:r>
            <w:r w:rsidRPr="00222802">
              <w:rPr>
                <w:rFonts w:ascii="Verdana" w:eastAsia="Calibri" w:hAnsi="Verdana" w:cs="Arial"/>
                <w:bCs/>
                <w:color w:val="000000" w:themeColor="text1"/>
              </w:rPr>
              <w:t>2200 al 2220</w:t>
            </w:r>
            <w:r>
              <w:rPr>
                <w:rFonts w:ascii="Verdana" w:hAnsi="Verdana" w:cs="Arial"/>
              </w:rPr>
              <w:t>.</w:t>
            </w:r>
          </w:p>
          <w:p w14:paraId="0B003BF6" w14:textId="0C3E3A47" w:rsidR="00D22A2A" w:rsidRDefault="00D22A2A" w:rsidP="0066501B">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Decreto 1333 de 1986, artículo 167.</w:t>
            </w:r>
          </w:p>
          <w:p w14:paraId="230911E7" w14:textId="77777777" w:rsidR="00D22A2A" w:rsidRDefault="00D22A2A" w:rsidP="0066501B">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Ley 9 de 1989, artículo 38.</w:t>
            </w:r>
          </w:p>
          <w:p w14:paraId="2E0093F9" w14:textId="77777777" w:rsidR="00D22A2A" w:rsidRDefault="00D22A2A" w:rsidP="0066501B">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Ley 80 de 1993, artículos 13, 32 y 40.</w:t>
            </w:r>
          </w:p>
          <w:p w14:paraId="6739951E" w14:textId="77777777" w:rsidR="00D22A2A" w:rsidRPr="00BD0B8C" w:rsidRDefault="00D22A2A" w:rsidP="0066501B">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Ley 136 de 1994, artículo 32.</w:t>
            </w:r>
          </w:p>
          <w:p w14:paraId="271A7BB0" w14:textId="77777777" w:rsidR="00D22A2A" w:rsidRDefault="00D22A2A" w:rsidP="0066501B">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 xml:space="preserve">Ley 489 de 1998, artículo 96. </w:t>
            </w:r>
          </w:p>
          <w:p w14:paraId="08D2673C" w14:textId="77777777" w:rsidR="00E97989" w:rsidRPr="007524C4" w:rsidRDefault="00E97989" w:rsidP="00E97989">
            <w:pPr>
              <w:numPr>
                <w:ilvl w:val="0"/>
                <w:numId w:val="17"/>
              </w:numPr>
              <w:spacing w:line="276" w:lineRule="auto"/>
              <w:contextualSpacing/>
              <w:jc w:val="both"/>
              <w:rPr>
                <w:rFonts w:ascii="Verdana" w:hAnsi="Verdana"/>
                <w:lang w:val="es-MX" w:bidi="es-ES"/>
              </w:rPr>
            </w:pPr>
            <w:r w:rsidRPr="007524C4">
              <w:rPr>
                <w:rFonts w:ascii="Verdana" w:hAnsi="Verdana"/>
                <w:lang w:val="es-MX"/>
              </w:rPr>
              <w:t>Corte Constitucional. Sentencia C-738 del 11 de julio de 2001. Magistrado Ponente: Eduardo Montealegre Lynett.</w:t>
            </w:r>
          </w:p>
          <w:p w14:paraId="0ACF19BB" w14:textId="77777777" w:rsidR="00E97989" w:rsidRPr="007524C4" w:rsidRDefault="00E97989" w:rsidP="00E97989">
            <w:pPr>
              <w:numPr>
                <w:ilvl w:val="0"/>
                <w:numId w:val="17"/>
              </w:numPr>
              <w:spacing w:line="276" w:lineRule="auto"/>
              <w:contextualSpacing/>
              <w:jc w:val="both"/>
              <w:rPr>
                <w:rFonts w:ascii="Verdana" w:hAnsi="Verdana"/>
                <w:lang w:val="es-MX" w:bidi="es-ES"/>
              </w:rPr>
            </w:pPr>
            <w:r w:rsidRPr="007524C4">
              <w:rPr>
                <w:rFonts w:ascii="Verdana" w:hAnsi="Verdana"/>
                <w:lang w:val="es-MX"/>
              </w:rPr>
              <w:lastRenderedPageBreak/>
              <w:t xml:space="preserve">Consejo de Estado. Sala de Consulta y del Servicio Civil. Concepto 1889 del 5 de junio de 2008. Consejero Ponente: William Zambrano Cetina. </w:t>
            </w:r>
          </w:p>
          <w:p w14:paraId="461ABF80" w14:textId="77777777" w:rsidR="00E97989" w:rsidRPr="007524C4" w:rsidRDefault="00E97989" w:rsidP="00E97989">
            <w:pPr>
              <w:numPr>
                <w:ilvl w:val="0"/>
                <w:numId w:val="17"/>
              </w:numPr>
              <w:spacing w:line="276" w:lineRule="auto"/>
              <w:contextualSpacing/>
              <w:jc w:val="both"/>
              <w:rPr>
                <w:rFonts w:ascii="Verdana" w:hAnsi="Verdana"/>
                <w:lang w:val="es-MX" w:bidi="es-ES"/>
              </w:rPr>
            </w:pPr>
            <w:r w:rsidRPr="007524C4">
              <w:rPr>
                <w:rFonts w:ascii="Verdana" w:hAnsi="Verdana"/>
                <w:lang w:val="es-MX"/>
              </w:rPr>
              <w:t>Consejo de Estado. Sala de Consulta y del Servicio Civil. C</w:t>
            </w:r>
            <w:r w:rsidRPr="007524C4">
              <w:rPr>
                <w:rFonts w:ascii="Verdana" w:hAnsi="Verdana" w:cs="Arial"/>
                <w:lang w:val="es-MX"/>
              </w:rPr>
              <w:t xml:space="preserve">oncepto del 9 de octubre de 2014. </w:t>
            </w:r>
          </w:p>
          <w:p w14:paraId="3E07D5F8" w14:textId="5EB49C5A" w:rsidR="00D22A2A" w:rsidRPr="006A640E" w:rsidRDefault="00E97989" w:rsidP="002964EC">
            <w:pPr>
              <w:widowControl w:val="0"/>
              <w:autoSpaceDE w:val="0"/>
              <w:autoSpaceDN w:val="0"/>
              <w:spacing w:line="276" w:lineRule="auto"/>
              <w:ind w:left="360"/>
              <w:jc w:val="both"/>
              <w:rPr>
                <w:rFonts w:ascii="Verdana" w:eastAsia="Arial MT" w:hAnsi="Verdana" w:cs="Arial"/>
                <w:lang w:val="es-ES" w:eastAsia="es-ES" w:bidi="es-ES"/>
              </w:rPr>
            </w:pPr>
            <w:r w:rsidRPr="007524C4">
              <w:rPr>
                <w:rFonts w:ascii="Verdana" w:hAnsi="Verdana"/>
              </w:rPr>
              <w:t xml:space="preserve">Consejo de Estado. Sala de lo Contencioso Administrativo. Sección Primera. Radicación número: 50001-23-31-000-2010-00548-01. 19 de septiembre de 2019. Consejera Ponente: Nubia </w:t>
            </w:r>
            <w:proofErr w:type="spellStart"/>
            <w:r w:rsidRPr="007524C4">
              <w:rPr>
                <w:rFonts w:ascii="Verdana" w:hAnsi="Verdana"/>
              </w:rPr>
              <w:t>Margoth</w:t>
            </w:r>
            <w:proofErr w:type="spellEnd"/>
            <w:r w:rsidRPr="007524C4">
              <w:rPr>
                <w:rFonts w:ascii="Verdana" w:hAnsi="Verdana"/>
              </w:rPr>
              <w:t xml:space="preserve"> Peña Garzón.</w:t>
            </w:r>
          </w:p>
        </w:tc>
      </w:tr>
    </w:tbl>
    <w:p w14:paraId="51546990" w14:textId="77777777" w:rsidR="00D22A2A" w:rsidRDefault="00D22A2A" w:rsidP="00D22A2A">
      <w:pPr>
        <w:widowControl w:val="0"/>
        <w:autoSpaceDE w:val="0"/>
        <w:autoSpaceDN w:val="0"/>
        <w:spacing w:after="0" w:line="276" w:lineRule="auto"/>
        <w:jc w:val="both"/>
        <w:rPr>
          <w:rFonts w:ascii="Verdana" w:hAnsi="Verdana" w:cs="Arial"/>
        </w:rPr>
      </w:pPr>
    </w:p>
    <w:p w14:paraId="2E629C98" w14:textId="77777777" w:rsidR="00D22A2A" w:rsidRDefault="00D22A2A" w:rsidP="00D22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p>
    <w:p w14:paraId="181E408C" w14:textId="77777777" w:rsidR="00D22A2A" w:rsidRDefault="00D22A2A" w:rsidP="00D22A2A">
      <w:pPr>
        <w:widowControl w:val="0"/>
        <w:autoSpaceDE w:val="0"/>
        <w:autoSpaceDN w:val="0"/>
        <w:spacing w:after="0" w:line="276" w:lineRule="auto"/>
        <w:jc w:val="both"/>
        <w:rPr>
          <w:rFonts w:ascii="Verdana" w:hAnsi="Verdana" w:cs="Arial"/>
        </w:rPr>
      </w:pPr>
    </w:p>
    <w:p w14:paraId="5B9EFFB8" w14:textId="19F490BA" w:rsidR="00D22A2A" w:rsidRPr="00FE3C84" w:rsidRDefault="00D22A2A" w:rsidP="00D22A2A">
      <w:pPr>
        <w:widowControl w:val="0"/>
        <w:autoSpaceDE w:val="0"/>
        <w:autoSpaceDN w:val="0"/>
        <w:spacing w:after="0" w:line="276" w:lineRule="auto"/>
        <w:jc w:val="both"/>
        <w:rPr>
          <w:rStyle w:val="normaltextrun"/>
          <w:rFonts w:ascii="Verdana" w:hAnsi="Verdana"/>
          <w:color w:val="FF0000"/>
          <w:shd w:val="clear" w:color="auto" w:fill="FFFFFF"/>
          <w:lang w:val="es-ES"/>
        </w:rPr>
      </w:pPr>
      <w:r w:rsidRPr="00010325">
        <w:rPr>
          <w:rFonts w:ascii="Verdana" w:hAnsi="Verdana" w:cs="Arial"/>
          <w:shd w:val="clear" w:color="auto" w:fill="FFFFFF"/>
        </w:rPr>
        <w:t>Esta Subdirección se ha pronunciado sobre</w:t>
      </w:r>
      <w:r>
        <w:rPr>
          <w:rFonts w:ascii="Verdana" w:hAnsi="Verdana" w:cs="Arial"/>
          <w:shd w:val="clear" w:color="auto" w:fill="FFFFFF"/>
        </w:rPr>
        <w:t xml:space="preserve"> el contrato de comodato en los Conceptos </w:t>
      </w:r>
      <w:r w:rsidRPr="00222802">
        <w:rPr>
          <w:rFonts w:ascii="Verdana" w:eastAsia="Calibri" w:hAnsi="Verdana" w:cs="Arial"/>
          <w:bCs/>
          <w:color w:val="000000" w:themeColor="text1"/>
        </w:rPr>
        <w:t>415140000909 de 2015</w:t>
      </w:r>
      <w:r>
        <w:rPr>
          <w:rFonts w:ascii="Verdana" w:eastAsia="Calibri" w:hAnsi="Verdana" w:cs="Arial"/>
          <w:bCs/>
          <w:color w:val="000000" w:themeColor="text1"/>
        </w:rPr>
        <w:t>,</w:t>
      </w:r>
      <w:r>
        <w:rPr>
          <w:rFonts w:ascii="Verdana" w:hAnsi="Verdana" w:cs="Arial"/>
          <w:shd w:val="clear" w:color="auto" w:fill="FFFFFF"/>
        </w:rPr>
        <w:t xml:space="preserve"> C-014 del 24 de marzo de 2020, C-012 del 18 de febrero de 2022, C-799 del 12 de diciembre de 2022, C-161 del 6 de junio de 2023, C-270 del 12 de julio de 2023, C-188 del 21 de marzo de 2025, C-286 del 1 de abril de 2025</w:t>
      </w:r>
      <w:r w:rsidR="006732BD">
        <w:rPr>
          <w:rFonts w:ascii="Verdana" w:hAnsi="Verdana" w:cs="Arial"/>
          <w:shd w:val="clear" w:color="auto" w:fill="FFFFFF"/>
        </w:rPr>
        <w:t xml:space="preserve">, entre otros. </w:t>
      </w:r>
      <w:r>
        <w:rPr>
          <w:rStyle w:val="normaltextrun"/>
          <w:rFonts w:ascii="Verdana" w:hAnsi="Verdana" w:cs="Arial"/>
          <w:shd w:val="clear" w:color="auto" w:fill="FFFFFF"/>
          <w:lang w:val="es-ES"/>
        </w:rPr>
        <w:t>Es</w:t>
      </w:r>
      <w:r>
        <w:rPr>
          <w:rFonts w:ascii="Verdana" w:hAnsi="Verdana"/>
        </w:rPr>
        <w:t>tos y otros conceptos se encuentran disponibles para consulta en el Sistema de relatoría de la Agencia, al cual se puede acceder a través del siguiente enlace:</w:t>
      </w:r>
      <w:r>
        <w:rPr>
          <w:rStyle w:val="normaltextrun"/>
          <w:rFonts w:ascii="Verdana" w:hAnsi="Verdana" w:cs="Arial"/>
          <w:shd w:val="clear" w:color="auto" w:fill="FFFFFF"/>
          <w:lang w:val="es-ES"/>
        </w:rPr>
        <w:t xml:space="preserve"> </w:t>
      </w:r>
      <w:hyperlink r:id="rId12" w:history="1">
        <w:r w:rsidRPr="00B778BC">
          <w:rPr>
            <w:rStyle w:val="Hipervnculo"/>
            <w:rFonts w:ascii="Verdana" w:hAnsi="Verdana" w:cs="Arial"/>
            <w:shd w:val="clear" w:color="auto" w:fill="FFFFFF"/>
            <w:lang w:val="es-ES"/>
          </w:rPr>
          <w:t>https://relatoria.colombiacompra.gov.co/busqueda/conceptos</w:t>
        </w:r>
      </w:hyperlink>
      <w:r w:rsidRPr="00B778BC">
        <w:rPr>
          <w:rStyle w:val="normaltextrun"/>
          <w:rFonts w:ascii="Verdana" w:hAnsi="Verdana" w:cs="Arial"/>
          <w:color w:val="FF0000"/>
          <w:shd w:val="clear" w:color="auto" w:fill="FFFFFF"/>
          <w:lang w:val="es-ES"/>
        </w:rPr>
        <w:t xml:space="preserve">. </w:t>
      </w:r>
    </w:p>
    <w:p w14:paraId="7DC50CE8" w14:textId="77777777" w:rsidR="00D22A2A" w:rsidRDefault="00D22A2A" w:rsidP="00D22A2A">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2DF19C4A" w14:textId="77777777" w:rsidR="006732BD" w:rsidRPr="009A385A" w:rsidRDefault="006732BD" w:rsidP="006732BD">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29059BD3" w14:textId="77777777" w:rsidR="006732BD" w:rsidRDefault="006732BD" w:rsidP="006732BD">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5737B86E" w14:textId="77777777" w:rsidR="006732BD" w:rsidRPr="009A385A" w:rsidRDefault="006732BD" w:rsidP="006732BD">
      <w:pPr>
        <w:jc w:val="both"/>
        <w:rPr>
          <w:rFonts w:ascii="Verdana" w:hAnsi="Verdana"/>
        </w:rPr>
      </w:pPr>
      <w:r>
        <w:rPr>
          <w:rFonts w:ascii="Verdana" w:hAnsi="Verdana"/>
        </w:rPr>
        <w:lastRenderedPageBreak/>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0FAB3871" w14:textId="77777777" w:rsidR="006732BD" w:rsidRPr="0027034B" w:rsidRDefault="006732BD" w:rsidP="006732BD">
      <w:pPr>
        <w:widowControl w:val="0"/>
        <w:autoSpaceDE w:val="0"/>
        <w:autoSpaceDN w:val="0"/>
        <w:spacing w:after="0" w:line="276" w:lineRule="auto"/>
        <w:jc w:val="both"/>
        <w:rPr>
          <w:rFonts w:ascii="Verdana" w:eastAsia="Calibri" w:hAnsi="Verdana" w:cs="Arial"/>
          <w:shd w:val="clear" w:color="auto" w:fill="FFFFFF"/>
          <w:lang w:val="es-ES"/>
        </w:rPr>
      </w:pPr>
    </w:p>
    <w:p w14:paraId="36A110C8" w14:textId="77777777" w:rsidR="006732BD" w:rsidRPr="0027034B" w:rsidRDefault="006732BD" w:rsidP="006732BD">
      <w:pPr>
        <w:spacing w:after="0" w:line="276" w:lineRule="auto"/>
        <w:jc w:val="both"/>
        <w:rPr>
          <w:rFonts w:ascii="Verdana" w:eastAsia="Calibri" w:hAnsi="Verdana" w:cs="Times New Roman"/>
        </w:rPr>
      </w:pPr>
      <w:r w:rsidRPr="0027034B">
        <w:rPr>
          <w:rFonts w:ascii="Verdana" w:eastAsia="Calibri" w:hAnsi="Verdana" w:cs="Times New Roman"/>
        </w:rPr>
        <w:t xml:space="preserve">Por último, lo invitamos a seguirnos en las redes sociales en las cuales se difunde información institucional: </w:t>
      </w:r>
    </w:p>
    <w:p w14:paraId="5C0D984E" w14:textId="77777777" w:rsidR="006732BD" w:rsidRPr="0027034B" w:rsidRDefault="006732BD" w:rsidP="006732BD">
      <w:pPr>
        <w:spacing w:after="0" w:line="276" w:lineRule="auto"/>
        <w:jc w:val="both"/>
        <w:rPr>
          <w:rFonts w:ascii="Verdana" w:eastAsia="Calibri" w:hAnsi="Verdana" w:cs="Times New Roman"/>
        </w:rPr>
      </w:pPr>
    </w:p>
    <w:p w14:paraId="1098C566" w14:textId="77777777" w:rsidR="006732BD" w:rsidRPr="0027034B" w:rsidRDefault="006732BD" w:rsidP="006732BD">
      <w:pPr>
        <w:spacing w:after="0" w:line="276" w:lineRule="auto"/>
        <w:jc w:val="both"/>
        <w:rPr>
          <w:rFonts w:ascii="Verdana" w:eastAsia="Calibri" w:hAnsi="Verdana" w:cs="Times New Roman"/>
        </w:rPr>
      </w:pPr>
      <w:r w:rsidRPr="0027034B">
        <w:rPr>
          <w:rFonts w:ascii="Verdana" w:eastAsia="Calibri" w:hAnsi="Verdana" w:cs="Times New Roman"/>
        </w:rPr>
        <w:t xml:space="preserve">Twitter: </w:t>
      </w:r>
      <w:r w:rsidRPr="0027034B">
        <w:rPr>
          <w:rFonts w:ascii="Verdana" w:eastAsia="Calibri" w:hAnsi="Verdana" w:cs="Times New Roman"/>
          <w:u w:val="single"/>
        </w:rPr>
        <w:t>@colombiacompra</w:t>
      </w:r>
      <w:r w:rsidRPr="0027034B">
        <w:rPr>
          <w:rFonts w:ascii="Verdana" w:eastAsia="Calibri" w:hAnsi="Verdana" w:cs="Times New Roman"/>
        </w:rPr>
        <w:t xml:space="preserve"> </w:t>
      </w:r>
    </w:p>
    <w:p w14:paraId="4FD9A475" w14:textId="77777777" w:rsidR="006732BD" w:rsidRPr="0027034B" w:rsidRDefault="006732BD" w:rsidP="006732BD">
      <w:pPr>
        <w:spacing w:after="0" w:line="276" w:lineRule="auto"/>
        <w:jc w:val="both"/>
        <w:rPr>
          <w:rFonts w:ascii="Verdana" w:eastAsia="Calibri" w:hAnsi="Verdana" w:cs="Times New Roman"/>
        </w:rPr>
      </w:pPr>
      <w:r w:rsidRPr="0027034B">
        <w:rPr>
          <w:rFonts w:ascii="Verdana" w:eastAsia="Calibri" w:hAnsi="Verdana" w:cs="Times New Roman"/>
        </w:rPr>
        <w:t xml:space="preserve">Facebook: </w:t>
      </w:r>
      <w:proofErr w:type="spellStart"/>
      <w:r w:rsidRPr="0027034B">
        <w:rPr>
          <w:rFonts w:ascii="Verdana" w:eastAsia="Calibri" w:hAnsi="Verdana" w:cs="Times New Roman"/>
          <w:u w:val="single"/>
        </w:rPr>
        <w:t>ColombiaCompraEficiente</w:t>
      </w:r>
      <w:proofErr w:type="spellEnd"/>
    </w:p>
    <w:p w14:paraId="6B870481" w14:textId="77777777" w:rsidR="006732BD" w:rsidRPr="0027034B" w:rsidRDefault="006732BD" w:rsidP="006732BD">
      <w:pPr>
        <w:spacing w:after="0" w:line="276" w:lineRule="auto"/>
        <w:jc w:val="both"/>
        <w:rPr>
          <w:rFonts w:ascii="Verdana" w:eastAsia="Calibri" w:hAnsi="Verdana" w:cs="Times New Roman"/>
        </w:rPr>
      </w:pPr>
      <w:r w:rsidRPr="0027034B">
        <w:rPr>
          <w:rFonts w:ascii="Verdana" w:eastAsia="Calibri" w:hAnsi="Verdana" w:cs="Times New Roman"/>
        </w:rPr>
        <w:t xml:space="preserve">LinkedIn: </w:t>
      </w:r>
      <w:r w:rsidRPr="0027034B">
        <w:rPr>
          <w:rFonts w:ascii="Verdana" w:eastAsia="Calibri" w:hAnsi="Verdana" w:cs="Times New Roman"/>
          <w:u w:val="single"/>
        </w:rPr>
        <w:t>Agencia Nacional de Contratación Pública - Colombia Compra Eficiente</w:t>
      </w:r>
      <w:r w:rsidRPr="0027034B">
        <w:rPr>
          <w:rFonts w:ascii="Verdana" w:eastAsia="Calibri" w:hAnsi="Verdana" w:cs="Times New Roman"/>
        </w:rPr>
        <w:t xml:space="preserve"> Instagram: </w:t>
      </w:r>
      <w:r w:rsidRPr="0027034B">
        <w:rPr>
          <w:rFonts w:ascii="Verdana" w:eastAsia="Calibri" w:hAnsi="Verdana" w:cs="Times New Roman"/>
          <w:u w:val="single"/>
        </w:rPr>
        <w:t>@colombiacompraeficiente_cce</w:t>
      </w:r>
    </w:p>
    <w:p w14:paraId="35C4A733" w14:textId="77777777" w:rsidR="006732BD" w:rsidRPr="0027034B" w:rsidRDefault="006732BD" w:rsidP="006732BD">
      <w:pPr>
        <w:widowControl w:val="0"/>
        <w:autoSpaceDE w:val="0"/>
        <w:autoSpaceDN w:val="0"/>
        <w:spacing w:after="0" w:line="276" w:lineRule="auto"/>
        <w:jc w:val="both"/>
        <w:rPr>
          <w:rFonts w:ascii="Verdana" w:eastAsia="Calibri" w:hAnsi="Verdana" w:cs="Arial"/>
        </w:rPr>
      </w:pPr>
    </w:p>
    <w:p w14:paraId="544F1D60" w14:textId="77777777" w:rsidR="006732BD" w:rsidRPr="0027034B" w:rsidRDefault="006732BD" w:rsidP="006732BD">
      <w:pPr>
        <w:widowControl w:val="0"/>
        <w:autoSpaceDE w:val="0"/>
        <w:autoSpaceDN w:val="0"/>
        <w:spacing w:after="0" w:line="276" w:lineRule="auto"/>
        <w:jc w:val="both"/>
        <w:rPr>
          <w:rFonts w:ascii="Verdana" w:eastAsia="Calibri" w:hAnsi="Verdana" w:cs="Arial"/>
          <w:lang w:val="es-ES_tradnl"/>
        </w:rPr>
      </w:pPr>
      <w:r w:rsidRPr="0027034B">
        <w:rPr>
          <w:rFonts w:ascii="Verdana" w:eastAsia="Calibri" w:hAnsi="Verdana" w:cs="Arial"/>
        </w:rPr>
        <w:t xml:space="preserve">Este concepto tiene el alcance previsto en el artículo 28 del Código de Procedimiento Administrativo y de lo Contencioso Administrativo </w:t>
      </w:r>
      <w:r w:rsidRPr="0027034B">
        <w:rPr>
          <w:rFonts w:ascii="Verdana" w:eastAsia="Calibri" w:hAnsi="Verdana" w:cs="Arial"/>
          <w:lang w:val="es-ES_tradnl"/>
        </w:rPr>
        <w:t>y las expresiones aquí utilizadas con mayúscula inicial deben ser entendidas con el significado que les otorga el artículo 2.2.1.1.1.3.1. del Decreto 1082 de 2015.</w:t>
      </w:r>
    </w:p>
    <w:p w14:paraId="238F82F9" w14:textId="77777777" w:rsidR="006732BD" w:rsidRDefault="006732BD" w:rsidP="00D22A2A">
      <w:pPr>
        <w:spacing w:after="0" w:line="276" w:lineRule="auto"/>
        <w:rPr>
          <w:rFonts w:ascii="Verdana" w:eastAsia="Times New Roman" w:hAnsi="Verdana" w:cs="Arial"/>
          <w:lang w:eastAsia="es-CO"/>
        </w:rPr>
      </w:pPr>
    </w:p>
    <w:p w14:paraId="55A8F061" w14:textId="6E35DDEB" w:rsidR="00D22A2A" w:rsidRDefault="00D22A2A" w:rsidP="00D22A2A">
      <w:pPr>
        <w:spacing w:after="0" w:line="276" w:lineRule="auto"/>
        <w:rPr>
          <w:rFonts w:ascii="Verdana" w:hAnsi="Verdana" w:cs="Arial"/>
          <w:lang w:eastAsia="es-CO"/>
        </w:rPr>
      </w:pPr>
      <w:r>
        <w:rPr>
          <w:rFonts w:ascii="Verdana" w:eastAsia="Times New Roman" w:hAnsi="Verdana" w:cs="Arial"/>
          <w:lang w:eastAsia="es-CO"/>
        </w:rPr>
        <w:t>Atentamente,</w:t>
      </w:r>
      <w:r>
        <w:rPr>
          <w:rFonts w:ascii="Verdana" w:hAnsi="Verdana" w:cs="Arial"/>
          <w:lang w:eastAsia="es-CO"/>
        </w:rPr>
        <w:t xml:space="preserve"> </w:t>
      </w:r>
    </w:p>
    <w:p w14:paraId="4D1A9F11" w14:textId="330DA908" w:rsidR="00D22A2A" w:rsidRDefault="00D22A2A" w:rsidP="00D22A2A">
      <w:pPr>
        <w:spacing w:line="276" w:lineRule="auto"/>
        <w:jc w:val="center"/>
        <w:rPr>
          <w:rFonts w:ascii="Verdana" w:hAnsi="Verdana" w:cs="Arial"/>
          <w:color w:val="000000"/>
          <w:lang w:val="es-ES_tradnl" w:eastAsia="es-CO"/>
        </w:rPr>
      </w:pPr>
    </w:p>
    <w:p w14:paraId="4431E499" w14:textId="42FF5DDE" w:rsidR="006732BD" w:rsidRDefault="00E27ABA" w:rsidP="00D22A2A">
      <w:pPr>
        <w:spacing w:line="276" w:lineRule="auto"/>
        <w:jc w:val="center"/>
        <w:rPr>
          <w:rFonts w:ascii="Verdana" w:hAnsi="Verdana" w:cs="Arial"/>
          <w:color w:val="000000"/>
          <w:lang w:val="es-ES_tradnl" w:eastAsia="es-CO"/>
        </w:rPr>
      </w:pPr>
      <w:r>
        <w:rPr>
          <w:noProof/>
        </w:rPr>
        <w:drawing>
          <wp:inline distT="0" distB="0" distL="0" distR="0" wp14:anchorId="0106ECF6" wp14:editId="75C5DEC0">
            <wp:extent cx="3104515" cy="1336040"/>
            <wp:effectExtent l="0" t="0" r="0" b="0"/>
            <wp:docPr id="6033527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4515" cy="1336040"/>
                    </a:xfrm>
                    <a:prstGeom prst="rect">
                      <a:avLst/>
                    </a:prstGeom>
                    <a:noFill/>
                    <a:ln>
                      <a:noFill/>
                    </a:ln>
                  </pic:spPr>
                </pic:pic>
              </a:graphicData>
            </a:graphic>
          </wp:inline>
        </w:drawing>
      </w:r>
    </w:p>
    <w:p w14:paraId="16262FC8" w14:textId="77777777" w:rsidR="006732BD" w:rsidRDefault="006732BD" w:rsidP="00D22A2A">
      <w:pPr>
        <w:spacing w:line="276" w:lineRule="auto"/>
        <w:jc w:val="center"/>
        <w:rPr>
          <w:rFonts w:ascii="Verdana" w:hAnsi="Verdana" w:cs="Arial"/>
          <w:color w:val="000000"/>
          <w:lang w:val="es-ES_tradnl" w:eastAsia="es-CO"/>
        </w:rPr>
      </w:pPr>
    </w:p>
    <w:p w14:paraId="77774E1D" w14:textId="77777777" w:rsidR="006732BD" w:rsidRDefault="006732BD" w:rsidP="00D22A2A">
      <w:pPr>
        <w:spacing w:line="276" w:lineRule="auto"/>
        <w:jc w:val="center"/>
        <w:rPr>
          <w:rFonts w:ascii="Verdana" w:hAnsi="Verdana" w:cs="Arial"/>
          <w:color w:val="000000"/>
          <w:lang w:val="es-ES_tradnl"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22A2A" w14:paraId="353A0911" w14:textId="77777777" w:rsidTr="0066501B">
        <w:trPr>
          <w:trHeight w:val="315"/>
        </w:trPr>
        <w:tc>
          <w:tcPr>
            <w:tcW w:w="893" w:type="dxa"/>
            <w:vAlign w:val="center"/>
            <w:hideMark/>
          </w:tcPr>
          <w:p w14:paraId="11552340" w14:textId="77777777" w:rsidR="00D22A2A" w:rsidRDefault="00D22A2A" w:rsidP="0066501B">
            <w:pPr>
              <w:spacing w:after="255" w:line="240" w:lineRule="auto"/>
              <w:contextualSpacing/>
              <w:rPr>
                <w:rFonts w:ascii="Verdana" w:hAnsi="Verdana" w:cs="Arial"/>
                <w:sz w:val="16"/>
                <w:szCs w:val="16"/>
                <w:lang w:val="es-ES" w:eastAsia="es-ES"/>
              </w:rPr>
            </w:pPr>
            <w:r>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A35FA16" w14:textId="7FDA19B8" w:rsidR="00D22A2A" w:rsidRDefault="00D22A2A" w:rsidP="0066501B">
            <w:pPr>
              <w:spacing w:after="255" w:line="240" w:lineRule="auto"/>
              <w:contextualSpacing/>
              <w:rPr>
                <w:rFonts w:ascii="Verdana" w:eastAsia="Arial" w:hAnsi="Verdana" w:cs="Arial"/>
                <w:sz w:val="16"/>
                <w:szCs w:val="16"/>
              </w:rPr>
            </w:pPr>
            <w:r>
              <w:rPr>
                <w:rStyle w:val="normaltextrun"/>
                <w:rFonts w:ascii="Verdana" w:hAnsi="Verdana"/>
                <w:sz w:val="16"/>
                <w:szCs w:val="16"/>
              </w:rPr>
              <w:t>Ca</w:t>
            </w:r>
            <w:r w:rsidR="006732BD">
              <w:rPr>
                <w:rStyle w:val="normaltextrun"/>
                <w:rFonts w:ascii="Verdana" w:hAnsi="Verdana"/>
                <w:sz w:val="16"/>
                <w:szCs w:val="16"/>
              </w:rPr>
              <w:t xml:space="preserve">milo José Martínez </w:t>
            </w:r>
            <w:proofErr w:type="spellStart"/>
            <w:r w:rsidR="006732BD">
              <w:rPr>
                <w:rStyle w:val="normaltextrun"/>
                <w:rFonts w:ascii="Verdana" w:hAnsi="Verdana"/>
                <w:sz w:val="16"/>
                <w:szCs w:val="16"/>
              </w:rPr>
              <w:t>Martínez</w:t>
            </w:r>
            <w:proofErr w:type="spellEnd"/>
            <w:r w:rsidR="006732BD">
              <w:rPr>
                <w:rStyle w:val="normaltextrun"/>
                <w:rFonts w:ascii="Verdana" w:hAnsi="Verdana"/>
                <w:sz w:val="16"/>
                <w:szCs w:val="16"/>
              </w:rPr>
              <w:t xml:space="preserve"> </w:t>
            </w:r>
          </w:p>
          <w:p w14:paraId="53C7DB6F" w14:textId="77777777" w:rsidR="00D22A2A" w:rsidRDefault="00D22A2A" w:rsidP="0066501B">
            <w:pPr>
              <w:spacing w:after="255" w:line="240" w:lineRule="auto"/>
              <w:contextualSpacing/>
              <w:rPr>
                <w:rFonts w:ascii="Verdana" w:eastAsia="Arial" w:hAnsi="Verdana" w:cs="Arial"/>
                <w:sz w:val="16"/>
                <w:szCs w:val="16"/>
              </w:rPr>
            </w:pPr>
            <w:r>
              <w:rPr>
                <w:rStyle w:val="normaltextrun"/>
                <w:rFonts w:ascii="Verdana" w:eastAsia="Arial" w:hAnsi="Verdana" w:cs="Arial"/>
                <w:sz w:val="16"/>
                <w:szCs w:val="16"/>
              </w:rPr>
              <w:t>C</w:t>
            </w:r>
            <w:r>
              <w:rPr>
                <w:rStyle w:val="normaltextrun"/>
                <w:rFonts w:ascii="Verdana" w:eastAsia="Arial" w:hAnsi="Verdana"/>
                <w:sz w:val="16"/>
                <w:szCs w:val="16"/>
              </w:rPr>
              <w:t>ontratista d</w:t>
            </w:r>
            <w:r>
              <w:rPr>
                <w:rStyle w:val="normaltextrun"/>
                <w:rFonts w:ascii="Verdana" w:eastAsia="Arial" w:hAnsi="Verdana" w:cs="Arial"/>
                <w:sz w:val="16"/>
                <w:szCs w:val="16"/>
              </w:rPr>
              <w:t>e la Subdirección de Gestión Contractual</w:t>
            </w:r>
          </w:p>
        </w:tc>
      </w:tr>
      <w:tr w:rsidR="00D22A2A" w14:paraId="1FDDC3A8" w14:textId="77777777" w:rsidTr="0066501B">
        <w:trPr>
          <w:trHeight w:val="330"/>
        </w:trPr>
        <w:tc>
          <w:tcPr>
            <w:tcW w:w="893" w:type="dxa"/>
            <w:vAlign w:val="center"/>
            <w:hideMark/>
          </w:tcPr>
          <w:p w14:paraId="0E7A9F8E" w14:textId="77777777" w:rsidR="00D22A2A" w:rsidRDefault="00D22A2A" w:rsidP="0066501B">
            <w:pPr>
              <w:spacing w:after="255" w:line="240" w:lineRule="auto"/>
              <w:contextualSpacing/>
              <w:rPr>
                <w:rFonts w:ascii="Verdana" w:hAnsi="Verdana" w:cs="Arial"/>
                <w:sz w:val="16"/>
                <w:szCs w:val="16"/>
                <w:lang w:val="es-ES" w:eastAsia="es-ES"/>
              </w:rPr>
            </w:pPr>
            <w:r>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147BDEA" w14:textId="77777777" w:rsidR="00D22A2A" w:rsidRDefault="00D22A2A" w:rsidP="0066501B">
            <w:pPr>
              <w:pStyle w:val="paragraph"/>
              <w:spacing w:before="0" w:beforeAutospacing="0" w:after="0" w:afterAutospacing="0"/>
              <w:contextualSpacing/>
              <w:textAlignment w:val="baseline"/>
              <w:rPr>
                <w:rFonts w:ascii="Verdana" w:hAnsi="Verdana" w:cs="Segoe UI"/>
                <w:sz w:val="16"/>
                <w:szCs w:val="16"/>
                <w:lang w:eastAsia="es-ES_tradnl"/>
              </w:rPr>
            </w:pPr>
            <w:r>
              <w:rPr>
                <w:rFonts w:ascii="Verdana" w:hAnsi="Verdana" w:cs="Segoe UI"/>
                <w:sz w:val="16"/>
                <w:szCs w:val="16"/>
              </w:rPr>
              <w:t>Diana Lucía Saavedra Castañeda</w:t>
            </w:r>
          </w:p>
          <w:p w14:paraId="084D7DBF" w14:textId="77777777" w:rsidR="00D22A2A" w:rsidRDefault="00D22A2A" w:rsidP="0066501B">
            <w:pPr>
              <w:pStyle w:val="paragraph"/>
              <w:spacing w:before="0" w:beforeAutospacing="0" w:after="0" w:afterAutospacing="0"/>
              <w:contextualSpacing/>
              <w:textAlignment w:val="baseline"/>
              <w:rPr>
                <w:rFonts w:ascii="Verdana" w:hAnsi="Verdana" w:cs="Segoe UI"/>
                <w:sz w:val="16"/>
                <w:szCs w:val="16"/>
              </w:rPr>
            </w:pPr>
            <w:r>
              <w:rPr>
                <w:rStyle w:val="normaltextrun"/>
                <w:rFonts w:ascii="Verdana" w:hAnsi="Verdana" w:cs="Arial"/>
                <w:sz w:val="16"/>
                <w:szCs w:val="16"/>
                <w:lang w:val="es-ES"/>
              </w:rPr>
              <w:t>Contratista de la Subdirección de Gestión Contractual</w:t>
            </w:r>
            <w:r>
              <w:rPr>
                <w:rStyle w:val="eop"/>
                <w:rFonts w:ascii="Verdana" w:hAnsi="Verdana" w:cs="Arial"/>
                <w:sz w:val="16"/>
                <w:szCs w:val="16"/>
              </w:rPr>
              <w:t> </w:t>
            </w:r>
          </w:p>
        </w:tc>
      </w:tr>
      <w:tr w:rsidR="00D22A2A" w14:paraId="2E681780" w14:textId="77777777" w:rsidTr="0066501B">
        <w:trPr>
          <w:trHeight w:val="300"/>
        </w:trPr>
        <w:tc>
          <w:tcPr>
            <w:tcW w:w="893" w:type="dxa"/>
            <w:vAlign w:val="center"/>
            <w:hideMark/>
          </w:tcPr>
          <w:p w14:paraId="19A7D183" w14:textId="77777777" w:rsidR="00D22A2A" w:rsidRDefault="00D22A2A" w:rsidP="0066501B">
            <w:pPr>
              <w:spacing w:after="255" w:line="240" w:lineRule="auto"/>
              <w:contextualSpacing/>
              <w:rPr>
                <w:rFonts w:ascii="Verdana" w:hAnsi="Verdana" w:cs="Arial"/>
                <w:sz w:val="16"/>
                <w:szCs w:val="16"/>
                <w:lang w:val="es-ES" w:eastAsia="es-ES"/>
              </w:rPr>
            </w:pPr>
            <w:r>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61D3B05" w14:textId="77777777" w:rsidR="00D22A2A" w:rsidRDefault="00D22A2A" w:rsidP="0066501B">
            <w:pPr>
              <w:spacing w:after="255" w:line="240" w:lineRule="auto"/>
              <w:contextualSpacing/>
              <w:rPr>
                <w:rFonts w:ascii="Verdana" w:eastAsia="Calibri" w:hAnsi="Verdana" w:cs="Arial"/>
                <w:sz w:val="16"/>
                <w:szCs w:val="16"/>
                <w:lang w:val="pt-BR" w:eastAsia="es-ES"/>
              </w:rPr>
            </w:pPr>
            <w:r>
              <w:rPr>
                <w:rFonts w:ascii="Verdana" w:eastAsia="Calibri" w:hAnsi="Verdana" w:cs="Arial"/>
                <w:sz w:val="16"/>
                <w:szCs w:val="16"/>
                <w:lang w:val="pt-BR" w:eastAsia="es-ES"/>
              </w:rPr>
              <w:t xml:space="preserve">Carolina Quintero </w:t>
            </w:r>
            <w:proofErr w:type="spellStart"/>
            <w:r>
              <w:rPr>
                <w:rFonts w:ascii="Verdana" w:eastAsia="Calibri" w:hAnsi="Verdana" w:cs="Arial"/>
                <w:sz w:val="16"/>
                <w:szCs w:val="16"/>
                <w:lang w:val="pt-BR" w:eastAsia="es-ES"/>
              </w:rPr>
              <w:t>Gacharná</w:t>
            </w:r>
            <w:proofErr w:type="spellEnd"/>
          </w:p>
          <w:p w14:paraId="3A6E2401" w14:textId="77777777" w:rsidR="00D22A2A" w:rsidRDefault="00D22A2A" w:rsidP="0066501B">
            <w:pPr>
              <w:spacing w:after="255" w:line="240" w:lineRule="auto"/>
              <w:contextualSpacing/>
              <w:rPr>
                <w:rFonts w:ascii="Verdana" w:eastAsia="Calibri" w:hAnsi="Verdana" w:cs="Arial"/>
                <w:sz w:val="16"/>
                <w:szCs w:val="16"/>
                <w:lang w:val="pt-BR" w:eastAsia="es-ES"/>
              </w:rPr>
            </w:pPr>
            <w:r>
              <w:rPr>
                <w:rFonts w:ascii="Verdana" w:eastAsia="Calibri" w:hAnsi="Verdana" w:cs="Arial"/>
                <w:sz w:val="16"/>
                <w:szCs w:val="16"/>
                <w:lang w:eastAsia="es-ES"/>
              </w:rPr>
              <w:t>Subdirectora</w:t>
            </w:r>
            <w:r>
              <w:rPr>
                <w:rFonts w:ascii="Verdana" w:eastAsia="Calibri" w:hAnsi="Verdana" w:cs="Arial"/>
                <w:sz w:val="16"/>
                <w:szCs w:val="16"/>
                <w:lang w:val="pt-BR" w:eastAsia="es-ES"/>
              </w:rPr>
              <w:t xml:space="preserve"> de Gestión </w:t>
            </w:r>
            <w:proofErr w:type="spellStart"/>
            <w:r>
              <w:rPr>
                <w:rFonts w:ascii="Verdana" w:eastAsia="Calibri" w:hAnsi="Verdana" w:cs="Arial"/>
                <w:sz w:val="16"/>
                <w:szCs w:val="16"/>
                <w:lang w:val="pt-BR" w:eastAsia="es-ES"/>
              </w:rPr>
              <w:t>Contractual</w:t>
            </w:r>
            <w:proofErr w:type="spellEnd"/>
            <w:r>
              <w:rPr>
                <w:rFonts w:ascii="Verdana" w:eastAsia="Calibri" w:hAnsi="Verdana" w:cs="Arial"/>
                <w:sz w:val="16"/>
                <w:szCs w:val="16"/>
                <w:lang w:val="pt-BR" w:eastAsia="es-ES"/>
              </w:rPr>
              <w:t xml:space="preserve"> ANCP – CCE</w:t>
            </w:r>
          </w:p>
        </w:tc>
      </w:tr>
    </w:tbl>
    <w:p w14:paraId="6A5A5ADF" w14:textId="77777777" w:rsidR="00D22A2A" w:rsidRPr="001249F1" w:rsidRDefault="00D22A2A" w:rsidP="00D22A2A"/>
    <w:p w14:paraId="3900974D" w14:textId="2AD2C1CF" w:rsidR="003D5B0D" w:rsidRPr="00D22A2A" w:rsidRDefault="003D5B0D" w:rsidP="00D22A2A"/>
    <w:sectPr w:rsidR="003D5B0D" w:rsidRPr="00D22A2A"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DD3B6" w14:textId="77777777" w:rsidR="00A72B9E" w:rsidRDefault="00A72B9E" w:rsidP="004A1847">
      <w:pPr>
        <w:spacing w:after="0" w:line="240" w:lineRule="auto"/>
      </w:pPr>
      <w:r>
        <w:separator/>
      </w:r>
    </w:p>
  </w:endnote>
  <w:endnote w:type="continuationSeparator" w:id="0">
    <w:p w14:paraId="292423CC" w14:textId="77777777" w:rsidR="00A72B9E" w:rsidRDefault="00A72B9E" w:rsidP="004A1847">
      <w:pPr>
        <w:spacing w:after="0" w:line="240" w:lineRule="auto"/>
      </w:pPr>
      <w:r>
        <w:continuationSeparator/>
      </w:r>
    </w:p>
  </w:endnote>
  <w:endnote w:type="continuationNotice" w:id="1">
    <w:p w14:paraId="001043FE" w14:textId="77777777" w:rsidR="00A72B9E" w:rsidRDefault="00A72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C777" w14:textId="77777777" w:rsidR="00A72B9E" w:rsidRDefault="00A72B9E" w:rsidP="004A1847">
      <w:pPr>
        <w:spacing w:after="0" w:line="240" w:lineRule="auto"/>
      </w:pPr>
      <w:r>
        <w:separator/>
      </w:r>
    </w:p>
  </w:footnote>
  <w:footnote w:type="continuationSeparator" w:id="0">
    <w:p w14:paraId="0B490D91" w14:textId="77777777" w:rsidR="00A72B9E" w:rsidRDefault="00A72B9E" w:rsidP="004A1847">
      <w:pPr>
        <w:spacing w:after="0" w:line="240" w:lineRule="auto"/>
      </w:pPr>
      <w:r>
        <w:continuationSeparator/>
      </w:r>
    </w:p>
  </w:footnote>
  <w:footnote w:type="continuationNotice" w:id="1">
    <w:p w14:paraId="10A9172C" w14:textId="77777777" w:rsidR="00A72B9E" w:rsidRDefault="00A72B9E">
      <w:pPr>
        <w:spacing w:after="0" w:line="240" w:lineRule="auto"/>
      </w:pPr>
    </w:p>
  </w:footnote>
  <w:footnote w:id="2">
    <w:p w14:paraId="0792BD64" w14:textId="77777777" w:rsidR="00D22A2A" w:rsidRPr="00222802" w:rsidRDefault="00D22A2A" w:rsidP="002964EC">
      <w:pPr>
        <w:pStyle w:val="Textonotapie"/>
        <w:ind w:firstLine="709"/>
        <w:jc w:val="both"/>
        <w:rPr>
          <w:rFonts w:ascii="Verdana" w:hAnsi="Verdana" w:cs="Arial"/>
          <w:sz w:val="16"/>
          <w:szCs w:val="16"/>
        </w:rPr>
      </w:pPr>
      <w:r w:rsidRPr="00222802">
        <w:rPr>
          <w:rFonts w:ascii="Verdana" w:hAnsi="Verdana" w:cs="Arial"/>
          <w:sz w:val="16"/>
          <w:szCs w:val="16"/>
          <w:vertAlign w:val="superscript"/>
        </w:rPr>
        <w:footnoteRef/>
      </w:r>
      <w:r w:rsidRPr="00222802">
        <w:rPr>
          <w:rFonts w:ascii="Verdana" w:hAnsi="Verdana" w:cs="Arial"/>
          <w:sz w:val="16"/>
          <w:szCs w:val="16"/>
        </w:rPr>
        <w:t xml:space="preserve"> Al respecto, la jurisprudencia explica que </w:t>
      </w:r>
      <w:r>
        <w:rPr>
          <w:rFonts w:ascii="Verdana" w:hAnsi="Verdana" w:cs="Arial"/>
          <w:sz w:val="16"/>
          <w:szCs w:val="16"/>
        </w:rPr>
        <w:t>“</w:t>
      </w:r>
      <w:r w:rsidRPr="00222802">
        <w:rPr>
          <w:rFonts w:ascii="Verdana" w:hAnsi="Verdana" w:cs="Arial"/>
          <w:sz w:val="16"/>
          <w:szCs w:val="16"/>
        </w:rPr>
        <w:t>Entre las características esenciales (art. 1501 C.C.) que […] delimitan la institución, y la identifican como una relación jurídica de tenencia, se hallan las de corresponder a un negocio real, porque no se perfecciona sino por virtud de la entrega (no tanto la tradición, en sentido técnico)  de la cosa sobre la cual versa (arts. 1500 y 2200 C.C), carácter que se explica por cuanto la obligación fundamental, consiste en la restitución de la cosa por parte del comodatario al comodante; es, asimismo, una convención sustancialmente gratuita o de beneficencia</w:t>
      </w:r>
      <w:r w:rsidRPr="00222802">
        <w:rPr>
          <w:rFonts w:ascii="Verdana" w:hAnsi="Verdana" w:cs="Arial"/>
          <w:sz w:val="16"/>
          <w:szCs w:val="16"/>
          <w:lang w:val="es-ES"/>
        </w:rPr>
        <w:t xml:space="preserve"> </w:t>
      </w:r>
      <w:r w:rsidRPr="00222802">
        <w:rPr>
          <w:rFonts w:ascii="Verdana" w:hAnsi="Verdana" w:cs="Arial"/>
          <w:sz w:val="16"/>
          <w:szCs w:val="16"/>
        </w:rPr>
        <w:t xml:space="preserve">(arts. 1497 y 2200 C.C.), cuyo objeto es la utilidad de una de las partes, el prestatario o comodatario; se trata de un acto jurídico de naturaleza unilateral, en principio, porque sólo genera una obligación que grava a uno de los contratantes, esto es, la obligación de restituir la cosa, radicada en cabeza del comodatario; es un contrato principal, en la medida que </w:t>
      </w:r>
      <w:r>
        <w:rPr>
          <w:rFonts w:ascii="Verdana" w:hAnsi="Verdana" w:cs="Arial"/>
          <w:sz w:val="16"/>
          <w:szCs w:val="16"/>
        </w:rPr>
        <w:t>‘</w:t>
      </w:r>
      <w:r w:rsidRPr="00222802">
        <w:rPr>
          <w:rFonts w:ascii="Verdana" w:hAnsi="Verdana" w:cs="Arial"/>
          <w:sz w:val="16"/>
          <w:szCs w:val="16"/>
        </w:rPr>
        <w:t>no requiere de algún otro para nacer a la vida jurídica</w:t>
      </w:r>
      <w:r>
        <w:rPr>
          <w:rFonts w:ascii="Verdana" w:hAnsi="Verdana" w:cs="Arial"/>
          <w:sz w:val="16"/>
          <w:szCs w:val="16"/>
        </w:rPr>
        <w:t>’</w:t>
      </w:r>
      <w:r w:rsidRPr="00222802">
        <w:rPr>
          <w:rFonts w:ascii="Verdana" w:hAnsi="Verdana" w:cs="Arial"/>
          <w:sz w:val="16"/>
          <w:szCs w:val="16"/>
        </w:rPr>
        <w:t xml:space="preserve"> ; y, finalmente, es convenio nominado y típico, pues tiene enunciación y regulación legal</w:t>
      </w:r>
      <w:r>
        <w:rPr>
          <w:rFonts w:ascii="Verdana" w:hAnsi="Verdana" w:cs="Arial"/>
          <w:sz w:val="16"/>
          <w:szCs w:val="16"/>
        </w:rPr>
        <w:t>”</w:t>
      </w:r>
      <w:r w:rsidRPr="00222802">
        <w:rPr>
          <w:rFonts w:ascii="Verdana" w:hAnsi="Verdana" w:cs="Arial"/>
          <w:sz w:val="16"/>
          <w:szCs w:val="16"/>
        </w:rPr>
        <w:t xml:space="preserve"> (CORTE SUPREMA DE JUSTICIA. Sala de Casación Civil. Sentencia del 23 de mayo de 2018. Exp. 76001310301220080040401. M.P. Luis Armando Tolosa Villabona).</w:t>
      </w:r>
    </w:p>
  </w:footnote>
  <w:footnote w:id="3">
    <w:p w14:paraId="23785908" w14:textId="77777777" w:rsidR="00D22A2A" w:rsidRPr="00222802" w:rsidRDefault="00D22A2A" w:rsidP="002964EC">
      <w:pPr>
        <w:pStyle w:val="Textonotapie"/>
        <w:ind w:firstLine="709"/>
        <w:jc w:val="both"/>
        <w:rPr>
          <w:rFonts w:ascii="Verdana" w:hAnsi="Verdana" w:cs="Arial"/>
          <w:sz w:val="16"/>
          <w:szCs w:val="16"/>
          <w:lang w:val="es-CO"/>
        </w:rPr>
      </w:pPr>
      <w:r w:rsidRPr="00222802">
        <w:rPr>
          <w:rStyle w:val="Refdenotaalpie"/>
          <w:rFonts w:ascii="Verdana" w:hAnsi="Verdana" w:cs="Arial"/>
          <w:sz w:val="16"/>
          <w:szCs w:val="16"/>
        </w:rPr>
        <w:footnoteRef/>
      </w:r>
      <w:r w:rsidRPr="00222802">
        <w:rPr>
          <w:rFonts w:ascii="Verdana" w:hAnsi="Verdana" w:cs="Arial"/>
          <w:sz w:val="16"/>
          <w:szCs w:val="16"/>
        </w:rPr>
        <w:t xml:space="preserve"> </w:t>
      </w:r>
      <w:bookmarkStart w:id="2" w:name="2205"/>
      <w:r>
        <w:rPr>
          <w:rFonts w:ascii="Verdana" w:hAnsi="Verdana" w:cs="Arial"/>
          <w:sz w:val="16"/>
          <w:szCs w:val="16"/>
        </w:rPr>
        <w:t>“</w:t>
      </w:r>
      <w:r w:rsidRPr="00222802">
        <w:rPr>
          <w:rFonts w:ascii="Verdana" w:hAnsi="Verdana" w:cs="Arial"/>
          <w:sz w:val="16"/>
          <w:szCs w:val="16"/>
          <w:lang w:val="es-CO"/>
        </w:rPr>
        <w:t>ARTÍCULO 2205. &lt;TERMINO PARA LA RESTITUCION DE LA COSA PRESTADA&gt;.</w:t>
      </w:r>
      <w:bookmarkEnd w:id="2"/>
      <w:r w:rsidRPr="00222802">
        <w:rPr>
          <w:rFonts w:ascii="Verdana" w:hAnsi="Verdana" w:cs="Arial"/>
          <w:sz w:val="16"/>
          <w:szCs w:val="16"/>
          <w:lang w:val="es-CO"/>
        </w:rPr>
        <w:t> El comodatario es obligado a restituir la cosa prestada en el tiempo convenido, o a falta de convención, después del uso para</w:t>
      </w:r>
      <w:r>
        <w:rPr>
          <w:rFonts w:ascii="Verdana" w:hAnsi="Verdana" w:cs="Arial"/>
          <w:sz w:val="16"/>
          <w:szCs w:val="16"/>
          <w:lang w:val="es-CO"/>
        </w:rPr>
        <w:t xml:space="preserve"> </w:t>
      </w:r>
      <w:r w:rsidRPr="00222802">
        <w:rPr>
          <w:rFonts w:ascii="Verdana" w:hAnsi="Verdana" w:cs="Arial"/>
          <w:sz w:val="16"/>
          <w:szCs w:val="16"/>
          <w:lang w:val="es-CO"/>
        </w:rPr>
        <w:t>que ha sido prestada.</w:t>
      </w:r>
    </w:p>
    <w:p w14:paraId="5AFC481E" w14:textId="77777777" w:rsidR="00D22A2A" w:rsidRPr="00222802" w:rsidRDefault="00D22A2A" w:rsidP="002964EC">
      <w:pPr>
        <w:pStyle w:val="Textonotapie"/>
        <w:ind w:firstLine="709"/>
        <w:jc w:val="both"/>
        <w:rPr>
          <w:rFonts w:ascii="Verdana" w:hAnsi="Verdana" w:cs="Arial"/>
          <w:sz w:val="16"/>
          <w:szCs w:val="16"/>
          <w:lang w:val="es-CO"/>
        </w:rPr>
      </w:pPr>
      <w:r w:rsidRPr="00222802">
        <w:rPr>
          <w:rFonts w:ascii="Verdana" w:hAnsi="Verdana" w:cs="Arial"/>
          <w:sz w:val="16"/>
          <w:szCs w:val="16"/>
          <w:lang w:val="es-CO"/>
        </w:rPr>
        <w:t>Pero podrá exigirse la restitución aún antes del tiempo estipulado en tres casos:</w:t>
      </w:r>
    </w:p>
    <w:p w14:paraId="1B679A4A" w14:textId="77777777" w:rsidR="00D22A2A" w:rsidRPr="00222802" w:rsidRDefault="00D22A2A" w:rsidP="002964EC">
      <w:pPr>
        <w:pStyle w:val="Textonotapie"/>
        <w:ind w:firstLine="709"/>
        <w:jc w:val="both"/>
        <w:rPr>
          <w:rFonts w:ascii="Verdana" w:hAnsi="Verdana" w:cs="Arial"/>
          <w:sz w:val="16"/>
          <w:szCs w:val="16"/>
          <w:lang w:val="es-CO"/>
        </w:rPr>
      </w:pPr>
      <w:r w:rsidRPr="00222802">
        <w:rPr>
          <w:rFonts w:ascii="Verdana" w:hAnsi="Verdana" w:cs="Arial"/>
          <w:sz w:val="16"/>
          <w:szCs w:val="16"/>
          <w:lang w:val="es-CO"/>
        </w:rPr>
        <w:t>1. Si muere el comodatario, a menos que la cosa haya sido prestada para un servicio particular que no pueda diferirse o suspenderse.</w:t>
      </w:r>
    </w:p>
    <w:p w14:paraId="7096D83B" w14:textId="77777777" w:rsidR="00D22A2A" w:rsidRPr="00222802" w:rsidRDefault="00D22A2A" w:rsidP="002964EC">
      <w:pPr>
        <w:pStyle w:val="Textonotapie"/>
        <w:ind w:firstLine="709"/>
        <w:jc w:val="both"/>
        <w:rPr>
          <w:rFonts w:ascii="Verdana" w:hAnsi="Verdana" w:cs="Arial"/>
          <w:sz w:val="16"/>
          <w:szCs w:val="16"/>
          <w:lang w:val="es-CO"/>
        </w:rPr>
      </w:pPr>
      <w:r w:rsidRPr="00222802">
        <w:rPr>
          <w:rFonts w:ascii="Verdana" w:hAnsi="Verdana" w:cs="Arial"/>
          <w:sz w:val="16"/>
          <w:szCs w:val="16"/>
          <w:lang w:val="es-CO"/>
        </w:rPr>
        <w:t>2. Si sobreviene al comodante una necesidad imprevista y urgente de la cosa.</w:t>
      </w:r>
    </w:p>
    <w:p w14:paraId="65F236FC" w14:textId="77777777" w:rsidR="00D22A2A" w:rsidRPr="00332CB9" w:rsidRDefault="00D22A2A" w:rsidP="002964EC">
      <w:pPr>
        <w:pStyle w:val="Textonotapie"/>
        <w:ind w:firstLine="709"/>
        <w:jc w:val="both"/>
        <w:rPr>
          <w:rFonts w:ascii="Verdana" w:hAnsi="Verdana" w:cs="Arial"/>
          <w:sz w:val="16"/>
          <w:szCs w:val="16"/>
          <w:lang w:val="es-CO"/>
        </w:rPr>
      </w:pPr>
      <w:r w:rsidRPr="00222802">
        <w:rPr>
          <w:rFonts w:ascii="Verdana" w:hAnsi="Verdana" w:cs="Arial"/>
          <w:sz w:val="16"/>
          <w:szCs w:val="16"/>
          <w:lang w:val="es-CO"/>
        </w:rPr>
        <w:t>3. Si ha terminado o no tiene lugar el servicio para el cual se ha prestado la cosa</w:t>
      </w:r>
      <w:r>
        <w:rPr>
          <w:rFonts w:ascii="Verdana" w:hAnsi="Verdana" w:cs="Arial"/>
          <w:sz w:val="16"/>
          <w:szCs w:val="16"/>
        </w:rPr>
        <w:t>”.</w:t>
      </w:r>
    </w:p>
  </w:footnote>
  <w:footnote w:id="4">
    <w:p w14:paraId="18343C96" w14:textId="77777777" w:rsidR="00D22A2A" w:rsidRPr="00222802" w:rsidRDefault="00D22A2A" w:rsidP="002964EC">
      <w:pPr>
        <w:pStyle w:val="Textonotapie"/>
        <w:ind w:firstLine="709"/>
        <w:jc w:val="both"/>
        <w:rPr>
          <w:rFonts w:ascii="Verdana" w:hAnsi="Verdana" w:cs="Arial"/>
          <w:sz w:val="16"/>
          <w:szCs w:val="16"/>
          <w:lang w:val="es-CO"/>
        </w:rPr>
      </w:pPr>
      <w:r w:rsidRPr="00222802">
        <w:rPr>
          <w:rStyle w:val="Refdenotaalpie"/>
          <w:rFonts w:ascii="Verdana" w:hAnsi="Verdana" w:cs="Arial"/>
          <w:sz w:val="16"/>
          <w:szCs w:val="16"/>
        </w:rPr>
        <w:footnoteRef/>
      </w:r>
      <w:r w:rsidRPr="00222802">
        <w:rPr>
          <w:rFonts w:ascii="Verdana" w:hAnsi="Verdana" w:cs="Arial"/>
          <w:sz w:val="16"/>
          <w:szCs w:val="16"/>
        </w:rPr>
        <w:t xml:space="preserve"> </w:t>
      </w:r>
      <w:bookmarkStart w:id="3" w:name="2202"/>
      <w:r>
        <w:rPr>
          <w:rFonts w:ascii="Verdana" w:hAnsi="Verdana" w:cs="Arial"/>
          <w:sz w:val="16"/>
          <w:szCs w:val="16"/>
        </w:rPr>
        <w:t>“</w:t>
      </w:r>
      <w:r w:rsidRPr="00222802">
        <w:rPr>
          <w:rFonts w:ascii="Verdana" w:hAnsi="Verdana" w:cs="Arial"/>
          <w:sz w:val="16"/>
          <w:szCs w:val="16"/>
          <w:lang w:val="es-CO"/>
        </w:rPr>
        <w:t>ARTÍCULO 2202. &lt;LIMITACIONES DEL COMODATARIO&gt;.</w:t>
      </w:r>
      <w:bookmarkEnd w:id="3"/>
      <w:r w:rsidRPr="00222802">
        <w:rPr>
          <w:rFonts w:ascii="Verdana" w:hAnsi="Verdana" w:cs="Arial"/>
          <w:sz w:val="16"/>
          <w:szCs w:val="16"/>
          <w:lang w:val="es-CO"/>
        </w:rPr>
        <w:t> El comodatario no puede emplear la cosa sino en el uso convenido, o falta de convención en el uso ordinario de las de su clase.</w:t>
      </w:r>
    </w:p>
    <w:p w14:paraId="27051492" w14:textId="77777777" w:rsidR="00D22A2A" w:rsidRPr="00332CB9" w:rsidRDefault="00D22A2A" w:rsidP="002964EC">
      <w:pPr>
        <w:pStyle w:val="Textonotapie"/>
        <w:ind w:firstLine="709"/>
        <w:jc w:val="both"/>
        <w:rPr>
          <w:rFonts w:ascii="Verdana" w:hAnsi="Verdana" w:cs="Arial"/>
          <w:sz w:val="16"/>
          <w:szCs w:val="16"/>
          <w:lang w:val="es-CO"/>
        </w:rPr>
      </w:pPr>
      <w:r w:rsidRPr="00222802">
        <w:rPr>
          <w:rFonts w:ascii="Verdana" w:hAnsi="Verdana" w:cs="Arial"/>
          <w:sz w:val="16"/>
          <w:szCs w:val="16"/>
          <w:lang w:val="es-CO"/>
        </w:rPr>
        <w:t>En el caso de contravención podrá el comodante exigir la reparación de todo perjuicio, y la restitución inmediata, aún cuando para la restitución se haya estipulado plazo</w:t>
      </w:r>
      <w:r>
        <w:rPr>
          <w:rFonts w:ascii="Verdana" w:hAnsi="Verdana" w:cs="Arial"/>
          <w:sz w:val="16"/>
          <w:szCs w:val="16"/>
        </w:rPr>
        <w:t>”.</w:t>
      </w:r>
    </w:p>
  </w:footnote>
  <w:footnote w:id="5">
    <w:p w14:paraId="08F2E2DC" w14:textId="77777777" w:rsidR="00D22A2A" w:rsidRPr="00222802" w:rsidRDefault="00D22A2A" w:rsidP="002964EC">
      <w:pPr>
        <w:pStyle w:val="Textonotapie"/>
        <w:ind w:firstLine="709"/>
        <w:jc w:val="both"/>
        <w:rPr>
          <w:rFonts w:ascii="Verdana" w:hAnsi="Verdana" w:cs="Arial"/>
          <w:sz w:val="16"/>
          <w:szCs w:val="16"/>
        </w:rPr>
      </w:pPr>
      <w:r w:rsidRPr="00222802">
        <w:rPr>
          <w:rStyle w:val="Refdenotaalpie"/>
          <w:rFonts w:ascii="Verdana" w:hAnsi="Verdana" w:cs="Arial"/>
          <w:sz w:val="16"/>
          <w:szCs w:val="16"/>
        </w:rPr>
        <w:footnoteRef/>
      </w:r>
      <w:r w:rsidRPr="00222802">
        <w:rPr>
          <w:rFonts w:ascii="Verdana" w:hAnsi="Verdana" w:cs="Arial"/>
          <w:sz w:val="16"/>
          <w:szCs w:val="16"/>
        </w:rPr>
        <w:t xml:space="preserve"> CONSEJO DE ESTADO. Sala </w:t>
      </w:r>
      <w:r>
        <w:rPr>
          <w:rFonts w:ascii="Verdana" w:hAnsi="Verdana" w:cs="Arial"/>
          <w:sz w:val="16"/>
          <w:szCs w:val="16"/>
        </w:rPr>
        <w:t>d</w:t>
      </w:r>
      <w:r w:rsidRPr="00222802">
        <w:rPr>
          <w:rFonts w:ascii="Verdana" w:hAnsi="Verdana" w:cs="Arial"/>
          <w:sz w:val="16"/>
          <w:szCs w:val="16"/>
        </w:rPr>
        <w:t xml:space="preserve">e Consulta </w:t>
      </w:r>
      <w:r>
        <w:rPr>
          <w:rFonts w:ascii="Verdana" w:hAnsi="Verdana" w:cs="Arial"/>
          <w:sz w:val="16"/>
          <w:szCs w:val="16"/>
        </w:rPr>
        <w:t>y</w:t>
      </w:r>
      <w:r w:rsidRPr="00222802">
        <w:rPr>
          <w:rFonts w:ascii="Verdana" w:hAnsi="Verdana" w:cs="Arial"/>
          <w:sz w:val="16"/>
          <w:szCs w:val="16"/>
        </w:rPr>
        <w:t xml:space="preserve"> Servicio Civil. Concepto del 24 de julio de 2003. Radicación 1.510. C.P. Susana Montes de Echeverri. En torno a este tema, se han desarrollado los siguientes pronunciamientos: Conceptos Nos. 726/95; 994/97; 1017/97;1077/98; 1129/98.</w:t>
      </w:r>
    </w:p>
  </w:footnote>
  <w:footnote w:id="6">
    <w:p w14:paraId="68F5BFC7" w14:textId="77777777" w:rsidR="00D22A2A" w:rsidRPr="00222802" w:rsidRDefault="00D22A2A" w:rsidP="002964EC">
      <w:pPr>
        <w:pStyle w:val="Textonotapie"/>
        <w:ind w:firstLine="709"/>
        <w:jc w:val="both"/>
        <w:rPr>
          <w:rFonts w:ascii="Verdana" w:hAnsi="Verdana" w:cs="Arial"/>
          <w:sz w:val="16"/>
          <w:szCs w:val="16"/>
          <w:lang w:val="es-ES"/>
        </w:rPr>
      </w:pPr>
      <w:r w:rsidRPr="00222802">
        <w:rPr>
          <w:rStyle w:val="Refdenotaalpie"/>
          <w:rFonts w:ascii="Verdana" w:hAnsi="Verdana" w:cs="Arial"/>
          <w:sz w:val="16"/>
          <w:szCs w:val="16"/>
        </w:rPr>
        <w:footnoteRef/>
      </w:r>
      <w:r w:rsidRPr="00222802">
        <w:rPr>
          <w:rFonts w:ascii="Verdana" w:hAnsi="Verdana" w:cs="Arial"/>
          <w:sz w:val="16"/>
          <w:szCs w:val="16"/>
        </w:rPr>
        <w:t xml:space="preserve"> CORTE SUPREMA DE JUSTICIA. Sala de </w:t>
      </w:r>
      <w:r>
        <w:rPr>
          <w:rFonts w:ascii="Verdana" w:hAnsi="Verdana" w:cs="Arial"/>
          <w:sz w:val="16"/>
          <w:szCs w:val="16"/>
        </w:rPr>
        <w:t>C</w:t>
      </w:r>
      <w:r w:rsidRPr="00222802">
        <w:rPr>
          <w:rFonts w:ascii="Verdana" w:hAnsi="Verdana" w:cs="Arial"/>
          <w:sz w:val="16"/>
          <w:szCs w:val="16"/>
        </w:rPr>
        <w:t xml:space="preserve">asación </w:t>
      </w:r>
      <w:r>
        <w:rPr>
          <w:rFonts w:ascii="Verdana" w:hAnsi="Verdana" w:cs="Arial"/>
          <w:sz w:val="16"/>
          <w:szCs w:val="16"/>
        </w:rPr>
        <w:t>C</w:t>
      </w:r>
      <w:r w:rsidRPr="00222802">
        <w:rPr>
          <w:rFonts w:ascii="Verdana" w:hAnsi="Verdana" w:cs="Arial"/>
          <w:sz w:val="16"/>
          <w:szCs w:val="16"/>
        </w:rPr>
        <w:t xml:space="preserve">ivil. Sentencia del 4 de agosto de 2008. Exp. 68001310300920000071001. M.P. Edgardo Villamil Portilla. </w:t>
      </w:r>
    </w:p>
  </w:footnote>
  <w:footnote w:id="7">
    <w:p w14:paraId="3C69DB22" w14:textId="77777777" w:rsidR="0011018C" w:rsidRPr="00834E33" w:rsidRDefault="0011018C" w:rsidP="0011018C">
      <w:pPr>
        <w:pStyle w:val="Textonotapie"/>
        <w:ind w:firstLine="709"/>
        <w:jc w:val="both"/>
        <w:rPr>
          <w:rFonts w:ascii="Verdana" w:hAnsi="Verdana" w:cs="Arial"/>
          <w:sz w:val="16"/>
          <w:szCs w:val="16"/>
        </w:rPr>
      </w:pPr>
      <w:r w:rsidRPr="00834E33">
        <w:rPr>
          <w:rStyle w:val="Refdenotaalpie"/>
          <w:rFonts w:ascii="Verdana" w:hAnsi="Verdana" w:cs="Arial"/>
          <w:sz w:val="16"/>
          <w:szCs w:val="16"/>
        </w:rPr>
        <w:footnoteRef/>
      </w:r>
      <w:r w:rsidRPr="00834E33">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440878A6" w14:textId="77777777" w:rsidR="0011018C" w:rsidRPr="00834E33" w:rsidRDefault="0011018C" w:rsidP="0011018C">
      <w:pPr>
        <w:pStyle w:val="Textonotapie"/>
        <w:ind w:firstLine="709"/>
        <w:jc w:val="both"/>
        <w:rPr>
          <w:rFonts w:ascii="Verdana" w:hAnsi="Verdana" w:cs="Arial"/>
          <w:sz w:val="16"/>
          <w:szCs w:val="16"/>
        </w:rPr>
      </w:pPr>
      <w:r w:rsidRPr="00834E33">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8">
    <w:p w14:paraId="14095538" w14:textId="77777777" w:rsidR="0011018C" w:rsidRPr="00834E33" w:rsidRDefault="0011018C" w:rsidP="0011018C">
      <w:pPr>
        <w:pStyle w:val="Textonotapie"/>
        <w:ind w:firstLine="709"/>
        <w:jc w:val="both"/>
        <w:rPr>
          <w:rFonts w:ascii="Verdana" w:hAnsi="Verdana" w:cs="Arial"/>
          <w:sz w:val="16"/>
          <w:szCs w:val="16"/>
        </w:rPr>
      </w:pPr>
      <w:r w:rsidRPr="00834E33">
        <w:rPr>
          <w:rStyle w:val="Refdenotaalpie"/>
          <w:rFonts w:ascii="Verdana" w:hAnsi="Verdana" w:cs="Arial"/>
          <w:sz w:val="16"/>
          <w:szCs w:val="16"/>
        </w:rPr>
        <w:footnoteRef/>
      </w:r>
      <w:r w:rsidRPr="00834E33">
        <w:rPr>
          <w:rFonts w:ascii="Verdana" w:hAnsi="Verdana" w:cs="Arial"/>
          <w:sz w:val="16"/>
          <w:szCs w:val="16"/>
        </w:rPr>
        <w:t xml:space="preserve"> Gaceta del Congreso de la República No. 71 del 2005.</w:t>
      </w:r>
    </w:p>
  </w:footnote>
  <w:footnote w:id="9">
    <w:p w14:paraId="451701D0" w14:textId="77777777" w:rsidR="0011018C" w:rsidRPr="00834E33" w:rsidRDefault="0011018C" w:rsidP="0011018C">
      <w:pPr>
        <w:pStyle w:val="Textonotapie"/>
        <w:ind w:firstLine="709"/>
        <w:jc w:val="both"/>
        <w:rPr>
          <w:rFonts w:ascii="Verdana" w:hAnsi="Verdana" w:cs="Arial"/>
          <w:sz w:val="16"/>
          <w:szCs w:val="16"/>
          <w:lang w:val="pt-BR"/>
        </w:rPr>
      </w:pPr>
      <w:r w:rsidRPr="00834E33">
        <w:rPr>
          <w:rStyle w:val="Refdenotaalpie"/>
          <w:rFonts w:ascii="Verdana" w:hAnsi="Verdana" w:cs="Arial"/>
          <w:sz w:val="16"/>
          <w:szCs w:val="16"/>
        </w:rPr>
        <w:footnoteRef/>
      </w:r>
      <w:r w:rsidRPr="00834E33">
        <w:rPr>
          <w:rFonts w:ascii="Verdana" w:hAnsi="Verdana" w:cs="Arial"/>
          <w:sz w:val="16"/>
          <w:szCs w:val="16"/>
          <w:lang w:val="pt-BR"/>
        </w:rPr>
        <w:t xml:space="preserve"> Corte Constitucional, Sentencia C- 1153 de 2005, M.P. Marco Gerardo Monroy Cabra.</w:t>
      </w:r>
    </w:p>
  </w:footnote>
  <w:footnote w:id="10">
    <w:p w14:paraId="1EAD5272" w14:textId="77777777" w:rsidR="0011018C" w:rsidRPr="00834E33" w:rsidRDefault="0011018C" w:rsidP="0011018C">
      <w:pPr>
        <w:pStyle w:val="Textonotapie"/>
        <w:ind w:firstLine="709"/>
        <w:jc w:val="both"/>
        <w:rPr>
          <w:rFonts w:ascii="Verdana" w:hAnsi="Verdana" w:cs="Arial"/>
          <w:sz w:val="16"/>
          <w:szCs w:val="16"/>
          <w:lang w:val="pt-BR"/>
        </w:rPr>
      </w:pPr>
      <w:r w:rsidRPr="00834E33">
        <w:rPr>
          <w:rStyle w:val="Refdenotaalpie"/>
          <w:rFonts w:ascii="Verdana" w:hAnsi="Verdana" w:cs="Arial"/>
          <w:sz w:val="16"/>
          <w:szCs w:val="16"/>
        </w:rPr>
        <w:footnoteRef/>
      </w:r>
      <w:r w:rsidRPr="00834E33">
        <w:rPr>
          <w:rFonts w:ascii="Verdana" w:hAnsi="Verdana" w:cs="Arial"/>
          <w:sz w:val="16"/>
          <w:szCs w:val="16"/>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11">
    <w:p w14:paraId="7A4096A2" w14:textId="77777777" w:rsidR="0011018C" w:rsidRPr="00834E33" w:rsidRDefault="0011018C" w:rsidP="0011018C">
      <w:pPr>
        <w:pStyle w:val="Textonotapie"/>
        <w:ind w:firstLine="709"/>
        <w:jc w:val="both"/>
        <w:rPr>
          <w:rFonts w:ascii="Verdana" w:hAnsi="Verdana" w:cs="Arial"/>
          <w:sz w:val="16"/>
          <w:szCs w:val="16"/>
          <w:lang w:val="es-CO"/>
        </w:rPr>
      </w:pPr>
      <w:r w:rsidRPr="00834E33">
        <w:rPr>
          <w:rStyle w:val="Refdenotaalpie"/>
          <w:rFonts w:ascii="Verdana" w:hAnsi="Verdana" w:cs="Arial"/>
          <w:sz w:val="16"/>
          <w:szCs w:val="16"/>
        </w:rPr>
        <w:footnoteRef/>
      </w:r>
      <w:r w:rsidRPr="00834E33">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12">
    <w:p w14:paraId="1ADFC009" w14:textId="77777777" w:rsidR="0011018C" w:rsidRPr="00834E33" w:rsidRDefault="0011018C" w:rsidP="0011018C">
      <w:pPr>
        <w:pStyle w:val="Textonotapie"/>
        <w:ind w:firstLine="709"/>
        <w:jc w:val="both"/>
        <w:rPr>
          <w:rFonts w:ascii="Verdana" w:hAnsi="Verdana" w:cs="Arial"/>
          <w:sz w:val="16"/>
          <w:szCs w:val="16"/>
        </w:rPr>
      </w:pPr>
      <w:r w:rsidRPr="00834E33">
        <w:rPr>
          <w:rStyle w:val="Refdenotaalpie"/>
          <w:rFonts w:ascii="Verdana" w:hAnsi="Verdana" w:cs="Arial"/>
          <w:sz w:val="16"/>
          <w:szCs w:val="16"/>
        </w:rPr>
        <w:footnoteRef/>
      </w:r>
      <w:r w:rsidRPr="00834E33">
        <w:rPr>
          <w:rFonts w:ascii="Verdana" w:hAnsi="Verdana" w:cs="Arial"/>
          <w:sz w:val="16"/>
          <w:szCs w:val="16"/>
        </w:rPr>
        <w:t xml:space="preserve"> Consejo de Estado, Sala de Consulta y Servicio Civil de fecha 24 de julio de 2013, Rad. 2166, C. P. Álvaro Namén Vargas.  </w:t>
      </w:r>
    </w:p>
  </w:footnote>
  <w:footnote w:id="13">
    <w:p w14:paraId="14D6E46D" w14:textId="77777777" w:rsidR="0011018C" w:rsidRPr="00834E33" w:rsidRDefault="0011018C" w:rsidP="0011018C">
      <w:pPr>
        <w:spacing w:after="0" w:line="240" w:lineRule="auto"/>
        <w:ind w:firstLine="709"/>
        <w:jc w:val="both"/>
        <w:rPr>
          <w:rFonts w:ascii="Verdana" w:eastAsia="Times New Roman" w:hAnsi="Verdana" w:cs="Arial"/>
          <w:sz w:val="16"/>
          <w:szCs w:val="16"/>
        </w:rPr>
      </w:pPr>
      <w:r w:rsidRPr="00834E33">
        <w:rPr>
          <w:rStyle w:val="Refdenotaalpie"/>
          <w:rFonts w:ascii="Verdana" w:hAnsi="Verdana" w:cs="Arial"/>
          <w:sz w:val="16"/>
          <w:szCs w:val="16"/>
        </w:rPr>
        <w:footnoteRef/>
      </w:r>
      <w:r w:rsidRPr="00834E33">
        <w:rPr>
          <w:rFonts w:ascii="Verdana" w:hAnsi="Verdana" w:cs="Arial"/>
          <w:sz w:val="16"/>
          <w:szCs w:val="16"/>
        </w:rPr>
        <w:t xml:space="preserve"> </w:t>
      </w:r>
      <w:r w:rsidRPr="00834E33">
        <w:rPr>
          <w:rFonts w:ascii="Verdana" w:eastAsia="Calibri" w:hAnsi="Verdana" w:cs="Arial"/>
          <w:color w:val="000000"/>
          <w:sz w:val="16"/>
          <w:szCs w:val="16"/>
        </w:rPr>
        <w:t>“</w:t>
      </w:r>
      <w:r w:rsidRPr="00834E33">
        <w:rPr>
          <w:rFonts w:ascii="Verdana" w:eastAsia="Times New Roman" w:hAnsi="Verdana" w:cs="Arial"/>
          <w:sz w:val="16"/>
          <w:szCs w:val="16"/>
        </w:rPr>
        <w:t>Artículo 33. Restricciones a la contratación pública. Durante los cuatro (4) meses anteriores a la elección presidencial y hasta la realización de la elección en la segunda vuelta, si fuere el caso, queda prohibida la contratación directa por parte de todos los entes del Estado.</w:t>
      </w:r>
    </w:p>
    <w:p w14:paraId="1305E432" w14:textId="77777777" w:rsidR="0011018C" w:rsidRPr="00834E33" w:rsidRDefault="0011018C" w:rsidP="0011018C">
      <w:pPr>
        <w:spacing w:after="0" w:line="240" w:lineRule="auto"/>
        <w:ind w:firstLine="709"/>
        <w:jc w:val="both"/>
        <w:rPr>
          <w:rFonts w:ascii="Verdana" w:eastAsia="Times New Roman" w:hAnsi="Verdana" w:cs="Arial"/>
          <w:sz w:val="16"/>
          <w:szCs w:val="16"/>
        </w:rPr>
      </w:pPr>
      <w:r w:rsidRPr="00834E33">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834E33">
        <w:rPr>
          <w:rFonts w:ascii="Verdana" w:eastAsia="Calibri" w:hAnsi="Verdana" w:cs="Arial"/>
          <w:color w:val="000000"/>
          <w:sz w:val="16"/>
          <w:szCs w:val="16"/>
        </w:rPr>
        <w:t>”</w:t>
      </w:r>
      <w:r w:rsidRPr="00834E33">
        <w:rPr>
          <w:rFonts w:ascii="Verdana" w:eastAsia="Times New Roman" w:hAnsi="Verdana" w:cs="Arial"/>
          <w:sz w:val="16"/>
          <w:szCs w:val="16"/>
        </w:rPr>
        <w:t>.</w:t>
      </w:r>
    </w:p>
    <w:p w14:paraId="64100749" w14:textId="77777777" w:rsidR="0011018C" w:rsidRPr="00834E33" w:rsidRDefault="0011018C" w:rsidP="0011018C">
      <w:pPr>
        <w:spacing w:after="0" w:line="240" w:lineRule="auto"/>
        <w:ind w:firstLine="709"/>
        <w:jc w:val="both"/>
        <w:rPr>
          <w:rFonts w:ascii="Verdana" w:eastAsia="Times New Roman" w:hAnsi="Verdana" w:cs="Arial"/>
          <w:sz w:val="16"/>
          <w:szCs w:val="16"/>
        </w:rPr>
      </w:pPr>
    </w:p>
  </w:footnote>
  <w:footnote w:id="14">
    <w:p w14:paraId="55F47367" w14:textId="77777777" w:rsidR="0011018C" w:rsidRPr="00834E33" w:rsidRDefault="0011018C" w:rsidP="0011018C">
      <w:pPr>
        <w:pStyle w:val="NormalWeb"/>
        <w:spacing w:before="0" w:beforeAutospacing="0" w:after="0" w:afterAutospacing="0"/>
        <w:ind w:firstLine="709"/>
        <w:jc w:val="both"/>
        <w:rPr>
          <w:rFonts w:ascii="Verdana" w:hAnsi="Verdana" w:cs="Arial"/>
          <w:sz w:val="16"/>
          <w:szCs w:val="16"/>
          <w:lang w:val="es-MX"/>
        </w:rPr>
      </w:pPr>
      <w:r w:rsidRPr="00834E33">
        <w:rPr>
          <w:rStyle w:val="Refdenotaalpie"/>
          <w:rFonts w:ascii="Verdana" w:hAnsi="Verdana" w:cs="Arial"/>
          <w:sz w:val="16"/>
          <w:szCs w:val="16"/>
        </w:rPr>
        <w:footnoteRef/>
      </w:r>
      <w:r w:rsidRPr="00834E33">
        <w:rPr>
          <w:rFonts w:ascii="Verdana" w:hAnsi="Verdana" w:cs="Arial"/>
          <w:sz w:val="16"/>
          <w:szCs w:val="16"/>
        </w:rPr>
        <w:t xml:space="preserve"> </w:t>
      </w:r>
      <w:r w:rsidRPr="00834E33">
        <w:rPr>
          <w:rFonts w:ascii="Verdana" w:eastAsia="Calibri" w:hAnsi="Verdana" w:cs="Arial"/>
          <w:color w:val="000000"/>
          <w:sz w:val="16"/>
          <w:szCs w:val="16"/>
        </w:rPr>
        <w:t>“</w:t>
      </w:r>
      <w:r w:rsidRPr="00834E33">
        <w:rPr>
          <w:rFonts w:ascii="Verdana" w:hAnsi="Verdana" w:cs="Arial"/>
          <w:sz w:val="16"/>
          <w:szCs w:val="16"/>
          <w:lang w:val="es-MX"/>
        </w:rPr>
        <w:t>Artículo 38. Prohibiciones para los servidores públicos. A los empleados del Estado les está prohibido: […]</w:t>
      </w:r>
    </w:p>
    <w:p w14:paraId="1DFC283D" w14:textId="77777777" w:rsidR="0011018C" w:rsidRPr="00834E33" w:rsidRDefault="0011018C" w:rsidP="0011018C">
      <w:pPr>
        <w:pStyle w:val="NormalWeb"/>
        <w:spacing w:before="0" w:beforeAutospacing="0" w:after="0" w:afterAutospacing="0"/>
        <w:ind w:firstLine="709"/>
        <w:jc w:val="both"/>
        <w:rPr>
          <w:rFonts w:ascii="Verdana" w:hAnsi="Verdana" w:cs="Arial"/>
          <w:sz w:val="16"/>
          <w:szCs w:val="16"/>
          <w:lang w:val="es-MX"/>
        </w:rPr>
      </w:pPr>
      <w:r w:rsidRPr="00834E33">
        <w:rPr>
          <w:rStyle w:val="baj"/>
          <w:rFonts w:ascii="Verdana" w:hAnsi="Verdana" w:cs="Arial"/>
          <w:sz w:val="16"/>
          <w:szCs w:val="16"/>
          <w:lang w:val="es-MX"/>
        </w:rPr>
        <w:t>Parágrafo.</w:t>
      </w:r>
      <w:r w:rsidRPr="00834E33">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834E33">
        <w:rPr>
          <w:rFonts w:ascii="Verdana" w:eastAsia="Calibri" w:hAnsi="Verdana" w:cs="Arial"/>
          <w:color w:val="000000"/>
          <w:sz w:val="16"/>
          <w:szCs w:val="16"/>
        </w:rPr>
        <w:t>”</w:t>
      </w:r>
      <w:r w:rsidRPr="00834E33">
        <w:rPr>
          <w:rFonts w:ascii="Verdana" w:hAnsi="Verdana" w:cs="Arial"/>
          <w:sz w:val="16"/>
          <w:szCs w:val="16"/>
          <w:lang w:val="es-MX"/>
        </w:rPr>
        <w:t>.</w:t>
      </w:r>
    </w:p>
  </w:footnote>
  <w:footnote w:id="15">
    <w:p w14:paraId="6DA05C43" w14:textId="77777777" w:rsidR="0011018C" w:rsidRPr="00834E33" w:rsidRDefault="0011018C" w:rsidP="0011018C">
      <w:pPr>
        <w:pStyle w:val="Textonotapie"/>
        <w:ind w:firstLine="708"/>
        <w:jc w:val="both"/>
        <w:rPr>
          <w:rFonts w:ascii="Verdana" w:hAnsi="Verdana" w:cs="Arial"/>
          <w:sz w:val="16"/>
          <w:szCs w:val="16"/>
        </w:rPr>
      </w:pPr>
      <w:r w:rsidRPr="00834E33">
        <w:rPr>
          <w:rStyle w:val="Refdenotaalpie"/>
          <w:rFonts w:ascii="Verdana" w:hAnsi="Verdana" w:cs="Arial"/>
          <w:sz w:val="16"/>
          <w:szCs w:val="16"/>
        </w:rPr>
        <w:footnoteRef/>
      </w:r>
      <w:r w:rsidRPr="00834E33">
        <w:rPr>
          <w:rFonts w:ascii="Verdana" w:hAnsi="Verdana" w:cs="Arial"/>
          <w:sz w:val="16"/>
          <w:szCs w:val="16"/>
        </w:rPr>
        <w:t xml:space="preserve"> Colombia Compra Eficiente. Circular Externa Única. Numeral 16.5. </w:t>
      </w:r>
    </w:p>
  </w:footnote>
  <w:footnote w:id="16">
    <w:p w14:paraId="3C0067B5" w14:textId="77777777" w:rsidR="0011018C" w:rsidRPr="00834E33" w:rsidRDefault="0011018C" w:rsidP="0011018C">
      <w:pPr>
        <w:spacing w:after="0" w:line="240" w:lineRule="auto"/>
        <w:ind w:left="100" w:right="244" w:firstLine="709"/>
        <w:jc w:val="both"/>
        <w:rPr>
          <w:rFonts w:ascii="Verdana" w:hAnsi="Verdana" w:cs="Arial"/>
          <w:sz w:val="16"/>
          <w:szCs w:val="16"/>
          <w:lang w:val="es-ES"/>
        </w:rPr>
      </w:pPr>
      <w:r w:rsidRPr="00834E33">
        <w:rPr>
          <w:rStyle w:val="Refdenotaalpie"/>
          <w:rFonts w:ascii="Verdana" w:hAnsi="Verdana" w:cs="Arial"/>
          <w:sz w:val="16"/>
          <w:szCs w:val="16"/>
        </w:rPr>
        <w:footnoteRef/>
      </w:r>
      <w:r w:rsidRPr="00834E33">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7A1800"/>
    <w:multiLevelType w:val="hybridMultilevel"/>
    <w:tmpl w:val="9C3292AA"/>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4856BAC"/>
    <w:multiLevelType w:val="hybridMultilevel"/>
    <w:tmpl w:val="FE269584"/>
    <w:lvl w:ilvl="0" w:tplc="A4C23EA4">
      <w:start w:val="1"/>
      <w:numFmt w:val="bullet"/>
      <w:lvlText w:val="-"/>
      <w:lvlJc w:val="left"/>
      <w:pPr>
        <w:tabs>
          <w:tab w:val="num" w:pos="720"/>
        </w:tabs>
        <w:ind w:left="720" w:hanging="360"/>
      </w:pPr>
      <w:rPr>
        <w:rFonts w:ascii="Times New Roman" w:eastAsia="Times New Roman" w:hAnsi="Times New Roman" w:cs="Times New Roman" w:hint="default"/>
      </w:rPr>
    </w:lvl>
    <w:lvl w:ilvl="1" w:tplc="24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AA3D86"/>
    <w:multiLevelType w:val="hybridMultilevel"/>
    <w:tmpl w:val="9EB05AB0"/>
    <w:lvl w:ilvl="0" w:tplc="5B3C6B0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190BA4"/>
    <w:multiLevelType w:val="hybridMultilevel"/>
    <w:tmpl w:val="2ED2866E"/>
    <w:lvl w:ilvl="0" w:tplc="AA806230">
      <w:start w:val="1"/>
      <w:numFmt w:val="decimal"/>
      <w:lvlText w:val="%1."/>
      <w:lvlJc w:val="left"/>
      <w:pPr>
        <w:ind w:left="1028" w:hanging="221"/>
      </w:pPr>
      <w:rPr>
        <w:rFonts w:ascii="Arial" w:eastAsia="Arial" w:hAnsi="Arial" w:cs="Arial" w:hint="default"/>
        <w:color w:val="auto"/>
        <w:spacing w:val="-2"/>
        <w:w w:val="100"/>
        <w:sz w:val="22"/>
        <w:szCs w:val="22"/>
        <w:lang w:val="es-ES" w:eastAsia="es-ES" w:bidi="es-ES"/>
      </w:rPr>
    </w:lvl>
    <w:lvl w:ilvl="1" w:tplc="053E5822">
      <w:numFmt w:val="bullet"/>
      <w:lvlText w:val="•"/>
      <w:lvlJc w:val="left"/>
      <w:pPr>
        <w:ind w:left="1846" w:hanging="221"/>
      </w:pPr>
      <w:rPr>
        <w:rFonts w:hint="default"/>
        <w:lang w:val="es-ES" w:eastAsia="es-ES" w:bidi="es-ES"/>
      </w:rPr>
    </w:lvl>
    <w:lvl w:ilvl="2" w:tplc="90242A8E">
      <w:numFmt w:val="bullet"/>
      <w:lvlText w:val="•"/>
      <w:lvlJc w:val="left"/>
      <w:pPr>
        <w:ind w:left="2672" w:hanging="221"/>
      </w:pPr>
      <w:rPr>
        <w:rFonts w:hint="default"/>
        <w:lang w:val="es-ES" w:eastAsia="es-ES" w:bidi="es-ES"/>
      </w:rPr>
    </w:lvl>
    <w:lvl w:ilvl="3" w:tplc="E160CF42">
      <w:numFmt w:val="bullet"/>
      <w:lvlText w:val="•"/>
      <w:lvlJc w:val="left"/>
      <w:pPr>
        <w:ind w:left="3498" w:hanging="221"/>
      </w:pPr>
      <w:rPr>
        <w:rFonts w:hint="default"/>
        <w:lang w:val="es-ES" w:eastAsia="es-ES" w:bidi="es-ES"/>
      </w:rPr>
    </w:lvl>
    <w:lvl w:ilvl="4" w:tplc="9B26973A">
      <w:numFmt w:val="bullet"/>
      <w:lvlText w:val="•"/>
      <w:lvlJc w:val="left"/>
      <w:pPr>
        <w:ind w:left="4324" w:hanging="221"/>
      </w:pPr>
      <w:rPr>
        <w:rFonts w:hint="default"/>
        <w:lang w:val="es-ES" w:eastAsia="es-ES" w:bidi="es-ES"/>
      </w:rPr>
    </w:lvl>
    <w:lvl w:ilvl="5" w:tplc="017409CE">
      <w:numFmt w:val="bullet"/>
      <w:lvlText w:val="•"/>
      <w:lvlJc w:val="left"/>
      <w:pPr>
        <w:ind w:left="5150" w:hanging="221"/>
      </w:pPr>
      <w:rPr>
        <w:rFonts w:hint="default"/>
        <w:lang w:val="es-ES" w:eastAsia="es-ES" w:bidi="es-ES"/>
      </w:rPr>
    </w:lvl>
    <w:lvl w:ilvl="6" w:tplc="870EC5D4">
      <w:numFmt w:val="bullet"/>
      <w:lvlText w:val="•"/>
      <w:lvlJc w:val="left"/>
      <w:pPr>
        <w:ind w:left="5976" w:hanging="221"/>
      </w:pPr>
      <w:rPr>
        <w:rFonts w:hint="default"/>
        <w:lang w:val="es-ES" w:eastAsia="es-ES" w:bidi="es-ES"/>
      </w:rPr>
    </w:lvl>
    <w:lvl w:ilvl="7" w:tplc="F4B4208E">
      <w:numFmt w:val="bullet"/>
      <w:lvlText w:val="•"/>
      <w:lvlJc w:val="left"/>
      <w:pPr>
        <w:ind w:left="6802" w:hanging="221"/>
      </w:pPr>
      <w:rPr>
        <w:rFonts w:hint="default"/>
        <w:lang w:val="es-ES" w:eastAsia="es-ES" w:bidi="es-ES"/>
      </w:rPr>
    </w:lvl>
    <w:lvl w:ilvl="8" w:tplc="55B09E2E">
      <w:numFmt w:val="bullet"/>
      <w:lvlText w:val="•"/>
      <w:lvlJc w:val="left"/>
      <w:pPr>
        <w:ind w:left="7628" w:hanging="221"/>
      </w:pPr>
      <w:rPr>
        <w:rFonts w:hint="default"/>
        <w:lang w:val="es-ES" w:eastAsia="es-ES" w:bidi="es-ES"/>
      </w:rPr>
    </w:lvl>
  </w:abstractNum>
  <w:num w:numId="1" w16cid:durableId="1804350246">
    <w:abstractNumId w:val="7"/>
  </w:num>
  <w:num w:numId="2" w16cid:durableId="1710032483">
    <w:abstractNumId w:val="2"/>
  </w:num>
  <w:num w:numId="3" w16cid:durableId="470559637">
    <w:abstractNumId w:val="5"/>
  </w:num>
  <w:num w:numId="4" w16cid:durableId="1418515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2642842">
    <w:abstractNumId w:val="2"/>
  </w:num>
  <w:num w:numId="6" w16cid:durableId="1126895893">
    <w:abstractNumId w:val="16"/>
  </w:num>
  <w:num w:numId="7" w16cid:durableId="222373619">
    <w:abstractNumId w:val="6"/>
  </w:num>
  <w:num w:numId="8" w16cid:durableId="1833596461">
    <w:abstractNumId w:val="15"/>
  </w:num>
  <w:num w:numId="9" w16cid:durableId="1099832451">
    <w:abstractNumId w:val="8"/>
  </w:num>
  <w:num w:numId="10" w16cid:durableId="741491332">
    <w:abstractNumId w:val="14"/>
  </w:num>
  <w:num w:numId="11" w16cid:durableId="1171605515">
    <w:abstractNumId w:val="9"/>
  </w:num>
  <w:num w:numId="12" w16cid:durableId="1860191223">
    <w:abstractNumId w:val="1"/>
  </w:num>
  <w:num w:numId="13" w16cid:durableId="1485855588">
    <w:abstractNumId w:val="4"/>
  </w:num>
  <w:num w:numId="14" w16cid:durableId="992836548">
    <w:abstractNumId w:val="17"/>
  </w:num>
  <w:num w:numId="15" w16cid:durableId="608701711">
    <w:abstractNumId w:val="13"/>
  </w:num>
  <w:num w:numId="16" w16cid:durableId="40927277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3608588">
    <w:abstractNumId w:val="3"/>
  </w:num>
  <w:num w:numId="18" w16cid:durableId="2138453549">
    <w:abstractNumId w:val="11"/>
  </w:num>
  <w:num w:numId="19" w16cid:durableId="1745570922">
    <w:abstractNumId w:val="18"/>
  </w:num>
  <w:num w:numId="20" w16cid:durableId="1466656271">
    <w:abstractNumId w:val="10"/>
  </w:num>
  <w:num w:numId="21" w16cid:durableId="310212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7E81"/>
    <w:rsid w:val="00034FD4"/>
    <w:rsid w:val="00046945"/>
    <w:rsid w:val="00047ACA"/>
    <w:rsid w:val="00061B2A"/>
    <w:rsid w:val="00082362"/>
    <w:rsid w:val="000A53C6"/>
    <w:rsid w:val="000A683E"/>
    <w:rsid w:val="000B19B9"/>
    <w:rsid w:val="000C0251"/>
    <w:rsid w:val="000D0334"/>
    <w:rsid w:val="000D2B2E"/>
    <w:rsid w:val="000F6486"/>
    <w:rsid w:val="0011018C"/>
    <w:rsid w:val="00122B14"/>
    <w:rsid w:val="00125105"/>
    <w:rsid w:val="00127233"/>
    <w:rsid w:val="00141615"/>
    <w:rsid w:val="0014795E"/>
    <w:rsid w:val="001511A0"/>
    <w:rsid w:val="00155595"/>
    <w:rsid w:val="00177787"/>
    <w:rsid w:val="001E4177"/>
    <w:rsid w:val="001F7DC6"/>
    <w:rsid w:val="002421BB"/>
    <w:rsid w:val="0025796E"/>
    <w:rsid w:val="00257CFA"/>
    <w:rsid w:val="002707A2"/>
    <w:rsid w:val="002951A0"/>
    <w:rsid w:val="002962BC"/>
    <w:rsid w:val="002964EC"/>
    <w:rsid w:val="002A093D"/>
    <w:rsid w:val="002A0DD0"/>
    <w:rsid w:val="002A49AC"/>
    <w:rsid w:val="002A64FD"/>
    <w:rsid w:val="002C7A84"/>
    <w:rsid w:val="002E4FD9"/>
    <w:rsid w:val="00311018"/>
    <w:rsid w:val="00322A85"/>
    <w:rsid w:val="00324168"/>
    <w:rsid w:val="003448F4"/>
    <w:rsid w:val="00374F5E"/>
    <w:rsid w:val="00377E3E"/>
    <w:rsid w:val="00392407"/>
    <w:rsid w:val="003A779E"/>
    <w:rsid w:val="003B64D2"/>
    <w:rsid w:val="003D0F4D"/>
    <w:rsid w:val="003D5B0D"/>
    <w:rsid w:val="003E0499"/>
    <w:rsid w:val="003F3941"/>
    <w:rsid w:val="00403FB3"/>
    <w:rsid w:val="00406575"/>
    <w:rsid w:val="00414C74"/>
    <w:rsid w:val="0042722E"/>
    <w:rsid w:val="004420A0"/>
    <w:rsid w:val="0044528D"/>
    <w:rsid w:val="0046138D"/>
    <w:rsid w:val="004961D4"/>
    <w:rsid w:val="004A1847"/>
    <w:rsid w:val="004A305D"/>
    <w:rsid w:val="004D251D"/>
    <w:rsid w:val="004F21C4"/>
    <w:rsid w:val="004F685F"/>
    <w:rsid w:val="00510130"/>
    <w:rsid w:val="00555B17"/>
    <w:rsid w:val="005566E8"/>
    <w:rsid w:val="00574867"/>
    <w:rsid w:val="00591460"/>
    <w:rsid w:val="00597009"/>
    <w:rsid w:val="005B3816"/>
    <w:rsid w:val="005C3777"/>
    <w:rsid w:val="005C5CDC"/>
    <w:rsid w:val="005D3A8E"/>
    <w:rsid w:val="005D476C"/>
    <w:rsid w:val="006219F8"/>
    <w:rsid w:val="00665D70"/>
    <w:rsid w:val="006732BD"/>
    <w:rsid w:val="006900D9"/>
    <w:rsid w:val="006F16F8"/>
    <w:rsid w:val="00706C16"/>
    <w:rsid w:val="007157DD"/>
    <w:rsid w:val="00756841"/>
    <w:rsid w:val="007649AB"/>
    <w:rsid w:val="00771D0C"/>
    <w:rsid w:val="007833AC"/>
    <w:rsid w:val="007B268C"/>
    <w:rsid w:val="007B7171"/>
    <w:rsid w:val="007C0C0F"/>
    <w:rsid w:val="007C3DC2"/>
    <w:rsid w:val="007E5497"/>
    <w:rsid w:val="008036C6"/>
    <w:rsid w:val="00806F5F"/>
    <w:rsid w:val="00815DBE"/>
    <w:rsid w:val="00817C1E"/>
    <w:rsid w:val="00820278"/>
    <w:rsid w:val="008405CA"/>
    <w:rsid w:val="00846E41"/>
    <w:rsid w:val="00867F95"/>
    <w:rsid w:val="008843B6"/>
    <w:rsid w:val="00891928"/>
    <w:rsid w:val="008950A6"/>
    <w:rsid w:val="008A446D"/>
    <w:rsid w:val="008D180B"/>
    <w:rsid w:val="008D7142"/>
    <w:rsid w:val="008F0EA7"/>
    <w:rsid w:val="00923EEF"/>
    <w:rsid w:val="00923F61"/>
    <w:rsid w:val="009332A8"/>
    <w:rsid w:val="00937B31"/>
    <w:rsid w:val="009419F9"/>
    <w:rsid w:val="0095685E"/>
    <w:rsid w:val="00961B09"/>
    <w:rsid w:val="00965334"/>
    <w:rsid w:val="0097093E"/>
    <w:rsid w:val="009778FD"/>
    <w:rsid w:val="00986AC5"/>
    <w:rsid w:val="009A0DFA"/>
    <w:rsid w:val="009B2D26"/>
    <w:rsid w:val="009C085A"/>
    <w:rsid w:val="009C71FA"/>
    <w:rsid w:val="009C72E7"/>
    <w:rsid w:val="009D3058"/>
    <w:rsid w:val="009F3A13"/>
    <w:rsid w:val="00A122D3"/>
    <w:rsid w:val="00A17F13"/>
    <w:rsid w:val="00A20739"/>
    <w:rsid w:val="00A2592E"/>
    <w:rsid w:val="00A33C78"/>
    <w:rsid w:val="00A666E7"/>
    <w:rsid w:val="00A716B4"/>
    <w:rsid w:val="00A72B9E"/>
    <w:rsid w:val="00A85FF7"/>
    <w:rsid w:val="00A90876"/>
    <w:rsid w:val="00AB0ADB"/>
    <w:rsid w:val="00AC61E0"/>
    <w:rsid w:val="00AF6152"/>
    <w:rsid w:val="00B01B1A"/>
    <w:rsid w:val="00B24764"/>
    <w:rsid w:val="00B46C84"/>
    <w:rsid w:val="00B51543"/>
    <w:rsid w:val="00B66319"/>
    <w:rsid w:val="00B72CD3"/>
    <w:rsid w:val="00B72FFF"/>
    <w:rsid w:val="00B7339E"/>
    <w:rsid w:val="00B834D9"/>
    <w:rsid w:val="00BC3D36"/>
    <w:rsid w:val="00BD7F72"/>
    <w:rsid w:val="00BE5B77"/>
    <w:rsid w:val="00BF6191"/>
    <w:rsid w:val="00C04FB3"/>
    <w:rsid w:val="00C05022"/>
    <w:rsid w:val="00C22E3C"/>
    <w:rsid w:val="00C3261F"/>
    <w:rsid w:val="00C330EB"/>
    <w:rsid w:val="00C41061"/>
    <w:rsid w:val="00C754BE"/>
    <w:rsid w:val="00C76B1C"/>
    <w:rsid w:val="00CB6357"/>
    <w:rsid w:val="00CC0406"/>
    <w:rsid w:val="00CC1B26"/>
    <w:rsid w:val="00CE7932"/>
    <w:rsid w:val="00D22A2A"/>
    <w:rsid w:val="00D423A2"/>
    <w:rsid w:val="00D520D8"/>
    <w:rsid w:val="00D63AC2"/>
    <w:rsid w:val="00D65016"/>
    <w:rsid w:val="00D7383B"/>
    <w:rsid w:val="00DA231B"/>
    <w:rsid w:val="00DC39FC"/>
    <w:rsid w:val="00DF5254"/>
    <w:rsid w:val="00E16408"/>
    <w:rsid w:val="00E20894"/>
    <w:rsid w:val="00E245AB"/>
    <w:rsid w:val="00E2764C"/>
    <w:rsid w:val="00E27ABA"/>
    <w:rsid w:val="00E27F2E"/>
    <w:rsid w:val="00E428A6"/>
    <w:rsid w:val="00E50AFE"/>
    <w:rsid w:val="00E56FA8"/>
    <w:rsid w:val="00E60463"/>
    <w:rsid w:val="00E75C92"/>
    <w:rsid w:val="00E771DC"/>
    <w:rsid w:val="00E82EF5"/>
    <w:rsid w:val="00E8772A"/>
    <w:rsid w:val="00E90F6B"/>
    <w:rsid w:val="00E92C27"/>
    <w:rsid w:val="00E97989"/>
    <w:rsid w:val="00EA0E3D"/>
    <w:rsid w:val="00EC38A7"/>
    <w:rsid w:val="00EC5079"/>
    <w:rsid w:val="00ED0CD0"/>
    <w:rsid w:val="00ED7384"/>
    <w:rsid w:val="00EE1AA8"/>
    <w:rsid w:val="00F0675F"/>
    <w:rsid w:val="00F31EDC"/>
    <w:rsid w:val="00F462B3"/>
    <w:rsid w:val="00F5664F"/>
    <w:rsid w:val="00F666C4"/>
    <w:rsid w:val="00F76AFC"/>
    <w:rsid w:val="00FA47C0"/>
    <w:rsid w:val="00FB0AF5"/>
    <w:rsid w:val="00FB5DD1"/>
    <w:rsid w:val="00FC2B5D"/>
    <w:rsid w:val="00FF1449"/>
    <w:rsid w:val="00FF54C2"/>
    <w:rsid w:val="165E9519"/>
    <w:rsid w:val="382536D9"/>
    <w:rsid w:val="6EFDAB80"/>
    <w:rsid w:val="7B6AA7A6"/>
    <w:rsid w:val="7C1839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A2A"/>
    <w:pPr>
      <w:spacing w:line="25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D22A2A"/>
    <w:rPr>
      <w:rFonts w:ascii="Geomanist Light" w:hAnsi="Geomanist Light"/>
      <w:lang w:val="es-ES"/>
    </w:rPr>
  </w:style>
  <w:style w:type="paragraph" w:customStyle="1" w:styleId="Appelnotedebasde">
    <w:name w:val="Appel note de bas de..."/>
    <w:basedOn w:val="Normal"/>
    <w:link w:val="Refdenotaalpie"/>
    <w:uiPriority w:val="99"/>
    <w:rsid w:val="00D22A2A"/>
    <w:pPr>
      <w:spacing w:line="240" w:lineRule="exact"/>
    </w:pPr>
    <w:rPr>
      <w:vertAlign w:val="superscript"/>
    </w:rPr>
  </w:style>
  <w:style w:type="paragraph" w:styleId="Textoindependiente">
    <w:name w:val="Body Text"/>
    <w:basedOn w:val="Normal"/>
    <w:link w:val="TextoindependienteCar"/>
    <w:uiPriority w:val="99"/>
    <w:unhideWhenUsed/>
    <w:rsid w:val="00D22A2A"/>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D22A2A"/>
    <w:rPr>
      <w:rFonts w:eastAsiaTheme="minorEastAsia"/>
      <w:lang w:eastAsia="es-CO"/>
    </w:rPr>
  </w:style>
  <w:style w:type="character" w:customStyle="1" w:styleId="NormalWebCar">
    <w:name w:val="Normal (Web) Car"/>
    <w:link w:val="NormalWeb"/>
    <w:uiPriority w:val="99"/>
    <w:locked/>
    <w:rsid w:val="0011018C"/>
    <w:rPr>
      <w:rFonts w:ascii="Times New Roman" w:eastAsia="Times New Roman" w:hAnsi="Times New Roman" w:cs="Times New Roman"/>
      <w:sz w:val="24"/>
      <w:szCs w:val="24"/>
      <w:lang w:eastAsia="es-CO"/>
    </w:rPr>
  </w:style>
  <w:style w:type="character" w:customStyle="1" w:styleId="baj">
    <w:name w:val="b_aj"/>
    <w:basedOn w:val="Fuentedeprrafopredeter"/>
    <w:rsid w:val="00110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tificaciones.hegasa@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3.xml><?xml version="1.0" encoding="utf-8"?>
<ds:datastoreItem xmlns:ds="http://schemas.openxmlformats.org/officeDocument/2006/customXml" ds:itemID="{A870738F-CF3E-4C4B-9C9D-C73BF5317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6704</Words>
  <Characters>36873</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2026-07-03T20:37:00Z</dcterms:created>
  <dcterms:modified xsi:type="dcterms:W3CDTF">2026-07-29T13:34:00Z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