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E0126F" w14:textId="5D2AD3B2" w:rsidR="00DF11DE" w:rsidRPr="00DF11DE" w:rsidRDefault="00DF11DE" w:rsidP="00DF11DE">
      <w:pPr>
        <w:spacing w:after="0"/>
        <w:jc w:val="both"/>
        <w:rPr>
          <w:rFonts w:ascii="Verdana" w:eastAsia="Verdana" w:hAnsi="Verdana" w:cs="Verdana"/>
        </w:rPr>
      </w:pPr>
      <w:bookmarkStart w:id="0" w:name="_Hlk143780582"/>
      <w:r w:rsidRPr="00DF11DE">
        <w:rPr>
          <w:rFonts w:ascii="Verdana" w:eastAsia="Calibri" w:hAnsi="Verdana" w:cs="Arial"/>
          <w:b/>
          <w:bCs/>
          <w:lang w:val="es-ES" w:eastAsia="es-ES"/>
        </w:rPr>
        <w:t>CAPACIDAD RESIDUAL – Definición – Factores – Contratos de obra</w:t>
      </w:r>
    </w:p>
    <w:p w14:paraId="3B301CDE" w14:textId="77777777" w:rsidR="00DF11DE" w:rsidRPr="00DF11DE" w:rsidRDefault="00DF11DE" w:rsidP="00DF11DE">
      <w:pPr>
        <w:shd w:val="clear" w:color="auto" w:fill="FFFFFF"/>
        <w:spacing w:after="0" w:line="276" w:lineRule="auto"/>
        <w:jc w:val="both"/>
        <w:rPr>
          <w:rFonts w:ascii="Verdana" w:eastAsia="Calibri" w:hAnsi="Verdana" w:cs="Arial"/>
          <w:b/>
          <w:bCs/>
          <w:lang w:val="es-ES" w:eastAsia="es-ES"/>
        </w:rPr>
      </w:pPr>
    </w:p>
    <w:p w14:paraId="3982C16B" w14:textId="24E580FA" w:rsidR="00931E9A" w:rsidRDefault="009230B3" w:rsidP="00931E9A">
      <w:pPr>
        <w:spacing w:after="0" w:line="240" w:lineRule="auto"/>
        <w:jc w:val="both"/>
        <w:rPr>
          <w:rFonts w:ascii="Verdana" w:eastAsia="Calibri" w:hAnsi="Verdana" w:cs="Arial"/>
          <w:color w:val="000000"/>
          <w:sz w:val="20"/>
          <w:szCs w:val="20"/>
          <w:lang w:val="es-MX" w:eastAsia="en-GB"/>
        </w:rPr>
      </w:pPr>
      <w:r w:rsidRPr="00931E9A">
        <w:rPr>
          <w:rFonts w:ascii="Verdana" w:eastAsia="Calibri" w:hAnsi="Verdana" w:cs="Arial"/>
          <w:color w:val="000000"/>
          <w:sz w:val="20"/>
          <w:szCs w:val="20"/>
          <w:lang w:val="es-MX" w:eastAsia="en-GB"/>
        </w:rPr>
        <w:t>De acuerdo con el artículo 2.2.1.1.1.3.1 del Decreto 1082 de 2015, la Capacidad Residual es la aptitud de los oferentes para cumplir de manera oportuna y a cabalidad el objeto de un contrato de obra pública, sin que los demás compromisos contractuales que han adquirido afecten su habilidad de cumplir el objeto del contrato que está en proceso de selección. Por su parte, el Consejo de Estado ha definido la Capacidad Residual como “la diferencia que existe entre el potencial de contratación que se tiene y los compromisos que haya adquirido y que se encuentren en ejecución, para la fecha de presentación de la oferta”.</w:t>
      </w:r>
    </w:p>
    <w:p w14:paraId="6DB4B6A6" w14:textId="77777777" w:rsidR="00931E9A" w:rsidRDefault="00931E9A" w:rsidP="00931E9A">
      <w:pPr>
        <w:spacing w:after="0" w:line="240" w:lineRule="auto"/>
        <w:jc w:val="both"/>
        <w:rPr>
          <w:rFonts w:ascii="Verdana" w:eastAsia="Calibri" w:hAnsi="Verdana" w:cs="Arial"/>
          <w:color w:val="000000"/>
          <w:sz w:val="20"/>
          <w:szCs w:val="20"/>
          <w:lang w:val="es-MX" w:eastAsia="en-GB"/>
        </w:rPr>
      </w:pPr>
    </w:p>
    <w:p w14:paraId="536BEBA4" w14:textId="6843021B" w:rsidR="00DF11DE" w:rsidRPr="00931E9A" w:rsidRDefault="009230B3" w:rsidP="00931E9A">
      <w:pPr>
        <w:spacing w:after="0" w:line="240" w:lineRule="auto"/>
        <w:jc w:val="both"/>
        <w:rPr>
          <w:rFonts w:ascii="Verdana" w:eastAsia="Calibri" w:hAnsi="Verdana" w:cs="Arial"/>
          <w:color w:val="000000"/>
          <w:sz w:val="20"/>
          <w:szCs w:val="20"/>
          <w:lang w:val="es-MX" w:eastAsia="en-GB"/>
        </w:rPr>
      </w:pPr>
      <w:r w:rsidRPr="00931E9A">
        <w:rPr>
          <w:rFonts w:ascii="Verdana" w:eastAsia="Calibri" w:hAnsi="Verdana" w:cs="Arial"/>
          <w:color w:val="000000"/>
          <w:sz w:val="20"/>
          <w:szCs w:val="20"/>
          <w:lang w:val="es-MX" w:eastAsia="en-GB"/>
        </w:rPr>
        <w:t xml:space="preserve">De esta manera, la Capacidad Residual se refiere a la suficiencia que tiene el proponente para asumir nuevas obligaciones que se derivan del contrato objeto del Proceso de Contratación, en relación con las obligaciones que ya adquirió frente a otros contratos. Por su parte, el artículo 6 de la Ley 1150 de 2007 dispone que la Capacidad Residual de los interesados en participar en procesos de selección para contratos de obra deberá ser igual o superior al que la entidad ha establecido en los pliegos de condiciones, en los siguientes términos: </w:t>
      </w:r>
      <w:r w:rsidR="00DF11DE" w:rsidRPr="00931E9A">
        <w:rPr>
          <w:rFonts w:ascii="Verdana" w:eastAsia="Calibri" w:hAnsi="Verdana" w:cs="Arial"/>
          <w:color w:val="000000"/>
          <w:sz w:val="20"/>
          <w:szCs w:val="20"/>
          <w:lang w:val="es-MX" w:eastAsia="en-GB"/>
        </w:rPr>
        <w:t>[…]</w:t>
      </w:r>
    </w:p>
    <w:p w14:paraId="6E3BC632" w14:textId="77777777" w:rsidR="00DF11DE" w:rsidRPr="00DF11DE" w:rsidRDefault="00DF11DE" w:rsidP="00DF11DE">
      <w:pPr>
        <w:shd w:val="clear" w:color="auto" w:fill="FFFFFF"/>
        <w:spacing w:after="0" w:line="276" w:lineRule="auto"/>
        <w:jc w:val="both"/>
        <w:rPr>
          <w:rFonts w:ascii="Verdana" w:eastAsia="Calibri" w:hAnsi="Verdana" w:cs="Arial"/>
          <w:b/>
          <w:bCs/>
          <w:lang w:val="es-ES" w:eastAsia="es-ES"/>
        </w:rPr>
      </w:pPr>
    </w:p>
    <w:p w14:paraId="062F6148" w14:textId="77777777" w:rsidR="00DF11DE" w:rsidRPr="00DF11DE" w:rsidRDefault="00DF11DE" w:rsidP="00DF11DE">
      <w:pPr>
        <w:autoSpaceDE w:val="0"/>
        <w:autoSpaceDN w:val="0"/>
        <w:adjustRightInd w:val="0"/>
        <w:spacing w:after="0" w:line="276" w:lineRule="auto"/>
        <w:jc w:val="both"/>
        <w:rPr>
          <w:rFonts w:ascii="Verdana" w:eastAsia="Calibri" w:hAnsi="Verdana" w:cs="Arial"/>
          <w:b/>
          <w:bCs/>
          <w:kern w:val="2"/>
          <w:lang w:eastAsia="es-MX"/>
          <w14:ligatures w14:val="standardContextual"/>
        </w:rPr>
      </w:pPr>
      <w:r w:rsidRPr="00DF11DE">
        <w:rPr>
          <w:rFonts w:ascii="Verdana" w:eastAsia="Calibri" w:hAnsi="Verdana" w:cs="Arial"/>
          <w:b/>
          <w:bCs/>
          <w:kern w:val="2"/>
          <w:lang w:eastAsia="es-MX"/>
          <w14:ligatures w14:val="standardContextual"/>
        </w:rPr>
        <w:t>CAPACIDAD RESIDUAL – Saldos de Contratos en Ejecución – SCE – Documentos Tipo – Cálculo</w:t>
      </w:r>
    </w:p>
    <w:p w14:paraId="62B3B709" w14:textId="77777777" w:rsidR="00DF11DE" w:rsidRPr="00DF11DE" w:rsidRDefault="00DF11DE" w:rsidP="00DF11DE">
      <w:pPr>
        <w:spacing w:after="0" w:line="276" w:lineRule="auto"/>
        <w:jc w:val="both"/>
        <w:rPr>
          <w:rFonts w:ascii="Verdana" w:eastAsia="Calibri" w:hAnsi="Verdana" w:cs="Arial"/>
          <w:color w:val="000000"/>
          <w:lang w:val="es-ES"/>
        </w:rPr>
      </w:pPr>
    </w:p>
    <w:p w14:paraId="6D708B4D" w14:textId="77777777" w:rsidR="00795D96" w:rsidRDefault="00795D96" w:rsidP="004A0D6C">
      <w:pPr>
        <w:spacing w:after="0" w:line="240" w:lineRule="auto"/>
        <w:jc w:val="both"/>
        <w:rPr>
          <w:rFonts w:ascii="Verdana" w:eastAsia="Calibri" w:hAnsi="Verdana" w:cs="Arial"/>
          <w:sz w:val="20"/>
          <w:szCs w:val="20"/>
          <w:lang w:eastAsia="en-GB"/>
        </w:rPr>
      </w:pPr>
      <w:r w:rsidRPr="004A0D6C">
        <w:rPr>
          <w:rFonts w:ascii="Verdana" w:eastAsia="Calibri" w:hAnsi="Verdana" w:cs="Arial"/>
          <w:sz w:val="20"/>
          <w:szCs w:val="20"/>
          <w:lang w:eastAsia="en-GB"/>
        </w:rPr>
        <w:t xml:space="preserve">De este modo, para acreditar el factor </w:t>
      </w:r>
      <w:r w:rsidRPr="004A0D6C">
        <w:rPr>
          <w:rFonts w:ascii="Verdana" w:eastAsia="Calibri" w:hAnsi="Verdana" w:cs="Arial"/>
          <w:bCs/>
          <w:color w:val="000000"/>
          <w:sz w:val="20"/>
          <w:szCs w:val="20"/>
          <w:lang w:val="es-MX" w:eastAsia="en-GB"/>
        </w:rPr>
        <w:t xml:space="preserve">saldos de los contratos en ejecución </w:t>
      </w:r>
      <w:r w:rsidRPr="004A0D6C">
        <w:rPr>
          <w:rFonts w:ascii="Verdana" w:eastAsia="Calibri" w:hAnsi="Verdana" w:cs="Arial"/>
          <w:bCs/>
          <w:color w:val="000000"/>
          <w:sz w:val="20"/>
          <w:szCs w:val="20"/>
          <w:lang w:eastAsia="en-GB"/>
        </w:rPr>
        <w:t>“SCE”,</w:t>
      </w:r>
      <w:r w:rsidRPr="004A0D6C">
        <w:rPr>
          <w:rFonts w:ascii="Verdana" w:eastAsia="Calibri" w:hAnsi="Verdana" w:cs="Arial"/>
          <w:sz w:val="20"/>
          <w:szCs w:val="20"/>
          <w:lang w:eastAsia="en-GB"/>
        </w:rPr>
        <w:t xml:space="preserve"> como lo establece la Guía, el proponente debe presentar la lista de contratos de obras civiles en ejecución, tanto a nivel nacional como internacional, señalando: i) el valor del contrato; </w:t>
      </w:r>
      <w:proofErr w:type="spellStart"/>
      <w:r w:rsidRPr="004A0D6C">
        <w:rPr>
          <w:rFonts w:ascii="Verdana" w:eastAsia="Calibri" w:hAnsi="Verdana" w:cs="Arial"/>
          <w:sz w:val="20"/>
          <w:szCs w:val="20"/>
          <w:lang w:eastAsia="en-GB"/>
        </w:rPr>
        <w:t>ii</w:t>
      </w:r>
      <w:proofErr w:type="spellEnd"/>
      <w:r w:rsidRPr="004A0D6C">
        <w:rPr>
          <w:rFonts w:ascii="Verdana" w:eastAsia="Calibri" w:hAnsi="Verdana" w:cs="Arial"/>
          <w:sz w:val="20"/>
          <w:szCs w:val="20"/>
          <w:lang w:eastAsia="en-GB"/>
        </w:rPr>
        <w:t xml:space="preserve">) el plazo de ejecución del contrato en meses; </w:t>
      </w:r>
      <w:proofErr w:type="spellStart"/>
      <w:r w:rsidRPr="004A0D6C">
        <w:rPr>
          <w:rFonts w:ascii="Verdana" w:eastAsia="Calibri" w:hAnsi="Verdana" w:cs="Arial"/>
          <w:sz w:val="20"/>
          <w:szCs w:val="20"/>
          <w:lang w:eastAsia="en-GB"/>
        </w:rPr>
        <w:t>iii</w:t>
      </w:r>
      <w:proofErr w:type="spellEnd"/>
      <w:r w:rsidRPr="004A0D6C">
        <w:rPr>
          <w:rFonts w:ascii="Verdana" w:eastAsia="Calibri" w:hAnsi="Verdana" w:cs="Arial"/>
          <w:sz w:val="20"/>
          <w:szCs w:val="20"/>
          <w:lang w:eastAsia="en-GB"/>
        </w:rPr>
        <w:t xml:space="preserve">) la fecha de inicio de las obras objeto del contrato (día, mes, año); </w:t>
      </w:r>
      <w:proofErr w:type="spellStart"/>
      <w:r w:rsidRPr="004A0D6C">
        <w:rPr>
          <w:rFonts w:ascii="Verdana" w:eastAsia="Calibri" w:hAnsi="Verdana" w:cs="Arial"/>
          <w:sz w:val="20"/>
          <w:szCs w:val="20"/>
          <w:lang w:eastAsia="en-GB"/>
        </w:rPr>
        <w:t>iv</w:t>
      </w:r>
      <w:proofErr w:type="spellEnd"/>
      <w:r w:rsidRPr="004A0D6C">
        <w:rPr>
          <w:rFonts w:ascii="Verdana" w:eastAsia="Calibri" w:hAnsi="Verdana" w:cs="Arial"/>
          <w:sz w:val="20"/>
          <w:szCs w:val="20"/>
          <w:lang w:eastAsia="en-GB"/>
        </w:rPr>
        <w:t xml:space="preserve">) si la obra la ejecuta un consorcio o unión temporal, junto con el porcentaje de participación del oferente que presenta el certificado; v) si el contrato se encuentra suspendido, y si es así, la fecha de suspensión, además del saldo pendiente por ejecutar. Si el proponente no tiene contratos en ejecución, en el certificado debe constar expresamente esa circunstancia. </w:t>
      </w:r>
    </w:p>
    <w:p w14:paraId="18D1CD81" w14:textId="77777777" w:rsidR="004A0D6C" w:rsidRPr="004A0D6C" w:rsidRDefault="004A0D6C" w:rsidP="004A0D6C">
      <w:pPr>
        <w:spacing w:after="0" w:line="240" w:lineRule="auto"/>
        <w:jc w:val="both"/>
        <w:rPr>
          <w:rFonts w:ascii="Verdana" w:eastAsia="Calibri" w:hAnsi="Verdana" w:cs="Arial"/>
          <w:sz w:val="20"/>
          <w:szCs w:val="20"/>
          <w:lang w:eastAsia="en-GB"/>
        </w:rPr>
      </w:pPr>
    </w:p>
    <w:p w14:paraId="7AB56707" w14:textId="05294608" w:rsidR="00DF11DE" w:rsidRPr="004A0D6C" w:rsidRDefault="00795D96" w:rsidP="004A0D6C">
      <w:pPr>
        <w:spacing w:after="0" w:line="240" w:lineRule="auto"/>
        <w:jc w:val="both"/>
        <w:rPr>
          <w:rFonts w:ascii="Verdana" w:eastAsia="Calibri" w:hAnsi="Verdana" w:cs="Arial"/>
          <w:sz w:val="20"/>
          <w:szCs w:val="20"/>
          <w:lang w:eastAsia="en-GB"/>
        </w:rPr>
      </w:pPr>
      <w:r w:rsidRPr="004A0D6C">
        <w:rPr>
          <w:rFonts w:ascii="Verdana" w:eastAsia="Calibri" w:hAnsi="Verdana" w:cs="Arial"/>
          <w:sz w:val="20"/>
          <w:szCs w:val="20"/>
          <w:lang w:eastAsia="en-GB"/>
        </w:rPr>
        <w:t xml:space="preserve">En concordancia con lo anterior, sobre la acreditación del factor </w:t>
      </w:r>
      <w:r w:rsidRPr="004A0D6C">
        <w:rPr>
          <w:rFonts w:ascii="Verdana" w:eastAsia="Calibri" w:hAnsi="Verdana" w:cs="Arial"/>
          <w:bCs/>
          <w:color w:val="000000"/>
          <w:sz w:val="20"/>
          <w:szCs w:val="20"/>
          <w:lang w:eastAsia="en-GB"/>
        </w:rPr>
        <w:t xml:space="preserve">“SCE” </w:t>
      </w:r>
      <w:r w:rsidRPr="004A0D6C">
        <w:rPr>
          <w:rFonts w:ascii="Verdana" w:eastAsia="Calibri" w:hAnsi="Verdana" w:cs="Arial"/>
          <w:sz w:val="20"/>
          <w:szCs w:val="20"/>
          <w:lang w:eastAsia="en-GB"/>
        </w:rPr>
        <w:t>en los Documentos Tipo de Licitación de Obra Pública para Infraestructura de Transporte, el literal E del numeral 3.11.2 “CÁLCULO DE LA CAPACIDAD RESIDUAL DEL PROPONENTE (CRP)” del Documento Base señala lo siguiente:</w:t>
      </w:r>
      <w:r w:rsidR="00CD12EA" w:rsidRPr="004A0D6C">
        <w:rPr>
          <w:rFonts w:ascii="Verdana" w:eastAsia="Calibri" w:hAnsi="Verdana" w:cs="Arial"/>
          <w:sz w:val="20"/>
          <w:szCs w:val="20"/>
          <w:lang w:eastAsia="en-GB"/>
        </w:rPr>
        <w:t xml:space="preserve"> </w:t>
      </w:r>
      <w:r w:rsidR="00DF11DE" w:rsidRPr="004A0D6C">
        <w:rPr>
          <w:rFonts w:ascii="Verdana" w:eastAsia="Calibri" w:hAnsi="Verdana" w:cs="Arial"/>
          <w:sz w:val="20"/>
          <w:szCs w:val="20"/>
          <w:lang w:eastAsia="en-GB"/>
        </w:rPr>
        <w:t>[…]</w:t>
      </w:r>
    </w:p>
    <w:p w14:paraId="1C3E793F" w14:textId="77777777" w:rsidR="00DF11DE" w:rsidRPr="00DF11DE" w:rsidRDefault="00DF11DE" w:rsidP="004A0D6C">
      <w:pPr>
        <w:spacing w:after="0" w:line="276" w:lineRule="auto"/>
        <w:jc w:val="both"/>
        <w:rPr>
          <w:rFonts w:ascii="Verdana" w:eastAsia="Calibri" w:hAnsi="Verdana" w:cs="Arial"/>
          <w:b/>
          <w:bCs/>
          <w:lang w:val="es-ES_tradnl" w:eastAsia="es-ES"/>
        </w:rPr>
      </w:pPr>
    </w:p>
    <w:p w14:paraId="23BE298D" w14:textId="77777777" w:rsidR="00DF11DE" w:rsidRPr="00DF11DE" w:rsidRDefault="00DF11DE" w:rsidP="00DF11DE">
      <w:pPr>
        <w:spacing w:after="0" w:line="276" w:lineRule="auto"/>
        <w:jc w:val="both"/>
        <w:rPr>
          <w:rFonts w:ascii="Verdana" w:eastAsia="Calibri" w:hAnsi="Verdana" w:cs="Times New Roman"/>
        </w:rPr>
      </w:pPr>
      <w:r w:rsidRPr="00DF11DE">
        <w:rPr>
          <w:rFonts w:ascii="Verdana" w:eastAsia="Calibri" w:hAnsi="Verdana" w:cs="Arial"/>
          <w:b/>
          <w:bCs/>
          <w:lang w:val="es-ES_tradnl" w:eastAsia="es-ES"/>
        </w:rPr>
        <w:t>CAPACIDAD RESIDUAL – SCE – Contratos suscritos en el exterior – Guía para Determinar y Verificar la Capacidad Residual del Proponente en los Procesos de Contratación de Obra Pública</w:t>
      </w:r>
    </w:p>
    <w:p w14:paraId="514CBA86" w14:textId="77777777" w:rsidR="00DF11DE" w:rsidRPr="00DF11DE" w:rsidRDefault="00DF11DE" w:rsidP="00DF11DE">
      <w:pPr>
        <w:spacing w:after="0" w:line="276" w:lineRule="auto"/>
        <w:jc w:val="both"/>
        <w:rPr>
          <w:rFonts w:ascii="Verdana" w:eastAsia="Calibri" w:hAnsi="Verdana" w:cs="Arial"/>
          <w:b/>
          <w:bCs/>
          <w:lang w:val="es-ES_tradnl" w:eastAsia="es-ES"/>
        </w:rPr>
      </w:pPr>
    </w:p>
    <w:p w14:paraId="079C7848" w14:textId="4F0B796B" w:rsidR="00DF11DE" w:rsidRPr="004A0D6C" w:rsidRDefault="00DF11DE" w:rsidP="00DF11DE">
      <w:pPr>
        <w:spacing w:after="0" w:line="240" w:lineRule="auto"/>
        <w:jc w:val="both"/>
        <w:rPr>
          <w:rFonts w:ascii="Verdana" w:eastAsia="Calibri" w:hAnsi="Verdana" w:cs="Arial"/>
          <w:sz w:val="20"/>
          <w:szCs w:val="20"/>
          <w:lang w:eastAsia="en-GB"/>
        </w:rPr>
      </w:pPr>
      <w:r w:rsidRPr="004A0D6C">
        <w:rPr>
          <w:rFonts w:ascii="Verdana" w:eastAsia="Calibri" w:hAnsi="Verdana" w:cs="Times New Roman"/>
          <w:kern w:val="2"/>
          <w:sz w:val="20"/>
          <w:szCs w:val="20"/>
          <w:lang w:val="es-ES_tradnl"/>
          <w14:ligatures w14:val="standardContextual"/>
        </w:rPr>
        <w:t xml:space="preserve">[…] </w:t>
      </w:r>
      <w:r w:rsidR="004C0E14" w:rsidRPr="004A0D6C">
        <w:rPr>
          <w:rFonts w:ascii="Verdana" w:eastAsia="Calibri" w:hAnsi="Verdana" w:cs="Arial"/>
          <w:sz w:val="20"/>
          <w:szCs w:val="20"/>
          <w:lang w:val="es-MX" w:eastAsia="en-GB"/>
        </w:rPr>
        <w:t xml:space="preserve">para acreditar el factor de saldos de contratos en ejecución (SCE), es necesario que se presenten </w:t>
      </w:r>
      <w:r w:rsidR="004C0E14" w:rsidRPr="004A0D6C">
        <w:rPr>
          <w:rFonts w:ascii="Verdana" w:eastAsia="Calibri" w:hAnsi="Verdana" w:cs="Arial"/>
          <w:sz w:val="20"/>
          <w:szCs w:val="20"/>
          <w:lang w:eastAsia="en-GB"/>
        </w:rPr>
        <w:t xml:space="preserve">los contratos de obras civiles en ejecución, tanto a nivel nacional como </w:t>
      </w:r>
      <w:r w:rsidR="004C0E14" w:rsidRPr="004A0D6C">
        <w:rPr>
          <w:rFonts w:ascii="Verdana" w:eastAsia="Calibri" w:hAnsi="Verdana" w:cs="Arial"/>
          <w:sz w:val="20"/>
          <w:szCs w:val="20"/>
          <w:lang w:eastAsia="en-GB"/>
        </w:rPr>
        <w:lastRenderedPageBreak/>
        <w:t xml:space="preserve">internacional, </w:t>
      </w:r>
      <w:r w:rsidR="004C0E14" w:rsidRPr="004A0D6C">
        <w:rPr>
          <w:rFonts w:ascii="Verdana" w:eastAsia="Calibri" w:hAnsi="Verdana" w:cs="Arial"/>
          <w:i/>
          <w:iCs/>
          <w:sz w:val="20"/>
          <w:szCs w:val="20"/>
          <w:lang w:eastAsia="en-GB"/>
        </w:rPr>
        <w:t>independientemente de su denominación o tipología contractual</w:t>
      </w:r>
      <w:r w:rsidR="004C0E14" w:rsidRPr="004A0D6C">
        <w:rPr>
          <w:rFonts w:ascii="Verdana" w:eastAsia="Calibri" w:hAnsi="Verdana" w:cs="Arial"/>
          <w:sz w:val="20"/>
          <w:szCs w:val="20"/>
          <w:lang w:eastAsia="en-GB"/>
        </w:rPr>
        <w:t xml:space="preserve">. Esto implica que deben tenerse en cuenta todos aquellos contratos que tengan por objeto </w:t>
      </w:r>
      <w:r w:rsidR="004C0E14" w:rsidRPr="004A0D6C">
        <w:rPr>
          <w:rFonts w:ascii="Verdana" w:eastAsia="Calibri" w:hAnsi="Verdana" w:cs="Arial"/>
          <w:i/>
          <w:iCs/>
          <w:sz w:val="20"/>
          <w:szCs w:val="20"/>
          <w:lang w:eastAsia="en-GB"/>
        </w:rPr>
        <w:t>obras civiles</w:t>
      </w:r>
      <w:r w:rsidR="004C0E14" w:rsidRPr="004A0D6C">
        <w:rPr>
          <w:rFonts w:ascii="Verdana" w:eastAsia="Calibri" w:hAnsi="Verdana" w:cs="Arial"/>
          <w:sz w:val="20"/>
          <w:szCs w:val="20"/>
          <w:lang w:eastAsia="en-GB"/>
        </w:rPr>
        <w:t xml:space="preserve"> y que se encuentren en ejecución, en los términos expuestos en este concepto y de conformidad con las normas y la Guía a las que se hizo referencia.</w:t>
      </w:r>
    </w:p>
    <w:p w14:paraId="18BF0E38" w14:textId="77777777" w:rsidR="00DF11DE" w:rsidRPr="004A0D6C" w:rsidRDefault="00DF11DE" w:rsidP="00DF11DE">
      <w:pPr>
        <w:spacing w:after="0" w:line="240" w:lineRule="auto"/>
        <w:jc w:val="both"/>
        <w:rPr>
          <w:rFonts w:ascii="Verdana" w:eastAsia="Calibri" w:hAnsi="Verdana" w:cs="Arial"/>
          <w:sz w:val="20"/>
          <w:szCs w:val="20"/>
          <w:lang w:eastAsia="en-GB"/>
        </w:rPr>
      </w:pPr>
      <w:r w:rsidRPr="004A0D6C">
        <w:rPr>
          <w:rFonts w:ascii="Verdana" w:eastAsia="Calibri" w:hAnsi="Verdana" w:cs="Arial"/>
          <w:sz w:val="20"/>
          <w:szCs w:val="20"/>
          <w:lang w:eastAsia="en-GB"/>
        </w:rPr>
        <w:t>[…]</w:t>
      </w:r>
    </w:p>
    <w:p w14:paraId="74912653" w14:textId="23515C77" w:rsidR="00DF11DE" w:rsidRPr="004A0D6C" w:rsidRDefault="00DF11DE" w:rsidP="00DF11DE">
      <w:pPr>
        <w:spacing w:after="0" w:line="240" w:lineRule="auto"/>
        <w:jc w:val="both"/>
        <w:rPr>
          <w:rFonts w:ascii="Verdana" w:eastAsia="Aptos" w:hAnsi="Verdana" w:cs="Times New Roman"/>
          <w:kern w:val="2"/>
          <w:sz w:val="20"/>
          <w:szCs w:val="20"/>
          <w:lang w:val="es-ES_tradnl"/>
          <w14:ligatures w14:val="standardContextual"/>
        </w:rPr>
      </w:pPr>
      <w:r w:rsidRPr="004A0D6C">
        <w:rPr>
          <w:rFonts w:ascii="Verdana" w:eastAsia="Calibri" w:hAnsi="Verdana" w:cs="Arial"/>
          <w:sz w:val="20"/>
          <w:szCs w:val="20"/>
          <w:lang w:eastAsia="en-GB"/>
        </w:rPr>
        <w:t xml:space="preserve">[…] </w:t>
      </w:r>
      <w:r w:rsidR="004C0E14" w:rsidRPr="004A0D6C">
        <w:rPr>
          <w:rFonts w:ascii="Verdana" w:eastAsia="Aptos" w:hAnsi="Verdana" w:cs="Times New Roman"/>
          <w:kern w:val="2"/>
          <w:sz w:val="20"/>
          <w:szCs w:val="20"/>
          <w:lang w:val="es-ES_tradnl"/>
          <w14:ligatures w14:val="standardContextual"/>
        </w:rPr>
        <w:t>la Guía es clara al indicar que los contratos que el oferente se encuentre ejecutando en el exterior deben ser reportados en el formato respectivo dentro del componente “saldos de contratos en ejecución”, toda vez que los mismos obligan al proponente al momento de la presentación de su oferta y, por lo tanto, impactan su capacidad residual en el marco del proceso de selección y el futuro desarrollo de un contrato de obra pública, incluso con pliegos tipo.</w:t>
      </w:r>
    </w:p>
    <w:p w14:paraId="7F782FE4" w14:textId="77777777" w:rsidR="00DF11DE" w:rsidRPr="00DF11DE" w:rsidRDefault="00DF11DE" w:rsidP="00DF11DE">
      <w:pPr>
        <w:spacing w:after="120" w:line="276" w:lineRule="auto"/>
        <w:ind w:firstLine="709"/>
        <w:jc w:val="both"/>
        <w:rPr>
          <w:rFonts w:ascii="Verdana" w:eastAsia="Calibri" w:hAnsi="Verdana" w:cs="Arial"/>
          <w:lang w:eastAsia="en-GB"/>
        </w:rPr>
      </w:pPr>
    </w:p>
    <w:p w14:paraId="40D233D7" w14:textId="77777777" w:rsidR="00DF11DE" w:rsidRPr="00DF11DE" w:rsidRDefault="00DF11DE" w:rsidP="00DF11DE">
      <w:pPr>
        <w:spacing w:after="0" w:line="240" w:lineRule="auto"/>
        <w:jc w:val="both"/>
        <w:rPr>
          <w:rFonts w:ascii="Verdana" w:eastAsia="Calibri" w:hAnsi="Verdana" w:cs="Times New Roman"/>
        </w:rPr>
      </w:pPr>
    </w:p>
    <w:p w14:paraId="5B1B9C3D" w14:textId="77777777" w:rsidR="00DF11DE" w:rsidRPr="00DF11DE" w:rsidRDefault="00DF11DE" w:rsidP="00DF11DE">
      <w:pPr>
        <w:spacing w:after="0" w:line="240" w:lineRule="auto"/>
        <w:jc w:val="both"/>
        <w:rPr>
          <w:rFonts w:ascii="Verdana" w:eastAsia="Calibri" w:hAnsi="Verdana" w:cs="Times New Roman"/>
        </w:rPr>
      </w:pPr>
    </w:p>
    <w:p w14:paraId="4D45C7E5" w14:textId="77777777" w:rsidR="00DF11DE" w:rsidRPr="00DF11DE" w:rsidRDefault="00DF11DE" w:rsidP="00DF11DE">
      <w:pPr>
        <w:spacing w:after="0" w:line="240" w:lineRule="auto"/>
        <w:jc w:val="both"/>
        <w:rPr>
          <w:rFonts w:ascii="Verdana" w:eastAsia="Calibri" w:hAnsi="Verdana" w:cs="Times New Roman"/>
        </w:rPr>
      </w:pPr>
    </w:p>
    <w:p w14:paraId="09128013" w14:textId="77777777" w:rsidR="00DF11DE" w:rsidRPr="00DF11DE" w:rsidRDefault="00DF11DE" w:rsidP="00DF11DE">
      <w:pPr>
        <w:spacing w:after="0" w:line="240" w:lineRule="auto"/>
        <w:jc w:val="both"/>
        <w:rPr>
          <w:rFonts w:ascii="Verdana" w:eastAsia="Calibri" w:hAnsi="Verdana" w:cs="Times New Roman"/>
        </w:rPr>
      </w:pPr>
    </w:p>
    <w:p w14:paraId="25C81140" w14:textId="77777777" w:rsidR="00DF11DE" w:rsidRPr="00DF11DE" w:rsidRDefault="00DF11DE" w:rsidP="00DF11DE">
      <w:pPr>
        <w:spacing w:after="0" w:line="240" w:lineRule="auto"/>
        <w:jc w:val="both"/>
        <w:rPr>
          <w:rFonts w:ascii="Verdana" w:eastAsia="Calibri" w:hAnsi="Verdana" w:cs="Times New Roman"/>
        </w:rPr>
      </w:pPr>
    </w:p>
    <w:p w14:paraId="074A8E82" w14:textId="77777777" w:rsidR="00DF11DE" w:rsidRPr="00DF11DE" w:rsidRDefault="00DF11DE" w:rsidP="00DF11DE">
      <w:pPr>
        <w:spacing w:after="0" w:line="240" w:lineRule="auto"/>
        <w:jc w:val="both"/>
        <w:rPr>
          <w:rFonts w:ascii="Verdana" w:eastAsia="Calibri" w:hAnsi="Verdana" w:cs="Times New Roman"/>
        </w:rPr>
      </w:pPr>
    </w:p>
    <w:p w14:paraId="5249C4ED" w14:textId="77777777" w:rsidR="00DF11DE" w:rsidRPr="00DF11DE" w:rsidRDefault="00DF11DE" w:rsidP="00DF11DE">
      <w:pPr>
        <w:spacing w:after="0" w:line="240" w:lineRule="auto"/>
        <w:jc w:val="both"/>
        <w:rPr>
          <w:rFonts w:ascii="Verdana" w:eastAsia="Calibri" w:hAnsi="Verdana" w:cs="Times New Roman"/>
        </w:rPr>
      </w:pPr>
    </w:p>
    <w:p w14:paraId="73149EAC" w14:textId="77777777" w:rsidR="00DF11DE" w:rsidRPr="00DF11DE" w:rsidRDefault="00DF11DE" w:rsidP="00DF11DE">
      <w:pPr>
        <w:spacing w:after="0" w:line="240" w:lineRule="auto"/>
        <w:jc w:val="both"/>
        <w:rPr>
          <w:rFonts w:ascii="Verdana" w:eastAsia="Calibri" w:hAnsi="Verdana" w:cs="Times New Roman"/>
        </w:rPr>
      </w:pPr>
    </w:p>
    <w:p w14:paraId="79181FDF" w14:textId="77777777" w:rsidR="00DF11DE" w:rsidRPr="00DF11DE" w:rsidRDefault="00DF11DE" w:rsidP="00DF11DE">
      <w:pPr>
        <w:spacing w:after="0" w:line="240" w:lineRule="auto"/>
        <w:jc w:val="both"/>
        <w:rPr>
          <w:rFonts w:ascii="Verdana" w:eastAsia="Calibri" w:hAnsi="Verdana" w:cs="Times New Roman"/>
        </w:rPr>
      </w:pPr>
    </w:p>
    <w:p w14:paraId="2D8BA3BA" w14:textId="77777777" w:rsidR="00DF11DE" w:rsidRPr="00DF11DE" w:rsidRDefault="00DF11DE" w:rsidP="00DF11DE">
      <w:pPr>
        <w:spacing w:after="0" w:line="240" w:lineRule="auto"/>
        <w:jc w:val="both"/>
        <w:rPr>
          <w:rFonts w:ascii="Verdana" w:eastAsia="Calibri" w:hAnsi="Verdana" w:cs="Times New Roman"/>
        </w:rPr>
      </w:pPr>
    </w:p>
    <w:p w14:paraId="6114D7D5" w14:textId="77777777" w:rsidR="00DF11DE" w:rsidRPr="00DF11DE" w:rsidRDefault="00DF11DE" w:rsidP="00DF11DE">
      <w:pPr>
        <w:spacing w:after="0" w:line="240" w:lineRule="auto"/>
        <w:jc w:val="both"/>
        <w:rPr>
          <w:rFonts w:ascii="Verdana" w:eastAsia="Calibri" w:hAnsi="Verdana" w:cs="Times New Roman"/>
        </w:rPr>
      </w:pPr>
    </w:p>
    <w:p w14:paraId="77A8E83B" w14:textId="77777777" w:rsidR="00DF11DE" w:rsidRPr="00DF11DE" w:rsidRDefault="00DF11DE" w:rsidP="00DF11DE">
      <w:pPr>
        <w:spacing w:after="0" w:line="240" w:lineRule="auto"/>
        <w:jc w:val="both"/>
        <w:rPr>
          <w:rFonts w:ascii="Verdana" w:eastAsia="Calibri" w:hAnsi="Verdana" w:cs="Times New Roman"/>
        </w:rPr>
      </w:pPr>
    </w:p>
    <w:p w14:paraId="25E2282E" w14:textId="77777777" w:rsidR="00DF11DE" w:rsidRPr="00DF11DE" w:rsidRDefault="00DF11DE" w:rsidP="00DF11DE">
      <w:pPr>
        <w:spacing w:after="0" w:line="240" w:lineRule="auto"/>
        <w:jc w:val="both"/>
        <w:rPr>
          <w:rFonts w:ascii="Verdana" w:eastAsia="Calibri" w:hAnsi="Verdana" w:cs="Times New Roman"/>
        </w:rPr>
      </w:pPr>
    </w:p>
    <w:p w14:paraId="702C3337" w14:textId="77777777" w:rsidR="00DF11DE" w:rsidRPr="00DF11DE" w:rsidRDefault="00DF11DE" w:rsidP="00DF11DE">
      <w:pPr>
        <w:spacing w:after="0" w:line="240" w:lineRule="auto"/>
        <w:jc w:val="both"/>
        <w:rPr>
          <w:rFonts w:ascii="Verdana" w:eastAsia="Calibri" w:hAnsi="Verdana" w:cs="Times New Roman"/>
        </w:rPr>
      </w:pPr>
    </w:p>
    <w:p w14:paraId="6AB5C242" w14:textId="77777777" w:rsidR="00DF11DE" w:rsidRPr="00DF11DE" w:rsidRDefault="00DF11DE" w:rsidP="00DF11DE">
      <w:pPr>
        <w:spacing w:after="0" w:line="240" w:lineRule="auto"/>
        <w:jc w:val="both"/>
        <w:rPr>
          <w:rFonts w:ascii="Verdana" w:eastAsia="Calibri" w:hAnsi="Verdana" w:cs="Times New Roman"/>
        </w:rPr>
      </w:pPr>
    </w:p>
    <w:p w14:paraId="59EA52CA" w14:textId="77777777" w:rsidR="00DF11DE" w:rsidRPr="00DF11DE" w:rsidRDefault="00DF11DE" w:rsidP="00DF11DE">
      <w:pPr>
        <w:spacing w:after="0" w:line="240" w:lineRule="auto"/>
        <w:jc w:val="both"/>
        <w:rPr>
          <w:rFonts w:ascii="Verdana" w:eastAsia="Calibri" w:hAnsi="Verdana" w:cs="Times New Roman"/>
        </w:rPr>
      </w:pPr>
    </w:p>
    <w:p w14:paraId="0D76F00B" w14:textId="77777777" w:rsidR="00DF11DE" w:rsidRPr="00DF11DE" w:rsidRDefault="00DF11DE" w:rsidP="00DF11DE">
      <w:pPr>
        <w:spacing w:after="0" w:line="240" w:lineRule="auto"/>
        <w:jc w:val="both"/>
        <w:rPr>
          <w:rFonts w:ascii="Verdana" w:eastAsia="Calibri" w:hAnsi="Verdana" w:cs="Times New Roman"/>
        </w:rPr>
      </w:pPr>
    </w:p>
    <w:p w14:paraId="26E3959D" w14:textId="77777777" w:rsidR="00DF11DE" w:rsidRPr="00DF11DE" w:rsidRDefault="00DF11DE" w:rsidP="00DF11DE">
      <w:pPr>
        <w:spacing w:after="0" w:line="240" w:lineRule="auto"/>
        <w:jc w:val="both"/>
        <w:rPr>
          <w:rFonts w:ascii="Verdana" w:eastAsia="Calibri" w:hAnsi="Verdana" w:cs="Times New Roman"/>
        </w:rPr>
      </w:pPr>
    </w:p>
    <w:p w14:paraId="03EF63AF" w14:textId="77777777" w:rsidR="00DF11DE" w:rsidRPr="00DF11DE" w:rsidRDefault="00DF11DE" w:rsidP="00DF11DE">
      <w:pPr>
        <w:spacing w:after="0" w:line="240" w:lineRule="auto"/>
        <w:jc w:val="both"/>
        <w:rPr>
          <w:rFonts w:ascii="Verdana" w:eastAsia="Calibri" w:hAnsi="Verdana" w:cs="Times New Roman"/>
        </w:rPr>
      </w:pPr>
    </w:p>
    <w:p w14:paraId="11CFD42B" w14:textId="77777777" w:rsidR="00DF11DE" w:rsidRPr="00DF11DE" w:rsidRDefault="00DF11DE" w:rsidP="00DF11DE">
      <w:pPr>
        <w:spacing w:after="0" w:line="240" w:lineRule="auto"/>
        <w:jc w:val="both"/>
        <w:rPr>
          <w:rFonts w:ascii="Verdana" w:eastAsia="Calibri" w:hAnsi="Verdana" w:cs="Times New Roman"/>
        </w:rPr>
      </w:pPr>
    </w:p>
    <w:p w14:paraId="6D0B33CF" w14:textId="77777777" w:rsidR="00DF11DE" w:rsidRPr="00DF11DE" w:rsidRDefault="00DF11DE" w:rsidP="00DF11DE">
      <w:pPr>
        <w:spacing w:after="0" w:line="240" w:lineRule="auto"/>
        <w:jc w:val="both"/>
        <w:rPr>
          <w:rFonts w:ascii="Verdana" w:eastAsia="Calibri" w:hAnsi="Verdana" w:cs="Times New Roman"/>
        </w:rPr>
      </w:pPr>
    </w:p>
    <w:p w14:paraId="61CF8342" w14:textId="77777777" w:rsidR="00DF11DE" w:rsidRPr="00DF11DE" w:rsidRDefault="00DF11DE" w:rsidP="00DF11DE">
      <w:pPr>
        <w:spacing w:after="0" w:line="240" w:lineRule="auto"/>
        <w:jc w:val="both"/>
        <w:rPr>
          <w:rFonts w:ascii="Verdana" w:eastAsia="Calibri" w:hAnsi="Verdana" w:cs="Times New Roman"/>
        </w:rPr>
      </w:pPr>
    </w:p>
    <w:p w14:paraId="70EB6CF1" w14:textId="77777777" w:rsidR="00DF11DE" w:rsidRPr="00DF11DE" w:rsidRDefault="00DF11DE" w:rsidP="00DF11DE">
      <w:pPr>
        <w:spacing w:after="0" w:line="240" w:lineRule="auto"/>
        <w:jc w:val="both"/>
        <w:rPr>
          <w:rFonts w:ascii="Verdana" w:eastAsia="Calibri" w:hAnsi="Verdana" w:cs="Times New Roman"/>
        </w:rPr>
      </w:pPr>
    </w:p>
    <w:p w14:paraId="12BF3DF5" w14:textId="77777777" w:rsidR="00DF11DE" w:rsidRPr="00DF11DE" w:rsidRDefault="00DF11DE" w:rsidP="00DF11DE">
      <w:pPr>
        <w:spacing w:after="0" w:line="240" w:lineRule="auto"/>
        <w:jc w:val="both"/>
        <w:rPr>
          <w:rFonts w:ascii="Verdana" w:eastAsia="Calibri" w:hAnsi="Verdana" w:cs="Times New Roman"/>
        </w:rPr>
      </w:pPr>
    </w:p>
    <w:p w14:paraId="4DB8A2C4" w14:textId="77777777" w:rsidR="00DF11DE" w:rsidRPr="00DF11DE" w:rsidRDefault="00DF11DE" w:rsidP="00DF11DE">
      <w:pPr>
        <w:spacing w:after="0" w:line="240" w:lineRule="auto"/>
        <w:jc w:val="both"/>
        <w:rPr>
          <w:rFonts w:ascii="Verdana" w:eastAsia="Calibri" w:hAnsi="Verdana" w:cs="Times New Roman"/>
        </w:rPr>
      </w:pPr>
    </w:p>
    <w:p w14:paraId="3F490CF9" w14:textId="77777777" w:rsidR="00DF11DE" w:rsidRPr="00DF11DE" w:rsidRDefault="00DF11DE" w:rsidP="00DF11DE">
      <w:pPr>
        <w:spacing w:after="0" w:line="240" w:lineRule="auto"/>
        <w:jc w:val="both"/>
        <w:rPr>
          <w:rFonts w:ascii="Verdana" w:eastAsia="Calibri" w:hAnsi="Verdana" w:cs="Times New Roman"/>
        </w:rPr>
      </w:pPr>
    </w:p>
    <w:p w14:paraId="70838924" w14:textId="77777777" w:rsidR="00DF11DE" w:rsidRPr="00DF11DE" w:rsidRDefault="00DF11DE" w:rsidP="00DF11DE">
      <w:pPr>
        <w:spacing w:after="0" w:line="240" w:lineRule="auto"/>
        <w:jc w:val="both"/>
        <w:rPr>
          <w:rFonts w:ascii="Verdana" w:eastAsia="Calibri" w:hAnsi="Verdana" w:cs="Times New Roman"/>
        </w:rPr>
      </w:pPr>
    </w:p>
    <w:p w14:paraId="01311E5F" w14:textId="77777777" w:rsidR="00DF11DE" w:rsidRPr="00DF11DE" w:rsidRDefault="00DF11DE" w:rsidP="00DF11DE">
      <w:pPr>
        <w:spacing w:after="0" w:line="240" w:lineRule="auto"/>
        <w:jc w:val="both"/>
        <w:rPr>
          <w:rFonts w:ascii="Verdana" w:eastAsia="Calibri" w:hAnsi="Verdana" w:cs="Times New Roman"/>
        </w:rPr>
      </w:pPr>
    </w:p>
    <w:p w14:paraId="5466D264" w14:textId="77777777" w:rsidR="00DF11DE" w:rsidRPr="00DF11DE" w:rsidRDefault="00DF11DE" w:rsidP="00DF11DE">
      <w:pPr>
        <w:spacing w:after="0" w:line="240" w:lineRule="auto"/>
        <w:jc w:val="both"/>
        <w:rPr>
          <w:rFonts w:ascii="Verdana" w:eastAsia="Calibri" w:hAnsi="Verdana" w:cs="Times New Roman"/>
        </w:rPr>
      </w:pPr>
    </w:p>
    <w:p w14:paraId="07A222CB" w14:textId="77777777" w:rsidR="00DF11DE" w:rsidRPr="00DF11DE" w:rsidRDefault="00DF11DE" w:rsidP="00DF11DE">
      <w:pPr>
        <w:spacing w:after="0" w:line="240" w:lineRule="auto"/>
        <w:rPr>
          <w:rFonts w:ascii="Verdana" w:eastAsia="Calibri" w:hAnsi="Verdana" w:cs="Times New Roman"/>
        </w:rPr>
      </w:pPr>
    </w:p>
    <w:p w14:paraId="724CD405" w14:textId="7FFF07AD" w:rsidR="00DF11DE" w:rsidRDefault="00DF11DE" w:rsidP="00DF11DE">
      <w:pPr>
        <w:spacing w:after="0" w:line="276" w:lineRule="auto"/>
        <w:jc w:val="both"/>
        <w:rPr>
          <w:rFonts w:ascii="Verdana" w:eastAsia="Verdana" w:hAnsi="Verdana" w:cs="Verdana"/>
        </w:rPr>
      </w:pPr>
      <w:r w:rsidRPr="30821638">
        <w:rPr>
          <w:rFonts w:ascii="Verdana" w:eastAsia="Verdana" w:hAnsi="Verdana" w:cs="Verdana"/>
        </w:rPr>
        <w:lastRenderedPageBreak/>
        <w:t>Bogotá D.C.,</w:t>
      </w:r>
      <w:r w:rsidR="00F67857">
        <w:rPr>
          <w:rFonts w:ascii="Verdana" w:eastAsia="Verdana" w:hAnsi="Verdana" w:cs="Verdana"/>
        </w:rPr>
        <w:t xml:space="preserve"> 07 Julio 2026</w:t>
      </w:r>
    </w:p>
    <w:p w14:paraId="086EB4E3" w14:textId="20F10CC2" w:rsidR="00DF11DE" w:rsidRPr="00DF11DE" w:rsidRDefault="00F67857" w:rsidP="003730CD">
      <w:pPr>
        <w:spacing w:after="0" w:line="276" w:lineRule="auto"/>
        <w:jc w:val="right"/>
        <w:rPr>
          <w:rFonts w:ascii="Verdana" w:eastAsia="Calibri" w:hAnsi="Verdana" w:cs="Arial"/>
          <w:lang w:val="es-ES_tradnl" w:eastAsia="es-ES"/>
        </w:rPr>
      </w:pPr>
      <w:r>
        <w:rPr>
          <w:rFonts w:ascii="Verdana" w:eastAsia="Calibri" w:hAnsi="Verdana" w:cs="Arial"/>
          <w:noProof/>
          <w:lang w:val="es-ES_tradnl" w:eastAsia="es-ES"/>
        </w:rPr>
        <w:drawing>
          <wp:inline distT="0" distB="0" distL="0" distR="0" wp14:anchorId="5A834192" wp14:editId="4EA845DE">
            <wp:extent cx="2188724" cy="613812"/>
            <wp:effectExtent l="0" t="0" r="0" b="0"/>
            <wp:docPr id="3810873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87323" name="Imagen 3810873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4574" cy="618257"/>
                    </a:xfrm>
                    <a:prstGeom prst="rect">
                      <a:avLst/>
                    </a:prstGeom>
                  </pic:spPr>
                </pic:pic>
              </a:graphicData>
            </a:graphic>
          </wp:inline>
        </w:drawing>
      </w:r>
    </w:p>
    <w:p w14:paraId="1A1E1FB1" w14:textId="77777777" w:rsidR="00DF11DE" w:rsidRPr="00DF11DE" w:rsidRDefault="00DF11DE" w:rsidP="00DF11DE">
      <w:pPr>
        <w:spacing w:after="0" w:line="240" w:lineRule="auto"/>
        <w:jc w:val="both"/>
        <w:rPr>
          <w:rFonts w:ascii="Verdana" w:eastAsia="Calibri" w:hAnsi="Verdana" w:cs="Arial"/>
          <w:lang w:val="es-ES_tradnl" w:eastAsia="es-ES"/>
        </w:rPr>
      </w:pPr>
      <w:r w:rsidRPr="00DF11DE">
        <w:rPr>
          <w:rFonts w:ascii="Verdana" w:eastAsia="Calibri" w:hAnsi="Verdana" w:cs="Arial"/>
          <w:lang w:val="es-ES_tradnl" w:eastAsia="es-ES"/>
        </w:rPr>
        <w:t>Señor(a)</w:t>
      </w:r>
    </w:p>
    <w:p w14:paraId="10B277C2" w14:textId="77777777" w:rsidR="00DF11DE" w:rsidRPr="00DF11DE" w:rsidRDefault="00DF11DE" w:rsidP="00DF11DE">
      <w:pPr>
        <w:spacing w:after="0" w:line="240" w:lineRule="auto"/>
        <w:rPr>
          <w:rFonts w:ascii="Verdana" w:eastAsia="Calibri" w:hAnsi="Verdana" w:cs="Arial"/>
          <w:b/>
          <w:lang w:val="es-ES_tradnl" w:eastAsia="es-ES_tradnl"/>
        </w:rPr>
      </w:pPr>
      <w:r w:rsidRPr="00DF11DE">
        <w:rPr>
          <w:rFonts w:ascii="Verdana" w:eastAsia="Calibri" w:hAnsi="Verdana" w:cs="Arial"/>
          <w:b/>
          <w:lang w:val="es-ES_tradnl" w:eastAsia="es-ES_tradnl"/>
        </w:rPr>
        <w:t>Ciudadano(a) anónimo(a)</w:t>
      </w:r>
    </w:p>
    <w:p w14:paraId="29A918A2" w14:textId="77777777" w:rsidR="00DF11DE" w:rsidRPr="00DF11DE" w:rsidRDefault="00DF11DE" w:rsidP="00DF11DE">
      <w:pPr>
        <w:spacing w:after="0" w:line="240" w:lineRule="auto"/>
        <w:rPr>
          <w:rFonts w:ascii="Verdana" w:eastAsia="Calibri" w:hAnsi="Verdana" w:cs="Arial"/>
          <w:lang w:val="es-ES_tradnl" w:eastAsia="es-ES"/>
        </w:rPr>
      </w:pPr>
      <w:r w:rsidRPr="00DF11DE">
        <w:rPr>
          <w:rFonts w:ascii="Verdana" w:eastAsia="Calibri" w:hAnsi="Verdana" w:cs="Arial"/>
          <w:lang w:val="es-ES_tradnl" w:eastAsia="es-ES"/>
        </w:rPr>
        <w:t>Ciudad</w:t>
      </w:r>
    </w:p>
    <w:p w14:paraId="5722B972" w14:textId="77777777" w:rsidR="00DF11DE" w:rsidRPr="00DF11DE" w:rsidRDefault="00DF11DE" w:rsidP="00DF11DE">
      <w:pPr>
        <w:spacing w:after="0" w:line="240" w:lineRule="auto"/>
        <w:rPr>
          <w:rFonts w:ascii="Verdana" w:eastAsia="Calibri" w:hAnsi="Verdana" w:cs="Arial"/>
          <w:b/>
          <w:bCs/>
          <w:lang w:val="es-ES_tradnl" w:eastAsia="es-ES_tradnl"/>
        </w:rPr>
      </w:pPr>
    </w:p>
    <w:p w14:paraId="6A3125E6" w14:textId="77777777" w:rsidR="00DF11DE" w:rsidRPr="00DF11DE" w:rsidRDefault="00DF11DE" w:rsidP="00DF11DE">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F11DE" w:rsidRPr="00DF11DE" w14:paraId="03979D69" w14:textId="77777777" w:rsidTr="00B52602">
        <w:trPr>
          <w:trHeight w:val="884"/>
        </w:trPr>
        <w:tc>
          <w:tcPr>
            <w:tcW w:w="2689" w:type="dxa"/>
          </w:tcPr>
          <w:p w14:paraId="7A87E070" w14:textId="77777777" w:rsidR="00DF11DE" w:rsidRPr="00DF11DE" w:rsidRDefault="00DF11DE" w:rsidP="00DF11DE">
            <w:pPr>
              <w:jc w:val="both"/>
              <w:rPr>
                <w:rFonts w:ascii="Verdana" w:eastAsia="Calibri" w:hAnsi="Verdana" w:cs="Arial"/>
                <w:b/>
                <w:bCs/>
                <w:lang w:val="es-ES_tradnl" w:eastAsia="es-ES_tradnl"/>
              </w:rPr>
            </w:pPr>
          </w:p>
        </w:tc>
        <w:tc>
          <w:tcPr>
            <w:tcW w:w="6100" w:type="dxa"/>
          </w:tcPr>
          <w:p w14:paraId="49BA1A81" w14:textId="77777777" w:rsidR="00DF11DE" w:rsidRPr="00DF11DE" w:rsidRDefault="00DF11DE" w:rsidP="00DF11DE">
            <w:pPr>
              <w:jc w:val="both"/>
              <w:rPr>
                <w:rFonts w:ascii="Verdana" w:eastAsia="Calibri" w:hAnsi="Verdana" w:cs="Arial"/>
                <w:b/>
                <w:bCs/>
                <w:lang w:val="es-ES_tradnl" w:eastAsia="es-ES"/>
              </w:rPr>
            </w:pPr>
            <w:r w:rsidRPr="00DF11DE">
              <w:rPr>
                <w:rFonts w:ascii="Verdana" w:eastAsia="Calibri" w:hAnsi="Verdana" w:cs="Arial"/>
                <w:b/>
                <w:bCs/>
                <w:lang w:val="es-ES_tradnl" w:eastAsia="es-ES"/>
              </w:rPr>
              <w:t>Concepto C – 866 de 2026</w:t>
            </w:r>
          </w:p>
        </w:tc>
      </w:tr>
      <w:tr w:rsidR="00DF11DE" w:rsidRPr="00DF11DE" w14:paraId="3DA1E96A" w14:textId="77777777" w:rsidTr="00B52602">
        <w:trPr>
          <w:trHeight w:val="884"/>
        </w:trPr>
        <w:tc>
          <w:tcPr>
            <w:tcW w:w="2689" w:type="dxa"/>
          </w:tcPr>
          <w:p w14:paraId="6A7E70C0" w14:textId="77777777" w:rsidR="00DF11DE" w:rsidRPr="00DF11DE" w:rsidRDefault="00DF11DE" w:rsidP="00DF11DE">
            <w:pPr>
              <w:jc w:val="both"/>
              <w:rPr>
                <w:rFonts w:ascii="Verdana" w:eastAsia="Calibri" w:hAnsi="Verdana" w:cs="Arial"/>
                <w:lang w:val="es-ES_tradnl" w:eastAsia="es-ES_tradnl"/>
              </w:rPr>
            </w:pPr>
            <w:r w:rsidRPr="00DF11DE">
              <w:rPr>
                <w:rFonts w:ascii="Verdana" w:eastAsia="Calibri" w:hAnsi="Verdana" w:cs="Arial"/>
                <w:b/>
                <w:lang w:val="es-ES_tradnl" w:eastAsia="es-ES_tradnl"/>
              </w:rPr>
              <w:t>Temas:</w:t>
            </w:r>
            <w:r w:rsidRPr="00DF11DE">
              <w:rPr>
                <w:rFonts w:ascii="Verdana" w:eastAsia="Calibri" w:hAnsi="Verdana" w:cs="Arial"/>
                <w:lang w:val="es-ES_tradnl" w:eastAsia="es-ES_tradnl"/>
              </w:rPr>
              <w:t xml:space="preserve">                   </w:t>
            </w:r>
          </w:p>
        </w:tc>
        <w:tc>
          <w:tcPr>
            <w:tcW w:w="6100" w:type="dxa"/>
          </w:tcPr>
          <w:p w14:paraId="0FB86B04" w14:textId="77777777" w:rsidR="00DF11DE" w:rsidRPr="00DF11DE" w:rsidRDefault="00DF11DE" w:rsidP="00DF11DE">
            <w:pPr>
              <w:spacing w:line="276" w:lineRule="auto"/>
              <w:jc w:val="both"/>
              <w:rPr>
                <w:rFonts w:ascii="Verdana" w:eastAsia="Calibri" w:hAnsi="Verdana" w:cs="Times New Roman"/>
              </w:rPr>
            </w:pPr>
            <w:r w:rsidRPr="00DF11DE">
              <w:rPr>
                <w:rFonts w:ascii="Verdana" w:eastAsia="Calibri" w:hAnsi="Verdana" w:cs="Arial"/>
                <w:lang w:val="es-ES" w:eastAsia="es-ES"/>
              </w:rPr>
              <w:t xml:space="preserve">CAPACIDAD RESIDUAL – Definición – Factores – Contratos de obra / </w:t>
            </w:r>
            <w:r w:rsidRPr="00DF11DE">
              <w:rPr>
                <w:rFonts w:ascii="Verdana" w:eastAsia="Calibri" w:hAnsi="Verdana" w:cs="Arial"/>
                <w:lang w:eastAsia="es-MX"/>
              </w:rPr>
              <w:t xml:space="preserve">CAPACIDAD RESIDUAL – Saldos de Contratos en Ejecución – SCE – Documentos Tipo – Cálculo / </w:t>
            </w:r>
            <w:r w:rsidRPr="00DF11DE">
              <w:rPr>
                <w:rFonts w:ascii="Verdana" w:eastAsia="Calibri" w:hAnsi="Verdana" w:cs="Arial"/>
                <w:lang w:val="es-ES_tradnl" w:eastAsia="es-ES"/>
              </w:rPr>
              <w:t>CAPACIDAD RESIDUAL – SCE – Contratos suscritos en el exterior – Guía para Determinar y Verificar la Capacidad Residual del Proponente en los Procesos de Contratación de Obra Pública</w:t>
            </w:r>
          </w:p>
          <w:p w14:paraId="30EE3632" w14:textId="77777777" w:rsidR="00DF11DE" w:rsidRPr="00DF11DE" w:rsidRDefault="00DF11DE" w:rsidP="00DF11DE">
            <w:pPr>
              <w:spacing w:line="276" w:lineRule="auto"/>
              <w:jc w:val="both"/>
              <w:rPr>
                <w:rFonts w:ascii="Verdana" w:eastAsia="Calibri" w:hAnsi="Verdana" w:cs="Arial"/>
                <w:highlight w:val="yellow"/>
                <w:lang w:val="es-ES_tradnl" w:eastAsia="es-ES"/>
              </w:rPr>
            </w:pPr>
          </w:p>
        </w:tc>
      </w:tr>
      <w:tr w:rsidR="00DF11DE" w:rsidRPr="00DF11DE" w14:paraId="37462F8E" w14:textId="77777777" w:rsidTr="00B52602">
        <w:tc>
          <w:tcPr>
            <w:tcW w:w="2689" w:type="dxa"/>
          </w:tcPr>
          <w:p w14:paraId="07846BC4" w14:textId="77777777" w:rsidR="00DF11DE" w:rsidRPr="00DF11DE" w:rsidRDefault="00DF11DE" w:rsidP="00DF11DE">
            <w:pPr>
              <w:jc w:val="both"/>
              <w:rPr>
                <w:rFonts w:ascii="Verdana" w:eastAsia="Calibri" w:hAnsi="Verdana" w:cs="Arial"/>
                <w:b/>
                <w:lang w:val="es-ES_tradnl" w:eastAsia="es-ES_tradnl"/>
              </w:rPr>
            </w:pPr>
            <w:r w:rsidRPr="00DF11DE">
              <w:rPr>
                <w:rFonts w:ascii="Verdana" w:eastAsia="Calibri" w:hAnsi="Verdana" w:cs="Arial"/>
                <w:b/>
                <w:lang w:val="es-ES_tradnl" w:eastAsia="es-ES_tradnl"/>
              </w:rPr>
              <w:t>Radicación:</w:t>
            </w:r>
            <w:r w:rsidRPr="00DF11DE">
              <w:rPr>
                <w:rFonts w:ascii="Verdana" w:eastAsia="Calibri" w:hAnsi="Verdana" w:cs="Arial"/>
                <w:lang w:val="es-ES_tradnl" w:eastAsia="es-ES_tradnl"/>
              </w:rPr>
              <w:t xml:space="preserve">               </w:t>
            </w:r>
          </w:p>
        </w:tc>
        <w:tc>
          <w:tcPr>
            <w:tcW w:w="6100" w:type="dxa"/>
          </w:tcPr>
          <w:p w14:paraId="7E26F306" w14:textId="77777777" w:rsidR="00DF11DE" w:rsidRPr="00DF11DE" w:rsidRDefault="00DF11DE" w:rsidP="00DF11DE">
            <w:pPr>
              <w:spacing w:line="276" w:lineRule="auto"/>
              <w:jc w:val="both"/>
              <w:rPr>
                <w:rFonts w:ascii="Verdana" w:eastAsia="Calibri" w:hAnsi="Verdana" w:cs="Arial"/>
                <w:lang w:val="es-ES_tradnl" w:eastAsia="es-ES_tradnl"/>
              </w:rPr>
            </w:pPr>
            <w:r w:rsidRPr="00DF11DE">
              <w:rPr>
                <w:rFonts w:ascii="Verdana" w:eastAsia="Calibri" w:hAnsi="Verdana" w:cs="Arial"/>
                <w:lang w:val="es-ES_tradnl" w:eastAsia="es-ES_tradnl"/>
              </w:rPr>
              <w:t>Respuesta a consulta con radicado No. 1_2026_05_25_006962</w:t>
            </w:r>
          </w:p>
        </w:tc>
      </w:tr>
    </w:tbl>
    <w:p w14:paraId="1A9B3687" w14:textId="77777777" w:rsidR="00DF11DE" w:rsidRPr="00DF11DE" w:rsidRDefault="00DF11DE" w:rsidP="00DF11DE">
      <w:pPr>
        <w:spacing w:after="0" w:line="240" w:lineRule="auto"/>
        <w:jc w:val="both"/>
        <w:rPr>
          <w:rFonts w:ascii="Verdana" w:eastAsia="Calibri" w:hAnsi="Verdana" w:cs="Arial"/>
          <w:lang w:val="es-ES_tradnl" w:eastAsia="es-ES_tradnl"/>
        </w:rPr>
      </w:pPr>
    </w:p>
    <w:p w14:paraId="4F8787A6" w14:textId="77777777" w:rsidR="00DF11DE" w:rsidRPr="00DF11DE" w:rsidRDefault="00DF11DE" w:rsidP="00DF11DE">
      <w:pPr>
        <w:spacing w:after="0" w:line="240" w:lineRule="auto"/>
        <w:jc w:val="both"/>
        <w:rPr>
          <w:rFonts w:ascii="Verdana" w:eastAsia="Calibri" w:hAnsi="Verdana" w:cs="Arial"/>
          <w:lang w:val="es-ES_tradnl" w:eastAsia="es-ES_tradnl"/>
        </w:rPr>
      </w:pPr>
    </w:p>
    <w:p w14:paraId="1D6BC466" w14:textId="77777777" w:rsidR="00DF11DE" w:rsidRPr="00DF11DE" w:rsidRDefault="00DF11DE" w:rsidP="00DF11DE">
      <w:pPr>
        <w:spacing w:after="0" w:line="276" w:lineRule="auto"/>
        <w:jc w:val="both"/>
        <w:rPr>
          <w:rFonts w:ascii="Verdana" w:eastAsia="Calibri" w:hAnsi="Verdana" w:cs="Arial"/>
          <w:lang w:val="es-ES_tradnl" w:eastAsia="es-ES"/>
        </w:rPr>
      </w:pPr>
      <w:r w:rsidRPr="00DF11DE">
        <w:rPr>
          <w:rFonts w:ascii="Verdana" w:eastAsia="Calibri" w:hAnsi="Verdana" w:cs="Arial"/>
          <w:lang w:val="es-ES_tradnl" w:eastAsia="es-ES"/>
        </w:rPr>
        <w:t xml:space="preserve">Estimado(a) señor(a): </w:t>
      </w:r>
    </w:p>
    <w:p w14:paraId="4A5A2F68" w14:textId="77777777" w:rsidR="00DF11DE" w:rsidRPr="00DF11DE" w:rsidRDefault="00DF11DE" w:rsidP="00DF11DE">
      <w:pPr>
        <w:tabs>
          <w:tab w:val="left" w:pos="3768"/>
        </w:tabs>
        <w:spacing w:after="0" w:line="276" w:lineRule="auto"/>
        <w:jc w:val="both"/>
        <w:rPr>
          <w:rFonts w:ascii="Verdana" w:eastAsia="Calibri" w:hAnsi="Verdana" w:cs="Arial"/>
          <w:lang w:val="es-ES_tradnl" w:eastAsia="es-ES"/>
        </w:rPr>
      </w:pPr>
      <w:r w:rsidRPr="00DF11DE">
        <w:rPr>
          <w:rFonts w:ascii="Verdana" w:eastAsia="Calibri" w:hAnsi="Verdana" w:cs="Arial"/>
          <w:lang w:val="es-ES_tradnl" w:eastAsia="es-ES"/>
        </w:rPr>
        <w:tab/>
      </w:r>
    </w:p>
    <w:p w14:paraId="00D98506" w14:textId="77777777" w:rsidR="00DF11DE" w:rsidRPr="00DF11DE" w:rsidRDefault="00DF11DE" w:rsidP="00DF11DE">
      <w:pPr>
        <w:snapToGrid w:val="0"/>
        <w:spacing w:after="0" w:line="276" w:lineRule="auto"/>
        <w:jc w:val="both"/>
        <w:rPr>
          <w:rFonts w:ascii="Verdana" w:eastAsia="Calibri" w:hAnsi="Verdana" w:cs="Arial"/>
          <w:lang w:val="es-ES_tradnl" w:eastAsia="es-ES"/>
        </w:rPr>
      </w:pPr>
      <w:r w:rsidRPr="00DF11DE">
        <w:rPr>
          <w:rFonts w:ascii="Verdana" w:eastAsia="Calibri" w:hAnsi="Verdana" w:cs="Arial"/>
          <w:lang w:val="es-ES_tradnl" w:eastAsia="es-ES"/>
        </w:rPr>
        <w:t>En ejercicio de la competencia otorgada por los artículos 3, numeral 5º, y 11, numeral 8º, del Decreto Ley 4170 de 2011,</w:t>
      </w:r>
      <w:r w:rsidRPr="00DF11DE">
        <w:rPr>
          <w:rFonts w:ascii="Verdana" w:eastAsia="Arial MT" w:hAnsi="Verdana" w:cs="Arial MT"/>
          <w:lang w:val="es-ES_tradnl" w:eastAsia="es-ES"/>
        </w:rPr>
        <w:t xml:space="preserve"> </w:t>
      </w:r>
      <w:r w:rsidRPr="00DF11DE">
        <w:rPr>
          <w:rFonts w:ascii="Verdana" w:eastAsia="Calibri" w:hAnsi="Verdana" w:cs="Arial"/>
          <w:lang w:val="es-ES_tradnl"/>
        </w:rPr>
        <w:t xml:space="preserve">así como lo establecido en la Resolución No. 469 del 2025 expedida por esta Entidad, </w:t>
      </w:r>
      <w:r w:rsidRPr="00DF11DE">
        <w:rPr>
          <w:rFonts w:ascii="Verdana" w:eastAsia="Calibri" w:hAnsi="Verdana" w:cs="Arial"/>
          <w:lang w:val="es-ES_tradnl" w:eastAsia="es-ES"/>
        </w:rPr>
        <w:t>la Agencia Nacional de Contratación Pública –Colombia Compra Eficiente– responde su solicitud de consulta de fecha 25 de mayo de 2026, en la cual manifiesta lo siguiente:</w:t>
      </w:r>
    </w:p>
    <w:p w14:paraId="33D0DB4C" w14:textId="77777777" w:rsidR="00DF11DE" w:rsidRPr="00DF11DE" w:rsidRDefault="00DF11DE" w:rsidP="00DF11DE">
      <w:pPr>
        <w:tabs>
          <w:tab w:val="left" w:pos="142"/>
          <w:tab w:val="left" w:pos="284"/>
        </w:tabs>
        <w:snapToGrid w:val="0"/>
        <w:spacing w:after="0" w:line="240" w:lineRule="auto"/>
        <w:jc w:val="both"/>
        <w:rPr>
          <w:rFonts w:ascii="Verdana" w:eastAsia="Century Gothic" w:hAnsi="Verdana" w:cs="Century Gothic"/>
          <w:b/>
          <w:bCs/>
          <w:lang w:val="es-ES_tradnl"/>
        </w:rPr>
      </w:pPr>
    </w:p>
    <w:p w14:paraId="6E79BB37" w14:textId="77777777" w:rsidR="00DF11DE" w:rsidRPr="00DF11DE" w:rsidRDefault="00DF11DE" w:rsidP="00DF11DE">
      <w:pPr>
        <w:snapToGrid w:val="0"/>
        <w:spacing w:after="0" w:line="240" w:lineRule="auto"/>
        <w:ind w:left="720" w:right="709"/>
        <w:jc w:val="both"/>
        <w:rPr>
          <w:rFonts w:ascii="Verdana" w:eastAsia="Century Gothic" w:hAnsi="Verdana" w:cs="Century Gothic"/>
          <w:sz w:val="21"/>
          <w:szCs w:val="21"/>
          <w:lang w:val="es-ES"/>
        </w:rPr>
      </w:pPr>
      <w:r w:rsidRPr="00DF11DE">
        <w:rPr>
          <w:rFonts w:ascii="Verdana" w:eastAsia="Century Gothic" w:hAnsi="Verdana" w:cs="Century Gothic"/>
          <w:sz w:val="21"/>
          <w:szCs w:val="21"/>
          <w:lang w:val="es-ES"/>
        </w:rPr>
        <w:t xml:space="preserve">“Quisiera saber si en el formato 5c de contratos en ejecución del k residual, una empresa debe incluir un contrato de obra que se </w:t>
      </w:r>
      <w:proofErr w:type="spellStart"/>
      <w:r w:rsidRPr="00DF11DE">
        <w:rPr>
          <w:rFonts w:ascii="Verdana" w:eastAsia="Century Gothic" w:hAnsi="Verdana" w:cs="Century Gothic"/>
          <w:sz w:val="21"/>
          <w:szCs w:val="21"/>
          <w:lang w:val="es-ES"/>
        </w:rPr>
        <w:t>esta</w:t>
      </w:r>
      <w:proofErr w:type="spellEnd"/>
      <w:r w:rsidRPr="00DF11DE">
        <w:rPr>
          <w:rFonts w:ascii="Verdana" w:eastAsia="Century Gothic" w:hAnsi="Verdana" w:cs="Century Gothic"/>
          <w:sz w:val="21"/>
          <w:szCs w:val="21"/>
          <w:lang w:val="es-ES"/>
        </w:rPr>
        <w:t xml:space="preserve"> realizando en el exterior, en exactitud en Perú, </w:t>
      </w:r>
      <w:proofErr w:type="spellStart"/>
      <w:r w:rsidRPr="00DF11DE">
        <w:rPr>
          <w:rFonts w:ascii="Verdana" w:eastAsia="Century Gothic" w:hAnsi="Verdana" w:cs="Century Gothic"/>
          <w:sz w:val="21"/>
          <w:szCs w:val="21"/>
          <w:lang w:val="es-ES"/>
        </w:rPr>
        <w:t>segun</w:t>
      </w:r>
      <w:proofErr w:type="spellEnd"/>
      <w:r w:rsidRPr="00DF11DE">
        <w:rPr>
          <w:rFonts w:ascii="Verdana" w:eastAsia="Century Gothic" w:hAnsi="Verdana" w:cs="Century Gothic"/>
          <w:sz w:val="21"/>
          <w:szCs w:val="21"/>
          <w:lang w:val="es-ES"/>
        </w:rPr>
        <w:t xml:space="preserve"> las legislaciones de dicho </w:t>
      </w:r>
      <w:proofErr w:type="spellStart"/>
      <w:r w:rsidRPr="00DF11DE">
        <w:rPr>
          <w:rFonts w:ascii="Verdana" w:eastAsia="Century Gothic" w:hAnsi="Verdana" w:cs="Century Gothic"/>
          <w:sz w:val="21"/>
          <w:szCs w:val="21"/>
          <w:lang w:val="es-ES"/>
        </w:rPr>
        <w:t>pais</w:t>
      </w:r>
      <w:proofErr w:type="spellEnd"/>
      <w:r w:rsidRPr="00DF11DE">
        <w:rPr>
          <w:rFonts w:ascii="Verdana" w:eastAsia="Century Gothic" w:hAnsi="Verdana" w:cs="Century Gothic"/>
          <w:sz w:val="21"/>
          <w:szCs w:val="21"/>
          <w:lang w:val="es-ES"/>
        </w:rPr>
        <w:t xml:space="preserve">, estos consorcios se manejan como empresas aparte, es decir los ingresos no se </w:t>
      </w:r>
      <w:proofErr w:type="spellStart"/>
      <w:r w:rsidRPr="00DF11DE">
        <w:rPr>
          <w:rFonts w:ascii="Verdana" w:eastAsia="Century Gothic" w:hAnsi="Verdana" w:cs="Century Gothic"/>
          <w:sz w:val="21"/>
          <w:szCs w:val="21"/>
          <w:lang w:val="es-ES"/>
        </w:rPr>
        <w:t>reportarian</w:t>
      </w:r>
      <w:proofErr w:type="spellEnd"/>
      <w:r w:rsidRPr="00DF11DE">
        <w:rPr>
          <w:rFonts w:ascii="Verdana" w:eastAsia="Century Gothic" w:hAnsi="Verdana" w:cs="Century Gothic"/>
          <w:sz w:val="21"/>
          <w:szCs w:val="21"/>
          <w:lang w:val="es-ES"/>
        </w:rPr>
        <w:t xml:space="preserve"> ni se </w:t>
      </w:r>
      <w:proofErr w:type="spellStart"/>
      <w:r w:rsidRPr="00DF11DE">
        <w:rPr>
          <w:rFonts w:ascii="Verdana" w:eastAsia="Century Gothic" w:hAnsi="Verdana" w:cs="Century Gothic"/>
          <w:sz w:val="21"/>
          <w:szCs w:val="21"/>
          <w:lang w:val="es-ES"/>
        </w:rPr>
        <w:t>verian</w:t>
      </w:r>
      <w:proofErr w:type="spellEnd"/>
      <w:r w:rsidRPr="00DF11DE">
        <w:rPr>
          <w:rFonts w:ascii="Verdana" w:eastAsia="Century Gothic" w:hAnsi="Verdana" w:cs="Century Gothic"/>
          <w:sz w:val="21"/>
          <w:szCs w:val="21"/>
          <w:lang w:val="es-ES"/>
        </w:rPr>
        <w:t xml:space="preserve"> reflejados en los estados financieros de la empresa integrante del consorcio y que se </w:t>
      </w:r>
      <w:r w:rsidRPr="00DF11DE">
        <w:rPr>
          <w:rFonts w:ascii="Verdana" w:eastAsia="Century Gothic" w:hAnsi="Verdana" w:cs="Century Gothic"/>
          <w:sz w:val="21"/>
          <w:szCs w:val="21"/>
          <w:lang w:val="es-ES"/>
        </w:rPr>
        <w:lastRenderedPageBreak/>
        <w:t xml:space="preserve">encuentra </w:t>
      </w:r>
      <w:proofErr w:type="spellStart"/>
      <w:r w:rsidRPr="00DF11DE">
        <w:rPr>
          <w:rFonts w:ascii="Verdana" w:eastAsia="Century Gothic" w:hAnsi="Verdana" w:cs="Century Gothic"/>
          <w:sz w:val="21"/>
          <w:szCs w:val="21"/>
          <w:lang w:val="es-ES"/>
        </w:rPr>
        <w:t>aca</w:t>
      </w:r>
      <w:proofErr w:type="spellEnd"/>
      <w:r w:rsidRPr="00DF11DE">
        <w:rPr>
          <w:rFonts w:ascii="Verdana" w:eastAsia="Century Gothic" w:hAnsi="Verdana" w:cs="Century Gothic"/>
          <w:sz w:val="21"/>
          <w:szCs w:val="21"/>
          <w:lang w:val="es-ES"/>
        </w:rPr>
        <w:t xml:space="preserve"> en Colombia, como no queremos caer en un posible rechazo de las ofertas, </w:t>
      </w:r>
      <w:proofErr w:type="spellStart"/>
      <w:r w:rsidRPr="00DF11DE">
        <w:rPr>
          <w:rFonts w:ascii="Verdana" w:eastAsia="Century Gothic" w:hAnsi="Verdana" w:cs="Century Gothic"/>
          <w:sz w:val="21"/>
          <w:szCs w:val="21"/>
          <w:lang w:val="es-ES"/>
        </w:rPr>
        <w:t>quisieramos</w:t>
      </w:r>
      <w:proofErr w:type="spellEnd"/>
      <w:r w:rsidRPr="00DF11DE">
        <w:rPr>
          <w:rFonts w:ascii="Verdana" w:eastAsia="Century Gothic" w:hAnsi="Verdana" w:cs="Century Gothic"/>
          <w:sz w:val="21"/>
          <w:szCs w:val="21"/>
          <w:lang w:val="es-ES"/>
        </w:rPr>
        <w:t xml:space="preserve"> tener claridad si se debe incluir dicho contrato o no”. [SIC]</w:t>
      </w:r>
    </w:p>
    <w:p w14:paraId="4F1012B2" w14:textId="77777777" w:rsidR="00DF11DE" w:rsidRPr="00DF11DE" w:rsidRDefault="00DF11DE" w:rsidP="00DF11DE">
      <w:pPr>
        <w:tabs>
          <w:tab w:val="left" w:pos="142"/>
          <w:tab w:val="left" w:pos="284"/>
        </w:tabs>
        <w:spacing w:line="276" w:lineRule="auto"/>
        <w:contextualSpacing/>
        <w:jc w:val="both"/>
        <w:rPr>
          <w:rFonts w:ascii="Verdana" w:eastAsia="Century Gothic" w:hAnsi="Verdana" w:cs="Century Gothic"/>
          <w:b/>
          <w:bCs/>
          <w:lang w:val="es-ES_tradnl"/>
        </w:rPr>
      </w:pPr>
    </w:p>
    <w:p w14:paraId="36AA1380" w14:textId="77777777" w:rsidR="00DF11DE" w:rsidRPr="00DF11DE" w:rsidRDefault="00DF11DE" w:rsidP="00DF11DE">
      <w:pPr>
        <w:spacing w:after="120" w:line="276" w:lineRule="auto"/>
        <w:ind w:firstLine="709"/>
        <w:jc w:val="both"/>
        <w:rPr>
          <w:rFonts w:ascii="Verdana" w:eastAsia="Calibri" w:hAnsi="Verdana" w:cs="Arial"/>
          <w:lang w:val="es-ES" w:eastAsia="es-ES"/>
        </w:rPr>
      </w:pPr>
      <w:r w:rsidRPr="00DF11DE">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F11DE">
        <w:rPr>
          <w:rFonts w:ascii="Calibri" w:eastAsia="Calibri" w:hAnsi="Calibri" w:cs="Times New Roman"/>
        </w:rPr>
        <w:tab/>
      </w:r>
    </w:p>
    <w:p w14:paraId="35BAF15D" w14:textId="77777777" w:rsidR="00DF11DE" w:rsidRPr="00DF11DE" w:rsidRDefault="00DF11DE" w:rsidP="00DF11DE">
      <w:pPr>
        <w:snapToGrid w:val="0"/>
        <w:spacing w:after="0" w:line="276" w:lineRule="auto"/>
        <w:ind w:firstLine="709"/>
        <w:jc w:val="both"/>
        <w:rPr>
          <w:rFonts w:ascii="Verdana" w:eastAsia="Calibri" w:hAnsi="Verdana" w:cs="Arial"/>
          <w:lang w:val="es-ES_tradnl" w:eastAsia="es-ES"/>
        </w:rPr>
      </w:pPr>
      <w:r w:rsidRPr="00DF11DE">
        <w:rPr>
          <w:rFonts w:ascii="Verdana" w:eastAsia="Calibri" w:hAnsi="Verdana" w:cs="Arial"/>
          <w:lang w:val="es-ES_tradnl" w:eastAsia="es-ES"/>
        </w:rPr>
        <w:t xml:space="preserve">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5FCA4AC9" w14:textId="77777777" w:rsidR="00DF11DE" w:rsidRPr="00DF11DE" w:rsidRDefault="00DF11DE" w:rsidP="00DF11DE">
      <w:pPr>
        <w:snapToGrid w:val="0"/>
        <w:spacing w:after="0" w:line="276" w:lineRule="auto"/>
        <w:ind w:firstLine="709"/>
        <w:jc w:val="both"/>
        <w:rPr>
          <w:rFonts w:ascii="Verdana" w:eastAsia="Calibri" w:hAnsi="Verdana" w:cs="Arial"/>
          <w:lang w:val="es-ES_tradnl" w:eastAsia="es-ES"/>
        </w:rPr>
      </w:pPr>
    </w:p>
    <w:p w14:paraId="6EA3DE3A" w14:textId="77777777" w:rsidR="00DF11DE" w:rsidRPr="00DF11DE" w:rsidRDefault="00DF11DE" w:rsidP="00DF11DE">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DF11DE">
        <w:rPr>
          <w:rFonts w:ascii="Verdana" w:eastAsia="Century Gothic" w:hAnsi="Verdana" w:cs="Century Gothic"/>
          <w:b/>
          <w:bCs/>
          <w:lang w:val="es-ES_tradnl"/>
        </w:rPr>
        <w:t>Problema planteado:</w:t>
      </w:r>
    </w:p>
    <w:p w14:paraId="1F9155C7" w14:textId="77777777" w:rsidR="00DF11DE" w:rsidRPr="00DF11DE" w:rsidRDefault="00DF11DE" w:rsidP="00DF11DE">
      <w:pPr>
        <w:tabs>
          <w:tab w:val="left" w:pos="426"/>
        </w:tabs>
        <w:snapToGrid w:val="0"/>
        <w:spacing w:after="0" w:line="276" w:lineRule="auto"/>
        <w:jc w:val="both"/>
        <w:rPr>
          <w:rFonts w:ascii="Verdana" w:eastAsia="Century Gothic" w:hAnsi="Verdana" w:cs="Century Gothic"/>
          <w:lang w:val="es-ES_tradnl"/>
        </w:rPr>
      </w:pPr>
    </w:p>
    <w:p w14:paraId="25946CC4" w14:textId="77777777" w:rsidR="00DF11DE" w:rsidRPr="00DF11DE" w:rsidRDefault="00DF11DE" w:rsidP="00DF11DE">
      <w:pPr>
        <w:snapToGrid w:val="0"/>
        <w:spacing w:after="0" w:line="276" w:lineRule="auto"/>
        <w:jc w:val="both"/>
        <w:rPr>
          <w:rFonts w:ascii="Verdana" w:eastAsia="Century Gothic" w:hAnsi="Verdana" w:cs="Century Gothic"/>
          <w:lang w:val="es-ES_tradnl"/>
        </w:rPr>
      </w:pPr>
      <w:r w:rsidRPr="00DF11DE">
        <w:rPr>
          <w:rFonts w:ascii="Verdana" w:eastAsia="Century Gothic" w:hAnsi="Verdana" w:cs="Century Gothic"/>
          <w:lang w:val="es-ES_tradnl"/>
        </w:rPr>
        <w:t>De acuerdo con el contenido de su solicitud, esta Agencia resolverá el siguiente problema jurídico sobre documentos tipo: ¿cómo opera el reporte de los Saldos de Contratos en Ejecución (SCE) suscritos en el exterior, en procesos de contratación adelantados con pliegos tipo?</w:t>
      </w:r>
    </w:p>
    <w:p w14:paraId="4A1D5AE4" w14:textId="77777777" w:rsidR="00DF11DE" w:rsidRPr="00DF11DE" w:rsidRDefault="00DF11DE" w:rsidP="00DF11DE">
      <w:pPr>
        <w:snapToGrid w:val="0"/>
        <w:spacing w:after="0" w:line="276" w:lineRule="auto"/>
        <w:jc w:val="both"/>
        <w:rPr>
          <w:rFonts w:ascii="Verdana" w:eastAsia="Calibri" w:hAnsi="Verdana" w:cs="Arial"/>
          <w:lang w:val="es-ES_tradnl"/>
        </w:rPr>
      </w:pPr>
    </w:p>
    <w:p w14:paraId="6334C5CD" w14:textId="77777777" w:rsidR="00DF11DE" w:rsidRPr="00DF11DE" w:rsidRDefault="00DF11DE" w:rsidP="00DF11DE">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DF11DE">
        <w:rPr>
          <w:rFonts w:ascii="Verdana" w:eastAsia="Century Gothic" w:hAnsi="Verdana" w:cs="Century Gothic"/>
          <w:b/>
          <w:bCs/>
          <w:lang w:val="es-ES_tradnl"/>
        </w:rPr>
        <w:t>Respuesta:</w:t>
      </w:r>
    </w:p>
    <w:p w14:paraId="7A9535AA" w14:textId="77777777" w:rsidR="00DF11DE" w:rsidRPr="00DF11DE" w:rsidRDefault="00DF11DE" w:rsidP="00DF11DE">
      <w:pPr>
        <w:tabs>
          <w:tab w:val="left" w:pos="142"/>
          <w:tab w:val="left" w:pos="284"/>
        </w:tabs>
        <w:snapToGrid w:val="0"/>
        <w:spacing w:after="0" w:line="276" w:lineRule="auto"/>
        <w:jc w:val="both"/>
        <w:rPr>
          <w:rFonts w:ascii="Verdana" w:eastAsia="Century Gothic" w:hAnsi="Verdana" w:cs="Century Gothic"/>
          <w:b/>
          <w:bCs/>
          <w:lang w:val="es-ES_tradnl"/>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F11DE" w:rsidRPr="00DF11DE" w14:paraId="3E0934EE" w14:textId="77777777" w:rsidTr="00B52602">
        <w:tc>
          <w:tcPr>
            <w:tcW w:w="8828" w:type="dxa"/>
          </w:tcPr>
          <w:p w14:paraId="4938C60D" w14:textId="77777777" w:rsidR="00DF11DE" w:rsidRPr="00DF11DE" w:rsidRDefault="00DF11DE" w:rsidP="00DF11DE">
            <w:pPr>
              <w:spacing w:line="276" w:lineRule="auto"/>
              <w:jc w:val="both"/>
              <w:rPr>
                <w:rFonts w:ascii="Verdana" w:eastAsia="Calibri" w:hAnsi="Verdana" w:cs="Arial"/>
                <w:i/>
                <w:iCs/>
                <w:lang w:eastAsia="en-GB"/>
              </w:rPr>
            </w:pPr>
            <w:r w:rsidRPr="00DF11DE">
              <w:rPr>
                <w:rFonts w:ascii="Verdana" w:eastAsia="Calibri" w:hAnsi="Verdana" w:cs="Arial"/>
                <w:bCs/>
                <w:color w:val="000000"/>
                <w:lang w:val="es-MX" w:eastAsia="en-GB"/>
              </w:rPr>
              <w:t xml:space="preserve">Respecto del factor de saldos de los contratos en ejecución </w:t>
            </w:r>
            <w:r w:rsidRPr="00DF11DE">
              <w:rPr>
                <w:rFonts w:ascii="Verdana" w:eastAsia="Calibri" w:hAnsi="Verdana" w:cs="Arial"/>
                <w:bCs/>
                <w:color w:val="000000"/>
                <w:lang w:eastAsia="en-GB"/>
              </w:rPr>
              <w:t>“SCE”,</w:t>
            </w:r>
            <w:r w:rsidRPr="00DF11DE">
              <w:rPr>
                <w:rFonts w:ascii="Verdana" w:eastAsia="Calibri" w:hAnsi="Verdana" w:cs="Arial"/>
                <w:lang w:eastAsia="en-GB"/>
              </w:rPr>
              <w:t xml:space="preserve"> es necesario tener en cuenta que la “Guía para Determinar y Verificar la Capacidad Residual del Proponente en los Procesos de Contratación de Obra Pública”</w:t>
            </w:r>
            <w:r w:rsidRPr="00DF11DE">
              <w:rPr>
                <w:rFonts w:ascii="Verdana" w:eastAsia="Calibri" w:hAnsi="Verdana" w:cs="Arial"/>
                <w:i/>
                <w:iCs/>
                <w:lang w:eastAsia="en-GB"/>
              </w:rPr>
              <w:t xml:space="preserve">, </w:t>
            </w:r>
            <w:r w:rsidRPr="00DF11DE">
              <w:rPr>
                <w:rFonts w:ascii="Verdana" w:eastAsia="Calibri" w:hAnsi="Verdana" w:cs="Arial"/>
                <w:lang w:eastAsia="en-GB"/>
              </w:rPr>
              <w:t xml:space="preserve">define a este factor </w:t>
            </w:r>
            <w:r w:rsidRPr="00DF11DE">
              <w:rPr>
                <w:rFonts w:ascii="Verdana" w:eastAsia="Calibri" w:hAnsi="Verdana" w:cs="Arial"/>
                <w:bCs/>
                <w:color w:val="000000"/>
                <w:lang w:eastAsia="en-GB"/>
              </w:rPr>
              <w:t xml:space="preserve">como “la suma de los montos por ejecutar de los contratos en ejecución </w:t>
            </w:r>
            <w:r w:rsidRPr="00DF11DE">
              <w:rPr>
                <w:rFonts w:ascii="Verdana" w:eastAsia="Calibri" w:hAnsi="Verdana" w:cs="Arial"/>
                <w:bCs/>
                <w:color w:val="000000"/>
                <w:lang w:eastAsia="en-GB"/>
              </w:rPr>
              <w:lastRenderedPageBreak/>
              <w:t>durante los 12 meses siguientes”. Así mismo, define los</w:t>
            </w:r>
            <w:r w:rsidRPr="00DF11DE">
              <w:rPr>
                <w:rFonts w:ascii="Verdana" w:eastAsia="Calibri" w:hAnsi="Verdana" w:cs="Arial"/>
                <w:lang w:eastAsia="en-GB"/>
              </w:rPr>
              <w:t xml:space="preserve"> </w:t>
            </w:r>
            <w:r w:rsidRPr="00DF11DE">
              <w:rPr>
                <w:rFonts w:ascii="Verdana" w:eastAsia="Calibri" w:hAnsi="Verdana" w:cs="Arial"/>
                <w:i/>
                <w:iCs/>
                <w:lang w:eastAsia="en-GB"/>
              </w:rPr>
              <w:t>Contratos en Ejecución</w:t>
            </w:r>
            <w:r w:rsidRPr="00DF11DE">
              <w:rPr>
                <w:rFonts w:ascii="Verdana" w:eastAsia="Calibri" w:hAnsi="Verdana" w:cs="Arial"/>
                <w:lang w:eastAsia="en-GB"/>
              </w:rPr>
              <w:t xml:space="preserve"> de la siguiente manera: </w:t>
            </w:r>
            <w:r w:rsidRPr="00DF11DE">
              <w:rPr>
                <w:rFonts w:ascii="Verdana" w:eastAsia="Calibri" w:hAnsi="Verdana" w:cs="Arial"/>
                <w:i/>
                <w:iCs/>
                <w:lang w:eastAsia="en-GB"/>
              </w:rPr>
              <w:t xml:space="preserve"> </w:t>
            </w:r>
          </w:p>
          <w:p w14:paraId="2212ADFA" w14:textId="77777777" w:rsidR="00DF11DE" w:rsidRPr="00DF11DE" w:rsidRDefault="00DF11DE" w:rsidP="00DF11DE">
            <w:pPr>
              <w:spacing w:line="276" w:lineRule="auto"/>
              <w:ind w:firstLine="709"/>
              <w:contextualSpacing/>
              <w:jc w:val="both"/>
              <w:rPr>
                <w:rFonts w:ascii="Verdana" w:eastAsia="Calibri" w:hAnsi="Verdana" w:cs="Arial"/>
                <w:lang w:eastAsia="en-GB"/>
              </w:rPr>
            </w:pPr>
          </w:p>
          <w:p w14:paraId="41A90DB6" w14:textId="77777777" w:rsidR="00DF11DE" w:rsidRPr="00DF11DE" w:rsidRDefault="00DF11DE" w:rsidP="00DF11DE">
            <w:pPr>
              <w:ind w:left="709" w:right="709"/>
              <w:jc w:val="both"/>
              <w:rPr>
                <w:rFonts w:ascii="Verdana" w:eastAsia="Calibri" w:hAnsi="Verdana" w:cs="Arial"/>
                <w:sz w:val="21"/>
                <w:szCs w:val="21"/>
                <w:lang w:eastAsia="en-GB"/>
              </w:rPr>
            </w:pPr>
            <w:r w:rsidRPr="00DF11DE">
              <w:rPr>
                <w:rFonts w:ascii="Verdana" w:eastAsia="Calibri" w:hAnsi="Verdana" w:cs="Arial"/>
                <w:sz w:val="21"/>
                <w:szCs w:val="21"/>
                <w:lang w:eastAsia="en-GB"/>
              </w:rPr>
              <w:t xml:space="preserve">“Son los contratos que a la fecha de presentación de la oferta obligan al proponente con Entidades Estatales y con entidades privadas para ejecutar obras civiles, incluyendo la ejecución de obras civiles en los contratos de concesión y los contratos de obra suscritos con concesionarios, incluyendo los contratos que se encuentren suspendidos y aquellos que no tengan acta de inicio.   </w:t>
            </w:r>
          </w:p>
          <w:p w14:paraId="0D7FDA4F" w14:textId="77777777" w:rsidR="00DF11DE" w:rsidRPr="00DF11DE" w:rsidRDefault="00DF11DE" w:rsidP="00DF11DE">
            <w:pPr>
              <w:ind w:left="709" w:right="709"/>
              <w:jc w:val="both"/>
              <w:rPr>
                <w:rFonts w:ascii="Verdana" w:eastAsia="Calibri" w:hAnsi="Verdana" w:cs="Arial"/>
                <w:sz w:val="21"/>
                <w:szCs w:val="21"/>
                <w:lang w:eastAsia="en-GB"/>
              </w:rPr>
            </w:pPr>
          </w:p>
          <w:p w14:paraId="7CE6BE58" w14:textId="77777777" w:rsidR="00DF11DE" w:rsidRPr="00DF11DE" w:rsidRDefault="00DF11DE" w:rsidP="00DF11DE">
            <w:pPr>
              <w:ind w:left="709" w:right="709"/>
              <w:jc w:val="both"/>
              <w:rPr>
                <w:rFonts w:ascii="Verdana" w:eastAsia="Calibri" w:hAnsi="Verdana" w:cs="Arial"/>
                <w:sz w:val="21"/>
                <w:szCs w:val="21"/>
                <w:lang w:eastAsia="en-GB"/>
              </w:rPr>
            </w:pPr>
            <w:r w:rsidRPr="00DF11DE">
              <w:rPr>
                <w:rFonts w:ascii="Verdana" w:eastAsia="Calibri" w:hAnsi="Verdana" w:cs="Arial"/>
                <w:sz w:val="21"/>
                <w:szCs w:val="21"/>
                <w:lang w:eastAsia="en-GB"/>
              </w:rPr>
              <w:t>No se entenderá como Contratos en Ejecución los que se encuentren en etapa de liquidación o ya fueron liquidados.”</w:t>
            </w:r>
          </w:p>
          <w:p w14:paraId="3B213845" w14:textId="77777777" w:rsidR="00DF11DE" w:rsidRPr="00DF11DE" w:rsidRDefault="00DF11DE" w:rsidP="00DF11DE">
            <w:pPr>
              <w:spacing w:line="276" w:lineRule="auto"/>
              <w:ind w:right="709"/>
              <w:jc w:val="both"/>
              <w:rPr>
                <w:rFonts w:ascii="Verdana" w:eastAsia="Calibri" w:hAnsi="Verdana" w:cs="Arial"/>
                <w:lang w:eastAsia="en-GB"/>
              </w:rPr>
            </w:pPr>
          </w:p>
          <w:p w14:paraId="0478841D" w14:textId="77777777" w:rsidR="00DF11DE" w:rsidRPr="00DF11DE" w:rsidRDefault="00DF11DE" w:rsidP="00DF11DE">
            <w:pPr>
              <w:spacing w:after="120" w:line="276" w:lineRule="auto"/>
              <w:ind w:firstLine="709"/>
              <w:jc w:val="both"/>
              <w:rPr>
                <w:rFonts w:ascii="Verdana" w:eastAsia="Calibri" w:hAnsi="Verdana" w:cs="Arial"/>
                <w:lang w:eastAsia="en-GB"/>
              </w:rPr>
            </w:pPr>
            <w:r w:rsidRPr="00DF11DE">
              <w:rPr>
                <w:rFonts w:ascii="Verdana" w:eastAsia="Calibri" w:hAnsi="Verdana" w:cs="Arial"/>
                <w:lang w:eastAsia="en-GB"/>
              </w:rPr>
              <w:t xml:space="preserve">En este sentido, los saldos pendientes se derivan de las obligaciones que se encuentran en ejecución al momento de la presentación de la oferta y se refieren a contratos cuyo objeto sea la ejecución de obras civiles. Se aclara que deben tenerse en cuenta los contratos sin acta de inicio, pues el criterio determinante para establecer si un contrato se encuentra en ejecución no lo determina el acta, sino que el mismo contrato obligue al proponente, tal como se establece en la Guía indicada. Además, los saldos pendientes por ejecutar de los contratos afectados por una suspensión constituyen, también, información relevante para calcular la Capacidad Residual del Proponente </w:t>
            </w:r>
            <w:r w:rsidRPr="00DF11DE">
              <w:rPr>
                <w:rFonts w:ascii="Verdana" w:eastAsia="Calibri" w:hAnsi="Verdana" w:cs="Arial"/>
                <w:bCs/>
                <w:color w:val="000000"/>
                <w:lang w:eastAsia="en-GB"/>
              </w:rPr>
              <w:t>“CRP”</w:t>
            </w:r>
            <w:r w:rsidRPr="00DF11DE">
              <w:rPr>
                <w:rFonts w:ascii="Verdana" w:eastAsia="Calibri" w:hAnsi="Verdana" w:cs="Arial"/>
                <w:lang w:eastAsia="en-GB"/>
              </w:rPr>
              <w:t>. Lo anterior, en la medida en que la ejecución de los contratos en principio suspendidos puede, eventualmente, afectar la aptitud del oferente para cumplir con el contrato ofertado, razón por la que, ante la posibilidad de que tales contratos se reanuden, la Guía estimó necesario evaluar los saldos pendientes por ejecutar de tales contratos para determinar si el proponente cumple con la Capacidad Residual requerida.</w:t>
            </w:r>
          </w:p>
          <w:p w14:paraId="1E71063B" w14:textId="77777777" w:rsidR="00DF11DE" w:rsidRPr="00DF11DE" w:rsidRDefault="00DF11DE" w:rsidP="00DF11DE">
            <w:pPr>
              <w:spacing w:line="276" w:lineRule="auto"/>
              <w:ind w:firstLine="709"/>
              <w:jc w:val="both"/>
              <w:rPr>
                <w:rFonts w:ascii="Verdana" w:eastAsia="Aptos" w:hAnsi="Verdana" w:cs="Times New Roman"/>
                <w:lang w:val="es-ES_tradnl"/>
              </w:rPr>
            </w:pPr>
            <w:r w:rsidRPr="00DF11DE">
              <w:rPr>
                <w:rFonts w:ascii="Verdana" w:eastAsia="Calibri" w:hAnsi="Verdana" w:cs="Arial"/>
                <w:lang w:eastAsia="en-GB"/>
              </w:rPr>
              <w:t xml:space="preserve">Ahora bien, es importante precisar que, la Guía referida </w:t>
            </w:r>
            <w:r w:rsidRPr="00DF11DE">
              <w:rPr>
                <w:rFonts w:ascii="Verdana" w:eastAsia="Calibri" w:hAnsi="Verdana" w:cs="Arial"/>
                <w:i/>
                <w:iCs/>
                <w:lang w:eastAsia="en-GB"/>
              </w:rPr>
              <w:t>ut supra precisa</w:t>
            </w:r>
            <w:r w:rsidRPr="00DF11DE">
              <w:rPr>
                <w:rFonts w:ascii="Verdana" w:eastAsia="Calibri" w:hAnsi="Verdana" w:cs="Arial"/>
                <w:lang w:eastAsia="en-GB"/>
              </w:rPr>
              <w:t>, respecto al componente de SCE, lo siguiente:</w:t>
            </w:r>
          </w:p>
          <w:p w14:paraId="7108DA06" w14:textId="77777777" w:rsidR="00DF11DE" w:rsidRPr="00DF11DE" w:rsidRDefault="00DF11DE" w:rsidP="00DF11DE">
            <w:pPr>
              <w:spacing w:line="276" w:lineRule="auto"/>
              <w:jc w:val="both"/>
              <w:rPr>
                <w:rFonts w:ascii="Verdana" w:eastAsia="Aptos" w:hAnsi="Verdana" w:cs="Times New Roman"/>
                <w:lang w:val="es-ES_tradnl"/>
              </w:rPr>
            </w:pPr>
          </w:p>
          <w:p w14:paraId="7BA11B27"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t>i) El proponente debe demostrar que su operación o actividad comercial le permite asumir nuevas obligaciones derivadas del contrato objeto del Proceso de Contratación. Por lo cual, el proponente en un Proceso de Contratación de una obra pública debe presentar la siguiente información para acreditar su Capacidad Residual:</w:t>
            </w:r>
          </w:p>
          <w:p w14:paraId="6E9B947C"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619C59D9"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lastRenderedPageBreak/>
              <w:t xml:space="preserve">1. La lista de los Contratos en Ejecución, así como el valor y plazo de tales contratos.  </w:t>
            </w:r>
          </w:p>
          <w:p w14:paraId="462FBCF6"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30710F1F"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t>2. La lista de los Contratos en Ejecución, suscritos por sociedades, consorcios o uniones temporales, en los cuales el proponente tenga participación, así como el valor y plazo de tales contratos.  Nota: En caso de que los Contratos en Ejecución se encuentren suspendidos, esta circunstancia también deberá ser indicada de igual forma.</w:t>
            </w:r>
          </w:p>
          <w:p w14:paraId="7C5DE55C"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3934F71A"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roofErr w:type="spellStart"/>
            <w:r w:rsidRPr="00DF11DE">
              <w:rPr>
                <w:rFonts w:ascii="Verdana" w:eastAsia="Aptos" w:hAnsi="Verdana" w:cs="Times New Roman"/>
                <w:i/>
                <w:iCs/>
                <w:sz w:val="21"/>
                <w:szCs w:val="21"/>
                <w:lang w:val="es-ES_tradnl"/>
              </w:rPr>
              <w:t>ii</w:t>
            </w:r>
            <w:proofErr w:type="spellEnd"/>
            <w:r w:rsidRPr="00DF11DE">
              <w:rPr>
                <w:rFonts w:ascii="Verdana" w:eastAsia="Aptos" w:hAnsi="Verdana" w:cs="Times New Roman"/>
                <w:i/>
                <w:iCs/>
                <w:sz w:val="21"/>
                <w:szCs w:val="21"/>
                <w:lang w:val="es-ES_tradnl"/>
              </w:rPr>
              <w:t>) ¿Cómo calcular el Saldo de Contratos en Ejecución?</w:t>
            </w:r>
          </w:p>
          <w:p w14:paraId="3FF883E0"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3BE803A3"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t>El proponente debe presentar un certificado suscrito por su representante legal y su revisor fiscal, si el proponente está obligado a tenerlo, o por el Contador Público o auditor independiente, para lo cual se sugiere el formato establecido en el Anexo 3 de la presente Guía.  El certificado deberá contener la lista de los Contratos en Ejecución, tanto a nivel nacional como</w:t>
            </w:r>
            <w:r w:rsidRPr="00DF11DE">
              <w:rPr>
                <w:rFonts w:ascii="Verdana" w:eastAsia="Aptos" w:hAnsi="Verdana" w:cs="Times New Roman"/>
                <w:b/>
                <w:bCs/>
                <w:i/>
                <w:iCs/>
                <w:sz w:val="21"/>
                <w:szCs w:val="21"/>
                <w:u w:val="single"/>
                <w:lang w:val="es-ES_tradnl"/>
              </w:rPr>
              <w:t xml:space="preserve"> internacional</w:t>
            </w:r>
            <w:r w:rsidRPr="00DF11DE">
              <w:rPr>
                <w:rFonts w:ascii="Verdana" w:eastAsia="Aptos" w:hAnsi="Verdana" w:cs="Times New Roman"/>
                <w:i/>
                <w:iCs/>
                <w:sz w:val="21"/>
                <w:szCs w:val="21"/>
                <w:lang w:val="es-ES_tradnl"/>
              </w:rPr>
              <w:t xml:space="preserve">, indicando: </w:t>
            </w:r>
          </w:p>
          <w:p w14:paraId="4EE06732"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11E3C0FC"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t xml:space="preserve"> • El valor del contrato en pesos colombianos.  • El plazo de ejecución del contrato en meses.  • La fecha de inicio de las obras objeto del contrato: día, mes, año.  • Si la obra la ejecuta un consorcio o unión temporal, el porcentaje de participación del oferente que presenta el certificado.  • Si el contrato se encuentra suspendido, y si es así, la fecha de suspensión. En todo caso, si el contrato está suspendido el proponente debe informar el saldo pendiente por ejecutar.</w:t>
            </w:r>
          </w:p>
          <w:p w14:paraId="696F3286"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69F23A9C"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t xml:space="preserve">Si un contrato se encuentra suspendido, el cálculo del (SCE) de dicho contrato debe efectuarse asumiendo que lo que falta por ejecutar iniciará en la fecha de presentación de la oferta del Proceso de Contratación. Si el contrato está suspendido, el proponente debe informar el saldo pendiente por ejecutar.  </w:t>
            </w:r>
          </w:p>
          <w:p w14:paraId="0CBF5D26"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2465328E"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t xml:space="preserve">En el caso en el cual el contrato haya sido suspendido más de una vez, se deberá relacionar la última fecha de suspensión que se encuentre vigente al momento de presentación de la oferta.  </w:t>
            </w:r>
          </w:p>
          <w:p w14:paraId="59512A75"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19D69F2D"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t xml:space="preserve">Si el proponente no tiene Contratos en Ejecución, en el certificado debe constar expresamente esa circunstancia. En todo caso, debe tener en cuenta que no se entenderá como Contratos en Ejecución los que se encuentren en etapa de liquidación o ya fueron liquidados. </w:t>
            </w:r>
          </w:p>
          <w:p w14:paraId="59A53E90"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335E0383"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t xml:space="preserve">Teniendo en cuenta que los contratos en ejecución son aquellos que a la fecha de presentación de la oferta obligan al proponente, se aclara que deben tenerse en cuenta los contratos sin acta de inicio, </w:t>
            </w:r>
            <w:r w:rsidRPr="00DF11DE">
              <w:rPr>
                <w:rFonts w:ascii="Verdana" w:eastAsia="Aptos" w:hAnsi="Verdana" w:cs="Times New Roman"/>
                <w:i/>
                <w:iCs/>
                <w:sz w:val="21"/>
                <w:szCs w:val="21"/>
                <w:lang w:val="es-ES_tradnl"/>
              </w:rPr>
              <w:lastRenderedPageBreak/>
              <w:t xml:space="preserve">pues el criterio determinante para establecer si un contrato se encuentra en ejecución no lo determina el acta de inicio, sino que el mismo obligue al proponente.  </w:t>
            </w:r>
          </w:p>
          <w:p w14:paraId="38B99354"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p>
          <w:p w14:paraId="4255D615" w14:textId="77777777" w:rsidR="00DF11DE" w:rsidRPr="00DF11DE" w:rsidRDefault="00DF11DE" w:rsidP="00DF11DE">
            <w:pPr>
              <w:ind w:left="709" w:right="709"/>
              <w:contextualSpacing/>
              <w:jc w:val="both"/>
              <w:rPr>
                <w:rFonts w:ascii="Verdana" w:eastAsia="Aptos" w:hAnsi="Verdana" w:cs="Times New Roman"/>
                <w:i/>
                <w:iCs/>
                <w:sz w:val="21"/>
                <w:szCs w:val="21"/>
                <w:lang w:val="es-ES_tradnl"/>
              </w:rPr>
            </w:pPr>
            <w:r w:rsidRPr="00DF11DE">
              <w:rPr>
                <w:rFonts w:ascii="Verdana" w:eastAsia="Aptos" w:hAnsi="Verdana" w:cs="Times New Roman"/>
                <w:i/>
                <w:iCs/>
                <w:sz w:val="21"/>
                <w:szCs w:val="21"/>
                <w:lang w:val="es-ES_tradnl"/>
              </w:rPr>
              <w:t>El Decreto 1082 de 2015 se refiere a los contratos para ejecutar obras civiles, bien sean suscritos con Entidades Estatales o con entidades privadas, incluyendo los contratos de concesión y contratos de obra suscritos con concesionarios. Lo anterior puesto que la capacidad del contratista para acometer nuevas obras es afectada tanto por los contratos públicos como los privados. Igualmente se refiere a los contratos suscritos por el proponente como aquellos suscritos por consorcios o uniones temporales en las cuales participe el oferente.</w:t>
            </w:r>
          </w:p>
          <w:p w14:paraId="7202B1ED" w14:textId="77777777" w:rsidR="00DF11DE" w:rsidRPr="00DF11DE" w:rsidRDefault="00DF11DE" w:rsidP="00DF11DE">
            <w:pPr>
              <w:spacing w:line="276" w:lineRule="auto"/>
              <w:jc w:val="both"/>
              <w:rPr>
                <w:rFonts w:ascii="Verdana" w:eastAsia="Aptos" w:hAnsi="Verdana" w:cs="Times New Roman"/>
                <w:lang w:val="es-ES_tradnl"/>
              </w:rPr>
            </w:pPr>
          </w:p>
          <w:p w14:paraId="6C70CA2E" w14:textId="77777777" w:rsidR="00DF11DE" w:rsidRPr="00DF11DE" w:rsidRDefault="00DF11DE" w:rsidP="00DF11DE">
            <w:pPr>
              <w:spacing w:line="276" w:lineRule="auto"/>
              <w:ind w:firstLine="709"/>
              <w:jc w:val="both"/>
              <w:rPr>
                <w:rFonts w:ascii="Verdana" w:eastAsia="Aptos" w:hAnsi="Verdana" w:cs="Times New Roman"/>
                <w:lang w:val="es-ES_tradnl"/>
              </w:rPr>
            </w:pPr>
            <w:r w:rsidRPr="00DF11DE">
              <w:rPr>
                <w:rFonts w:ascii="Verdana" w:eastAsia="Aptos" w:hAnsi="Verdana" w:cs="Times New Roman"/>
                <w:lang w:val="es-ES_tradnl"/>
              </w:rPr>
              <w:t>Como se evidencia, frente al problema planteado, la Guía es clara al indicar que los contratos que el oferente se encuentre ejecutando en el exterior deben ser reportados en el formato respectivo dentro del componente “saldos de contratos en ejecución”, toda vez que los mismos obligan al proponente al momento de la presentación de su oferta y, por lo tanto, impactan su capacidad residual en el marco del proceso de selección y el futuro desarrollo de un contrato de obra pública, incluso con pliegos tipo.</w:t>
            </w:r>
          </w:p>
        </w:tc>
      </w:tr>
    </w:tbl>
    <w:p w14:paraId="02406FCC" w14:textId="77777777" w:rsidR="00DF11DE" w:rsidRPr="00DF11DE" w:rsidRDefault="00DF11DE" w:rsidP="00DF11DE">
      <w:pPr>
        <w:tabs>
          <w:tab w:val="left" w:pos="142"/>
          <w:tab w:val="left" w:pos="284"/>
        </w:tabs>
        <w:snapToGrid w:val="0"/>
        <w:spacing w:after="0" w:line="276" w:lineRule="auto"/>
        <w:jc w:val="both"/>
        <w:rPr>
          <w:rFonts w:ascii="Verdana" w:eastAsia="Century Gothic" w:hAnsi="Verdana" w:cs="Century Gothic"/>
          <w:b/>
          <w:bCs/>
          <w:lang w:val="es-ES_tradnl"/>
        </w:rPr>
      </w:pPr>
    </w:p>
    <w:p w14:paraId="7D0D96B5" w14:textId="77777777" w:rsidR="00DF11DE" w:rsidRPr="00DF11DE" w:rsidRDefault="00DF11DE" w:rsidP="00DF11DE">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DF11DE">
        <w:rPr>
          <w:rFonts w:ascii="Verdana" w:eastAsia="Century Gothic" w:hAnsi="Verdana" w:cs="Century Gothic"/>
          <w:b/>
          <w:bCs/>
          <w:lang w:val="es-ES_tradnl"/>
        </w:rPr>
        <w:t>Razones de la respuesta:</w:t>
      </w:r>
    </w:p>
    <w:p w14:paraId="0D5BA767" w14:textId="77777777" w:rsidR="00DF11DE" w:rsidRPr="00DF11DE" w:rsidRDefault="00DF11DE" w:rsidP="00DF11DE">
      <w:pPr>
        <w:snapToGrid w:val="0"/>
        <w:spacing w:after="0" w:line="276" w:lineRule="auto"/>
        <w:jc w:val="both"/>
        <w:rPr>
          <w:rFonts w:ascii="Verdana" w:eastAsia="Calibri" w:hAnsi="Verdana" w:cs="Arial"/>
          <w:lang w:val="es-ES_tradnl"/>
        </w:rPr>
      </w:pPr>
    </w:p>
    <w:p w14:paraId="1031D863" w14:textId="77777777" w:rsidR="00DF11DE" w:rsidRPr="00DF11DE" w:rsidRDefault="00DF11DE" w:rsidP="00DF11DE">
      <w:pPr>
        <w:snapToGrid w:val="0"/>
        <w:spacing w:after="0" w:line="276" w:lineRule="auto"/>
        <w:jc w:val="both"/>
        <w:rPr>
          <w:rFonts w:ascii="Verdana" w:eastAsia="Calibri" w:hAnsi="Verdana" w:cs="Arial"/>
          <w:lang w:val="es-ES_tradnl"/>
        </w:rPr>
      </w:pPr>
      <w:r w:rsidRPr="00DF11DE">
        <w:rPr>
          <w:rFonts w:ascii="Verdana" w:eastAsia="Calibri" w:hAnsi="Verdana" w:cs="Arial"/>
          <w:lang w:val="es-ES_tradnl"/>
        </w:rPr>
        <w:t xml:space="preserve">Lo anterior se sustenta en las siguientes consideraciones: </w:t>
      </w:r>
    </w:p>
    <w:p w14:paraId="634709C1" w14:textId="77777777" w:rsidR="00DF11DE" w:rsidRPr="00DF11DE" w:rsidRDefault="00DF11DE" w:rsidP="00DF11DE">
      <w:pPr>
        <w:snapToGrid w:val="0"/>
        <w:spacing w:after="0" w:line="276" w:lineRule="auto"/>
        <w:jc w:val="both"/>
        <w:rPr>
          <w:rFonts w:ascii="Verdana" w:eastAsia="Calibri" w:hAnsi="Verdana" w:cs="Arial"/>
          <w:lang w:val="es-ES_tradnl"/>
        </w:rPr>
      </w:pPr>
    </w:p>
    <w:p w14:paraId="374E2F5E" w14:textId="77777777" w:rsidR="00DF11DE" w:rsidRPr="00DF11DE" w:rsidRDefault="00DF11DE" w:rsidP="00DF11DE">
      <w:pPr>
        <w:spacing w:after="120" w:line="276" w:lineRule="auto"/>
        <w:jc w:val="both"/>
        <w:rPr>
          <w:rFonts w:ascii="Verdana" w:eastAsia="Calibri" w:hAnsi="Verdana" w:cs="Arial"/>
          <w:color w:val="000000"/>
          <w:lang w:val="es-MX" w:eastAsia="en-GB"/>
        </w:rPr>
      </w:pPr>
      <w:r w:rsidRPr="00DF11DE">
        <w:rPr>
          <w:rFonts w:ascii="Verdana" w:eastAsia="Calibri" w:hAnsi="Verdana" w:cs="Arial"/>
          <w:color w:val="000000"/>
          <w:lang w:val="es-MX" w:eastAsia="en-GB"/>
        </w:rPr>
        <w:t>De acuerdo con el artículo 2.2.1.1.1.3.1 del Decreto 1082 de 2015, la Capacidad Residual es la aptitud de los oferentes para cumplir de manera oportuna y a cabalidad el objeto de un contrato de obra pública, sin que los demás compromisos contractuales que han adquirido afecten su habilidad de cumplir el objeto del contrato que está en proceso de selección</w:t>
      </w:r>
      <w:r w:rsidRPr="00DF11DE">
        <w:rPr>
          <w:rFonts w:ascii="Verdana" w:eastAsia="Calibri" w:hAnsi="Verdana" w:cs="Arial"/>
          <w:color w:val="000000"/>
          <w:vertAlign w:val="superscript"/>
          <w:lang w:val="es-MX" w:eastAsia="en-GB"/>
        </w:rPr>
        <w:footnoteReference w:id="1"/>
      </w:r>
      <w:r w:rsidRPr="00DF11DE">
        <w:rPr>
          <w:rFonts w:ascii="Verdana" w:eastAsia="Calibri" w:hAnsi="Verdana" w:cs="Arial"/>
          <w:color w:val="000000"/>
          <w:lang w:val="es-MX" w:eastAsia="en-GB"/>
        </w:rPr>
        <w:t xml:space="preserve">. Por su parte, el Consejo </w:t>
      </w:r>
      <w:r w:rsidRPr="00DF11DE">
        <w:rPr>
          <w:rFonts w:ascii="Verdana" w:eastAsia="Calibri" w:hAnsi="Verdana" w:cs="Arial"/>
          <w:color w:val="000000"/>
          <w:lang w:val="es-MX" w:eastAsia="en-GB"/>
        </w:rPr>
        <w:lastRenderedPageBreak/>
        <w:t>de Estado ha definido la Capacidad Residual como “la diferencia que existe entre el potencial de contratación que se tiene y los compromisos que haya adquirido y que se encuentren en ejecución, para la fecha de presentación de la oferta”</w:t>
      </w:r>
      <w:r w:rsidRPr="00DF11DE">
        <w:rPr>
          <w:rFonts w:ascii="Verdana" w:eastAsia="Calibri" w:hAnsi="Verdana" w:cs="Arial"/>
          <w:color w:val="000000"/>
          <w:vertAlign w:val="superscript"/>
          <w:lang w:val="es-MX" w:eastAsia="en-GB"/>
        </w:rPr>
        <w:footnoteReference w:id="2"/>
      </w:r>
      <w:r w:rsidRPr="00DF11DE">
        <w:rPr>
          <w:rFonts w:ascii="Verdana" w:eastAsia="Calibri" w:hAnsi="Verdana" w:cs="Arial"/>
          <w:color w:val="000000"/>
          <w:lang w:val="es-MX" w:eastAsia="en-GB"/>
        </w:rPr>
        <w:t>.</w:t>
      </w:r>
    </w:p>
    <w:p w14:paraId="4D7C0576" w14:textId="77777777" w:rsidR="00DF11DE" w:rsidRPr="00DF11DE" w:rsidRDefault="00DF11DE" w:rsidP="00DF11DE">
      <w:pPr>
        <w:spacing w:before="120" w:after="0" w:line="276" w:lineRule="auto"/>
        <w:ind w:firstLine="709"/>
        <w:jc w:val="both"/>
        <w:rPr>
          <w:rFonts w:ascii="Verdana" w:eastAsia="Calibri" w:hAnsi="Verdana" w:cs="Arial"/>
          <w:color w:val="000000"/>
          <w:lang w:val="es-MX" w:eastAsia="en-GB"/>
        </w:rPr>
      </w:pPr>
      <w:r w:rsidRPr="00DF11DE">
        <w:rPr>
          <w:rFonts w:ascii="Verdana" w:eastAsia="Calibri" w:hAnsi="Verdana" w:cs="Arial"/>
          <w:color w:val="000000"/>
          <w:lang w:val="es-MX" w:eastAsia="en-GB"/>
        </w:rPr>
        <w:t xml:space="preserve">De esta manera, la Capacidad Residual se refiere a la suficiencia que tiene el proponente para asumir nuevas obligaciones que se derivan del contrato objeto del Proceso de Contratación, en relación con las obligaciones que ya adquirió frente a otros contratos. Por su parte, el artículo 6 de la Ley 1150 de 2007 dispone que la Capacidad Residual de los interesados en participar en procesos de selección para contratos de obra deberá ser igual o superior al que la entidad ha establecido en los pliegos de condiciones, en los siguientes términos: </w:t>
      </w:r>
    </w:p>
    <w:p w14:paraId="29EA5151" w14:textId="77777777" w:rsidR="00DF11DE" w:rsidRPr="00DF11DE" w:rsidRDefault="00DF11DE" w:rsidP="00DF11DE">
      <w:pPr>
        <w:spacing w:after="0" w:line="276" w:lineRule="auto"/>
        <w:ind w:firstLine="709"/>
        <w:jc w:val="both"/>
        <w:rPr>
          <w:rFonts w:ascii="Verdana" w:eastAsia="Calibri" w:hAnsi="Verdana" w:cs="Arial"/>
          <w:color w:val="000000"/>
          <w:lang w:val="es-MX" w:eastAsia="en-GB"/>
        </w:rPr>
      </w:pPr>
    </w:p>
    <w:p w14:paraId="1D3E54EA" w14:textId="77777777" w:rsidR="00DF11DE" w:rsidRPr="00DF11DE" w:rsidRDefault="00DF11DE" w:rsidP="00DF11DE">
      <w:pPr>
        <w:spacing w:after="0" w:line="240" w:lineRule="auto"/>
        <w:ind w:left="709" w:right="709"/>
        <w:contextualSpacing/>
        <w:jc w:val="both"/>
        <w:rPr>
          <w:rFonts w:ascii="Verdana" w:eastAsia="Calibri" w:hAnsi="Verdana" w:cs="Arial"/>
          <w:color w:val="000000"/>
          <w:sz w:val="21"/>
          <w:szCs w:val="21"/>
          <w:lang w:val="es-MX" w:eastAsia="en-GB"/>
        </w:rPr>
      </w:pPr>
      <w:r w:rsidRPr="00DF11DE">
        <w:rPr>
          <w:rFonts w:ascii="Verdana" w:eastAsia="Calibri" w:hAnsi="Verdana" w:cs="Arial"/>
          <w:color w:val="000000"/>
          <w:sz w:val="21"/>
          <w:szCs w:val="21"/>
          <w:lang w:val="es-MX" w:eastAsia="en-GB"/>
        </w:rPr>
        <w:t>“Parágrafo 1°. Para poder participar en los procesos de selección de los contratos de obra y demás que señale el reglamento, la capacidad residual del proponente o K de contratación deberá ser igual o superior al que la entidad haya establecido para el efecto en los pliegos de condiciones.</w:t>
      </w:r>
    </w:p>
    <w:p w14:paraId="7B4C493B" w14:textId="77777777" w:rsidR="00DF11DE" w:rsidRPr="00DF11DE" w:rsidRDefault="00DF11DE" w:rsidP="00DF11DE">
      <w:pPr>
        <w:spacing w:after="0" w:line="240" w:lineRule="auto"/>
        <w:ind w:left="709" w:right="709"/>
        <w:contextualSpacing/>
        <w:jc w:val="both"/>
        <w:rPr>
          <w:rFonts w:ascii="Verdana" w:eastAsia="Calibri" w:hAnsi="Verdana" w:cs="Arial"/>
          <w:color w:val="000000"/>
          <w:sz w:val="21"/>
          <w:szCs w:val="21"/>
          <w:lang w:val="es-MX" w:eastAsia="en-GB"/>
        </w:rPr>
      </w:pPr>
    </w:p>
    <w:p w14:paraId="38A24D6D" w14:textId="77777777" w:rsidR="00DF11DE" w:rsidRPr="00DF11DE" w:rsidRDefault="00DF11DE" w:rsidP="00DF11DE">
      <w:pPr>
        <w:spacing w:after="0" w:line="240" w:lineRule="auto"/>
        <w:ind w:left="709" w:right="709"/>
        <w:contextualSpacing/>
        <w:jc w:val="both"/>
        <w:rPr>
          <w:rFonts w:ascii="Verdana" w:eastAsia="Calibri" w:hAnsi="Verdana" w:cs="Arial"/>
          <w:color w:val="000000"/>
          <w:sz w:val="21"/>
          <w:szCs w:val="21"/>
          <w:lang w:val="es-MX" w:eastAsia="en-GB"/>
        </w:rPr>
      </w:pPr>
      <w:r w:rsidRPr="00DF11DE">
        <w:rPr>
          <w:rFonts w:ascii="Verdana" w:eastAsia="Calibri" w:hAnsi="Verdana" w:cs="Arial"/>
          <w:color w:val="000000"/>
          <w:sz w:val="21"/>
          <w:szCs w:val="21"/>
          <w:lang w:val="es-MX" w:eastAsia="en-GB"/>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45812524" w14:textId="77777777" w:rsidR="00DF11DE" w:rsidRPr="00DF11DE" w:rsidRDefault="00DF11DE" w:rsidP="00DF11DE">
      <w:pPr>
        <w:spacing w:after="0" w:line="276" w:lineRule="auto"/>
        <w:ind w:right="709"/>
        <w:jc w:val="both"/>
        <w:rPr>
          <w:rFonts w:ascii="Verdana" w:eastAsia="Calibri" w:hAnsi="Verdana" w:cs="Arial"/>
          <w:color w:val="000000"/>
          <w:lang w:val="es-MX" w:eastAsia="en-GB"/>
        </w:rPr>
      </w:pPr>
    </w:p>
    <w:p w14:paraId="067AA80E" w14:textId="77777777" w:rsidR="00DF11DE" w:rsidRPr="00DF11DE" w:rsidRDefault="00DF11DE" w:rsidP="00DF11DE">
      <w:pPr>
        <w:spacing w:after="120" w:line="276" w:lineRule="auto"/>
        <w:ind w:firstLine="709"/>
        <w:jc w:val="both"/>
        <w:rPr>
          <w:rFonts w:ascii="Verdana" w:eastAsia="Calibri" w:hAnsi="Verdana" w:cs="Arial"/>
          <w:color w:val="000000"/>
          <w:lang w:eastAsia="en-GB"/>
        </w:rPr>
      </w:pPr>
      <w:r w:rsidRPr="00DF11DE">
        <w:rPr>
          <w:rFonts w:ascii="Verdana" w:eastAsia="Calibri" w:hAnsi="Verdana" w:cs="Arial"/>
          <w:color w:val="000000"/>
          <w:lang w:val="es-MX" w:eastAsia="en-GB"/>
        </w:rPr>
        <w:t xml:space="preserve">De acuerdo con </w:t>
      </w:r>
      <w:r w:rsidRPr="00DF11DE">
        <w:rPr>
          <w:rFonts w:ascii="Verdana" w:eastAsia="Calibri" w:hAnsi="Verdana" w:cs="Arial"/>
          <w:color w:val="000000"/>
          <w:lang w:eastAsia="en-GB"/>
        </w:rPr>
        <w:t>el artículo 72 de la Ley 1682 de 2013, la “capacidad residual de contratación cuando se realicen contratos de obra pública se obtendrá de sustraer de la capacidad de contratación, el saldo del valor de los contratos en ejecución”. La “capacidad de contratación”, según se desprende de la misma disposición, “[…] se deberá calcular mediante la evaluación de los siguientes factores: Experiencia (E), Capacidad Financiera (CF), Capacidad Técnica (CT), y Capacidad de Organización (CO)”.</w:t>
      </w:r>
    </w:p>
    <w:p w14:paraId="2A8DC9A0" w14:textId="77777777" w:rsidR="00DF11DE" w:rsidRPr="00DF11DE" w:rsidRDefault="00DF11DE" w:rsidP="00DF11DE">
      <w:pPr>
        <w:spacing w:after="120" w:line="276" w:lineRule="auto"/>
        <w:ind w:firstLine="709"/>
        <w:jc w:val="both"/>
        <w:rPr>
          <w:rFonts w:ascii="Verdana" w:eastAsia="Calibri" w:hAnsi="Verdana" w:cs="Arial"/>
          <w:color w:val="000000"/>
          <w:lang w:val="es-MX" w:eastAsia="en-GB"/>
        </w:rPr>
      </w:pPr>
      <w:bookmarkStart w:id="1" w:name="_Hlk103608376"/>
      <w:r w:rsidRPr="00DF11DE">
        <w:rPr>
          <w:rFonts w:ascii="Verdana" w:eastAsia="Calibri" w:hAnsi="Verdana" w:cs="Arial"/>
          <w:color w:val="000000"/>
          <w:lang w:val="es-MX" w:eastAsia="en-GB"/>
        </w:rPr>
        <w:lastRenderedPageBreak/>
        <w:t>Por su parte, el artículo 2.2.1.1.1.6.4 del Decreto 1082 de 2015 dispone que las Entidades Estatales deberán calcular la Capacidad Residual conforme a la metodología definida por la Agencia Nacional de Contratación Pública – Colombia Compra Eficiente. Para tales fines, resulta necesario tener en cuenta los factores de: i) Experiencia –E–, ii) Capacidad Financiera –CF–, iii) Capacidad Técnica –CT–, iv) Capacidad de Organización y v) los Saldos de los Contratos en Ejecución –SCE–.</w:t>
      </w:r>
    </w:p>
    <w:p w14:paraId="1C7CBCDE" w14:textId="77777777" w:rsidR="00DF11DE" w:rsidRPr="00DF11DE" w:rsidRDefault="00DF11DE" w:rsidP="00DF11DE">
      <w:pPr>
        <w:spacing w:after="120" w:line="276" w:lineRule="auto"/>
        <w:ind w:firstLine="709"/>
        <w:jc w:val="both"/>
        <w:rPr>
          <w:rFonts w:ascii="Verdana" w:eastAsia="Calibri" w:hAnsi="Verdana" w:cs="Arial"/>
          <w:lang w:val="es-MX" w:eastAsia="en-GB"/>
        </w:rPr>
      </w:pPr>
      <w:r w:rsidRPr="00DF11DE">
        <w:rPr>
          <w:rFonts w:ascii="Verdana" w:eastAsia="Calibri" w:hAnsi="Verdana" w:cs="Arial"/>
          <w:color w:val="000000"/>
          <w:lang w:val="es-MX" w:eastAsia="en-GB"/>
        </w:rPr>
        <w:t xml:space="preserve">De igual manera, </w:t>
      </w:r>
      <w:r w:rsidRPr="00DF11DE">
        <w:rPr>
          <w:rFonts w:ascii="Verdana" w:eastAsia="Calibri" w:hAnsi="Verdana" w:cs="Arial"/>
          <w:lang w:val="es-MX" w:eastAsia="en-GB"/>
        </w:rPr>
        <w:t>establece que el interesado en celebrar contratos de obra pública acreditará su Capacidad Residual con los siguientes documentos: i) la lista de los contratos de obras civiles en ejecución suscritos con Entidades Estatales y con entidades privadas; ii) la lista de contratos de obras civiles en ejecución, suscritos por sociedades, consorcios o uniones temporales, en los cuales el proponente tenga participación, con Entidades Estatales y con entidades privadas; y finalmente iii) el balance general auditado del año inmediatamente anterior y estado de resultados auditado del año en que haya obtenido el mayor ingreso operacional en los últimos cinco (5) años</w:t>
      </w:r>
      <w:bookmarkEnd w:id="1"/>
      <w:r w:rsidRPr="00DF11DE">
        <w:rPr>
          <w:rFonts w:ascii="Verdana" w:eastAsia="Calibri" w:hAnsi="Verdana" w:cs="Arial"/>
          <w:vertAlign w:val="superscript"/>
          <w:lang w:val="es-MX" w:eastAsia="en-GB"/>
        </w:rPr>
        <w:footnoteReference w:id="3"/>
      </w:r>
      <w:r w:rsidRPr="00DF11DE">
        <w:rPr>
          <w:rFonts w:ascii="Verdana" w:eastAsia="Calibri" w:hAnsi="Verdana" w:cs="Arial"/>
          <w:lang w:val="es-MX" w:eastAsia="en-GB"/>
        </w:rPr>
        <w:t xml:space="preserve">. </w:t>
      </w:r>
    </w:p>
    <w:p w14:paraId="78665DE5" w14:textId="77777777" w:rsidR="00DF11DE" w:rsidRPr="00DF11DE" w:rsidRDefault="00DF11DE" w:rsidP="00DF11DE">
      <w:pPr>
        <w:spacing w:after="120" w:line="276" w:lineRule="auto"/>
        <w:ind w:firstLine="709"/>
        <w:jc w:val="both"/>
        <w:rPr>
          <w:rFonts w:ascii="Verdana" w:eastAsia="Calibri" w:hAnsi="Verdana" w:cs="Arial"/>
          <w:bCs/>
          <w:color w:val="000000"/>
          <w:lang w:eastAsia="en-GB"/>
        </w:rPr>
      </w:pPr>
      <w:r w:rsidRPr="00DF11DE">
        <w:rPr>
          <w:rFonts w:ascii="Verdana" w:eastAsia="Calibri" w:hAnsi="Verdana" w:cs="Arial"/>
          <w:color w:val="000000"/>
          <w:lang w:val="es-MX" w:eastAsia="en-GB"/>
        </w:rPr>
        <w:t xml:space="preserve">De conformidad con lo expuesto, la Agencia Nacional de Contratación Pública – Colombia Compra Eficiente expidió la “Guía para Determinar y Verificar la Capacidad Residual del Proponente en los Procesos de Contratación de Obra Pública”. Este documento establece, entre otras cuestiones, que a la entidad contratante le corresponde, primero, establecer la Capacidad Residual del </w:t>
      </w:r>
      <w:r w:rsidRPr="00DF11DE">
        <w:rPr>
          <w:rFonts w:ascii="Verdana" w:eastAsia="Calibri" w:hAnsi="Verdana" w:cs="Arial"/>
          <w:color w:val="000000"/>
          <w:lang w:val="es-MX" w:eastAsia="en-GB"/>
        </w:rPr>
        <w:lastRenderedPageBreak/>
        <w:t>Proceso de Contratación “CRPC” y, segundo, determinar si los proponentes cumplen con la Capacidad Residual del Proceso de Contratación, teniendo en cuenta la información mencionada en el párrafo precedente.</w:t>
      </w:r>
    </w:p>
    <w:p w14:paraId="0A2D24D0" w14:textId="77777777" w:rsidR="00DF11DE" w:rsidRPr="00DF11DE" w:rsidRDefault="00DF11DE" w:rsidP="00DF11DE">
      <w:pPr>
        <w:spacing w:after="120" w:line="276" w:lineRule="auto"/>
        <w:ind w:firstLine="709"/>
        <w:jc w:val="both"/>
        <w:rPr>
          <w:rFonts w:ascii="Verdana" w:eastAsia="Calibri" w:hAnsi="Verdana" w:cs="Arial"/>
          <w:bCs/>
          <w:color w:val="000000"/>
          <w:lang w:eastAsia="en-GB"/>
        </w:rPr>
      </w:pPr>
      <w:r w:rsidRPr="00DF11DE">
        <w:rPr>
          <w:rFonts w:ascii="Verdana" w:eastAsia="Calibri" w:hAnsi="Verdana" w:cs="Arial"/>
          <w:bCs/>
          <w:color w:val="000000"/>
          <w:lang w:eastAsia="en-GB"/>
        </w:rPr>
        <w:t>En relación con el primer aspecto, sobre la determinación de la Capacidad Residual del Proceso de Contratación “CRPC”, debe determinarse si el plazo del contrato es superior a doce (12) meses. Si no lo es, la CRPC equivale al presupuesto oficial estimado del Proceso de Contratación menos el anticipo o pago anticipado cuando haya lugar. Si lo es, equivale a la proporción lineal de doce (12) meses del presupuesto oficial estimado menos el anticipo o pago anticipado.</w:t>
      </w:r>
    </w:p>
    <w:p w14:paraId="00E9F48A" w14:textId="77777777" w:rsidR="00DF11DE" w:rsidRPr="00DF11DE" w:rsidRDefault="00DF11DE" w:rsidP="00DF11DE">
      <w:pPr>
        <w:spacing w:after="0" w:line="276" w:lineRule="auto"/>
        <w:ind w:firstLine="709"/>
        <w:jc w:val="both"/>
        <w:rPr>
          <w:rFonts w:ascii="Verdana" w:eastAsia="Calibri" w:hAnsi="Verdana" w:cs="Arial"/>
          <w:bCs/>
          <w:color w:val="000000"/>
          <w:lang w:eastAsia="en-GB"/>
        </w:rPr>
      </w:pPr>
      <w:r w:rsidRPr="00DF11DE">
        <w:rPr>
          <w:rFonts w:ascii="Verdana" w:eastAsia="Calibri" w:hAnsi="Verdana" w:cs="Arial"/>
          <w:bCs/>
          <w:color w:val="000000"/>
          <w:lang w:eastAsia="en-GB"/>
        </w:rPr>
        <w:t xml:space="preserve">En cuanto al segundo aspecto, sobre la validación de </w:t>
      </w:r>
      <w:bookmarkStart w:id="2" w:name="_Hlk68683272"/>
      <w:r w:rsidRPr="00DF11DE">
        <w:rPr>
          <w:rFonts w:ascii="Verdana" w:eastAsia="Calibri" w:hAnsi="Verdana" w:cs="Arial"/>
          <w:bCs/>
          <w:color w:val="000000"/>
          <w:lang w:eastAsia="en-GB"/>
        </w:rPr>
        <w:t>que cada proponente cumpla con la CRPC</w:t>
      </w:r>
      <w:bookmarkEnd w:id="2"/>
      <w:r w:rsidRPr="00DF11DE">
        <w:rPr>
          <w:rFonts w:ascii="Verdana" w:eastAsia="Calibri" w:hAnsi="Verdana" w:cs="Arial"/>
          <w:bCs/>
          <w:color w:val="000000"/>
          <w:lang w:eastAsia="en-GB"/>
        </w:rPr>
        <w:t xml:space="preserve">, la Entidad Pública debe verificar que la Capacidad Residual del proponente “CRP” sea igual o superior a la capacidad referida en el párrafo precedente. De todas formas, previamente debe establecer la CRP, con fundamento en los siguientes factores: i) experiencia “E”; </w:t>
      </w:r>
      <w:proofErr w:type="spellStart"/>
      <w:r w:rsidRPr="00DF11DE">
        <w:rPr>
          <w:rFonts w:ascii="Verdana" w:eastAsia="Calibri" w:hAnsi="Verdana" w:cs="Arial"/>
          <w:bCs/>
          <w:color w:val="000000"/>
          <w:lang w:eastAsia="en-GB"/>
        </w:rPr>
        <w:t>ii</w:t>
      </w:r>
      <w:proofErr w:type="spellEnd"/>
      <w:r w:rsidRPr="00DF11DE">
        <w:rPr>
          <w:rFonts w:ascii="Verdana" w:eastAsia="Calibri" w:hAnsi="Verdana" w:cs="Arial"/>
          <w:bCs/>
          <w:color w:val="000000"/>
          <w:lang w:eastAsia="en-GB"/>
        </w:rPr>
        <w:t xml:space="preserve">) capacidad financiera “CF”; </w:t>
      </w:r>
      <w:proofErr w:type="spellStart"/>
      <w:r w:rsidRPr="00DF11DE">
        <w:rPr>
          <w:rFonts w:ascii="Verdana" w:eastAsia="Calibri" w:hAnsi="Verdana" w:cs="Arial"/>
          <w:bCs/>
          <w:color w:val="000000"/>
          <w:lang w:eastAsia="en-GB"/>
        </w:rPr>
        <w:t>iii</w:t>
      </w:r>
      <w:proofErr w:type="spellEnd"/>
      <w:r w:rsidRPr="00DF11DE">
        <w:rPr>
          <w:rFonts w:ascii="Verdana" w:eastAsia="Calibri" w:hAnsi="Verdana" w:cs="Arial"/>
          <w:bCs/>
          <w:color w:val="000000"/>
          <w:lang w:eastAsia="en-GB"/>
        </w:rPr>
        <w:t xml:space="preserve">) capacidad técnica “CT”; </w:t>
      </w:r>
      <w:proofErr w:type="spellStart"/>
      <w:r w:rsidRPr="00DF11DE">
        <w:rPr>
          <w:rFonts w:ascii="Verdana" w:eastAsia="Calibri" w:hAnsi="Verdana" w:cs="Arial"/>
          <w:bCs/>
          <w:color w:val="000000"/>
          <w:lang w:eastAsia="en-GB"/>
        </w:rPr>
        <w:t>iv</w:t>
      </w:r>
      <w:proofErr w:type="spellEnd"/>
      <w:r w:rsidRPr="00DF11DE">
        <w:rPr>
          <w:rFonts w:ascii="Verdana" w:eastAsia="Calibri" w:hAnsi="Verdana" w:cs="Arial"/>
          <w:bCs/>
          <w:color w:val="000000"/>
          <w:lang w:eastAsia="en-GB"/>
        </w:rPr>
        <w:t>) capacidad de organización “CO”, y v) los saldos de los contratos en ejecución “SCE”, según la siguiente formula:</w:t>
      </w:r>
    </w:p>
    <w:p w14:paraId="2A5715B8" w14:textId="77777777" w:rsidR="00DF11DE" w:rsidRPr="00DF11DE" w:rsidRDefault="00DF11DE" w:rsidP="00DF11DE">
      <w:pPr>
        <w:spacing w:after="0" w:line="276" w:lineRule="auto"/>
        <w:ind w:firstLine="709"/>
        <w:jc w:val="both"/>
        <w:rPr>
          <w:rFonts w:ascii="Verdana" w:eastAsia="Calibri" w:hAnsi="Verdana" w:cs="Arial"/>
          <w:bCs/>
          <w:color w:val="000000"/>
          <w:lang w:eastAsia="en-GB"/>
        </w:rPr>
      </w:pPr>
    </w:p>
    <w:p w14:paraId="69E9078A" w14:textId="77777777" w:rsidR="00DF11DE" w:rsidRPr="00DF11DE" w:rsidRDefault="00DF11DE" w:rsidP="00DF11DE">
      <w:pPr>
        <w:spacing w:after="0" w:line="276" w:lineRule="auto"/>
        <w:ind w:firstLine="709"/>
        <w:rPr>
          <w:rFonts w:ascii="Verdana" w:eastAsia="Calibri" w:hAnsi="Verdana" w:cs="Arial"/>
          <w:bCs/>
          <w:color w:val="000000"/>
          <w:lang w:eastAsia="en-GB"/>
        </w:rPr>
      </w:pPr>
      <w:r w:rsidRPr="00DF11DE">
        <w:rPr>
          <w:rFonts w:ascii="Verdana" w:eastAsia="Calibri" w:hAnsi="Verdana" w:cs="Arial"/>
          <w:bCs/>
          <w:noProof/>
          <w:color w:val="000000"/>
          <w:lang w:eastAsia="en-GB"/>
        </w:rPr>
        <w:drawing>
          <wp:inline distT="0" distB="0" distL="0" distR="0" wp14:anchorId="4C9E9F70" wp14:editId="7C576872">
            <wp:extent cx="4095115" cy="460989"/>
            <wp:effectExtent l="0" t="0" r="635" b="0"/>
            <wp:docPr id="6159233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23349" name=""/>
                    <pic:cNvPicPr/>
                  </pic:nvPicPr>
                  <pic:blipFill>
                    <a:blip r:embed="rId11"/>
                    <a:stretch>
                      <a:fillRect/>
                    </a:stretch>
                  </pic:blipFill>
                  <pic:spPr>
                    <a:xfrm>
                      <a:off x="0" y="0"/>
                      <a:ext cx="4208786" cy="473785"/>
                    </a:xfrm>
                    <a:prstGeom prst="rect">
                      <a:avLst/>
                    </a:prstGeom>
                  </pic:spPr>
                </pic:pic>
              </a:graphicData>
            </a:graphic>
          </wp:inline>
        </w:drawing>
      </w:r>
    </w:p>
    <w:p w14:paraId="2BD31A5B" w14:textId="77777777" w:rsidR="00DF11DE" w:rsidRPr="00DF11DE" w:rsidRDefault="00DF11DE" w:rsidP="00DF11DE">
      <w:pPr>
        <w:spacing w:after="0" w:line="276" w:lineRule="auto"/>
        <w:contextualSpacing/>
        <w:jc w:val="both"/>
        <w:rPr>
          <w:rFonts w:ascii="Verdana" w:eastAsia="Calibri" w:hAnsi="Verdana" w:cs="Arial"/>
          <w:bCs/>
          <w:color w:val="000000"/>
          <w:lang w:val="es-MX" w:eastAsia="en-GB"/>
        </w:rPr>
      </w:pPr>
    </w:p>
    <w:p w14:paraId="5CA6CF5A" w14:textId="77777777" w:rsidR="00DF11DE" w:rsidRPr="00DF11DE" w:rsidRDefault="00DF11DE" w:rsidP="00DF11DE">
      <w:pPr>
        <w:spacing w:after="120" w:line="276" w:lineRule="auto"/>
        <w:ind w:firstLine="709"/>
        <w:jc w:val="both"/>
        <w:rPr>
          <w:rFonts w:ascii="Verdana" w:eastAsia="Times New Roman" w:hAnsi="Verdana" w:cs="Arial"/>
          <w:kern w:val="2"/>
          <w:lang w:eastAsia="es-MX"/>
          <w14:ligatures w14:val="standardContextual"/>
        </w:rPr>
      </w:pPr>
      <w:bookmarkStart w:id="3" w:name="_Hlk128390666"/>
      <w:r w:rsidRPr="00DF11DE">
        <w:rPr>
          <w:rFonts w:ascii="Verdana" w:eastAsia="Times New Roman" w:hAnsi="Verdana" w:cs="Arial"/>
          <w:kern w:val="2"/>
          <w:lang w:eastAsia="es-MX"/>
          <w14:ligatures w14:val="standardContextual"/>
        </w:rPr>
        <w:t xml:space="preserve">Por otra parte, esta Agencia ha manifestado en anteriores oportunidades que los contratos en ejecución son aquellos que, a la fecha de presentación de la oferta, obligan al proponente con Entidades Estatales y con entidades privadas para ejecutar obras públicas, incluyendo la ejecución de obras civiles en los contratos de concesión y los contratos de obra suscritos con concesionarios, incluyendo los contratos suspendidos y aquellos que no tengan acta de inicio. Es decir, los saldos pendientes se derivan de las obligaciones que se encuentran en ejecución al momento de la presentación de la oferta. A este respecto, no se entenderán como contratos en ejecución los que se encuentren en liquidación o liquidados. Teniendo en cuenta que los contratos en ejecución son aquellos que a la fecha de presentación de la oferta obligan al proponente, se aclara que deben tenerse en cuenta los contratos sin acta de inicio, pues el criterio </w:t>
      </w:r>
      <w:r w:rsidRPr="00DF11DE">
        <w:rPr>
          <w:rFonts w:ascii="Verdana" w:eastAsia="Times New Roman" w:hAnsi="Verdana" w:cs="Arial"/>
          <w:kern w:val="2"/>
          <w:lang w:eastAsia="es-MX"/>
          <w14:ligatures w14:val="standardContextual"/>
        </w:rPr>
        <w:lastRenderedPageBreak/>
        <w:t>determinante para establecer si un contrato se encuentra en ejecución no lo determina el acta de inicio, sino que el mismo obligue al proponente</w:t>
      </w:r>
      <w:r w:rsidRPr="00DF11DE">
        <w:rPr>
          <w:rFonts w:ascii="Verdana" w:eastAsia="Times New Roman" w:hAnsi="Verdana" w:cs="Arial"/>
          <w:kern w:val="2"/>
          <w:vertAlign w:val="superscript"/>
          <w:lang w:eastAsia="es-MX"/>
          <w14:ligatures w14:val="standardContextual"/>
        </w:rPr>
        <w:footnoteReference w:id="4"/>
      </w:r>
      <w:r w:rsidRPr="00DF11DE">
        <w:rPr>
          <w:rFonts w:ascii="Verdana" w:eastAsia="Times New Roman" w:hAnsi="Verdana" w:cs="Arial"/>
          <w:kern w:val="2"/>
          <w:lang w:eastAsia="es-MX"/>
          <w14:ligatures w14:val="standardContextual"/>
        </w:rPr>
        <w:t xml:space="preserve">.  </w:t>
      </w:r>
      <w:bookmarkEnd w:id="3"/>
    </w:p>
    <w:p w14:paraId="066D95AD" w14:textId="77777777" w:rsidR="00DF11DE" w:rsidRPr="00DF11DE" w:rsidRDefault="00DF11DE" w:rsidP="00DF11DE">
      <w:pPr>
        <w:spacing w:after="0" w:line="276" w:lineRule="auto"/>
        <w:ind w:firstLine="709"/>
        <w:jc w:val="both"/>
        <w:rPr>
          <w:rFonts w:ascii="Verdana" w:eastAsia="Calibri" w:hAnsi="Verdana" w:cs="Arial"/>
          <w:i/>
          <w:iCs/>
          <w:lang w:eastAsia="en-GB"/>
        </w:rPr>
      </w:pPr>
      <w:r w:rsidRPr="00DF11DE">
        <w:rPr>
          <w:rFonts w:ascii="Verdana" w:eastAsia="Calibri" w:hAnsi="Verdana" w:cs="Arial"/>
          <w:bCs/>
          <w:color w:val="000000"/>
          <w:lang w:val="es-MX" w:eastAsia="en-GB"/>
        </w:rPr>
        <w:t xml:space="preserve">Particularmente, </w:t>
      </w:r>
      <w:bookmarkStart w:id="4" w:name="_Hlk100139879"/>
      <w:r w:rsidRPr="00DF11DE">
        <w:rPr>
          <w:rFonts w:ascii="Verdana" w:eastAsia="Calibri" w:hAnsi="Verdana" w:cs="Arial"/>
          <w:bCs/>
          <w:color w:val="000000"/>
          <w:lang w:val="es-MX" w:eastAsia="en-GB"/>
        </w:rPr>
        <w:t xml:space="preserve">respecto del factor de saldos de los contratos en ejecución </w:t>
      </w:r>
      <w:r w:rsidRPr="00DF11DE">
        <w:rPr>
          <w:rFonts w:ascii="Verdana" w:eastAsia="Calibri" w:hAnsi="Verdana" w:cs="Arial"/>
          <w:bCs/>
          <w:color w:val="000000"/>
          <w:lang w:eastAsia="en-GB"/>
        </w:rPr>
        <w:t>“SCE”,</w:t>
      </w:r>
      <w:r w:rsidRPr="00DF11DE">
        <w:rPr>
          <w:rFonts w:ascii="Verdana" w:eastAsia="Calibri" w:hAnsi="Verdana" w:cs="Arial"/>
          <w:lang w:eastAsia="en-GB"/>
        </w:rPr>
        <w:t xml:space="preserve"> es necesario tener en cuenta que la “Guía para Determinar y Verificar la Capacidad Residual del Proponente en los Procesos de Contratación de Obra Pública”</w:t>
      </w:r>
      <w:r w:rsidRPr="00DF11DE">
        <w:rPr>
          <w:rFonts w:ascii="Verdana" w:eastAsia="Calibri" w:hAnsi="Verdana" w:cs="Arial"/>
          <w:i/>
          <w:iCs/>
          <w:lang w:eastAsia="en-GB"/>
        </w:rPr>
        <w:t xml:space="preserve">, </w:t>
      </w:r>
      <w:r w:rsidRPr="00DF11DE">
        <w:rPr>
          <w:rFonts w:ascii="Verdana" w:eastAsia="Calibri" w:hAnsi="Verdana" w:cs="Arial"/>
          <w:lang w:eastAsia="en-GB"/>
        </w:rPr>
        <w:t xml:space="preserve">define a este factor </w:t>
      </w:r>
      <w:r w:rsidRPr="00DF11DE">
        <w:rPr>
          <w:rFonts w:ascii="Verdana" w:eastAsia="Calibri" w:hAnsi="Verdana" w:cs="Arial"/>
          <w:bCs/>
          <w:color w:val="000000"/>
          <w:lang w:eastAsia="en-GB"/>
        </w:rPr>
        <w:t>como “la suma de los montos por ejecutar de los contratos en ejecución durante los 12 meses siguientes</w:t>
      </w:r>
      <w:bookmarkEnd w:id="4"/>
      <w:r w:rsidRPr="00DF11DE">
        <w:rPr>
          <w:rFonts w:ascii="Verdana" w:eastAsia="Calibri" w:hAnsi="Verdana" w:cs="Arial"/>
          <w:bCs/>
          <w:color w:val="000000"/>
          <w:lang w:eastAsia="en-GB"/>
        </w:rPr>
        <w:t>”. Así mismo, define los</w:t>
      </w:r>
      <w:r w:rsidRPr="00DF11DE">
        <w:rPr>
          <w:rFonts w:ascii="Verdana" w:eastAsia="Calibri" w:hAnsi="Verdana" w:cs="Arial"/>
          <w:lang w:eastAsia="en-GB"/>
        </w:rPr>
        <w:t xml:space="preserve"> </w:t>
      </w:r>
      <w:bookmarkStart w:id="5" w:name="_Hlk78819022"/>
      <w:r w:rsidRPr="00DF11DE">
        <w:rPr>
          <w:rFonts w:ascii="Verdana" w:eastAsia="Calibri" w:hAnsi="Verdana" w:cs="Arial"/>
          <w:i/>
          <w:iCs/>
          <w:lang w:eastAsia="en-GB"/>
        </w:rPr>
        <w:t>Contratos en Ejecución</w:t>
      </w:r>
      <w:r w:rsidRPr="00DF11DE">
        <w:rPr>
          <w:rFonts w:ascii="Verdana" w:eastAsia="Calibri" w:hAnsi="Verdana" w:cs="Arial"/>
          <w:lang w:eastAsia="en-GB"/>
        </w:rPr>
        <w:t xml:space="preserve"> </w:t>
      </w:r>
      <w:bookmarkEnd w:id="5"/>
      <w:r w:rsidRPr="00DF11DE">
        <w:rPr>
          <w:rFonts w:ascii="Verdana" w:eastAsia="Calibri" w:hAnsi="Verdana" w:cs="Arial"/>
          <w:lang w:eastAsia="en-GB"/>
        </w:rPr>
        <w:t xml:space="preserve">de la siguiente manera: </w:t>
      </w:r>
      <w:r w:rsidRPr="00DF11DE">
        <w:rPr>
          <w:rFonts w:ascii="Verdana" w:eastAsia="Calibri" w:hAnsi="Verdana" w:cs="Arial"/>
          <w:i/>
          <w:iCs/>
          <w:lang w:eastAsia="en-GB"/>
        </w:rPr>
        <w:t xml:space="preserve"> </w:t>
      </w:r>
    </w:p>
    <w:p w14:paraId="3513C97E" w14:textId="77777777" w:rsidR="00DF11DE" w:rsidRPr="00DF11DE" w:rsidRDefault="00DF11DE" w:rsidP="00DF11DE">
      <w:pPr>
        <w:spacing w:after="0" w:line="276" w:lineRule="auto"/>
        <w:ind w:firstLine="709"/>
        <w:contextualSpacing/>
        <w:jc w:val="both"/>
        <w:rPr>
          <w:rFonts w:ascii="Verdana" w:eastAsia="Calibri" w:hAnsi="Verdana" w:cs="Arial"/>
          <w:lang w:eastAsia="en-GB"/>
        </w:rPr>
      </w:pPr>
    </w:p>
    <w:p w14:paraId="5325B0BA" w14:textId="77777777" w:rsidR="00DF11DE" w:rsidRPr="00DF11DE" w:rsidRDefault="00DF11DE" w:rsidP="00DF11DE">
      <w:pPr>
        <w:spacing w:after="0" w:line="240" w:lineRule="auto"/>
        <w:ind w:left="709" w:right="709"/>
        <w:jc w:val="both"/>
        <w:rPr>
          <w:rFonts w:ascii="Verdana" w:eastAsia="Calibri" w:hAnsi="Verdana" w:cs="Arial"/>
          <w:sz w:val="21"/>
          <w:szCs w:val="21"/>
          <w:lang w:eastAsia="en-GB"/>
        </w:rPr>
      </w:pPr>
      <w:r w:rsidRPr="00DF11DE">
        <w:rPr>
          <w:rFonts w:ascii="Verdana" w:eastAsia="Calibri" w:hAnsi="Verdana" w:cs="Arial"/>
          <w:sz w:val="21"/>
          <w:szCs w:val="21"/>
          <w:lang w:eastAsia="en-GB"/>
        </w:rPr>
        <w:t xml:space="preserve">“Son los contratos que a la fecha de presentación de la oferta obligan al proponente con Entidades Estatales y con entidades privadas para ejecutar obras civiles, incluyendo la ejecución de obras civiles en los contratos de concesión y los contratos de obra suscritos con concesionarios, incluyendo los contratos que se encuentren suspendidos y aquellos que no tengan acta de inicio.   </w:t>
      </w:r>
    </w:p>
    <w:p w14:paraId="67F9B41F" w14:textId="77777777" w:rsidR="00DF11DE" w:rsidRPr="00DF11DE" w:rsidRDefault="00DF11DE" w:rsidP="00DF11DE">
      <w:pPr>
        <w:spacing w:after="0" w:line="240" w:lineRule="auto"/>
        <w:ind w:left="709" w:right="709"/>
        <w:jc w:val="both"/>
        <w:rPr>
          <w:rFonts w:ascii="Verdana" w:eastAsia="Calibri" w:hAnsi="Verdana" w:cs="Arial"/>
          <w:sz w:val="21"/>
          <w:szCs w:val="21"/>
          <w:lang w:eastAsia="en-GB"/>
        </w:rPr>
      </w:pPr>
    </w:p>
    <w:p w14:paraId="71800052" w14:textId="77777777" w:rsidR="00DF11DE" w:rsidRPr="00DF11DE" w:rsidRDefault="00DF11DE" w:rsidP="00DF11DE">
      <w:pPr>
        <w:spacing w:after="0" w:line="240" w:lineRule="auto"/>
        <w:ind w:left="709" w:right="709"/>
        <w:jc w:val="both"/>
        <w:rPr>
          <w:rFonts w:ascii="Verdana" w:eastAsia="Calibri" w:hAnsi="Verdana" w:cs="Arial"/>
          <w:sz w:val="21"/>
          <w:szCs w:val="21"/>
          <w:lang w:eastAsia="en-GB"/>
        </w:rPr>
      </w:pPr>
      <w:r w:rsidRPr="00DF11DE">
        <w:rPr>
          <w:rFonts w:ascii="Verdana" w:eastAsia="Calibri" w:hAnsi="Verdana" w:cs="Arial"/>
          <w:sz w:val="21"/>
          <w:szCs w:val="21"/>
          <w:lang w:eastAsia="en-GB"/>
        </w:rPr>
        <w:t>No se entenderá como Contratos en Ejecución los que se encuentren en etapa de liquidación o ya fueron liquidados.”</w:t>
      </w:r>
    </w:p>
    <w:p w14:paraId="56993BAE" w14:textId="77777777" w:rsidR="00DF11DE" w:rsidRPr="00DF11DE" w:rsidRDefault="00DF11DE" w:rsidP="00DF11DE">
      <w:pPr>
        <w:spacing w:after="0" w:line="276" w:lineRule="auto"/>
        <w:ind w:right="709"/>
        <w:jc w:val="both"/>
        <w:rPr>
          <w:rFonts w:ascii="Verdana" w:eastAsia="Calibri" w:hAnsi="Verdana" w:cs="Arial"/>
          <w:lang w:eastAsia="en-GB"/>
        </w:rPr>
      </w:pPr>
    </w:p>
    <w:p w14:paraId="4F935FA5" w14:textId="77777777" w:rsidR="00DF11DE" w:rsidRPr="00DF11DE" w:rsidRDefault="00DF11DE" w:rsidP="00DF11DE">
      <w:pPr>
        <w:spacing w:after="0" w:line="276" w:lineRule="auto"/>
        <w:ind w:firstLine="709"/>
        <w:jc w:val="both"/>
        <w:rPr>
          <w:rFonts w:ascii="Verdana" w:eastAsia="Calibri" w:hAnsi="Verdana" w:cs="Arial"/>
          <w:lang w:val="es-MX" w:eastAsia="en-GB"/>
        </w:rPr>
      </w:pPr>
      <w:bookmarkStart w:id="6" w:name="_Hlk100139912"/>
      <w:bookmarkStart w:id="7" w:name="_Hlk103609030"/>
      <w:r w:rsidRPr="00DF11DE">
        <w:rPr>
          <w:rFonts w:ascii="Verdana" w:eastAsia="Calibri" w:hAnsi="Verdana" w:cs="Arial"/>
          <w:lang w:eastAsia="en-GB"/>
        </w:rPr>
        <w:t>En este sentido, los saldos pendientes se derivan de las obligaciones que se encuentran en ejecución al momento de la presentación de la oferta y se refieren a contratos cuyo objeto sea la ejecución de obras civiles</w:t>
      </w:r>
      <w:bookmarkEnd w:id="6"/>
      <w:r w:rsidRPr="00DF11DE">
        <w:rPr>
          <w:rFonts w:ascii="Verdana" w:eastAsia="Calibri" w:hAnsi="Verdana" w:cs="Arial"/>
          <w:lang w:eastAsia="en-GB"/>
        </w:rPr>
        <w:t xml:space="preserve">. </w:t>
      </w:r>
      <w:bookmarkStart w:id="8" w:name="_Hlk100139986"/>
      <w:r w:rsidRPr="00DF11DE">
        <w:rPr>
          <w:rFonts w:ascii="Verdana" w:eastAsia="Calibri" w:hAnsi="Verdana" w:cs="Arial"/>
          <w:lang w:eastAsia="en-GB"/>
        </w:rPr>
        <w:t xml:space="preserve">Se aclara que deben tenerse en cuenta los contratos sin acta de inicio, pues el criterio determinante para establecer si un contrato se encuentra en ejecución no lo determina el acta, sino que el mismo contrato obligue al proponente, tal como se establece en la Guía indicada. Además, los saldos pendientes por ejecutar de los contratos afectados por una suspensión constituyen, también, información relevante para calcular la Capacidad Residual del Proponente </w:t>
      </w:r>
      <w:r w:rsidRPr="00DF11DE">
        <w:rPr>
          <w:rFonts w:ascii="Verdana" w:eastAsia="Calibri" w:hAnsi="Verdana" w:cs="Arial"/>
          <w:bCs/>
          <w:color w:val="000000"/>
          <w:lang w:eastAsia="en-GB"/>
        </w:rPr>
        <w:t>“CRP”</w:t>
      </w:r>
      <w:r w:rsidRPr="00DF11DE">
        <w:rPr>
          <w:rFonts w:ascii="Verdana" w:eastAsia="Calibri" w:hAnsi="Verdana" w:cs="Arial"/>
          <w:lang w:eastAsia="en-GB"/>
        </w:rPr>
        <w:t>. Lo anterior, en la medida en que la ejecución de los contratos en principio suspendidos puede, eventualmente, afectar la aptitud del oferente para cumplir con el contrato ofertado, razón por la que, ante la posibilidad de que tales contratos se reanuden, la Guía estimó necesario evaluar los saldos pendientes por ejecutar de tales contratos para determinar si el proponente cumple con la Capacidad Residual requerida</w:t>
      </w:r>
      <w:bookmarkEnd w:id="7"/>
      <w:bookmarkEnd w:id="8"/>
      <w:r w:rsidRPr="00DF11DE">
        <w:rPr>
          <w:rFonts w:ascii="Verdana" w:eastAsia="Calibri" w:hAnsi="Verdana" w:cs="Arial"/>
          <w:lang w:eastAsia="en-GB"/>
        </w:rPr>
        <w:t xml:space="preserve">. </w:t>
      </w:r>
      <w:r w:rsidRPr="00DF11DE">
        <w:rPr>
          <w:rFonts w:ascii="Verdana" w:eastAsia="Calibri" w:hAnsi="Verdana" w:cs="Arial"/>
          <w:lang w:val="es-MX" w:eastAsia="en-GB"/>
        </w:rPr>
        <w:t>Por lo demás, en dicha Guía también se precisa que:</w:t>
      </w:r>
    </w:p>
    <w:p w14:paraId="63C92A2F" w14:textId="77777777" w:rsidR="00DF11DE" w:rsidRPr="00DF11DE" w:rsidRDefault="00DF11DE" w:rsidP="00DF11DE">
      <w:pPr>
        <w:spacing w:after="0" w:line="276" w:lineRule="auto"/>
        <w:ind w:firstLine="709"/>
        <w:jc w:val="both"/>
        <w:rPr>
          <w:rFonts w:ascii="Verdana" w:eastAsia="Calibri" w:hAnsi="Verdana" w:cs="Arial"/>
          <w:lang w:val="es-MX" w:eastAsia="en-GB"/>
        </w:rPr>
      </w:pPr>
    </w:p>
    <w:p w14:paraId="376446D5" w14:textId="77777777" w:rsidR="00DF11DE" w:rsidRPr="00DF11DE" w:rsidRDefault="00DF11DE" w:rsidP="00DF11DE">
      <w:pPr>
        <w:spacing w:after="0" w:line="240" w:lineRule="auto"/>
        <w:ind w:left="709" w:right="709"/>
        <w:jc w:val="both"/>
        <w:rPr>
          <w:rFonts w:ascii="Verdana" w:eastAsia="Calibri" w:hAnsi="Verdana" w:cs="Arial"/>
          <w:sz w:val="21"/>
          <w:szCs w:val="21"/>
          <w:lang w:eastAsia="en-GB"/>
        </w:rPr>
      </w:pPr>
      <w:bookmarkStart w:id="9" w:name="_Hlk100140013"/>
      <w:r w:rsidRPr="00DF11DE">
        <w:rPr>
          <w:rFonts w:ascii="Verdana" w:eastAsia="Calibri" w:hAnsi="Verdana" w:cs="Arial"/>
          <w:sz w:val="21"/>
          <w:szCs w:val="21"/>
          <w:lang w:eastAsia="en-GB"/>
        </w:rPr>
        <w:t>“</w:t>
      </w:r>
      <w:bookmarkEnd w:id="9"/>
      <w:r w:rsidRPr="00DF11DE">
        <w:rPr>
          <w:rFonts w:ascii="Verdana" w:eastAsia="Calibri" w:hAnsi="Verdana" w:cs="Arial"/>
          <w:sz w:val="21"/>
          <w:szCs w:val="21"/>
          <w:lang w:eastAsia="en-GB"/>
        </w:rPr>
        <w:t>El cálculo del Saldo de los Contratos en Ejecución (SCE) debe hacerse linealmente calculando una ejecución diaria equivalente al valor del contrato divido por el plazo del contrato y si el contrato es ejecutado por una estructura plural por la participación del proponente en el respectivo contratista. Si el número de días por ejecutar en un contrato es superior a doce (12) meses, es decir 360 días, el Saldo del Contrato en Ejecución (SCE) solo tendrá en cuenta la proporcional lineal de doce [12] meses.</w:t>
      </w:r>
    </w:p>
    <w:p w14:paraId="1CFE3997" w14:textId="77777777" w:rsidR="00DF11DE" w:rsidRPr="00DF11DE" w:rsidRDefault="00DF11DE" w:rsidP="00DF11DE">
      <w:pPr>
        <w:spacing w:after="0" w:line="240" w:lineRule="auto"/>
        <w:ind w:left="709" w:right="709"/>
        <w:jc w:val="both"/>
        <w:rPr>
          <w:rFonts w:ascii="Verdana" w:eastAsia="Calibri" w:hAnsi="Verdana" w:cs="Arial"/>
          <w:sz w:val="21"/>
          <w:szCs w:val="21"/>
          <w:lang w:val="es-MX" w:eastAsia="en-GB"/>
        </w:rPr>
      </w:pPr>
      <w:r w:rsidRPr="00DF11DE">
        <w:rPr>
          <w:rFonts w:ascii="Verdana" w:eastAsia="Calibri" w:hAnsi="Verdana" w:cs="Arial"/>
          <w:sz w:val="21"/>
          <w:szCs w:val="21"/>
          <w:lang w:val="es-MX" w:eastAsia="en-GB"/>
        </w:rPr>
        <w:t>[…]</w:t>
      </w:r>
    </w:p>
    <w:p w14:paraId="5FF41205" w14:textId="77777777" w:rsidR="00DF11DE" w:rsidRPr="00DF11DE" w:rsidRDefault="00DF11DE" w:rsidP="00DF11DE">
      <w:pPr>
        <w:spacing w:after="0" w:line="240" w:lineRule="auto"/>
        <w:ind w:left="709" w:right="709"/>
        <w:jc w:val="both"/>
        <w:rPr>
          <w:rFonts w:ascii="Verdana" w:eastAsia="Calibri" w:hAnsi="Verdana" w:cs="Arial"/>
          <w:sz w:val="21"/>
          <w:szCs w:val="21"/>
          <w:lang w:eastAsia="en-GB"/>
        </w:rPr>
      </w:pPr>
      <w:r w:rsidRPr="00DF11DE">
        <w:rPr>
          <w:rFonts w:ascii="Verdana" w:eastAsia="Calibri" w:hAnsi="Verdana" w:cs="Arial"/>
          <w:sz w:val="21"/>
          <w:szCs w:val="21"/>
          <w:lang w:eastAsia="en-GB"/>
        </w:rPr>
        <w:t xml:space="preserve">Si un contrato se encuentra suspendido, el cálculo del Saldo del Contrato en Ejecución (SCE) de dicho contrato debe calcularse asumiendo que lo que falta por ejecutar empezará en la fecha de la presentación de la oferta del Proceso de Contratación.”  </w:t>
      </w:r>
    </w:p>
    <w:p w14:paraId="3164448D" w14:textId="77777777" w:rsidR="00DF11DE" w:rsidRPr="00DF11DE" w:rsidRDefault="00DF11DE" w:rsidP="00DF11DE">
      <w:pPr>
        <w:spacing w:after="0" w:line="276" w:lineRule="auto"/>
        <w:ind w:firstLine="709"/>
        <w:jc w:val="both"/>
        <w:rPr>
          <w:rFonts w:ascii="Verdana" w:eastAsia="Calibri" w:hAnsi="Verdana" w:cs="Arial"/>
          <w:lang w:eastAsia="en-GB"/>
        </w:rPr>
      </w:pPr>
    </w:p>
    <w:p w14:paraId="6EA69CED" w14:textId="77777777" w:rsidR="00DF11DE" w:rsidRPr="00DF11DE" w:rsidRDefault="00DF11DE" w:rsidP="00DF11DE">
      <w:pPr>
        <w:spacing w:after="120" w:line="276" w:lineRule="auto"/>
        <w:ind w:firstLine="709"/>
        <w:jc w:val="both"/>
        <w:rPr>
          <w:rFonts w:ascii="Verdana" w:eastAsia="Calibri" w:hAnsi="Verdana" w:cs="Arial"/>
          <w:lang w:eastAsia="en-GB"/>
        </w:rPr>
      </w:pPr>
      <w:r w:rsidRPr="00DF11DE">
        <w:rPr>
          <w:rFonts w:ascii="Verdana" w:eastAsia="Calibri" w:hAnsi="Verdana" w:cs="Arial"/>
          <w:lang w:eastAsia="en-GB"/>
        </w:rPr>
        <w:t xml:space="preserve">De este modo, para acreditar el factor </w:t>
      </w:r>
      <w:r w:rsidRPr="00DF11DE">
        <w:rPr>
          <w:rFonts w:ascii="Verdana" w:eastAsia="Calibri" w:hAnsi="Verdana" w:cs="Arial"/>
          <w:bCs/>
          <w:color w:val="000000"/>
          <w:lang w:val="es-MX" w:eastAsia="en-GB"/>
        </w:rPr>
        <w:t xml:space="preserve">saldos de los contratos en ejecución </w:t>
      </w:r>
      <w:r w:rsidRPr="00DF11DE">
        <w:rPr>
          <w:rFonts w:ascii="Verdana" w:eastAsia="Calibri" w:hAnsi="Verdana" w:cs="Arial"/>
          <w:bCs/>
          <w:color w:val="000000"/>
          <w:lang w:eastAsia="en-GB"/>
        </w:rPr>
        <w:t>“SCE”,</w:t>
      </w:r>
      <w:r w:rsidRPr="00DF11DE">
        <w:rPr>
          <w:rFonts w:ascii="Verdana" w:eastAsia="Calibri" w:hAnsi="Verdana" w:cs="Arial"/>
          <w:lang w:eastAsia="en-GB"/>
        </w:rPr>
        <w:t xml:space="preserve"> como lo establece la Guía, el proponente debe presentar la lista de contratos de obras civiles en ejecución, tanto a nivel nacional como internacional, señalando: i) el valor del contrato; </w:t>
      </w:r>
      <w:proofErr w:type="spellStart"/>
      <w:r w:rsidRPr="00DF11DE">
        <w:rPr>
          <w:rFonts w:ascii="Verdana" w:eastAsia="Calibri" w:hAnsi="Verdana" w:cs="Arial"/>
          <w:lang w:eastAsia="en-GB"/>
        </w:rPr>
        <w:t>ii</w:t>
      </w:r>
      <w:proofErr w:type="spellEnd"/>
      <w:r w:rsidRPr="00DF11DE">
        <w:rPr>
          <w:rFonts w:ascii="Verdana" w:eastAsia="Calibri" w:hAnsi="Verdana" w:cs="Arial"/>
          <w:lang w:eastAsia="en-GB"/>
        </w:rPr>
        <w:t xml:space="preserve">) el plazo de ejecución del contrato en meses; </w:t>
      </w:r>
      <w:proofErr w:type="spellStart"/>
      <w:r w:rsidRPr="00DF11DE">
        <w:rPr>
          <w:rFonts w:ascii="Verdana" w:eastAsia="Calibri" w:hAnsi="Verdana" w:cs="Arial"/>
          <w:lang w:eastAsia="en-GB"/>
        </w:rPr>
        <w:t>iii</w:t>
      </w:r>
      <w:proofErr w:type="spellEnd"/>
      <w:r w:rsidRPr="00DF11DE">
        <w:rPr>
          <w:rFonts w:ascii="Verdana" w:eastAsia="Calibri" w:hAnsi="Verdana" w:cs="Arial"/>
          <w:lang w:eastAsia="en-GB"/>
        </w:rPr>
        <w:t xml:space="preserve">) la fecha de inicio de las obras objeto del contrato (día, mes, año); </w:t>
      </w:r>
      <w:proofErr w:type="spellStart"/>
      <w:r w:rsidRPr="00DF11DE">
        <w:rPr>
          <w:rFonts w:ascii="Verdana" w:eastAsia="Calibri" w:hAnsi="Verdana" w:cs="Arial"/>
          <w:lang w:eastAsia="en-GB"/>
        </w:rPr>
        <w:t>iv</w:t>
      </w:r>
      <w:proofErr w:type="spellEnd"/>
      <w:r w:rsidRPr="00DF11DE">
        <w:rPr>
          <w:rFonts w:ascii="Verdana" w:eastAsia="Calibri" w:hAnsi="Verdana" w:cs="Arial"/>
          <w:lang w:eastAsia="en-GB"/>
        </w:rPr>
        <w:t xml:space="preserve">) si la obra la ejecuta un consorcio o unión temporal, junto con el porcentaje de participación del oferente que presenta el certificado; v) si el contrato se encuentra suspendido, y si es así, la fecha de suspensión, además del saldo pendiente por ejecutar. Si el proponente no tiene contratos en ejecución, en el certificado debe constar expresamente esa circunstancia. </w:t>
      </w:r>
    </w:p>
    <w:p w14:paraId="08DF29C9" w14:textId="77777777" w:rsidR="00DF11DE" w:rsidRPr="00DF11DE" w:rsidRDefault="00DF11DE" w:rsidP="00DF11DE">
      <w:pPr>
        <w:spacing w:after="0" w:line="276" w:lineRule="auto"/>
        <w:ind w:firstLine="709"/>
        <w:jc w:val="both"/>
        <w:rPr>
          <w:rFonts w:ascii="Verdana" w:eastAsia="Calibri" w:hAnsi="Verdana" w:cs="Arial"/>
          <w:lang w:eastAsia="en-GB"/>
        </w:rPr>
      </w:pPr>
      <w:r w:rsidRPr="00DF11DE">
        <w:rPr>
          <w:rFonts w:ascii="Verdana" w:eastAsia="Calibri" w:hAnsi="Verdana" w:cs="Arial"/>
          <w:lang w:eastAsia="en-GB"/>
        </w:rPr>
        <w:t xml:space="preserve">En concordancia con lo anterior, sobre la acreditación del factor </w:t>
      </w:r>
      <w:r w:rsidRPr="00DF11DE">
        <w:rPr>
          <w:rFonts w:ascii="Verdana" w:eastAsia="Calibri" w:hAnsi="Verdana" w:cs="Arial"/>
          <w:bCs/>
          <w:color w:val="000000"/>
          <w:lang w:eastAsia="en-GB"/>
        </w:rPr>
        <w:t xml:space="preserve">“SCE” </w:t>
      </w:r>
      <w:r w:rsidRPr="00DF11DE">
        <w:rPr>
          <w:rFonts w:ascii="Verdana" w:eastAsia="Calibri" w:hAnsi="Verdana" w:cs="Arial"/>
          <w:lang w:eastAsia="en-GB"/>
        </w:rPr>
        <w:t>en los Documentos Tipo de Licitación de Obra Pública para Infraestructura de Transporte</w:t>
      </w:r>
      <w:r w:rsidRPr="00DF11DE">
        <w:rPr>
          <w:rFonts w:ascii="Verdana" w:eastAsia="Calibri" w:hAnsi="Verdana" w:cs="Arial"/>
          <w:vertAlign w:val="superscript"/>
          <w:lang w:eastAsia="en-GB"/>
        </w:rPr>
        <w:footnoteReference w:id="5"/>
      </w:r>
      <w:r w:rsidRPr="00DF11DE">
        <w:rPr>
          <w:rFonts w:ascii="Verdana" w:eastAsia="Calibri" w:hAnsi="Verdana" w:cs="Arial"/>
          <w:lang w:eastAsia="en-GB"/>
        </w:rPr>
        <w:t xml:space="preserve">, </w:t>
      </w:r>
      <w:bookmarkStart w:id="10" w:name="_Hlk100140108"/>
      <w:r w:rsidRPr="00DF11DE">
        <w:rPr>
          <w:rFonts w:ascii="Verdana" w:eastAsia="Calibri" w:hAnsi="Verdana" w:cs="Arial"/>
          <w:lang w:eastAsia="en-GB"/>
        </w:rPr>
        <w:t>el literal E del numeral 3.11.2 “CÁLCULO DE LA CAPACIDAD RESIDUAL DEL PROPONENTE (CRP)” del Documento Base</w:t>
      </w:r>
      <w:bookmarkEnd w:id="10"/>
      <w:r w:rsidRPr="00DF11DE">
        <w:rPr>
          <w:rFonts w:ascii="Verdana" w:eastAsia="Calibri" w:hAnsi="Verdana" w:cs="Arial"/>
          <w:lang w:eastAsia="en-GB"/>
        </w:rPr>
        <w:t xml:space="preserve"> señala lo siguiente:</w:t>
      </w:r>
    </w:p>
    <w:p w14:paraId="7452B6E5" w14:textId="77777777" w:rsidR="00DF11DE" w:rsidRPr="00DF11DE" w:rsidRDefault="00DF11DE" w:rsidP="00DF11DE">
      <w:pPr>
        <w:spacing w:after="0" w:line="276" w:lineRule="auto"/>
        <w:ind w:firstLine="709"/>
        <w:jc w:val="both"/>
        <w:rPr>
          <w:rFonts w:ascii="Verdana" w:eastAsia="Calibri" w:hAnsi="Verdana" w:cs="Arial"/>
          <w:lang w:eastAsia="en-GB"/>
        </w:rPr>
      </w:pPr>
    </w:p>
    <w:p w14:paraId="243F55D8" w14:textId="77777777" w:rsidR="00DF11DE" w:rsidRPr="00DF11DE" w:rsidRDefault="00DF11DE" w:rsidP="00DF11DE">
      <w:pPr>
        <w:spacing w:after="0" w:line="240" w:lineRule="auto"/>
        <w:ind w:left="709" w:right="709"/>
        <w:jc w:val="both"/>
        <w:rPr>
          <w:rFonts w:ascii="Verdana" w:eastAsia="Arial," w:hAnsi="Verdana" w:cs="Arial"/>
          <w:sz w:val="21"/>
          <w:szCs w:val="21"/>
          <w:lang w:eastAsia="en-GB"/>
        </w:rPr>
      </w:pPr>
      <w:r w:rsidRPr="00DF11DE">
        <w:rPr>
          <w:rFonts w:ascii="Verdana" w:eastAsia="Calibri" w:hAnsi="Verdana" w:cs="Arial"/>
          <w:sz w:val="21"/>
          <w:szCs w:val="21"/>
          <w:lang w:eastAsia="en-GB"/>
        </w:rPr>
        <w:t>“Para</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acreditar</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el</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factor</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(SCE)</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el</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proponente</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tendrá</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en</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cuenta</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lo</w:t>
      </w:r>
      <w:r w:rsidRPr="00DF11DE">
        <w:rPr>
          <w:rFonts w:ascii="Verdana" w:eastAsia="Arial," w:hAnsi="Verdana" w:cs="Arial"/>
          <w:sz w:val="21"/>
          <w:szCs w:val="21"/>
          <w:lang w:eastAsia="en-GB"/>
        </w:rPr>
        <w:t xml:space="preserve"> </w:t>
      </w:r>
      <w:r w:rsidRPr="00DF11DE">
        <w:rPr>
          <w:rFonts w:ascii="Verdana" w:eastAsia="Calibri" w:hAnsi="Verdana" w:cs="Arial"/>
          <w:sz w:val="21"/>
          <w:szCs w:val="21"/>
          <w:lang w:eastAsia="en-GB"/>
        </w:rPr>
        <w:t>siguiente:</w:t>
      </w:r>
    </w:p>
    <w:p w14:paraId="2CCD139D" w14:textId="77777777" w:rsidR="00DF11DE" w:rsidRPr="00DF11DE" w:rsidRDefault="00DF11DE" w:rsidP="00DF11DE">
      <w:pPr>
        <w:spacing w:after="0" w:line="240" w:lineRule="auto"/>
        <w:ind w:left="709" w:right="709"/>
        <w:jc w:val="both"/>
        <w:rPr>
          <w:rFonts w:ascii="Verdana" w:eastAsia="Arial," w:hAnsi="Verdana" w:cs="Arial"/>
          <w:sz w:val="21"/>
          <w:szCs w:val="21"/>
          <w:lang w:eastAsia="en-GB"/>
        </w:rPr>
      </w:pPr>
      <w:r w:rsidRPr="00DF11DE">
        <w:rPr>
          <w:rFonts w:ascii="Verdana" w:eastAsia="Arial," w:hAnsi="Verdana" w:cs="Arial"/>
          <w:sz w:val="21"/>
          <w:szCs w:val="21"/>
          <w:lang w:eastAsia="en-GB"/>
        </w:rPr>
        <w:t>[…]</w:t>
      </w:r>
    </w:p>
    <w:p w14:paraId="52764733" w14:textId="77777777" w:rsidR="00DF11DE" w:rsidRPr="00DF11DE" w:rsidRDefault="00DF11DE" w:rsidP="00DF11DE">
      <w:pPr>
        <w:spacing w:after="0" w:line="240" w:lineRule="auto"/>
        <w:ind w:left="1134" w:right="709" w:hanging="425"/>
        <w:jc w:val="both"/>
        <w:rPr>
          <w:rFonts w:ascii="Verdana" w:eastAsia="Arial" w:hAnsi="Verdana" w:cs="Arial"/>
          <w:sz w:val="21"/>
          <w:szCs w:val="21"/>
          <w:lang w:val="es-MX" w:eastAsia="en-GB"/>
        </w:rPr>
      </w:pPr>
      <w:r w:rsidRPr="00DF11DE">
        <w:rPr>
          <w:rFonts w:ascii="Verdana" w:eastAsia="Arial" w:hAnsi="Verdana" w:cs="Arial"/>
          <w:sz w:val="21"/>
          <w:szCs w:val="21"/>
          <w:lang w:val="es-MX" w:eastAsia="en-GB"/>
        </w:rPr>
        <w:t>II.</w:t>
      </w:r>
      <w:r w:rsidRPr="00DF11DE">
        <w:rPr>
          <w:rFonts w:ascii="Verdana" w:eastAsia="Arial" w:hAnsi="Verdana" w:cs="Arial"/>
          <w:sz w:val="21"/>
          <w:szCs w:val="21"/>
          <w:lang w:val="es-MX" w:eastAsia="en-GB"/>
        </w:rPr>
        <w:tab/>
        <w:t xml:space="preserve">Los contratos de obras civiles en ejecución son aquellos que a la fecha de presentación de la oferta obligan al proponente con entidades estatales y con entidades privadas para ejecutar obras </w:t>
      </w:r>
      <w:r w:rsidRPr="00DF11DE">
        <w:rPr>
          <w:rFonts w:ascii="Verdana" w:eastAsia="Arial" w:hAnsi="Verdana" w:cs="Arial"/>
          <w:sz w:val="21"/>
          <w:szCs w:val="21"/>
          <w:lang w:val="es-MX" w:eastAsia="en-GB"/>
        </w:rPr>
        <w:lastRenderedPageBreak/>
        <w:t>civiles. Estas incluyen las obras civiles de los contratos de concesión y los contratos de obra suscritos con concesionarios, así como, los contratos suspendidos y aquellos que no tengan acta de inicio. No se entenderán como contratos en ejecución los que se encuentren en liquidación.</w:t>
      </w:r>
    </w:p>
    <w:p w14:paraId="1E964F37" w14:textId="77777777" w:rsidR="00DF11DE" w:rsidRPr="00DF11DE" w:rsidRDefault="00DF11DE" w:rsidP="00DF11DE">
      <w:pPr>
        <w:spacing w:after="0" w:line="240" w:lineRule="auto"/>
        <w:ind w:left="1134" w:right="709" w:hanging="425"/>
        <w:jc w:val="both"/>
        <w:rPr>
          <w:rFonts w:ascii="Verdana" w:eastAsia="Arial" w:hAnsi="Verdana" w:cs="Arial"/>
          <w:sz w:val="21"/>
          <w:szCs w:val="21"/>
          <w:lang w:val="es-MX" w:eastAsia="en-GB"/>
        </w:rPr>
      </w:pPr>
      <w:r w:rsidRPr="00DF11DE">
        <w:rPr>
          <w:rFonts w:ascii="Verdana" w:eastAsia="Arial" w:hAnsi="Verdana" w:cs="Arial"/>
          <w:sz w:val="21"/>
          <w:szCs w:val="21"/>
          <w:lang w:val="es-MX" w:eastAsia="en-GB"/>
        </w:rPr>
        <w:t>III.</w:t>
      </w:r>
      <w:r w:rsidRPr="00DF11DE">
        <w:rPr>
          <w:rFonts w:ascii="Verdana" w:eastAsia="Arial" w:hAnsi="Verdana" w:cs="Arial"/>
          <w:sz w:val="21"/>
          <w:szCs w:val="21"/>
          <w:lang w:val="es-MX" w:eastAsia="en-GB"/>
        </w:rPr>
        <w:tab/>
        <w:t xml:space="preserve">Se tendrán en cuenta los </w:t>
      </w:r>
      <w:bookmarkStart w:id="11" w:name="_Hlk199239771"/>
      <w:r w:rsidRPr="00DF11DE">
        <w:rPr>
          <w:rFonts w:ascii="Verdana" w:eastAsia="Arial" w:hAnsi="Verdana" w:cs="Arial"/>
          <w:sz w:val="21"/>
          <w:szCs w:val="21"/>
          <w:lang w:val="es-MX" w:eastAsia="en-GB"/>
        </w:rPr>
        <w:t xml:space="preserve">contratos de obras civiles en ejecución </w:t>
      </w:r>
      <w:bookmarkEnd w:id="11"/>
      <w:r w:rsidRPr="00DF11DE">
        <w:rPr>
          <w:rFonts w:ascii="Verdana" w:eastAsia="Arial" w:hAnsi="Verdana" w:cs="Arial"/>
          <w:sz w:val="21"/>
          <w:szCs w:val="21"/>
          <w:lang w:val="es-MX" w:eastAsia="en-GB"/>
        </w:rPr>
        <w:t xml:space="preserve">suscritos por el proponente o por sociedades, consorcios o uniones temporales en los cuales el proponente tenga participación. </w:t>
      </w:r>
    </w:p>
    <w:p w14:paraId="0769A2BD" w14:textId="77777777" w:rsidR="00DF11DE" w:rsidRPr="00DF11DE" w:rsidRDefault="00DF11DE" w:rsidP="00DF11DE">
      <w:pPr>
        <w:spacing w:after="0" w:line="240" w:lineRule="auto"/>
        <w:ind w:left="1134" w:right="709" w:hanging="425"/>
        <w:jc w:val="both"/>
        <w:rPr>
          <w:rFonts w:ascii="Verdana" w:eastAsia="Arial" w:hAnsi="Verdana" w:cs="Arial"/>
          <w:sz w:val="21"/>
          <w:szCs w:val="21"/>
          <w:lang w:val="es-MX" w:eastAsia="en-GB"/>
        </w:rPr>
      </w:pPr>
      <w:r w:rsidRPr="00DF11DE">
        <w:rPr>
          <w:rFonts w:ascii="Verdana" w:eastAsia="Arial" w:hAnsi="Verdana" w:cs="Arial"/>
          <w:sz w:val="21"/>
          <w:szCs w:val="21"/>
          <w:lang w:val="es-MX" w:eastAsia="en-GB"/>
        </w:rPr>
        <w:t>IV.</w:t>
      </w:r>
      <w:r w:rsidRPr="00DF11DE">
        <w:rPr>
          <w:rFonts w:ascii="Verdana" w:eastAsia="Arial" w:hAnsi="Verdana" w:cs="Arial"/>
          <w:sz w:val="21"/>
          <w:szCs w:val="21"/>
          <w:lang w:val="es-MX" w:eastAsia="en-GB"/>
        </w:rPr>
        <w:tab/>
        <w:t>Si un contrato se encuentra suspendido, el cálculo del (SCE) de dicho contrato debe efectuarse asumiendo que lo que falta por ejecutar iniciara en la fecha de presentación de la oferta del Proceso de Contratación. Si el contrato está suspendido el proponente debe informar el saldo pendiente por ejecutar.</w:t>
      </w:r>
    </w:p>
    <w:p w14:paraId="7A94D126" w14:textId="77777777" w:rsidR="00DF11DE" w:rsidRPr="00DF11DE" w:rsidRDefault="00DF11DE" w:rsidP="00DF11DE">
      <w:pPr>
        <w:spacing w:after="0" w:line="240" w:lineRule="auto"/>
        <w:ind w:left="1134" w:right="709" w:hanging="425"/>
        <w:jc w:val="both"/>
        <w:rPr>
          <w:rFonts w:ascii="Verdana" w:eastAsia="Arial" w:hAnsi="Verdana" w:cs="Arial"/>
          <w:sz w:val="21"/>
          <w:szCs w:val="21"/>
          <w:lang w:val="es-MX" w:eastAsia="en-GB"/>
        </w:rPr>
      </w:pPr>
      <w:r w:rsidRPr="00DF11DE">
        <w:rPr>
          <w:rFonts w:ascii="Verdana" w:eastAsia="Arial" w:hAnsi="Verdana" w:cs="Arial"/>
          <w:sz w:val="21"/>
          <w:szCs w:val="21"/>
          <w:lang w:val="es-MX" w:eastAsia="en-GB"/>
        </w:rPr>
        <w:t>V.</w:t>
      </w:r>
      <w:r w:rsidRPr="00DF11DE">
        <w:rPr>
          <w:rFonts w:ascii="Verdana" w:eastAsia="Arial" w:hAnsi="Verdana" w:cs="Arial"/>
          <w:sz w:val="21"/>
          <w:szCs w:val="21"/>
          <w:lang w:val="es-MX" w:eastAsia="en-GB"/>
        </w:rPr>
        <w:tab/>
        <w:t>El cálculo del factor (SCE) debe hacerse linealmente calculando una ejecución diaria equivalente al valor del contrato dividido por el plazo del contrato expresado en días. Este resultado se multiplica por el número de días pendientes para cumplir el plazo del contrato y si el contrato es ejecutado por una estructura plural por la participación del proponente en la respectiva estructura.”</w:t>
      </w:r>
    </w:p>
    <w:p w14:paraId="3A288A41" w14:textId="77777777" w:rsidR="00DF11DE" w:rsidRPr="00DF11DE" w:rsidRDefault="00DF11DE" w:rsidP="00DF11DE">
      <w:pPr>
        <w:spacing w:after="0" w:line="276" w:lineRule="auto"/>
        <w:jc w:val="both"/>
        <w:rPr>
          <w:rFonts w:ascii="Verdana" w:eastAsia="Arial," w:hAnsi="Verdana" w:cs="Arial"/>
          <w:lang w:val="es-MX" w:eastAsia="en-GB"/>
        </w:rPr>
      </w:pPr>
    </w:p>
    <w:p w14:paraId="404CA55F" w14:textId="77777777" w:rsidR="00DF11DE" w:rsidRPr="00DF11DE" w:rsidRDefault="00DF11DE" w:rsidP="00DF11DE">
      <w:pPr>
        <w:spacing w:after="120" w:line="276" w:lineRule="auto"/>
        <w:ind w:firstLine="709"/>
        <w:jc w:val="both"/>
        <w:rPr>
          <w:rFonts w:ascii="Verdana" w:eastAsia="Calibri" w:hAnsi="Verdana" w:cs="Arial"/>
          <w:lang w:val="es-MX" w:eastAsia="en-GB"/>
        </w:rPr>
      </w:pPr>
      <w:r w:rsidRPr="00DF11DE">
        <w:rPr>
          <w:rFonts w:ascii="Verdana" w:eastAsia="Arial," w:hAnsi="Verdana" w:cs="Arial"/>
          <w:lang w:eastAsia="en-GB"/>
        </w:rPr>
        <w:t>Como se aprecia, los apartados transcritos del Documento Base están en armonía con lo dispuesto en la “</w:t>
      </w:r>
      <w:r w:rsidRPr="00DF11DE">
        <w:rPr>
          <w:rFonts w:ascii="Verdana" w:eastAsia="Calibri" w:hAnsi="Verdana" w:cs="Arial"/>
          <w:lang w:eastAsia="en-GB"/>
        </w:rPr>
        <w:t xml:space="preserve">Guía para Determinar y Verificar la Capacidad Residual del Proponente en los Procesos de Contratación de Obra Pública”, y se refieren a los contratos de obras civiles en ejecución, incluyendo a los contratos suspendidos y los que no tienen acta de inicio. Lo expuesto es congruente con </w:t>
      </w:r>
      <w:r w:rsidRPr="00DF11DE">
        <w:rPr>
          <w:rFonts w:ascii="Verdana" w:eastAsia="Calibri" w:hAnsi="Verdana" w:cs="Arial"/>
          <w:color w:val="000000"/>
          <w:lang w:val="es-MX" w:eastAsia="en-GB"/>
        </w:rPr>
        <w:t xml:space="preserve">el artículo 2.2.1.1.1.6.4 del Decreto 1082 de 2015, en virtud del cual, para efectos de </w:t>
      </w:r>
      <w:r w:rsidRPr="00DF11DE">
        <w:rPr>
          <w:rFonts w:ascii="Verdana" w:eastAsia="Calibri" w:hAnsi="Verdana" w:cs="Arial"/>
          <w:lang w:val="es-MX" w:eastAsia="en-GB"/>
        </w:rPr>
        <w:t xml:space="preserve">acreditar la Capacidad Residual del proponente, se requiere el listado de contratos de obra civiles en ejecución suscritos con Entidades Estatales y con entidades privadas. </w:t>
      </w:r>
    </w:p>
    <w:p w14:paraId="57710B78" w14:textId="77777777" w:rsidR="00DF11DE" w:rsidRPr="00DF11DE" w:rsidRDefault="00DF11DE" w:rsidP="00DF11DE">
      <w:pPr>
        <w:spacing w:after="120" w:line="276" w:lineRule="auto"/>
        <w:ind w:firstLine="709"/>
        <w:jc w:val="both"/>
        <w:rPr>
          <w:rFonts w:ascii="Verdana" w:eastAsia="Calibri" w:hAnsi="Verdana" w:cs="Arial"/>
          <w:lang w:eastAsia="en-GB"/>
        </w:rPr>
      </w:pPr>
      <w:r w:rsidRPr="00DF11DE">
        <w:rPr>
          <w:rFonts w:ascii="Verdana" w:eastAsia="Calibri" w:hAnsi="Verdana" w:cs="Arial"/>
          <w:lang w:val="es-MX" w:eastAsia="en-GB"/>
        </w:rPr>
        <w:t xml:space="preserve">En consecuencia, para acreditar el factor de saldos de contratos en ejecución (SCE), es necesario que se presenten </w:t>
      </w:r>
      <w:r w:rsidRPr="00DF11DE">
        <w:rPr>
          <w:rFonts w:ascii="Verdana" w:eastAsia="Calibri" w:hAnsi="Verdana" w:cs="Arial"/>
          <w:lang w:eastAsia="en-GB"/>
        </w:rPr>
        <w:t xml:space="preserve">los contratos de obras civiles en ejecución, tanto a nivel nacional como internacional, </w:t>
      </w:r>
      <w:r w:rsidRPr="00DF11DE">
        <w:rPr>
          <w:rFonts w:ascii="Verdana" w:eastAsia="Calibri" w:hAnsi="Verdana" w:cs="Arial"/>
          <w:i/>
          <w:iCs/>
          <w:lang w:eastAsia="en-GB"/>
        </w:rPr>
        <w:t>independientemente de su denominación o tipología contractual</w:t>
      </w:r>
      <w:r w:rsidRPr="00DF11DE">
        <w:rPr>
          <w:rFonts w:ascii="Verdana" w:eastAsia="Calibri" w:hAnsi="Verdana" w:cs="Arial"/>
          <w:lang w:eastAsia="en-GB"/>
        </w:rPr>
        <w:t xml:space="preserve">. Esto implica que deben tenerse en cuenta todos aquellos contratos que tengan por objeto </w:t>
      </w:r>
      <w:r w:rsidRPr="00DF11DE">
        <w:rPr>
          <w:rFonts w:ascii="Verdana" w:eastAsia="Calibri" w:hAnsi="Verdana" w:cs="Arial"/>
          <w:i/>
          <w:iCs/>
          <w:lang w:eastAsia="en-GB"/>
        </w:rPr>
        <w:t>obras civiles</w:t>
      </w:r>
      <w:r w:rsidRPr="00DF11DE">
        <w:rPr>
          <w:rFonts w:ascii="Verdana" w:eastAsia="Calibri" w:hAnsi="Verdana" w:cs="Arial"/>
          <w:lang w:eastAsia="en-GB"/>
        </w:rPr>
        <w:t xml:space="preserve"> y que se encuentren en ejecución, en los términos expuestos en este concepto y de conformidad con las normas y la Guía a las que se hizo referencia. </w:t>
      </w:r>
    </w:p>
    <w:p w14:paraId="26D1F242" w14:textId="77777777" w:rsidR="00DF11DE" w:rsidRPr="00DF11DE" w:rsidRDefault="00DF11DE" w:rsidP="00DF11DE">
      <w:pPr>
        <w:spacing w:after="0" w:line="276" w:lineRule="auto"/>
        <w:ind w:firstLine="709"/>
        <w:jc w:val="both"/>
        <w:rPr>
          <w:rFonts w:ascii="Verdana" w:eastAsia="Aptos" w:hAnsi="Verdana" w:cs="Times New Roman"/>
          <w:kern w:val="2"/>
          <w:lang w:val="es-ES_tradnl"/>
          <w14:ligatures w14:val="standardContextual"/>
        </w:rPr>
      </w:pPr>
      <w:r w:rsidRPr="00DF11DE">
        <w:rPr>
          <w:rFonts w:ascii="Verdana" w:eastAsia="Calibri" w:hAnsi="Verdana" w:cs="Arial"/>
          <w:lang w:eastAsia="en-GB"/>
        </w:rPr>
        <w:t xml:space="preserve">Finalmente, teniendo en cuenta su consulta, es importante precisar que, la Guía referida </w:t>
      </w:r>
      <w:r w:rsidRPr="00DF11DE">
        <w:rPr>
          <w:rFonts w:ascii="Verdana" w:eastAsia="Calibri" w:hAnsi="Verdana" w:cs="Arial"/>
          <w:i/>
          <w:iCs/>
          <w:lang w:eastAsia="en-GB"/>
        </w:rPr>
        <w:t>ut supra precisa</w:t>
      </w:r>
      <w:r w:rsidRPr="00DF11DE">
        <w:rPr>
          <w:rFonts w:ascii="Verdana" w:eastAsia="Calibri" w:hAnsi="Verdana" w:cs="Arial"/>
          <w:lang w:eastAsia="en-GB"/>
        </w:rPr>
        <w:t>, respecto al componente de SCE, lo siguiente:</w:t>
      </w:r>
    </w:p>
    <w:p w14:paraId="5F478486" w14:textId="77777777" w:rsidR="00DF11DE" w:rsidRPr="00DF11DE" w:rsidRDefault="00DF11DE" w:rsidP="00DF11DE">
      <w:pPr>
        <w:spacing w:after="0" w:line="276" w:lineRule="auto"/>
        <w:jc w:val="both"/>
        <w:rPr>
          <w:rFonts w:ascii="Verdana" w:eastAsia="Aptos" w:hAnsi="Verdana" w:cs="Times New Roman"/>
          <w:kern w:val="2"/>
          <w:lang w:val="es-ES_tradnl"/>
          <w14:ligatures w14:val="standardContextual"/>
        </w:rPr>
      </w:pPr>
    </w:p>
    <w:p w14:paraId="55B3EB82" w14:textId="77777777" w:rsidR="00DF11DE" w:rsidRPr="00DF11DE" w:rsidRDefault="00DF11DE" w:rsidP="00DF11DE">
      <w:pPr>
        <w:spacing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lastRenderedPageBreak/>
        <w:t>i) El proponente debe demostrar que su operación o actividad comercial le permite asumir nuevas obligaciones derivadas del contrato objeto del Proceso de Contratación. Por lo cual, el proponente en un Proceso de Contratación de una obra pública debe presentar la siguiente información para acreditar su Capacidad Residual:</w:t>
      </w:r>
    </w:p>
    <w:p w14:paraId="725ECA77"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398A3B2E"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t xml:space="preserve">1. La lista de los Contratos en Ejecución, así como el valor y plazo de tales contratos.  </w:t>
      </w:r>
    </w:p>
    <w:p w14:paraId="070D289C"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1EDB946F"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t>2. La lista de los Contratos en Ejecución, suscritos por sociedades, consorcios o uniones temporales, en los cuales el proponente tenga participación, así como el valor y plazo de tales contratos.  Nota: En caso de que los Contratos en Ejecución se encuentren suspendidos, esta circunstancia también deberá ser indicada de igual forma.</w:t>
      </w:r>
    </w:p>
    <w:p w14:paraId="68DA1CCC"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128F99F9" w14:textId="77777777" w:rsidR="00DF11DE" w:rsidRPr="00DF11DE" w:rsidRDefault="00DF11DE" w:rsidP="00DF11DE">
      <w:pPr>
        <w:spacing w:line="240" w:lineRule="auto"/>
        <w:ind w:left="709" w:right="709"/>
        <w:contextualSpacing/>
        <w:jc w:val="both"/>
        <w:rPr>
          <w:rFonts w:ascii="Verdana" w:eastAsia="Aptos" w:hAnsi="Verdana" w:cs="Times New Roman"/>
          <w:i/>
          <w:iCs/>
          <w:kern w:val="2"/>
          <w:sz w:val="21"/>
          <w:szCs w:val="21"/>
          <w:lang w:val="es-ES_tradnl"/>
          <w14:ligatures w14:val="standardContextual"/>
        </w:rPr>
      </w:pPr>
      <w:proofErr w:type="spellStart"/>
      <w:r w:rsidRPr="00DF11DE">
        <w:rPr>
          <w:rFonts w:ascii="Verdana" w:eastAsia="Aptos" w:hAnsi="Verdana" w:cs="Times New Roman"/>
          <w:i/>
          <w:iCs/>
          <w:kern w:val="2"/>
          <w:sz w:val="21"/>
          <w:szCs w:val="21"/>
          <w:lang w:val="es-ES_tradnl"/>
          <w14:ligatures w14:val="standardContextual"/>
        </w:rPr>
        <w:t>ii</w:t>
      </w:r>
      <w:proofErr w:type="spellEnd"/>
      <w:r w:rsidRPr="00DF11DE">
        <w:rPr>
          <w:rFonts w:ascii="Verdana" w:eastAsia="Aptos" w:hAnsi="Verdana" w:cs="Times New Roman"/>
          <w:i/>
          <w:iCs/>
          <w:kern w:val="2"/>
          <w:sz w:val="21"/>
          <w:szCs w:val="21"/>
          <w:lang w:val="es-ES_tradnl"/>
          <w14:ligatures w14:val="standardContextual"/>
        </w:rPr>
        <w:t>) ¿Cómo calcular el Saldo de Contratos en Ejecución?</w:t>
      </w:r>
    </w:p>
    <w:p w14:paraId="2A12B376"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2A7B6CB7"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t>El proponente debe presentar un certificado suscrito por su representante legal y su revisor fiscal, si el proponente está obligado a tenerlo, o por el Contador Público o auditor independiente, para lo cual se sugiere el formato establecido en el Anexo 3 de la presente Guía.  El certificado deberá contener la lista de los Contratos en Ejecución, tanto a nivel nacional como</w:t>
      </w:r>
      <w:r w:rsidRPr="00DF11DE">
        <w:rPr>
          <w:rFonts w:ascii="Verdana" w:eastAsia="Aptos" w:hAnsi="Verdana" w:cs="Times New Roman"/>
          <w:b/>
          <w:bCs/>
          <w:i/>
          <w:iCs/>
          <w:kern w:val="2"/>
          <w:sz w:val="21"/>
          <w:szCs w:val="21"/>
          <w:u w:val="single"/>
          <w:lang w:val="es-ES_tradnl"/>
          <w14:ligatures w14:val="standardContextual"/>
        </w:rPr>
        <w:t xml:space="preserve"> internacional</w:t>
      </w:r>
      <w:r w:rsidRPr="00DF11DE">
        <w:rPr>
          <w:rFonts w:ascii="Verdana" w:eastAsia="Aptos" w:hAnsi="Verdana" w:cs="Times New Roman"/>
          <w:i/>
          <w:iCs/>
          <w:kern w:val="2"/>
          <w:sz w:val="21"/>
          <w:szCs w:val="21"/>
          <w:lang w:val="es-ES_tradnl"/>
          <w14:ligatures w14:val="standardContextual"/>
        </w:rPr>
        <w:t xml:space="preserve">, indicando: </w:t>
      </w:r>
    </w:p>
    <w:p w14:paraId="5C0680D2"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0088D80D"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t xml:space="preserve"> • El valor del contrato en pesos colombianos.  • El plazo de ejecución del contrato en meses.  • La fecha de inicio de las obras objeto del contrato: día, mes, año.  • Si la obra la ejecuta un consorcio o unión temporal, el porcentaje de participación del oferente que presenta el certificado.  • Si el contrato se encuentra suspendido, y si es así, la fecha de suspensión. En todo caso, si el contrato está suspendido el proponente debe informar el saldo pendiente por ejecutar.</w:t>
      </w:r>
    </w:p>
    <w:p w14:paraId="1CD52372"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37BD9326"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t xml:space="preserve">Si un contrato se encuentra suspendido, el cálculo del (SCE) de dicho contrato debe efectuarse asumiendo que lo que falta por ejecutar iniciará en la fecha de presentación de la oferta del Proceso de Contratación. Si el contrato está suspendido, el proponente debe informar el saldo pendiente por ejecutar.  </w:t>
      </w:r>
    </w:p>
    <w:p w14:paraId="7EC2E9C3"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168ED4FB"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t xml:space="preserve">En el caso en el cual el contrato haya sido suspendido más de una vez, se deberá relacionar la última fecha de suspensión que se encuentre vigente al momento de presentación de la oferta.  </w:t>
      </w:r>
    </w:p>
    <w:p w14:paraId="008D4D78"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47E1B57B"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t xml:space="preserve">Si el proponente no tiene Contratos en Ejecución, en el certificado debe constar expresamente esa circunstancia. En todo caso, debe tener en </w:t>
      </w:r>
      <w:r w:rsidRPr="00DF11DE">
        <w:rPr>
          <w:rFonts w:ascii="Verdana" w:eastAsia="Aptos" w:hAnsi="Verdana" w:cs="Times New Roman"/>
          <w:i/>
          <w:iCs/>
          <w:kern w:val="2"/>
          <w:sz w:val="21"/>
          <w:szCs w:val="21"/>
          <w:lang w:val="es-ES_tradnl"/>
          <w14:ligatures w14:val="standardContextual"/>
        </w:rPr>
        <w:lastRenderedPageBreak/>
        <w:t xml:space="preserve">cuenta que no se entenderá como Contratos en Ejecución los que se encuentren en etapa de liquidación o ya fueron liquidados. </w:t>
      </w:r>
    </w:p>
    <w:p w14:paraId="38FC1510"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39C0E2E6"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t xml:space="preserve">Teniendo en cuenta que los contratos en ejecución son aquellos que a la fecha de presentación de la oferta obligan al proponente, se aclara que deben tenerse en cuenta los contratos sin acta de inicio, pues el criterio determinante para establecer si un contrato se encuentra en ejecución no lo determina el acta de inicio, sino que el mismo obligue al proponente.  </w:t>
      </w:r>
    </w:p>
    <w:p w14:paraId="37CD7476"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p>
    <w:p w14:paraId="5FF9A3B7" w14:textId="77777777" w:rsidR="00DF11DE" w:rsidRPr="00DF11DE" w:rsidRDefault="00DF11DE" w:rsidP="00DF11DE">
      <w:pPr>
        <w:spacing w:after="0" w:line="240" w:lineRule="auto"/>
        <w:ind w:left="709" w:right="709"/>
        <w:contextualSpacing/>
        <w:jc w:val="both"/>
        <w:rPr>
          <w:rFonts w:ascii="Verdana" w:eastAsia="Aptos" w:hAnsi="Verdana" w:cs="Times New Roman"/>
          <w:i/>
          <w:iCs/>
          <w:kern w:val="2"/>
          <w:sz w:val="21"/>
          <w:szCs w:val="21"/>
          <w:lang w:val="es-ES_tradnl"/>
          <w14:ligatures w14:val="standardContextual"/>
        </w:rPr>
      </w:pPr>
      <w:r w:rsidRPr="00DF11DE">
        <w:rPr>
          <w:rFonts w:ascii="Verdana" w:eastAsia="Aptos" w:hAnsi="Verdana" w:cs="Times New Roman"/>
          <w:i/>
          <w:iCs/>
          <w:kern w:val="2"/>
          <w:sz w:val="21"/>
          <w:szCs w:val="21"/>
          <w:lang w:val="es-ES_tradnl"/>
          <w14:ligatures w14:val="standardContextual"/>
        </w:rPr>
        <w:t>El Decreto 1082 de 2015 se refiere a los contratos para ejecutar obras civiles, bien sean suscritos con Entidades Estatales o con entidades privadas, incluyendo los contratos de concesión y contratos de obra suscritos con concesionarios. Lo anterior puesto que la capacidad del contratista para acometer nuevas obras es afectada tanto por los contratos públicos como los privados. Igualmente se refiere a los contratos suscritos por el proponente como aquellos suscritos por consorcios o uniones temporales en las cuales participe el oferente.</w:t>
      </w:r>
    </w:p>
    <w:p w14:paraId="070A7CF3" w14:textId="77777777" w:rsidR="00DF11DE" w:rsidRPr="00DF11DE" w:rsidRDefault="00DF11DE" w:rsidP="00DF11DE">
      <w:pPr>
        <w:spacing w:after="0" w:line="276" w:lineRule="auto"/>
        <w:jc w:val="both"/>
        <w:rPr>
          <w:rFonts w:ascii="Verdana" w:eastAsia="Aptos" w:hAnsi="Verdana" w:cs="Times New Roman"/>
          <w:kern w:val="2"/>
          <w:lang w:val="es-ES_tradnl"/>
          <w14:ligatures w14:val="standardContextual"/>
        </w:rPr>
      </w:pPr>
    </w:p>
    <w:p w14:paraId="3868251C" w14:textId="77777777" w:rsidR="00DF11DE" w:rsidRPr="00DF11DE" w:rsidRDefault="00DF11DE" w:rsidP="00DF11DE">
      <w:pPr>
        <w:spacing w:after="0" w:line="276" w:lineRule="auto"/>
        <w:ind w:firstLine="709"/>
        <w:jc w:val="both"/>
        <w:rPr>
          <w:rFonts w:ascii="Verdana" w:eastAsia="Aptos" w:hAnsi="Verdana" w:cs="Times New Roman"/>
          <w:kern w:val="2"/>
          <w:lang w:val="es-ES_tradnl"/>
          <w14:ligatures w14:val="standardContextual"/>
        </w:rPr>
      </w:pPr>
      <w:r w:rsidRPr="00DF11DE">
        <w:rPr>
          <w:rFonts w:ascii="Verdana" w:eastAsia="Aptos" w:hAnsi="Verdana" w:cs="Times New Roman"/>
          <w:kern w:val="2"/>
          <w:lang w:val="es-ES_tradnl"/>
          <w14:ligatures w14:val="standardContextual"/>
        </w:rPr>
        <w:t>Como se evidencia, frente al problema planteado, la Guía es clara al indicar que los contratos que el oferente se encuentre ejecutando en el exterior deben ser reportados en el formato respectivo dentro del componente “saldos de contratos en ejecución”, toda vez que los mismos obligan al proponente al momento de la presentación de su oferta y, por lo tanto, impactan su capacidad residual en el marco del proceso de selección y el futuro desarrollo de un contrato de obra pública, incluso con pliegos tipo.</w:t>
      </w:r>
    </w:p>
    <w:p w14:paraId="0E646ACF" w14:textId="77777777" w:rsidR="00DF11DE" w:rsidRPr="00DF11DE" w:rsidRDefault="00DF11DE" w:rsidP="00DF11DE">
      <w:pPr>
        <w:spacing w:after="0" w:line="276" w:lineRule="auto"/>
        <w:jc w:val="both"/>
        <w:rPr>
          <w:rFonts w:ascii="Verdana" w:eastAsia="Aptos" w:hAnsi="Verdana" w:cs="Times New Roman"/>
          <w:kern w:val="2"/>
          <w14:ligatures w14:val="standardContextual"/>
        </w:rPr>
      </w:pPr>
    </w:p>
    <w:p w14:paraId="3D622D30" w14:textId="77777777" w:rsidR="00DF11DE" w:rsidRPr="00DF11DE" w:rsidRDefault="00DF11DE" w:rsidP="00DF11DE">
      <w:pPr>
        <w:numPr>
          <w:ilvl w:val="0"/>
          <w:numId w:val="16"/>
        </w:numPr>
        <w:tabs>
          <w:tab w:val="left" w:pos="142"/>
          <w:tab w:val="left" w:pos="284"/>
        </w:tabs>
        <w:snapToGrid w:val="0"/>
        <w:spacing w:after="0" w:line="276" w:lineRule="auto"/>
        <w:ind w:left="357" w:hanging="357"/>
        <w:contextualSpacing/>
        <w:jc w:val="both"/>
        <w:rPr>
          <w:rFonts w:ascii="Verdana" w:eastAsia="Century Gothic" w:hAnsi="Verdana" w:cs="Century Gothic"/>
          <w:b/>
          <w:bCs/>
          <w:lang w:val="es-ES_tradnl"/>
        </w:rPr>
      </w:pPr>
      <w:r w:rsidRPr="00DF11DE">
        <w:rPr>
          <w:rFonts w:ascii="Verdana" w:eastAsia="Century Gothic" w:hAnsi="Verdana" w:cs="Century Gothic"/>
          <w:b/>
          <w:bCs/>
          <w:lang w:val="es-ES_tradnl"/>
        </w:rPr>
        <w:t>Referencias normativas, jurisprudenciales y otras fuentes:</w:t>
      </w:r>
    </w:p>
    <w:p w14:paraId="7A6C67CB" w14:textId="77777777" w:rsidR="00DF11DE" w:rsidRPr="00DF11DE" w:rsidRDefault="00DF11DE" w:rsidP="00DF11DE">
      <w:pPr>
        <w:widowControl w:val="0"/>
        <w:autoSpaceDE w:val="0"/>
        <w:autoSpaceDN w:val="0"/>
        <w:snapToGrid w:val="0"/>
        <w:spacing w:after="0" w:line="276" w:lineRule="auto"/>
        <w:jc w:val="both"/>
        <w:rPr>
          <w:rFonts w:ascii="Verdana" w:eastAsia="Calibri" w:hAnsi="Verdana" w:cs="Arial"/>
          <w:lang w:val="es-ES_tradn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DF11DE" w:rsidRPr="00DF11DE" w14:paraId="0AF061DB" w14:textId="77777777" w:rsidTr="00B52602">
        <w:trPr>
          <w:trHeight w:val="870"/>
        </w:trPr>
        <w:tc>
          <w:tcPr>
            <w:tcW w:w="8647" w:type="dxa"/>
          </w:tcPr>
          <w:p w14:paraId="2BD6E363" w14:textId="77777777" w:rsidR="00DF11DE" w:rsidRPr="00DF11DE" w:rsidRDefault="00DF11DE" w:rsidP="00DF11DE">
            <w:pPr>
              <w:widowControl w:val="0"/>
              <w:numPr>
                <w:ilvl w:val="0"/>
                <w:numId w:val="17"/>
              </w:numPr>
              <w:autoSpaceDE w:val="0"/>
              <w:autoSpaceDN w:val="0"/>
              <w:snapToGrid w:val="0"/>
              <w:spacing w:after="120" w:line="276" w:lineRule="auto"/>
              <w:ind w:left="714" w:hanging="357"/>
              <w:jc w:val="both"/>
              <w:rPr>
                <w:rFonts w:ascii="Verdana" w:eastAsia="Calibri" w:hAnsi="Verdana" w:cs="Arial"/>
                <w:lang w:val="es-ES_tradnl"/>
              </w:rPr>
            </w:pPr>
            <w:r w:rsidRPr="00DF11DE">
              <w:rPr>
                <w:rFonts w:ascii="Verdana" w:eastAsia="Calibri" w:hAnsi="Verdana" w:cs="Arial"/>
                <w:lang w:val="es-ES_tradnl"/>
              </w:rPr>
              <w:t xml:space="preserve">Ley 2022 de 2020, artículo 1. </w:t>
            </w:r>
          </w:p>
          <w:p w14:paraId="6DDE248E" w14:textId="77777777" w:rsidR="00DF11DE" w:rsidRPr="00DF11DE" w:rsidRDefault="00DF11DE" w:rsidP="00DF11DE">
            <w:pPr>
              <w:widowControl w:val="0"/>
              <w:numPr>
                <w:ilvl w:val="0"/>
                <w:numId w:val="17"/>
              </w:numPr>
              <w:autoSpaceDE w:val="0"/>
              <w:autoSpaceDN w:val="0"/>
              <w:spacing w:after="120" w:line="276" w:lineRule="auto"/>
              <w:jc w:val="both"/>
              <w:rPr>
                <w:rFonts w:ascii="Verdana" w:eastAsia="Calibri" w:hAnsi="Verdana" w:cs="Arial"/>
                <w:lang w:val="es-ES_tradnl"/>
              </w:rPr>
            </w:pPr>
            <w:r w:rsidRPr="00DF11DE">
              <w:rPr>
                <w:rFonts w:ascii="Verdana" w:eastAsia="Calibri" w:hAnsi="Verdana" w:cs="Arial"/>
                <w:lang w:val="es-ES_tradnl"/>
              </w:rPr>
              <w:t>Ley 1682 de 2013, artículo 72.</w:t>
            </w:r>
          </w:p>
          <w:p w14:paraId="7E2D4262" w14:textId="77777777" w:rsidR="00DF11DE" w:rsidRPr="00DF11DE" w:rsidRDefault="00DF11DE" w:rsidP="00DF11DE">
            <w:pPr>
              <w:widowControl w:val="0"/>
              <w:numPr>
                <w:ilvl w:val="0"/>
                <w:numId w:val="17"/>
              </w:numPr>
              <w:autoSpaceDE w:val="0"/>
              <w:autoSpaceDN w:val="0"/>
              <w:spacing w:after="120" w:line="276" w:lineRule="auto"/>
              <w:jc w:val="both"/>
              <w:rPr>
                <w:rFonts w:ascii="Verdana" w:eastAsia="Calibri" w:hAnsi="Verdana" w:cs="Arial"/>
                <w:lang w:val="es-ES_tradnl"/>
              </w:rPr>
            </w:pPr>
            <w:r w:rsidRPr="00DF11DE">
              <w:rPr>
                <w:rFonts w:ascii="Verdana" w:eastAsia="Calibri" w:hAnsi="Verdana" w:cs="Arial"/>
                <w:lang w:val="es-ES_tradnl"/>
              </w:rPr>
              <w:t>Ley 1150 de 2007, artículo 6.</w:t>
            </w:r>
          </w:p>
          <w:p w14:paraId="2958B1E6" w14:textId="77777777" w:rsidR="00DF11DE" w:rsidRPr="00DF11DE" w:rsidRDefault="00DF11DE" w:rsidP="00DF11DE">
            <w:pPr>
              <w:widowControl w:val="0"/>
              <w:numPr>
                <w:ilvl w:val="0"/>
                <w:numId w:val="17"/>
              </w:numPr>
              <w:autoSpaceDE w:val="0"/>
              <w:autoSpaceDN w:val="0"/>
              <w:spacing w:after="120" w:line="276" w:lineRule="auto"/>
              <w:jc w:val="both"/>
              <w:rPr>
                <w:rFonts w:ascii="Verdana" w:eastAsia="Calibri" w:hAnsi="Verdana" w:cs="Arial"/>
                <w:lang w:val="es-ES_tradnl"/>
              </w:rPr>
            </w:pPr>
            <w:r w:rsidRPr="00DF11DE">
              <w:rPr>
                <w:rFonts w:ascii="Verdana" w:eastAsia="Calibri" w:hAnsi="Verdana" w:cs="Arial"/>
                <w:lang w:val="es-ES_tradnl"/>
              </w:rPr>
              <w:t>Ley 1882 de 2015, artículo 5.</w:t>
            </w:r>
          </w:p>
          <w:p w14:paraId="4AAD879D" w14:textId="77777777" w:rsidR="00DF11DE" w:rsidRPr="00DF11DE" w:rsidRDefault="00DF11DE" w:rsidP="00DF11DE">
            <w:pPr>
              <w:widowControl w:val="0"/>
              <w:numPr>
                <w:ilvl w:val="0"/>
                <w:numId w:val="17"/>
              </w:numPr>
              <w:autoSpaceDE w:val="0"/>
              <w:autoSpaceDN w:val="0"/>
              <w:spacing w:after="120" w:line="276" w:lineRule="auto"/>
              <w:jc w:val="both"/>
              <w:rPr>
                <w:rFonts w:ascii="Verdana" w:eastAsia="Calibri" w:hAnsi="Verdana" w:cs="Arial"/>
                <w:lang w:val="es-ES_tradnl"/>
              </w:rPr>
            </w:pPr>
            <w:r w:rsidRPr="00DF11DE">
              <w:rPr>
                <w:rFonts w:ascii="Verdana" w:eastAsia="Calibri" w:hAnsi="Verdana" w:cs="Arial"/>
                <w:lang w:val="es-ES_tradnl"/>
              </w:rPr>
              <w:t>Decreto 1082 de 2015, artículos 2.2.1.1.1.3.1 y 2.2.1.1.1.6.4.</w:t>
            </w:r>
          </w:p>
          <w:p w14:paraId="7E3881AD" w14:textId="77777777" w:rsidR="00DF11DE" w:rsidRPr="00DF11DE" w:rsidRDefault="00DF11DE" w:rsidP="00DF11DE">
            <w:pPr>
              <w:widowControl w:val="0"/>
              <w:numPr>
                <w:ilvl w:val="0"/>
                <w:numId w:val="17"/>
              </w:numPr>
              <w:autoSpaceDE w:val="0"/>
              <w:autoSpaceDN w:val="0"/>
              <w:spacing w:after="120" w:line="276" w:lineRule="auto"/>
              <w:jc w:val="both"/>
              <w:rPr>
                <w:rFonts w:ascii="Verdana" w:eastAsia="Calibri" w:hAnsi="Verdana" w:cs="Arial"/>
                <w:lang w:val="es-ES_tradnl"/>
              </w:rPr>
            </w:pPr>
            <w:r w:rsidRPr="00DF11DE">
              <w:rPr>
                <w:rFonts w:ascii="Verdana" w:eastAsia="Calibri" w:hAnsi="Verdana" w:cs="Arial"/>
                <w:lang w:val="es-ES_tradnl"/>
              </w:rPr>
              <w:t>Consejo de Estado. Sección Tercera. Sentencia del 26 de junio de 2003. Rad. 13.354. C.P. María Elena Giraldo Gómez.</w:t>
            </w:r>
          </w:p>
          <w:p w14:paraId="58D3BC69" w14:textId="77777777" w:rsidR="00DF11DE" w:rsidRPr="00DF11DE" w:rsidRDefault="00DF11DE" w:rsidP="00DF11DE">
            <w:pPr>
              <w:widowControl w:val="0"/>
              <w:numPr>
                <w:ilvl w:val="0"/>
                <w:numId w:val="17"/>
              </w:numPr>
              <w:autoSpaceDE w:val="0"/>
              <w:autoSpaceDN w:val="0"/>
              <w:snapToGrid w:val="0"/>
              <w:spacing w:after="120" w:line="276" w:lineRule="auto"/>
              <w:ind w:left="714" w:hanging="357"/>
              <w:jc w:val="both"/>
              <w:rPr>
                <w:rFonts w:ascii="Verdana" w:eastAsia="Calibri" w:hAnsi="Verdana" w:cs="Arial"/>
                <w:lang w:val="es-ES_tradnl"/>
              </w:rPr>
            </w:pPr>
            <w:r w:rsidRPr="00DF11DE">
              <w:rPr>
                <w:rFonts w:ascii="Verdana" w:eastAsia="Calibri" w:hAnsi="Verdana" w:cs="Arial"/>
                <w:lang w:val="es-ES_tradnl"/>
              </w:rPr>
              <w:t xml:space="preserve">Documentos Tipo expedidos. Agencia Nacional de Contratación Pública </w:t>
            </w:r>
            <w:r w:rsidRPr="00DF11DE">
              <w:rPr>
                <w:rFonts w:ascii="Verdana" w:eastAsia="Calibri" w:hAnsi="Verdana" w:cs="Arial"/>
                <w:lang w:val="es-ES_tradnl"/>
              </w:rPr>
              <w:lastRenderedPageBreak/>
              <w:t xml:space="preserve">– Colombia Compra Eficiente. Disponibles en: </w:t>
            </w:r>
            <w:hyperlink r:id="rId12" w:history="1">
              <w:r w:rsidRPr="00DF11DE">
                <w:rPr>
                  <w:rFonts w:ascii="Verdana" w:eastAsia="Calibri" w:hAnsi="Verdana" w:cs="Arial"/>
                  <w:color w:val="467886"/>
                  <w:u w:val="single"/>
                  <w:lang w:val="es-ES_tradnl"/>
                </w:rPr>
                <w:t>https://www.colombiacompra.gov.co/normativa-y-relatoria/documentos-tipo</w:t>
              </w:r>
            </w:hyperlink>
            <w:r w:rsidRPr="00DF11DE">
              <w:rPr>
                <w:rFonts w:ascii="Verdana" w:eastAsia="Calibri" w:hAnsi="Verdana" w:cs="Arial"/>
                <w:lang w:val="es-ES_tradnl"/>
              </w:rPr>
              <w:t xml:space="preserve">. </w:t>
            </w:r>
          </w:p>
          <w:p w14:paraId="4DEFFE02" w14:textId="77777777" w:rsidR="00DF11DE" w:rsidRPr="00DF11DE" w:rsidRDefault="00DF11DE" w:rsidP="00DF11DE">
            <w:pPr>
              <w:widowControl w:val="0"/>
              <w:numPr>
                <w:ilvl w:val="0"/>
                <w:numId w:val="17"/>
              </w:numPr>
              <w:autoSpaceDE w:val="0"/>
              <w:autoSpaceDN w:val="0"/>
              <w:snapToGrid w:val="0"/>
              <w:spacing w:after="120" w:line="276" w:lineRule="auto"/>
              <w:ind w:left="714" w:hanging="357"/>
              <w:jc w:val="both"/>
              <w:rPr>
                <w:rFonts w:ascii="Verdana" w:eastAsia="Calibri" w:hAnsi="Verdana" w:cs="Arial"/>
                <w:lang w:val="es-ES_tradnl"/>
              </w:rPr>
            </w:pPr>
            <w:r w:rsidRPr="00DF11DE">
              <w:rPr>
                <w:rFonts w:ascii="Verdana" w:eastAsia="Calibri" w:hAnsi="Verdana" w:cs="Arial"/>
                <w:color w:val="000000"/>
                <w:lang w:val="es-MX" w:eastAsia="en-GB"/>
              </w:rPr>
              <w:t xml:space="preserve">Guía para Determinar y Verificar la Capacidad Residual del Proponente en los Procesos de Contratación de Obra Pública. </w:t>
            </w:r>
            <w:r w:rsidRPr="00DF11DE">
              <w:rPr>
                <w:rFonts w:ascii="Verdana" w:eastAsia="Calibri" w:hAnsi="Verdana" w:cs="Arial"/>
                <w:lang w:val="es-ES_tradnl"/>
              </w:rPr>
              <w:t xml:space="preserve">Agencia Nacional de Contratación Pública – Colombia Compra Eficiente. Disponible en: </w:t>
            </w:r>
            <w:hyperlink r:id="rId13" w:history="1">
              <w:r w:rsidRPr="00DF11DE">
                <w:rPr>
                  <w:rFonts w:ascii="Verdana" w:eastAsia="Calibri" w:hAnsi="Verdana" w:cs="Arial"/>
                  <w:color w:val="0000FF"/>
                  <w:u w:val="single"/>
                  <w:lang w:val="es-ES_tradnl"/>
                </w:rPr>
                <w:t>https://www.colombiacompra.gov.co/normativa-y-relatoria/guias-y-manuales</w:t>
              </w:r>
            </w:hyperlink>
            <w:r w:rsidRPr="00DF11DE">
              <w:rPr>
                <w:rFonts w:ascii="Verdana" w:eastAsia="Calibri" w:hAnsi="Verdana" w:cs="Arial"/>
                <w:lang w:val="es-ES_tradnl"/>
              </w:rPr>
              <w:t xml:space="preserve">. </w:t>
            </w:r>
          </w:p>
        </w:tc>
      </w:tr>
    </w:tbl>
    <w:p w14:paraId="42E6BAD7" w14:textId="77777777" w:rsidR="00DF11DE" w:rsidRPr="00DF11DE" w:rsidRDefault="00DF11DE" w:rsidP="00DF11DE">
      <w:pPr>
        <w:widowControl w:val="0"/>
        <w:autoSpaceDE w:val="0"/>
        <w:autoSpaceDN w:val="0"/>
        <w:snapToGrid w:val="0"/>
        <w:spacing w:after="0" w:line="276" w:lineRule="auto"/>
        <w:jc w:val="both"/>
        <w:rPr>
          <w:rFonts w:ascii="Verdana" w:eastAsia="Calibri" w:hAnsi="Verdana" w:cs="Arial"/>
          <w:lang w:val="es-ES_tradnl"/>
        </w:rPr>
      </w:pPr>
    </w:p>
    <w:p w14:paraId="289AB15C" w14:textId="77777777" w:rsidR="00DF11DE" w:rsidRPr="00DF11DE" w:rsidRDefault="00DF11DE" w:rsidP="00DF11DE">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DF11DE">
        <w:rPr>
          <w:rFonts w:ascii="Verdana" w:eastAsia="Century Gothic" w:hAnsi="Verdana" w:cs="Century Gothic"/>
          <w:b/>
          <w:bCs/>
          <w:lang w:val="es-ES_tradnl"/>
        </w:rPr>
        <w:t>Doctrina de la Agencia Nacional de Contratación Pública:</w:t>
      </w:r>
    </w:p>
    <w:p w14:paraId="5192D570" w14:textId="77777777" w:rsidR="00DF11DE" w:rsidRPr="00DF11DE" w:rsidRDefault="00DF11DE" w:rsidP="00DF11DE">
      <w:pPr>
        <w:widowControl w:val="0"/>
        <w:autoSpaceDE w:val="0"/>
        <w:autoSpaceDN w:val="0"/>
        <w:snapToGrid w:val="0"/>
        <w:spacing w:after="0" w:line="276" w:lineRule="auto"/>
        <w:jc w:val="both"/>
        <w:rPr>
          <w:rFonts w:ascii="Verdana" w:eastAsia="Calibri" w:hAnsi="Verdana" w:cs="Arial"/>
          <w:lang w:val="es-ES_tradnl"/>
        </w:rPr>
      </w:pPr>
    </w:p>
    <w:p w14:paraId="0912FA50" w14:textId="77777777" w:rsidR="00DF11DE" w:rsidRPr="00DF11DE" w:rsidRDefault="00DF11DE" w:rsidP="00DF11DE">
      <w:pPr>
        <w:spacing w:after="0" w:line="276" w:lineRule="auto"/>
        <w:jc w:val="both"/>
        <w:textAlignment w:val="baseline"/>
        <w:rPr>
          <w:rFonts w:ascii="Verdana" w:eastAsia="Calibri" w:hAnsi="Verdana" w:cs="Arial"/>
          <w:shd w:val="clear" w:color="auto" w:fill="FFFFFF"/>
        </w:rPr>
      </w:pPr>
      <w:r w:rsidRPr="00DF11DE">
        <w:rPr>
          <w:rFonts w:ascii="Verdana" w:eastAsia="Calibri" w:hAnsi="Verdana" w:cs="Arial"/>
          <w:kern w:val="2"/>
          <w:shd w:val="clear" w:color="auto" w:fill="FFFFFF"/>
          <w:lang w:val="es-ES"/>
          <w14:ligatures w14:val="standardContextual"/>
        </w:rPr>
        <w:t>La Agencia Nacional de Contratación Pública – Colombia Compra Eficiente se pronunció</w:t>
      </w:r>
      <w:r w:rsidRPr="00DF11DE">
        <w:rPr>
          <w:rFonts w:ascii="Aptos" w:eastAsia="Aptos" w:hAnsi="Aptos" w:cs="Times New Roman"/>
          <w:kern w:val="2"/>
          <w:sz w:val="24"/>
          <w:szCs w:val="24"/>
          <w:lang w:val="es-ES_tradnl"/>
          <w14:ligatures w14:val="standardContextual"/>
        </w:rPr>
        <w:t xml:space="preserve"> </w:t>
      </w:r>
      <w:r w:rsidRPr="00DF11DE">
        <w:rPr>
          <w:rFonts w:ascii="Verdana" w:eastAsia="Calibri" w:hAnsi="Verdana" w:cs="Arial"/>
          <w:kern w:val="2"/>
          <w:shd w:val="clear" w:color="auto" w:fill="FFFFFF"/>
          <w:lang w:val="es-ES"/>
          <w14:ligatures w14:val="standardContextual"/>
        </w:rPr>
        <w:t>sobre la capacidad residual y la forma como esta se debe acreditar, en los conceptos 2201913000006275 del 27 de agosto de 2019, 2201913000009465 del 20 de diciembre de 2019, 2201913000009642 y 2201913000009640 del 26 de diciembre de 2019; así como en los conceptos C–022 del 20 de febrero de 2020, C–089 del 4 de marzo de 2020, C–112 del 16 de marzo de 2020, C–133 del 25 de marzo de 2020, C–194 del 21 de abril de 2020, C–326 del 9 de junio de 2020, C–446 del 6 de julio de 2020, C-461 del 13 de julio de 2020, C–668 del 20 de noviembre de 2020, C–742 del 16 de diciembre de 2020, C–045 del 5 de marzo de 2021, C–003 del 26 de marzo de 2021, C–121 del 31 de marzo de 2021, C–143 del 9 de abril de 2021, C–202 del 7 de mayo de 2021, C–219 del 19 de mayo de 2021, C–368 del 28 de julio de 2021, C–392 del 5 de agosto de 2021, C–513 del 23 de septiembre de 2021, C–590 del 12 de octubre de 2021, C-068 del 9 de marzo de 2022, C-220 del 22 de abril de 2022, C-351 del 23 de mayo de 2022, C-392 del 16 de junio de 2022, C-411 del 4 de diciembre de 2023, C-486 del 29 de mayo de 2025, C-687 del 5 de junio de 2026, entre otros.</w:t>
      </w:r>
      <w:r w:rsidRPr="00DF11DE">
        <w:rPr>
          <w:rFonts w:ascii="Verdana" w:eastAsia="Calibri" w:hAnsi="Verdana" w:cs="Arial"/>
          <w:kern w:val="2"/>
          <w:shd w:val="clear" w:color="auto" w:fill="FFFFFF"/>
          <w:lang w:val="es-ES_tradnl"/>
          <w14:ligatures w14:val="standardContextual"/>
        </w:rPr>
        <w:t xml:space="preserve"> </w:t>
      </w:r>
      <w:r w:rsidRPr="00DF11DE">
        <w:rPr>
          <w:rFonts w:ascii="Verdana" w:eastAsia="Times New Roman" w:hAnsi="Verdana" w:cs="Arial"/>
          <w:kern w:val="2"/>
          <w:shd w:val="clear" w:color="auto" w:fill="FFFFFF"/>
          <w:lang w:val="es-ES"/>
          <w14:ligatures w14:val="standardContextual"/>
        </w:rPr>
        <w:t>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4" w:tgtFrame="_blank" w:tooltip="Dirección URL original: https://relatoria.colombiacompra.gov.co/. Haga clic o pulse si confía en este vínculo." w:history="1">
        <w:r w:rsidRPr="00DF11DE">
          <w:rPr>
            <w:rFonts w:ascii="Verdana" w:eastAsia="Times New Roman" w:hAnsi="Verdana" w:cs="Arial"/>
            <w:kern w:val="2"/>
            <w:shd w:val="clear" w:color="auto" w:fill="FFFFFF"/>
            <w:lang w:val="es-ES"/>
            <w14:ligatures w14:val="standardContextual"/>
          </w:rPr>
          <w:t>https://relatoria.colombiacompra.gov.co/</w:t>
        </w:r>
      </w:hyperlink>
      <w:r w:rsidRPr="00DF11DE">
        <w:rPr>
          <w:rFonts w:ascii="Verdana" w:eastAsia="Times New Roman" w:hAnsi="Verdana" w:cs="Arial"/>
          <w:kern w:val="2"/>
          <w:shd w:val="clear" w:color="auto" w:fill="FFFFFF"/>
          <w:lang w:val="es-ES"/>
          <w14:ligatures w14:val="standardContextual"/>
        </w:rPr>
        <w:t>.</w:t>
      </w:r>
    </w:p>
    <w:p w14:paraId="3819939F" w14:textId="77777777" w:rsidR="00DF11DE" w:rsidRPr="00DF11DE" w:rsidRDefault="00DF11DE" w:rsidP="00DF11DE">
      <w:pPr>
        <w:spacing w:after="0" w:line="240" w:lineRule="auto"/>
        <w:jc w:val="both"/>
        <w:rPr>
          <w:rFonts w:ascii="Verdana" w:eastAsia="Calibri" w:hAnsi="Verdana" w:cs="Arial"/>
          <w:color w:val="000000"/>
          <w:kern w:val="2"/>
          <w:shd w:val="clear" w:color="auto" w:fill="FFFFFF"/>
          <w:lang w:val="es-ES_tradnl"/>
          <w14:ligatures w14:val="standardContextual"/>
        </w:rPr>
      </w:pPr>
    </w:p>
    <w:p w14:paraId="48411C51" w14:textId="77777777" w:rsidR="00DF11DE" w:rsidRPr="00DF11DE" w:rsidRDefault="00DF11DE" w:rsidP="00DF11DE">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DF11DE">
        <w:rPr>
          <w:rFonts w:ascii="Verdana" w:eastAsia="Calibri" w:hAnsi="Verdana" w:cs="Arial"/>
          <w:kern w:val="2"/>
          <w:shd w:val="clear" w:color="auto" w:fill="FFFFFF"/>
          <w:lang w:val="es-ES_tradnl"/>
          <w14:ligatures w14:val="standardContextual"/>
        </w:rPr>
        <w:t>La</w:t>
      </w:r>
      <w:r w:rsidRPr="00DF11DE">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DF11DE">
        <w:rPr>
          <w:rFonts w:ascii="Verdana" w:eastAsia="Calibri" w:hAnsi="Verdana" w:cs="Arial"/>
          <w:kern w:val="2"/>
          <w:shd w:val="clear" w:color="auto" w:fill="FFFFFF"/>
          <w:lang w:val="es-ES_tradnl"/>
          <w14:ligatures w14:val="standardContextual"/>
        </w:rPr>
        <w:t xml:space="preserve"> recomienda a todas las entidades públicas, independientemente de su </w:t>
      </w:r>
      <w:r w:rsidRPr="00DF11DE">
        <w:rPr>
          <w:rFonts w:ascii="Verdana" w:eastAsia="Calibri" w:hAnsi="Verdana" w:cs="Arial"/>
          <w:kern w:val="2"/>
          <w:shd w:val="clear" w:color="auto" w:fill="FFFFFF"/>
          <w:lang w:val="es-ES_tradnl"/>
          <w14:ligatures w14:val="standardContextual"/>
        </w:rPr>
        <w:lastRenderedPageBreak/>
        <w:t>naturaleza, que gestionan recursos públicos, la aplicación de los </w:t>
      </w:r>
      <w:r w:rsidRPr="00DF11DE">
        <w:rPr>
          <w:rFonts w:ascii="Verdana" w:eastAsia="Calibri" w:hAnsi="Verdana" w:cs="Arial"/>
          <w:b/>
          <w:bCs/>
          <w:kern w:val="2"/>
          <w:shd w:val="clear" w:color="auto" w:fill="FFFFFF"/>
          <w:lang w:val="es-ES_tradnl"/>
          <w14:ligatures w14:val="standardContextual"/>
        </w:rPr>
        <w:t>Documentos Tipo</w:t>
      </w:r>
      <w:r w:rsidRPr="00DF11DE">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DF11DE">
        <w:rPr>
          <w:rFonts w:ascii="Verdana" w:eastAsia="Calibri" w:hAnsi="Verdana" w:cs="Arial"/>
          <w:b/>
          <w:bCs/>
          <w:kern w:val="2"/>
          <w:shd w:val="clear" w:color="auto" w:fill="FFFFFF"/>
          <w:lang w:val="es-ES_tradnl"/>
          <w14:ligatures w14:val="standardContextual"/>
        </w:rPr>
        <w:t>transparencia</w:t>
      </w:r>
      <w:r w:rsidRPr="00DF11DE">
        <w:rPr>
          <w:rFonts w:ascii="Verdana" w:eastAsia="Calibri" w:hAnsi="Verdana" w:cs="Arial"/>
          <w:kern w:val="2"/>
          <w:shd w:val="clear" w:color="auto" w:fill="FFFFFF"/>
          <w:lang w:val="es-ES_tradnl"/>
          <w14:ligatures w14:val="standardContextual"/>
        </w:rPr>
        <w:t> y promover un proceso de </w:t>
      </w:r>
      <w:r w:rsidRPr="00DF11DE">
        <w:rPr>
          <w:rFonts w:ascii="Verdana" w:eastAsia="Calibri" w:hAnsi="Verdana" w:cs="Arial"/>
          <w:b/>
          <w:bCs/>
          <w:kern w:val="2"/>
          <w:shd w:val="clear" w:color="auto" w:fill="FFFFFF"/>
          <w:lang w:val="es-ES_tradnl"/>
          <w14:ligatures w14:val="standardContextual"/>
        </w:rPr>
        <w:t>selección objetiva</w:t>
      </w:r>
      <w:r w:rsidRPr="00DF11DE">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04E83C4D" w14:textId="77777777" w:rsidR="00DF11DE" w:rsidRPr="00DF11DE" w:rsidRDefault="00DF11DE" w:rsidP="00DF11DE">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5C5E0686" w14:textId="77777777" w:rsidR="00DF11DE" w:rsidRPr="00DF11DE" w:rsidRDefault="00DF11DE" w:rsidP="00DF11DE">
      <w:pPr>
        <w:spacing w:after="0" w:line="276" w:lineRule="auto"/>
        <w:jc w:val="both"/>
        <w:rPr>
          <w:rFonts w:ascii="Verdana" w:eastAsia="Aptos" w:hAnsi="Verdana" w:cs="Times New Roman"/>
          <w:kern w:val="2"/>
          <w:lang w:val="es-ES_tradnl"/>
          <w14:ligatures w14:val="standardContextual"/>
        </w:rPr>
      </w:pPr>
      <w:r w:rsidRPr="00DF11DE">
        <w:rPr>
          <w:rFonts w:ascii="Verdana" w:eastAsia="Aptos" w:hAnsi="Verdana" w:cs="Times New Roman"/>
          <w:kern w:val="2"/>
          <w:lang w:val="es-ES_tradnl"/>
          <w14:ligatures w14:val="standardContextual"/>
        </w:rPr>
        <w:t xml:space="preserve">La sostenibilidad no es una opción, es una obligación. Por ello, la Agencia Nacional de Contratación Pública –Colombia Compra Eficiente– le invita a realizar el </w:t>
      </w:r>
      <w:r w:rsidRPr="00DF11DE">
        <w:rPr>
          <w:rFonts w:ascii="Verdana" w:eastAsia="Aptos" w:hAnsi="Verdana" w:cs="Times New Roman"/>
          <w:b/>
          <w:bCs/>
          <w:kern w:val="2"/>
          <w:lang w:val="es-ES_tradnl"/>
          <w14:ligatures w14:val="standardContextual"/>
        </w:rPr>
        <w:t>Curso de Contratación Pública Sostenible y Socialmente Responsable</w:t>
      </w:r>
      <w:r w:rsidRPr="00DF11DE">
        <w:rPr>
          <w:rFonts w:ascii="Verdana" w:eastAsia="Aptos" w:hAnsi="Verdana" w:cs="Times New Roman"/>
          <w:kern w:val="2"/>
          <w:lang w:val="es-ES_tradnl"/>
          <w14:ligatures w14:val="standardContextual"/>
        </w:rPr>
        <w:t>, una herramienta clave para fortalecer las capacidades de todos los compradores públicos, proveedores, servidores públicos v para generar mayor valor público. Acceda al curso y aprenda cómo implementar criterios sociales y ambientales en las diferentes etapas del proceso de contratación:</w:t>
      </w:r>
      <w:r w:rsidRPr="00DF11DE">
        <w:rPr>
          <w:rFonts w:ascii="Verdana" w:eastAsia="Aptos" w:hAnsi="Verdana" w:cs="Times New Roman"/>
          <w:kern w:val="2"/>
          <w:lang w:val="es-ES_tradnl"/>
          <w14:ligatures w14:val="standardContextual"/>
        </w:rPr>
        <w:br/>
      </w:r>
      <w:hyperlink r:id="rId15" w:tgtFrame="_new" w:history="1">
        <w:r w:rsidRPr="00DF11DE">
          <w:rPr>
            <w:rFonts w:ascii="Verdana" w:eastAsia="Aptos" w:hAnsi="Verdana" w:cs="Times New Roman"/>
            <w:color w:val="0000FF"/>
            <w:kern w:val="2"/>
            <w:u w:val="single"/>
            <w:lang w:val="es-ES_tradnl"/>
            <w14:ligatures w14:val="standardContextual"/>
          </w:rPr>
          <w:t>https://formacionvirtual.colombiacompra.gov.co/mod/page/view.php?id=3718</w:t>
        </w:r>
      </w:hyperlink>
    </w:p>
    <w:p w14:paraId="1E2D377F" w14:textId="77777777" w:rsidR="00DF11DE" w:rsidRPr="00DF11DE" w:rsidRDefault="00DF11DE" w:rsidP="00DF11DE">
      <w:pPr>
        <w:spacing w:after="0" w:line="276" w:lineRule="auto"/>
        <w:jc w:val="both"/>
        <w:rPr>
          <w:rFonts w:ascii="Verdana" w:eastAsia="Aptos" w:hAnsi="Verdana" w:cs="Times New Roman"/>
          <w:kern w:val="2"/>
          <w:lang w:val="es-ES_tradnl"/>
          <w14:ligatures w14:val="standardContextual"/>
        </w:rPr>
      </w:pPr>
    </w:p>
    <w:p w14:paraId="47B6BD6E" w14:textId="77777777" w:rsidR="00DF11DE" w:rsidRPr="00DF11DE" w:rsidRDefault="00DF11DE" w:rsidP="00DF11DE">
      <w:pPr>
        <w:spacing w:after="0" w:line="276" w:lineRule="auto"/>
        <w:jc w:val="both"/>
        <w:rPr>
          <w:rFonts w:ascii="Verdana" w:eastAsia="Aptos" w:hAnsi="Verdana" w:cs="Times New Roman"/>
          <w:kern w:val="2"/>
          <w:lang w:val="es-ES_tradnl"/>
          <w14:ligatures w14:val="standardContextual"/>
        </w:rPr>
      </w:pPr>
      <w:r w:rsidRPr="00DF11DE">
        <w:rPr>
          <w:rFonts w:ascii="Verdana" w:eastAsia="Aptos" w:hAnsi="Verdana" w:cs="Times New Roman"/>
          <w:kern w:val="2"/>
          <w:lang w:val="es-ES_tradnl"/>
          <w14:ligatures w14:val="standardContextual"/>
        </w:rPr>
        <w:t xml:space="preserve">De otro lado, le contamos que esta Agencia ha da un paso decisivo en la estandarización y modernización del </w:t>
      </w:r>
      <w:r w:rsidRPr="00DF11DE">
        <w:rPr>
          <w:rFonts w:ascii="Verdana" w:eastAsia="Aptos" w:hAnsi="Verdana" w:cs="Times New Roman"/>
          <w:b/>
          <w:bCs/>
          <w:kern w:val="2"/>
          <w:lang w:val="es-ES_tradnl"/>
          <w14:ligatures w14:val="standardContextual"/>
        </w:rPr>
        <w:t>sector  social</w:t>
      </w:r>
      <w:r w:rsidRPr="00DF11DE">
        <w:rPr>
          <w:rFonts w:ascii="Verdana" w:eastAsia="Aptos" w:hAnsi="Verdana" w:cs="Times New Roman"/>
          <w:kern w:val="2"/>
          <w:lang w:val="es-ES_tradnl"/>
          <w14:ligatures w14:val="standardContextual"/>
        </w:rPr>
        <w:t xml:space="preserve"> con la expedición de las </w:t>
      </w:r>
      <w:r w:rsidRPr="00DF11DE">
        <w:rPr>
          <w:rFonts w:ascii="Verdana" w:eastAsia="Aptos" w:hAnsi="Verdana" w:cs="Times New Roman"/>
          <w:b/>
          <w:bCs/>
          <w:kern w:val="2"/>
          <w:lang w:val="es-ES_tradnl"/>
          <w14:ligatures w14:val="standardContextual"/>
        </w:rPr>
        <w:t>Resoluciones 539, 540, 541, 952 y 953 de 2025</w:t>
      </w:r>
      <w:r w:rsidRPr="00DF11DE">
        <w:rPr>
          <w:rFonts w:ascii="Verdana" w:eastAsia="Aptos" w:hAnsi="Verdana" w:cs="Times New Roman"/>
          <w:kern w:val="2"/>
          <w:lang w:val="es-ES_tradnl"/>
          <w14:ligatures w14:val="standardContextual"/>
        </w:rPr>
        <w:t xml:space="preserve">, </w:t>
      </w:r>
      <w:r w:rsidRPr="00DF11DE">
        <w:rPr>
          <w:rFonts w:ascii="Verdana" w:eastAsia="Aptos" w:hAnsi="Verdana" w:cs="Times New Roman"/>
          <w:b/>
          <w:bCs/>
          <w:kern w:val="2"/>
          <w:lang w:val="es-ES_tradnl"/>
          <w14:ligatures w14:val="standardContextual"/>
        </w:rPr>
        <w:t>mediante las cuales adoptó Documentos Tipo</w:t>
      </w:r>
      <w:r w:rsidRPr="00DF11DE">
        <w:rPr>
          <w:rFonts w:ascii="Verdana" w:eastAsia="Aptos" w:hAnsi="Verdana" w:cs="Times New Roman"/>
          <w:kern w:val="2"/>
          <w:lang w:val="es-ES_tradnl"/>
          <w14:ligatures w14:val="standardContextual"/>
        </w:rPr>
        <w:t xml:space="preserve"> para las modalidades de selección de</w:t>
      </w:r>
      <w:r w:rsidRPr="00DF11DE">
        <w:rPr>
          <w:rFonts w:ascii="Verdana" w:eastAsia="Aptos" w:hAnsi="Verdana" w:cs="Times New Roman"/>
          <w:b/>
          <w:bCs/>
          <w:kern w:val="2"/>
          <w:lang w:val="es-ES_tradnl"/>
          <w14:ligatures w14:val="standardContextual"/>
        </w:rPr>
        <w:t xml:space="preserve"> licitación pública (versión 2), selección abreviada de menor cuantía, mínima cuantía, consultoría e interventoría</w:t>
      </w:r>
      <w:r w:rsidRPr="00DF11DE">
        <w:rPr>
          <w:rFonts w:ascii="Verdana" w:eastAsia="Aptos" w:hAnsi="Verdana" w:cs="Times New Roman"/>
          <w:kern w:val="2"/>
          <w:lang w:val="es-ES_tradnl"/>
          <w14:ligatures w14:val="standardContextual"/>
        </w:rPr>
        <w:t xml:space="preserve">, promoviendo procesos más transparentes, eficientes, competitivos y sostenibles en sectores estratégicos como educación, salud, cultura, recreación, deporte, institucional y vivienda. Consulte y descargue los documentos aquí: </w:t>
      </w:r>
      <w:hyperlink r:id="rId16" w:tgtFrame="_new" w:history="1">
        <w:r w:rsidRPr="00DF11DE">
          <w:rPr>
            <w:rFonts w:ascii="Verdana" w:eastAsia="Aptos" w:hAnsi="Verdana" w:cs="Times New Roman"/>
            <w:color w:val="0000FF"/>
            <w:kern w:val="2"/>
            <w:u w:val="single"/>
            <w:lang w:val="es-ES_tradnl"/>
            <w14:ligatures w14:val="standardContextual"/>
          </w:rPr>
          <w:t>https://www.colombiacompra.gov.co/normativa-y-relatoria/documentos-tipo</w:t>
        </w:r>
      </w:hyperlink>
    </w:p>
    <w:p w14:paraId="488E0AF0" w14:textId="77777777" w:rsidR="00DF11DE" w:rsidRPr="00DF11DE" w:rsidRDefault="00DF11DE" w:rsidP="00DF11DE">
      <w:pPr>
        <w:spacing w:after="0" w:line="276" w:lineRule="auto"/>
        <w:jc w:val="both"/>
        <w:rPr>
          <w:rFonts w:ascii="Verdana" w:eastAsia="Aptos" w:hAnsi="Verdana" w:cs="Times New Roman"/>
          <w:kern w:val="2"/>
          <w:lang w:val="es-ES_tradnl"/>
          <w14:ligatures w14:val="standardContextual"/>
        </w:rPr>
      </w:pPr>
    </w:p>
    <w:p w14:paraId="0C467B32" w14:textId="77777777" w:rsidR="00DF11DE" w:rsidRPr="00DF11DE" w:rsidRDefault="00DF11DE" w:rsidP="00DF11DE">
      <w:pPr>
        <w:spacing w:after="0" w:line="276" w:lineRule="auto"/>
        <w:jc w:val="both"/>
        <w:rPr>
          <w:rFonts w:ascii="Verdana" w:eastAsia="Aptos" w:hAnsi="Verdana" w:cs="Times New Roman"/>
          <w:kern w:val="2"/>
          <w:lang w:val="es-ES_tradnl"/>
          <w14:ligatures w14:val="standardContextual"/>
        </w:rPr>
      </w:pPr>
      <w:r w:rsidRPr="00DF11DE">
        <w:rPr>
          <w:rFonts w:ascii="Verdana" w:eastAsia="Aptos" w:hAnsi="Verdana" w:cs="Times New Roman"/>
          <w:kern w:val="2"/>
          <w:lang w:val="es-ES_tradnl"/>
          <w14:ligatures w14:val="standardContextual"/>
        </w:rPr>
        <w:t xml:space="preserve">Si quiere conocer más sobre la aplicación de Documentos Tipo, puede consultar la última versión de la </w:t>
      </w:r>
      <w:r w:rsidRPr="00DF11DE">
        <w:rPr>
          <w:rFonts w:ascii="Verdana" w:eastAsia="Aptos" w:hAnsi="Verdana" w:cs="Times New Roman"/>
          <w:b/>
          <w:bCs/>
          <w:kern w:val="2"/>
          <w:lang w:val="es-ES_tradnl"/>
          <w14:ligatures w14:val="standardContextual"/>
        </w:rPr>
        <w:t>Guía para la comprensión e implementación de los Documentos Tipo de obra pública de infraestructura de transporte</w:t>
      </w:r>
      <w:r w:rsidRPr="00DF11DE">
        <w:rPr>
          <w:rFonts w:ascii="Verdana" w:eastAsia="Aptos" w:hAnsi="Verdana" w:cs="Times New Roman"/>
          <w:kern w:val="2"/>
          <w:lang w:val="es-ES_tradnl"/>
          <w14:ligatures w14:val="standardContextual"/>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w:t>
      </w:r>
      <w:proofErr w:type="gramStart"/>
      <w:r w:rsidRPr="00DF11DE">
        <w:rPr>
          <w:rFonts w:ascii="Verdana" w:eastAsia="Aptos" w:hAnsi="Verdana" w:cs="Times New Roman"/>
          <w:kern w:val="2"/>
          <w:lang w:val="es-ES_tradnl"/>
          <w14:ligatures w14:val="standardContextual"/>
        </w:rPr>
        <w:t>Además</w:t>
      </w:r>
      <w:proofErr w:type="gramEnd"/>
      <w:r w:rsidRPr="00DF11DE">
        <w:rPr>
          <w:rFonts w:ascii="Verdana" w:eastAsia="Aptos" w:hAnsi="Verdana" w:cs="Times New Roman"/>
          <w:kern w:val="2"/>
          <w:lang w:val="es-ES_tradnl"/>
          <w14:ligatures w14:val="standardContextual"/>
        </w:rPr>
        <w:t xml:space="preserve"> se incluyeron lineamientos que orientan la implementación de los criterios ambientales y sociales incluidos en los </w:t>
      </w:r>
      <w:r w:rsidRPr="00DF11DE">
        <w:rPr>
          <w:rFonts w:ascii="Verdana" w:eastAsia="Aptos" w:hAnsi="Verdana" w:cs="Times New Roman"/>
          <w:kern w:val="2"/>
          <w:lang w:val="es-ES_tradnl"/>
          <w14:ligatures w14:val="standardContextual"/>
        </w:rPr>
        <w:lastRenderedPageBreak/>
        <w:t>documentos tipo. Consulte la guía aquí:</w:t>
      </w:r>
      <w:r w:rsidRPr="00DF11DE">
        <w:rPr>
          <w:rFonts w:ascii="Verdana" w:eastAsia="Aptos" w:hAnsi="Verdana" w:cs="Times New Roman"/>
          <w:kern w:val="2"/>
          <w:lang w:val="es-ES_tradnl"/>
          <w14:ligatures w14:val="standardContextual"/>
        </w:rPr>
        <w:br/>
      </w:r>
      <w:hyperlink r:id="rId17" w:tgtFrame="_new" w:history="1">
        <w:r w:rsidRPr="00DF11DE">
          <w:rPr>
            <w:rFonts w:ascii="Verdana" w:eastAsia="Aptos" w:hAnsi="Verdana" w:cs="Times New Roman"/>
            <w:color w:val="0000FF"/>
            <w:kern w:val="2"/>
            <w:u w:val="single"/>
            <w:lang w:val="es-ES_tradnl"/>
            <w14:ligatures w14:val="standardContextual"/>
          </w:rPr>
          <w:t>https://www.colombiacompra.gov.co/archivos/manual/guia-para-la-comprension-e-implementacion-de-los-documentos-tipo-de-obra-publica-de-infraestructura-de-transporte-bajo-las-diferentes-modalidades-de-contratacion-vigentes</w:t>
        </w:r>
      </w:hyperlink>
    </w:p>
    <w:p w14:paraId="06F0F71F" w14:textId="77777777" w:rsidR="00DF11DE" w:rsidRPr="00DF11DE" w:rsidRDefault="00DF11DE" w:rsidP="00DF11DE">
      <w:pPr>
        <w:widowControl w:val="0"/>
        <w:autoSpaceDE w:val="0"/>
        <w:autoSpaceDN w:val="0"/>
        <w:spacing w:after="0" w:line="276" w:lineRule="auto"/>
        <w:jc w:val="both"/>
        <w:rPr>
          <w:rFonts w:ascii="Verdana" w:eastAsia="Calibri" w:hAnsi="Verdana" w:cs="Arial"/>
          <w:shd w:val="clear" w:color="auto" w:fill="FFFFFF"/>
          <w:lang w:val="es-ES_tradnl"/>
        </w:rPr>
      </w:pPr>
    </w:p>
    <w:p w14:paraId="65451E73" w14:textId="77777777" w:rsidR="00DF11DE" w:rsidRPr="00DF11DE" w:rsidRDefault="00DF11DE" w:rsidP="00DF11DE">
      <w:pPr>
        <w:spacing w:after="0" w:line="276" w:lineRule="auto"/>
        <w:jc w:val="both"/>
        <w:rPr>
          <w:rFonts w:ascii="Verdana" w:eastAsia="Calibri" w:hAnsi="Verdana" w:cs="Times New Roman"/>
          <w:lang w:val="es-ES_tradnl"/>
        </w:rPr>
      </w:pPr>
      <w:r w:rsidRPr="00DF11DE">
        <w:rPr>
          <w:rFonts w:ascii="Verdana" w:eastAsia="Calibri" w:hAnsi="Verdana" w:cs="Times New Roman"/>
          <w:lang w:val="es-ES_tradnl"/>
        </w:rPr>
        <w:t xml:space="preserve">Por último, los invitamos a seguirnos en las redes sociales, en las cuales se difunde información institucional: </w:t>
      </w:r>
    </w:p>
    <w:p w14:paraId="27AE18D7" w14:textId="77777777" w:rsidR="00DF11DE" w:rsidRPr="00DF11DE" w:rsidRDefault="00DF11DE" w:rsidP="00DF11DE">
      <w:pPr>
        <w:spacing w:after="0" w:line="240" w:lineRule="auto"/>
        <w:jc w:val="both"/>
        <w:rPr>
          <w:rFonts w:ascii="Verdana" w:eastAsia="Calibri" w:hAnsi="Verdana" w:cs="Times New Roman"/>
          <w:kern w:val="2"/>
          <w:lang w:val="es-ES_tradnl"/>
          <w14:ligatures w14:val="standardContextual"/>
        </w:rPr>
      </w:pPr>
    </w:p>
    <w:p w14:paraId="5CFBBBA2" w14:textId="77777777" w:rsidR="00DF11DE" w:rsidRPr="00DF11DE" w:rsidRDefault="00DF11DE" w:rsidP="00DF11DE">
      <w:pPr>
        <w:spacing w:after="0" w:line="240" w:lineRule="auto"/>
        <w:jc w:val="both"/>
        <w:rPr>
          <w:rFonts w:ascii="Verdana" w:eastAsia="Calibri" w:hAnsi="Verdana" w:cs="Times New Roman"/>
          <w:kern w:val="2"/>
          <w:lang w:val="es-ES_tradnl"/>
          <w14:ligatures w14:val="standardContextual"/>
        </w:rPr>
      </w:pPr>
      <w:r w:rsidRPr="00DF11DE">
        <w:rPr>
          <w:rFonts w:ascii="Verdana" w:eastAsia="Calibri" w:hAnsi="Verdana" w:cs="Times New Roman"/>
          <w:kern w:val="2"/>
          <w:lang w:val="es-ES_tradnl"/>
          <w14:ligatures w14:val="standardContextual"/>
        </w:rPr>
        <w:t xml:space="preserve">X: </w:t>
      </w:r>
      <w:r w:rsidRPr="00DF11DE">
        <w:rPr>
          <w:rFonts w:ascii="Verdana" w:eastAsia="Calibri" w:hAnsi="Verdana" w:cs="Times New Roman"/>
          <w:kern w:val="2"/>
          <w:u w:val="single"/>
          <w:lang w:val="es-ES_tradnl"/>
          <w14:ligatures w14:val="standardContextual"/>
        </w:rPr>
        <w:t>@colombiacompra</w:t>
      </w:r>
      <w:r w:rsidRPr="00DF11DE">
        <w:rPr>
          <w:rFonts w:ascii="Verdana" w:eastAsia="Calibri" w:hAnsi="Verdana" w:cs="Times New Roman"/>
          <w:kern w:val="2"/>
          <w:lang w:val="es-ES_tradnl"/>
          <w14:ligatures w14:val="standardContextual"/>
        </w:rPr>
        <w:t xml:space="preserve"> </w:t>
      </w:r>
    </w:p>
    <w:p w14:paraId="405A134A" w14:textId="77777777" w:rsidR="00DF11DE" w:rsidRPr="00DF11DE" w:rsidRDefault="00DF11DE" w:rsidP="00DF11DE">
      <w:pPr>
        <w:spacing w:after="0" w:line="240" w:lineRule="auto"/>
        <w:jc w:val="both"/>
        <w:rPr>
          <w:rFonts w:ascii="Verdana" w:eastAsia="Calibri" w:hAnsi="Verdana" w:cs="Times New Roman"/>
          <w:kern w:val="2"/>
          <w:lang w:val="es-ES"/>
          <w14:ligatures w14:val="standardContextual"/>
        </w:rPr>
      </w:pPr>
      <w:r w:rsidRPr="00DF11DE">
        <w:rPr>
          <w:rFonts w:ascii="Verdana" w:eastAsia="Calibri" w:hAnsi="Verdana" w:cs="Times New Roman"/>
          <w:kern w:val="2"/>
          <w:lang w:val="es-ES"/>
          <w14:ligatures w14:val="standardContextual"/>
        </w:rPr>
        <w:t xml:space="preserve">Facebook: </w:t>
      </w:r>
      <w:proofErr w:type="spellStart"/>
      <w:r w:rsidRPr="00DF11DE">
        <w:rPr>
          <w:rFonts w:ascii="Verdana" w:eastAsia="Calibri" w:hAnsi="Verdana" w:cs="Times New Roman"/>
          <w:kern w:val="2"/>
          <w:u w:val="single"/>
          <w:lang w:val="es-ES"/>
          <w14:ligatures w14:val="standardContextual"/>
        </w:rPr>
        <w:t>ColombiaCompraEficiente</w:t>
      </w:r>
      <w:proofErr w:type="spellEnd"/>
    </w:p>
    <w:p w14:paraId="5AA2C4C4" w14:textId="77777777" w:rsidR="00DF11DE" w:rsidRPr="00DF11DE" w:rsidRDefault="00DF11DE" w:rsidP="00DF11DE">
      <w:pPr>
        <w:spacing w:after="0" w:line="240" w:lineRule="auto"/>
        <w:jc w:val="both"/>
        <w:rPr>
          <w:rFonts w:ascii="Verdana" w:eastAsia="Calibri" w:hAnsi="Verdana" w:cs="Times New Roman"/>
          <w:kern w:val="2"/>
          <w:lang w:val="es-ES_tradnl"/>
          <w14:ligatures w14:val="standardContextual"/>
        </w:rPr>
      </w:pPr>
      <w:r w:rsidRPr="00DF11DE">
        <w:rPr>
          <w:rFonts w:ascii="Verdana" w:eastAsia="Calibri" w:hAnsi="Verdana" w:cs="Times New Roman"/>
          <w:kern w:val="2"/>
          <w:lang w:val="es-ES_tradnl"/>
          <w14:ligatures w14:val="standardContextual"/>
        </w:rPr>
        <w:t xml:space="preserve">LinkedIn: </w:t>
      </w:r>
      <w:r w:rsidRPr="00DF11DE">
        <w:rPr>
          <w:rFonts w:ascii="Verdana" w:eastAsia="Calibri" w:hAnsi="Verdana" w:cs="Times New Roman"/>
          <w:kern w:val="2"/>
          <w:u w:val="single"/>
          <w:lang w:val="es-ES_tradnl"/>
          <w14:ligatures w14:val="standardContextual"/>
        </w:rPr>
        <w:t>Agencia Nacional de Contratación Pública - Colombia Compra Eficiente</w:t>
      </w:r>
      <w:r w:rsidRPr="00DF11DE">
        <w:rPr>
          <w:rFonts w:ascii="Verdana" w:eastAsia="Calibri" w:hAnsi="Verdana" w:cs="Times New Roman"/>
          <w:kern w:val="2"/>
          <w:lang w:val="es-ES_tradnl"/>
          <w14:ligatures w14:val="standardContextual"/>
        </w:rPr>
        <w:t xml:space="preserve"> Instagram: </w:t>
      </w:r>
      <w:r w:rsidRPr="00DF11DE">
        <w:rPr>
          <w:rFonts w:ascii="Verdana" w:eastAsia="Calibri" w:hAnsi="Verdana" w:cs="Times New Roman"/>
          <w:kern w:val="2"/>
          <w:u w:val="single"/>
          <w:lang w:val="es-ES_tradnl"/>
          <w14:ligatures w14:val="standardContextual"/>
        </w:rPr>
        <w:t>@colombiacompraeficiente_cce</w:t>
      </w:r>
    </w:p>
    <w:p w14:paraId="31636699" w14:textId="77777777" w:rsidR="00DF11DE" w:rsidRPr="00DF11DE" w:rsidRDefault="00DF11DE" w:rsidP="00DF11DE">
      <w:pPr>
        <w:spacing w:after="0" w:line="240" w:lineRule="auto"/>
        <w:jc w:val="both"/>
        <w:rPr>
          <w:rFonts w:ascii="Verdana" w:eastAsia="Calibri" w:hAnsi="Verdana" w:cs="Times New Roman"/>
          <w:kern w:val="2"/>
          <w:lang w:val="es-ES_tradnl"/>
          <w14:ligatures w14:val="standardContextual"/>
        </w:rPr>
      </w:pPr>
    </w:p>
    <w:p w14:paraId="4D63DBCA" w14:textId="77777777" w:rsidR="00DF11DE" w:rsidRPr="00DF11DE" w:rsidRDefault="00DF11DE" w:rsidP="00DF11DE">
      <w:pPr>
        <w:widowControl w:val="0"/>
        <w:autoSpaceDE w:val="0"/>
        <w:autoSpaceDN w:val="0"/>
        <w:spacing w:after="0" w:line="276" w:lineRule="auto"/>
        <w:jc w:val="both"/>
        <w:rPr>
          <w:rFonts w:ascii="Verdana" w:eastAsia="Calibri" w:hAnsi="Verdana" w:cs="Arial"/>
          <w:kern w:val="2"/>
          <w:lang w:val="es-ES_tradnl"/>
          <w14:ligatures w14:val="standardContextual"/>
        </w:rPr>
      </w:pPr>
      <w:r w:rsidRPr="00DF11DE">
        <w:rPr>
          <w:rFonts w:ascii="Verdana" w:eastAsia="Calibri" w:hAnsi="Verdana" w:cs="Arial"/>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AF3B6EB" w14:textId="77777777" w:rsidR="00DF11DE" w:rsidRPr="00DF11DE" w:rsidRDefault="00DF11DE" w:rsidP="00DF11DE">
      <w:pPr>
        <w:widowControl w:val="0"/>
        <w:autoSpaceDE w:val="0"/>
        <w:autoSpaceDN w:val="0"/>
        <w:spacing w:after="0" w:line="276" w:lineRule="auto"/>
        <w:jc w:val="both"/>
        <w:rPr>
          <w:rFonts w:ascii="Verdana" w:eastAsia="Calibri" w:hAnsi="Verdana" w:cs="Arial"/>
          <w:lang w:val="es-ES_tradnl"/>
        </w:rPr>
      </w:pPr>
    </w:p>
    <w:p w14:paraId="42BD0361" w14:textId="77777777" w:rsidR="00DF11DE" w:rsidRPr="00DF11DE" w:rsidRDefault="00DF11DE" w:rsidP="00DF11DE">
      <w:pPr>
        <w:spacing w:after="0" w:line="240" w:lineRule="auto"/>
        <w:rPr>
          <w:rFonts w:ascii="Verdana" w:eastAsia="Calibri" w:hAnsi="Verdana" w:cs="Arial"/>
          <w:lang w:val="es-ES_tradnl" w:eastAsia="es-CO"/>
        </w:rPr>
      </w:pPr>
      <w:r w:rsidRPr="00DF11DE">
        <w:rPr>
          <w:rFonts w:ascii="Verdana" w:eastAsia="Times New Roman" w:hAnsi="Verdana" w:cs="Arial"/>
          <w:lang w:val="es-ES_tradnl" w:eastAsia="es-CO"/>
        </w:rPr>
        <w:t>Atentamente,</w:t>
      </w:r>
      <w:r w:rsidRPr="00DF11DE">
        <w:rPr>
          <w:rFonts w:ascii="Verdana" w:eastAsia="Calibri" w:hAnsi="Verdana" w:cs="Arial"/>
          <w:lang w:val="es-ES_tradnl" w:eastAsia="es-CO"/>
        </w:rPr>
        <w:t xml:space="preserve"> </w:t>
      </w:r>
    </w:p>
    <w:p w14:paraId="683767F1" w14:textId="4BD2D75F" w:rsidR="00DF11DE" w:rsidRPr="00DF11DE" w:rsidRDefault="00651408" w:rsidP="00DF11DE">
      <w:pPr>
        <w:spacing w:line="276" w:lineRule="auto"/>
        <w:jc w:val="center"/>
        <w:rPr>
          <w:rFonts w:ascii="Verdana" w:eastAsia="Calibri" w:hAnsi="Verdana" w:cs="Arial"/>
          <w:lang w:val="es-ES_tradnl" w:eastAsia="es-CO"/>
        </w:rPr>
      </w:pPr>
      <w:r w:rsidRPr="002C3AD6">
        <w:rPr>
          <w:rFonts w:ascii="Century Gothic" w:hAnsi="Century Gothic"/>
          <w:noProof/>
        </w:rPr>
        <w:drawing>
          <wp:inline distT="0" distB="0" distL="0" distR="0" wp14:anchorId="729D2A4E" wp14:editId="126CE787">
            <wp:extent cx="3172570" cy="1177696"/>
            <wp:effectExtent l="0" t="0" r="2540" b="381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stretch>
                      <a:fillRect/>
                    </a:stretch>
                  </pic:blipFill>
                  <pic:spPr>
                    <a:xfrm>
                      <a:off x="0" y="0"/>
                      <a:ext cx="3190313" cy="1184282"/>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F11DE" w:rsidRPr="00DF11DE" w14:paraId="4E57E5A8" w14:textId="77777777" w:rsidTr="00B52602">
        <w:trPr>
          <w:trHeight w:val="315"/>
        </w:trPr>
        <w:tc>
          <w:tcPr>
            <w:tcW w:w="893" w:type="dxa"/>
            <w:vAlign w:val="center"/>
            <w:hideMark/>
          </w:tcPr>
          <w:p w14:paraId="309B823C" w14:textId="77777777" w:rsidR="00DF11DE" w:rsidRPr="00DF11DE" w:rsidRDefault="00DF11DE" w:rsidP="00DF11DE">
            <w:pPr>
              <w:rPr>
                <w:rFonts w:ascii="Verdana" w:eastAsia="Calibri" w:hAnsi="Verdana" w:cs="Arial"/>
                <w:sz w:val="16"/>
                <w:szCs w:val="16"/>
                <w:lang w:val="es-ES_tradnl" w:eastAsia="es-ES"/>
              </w:rPr>
            </w:pPr>
            <w:r w:rsidRPr="00DF11DE">
              <w:rPr>
                <w:rFonts w:ascii="Verdana" w:eastAsia="Calibri" w:hAnsi="Verdana" w:cs="Arial"/>
                <w:sz w:val="16"/>
                <w:szCs w:val="16"/>
                <w:lang w:val="es-ES_tradnl" w:eastAsia="es-ES"/>
              </w:rPr>
              <w:t>Elaboró:</w:t>
            </w:r>
          </w:p>
        </w:tc>
        <w:tc>
          <w:tcPr>
            <w:tcW w:w="5628" w:type="dxa"/>
            <w:tcBorders>
              <w:top w:val="nil"/>
              <w:left w:val="nil"/>
              <w:bottom w:val="dotted" w:sz="4" w:space="0" w:color="7F7F7F"/>
              <w:right w:val="nil"/>
            </w:tcBorders>
            <w:vAlign w:val="center"/>
            <w:hideMark/>
          </w:tcPr>
          <w:p w14:paraId="58E01109" w14:textId="77777777" w:rsidR="00DF11DE" w:rsidRPr="00DF11DE" w:rsidRDefault="00DF11DE" w:rsidP="00DF11DE">
            <w:pPr>
              <w:rPr>
                <w:rFonts w:ascii="Verdana" w:eastAsia="Arial" w:hAnsi="Verdana" w:cs="Arial"/>
                <w:sz w:val="16"/>
                <w:szCs w:val="16"/>
                <w:lang w:val="es-ES_tradnl"/>
              </w:rPr>
            </w:pPr>
            <w:r w:rsidRPr="00DF11DE">
              <w:rPr>
                <w:rFonts w:ascii="Verdana" w:eastAsia="Arial" w:hAnsi="Verdana" w:cs="Arial"/>
                <w:sz w:val="16"/>
                <w:szCs w:val="16"/>
                <w:lang w:val="es-ES_tradnl"/>
              </w:rPr>
              <w:t>Kevin Arlid Herrera Santa</w:t>
            </w:r>
          </w:p>
          <w:p w14:paraId="26FA6CEC" w14:textId="77777777" w:rsidR="00DF11DE" w:rsidRPr="00DF11DE" w:rsidRDefault="00DF11DE" w:rsidP="00DF11DE">
            <w:pPr>
              <w:rPr>
                <w:rFonts w:ascii="Verdana" w:eastAsia="Arial" w:hAnsi="Verdana" w:cs="Arial"/>
                <w:sz w:val="16"/>
                <w:szCs w:val="16"/>
                <w:lang w:val="es-ES_tradnl"/>
              </w:rPr>
            </w:pPr>
            <w:r w:rsidRPr="00DF11DE">
              <w:rPr>
                <w:rFonts w:ascii="Verdana" w:eastAsia="Arial" w:hAnsi="Verdana" w:cs="Arial"/>
                <w:sz w:val="16"/>
                <w:szCs w:val="16"/>
                <w:lang w:val="es-ES_tradnl"/>
              </w:rPr>
              <w:t xml:space="preserve">Contratista de la Subdirección de Gestión Contractual </w:t>
            </w:r>
          </w:p>
          <w:p w14:paraId="70316DBA" w14:textId="77777777" w:rsidR="00DF11DE" w:rsidRPr="00DF11DE" w:rsidRDefault="00DF11DE" w:rsidP="00DF11DE">
            <w:pPr>
              <w:rPr>
                <w:rFonts w:ascii="Verdana" w:eastAsia="Arial" w:hAnsi="Verdana" w:cs="Arial"/>
                <w:sz w:val="16"/>
                <w:szCs w:val="16"/>
                <w:lang w:val="es-ES_tradnl"/>
              </w:rPr>
            </w:pPr>
            <w:r w:rsidRPr="00DF11DE">
              <w:rPr>
                <w:rFonts w:ascii="Verdana" w:eastAsia="Arial" w:hAnsi="Verdana" w:cs="Arial"/>
                <w:sz w:val="16"/>
                <w:szCs w:val="16"/>
                <w:lang w:val="es-ES_tradnl"/>
              </w:rPr>
              <w:t>Alejandro Gamboa Cárdenas</w:t>
            </w:r>
          </w:p>
          <w:p w14:paraId="334B6A2A" w14:textId="77777777" w:rsidR="00DF11DE" w:rsidRPr="00DF11DE" w:rsidRDefault="00DF11DE" w:rsidP="00DF11DE">
            <w:pPr>
              <w:rPr>
                <w:rFonts w:ascii="Verdana" w:eastAsia="Arial" w:hAnsi="Verdana" w:cs="Arial"/>
                <w:sz w:val="16"/>
                <w:szCs w:val="16"/>
                <w:lang w:val="es-ES_tradnl"/>
              </w:rPr>
            </w:pPr>
            <w:r w:rsidRPr="00DF11DE">
              <w:rPr>
                <w:rFonts w:ascii="Verdana" w:eastAsia="Arial" w:hAnsi="Verdana" w:cs="Arial"/>
                <w:sz w:val="16"/>
                <w:szCs w:val="16"/>
                <w:lang w:val="es-ES_tradnl"/>
              </w:rPr>
              <w:t xml:space="preserve">Contratista de la Subdirección de Gestión Contractual </w:t>
            </w:r>
          </w:p>
          <w:p w14:paraId="6F348ED1" w14:textId="77777777" w:rsidR="00DF11DE" w:rsidRPr="00DF11DE" w:rsidRDefault="00DF11DE" w:rsidP="00DF11DE">
            <w:pPr>
              <w:rPr>
                <w:rFonts w:ascii="Verdana" w:eastAsia="Arial" w:hAnsi="Verdana" w:cs="Arial"/>
                <w:sz w:val="16"/>
                <w:szCs w:val="16"/>
                <w:lang w:val="es-ES_tradnl"/>
              </w:rPr>
            </w:pPr>
          </w:p>
        </w:tc>
      </w:tr>
      <w:tr w:rsidR="00DF11DE" w:rsidRPr="00DF11DE" w14:paraId="4CFAF5DE" w14:textId="77777777" w:rsidTr="00B52602">
        <w:trPr>
          <w:trHeight w:val="330"/>
        </w:trPr>
        <w:tc>
          <w:tcPr>
            <w:tcW w:w="893" w:type="dxa"/>
            <w:vAlign w:val="center"/>
            <w:hideMark/>
          </w:tcPr>
          <w:p w14:paraId="1D123015" w14:textId="77777777" w:rsidR="00DF11DE" w:rsidRPr="00DF11DE" w:rsidRDefault="00DF11DE" w:rsidP="00DF11DE">
            <w:pPr>
              <w:rPr>
                <w:rFonts w:ascii="Verdana" w:eastAsia="Calibri" w:hAnsi="Verdana" w:cs="Arial"/>
                <w:sz w:val="16"/>
                <w:szCs w:val="16"/>
                <w:lang w:val="es-ES_tradnl" w:eastAsia="es-ES"/>
              </w:rPr>
            </w:pPr>
            <w:r w:rsidRPr="00DF11DE">
              <w:rPr>
                <w:rFonts w:ascii="Verdana" w:eastAsia="Calibri" w:hAnsi="Verdana" w:cs="Arial"/>
                <w:sz w:val="16"/>
                <w:szCs w:val="16"/>
                <w:lang w:val="es-ES_tradnl" w:eastAsia="es-ES"/>
              </w:rPr>
              <w:t>Revisó:</w:t>
            </w:r>
          </w:p>
        </w:tc>
        <w:tc>
          <w:tcPr>
            <w:tcW w:w="5628" w:type="dxa"/>
            <w:tcBorders>
              <w:top w:val="dotted" w:sz="4" w:space="0" w:color="7F7F7F"/>
              <w:left w:val="nil"/>
              <w:bottom w:val="dotted" w:sz="4" w:space="0" w:color="7F7F7F"/>
              <w:right w:val="nil"/>
            </w:tcBorders>
            <w:vAlign w:val="center"/>
            <w:hideMark/>
          </w:tcPr>
          <w:p w14:paraId="5DCB4522" w14:textId="77777777" w:rsidR="00DF11DE" w:rsidRPr="00DF11DE" w:rsidRDefault="00DF11DE" w:rsidP="00DF11DE">
            <w:pPr>
              <w:textAlignment w:val="baseline"/>
              <w:rPr>
                <w:rFonts w:ascii="Verdana" w:eastAsia="Times New Roman" w:hAnsi="Verdana" w:cs="Segoe UI"/>
                <w:sz w:val="16"/>
                <w:szCs w:val="16"/>
                <w:lang w:val="es-ES_tradnl" w:eastAsia="es-ES_tradnl"/>
              </w:rPr>
            </w:pPr>
            <w:r w:rsidRPr="00DF11DE">
              <w:rPr>
                <w:rFonts w:ascii="Verdana" w:eastAsia="Times New Roman" w:hAnsi="Verdana" w:cs="Segoe UI"/>
                <w:sz w:val="16"/>
                <w:szCs w:val="16"/>
                <w:lang w:val="es-ES_tradnl" w:eastAsia="es-ES_tradnl"/>
              </w:rPr>
              <w:t>Martha Alicia Romero Vargas</w:t>
            </w:r>
          </w:p>
          <w:p w14:paraId="5A280955" w14:textId="77777777" w:rsidR="00DF11DE" w:rsidRPr="00DF11DE" w:rsidRDefault="00DF11DE" w:rsidP="00DF11DE">
            <w:pPr>
              <w:textAlignment w:val="baseline"/>
              <w:rPr>
                <w:rFonts w:ascii="Verdana" w:eastAsia="Times New Roman" w:hAnsi="Verdana" w:cs="Segoe UI"/>
                <w:sz w:val="16"/>
                <w:szCs w:val="16"/>
                <w:lang w:val="es-ES_tradnl" w:eastAsia="es-ES_tradnl"/>
              </w:rPr>
            </w:pPr>
            <w:r w:rsidRPr="00DF11DE">
              <w:rPr>
                <w:rFonts w:ascii="Verdana" w:eastAsia="Times New Roman" w:hAnsi="Verdana" w:cs="Arial"/>
                <w:sz w:val="16"/>
                <w:szCs w:val="16"/>
                <w:lang w:val="es-ES_tradnl" w:eastAsia="es-ES_tradnl"/>
              </w:rPr>
              <w:t>Gestor T1-15 de la Subdirección de Gestión Contractual </w:t>
            </w:r>
          </w:p>
        </w:tc>
      </w:tr>
      <w:tr w:rsidR="00DF11DE" w:rsidRPr="00DF11DE" w14:paraId="03CE53B3" w14:textId="77777777" w:rsidTr="00B52602">
        <w:trPr>
          <w:trHeight w:val="300"/>
        </w:trPr>
        <w:tc>
          <w:tcPr>
            <w:tcW w:w="893" w:type="dxa"/>
            <w:vAlign w:val="center"/>
          </w:tcPr>
          <w:p w14:paraId="52B72661" w14:textId="77777777" w:rsidR="00DF11DE" w:rsidRPr="00DF11DE" w:rsidRDefault="00DF11DE" w:rsidP="00DF11DE">
            <w:pPr>
              <w:rPr>
                <w:rFonts w:ascii="Verdana" w:eastAsia="Calibri" w:hAnsi="Verdana" w:cs="Arial"/>
                <w:sz w:val="16"/>
                <w:szCs w:val="16"/>
                <w:lang w:val="es-ES_tradnl" w:eastAsia="es-ES"/>
              </w:rPr>
            </w:pPr>
            <w:r w:rsidRPr="00DF11DE">
              <w:rPr>
                <w:rFonts w:ascii="Verdana" w:eastAsia="Calibri" w:hAnsi="Verdana" w:cs="Arial"/>
                <w:sz w:val="16"/>
                <w:szCs w:val="16"/>
                <w:lang w:val="es-ES_tradnl" w:eastAsia="es-ES"/>
              </w:rPr>
              <w:t>Aprobó:</w:t>
            </w:r>
          </w:p>
        </w:tc>
        <w:tc>
          <w:tcPr>
            <w:tcW w:w="5628" w:type="dxa"/>
            <w:tcBorders>
              <w:top w:val="dotted" w:sz="4" w:space="0" w:color="7F7F7F"/>
              <w:left w:val="nil"/>
              <w:bottom w:val="dotted" w:sz="4" w:space="0" w:color="7F7F7F"/>
              <w:right w:val="nil"/>
            </w:tcBorders>
            <w:vAlign w:val="center"/>
          </w:tcPr>
          <w:p w14:paraId="5748442F" w14:textId="77777777" w:rsidR="00DF11DE" w:rsidRPr="00DF11DE" w:rsidRDefault="00DF11DE" w:rsidP="00DF11DE">
            <w:pPr>
              <w:rPr>
                <w:rFonts w:ascii="Verdana" w:eastAsia="Calibri" w:hAnsi="Verdana" w:cs="Arial"/>
                <w:sz w:val="16"/>
                <w:szCs w:val="16"/>
                <w:lang w:val="es-ES" w:eastAsia="es-ES"/>
              </w:rPr>
            </w:pPr>
            <w:r w:rsidRPr="00DF11DE">
              <w:rPr>
                <w:rFonts w:ascii="Verdana" w:eastAsia="Calibri" w:hAnsi="Verdana" w:cs="Arial"/>
                <w:sz w:val="16"/>
                <w:szCs w:val="16"/>
                <w:lang w:val="es-ES" w:eastAsia="es-ES"/>
              </w:rPr>
              <w:t>Carolina Quintero Gacharná</w:t>
            </w:r>
          </w:p>
          <w:p w14:paraId="0A6C9CF7" w14:textId="77777777" w:rsidR="00DF11DE" w:rsidRPr="00DF11DE" w:rsidRDefault="00DF11DE" w:rsidP="00DF11DE">
            <w:pPr>
              <w:rPr>
                <w:rFonts w:ascii="Verdana" w:eastAsia="Calibri" w:hAnsi="Verdana" w:cs="Arial"/>
                <w:sz w:val="16"/>
                <w:szCs w:val="16"/>
                <w:lang w:val="es-ES_tradnl" w:eastAsia="es-ES"/>
              </w:rPr>
            </w:pPr>
            <w:r w:rsidRPr="00DF11DE">
              <w:rPr>
                <w:rFonts w:ascii="Verdana" w:eastAsia="Calibri" w:hAnsi="Verdana" w:cs="Arial"/>
                <w:sz w:val="16"/>
                <w:szCs w:val="16"/>
                <w:lang w:val="es-ES_tradnl" w:eastAsia="es-ES"/>
              </w:rPr>
              <w:t>Subdirectora de Gestión Contractual ANCP – CCE</w:t>
            </w:r>
          </w:p>
        </w:tc>
      </w:tr>
    </w:tbl>
    <w:p w14:paraId="69BC4D14" w14:textId="6AD1EB10"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B51766" w14:textId="77777777" w:rsidR="009D71C8" w:rsidRDefault="009D71C8" w:rsidP="004A1847">
      <w:pPr>
        <w:spacing w:after="0" w:line="240" w:lineRule="auto"/>
      </w:pPr>
      <w:r>
        <w:separator/>
      </w:r>
    </w:p>
  </w:endnote>
  <w:endnote w:type="continuationSeparator" w:id="0">
    <w:p w14:paraId="035C4864" w14:textId="77777777" w:rsidR="009D71C8" w:rsidRDefault="009D71C8"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10B7E2" w14:textId="77777777" w:rsidR="009D71C8" w:rsidRDefault="009D71C8" w:rsidP="004A1847">
      <w:pPr>
        <w:spacing w:after="0" w:line="240" w:lineRule="auto"/>
      </w:pPr>
      <w:r>
        <w:separator/>
      </w:r>
    </w:p>
  </w:footnote>
  <w:footnote w:type="continuationSeparator" w:id="0">
    <w:p w14:paraId="4BB90BC6" w14:textId="77777777" w:rsidR="009D71C8" w:rsidRDefault="009D71C8" w:rsidP="004A1847">
      <w:pPr>
        <w:spacing w:after="0" w:line="240" w:lineRule="auto"/>
      </w:pPr>
      <w:r>
        <w:continuationSeparator/>
      </w:r>
    </w:p>
  </w:footnote>
  <w:footnote w:id="1">
    <w:p w14:paraId="0E1BC705" w14:textId="77777777" w:rsidR="00DF11DE" w:rsidRPr="0012365A" w:rsidRDefault="00DF11DE" w:rsidP="00DF11DE">
      <w:pPr>
        <w:pStyle w:val="Textonotapie"/>
        <w:ind w:firstLine="709"/>
        <w:contextualSpacing/>
        <w:jc w:val="both"/>
        <w:rPr>
          <w:rFonts w:ascii="Verdana" w:eastAsia="Calibri" w:hAnsi="Verdana" w:cs="Arial"/>
          <w:color w:val="000000"/>
          <w:sz w:val="18"/>
          <w:szCs w:val="18"/>
        </w:rPr>
      </w:pPr>
      <w:r w:rsidRPr="0012365A">
        <w:rPr>
          <w:rStyle w:val="Refdenotaalpie"/>
          <w:rFonts w:ascii="Verdana" w:hAnsi="Verdana" w:cs="Arial"/>
          <w:color w:val="000000"/>
          <w:sz w:val="18"/>
          <w:szCs w:val="18"/>
        </w:rPr>
        <w:footnoteRef/>
      </w:r>
      <w:r w:rsidRPr="0012365A">
        <w:rPr>
          <w:rFonts w:ascii="Verdana" w:hAnsi="Verdana" w:cs="Arial"/>
          <w:color w:val="000000"/>
          <w:sz w:val="18"/>
          <w:szCs w:val="18"/>
        </w:rPr>
        <w:t xml:space="preserve"> </w:t>
      </w:r>
      <w:r w:rsidRPr="0012365A">
        <w:rPr>
          <w:rFonts w:ascii="Verdana" w:eastAsia="Calibri" w:hAnsi="Verdana" w:cs="Arial"/>
          <w:color w:val="000000"/>
          <w:sz w:val="18"/>
          <w:szCs w:val="18"/>
        </w:rPr>
        <w:t xml:space="preserve">Decreto 1082 de 2015: “Articulo 2.2.1.1.1.3.1. Definiciones. 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 </w:t>
      </w:r>
    </w:p>
    <w:p w14:paraId="5AAEBC31" w14:textId="77777777" w:rsidR="00DF11DE" w:rsidRPr="0012365A" w:rsidRDefault="00DF11DE" w:rsidP="00DF11DE">
      <w:pPr>
        <w:pStyle w:val="Textonotapie"/>
        <w:ind w:firstLine="709"/>
        <w:contextualSpacing/>
        <w:jc w:val="both"/>
        <w:rPr>
          <w:rFonts w:ascii="Verdana" w:eastAsia="Calibri" w:hAnsi="Verdana" w:cs="Arial"/>
          <w:color w:val="000000"/>
          <w:sz w:val="18"/>
          <w:szCs w:val="18"/>
        </w:rPr>
      </w:pPr>
      <w:r w:rsidRPr="0012365A">
        <w:rPr>
          <w:rFonts w:ascii="Verdana" w:eastAsia="Calibri" w:hAnsi="Verdana" w:cs="Arial"/>
          <w:color w:val="000000"/>
          <w:sz w:val="18"/>
          <w:szCs w:val="18"/>
        </w:rPr>
        <w:t>[…]</w:t>
      </w:r>
    </w:p>
    <w:p w14:paraId="7C769889" w14:textId="77777777" w:rsidR="00DF11DE" w:rsidRPr="0012365A" w:rsidRDefault="00DF11DE" w:rsidP="00DF11DE">
      <w:pPr>
        <w:pStyle w:val="Textonotapie"/>
        <w:ind w:firstLine="709"/>
        <w:contextualSpacing/>
        <w:jc w:val="both"/>
        <w:rPr>
          <w:rFonts w:ascii="Verdana" w:hAnsi="Verdana" w:cs="Arial"/>
          <w:color w:val="000000"/>
          <w:sz w:val="18"/>
          <w:szCs w:val="18"/>
          <w:lang w:val="es-CO"/>
        </w:rPr>
      </w:pPr>
      <w:r w:rsidRPr="0012365A">
        <w:rPr>
          <w:rFonts w:ascii="Verdana" w:eastAsia="Calibri" w:hAnsi="Verdana" w:cs="Arial"/>
          <w:color w:val="000000"/>
          <w:sz w:val="18"/>
          <w:szCs w:val="18"/>
        </w:rPr>
        <w:t>Capacidad Residual o K de Contratación: Aptitud de un oferente para cumplir oportuna y cabalmente con el objeto de un contrato de obra, sin que sus otros compromisos contractuales afecten su habilidad de cumplir con el contrato que está en proceso de selección”.</w:t>
      </w:r>
      <w:r w:rsidRPr="0012365A">
        <w:rPr>
          <w:rFonts w:ascii="Verdana" w:hAnsi="Verdana" w:cs="Arial"/>
          <w:color w:val="000000"/>
          <w:sz w:val="18"/>
          <w:szCs w:val="18"/>
          <w:lang w:val="es-CO"/>
        </w:rPr>
        <w:t xml:space="preserve"> </w:t>
      </w:r>
    </w:p>
  </w:footnote>
  <w:footnote w:id="2">
    <w:p w14:paraId="6CC6BFD2" w14:textId="77777777" w:rsidR="00DF11DE" w:rsidRPr="0012365A" w:rsidRDefault="00DF11DE" w:rsidP="00DF11DE">
      <w:pPr>
        <w:pStyle w:val="Textonotapie"/>
        <w:ind w:firstLine="709"/>
        <w:contextualSpacing/>
        <w:jc w:val="both"/>
        <w:rPr>
          <w:rFonts w:ascii="Verdana" w:hAnsi="Verdana" w:cs="Arial"/>
          <w:color w:val="000000"/>
          <w:sz w:val="18"/>
          <w:szCs w:val="18"/>
          <w:lang w:val="es-CO"/>
        </w:rPr>
      </w:pPr>
      <w:r w:rsidRPr="0012365A">
        <w:rPr>
          <w:rFonts w:ascii="Verdana" w:eastAsia="Calibri" w:hAnsi="Verdana" w:cs="Arial"/>
          <w:color w:val="000000"/>
          <w:sz w:val="18"/>
          <w:szCs w:val="18"/>
          <w:vertAlign w:val="superscript"/>
        </w:rPr>
        <w:footnoteRef/>
      </w:r>
      <w:r w:rsidRPr="0012365A">
        <w:rPr>
          <w:rFonts w:ascii="Verdana" w:eastAsia="Calibri" w:hAnsi="Verdana" w:cs="Arial"/>
          <w:color w:val="000000"/>
          <w:sz w:val="18"/>
          <w:szCs w:val="18"/>
          <w:vertAlign w:val="superscript"/>
        </w:rPr>
        <w:t xml:space="preserve"> </w:t>
      </w:r>
      <w:r w:rsidRPr="0012365A">
        <w:rPr>
          <w:rFonts w:ascii="Verdana" w:eastAsia="Calibri" w:hAnsi="Verdana" w:cs="Arial"/>
          <w:color w:val="000000"/>
          <w:sz w:val="18"/>
          <w:szCs w:val="18"/>
        </w:rPr>
        <w:t xml:space="preserve">Consejo de Estado. Sección Tercera. Sentencia del 26 de junio de 2003. Rad. 13.354. C.P. María Elena Giraldo Gómez. </w:t>
      </w:r>
    </w:p>
  </w:footnote>
  <w:footnote w:id="3">
    <w:p w14:paraId="1FB9C577" w14:textId="77777777" w:rsidR="00DF11DE" w:rsidRPr="0012365A" w:rsidRDefault="00DF11DE" w:rsidP="00DF11DE">
      <w:pPr>
        <w:pStyle w:val="NormalWeb1"/>
        <w:shd w:val="clear" w:color="auto" w:fill="FFFFFF"/>
        <w:ind w:firstLine="709"/>
        <w:contextualSpacing/>
        <w:jc w:val="both"/>
        <w:rPr>
          <w:rFonts w:ascii="Verdana" w:hAnsi="Verdana" w:cs="Arial"/>
          <w:sz w:val="18"/>
          <w:szCs w:val="18"/>
        </w:rPr>
      </w:pPr>
      <w:r w:rsidRPr="0012365A">
        <w:rPr>
          <w:rStyle w:val="Refdenotaalpie"/>
          <w:rFonts w:ascii="Verdana" w:eastAsia="Times New Roman" w:hAnsi="Verdana" w:cs="Arial"/>
          <w:sz w:val="18"/>
          <w:szCs w:val="18"/>
        </w:rPr>
        <w:footnoteRef/>
      </w:r>
      <w:r w:rsidRPr="0012365A">
        <w:rPr>
          <w:rStyle w:val="Refdenotaalpie"/>
          <w:rFonts w:ascii="Verdana" w:eastAsia="Times New Roman" w:hAnsi="Verdana" w:cs="Arial"/>
          <w:sz w:val="18"/>
          <w:szCs w:val="18"/>
        </w:rPr>
        <w:t xml:space="preserve"> </w:t>
      </w:r>
      <w:r w:rsidRPr="0012365A">
        <w:rPr>
          <w:rFonts w:ascii="Verdana" w:eastAsia="Times New Roman" w:hAnsi="Verdana" w:cs="Arial"/>
          <w:sz w:val="18"/>
          <w:szCs w:val="18"/>
        </w:rPr>
        <w:t xml:space="preserve">Decreto 1082 de 2015: </w:t>
      </w:r>
      <w:r w:rsidRPr="0012365A">
        <w:rPr>
          <w:rFonts w:ascii="Verdana" w:hAnsi="Verdana" w:cs="Arial"/>
          <w:sz w:val="18"/>
          <w:szCs w:val="18"/>
        </w:rPr>
        <w:t>“Artículo 2.2.1.1.1.6.4. Capacidad Residual: El interesado en celebrar contratos de obra pública con Entidades Estatales debe acreditar su Capacidad Residual o K de Contratación con los siguientes documentos:</w:t>
      </w:r>
    </w:p>
    <w:p w14:paraId="34D9288B" w14:textId="77777777" w:rsidR="00DF11DE" w:rsidRPr="0012365A" w:rsidRDefault="00DF11DE" w:rsidP="00DF11DE">
      <w:pPr>
        <w:shd w:val="clear" w:color="auto" w:fill="FFFFFF"/>
        <w:ind w:firstLine="709"/>
        <w:contextualSpacing/>
        <w:jc w:val="both"/>
        <w:rPr>
          <w:rFonts w:ascii="Verdana" w:hAnsi="Verdana" w:cs="Arial"/>
          <w:sz w:val="18"/>
          <w:szCs w:val="18"/>
        </w:rPr>
      </w:pPr>
      <w:r w:rsidRPr="0012365A">
        <w:rPr>
          <w:rFonts w:ascii="Verdana" w:hAnsi="Verdana" w:cs="Arial"/>
          <w:sz w:val="18"/>
          <w:szCs w:val="18"/>
        </w:rPr>
        <w:t>1. La lista de los contratos de obras civiles en ejecución suscritos con Entidades Estatales y con entidades privadas, así como el valor y plazo de tales contratos, incluyendo contratos de concesión y los contratos de obra suscritos con concesionarios.</w:t>
      </w:r>
    </w:p>
    <w:p w14:paraId="09F52CD3" w14:textId="77777777" w:rsidR="00DF11DE" w:rsidRPr="0012365A" w:rsidRDefault="00DF11DE" w:rsidP="00DF11DE">
      <w:pPr>
        <w:shd w:val="clear" w:color="auto" w:fill="FFFFFF"/>
        <w:ind w:firstLine="709"/>
        <w:contextualSpacing/>
        <w:jc w:val="both"/>
        <w:rPr>
          <w:rFonts w:ascii="Verdana" w:hAnsi="Verdana" w:cs="Arial"/>
          <w:sz w:val="18"/>
          <w:szCs w:val="18"/>
        </w:rPr>
      </w:pPr>
      <w:r w:rsidRPr="0012365A">
        <w:rPr>
          <w:rFonts w:ascii="Verdana" w:hAnsi="Verdana" w:cs="Arial"/>
          <w:sz w:val="18"/>
          <w:szCs w:val="18"/>
        </w:rPr>
        <w:t>2. La lista de los contratos de obras civiles en ejecución, suscritos por sociedades, consorcios o uniones temporales, en los cuales el proponente tenga participación, con Entidades Estatales y con entidades privadas, así como el valor y plazo de tales contratos, incluyendo los contratos de concesión y los contratos de obra suscritos con concesionarios.</w:t>
      </w:r>
    </w:p>
    <w:p w14:paraId="1DC54357" w14:textId="77777777" w:rsidR="00DF11DE" w:rsidRPr="0012365A" w:rsidRDefault="00DF11DE" w:rsidP="00DF11DE">
      <w:pPr>
        <w:shd w:val="clear" w:color="auto" w:fill="FFFFFF"/>
        <w:ind w:firstLine="709"/>
        <w:contextualSpacing/>
        <w:jc w:val="both"/>
        <w:rPr>
          <w:rFonts w:ascii="Verdana" w:hAnsi="Verdana" w:cs="Arial"/>
          <w:sz w:val="18"/>
          <w:szCs w:val="18"/>
        </w:rPr>
      </w:pPr>
      <w:r w:rsidRPr="0012365A">
        <w:rPr>
          <w:rFonts w:ascii="Verdana" w:hAnsi="Verdana" w:cs="Arial"/>
          <w:sz w:val="18"/>
          <w:szCs w:val="18"/>
        </w:rPr>
        <w:t>3. Balance general auditado del año inmediatamente anterior y estado de resultados auditado del año en que haya obtenido el mayor ingreso operacional en los últimos cinco (5) años. Los estados financieros deben estar suscritos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w:t>
      </w:r>
    </w:p>
  </w:footnote>
  <w:footnote w:id="4">
    <w:p w14:paraId="33B52C49" w14:textId="77777777" w:rsidR="00DF11DE" w:rsidRPr="0012365A" w:rsidRDefault="00DF11DE" w:rsidP="00DF11DE">
      <w:pPr>
        <w:pStyle w:val="NormalWeb"/>
        <w:shd w:val="clear" w:color="auto" w:fill="FFFFFF"/>
        <w:ind w:firstLine="708"/>
        <w:jc w:val="both"/>
        <w:rPr>
          <w:rFonts w:ascii="Verdana" w:hAnsi="Verdana" w:cs="Arial"/>
          <w:sz w:val="18"/>
          <w:szCs w:val="18"/>
        </w:rPr>
      </w:pPr>
      <w:r w:rsidRPr="0012365A">
        <w:rPr>
          <w:rStyle w:val="Refdenotaalpie"/>
          <w:rFonts w:ascii="Verdana" w:hAnsi="Verdana" w:cs="Arial"/>
          <w:sz w:val="18"/>
          <w:szCs w:val="18"/>
        </w:rPr>
        <w:footnoteRef/>
      </w:r>
      <w:r w:rsidRPr="0012365A">
        <w:rPr>
          <w:rFonts w:ascii="Verdana" w:hAnsi="Verdana" w:cs="Arial"/>
          <w:sz w:val="18"/>
          <w:szCs w:val="18"/>
        </w:rPr>
        <w:t xml:space="preserve"> Agencia Nacional de Contratación Pública – Colombia Compra Eficiente. </w:t>
      </w:r>
      <w:r w:rsidRPr="0012365A">
        <w:rPr>
          <w:rFonts w:ascii="Verdana" w:hAnsi="Verdana" w:cs="Arial"/>
          <w:sz w:val="18"/>
          <w:szCs w:val="18"/>
          <w:lang w:val="es-ES"/>
        </w:rPr>
        <w:t>Concepto C-017 de 2023.</w:t>
      </w:r>
    </w:p>
  </w:footnote>
  <w:footnote w:id="5">
    <w:p w14:paraId="4870B187" w14:textId="77777777" w:rsidR="00DF11DE" w:rsidRPr="0012365A" w:rsidRDefault="00DF11DE" w:rsidP="00DF11DE">
      <w:pPr>
        <w:pStyle w:val="Textonotapie"/>
        <w:ind w:firstLine="708"/>
        <w:contextualSpacing/>
        <w:jc w:val="both"/>
        <w:rPr>
          <w:rFonts w:ascii="Verdana" w:hAnsi="Verdana"/>
          <w:sz w:val="18"/>
          <w:szCs w:val="18"/>
        </w:rPr>
      </w:pPr>
      <w:r w:rsidRPr="0012365A">
        <w:rPr>
          <w:rStyle w:val="Refdenotaalpie"/>
          <w:rFonts w:ascii="Verdana" w:hAnsi="Verdana"/>
          <w:sz w:val="18"/>
          <w:szCs w:val="18"/>
        </w:rPr>
        <w:footnoteRef/>
      </w:r>
      <w:r w:rsidRPr="0012365A">
        <w:rPr>
          <w:rFonts w:ascii="Verdana" w:hAnsi="Verdana"/>
          <w:sz w:val="18"/>
          <w:szCs w:val="18"/>
        </w:rPr>
        <w:t xml:space="preserve"> Los Documentos Tipo </w:t>
      </w:r>
      <w:r w:rsidRPr="0012365A">
        <w:rPr>
          <w:rFonts w:ascii="Verdana" w:hAnsi="Verdana" w:cs="Arial"/>
          <w:sz w:val="18"/>
          <w:szCs w:val="18"/>
          <w:lang w:eastAsia="en-GB"/>
        </w:rPr>
        <w:t xml:space="preserve">Licitación de Obra Pública para Infraestructura de Transporte pueden consultarse en el siguiente enlace: </w:t>
      </w:r>
      <w:hyperlink r:id="rId1" w:history="1">
        <w:r w:rsidRPr="0012365A">
          <w:rPr>
            <w:rStyle w:val="Hipervnculo"/>
            <w:rFonts w:ascii="Verdana" w:hAnsi="Verdana" w:cs="Arial"/>
            <w:sz w:val="18"/>
            <w:szCs w:val="18"/>
            <w:lang w:eastAsia="en-GB"/>
          </w:rPr>
          <w:t>https://www.colombiacompra.gov.co/normativa-y-relatoria/documentos-tipo</w:t>
        </w:r>
      </w:hyperlink>
      <w:r w:rsidRPr="0012365A">
        <w:rPr>
          <w:rFonts w:ascii="Verdana" w:hAnsi="Verdana" w:cs="Arial"/>
          <w:sz w:val="18"/>
          <w:szCs w:val="18"/>
          <w:lang w:eastAsia="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0192"/>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15EEF"/>
    <w:rsid w:val="0022400B"/>
    <w:rsid w:val="002421BB"/>
    <w:rsid w:val="0025796E"/>
    <w:rsid w:val="002707A2"/>
    <w:rsid w:val="002951A0"/>
    <w:rsid w:val="002962BC"/>
    <w:rsid w:val="002A093D"/>
    <w:rsid w:val="002A0DD0"/>
    <w:rsid w:val="002A49AC"/>
    <w:rsid w:val="002A64FD"/>
    <w:rsid w:val="002C7A84"/>
    <w:rsid w:val="002E2BF8"/>
    <w:rsid w:val="002E49B9"/>
    <w:rsid w:val="002E4FD9"/>
    <w:rsid w:val="0030657A"/>
    <w:rsid w:val="00322A85"/>
    <w:rsid w:val="00324168"/>
    <w:rsid w:val="00330834"/>
    <w:rsid w:val="003448F4"/>
    <w:rsid w:val="003730CD"/>
    <w:rsid w:val="00374F5E"/>
    <w:rsid w:val="00377E3E"/>
    <w:rsid w:val="003A779E"/>
    <w:rsid w:val="003D0F4D"/>
    <w:rsid w:val="003D5B0D"/>
    <w:rsid w:val="003D6D47"/>
    <w:rsid w:val="003E0499"/>
    <w:rsid w:val="003E4F80"/>
    <w:rsid w:val="003E6439"/>
    <w:rsid w:val="003F3941"/>
    <w:rsid w:val="00406575"/>
    <w:rsid w:val="00414C74"/>
    <w:rsid w:val="0042722E"/>
    <w:rsid w:val="0044528D"/>
    <w:rsid w:val="00466E39"/>
    <w:rsid w:val="004A0D6C"/>
    <w:rsid w:val="004A1847"/>
    <w:rsid w:val="004A305D"/>
    <w:rsid w:val="004C0E14"/>
    <w:rsid w:val="004F21C4"/>
    <w:rsid w:val="004F685F"/>
    <w:rsid w:val="00506ACC"/>
    <w:rsid w:val="005566E8"/>
    <w:rsid w:val="00574867"/>
    <w:rsid w:val="00591460"/>
    <w:rsid w:val="005A65E0"/>
    <w:rsid w:val="005C3777"/>
    <w:rsid w:val="005C5CDC"/>
    <w:rsid w:val="005D476C"/>
    <w:rsid w:val="006200BF"/>
    <w:rsid w:val="006219F8"/>
    <w:rsid w:val="006302F7"/>
    <w:rsid w:val="00646B9F"/>
    <w:rsid w:val="00651408"/>
    <w:rsid w:val="00665D70"/>
    <w:rsid w:val="006900D9"/>
    <w:rsid w:val="00706C16"/>
    <w:rsid w:val="007340C3"/>
    <w:rsid w:val="0075235A"/>
    <w:rsid w:val="00756841"/>
    <w:rsid w:val="007649AB"/>
    <w:rsid w:val="00771D0C"/>
    <w:rsid w:val="007833AC"/>
    <w:rsid w:val="00795D96"/>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0B3"/>
    <w:rsid w:val="00923EEF"/>
    <w:rsid w:val="00931E9A"/>
    <w:rsid w:val="00934894"/>
    <w:rsid w:val="009419F9"/>
    <w:rsid w:val="0095685E"/>
    <w:rsid w:val="00961B09"/>
    <w:rsid w:val="00965334"/>
    <w:rsid w:val="0097093E"/>
    <w:rsid w:val="009A0DFA"/>
    <w:rsid w:val="009A1C6F"/>
    <w:rsid w:val="009B2D26"/>
    <w:rsid w:val="009C71FA"/>
    <w:rsid w:val="009C72E7"/>
    <w:rsid w:val="009C7F7E"/>
    <w:rsid w:val="009D3058"/>
    <w:rsid w:val="009D71C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80D38"/>
    <w:rsid w:val="00BC3D36"/>
    <w:rsid w:val="00BD54A6"/>
    <w:rsid w:val="00BD7F72"/>
    <w:rsid w:val="00BF7425"/>
    <w:rsid w:val="00C04FB3"/>
    <w:rsid w:val="00C11D8B"/>
    <w:rsid w:val="00C15139"/>
    <w:rsid w:val="00C330EB"/>
    <w:rsid w:val="00C50D69"/>
    <w:rsid w:val="00C5365C"/>
    <w:rsid w:val="00C61CE0"/>
    <w:rsid w:val="00C754BE"/>
    <w:rsid w:val="00C76B1C"/>
    <w:rsid w:val="00C925AC"/>
    <w:rsid w:val="00CB6357"/>
    <w:rsid w:val="00CC1B26"/>
    <w:rsid w:val="00CD12EA"/>
    <w:rsid w:val="00D361FD"/>
    <w:rsid w:val="00D423A2"/>
    <w:rsid w:val="00D44E26"/>
    <w:rsid w:val="00D520D8"/>
    <w:rsid w:val="00D63AC2"/>
    <w:rsid w:val="00D7383B"/>
    <w:rsid w:val="00D7788A"/>
    <w:rsid w:val="00DA231B"/>
    <w:rsid w:val="00DC39FC"/>
    <w:rsid w:val="00DF11DE"/>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67857"/>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F11DE"/>
    <w:pPr>
      <w:spacing w:line="240" w:lineRule="exact"/>
    </w:pPr>
    <w:rPr>
      <w:vertAlign w:val="superscript"/>
    </w:rPr>
  </w:style>
  <w:style w:type="paragraph" w:customStyle="1" w:styleId="NormalWeb1">
    <w:name w:val="Normal (Web)1"/>
    <w:basedOn w:val="Normal"/>
    <w:next w:val="NormalWeb"/>
    <w:uiPriority w:val="99"/>
    <w:semiHidden/>
    <w:unhideWhenUsed/>
    <w:rsid w:val="00DF11DE"/>
    <w:pPr>
      <w:spacing w:after="0" w:line="240" w:lineRule="auto"/>
    </w:pPr>
    <w:rPr>
      <w:rFonts w:ascii="Times New Roman" w:hAnsi="Times New Roman" w:cs="Times New Roman"/>
      <w:kern w:val="2"/>
      <w:sz w:val="24"/>
      <w:szCs w:val="24"/>
      <w:lang w:val="es-ES_trad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guias-y-manuales"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normativa-y-relatoria/documentos-tipo"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E59CF3-ED71-4DB8-BCB2-D66177B6B866}"/>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18</Pages>
  <Words>5702</Words>
  <Characters>31361</Characters>
  <Application>Microsoft Office Word</Application>
  <DocSecurity>0</DocSecurity>
  <Lines>261</Lines>
  <Paragraphs>73</Paragraphs>
  <ScaleCrop>false</ScaleCrop>
  <Company/>
  <LinksUpToDate>false</LinksUpToDate>
  <CharactersWithSpaces>36990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Herrera</cp:lastModifiedBy>
  <cp:revision>5</cp:revision>
  <cp:lastPrinted>2023-01-10T21:18:00Z</cp:lastPrinted>
  <dcterms:created xsi:type="dcterms:W3CDTF">2026-07-07T22:00:00Z</dcterms:created>
  <dcterms:modified xsi:type="dcterms:W3CDTF">2026-07-07T22:03:00Z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