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AF18B2" w14:textId="77777777" w:rsidR="005C2B25" w:rsidRPr="005A08FA" w:rsidRDefault="005C2B25" w:rsidP="005C2B25">
      <w:pPr>
        <w:jc w:val="both"/>
        <w:rPr>
          <w:rFonts w:ascii="Verdana" w:hAnsi="Verdana"/>
        </w:rPr>
      </w:pPr>
      <w:bookmarkStart w:id="0" w:name="_Hlk143780582"/>
      <w:r w:rsidRPr="005A08FA">
        <w:rPr>
          <w:rFonts w:ascii="Verdana" w:hAnsi="Verdana"/>
          <w:b/>
        </w:rPr>
        <w:t xml:space="preserve">CONVOCATORIAS LIMITADAS A MIPYMES NACIONALES – Requisitos </w:t>
      </w:r>
    </w:p>
    <w:p w14:paraId="46533DE7" w14:textId="77777777" w:rsidR="005C2B25" w:rsidRPr="005A08FA" w:rsidRDefault="005C2B25" w:rsidP="005C2B25">
      <w:pPr>
        <w:spacing w:after="0" w:line="240" w:lineRule="auto"/>
        <w:jc w:val="both"/>
        <w:rPr>
          <w:rFonts w:ascii="Verdana" w:hAnsi="Verdana"/>
          <w:b/>
        </w:rPr>
      </w:pPr>
    </w:p>
    <w:p w14:paraId="027AAD93" w14:textId="77777777" w:rsidR="005C2B25" w:rsidRPr="005C2B25" w:rsidRDefault="005C2B25" w:rsidP="005C2B25">
      <w:pPr>
        <w:spacing w:after="0" w:line="240" w:lineRule="auto"/>
        <w:jc w:val="both"/>
        <w:rPr>
          <w:rFonts w:ascii="Verdana" w:hAnsi="Verdana"/>
          <w:sz w:val="20"/>
          <w:szCs w:val="20"/>
        </w:rPr>
      </w:pPr>
      <w:r w:rsidRPr="005C2B25">
        <w:rPr>
          <w:rFonts w:ascii="Verdana" w:hAnsi="Verdana"/>
          <w:sz w:val="20"/>
          <w:szCs w:val="20"/>
        </w:rPr>
        <w:t>El artículo 2.2.1.2.4.2.2. del Decreto 1082 de 2015 establece los requisitos que se deben acreditar en las “convocatorias limitadas a MiPymes”. El primer elemento delimitador del ámbito de 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 Esta redacción obedece a un cambio introducido por el Decreto 1860 de 2021, el cual solo permitía la limitación a MiPymes nacionales en los procedimientos de licitación pública, selección abreviada y concurso de méritos.  </w:t>
      </w:r>
    </w:p>
    <w:p w14:paraId="519CD5B9" w14:textId="77777777" w:rsidR="005C2B25" w:rsidRDefault="005C2B25" w:rsidP="005C2B25">
      <w:pPr>
        <w:spacing w:after="0" w:line="240" w:lineRule="auto"/>
        <w:jc w:val="both"/>
        <w:rPr>
          <w:rFonts w:ascii="Verdana" w:hAnsi="Verdana"/>
        </w:rPr>
      </w:pPr>
    </w:p>
    <w:p w14:paraId="58072DD5" w14:textId="77777777" w:rsidR="005C2B25" w:rsidRPr="005A08FA" w:rsidRDefault="005C2B25" w:rsidP="005C2B25">
      <w:pPr>
        <w:spacing w:after="0" w:line="240" w:lineRule="auto"/>
        <w:jc w:val="both"/>
        <w:rPr>
          <w:rFonts w:ascii="Verdana" w:hAnsi="Verdana"/>
        </w:rPr>
      </w:pPr>
      <w:r w:rsidRPr="005A08FA">
        <w:rPr>
          <w:rFonts w:ascii="Verdana" w:hAnsi="Verdana"/>
          <w:b/>
        </w:rPr>
        <w:t xml:space="preserve">CONVOCATORIAS LIMITADAS A MIPYMES EN EL ÁMBITO TERRITORIAL – Limitación territorial – Facultad discrecional </w:t>
      </w:r>
    </w:p>
    <w:p w14:paraId="267616F4" w14:textId="77777777" w:rsidR="005C2B25" w:rsidRPr="005A08FA" w:rsidRDefault="005C2B25" w:rsidP="005C2B25">
      <w:pPr>
        <w:spacing w:after="0" w:line="240" w:lineRule="auto"/>
        <w:jc w:val="both"/>
        <w:rPr>
          <w:rFonts w:ascii="Verdana" w:hAnsi="Verdana"/>
        </w:rPr>
      </w:pPr>
    </w:p>
    <w:p w14:paraId="1B5B4890" w14:textId="77777777" w:rsidR="005C2B25" w:rsidRPr="005C2B25" w:rsidRDefault="005C2B25" w:rsidP="005C2B25">
      <w:pPr>
        <w:spacing w:after="0" w:line="240" w:lineRule="auto"/>
        <w:jc w:val="both"/>
        <w:rPr>
          <w:rFonts w:ascii="Verdana" w:hAnsi="Verdana"/>
          <w:sz w:val="20"/>
          <w:szCs w:val="20"/>
        </w:rPr>
      </w:pPr>
      <w:r w:rsidRPr="005C2B25">
        <w:rPr>
          <w:rFonts w:ascii="Verdana" w:hAnsi="Verdana"/>
          <w:sz w:val="20"/>
          <w:szCs w:val="20"/>
        </w:rPr>
        <w:t xml:space="preserve">Cumplidos los dos requisitos del artículo 2.2.1.2.4.2.2. </w:t>
      </w:r>
      <w:r w:rsidRPr="005C2B25">
        <w:rPr>
          <w:rFonts w:ascii="Verdana" w:hAnsi="Verdana"/>
          <w:i/>
          <w:iCs/>
          <w:sz w:val="20"/>
          <w:szCs w:val="20"/>
        </w:rPr>
        <w:t>ibidem</w:t>
      </w:r>
      <w:r w:rsidRPr="005C2B25">
        <w:rPr>
          <w:rFonts w:ascii="Verdana" w:hAnsi="Verdana"/>
          <w:sz w:val="20"/>
          <w:szCs w:val="20"/>
        </w:rPr>
        <w:t>, la entidad puede ─no tiene que─ decidir si limita la convocatoria a las MiPymes nacionales domiciliadas en el municipio o departamento en el que se ejecutará el contrato</w:t>
      </w:r>
      <w:r w:rsidRPr="005C2B25">
        <w:rPr>
          <w:rFonts w:ascii="Verdana" w:hAnsi="Verdana"/>
          <w:sz w:val="20"/>
          <w:szCs w:val="20"/>
          <w:vertAlign w:val="superscript"/>
        </w:rPr>
        <w:t>1</w:t>
      </w:r>
      <w:r w:rsidRPr="005C2B25">
        <w:rPr>
          <w:rFonts w:ascii="Verdana" w:hAnsi="Verdana"/>
          <w:sz w:val="20"/>
          <w:szCs w:val="20"/>
        </w:rPr>
        <w:t>.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MiPymes, y ha precisado que, de todos modos, la decisión debe estar justificada en los correspondientes “estudios del sector”.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en el rango indicado y solicitudes de al menos dos MiPymes presentadas oportunamente–. En ese sentido, para que proceda la limitación territorial es necesario que se presenten al menos dos solicitudes de MiPymes domiciliadas en el departamento o municipio en donde se va a ejecutar el contrato.  Este entendimiento de la norma, sin embargo, da lugar a dos interpretaciones sobre las que se deben hacer unas precisiones. </w:t>
      </w:r>
    </w:p>
    <w:p w14:paraId="4849F34A" w14:textId="77777777" w:rsidR="005C2B25" w:rsidRDefault="005C2B25" w:rsidP="005C2B25">
      <w:pPr>
        <w:spacing w:after="0" w:line="240" w:lineRule="auto"/>
        <w:jc w:val="both"/>
        <w:rPr>
          <w:rFonts w:ascii="Verdana" w:hAnsi="Verdana"/>
        </w:rPr>
      </w:pPr>
    </w:p>
    <w:p w14:paraId="58641264" w14:textId="77777777" w:rsidR="005C2B25" w:rsidRPr="00642C6A" w:rsidRDefault="005C2B25" w:rsidP="005C2B25">
      <w:pPr>
        <w:jc w:val="both"/>
        <w:rPr>
          <w:rFonts w:ascii="Verdana" w:hAnsi="Verdana"/>
          <w:lang w:val="es-ES"/>
        </w:rPr>
      </w:pPr>
      <w:r w:rsidRPr="00642C6A">
        <w:rPr>
          <w:rFonts w:ascii="Verdana" w:hAnsi="Verdana"/>
          <w:b/>
          <w:bCs/>
          <w:lang w:val="es-ES"/>
        </w:rPr>
        <w:t>CONVOCATORIAS LIMITADAS A MIPYME – Limitación territorial – Decreto 1860 de 2021</w:t>
      </w:r>
      <w:r w:rsidRPr="00642C6A">
        <w:rPr>
          <w:rFonts w:ascii="Verdana" w:hAnsi="Verdana"/>
          <w:lang w:val="es-ES"/>
        </w:rPr>
        <w:t xml:space="preserve"> </w:t>
      </w:r>
    </w:p>
    <w:p w14:paraId="12227740" w14:textId="77777777" w:rsidR="005C2B25" w:rsidRPr="00D40E8D" w:rsidRDefault="005C2B25" w:rsidP="005C2B25">
      <w:pPr>
        <w:spacing w:line="240" w:lineRule="auto"/>
        <w:jc w:val="both"/>
        <w:rPr>
          <w:rFonts w:ascii="Verdana" w:hAnsi="Verdana"/>
          <w:sz w:val="20"/>
          <w:szCs w:val="20"/>
        </w:rPr>
      </w:pPr>
      <w:r w:rsidRPr="00D40E8D">
        <w:rPr>
          <w:rFonts w:ascii="Verdana" w:hAnsi="Verdana"/>
          <w:sz w:val="20"/>
          <w:szCs w:val="20"/>
        </w:rPr>
        <w:t xml:space="preserve">[…] lo que debe adoptarse obligatoriamente es la limitación a MiPymes colombianas siempre que se cumplan las condiciones del artículo 2.2.1.2.4.2.2 del Decreto 1082 de 2015, pero no la “limitación territorial” referida en el artículo 2.2.1.2.4.2.3 Ibidem, pues esta es facultativa para la entidad. Las únicas exigencias son que la convocatoria esté limitada a las MiPymes colombianas “domiciliadas en los departamentos o municipios en donde se va a ejecutar el contrato” y que la entidad justifique su decisión con base en </w:t>
      </w:r>
      <w:r w:rsidRPr="00D40E8D">
        <w:rPr>
          <w:rFonts w:ascii="Verdana" w:hAnsi="Verdana"/>
          <w:sz w:val="20"/>
          <w:szCs w:val="20"/>
        </w:rPr>
        <w:lastRenderedPageBreak/>
        <w:t xml:space="preserve">los “estudios del sector”. No es procedente, entonces, que sean las MiPymes las que soliciten la “limitación territorial” a la que se refiere el artículo 2.2.1.2.4.2.3 del Decreto 1082 de 2015. </w:t>
      </w:r>
    </w:p>
    <w:p w14:paraId="4F457B76" w14:textId="77777777" w:rsidR="005C2B25" w:rsidRDefault="005C2B25" w:rsidP="005C2B25">
      <w:pPr>
        <w:spacing w:line="240" w:lineRule="auto"/>
        <w:jc w:val="both"/>
        <w:rPr>
          <w:rFonts w:ascii="Verdana" w:hAnsi="Verdana"/>
          <w:sz w:val="20"/>
          <w:szCs w:val="20"/>
        </w:rPr>
      </w:pPr>
      <w:r w:rsidRPr="00D40E8D">
        <w:rPr>
          <w:rFonts w:ascii="Verdana" w:hAnsi="Verdana"/>
          <w:sz w:val="20"/>
          <w:szCs w:val="20"/>
        </w:rPr>
        <w:t>En resumen, la decisión de limitar o no territorialmente una convocatoria limitada a MiPymes nacionales es una facultad discrecional, de manera que la entidad contratante valorará si es oportuno y conveniente adoptarla.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w:t>
      </w:r>
    </w:p>
    <w:p w14:paraId="2F3ADC82" w14:textId="002A444B" w:rsidR="005C2B25" w:rsidRPr="005C2B25" w:rsidRDefault="005C2B25" w:rsidP="005C2B25">
      <w:pPr>
        <w:jc w:val="both"/>
        <w:rPr>
          <w:rFonts w:ascii="Verdana" w:hAnsi="Verdana"/>
          <w:b/>
          <w:bCs/>
        </w:rPr>
      </w:pPr>
      <w:r w:rsidRPr="005C2B25">
        <w:rPr>
          <w:rFonts w:ascii="Verdana" w:hAnsi="Verdana"/>
          <w:b/>
          <w:bCs/>
        </w:rPr>
        <w:t>CONVOCATORIAS LIMITADAS A MIPYMES EN EL ÁMBITO TERRITORIAL – Documentos – Acreditación</w:t>
      </w:r>
    </w:p>
    <w:p w14:paraId="58113C2E" w14:textId="77777777" w:rsidR="005C2B25" w:rsidRPr="005C2B25" w:rsidRDefault="005C2B25" w:rsidP="005C2B25">
      <w:pPr>
        <w:widowControl w:val="0"/>
        <w:autoSpaceDE w:val="0"/>
        <w:autoSpaceDN w:val="0"/>
        <w:spacing w:before="120" w:after="120" w:line="240" w:lineRule="auto"/>
        <w:jc w:val="both"/>
        <w:rPr>
          <w:rFonts w:ascii="Verdana" w:eastAsia="Times New Roman" w:hAnsi="Verdana" w:cs="Arial"/>
          <w:sz w:val="20"/>
          <w:szCs w:val="20"/>
          <w:lang w:eastAsia="es-ES_tradnl"/>
        </w:rPr>
      </w:pPr>
      <w:r w:rsidRPr="005C2B25">
        <w:rPr>
          <w:rFonts w:ascii="Verdana" w:eastAsia="Times New Roman" w:hAnsi="Verdana" w:cs="Arial"/>
          <w:sz w:val="20"/>
          <w:szCs w:val="20"/>
          <w:lang w:eastAsia="es-ES_tradnl"/>
        </w:rPr>
        <w:t>Cuando el artículo 2.2.1.2.4.2.3 del Decreto 1082 de 2015 exige que la Mipyme tenga domicilio en el municipio o departamento de ejecución del contrato, se refiere a un atributo de la personalidad jurídica —la ciudad o municipio inscrita estatutariamente y en el registro mercantil según el derecho privado— y no a un lugar donde la empresa ejerce materialmente su actividad económica. En este sentido, uno es el medio probatorio que establece la norma para acreditar el atributo de la personalidad y otros pueden ser aspectos que evidencien que la sociedad realiza negocios en uno u otro lugar, sin que estos impliquen un cambio en el domicilio principal de la misma. Consecuencia de esta distinción y de lo establecido expresamente por el artículo 2.2.1.2.4.2.4 es que la entidad no puede sustituir esta prueba por verificaciones fácticas de que la sociedad ejerza actividad económica en un lugar determinado —por ejemplo, mediante contratos de arrendamiento o visitas técnicas—, pues estas no acreditan el domicilio como atributo de la personalidad sino que dan cuenta de un ámbito de su operación o funcionamiento, aspectos que corresponden a realidades jurídicamente distintas.</w:t>
      </w:r>
    </w:p>
    <w:p w14:paraId="283E8874" w14:textId="77777777" w:rsidR="005C2B25" w:rsidRPr="005C2B25" w:rsidRDefault="005C2B25" w:rsidP="005C2B25">
      <w:pPr>
        <w:widowControl w:val="0"/>
        <w:autoSpaceDE w:val="0"/>
        <w:autoSpaceDN w:val="0"/>
        <w:spacing w:before="120" w:after="120" w:line="240" w:lineRule="auto"/>
        <w:jc w:val="both"/>
        <w:rPr>
          <w:rFonts w:ascii="Verdana" w:eastAsia="Times New Roman" w:hAnsi="Verdana" w:cs="Arial"/>
          <w:sz w:val="20"/>
          <w:szCs w:val="20"/>
          <w:lang w:eastAsia="es-ES_tradnl"/>
        </w:rPr>
      </w:pPr>
      <w:r w:rsidRPr="005C2B25">
        <w:rPr>
          <w:rFonts w:ascii="Verdana" w:eastAsia="Times New Roman" w:hAnsi="Verdana" w:cs="Arial"/>
          <w:sz w:val="20"/>
          <w:szCs w:val="20"/>
          <w:lang w:eastAsia="es-ES_tradnl"/>
        </w:rPr>
        <w:t xml:space="preserve">De cualquier modo, no puede perderse de vista que el ordenamiento colombiano solo admite presunciones absolutas cuando la ley las consagra expresamente. Dado que la norma no confiere ese carácter a los documentos antes referidos en relación con la acreditación del domicilio, se trata de una presunción desvirtuable. La posibilidad de contradicción, sin embargo, opera en el marco dispuesto por el artículo 2.2.1.2.4.2.4, de modo que la prueba en contrario puede referirse, por ejemplo, a que el certificado se encuentre desactualizado porque el domicilio inscrito fue modificado con posterioridad y el documento no refleja el cambio; a que el documento sea falso o haya sido adulterado; o a que exista una decisión judicial o administrativa que se refiera a al carácter de la información reportada. </w:t>
      </w:r>
    </w:p>
    <w:p w14:paraId="4AA1F462" w14:textId="77777777" w:rsidR="005C2B25" w:rsidRPr="00D40E8D" w:rsidRDefault="005C2B25" w:rsidP="005C2B25">
      <w:pPr>
        <w:jc w:val="both"/>
        <w:rPr>
          <w:rFonts w:ascii="Verdana" w:hAnsi="Verdana"/>
          <w:sz w:val="20"/>
          <w:szCs w:val="20"/>
        </w:rPr>
      </w:pPr>
    </w:p>
    <w:p w14:paraId="32894D37" w14:textId="77777777" w:rsidR="005C2B25" w:rsidRPr="005A08FA" w:rsidRDefault="005C2B25" w:rsidP="005C2B25">
      <w:pPr>
        <w:spacing w:after="0" w:line="240" w:lineRule="auto"/>
        <w:jc w:val="both"/>
        <w:rPr>
          <w:rFonts w:ascii="Verdana" w:hAnsi="Verdana"/>
        </w:rPr>
      </w:pPr>
    </w:p>
    <w:p w14:paraId="46445649" w14:textId="77777777" w:rsidR="005C2B25" w:rsidRDefault="005C2B25" w:rsidP="00721B31">
      <w:pPr>
        <w:spacing w:after="0"/>
        <w:rPr>
          <w:rFonts w:ascii="Verdana" w:hAnsi="Verdana"/>
          <w:lang w:val="es-ES"/>
        </w:rPr>
      </w:pPr>
    </w:p>
    <w:p w14:paraId="1707546E" w14:textId="074090F1" w:rsidR="00721B31" w:rsidRPr="00DD0F57" w:rsidRDefault="005C2B25" w:rsidP="00721B31">
      <w:pPr>
        <w:spacing w:after="0"/>
        <w:rPr>
          <w:rFonts w:ascii="Verdana" w:hAnsi="Verdana"/>
          <w:lang w:val="es-ES"/>
        </w:rPr>
      </w:pPr>
      <w:r>
        <w:rPr>
          <w:rFonts w:ascii="Verdana" w:eastAsia="Calibri" w:hAnsi="Verdana" w:cs="Arial"/>
          <w:b/>
          <w:bCs/>
          <w:noProof/>
          <w:color w:val="000000" w:themeColor="text1"/>
          <w:lang w:eastAsia="es-ES"/>
        </w:rPr>
        <w:drawing>
          <wp:anchor distT="0" distB="0" distL="114300" distR="114300" simplePos="0" relativeHeight="251660288" behindDoc="0" locked="0" layoutInCell="1" allowOverlap="1" wp14:anchorId="7012978B" wp14:editId="617C8261">
            <wp:simplePos x="0" y="0"/>
            <wp:positionH relativeFrom="column">
              <wp:posOffset>2989431</wp:posOffset>
            </wp:positionH>
            <wp:positionV relativeFrom="paragraph">
              <wp:posOffset>172832</wp:posOffset>
            </wp:positionV>
            <wp:extent cx="2411095" cy="672465"/>
            <wp:effectExtent l="0" t="0" r="1905" b="635"/>
            <wp:wrapSquare wrapText="bothSides"/>
            <wp:docPr id="1492151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151240" name="Picture 1492151240"/>
                    <pic:cNvPicPr/>
                  </pic:nvPicPr>
                  <pic:blipFill>
                    <a:blip r:embed="rId10">
                      <a:extLst>
                        <a:ext uri="{28A0092B-C50C-407E-A947-70E740481C1C}">
                          <a14:useLocalDpi xmlns:a14="http://schemas.microsoft.com/office/drawing/2010/main" val="0"/>
                        </a:ext>
                      </a:extLst>
                    </a:blip>
                    <a:stretch>
                      <a:fillRect/>
                    </a:stretch>
                  </pic:blipFill>
                  <pic:spPr>
                    <a:xfrm>
                      <a:off x="0" y="0"/>
                      <a:ext cx="2411095" cy="672465"/>
                    </a:xfrm>
                    <a:prstGeom prst="rect">
                      <a:avLst/>
                    </a:prstGeom>
                  </pic:spPr>
                </pic:pic>
              </a:graphicData>
            </a:graphic>
            <wp14:sizeRelH relativeFrom="page">
              <wp14:pctWidth>0</wp14:pctWidth>
            </wp14:sizeRelH>
            <wp14:sizeRelV relativeFrom="page">
              <wp14:pctHeight>0</wp14:pctHeight>
            </wp14:sizeRelV>
          </wp:anchor>
        </w:drawing>
      </w:r>
      <w:r w:rsidR="00721B31" w:rsidRPr="00DD0F57">
        <w:rPr>
          <w:rFonts w:ascii="Verdana" w:hAnsi="Verdana"/>
          <w:lang w:val="es-ES"/>
        </w:rPr>
        <w:t xml:space="preserve">Bogotá D.C., </w:t>
      </w:r>
      <w:r>
        <w:rPr>
          <w:rFonts w:ascii="Verdana" w:hAnsi="Verdana"/>
          <w:lang w:val="es-ES"/>
        </w:rPr>
        <w:t>07 de julio de 2026</w:t>
      </w:r>
    </w:p>
    <w:p w14:paraId="0F3ED05D" w14:textId="36B471A5" w:rsidR="00721B31" w:rsidRPr="00DD0F57" w:rsidRDefault="00721B31" w:rsidP="00721B31">
      <w:pPr>
        <w:spacing w:after="0"/>
        <w:rPr>
          <w:rFonts w:ascii="Verdana" w:hAnsi="Verdana"/>
          <w:lang w:val="es-ES"/>
        </w:rPr>
      </w:pPr>
    </w:p>
    <w:p w14:paraId="77CC2F70" w14:textId="6332A260" w:rsidR="00721B31" w:rsidRPr="00DD0F57" w:rsidRDefault="00721B31" w:rsidP="00721B31">
      <w:pPr>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Señor</w:t>
      </w:r>
    </w:p>
    <w:p w14:paraId="6F44C99B" w14:textId="740537F4" w:rsidR="00721B31" w:rsidRDefault="00721B31" w:rsidP="00721B31">
      <w:pPr>
        <w:spacing w:after="0" w:line="240" w:lineRule="auto"/>
        <w:jc w:val="both"/>
        <w:rPr>
          <w:rFonts w:ascii="Verdana" w:eastAsia="Calibri" w:hAnsi="Verdana" w:cs="Arial"/>
          <w:b/>
          <w:bCs/>
          <w:color w:val="000000" w:themeColor="text1"/>
          <w:lang w:eastAsia="es-ES"/>
        </w:rPr>
      </w:pPr>
      <w:r w:rsidRPr="00036189">
        <w:rPr>
          <w:rFonts w:ascii="Verdana" w:eastAsia="Calibri" w:hAnsi="Verdana" w:cs="Arial"/>
          <w:b/>
          <w:bCs/>
          <w:color w:val="000000" w:themeColor="text1"/>
          <w:lang w:eastAsia="es-ES"/>
        </w:rPr>
        <w:t>Daniel Alberto Ávila Ricardo </w:t>
      </w:r>
    </w:p>
    <w:p w14:paraId="3CF72B22" w14:textId="77777777" w:rsidR="00721B31" w:rsidRPr="00DB66D5" w:rsidRDefault="00721B31" w:rsidP="00721B31">
      <w:pPr>
        <w:spacing w:after="0" w:line="240" w:lineRule="auto"/>
        <w:jc w:val="both"/>
        <w:rPr>
          <w:rFonts w:ascii="Verdana" w:eastAsia="Calibri" w:hAnsi="Verdana" w:cs="Arial"/>
          <w:color w:val="000000" w:themeColor="text1"/>
          <w:lang w:val="es-ES" w:eastAsia="es-ES"/>
        </w:rPr>
      </w:pPr>
      <w:hyperlink r:id="rId11" w:history="1">
        <w:r w:rsidRPr="00DB66D5">
          <w:rPr>
            <w:rStyle w:val="Hipervnculo"/>
            <w:rFonts w:ascii="Verdana" w:eastAsia="Calibri" w:hAnsi="Verdana" w:cs="Arial"/>
            <w:lang w:eastAsia="es-ES"/>
          </w:rPr>
          <w:t>dalbaving@gmail.com</w:t>
        </w:r>
      </w:hyperlink>
    </w:p>
    <w:p w14:paraId="713E7983" w14:textId="77777777" w:rsidR="00721B31" w:rsidRPr="00DD0F57" w:rsidRDefault="00721B31" w:rsidP="00721B31">
      <w:pPr>
        <w:spacing w:after="0" w:line="240" w:lineRule="auto"/>
        <w:rPr>
          <w:rFonts w:ascii="Verdana" w:eastAsia="Calibri" w:hAnsi="Verdana" w:cs="Arial"/>
          <w:color w:val="000000" w:themeColor="text1"/>
          <w:lang w:val="es-ES" w:eastAsia="es-ES_tradnl"/>
        </w:rPr>
      </w:pPr>
      <w:r w:rsidRPr="00DD0F57">
        <w:rPr>
          <w:rFonts w:ascii="Verdana" w:eastAsia="Calibri" w:hAnsi="Verdana" w:cs="Arial"/>
          <w:color w:val="000000" w:themeColor="text1"/>
          <w:lang w:val="es-ES" w:eastAsia="es-ES_tradnl"/>
        </w:rPr>
        <w:t>Bogotá D.C.</w:t>
      </w:r>
    </w:p>
    <w:p w14:paraId="04C87F58" w14:textId="77777777" w:rsidR="00721B31" w:rsidRPr="00DD0F57" w:rsidRDefault="00721B31" w:rsidP="00721B31">
      <w:pPr>
        <w:spacing w:after="0" w:line="240" w:lineRule="auto"/>
        <w:rPr>
          <w:rFonts w:ascii="Verdana" w:eastAsia="Calibri" w:hAnsi="Verdana" w:cs="Arial"/>
          <w:b/>
          <w:bCs/>
          <w:color w:val="000000" w:themeColor="text1"/>
          <w:lang w:val="es-ES" w:eastAsia="es-ES_tradnl"/>
        </w:rPr>
      </w:pPr>
    </w:p>
    <w:tbl>
      <w:tblPr>
        <w:tblStyle w:val="Tablaconcuadrcula"/>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721B31" w:rsidRPr="00DD0F57" w14:paraId="6F946556" w14:textId="77777777" w:rsidTr="00837C4E">
        <w:trPr>
          <w:gridAfter w:val="1"/>
          <w:wAfter w:w="4179" w:type="dxa"/>
          <w:trHeight w:val="304"/>
        </w:trPr>
        <w:tc>
          <w:tcPr>
            <w:tcW w:w="2689" w:type="dxa"/>
          </w:tcPr>
          <w:p w14:paraId="1ACA040D" w14:textId="77777777" w:rsidR="00721B31" w:rsidRPr="00DD0F57" w:rsidRDefault="00721B31" w:rsidP="00837C4E">
            <w:pPr>
              <w:jc w:val="both"/>
              <w:rPr>
                <w:rFonts w:ascii="Verdana" w:eastAsia="Calibri" w:hAnsi="Verdana" w:cs="Arial"/>
                <w:b/>
                <w:bCs/>
                <w:color w:val="000000" w:themeColor="text1"/>
                <w:lang w:val="es-ES" w:eastAsia="es-ES_tradnl"/>
              </w:rPr>
            </w:pPr>
          </w:p>
        </w:tc>
        <w:tc>
          <w:tcPr>
            <w:tcW w:w="6100" w:type="dxa"/>
          </w:tcPr>
          <w:p w14:paraId="530A1939" w14:textId="03719321" w:rsidR="00721B31" w:rsidRPr="00DD0F57" w:rsidRDefault="00721B31" w:rsidP="00837C4E">
            <w:pPr>
              <w:jc w:val="both"/>
              <w:rPr>
                <w:rFonts w:ascii="Verdana" w:eastAsia="Calibri" w:hAnsi="Verdana" w:cs="Arial"/>
                <w:b/>
                <w:bCs/>
                <w:color w:val="000000" w:themeColor="text1"/>
                <w:lang w:val="es-ES" w:eastAsia="es-ES"/>
              </w:rPr>
            </w:pPr>
            <w:r w:rsidRPr="00DD0F57">
              <w:rPr>
                <w:rFonts w:ascii="Verdana" w:eastAsia="Calibri" w:hAnsi="Verdana" w:cs="Arial"/>
                <w:b/>
                <w:bCs/>
                <w:color w:val="000000" w:themeColor="text1"/>
                <w:lang w:val="es-ES" w:eastAsia="es-ES"/>
              </w:rPr>
              <w:t>Concepto C-</w:t>
            </w:r>
            <w:r w:rsidR="001750F9">
              <w:rPr>
                <w:rFonts w:ascii="Verdana" w:eastAsia="Calibri" w:hAnsi="Verdana" w:cs="Arial"/>
                <w:b/>
                <w:bCs/>
                <w:color w:val="000000" w:themeColor="text1"/>
                <w:lang w:val="es-ES" w:eastAsia="es-ES"/>
              </w:rPr>
              <w:t>867</w:t>
            </w:r>
            <w:r w:rsidRPr="00DD0F57">
              <w:rPr>
                <w:rFonts w:ascii="Verdana" w:eastAsia="Calibri" w:hAnsi="Verdana" w:cs="Arial"/>
                <w:b/>
                <w:bCs/>
                <w:color w:val="000000" w:themeColor="text1"/>
                <w:lang w:val="es-ES" w:eastAsia="es-ES"/>
              </w:rPr>
              <w:t xml:space="preserve"> de 2026</w:t>
            </w:r>
          </w:p>
          <w:p w14:paraId="457689E1" w14:textId="77777777" w:rsidR="00721B31" w:rsidRPr="00DD0F57" w:rsidRDefault="00721B31" w:rsidP="00837C4E">
            <w:pPr>
              <w:jc w:val="both"/>
              <w:rPr>
                <w:rFonts w:ascii="Verdana" w:eastAsia="Calibri" w:hAnsi="Verdana" w:cs="Arial"/>
                <w:b/>
                <w:bCs/>
                <w:color w:val="000000" w:themeColor="text1"/>
                <w:lang w:val="es-ES" w:eastAsia="es-ES"/>
              </w:rPr>
            </w:pPr>
          </w:p>
        </w:tc>
      </w:tr>
      <w:tr w:rsidR="00721B31" w:rsidRPr="00DD0F57" w14:paraId="4024727F" w14:textId="77777777" w:rsidTr="00837C4E">
        <w:trPr>
          <w:trHeight w:val="884"/>
        </w:trPr>
        <w:tc>
          <w:tcPr>
            <w:tcW w:w="2689" w:type="dxa"/>
          </w:tcPr>
          <w:p w14:paraId="2B0083F6" w14:textId="77777777" w:rsidR="00721B31" w:rsidRPr="00DD0F57" w:rsidRDefault="00721B31" w:rsidP="00837C4E">
            <w:pPr>
              <w:jc w:val="both"/>
              <w:rPr>
                <w:rFonts w:ascii="Verdana" w:eastAsia="Calibri" w:hAnsi="Verdana" w:cs="Arial"/>
                <w:color w:val="000000" w:themeColor="text1"/>
                <w:lang w:val="es-ES" w:eastAsia="es-ES_tradnl"/>
              </w:rPr>
            </w:pPr>
            <w:r w:rsidRPr="00DD0F57">
              <w:rPr>
                <w:rFonts w:ascii="Verdana" w:eastAsia="Calibri" w:hAnsi="Verdana" w:cs="Arial"/>
                <w:b/>
                <w:color w:val="000000" w:themeColor="text1"/>
                <w:lang w:val="es-ES" w:eastAsia="es-ES_tradnl"/>
              </w:rPr>
              <w:t>Temas:</w:t>
            </w:r>
            <w:r w:rsidRPr="00DD0F57">
              <w:rPr>
                <w:rFonts w:ascii="Verdana" w:eastAsia="Calibri" w:hAnsi="Verdana" w:cs="Arial"/>
                <w:color w:val="000000" w:themeColor="text1"/>
                <w:lang w:val="es-ES" w:eastAsia="es-ES_tradnl"/>
              </w:rPr>
              <w:t xml:space="preserve">                   </w:t>
            </w:r>
          </w:p>
        </w:tc>
        <w:tc>
          <w:tcPr>
            <w:tcW w:w="6100" w:type="dxa"/>
          </w:tcPr>
          <w:p w14:paraId="4DD3479D" w14:textId="77777777" w:rsidR="00721B31" w:rsidRPr="00D926DB" w:rsidRDefault="00721B31" w:rsidP="00837C4E">
            <w:pPr>
              <w:jc w:val="both"/>
              <w:rPr>
                <w:rFonts w:ascii="Verdana" w:hAnsi="Verdana"/>
              </w:rPr>
            </w:pPr>
            <w:r w:rsidRPr="00D926DB">
              <w:rPr>
                <w:rFonts w:ascii="Verdana" w:hAnsi="Verdana"/>
              </w:rPr>
              <w:t>CONVOCATORIAS LIMITADAS A MIPYMES NACIONALES – Requisitos / CONVOCATORIAS LIMITADAS A MIPYMES EN EL ÁMBITO TERRITORIAL – Limitación territorial – Facultad discrecional / CONVOCATORIAS LIMITADAS A MIPYME – Limitación territorial – Decreto 1860 de 2021</w:t>
            </w:r>
            <w:r>
              <w:rPr>
                <w:rFonts w:ascii="Verdana" w:hAnsi="Verdana"/>
              </w:rPr>
              <w:t xml:space="preserve"> / </w:t>
            </w:r>
            <w:r w:rsidRPr="00635208">
              <w:rPr>
                <w:rFonts w:ascii="Verdana" w:hAnsi="Verdana"/>
              </w:rPr>
              <w:t xml:space="preserve">CONVOCATORIAS LIMITADAS A MIPYMES EN EL ÁMBITO TERRITORIAL – </w:t>
            </w:r>
            <w:r>
              <w:rPr>
                <w:rFonts w:ascii="Verdana" w:hAnsi="Verdana"/>
              </w:rPr>
              <w:t xml:space="preserve">Documentos </w:t>
            </w:r>
            <w:r w:rsidRPr="00635208">
              <w:rPr>
                <w:rFonts w:ascii="Verdana" w:hAnsi="Verdana"/>
              </w:rPr>
              <w:t>–</w:t>
            </w:r>
            <w:r>
              <w:rPr>
                <w:rFonts w:ascii="Verdana" w:hAnsi="Verdana"/>
              </w:rPr>
              <w:t xml:space="preserve"> Acreditación</w:t>
            </w:r>
          </w:p>
          <w:p w14:paraId="3D6F244F" w14:textId="77777777" w:rsidR="00721B31" w:rsidRPr="00DD0F57" w:rsidRDefault="00721B31" w:rsidP="00837C4E">
            <w:pPr>
              <w:spacing w:line="276" w:lineRule="auto"/>
              <w:jc w:val="both"/>
              <w:rPr>
                <w:rFonts w:ascii="Verdana" w:eastAsia="Calibri" w:hAnsi="Verdana" w:cs="Arial"/>
                <w:color w:val="000000" w:themeColor="text1"/>
                <w:lang w:val="es-ES" w:eastAsia="es-ES"/>
              </w:rPr>
            </w:pPr>
          </w:p>
        </w:tc>
        <w:tc>
          <w:tcPr>
            <w:tcW w:w="4179" w:type="dxa"/>
          </w:tcPr>
          <w:p w14:paraId="6BD0AF1B" w14:textId="77777777" w:rsidR="00721B31" w:rsidRPr="00DD0F57" w:rsidRDefault="00721B31" w:rsidP="00837C4E">
            <w:pPr>
              <w:spacing w:line="276" w:lineRule="auto"/>
              <w:jc w:val="both"/>
              <w:rPr>
                <w:rFonts w:ascii="Verdana" w:eastAsia="Calibri" w:hAnsi="Verdana" w:cs="Arial"/>
                <w:b/>
                <w:bCs/>
                <w:color w:val="000000" w:themeColor="text1"/>
                <w:lang w:val="es-ES" w:eastAsia="es-ES"/>
              </w:rPr>
            </w:pPr>
          </w:p>
          <w:p w14:paraId="3FDA98CB" w14:textId="77777777" w:rsidR="00721B31" w:rsidRPr="00DD0F57" w:rsidRDefault="00721B31" w:rsidP="00837C4E">
            <w:pPr>
              <w:rPr>
                <w:rFonts w:ascii="Verdana" w:hAnsi="Verdana"/>
                <w:lang w:val="es-ES"/>
              </w:rPr>
            </w:pPr>
          </w:p>
        </w:tc>
      </w:tr>
      <w:tr w:rsidR="00721B31" w:rsidRPr="00DD0F57" w14:paraId="3B848185" w14:textId="77777777" w:rsidTr="00837C4E">
        <w:trPr>
          <w:gridAfter w:val="1"/>
          <w:wAfter w:w="4179" w:type="dxa"/>
        </w:trPr>
        <w:tc>
          <w:tcPr>
            <w:tcW w:w="2689" w:type="dxa"/>
          </w:tcPr>
          <w:p w14:paraId="5149484E" w14:textId="77777777" w:rsidR="00721B31" w:rsidRPr="00DD0F57" w:rsidRDefault="00721B31" w:rsidP="00837C4E">
            <w:pPr>
              <w:jc w:val="both"/>
              <w:rPr>
                <w:rFonts w:ascii="Verdana" w:eastAsia="Calibri" w:hAnsi="Verdana" w:cs="Arial"/>
                <w:b/>
                <w:color w:val="000000" w:themeColor="text1"/>
                <w:lang w:val="es-ES" w:eastAsia="es-ES_tradnl"/>
              </w:rPr>
            </w:pPr>
            <w:r w:rsidRPr="00DD0F57">
              <w:rPr>
                <w:rFonts w:ascii="Verdana" w:eastAsia="Calibri" w:hAnsi="Verdana" w:cs="Arial"/>
                <w:b/>
                <w:color w:val="000000" w:themeColor="text1"/>
                <w:lang w:val="es-ES" w:eastAsia="es-ES_tradnl"/>
              </w:rPr>
              <w:t>Radicación:</w:t>
            </w:r>
            <w:r w:rsidRPr="00DD0F57">
              <w:rPr>
                <w:rFonts w:ascii="Verdana" w:eastAsia="Calibri" w:hAnsi="Verdana" w:cs="Arial"/>
                <w:color w:val="000000" w:themeColor="text1"/>
                <w:lang w:val="es-ES" w:eastAsia="es-ES_tradnl"/>
              </w:rPr>
              <w:t xml:space="preserve">               </w:t>
            </w:r>
          </w:p>
        </w:tc>
        <w:tc>
          <w:tcPr>
            <w:tcW w:w="6100" w:type="dxa"/>
          </w:tcPr>
          <w:p w14:paraId="0367ADD5" w14:textId="77777777" w:rsidR="00721B31" w:rsidRPr="00DD0F57" w:rsidRDefault="00721B31" w:rsidP="00837C4E">
            <w:pPr>
              <w:jc w:val="both"/>
              <w:rPr>
                <w:rFonts w:ascii="Verdana" w:eastAsia="Calibri" w:hAnsi="Verdana" w:cs="Arial"/>
                <w:color w:val="000000" w:themeColor="text1"/>
                <w:lang w:val="es-ES" w:eastAsia="es-ES_tradnl"/>
              </w:rPr>
            </w:pPr>
            <w:r w:rsidRPr="00DD0F57">
              <w:rPr>
                <w:rFonts w:ascii="Verdana" w:eastAsia="Calibri" w:hAnsi="Verdana" w:cs="Arial"/>
                <w:color w:val="000000" w:themeColor="text1"/>
                <w:lang w:val="es-ES" w:eastAsia="es-ES_tradnl"/>
              </w:rPr>
              <w:t xml:space="preserve">Respuesta a consulta con radicado No. </w:t>
            </w:r>
            <w:r w:rsidRPr="00036189">
              <w:rPr>
                <w:rFonts w:ascii="Verdana" w:eastAsia="Calibri" w:hAnsi="Verdana" w:cs="Arial"/>
                <w:color w:val="000000" w:themeColor="text1"/>
                <w:lang w:val="es-ES" w:eastAsia="es-ES_tradnl"/>
              </w:rPr>
              <w:t>1_2026_05_25_006964</w:t>
            </w:r>
          </w:p>
        </w:tc>
      </w:tr>
    </w:tbl>
    <w:p w14:paraId="6569AD8C" w14:textId="77777777" w:rsidR="00721B31" w:rsidRPr="00DD0F57" w:rsidRDefault="00721B31" w:rsidP="00721B31">
      <w:pPr>
        <w:spacing w:after="0" w:line="276" w:lineRule="auto"/>
        <w:jc w:val="both"/>
        <w:rPr>
          <w:rFonts w:ascii="Verdana" w:eastAsia="Calibri" w:hAnsi="Verdana" w:cs="Arial"/>
          <w:color w:val="000000" w:themeColor="text1"/>
          <w:lang w:val="es-ES" w:eastAsia="es-ES_tradnl"/>
        </w:rPr>
      </w:pPr>
    </w:p>
    <w:p w14:paraId="2233B2B9" w14:textId="77777777" w:rsidR="00721B31" w:rsidRPr="00DD0F57" w:rsidRDefault="00721B31" w:rsidP="00721B31">
      <w:pPr>
        <w:spacing w:after="0" w:line="276" w:lineRule="auto"/>
        <w:jc w:val="both"/>
        <w:rPr>
          <w:rFonts w:ascii="Verdana" w:eastAsia="Calibri" w:hAnsi="Verdana" w:cs="Arial"/>
          <w:color w:val="000000" w:themeColor="text1"/>
          <w:lang w:val="es-ES" w:eastAsia="es-ES"/>
        </w:rPr>
      </w:pPr>
      <w:r w:rsidRPr="00DD0F57">
        <w:rPr>
          <w:rFonts w:ascii="Verdana" w:eastAsia="Calibri" w:hAnsi="Verdana" w:cs="Arial"/>
          <w:color w:val="000000" w:themeColor="text1"/>
          <w:lang w:val="es-ES" w:eastAsia="es-ES"/>
        </w:rPr>
        <w:t xml:space="preserve">Estimado </w:t>
      </w:r>
      <w:r>
        <w:rPr>
          <w:rFonts w:ascii="Verdana" w:eastAsia="Calibri" w:hAnsi="Verdana" w:cs="Arial"/>
          <w:color w:val="000000" w:themeColor="text1"/>
          <w:lang w:val="es-ES" w:eastAsia="es-ES"/>
        </w:rPr>
        <w:t>señor</w:t>
      </w:r>
      <w:r w:rsidRPr="00DD0F57">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Ávila</w:t>
      </w:r>
      <w:r w:rsidRPr="00DD0F57">
        <w:rPr>
          <w:rFonts w:ascii="Verdana" w:eastAsia="Calibri" w:hAnsi="Verdana" w:cs="Arial"/>
          <w:color w:val="000000" w:themeColor="text1"/>
          <w:lang w:val="es-ES" w:eastAsia="es-ES"/>
        </w:rPr>
        <w:t>:</w:t>
      </w:r>
    </w:p>
    <w:p w14:paraId="345C1509" w14:textId="77777777" w:rsidR="00721B31" w:rsidRPr="00DD0F57" w:rsidRDefault="00721B31" w:rsidP="00721B31">
      <w:pPr>
        <w:tabs>
          <w:tab w:val="left" w:pos="3768"/>
        </w:tabs>
        <w:spacing w:after="0" w:line="276" w:lineRule="auto"/>
        <w:jc w:val="both"/>
        <w:rPr>
          <w:rFonts w:ascii="Verdana" w:eastAsia="Calibri" w:hAnsi="Verdana" w:cs="Arial"/>
          <w:color w:val="000000" w:themeColor="text1"/>
          <w:lang w:val="es-ES" w:eastAsia="es-ES"/>
        </w:rPr>
      </w:pPr>
      <w:r w:rsidRPr="00DD0F57">
        <w:rPr>
          <w:rFonts w:ascii="Verdana" w:eastAsia="Calibri" w:hAnsi="Verdana" w:cs="Arial"/>
          <w:color w:val="000000" w:themeColor="text1"/>
          <w:lang w:val="es-ES" w:eastAsia="es-ES"/>
        </w:rPr>
        <w:tab/>
      </w:r>
    </w:p>
    <w:p w14:paraId="4B9FCC17" w14:textId="7DDDBCFD" w:rsidR="00721B31" w:rsidRPr="00DD0F57" w:rsidRDefault="00721B31" w:rsidP="00721B31">
      <w:pPr>
        <w:spacing w:after="0" w:line="276" w:lineRule="auto"/>
        <w:jc w:val="both"/>
        <w:rPr>
          <w:rFonts w:ascii="Verdana" w:eastAsia="Calibri" w:hAnsi="Verdana" w:cs="Arial"/>
          <w:color w:val="000000" w:themeColor="text1"/>
          <w:lang w:val="es-ES" w:eastAsia="es-ES"/>
        </w:rPr>
      </w:pPr>
      <w:r w:rsidRPr="00DD0F57">
        <w:rPr>
          <w:rFonts w:ascii="Verdana" w:eastAsia="Calibri" w:hAnsi="Verdana" w:cs="Arial"/>
          <w:color w:val="000000" w:themeColor="text1"/>
          <w:lang w:val="es-ES" w:eastAsia="es-ES"/>
        </w:rPr>
        <w:t>En ejercicio de la competencia otorgada por los artículos 3, numeral 5º, y 11, numeral 8º, del Decreto Ley 4170 de 2011,</w:t>
      </w:r>
      <w:r w:rsidRPr="00DD0F57">
        <w:rPr>
          <w:rFonts w:ascii="Verdana" w:eastAsia="Arial MT" w:hAnsi="Verdana" w:cs="Arial MT"/>
          <w:color w:val="000000" w:themeColor="text1"/>
          <w:lang w:val="es-ES" w:eastAsia="es-ES"/>
        </w:rPr>
        <w:t xml:space="preserve"> </w:t>
      </w:r>
      <w:r w:rsidRPr="00DD0F57">
        <w:rPr>
          <w:rFonts w:ascii="Verdana" w:hAnsi="Verdana" w:cs="Arial"/>
          <w:color w:val="000000" w:themeColor="text1"/>
          <w:lang w:val="es-ES"/>
        </w:rPr>
        <w:t xml:space="preserve">así como lo establecido en el artículo 4 de la Resolución 1707 de 2018 expedida por esta Entidad, la Agencia Nacional de Contratación Pública – Colombia Compra Eficiente– responde su solicitud de concepto del </w:t>
      </w:r>
      <w:r>
        <w:rPr>
          <w:rFonts w:ascii="Verdana" w:hAnsi="Verdana" w:cs="Arial"/>
          <w:color w:val="000000" w:themeColor="text1"/>
          <w:lang w:val="es-ES"/>
        </w:rPr>
        <w:t>25</w:t>
      </w:r>
      <w:r w:rsidR="00E96C92">
        <w:rPr>
          <w:rFonts w:ascii="Verdana" w:hAnsi="Verdana" w:cs="Arial"/>
          <w:color w:val="000000" w:themeColor="text1"/>
          <w:lang w:val="es-ES"/>
        </w:rPr>
        <w:t xml:space="preserve"> </w:t>
      </w:r>
      <w:r>
        <w:rPr>
          <w:rFonts w:ascii="Verdana" w:hAnsi="Verdana" w:cs="Arial"/>
          <w:color w:val="000000" w:themeColor="text1"/>
          <w:lang w:val="es-ES"/>
        </w:rPr>
        <w:t xml:space="preserve">de mayo de </w:t>
      </w:r>
      <w:r w:rsidRPr="00DD0F57">
        <w:rPr>
          <w:rFonts w:ascii="Verdana" w:hAnsi="Verdana" w:cs="Arial"/>
          <w:color w:val="000000" w:themeColor="text1"/>
          <w:lang w:val="es-ES"/>
        </w:rPr>
        <w:t>2026, en la cual manifiesta lo siguiente:</w:t>
      </w:r>
      <w:r w:rsidRPr="00DD0F57">
        <w:rPr>
          <w:rFonts w:ascii="Verdana" w:eastAsia="Calibri" w:hAnsi="Verdana" w:cs="Arial"/>
          <w:color w:val="000000" w:themeColor="text1"/>
          <w:lang w:val="es-ES" w:eastAsia="es-ES"/>
        </w:rPr>
        <w:t xml:space="preserve"> </w:t>
      </w:r>
    </w:p>
    <w:p w14:paraId="4C6575AE" w14:textId="77777777" w:rsidR="00721B31" w:rsidRPr="00DD0F57" w:rsidRDefault="00721B31" w:rsidP="00721B31">
      <w:pPr>
        <w:spacing w:after="0" w:line="276" w:lineRule="auto"/>
        <w:jc w:val="both"/>
        <w:rPr>
          <w:rFonts w:ascii="Verdana" w:eastAsia="Calibri" w:hAnsi="Verdana" w:cs="Arial"/>
          <w:color w:val="000000" w:themeColor="text1"/>
          <w:lang w:val="es-ES" w:eastAsia="es-ES"/>
        </w:rPr>
      </w:pPr>
    </w:p>
    <w:p w14:paraId="6B60808E" w14:textId="77777777" w:rsidR="00721B31" w:rsidRDefault="00721B31" w:rsidP="00721B31">
      <w:pPr>
        <w:spacing w:after="0"/>
        <w:ind w:left="709" w:right="709"/>
        <w:contextualSpacing/>
        <w:jc w:val="both"/>
        <w:rPr>
          <w:rFonts w:ascii="Verdana" w:eastAsia="Century Gothic" w:hAnsi="Verdana" w:cs="Century Gothic"/>
          <w:i/>
          <w:color w:val="000000" w:themeColor="text1"/>
          <w:sz w:val="20"/>
          <w:szCs w:val="20"/>
          <w:lang/>
        </w:rPr>
      </w:pPr>
      <w:r w:rsidRPr="00DD0F57">
        <w:rPr>
          <w:rFonts w:ascii="Verdana" w:eastAsia="Century Gothic" w:hAnsi="Verdana" w:cs="Century Gothic"/>
          <w:i/>
          <w:iCs/>
          <w:color w:val="000000" w:themeColor="text1"/>
          <w:sz w:val="20"/>
          <w:szCs w:val="20"/>
          <w:lang w:val="es-ES"/>
        </w:rPr>
        <w:t>“[…]</w:t>
      </w:r>
      <w:r>
        <w:rPr>
          <w:rFonts w:ascii="Verdana" w:eastAsia="Century Gothic" w:hAnsi="Verdana" w:cs="Century Gothic"/>
          <w:i/>
          <w:color w:val="000000" w:themeColor="text1"/>
          <w:sz w:val="20"/>
          <w:szCs w:val="20"/>
        </w:rPr>
        <w:t xml:space="preserve"> </w:t>
      </w:r>
      <w:r w:rsidRPr="00036189">
        <w:rPr>
          <w:rFonts w:ascii="Verdana" w:eastAsia="Century Gothic" w:hAnsi="Verdana" w:cs="Century Gothic"/>
          <w:i/>
          <w:color w:val="000000" w:themeColor="text1"/>
          <w:sz w:val="20"/>
          <w:szCs w:val="20"/>
          <w:lang/>
        </w:rPr>
        <w:t>on el fin de unificar criterios institucionales y contar con un fundamento jurídico especializado, solicito respetuosamente a Colombia Compra Eficiente absolver las siguientes preguntas:</w:t>
      </w:r>
    </w:p>
    <w:p w14:paraId="7030BA73" w14:textId="77777777" w:rsidR="00721B31" w:rsidRPr="00036189" w:rsidRDefault="00721B31" w:rsidP="00721B31">
      <w:pPr>
        <w:spacing w:after="0"/>
        <w:ind w:left="709" w:right="709"/>
        <w:contextualSpacing/>
        <w:jc w:val="both"/>
        <w:rPr>
          <w:rFonts w:ascii="Verdana" w:eastAsia="Century Gothic" w:hAnsi="Verdana" w:cs="Century Gothic"/>
          <w:i/>
          <w:color w:val="000000" w:themeColor="text1"/>
          <w:sz w:val="20"/>
          <w:szCs w:val="20"/>
          <w:lang/>
        </w:rPr>
      </w:pPr>
    </w:p>
    <w:p w14:paraId="186DB927" w14:textId="77777777" w:rsidR="00721B31" w:rsidRPr="00036189" w:rsidRDefault="00721B31" w:rsidP="00721B31">
      <w:pPr>
        <w:numPr>
          <w:ilvl w:val="0"/>
          <w:numId w:val="18"/>
        </w:numPr>
        <w:spacing w:after="0"/>
        <w:ind w:right="709"/>
        <w:contextualSpacing/>
        <w:jc w:val="both"/>
        <w:rPr>
          <w:rFonts w:ascii="Verdana" w:eastAsia="Century Gothic" w:hAnsi="Verdana" w:cs="Century Gothic"/>
          <w:i/>
          <w:color w:val="000000" w:themeColor="text1"/>
          <w:sz w:val="20"/>
          <w:szCs w:val="20"/>
          <w:lang w:val="en-US"/>
        </w:rPr>
      </w:pPr>
      <w:r w:rsidRPr="4B5850F8">
        <w:rPr>
          <w:rFonts w:ascii="Verdana" w:eastAsia="Century Gothic" w:hAnsi="Verdana" w:cs="Century Gothic"/>
          <w:i/>
          <w:color w:val="000000" w:themeColor="text1"/>
          <w:sz w:val="20"/>
          <w:szCs w:val="20"/>
          <w:lang w:val="en-US"/>
        </w:rPr>
        <w:t>¿Constituye el Certificado de Existencia y Representación Legal de la Cámara de Comercio una prueba absoluta e incontrovertible del domicilio principal y real de un proponente, o admite prueba en contrario (iuris tantum) dentro de la etapa de evaluación de un proceso de selección?</w:t>
      </w:r>
    </w:p>
    <w:p w14:paraId="4464CBE2" w14:textId="77777777" w:rsidR="00721B31" w:rsidRPr="00036189" w:rsidRDefault="00721B31" w:rsidP="00721B31">
      <w:pPr>
        <w:numPr>
          <w:ilvl w:val="0"/>
          <w:numId w:val="18"/>
        </w:numPr>
        <w:spacing w:after="0"/>
        <w:ind w:right="709"/>
        <w:contextualSpacing/>
        <w:jc w:val="both"/>
        <w:rPr>
          <w:rFonts w:ascii="Verdana" w:eastAsia="Century Gothic" w:hAnsi="Verdana" w:cs="Century Gothic"/>
          <w:i/>
          <w:color w:val="000000" w:themeColor="text1"/>
          <w:sz w:val="20"/>
          <w:szCs w:val="20"/>
          <w:lang w:val="en-US"/>
        </w:rPr>
      </w:pPr>
      <w:r w:rsidRPr="4B5850F8">
        <w:rPr>
          <w:rFonts w:ascii="Verdana" w:eastAsia="Century Gothic" w:hAnsi="Verdana" w:cs="Century Gothic"/>
          <w:i/>
          <w:color w:val="000000" w:themeColor="text1"/>
          <w:sz w:val="20"/>
          <w:szCs w:val="20"/>
          <w:lang w:val="en-US"/>
        </w:rPr>
        <w:t xml:space="preserve">Frente a denuncias ciudadanas u observaciones de otros oferentes, fundamentadas en indicios graves que demuestren que en la dirección </w:t>
      </w:r>
      <w:r w:rsidRPr="4B5850F8">
        <w:rPr>
          <w:rFonts w:ascii="Verdana" w:eastAsia="Century Gothic" w:hAnsi="Verdana" w:cs="Century Gothic"/>
          <w:i/>
          <w:color w:val="000000" w:themeColor="text1"/>
          <w:sz w:val="20"/>
          <w:szCs w:val="20"/>
          <w:lang w:val="en-US"/>
        </w:rPr>
        <w:lastRenderedPageBreak/>
        <w:t>aportada por un proponente no operan sus oficinas ni actividades comerciales, ¿está facultada u obligada la Entidad Estatal a realizar verificaciones de campo (v.gr., visitas técnicas, requerimiento de contratos de arrendamiento, pagos de impuestos locales como el ICA) antes de otorgar la condición de Mipyme Local?</w:t>
      </w:r>
    </w:p>
    <w:p w14:paraId="69EE7836" w14:textId="77777777" w:rsidR="00721B31" w:rsidRPr="00036189" w:rsidRDefault="00721B31" w:rsidP="00721B31">
      <w:pPr>
        <w:numPr>
          <w:ilvl w:val="0"/>
          <w:numId w:val="18"/>
        </w:numPr>
        <w:spacing w:after="0"/>
        <w:ind w:right="709"/>
        <w:contextualSpacing/>
        <w:jc w:val="both"/>
        <w:rPr>
          <w:rFonts w:ascii="Verdana" w:eastAsia="Century Gothic" w:hAnsi="Verdana" w:cs="Century Gothic"/>
          <w:i/>
          <w:color w:val="000000" w:themeColor="text1"/>
          <w:sz w:val="20"/>
          <w:szCs w:val="20"/>
          <w:lang w:val="en-US"/>
        </w:rPr>
      </w:pPr>
      <w:r w:rsidRPr="4B5850F8">
        <w:rPr>
          <w:rFonts w:ascii="Verdana" w:eastAsia="Century Gothic" w:hAnsi="Verdana" w:cs="Century Gothic"/>
          <w:i/>
          <w:color w:val="000000" w:themeColor="text1"/>
          <w:sz w:val="20"/>
          <w:szCs w:val="20"/>
          <w:lang w:val="en-US"/>
        </w:rPr>
        <w:t>¿Cuál es el alcance del Principio de Selección Objetiva y del Deber de Verificación frente a la simulación de condiciones habilitantes territoriales (domicilios de fachada) en la contratación pública?</w:t>
      </w:r>
    </w:p>
    <w:p w14:paraId="7C86AB05" w14:textId="77777777" w:rsidR="00721B31" w:rsidRPr="00036189" w:rsidRDefault="00721B31" w:rsidP="00721B31">
      <w:pPr>
        <w:numPr>
          <w:ilvl w:val="0"/>
          <w:numId w:val="18"/>
        </w:numPr>
        <w:spacing w:after="0"/>
        <w:ind w:right="709"/>
        <w:contextualSpacing/>
        <w:jc w:val="both"/>
        <w:rPr>
          <w:rFonts w:ascii="Verdana" w:eastAsia="Century Gothic" w:hAnsi="Verdana" w:cs="Century Gothic"/>
          <w:i/>
          <w:color w:val="000000" w:themeColor="text1"/>
          <w:sz w:val="20"/>
          <w:szCs w:val="20"/>
          <w:lang w:val="en-US"/>
        </w:rPr>
      </w:pPr>
      <w:r w:rsidRPr="4B5850F8">
        <w:rPr>
          <w:rFonts w:ascii="Verdana" w:eastAsia="Century Gothic" w:hAnsi="Verdana" w:cs="Century Gothic"/>
          <w:i/>
          <w:color w:val="000000" w:themeColor="text1"/>
          <w:sz w:val="20"/>
          <w:szCs w:val="20"/>
          <w:lang w:val="en-US"/>
        </w:rPr>
        <w:t>Si una entidad estatal constata materialmente que un proponente no ejerce actividades ni tiene infraestructura real en el municipio, a pesar de lo registrado en su Cámara de Comercio, ¿debe rechazar la propuesta por el incumplimiento de los requisitos habilitantes territoriales o la pérdida del incentivo de Mipyme Local?</w:t>
      </w:r>
    </w:p>
    <w:p w14:paraId="555BE53D" w14:textId="77777777" w:rsidR="00721B31" w:rsidRPr="00036189" w:rsidRDefault="00721B31" w:rsidP="00721B31">
      <w:pPr>
        <w:spacing w:after="0"/>
        <w:ind w:left="720" w:right="709"/>
        <w:contextualSpacing/>
        <w:jc w:val="both"/>
        <w:rPr>
          <w:rFonts w:ascii="Verdana" w:eastAsia="Century Gothic" w:hAnsi="Verdana" w:cs="Century Gothic"/>
          <w:i/>
          <w:color w:val="000000" w:themeColor="text1"/>
          <w:sz w:val="20"/>
          <w:szCs w:val="20"/>
          <w:lang/>
        </w:rPr>
      </w:pPr>
    </w:p>
    <w:p w14:paraId="417629E7" w14:textId="218BF4E1" w:rsidR="00721B31" w:rsidRDefault="00721B31" w:rsidP="00721B31">
      <w:pPr>
        <w:spacing w:after="0"/>
        <w:ind w:left="709" w:right="709"/>
        <w:contextualSpacing/>
        <w:jc w:val="both"/>
        <w:rPr>
          <w:rFonts w:ascii="Verdana" w:eastAsia="Century Gothic" w:hAnsi="Verdana" w:cs="Century Gothic"/>
          <w:b/>
          <w:bCs/>
          <w:i/>
          <w:color w:val="000000" w:themeColor="text1"/>
          <w:sz w:val="20"/>
          <w:szCs w:val="20"/>
          <w:lang/>
        </w:rPr>
      </w:pPr>
      <w:r w:rsidRPr="00036189">
        <w:rPr>
          <w:rFonts w:ascii="Verdana" w:eastAsia="Century Gothic" w:hAnsi="Verdana" w:cs="Century Gothic"/>
          <w:b/>
          <w:bCs/>
          <w:i/>
          <w:color w:val="000000" w:themeColor="text1"/>
          <w:sz w:val="20"/>
          <w:szCs w:val="20"/>
          <w:lang/>
        </w:rPr>
        <w:t>III. FUNDAMENTOS PREVIOS CONSIDERADOS BY</w:t>
      </w:r>
      <w:r w:rsidR="00DB1647">
        <w:rPr>
          <w:rFonts w:ascii="Verdana" w:eastAsia="Century Gothic" w:hAnsi="Verdana" w:cs="Century Gothic"/>
          <w:b/>
          <w:bCs/>
          <w:i/>
          <w:color w:val="000000" w:themeColor="text1"/>
          <w:sz w:val="20"/>
          <w:szCs w:val="20"/>
          <w:lang/>
        </w:rPr>
        <w:t xml:space="preserve"> </w:t>
      </w:r>
      <w:r w:rsidR="00DB1647" w:rsidRPr="00DB1647">
        <w:rPr>
          <w:rFonts w:ascii="Verdana" w:eastAsia="Century Gothic" w:hAnsi="Verdana" w:cs="Century Gothic"/>
          <w:iCs/>
          <w:color w:val="000000" w:themeColor="text1"/>
          <w:sz w:val="20"/>
          <w:szCs w:val="20"/>
          <w:lang/>
        </w:rPr>
        <w:t>[sic]</w:t>
      </w:r>
      <w:r w:rsidR="00DB1647" w:rsidRPr="00036189">
        <w:rPr>
          <w:rFonts w:ascii="Verdana" w:eastAsia="Century Gothic" w:hAnsi="Verdana" w:cs="Century Gothic"/>
          <w:b/>
          <w:bCs/>
          <w:i/>
          <w:color w:val="000000" w:themeColor="text1"/>
          <w:sz w:val="20"/>
          <w:szCs w:val="20"/>
          <w:lang/>
        </w:rPr>
        <w:t xml:space="preserve"> </w:t>
      </w:r>
      <w:r w:rsidRPr="00036189">
        <w:rPr>
          <w:rFonts w:ascii="Verdana" w:eastAsia="Century Gothic" w:hAnsi="Verdana" w:cs="Century Gothic"/>
          <w:b/>
          <w:bCs/>
          <w:i/>
          <w:color w:val="000000" w:themeColor="text1"/>
          <w:sz w:val="20"/>
          <w:szCs w:val="20"/>
          <w:lang/>
        </w:rPr>
        <w:t>EL PETICIONARIO</w:t>
      </w:r>
    </w:p>
    <w:p w14:paraId="6D326D77" w14:textId="77777777" w:rsidR="00721B31" w:rsidRPr="00036189" w:rsidRDefault="00721B31" w:rsidP="00721B31">
      <w:pPr>
        <w:spacing w:after="0"/>
        <w:ind w:left="709" w:right="709"/>
        <w:contextualSpacing/>
        <w:jc w:val="both"/>
        <w:rPr>
          <w:rFonts w:ascii="Verdana" w:eastAsia="Century Gothic" w:hAnsi="Verdana" w:cs="Century Gothic"/>
          <w:b/>
          <w:bCs/>
          <w:i/>
          <w:color w:val="000000" w:themeColor="text1"/>
          <w:sz w:val="20"/>
          <w:szCs w:val="20"/>
          <w:lang/>
        </w:rPr>
      </w:pPr>
    </w:p>
    <w:p w14:paraId="429E534F" w14:textId="77777777" w:rsidR="00721B31" w:rsidRPr="00036189" w:rsidRDefault="00721B31" w:rsidP="00721B31">
      <w:pPr>
        <w:spacing w:after="0"/>
        <w:ind w:left="709" w:right="709"/>
        <w:contextualSpacing/>
        <w:jc w:val="both"/>
        <w:rPr>
          <w:rFonts w:ascii="Verdana" w:eastAsia="Century Gothic" w:hAnsi="Verdana" w:cs="Century Gothic"/>
          <w:i/>
          <w:color w:val="000000" w:themeColor="text1"/>
          <w:sz w:val="20"/>
          <w:szCs w:val="20"/>
          <w:lang w:val="en-US"/>
        </w:rPr>
      </w:pPr>
      <w:r w:rsidRPr="4B5850F8">
        <w:rPr>
          <w:rFonts w:ascii="Verdana" w:eastAsia="Century Gothic" w:hAnsi="Verdana" w:cs="Century Gothic"/>
          <w:i/>
          <w:color w:val="000000" w:themeColor="text1"/>
          <w:sz w:val="20"/>
          <w:szCs w:val="20"/>
          <w:lang w:val="en-US"/>
        </w:rPr>
        <w:t>A juicio de este peticionario, y en concordancia con el artículo 76 del Código de Comercio, el domicilio civil y comercial corresponde al lugar donde se tiene el asiento principal de los negocios. Permitir que un proponente acceda a beneficios de territorialidad mediante un domicilio ficticio vulneraría los principios de igualdad, moralidad administrativa y transparencia (Artículo 209 de la Constitución Política), transformando la función de verificación de las entidades en un mero trámite formal y ciego ante la realidad material.</w:t>
      </w:r>
    </w:p>
    <w:p w14:paraId="4EEED8E3" w14:textId="77777777" w:rsidR="00721B31" w:rsidRPr="00036189" w:rsidRDefault="00721B31" w:rsidP="00721B31">
      <w:pPr>
        <w:spacing w:after="0"/>
        <w:ind w:left="709" w:right="709"/>
        <w:contextualSpacing/>
        <w:jc w:val="both"/>
        <w:rPr>
          <w:rFonts w:ascii="Verdana" w:eastAsia="Century Gothic" w:hAnsi="Verdana" w:cs="Century Gothic"/>
          <w:i/>
          <w:color w:val="000000" w:themeColor="text1"/>
          <w:sz w:val="20"/>
          <w:szCs w:val="20"/>
          <w:lang/>
        </w:rPr>
      </w:pPr>
    </w:p>
    <w:p w14:paraId="3C03587A" w14:textId="77777777" w:rsidR="00721B31" w:rsidRPr="00036189" w:rsidRDefault="00721B31" w:rsidP="00721B31">
      <w:pPr>
        <w:spacing w:after="0"/>
        <w:ind w:left="709" w:right="709"/>
        <w:contextualSpacing/>
        <w:jc w:val="both"/>
        <w:rPr>
          <w:rFonts w:ascii="Verdana" w:eastAsia="Century Gothic" w:hAnsi="Verdana" w:cs="Century Gothic"/>
          <w:i/>
          <w:color w:val="000000" w:themeColor="text1"/>
          <w:sz w:val="20"/>
          <w:szCs w:val="20"/>
        </w:rPr>
      </w:pPr>
      <w:r w:rsidRPr="00036189">
        <w:rPr>
          <w:rFonts w:ascii="Verdana" w:eastAsia="Century Gothic" w:hAnsi="Verdana" w:cs="Century Gothic"/>
          <w:i/>
          <w:color w:val="000000" w:themeColor="text1"/>
          <w:sz w:val="20"/>
          <w:szCs w:val="20"/>
        </w:rPr>
        <w:t>[…]”</w:t>
      </w:r>
    </w:p>
    <w:p w14:paraId="67661C41" w14:textId="77777777" w:rsidR="00721B31" w:rsidRPr="00DD0F57" w:rsidRDefault="00721B31" w:rsidP="00721B31">
      <w:pPr>
        <w:spacing w:after="0"/>
        <w:ind w:left="709" w:right="709"/>
        <w:jc w:val="both"/>
        <w:rPr>
          <w:rFonts w:ascii="Verdana" w:eastAsia="Century Gothic" w:hAnsi="Verdana" w:cs="Century Gothic"/>
          <w:i/>
          <w:iCs/>
          <w:color w:val="000000" w:themeColor="text1"/>
          <w:sz w:val="20"/>
          <w:szCs w:val="20"/>
          <w:lang w:val="es-ES"/>
        </w:rPr>
      </w:pPr>
    </w:p>
    <w:p w14:paraId="5356E4F2" w14:textId="77777777" w:rsidR="00721B31" w:rsidRPr="00DD0F57" w:rsidRDefault="00721B31" w:rsidP="00721B31">
      <w:pPr>
        <w:spacing w:after="0" w:line="276" w:lineRule="auto"/>
        <w:contextualSpacing/>
        <w:jc w:val="both"/>
        <w:rPr>
          <w:rFonts w:ascii="Verdana" w:eastAsia="Calibri" w:hAnsi="Verdana" w:cs="Arial"/>
          <w:color w:val="000000" w:themeColor="text1"/>
          <w:szCs w:val="24"/>
          <w:lang w:val="es-ES" w:eastAsia="es-ES_tradnl"/>
        </w:rPr>
      </w:pPr>
      <w:r w:rsidRPr="00DD0F57">
        <w:rPr>
          <w:rFonts w:ascii="Verdana" w:eastAsia="Calibri" w:hAnsi="Verdana" w:cs="Arial"/>
          <w:color w:val="000000" w:themeColor="text1"/>
          <w:lang w:val="es-ES" w:eastAsia="es-ES"/>
        </w:rPr>
        <w:tab/>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D0F57">
        <w:rPr>
          <w:rFonts w:ascii="Verdana" w:eastAsia="Calibri" w:hAnsi="Verdana" w:cs="Arial"/>
          <w:color w:val="000000" w:themeColor="text1"/>
          <w:szCs w:val="24"/>
          <w:lang w:val="es-ES" w:eastAsia="es-ES_tradnl"/>
        </w:rPr>
        <w:tab/>
      </w:r>
    </w:p>
    <w:p w14:paraId="4799F101" w14:textId="77777777" w:rsidR="00721B31" w:rsidRPr="00DD0F57" w:rsidRDefault="00721B31" w:rsidP="00721B31">
      <w:pPr>
        <w:spacing w:before="120" w:after="120" w:line="276" w:lineRule="auto"/>
        <w:ind w:firstLine="709"/>
        <w:jc w:val="both"/>
        <w:rPr>
          <w:rFonts w:ascii="Verdana" w:eastAsia="Calibri" w:hAnsi="Verdana" w:cs="Arial"/>
          <w:color w:val="000000" w:themeColor="text1"/>
          <w:lang w:val="es-ES" w:eastAsia="es-ES"/>
        </w:rPr>
      </w:pPr>
      <w:r w:rsidRPr="00DD0F57">
        <w:rPr>
          <w:rFonts w:ascii="Verdana" w:eastAsia="Calibri" w:hAnsi="Verdana" w:cs="Arial"/>
          <w:color w:val="000000" w:themeColor="text1"/>
          <w:lang w:val="es-ES" w:eastAsia="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7BF8C13" w14:textId="77777777" w:rsidR="00721B31" w:rsidRPr="00DD0F57" w:rsidRDefault="00721B31" w:rsidP="00721B31">
      <w:pPr>
        <w:spacing w:after="0" w:line="276" w:lineRule="auto"/>
        <w:jc w:val="both"/>
        <w:rPr>
          <w:rFonts w:ascii="Verdana" w:eastAsia="Calibri" w:hAnsi="Verdana" w:cs="Arial"/>
          <w:color w:val="000000" w:themeColor="text1"/>
          <w:lang w:val="es-ES" w:eastAsia="es-ES"/>
        </w:rPr>
      </w:pPr>
    </w:p>
    <w:p w14:paraId="0A6DB782" w14:textId="77777777" w:rsidR="00721B31" w:rsidRPr="00DD0F57" w:rsidRDefault="00721B31" w:rsidP="00721B3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DD0F57">
        <w:rPr>
          <w:rFonts w:ascii="Verdana" w:eastAsia="Century Gothic" w:hAnsi="Verdana" w:cs="Century Gothic"/>
          <w:b/>
          <w:bCs/>
          <w:color w:val="000000" w:themeColor="text1"/>
        </w:rPr>
        <w:t>Problema planteado:</w:t>
      </w:r>
    </w:p>
    <w:p w14:paraId="2E259A6B" w14:textId="77777777" w:rsidR="00721B31" w:rsidRPr="00DD0F57" w:rsidRDefault="00721B31" w:rsidP="00721B31">
      <w:pPr>
        <w:tabs>
          <w:tab w:val="left" w:pos="426"/>
        </w:tabs>
        <w:spacing w:after="0" w:line="276" w:lineRule="auto"/>
        <w:jc w:val="both"/>
        <w:rPr>
          <w:rFonts w:ascii="Verdana" w:eastAsia="Century Gothic" w:hAnsi="Verdana" w:cs="Century Gothic"/>
          <w:color w:val="000000" w:themeColor="text1"/>
          <w:lang w:val="es-ES"/>
        </w:rPr>
      </w:pPr>
    </w:p>
    <w:p w14:paraId="73A1CA71" w14:textId="27EB854B" w:rsidR="00721B31" w:rsidRPr="00DD0F57" w:rsidRDefault="00721B31" w:rsidP="00721B31">
      <w:pPr>
        <w:spacing w:after="0" w:line="276" w:lineRule="auto"/>
        <w:jc w:val="both"/>
        <w:rPr>
          <w:rFonts w:ascii="Verdana" w:eastAsia="Century Gothic" w:hAnsi="Verdana" w:cs="Century Gothic"/>
          <w:color w:val="000000" w:themeColor="text1"/>
          <w:lang w:val="es-ES"/>
        </w:rPr>
      </w:pPr>
      <w:r w:rsidRPr="00DD0F57">
        <w:rPr>
          <w:rFonts w:ascii="Verdana" w:eastAsia="Century Gothic" w:hAnsi="Verdana" w:cs="Century Gothic"/>
          <w:color w:val="000000" w:themeColor="text1"/>
          <w:lang w:val="es-ES"/>
        </w:rPr>
        <w:t xml:space="preserve">De acuerdo con el contenido de su solicitud, esta Agencia resolverá </w:t>
      </w:r>
      <w:r w:rsidR="003C2584">
        <w:rPr>
          <w:rFonts w:ascii="Verdana" w:eastAsia="Century Gothic" w:hAnsi="Verdana" w:cs="Century Gothic"/>
          <w:color w:val="000000" w:themeColor="text1"/>
          <w:lang w:val="es-ES"/>
        </w:rPr>
        <w:t>el</w:t>
      </w:r>
      <w:r w:rsidRPr="00DD0F57">
        <w:rPr>
          <w:rFonts w:ascii="Verdana" w:eastAsia="Century Gothic" w:hAnsi="Verdana" w:cs="Century Gothic"/>
          <w:color w:val="000000" w:themeColor="text1"/>
          <w:lang w:val="es-ES"/>
        </w:rPr>
        <w:t xml:space="preserve"> siguiente problema jurídico: ¿</w:t>
      </w:r>
      <w:r>
        <w:rPr>
          <w:rFonts w:ascii="Verdana" w:eastAsia="Century Gothic" w:hAnsi="Verdana" w:cs="Century Gothic"/>
          <w:color w:val="000000" w:themeColor="text1"/>
          <w:lang w:val="es-ES"/>
        </w:rPr>
        <w:t xml:space="preserve">cuáles son los documentos con los cuales las Mipyme deben acreditar su domicilio para efectos de la “limitación territorial” a la cual se refiere el artículo </w:t>
      </w:r>
      <w:r w:rsidRPr="00886725">
        <w:rPr>
          <w:rFonts w:ascii="Verdana" w:eastAsia="Times New Roman" w:hAnsi="Verdana" w:cs="Arial"/>
          <w:lang w:eastAsia="es-ES_tradnl"/>
        </w:rPr>
        <w:t>2.2.1.2.4.2.</w:t>
      </w:r>
      <w:r>
        <w:rPr>
          <w:rFonts w:ascii="Verdana" w:eastAsia="Times New Roman" w:hAnsi="Verdana" w:cs="Arial"/>
          <w:lang w:eastAsia="es-ES_tradnl"/>
        </w:rPr>
        <w:t>3 del Decreto 1082 de 2015</w:t>
      </w:r>
      <w:r w:rsidRPr="00DD0F57">
        <w:rPr>
          <w:rFonts w:ascii="Verdana" w:eastAsia="Century Gothic" w:hAnsi="Verdana" w:cs="Century Gothic"/>
          <w:color w:val="000000" w:themeColor="text1"/>
          <w:lang w:val="es-ES"/>
        </w:rPr>
        <w:t xml:space="preserve">?  </w:t>
      </w:r>
    </w:p>
    <w:p w14:paraId="20E04D82" w14:textId="77777777" w:rsidR="00721B31" w:rsidRPr="00DD0F57" w:rsidRDefault="00721B31" w:rsidP="00721B31">
      <w:pPr>
        <w:spacing w:after="0" w:line="276" w:lineRule="auto"/>
        <w:jc w:val="both"/>
        <w:rPr>
          <w:rFonts w:ascii="Verdana" w:eastAsia="Calibri" w:hAnsi="Verdana" w:cs="Arial"/>
          <w:color w:val="000000" w:themeColor="text1"/>
          <w:lang w:val="es-ES"/>
        </w:rPr>
      </w:pPr>
    </w:p>
    <w:p w14:paraId="580A42D3" w14:textId="77777777" w:rsidR="00721B31" w:rsidRPr="00DD0F57" w:rsidRDefault="00721B31" w:rsidP="00721B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D0F57">
        <w:rPr>
          <w:rFonts w:ascii="Verdana" w:eastAsia="Century Gothic" w:hAnsi="Verdana" w:cs="Century Gothic"/>
          <w:b/>
          <w:bCs/>
          <w:color w:val="000000" w:themeColor="text1"/>
        </w:rPr>
        <w:t>Respuesta:</w:t>
      </w:r>
    </w:p>
    <w:p w14:paraId="1CB28740" w14:textId="77777777" w:rsidR="00721B31" w:rsidRPr="00DD0F57" w:rsidRDefault="00721B31" w:rsidP="00721B31">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1B31" w:rsidRPr="00DD0F57" w14:paraId="07308157" w14:textId="77777777" w:rsidTr="00837C4E">
        <w:tc>
          <w:tcPr>
            <w:tcW w:w="8828" w:type="dxa"/>
          </w:tcPr>
          <w:p w14:paraId="07FB59A0" w14:textId="77777777" w:rsidR="00721B31" w:rsidRDefault="00721B31" w:rsidP="00837C4E">
            <w:pPr>
              <w:widowControl w:val="0"/>
              <w:autoSpaceDE w:val="0"/>
              <w:autoSpaceDN w:val="0"/>
              <w:spacing w:before="120" w:after="120" w:line="276" w:lineRule="auto"/>
              <w:jc w:val="both"/>
              <w:rPr>
                <w:rFonts w:ascii="Verdana" w:eastAsia="Times New Roman" w:hAnsi="Verdana" w:cs="Arial"/>
                <w:lang w:eastAsia="es-ES_tradnl"/>
              </w:rPr>
            </w:pPr>
            <w:r w:rsidRPr="00886725">
              <w:rPr>
                <w:rFonts w:ascii="Verdana" w:eastAsia="Times New Roman" w:hAnsi="Verdana" w:cs="Arial"/>
                <w:lang w:eastAsia="es-ES_tradnl"/>
              </w:rPr>
              <w:t>El artículo 2.2.1.2.4.2.3 del Decreto 1082 de 2015, modificado por el artículo 5 del Decreto 1860 de 2021, señala de manera expresa que cada Mipyme deberá acreditar su domicilio con los documentos a los que se refiere el siguiente artículo. En virtud de esta remisión, la acreditación del domicilio en el marco de las limitaciones territoriales solo será válida mediante la presentación de los documentos establecidos en el artículo 2.2.1.2.4.2.4, esto es, la copia del registro mercantil, del certificado de existencia y representación legal o del Registro Único de Proponentes, según corresponda.</w:t>
            </w:r>
          </w:p>
          <w:p w14:paraId="50AA0B84" w14:textId="77777777" w:rsidR="00721B31" w:rsidRDefault="00721B31" w:rsidP="00837C4E">
            <w:pPr>
              <w:widowControl w:val="0"/>
              <w:autoSpaceDE w:val="0"/>
              <w:autoSpaceDN w:val="0"/>
              <w:spacing w:before="120" w:after="120" w:line="276" w:lineRule="auto"/>
              <w:ind w:firstLine="738"/>
              <w:jc w:val="both"/>
              <w:rPr>
                <w:rFonts w:ascii="Verdana" w:eastAsia="Times New Roman" w:hAnsi="Verdana" w:cs="Arial"/>
                <w:lang w:eastAsia="es-ES_tradnl"/>
              </w:rPr>
            </w:pPr>
            <w:r w:rsidRPr="00886725">
              <w:rPr>
                <w:rFonts w:ascii="Verdana" w:eastAsia="Times New Roman" w:hAnsi="Verdana" w:cs="Arial"/>
                <w:lang w:eastAsia="es-ES_tradnl"/>
              </w:rPr>
              <w:t>De esta forma, las entidades contratantes solo pueden exigir los requisitos señalados en la ley y en el Decreto 1082 de 2015 para la acreditación del domicilio en el marco de la limitación territorial, sin que les sea posible requerir documentos adicionales para determinar si la Mipyme se encuentra domiciliada en determinado municipio o departamento, del mismo modo que la Mipyme no puede pretender acreditar el cumplimiento del requisito con documentos alternativos a los señalados en la norma.</w:t>
            </w:r>
          </w:p>
          <w:p w14:paraId="2688B03B" w14:textId="77777777" w:rsidR="00721B31" w:rsidRDefault="00721B31" w:rsidP="00837C4E">
            <w:pPr>
              <w:widowControl w:val="0"/>
              <w:autoSpaceDE w:val="0"/>
              <w:autoSpaceDN w:val="0"/>
              <w:spacing w:before="120" w:after="120" w:line="276" w:lineRule="auto"/>
              <w:ind w:firstLine="738"/>
              <w:jc w:val="both"/>
              <w:rPr>
                <w:rFonts w:ascii="Verdana" w:eastAsia="Times New Roman" w:hAnsi="Verdana" w:cs="Arial"/>
                <w:lang w:eastAsia="es-ES_tradnl"/>
              </w:rPr>
            </w:pPr>
            <w:r>
              <w:rPr>
                <w:rFonts w:ascii="Verdana" w:eastAsia="Times New Roman" w:hAnsi="Verdana" w:cs="Arial"/>
                <w:lang w:eastAsia="es-ES_tradnl"/>
              </w:rPr>
              <w:t>C</w:t>
            </w:r>
            <w:r w:rsidRPr="00886725">
              <w:rPr>
                <w:rFonts w:ascii="Verdana" w:eastAsia="Times New Roman" w:hAnsi="Verdana" w:cs="Arial"/>
                <w:lang w:eastAsia="es-ES_tradnl"/>
              </w:rPr>
              <w:t xml:space="preserve">uando el artículo 2.2.1.2.4.2.3 del Decreto 1082 de 2015 exige que la Mipyme tenga domicilio en el municipio o departamento de ejecución del contrato, se refiere a </w:t>
            </w:r>
            <w:r>
              <w:rPr>
                <w:rFonts w:ascii="Verdana" w:eastAsia="Times New Roman" w:hAnsi="Verdana" w:cs="Arial"/>
                <w:lang w:eastAsia="es-ES_tradnl"/>
              </w:rPr>
              <w:t>un</w:t>
            </w:r>
            <w:r w:rsidRPr="00886725">
              <w:rPr>
                <w:rFonts w:ascii="Verdana" w:eastAsia="Times New Roman" w:hAnsi="Verdana" w:cs="Arial"/>
                <w:lang w:eastAsia="es-ES_tradnl"/>
              </w:rPr>
              <w:t xml:space="preserve"> atributo de la personalidad jurídica —la ciudad o municipio inscrita estatutariamente y en el registro mercantil según el derecho privado— y no a un lugar donde la empresa ejerce materialmente su actividad </w:t>
            </w:r>
            <w:r w:rsidRPr="00886725">
              <w:rPr>
                <w:rFonts w:ascii="Verdana" w:eastAsia="Times New Roman" w:hAnsi="Verdana" w:cs="Arial"/>
                <w:lang w:eastAsia="es-ES_tradnl"/>
              </w:rPr>
              <w:lastRenderedPageBreak/>
              <w:t>económica. En este sentido, uno es el medio probatorio que establece la norma para acreditar el atributo de la personalidad y otros pueden ser aspectos que evidencien que la sociedad realiza negocios en uno u otro lugar, sin que estos impliquen un cambio en el domicilio principal de la misma. Consecuencia de esta distinción y de lo establecido expresamente por el artículo 2.2.1.2.4.2.4 es que la entidad no puede sustituir esta prueba por verificaciones fácticas de que la sociedad ejerza actividad económica en un lugar determinado —por ejemplo, mediante contratos de arrendamiento o visitas técnicas—, pues estas no acreditan el domicilio como atributo de la personalidad sino que dan cuenta de un ámbito de su operación o funcionamiento, aspectos que corresponden a realidades jurídicamente distintas.</w:t>
            </w:r>
          </w:p>
          <w:p w14:paraId="64DD82C6" w14:textId="059DCB04" w:rsidR="00721B31" w:rsidRDefault="00721B31" w:rsidP="00837C4E">
            <w:pPr>
              <w:widowControl w:val="0"/>
              <w:autoSpaceDE w:val="0"/>
              <w:autoSpaceDN w:val="0"/>
              <w:spacing w:before="120" w:after="120" w:line="276" w:lineRule="auto"/>
              <w:ind w:firstLine="738"/>
              <w:jc w:val="both"/>
              <w:rPr>
                <w:rFonts w:ascii="Verdana" w:eastAsia="Times New Roman" w:hAnsi="Verdana" w:cs="Arial"/>
                <w:lang w:eastAsia="es-ES_tradnl"/>
              </w:rPr>
            </w:pPr>
            <w:r w:rsidRPr="00882B4F">
              <w:rPr>
                <w:rFonts w:ascii="Verdana" w:eastAsia="Times New Roman" w:hAnsi="Verdana" w:cs="Arial"/>
                <w:lang w:eastAsia="es-ES_tradnl"/>
              </w:rPr>
              <w:t xml:space="preserve">De cualquier modo, no puede perderse de vista que el ordenamiento colombiano solo admite presunciones absolutas cuando la ley las consagra expresamente. Dado que la norma no confiere ese carácter a los documentos antes referidos en relación con la acreditación del domicilio, se trata de una presunción desvirtuable. La posibilidad de contradicción, sin embargo, opera en el marco dispuesto por el artículo 2.2.1.2.4.2.4, de modo que la prueba en contrario puede referirse, por ejemplo, a que el certificado se encuentre desactualizado porque el domicilio inscrito fue modificado con posterioridad y el documento no refleja el cambio; a que el documento sea falso o haya sido adulterado; o a que exista una decisión judicial o administrativa que se refiera a </w:t>
            </w:r>
            <w:r w:rsidR="005C567C">
              <w:rPr>
                <w:rFonts w:ascii="Verdana" w:eastAsia="Times New Roman" w:hAnsi="Verdana" w:cs="Arial"/>
                <w:lang w:eastAsia="es-ES_tradnl"/>
              </w:rPr>
              <w:t xml:space="preserve">al </w:t>
            </w:r>
            <w:r w:rsidRPr="00882B4F">
              <w:rPr>
                <w:rFonts w:ascii="Verdana" w:eastAsia="Times New Roman" w:hAnsi="Verdana" w:cs="Arial"/>
                <w:lang w:eastAsia="es-ES_tradnl"/>
              </w:rPr>
              <w:t xml:space="preserve">carácter de la información reportada. </w:t>
            </w:r>
          </w:p>
          <w:p w14:paraId="20EEE0BD" w14:textId="77777777" w:rsidR="00721B31" w:rsidRPr="00B310CF" w:rsidRDefault="00721B31" w:rsidP="00837C4E">
            <w:pPr>
              <w:widowControl w:val="0"/>
              <w:autoSpaceDE w:val="0"/>
              <w:autoSpaceDN w:val="0"/>
              <w:spacing w:before="120" w:after="120" w:line="276" w:lineRule="auto"/>
              <w:ind w:firstLine="738"/>
              <w:jc w:val="both"/>
              <w:rPr>
                <w:rFonts w:ascii="Verdana" w:eastAsia="Times New Roman" w:hAnsi="Verdana" w:cs="Arial"/>
                <w:lang w:eastAsia="es-ES_tradnl"/>
              </w:rPr>
            </w:pPr>
            <w:r w:rsidRPr="00882B4F">
              <w:rPr>
                <w:rFonts w:ascii="Verdana" w:eastAsia="Times New Roman" w:hAnsi="Verdana" w:cs="Arial"/>
                <w:lang w:eastAsia="es-ES_tradnl"/>
              </w:rPr>
              <w:t>En este marco, la potestad verificadora de la entidad, cuando está prevista en los documentos del proceso, permite que cuando se detecten inconsistencias la información se tenga por no acreditada y, de existir posible falsedad no desvirtuada por el proponente, pueda proceder el rechazo y la compulsa de copias a las autoridades competentes. En cualquier caso, en virtud de esta potestad, la entidad no podría exigir documentos adicionales a los taxativamente señalados por la norma como condición de participación o acreditación.</w:t>
            </w:r>
          </w:p>
        </w:tc>
      </w:tr>
    </w:tbl>
    <w:p w14:paraId="6ADE8F70" w14:textId="77777777" w:rsidR="00721B31" w:rsidRPr="00DD0F57" w:rsidRDefault="00721B31" w:rsidP="00721B31">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731BBA9" w14:textId="77777777" w:rsidR="00721B31" w:rsidRPr="00DD0F57" w:rsidRDefault="00721B31" w:rsidP="00721B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D0F57">
        <w:rPr>
          <w:rFonts w:ascii="Verdana" w:eastAsia="Century Gothic" w:hAnsi="Verdana" w:cs="Century Gothic"/>
          <w:b/>
          <w:bCs/>
          <w:color w:val="000000" w:themeColor="text1"/>
        </w:rPr>
        <w:t>Razones de la respuesta:</w:t>
      </w:r>
    </w:p>
    <w:p w14:paraId="49F94BE3" w14:textId="77777777" w:rsidR="00721B31" w:rsidRPr="00DD0F57" w:rsidRDefault="00721B31" w:rsidP="00721B31">
      <w:pPr>
        <w:spacing w:after="0" w:line="276" w:lineRule="auto"/>
        <w:jc w:val="both"/>
        <w:rPr>
          <w:rFonts w:ascii="Verdana" w:eastAsia="Calibri" w:hAnsi="Verdana" w:cs="Arial"/>
          <w:color w:val="000000" w:themeColor="text1"/>
          <w:lang w:val="es-ES"/>
        </w:rPr>
      </w:pPr>
    </w:p>
    <w:p w14:paraId="7BE1294A" w14:textId="77777777" w:rsidR="00721B31" w:rsidRPr="00DD0F57" w:rsidRDefault="00721B31" w:rsidP="00721B31">
      <w:pPr>
        <w:spacing w:after="0" w:line="276" w:lineRule="auto"/>
        <w:jc w:val="both"/>
        <w:rPr>
          <w:rFonts w:ascii="Verdana" w:eastAsia="Calibri" w:hAnsi="Verdana" w:cs="Arial"/>
          <w:color w:val="000000" w:themeColor="text1"/>
          <w:lang w:val="es-ES"/>
        </w:rPr>
      </w:pPr>
      <w:r w:rsidRPr="00DD0F57">
        <w:rPr>
          <w:rFonts w:ascii="Verdana" w:eastAsia="Calibri" w:hAnsi="Verdana" w:cs="Arial"/>
          <w:color w:val="000000" w:themeColor="text1"/>
          <w:lang w:val="es-ES"/>
        </w:rPr>
        <w:t xml:space="preserve">Lo anterior se sustenta en las siguientes consideraciones: </w:t>
      </w:r>
    </w:p>
    <w:p w14:paraId="07F9F652" w14:textId="77777777" w:rsidR="00721B31" w:rsidRPr="00DD0F57" w:rsidRDefault="00721B31" w:rsidP="00721B31">
      <w:pPr>
        <w:spacing w:after="0" w:line="276" w:lineRule="auto"/>
        <w:jc w:val="both"/>
        <w:rPr>
          <w:rFonts w:ascii="Verdana" w:eastAsia="Calibri" w:hAnsi="Verdana" w:cs="Arial"/>
          <w:lang w:val="es-ES"/>
        </w:rPr>
      </w:pPr>
    </w:p>
    <w:p w14:paraId="1B6B53C6" w14:textId="77777777" w:rsidR="00721B31" w:rsidRPr="00B7766F" w:rsidRDefault="00721B31" w:rsidP="00721B31">
      <w:pPr>
        <w:spacing w:after="120" w:line="276" w:lineRule="auto"/>
        <w:jc w:val="both"/>
        <w:rPr>
          <w:rFonts w:ascii="Verdana" w:eastAsia="Calibri" w:hAnsi="Verdana" w:cs="Arial"/>
          <w:lang w:val="es-ES"/>
        </w:rPr>
      </w:pPr>
      <w:r w:rsidRPr="00DD0F57">
        <w:rPr>
          <w:rFonts w:ascii="Verdana" w:eastAsia="Calibri" w:hAnsi="Verdana" w:cs="Arial"/>
          <w:bCs/>
          <w:lang w:val="es-ES"/>
        </w:rPr>
        <w:lastRenderedPageBreak/>
        <w:t>i.</w:t>
      </w:r>
      <w:r w:rsidRPr="00DD0F57">
        <w:rPr>
          <w:rFonts w:ascii="Verdana" w:eastAsia="Calibri" w:hAnsi="Verdana" w:cs="Arial"/>
          <w:color w:val="000000"/>
          <w:lang w:val="es-ES"/>
        </w:rPr>
        <w:t xml:space="preserve"> </w:t>
      </w:r>
      <w:bookmarkStart w:id="1" w:name="_Hlk108519028"/>
      <w:r>
        <w:rPr>
          <w:rFonts w:ascii="Verdana" w:hAnsi="Verdana" w:cs="Arial"/>
          <w:color w:val="000000" w:themeColor="text1"/>
          <w:lang w:val="es-ES"/>
        </w:rPr>
        <w:t>E</w:t>
      </w:r>
      <w:r w:rsidRPr="00B7766F">
        <w:rPr>
          <w:rFonts w:ascii="Verdana" w:hAnsi="Verdana" w:cs="Arial"/>
          <w:color w:val="000000" w:themeColor="text1"/>
          <w:lang w:val="es-ES"/>
        </w:rPr>
        <w:t xml:space="preserve">l 31 de diciembre de 2020 se promulgó la Ley 2069, “Por medio de la cual se impulsa el emprendimiento en Colombia”. </w:t>
      </w:r>
      <w:r>
        <w:rPr>
          <w:rFonts w:ascii="Verdana" w:hAnsi="Verdana" w:cs="Arial"/>
          <w:color w:val="000000" w:themeColor="text1"/>
          <w:lang w:val="es-ES"/>
        </w:rPr>
        <w:t>E</w:t>
      </w:r>
      <w:r w:rsidRPr="00B7766F">
        <w:rPr>
          <w:rFonts w:ascii="Verdana" w:hAnsi="Verdana" w:cs="Arial"/>
          <w:color w:val="000000" w:themeColor="text1"/>
          <w:lang w:val="es-ES"/>
        </w:rPr>
        <w:t>l artículo 1</w:t>
      </w:r>
      <w:r>
        <w:rPr>
          <w:rFonts w:ascii="Verdana" w:hAnsi="Verdana" w:cs="Arial"/>
          <w:color w:val="000000" w:themeColor="text1"/>
          <w:lang w:val="es-ES"/>
        </w:rPr>
        <w:t xml:space="preserve"> señala que</w:t>
      </w:r>
      <w:r w:rsidRPr="00B7766F">
        <w:rPr>
          <w:rFonts w:ascii="Verdana" w:hAnsi="Verdana" w:cs="Arial"/>
          <w:color w:val="000000" w:themeColor="text1"/>
          <w:lang w:val="es-ES"/>
        </w:rPr>
        <w:t xml:space="preserve">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7F799E4E" w14:textId="77777777" w:rsidR="00721B31" w:rsidRDefault="00721B31" w:rsidP="00721B31">
      <w:pPr>
        <w:spacing w:after="120" w:line="276" w:lineRule="auto"/>
        <w:ind w:firstLine="708"/>
        <w:jc w:val="both"/>
        <w:rPr>
          <w:rFonts w:ascii="Verdana" w:eastAsia="Calibri" w:hAnsi="Verdana" w:cs="Arial"/>
          <w:lang w:val="es-ES"/>
        </w:rPr>
      </w:pPr>
      <w:r w:rsidRPr="471B8680">
        <w:rPr>
          <w:rFonts w:ascii="Verdana" w:hAnsi="Verdana" w:cs="Arial"/>
          <w:color w:val="000000" w:themeColor="text1"/>
          <w:lang w:val="es-ES"/>
        </w:rPr>
        <w:t xml:space="preserve">En desarrollo de esta finalidad, establece medidas de apoyo para las Mipymes mediante la racionalización y simplificación de los trámites y tarifas, así como incentivos a favor de aquellas dentro del Sistema de Compras y Contratación Pública. De igual forma, la citada Ley consagró mecanismos para fortalecer y promover los distintos sectores de la economía y </w:t>
      </w:r>
      <w:r>
        <w:rPr>
          <w:rFonts w:ascii="Verdana" w:hAnsi="Verdana" w:cs="Arial"/>
          <w:color w:val="000000" w:themeColor="text1"/>
          <w:lang w:val="es-ES"/>
        </w:rPr>
        <w:t xml:space="preserve">establece </w:t>
      </w:r>
      <w:r w:rsidRPr="471B8680">
        <w:rPr>
          <w:rFonts w:ascii="Verdana" w:hAnsi="Verdana" w:cs="Arial"/>
          <w:color w:val="000000" w:themeColor="text1"/>
          <w:lang w:val="es-ES"/>
        </w:rPr>
        <w:t>para ello medidas de educación para el emprendimiento y la innovación.</w:t>
      </w:r>
    </w:p>
    <w:p w14:paraId="77BB0C32" w14:textId="042181A1" w:rsidR="00721B31" w:rsidRDefault="00721B31" w:rsidP="00721B31">
      <w:pPr>
        <w:spacing w:after="120" w:line="276" w:lineRule="auto"/>
        <w:ind w:firstLine="708"/>
        <w:jc w:val="both"/>
        <w:rPr>
          <w:rFonts w:ascii="Verdana" w:eastAsia="Calibri" w:hAnsi="Verdana" w:cs="Arial"/>
        </w:rPr>
      </w:pPr>
      <w:r>
        <w:rPr>
          <w:rFonts w:ascii="Verdana" w:eastAsia="Calibri" w:hAnsi="Verdana" w:cs="Arial"/>
        </w:rPr>
        <w:t>E</w:t>
      </w:r>
      <w:r w:rsidRPr="00D55A06">
        <w:rPr>
          <w:rFonts w:ascii="Verdana" w:eastAsia="Calibri" w:hAnsi="Verdana" w:cs="Arial"/>
        </w:rPr>
        <w:t>l Capítulo III –artículos 30 al 36–</w:t>
      </w:r>
      <w:r>
        <w:rPr>
          <w:rFonts w:ascii="Verdana" w:eastAsia="Calibri" w:hAnsi="Verdana" w:cs="Arial"/>
        </w:rPr>
        <w:t xml:space="preserve"> de </w:t>
      </w:r>
      <w:r w:rsidRPr="00D55A06">
        <w:rPr>
          <w:rFonts w:ascii="Verdana" w:eastAsia="Calibri" w:hAnsi="Verdana" w:cs="Arial"/>
        </w:rPr>
        <w:t>la Ley 2069 de 2020 contiene normas que modifican algunos aspectos de la contratación estatal para promover el emprendimiento. Teniendo en cuenta que la consulta está relacionada con las convocatorias limitadas a Mi</w:t>
      </w:r>
      <w:r>
        <w:rPr>
          <w:rFonts w:ascii="Verdana" w:eastAsia="Calibri" w:hAnsi="Verdana" w:cs="Arial"/>
        </w:rPr>
        <w:t>p</w:t>
      </w:r>
      <w:r w:rsidRPr="00D55A06">
        <w:rPr>
          <w:rFonts w:ascii="Verdana" w:eastAsia="Calibri" w:hAnsi="Verdana" w:cs="Arial"/>
        </w:rPr>
        <w:t xml:space="preserve">ymes, a </w:t>
      </w:r>
      <w:proofErr w:type="gramStart"/>
      <w:r w:rsidRPr="00D55A06">
        <w:rPr>
          <w:rFonts w:ascii="Verdana" w:eastAsia="Calibri" w:hAnsi="Verdana" w:cs="Arial"/>
        </w:rPr>
        <w:t>continuación</w:t>
      </w:r>
      <w:proofErr w:type="gramEnd"/>
      <w:r w:rsidRPr="00D55A06">
        <w:rPr>
          <w:rFonts w:ascii="Verdana" w:eastAsia="Calibri" w:hAnsi="Verdana" w:cs="Arial"/>
        </w:rPr>
        <w:t xml:space="preserve"> se estudiará el contenido y alcance del artículo 34.</w:t>
      </w:r>
    </w:p>
    <w:p w14:paraId="5DCFCFBA" w14:textId="77777777" w:rsidR="00721B31" w:rsidRDefault="00721B31" w:rsidP="00721B31">
      <w:pPr>
        <w:spacing w:after="120" w:line="276" w:lineRule="auto"/>
        <w:ind w:firstLine="708"/>
        <w:jc w:val="both"/>
        <w:rPr>
          <w:rFonts w:ascii="Verdana" w:eastAsia="Calibri" w:hAnsi="Verdana" w:cs="Arial"/>
          <w:lang w:val="es-ES"/>
        </w:rPr>
      </w:pPr>
      <w:r w:rsidRPr="00D55A06">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D55A06">
        <w:rPr>
          <w:rFonts w:ascii="Verdana" w:eastAsia="Calibri" w:hAnsi="Verdana" w:cs="Arial"/>
          <w:bdr w:val="none" w:sz="0" w:space="0" w:color="auto" w:frame="1"/>
        </w:rPr>
        <w:t>los requisitos esenciales para que procedan las convocatorias limitadas a Mi</w:t>
      </w:r>
      <w:r>
        <w:rPr>
          <w:rFonts w:ascii="Verdana" w:eastAsia="Calibri" w:hAnsi="Verdana" w:cs="Arial"/>
          <w:bdr w:val="none" w:sz="0" w:space="0" w:color="auto" w:frame="1"/>
        </w:rPr>
        <w:t>p</w:t>
      </w:r>
      <w:r w:rsidRPr="00D55A06">
        <w:rPr>
          <w:rFonts w:ascii="Verdana" w:eastAsia="Calibri" w:hAnsi="Verdana" w:cs="Arial"/>
          <w:bdr w:val="none" w:sz="0" w:space="0" w:color="auto" w:frame="1"/>
        </w:rPr>
        <w:t xml:space="preserve">ymes, de la siguiente forma: i) estableció que estas deben desarrollarse independientemente del régimen de contratación de la Entidad Estatal –es decir, también deben efectuarlas las </w:t>
      </w:r>
      <w:r>
        <w:rPr>
          <w:rFonts w:ascii="Verdana" w:eastAsia="Calibri" w:hAnsi="Verdana" w:cs="Arial"/>
          <w:bdr w:val="none" w:sz="0" w:space="0" w:color="auto" w:frame="1"/>
        </w:rPr>
        <w:t>e</w:t>
      </w:r>
      <w:r w:rsidRPr="00D55A06">
        <w:rPr>
          <w:rFonts w:ascii="Verdana" w:eastAsia="Calibri" w:hAnsi="Verdana" w:cs="Arial"/>
          <w:bdr w:val="none" w:sz="0" w:space="0" w:color="auto" w:frame="1"/>
        </w:rPr>
        <w:t xml:space="preserve">ntidades </w:t>
      </w:r>
      <w:r>
        <w:rPr>
          <w:rFonts w:ascii="Verdana" w:eastAsia="Calibri" w:hAnsi="Verdana" w:cs="Arial"/>
          <w:bdr w:val="none" w:sz="0" w:space="0" w:color="auto" w:frame="1"/>
        </w:rPr>
        <w:t>e</w:t>
      </w:r>
      <w:r w:rsidRPr="00D55A06">
        <w:rPr>
          <w:rFonts w:ascii="Verdana" w:eastAsia="Calibri" w:hAnsi="Verdana" w:cs="Arial"/>
          <w:bdr w:val="none" w:sz="0" w:space="0" w:color="auto" w:frame="1"/>
        </w:rPr>
        <w:t xml:space="preserve">statales exceptuadas del EGCAP o que se rigen por derecho privado–; </w:t>
      </w:r>
      <w:proofErr w:type="spellStart"/>
      <w:r w:rsidRPr="00D55A06">
        <w:rPr>
          <w:rFonts w:ascii="Verdana" w:eastAsia="Calibri" w:hAnsi="Verdana" w:cs="Arial"/>
          <w:bdr w:val="none" w:sz="0" w:space="0" w:color="auto" w:frame="1"/>
        </w:rPr>
        <w:t>ii</w:t>
      </w:r>
      <w:proofErr w:type="spellEnd"/>
      <w:r w:rsidRPr="00D55A06">
        <w:rPr>
          <w:rFonts w:ascii="Verdana" w:eastAsia="Calibri" w:hAnsi="Verdana" w:cs="Arial"/>
          <w:bdr w:val="none" w:sz="0" w:space="0" w:color="auto" w:frame="1"/>
        </w:rPr>
        <w:t>) señaló que los patrimonios autónomos constituidos por Entidades Estatales y los particulares que ejecuten recursos públicos también son destinatarios de esta exigencia</w:t>
      </w:r>
      <w:r>
        <w:rPr>
          <w:rFonts w:ascii="Verdana" w:eastAsia="Calibri" w:hAnsi="Verdana" w:cs="Arial"/>
          <w:bdr w:val="none" w:sz="0" w:space="0" w:color="auto" w:frame="1"/>
        </w:rPr>
        <w:t>;</w:t>
      </w:r>
      <w:r w:rsidRPr="00811E4E">
        <w:rPr>
          <w:rFonts w:ascii="Verdana" w:eastAsia="Calibri" w:hAnsi="Verdana" w:cs="Arial"/>
          <w:bdr w:val="none" w:sz="0" w:space="0" w:color="auto" w:frame="1"/>
        </w:rPr>
        <w:t xml:space="preserve"> </w:t>
      </w:r>
      <w:r>
        <w:rPr>
          <w:rFonts w:ascii="Verdana" w:eastAsia="Calibri" w:hAnsi="Verdana" w:cs="Arial"/>
          <w:bdr w:val="none" w:sz="0" w:space="0" w:color="auto" w:frame="1"/>
        </w:rPr>
        <w:t>e</w:t>
      </w:r>
      <w:r w:rsidRPr="00D55A06" w:rsidDel="00811E4E">
        <w:rPr>
          <w:rFonts w:ascii="Verdana" w:eastAsia="Calibri" w:hAnsi="Verdana" w:cs="Arial"/>
          <w:bdr w:val="none" w:sz="0" w:space="0" w:color="auto" w:frame="1"/>
        </w:rPr>
        <w:t xml:space="preserve"> </w:t>
      </w:r>
      <w:r w:rsidRPr="00D55A06">
        <w:rPr>
          <w:rFonts w:ascii="Verdana" w:eastAsia="Calibri" w:hAnsi="Verdana" w:cs="Arial"/>
          <w:bdr w:val="none" w:sz="0" w:space="0" w:color="auto" w:frame="1"/>
        </w:rPr>
        <w:t xml:space="preserve"> </w:t>
      </w:r>
      <w:proofErr w:type="spellStart"/>
      <w:r w:rsidRPr="00D55A06">
        <w:rPr>
          <w:rFonts w:ascii="Verdana" w:eastAsia="Calibri" w:hAnsi="Verdana" w:cs="Arial"/>
          <w:bdr w:val="none" w:sz="0" w:space="0" w:color="auto" w:frame="1"/>
        </w:rPr>
        <w:t>iii</w:t>
      </w:r>
      <w:proofErr w:type="spellEnd"/>
      <w:r w:rsidRPr="00D55A06">
        <w:rPr>
          <w:rFonts w:ascii="Verdana" w:eastAsia="Calibri" w:hAnsi="Verdana" w:cs="Arial"/>
          <w:bdr w:val="none" w:sz="0" w:space="0" w:color="auto" w:frame="1"/>
        </w:rPr>
        <w:t xml:space="preserve">) indicó que para que pueda haber convocatorias limitadas a Mipymes, dos (2) de ellas deben manifestar su interés. </w:t>
      </w:r>
    </w:p>
    <w:p w14:paraId="0860EC43" w14:textId="77777777" w:rsidR="00721B31" w:rsidRPr="00294BE0" w:rsidRDefault="00721B31" w:rsidP="00721B31">
      <w:pPr>
        <w:spacing w:after="120" w:line="276" w:lineRule="auto"/>
        <w:ind w:firstLine="708"/>
        <w:jc w:val="both"/>
        <w:rPr>
          <w:rFonts w:ascii="Verdana" w:eastAsia="Calibri" w:hAnsi="Verdana" w:cs="Arial"/>
          <w:color w:val="000000"/>
          <w:lang w:val="es-ES" w:eastAsia="es-ES"/>
        </w:rPr>
      </w:pPr>
      <w:r w:rsidRPr="00177B54">
        <w:rPr>
          <w:rFonts w:ascii="Verdana" w:eastAsia="Calibri" w:hAnsi="Verdana" w:cs="Arial"/>
          <w:color w:val="000000"/>
          <w:lang w:val="es-ES" w:eastAsia="es-ES"/>
        </w:rPr>
        <w:t xml:space="preserve">El artículo 2.2.1.2.4.2.2. del Decreto 1082 de 2015 </w:t>
      </w:r>
      <w:r>
        <w:rPr>
          <w:rFonts w:ascii="Verdana" w:eastAsia="Calibri" w:hAnsi="Verdana" w:cs="Arial"/>
          <w:color w:val="000000"/>
          <w:lang w:val="es-ES" w:eastAsia="es-ES"/>
        </w:rPr>
        <w:t>–</w:t>
      </w:r>
      <w:r w:rsidRPr="00177B54">
        <w:rPr>
          <w:rFonts w:ascii="Verdana" w:eastAsia="Calibri" w:hAnsi="Verdana" w:cs="Arial"/>
          <w:color w:val="000000"/>
          <w:lang w:val="es-ES" w:eastAsia="es-ES"/>
        </w:rPr>
        <w:t>modificado por el Decreto 1860 de 2021</w:t>
      </w:r>
      <w:r>
        <w:rPr>
          <w:rFonts w:ascii="Verdana" w:eastAsia="Calibri" w:hAnsi="Verdana" w:cs="Arial"/>
          <w:color w:val="000000"/>
          <w:lang w:val="es-ES" w:eastAsia="es-ES"/>
        </w:rPr>
        <w:t>–</w:t>
      </w:r>
      <w:r w:rsidRPr="00177B54">
        <w:rPr>
          <w:rFonts w:ascii="Verdana" w:eastAsia="Calibri" w:hAnsi="Verdana" w:cs="Arial"/>
          <w:color w:val="000000"/>
          <w:lang w:val="es-ES" w:eastAsia="es-ES"/>
        </w:rPr>
        <w:t xml:space="preserve"> establece los requisitos que se deben acreditar en la</w:t>
      </w:r>
      <w:r>
        <w:rPr>
          <w:rFonts w:ascii="Verdana" w:eastAsia="Calibri" w:hAnsi="Verdana" w:cs="Arial"/>
          <w:color w:val="000000"/>
          <w:lang w:val="es-ES" w:eastAsia="es-ES"/>
        </w:rPr>
        <w:t xml:space="preserve">s </w:t>
      </w:r>
      <w:r w:rsidRPr="00177B54">
        <w:rPr>
          <w:rFonts w:ascii="Verdana" w:eastAsia="Calibri" w:hAnsi="Verdana" w:cs="Arial"/>
          <w:color w:val="000000"/>
          <w:lang w:val="es-ES" w:eastAsia="es-ES"/>
        </w:rPr>
        <w:t>“convocatorias limitadas a Mipymes”. El inciso primero de la referida norma exige que las Entidades Estatales</w:t>
      </w:r>
      <w:r>
        <w:rPr>
          <w:rFonts w:ascii="Verdana" w:eastAsia="Calibri" w:hAnsi="Verdana" w:cs="Arial"/>
          <w:color w:val="000000"/>
          <w:lang w:val="es-ES" w:eastAsia="es-ES"/>
        </w:rPr>
        <w:t>,</w:t>
      </w:r>
      <w:r w:rsidRPr="00177B54">
        <w:rPr>
          <w:rFonts w:ascii="Verdana" w:eastAsia="Calibri" w:hAnsi="Verdana" w:cs="Arial"/>
          <w:color w:val="000000"/>
          <w:lang w:val="es-ES" w:eastAsia="es-ES"/>
        </w:rPr>
        <w:t xml:space="preserve"> independientemente de su régimen de contratación, los patrimonios autónomos constituidos por Entidades Estatales y los particulares que ejecuten recursos públicos, limiten las convocatorias de los </w:t>
      </w:r>
      <w:r w:rsidRPr="00177B54">
        <w:rPr>
          <w:rFonts w:ascii="Verdana" w:eastAsia="Calibri" w:hAnsi="Verdana" w:cs="Arial"/>
          <w:color w:val="000000"/>
          <w:lang w:val="es-ES" w:eastAsia="es-ES"/>
        </w:rPr>
        <w:lastRenderedPageBreak/>
        <w:t xml:space="preserve">procesos de contratación a las Mipyme colombianas con mínimo un (1) año de existencia, siempre que se cumplan los requisitos señalados allí. </w:t>
      </w:r>
      <w:r w:rsidRPr="00AB76F7">
        <w:rPr>
          <w:rFonts w:ascii="Verdana" w:hAnsi="Verdana" w:cs="Arial"/>
        </w:rPr>
        <w:t xml:space="preserve">Esta redacción obedece a un cambio introducido por el Decreto 1860 de 2021, </w:t>
      </w:r>
      <w:r>
        <w:rPr>
          <w:rFonts w:ascii="Verdana" w:hAnsi="Verdana" w:cs="Arial"/>
        </w:rPr>
        <w:t xml:space="preserve">pues antes </w:t>
      </w:r>
      <w:r w:rsidRPr="00AB76F7">
        <w:rPr>
          <w:rFonts w:ascii="Verdana" w:hAnsi="Verdana" w:cs="Arial"/>
        </w:rPr>
        <w:t>solo</w:t>
      </w:r>
      <w:r>
        <w:rPr>
          <w:rFonts w:ascii="Verdana" w:hAnsi="Verdana" w:cs="Arial"/>
        </w:rPr>
        <w:t xml:space="preserve"> se</w:t>
      </w:r>
      <w:r w:rsidRPr="00AB76F7">
        <w:rPr>
          <w:rFonts w:ascii="Verdana" w:hAnsi="Verdana" w:cs="Arial"/>
        </w:rPr>
        <w:t xml:space="preserve"> permitía la limitación a Mipymes nacionales en los procedimientos de licitación pública, selección abreviada y concurso de méritos.</w:t>
      </w:r>
      <w:r>
        <w:rPr>
          <w:rFonts w:ascii="Verdana" w:hAnsi="Verdana" w:cs="Arial"/>
        </w:rPr>
        <w:t xml:space="preserve"> </w:t>
      </w:r>
    </w:p>
    <w:p w14:paraId="09548A14" w14:textId="77777777" w:rsidR="00721B31" w:rsidRPr="00177B54" w:rsidRDefault="00721B31" w:rsidP="00721B31">
      <w:pPr>
        <w:spacing w:after="0" w:line="276" w:lineRule="auto"/>
        <w:ind w:firstLine="708"/>
        <w:jc w:val="both"/>
        <w:rPr>
          <w:rFonts w:ascii="Verdana" w:eastAsia="Calibri" w:hAnsi="Verdana" w:cs="Arial"/>
          <w:color w:val="000000"/>
          <w:lang w:val="es-ES" w:eastAsia="es-ES"/>
        </w:rPr>
      </w:pPr>
      <w:r>
        <w:rPr>
          <w:rFonts w:ascii="Verdana" w:eastAsia="Calibri" w:hAnsi="Verdana" w:cs="Arial"/>
          <w:color w:val="000000"/>
          <w:lang w:val="es-ES" w:eastAsia="es-ES"/>
        </w:rPr>
        <w:t>R</w:t>
      </w:r>
      <w:r w:rsidRPr="00177B54">
        <w:rPr>
          <w:rFonts w:ascii="Verdana" w:eastAsia="Calibri" w:hAnsi="Verdana" w:cs="Arial"/>
          <w:color w:val="000000"/>
          <w:lang w:val="es-ES" w:eastAsia="es-ES"/>
        </w:rPr>
        <w:t>especto</w:t>
      </w:r>
      <w:r>
        <w:rPr>
          <w:rFonts w:ascii="Verdana" w:eastAsia="Calibri" w:hAnsi="Verdana" w:cs="Arial"/>
          <w:color w:val="000000"/>
          <w:lang w:val="es-ES" w:eastAsia="es-ES"/>
        </w:rPr>
        <w:t xml:space="preserve"> de los requisitos para su procedencia, el artículo precitado </w:t>
      </w:r>
      <w:r w:rsidRPr="00177B54">
        <w:rPr>
          <w:rFonts w:ascii="Verdana" w:eastAsia="Calibri" w:hAnsi="Verdana" w:cs="Arial"/>
          <w:color w:val="000000"/>
          <w:lang w:val="es-ES" w:eastAsia="es-ES"/>
        </w:rPr>
        <w:t>indica lo siguiente:</w:t>
      </w:r>
    </w:p>
    <w:p w14:paraId="0B41DC8A" w14:textId="77777777" w:rsidR="00721B31" w:rsidRPr="00177B54" w:rsidRDefault="00721B31" w:rsidP="00721B31">
      <w:pPr>
        <w:spacing w:after="0" w:line="276" w:lineRule="auto"/>
        <w:ind w:firstLine="709"/>
        <w:jc w:val="both"/>
        <w:rPr>
          <w:rFonts w:ascii="Verdana" w:eastAsia="Calibri" w:hAnsi="Verdana" w:cs="Arial"/>
          <w:color w:val="000000"/>
          <w:lang w:val="es-ES" w:eastAsia="es-ES"/>
        </w:rPr>
      </w:pPr>
    </w:p>
    <w:p w14:paraId="78B6413E" w14:textId="2084A962" w:rsidR="00721B31" w:rsidRPr="007152EE" w:rsidRDefault="00721B31" w:rsidP="00721B31">
      <w:pPr>
        <w:spacing w:after="0" w:line="240" w:lineRule="auto"/>
        <w:ind w:left="709" w:right="709"/>
        <w:jc w:val="both"/>
        <w:rPr>
          <w:rFonts w:ascii="Verdana" w:eastAsia="Calibri" w:hAnsi="Verdana" w:cs="Arial"/>
          <w:iCs/>
          <w:color w:val="000000"/>
          <w:sz w:val="21"/>
          <w:szCs w:val="21"/>
          <w:lang w:val="es-ES" w:eastAsia="es-ES"/>
        </w:rPr>
      </w:pPr>
      <w:r w:rsidRPr="007152EE">
        <w:rPr>
          <w:rFonts w:ascii="Verdana" w:eastAsia="Calibri" w:hAnsi="Verdana" w:cs="Arial"/>
          <w:iCs/>
          <w:color w:val="000000"/>
          <w:sz w:val="21"/>
          <w:szCs w:val="21"/>
          <w:lang w:val="es-ES" w:eastAsia="es-ES"/>
        </w:rPr>
        <w:t xml:space="preserve">“Artículo 2.2.1.2.4.2.2. Convocatorias </w:t>
      </w:r>
      <w:r w:rsidR="00D44875">
        <w:rPr>
          <w:rFonts w:ascii="Verdana" w:eastAsia="Calibri" w:hAnsi="Verdana" w:cs="Arial"/>
          <w:iCs/>
          <w:color w:val="000000"/>
          <w:sz w:val="21"/>
          <w:szCs w:val="21"/>
          <w:lang w:val="es-ES" w:eastAsia="es-ES"/>
        </w:rPr>
        <w:t>Li</w:t>
      </w:r>
      <w:r w:rsidRPr="007152EE">
        <w:rPr>
          <w:rFonts w:ascii="Verdana" w:eastAsia="Calibri" w:hAnsi="Verdana" w:cs="Arial"/>
          <w:iCs/>
          <w:color w:val="000000"/>
          <w:sz w:val="21"/>
          <w:szCs w:val="21"/>
          <w:lang w:val="es-ES" w:eastAsia="es-ES"/>
        </w:rPr>
        <w:t>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02F1E0B0" w14:textId="77777777" w:rsidR="00721B31" w:rsidRPr="007152EE" w:rsidRDefault="00721B31" w:rsidP="00721B31">
      <w:pPr>
        <w:spacing w:after="0" w:line="240" w:lineRule="auto"/>
        <w:ind w:left="709" w:right="709"/>
        <w:jc w:val="both"/>
        <w:rPr>
          <w:rFonts w:ascii="Verdana" w:eastAsia="Calibri" w:hAnsi="Verdana" w:cs="Arial"/>
          <w:iCs/>
          <w:color w:val="000000"/>
          <w:sz w:val="21"/>
          <w:szCs w:val="21"/>
          <w:lang w:val="es-ES" w:eastAsia="es-ES"/>
        </w:rPr>
      </w:pPr>
    </w:p>
    <w:p w14:paraId="1445687A" w14:textId="558C44C6" w:rsidR="00721B31" w:rsidRPr="007152EE" w:rsidRDefault="00437492" w:rsidP="00437492">
      <w:pPr>
        <w:pStyle w:val="Prrafodelista"/>
        <w:spacing w:after="0" w:line="240" w:lineRule="auto"/>
        <w:ind w:left="709" w:right="709"/>
        <w:contextualSpacing w:val="0"/>
        <w:jc w:val="both"/>
        <w:rPr>
          <w:rFonts w:ascii="Verdana" w:eastAsia="Calibri" w:hAnsi="Verdana" w:cs="Arial"/>
          <w:iCs/>
          <w:color w:val="000000"/>
          <w:sz w:val="21"/>
          <w:szCs w:val="21"/>
          <w:lang w:eastAsia="es-ES"/>
        </w:rPr>
      </w:pPr>
      <w:r>
        <w:rPr>
          <w:rFonts w:ascii="Verdana" w:eastAsia="Calibri" w:hAnsi="Verdana" w:cs="Arial"/>
          <w:iCs/>
          <w:color w:val="000000"/>
          <w:sz w:val="21"/>
          <w:szCs w:val="21"/>
          <w:lang w:eastAsia="es-ES"/>
        </w:rPr>
        <w:t xml:space="preserve">1. </w:t>
      </w:r>
      <w:r w:rsidR="00721B31" w:rsidRPr="007152EE">
        <w:rPr>
          <w:rFonts w:ascii="Verdana" w:eastAsia="Calibri" w:hAnsi="Verdana" w:cs="Arial"/>
          <w:iCs/>
          <w:color w:val="000000"/>
          <w:sz w:val="21"/>
          <w:szCs w:val="21"/>
          <w:lang w:eastAsia="es-ES"/>
        </w:rPr>
        <w:t>El valor del Proceso de Contratación sea menor a ciento veinticinco mil dólares de los Estados Unidos de América (US$125.000), liquidados con la tasa de cambio que para el efecto determina cada dos años el Ministerio de Comercio, Industria y Turismo.</w:t>
      </w:r>
    </w:p>
    <w:p w14:paraId="45C5CE10" w14:textId="77777777" w:rsidR="00721B31" w:rsidRPr="007152EE" w:rsidRDefault="00721B31" w:rsidP="00721B31">
      <w:pPr>
        <w:pStyle w:val="Prrafodelista"/>
        <w:spacing w:after="0" w:line="240" w:lineRule="auto"/>
        <w:ind w:left="709" w:right="709"/>
        <w:contextualSpacing w:val="0"/>
        <w:jc w:val="both"/>
        <w:rPr>
          <w:rFonts w:ascii="Verdana" w:eastAsia="Calibri" w:hAnsi="Verdana" w:cs="Arial"/>
          <w:iCs/>
          <w:color w:val="000000"/>
          <w:sz w:val="21"/>
          <w:szCs w:val="21"/>
          <w:lang w:eastAsia="es-ES"/>
        </w:rPr>
      </w:pPr>
    </w:p>
    <w:p w14:paraId="507F2011" w14:textId="0B5A732F" w:rsidR="00721B31" w:rsidRPr="007152EE" w:rsidRDefault="00437492" w:rsidP="00437492">
      <w:pPr>
        <w:pStyle w:val="Prrafodelista"/>
        <w:spacing w:after="0" w:line="240" w:lineRule="auto"/>
        <w:ind w:left="709" w:right="709"/>
        <w:contextualSpacing w:val="0"/>
        <w:jc w:val="both"/>
        <w:rPr>
          <w:rFonts w:ascii="Verdana" w:eastAsia="Calibri" w:hAnsi="Verdana" w:cs="Arial"/>
          <w:iCs/>
          <w:color w:val="000000"/>
          <w:sz w:val="21"/>
          <w:szCs w:val="21"/>
          <w:lang w:eastAsia="es-ES"/>
        </w:rPr>
      </w:pPr>
      <w:r>
        <w:rPr>
          <w:rFonts w:ascii="Verdana" w:eastAsia="Calibri" w:hAnsi="Verdana" w:cs="Arial"/>
          <w:iCs/>
          <w:color w:val="000000"/>
          <w:sz w:val="21"/>
          <w:szCs w:val="21"/>
          <w:lang w:eastAsia="es-ES"/>
        </w:rPr>
        <w:t xml:space="preserve">2. </w:t>
      </w:r>
      <w:r w:rsidR="00721B31" w:rsidRPr="007152EE">
        <w:rPr>
          <w:rFonts w:ascii="Verdana" w:eastAsia="Calibri" w:hAnsi="Verdana" w:cs="Arial"/>
          <w:iCs/>
          <w:color w:val="000000"/>
          <w:sz w:val="21"/>
          <w:szCs w:val="21"/>
          <w:lang w:eastAsia="es-ES"/>
        </w:rPr>
        <w:t>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ejecutar el contrato relacionado con el proceso contractual.</w:t>
      </w:r>
    </w:p>
    <w:p w14:paraId="37FE075D" w14:textId="77777777" w:rsidR="00721B31" w:rsidRPr="007152EE" w:rsidRDefault="00721B31" w:rsidP="00721B31">
      <w:pPr>
        <w:pStyle w:val="Prrafodelista"/>
        <w:spacing w:after="0" w:line="240" w:lineRule="auto"/>
        <w:ind w:left="709" w:right="709"/>
        <w:contextualSpacing w:val="0"/>
        <w:jc w:val="both"/>
        <w:rPr>
          <w:rFonts w:ascii="Verdana" w:eastAsia="Calibri" w:hAnsi="Verdana" w:cs="Arial"/>
          <w:iCs/>
          <w:color w:val="000000"/>
          <w:sz w:val="21"/>
          <w:szCs w:val="21"/>
          <w:lang w:eastAsia="es-ES"/>
        </w:rPr>
      </w:pPr>
    </w:p>
    <w:p w14:paraId="276D56CD" w14:textId="77777777" w:rsidR="00721B31" w:rsidRPr="007152EE" w:rsidRDefault="00721B31" w:rsidP="00721B31">
      <w:pPr>
        <w:pStyle w:val="Prrafodelista"/>
        <w:spacing w:after="0" w:line="240" w:lineRule="auto"/>
        <w:ind w:left="709" w:right="709"/>
        <w:contextualSpacing w:val="0"/>
        <w:jc w:val="both"/>
        <w:rPr>
          <w:rFonts w:ascii="Verdana" w:eastAsia="Calibri" w:hAnsi="Verdana" w:cs="Arial"/>
          <w:iCs/>
          <w:color w:val="000000"/>
          <w:sz w:val="21"/>
          <w:szCs w:val="21"/>
          <w:lang w:eastAsia="es-ES"/>
        </w:rPr>
      </w:pPr>
      <w:r w:rsidRPr="007152EE">
        <w:rPr>
          <w:rFonts w:ascii="Verdana" w:eastAsia="Calibri" w:hAnsi="Verdana" w:cs="Arial"/>
          <w:iCs/>
          <w:color w:val="000000"/>
          <w:sz w:val="21"/>
          <w:szCs w:val="21"/>
          <w:lang w:eastAsia="es-ES"/>
        </w:rPr>
        <w:t>Parágrafo. Las cooperativas y demás entidades de economía solidaria, siempre que tengan la calidad de Mipyme, podrán solicitar y participar en las convocatorias limitadas en las mismas condiciones dispuestas en el presente artículo”.</w:t>
      </w:r>
    </w:p>
    <w:p w14:paraId="28A7AC0C" w14:textId="77777777" w:rsidR="00721B31" w:rsidRDefault="00721B31" w:rsidP="00721B31">
      <w:pPr>
        <w:spacing w:after="0" w:line="276" w:lineRule="auto"/>
        <w:jc w:val="both"/>
        <w:rPr>
          <w:rFonts w:ascii="Verdana" w:eastAsia="Calibri" w:hAnsi="Verdana" w:cs="Arial"/>
          <w:color w:val="000000"/>
          <w:lang w:val="es-ES" w:eastAsia="es-ES"/>
        </w:rPr>
      </w:pPr>
    </w:p>
    <w:p w14:paraId="43801D54" w14:textId="62D71E6A" w:rsidR="00721B31" w:rsidRPr="00D8256B" w:rsidRDefault="00721B31" w:rsidP="00721B31">
      <w:pPr>
        <w:spacing w:after="120" w:line="276" w:lineRule="auto"/>
        <w:ind w:firstLine="708"/>
        <w:jc w:val="both"/>
        <w:rPr>
          <w:rFonts w:ascii="Verdana" w:hAnsi="Verdana"/>
          <w:lang w:val="es-ES"/>
        </w:rPr>
      </w:pPr>
      <w:r w:rsidRPr="0033740A">
        <w:rPr>
          <w:rFonts w:ascii="Verdana" w:eastAsia="Calibri" w:hAnsi="Verdana" w:cs="Arial"/>
        </w:rPr>
        <w:t xml:space="preserve">Así las cosas, </w:t>
      </w:r>
      <w:r w:rsidRPr="00836B55">
        <w:rPr>
          <w:rFonts w:ascii="Verdana" w:hAnsi="Verdana"/>
          <w:lang w:val="es-ES"/>
        </w:rPr>
        <w:t xml:space="preserve">el numeral primero del </w:t>
      </w:r>
      <w:r w:rsidRPr="00836B55">
        <w:rPr>
          <w:rFonts w:ascii="Verdana" w:hAnsi="Verdana"/>
          <w:lang w:val="es-ES_tradnl"/>
        </w:rPr>
        <w:t xml:space="preserve">artículo 2.2.1.2.4.2.2 del Decreto 1082 de 2015 </w:t>
      </w:r>
      <w:r w:rsidRPr="00836B55">
        <w:rPr>
          <w:rFonts w:ascii="Verdana" w:hAnsi="Verdana"/>
          <w:lang w:val="es-ES"/>
        </w:rPr>
        <w:t xml:space="preserve">limita cuantitativamente los procesos contractuales para las convocatorias limitadas a Mipyme, puesto que el valor del proceso de </w:t>
      </w:r>
      <w:r w:rsidRPr="00836B55">
        <w:rPr>
          <w:rFonts w:ascii="Verdana" w:hAnsi="Verdana"/>
          <w:lang w:val="es-ES"/>
        </w:rPr>
        <w:lastRenderedPageBreak/>
        <w:t>contratación debe ser “menor a ciento veinticinco mil dólares de los Estados Unidos de América”. Esto de acuerdo con la tasa que determine cada dos años el Ministerio de Comercio, Industria y Turismo. Por su parte, el numeral segundo establece que al menos dos (2) Mi</w:t>
      </w:r>
      <w:r>
        <w:rPr>
          <w:rFonts w:ascii="Verdana" w:hAnsi="Verdana"/>
          <w:lang w:val="es-ES"/>
        </w:rPr>
        <w:t>p</w:t>
      </w:r>
      <w:r w:rsidRPr="00836B55">
        <w:rPr>
          <w:rFonts w:ascii="Verdana" w:hAnsi="Verdana"/>
          <w:lang w:val="es-ES"/>
        </w:rPr>
        <w:t>yme colombianas presenten a la entidad la solicitud de limitar el proceso contractual</w:t>
      </w:r>
      <w:r w:rsidR="00BA7C90">
        <w:rPr>
          <w:rFonts w:ascii="Verdana" w:hAnsi="Verdana"/>
          <w:lang w:val="es-ES"/>
        </w:rPr>
        <w:t>,</w:t>
      </w:r>
      <w:r w:rsidRPr="00836B55">
        <w:rPr>
          <w:rFonts w:ascii="Verdana" w:hAnsi="Verdana"/>
          <w:lang w:val="es-ES"/>
        </w:rPr>
        <w:t xml:space="preserve"> </w:t>
      </w:r>
      <w:r w:rsidR="00BA7C90">
        <w:rPr>
          <w:rFonts w:ascii="Verdana" w:hAnsi="Verdana"/>
          <w:lang w:val="es-ES"/>
        </w:rPr>
        <w:t xml:space="preserve">y realicen </w:t>
      </w:r>
      <w:r w:rsidRPr="00836B55">
        <w:rPr>
          <w:rFonts w:ascii="Verdana" w:hAnsi="Verdana"/>
          <w:lang w:val="es-ES"/>
        </w:rPr>
        <w:t xml:space="preserve">la solicitud por lo menos un día (1) hábil antes de la expedición del acto administrativo de apertura o el que haga sus veces de acuerdo con la normativa aplicable a cada Proceso de Contratación. </w:t>
      </w:r>
    </w:p>
    <w:p w14:paraId="24F1F89B" w14:textId="77777777" w:rsidR="00721B31" w:rsidRPr="00BB1640" w:rsidRDefault="00721B31" w:rsidP="00721B31">
      <w:pPr>
        <w:spacing w:after="120" w:line="276" w:lineRule="auto"/>
        <w:ind w:firstLine="708"/>
        <w:jc w:val="both"/>
        <w:rPr>
          <w:rFonts w:ascii="Verdana" w:eastAsia="Calibri" w:hAnsi="Verdana" w:cs="Arial"/>
          <w:color w:val="000000" w:themeColor="text1"/>
        </w:rPr>
      </w:pPr>
      <w:r w:rsidRPr="0033740A">
        <w:rPr>
          <w:rFonts w:ascii="Verdana" w:eastAsia="Calibri" w:hAnsi="Verdana" w:cs="Arial"/>
        </w:rPr>
        <w:t xml:space="preserve">Asimismo, la norma señala que, tratándose de personas jurídicas, </w:t>
      </w:r>
      <w:r>
        <w:rPr>
          <w:rFonts w:ascii="Verdana" w:eastAsia="Calibri" w:hAnsi="Verdana" w:cs="Arial"/>
        </w:rPr>
        <w:t xml:space="preserve">solo podrán realizar </w:t>
      </w:r>
      <w:r w:rsidRPr="0033740A">
        <w:rPr>
          <w:rFonts w:ascii="Verdana" w:eastAsia="Calibri" w:hAnsi="Verdana" w:cs="Arial"/>
        </w:rPr>
        <w:t>solicitudes la</w:t>
      </w:r>
      <w:r>
        <w:rPr>
          <w:rFonts w:ascii="Verdana" w:eastAsia="Calibri" w:hAnsi="Verdana" w:cs="Arial"/>
        </w:rPr>
        <w:t>s</w:t>
      </w:r>
      <w:r w:rsidRPr="0033740A">
        <w:rPr>
          <w:rFonts w:ascii="Verdana" w:eastAsia="Calibri" w:hAnsi="Verdana" w:cs="Arial"/>
        </w:rPr>
        <w:t xml:space="preserve"> Mipyme</w:t>
      </w:r>
      <w:r>
        <w:rPr>
          <w:rFonts w:ascii="Verdana" w:eastAsia="Calibri" w:hAnsi="Verdana" w:cs="Arial"/>
        </w:rPr>
        <w:t xml:space="preserve"> </w:t>
      </w:r>
      <w:r w:rsidRPr="0033740A">
        <w:rPr>
          <w:rFonts w:ascii="Verdana" w:eastAsia="Calibri" w:hAnsi="Verdana" w:cs="Arial"/>
        </w:rPr>
        <w:t>cuyo objeto social les permita ejecutar el contrato relacionado con el proceso contractual.</w:t>
      </w:r>
      <w:r w:rsidRPr="00D8256B">
        <w:rPr>
          <w:rFonts w:ascii="Verdana" w:hAnsi="Verdana"/>
          <w:lang w:val="es-ES"/>
        </w:rPr>
        <w:t xml:space="preserve"> </w:t>
      </w:r>
      <w:r>
        <w:rPr>
          <w:rFonts w:ascii="Verdana" w:eastAsia="Calibri" w:hAnsi="Verdana" w:cs="Arial"/>
          <w:color w:val="000000" w:themeColor="text1"/>
        </w:rPr>
        <w:t xml:space="preserve">Por otra parte, </w:t>
      </w:r>
      <w:r w:rsidRPr="0030552B">
        <w:rPr>
          <w:rFonts w:ascii="Verdana" w:hAnsi="Verdana"/>
          <w:lang w:val="es-ES"/>
        </w:rPr>
        <w:t>e</w:t>
      </w:r>
      <w:r>
        <w:rPr>
          <w:rFonts w:ascii="Verdana" w:hAnsi="Verdana"/>
          <w:lang w:val="es-ES"/>
        </w:rPr>
        <w:t>l</w:t>
      </w:r>
      <w:r w:rsidRPr="0030552B">
        <w:rPr>
          <w:rFonts w:ascii="Verdana" w:hAnsi="Verdana"/>
          <w:lang w:val="es-ES"/>
        </w:rPr>
        <w:t xml:space="preserve"> artículo </w:t>
      </w:r>
      <w:r>
        <w:rPr>
          <w:rFonts w:ascii="Verdana" w:hAnsi="Verdana"/>
          <w:lang w:val="es-ES"/>
        </w:rPr>
        <w:t>2</w:t>
      </w:r>
      <w:r w:rsidRPr="00836B55">
        <w:rPr>
          <w:rFonts w:ascii="Verdana" w:hAnsi="Verdana"/>
          <w:lang w:val="es-ES_tradnl"/>
        </w:rPr>
        <w:t>.2.1.2.4.2.2 del Decreto 1082 de 2015</w:t>
      </w:r>
      <w:r>
        <w:rPr>
          <w:rFonts w:ascii="Verdana" w:hAnsi="Verdana"/>
          <w:lang w:val="es-ES_tradnl"/>
        </w:rPr>
        <w:t xml:space="preserve"> </w:t>
      </w:r>
      <w:r w:rsidRPr="0030552B">
        <w:rPr>
          <w:rFonts w:ascii="Verdana" w:hAnsi="Verdana"/>
          <w:lang w:val="es-ES"/>
        </w:rPr>
        <w:t>incluye a las cooperativas y demás entidades de economía solidaria dentro de los sujetos que pueden solicitar y participar en las convocatorias limitadas a Mipyme, siempre que cumplan con las condiciones señaladas en el artículo.</w:t>
      </w:r>
    </w:p>
    <w:p w14:paraId="71DB2B05" w14:textId="77777777" w:rsidR="00721B31" w:rsidRDefault="00721B31" w:rsidP="00721B31">
      <w:pPr>
        <w:spacing w:after="120" w:line="276" w:lineRule="auto"/>
        <w:ind w:firstLine="708"/>
        <w:jc w:val="both"/>
        <w:rPr>
          <w:rFonts w:ascii="Verdana" w:eastAsia="Calibri" w:hAnsi="Verdana" w:cs="Arial"/>
          <w:lang w:val="es-ES_tradnl"/>
        </w:rPr>
      </w:pPr>
      <w:r>
        <w:rPr>
          <w:rFonts w:ascii="Verdana" w:eastAsia="Calibri" w:hAnsi="Verdana" w:cs="Arial"/>
          <w:color w:val="000000"/>
          <w:lang w:val="es-ES" w:eastAsia="es-ES"/>
        </w:rPr>
        <w:t>Por su parte</w:t>
      </w:r>
      <w:r w:rsidRPr="00177B54">
        <w:rPr>
          <w:rFonts w:ascii="Verdana" w:eastAsia="Calibri" w:hAnsi="Verdana" w:cs="Arial"/>
          <w:color w:val="000000"/>
          <w:lang w:val="es-ES" w:eastAsia="es-ES"/>
        </w:rPr>
        <w:t xml:space="preserve">, </w:t>
      </w:r>
      <w:r w:rsidRPr="0033740A">
        <w:rPr>
          <w:rFonts w:ascii="Verdana" w:eastAsia="Calibri" w:hAnsi="Verdana" w:cs="Arial"/>
          <w:lang w:val="es-ES_tradnl"/>
        </w:rPr>
        <w:t>el parágrafo 1 del artículo 34 de la Ley 2069 de 2020 contempla la posibilidad de limitar convocatorias a Mipymes con domicilio en dos tipos de entidades territoriales. Según el referido artículo</w:t>
      </w:r>
      <w:r>
        <w:rPr>
          <w:rFonts w:ascii="Verdana" w:eastAsia="Calibri" w:hAnsi="Verdana" w:cs="Arial"/>
          <w:lang w:val="es-ES_tradnl"/>
        </w:rPr>
        <w:t>:</w:t>
      </w:r>
      <w:r w:rsidRPr="0033740A">
        <w:rPr>
          <w:rFonts w:ascii="Verdana" w:eastAsia="Calibri" w:hAnsi="Verdana" w:cs="Arial"/>
          <w:lang w:val="es-ES_tradnl"/>
        </w:rPr>
        <w:t xml:space="preserve"> “En los procesos de selección que se desarrollen con base en el primer inciso, las entidades podrán realizar las convocatorias limitadas que beneficien a las MiPymes del ámbito municipal o departamental correspondiente al de la ejecución del contrato”.</w:t>
      </w:r>
      <w:r>
        <w:rPr>
          <w:rFonts w:ascii="Verdana" w:eastAsia="Calibri" w:hAnsi="Verdana" w:cs="Arial"/>
          <w:lang w:val="es-ES_tradnl"/>
        </w:rPr>
        <w:t xml:space="preserve"> </w:t>
      </w:r>
    </w:p>
    <w:p w14:paraId="000E616C" w14:textId="77777777" w:rsidR="00721B31" w:rsidRPr="00CB53DA" w:rsidRDefault="00721B31" w:rsidP="00721B31">
      <w:pPr>
        <w:spacing w:after="0" w:line="276" w:lineRule="auto"/>
        <w:ind w:firstLine="708"/>
        <w:jc w:val="both"/>
        <w:rPr>
          <w:rFonts w:ascii="Verdana" w:eastAsia="Calibri" w:hAnsi="Verdana" w:cs="Arial"/>
        </w:rPr>
      </w:pPr>
      <w:r>
        <w:rPr>
          <w:rFonts w:ascii="Verdana" w:eastAsia="Calibri" w:hAnsi="Verdana" w:cs="Arial"/>
          <w:lang w:val="es-ES_tradnl"/>
        </w:rPr>
        <w:t>R</w:t>
      </w:r>
      <w:r w:rsidRPr="00177B54">
        <w:rPr>
          <w:rFonts w:ascii="Verdana" w:eastAsia="Calibri" w:hAnsi="Verdana" w:cs="Arial"/>
          <w:color w:val="000000"/>
          <w:lang w:val="es-ES" w:eastAsia="es-ES"/>
        </w:rPr>
        <w:t xml:space="preserve">especto del domicilio de las Mipymes en el departamento o municipio donde se ejecuta el contrato, la reglamentación </w:t>
      </w:r>
      <w:r>
        <w:rPr>
          <w:rFonts w:ascii="Verdana" w:eastAsia="Calibri" w:hAnsi="Verdana" w:cs="Arial"/>
          <w:color w:val="000000"/>
          <w:lang w:val="es-ES" w:eastAsia="es-ES"/>
        </w:rPr>
        <w:t>dispone lo siguiente</w:t>
      </w:r>
      <w:r w:rsidRPr="00177B54">
        <w:rPr>
          <w:rFonts w:ascii="Verdana" w:eastAsia="Calibri" w:hAnsi="Verdana" w:cs="Arial"/>
          <w:color w:val="000000"/>
          <w:lang w:val="es-ES" w:eastAsia="es-ES"/>
        </w:rPr>
        <w:t>:</w:t>
      </w:r>
    </w:p>
    <w:p w14:paraId="42BC106D" w14:textId="77777777" w:rsidR="00721B31" w:rsidRDefault="00721B31" w:rsidP="00721B31">
      <w:pPr>
        <w:spacing w:after="0" w:line="276" w:lineRule="auto"/>
        <w:ind w:left="709" w:right="709"/>
        <w:jc w:val="both"/>
        <w:rPr>
          <w:i/>
          <w:iCs/>
          <w:sz w:val="20"/>
        </w:rPr>
      </w:pPr>
    </w:p>
    <w:p w14:paraId="43CEF52C" w14:textId="77777777" w:rsidR="00721B31" w:rsidRPr="00DE0B10" w:rsidRDefault="00721B31" w:rsidP="00721B31">
      <w:pPr>
        <w:spacing w:after="0" w:line="240" w:lineRule="auto"/>
        <w:ind w:left="709" w:right="709"/>
        <w:jc w:val="both"/>
        <w:rPr>
          <w:rFonts w:ascii="Verdana" w:eastAsia="Calibri" w:hAnsi="Verdana" w:cs="Arial"/>
          <w:color w:val="000000"/>
          <w:sz w:val="21"/>
          <w:szCs w:val="21"/>
          <w:lang w:val="es-ES" w:eastAsia="es-ES"/>
        </w:rPr>
      </w:pPr>
      <w:r w:rsidRPr="00DE0B10">
        <w:rPr>
          <w:rFonts w:ascii="Verdana" w:hAnsi="Verdana"/>
          <w:sz w:val="21"/>
          <w:szCs w:val="21"/>
        </w:rPr>
        <w:t>“</w:t>
      </w:r>
      <w:r w:rsidRPr="00DE0B10">
        <w:rPr>
          <w:rFonts w:ascii="Verdana" w:eastAsia="Calibri" w:hAnsi="Verdana" w:cs="Arial"/>
          <w:color w:val="000000"/>
          <w:sz w:val="21"/>
          <w:szCs w:val="21"/>
          <w:lang w:val="es-ES" w:eastAsia="es-ES"/>
        </w:rPr>
        <w:t>Artículo 5. Modificación de la Subsección 2 de la Sección 4 del Capítulo 2 del Título 1 de la Parte 2 del Libro 2 del Decreto 1082 de 2015. Modifíquense</w:t>
      </w:r>
      <w:r>
        <w:rPr>
          <w:rFonts w:ascii="Verdana" w:eastAsia="Calibri" w:hAnsi="Verdana" w:cs="Arial"/>
          <w:color w:val="000000"/>
          <w:sz w:val="21"/>
          <w:szCs w:val="21"/>
          <w:lang w:val="es-ES" w:eastAsia="es-ES"/>
        </w:rPr>
        <w:t xml:space="preserve"> </w:t>
      </w:r>
      <w:r w:rsidRPr="00DE0B10">
        <w:rPr>
          <w:rFonts w:ascii="Verdana" w:eastAsia="Calibri" w:hAnsi="Verdana" w:cs="Arial"/>
          <w:color w:val="000000"/>
          <w:sz w:val="21"/>
          <w:szCs w:val="21"/>
          <w:lang w:val="es-ES" w:eastAsia="es-ES"/>
        </w:rPr>
        <w:t>los</w:t>
      </w:r>
      <w:r>
        <w:rPr>
          <w:rFonts w:ascii="Verdana" w:eastAsia="Calibri" w:hAnsi="Verdana" w:cs="Arial"/>
          <w:color w:val="000000"/>
          <w:sz w:val="21"/>
          <w:szCs w:val="21"/>
          <w:lang w:val="es-ES" w:eastAsia="es-ES"/>
        </w:rPr>
        <w:t xml:space="preserve"> </w:t>
      </w:r>
      <w:r w:rsidRPr="00DE0B10">
        <w:rPr>
          <w:rFonts w:ascii="Verdana" w:eastAsia="Calibri" w:hAnsi="Verdana" w:cs="Arial"/>
          <w:color w:val="000000"/>
          <w:sz w:val="21"/>
          <w:szCs w:val="21"/>
          <w:lang w:val="es-ES" w:eastAsia="es-ES"/>
        </w:rPr>
        <w:t>artículos</w:t>
      </w:r>
      <w:r>
        <w:rPr>
          <w:rFonts w:ascii="Verdana" w:eastAsia="Calibri" w:hAnsi="Verdana" w:cs="Arial"/>
          <w:color w:val="000000"/>
          <w:sz w:val="21"/>
          <w:szCs w:val="21"/>
          <w:lang w:val="es-ES" w:eastAsia="es-ES"/>
        </w:rPr>
        <w:t xml:space="preserve"> </w:t>
      </w:r>
      <w:r w:rsidRPr="00DE0B10">
        <w:rPr>
          <w:rFonts w:ascii="Verdana" w:eastAsia="Calibri" w:hAnsi="Verdana" w:cs="Arial"/>
          <w:color w:val="000000"/>
          <w:sz w:val="21"/>
          <w:szCs w:val="21"/>
          <w:lang w:val="es-ES" w:eastAsia="es-ES"/>
        </w:rPr>
        <w:t>2.2.1.2.4.2.2.,</w:t>
      </w:r>
      <w:r>
        <w:rPr>
          <w:rFonts w:ascii="Verdana" w:eastAsia="Calibri" w:hAnsi="Verdana" w:cs="Arial"/>
          <w:color w:val="000000"/>
          <w:sz w:val="21"/>
          <w:szCs w:val="21"/>
          <w:lang w:val="es-ES" w:eastAsia="es-ES"/>
        </w:rPr>
        <w:t xml:space="preserve"> </w:t>
      </w:r>
      <w:r w:rsidRPr="00DE0B10">
        <w:rPr>
          <w:rFonts w:ascii="Verdana" w:eastAsia="Calibri" w:hAnsi="Verdana" w:cs="Arial"/>
          <w:color w:val="000000"/>
          <w:sz w:val="21"/>
          <w:szCs w:val="21"/>
          <w:lang w:val="es-ES" w:eastAsia="es-ES"/>
        </w:rPr>
        <w:t>2.2.1.2.4.2.3.</w:t>
      </w:r>
      <w:r>
        <w:rPr>
          <w:rFonts w:ascii="Verdana" w:eastAsia="Calibri" w:hAnsi="Verdana" w:cs="Arial"/>
          <w:color w:val="000000"/>
          <w:sz w:val="21"/>
          <w:szCs w:val="21"/>
          <w:lang w:val="es-ES" w:eastAsia="es-ES"/>
        </w:rPr>
        <w:t xml:space="preserve"> </w:t>
      </w:r>
      <w:r w:rsidRPr="00DE0B10">
        <w:rPr>
          <w:rFonts w:ascii="Verdana" w:eastAsia="Calibri" w:hAnsi="Verdana" w:cs="Arial"/>
          <w:color w:val="000000"/>
          <w:sz w:val="21"/>
          <w:szCs w:val="21"/>
          <w:lang w:val="es-ES" w:eastAsia="es-ES"/>
        </w:rPr>
        <w:t>y 2.2.1.2.4.2.4. de la Subsección 2 de la Sección 4 del Capítulo 2 del Título 1 de la Parte 2 del Libro 2 del Decreto 1082 de 2015, los cuales quedarán así:</w:t>
      </w:r>
    </w:p>
    <w:p w14:paraId="75A07CB6" w14:textId="77777777" w:rsidR="00721B31" w:rsidRPr="00DE0B10" w:rsidRDefault="00721B31" w:rsidP="00721B31">
      <w:pPr>
        <w:spacing w:after="0" w:line="240" w:lineRule="auto"/>
        <w:ind w:left="709" w:right="709"/>
        <w:jc w:val="both"/>
        <w:rPr>
          <w:rFonts w:ascii="Verdana" w:eastAsia="Calibri" w:hAnsi="Verdana" w:cs="Arial"/>
          <w:color w:val="000000"/>
          <w:sz w:val="21"/>
          <w:szCs w:val="21"/>
          <w:lang w:val="es-ES" w:eastAsia="es-ES"/>
        </w:rPr>
      </w:pPr>
    </w:p>
    <w:p w14:paraId="28DD4941" w14:textId="77777777" w:rsidR="00721B31" w:rsidRPr="00DE0B10" w:rsidRDefault="00721B31" w:rsidP="00721B31">
      <w:pPr>
        <w:spacing w:after="0" w:line="240" w:lineRule="auto"/>
        <w:ind w:left="709" w:right="709"/>
        <w:jc w:val="both"/>
        <w:rPr>
          <w:rFonts w:ascii="Verdana" w:eastAsia="Calibri" w:hAnsi="Verdana" w:cs="Arial"/>
          <w:color w:val="000000"/>
          <w:sz w:val="21"/>
          <w:szCs w:val="21"/>
          <w:lang w:val="es-ES" w:eastAsia="es-ES"/>
        </w:rPr>
      </w:pPr>
      <w:r w:rsidRPr="00DE0B10">
        <w:rPr>
          <w:rFonts w:ascii="Verdana" w:eastAsia="Calibri" w:hAnsi="Verdana" w:cs="Arial"/>
          <w:color w:val="000000"/>
          <w:sz w:val="21"/>
          <w:szCs w:val="21"/>
          <w:lang w:val="es-ES" w:eastAsia="es-ES"/>
        </w:rPr>
        <w:t xml:space="preserve">(…) 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w:t>
      </w:r>
      <w:r w:rsidRPr="00DE0B10">
        <w:rPr>
          <w:rFonts w:ascii="Verdana" w:eastAsia="Calibri" w:hAnsi="Verdana" w:cs="Arial"/>
          <w:color w:val="000000"/>
          <w:sz w:val="21"/>
          <w:szCs w:val="21"/>
          <w:lang w:val="es-ES" w:eastAsia="es-ES"/>
        </w:rPr>
        <w:lastRenderedPageBreak/>
        <w:t xml:space="preserve">domicilio en los departamentos o municipios en donde se va a ejecutar el contrato. </w:t>
      </w:r>
      <w:r w:rsidRPr="00BB1640">
        <w:rPr>
          <w:rFonts w:ascii="Verdana" w:eastAsia="Calibri" w:hAnsi="Verdana" w:cs="Arial"/>
          <w:b/>
          <w:bCs/>
          <w:i/>
          <w:iCs/>
          <w:color w:val="000000"/>
          <w:sz w:val="21"/>
          <w:szCs w:val="21"/>
          <w:lang w:val="es-ES" w:eastAsia="es-ES"/>
        </w:rPr>
        <w:t>Cada Mipyme deberá acreditar su domicilio con los documentos a los que se refiere el siguiente artículo</w:t>
      </w:r>
      <w:r w:rsidRPr="00DE0B10">
        <w:rPr>
          <w:rFonts w:ascii="Verdana" w:eastAsia="Calibri" w:hAnsi="Verdana" w:cs="Arial"/>
          <w:color w:val="000000"/>
          <w:sz w:val="21"/>
          <w:szCs w:val="21"/>
          <w:lang w:val="es-ES" w:eastAsia="es-ES"/>
        </w:rPr>
        <w:t>”.</w:t>
      </w:r>
      <w:r>
        <w:rPr>
          <w:rFonts w:ascii="Verdana" w:eastAsia="Calibri" w:hAnsi="Verdana" w:cs="Arial"/>
          <w:color w:val="000000"/>
          <w:sz w:val="21"/>
          <w:szCs w:val="21"/>
          <w:lang w:val="es-ES" w:eastAsia="es-ES"/>
        </w:rPr>
        <w:t xml:space="preserve"> [Énfasis propio]</w:t>
      </w:r>
    </w:p>
    <w:p w14:paraId="4C501542" w14:textId="77777777" w:rsidR="00721B31" w:rsidRPr="00CB53DA" w:rsidRDefault="00721B31" w:rsidP="00721B31">
      <w:pPr>
        <w:spacing w:after="0" w:line="276" w:lineRule="auto"/>
        <w:jc w:val="both"/>
        <w:rPr>
          <w:rFonts w:ascii="Verdana" w:eastAsia="Calibri" w:hAnsi="Verdana" w:cs="Arial"/>
          <w:i/>
          <w:color w:val="000000"/>
          <w:lang w:val="es-ES" w:eastAsia="es-ES"/>
        </w:rPr>
      </w:pPr>
    </w:p>
    <w:p w14:paraId="374C6C3B" w14:textId="77777777" w:rsidR="00721B31" w:rsidRPr="00836B55" w:rsidRDefault="00721B31" w:rsidP="00721B31">
      <w:pPr>
        <w:spacing w:after="120" w:line="276" w:lineRule="auto"/>
        <w:ind w:firstLine="708"/>
        <w:jc w:val="both"/>
        <w:rPr>
          <w:rFonts w:ascii="Verdana" w:hAnsi="Verdana"/>
          <w:lang w:val="es-ES"/>
        </w:rPr>
      </w:pPr>
      <w:r w:rsidRPr="007733B6">
        <w:rPr>
          <w:rFonts w:ascii="Verdana" w:eastAsia="Calibri" w:hAnsi="Verdana" w:cs="Arial"/>
          <w:color w:val="000000"/>
          <w:lang w:val="es-ES" w:eastAsia="es-ES"/>
        </w:rPr>
        <w:t xml:space="preserve">La norma reglamentaria coincide con la redacción del parágrafo 1º del artículo 34 de la Ley 2069 de 2020, según el cual sí es posible limitar convocatorias a la participación de Mipymes “(…) del ámbito municipal o departamental correspondiente al de la ejecución del contrato”. En tales términos, </w:t>
      </w:r>
      <w:r>
        <w:rPr>
          <w:rFonts w:ascii="Verdana" w:hAnsi="Verdana"/>
          <w:lang w:val="es-ES_tradnl"/>
        </w:rPr>
        <w:t>d</w:t>
      </w:r>
      <w:r w:rsidRPr="00836B55">
        <w:rPr>
          <w:rFonts w:ascii="Verdana" w:hAnsi="Verdana"/>
          <w:lang w:val="es-ES_tradnl"/>
        </w:rPr>
        <w:t>e la redacción del parágrafo 1 del artículo 34 de la Ley 2069 de 2020</w:t>
      </w:r>
      <w:r>
        <w:rPr>
          <w:rFonts w:ascii="Verdana" w:hAnsi="Verdana"/>
          <w:lang w:val="es-ES_tradnl"/>
        </w:rPr>
        <w:t xml:space="preserve"> </w:t>
      </w:r>
      <w:r w:rsidRPr="00836B55">
        <w:rPr>
          <w:rFonts w:ascii="Verdana" w:hAnsi="Verdana"/>
          <w:lang w:val="es-ES_tradnl"/>
        </w:rPr>
        <w:t>se desprende que la norma citada solo contempla la posibilidad de limitar convocatorias a Mi</w:t>
      </w:r>
      <w:r>
        <w:rPr>
          <w:rFonts w:ascii="Verdana" w:hAnsi="Verdana"/>
          <w:lang w:val="es-ES_tradnl"/>
        </w:rPr>
        <w:t>p</w:t>
      </w:r>
      <w:r w:rsidRPr="00836B55">
        <w:rPr>
          <w:rFonts w:ascii="Verdana" w:hAnsi="Verdana"/>
          <w:lang w:val="es-ES_tradnl"/>
        </w:rPr>
        <w:t xml:space="preserve">ymes con domicilio en esos dos tipos de entidades territoriales. </w:t>
      </w:r>
    </w:p>
    <w:p w14:paraId="09E0D274" w14:textId="77777777" w:rsidR="00721B31" w:rsidRPr="00D8256B" w:rsidRDefault="00721B31" w:rsidP="00721B31">
      <w:pPr>
        <w:spacing w:after="120" w:line="276" w:lineRule="auto"/>
        <w:ind w:firstLine="708"/>
        <w:jc w:val="both"/>
        <w:rPr>
          <w:rFonts w:ascii="Verdana" w:hAnsi="Verdana"/>
          <w:lang w:val="es-ES"/>
        </w:rPr>
      </w:pPr>
      <w:r w:rsidRPr="00836B55">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r w:rsidRPr="007733B6">
        <w:rPr>
          <w:rFonts w:ascii="Verdana" w:eastAsia="Calibri" w:hAnsi="Verdana" w:cs="Arial"/>
          <w:color w:val="000000"/>
          <w:lang w:val="es-ES" w:eastAsia="es-ES"/>
        </w:rPr>
        <w:t>Esta precisión es importante, pues el incentivo previsto en la norma únicamente aplica en el lugar de ejecución del contrato en el que la Mipyme tiene su “domicilio” y no en donde tiene sucursales, agencias o establecimientos de comercio.</w:t>
      </w:r>
    </w:p>
    <w:p w14:paraId="10F65667" w14:textId="57EBCA83" w:rsidR="00721B31" w:rsidRDefault="00721B31" w:rsidP="00721B31">
      <w:pPr>
        <w:spacing w:after="120" w:line="276" w:lineRule="auto"/>
        <w:ind w:firstLine="708"/>
        <w:jc w:val="both"/>
        <w:rPr>
          <w:rFonts w:ascii="Verdana" w:eastAsia="Calibri" w:hAnsi="Verdana" w:cs="Arial"/>
        </w:rPr>
      </w:pPr>
      <w:r>
        <w:rPr>
          <w:rFonts w:ascii="Verdana" w:eastAsia="Calibri" w:hAnsi="Verdana" w:cs="Arial"/>
          <w:lang w:val="es-ES"/>
        </w:rPr>
        <w:t>Adicional a lo expuesto, es importante destacar que la decisión de limitar el proceso territorialmente es potestativa de la entidad contratante. C</w:t>
      </w:r>
      <w:r w:rsidRPr="00FC4E33">
        <w:rPr>
          <w:rFonts w:ascii="Verdana" w:eastAsia="Calibri" w:hAnsi="Verdana" w:cs="Arial"/>
          <w:lang w:val="es-ES"/>
        </w:rPr>
        <w:t>umplidos los dos requisitos del artículo 2</w:t>
      </w:r>
      <w:r w:rsidRPr="00FC4E33">
        <w:rPr>
          <w:rFonts w:ascii="Verdana" w:eastAsia="Calibri" w:hAnsi="Verdana" w:cs="Arial"/>
        </w:rPr>
        <w:t xml:space="preserve">.2.1.2.4.2.2. </w:t>
      </w:r>
      <w:r w:rsidRPr="00FC4E33">
        <w:rPr>
          <w:rFonts w:ascii="Verdana" w:eastAsia="Calibri" w:hAnsi="Verdana" w:cs="Arial"/>
          <w:i/>
          <w:iCs/>
        </w:rPr>
        <w:t>ibidem</w:t>
      </w:r>
      <w:r w:rsidRPr="00FC4E33">
        <w:rPr>
          <w:rFonts w:ascii="Verdana" w:eastAsia="Calibri" w:hAnsi="Verdana" w:cs="Arial"/>
          <w:lang w:val="es-ES"/>
        </w:rPr>
        <w:t>, la entidad</w:t>
      </w:r>
      <w:r w:rsidRPr="00FC4E33">
        <w:rPr>
          <w:rFonts w:ascii="Verdana" w:eastAsia="Calibri" w:hAnsi="Verdana" w:cs="Arial"/>
        </w:rPr>
        <w:t xml:space="preserve"> puede ─no tiene que─ decidir si limita la convocatoria a las Mipymes nacionales domiciliadas en el municipio o departamento en el que se ejecutará el contrato</w:t>
      </w:r>
      <w:r w:rsidRPr="00FA09A1">
        <w:rPr>
          <w:rFonts w:ascii="Verdana" w:eastAsia="Calibri" w:hAnsi="Verdana" w:cs="Arial"/>
        </w:rPr>
        <w:t>.</w:t>
      </w:r>
      <w:r w:rsidRPr="00FC4E33">
        <w:rPr>
          <w:rFonts w:ascii="Verdana" w:eastAsia="Calibri" w:hAnsi="Verdana" w:cs="Arial"/>
        </w:rPr>
        <w:t xml:space="preserve"> Esto de acuerdo con lo establecido en </w:t>
      </w:r>
      <w:r w:rsidR="00725838">
        <w:rPr>
          <w:rFonts w:ascii="Verdana" w:eastAsia="Calibri" w:hAnsi="Verdana" w:cs="Arial"/>
        </w:rPr>
        <w:t xml:space="preserve">el </w:t>
      </w:r>
      <w:r w:rsidRPr="00FC4E33">
        <w:rPr>
          <w:rFonts w:ascii="Verdana" w:eastAsia="Calibri" w:hAnsi="Verdana" w:cs="Arial"/>
        </w:rPr>
        <w:t xml:space="preserve">artículo 2.2.1.2.4.2.3. del Decreto 1082 de 2015, norma que se refiere a la facultad de la administración con el verbo infinitivo “poder”, no “deber”. </w:t>
      </w:r>
      <w:r>
        <w:rPr>
          <w:rFonts w:ascii="Verdana" w:eastAsia="Calibri" w:hAnsi="Verdana" w:cs="Arial"/>
        </w:rPr>
        <w:t xml:space="preserve"> </w:t>
      </w:r>
    </w:p>
    <w:p w14:paraId="555D71FA" w14:textId="014827C5" w:rsidR="00721B31" w:rsidRDefault="00721B31" w:rsidP="00721B31">
      <w:pPr>
        <w:spacing w:after="120" w:line="276" w:lineRule="auto"/>
        <w:ind w:firstLine="708"/>
        <w:jc w:val="both"/>
        <w:rPr>
          <w:rFonts w:ascii="Verdana" w:eastAsia="Calibri" w:hAnsi="Verdana" w:cs="Arial"/>
          <w:lang w:val="es-ES"/>
        </w:rPr>
      </w:pPr>
      <w:r w:rsidRPr="0033740A">
        <w:rPr>
          <w:rFonts w:ascii="Verdana" w:hAnsi="Verdana" w:cs="Arial"/>
          <w:color w:val="000000" w:themeColor="text1"/>
        </w:rPr>
        <w:t xml:space="preserve">En tal sentido, </w:t>
      </w:r>
      <w:r w:rsidRPr="0033740A">
        <w:rPr>
          <w:rFonts w:ascii="Verdana" w:eastAsia="Calibri" w:hAnsi="Verdana" w:cs="Arial"/>
          <w:color w:val="000000" w:themeColor="text1"/>
        </w:rPr>
        <w:t>lo que debe adoptarse obligatoriamente es la</w:t>
      </w:r>
      <w:r w:rsidRPr="0033740A">
        <w:rPr>
          <w:rFonts w:ascii="Verdana" w:hAnsi="Verdana" w:cs="Arial"/>
          <w:color w:val="000000" w:themeColor="text1"/>
        </w:rPr>
        <w:t xml:space="preserve"> limitación a Mipymes colombianas</w:t>
      </w:r>
      <w:r w:rsidRPr="0033740A">
        <w:rPr>
          <w:rFonts w:ascii="Verdana" w:eastAsia="Calibri" w:hAnsi="Verdana" w:cs="Arial"/>
          <w:color w:val="000000" w:themeColor="text1"/>
        </w:rPr>
        <w:t xml:space="preserve"> siempre que se cumplan las condiciones del artículo 2.2.1.2.4.2.2 del Decreto 1082 de 2015, </w:t>
      </w:r>
      <w:bookmarkStart w:id="2" w:name="_Hlk205824878"/>
      <w:r w:rsidRPr="00FA09A1">
        <w:rPr>
          <w:rFonts w:ascii="Verdana" w:eastAsia="Calibri" w:hAnsi="Verdana" w:cs="Arial"/>
          <w:lang w:val="es-ES"/>
        </w:rPr>
        <w:t xml:space="preserve">pero no la “limitación territorial” referida en el artículo 2.2.1.2.4.2.3 ibidem, pues esta, como ya se dijo, es </w:t>
      </w:r>
      <w:r w:rsidRPr="00F90BCC">
        <w:rPr>
          <w:rFonts w:ascii="Verdana" w:eastAsia="Calibri" w:hAnsi="Verdana" w:cs="Arial"/>
          <w:i/>
          <w:iCs/>
          <w:lang w:val="es-ES"/>
        </w:rPr>
        <w:t>facultativa</w:t>
      </w:r>
      <w:r w:rsidRPr="00FA09A1">
        <w:rPr>
          <w:rFonts w:ascii="Verdana" w:eastAsia="Calibri" w:hAnsi="Verdana" w:cs="Arial"/>
          <w:lang w:val="es-ES"/>
        </w:rPr>
        <w:t xml:space="preserve"> para la entidad. Las únicas exigencias son que la convocatoria esté limitada a las Mipyme nacionales “domiciliadas en los departamentos o </w:t>
      </w:r>
      <w:r w:rsidRPr="00FA09A1">
        <w:rPr>
          <w:rFonts w:ascii="Verdana" w:eastAsia="Calibri" w:hAnsi="Verdana" w:cs="Arial"/>
          <w:lang w:val="es-ES"/>
        </w:rPr>
        <w:lastRenderedPageBreak/>
        <w:t xml:space="preserve">municipios en donde se va a ejecutar el contrato” y que la entidad justifique su decisión en los </w:t>
      </w:r>
      <w:r w:rsidRPr="00836B55">
        <w:rPr>
          <w:rFonts w:ascii="Verdana" w:hAnsi="Verdana"/>
          <w:lang w:val="es-ES"/>
        </w:rPr>
        <w:t>“estudios del sector”</w:t>
      </w:r>
      <w:r w:rsidRPr="00836B55">
        <w:rPr>
          <w:rFonts w:ascii="Verdana" w:hAnsi="Verdana"/>
          <w:vertAlign w:val="superscript"/>
          <w:lang w:val="es-ES"/>
        </w:rPr>
        <w:footnoteReference w:id="2"/>
      </w:r>
      <w:r w:rsidRPr="00FA09A1">
        <w:rPr>
          <w:rFonts w:ascii="Verdana" w:eastAsia="Calibri" w:hAnsi="Verdana" w:cs="Arial"/>
          <w:lang w:val="es-ES"/>
        </w:rPr>
        <w:t xml:space="preserve">. No es procedente que sean las Mipymes las que soliciten la “limitación territorial” a la que se refiere el artículo 2.2.1.2.4.2.3. del Decreto </w:t>
      </w:r>
      <w:r w:rsidRPr="00F04B75">
        <w:rPr>
          <w:rFonts w:ascii="Verdana" w:eastAsia="Calibri" w:hAnsi="Verdana" w:cs="Arial"/>
          <w:lang w:val="es-ES"/>
        </w:rPr>
        <w:t>1082 de 2015.</w:t>
      </w:r>
      <w:bookmarkEnd w:id="2"/>
    </w:p>
    <w:p w14:paraId="7CEA6560" w14:textId="77777777" w:rsidR="00721B31" w:rsidRDefault="00721B31" w:rsidP="00721B31">
      <w:pPr>
        <w:spacing w:after="120" w:line="276" w:lineRule="auto"/>
        <w:ind w:firstLine="708"/>
        <w:jc w:val="both"/>
        <w:rPr>
          <w:rFonts w:ascii="Verdana" w:eastAsia="Calibri" w:hAnsi="Verdana" w:cs="Arial"/>
        </w:rPr>
      </w:pPr>
      <w:r>
        <w:rPr>
          <w:rFonts w:ascii="Verdana" w:eastAsia="Calibri" w:hAnsi="Verdana" w:cs="Arial"/>
        </w:rPr>
        <w:t>L</w:t>
      </w:r>
      <w:r w:rsidRPr="00212FD7">
        <w:rPr>
          <w:rFonts w:ascii="Verdana" w:eastAsia="Calibri" w:hAnsi="Verdana" w:cs="Arial"/>
        </w:rPr>
        <w:t>a Agencia Nacional de Contratación Pública – Colombia Compra Eficiente ha sostenido que la decisión de limitar territorialmente una convocatoria a Mi</w:t>
      </w:r>
      <w:r>
        <w:rPr>
          <w:rFonts w:ascii="Verdana" w:eastAsia="Calibri" w:hAnsi="Verdana" w:cs="Arial"/>
        </w:rPr>
        <w:t>p</w:t>
      </w:r>
      <w:r w:rsidRPr="00212FD7">
        <w:rPr>
          <w:rFonts w:ascii="Verdana" w:eastAsia="Calibri" w:hAnsi="Verdana" w:cs="Arial"/>
        </w:rPr>
        <w:t xml:space="preserve">ymes es discrecional, y ha precisado que, de todos modos, esta debe justificarse con fundamento en los correspondientes “estudios del sector”, como se puede encontrar detalladamente en la </w:t>
      </w:r>
      <w:r>
        <w:rPr>
          <w:rFonts w:ascii="Verdana" w:eastAsia="Calibri" w:hAnsi="Verdana" w:cs="Arial"/>
        </w:rPr>
        <w:t>“</w:t>
      </w:r>
      <w:r w:rsidRPr="00212FD7">
        <w:rPr>
          <w:rFonts w:ascii="Verdana" w:eastAsia="Calibri" w:hAnsi="Verdana" w:cs="Arial"/>
        </w:rPr>
        <w:t>Guía para promover</w:t>
      </w:r>
      <w:r>
        <w:rPr>
          <w:rFonts w:ascii="Verdana" w:eastAsia="Calibri" w:hAnsi="Verdana" w:cs="Arial"/>
        </w:rPr>
        <w:t xml:space="preserve"> </w:t>
      </w:r>
      <w:r w:rsidRPr="00212FD7">
        <w:rPr>
          <w:rFonts w:ascii="Verdana" w:eastAsia="Calibri" w:hAnsi="Verdana" w:cs="Arial"/>
        </w:rPr>
        <w:t>la participación de las Mipymes en los Procesos de Compra y</w:t>
      </w:r>
      <w:r>
        <w:rPr>
          <w:rFonts w:ascii="Verdana" w:eastAsia="Calibri" w:hAnsi="Verdana" w:cs="Arial"/>
        </w:rPr>
        <w:t xml:space="preserve"> </w:t>
      </w:r>
      <w:r w:rsidRPr="00212FD7">
        <w:rPr>
          <w:rFonts w:ascii="Verdana" w:eastAsia="Calibri" w:hAnsi="Verdana" w:cs="Arial"/>
        </w:rPr>
        <w:t>Contratación Públic</w:t>
      </w:r>
      <w:r>
        <w:rPr>
          <w:rFonts w:ascii="Verdana" w:eastAsia="Calibri" w:hAnsi="Verdana" w:cs="Arial"/>
        </w:rPr>
        <w:t>a”</w:t>
      </w:r>
      <w:r>
        <w:rPr>
          <w:rStyle w:val="Refdenotaalpie"/>
          <w:rFonts w:ascii="Verdana" w:eastAsia="Calibri" w:hAnsi="Verdana" w:cs="Arial"/>
        </w:rPr>
        <w:footnoteReference w:id="3"/>
      </w:r>
      <w:r>
        <w:rPr>
          <w:rFonts w:ascii="Verdana" w:eastAsia="Calibri" w:hAnsi="Verdana" w:cs="Arial"/>
        </w:rPr>
        <w:t>, expedida por esta Agencia.</w:t>
      </w:r>
    </w:p>
    <w:bookmarkEnd w:id="1"/>
    <w:p w14:paraId="474000BF" w14:textId="77777777" w:rsidR="00721B31" w:rsidRPr="00836B55" w:rsidRDefault="00721B31" w:rsidP="00721B31">
      <w:pPr>
        <w:spacing w:after="120" w:line="276" w:lineRule="auto"/>
        <w:ind w:firstLine="708"/>
        <w:jc w:val="both"/>
        <w:rPr>
          <w:rFonts w:ascii="Verdana" w:hAnsi="Verdana"/>
          <w:lang w:val="es-ES"/>
        </w:rPr>
      </w:pPr>
      <w:r w:rsidRPr="00836B55">
        <w:rPr>
          <w:rFonts w:ascii="Verdana" w:hAnsi="Verdana"/>
          <w:lang w:val="es-ES"/>
        </w:rPr>
        <w:t xml:space="preserve">Por otro lado,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w:t>
      </w:r>
      <w:r w:rsidRPr="00836B55">
        <w:rPr>
          <w:rFonts w:ascii="Verdana" w:hAnsi="Verdana"/>
          <w:lang w:val="es-ES"/>
        </w:rPr>
        <w:lastRenderedPageBreak/>
        <w:t xml:space="preserve">el Decreto 1860 de 2021. En ese sentido, si la Entidad no recibió las solicitudes para limitar la convocatoria a Mipyme, no puede </w:t>
      </w:r>
      <w:r w:rsidRPr="00836B55">
        <w:rPr>
          <w:rFonts w:ascii="Verdana" w:hAnsi="Verdana"/>
          <w:i/>
          <w:iCs/>
          <w:lang w:val="es-ES"/>
        </w:rPr>
        <w:t xml:space="preserve">motu proprio </w:t>
      </w:r>
      <w:r w:rsidRPr="00836B55">
        <w:rPr>
          <w:rFonts w:ascii="Verdana" w:hAnsi="Verdana"/>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7D697660" w14:textId="77777777" w:rsidR="00721B31" w:rsidRDefault="00721B31" w:rsidP="00721B31">
      <w:pPr>
        <w:spacing w:after="120" w:line="276" w:lineRule="auto"/>
        <w:ind w:firstLine="708"/>
        <w:jc w:val="both"/>
        <w:rPr>
          <w:rFonts w:ascii="Verdana" w:hAnsi="Verdana"/>
          <w:lang w:val="es-ES"/>
        </w:rPr>
      </w:pPr>
      <w:r w:rsidRPr="00836B55">
        <w:rPr>
          <w:rFonts w:ascii="Verdana" w:hAnsi="Verdana"/>
          <w:lang w:val="es-ES"/>
        </w:rPr>
        <w:t xml:space="preserve">Cumplidos los dos requisitos del artículo 2.2.1.2.4.2.2 </w:t>
      </w:r>
      <w:proofErr w:type="spellStart"/>
      <w:r w:rsidRPr="00836B55">
        <w:rPr>
          <w:rFonts w:ascii="Verdana" w:hAnsi="Verdana"/>
          <w:i/>
          <w:iCs/>
          <w:lang w:val="es-ES"/>
        </w:rPr>
        <w:t>ibídem</w:t>
      </w:r>
      <w:proofErr w:type="spellEnd"/>
      <w:r w:rsidRPr="00836B55">
        <w:rPr>
          <w:rFonts w:ascii="Verdana" w:hAnsi="Verdana"/>
          <w:lang w:val="es-ES"/>
        </w:rPr>
        <w:t xml:space="preserve">, la Entidad Estatal, independientemente de su régimen de contratación, los patrimonios autónomos constituidos por Entidades Estatales y los particulares que ejecuten recursos públicos, </w:t>
      </w:r>
      <w:r w:rsidRPr="00796052">
        <w:rPr>
          <w:rFonts w:ascii="Verdana" w:hAnsi="Verdana"/>
          <w:lang w:val="es-ES"/>
        </w:rPr>
        <w:t>pueden ─sin estar obligadas─ decidir si limitan la convocatoria a las Mipyme colombianas domiciliadas en el municipio o departamento en el que se ejecutará el contrato</w:t>
      </w:r>
      <w:r w:rsidRPr="00836B55">
        <w:rPr>
          <w:rFonts w:ascii="Verdana" w:hAnsi="Verdana"/>
          <w:lang w:val="es-ES"/>
        </w:rPr>
        <w:t xml:space="preserve">. Esto de acuerdo con el artículo 2.2.1.2.4.2.3 del Decreto 1082 de 2015 </w:t>
      </w:r>
      <w:r w:rsidRPr="00836B55">
        <w:rPr>
          <w:rFonts w:ascii="Verdana" w:hAnsi="Verdana"/>
          <w:lang w:val="es-ES_tradnl"/>
        </w:rPr>
        <w:t>modificado por el Decreto 1860 de 2021</w:t>
      </w:r>
      <w:r w:rsidRPr="00836B55">
        <w:rPr>
          <w:rFonts w:ascii="Verdana" w:hAnsi="Verdana"/>
          <w:lang w:val="es-ES"/>
        </w:rPr>
        <w:t xml:space="preserve">, norma que se refiere a la facultad de la administración con el verbo infinitivo “poder”, no “deber”. </w:t>
      </w:r>
    </w:p>
    <w:p w14:paraId="51EF3CA8" w14:textId="77777777" w:rsidR="00721B31" w:rsidRPr="00836B55" w:rsidRDefault="00721B31" w:rsidP="00721B31">
      <w:pPr>
        <w:spacing w:after="120" w:line="276" w:lineRule="auto"/>
        <w:ind w:firstLine="708"/>
        <w:jc w:val="both"/>
        <w:rPr>
          <w:rFonts w:ascii="Verdana" w:hAnsi="Verdana"/>
        </w:rPr>
      </w:pPr>
      <w:r>
        <w:rPr>
          <w:rFonts w:ascii="Verdana" w:hAnsi="Verdana"/>
        </w:rPr>
        <w:t>Otro aspecto importante que se deriva de lo anterior es que e</w:t>
      </w:r>
      <w:r w:rsidRPr="00836B55">
        <w:rPr>
          <w:rFonts w:ascii="Verdana" w:hAnsi="Verdana"/>
        </w:rPr>
        <w:t xml:space="preserve">l origen de las Mipyme </w:t>
      </w:r>
      <w:r>
        <w:rPr>
          <w:rFonts w:ascii="Verdana" w:hAnsi="Verdana"/>
        </w:rPr>
        <w:t xml:space="preserve">interesadas en la </w:t>
      </w:r>
      <w:r w:rsidRPr="00836B55">
        <w:rPr>
          <w:rFonts w:ascii="Verdana" w:hAnsi="Verdana"/>
        </w:rPr>
        <w:t>“limitación territorial” no es relevante frente a dicha decisión por dos razones: primero, porque las Mipyme no están habilitadas para pedir la “limitación territorial”, lo están para pedir la “convocatoria limitada a MiPymes”, y, segundo, porque el único criterio para tener en cuenta, una vez se ha decidido justificadamente limitar territorialmente la convocatoria previamente limitada a Mipyme, es el lugar donde se va a ejecutar el contrato.</w:t>
      </w:r>
    </w:p>
    <w:p w14:paraId="61F6D591" w14:textId="64A7F822" w:rsidR="00721B31" w:rsidRDefault="00721B31" w:rsidP="00721B31">
      <w:pPr>
        <w:spacing w:after="0" w:line="276" w:lineRule="auto"/>
        <w:ind w:firstLine="708"/>
        <w:jc w:val="both"/>
        <w:rPr>
          <w:rFonts w:ascii="Verdana" w:hAnsi="Verdana"/>
        </w:rPr>
      </w:pPr>
      <w:r w:rsidRPr="00836B55">
        <w:rPr>
          <w:rFonts w:ascii="Verdana" w:hAnsi="Verdana"/>
        </w:rPr>
        <w:t xml:space="preserve">Del mismo modo, de conformidad con el artículo 2.2.1.2.4.2.4. del Decreto 1082 de 2015, </w:t>
      </w:r>
      <w:r w:rsidR="00AE1202">
        <w:rPr>
          <w:rFonts w:ascii="Verdana" w:hAnsi="Verdana"/>
        </w:rPr>
        <w:t>es</w:t>
      </w:r>
      <w:r w:rsidRPr="00836B55">
        <w:rPr>
          <w:rFonts w:ascii="Verdana" w:hAnsi="Verdana"/>
        </w:rPr>
        <w:t xml:space="preserve"> posible que una persona acredite su condición de Mipyme y participe en el proceso de selección limitado para estas empresas. Sin embargo, será la entidad contratante la llamada a verificar de manera objetiva si la limitación territorial resultaría contraria al propósito de la norma, según la cual se pretende la promoción de las economías y la industria local</w:t>
      </w:r>
      <w:r w:rsidR="00301ECF">
        <w:rPr>
          <w:rFonts w:ascii="Verdana" w:hAnsi="Verdana"/>
        </w:rPr>
        <w:t>;</w:t>
      </w:r>
      <w:r w:rsidRPr="00836B55">
        <w:rPr>
          <w:rFonts w:ascii="Verdana" w:hAnsi="Verdana"/>
        </w:rPr>
        <w:t xml:space="preserve"> </w:t>
      </w:r>
      <w:r w:rsidR="00A862E2">
        <w:rPr>
          <w:rFonts w:ascii="Verdana" w:hAnsi="Verdana"/>
        </w:rPr>
        <w:t>o si</w:t>
      </w:r>
      <w:r w:rsidRPr="00836B55">
        <w:rPr>
          <w:rFonts w:ascii="Verdana" w:hAnsi="Verdana"/>
        </w:rPr>
        <w:t xml:space="preserve"> </w:t>
      </w:r>
      <w:r w:rsidR="00A862E2">
        <w:rPr>
          <w:rFonts w:ascii="Verdana" w:hAnsi="Verdana"/>
        </w:rPr>
        <w:t>deriva en</w:t>
      </w:r>
      <w:r w:rsidRPr="00836B55">
        <w:rPr>
          <w:rFonts w:ascii="Verdana" w:hAnsi="Verdana"/>
        </w:rPr>
        <w:t xml:space="preserve"> prácticas restrictivas de la competencia, en observancia de los principios de igualdad y selección objetiva, </w:t>
      </w:r>
      <w:r w:rsidR="00301ECF">
        <w:rPr>
          <w:rFonts w:ascii="Verdana" w:hAnsi="Verdana"/>
        </w:rPr>
        <w:t xml:space="preserve">caso en el cual </w:t>
      </w:r>
      <w:r w:rsidRPr="00836B55">
        <w:rPr>
          <w:rFonts w:ascii="Verdana" w:hAnsi="Verdana"/>
        </w:rPr>
        <w:t>tendrá que abstenerse de hacer la limitación territorial.</w:t>
      </w:r>
    </w:p>
    <w:p w14:paraId="3738DF9C" w14:textId="77777777" w:rsidR="007A239C" w:rsidRDefault="007A239C" w:rsidP="00721B31">
      <w:pPr>
        <w:spacing w:after="0" w:line="276" w:lineRule="auto"/>
        <w:ind w:firstLine="708"/>
        <w:jc w:val="both"/>
        <w:rPr>
          <w:rFonts w:ascii="Verdana" w:hAnsi="Verdana"/>
        </w:rPr>
      </w:pPr>
    </w:p>
    <w:p w14:paraId="556C0207" w14:textId="65A08F8A" w:rsidR="00721B31" w:rsidRPr="00FC5438" w:rsidRDefault="00721B31" w:rsidP="00721B31">
      <w:pPr>
        <w:spacing w:after="0" w:line="276" w:lineRule="auto"/>
        <w:jc w:val="both"/>
        <w:rPr>
          <w:rFonts w:ascii="Verdana" w:eastAsia="Calibri" w:hAnsi="Verdana" w:cs="Arial"/>
          <w:lang w:val="es-ES"/>
        </w:rPr>
      </w:pPr>
      <w:proofErr w:type="spellStart"/>
      <w:r>
        <w:rPr>
          <w:rFonts w:ascii="Verdana" w:hAnsi="Verdana"/>
        </w:rPr>
        <w:t>ii</w:t>
      </w:r>
      <w:proofErr w:type="spellEnd"/>
      <w:r>
        <w:rPr>
          <w:rFonts w:ascii="Verdana" w:hAnsi="Verdana"/>
        </w:rPr>
        <w:t xml:space="preserve">. </w:t>
      </w:r>
      <w:r w:rsidRPr="4B3F5FD1">
        <w:rPr>
          <w:rFonts w:ascii="Verdana" w:eastAsia="Calibri" w:hAnsi="Verdana" w:cs="Arial"/>
          <w:lang w:val="es-ES"/>
        </w:rPr>
        <w:t>En relación con</w:t>
      </w:r>
      <w:r>
        <w:rPr>
          <w:rFonts w:ascii="Verdana" w:eastAsia="Calibri" w:hAnsi="Verdana" w:cs="Arial"/>
          <w:lang w:val="es-ES"/>
        </w:rPr>
        <w:t xml:space="preserve"> los requisitos para</w:t>
      </w:r>
      <w:r w:rsidRPr="4B3F5FD1">
        <w:rPr>
          <w:rFonts w:ascii="Verdana" w:eastAsia="Calibri" w:hAnsi="Verdana" w:cs="Arial"/>
          <w:lang w:val="es-ES"/>
        </w:rPr>
        <w:t xml:space="preserve"> las limitaciones territorial</w:t>
      </w:r>
      <w:r w:rsidRPr="4B3F5FD1">
        <w:rPr>
          <w:rFonts w:ascii="Verdana" w:hAnsi="Verdana" w:cs="Arial"/>
          <w:lang w:val="es-ES"/>
        </w:rPr>
        <w:t xml:space="preserve">es de las convocatorias a Mipyme, </w:t>
      </w:r>
      <w:r w:rsidRPr="4B3F5FD1">
        <w:rPr>
          <w:rFonts w:ascii="Verdana" w:eastAsia="Calibri" w:hAnsi="Verdana" w:cs="Arial"/>
          <w:lang w:val="es-ES"/>
        </w:rPr>
        <w:t xml:space="preserve">a la luz del antiguo artículo 2.2.1.2.4.2.3 del Decreto </w:t>
      </w:r>
      <w:r w:rsidRPr="4B3F5FD1">
        <w:rPr>
          <w:rFonts w:ascii="Verdana" w:eastAsia="Calibri" w:hAnsi="Verdana" w:cs="Arial"/>
          <w:lang w:val="es-ES"/>
        </w:rPr>
        <w:lastRenderedPageBreak/>
        <w:t>1082 de 2015, esta Agencia</w:t>
      </w:r>
      <w:r>
        <w:rPr>
          <w:rStyle w:val="Refdenotaalpie"/>
          <w:rFonts w:ascii="Verdana" w:eastAsia="Calibri" w:hAnsi="Verdana" w:cs="Arial"/>
          <w:lang w:val="es-ES"/>
        </w:rPr>
        <w:footnoteReference w:id="4"/>
      </w:r>
      <w:r w:rsidRPr="4B3F5FD1">
        <w:rPr>
          <w:rFonts w:ascii="Verdana" w:eastAsia="Calibri" w:hAnsi="Verdana" w:cs="Arial"/>
          <w:lang w:val="es-ES"/>
        </w:rPr>
        <w:t xml:space="preserve"> había sostenido que, para que se permitiera la participación de una Mipyme en uno de estos procesos, era necesario que esta demostrara estar domiciliada en el municipio o departamento en el que se ejecutaría el contrato. La tesis se expuso en los siguientes términos: </w:t>
      </w:r>
    </w:p>
    <w:p w14:paraId="2B96A507" w14:textId="77777777" w:rsidR="00721B31" w:rsidRPr="00FC5438" w:rsidRDefault="00721B31" w:rsidP="00721B31">
      <w:pPr>
        <w:spacing w:after="0" w:line="276" w:lineRule="auto"/>
        <w:ind w:firstLine="709"/>
        <w:jc w:val="both"/>
        <w:rPr>
          <w:rFonts w:ascii="Verdana" w:eastAsia="Calibri" w:hAnsi="Verdana" w:cs="Arial"/>
          <w:lang w:val="es-ES_tradnl"/>
        </w:rPr>
      </w:pPr>
    </w:p>
    <w:p w14:paraId="4D45D941" w14:textId="77777777" w:rsidR="00721B31" w:rsidRPr="00FC5438" w:rsidRDefault="00721B31" w:rsidP="00721B31">
      <w:pPr>
        <w:spacing w:after="120" w:line="240" w:lineRule="auto"/>
        <w:ind w:left="709" w:right="709"/>
        <w:jc w:val="both"/>
        <w:rPr>
          <w:rFonts w:ascii="Verdana" w:hAnsi="Verdana" w:cs="Arial"/>
          <w:sz w:val="21"/>
          <w:szCs w:val="21"/>
          <w:lang w:val="es-ES"/>
        </w:rPr>
      </w:pPr>
      <w:r w:rsidRPr="4B3F5FD1">
        <w:rPr>
          <w:rFonts w:ascii="Verdana" w:hAnsi="Verdana" w:cs="Arial"/>
          <w:sz w:val="21"/>
          <w:szCs w:val="21"/>
          <w:lang w:val="es-ES"/>
        </w:rPr>
        <w:t xml:space="preserve">“Es de resaltar que </w:t>
      </w:r>
      <w:r w:rsidRPr="4B3F5FD1">
        <w:rPr>
          <w:rFonts w:ascii="Verdana" w:hAnsi="Verdana" w:cs="Arial"/>
          <w:i/>
          <w:sz w:val="21"/>
          <w:szCs w:val="21"/>
          <w:lang w:val="es-ES"/>
        </w:rPr>
        <w:t>estas normas se refieren a las Mipymes nacionales genéricamente y, particularmente, a las Mipymes nacionales ‘domiciliadas en los departamentos o municipios en donde se va a ejecutar el contrato’.</w:t>
      </w:r>
      <w:r w:rsidRPr="4B3F5FD1">
        <w:rPr>
          <w:rFonts w:ascii="Verdana" w:hAnsi="Verdana" w:cs="Arial"/>
          <w:sz w:val="21"/>
          <w:szCs w:val="21"/>
          <w:lang w:val="es-ES"/>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0BAC790B" w14:textId="77777777" w:rsidR="00721B31" w:rsidRPr="00FC5438" w:rsidRDefault="00721B31" w:rsidP="00721B31">
      <w:pPr>
        <w:spacing w:after="0" w:line="240" w:lineRule="auto"/>
        <w:ind w:left="709" w:right="709"/>
        <w:jc w:val="both"/>
        <w:rPr>
          <w:rFonts w:ascii="Verdana" w:hAnsi="Verdana" w:cs="Arial"/>
          <w:sz w:val="21"/>
          <w:szCs w:val="21"/>
          <w:lang w:val="es-ES"/>
        </w:rPr>
      </w:pPr>
      <w:r w:rsidRPr="4B3F5FD1">
        <w:rPr>
          <w:rFonts w:ascii="Verdana" w:hAnsi="Verdana" w:cs="Arial"/>
          <w:sz w:val="21"/>
          <w:szCs w:val="21"/>
          <w:lang w:val="es-ES"/>
        </w:rPr>
        <w:t xml:space="preserve">Igualmente, se debe precisar que </w:t>
      </w:r>
      <w:r w:rsidRPr="4B3F5FD1">
        <w:rPr>
          <w:rFonts w:ascii="Verdana" w:hAnsi="Verdana" w:cs="Arial"/>
          <w:i/>
          <w:sz w:val="21"/>
          <w:szCs w:val="21"/>
          <w:lang w:val="es-ES"/>
        </w:rPr>
        <w:t>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r w:rsidRPr="4B3F5FD1">
        <w:rPr>
          <w:rFonts w:ascii="Verdana" w:hAnsi="Verdana" w:cs="Arial"/>
          <w:sz w:val="21"/>
          <w:szCs w:val="21"/>
          <w:lang w:val="es-ES"/>
        </w:rPr>
        <w:t>”</w:t>
      </w:r>
      <w:r w:rsidRPr="4B3F5FD1">
        <w:rPr>
          <w:rStyle w:val="Refdenotaalpie"/>
          <w:rFonts w:ascii="Verdana" w:hAnsi="Verdana" w:cs="Arial"/>
          <w:sz w:val="21"/>
          <w:szCs w:val="21"/>
          <w:lang w:val="es-ES"/>
        </w:rPr>
        <w:footnoteReference w:id="5"/>
      </w:r>
      <w:r w:rsidRPr="4B3F5FD1">
        <w:rPr>
          <w:rFonts w:ascii="Verdana" w:hAnsi="Verdana" w:cs="Arial"/>
          <w:sz w:val="21"/>
          <w:szCs w:val="21"/>
          <w:lang w:val="es-ES"/>
        </w:rPr>
        <w:t>. (Énfasis fuera de texto)</w:t>
      </w:r>
    </w:p>
    <w:p w14:paraId="72AC5A15" w14:textId="77777777" w:rsidR="00721B31" w:rsidRPr="00FC5438" w:rsidRDefault="00721B31" w:rsidP="00721B31">
      <w:pPr>
        <w:spacing w:after="0" w:line="276" w:lineRule="auto"/>
        <w:ind w:left="709" w:right="709"/>
        <w:jc w:val="both"/>
        <w:rPr>
          <w:rFonts w:ascii="Verdana" w:hAnsi="Verdana" w:cs="Arial"/>
          <w:lang w:val="es-ES_tradnl"/>
        </w:rPr>
      </w:pPr>
    </w:p>
    <w:p w14:paraId="5908D595" w14:textId="07427019" w:rsidR="00721B31" w:rsidRPr="00FC5438" w:rsidRDefault="00721B31" w:rsidP="00721B31">
      <w:pPr>
        <w:spacing w:after="120" w:line="276" w:lineRule="auto"/>
        <w:ind w:firstLine="709"/>
        <w:jc w:val="both"/>
        <w:rPr>
          <w:rFonts w:ascii="Verdana" w:eastAsia="Calibri" w:hAnsi="Verdana" w:cs="Arial"/>
          <w:lang w:val="es-ES"/>
        </w:rPr>
      </w:pPr>
      <w:r w:rsidRPr="4B3F5FD1">
        <w:rPr>
          <w:rFonts w:ascii="Verdana" w:hAnsi="Verdana" w:cs="Arial"/>
          <w:lang w:val="es-ES"/>
        </w:rPr>
        <w:t xml:space="preserve">Como se aprecia, la postura sostenida por esta Agencia en vigencia del artículo </w:t>
      </w:r>
      <w:r w:rsidRPr="4B3F5FD1">
        <w:rPr>
          <w:rFonts w:ascii="Verdana" w:eastAsia="Calibri" w:hAnsi="Verdana" w:cs="Arial"/>
          <w:lang w:val="es-ES"/>
        </w:rPr>
        <w:t xml:space="preserve">2.2.1.2.4.2.3 del Decreto 1082 de 2015 no contemplaba la posibilidad de que una Mipyme domiciliada en un departamento o municipio diferente al </w:t>
      </w:r>
      <w:r w:rsidRPr="4B3F5FD1">
        <w:rPr>
          <w:rFonts w:ascii="Verdana" w:eastAsia="Calibri" w:hAnsi="Verdana" w:cs="Arial"/>
          <w:lang w:val="es-ES"/>
        </w:rPr>
        <w:lastRenderedPageBreak/>
        <w:t xml:space="preserve">lugar de ejecución del contrato, en atención al cual se realiza la limitación territorial, participara en un proceso de selección por el hecho de tener una sucursal en este, puesto que lo relevante es el domicilio de la Mipyme. </w:t>
      </w:r>
    </w:p>
    <w:p w14:paraId="42F69C01" w14:textId="77777777" w:rsidR="00721B31" w:rsidRPr="00FC5438" w:rsidRDefault="00721B31" w:rsidP="00721B31">
      <w:pPr>
        <w:spacing w:after="0" w:line="276" w:lineRule="auto"/>
        <w:ind w:firstLine="709"/>
        <w:jc w:val="both"/>
        <w:rPr>
          <w:rFonts w:ascii="Verdana" w:eastAsia="Calibri" w:hAnsi="Verdana" w:cs="Arial"/>
          <w:lang w:val="es-ES"/>
        </w:rPr>
      </w:pPr>
      <w:r w:rsidRPr="4B3F5FD1">
        <w:rPr>
          <w:rFonts w:ascii="Verdana" w:eastAsia="Calibri" w:hAnsi="Verdana" w:cs="Arial"/>
          <w:lang w:val="es-ES"/>
        </w:rPr>
        <w:t xml:space="preserve">Ahora bien, el texto del actual artículo 2.2.1.2.4.2.3, modificado por el artículo 5 del Decreto 1860 de 2021, no cambia la tesis adoptada en conceptos anteriores de Colombia Compra Eficiente. </w:t>
      </w:r>
      <w:r>
        <w:rPr>
          <w:rFonts w:ascii="Verdana" w:eastAsia="Calibri" w:hAnsi="Verdana" w:cs="Arial"/>
          <w:lang w:val="es-ES"/>
        </w:rPr>
        <w:t xml:space="preserve">Esto </w:t>
      </w:r>
      <w:r w:rsidRPr="4B3F5FD1">
        <w:rPr>
          <w:rFonts w:ascii="Verdana" w:eastAsia="Calibri" w:hAnsi="Verdana" w:cs="Arial"/>
          <w:lang w:val="es-ES"/>
        </w:rPr>
        <w:t>en la medida en que, respecto al domicilio de las Mipyme en el departamento o municipio donde se ejecuta el contrato, la reglamentación no tuvo cambios; razón por la cual, las sucursales –como establecimientos de comercio en los términos del artículo 263 del Código de Comercio, independientemente de que pertenezcan a sociedad nacional o extranjera– no tienen la naturaleza de Mipymes ni son beneficiarias de las convocatorias limitadas. Así se desprende del texto de la norm</w:t>
      </w:r>
      <w:r>
        <w:rPr>
          <w:rFonts w:ascii="Verdana" w:eastAsia="Calibri" w:hAnsi="Verdana" w:cs="Arial"/>
          <w:lang w:val="es-ES"/>
        </w:rPr>
        <w:t xml:space="preserve">a, pues </w:t>
      </w:r>
      <w:r w:rsidRPr="4B3F5FD1">
        <w:rPr>
          <w:rFonts w:ascii="Verdana" w:eastAsia="Calibri" w:hAnsi="Verdana" w:cs="Arial"/>
          <w:lang w:val="es-ES"/>
        </w:rPr>
        <w:t xml:space="preserve">coincide con la redacción del parágrafo 1 del artículo 34 de la Ley 2069 de 2020, según el cual, “En los procesos de selección que se desarrollen con base en el primer inciso, las entidades podrán realizar las convocatorias limitadas que beneficien a las Mipymes del ámbito municipal o departamental correspondiente al de la ejecución del contrato”. En tales términos, la norma citada solo contempla la posibilidad de limitar convocatorias a Mipymes con domicilio en esos dos tipos de entidades territoriales. </w:t>
      </w:r>
    </w:p>
    <w:p w14:paraId="09CBBB44" w14:textId="77777777" w:rsidR="00721B31" w:rsidRDefault="00721B31" w:rsidP="00721B31">
      <w:pPr>
        <w:spacing w:after="120" w:line="276" w:lineRule="auto"/>
        <w:ind w:firstLine="709"/>
        <w:jc w:val="both"/>
        <w:rPr>
          <w:rFonts w:ascii="Verdana" w:eastAsia="Arial" w:hAnsi="Verdana" w:cs="Arial"/>
          <w:color w:val="000000" w:themeColor="text1"/>
          <w:lang w:val="es-ES"/>
        </w:rPr>
      </w:pPr>
      <w:r w:rsidRPr="4B3F5FD1">
        <w:rPr>
          <w:rFonts w:ascii="Verdana" w:eastAsia="Arial" w:hAnsi="Verdana" w:cs="Arial"/>
          <w:color w:val="000000" w:themeColor="text1"/>
          <w:lang w:val="es-ES"/>
        </w:rPr>
        <w:t xml:space="preserve">En ese sentido, toda empresa constituida bajo las leyes colombianas o que tenga su </w:t>
      </w:r>
      <w:r w:rsidRPr="00DF6C00">
        <w:rPr>
          <w:rFonts w:ascii="Verdana" w:eastAsia="Arial" w:hAnsi="Verdana" w:cs="Arial"/>
          <w:i/>
          <w:iCs/>
          <w:color w:val="000000" w:themeColor="text1"/>
          <w:lang w:val="es-ES"/>
        </w:rPr>
        <w:t>domicilio principal</w:t>
      </w:r>
      <w:r w:rsidRPr="4B3F5FD1">
        <w:rPr>
          <w:rFonts w:ascii="Verdana" w:eastAsia="Arial" w:hAnsi="Verdana" w:cs="Arial"/>
          <w:color w:val="000000" w:themeColor="text1"/>
          <w:lang w:val="es-ES"/>
        </w:rPr>
        <w:t xml:space="preserve"> en el territorio colombiano y, además, cumpla los criterios previstos por la Ley 590 de 2000 y el Decreto 957 de 2019, será considerada Mipyme nacional. Además, las normas de contratación permiten que las Mipyme nacionales puedan beneficiarse de la ejecución de un contrato dentro de la entidad territorial en la que tienen su “domicilio”. </w:t>
      </w:r>
    </w:p>
    <w:p w14:paraId="67DBDE91" w14:textId="77777777" w:rsidR="00721B31" w:rsidRPr="00FE335E" w:rsidRDefault="00721B31" w:rsidP="00721B31">
      <w:pPr>
        <w:spacing w:after="120" w:line="276" w:lineRule="auto"/>
        <w:ind w:firstLine="709"/>
        <w:jc w:val="both"/>
        <w:rPr>
          <w:rFonts w:ascii="Verdana" w:eastAsia="Calibri" w:hAnsi="Verdana" w:cs="Arial"/>
          <w:lang w:val="es-ES_tradnl"/>
        </w:rPr>
      </w:pPr>
      <w:r w:rsidRPr="004A615F">
        <w:rPr>
          <w:rFonts w:ascii="Verdana" w:eastAsia="Arial" w:hAnsi="Verdana" w:cs="Arial"/>
          <w:color w:val="000000"/>
          <w:lang w:val="es-MX"/>
        </w:rPr>
        <w:t xml:space="preserve">Para explicar las implicaciones del artículo, en primer lugar, debe analizarse el alcance del término </w:t>
      </w:r>
      <w:r w:rsidRPr="004A615F">
        <w:rPr>
          <w:rFonts w:ascii="Verdana" w:hAnsi="Verdana" w:cs="Arial"/>
          <w:color w:val="000000" w:themeColor="text1"/>
        </w:rPr>
        <w:t>“domicilio” que, para el caso de las sociedades, se constituye en uno de los atributos de su personalidad que, con arreglo al ordenamiento jurídico colombiano, son aquellas propiedades o características de identidad propias de las personas, sean naturales o jurídicas, como titulares de derecho. En esta línea, este término es definido por el Código Civil en el artículo 76</w:t>
      </w:r>
      <w:r w:rsidRPr="004A615F">
        <w:rPr>
          <w:rFonts w:ascii="Verdana" w:hAnsi="Verdana" w:cs="Arial"/>
          <w:color w:val="000000" w:themeColor="text1"/>
          <w:vertAlign w:val="superscript"/>
        </w:rPr>
        <w:footnoteReference w:id="6"/>
      </w:r>
      <w:r w:rsidRPr="004A615F">
        <w:rPr>
          <w:rFonts w:ascii="Verdana" w:hAnsi="Verdana" w:cs="Arial"/>
          <w:color w:val="000000" w:themeColor="text1"/>
        </w:rPr>
        <w:t xml:space="preserve">, el cual lo concibe como la residencia acompañada real o presuntivamente </w:t>
      </w:r>
      <w:r w:rsidRPr="004A615F">
        <w:rPr>
          <w:rFonts w:ascii="Verdana" w:hAnsi="Verdana" w:cs="Arial"/>
          <w:color w:val="000000" w:themeColor="text1"/>
        </w:rPr>
        <w:lastRenderedPageBreak/>
        <w:t xml:space="preserve">del ánimo de permanecer en ella, lo que para el caso de las sociedades se interpreta como el sitio donde éstas tienen el asiento principal de sus negocios. </w:t>
      </w:r>
    </w:p>
    <w:p w14:paraId="78F649B9" w14:textId="021397D1" w:rsidR="00721B31" w:rsidRDefault="00721B31" w:rsidP="00721B31">
      <w:pPr>
        <w:spacing w:after="120" w:line="276" w:lineRule="auto"/>
        <w:ind w:firstLine="709"/>
        <w:jc w:val="both"/>
        <w:rPr>
          <w:rFonts w:ascii="Verdana" w:eastAsia="Arial" w:hAnsi="Verdana" w:cs="Arial"/>
          <w:color w:val="000000"/>
        </w:rPr>
      </w:pPr>
      <w:r>
        <w:rPr>
          <w:rFonts w:ascii="Verdana" w:eastAsia="Arial" w:hAnsi="Verdana" w:cs="Arial"/>
          <w:color w:val="000000"/>
        </w:rPr>
        <w:t>Por su parte, e</w:t>
      </w:r>
      <w:r w:rsidRPr="004E1FAF">
        <w:rPr>
          <w:rFonts w:ascii="Verdana" w:eastAsia="Arial" w:hAnsi="Verdana" w:cs="Arial"/>
          <w:color w:val="000000"/>
        </w:rPr>
        <w:t>l artículo 86 del Código Civil consagra que el domicilio de las personas jurídicas será el lugar donde esté establecida la administración, salvo lo dispuesto en los estatutos, o en las leyes especiales.</w:t>
      </w:r>
      <w:r>
        <w:rPr>
          <w:rFonts w:ascii="Verdana" w:eastAsia="Arial" w:hAnsi="Verdana" w:cs="Arial"/>
          <w:color w:val="000000"/>
        </w:rPr>
        <w:t xml:space="preserve"> Adicionalmente, el artículo 110 señala los requisitos que deben cumplir las sociedades para su constitución, entre los cuales se incluye el domicilio, el cual será el que</w:t>
      </w:r>
      <w:r w:rsidR="00114B04">
        <w:rPr>
          <w:rFonts w:ascii="Verdana" w:eastAsia="Arial" w:hAnsi="Verdana" w:cs="Arial"/>
          <w:color w:val="000000"/>
        </w:rPr>
        <w:t xml:space="preserve"> se</w:t>
      </w:r>
      <w:r>
        <w:rPr>
          <w:rFonts w:ascii="Verdana" w:eastAsia="Arial" w:hAnsi="Verdana" w:cs="Arial"/>
          <w:color w:val="000000"/>
        </w:rPr>
        <w:t xml:space="preserve"> indique en su acto de constitución, que se realiza por escritura pública </w:t>
      </w:r>
      <w:r w:rsidRPr="0040196A">
        <w:rPr>
          <w:rFonts w:ascii="Verdana" w:eastAsia="Arial" w:hAnsi="Verdana" w:cs="Arial"/>
          <w:color w:val="000000"/>
        </w:rPr>
        <w:t>inscrita en el registro mercantil de la cámara de comercio con jurisdicción en el lugar donde la sociedad establezca su domicilio principal</w:t>
      </w:r>
      <w:r w:rsidRPr="004E1FAF">
        <w:rPr>
          <w:rFonts w:ascii="Verdana" w:eastAsia="Arial" w:hAnsi="Verdana" w:cs="Arial"/>
          <w:color w:val="000000"/>
        </w:rPr>
        <w:t>.</w:t>
      </w:r>
      <w:r w:rsidRPr="002C1FAA">
        <w:rPr>
          <w:rFonts w:ascii="Verdana" w:eastAsia="Arial" w:hAnsi="Verdana" w:cs="Arial"/>
          <w:color w:val="000000"/>
        </w:rPr>
        <w:t xml:space="preserve"> En efecto, el domicilio, </w:t>
      </w:r>
      <w:r>
        <w:rPr>
          <w:rFonts w:ascii="Verdana" w:eastAsia="Arial" w:hAnsi="Verdana" w:cs="Arial"/>
          <w:color w:val="000000"/>
        </w:rPr>
        <w:t xml:space="preserve">entendido </w:t>
      </w:r>
      <w:r w:rsidRPr="002C1FAA">
        <w:rPr>
          <w:rFonts w:ascii="Verdana" w:eastAsia="Arial" w:hAnsi="Verdana" w:cs="Arial"/>
          <w:color w:val="000000"/>
        </w:rPr>
        <w:t>como atributo de la personalidad, será el que se indique en los estatutos de cada sociedad</w:t>
      </w:r>
      <w:r>
        <w:rPr>
          <w:rFonts w:ascii="Verdana" w:eastAsia="Arial" w:hAnsi="Verdana" w:cs="Arial"/>
          <w:color w:val="000000"/>
        </w:rPr>
        <w:t>, que constan en dicho registro.</w:t>
      </w:r>
    </w:p>
    <w:p w14:paraId="1B773160" w14:textId="77777777" w:rsidR="00721B31" w:rsidRDefault="00721B31" w:rsidP="00721B31">
      <w:pPr>
        <w:spacing w:after="120" w:line="276" w:lineRule="auto"/>
        <w:ind w:firstLine="709"/>
        <w:jc w:val="both"/>
        <w:rPr>
          <w:rFonts w:ascii="Verdana" w:eastAsia="Arial" w:hAnsi="Verdana" w:cs="Arial"/>
          <w:color w:val="000000"/>
        </w:rPr>
      </w:pPr>
      <w:r>
        <w:rPr>
          <w:rFonts w:ascii="Verdana" w:eastAsia="Arial" w:hAnsi="Verdana" w:cs="Arial"/>
          <w:color w:val="000000"/>
        </w:rPr>
        <w:t>En concordancia, e</w:t>
      </w:r>
      <w:r w:rsidRPr="0070768E">
        <w:rPr>
          <w:rFonts w:ascii="Verdana" w:eastAsia="Arial" w:hAnsi="Verdana" w:cs="Arial"/>
          <w:color w:val="000000"/>
        </w:rPr>
        <w:t xml:space="preserve">l </w:t>
      </w:r>
      <w:r w:rsidRPr="00244EC5">
        <w:rPr>
          <w:rFonts w:ascii="Verdana" w:eastAsia="Arial" w:hAnsi="Verdana" w:cs="Arial"/>
          <w:color w:val="000000"/>
        </w:rPr>
        <w:t>artículo 30 del Código de Comercio</w:t>
      </w:r>
      <w:r w:rsidRPr="0070768E">
        <w:rPr>
          <w:rFonts w:ascii="Verdana" w:eastAsia="Arial" w:hAnsi="Verdana" w:cs="Arial"/>
          <w:color w:val="000000"/>
        </w:rPr>
        <w:t xml:space="preserve"> agrega que </w:t>
      </w:r>
      <w:r>
        <w:rPr>
          <w:rFonts w:ascii="Verdana" w:eastAsia="Arial" w:hAnsi="Verdana" w:cs="Arial"/>
          <w:color w:val="000000"/>
        </w:rPr>
        <w:t>“</w:t>
      </w:r>
      <w:r w:rsidRPr="0070768E">
        <w:rPr>
          <w:rFonts w:ascii="Verdana" w:eastAsia="Arial" w:hAnsi="Verdana" w:cs="Arial"/>
          <w:color w:val="000000"/>
        </w:rPr>
        <w:t>toda inscripción se probará con certificado expedido por la respectiva cámara de comercio o mediante inspección judicial practicada en el registro mercantil</w:t>
      </w:r>
      <w:r>
        <w:rPr>
          <w:rFonts w:ascii="Verdana" w:eastAsia="Arial" w:hAnsi="Verdana" w:cs="Arial"/>
          <w:color w:val="000000"/>
        </w:rPr>
        <w:t>”</w:t>
      </w:r>
      <w:r w:rsidRPr="0070768E">
        <w:rPr>
          <w:rFonts w:ascii="Verdana" w:eastAsia="Arial" w:hAnsi="Verdana" w:cs="Arial"/>
          <w:color w:val="000000"/>
        </w:rPr>
        <w:t>.</w:t>
      </w:r>
      <w:r>
        <w:rPr>
          <w:rFonts w:ascii="Verdana" w:eastAsia="Arial" w:hAnsi="Verdana" w:cs="Arial"/>
          <w:color w:val="000000"/>
        </w:rPr>
        <w:t xml:space="preserve"> Por su parte, el </w:t>
      </w:r>
      <w:r w:rsidRPr="00244EC5">
        <w:rPr>
          <w:rFonts w:ascii="Verdana" w:eastAsia="Arial" w:hAnsi="Verdana" w:cs="Arial"/>
          <w:color w:val="000000"/>
        </w:rPr>
        <w:t>artículo 117 del Código de Comercio</w:t>
      </w:r>
      <w:r w:rsidRPr="0070768E">
        <w:rPr>
          <w:rFonts w:ascii="Verdana" w:eastAsia="Arial" w:hAnsi="Verdana" w:cs="Arial"/>
          <w:color w:val="000000"/>
        </w:rPr>
        <w:t xml:space="preserve"> dispone que </w:t>
      </w:r>
      <w:r>
        <w:rPr>
          <w:rFonts w:ascii="Verdana" w:eastAsia="Arial" w:hAnsi="Verdana" w:cs="Arial"/>
          <w:color w:val="000000"/>
        </w:rPr>
        <w:t>“</w:t>
      </w:r>
      <w:r w:rsidRPr="0070768E">
        <w:rPr>
          <w:rFonts w:ascii="Verdana" w:eastAsia="Arial" w:hAnsi="Verdana" w:cs="Arial"/>
          <w:color w:val="000000"/>
        </w:rPr>
        <w:t>la existencia de la sociedad y las cláusulas del contrato se probarán con certificación de la cámara de comercio del domicilio principal, en la que constará el número, fecha y notaría de la escritura de constitución y de las reformas del contrato», y que «para probar la representación de una sociedad bastará la certificación de la cámara respectiva</w:t>
      </w:r>
      <w:r>
        <w:rPr>
          <w:rFonts w:ascii="Verdana" w:eastAsia="Arial" w:hAnsi="Verdana" w:cs="Arial"/>
          <w:color w:val="000000"/>
        </w:rPr>
        <w:t>”</w:t>
      </w:r>
      <w:r w:rsidRPr="0070768E">
        <w:rPr>
          <w:rFonts w:ascii="Verdana" w:eastAsia="Arial" w:hAnsi="Verdana" w:cs="Arial"/>
          <w:color w:val="000000"/>
        </w:rPr>
        <w:t>.</w:t>
      </w:r>
      <w:r w:rsidRPr="00244EC5">
        <w:t xml:space="preserve"> </w:t>
      </w:r>
    </w:p>
    <w:p w14:paraId="46ADEA65" w14:textId="77777777" w:rsidR="00721B31" w:rsidRDefault="00721B31" w:rsidP="00721B31">
      <w:pPr>
        <w:spacing w:after="0" w:line="276" w:lineRule="auto"/>
        <w:ind w:firstLine="709"/>
        <w:jc w:val="both"/>
        <w:rPr>
          <w:rFonts w:ascii="Verdana" w:eastAsia="Arial" w:hAnsi="Verdana" w:cs="Arial"/>
          <w:color w:val="000000"/>
        </w:rPr>
      </w:pPr>
      <w:r>
        <w:rPr>
          <w:rFonts w:ascii="Verdana" w:eastAsia="Arial" w:hAnsi="Verdana" w:cs="Arial"/>
          <w:color w:val="000000"/>
        </w:rPr>
        <w:t>En el marco de lo anterior, el artículo</w:t>
      </w:r>
      <w:r w:rsidRPr="00B404D4">
        <w:rPr>
          <w:rFonts w:ascii="Verdana" w:eastAsia="Arial" w:hAnsi="Verdana" w:cs="Arial"/>
          <w:b/>
          <w:bCs/>
          <w:i/>
          <w:iCs/>
          <w:color w:val="000000"/>
          <w:lang/>
        </w:rPr>
        <w:t xml:space="preserve"> </w:t>
      </w:r>
      <w:r w:rsidRPr="00B404D4">
        <w:rPr>
          <w:rFonts w:ascii="Verdana" w:eastAsia="Arial" w:hAnsi="Verdana" w:cs="Arial"/>
          <w:color w:val="000000"/>
          <w:lang/>
        </w:rPr>
        <w:t>2.2.1.2.4.2.3. del Decreto 1082 de 2015 se refirió de manera expresa la forma en que las Mipyme deben acreditar su domicilio para acceder a los beneficios derivados de la limitación territorial, señalando que “</w:t>
      </w:r>
      <w:r w:rsidRPr="00B404D4">
        <w:rPr>
          <w:rFonts w:ascii="Verdana" w:eastAsia="Arial" w:hAnsi="Verdana" w:cs="Arial"/>
          <w:color w:val="000000"/>
        </w:rPr>
        <w:t>Cada Mipyme deberá acreditar su domicilio con los documentos a los que se refiere el siguiente artículo”. De esta forma, la norma señala que los interesados acreditarán el cumplimiento de dicho requisito según lo estipulado en el artículo 2.2.1.2.4.2.4., el cual se refiere a la acreditación en los siguientes términos:</w:t>
      </w:r>
    </w:p>
    <w:p w14:paraId="1905F937" w14:textId="77777777" w:rsidR="00721B31" w:rsidRPr="00B404D4" w:rsidRDefault="00721B31" w:rsidP="00721B31">
      <w:pPr>
        <w:spacing w:after="0" w:line="276" w:lineRule="auto"/>
        <w:ind w:firstLine="709"/>
        <w:jc w:val="both"/>
        <w:rPr>
          <w:rFonts w:ascii="Verdana" w:eastAsia="Arial" w:hAnsi="Verdana" w:cs="Arial"/>
          <w:color w:val="000000"/>
        </w:rPr>
      </w:pPr>
    </w:p>
    <w:p w14:paraId="15366243" w14:textId="77777777" w:rsidR="00721B31" w:rsidRPr="00B404D4" w:rsidRDefault="00721B31" w:rsidP="00721B31">
      <w:pPr>
        <w:spacing w:after="120" w:line="240" w:lineRule="auto"/>
        <w:ind w:left="709" w:right="709"/>
        <w:jc w:val="both"/>
        <w:rPr>
          <w:rFonts w:ascii="Verdana" w:eastAsia="Arial" w:hAnsi="Verdana" w:cs="Arial"/>
          <w:color w:val="000000"/>
          <w:sz w:val="20"/>
          <w:szCs w:val="20"/>
          <w:lang/>
        </w:rPr>
      </w:pPr>
      <w:r>
        <w:rPr>
          <w:rFonts w:ascii="Verdana" w:eastAsia="Arial" w:hAnsi="Verdana" w:cs="Arial"/>
          <w:color w:val="000000"/>
          <w:sz w:val="20"/>
          <w:szCs w:val="20"/>
        </w:rPr>
        <w:t>“</w:t>
      </w:r>
      <w:r w:rsidRPr="00B404D4">
        <w:rPr>
          <w:rFonts w:ascii="Verdana" w:eastAsia="Arial" w:hAnsi="Verdana" w:cs="Arial"/>
          <w:color w:val="000000"/>
          <w:sz w:val="20"/>
          <w:szCs w:val="20"/>
        </w:rPr>
        <w:t>Artículo 2.2.1.2.4.2.4. Acreditación de requisitos para participar en convocatorias limitadas. Las Mipyme colombianas deben acreditar que tiene el tamaño empresarial establecido por la ley de la siguiente manera: </w:t>
      </w:r>
      <w:r w:rsidRPr="00B404D4">
        <w:rPr>
          <w:rFonts w:ascii="Verdana" w:eastAsia="Arial" w:hAnsi="Verdana" w:cs="Arial"/>
          <w:color w:val="000000"/>
          <w:sz w:val="20"/>
          <w:szCs w:val="20"/>
          <w:lang/>
        </w:rPr>
        <w:t>  </w:t>
      </w:r>
    </w:p>
    <w:p w14:paraId="62646F6B" w14:textId="77777777" w:rsidR="00721B31" w:rsidRPr="00B404D4" w:rsidRDefault="00721B31" w:rsidP="00721B31">
      <w:pPr>
        <w:spacing w:after="120" w:line="240" w:lineRule="auto"/>
        <w:ind w:left="709" w:right="709"/>
        <w:jc w:val="both"/>
        <w:rPr>
          <w:rFonts w:ascii="Verdana" w:eastAsia="Arial" w:hAnsi="Verdana" w:cs="Arial"/>
          <w:color w:val="000000"/>
          <w:sz w:val="20"/>
          <w:szCs w:val="20"/>
          <w:lang w:val="en-US"/>
        </w:rPr>
      </w:pPr>
      <w:r w:rsidRPr="4B5850F8">
        <w:rPr>
          <w:rFonts w:ascii="Verdana" w:eastAsia="Arial" w:hAnsi="Verdana" w:cs="Arial"/>
          <w:color w:val="000000" w:themeColor="text1"/>
          <w:sz w:val="20"/>
          <w:szCs w:val="20"/>
          <w:lang w:val="en-US"/>
        </w:rPr>
        <w:t>1. Las personas naturales mediante certificación expedida por ellos y un contador público, adjuntando copia del registro mercantil. </w:t>
      </w:r>
    </w:p>
    <w:p w14:paraId="421335DC" w14:textId="77777777" w:rsidR="00721B31" w:rsidRPr="00B404D4" w:rsidRDefault="00721B31" w:rsidP="00721B31">
      <w:pPr>
        <w:spacing w:after="120" w:line="240" w:lineRule="auto"/>
        <w:ind w:left="709" w:right="709"/>
        <w:jc w:val="both"/>
        <w:rPr>
          <w:rFonts w:ascii="Verdana" w:eastAsia="Arial" w:hAnsi="Verdana" w:cs="Arial"/>
          <w:color w:val="000000"/>
          <w:sz w:val="20"/>
          <w:szCs w:val="20"/>
          <w:lang w:val="en-US"/>
        </w:rPr>
      </w:pPr>
      <w:r w:rsidRPr="4B5850F8">
        <w:rPr>
          <w:rFonts w:ascii="Verdana" w:eastAsia="Arial" w:hAnsi="Verdana" w:cs="Arial"/>
          <w:color w:val="000000" w:themeColor="text1"/>
          <w:sz w:val="20"/>
          <w:szCs w:val="20"/>
          <w:lang w:val="en-US"/>
        </w:rPr>
        <w:lastRenderedPageBreak/>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 </w:t>
      </w:r>
    </w:p>
    <w:p w14:paraId="76061887" w14:textId="77777777" w:rsidR="00721B31" w:rsidRPr="00B404D4" w:rsidRDefault="00721B31" w:rsidP="00721B31">
      <w:pPr>
        <w:spacing w:after="120" w:line="240" w:lineRule="auto"/>
        <w:ind w:left="709" w:right="709"/>
        <w:jc w:val="both"/>
        <w:rPr>
          <w:rFonts w:ascii="Verdana" w:eastAsia="Arial" w:hAnsi="Verdana" w:cs="Arial"/>
          <w:color w:val="000000"/>
          <w:sz w:val="20"/>
          <w:szCs w:val="20"/>
          <w:lang w:val="en-US"/>
        </w:rPr>
      </w:pPr>
      <w:r w:rsidRPr="4B5850F8">
        <w:rPr>
          <w:rFonts w:ascii="Verdana" w:eastAsia="Arial" w:hAnsi="Verdana" w:cs="Arial"/>
          <w:color w:val="000000" w:themeColor="text1"/>
          <w:sz w:val="20"/>
          <w:szCs w:val="20"/>
          <w:lang w:val="en-US"/>
        </w:rPr>
        <w:t>Para la acreditación deberán observarse los rangos de clasificación empresarial establecidos de conformidad con la Ley 590 de 2000 y el Decreto 1074 de 2015, o las normas que lo modifiquen, sustituyan o complementen. </w:t>
      </w:r>
    </w:p>
    <w:p w14:paraId="62E7EA8D" w14:textId="77777777" w:rsidR="00721B31" w:rsidRPr="00B404D4" w:rsidRDefault="00721B31" w:rsidP="00721B31">
      <w:pPr>
        <w:spacing w:after="120" w:line="240" w:lineRule="auto"/>
        <w:ind w:left="709" w:right="709"/>
        <w:jc w:val="both"/>
        <w:rPr>
          <w:rFonts w:ascii="Verdana" w:eastAsia="Arial" w:hAnsi="Verdana" w:cs="Arial"/>
          <w:color w:val="000000"/>
          <w:sz w:val="20"/>
          <w:szCs w:val="20"/>
          <w:lang w:val="en-US"/>
        </w:rPr>
      </w:pPr>
      <w:r w:rsidRPr="4B5850F8">
        <w:rPr>
          <w:rFonts w:ascii="Verdana" w:eastAsia="Arial" w:hAnsi="Verdana" w:cs="Arial"/>
          <w:color w:val="000000" w:themeColor="text1"/>
          <w:sz w:val="20"/>
          <w:szCs w:val="20"/>
          <w:lang w:val="en-US"/>
        </w:rPr>
        <w:t>Parágrafo 1. En todo caso, las Mipyme también podrán acreditar esta condición con la copia del certificado del Registro Único de Proponentes, el cual deberá encontrarse vigente y en firme al momento de su presentación. </w:t>
      </w:r>
    </w:p>
    <w:p w14:paraId="761E18A2" w14:textId="77777777" w:rsidR="00721B31" w:rsidRPr="00B404D4" w:rsidRDefault="00721B31" w:rsidP="00721B31">
      <w:pPr>
        <w:spacing w:after="120" w:line="240" w:lineRule="auto"/>
        <w:ind w:left="709" w:right="709"/>
        <w:jc w:val="both"/>
        <w:rPr>
          <w:rFonts w:ascii="Verdana" w:eastAsia="Arial" w:hAnsi="Verdana" w:cs="Arial"/>
          <w:color w:val="000000"/>
          <w:sz w:val="20"/>
          <w:szCs w:val="20"/>
          <w:lang w:val="en-US"/>
        </w:rPr>
      </w:pPr>
      <w:r w:rsidRPr="4B5850F8">
        <w:rPr>
          <w:rFonts w:ascii="Verdana" w:eastAsia="Arial" w:hAnsi="Verdana" w:cs="Arial"/>
          <w:color w:val="000000" w:themeColor="text1"/>
          <w:sz w:val="20"/>
          <w:szCs w:val="20"/>
          <w:lang w:val="en-US"/>
        </w:rPr>
        <w:t xml:space="preserve">Parágrafo 2. Para efectos de la limitación a Mipyme, los proponentes </w:t>
      </w:r>
      <w:r w:rsidRPr="4B5850F8">
        <w:rPr>
          <w:rFonts w:ascii="Verdana" w:eastAsia="Arial" w:hAnsi="Verdana" w:cs="Arial"/>
          <w:i/>
          <w:color w:val="000000" w:themeColor="text1"/>
          <w:sz w:val="20"/>
          <w:szCs w:val="20"/>
          <w:u w:val="single"/>
          <w:lang w:val="en-US"/>
        </w:rPr>
        <w:t>aportarán la copia del registro mercantil, del certificado de existencia y representación legal o del Registro Único de Proponentes, según corresponda conforme a las reglas precedentes</w:t>
      </w:r>
      <w:r w:rsidRPr="4B5850F8">
        <w:rPr>
          <w:rFonts w:ascii="Verdana" w:eastAsia="Arial" w:hAnsi="Verdana" w:cs="Arial"/>
          <w:color w:val="000000" w:themeColor="text1"/>
          <w:sz w:val="20"/>
          <w:szCs w:val="20"/>
          <w:lang w:val="en-US"/>
        </w:rPr>
        <w:t xml:space="preserve">, con una fecha de máximo sesenta (60) días calendario anteriores a la prevista en el cronograma del Proceso de Contratación para el inicio del plazo para solicitar la convocatoria </w:t>
      </w:r>
      <w:proofErr w:type="gramStart"/>
      <w:r w:rsidRPr="4B5850F8">
        <w:rPr>
          <w:rFonts w:ascii="Verdana" w:eastAsia="Arial" w:hAnsi="Verdana" w:cs="Arial"/>
          <w:color w:val="000000" w:themeColor="text1"/>
          <w:sz w:val="20"/>
          <w:szCs w:val="20"/>
          <w:lang w:val="en-US"/>
        </w:rPr>
        <w:t>limitada”[</w:t>
      </w:r>
      <w:proofErr w:type="gramEnd"/>
      <w:r w:rsidRPr="4B5850F8">
        <w:rPr>
          <w:rFonts w:ascii="Verdana" w:eastAsia="Arial" w:hAnsi="Verdana" w:cs="Arial"/>
          <w:color w:val="000000" w:themeColor="text1"/>
          <w:sz w:val="20"/>
          <w:szCs w:val="20"/>
          <w:lang w:val="en-US"/>
        </w:rPr>
        <w:t>…]. [Énfasis propio]</w:t>
      </w:r>
    </w:p>
    <w:p w14:paraId="7BA3F0E4" w14:textId="77777777" w:rsidR="00721B31" w:rsidRPr="00B404D4" w:rsidRDefault="00721B31" w:rsidP="00721B31">
      <w:pPr>
        <w:spacing w:after="120" w:line="240" w:lineRule="auto"/>
        <w:ind w:left="709" w:right="709" w:firstLine="709"/>
        <w:jc w:val="both"/>
        <w:rPr>
          <w:rFonts w:ascii="Verdana" w:eastAsia="Arial" w:hAnsi="Verdana" w:cs="Arial"/>
          <w:color w:val="000000"/>
          <w:sz w:val="20"/>
          <w:szCs w:val="20"/>
          <w:lang/>
        </w:rPr>
      </w:pPr>
      <w:r w:rsidRPr="00B404D4">
        <w:rPr>
          <w:rFonts w:ascii="Verdana" w:eastAsia="Arial" w:hAnsi="Verdana" w:cs="Arial"/>
          <w:color w:val="000000"/>
          <w:sz w:val="20"/>
          <w:szCs w:val="20"/>
          <w:lang/>
        </w:rPr>
        <w:t>  </w:t>
      </w:r>
    </w:p>
    <w:p w14:paraId="5B5D4659" w14:textId="77777777" w:rsidR="00721B31" w:rsidRPr="009A73F4" w:rsidRDefault="00721B31" w:rsidP="00721B31">
      <w:pPr>
        <w:spacing w:after="120" w:line="276" w:lineRule="auto"/>
        <w:ind w:firstLine="709"/>
        <w:jc w:val="both"/>
        <w:rPr>
          <w:rFonts w:ascii="Verdana" w:eastAsia="Calibri" w:hAnsi="Verdana" w:cs="Arial"/>
          <w:bCs/>
          <w:lang w:val="es-ES_tradnl" w:eastAsia="es-ES_tradnl"/>
        </w:rPr>
      </w:pPr>
      <w:bookmarkStart w:id="4" w:name="_Hlk106012873"/>
      <w:r>
        <w:rPr>
          <w:rFonts w:ascii="Verdana" w:eastAsia="Calibri" w:hAnsi="Verdana" w:cs="Arial"/>
          <w:bCs/>
          <w:lang w:eastAsia="es-ES_tradnl"/>
        </w:rPr>
        <w:t>De esta manera</w:t>
      </w:r>
      <w:r w:rsidRPr="009A73F4">
        <w:rPr>
          <w:rFonts w:ascii="Verdana" w:eastAsia="Calibri" w:hAnsi="Verdana" w:cs="Arial"/>
          <w:bCs/>
          <w:lang w:eastAsia="es-ES_tradnl"/>
        </w:rPr>
        <w:t xml:space="preserve">, el </w:t>
      </w:r>
      <w:r w:rsidRPr="009A73F4">
        <w:rPr>
          <w:rFonts w:ascii="Verdana" w:eastAsia="Calibri" w:hAnsi="Verdana" w:cs="Arial"/>
          <w:bCs/>
          <w:lang w:val="es-ES_tradnl" w:eastAsia="es-ES_tradnl"/>
        </w:rPr>
        <w:t xml:space="preserve">artículo 2.2.1.2.4.2.4 del Decreto 1082 de 2015 –modificado por el Decreto 1860 de 2021– determina la forma en la que se debe acreditar el tamaño empresarial, tratándose de persona natural y persona jurídica. Es importante precisar que esta acreditación se debe realizar tanto para solicitar la limitación de la convocatoria como para participar en el proceso de selección una vez esta se haya limitado a Mipyme. </w:t>
      </w:r>
    </w:p>
    <w:p w14:paraId="2460B759" w14:textId="625AAFAC" w:rsidR="00721B31" w:rsidRPr="009A73F4" w:rsidRDefault="00721B31" w:rsidP="00721B31">
      <w:pPr>
        <w:spacing w:after="120" w:line="276" w:lineRule="auto"/>
        <w:ind w:firstLine="709"/>
        <w:jc w:val="both"/>
        <w:rPr>
          <w:rFonts w:ascii="Verdana" w:eastAsia="Calibri" w:hAnsi="Verdana" w:cs="Arial"/>
          <w:lang w:val="es-ES" w:eastAsia="es-ES"/>
        </w:rPr>
      </w:pPr>
      <w:bookmarkStart w:id="5" w:name="_Hlk106012950"/>
      <w:bookmarkEnd w:id="4"/>
      <w:r>
        <w:rPr>
          <w:rFonts w:ascii="Verdana" w:eastAsia="Calibri" w:hAnsi="Verdana" w:cs="Arial"/>
          <w:lang w:val="es-ES" w:eastAsia="es-ES"/>
        </w:rPr>
        <w:t>T</w:t>
      </w:r>
      <w:r w:rsidRPr="478C026C">
        <w:rPr>
          <w:rFonts w:ascii="Verdana" w:eastAsia="Calibri" w:hAnsi="Verdana" w:cs="Arial"/>
          <w:lang w:val="es-ES" w:eastAsia="es-ES"/>
        </w:rPr>
        <w:t xml:space="preserve">ratándose de </w:t>
      </w:r>
      <w:r w:rsidR="00AC6365">
        <w:rPr>
          <w:rFonts w:ascii="Verdana" w:eastAsia="Calibri" w:hAnsi="Verdana" w:cs="Arial"/>
          <w:lang w:val="es-ES" w:eastAsia="es-ES"/>
        </w:rPr>
        <w:t xml:space="preserve">las </w:t>
      </w:r>
      <w:r w:rsidRPr="478C026C">
        <w:rPr>
          <w:rFonts w:ascii="Verdana" w:eastAsia="Calibri" w:hAnsi="Verdana" w:cs="Arial"/>
          <w:lang w:val="es-ES" w:eastAsia="es-ES"/>
        </w:rPr>
        <w:t>persona</w:t>
      </w:r>
      <w:r w:rsidR="00AC6365">
        <w:rPr>
          <w:rFonts w:ascii="Verdana" w:eastAsia="Calibri" w:hAnsi="Verdana" w:cs="Arial"/>
          <w:lang w:val="es-ES" w:eastAsia="es-ES"/>
        </w:rPr>
        <w:t>s</w:t>
      </w:r>
      <w:r w:rsidRPr="478C026C">
        <w:rPr>
          <w:rFonts w:ascii="Verdana" w:eastAsia="Calibri" w:hAnsi="Verdana" w:cs="Arial"/>
          <w:lang w:val="es-ES" w:eastAsia="es-ES"/>
        </w:rPr>
        <w:t xml:space="preserve"> natural</w:t>
      </w:r>
      <w:r w:rsidR="00AC6365">
        <w:rPr>
          <w:rFonts w:ascii="Verdana" w:eastAsia="Calibri" w:hAnsi="Verdana" w:cs="Arial"/>
          <w:lang w:val="es-ES" w:eastAsia="es-ES"/>
        </w:rPr>
        <w:t>es</w:t>
      </w:r>
      <w:r w:rsidRPr="478C026C">
        <w:rPr>
          <w:rFonts w:ascii="Verdana" w:eastAsia="Calibri" w:hAnsi="Verdana" w:cs="Arial"/>
          <w:lang w:val="es-ES" w:eastAsia="es-ES"/>
        </w:rPr>
        <w:t xml:space="preserve">, la disposición antes señalada exige que se acredite el tamaño empresarial mediante certificación expedida por ellos y un contador público, adjuntando copia del registro mercantil. En este caso, la intervención del contador es necesaria con el fin de que actúe en calidad de fedatario. </w:t>
      </w:r>
    </w:p>
    <w:p w14:paraId="2D66A434" w14:textId="77777777" w:rsidR="00721B31" w:rsidRDefault="00721B31" w:rsidP="00721B31">
      <w:pPr>
        <w:spacing w:after="120" w:line="276" w:lineRule="auto"/>
        <w:ind w:firstLine="709"/>
        <w:jc w:val="both"/>
        <w:rPr>
          <w:rFonts w:ascii="Verdana" w:eastAsia="Calibri" w:hAnsi="Verdana" w:cs="Arial"/>
          <w:lang w:val="es-ES" w:eastAsia="es-ES"/>
        </w:rPr>
      </w:pPr>
      <w:r w:rsidRPr="478C026C">
        <w:rPr>
          <w:rFonts w:ascii="Verdana" w:eastAsia="Calibri" w:hAnsi="Verdana" w:cs="Arial"/>
          <w:lang w:val="es-ES" w:eastAsia="es-ES"/>
        </w:rPr>
        <w:t xml:space="preserve">Respecto del requisito de registro mercantil debe señalarse que la actividad empresarial se realiza a través de establecimientos de comercio sujetos al registro mercantil, por lo que es necesario que la persona natural acredite dicho registro de acuerdo con lo dispuesto por la ley comercial. En efecto, de conformidad con el artículo 25 del Código de Comercio, </w:t>
      </w:r>
      <w:r>
        <w:rPr>
          <w:rFonts w:ascii="Verdana" w:eastAsia="Calibri" w:hAnsi="Verdana" w:cs="Arial"/>
          <w:lang w:val="es-ES" w:eastAsia="es-ES"/>
        </w:rPr>
        <w:t>“</w:t>
      </w:r>
      <w:r w:rsidRPr="478C026C">
        <w:rPr>
          <w:rFonts w:ascii="Verdana" w:eastAsia="Calibri" w:hAnsi="Verdana" w:cs="Arial"/>
          <w:lang w:val="es-ES" w:eastAsia="es-ES"/>
        </w:rPr>
        <w:t xml:space="preserve">Se entenderá por empresa toda actividad económica organizada para la producción, </w:t>
      </w:r>
      <w:r w:rsidRPr="478C026C">
        <w:rPr>
          <w:rFonts w:ascii="Verdana" w:eastAsia="Calibri" w:hAnsi="Verdana" w:cs="Arial"/>
          <w:lang w:val="es-ES" w:eastAsia="es-ES"/>
        </w:rPr>
        <w:lastRenderedPageBreak/>
        <w:t>transformación, circulación, administración o custodia de bienes, o para la prestación de servicios. Dicha actividad se realizará a través de uno o más establecimientos de comercio</w:t>
      </w:r>
      <w:r>
        <w:rPr>
          <w:rFonts w:ascii="Verdana" w:eastAsia="Calibri" w:hAnsi="Verdana" w:cs="Arial"/>
          <w:lang w:val="es-ES" w:eastAsia="es-ES"/>
        </w:rPr>
        <w:t>”</w:t>
      </w:r>
      <w:r w:rsidRPr="478C026C">
        <w:rPr>
          <w:rFonts w:ascii="Verdana" w:eastAsia="Calibri" w:hAnsi="Verdana" w:cs="Arial"/>
          <w:lang w:val="es-ES" w:eastAsia="es-ES"/>
        </w:rPr>
        <w:t xml:space="preserve">. </w:t>
      </w:r>
      <w:bookmarkEnd w:id="5"/>
      <w:r w:rsidRPr="478C026C">
        <w:rPr>
          <w:rFonts w:ascii="Verdana" w:eastAsia="Calibri" w:hAnsi="Verdana" w:cs="Arial"/>
          <w:lang w:val="es-ES" w:eastAsia="es-ES"/>
        </w:rPr>
        <w:t xml:space="preserve">Por su parte, el artículo 26 </w:t>
      </w:r>
      <w:r w:rsidRPr="478C026C">
        <w:rPr>
          <w:rFonts w:ascii="Verdana" w:eastAsia="Calibri" w:hAnsi="Verdana" w:cs="Arial"/>
          <w:i/>
          <w:lang w:val="es-ES" w:eastAsia="es-ES"/>
        </w:rPr>
        <w:t>ibidem</w:t>
      </w:r>
      <w:r w:rsidRPr="478C026C">
        <w:rPr>
          <w:rFonts w:ascii="Verdana" w:eastAsia="Calibri" w:hAnsi="Verdana" w:cs="Arial"/>
          <w:lang w:val="es-ES" w:eastAsia="es-ES"/>
        </w:rPr>
        <w:t xml:space="preserve"> dispone que </w:t>
      </w:r>
      <w:r>
        <w:rPr>
          <w:rFonts w:ascii="Verdana" w:eastAsia="Calibri" w:hAnsi="Verdana" w:cs="Arial"/>
          <w:lang w:val="es-ES" w:eastAsia="es-ES"/>
        </w:rPr>
        <w:t>"</w:t>
      </w:r>
      <w:r w:rsidRPr="478C026C">
        <w:rPr>
          <w:rFonts w:ascii="Verdana" w:eastAsia="Calibri" w:hAnsi="Verdana" w:cs="Arial"/>
          <w:lang w:val="es-ES" w:eastAsia="es-ES"/>
        </w:rPr>
        <w:t>el registro mercantil tendrá por objeto llevar la matrícula de los comerciantes y de los establecimientos de comercio, así como la inscripción de todos los actos, libros y documentos respecto de los cuales la ley exigiere esa formalidad</w:t>
      </w:r>
      <w:r>
        <w:rPr>
          <w:rFonts w:ascii="Verdana" w:eastAsia="Calibri" w:hAnsi="Verdana" w:cs="Arial"/>
          <w:lang w:val="es-ES" w:eastAsia="es-ES"/>
        </w:rPr>
        <w:t>”</w:t>
      </w:r>
      <w:r w:rsidRPr="478C026C">
        <w:rPr>
          <w:rFonts w:ascii="Verdana" w:eastAsia="Calibri" w:hAnsi="Verdana" w:cs="Arial"/>
          <w:lang w:val="es-ES" w:eastAsia="es-ES"/>
        </w:rPr>
        <w:t>. En ese sentido, para la ley comercial la actividad económica empresarial se ejerce mediante establecimientos de comercio que están sujetos al registro mercantil</w:t>
      </w:r>
      <w:r w:rsidRPr="478C026C">
        <w:rPr>
          <w:rFonts w:ascii="Verdana" w:eastAsia="Calibri" w:hAnsi="Verdana" w:cs="Arial"/>
          <w:vertAlign w:val="superscript"/>
          <w:lang w:val="es-ES" w:eastAsia="es-ES"/>
        </w:rPr>
        <w:footnoteReference w:id="7"/>
      </w:r>
      <w:r w:rsidRPr="478C026C">
        <w:rPr>
          <w:rFonts w:ascii="Verdana" w:eastAsia="Calibri" w:hAnsi="Verdana" w:cs="Arial"/>
          <w:lang w:val="es-ES" w:eastAsia="es-ES"/>
        </w:rPr>
        <w:t xml:space="preserve">. </w:t>
      </w:r>
    </w:p>
    <w:p w14:paraId="55B634AF" w14:textId="77777777" w:rsidR="00721B31" w:rsidRPr="009A73F4" w:rsidRDefault="00721B31" w:rsidP="00721B31">
      <w:pPr>
        <w:spacing w:after="120" w:line="276" w:lineRule="auto"/>
        <w:ind w:firstLine="709"/>
        <w:jc w:val="both"/>
        <w:rPr>
          <w:rFonts w:ascii="Verdana" w:eastAsia="Calibri" w:hAnsi="Verdana" w:cs="Arial"/>
          <w:lang w:val="es-ES_tradnl" w:eastAsia="es-ES_tradnl"/>
        </w:rPr>
      </w:pPr>
      <w:r w:rsidRPr="009A73F4">
        <w:rPr>
          <w:rFonts w:ascii="Verdana" w:eastAsia="Calibri" w:hAnsi="Verdana" w:cs="Arial"/>
          <w:bCs/>
          <w:lang w:eastAsia="es-ES_tradnl"/>
        </w:rPr>
        <w:t>En relación con la persona jurídica, la norma requiere que l</w:t>
      </w:r>
      <w:r w:rsidRPr="009A73F4">
        <w:rPr>
          <w:rFonts w:ascii="Verdana" w:eastAsia="Calibri" w:hAnsi="Verdana" w:cs="Arial"/>
          <w:lang w:val="es-ES_tradnl" w:eastAsia="es-ES_tradnl"/>
        </w:rPr>
        <w:t xml:space="preserve">a Mipyme colombiana acredite el tamaño empresarial mediante certificación expedida por el representante legal y el contador o revisor fiscal, si está obligada a tenerlo, adjuntando copia del certificado de existencia y representación legal expedido por la Cámara de Comercio o por la autoridad competente para expedir dicha certificación. </w:t>
      </w:r>
    </w:p>
    <w:p w14:paraId="4A0FF697" w14:textId="77777777" w:rsidR="00721B31" w:rsidRDefault="00721B31" w:rsidP="00721B31">
      <w:pPr>
        <w:spacing w:after="120" w:line="276" w:lineRule="auto"/>
        <w:ind w:firstLine="709"/>
        <w:jc w:val="both"/>
        <w:rPr>
          <w:rFonts w:ascii="Verdana" w:eastAsia="Calibri" w:hAnsi="Verdana" w:cs="Arial"/>
          <w:bCs/>
          <w:lang w:val="es-ES_tradnl" w:eastAsia="es-ES_tradnl"/>
        </w:rPr>
      </w:pPr>
      <w:r>
        <w:rPr>
          <w:rFonts w:ascii="Verdana" w:eastAsia="Calibri" w:hAnsi="Verdana" w:cs="Arial"/>
          <w:lang w:val="es-ES" w:eastAsia="es-ES"/>
        </w:rPr>
        <w:t xml:space="preserve">Por su parte, </w:t>
      </w:r>
      <w:r w:rsidRPr="009A73F4">
        <w:rPr>
          <w:rFonts w:ascii="Verdana" w:eastAsia="Calibri" w:hAnsi="Verdana" w:cs="Arial"/>
          <w:bCs/>
          <w:lang w:val="es-ES_tradnl" w:eastAsia="es-ES_tradnl"/>
        </w:rPr>
        <w:t xml:space="preserve">el parágrafo primero del artículo citado permite acreditar la condición de Mipyme con la copia del certificado del Registro Único de Proponentes –RUP–. De esta manera, la Mipyme, sea persona natural o persona jurídica, podrá acreditar la actividad y el tamaño empresarial exigido por la ley, presentando el RUP, documento que en este caso es de carácter opcional, es decir, es un medio de prueba alternativo establecido por el mismo reglamento. En consecuencia, en caso de que la Mipyme cuente con este documento podrá aportarlo de acuerdo con lo dispuesto en el artículo </w:t>
      </w:r>
      <w:r w:rsidRPr="009A73F4">
        <w:rPr>
          <w:rFonts w:ascii="Verdana" w:eastAsia="Calibri" w:hAnsi="Verdana" w:cs="Arial"/>
          <w:bCs/>
          <w:lang w:eastAsia="es-ES_tradnl"/>
        </w:rPr>
        <w:t xml:space="preserve">2.2.1.2.4.2.4. del Decreto 1082 de 2015 –modificado por el Decreto 1860 de 2021–, </w:t>
      </w:r>
      <w:r w:rsidRPr="009A73F4">
        <w:rPr>
          <w:rFonts w:ascii="Verdana" w:eastAsia="Calibri" w:hAnsi="Verdana" w:cs="Arial"/>
          <w:bCs/>
          <w:lang w:val="es-ES_tradnl" w:eastAsia="es-ES_tradnl"/>
        </w:rPr>
        <w:t>de lo contrario deberá allegar la documentación respectiva conforme lo disponen los numerales 1º y 2º de la norma en cita, según sea el caso.</w:t>
      </w:r>
    </w:p>
    <w:p w14:paraId="6173D09A" w14:textId="77777777" w:rsidR="00721B31" w:rsidRDefault="00721B31" w:rsidP="00721B31">
      <w:pPr>
        <w:spacing w:after="120" w:line="276" w:lineRule="auto"/>
        <w:ind w:firstLine="709"/>
        <w:jc w:val="both"/>
        <w:rPr>
          <w:rFonts w:ascii="Verdana" w:eastAsia="Calibri" w:hAnsi="Verdana" w:cs="Arial"/>
          <w:bCs/>
          <w:lang w:val="es-ES_tradnl" w:eastAsia="es-ES_tradnl"/>
        </w:rPr>
      </w:pPr>
      <w:r w:rsidRPr="009A73F4">
        <w:rPr>
          <w:rFonts w:ascii="Verdana" w:eastAsia="Calibri" w:hAnsi="Verdana" w:cs="Arial"/>
          <w:bCs/>
          <w:lang w:val="es-ES_tradnl" w:eastAsia="es-ES_tradnl"/>
        </w:rPr>
        <w:t xml:space="preserve">Finalmente, es preciso señalar que el parágrafo primero del artículo citado permite acreditar la condición de Mipyme con la copia del certificado del Registro Único de Proponentes –RUP–. De esta manera, la Mipyme, sea persona natural o persona jurídica, podrá </w:t>
      </w:r>
      <w:r>
        <w:rPr>
          <w:rFonts w:ascii="Verdana" w:eastAsia="Calibri" w:hAnsi="Verdana" w:cs="Arial"/>
          <w:bCs/>
          <w:lang w:val="es-ES_tradnl" w:eastAsia="es-ES_tradnl"/>
        </w:rPr>
        <w:t>las condiciones exigidas</w:t>
      </w:r>
      <w:r w:rsidRPr="009A73F4">
        <w:rPr>
          <w:rFonts w:ascii="Verdana" w:eastAsia="Calibri" w:hAnsi="Verdana" w:cs="Arial"/>
          <w:bCs/>
          <w:lang w:val="es-ES_tradnl" w:eastAsia="es-ES_tradnl"/>
        </w:rPr>
        <w:t xml:space="preserve">, presentando el RUP, </w:t>
      </w:r>
      <w:r w:rsidRPr="009A73F4">
        <w:rPr>
          <w:rFonts w:ascii="Verdana" w:eastAsia="Calibri" w:hAnsi="Verdana" w:cs="Arial"/>
          <w:bCs/>
          <w:lang w:val="es-ES_tradnl" w:eastAsia="es-ES_tradnl"/>
        </w:rPr>
        <w:lastRenderedPageBreak/>
        <w:t xml:space="preserve">documento que en este caso es de carácter opcional, es decir, es un medio de prueba alternativo establecido por el mismo reglamento. En consecuencia, en caso de que la Mipyme cuente con este documento podrá aportarlo de acuerdo con lo dispuesto en el artículo </w:t>
      </w:r>
      <w:r w:rsidRPr="009A73F4">
        <w:rPr>
          <w:rFonts w:ascii="Verdana" w:eastAsia="Calibri" w:hAnsi="Verdana" w:cs="Arial"/>
          <w:bCs/>
          <w:lang w:eastAsia="es-ES_tradnl"/>
        </w:rPr>
        <w:t xml:space="preserve">2.2.1.2.4.2.4. del Decreto 1082 de 2015 –modificado por el Decreto 1860 de 2021–, </w:t>
      </w:r>
      <w:r w:rsidRPr="009A73F4">
        <w:rPr>
          <w:rFonts w:ascii="Verdana" w:eastAsia="Calibri" w:hAnsi="Verdana" w:cs="Arial"/>
          <w:bCs/>
          <w:lang w:val="es-ES_tradnl" w:eastAsia="es-ES_tradnl"/>
        </w:rPr>
        <w:t xml:space="preserve">de lo contrario deberá allegar la documentación respectiva conforme lo disponen los numerales 1º y 2º de la norma en cita, según sea el caso. </w:t>
      </w:r>
    </w:p>
    <w:p w14:paraId="3316844E" w14:textId="559C4E68" w:rsidR="00721B31" w:rsidRPr="00584A02" w:rsidRDefault="00721B31" w:rsidP="00721B31">
      <w:pPr>
        <w:spacing w:after="120" w:line="276" w:lineRule="auto"/>
        <w:ind w:firstLine="709"/>
        <w:jc w:val="both"/>
        <w:rPr>
          <w:rFonts w:ascii="Verdana" w:eastAsia="Calibri" w:hAnsi="Verdana" w:cs="Arial"/>
          <w:bCs/>
          <w:lang w:eastAsia="es-ES_tradnl"/>
        </w:rPr>
      </w:pPr>
      <w:r>
        <w:rPr>
          <w:rFonts w:ascii="Verdana" w:eastAsia="Calibri" w:hAnsi="Verdana" w:cs="Arial"/>
          <w:bCs/>
          <w:lang w:val="es-ES_tradnl" w:eastAsia="es-ES_tradnl"/>
        </w:rPr>
        <w:t xml:space="preserve">En efecto, la remisión que realiza el artículo </w:t>
      </w:r>
      <w:r w:rsidRPr="009A73F4">
        <w:rPr>
          <w:rFonts w:ascii="Verdana" w:eastAsia="Calibri" w:hAnsi="Verdana" w:cs="Arial"/>
          <w:bCs/>
          <w:lang w:val="es-ES_tradnl" w:eastAsia="es-ES_tradnl"/>
        </w:rPr>
        <w:t>2.2.1.2.4.2.</w:t>
      </w:r>
      <w:r>
        <w:rPr>
          <w:rFonts w:ascii="Verdana" w:eastAsia="Calibri" w:hAnsi="Verdana" w:cs="Arial"/>
          <w:bCs/>
          <w:lang w:val="es-ES_tradnl" w:eastAsia="es-ES_tradnl"/>
        </w:rPr>
        <w:t xml:space="preserve">3 a los medios de prueba y acreditación establecidos en el artículo </w:t>
      </w:r>
      <w:r w:rsidRPr="009A73F4">
        <w:rPr>
          <w:rFonts w:ascii="Verdana" w:eastAsia="Calibri" w:hAnsi="Verdana" w:cs="Arial"/>
          <w:bCs/>
          <w:lang w:val="es-ES_tradnl" w:eastAsia="es-ES_tradnl"/>
        </w:rPr>
        <w:t>2.2.1.2.4.2.4</w:t>
      </w:r>
      <w:r>
        <w:rPr>
          <w:rFonts w:ascii="Verdana" w:eastAsia="Calibri" w:hAnsi="Verdana" w:cs="Arial"/>
          <w:bCs/>
          <w:lang w:val="es-ES_tradnl" w:eastAsia="es-ES_tradnl"/>
        </w:rPr>
        <w:t xml:space="preserve"> implica que la acreditación del domicilio en el marco de las limitaciones territoriales </w:t>
      </w:r>
      <w:r w:rsidRPr="00244EC5">
        <w:rPr>
          <w:rFonts w:ascii="Verdana" w:eastAsia="Calibri" w:hAnsi="Verdana" w:cs="Arial"/>
          <w:bCs/>
          <w:lang w:val="es-ES_tradnl" w:eastAsia="es-ES_tradnl"/>
        </w:rPr>
        <w:t xml:space="preserve">solo será válida mediante la presentación de los documentos establecidos en la norma señalada, es decir, </w:t>
      </w:r>
      <w:r w:rsidRPr="00B404D4">
        <w:rPr>
          <w:rFonts w:ascii="Verdana" w:eastAsia="Calibri" w:hAnsi="Verdana" w:cs="Arial"/>
          <w:bCs/>
          <w:lang w:val="es-ES_tradnl" w:eastAsia="es-ES_tradnl"/>
        </w:rPr>
        <w:t>la copia del registro mercantil, del certificado de existencia y representación legal o del Registro Único de Proponentes, según corresponda</w:t>
      </w:r>
      <w:r w:rsidRPr="00244EC5">
        <w:rPr>
          <w:rFonts w:ascii="Verdana" w:eastAsia="Calibri" w:hAnsi="Verdana" w:cs="Arial"/>
          <w:bCs/>
          <w:lang w:val="es-ES_tradnl" w:eastAsia="es-ES_tradnl"/>
        </w:rPr>
        <w:t>.</w:t>
      </w:r>
      <w:r>
        <w:rPr>
          <w:rFonts w:ascii="Verdana" w:eastAsia="Arial" w:hAnsi="Verdana" w:cs="Arial"/>
          <w:i/>
          <w:iCs/>
          <w:color w:val="000000"/>
          <w:sz w:val="20"/>
          <w:szCs w:val="20"/>
          <w:u w:val="single"/>
          <w:lang/>
        </w:rPr>
        <w:t xml:space="preserve"> </w:t>
      </w:r>
    </w:p>
    <w:p w14:paraId="01DE6E72" w14:textId="77A02C8A" w:rsidR="00721B31" w:rsidRPr="00244EC5" w:rsidRDefault="00721B31" w:rsidP="00721B31">
      <w:pPr>
        <w:spacing w:after="120" w:line="276" w:lineRule="auto"/>
        <w:ind w:firstLine="709"/>
        <w:jc w:val="both"/>
        <w:rPr>
          <w:rFonts w:ascii="Verdana" w:eastAsia="Calibri" w:hAnsi="Verdana" w:cs="Arial"/>
          <w:bCs/>
          <w:lang w:val="es-ES_tradnl" w:eastAsia="es-ES_tradnl"/>
        </w:rPr>
      </w:pPr>
      <w:bookmarkStart w:id="6" w:name="_Hlk106013058"/>
      <w:r>
        <w:rPr>
          <w:rFonts w:ascii="Verdana" w:eastAsia="Century Gothic" w:hAnsi="Verdana" w:cs="Century Gothic"/>
        </w:rPr>
        <w:t xml:space="preserve">En virtud de lo establecido expresamente por la remisión del artículo </w:t>
      </w:r>
      <w:r w:rsidRPr="009A73F4">
        <w:rPr>
          <w:rFonts w:ascii="Verdana" w:eastAsia="Calibri" w:hAnsi="Verdana" w:cs="Arial"/>
          <w:bCs/>
          <w:lang w:val="es-ES_tradnl" w:eastAsia="es-ES_tradnl"/>
        </w:rPr>
        <w:t>2.2.1.2.4.2.</w:t>
      </w:r>
      <w:r>
        <w:rPr>
          <w:rFonts w:ascii="Verdana" w:eastAsia="Calibri" w:hAnsi="Verdana" w:cs="Arial"/>
          <w:bCs/>
          <w:lang w:val="es-ES_tradnl" w:eastAsia="es-ES_tradnl"/>
        </w:rPr>
        <w:t>3</w:t>
      </w:r>
      <w:r>
        <w:rPr>
          <w:rFonts w:ascii="Verdana" w:eastAsia="Century Gothic" w:hAnsi="Verdana" w:cs="Century Gothic"/>
        </w:rPr>
        <w:t>, las entidades contratantes s</w:t>
      </w:r>
      <w:r w:rsidR="00561D7B">
        <w:rPr>
          <w:rFonts w:ascii="Verdana" w:eastAsia="Century Gothic" w:hAnsi="Verdana" w:cs="Century Gothic"/>
        </w:rPr>
        <w:t>o</w:t>
      </w:r>
      <w:r>
        <w:rPr>
          <w:rFonts w:ascii="Verdana" w:eastAsia="Century Gothic" w:hAnsi="Verdana" w:cs="Century Gothic"/>
        </w:rPr>
        <w:t xml:space="preserve">lo pueden exigir </w:t>
      </w:r>
      <w:r w:rsidRPr="00503613">
        <w:rPr>
          <w:rFonts w:ascii="Verdana" w:hAnsi="Verdana" w:cs="Arial"/>
          <w:lang w:eastAsia="es-ES"/>
        </w:rPr>
        <w:t>los requisitos señalados en la ley y en el Decreto 1082 de 2015 –modificado por el Decreto 1860 de 2021– para</w:t>
      </w:r>
      <w:r>
        <w:rPr>
          <w:rFonts w:ascii="Verdana" w:hAnsi="Verdana" w:cs="Arial"/>
          <w:lang w:eastAsia="es-ES"/>
        </w:rPr>
        <w:t xml:space="preserve"> la acreditación del domicilio en el marco de la limitación territorial, es decir, los documentos dispuestos en el artículo </w:t>
      </w:r>
      <w:r w:rsidRPr="009A73F4">
        <w:rPr>
          <w:rFonts w:ascii="Verdana" w:eastAsia="Calibri" w:hAnsi="Verdana" w:cs="Arial"/>
          <w:bCs/>
          <w:lang w:val="es-ES_tradnl" w:eastAsia="es-ES_tradnl"/>
        </w:rPr>
        <w:t>2.2.1.2.4.2.4</w:t>
      </w:r>
      <w:r w:rsidRPr="00503613">
        <w:rPr>
          <w:rFonts w:ascii="Verdana" w:hAnsi="Verdana" w:cs="Arial"/>
          <w:lang w:eastAsia="es-ES"/>
        </w:rPr>
        <w:t xml:space="preserve">. En tal sentido, las entidades no pueden exigir requisitos adicionales para </w:t>
      </w:r>
      <w:r>
        <w:rPr>
          <w:rFonts w:ascii="Verdana" w:hAnsi="Verdana" w:cs="Arial"/>
          <w:lang w:eastAsia="es-ES"/>
        </w:rPr>
        <w:t xml:space="preserve">acreditar el domicilio en el </w:t>
      </w:r>
      <w:r w:rsidRPr="00244EC5">
        <w:rPr>
          <w:rFonts w:ascii="Verdana" w:eastAsia="Calibri" w:hAnsi="Verdana" w:cs="Arial"/>
          <w:bCs/>
          <w:lang w:val="es-ES_tradnl" w:eastAsia="es-ES_tradnl"/>
        </w:rPr>
        <w:t xml:space="preserve">marco de la limitación territorial. Así, la entidad no puede requerir otros documentos para determinar si la Mipyme se encuentra domiciliada en determinado municipio o departamento, del mismo modo que la Mipyme no puede pretender acreditar el cumplimiento del requisito con documentos alternativos a los señalados en la norma. </w:t>
      </w:r>
      <w:bookmarkEnd w:id="6"/>
    </w:p>
    <w:p w14:paraId="4D3FB12D" w14:textId="3051E017" w:rsidR="00721B31" w:rsidRPr="00244EC5" w:rsidRDefault="00721B31" w:rsidP="00721B31">
      <w:pPr>
        <w:spacing w:after="120" w:line="276" w:lineRule="auto"/>
        <w:ind w:firstLine="709"/>
        <w:jc w:val="both"/>
        <w:rPr>
          <w:rFonts w:ascii="Verdana" w:eastAsia="Calibri" w:hAnsi="Verdana" w:cs="Arial"/>
          <w:lang w:val="es-ES" w:eastAsia="es-ES"/>
        </w:rPr>
      </w:pPr>
      <w:r w:rsidRPr="4B5850F8">
        <w:rPr>
          <w:rFonts w:ascii="Verdana" w:eastAsia="Calibri" w:hAnsi="Verdana" w:cs="Arial"/>
          <w:lang w:val="es-ES" w:eastAsia="es-ES"/>
        </w:rPr>
        <w:t>Lo anterior tampoco es posible, dado que cuando el artículo 2.2.1.2.4.2.3 del Decreto 1082 de 2015 exige que la Mipyme tenga “domicilio” en el municipio o departamento de ejecución del contrato, se refiere a ese atributo de la personalidad jurídica —la ciudad o municipio inscrit</w:t>
      </w:r>
      <w:r w:rsidR="00896B9F">
        <w:rPr>
          <w:rFonts w:ascii="Verdana" w:eastAsia="Calibri" w:hAnsi="Verdana" w:cs="Arial"/>
          <w:lang w:val="es-ES" w:eastAsia="es-ES"/>
        </w:rPr>
        <w:t>o</w:t>
      </w:r>
      <w:r w:rsidRPr="4B5850F8">
        <w:rPr>
          <w:rFonts w:ascii="Verdana" w:eastAsia="Calibri" w:hAnsi="Verdana" w:cs="Arial"/>
          <w:lang w:val="es-ES" w:eastAsia="es-ES"/>
        </w:rPr>
        <w:t xml:space="preserve"> estatutariamente y en el registro mercantil según el derecho privado— y no a un lugar donde la empresa ejerce materialmente su actividad económica. En este sentido, uno es el medio probatorio que establece la norma para acreditar el atributo de la personalidad y otros pueden ser aspectos que evidencien que la sociedad realiza negocios en uno u otro lugar, sin que estos impliquen un cambio en el domicilio principal de la misma. </w:t>
      </w:r>
    </w:p>
    <w:p w14:paraId="1F7CFA2C" w14:textId="6BF0AADD" w:rsidR="00721B31" w:rsidRPr="00286B58" w:rsidRDefault="00721B31" w:rsidP="00721B31">
      <w:pPr>
        <w:spacing w:after="120" w:line="276" w:lineRule="auto"/>
        <w:ind w:firstLine="709"/>
        <w:jc w:val="both"/>
        <w:rPr>
          <w:rFonts w:ascii="Verdana" w:eastAsia="Arial" w:hAnsi="Verdana" w:cs="Arial"/>
          <w:color w:val="000000"/>
          <w:lang/>
        </w:rPr>
      </w:pPr>
      <w:r w:rsidRPr="00244EC5">
        <w:rPr>
          <w:rFonts w:ascii="Verdana" w:eastAsia="Calibri" w:hAnsi="Verdana" w:cs="Arial"/>
          <w:bCs/>
          <w:lang w:val="es-ES_tradnl" w:eastAsia="es-ES_tradnl"/>
        </w:rPr>
        <w:lastRenderedPageBreak/>
        <w:t>Consecuencia de esta distinción y</w:t>
      </w:r>
      <w:r>
        <w:rPr>
          <w:rFonts w:ascii="Verdana" w:eastAsia="Arial" w:hAnsi="Verdana" w:cs="Arial"/>
          <w:color w:val="000000"/>
        </w:rPr>
        <w:t xml:space="preserve"> de lo establecido expresamente por el artículo </w:t>
      </w:r>
      <w:r w:rsidRPr="002C1FAA">
        <w:rPr>
          <w:rFonts w:ascii="Verdana" w:eastAsia="Arial" w:hAnsi="Verdana" w:cs="Arial"/>
          <w:color w:val="000000"/>
          <w:lang/>
        </w:rPr>
        <w:t>2.2.1.2.4.2.4.</w:t>
      </w:r>
      <w:r>
        <w:rPr>
          <w:rFonts w:ascii="Verdana" w:eastAsia="Arial" w:hAnsi="Verdana" w:cs="Arial"/>
          <w:color w:val="000000"/>
          <w:lang/>
        </w:rPr>
        <w:t xml:space="preserve"> es que la entidad no puede sustituir esta prueba por verficaciones f</w:t>
      </w:r>
      <w:r w:rsidR="00512809">
        <w:rPr>
          <w:rFonts w:ascii="Verdana" w:eastAsia="Arial" w:hAnsi="Verdana" w:cs="Arial"/>
          <w:color w:val="000000"/>
          <w:lang/>
        </w:rPr>
        <w:t>á</w:t>
      </w:r>
      <w:r>
        <w:rPr>
          <w:rFonts w:ascii="Verdana" w:eastAsia="Arial" w:hAnsi="Verdana" w:cs="Arial"/>
          <w:color w:val="000000"/>
          <w:lang/>
        </w:rPr>
        <w:t xml:space="preserve">cticas de que la sociedad ejerza actividad económica en un lugar determinado, como lo sugiere en su consulta –por ejemplo, mediante contratos de arrendamiento o visitas técnicas–, pues estas no acreditan el domicilio como atributo de la personalidad sino que dan cuenta de un </w:t>
      </w:r>
      <w:r w:rsidRPr="002C1FAA">
        <w:rPr>
          <w:rFonts w:ascii="Verdana" w:eastAsia="Arial" w:hAnsi="Verdana" w:cs="Arial"/>
          <w:color w:val="000000"/>
          <w:lang/>
        </w:rPr>
        <w:t xml:space="preserve">ámbito de </w:t>
      </w:r>
      <w:r>
        <w:rPr>
          <w:rFonts w:ascii="Verdana" w:eastAsia="Arial" w:hAnsi="Verdana" w:cs="Arial"/>
          <w:color w:val="000000"/>
          <w:lang/>
        </w:rPr>
        <w:t xml:space="preserve">su </w:t>
      </w:r>
      <w:r w:rsidRPr="002C1FAA">
        <w:rPr>
          <w:rFonts w:ascii="Verdana" w:eastAsia="Arial" w:hAnsi="Verdana" w:cs="Arial"/>
          <w:color w:val="000000"/>
          <w:lang/>
        </w:rPr>
        <w:t>operación</w:t>
      </w:r>
      <w:r>
        <w:rPr>
          <w:rFonts w:ascii="Verdana" w:eastAsia="Arial" w:hAnsi="Verdana" w:cs="Arial"/>
          <w:color w:val="000000"/>
          <w:lang/>
        </w:rPr>
        <w:t xml:space="preserve"> o funcionamiento</w:t>
      </w:r>
      <w:r w:rsidRPr="002C1FAA">
        <w:rPr>
          <w:rFonts w:ascii="Verdana" w:eastAsia="Arial" w:hAnsi="Verdana" w:cs="Arial"/>
          <w:color w:val="000000"/>
          <w:lang/>
        </w:rPr>
        <w:t xml:space="preserve">, </w:t>
      </w:r>
      <w:r>
        <w:rPr>
          <w:rFonts w:ascii="Verdana" w:eastAsia="Arial" w:hAnsi="Verdana" w:cs="Arial"/>
          <w:color w:val="000000"/>
          <w:lang/>
        </w:rPr>
        <w:t xml:space="preserve">aspectos que corresponden a </w:t>
      </w:r>
      <w:r w:rsidRPr="002C1FAA">
        <w:rPr>
          <w:rFonts w:ascii="Verdana" w:eastAsia="Arial" w:hAnsi="Verdana" w:cs="Arial"/>
          <w:color w:val="000000"/>
          <w:lang/>
        </w:rPr>
        <w:t>realidad</w:t>
      </w:r>
      <w:r>
        <w:rPr>
          <w:rFonts w:ascii="Verdana" w:eastAsia="Arial" w:hAnsi="Verdana" w:cs="Arial"/>
          <w:color w:val="000000"/>
          <w:lang/>
        </w:rPr>
        <w:t>es</w:t>
      </w:r>
      <w:r w:rsidRPr="002C1FAA">
        <w:rPr>
          <w:rFonts w:ascii="Verdana" w:eastAsia="Arial" w:hAnsi="Verdana" w:cs="Arial"/>
          <w:color w:val="000000"/>
          <w:lang/>
        </w:rPr>
        <w:t xml:space="preserve"> jurídicamente distinta</w:t>
      </w:r>
      <w:r>
        <w:rPr>
          <w:rFonts w:ascii="Verdana" w:eastAsia="Arial" w:hAnsi="Verdana" w:cs="Arial"/>
          <w:color w:val="000000"/>
          <w:lang/>
        </w:rPr>
        <w:t>s.</w:t>
      </w:r>
      <w:r>
        <w:rPr>
          <w:rFonts w:ascii="Verdana" w:eastAsia="Arial" w:hAnsi="Verdana" w:cs="Arial"/>
          <w:color w:val="000000"/>
        </w:rPr>
        <w:t xml:space="preserve"> En este sentido, el domicilio así entendido </w:t>
      </w:r>
      <w:r w:rsidRPr="002C1FAA">
        <w:rPr>
          <w:rFonts w:ascii="Verdana" w:eastAsia="Arial" w:hAnsi="Verdana" w:cs="Arial"/>
          <w:color w:val="000000"/>
          <w:lang/>
        </w:rPr>
        <w:t>se acredita con el documento que da fe de ese atributo</w:t>
      </w:r>
      <w:r>
        <w:rPr>
          <w:rFonts w:ascii="Verdana" w:eastAsia="Arial" w:hAnsi="Verdana" w:cs="Arial"/>
          <w:color w:val="000000"/>
          <w:lang/>
        </w:rPr>
        <w:t xml:space="preserve"> de la personalidad según lo dispuesto expresamente en el </w:t>
      </w:r>
      <w:r w:rsidRPr="002C1FAA">
        <w:rPr>
          <w:rFonts w:ascii="Verdana" w:eastAsia="Arial" w:hAnsi="Verdana" w:cs="Arial"/>
          <w:color w:val="000000"/>
          <w:lang/>
        </w:rPr>
        <w:t>artículo 2.2.1.2.4.2.4.</w:t>
      </w:r>
      <w:r>
        <w:rPr>
          <w:rFonts w:ascii="Verdana" w:eastAsia="Arial" w:hAnsi="Verdana" w:cs="Arial"/>
          <w:color w:val="000000"/>
          <w:lang/>
        </w:rPr>
        <w:t xml:space="preserve">, el cual es concordante con la normativa civil y comercial en esta materia. </w:t>
      </w:r>
    </w:p>
    <w:p w14:paraId="189626E7" w14:textId="72411534" w:rsidR="00721B31" w:rsidRDefault="00721B31" w:rsidP="00721B31">
      <w:pPr>
        <w:spacing w:after="120" w:line="276" w:lineRule="auto"/>
        <w:ind w:firstLine="709"/>
        <w:jc w:val="both"/>
        <w:rPr>
          <w:rFonts w:ascii="Verdana" w:eastAsia="Arial" w:hAnsi="Verdana" w:cs="Arial"/>
          <w:color w:val="000000" w:themeColor="text1"/>
          <w:lang/>
        </w:rPr>
      </w:pPr>
      <w:r>
        <w:rPr>
          <w:rFonts w:ascii="Verdana" w:eastAsia="Arial" w:hAnsi="Verdana" w:cs="Arial"/>
          <w:color w:val="000000" w:themeColor="text1"/>
          <w:lang w:val="es-ES"/>
        </w:rPr>
        <w:t>De cualquier modo, n</w:t>
      </w:r>
      <w:r w:rsidRPr="4B3F5FD1">
        <w:rPr>
          <w:rFonts w:ascii="Verdana" w:eastAsia="Arial" w:hAnsi="Verdana" w:cs="Arial"/>
          <w:color w:val="000000" w:themeColor="text1"/>
          <w:lang w:val="es-ES"/>
        </w:rPr>
        <w:t>o puede perderse de vista que</w:t>
      </w:r>
      <w:r>
        <w:rPr>
          <w:rFonts w:ascii="Verdana" w:eastAsia="Arial" w:hAnsi="Verdana" w:cs="Arial"/>
          <w:color w:val="000000" w:themeColor="text1"/>
          <w:lang w:val="es-ES"/>
        </w:rPr>
        <w:t xml:space="preserve"> e</w:t>
      </w:r>
      <w:r w:rsidRPr="001D40DD">
        <w:rPr>
          <w:rFonts w:ascii="Verdana" w:eastAsia="Arial" w:hAnsi="Verdana" w:cs="Arial"/>
          <w:color w:val="000000" w:themeColor="text1"/>
        </w:rPr>
        <w:t>l ordenamiento colombiano solo admite presunciones absolutas cuando la ley las consagra expresamente</w:t>
      </w:r>
      <w:r w:rsidR="00052C11">
        <w:rPr>
          <w:rFonts w:ascii="Verdana" w:eastAsia="Arial" w:hAnsi="Verdana" w:cs="Arial"/>
          <w:color w:val="000000" w:themeColor="text1"/>
        </w:rPr>
        <w:t>.</w:t>
      </w:r>
      <w:r w:rsidRPr="001D40DD">
        <w:rPr>
          <w:rFonts w:ascii="Verdana" w:eastAsia="Arial" w:hAnsi="Verdana" w:cs="Arial"/>
          <w:color w:val="000000" w:themeColor="text1"/>
        </w:rPr>
        <w:t xml:space="preserve"> </w:t>
      </w:r>
      <w:r w:rsidR="00052C11">
        <w:rPr>
          <w:rFonts w:ascii="Verdana" w:eastAsia="Arial" w:hAnsi="Verdana" w:cs="Arial"/>
          <w:color w:val="000000" w:themeColor="text1"/>
        </w:rPr>
        <w:t>D</w:t>
      </w:r>
      <w:r>
        <w:rPr>
          <w:rFonts w:ascii="Verdana" w:eastAsia="Arial" w:hAnsi="Verdana" w:cs="Arial"/>
          <w:color w:val="000000" w:themeColor="text1"/>
        </w:rPr>
        <w:t xml:space="preserve">ado que la norma no </w:t>
      </w:r>
      <w:r w:rsidRPr="001D40DD">
        <w:rPr>
          <w:rFonts w:ascii="Verdana" w:eastAsia="Arial" w:hAnsi="Verdana" w:cs="Arial"/>
          <w:color w:val="000000" w:themeColor="text1"/>
        </w:rPr>
        <w:t xml:space="preserve">confiere ese carácter </w:t>
      </w:r>
      <w:r>
        <w:rPr>
          <w:rFonts w:ascii="Verdana" w:eastAsia="Arial" w:hAnsi="Verdana" w:cs="Arial"/>
          <w:color w:val="000000" w:themeColor="text1"/>
        </w:rPr>
        <w:t xml:space="preserve">a los documentos antes referidos </w:t>
      </w:r>
      <w:r w:rsidRPr="001D40DD">
        <w:rPr>
          <w:rFonts w:ascii="Verdana" w:eastAsia="Arial" w:hAnsi="Verdana" w:cs="Arial"/>
          <w:color w:val="000000" w:themeColor="text1"/>
        </w:rPr>
        <w:t xml:space="preserve">en relación con </w:t>
      </w:r>
      <w:r>
        <w:rPr>
          <w:rFonts w:ascii="Verdana" w:eastAsia="Arial" w:hAnsi="Verdana" w:cs="Arial"/>
          <w:color w:val="000000" w:themeColor="text1"/>
        </w:rPr>
        <w:t xml:space="preserve">la acreditación del </w:t>
      </w:r>
      <w:r w:rsidRPr="001D40DD">
        <w:rPr>
          <w:rFonts w:ascii="Verdana" w:eastAsia="Arial" w:hAnsi="Verdana" w:cs="Arial"/>
          <w:color w:val="000000" w:themeColor="text1"/>
        </w:rPr>
        <w:t>domicili</w:t>
      </w:r>
      <w:r>
        <w:rPr>
          <w:rFonts w:ascii="Verdana" w:eastAsia="Arial" w:hAnsi="Verdana" w:cs="Arial"/>
          <w:color w:val="000000" w:themeColor="text1"/>
        </w:rPr>
        <w:t>o</w:t>
      </w:r>
      <w:r w:rsidRPr="001D40DD">
        <w:rPr>
          <w:rFonts w:ascii="Verdana" w:eastAsia="Arial" w:hAnsi="Verdana" w:cs="Arial"/>
          <w:color w:val="000000" w:themeColor="text1"/>
        </w:rPr>
        <w:t>, se trata de una presunción</w:t>
      </w:r>
      <w:r>
        <w:rPr>
          <w:rFonts w:ascii="Verdana" w:eastAsia="Arial" w:hAnsi="Verdana" w:cs="Arial"/>
          <w:color w:val="000000" w:themeColor="text1"/>
        </w:rPr>
        <w:t xml:space="preserve"> desvirtuable. </w:t>
      </w:r>
      <w:r w:rsidRPr="001D40DD">
        <w:rPr>
          <w:rFonts w:ascii="Verdana" w:eastAsia="Arial" w:hAnsi="Verdana" w:cs="Arial"/>
          <w:color w:val="000000" w:themeColor="text1"/>
          <w:lang/>
        </w:rPr>
        <w:t>La posibilidad de contradicción, sin embargo, opera en</w:t>
      </w:r>
      <w:r>
        <w:rPr>
          <w:rFonts w:ascii="Verdana" w:eastAsia="Arial" w:hAnsi="Verdana" w:cs="Arial"/>
          <w:color w:val="000000" w:themeColor="text1"/>
          <w:lang/>
        </w:rPr>
        <w:t xml:space="preserve"> el marco dispuesto por el artículo </w:t>
      </w:r>
      <w:r w:rsidRPr="002C1FAA">
        <w:rPr>
          <w:rFonts w:ascii="Verdana" w:eastAsia="Arial" w:hAnsi="Verdana" w:cs="Arial"/>
          <w:color w:val="000000"/>
          <w:lang/>
        </w:rPr>
        <w:t>2.2.1.2.4.2.4</w:t>
      </w:r>
      <w:r>
        <w:rPr>
          <w:rFonts w:ascii="Verdana" w:eastAsia="Arial" w:hAnsi="Verdana" w:cs="Arial"/>
          <w:color w:val="000000"/>
          <w:lang/>
        </w:rPr>
        <w:t>, de modo que</w:t>
      </w:r>
      <w:r w:rsidRPr="001D40DD">
        <w:rPr>
          <w:rFonts w:ascii="Verdana" w:eastAsia="Arial" w:hAnsi="Verdana" w:cs="Arial"/>
          <w:color w:val="000000" w:themeColor="text1"/>
          <w:lang/>
        </w:rPr>
        <w:t xml:space="preserve"> la prueba en contrario </w:t>
      </w:r>
      <w:r>
        <w:rPr>
          <w:rFonts w:ascii="Verdana" w:eastAsia="Arial" w:hAnsi="Verdana" w:cs="Arial"/>
          <w:color w:val="000000" w:themeColor="text1"/>
          <w:lang/>
        </w:rPr>
        <w:t xml:space="preserve">puede </w:t>
      </w:r>
      <w:r w:rsidRPr="001D40DD">
        <w:rPr>
          <w:rFonts w:ascii="Verdana" w:eastAsia="Arial" w:hAnsi="Verdana" w:cs="Arial"/>
          <w:color w:val="000000" w:themeColor="text1"/>
          <w:lang/>
        </w:rPr>
        <w:t xml:space="preserve">referirse, </w:t>
      </w:r>
      <w:r>
        <w:rPr>
          <w:rFonts w:ascii="Verdana" w:eastAsia="Arial" w:hAnsi="Verdana" w:cs="Arial"/>
          <w:color w:val="000000" w:themeColor="text1"/>
          <w:lang/>
        </w:rPr>
        <w:t xml:space="preserve">por ejemplo, a que </w:t>
      </w:r>
      <w:r w:rsidRPr="001D40DD">
        <w:rPr>
          <w:rFonts w:ascii="Verdana" w:eastAsia="Arial" w:hAnsi="Verdana" w:cs="Arial"/>
          <w:color w:val="000000" w:themeColor="text1"/>
          <w:lang/>
        </w:rPr>
        <w:t xml:space="preserve">el certificado </w:t>
      </w:r>
      <w:r>
        <w:rPr>
          <w:rFonts w:ascii="Verdana" w:eastAsia="Arial" w:hAnsi="Verdana" w:cs="Arial"/>
          <w:color w:val="000000" w:themeColor="text1"/>
          <w:lang/>
        </w:rPr>
        <w:t xml:space="preserve">se encuentre </w:t>
      </w:r>
      <w:r w:rsidRPr="001D40DD">
        <w:rPr>
          <w:rFonts w:ascii="Verdana" w:eastAsia="Arial" w:hAnsi="Verdana" w:cs="Arial"/>
          <w:color w:val="000000" w:themeColor="text1"/>
          <w:lang/>
        </w:rPr>
        <w:t xml:space="preserve">desactualizado </w:t>
      </w:r>
      <w:r>
        <w:rPr>
          <w:rFonts w:ascii="Verdana" w:eastAsia="Arial" w:hAnsi="Verdana" w:cs="Arial"/>
          <w:color w:val="000000" w:themeColor="text1"/>
          <w:lang/>
        </w:rPr>
        <w:t xml:space="preserve">porque el </w:t>
      </w:r>
      <w:r w:rsidRPr="001D40DD">
        <w:rPr>
          <w:rFonts w:ascii="Verdana" w:eastAsia="Arial" w:hAnsi="Verdana" w:cs="Arial"/>
          <w:color w:val="000000" w:themeColor="text1"/>
          <w:lang/>
        </w:rPr>
        <w:t xml:space="preserve">domicilio inscrito fue modificado con posterioridad y el documento no refleja el cambio; </w:t>
      </w:r>
      <w:r w:rsidR="007425D4">
        <w:rPr>
          <w:rFonts w:ascii="Verdana" w:eastAsia="Arial" w:hAnsi="Verdana" w:cs="Arial"/>
          <w:color w:val="000000" w:themeColor="text1"/>
          <w:lang/>
        </w:rPr>
        <w:t xml:space="preserve">a </w:t>
      </w:r>
      <w:r>
        <w:rPr>
          <w:rFonts w:ascii="Verdana" w:eastAsia="Arial" w:hAnsi="Verdana" w:cs="Arial"/>
          <w:color w:val="000000" w:themeColor="text1"/>
          <w:lang/>
        </w:rPr>
        <w:t xml:space="preserve">que </w:t>
      </w:r>
      <w:r w:rsidRPr="001D40DD">
        <w:rPr>
          <w:rFonts w:ascii="Verdana" w:eastAsia="Arial" w:hAnsi="Verdana" w:cs="Arial"/>
          <w:color w:val="000000" w:themeColor="text1"/>
          <w:lang/>
        </w:rPr>
        <w:t xml:space="preserve">el documento </w:t>
      </w:r>
      <w:r>
        <w:rPr>
          <w:rFonts w:ascii="Verdana" w:eastAsia="Arial" w:hAnsi="Verdana" w:cs="Arial"/>
          <w:color w:val="000000" w:themeColor="text1"/>
          <w:lang/>
        </w:rPr>
        <w:t xml:space="preserve">sea </w:t>
      </w:r>
      <w:r w:rsidRPr="001D40DD">
        <w:rPr>
          <w:rFonts w:ascii="Verdana" w:eastAsia="Arial" w:hAnsi="Verdana" w:cs="Arial"/>
          <w:color w:val="000000" w:themeColor="text1"/>
          <w:lang/>
        </w:rPr>
        <w:t xml:space="preserve">falso o </w:t>
      </w:r>
      <w:r>
        <w:rPr>
          <w:rFonts w:ascii="Verdana" w:eastAsia="Arial" w:hAnsi="Verdana" w:cs="Arial"/>
          <w:color w:val="000000" w:themeColor="text1"/>
          <w:lang/>
        </w:rPr>
        <w:t xml:space="preserve">haya sido </w:t>
      </w:r>
      <w:r w:rsidRPr="001D40DD">
        <w:rPr>
          <w:rFonts w:ascii="Verdana" w:eastAsia="Arial" w:hAnsi="Verdana" w:cs="Arial"/>
          <w:color w:val="000000" w:themeColor="text1"/>
          <w:lang/>
        </w:rPr>
        <w:t xml:space="preserve">adulterado; o </w:t>
      </w:r>
      <w:r w:rsidR="007425D4">
        <w:rPr>
          <w:rFonts w:ascii="Verdana" w:eastAsia="Arial" w:hAnsi="Verdana" w:cs="Arial"/>
          <w:color w:val="000000" w:themeColor="text1"/>
          <w:lang/>
        </w:rPr>
        <w:t xml:space="preserve">a </w:t>
      </w:r>
      <w:r>
        <w:rPr>
          <w:rFonts w:ascii="Verdana" w:eastAsia="Arial" w:hAnsi="Verdana" w:cs="Arial"/>
          <w:color w:val="000000" w:themeColor="text1"/>
          <w:lang/>
        </w:rPr>
        <w:t xml:space="preserve">que exista </w:t>
      </w:r>
      <w:r w:rsidRPr="001D40DD">
        <w:rPr>
          <w:rFonts w:ascii="Verdana" w:eastAsia="Arial" w:hAnsi="Verdana" w:cs="Arial"/>
          <w:color w:val="000000" w:themeColor="text1"/>
          <w:lang/>
        </w:rPr>
        <w:t xml:space="preserve">una </w:t>
      </w:r>
      <w:r>
        <w:rPr>
          <w:rFonts w:ascii="Verdana" w:eastAsia="Arial" w:hAnsi="Verdana" w:cs="Arial"/>
          <w:color w:val="000000" w:themeColor="text1"/>
          <w:lang/>
        </w:rPr>
        <w:t xml:space="preserve">decisión </w:t>
      </w:r>
      <w:r w:rsidRPr="001D40DD">
        <w:rPr>
          <w:rFonts w:ascii="Verdana" w:eastAsia="Arial" w:hAnsi="Verdana" w:cs="Arial"/>
          <w:color w:val="000000" w:themeColor="text1"/>
          <w:lang/>
        </w:rPr>
        <w:t xml:space="preserve">judicial o administrativa que </w:t>
      </w:r>
      <w:r>
        <w:rPr>
          <w:rFonts w:ascii="Verdana" w:eastAsia="Arial" w:hAnsi="Verdana" w:cs="Arial"/>
          <w:color w:val="000000" w:themeColor="text1"/>
          <w:lang/>
        </w:rPr>
        <w:t>se refiera a</w:t>
      </w:r>
      <w:r w:rsidRPr="001D40DD">
        <w:rPr>
          <w:rFonts w:ascii="Verdana" w:eastAsia="Arial" w:hAnsi="Verdana" w:cs="Arial"/>
          <w:color w:val="000000" w:themeColor="text1"/>
          <w:lang/>
        </w:rPr>
        <w:t xml:space="preserve"> </w:t>
      </w:r>
      <w:r w:rsidR="005C567C">
        <w:rPr>
          <w:rFonts w:ascii="Verdana" w:eastAsia="Arial" w:hAnsi="Verdana" w:cs="Arial"/>
          <w:color w:val="000000" w:themeColor="text1"/>
          <w:lang/>
        </w:rPr>
        <w:t>al cará</w:t>
      </w:r>
      <w:r>
        <w:rPr>
          <w:rFonts w:ascii="Verdana" w:eastAsia="Arial" w:hAnsi="Verdana" w:cs="Arial"/>
          <w:color w:val="000000" w:themeColor="text1"/>
          <w:lang/>
        </w:rPr>
        <w:t>de la información reportada</w:t>
      </w:r>
      <w:r w:rsidRPr="001D40DD">
        <w:rPr>
          <w:rFonts w:ascii="Verdana" w:eastAsia="Arial" w:hAnsi="Verdana" w:cs="Arial"/>
          <w:color w:val="000000" w:themeColor="text1"/>
          <w:lang/>
        </w:rPr>
        <w:t>.</w:t>
      </w:r>
    </w:p>
    <w:p w14:paraId="535F393E" w14:textId="5530D796" w:rsidR="00721B31" w:rsidRPr="00A20939" w:rsidRDefault="00721B31" w:rsidP="00721B31">
      <w:pPr>
        <w:spacing w:after="120" w:line="276" w:lineRule="auto"/>
        <w:ind w:firstLine="709"/>
        <w:jc w:val="both"/>
        <w:rPr>
          <w:rFonts w:ascii="Verdana" w:eastAsia="Arial" w:hAnsi="Verdana" w:cs="Arial"/>
          <w:color w:val="000000" w:themeColor="text1"/>
          <w:lang w:val="en-US"/>
        </w:rPr>
      </w:pPr>
      <w:r w:rsidRPr="4B5850F8">
        <w:rPr>
          <w:rFonts w:ascii="Verdana" w:eastAsia="Arial" w:hAnsi="Verdana" w:cs="Arial"/>
          <w:color w:val="000000" w:themeColor="text1"/>
          <w:lang w:val="en-US"/>
        </w:rPr>
        <w:t xml:space="preserve">Adicional a lo anterior es importante constatar si en los documentos del proceso la entidad se reserva el derecho de verificar integralmente la información aportada. Tal como ocurre en los documentos tipo publicados por esta </w:t>
      </w:r>
      <w:proofErr w:type="spellStart"/>
      <w:r w:rsidRPr="4B5850F8">
        <w:rPr>
          <w:rFonts w:ascii="Verdana" w:eastAsia="Arial" w:hAnsi="Verdana" w:cs="Arial"/>
          <w:color w:val="000000" w:themeColor="text1"/>
          <w:lang w:val="en-US"/>
        </w:rPr>
        <w:t>entidad</w:t>
      </w:r>
      <w:proofErr w:type="spellEnd"/>
      <w:r w:rsidRPr="4B5850F8">
        <w:rPr>
          <w:rFonts w:ascii="Verdana" w:eastAsia="Arial" w:hAnsi="Verdana" w:cs="Arial"/>
          <w:color w:val="000000" w:themeColor="text1"/>
          <w:lang w:val="en-US"/>
        </w:rPr>
        <w:t xml:space="preserve">, la </w:t>
      </w:r>
      <w:proofErr w:type="spellStart"/>
      <w:r w:rsidRPr="4B5850F8">
        <w:rPr>
          <w:rFonts w:ascii="Verdana" w:eastAsia="Arial" w:hAnsi="Verdana" w:cs="Arial"/>
          <w:color w:val="000000" w:themeColor="text1"/>
          <w:lang w:val="en-US"/>
        </w:rPr>
        <w:t>potestad</w:t>
      </w:r>
      <w:proofErr w:type="spellEnd"/>
      <w:r w:rsidRPr="4B5850F8">
        <w:rPr>
          <w:rFonts w:ascii="Verdana" w:eastAsia="Arial" w:hAnsi="Verdana" w:cs="Arial"/>
          <w:color w:val="000000" w:themeColor="text1"/>
          <w:lang w:val="en-US"/>
        </w:rPr>
        <w:t xml:space="preserve"> </w:t>
      </w:r>
      <w:proofErr w:type="spellStart"/>
      <w:r w:rsidRPr="4B5850F8">
        <w:rPr>
          <w:rFonts w:ascii="Verdana" w:eastAsia="Arial" w:hAnsi="Verdana" w:cs="Arial"/>
          <w:color w:val="000000" w:themeColor="text1"/>
          <w:lang w:val="en-US"/>
        </w:rPr>
        <w:t>verificadora</w:t>
      </w:r>
      <w:proofErr w:type="spellEnd"/>
      <w:r w:rsidRPr="4B5850F8">
        <w:rPr>
          <w:rFonts w:ascii="Verdana" w:eastAsia="Arial" w:hAnsi="Verdana" w:cs="Arial"/>
          <w:color w:val="000000" w:themeColor="text1"/>
          <w:lang w:val="en-US"/>
        </w:rPr>
        <w:t xml:space="preserve"> de la </w:t>
      </w:r>
      <w:proofErr w:type="spellStart"/>
      <w:r w:rsidRPr="4B5850F8">
        <w:rPr>
          <w:rFonts w:ascii="Verdana" w:eastAsia="Arial" w:hAnsi="Verdana" w:cs="Arial"/>
          <w:color w:val="000000" w:themeColor="text1"/>
          <w:lang w:val="en-US"/>
        </w:rPr>
        <w:t>Entidad</w:t>
      </w:r>
      <w:proofErr w:type="spellEnd"/>
      <w:r w:rsidRPr="4B5850F8">
        <w:rPr>
          <w:rFonts w:ascii="Verdana" w:eastAsia="Arial" w:hAnsi="Verdana" w:cs="Arial"/>
          <w:color w:val="000000" w:themeColor="text1"/>
          <w:lang w:val="en-US"/>
        </w:rPr>
        <w:t xml:space="preserve"> Estatal es </w:t>
      </w:r>
      <w:proofErr w:type="spellStart"/>
      <w:r w:rsidR="00956A79">
        <w:rPr>
          <w:rFonts w:ascii="Verdana" w:eastAsia="Arial" w:hAnsi="Verdana" w:cs="Arial"/>
          <w:color w:val="000000" w:themeColor="text1"/>
          <w:lang w:val="en-US"/>
        </w:rPr>
        <w:t>facultativa</w:t>
      </w:r>
      <w:proofErr w:type="spellEnd"/>
      <w:r w:rsidR="00956A79">
        <w:rPr>
          <w:rFonts w:ascii="Verdana" w:eastAsia="Arial" w:hAnsi="Verdana" w:cs="Arial"/>
          <w:color w:val="000000" w:themeColor="text1"/>
          <w:lang w:val="en-US"/>
        </w:rPr>
        <w:t xml:space="preserve"> </w:t>
      </w:r>
      <w:r w:rsidRPr="4B5850F8">
        <w:rPr>
          <w:rFonts w:ascii="Verdana" w:eastAsia="Arial" w:hAnsi="Verdana" w:cs="Arial"/>
          <w:color w:val="000000" w:themeColor="text1"/>
          <w:lang w:val="en-US"/>
        </w:rPr>
        <w:t xml:space="preserve">y </w:t>
      </w:r>
      <w:proofErr w:type="spellStart"/>
      <w:r w:rsidRPr="4B5850F8">
        <w:rPr>
          <w:rFonts w:ascii="Verdana" w:eastAsia="Arial" w:hAnsi="Verdana" w:cs="Arial"/>
          <w:color w:val="000000" w:themeColor="text1"/>
          <w:lang w:val="en-US"/>
        </w:rPr>
        <w:t>permite</w:t>
      </w:r>
      <w:proofErr w:type="spellEnd"/>
      <w:r w:rsidRPr="4B5850F8">
        <w:rPr>
          <w:rFonts w:ascii="Verdana" w:eastAsia="Arial" w:hAnsi="Verdana" w:cs="Arial"/>
          <w:color w:val="000000" w:themeColor="text1"/>
          <w:lang w:val="en-US"/>
        </w:rPr>
        <w:t xml:space="preserve"> </w:t>
      </w:r>
      <w:proofErr w:type="spellStart"/>
      <w:r w:rsidRPr="4B5850F8">
        <w:rPr>
          <w:rFonts w:ascii="Verdana" w:eastAsia="Arial" w:hAnsi="Verdana" w:cs="Arial"/>
          <w:color w:val="000000" w:themeColor="text1"/>
          <w:lang w:val="en-US"/>
        </w:rPr>
        <w:t>que</w:t>
      </w:r>
      <w:proofErr w:type="spellEnd"/>
      <w:r w:rsidRPr="4B5850F8">
        <w:rPr>
          <w:rFonts w:ascii="Verdana" w:eastAsia="Arial" w:hAnsi="Verdana" w:cs="Arial"/>
          <w:color w:val="000000" w:themeColor="text1"/>
          <w:lang w:val="en-US"/>
        </w:rPr>
        <w:t xml:space="preserve">: </w:t>
      </w:r>
      <w:proofErr w:type="spellStart"/>
      <w:r w:rsidRPr="4B5850F8">
        <w:rPr>
          <w:rFonts w:ascii="Verdana" w:eastAsia="Arial" w:hAnsi="Verdana" w:cs="Arial"/>
          <w:color w:val="000000" w:themeColor="text1"/>
          <w:lang w:val="en-US"/>
        </w:rPr>
        <w:t>i</w:t>
      </w:r>
      <w:proofErr w:type="spellEnd"/>
      <w:r w:rsidRPr="4B5850F8">
        <w:rPr>
          <w:rFonts w:ascii="Verdana" w:eastAsia="Arial" w:hAnsi="Verdana" w:cs="Arial"/>
          <w:color w:val="000000" w:themeColor="text1"/>
          <w:lang w:val="en-US"/>
        </w:rPr>
        <w:t>) cuando la entidad detecta inconsistencias, la información se tenga por no acreditada, y ii) de existir posible falsedad no desvirtuada por el proponente, pueda proceder el rechazo y la compulsa de copias a las autoridades competentes</w:t>
      </w:r>
      <w:r w:rsidRPr="4B5850F8">
        <w:rPr>
          <w:rStyle w:val="Refdenotaalpie"/>
          <w:rFonts w:ascii="Verdana" w:eastAsia="Arial" w:hAnsi="Verdana" w:cs="Arial"/>
          <w:color w:val="000000" w:themeColor="text1"/>
          <w:lang w:val="en-US"/>
        </w:rPr>
        <w:footnoteReference w:id="8"/>
      </w:r>
      <w:r w:rsidRPr="4B5850F8">
        <w:rPr>
          <w:rFonts w:ascii="Verdana" w:eastAsia="Arial" w:hAnsi="Verdana" w:cs="Arial"/>
          <w:color w:val="000000" w:themeColor="text1"/>
          <w:lang w:val="en-US"/>
        </w:rPr>
        <w:t>.</w:t>
      </w:r>
    </w:p>
    <w:p w14:paraId="0723EAC0" w14:textId="77777777" w:rsidR="00721B31" w:rsidRPr="00022E3B" w:rsidRDefault="00721B31" w:rsidP="00721B31">
      <w:pPr>
        <w:spacing w:after="120" w:line="276" w:lineRule="auto"/>
        <w:ind w:firstLine="709"/>
        <w:jc w:val="both"/>
        <w:rPr>
          <w:rFonts w:ascii="Verdana" w:eastAsia="Arial" w:hAnsi="Verdana" w:cs="Arial"/>
          <w:color w:val="000000" w:themeColor="text1"/>
          <w:lang w:val="en-US"/>
        </w:rPr>
      </w:pPr>
      <w:r w:rsidRPr="4B5850F8">
        <w:rPr>
          <w:rFonts w:ascii="Verdana" w:eastAsia="Arial" w:hAnsi="Verdana" w:cs="Arial"/>
          <w:color w:val="000000" w:themeColor="text1"/>
          <w:lang w:val="en-US"/>
        </w:rPr>
        <w:lastRenderedPageBreak/>
        <w:t xml:space="preserve">En cualquier caso, en virtud de esta potestad, la entidad no podría exigir documentos adicionales a los taxativamente señalados por la norma como condición de participación o acreditación. La verificación ejercida en virtud de la potestad general de la entidad debe dirigirse, por tanto, a contrastar la idoneidad del documento aportado, como su vigencia, autenticidad y contenido, y </w:t>
      </w:r>
      <w:proofErr w:type="gramStart"/>
      <w:r w:rsidRPr="4B5850F8">
        <w:rPr>
          <w:rFonts w:ascii="Verdana" w:eastAsia="Arial" w:hAnsi="Verdana" w:cs="Arial"/>
          <w:color w:val="000000" w:themeColor="text1"/>
          <w:lang w:val="en-US"/>
        </w:rPr>
        <w:t>no</w:t>
      </w:r>
      <w:proofErr w:type="gramEnd"/>
      <w:r w:rsidRPr="4B5850F8">
        <w:rPr>
          <w:rFonts w:ascii="Verdana" w:eastAsia="Arial" w:hAnsi="Verdana" w:cs="Arial"/>
          <w:color w:val="000000" w:themeColor="text1"/>
          <w:lang w:val="en-US"/>
        </w:rPr>
        <w:t xml:space="preserve"> a sustituir la tarifa legal por medios probatorios distintos. Si la entidad advierte que el certificado fue falseado o que el dato de domicilio inscrito no corresponde a la realidad registral, esa circunstancia puede fundar el rechazo. Pero la potestad verificadora no habilita a la entidad para reemplazar el documento legalmente exigido por otros medios como contratos de arrendamiento, declaraciones de impuestos o visitas técnicas, como condición ordinaria de acreditación, pues los artículos 2.2.1.2.4.2.3 y 2.2.1.2.4.2.4 señalaron expresamente los medios de prueba del domicilio en las limitaciones territoriales a Mipyme.</w:t>
      </w:r>
    </w:p>
    <w:p w14:paraId="07F17875" w14:textId="77777777" w:rsidR="00721B31" w:rsidRPr="00836B55" w:rsidRDefault="00721B31" w:rsidP="00721B31">
      <w:pPr>
        <w:spacing w:after="120" w:line="276" w:lineRule="auto"/>
        <w:ind w:firstLine="709"/>
        <w:jc w:val="both"/>
        <w:rPr>
          <w:rFonts w:ascii="Verdana" w:hAnsi="Verdana"/>
        </w:rPr>
      </w:pPr>
      <w:r w:rsidRPr="4B3F5FD1">
        <w:rPr>
          <w:rFonts w:ascii="Verdana" w:eastAsia="Arial" w:hAnsi="Verdana" w:cs="Arial"/>
          <w:color w:val="000000" w:themeColor="text1"/>
          <w:lang w:val="es-ES"/>
        </w:rPr>
        <w:t xml:space="preserve"> </w:t>
      </w:r>
      <w:r>
        <w:rPr>
          <w:rFonts w:ascii="Verdana" w:eastAsia="Arial" w:hAnsi="Verdana" w:cs="Arial"/>
          <w:color w:val="000000" w:themeColor="text1"/>
          <w:lang w:val="es-ES"/>
        </w:rPr>
        <w:t xml:space="preserve">Por último, es importante resaltar que </w:t>
      </w:r>
      <w:r w:rsidRPr="4B3F5FD1">
        <w:rPr>
          <w:rFonts w:ascii="Verdana" w:eastAsia="Arial" w:hAnsi="Verdana" w:cs="Arial"/>
          <w:color w:val="000000" w:themeColor="text1"/>
          <w:lang w:val="es-ES"/>
        </w:rPr>
        <w:t>la decisión de limitar “a Mipyme colombianas que tengan domicilio en los departamentos o municipios en donde se va a ejecutar el contrato</w:t>
      </w:r>
      <w:r>
        <w:rPr>
          <w:rFonts w:ascii="Verdana" w:eastAsia="Arial" w:hAnsi="Verdana" w:cs="Arial"/>
          <w:color w:val="000000" w:themeColor="text1"/>
          <w:lang w:val="es-ES"/>
        </w:rPr>
        <w:t>”,</w:t>
      </w:r>
      <w:r w:rsidRPr="4B3F5FD1">
        <w:rPr>
          <w:rFonts w:ascii="Verdana" w:eastAsia="Arial" w:hAnsi="Verdana" w:cs="Arial"/>
          <w:color w:val="000000" w:themeColor="text1"/>
          <w:lang w:val="es-ES"/>
        </w:rPr>
        <w:t xml:space="preserve"> es facultativa de la entidad, </w:t>
      </w:r>
      <w:r w:rsidRPr="00836B55">
        <w:rPr>
          <w:rFonts w:ascii="Verdana" w:hAnsi="Verdana"/>
        </w:rPr>
        <w:t>de manera que la Entidad contratante valorará si es oportuno y conveniente adoptarla</w:t>
      </w:r>
      <w:r w:rsidRPr="00836B55">
        <w:rPr>
          <w:rFonts w:ascii="Verdana" w:hAnsi="Verdana"/>
          <w:vertAlign w:val="superscript"/>
        </w:rPr>
        <w:footnoteReference w:id="9"/>
      </w:r>
      <w:r w:rsidRPr="00836B55">
        <w:rPr>
          <w:rFonts w:ascii="Verdana" w:hAnsi="Verdana"/>
        </w:rPr>
        <w:t xml:space="preserve">. Sin embargo, aunque la discrecionalidad implica una elección administrativa, no puede ser una decisión irracional o arbitraria. </w:t>
      </w:r>
    </w:p>
    <w:p w14:paraId="55A6D687" w14:textId="31026E19" w:rsidR="00721B31" w:rsidRPr="00836B55" w:rsidRDefault="00721B31" w:rsidP="00721B31">
      <w:pPr>
        <w:spacing w:after="120" w:line="276" w:lineRule="auto"/>
        <w:ind w:firstLine="708"/>
        <w:jc w:val="both"/>
        <w:rPr>
          <w:rFonts w:ascii="Verdana" w:hAnsi="Verdana"/>
        </w:rPr>
      </w:pPr>
      <w:r w:rsidRPr="00836B55">
        <w:rPr>
          <w:rFonts w:ascii="Verdana" w:hAnsi="Verdana"/>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w:t>
      </w:r>
      <w:r w:rsidRPr="00836B55">
        <w:rPr>
          <w:rFonts w:ascii="Verdana" w:hAnsi="Verdana"/>
        </w:rPr>
        <w:lastRenderedPageBreak/>
        <w:t xml:space="preserve">que la autoriza, y proporcional a los hechos que le sirven de causa”. En cada caso concreto, las consecuencias del incumplimiento de este deber serán analizadas por el juez del contrato previo ejercicio del derecho de acción, bajo el entendido que la falsa motivación es uno de los vicios invalidantes de los actos administrativos –art. 137, inc. 2, de la Ley 1437 de 2011–.  </w:t>
      </w:r>
    </w:p>
    <w:p w14:paraId="7C80D174" w14:textId="2A35F2DE" w:rsidR="00721B31" w:rsidRDefault="00721B31" w:rsidP="00933A09">
      <w:pPr>
        <w:spacing w:after="120" w:line="276" w:lineRule="auto"/>
        <w:ind w:firstLine="708"/>
        <w:jc w:val="both"/>
        <w:rPr>
          <w:rFonts w:ascii="Verdana" w:hAnsi="Verdana"/>
        </w:rPr>
      </w:pPr>
      <w:r w:rsidRPr="00836B55">
        <w:rPr>
          <w:rFonts w:ascii="Verdana" w:hAnsi="Verdana"/>
        </w:rPr>
        <w:t>En todo caso, situaciones en las que se presenta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74F05C3A" w14:textId="77777777" w:rsidR="00721B31" w:rsidRDefault="00721B31" w:rsidP="00721B31">
      <w:pPr>
        <w:spacing w:after="0" w:line="276" w:lineRule="auto"/>
        <w:ind w:firstLine="708"/>
        <w:jc w:val="both"/>
        <w:rPr>
          <w:rFonts w:ascii="Verdana" w:hAnsi="Verdana"/>
        </w:rPr>
      </w:pPr>
      <w:r w:rsidRPr="00FC5438">
        <w:rPr>
          <w:rFonts w:ascii="Verdana" w:eastAsia="Calibri" w:hAnsi="Verdana" w:cs="Arial"/>
          <w:color w:val="000000" w:themeColor="text1"/>
        </w:rPr>
        <w:t>En resumen, la decisión de limitar o no territorialmente una convocatoria limitada a Mipymes nacionales es una facultad discrecional, de manera que</w:t>
      </w:r>
      <w:r w:rsidRPr="00FC5438">
        <w:rPr>
          <w:rFonts w:ascii="Verdana" w:eastAsia="Arial" w:hAnsi="Verdana" w:cs="Arial"/>
          <w:color w:val="000000"/>
        </w:rPr>
        <w:t xml:space="preserve"> la entidad contratante valorará si es oportuno y conveniente adoptarla</w:t>
      </w:r>
      <w:r w:rsidRPr="00FC5438">
        <w:rPr>
          <w:rStyle w:val="Refdenotaalpie"/>
          <w:rFonts w:ascii="Verdana" w:eastAsia="Arial" w:hAnsi="Verdana" w:cs="Arial"/>
          <w:color w:val="000000"/>
        </w:rPr>
        <w:footnoteReference w:id="10"/>
      </w:r>
      <w:r w:rsidRPr="00FC5438">
        <w:rPr>
          <w:rFonts w:ascii="Verdana" w:eastAsia="Arial" w:hAnsi="Verdana" w:cs="Arial"/>
          <w:color w:val="000000"/>
        </w:rPr>
        <w:t>. Sin embargo, aunque la discrecionalidad implica una elección administrativa,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440F1E79" w14:textId="17F133D4" w:rsidR="00721B31" w:rsidRPr="00022E3B" w:rsidRDefault="00721B31" w:rsidP="00721B31">
      <w:pPr>
        <w:spacing w:before="120" w:after="0" w:line="276" w:lineRule="auto"/>
        <w:ind w:firstLine="708"/>
        <w:jc w:val="both"/>
        <w:rPr>
          <w:rFonts w:ascii="Verdana" w:hAnsi="Verdana"/>
        </w:rPr>
      </w:pPr>
      <w:r w:rsidRPr="4759C344">
        <w:rPr>
          <w:rFonts w:ascii="Verdana" w:hAnsi="Verdana" w:cs="Arial"/>
          <w:lang w:eastAsia="es-ES"/>
        </w:rPr>
        <w:lastRenderedPageBreak/>
        <w:t xml:space="preserve">Al margen de la explicación precedente debe advertirse que el análisis requerido para resolver problemas específicos en torno a la gestión contractual debe ser realizado por quienes tengan interés en ello, de acuerdo </w:t>
      </w:r>
      <w:proofErr w:type="gramStart"/>
      <w:r w:rsidRPr="4759C344">
        <w:rPr>
          <w:rFonts w:ascii="Verdana" w:hAnsi="Verdana" w:cs="Arial"/>
          <w:lang w:eastAsia="es-ES"/>
        </w:rPr>
        <w:t>con  la</w:t>
      </w:r>
      <w:proofErr w:type="gramEnd"/>
      <w:r w:rsidRPr="4759C344">
        <w:rPr>
          <w:rFonts w:ascii="Verdana" w:hAnsi="Verdana" w:cs="Arial"/>
          <w:lang w:eastAsia="es-ES"/>
        </w:rPr>
        <w:t xml:space="preserve"> aclaración preliminar del presente oficio. De esta manera, las afirmaciones aquí realizadas no pueden ser interpretadas como juicios de valor sobre circunstancias concretas relacionadas con los hechos que motivan la consulta. </w:t>
      </w:r>
      <w:r w:rsidR="00427C0C" w:rsidRPr="00427C0C">
        <w:rPr>
          <w:rFonts w:ascii="Verdana" w:hAnsi="Verdana" w:cs="Arial"/>
          <w:lang w:eastAsia="es-ES"/>
        </w:rPr>
        <w:t>Por lo anterior, corresponde a los interesados, previo concepto de sus asesores, adoptar la decisión correspondiente y, en caso de conflicto, acudir a las autoridades judiciales, fiscales y disciplinarias.</w:t>
      </w:r>
    </w:p>
    <w:p w14:paraId="1310D61C" w14:textId="77777777" w:rsidR="00721B31" w:rsidRPr="00DB66D5" w:rsidRDefault="00721B31" w:rsidP="00721B31">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07F2B4F6" w14:textId="77777777" w:rsidR="00721B31" w:rsidRPr="00DD0F57" w:rsidRDefault="00721B31" w:rsidP="00721B31">
      <w:pPr>
        <w:spacing w:after="0" w:line="276" w:lineRule="auto"/>
        <w:ind w:firstLine="708"/>
        <w:jc w:val="both"/>
        <w:rPr>
          <w:rFonts w:ascii="Verdana" w:hAnsi="Verdana" w:cs="Arial"/>
          <w:lang w:val="es-ES"/>
        </w:rPr>
      </w:pPr>
    </w:p>
    <w:p w14:paraId="0514EB1B" w14:textId="77777777" w:rsidR="00721B31" w:rsidRPr="00DD0F57" w:rsidRDefault="00721B31" w:rsidP="00721B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D0F57">
        <w:rPr>
          <w:rFonts w:ascii="Verdana" w:eastAsia="Century Gothic" w:hAnsi="Verdana" w:cs="Century Gothic"/>
          <w:b/>
          <w:bCs/>
          <w:color w:val="000000" w:themeColor="text1"/>
        </w:rPr>
        <w:t>Referencias normativas, jurisprudenciales y otras fuentes:</w:t>
      </w:r>
    </w:p>
    <w:p w14:paraId="0E8C24F5" w14:textId="77777777" w:rsidR="00721B31" w:rsidRPr="00DD0F57" w:rsidRDefault="00721B31" w:rsidP="00721B31">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1B31" w:rsidRPr="00DD0F57" w14:paraId="057CDD44" w14:textId="77777777" w:rsidTr="00837C4E">
        <w:trPr>
          <w:trHeight w:val="870"/>
        </w:trPr>
        <w:tc>
          <w:tcPr>
            <w:tcW w:w="8647" w:type="dxa"/>
          </w:tcPr>
          <w:p w14:paraId="31727CAF" w14:textId="77777777" w:rsidR="00721B31" w:rsidRPr="007163DD" w:rsidRDefault="00721B31" w:rsidP="00721B31">
            <w:pPr>
              <w:pStyle w:val="Textoindependiente"/>
              <w:widowControl w:val="0"/>
              <w:numPr>
                <w:ilvl w:val="0"/>
                <w:numId w:val="20"/>
              </w:numPr>
              <w:tabs>
                <w:tab w:val="left" w:pos="816"/>
              </w:tabs>
              <w:autoSpaceDE w:val="0"/>
              <w:autoSpaceDN w:val="0"/>
              <w:spacing w:line="276" w:lineRule="auto"/>
              <w:rPr>
                <w:rFonts w:ascii="Verdana" w:hAnsi="Verdana"/>
              </w:rPr>
            </w:pPr>
            <w:r w:rsidRPr="007163DD">
              <w:rPr>
                <w:rFonts w:ascii="Verdana" w:hAnsi="Verdana"/>
              </w:rPr>
              <w:t>Ley</w:t>
            </w:r>
            <w:r w:rsidRPr="007163DD">
              <w:rPr>
                <w:rFonts w:ascii="Verdana" w:hAnsi="Verdana"/>
                <w:spacing w:val="-8"/>
              </w:rPr>
              <w:t xml:space="preserve"> </w:t>
            </w:r>
            <w:r w:rsidRPr="007163DD">
              <w:rPr>
                <w:rFonts w:ascii="Verdana" w:hAnsi="Verdana"/>
              </w:rPr>
              <w:t>2069</w:t>
            </w:r>
            <w:r w:rsidRPr="007163DD">
              <w:rPr>
                <w:rFonts w:ascii="Verdana" w:hAnsi="Verdana"/>
                <w:spacing w:val="-7"/>
              </w:rPr>
              <w:t xml:space="preserve"> </w:t>
            </w:r>
            <w:r w:rsidRPr="007163DD">
              <w:rPr>
                <w:rFonts w:ascii="Verdana" w:hAnsi="Verdana"/>
              </w:rPr>
              <w:t>de</w:t>
            </w:r>
            <w:r w:rsidRPr="007163DD">
              <w:rPr>
                <w:rFonts w:ascii="Verdana" w:hAnsi="Verdana"/>
                <w:spacing w:val="-7"/>
              </w:rPr>
              <w:t xml:space="preserve"> </w:t>
            </w:r>
            <w:r w:rsidRPr="007163DD">
              <w:rPr>
                <w:rFonts w:ascii="Verdana" w:hAnsi="Verdana"/>
                <w:spacing w:val="-4"/>
              </w:rPr>
              <w:t>2020: Artículo 34.</w:t>
            </w:r>
          </w:p>
          <w:p w14:paraId="10260976" w14:textId="77777777" w:rsidR="00721B31" w:rsidRPr="007163DD" w:rsidRDefault="00721B31" w:rsidP="00837C4E">
            <w:pPr>
              <w:pStyle w:val="Textoindependiente"/>
              <w:widowControl w:val="0"/>
              <w:numPr>
                <w:ilvl w:val="0"/>
                <w:numId w:val="17"/>
              </w:numPr>
              <w:tabs>
                <w:tab w:val="left" w:pos="822"/>
              </w:tabs>
              <w:autoSpaceDE w:val="0"/>
              <w:autoSpaceDN w:val="0"/>
              <w:spacing w:line="276" w:lineRule="auto"/>
              <w:rPr>
                <w:rFonts w:ascii="Verdana" w:hAnsi="Verdana"/>
              </w:rPr>
            </w:pPr>
            <w:r w:rsidRPr="007163DD">
              <w:rPr>
                <w:rFonts w:ascii="Verdana" w:hAnsi="Verdana"/>
              </w:rPr>
              <w:t>Decreto</w:t>
            </w:r>
            <w:r w:rsidRPr="007163DD">
              <w:rPr>
                <w:rFonts w:ascii="Verdana" w:hAnsi="Verdana"/>
                <w:spacing w:val="-10"/>
              </w:rPr>
              <w:t xml:space="preserve"> </w:t>
            </w:r>
            <w:r w:rsidRPr="007163DD">
              <w:rPr>
                <w:rFonts w:ascii="Verdana" w:hAnsi="Verdana"/>
              </w:rPr>
              <w:t>1860</w:t>
            </w:r>
            <w:r w:rsidRPr="007163DD">
              <w:rPr>
                <w:rFonts w:ascii="Verdana" w:hAnsi="Verdana"/>
                <w:spacing w:val="-10"/>
              </w:rPr>
              <w:t xml:space="preserve"> </w:t>
            </w:r>
            <w:r w:rsidRPr="007163DD">
              <w:rPr>
                <w:rFonts w:ascii="Verdana" w:hAnsi="Verdana"/>
              </w:rPr>
              <w:t>de</w:t>
            </w:r>
            <w:r w:rsidRPr="007163DD">
              <w:rPr>
                <w:rFonts w:ascii="Verdana" w:hAnsi="Verdana"/>
                <w:spacing w:val="-10"/>
              </w:rPr>
              <w:t xml:space="preserve"> </w:t>
            </w:r>
            <w:r w:rsidRPr="007163DD">
              <w:rPr>
                <w:rFonts w:ascii="Verdana" w:hAnsi="Verdana"/>
                <w:spacing w:val="-4"/>
              </w:rPr>
              <w:t>2021: Artículo 5.</w:t>
            </w:r>
          </w:p>
          <w:p w14:paraId="1E45BD13" w14:textId="77777777" w:rsidR="00721B31" w:rsidRPr="007163DD" w:rsidRDefault="00721B31" w:rsidP="00837C4E">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7163DD">
              <w:rPr>
                <w:rFonts w:ascii="Verdana" w:hAnsi="Verdana"/>
              </w:rPr>
              <w:t>Decreto</w:t>
            </w:r>
            <w:r w:rsidRPr="007163DD">
              <w:rPr>
                <w:rFonts w:ascii="Verdana" w:hAnsi="Verdana"/>
                <w:spacing w:val="-10"/>
              </w:rPr>
              <w:t xml:space="preserve"> </w:t>
            </w:r>
            <w:r w:rsidRPr="007163DD">
              <w:rPr>
                <w:rFonts w:ascii="Verdana" w:hAnsi="Verdana"/>
              </w:rPr>
              <w:t>1082</w:t>
            </w:r>
            <w:r w:rsidRPr="007163DD">
              <w:rPr>
                <w:rFonts w:ascii="Verdana" w:hAnsi="Verdana"/>
                <w:spacing w:val="-10"/>
              </w:rPr>
              <w:t xml:space="preserve"> </w:t>
            </w:r>
            <w:r w:rsidRPr="007163DD">
              <w:rPr>
                <w:rFonts w:ascii="Verdana" w:hAnsi="Verdana"/>
              </w:rPr>
              <w:t>de</w:t>
            </w:r>
            <w:r w:rsidRPr="007163DD">
              <w:rPr>
                <w:rFonts w:ascii="Verdana" w:hAnsi="Verdana"/>
                <w:spacing w:val="-10"/>
              </w:rPr>
              <w:t xml:space="preserve"> </w:t>
            </w:r>
            <w:r w:rsidRPr="007163DD">
              <w:rPr>
                <w:rFonts w:ascii="Verdana" w:hAnsi="Verdana"/>
                <w:spacing w:val="-4"/>
              </w:rPr>
              <w:t>2015: Artículos 2.2.1.2.4.2.2.</w:t>
            </w:r>
            <w:r>
              <w:rPr>
                <w:rFonts w:ascii="Verdana" w:hAnsi="Verdana"/>
                <w:spacing w:val="-4"/>
              </w:rPr>
              <w:t xml:space="preserve">, </w:t>
            </w:r>
            <w:r w:rsidRPr="00886725">
              <w:rPr>
                <w:rFonts w:ascii="Verdana" w:eastAsia="Times New Roman" w:hAnsi="Verdana" w:cs="Arial"/>
                <w:lang w:val="es-CO" w:eastAsia="es-ES_tradnl"/>
              </w:rPr>
              <w:t>2.2.1.2.4.2.</w:t>
            </w:r>
            <w:r>
              <w:rPr>
                <w:rFonts w:ascii="Verdana" w:eastAsia="Times New Roman" w:hAnsi="Verdana" w:cs="Arial"/>
                <w:lang w:val="es-CO" w:eastAsia="es-ES_tradnl"/>
              </w:rPr>
              <w:t>3</w:t>
            </w:r>
            <w:r w:rsidRPr="007163DD">
              <w:rPr>
                <w:rFonts w:ascii="Verdana" w:hAnsi="Verdana"/>
                <w:spacing w:val="-4"/>
              </w:rPr>
              <w:t xml:space="preserve"> 2.2.1.2.4.2.4.</w:t>
            </w:r>
          </w:p>
          <w:p w14:paraId="74734722" w14:textId="77777777" w:rsidR="00721B31" w:rsidRPr="00DD0F57" w:rsidRDefault="00721B31" w:rsidP="00837C4E">
            <w:pPr>
              <w:widowControl w:val="0"/>
              <w:numPr>
                <w:ilvl w:val="0"/>
                <w:numId w:val="17"/>
              </w:numPr>
              <w:autoSpaceDE w:val="0"/>
              <w:autoSpaceDN w:val="0"/>
              <w:snapToGrid w:val="0"/>
              <w:spacing w:before="120" w:after="120"/>
              <w:jc w:val="both"/>
              <w:rPr>
                <w:rFonts w:ascii="Verdana" w:eastAsia="Calibri" w:hAnsi="Verdana" w:cs="Arial"/>
                <w:color w:val="000000" w:themeColor="text1"/>
                <w:lang w:val="es-ES"/>
              </w:rPr>
            </w:pPr>
            <w:r w:rsidRPr="007163DD">
              <w:rPr>
                <w:rFonts w:ascii="Verdana" w:hAnsi="Verdana"/>
              </w:rPr>
              <w:t>Agencia Nacional de Contratación Pública – Colombia Compra Eficiente.</w:t>
            </w:r>
            <w:r w:rsidRPr="007163DD">
              <w:rPr>
                <w:rFonts w:ascii="Verdana" w:eastAsia="Calibri" w:hAnsi="Verdana" w:cs="Arial"/>
              </w:rPr>
              <w:t xml:space="preserve"> Guía para promover la participación de las Mipymes en los Procesos de Compra y Contratación Pública. Se puede consultar en el siguiente enlace: </w:t>
            </w:r>
            <w:hyperlink r:id="rId12" w:history="1">
              <w:r w:rsidRPr="007163DD">
                <w:rPr>
                  <w:rStyle w:val="Hipervnculo"/>
                  <w:rFonts w:ascii="Verdana" w:eastAsia="Calibri" w:hAnsi="Verdana" w:cs="Arial"/>
                </w:rPr>
                <w:t>https://www.colombiacompra.gov.co/archivos/manual/guia-para-promover-la-participacion-de-las-mipymes-en-los-procesos-de-compra-publica</w:t>
              </w:r>
            </w:hyperlink>
          </w:p>
        </w:tc>
      </w:tr>
    </w:tbl>
    <w:p w14:paraId="22411B33" w14:textId="77777777" w:rsidR="00721B31" w:rsidRPr="00DD0F57" w:rsidRDefault="00721B31" w:rsidP="00721B31">
      <w:pPr>
        <w:widowControl w:val="0"/>
        <w:autoSpaceDE w:val="0"/>
        <w:autoSpaceDN w:val="0"/>
        <w:spacing w:after="0" w:line="276" w:lineRule="auto"/>
        <w:jc w:val="both"/>
        <w:rPr>
          <w:rFonts w:ascii="Verdana" w:hAnsi="Verdana" w:cs="Arial"/>
          <w:color w:val="000000" w:themeColor="text1"/>
          <w:lang w:val="es-ES"/>
        </w:rPr>
      </w:pPr>
    </w:p>
    <w:p w14:paraId="36BD2E6C" w14:textId="77777777" w:rsidR="00721B31" w:rsidRPr="00DD0F57" w:rsidRDefault="00721B31" w:rsidP="00721B3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DD0F57">
        <w:rPr>
          <w:rFonts w:ascii="Verdana" w:eastAsia="Century Gothic" w:hAnsi="Verdana" w:cs="Century Gothic"/>
          <w:b/>
          <w:bCs/>
          <w:color w:val="000000" w:themeColor="text1"/>
        </w:rPr>
        <w:t>Doctrina de la Agencia Nacional de Contratación Pública:</w:t>
      </w:r>
    </w:p>
    <w:p w14:paraId="12AAB63C" w14:textId="77777777" w:rsidR="00721B31" w:rsidRPr="00DD0F57" w:rsidRDefault="00721B31" w:rsidP="00721B31">
      <w:pPr>
        <w:widowControl w:val="0"/>
        <w:autoSpaceDE w:val="0"/>
        <w:autoSpaceDN w:val="0"/>
        <w:spacing w:after="0" w:line="276" w:lineRule="auto"/>
        <w:jc w:val="both"/>
        <w:rPr>
          <w:rFonts w:ascii="Verdana" w:hAnsi="Verdana" w:cs="Arial"/>
          <w:color w:val="000000" w:themeColor="text1"/>
          <w:lang w:val="es-ES"/>
        </w:rPr>
      </w:pPr>
    </w:p>
    <w:p w14:paraId="3A1DDCD6" w14:textId="77777777" w:rsidR="00721B31" w:rsidRPr="00DD0F57" w:rsidRDefault="00721B31" w:rsidP="00721B31">
      <w:pPr>
        <w:jc w:val="both"/>
        <w:rPr>
          <w:rStyle w:val="normaltextrun"/>
          <w:rFonts w:ascii="Verdana" w:eastAsia="Calibri" w:hAnsi="Verdana" w:cs="Arial"/>
          <w:b/>
          <w:bCs/>
          <w:color w:val="000000" w:themeColor="text1"/>
          <w:lang w:val="es-ES" w:eastAsia="es-ES"/>
        </w:rPr>
      </w:pPr>
      <w:r w:rsidRPr="00DD0F57">
        <w:rPr>
          <w:rStyle w:val="normaltextrun"/>
          <w:rFonts w:ascii="Verdana" w:hAnsi="Verdana" w:cs="Arial"/>
          <w:color w:val="000000" w:themeColor="text1"/>
          <w:shd w:val="clear" w:color="auto" w:fill="FFFFFF"/>
          <w:lang w:val="es-ES"/>
        </w:rPr>
        <w:lastRenderedPageBreak/>
        <w:t>La Agencia Nacional de Contratación Pública – Colombia Compra Eficiente</w:t>
      </w:r>
      <w:r>
        <w:rPr>
          <w:rStyle w:val="normaltextrun"/>
          <w:rFonts w:ascii="Verdana" w:hAnsi="Verdana" w:cs="Arial"/>
          <w:color w:val="000000" w:themeColor="text1"/>
          <w:shd w:val="clear" w:color="auto" w:fill="FFFFFF"/>
          <w:lang w:val="es-ES"/>
        </w:rPr>
        <w:t xml:space="preserve"> se ha pronunciado sobre </w:t>
      </w:r>
      <w:r w:rsidRPr="007163DD">
        <w:rPr>
          <w:rFonts w:ascii="Verdana" w:eastAsia="Calibri" w:hAnsi="Verdana" w:cs="Arial"/>
          <w:color w:val="000000"/>
          <w:lang w:val="es-ES" w:eastAsia="es-ES"/>
        </w:rPr>
        <w:t>las convocatorias limitadas a MiPymes, sus requisitos y características</w:t>
      </w:r>
      <w:r>
        <w:rPr>
          <w:rFonts w:ascii="Verdana" w:eastAsia="Calibri" w:hAnsi="Verdana" w:cs="Arial"/>
          <w:color w:val="000000"/>
          <w:lang w:val="es-ES" w:eastAsia="es-ES"/>
        </w:rPr>
        <w:t xml:space="preserve"> </w:t>
      </w:r>
      <w:r w:rsidRPr="007163DD">
        <w:rPr>
          <w:rFonts w:ascii="Verdana" w:eastAsia="Calibri" w:hAnsi="Verdana" w:cs="Arial"/>
          <w:color w:val="000000"/>
          <w:lang w:val="es-ES" w:eastAsia="es-ES"/>
        </w:rPr>
        <w:t>en los conceptos C-084 del 30 de mayo de 2024, C-048 del 23 de abril de 2024, C-279 del 31 de octubre de 2023, C-436 del 24 de octubre de 2023, C-335 del 26 de septiembre de 2023, C-339 del 24 de julio de 2023, C-677 del 24 de octubre del 2022, y el C- 905 del 15 de agosto de 2025, C -899 de 2025, C-1081 de 2025</w:t>
      </w:r>
      <w:r w:rsidRPr="00DD0F57">
        <w:rPr>
          <w:rStyle w:val="normaltextrun"/>
          <w:rFonts w:ascii="Verdana" w:hAnsi="Verdana" w:cs="Arial"/>
          <w:shd w:val="clear" w:color="auto" w:fill="FFFFFF"/>
          <w:lang w:val="es-ES"/>
        </w:rPr>
        <w:t>.</w:t>
      </w:r>
      <w:r>
        <w:rPr>
          <w:rStyle w:val="normaltextrun"/>
          <w:rFonts w:ascii="Verdana" w:hAnsi="Verdana" w:cs="Arial"/>
          <w:shd w:val="clear" w:color="auto" w:fill="FFFFFF"/>
          <w:lang w:val="es-ES"/>
        </w:rPr>
        <w:t xml:space="preserve"> Estos y</w:t>
      </w:r>
      <w:r w:rsidRPr="00DD0F57">
        <w:rPr>
          <w:rStyle w:val="normaltextrun"/>
          <w:rFonts w:ascii="Verdana" w:hAnsi="Verdana" w:cs="Arial"/>
          <w:shd w:val="clear" w:color="auto" w:fill="FFFFFF"/>
          <w:lang w:val="es-ES"/>
        </w:rPr>
        <w:t xml:space="preserve"> </w:t>
      </w:r>
      <w:r>
        <w:rPr>
          <w:rStyle w:val="normaltextrun"/>
          <w:rFonts w:ascii="Verdana" w:hAnsi="Verdana" w:cs="Arial"/>
          <w:shd w:val="clear" w:color="auto" w:fill="FFFFFF"/>
          <w:lang w:val="es-ES"/>
        </w:rPr>
        <w:t>o</w:t>
      </w:r>
      <w:r w:rsidRPr="00DD0F57">
        <w:rPr>
          <w:rStyle w:val="normaltextrun"/>
          <w:rFonts w:ascii="Verdana" w:hAnsi="Verdana" w:cs="Arial"/>
          <w:shd w:val="clear" w:color="auto" w:fill="FFFFFF"/>
          <w:lang w:val="es-ES"/>
        </w:rPr>
        <w:t>tros conceptos se encuentran disponibles para consulta en el Sistema de relatoría de la Agencia</w:t>
      </w:r>
      <w:r w:rsidRPr="00DD0F57">
        <w:rPr>
          <w:rFonts w:ascii="Verdana" w:hAnsi="Verdana"/>
          <w:lang w:val="es-ES"/>
        </w:rPr>
        <w:t>, al cual puede accederse a través del siguiente enlace:</w:t>
      </w:r>
      <w:r w:rsidRPr="00DD0F57">
        <w:rPr>
          <w:rStyle w:val="normaltextrun"/>
          <w:rFonts w:ascii="Verdana" w:hAnsi="Verdana" w:cs="Arial"/>
          <w:shd w:val="clear" w:color="auto" w:fill="FFFFFF"/>
          <w:lang w:val="es-ES"/>
        </w:rPr>
        <w:t xml:space="preserve"> </w:t>
      </w:r>
      <w:hyperlink r:id="rId13" w:history="1">
        <w:r w:rsidRPr="00DD0F57">
          <w:rPr>
            <w:rStyle w:val="Hipervnculo"/>
            <w:rFonts w:ascii="Verdana" w:hAnsi="Verdana" w:cs="Arial"/>
            <w:shd w:val="clear" w:color="auto" w:fill="FFFFFF"/>
            <w:lang w:val="es-ES"/>
          </w:rPr>
          <w:t>https://relatoria.colombiacompra.gov.co/busqueda/conceptos</w:t>
        </w:r>
      </w:hyperlink>
      <w:r w:rsidRPr="00DD0F57">
        <w:rPr>
          <w:rStyle w:val="normaltextrun"/>
          <w:rFonts w:ascii="Verdana" w:hAnsi="Verdana" w:cs="Arial"/>
          <w:shd w:val="clear" w:color="auto" w:fill="FFFFFF"/>
          <w:lang w:val="es-ES"/>
        </w:rPr>
        <w:t>.</w:t>
      </w:r>
      <w:r w:rsidRPr="00DD0F57">
        <w:rPr>
          <w:rStyle w:val="normaltextrun"/>
          <w:rFonts w:ascii="Verdana" w:hAnsi="Verdana" w:cs="Arial"/>
          <w:color w:val="FF0000"/>
          <w:shd w:val="clear" w:color="auto" w:fill="FFFFFF"/>
          <w:lang w:val="es-ES"/>
        </w:rPr>
        <w:t xml:space="preserve"> </w:t>
      </w:r>
    </w:p>
    <w:p w14:paraId="26ADCAB2" w14:textId="77777777" w:rsidR="00721B31" w:rsidRPr="00DD0F57" w:rsidRDefault="00721B31" w:rsidP="00721B31">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7445D70B" w14:textId="77777777" w:rsidR="00721B31" w:rsidRPr="00DD0F57" w:rsidRDefault="00721B31" w:rsidP="00721B31">
      <w:pPr>
        <w:spacing w:after="0" w:line="276" w:lineRule="auto"/>
        <w:jc w:val="both"/>
        <w:rPr>
          <w:rFonts w:ascii="Verdana" w:hAnsi="Verdana"/>
          <w:lang w:val="es-ES"/>
        </w:rPr>
      </w:pPr>
      <w:r w:rsidRPr="00DD0F57">
        <w:rPr>
          <w:rFonts w:ascii="Verdana" w:hAnsi="Verdana"/>
          <w:lang w:val="es-ES"/>
        </w:rPr>
        <w:t xml:space="preserve">Por último, lo invitamos a seguirnos en las redes sociales en las cuales se difunde información institucional: </w:t>
      </w:r>
    </w:p>
    <w:p w14:paraId="3657ACAB" w14:textId="77777777" w:rsidR="00721B31" w:rsidRPr="00DD0F57" w:rsidRDefault="00721B31" w:rsidP="00721B31">
      <w:pPr>
        <w:spacing w:after="0" w:line="276" w:lineRule="auto"/>
        <w:jc w:val="both"/>
        <w:rPr>
          <w:rFonts w:ascii="Verdana" w:hAnsi="Verdana"/>
          <w:lang w:val="es-ES"/>
        </w:rPr>
      </w:pPr>
    </w:p>
    <w:p w14:paraId="5C87F6B5" w14:textId="77777777" w:rsidR="00721B31" w:rsidRPr="00DD0F57" w:rsidRDefault="00721B31" w:rsidP="00721B31">
      <w:pPr>
        <w:spacing w:after="0" w:line="276" w:lineRule="auto"/>
        <w:jc w:val="both"/>
        <w:rPr>
          <w:rFonts w:ascii="Verdana" w:hAnsi="Verdana"/>
          <w:lang w:val="es-ES"/>
        </w:rPr>
      </w:pPr>
      <w:r w:rsidRPr="00DD0F57">
        <w:rPr>
          <w:rFonts w:ascii="Verdana" w:hAnsi="Verdana"/>
          <w:lang w:val="es-ES"/>
        </w:rPr>
        <w:t xml:space="preserve">Twitter: </w:t>
      </w:r>
      <w:r w:rsidRPr="00DD0F57">
        <w:rPr>
          <w:rStyle w:val="Hipervnculo"/>
          <w:rFonts w:ascii="Verdana" w:hAnsi="Verdana" w:cs="Arial"/>
          <w:shd w:val="clear" w:color="auto" w:fill="FFFFFF"/>
          <w:lang w:val="es-ES"/>
        </w:rPr>
        <w:t>@colombiacompra</w:t>
      </w:r>
      <w:r w:rsidRPr="00DD0F57">
        <w:rPr>
          <w:rFonts w:ascii="Verdana" w:hAnsi="Verdana"/>
          <w:color w:val="4472C4" w:themeColor="accent1"/>
          <w:lang w:val="es-ES"/>
        </w:rPr>
        <w:t xml:space="preserve"> </w:t>
      </w:r>
    </w:p>
    <w:p w14:paraId="67106EBE" w14:textId="77777777" w:rsidR="00721B31" w:rsidRPr="00DD0F57" w:rsidRDefault="00721B31" w:rsidP="00721B31">
      <w:pPr>
        <w:spacing w:after="0" w:line="276" w:lineRule="auto"/>
        <w:jc w:val="both"/>
        <w:rPr>
          <w:rFonts w:ascii="Verdana" w:hAnsi="Verdana"/>
          <w:lang w:val="es-ES"/>
        </w:rPr>
      </w:pPr>
      <w:r w:rsidRPr="00DD0F57">
        <w:rPr>
          <w:rFonts w:ascii="Verdana" w:hAnsi="Verdana"/>
          <w:lang w:val="es-ES"/>
        </w:rPr>
        <w:t xml:space="preserve">Facebook: </w:t>
      </w:r>
      <w:proofErr w:type="spellStart"/>
      <w:r w:rsidRPr="00DD0F57">
        <w:rPr>
          <w:rStyle w:val="Hipervnculo"/>
          <w:rFonts w:ascii="Verdana" w:hAnsi="Verdana" w:cs="Arial"/>
          <w:shd w:val="clear" w:color="auto" w:fill="FFFFFF"/>
          <w:lang w:val="es-ES"/>
        </w:rPr>
        <w:t>ColombiaCompraEficiente</w:t>
      </w:r>
      <w:proofErr w:type="spellEnd"/>
    </w:p>
    <w:p w14:paraId="7C756BED" w14:textId="77777777" w:rsidR="00721B31" w:rsidRPr="00DD0F57" w:rsidRDefault="00721B31" w:rsidP="00721B31">
      <w:pPr>
        <w:spacing w:after="0" w:line="276" w:lineRule="auto"/>
        <w:jc w:val="both"/>
        <w:rPr>
          <w:rFonts w:ascii="Verdana" w:hAnsi="Verdana"/>
          <w:lang w:val="es-ES"/>
        </w:rPr>
      </w:pPr>
      <w:r w:rsidRPr="00DD0F57">
        <w:rPr>
          <w:rFonts w:ascii="Verdana" w:hAnsi="Verdana"/>
          <w:lang w:val="es-ES"/>
        </w:rPr>
        <w:t xml:space="preserve">LinkedIn: </w:t>
      </w:r>
      <w:r w:rsidRPr="00DD0F57">
        <w:rPr>
          <w:rStyle w:val="Hipervnculo"/>
          <w:rFonts w:ascii="Verdana" w:hAnsi="Verdana" w:cs="Arial"/>
          <w:shd w:val="clear" w:color="auto" w:fill="FFFFFF"/>
          <w:lang w:val="es-ES"/>
        </w:rPr>
        <w:t xml:space="preserve">Agencia Nacional de Contratación Pública - Colombia Compra Eficiente </w:t>
      </w:r>
      <w:r w:rsidRPr="00DD0F57">
        <w:rPr>
          <w:rFonts w:ascii="Verdana" w:hAnsi="Verdana"/>
          <w:lang w:val="es-ES"/>
        </w:rPr>
        <w:t xml:space="preserve">Instagram: </w:t>
      </w:r>
      <w:r w:rsidRPr="00DD0F57">
        <w:rPr>
          <w:rStyle w:val="Hipervnculo"/>
          <w:rFonts w:ascii="Verdana" w:hAnsi="Verdana" w:cs="Arial"/>
          <w:shd w:val="clear" w:color="auto" w:fill="FFFFFF"/>
          <w:lang w:val="es-ES"/>
        </w:rPr>
        <w:t>@colombiacompraeficiente_cce</w:t>
      </w:r>
    </w:p>
    <w:p w14:paraId="3FBA5B6F" w14:textId="77777777" w:rsidR="00721B31" w:rsidRPr="00DD0F57" w:rsidRDefault="00721B31" w:rsidP="00721B31">
      <w:pPr>
        <w:widowControl w:val="0"/>
        <w:autoSpaceDE w:val="0"/>
        <w:autoSpaceDN w:val="0"/>
        <w:spacing w:after="0" w:line="276" w:lineRule="auto"/>
        <w:jc w:val="both"/>
        <w:rPr>
          <w:rFonts w:ascii="Verdana" w:hAnsi="Verdana" w:cs="Arial"/>
          <w:color w:val="000000" w:themeColor="text1"/>
          <w:lang w:val="es-ES"/>
        </w:rPr>
      </w:pPr>
    </w:p>
    <w:p w14:paraId="6B52805F" w14:textId="2FBD3C74" w:rsidR="00721B31" w:rsidRPr="00DD0F57" w:rsidRDefault="00721B31" w:rsidP="00721B31">
      <w:pPr>
        <w:widowControl w:val="0"/>
        <w:autoSpaceDE w:val="0"/>
        <w:autoSpaceDN w:val="0"/>
        <w:spacing w:after="0" w:line="276" w:lineRule="auto"/>
        <w:jc w:val="both"/>
        <w:rPr>
          <w:rFonts w:ascii="Verdana" w:hAnsi="Verdana" w:cs="Arial"/>
          <w:color w:val="000000" w:themeColor="text1"/>
          <w:lang w:val="es-ES"/>
        </w:rPr>
      </w:pPr>
      <w:r w:rsidRPr="00DD0F57">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713AE8D" w14:textId="54C2B1E6" w:rsidR="00721B31" w:rsidRPr="00DD0F57" w:rsidRDefault="005C2B25" w:rsidP="00721B31">
      <w:pPr>
        <w:widowControl w:val="0"/>
        <w:autoSpaceDE w:val="0"/>
        <w:autoSpaceDN w:val="0"/>
        <w:spacing w:after="0" w:line="276" w:lineRule="auto"/>
        <w:jc w:val="both"/>
        <w:rPr>
          <w:rFonts w:ascii="Verdana" w:hAnsi="Verdana" w:cs="Arial"/>
          <w:color w:val="000000" w:themeColor="text1"/>
          <w:lang w:val="es-ES"/>
        </w:rPr>
      </w:pPr>
      <w:r w:rsidRPr="002C3AD6">
        <w:rPr>
          <w:rFonts w:ascii="Century Gothic" w:hAnsi="Century Gothic"/>
          <w:noProof/>
        </w:rPr>
        <w:drawing>
          <wp:anchor distT="0" distB="0" distL="114300" distR="114300" simplePos="0" relativeHeight="251659264" behindDoc="0" locked="0" layoutInCell="1" allowOverlap="1" wp14:anchorId="1BFCB3F9" wp14:editId="6366E21E">
            <wp:simplePos x="0" y="0"/>
            <wp:positionH relativeFrom="column">
              <wp:posOffset>1156185</wp:posOffset>
            </wp:positionH>
            <wp:positionV relativeFrom="paragraph">
              <wp:posOffset>31302</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291C42BF" w14:textId="40533FC8" w:rsidR="00721B31" w:rsidRDefault="00721B31" w:rsidP="00721B31">
      <w:pPr>
        <w:spacing w:after="0" w:line="276" w:lineRule="auto"/>
        <w:rPr>
          <w:rFonts w:ascii="Verdana" w:hAnsi="Verdana" w:cs="Arial"/>
          <w:color w:val="000000" w:themeColor="text1"/>
          <w:lang w:val="es-ES" w:eastAsia="es-CO"/>
        </w:rPr>
      </w:pPr>
      <w:r w:rsidRPr="00DD0F57">
        <w:rPr>
          <w:rFonts w:ascii="Verdana" w:eastAsia="Times New Roman" w:hAnsi="Verdana" w:cs="Arial"/>
          <w:color w:val="000000" w:themeColor="text1"/>
          <w:lang w:val="es-ES" w:eastAsia="es-CO"/>
        </w:rPr>
        <w:t>Atentamente,</w:t>
      </w:r>
      <w:r w:rsidRPr="00DD0F57">
        <w:rPr>
          <w:rFonts w:ascii="Verdana" w:hAnsi="Verdana" w:cs="Arial"/>
          <w:color w:val="000000" w:themeColor="text1"/>
          <w:lang w:val="es-ES" w:eastAsia="es-CO"/>
        </w:rPr>
        <w:t xml:space="preserve"> </w:t>
      </w:r>
    </w:p>
    <w:p w14:paraId="4E689F8A" w14:textId="0C4E8181" w:rsidR="00BE1EC4" w:rsidRPr="00DD0F57" w:rsidRDefault="00BE1EC4" w:rsidP="00721B31">
      <w:pPr>
        <w:spacing w:after="0" w:line="276" w:lineRule="auto"/>
        <w:rPr>
          <w:rFonts w:ascii="Verdana" w:hAnsi="Verdana" w:cs="Arial"/>
          <w:color w:val="000000" w:themeColor="text1"/>
          <w:lang w:val="es-ES" w:eastAsia="es-CO"/>
        </w:rPr>
      </w:pPr>
    </w:p>
    <w:p w14:paraId="3C3965F7" w14:textId="77777777" w:rsidR="00721B31" w:rsidRPr="00DD0F57" w:rsidRDefault="00721B31" w:rsidP="00721B31">
      <w:pPr>
        <w:spacing w:line="276" w:lineRule="auto"/>
        <w:rPr>
          <w:lang w:val="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1B31" w:rsidRPr="00DD0F57" w14:paraId="47A2DA33" w14:textId="77777777" w:rsidTr="00837C4E">
        <w:trPr>
          <w:trHeight w:val="315"/>
        </w:trPr>
        <w:tc>
          <w:tcPr>
            <w:tcW w:w="893" w:type="dxa"/>
            <w:vAlign w:val="center"/>
            <w:hideMark/>
          </w:tcPr>
          <w:p w14:paraId="010980A3" w14:textId="77777777" w:rsidR="00721B31" w:rsidRPr="00DD0F57" w:rsidRDefault="00721B31" w:rsidP="00837C4E">
            <w:pPr>
              <w:contextualSpacing/>
              <w:rPr>
                <w:rFonts w:ascii="Verdana" w:hAnsi="Verdana" w:cs="Arial"/>
                <w:sz w:val="15"/>
                <w:szCs w:val="15"/>
                <w:lang w:val="es-ES" w:eastAsia="es-ES"/>
              </w:rPr>
            </w:pPr>
            <w:r w:rsidRPr="00DD0F57">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6498A0C3" w14:textId="77777777" w:rsidR="00721B31" w:rsidRPr="002C2D0D" w:rsidRDefault="00721B31" w:rsidP="00837C4E">
            <w:pPr>
              <w:contextualSpacing/>
              <w:rPr>
                <w:rFonts w:ascii="Verdana" w:eastAsia="Arial" w:hAnsi="Verdana" w:cs="Arial"/>
                <w:color w:val="000000" w:themeColor="text1"/>
                <w:sz w:val="16"/>
                <w:szCs w:val="16"/>
                <w:lang w:val="es-ES"/>
              </w:rPr>
            </w:pPr>
            <w:r w:rsidRPr="002C2D0D">
              <w:rPr>
                <w:rFonts w:ascii="Verdana" w:eastAsia="Arial" w:hAnsi="Verdana" w:cs="Arial"/>
                <w:color w:val="000000" w:themeColor="text1"/>
                <w:sz w:val="16"/>
                <w:szCs w:val="16"/>
                <w:lang w:val="es-ES"/>
              </w:rPr>
              <w:t>Anamaría Bonilla Prieto</w:t>
            </w:r>
          </w:p>
          <w:p w14:paraId="4E5C57D8" w14:textId="77777777" w:rsidR="00721B31" w:rsidRPr="002C2D0D" w:rsidRDefault="00721B31" w:rsidP="00837C4E">
            <w:pPr>
              <w:contextualSpacing/>
              <w:rPr>
                <w:rFonts w:ascii="Verdana" w:eastAsia="Arial" w:hAnsi="Verdana" w:cs="Arial"/>
                <w:sz w:val="16"/>
                <w:szCs w:val="16"/>
                <w:lang w:val="es-ES"/>
              </w:rPr>
            </w:pPr>
            <w:r w:rsidRPr="002C2D0D">
              <w:rPr>
                <w:rStyle w:val="normaltextrun"/>
                <w:rFonts w:ascii="Verdana" w:eastAsia="Arial" w:hAnsi="Verdana" w:cs="Arial"/>
                <w:color w:val="000000" w:themeColor="text1"/>
                <w:sz w:val="16"/>
                <w:szCs w:val="16"/>
                <w:lang w:val="es-ES"/>
              </w:rPr>
              <w:t xml:space="preserve">Contratista de la Subdirección </w:t>
            </w:r>
            <w:r w:rsidRPr="002C2D0D">
              <w:rPr>
                <w:rStyle w:val="normaltextrun"/>
                <w:rFonts w:ascii="Verdana" w:eastAsia="Arial" w:hAnsi="Verdana" w:cs="Arial"/>
                <w:sz w:val="16"/>
                <w:szCs w:val="16"/>
                <w:lang w:val="es-ES"/>
              </w:rPr>
              <w:t>de Gestión Contractual</w:t>
            </w:r>
          </w:p>
        </w:tc>
      </w:tr>
      <w:tr w:rsidR="00721B31" w:rsidRPr="00DD0F57" w14:paraId="75B9A49B" w14:textId="77777777" w:rsidTr="00837C4E">
        <w:trPr>
          <w:trHeight w:val="330"/>
        </w:trPr>
        <w:tc>
          <w:tcPr>
            <w:tcW w:w="893" w:type="dxa"/>
            <w:vAlign w:val="center"/>
            <w:hideMark/>
          </w:tcPr>
          <w:p w14:paraId="4D99C379" w14:textId="77777777" w:rsidR="00721B31" w:rsidRPr="00DD0F57" w:rsidRDefault="00721B31" w:rsidP="00837C4E">
            <w:pPr>
              <w:contextualSpacing/>
              <w:rPr>
                <w:rFonts w:ascii="Verdana" w:hAnsi="Verdana" w:cs="Arial"/>
                <w:sz w:val="15"/>
                <w:szCs w:val="15"/>
                <w:lang w:val="es-ES" w:eastAsia="es-ES"/>
              </w:rPr>
            </w:pPr>
            <w:r w:rsidRPr="00DD0F57">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EECD6D8" w14:textId="77777777" w:rsidR="00721B31" w:rsidRPr="002C2D0D" w:rsidRDefault="00721B31" w:rsidP="00837C4E">
            <w:pPr>
              <w:contextualSpacing/>
              <w:rPr>
                <w:rFonts w:ascii="Verdana" w:eastAsia="Arial" w:hAnsi="Verdana" w:cs="Arial"/>
                <w:color w:val="000000" w:themeColor="text1"/>
                <w:sz w:val="16"/>
                <w:szCs w:val="16"/>
                <w:lang w:val="es-ES"/>
              </w:rPr>
            </w:pPr>
            <w:r w:rsidRPr="002C2D0D">
              <w:rPr>
                <w:rFonts w:ascii="Verdana" w:eastAsia="Arial" w:hAnsi="Verdana" w:cs="Arial"/>
                <w:color w:val="000000" w:themeColor="text1"/>
                <w:sz w:val="16"/>
                <w:szCs w:val="16"/>
                <w:lang w:val="es-ES"/>
              </w:rPr>
              <w:t>Alejandro Sarmiento Cantillo</w:t>
            </w:r>
          </w:p>
          <w:p w14:paraId="7EFAE6CB" w14:textId="77777777" w:rsidR="00721B31" w:rsidRPr="002C2D0D" w:rsidRDefault="00721B31" w:rsidP="00837C4E">
            <w:pPr>
              <w:pStyle w:val="paragraph"/>
              <w:spacing w:before="0" w:beforeAutospacing="0" w:after="0" w:afterAutospacing="0"/>
              <w:contextualSpacing/>
              <w:textAlignment w:val="baseline"/>
              <w:rPr>
                <w:rFonts w:ascii="Verdana" w:hAnsi="Verdana" w:cs="Segoe UI"/>
                <w:sz w:val="16"/>
                <w:szCs w:val="16"/>
                <w:lang w:val="es-ES"/>
              </w:rPr>
            </w:pPr>
            <w:r w:rsidRPr="002C2D0D">
              <w:rPr>
                <w:rFonts w:ascii="Verdana" w:eastAsia="Arial" w:hAnsi="Verdana" w:cs="Arial"/>
                <w:color w:val="000000" w:themeColor="text1"/>
                <w:sz w:val="16"/>
                <w:szCs w:val="16"/>
                <w:lang w:val="es-ES"/>
              </w:rPr>
              <w:t>Gestor T1 – 15 de la Subdirección de Gestión Contractual</w:t>
            </w:r>
            <w:r w:rsidRPr="002C2D0D">
              <w:rPr>
                <w:rFonts w:ascii="Verdana" w:hAnsi="Verdana" w:cs="Segoe UI"/>
                <w:sz w:val="16"/>
                <w:szCs w:val="16"/>
                <w:lang w:val="es-ES"/>
              </w:rPr>
              <w:t> </w:t>
            </w:r>
          </w:p>
          <w:p w14:paraId="7A750123" w14:textId="77777777" w:rsidR="00721B31" w:rsidRPr="002C2D0D" w:rsidRDefault="00721B31" w:rsidP="00837C4E">
            <w:pPr>
              <w:pStyle w:val="paragraph"/>
              <w:spacing w:before="0" w:beforeAutospacing="0" w:after="0" w:afterAutospacing="0"/>
              <w:contextualSpacing/>
              <w:textAlignment w:val="baseline"/>
              <w:rPr>
                <w:rFonts w:ascii="Verdana" w:hAnsi="Verdana" w:cs="Segoe UI"/>
                <w:sz w:val="16"/>
                <w:szCs w:val="16"/>
                <w:lang w:val="es-ES"/>
              </w:rPr>
            </w:pPr>
          </w:p>
        </w:tc>
      </w:tr>
      <w:tr w:rsidR="00721B31" w:rsidRPr="00DD0F57" w14:paraId="57EF5752" w14:textId="77777777" w:rsidTr="00837C4E">
        <w:trPr>
          <w:trHeight w:val="300"/>
        </w:trPr>
        <w:tc>
          <w:tcPr>
            <w:tcW w:w="893" w:type="dxa"/>
            <w:vAlign w:val="center"/>
          </w:tcPr>
          <w:p w14:paraId="6DECC91D" w14:textId="77777777" w:rsidR="00721B31" w:rsidRPr="00DD0F57" w:rsidRDefault="00721B31" w:rsidP="00837C4E">
            <w:pPr>
              <w:contextualSpacing/>
              <w:rPr>
                <w:rFonts w:ascii="Verdana" w:hAnsi="Verdana" w:cs="Arial"/>
                <w:sz w:val="15"/>
                <w:szCs w:val="15"/>
                <w:lang w:val="es-ES" w:eastAsia="es-ES"/>
              </w:rPr>
            </w:pPr>
            <w:r w:rsidRPr="00DD0F57">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EC52A6" w14:textId="77777777" w:rsidR="00721B31" w:rsidRPr="002C2D0D" w:rsidRDefault="00721B31" w:rsidP="00837C4E">
            <w:pPr>
              <w:contextualSpacing/>
              <w:rPr>
                <w:rFonts w:ascii="Verdana" w:eastAsia="Calibri" w:hAnsi="Verdana" w:cs="Arial"/>
                <w:sz w:val="16"/>
                <w:szCs w:val="16"/>
                <w:lang w:val="es-ES" w:eastAsia="es-ES"/>
              </w:rPr>
            </w:pPr>
            <w:r w:rsidRPr="002C2D0D">
              <w:rPr>
                <w:rFonts w:ascii="Verdana" w:eastAsia="Calibri" w:hAnsi="Verdana" w:cs="Arial"/>
                <w:sz w:val="16"/>
                <w:szCs w:val="16"/>
                <w:lang w:val="es-ES" w:eastAsia="es-ES"/>
              </w:rPr>
              <w:t>Carolina Quintero Gacharná</w:t>
            </w:r>
          </w:p>
          <w:p w14:paraId="182B808D" w14:textId="77777777" w:rsidR="00721B31" w:rsidRPr="002C2D0D" w:rsidRDefault="00721B31" w:rsidP="00837C4E">
            <w:pPr>
              <w:contextualSpacing/>
              <w:rPr>
                <w:rFonts w:ascii="Verdana" w:eastAsia="Calibri" w:hAnsi="Verdana" w:cs="Arial"/>
                <w:sz w:val="16"/>
                <w:szCs w:val="16"/>
                <w:lang w:val="es-ES" w:eastAsia="es-ES"/>
              </w:rPr>
            </w:pPr>
            <w:r w:rsidRPr="002C2D0D">
              <w:rPr>
                <w:rFonts w:ascii="Verdana" w:eastAsia="Calibri" w:hAnsi="Verdana" w:cs="Arial"/>
                <w:sz w:val="16"/>
                <w:szCs w:val="16"/>
                <w:lang w:val="es-ES" w:eastAsia="es-ES"/>
              </w:rPr>
              <w:t>Subdirectora de Gestión Contractual ANCP – CCE</w:t>
            </w:r>
          </w:p>
        </w:tc>
      </w:tr>
      <w:bookmarkEnd w:id="0"/>
    </w:tbl>
    <w:p w14:paraId="0F293BF4" w14:textId="535FF20B" w:rsidR="00127233" w:rsidRPr="0083494E" w:rsidRDefault="00127233" w:rsidP="005C2B25"/>
    <w:sectPr w:rsidR="00127233" w:rsidRPr="0083494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83F1B" w14:textId="77777777" w:rsidR="003E7B3D" w:rsidRDefault="003E7B3D" w:rsidP="004A1847">
      <w:pPr>
        <w:spacing w:after="0" w:line="240" w:lineRule="auto"/>
      </w:pPr>
      <w:r>
        <w:separator/>
      </w:r>
    </w:p>
  </w:endnote>
  <w:endnote w:type="continuationSeparator" w:id="0">
    <w:p w14:paraId="5BC91E0B" w14:textId="77777777" w:rsidR="003E7B3D" w:rsidRDefault="003E7B3D" w:rsidP="004A1847">
      <w:pPr>
        <w:spacing w:after="0" w:line="240" w:lineRule="auto"/>
      </w:pPr>
      <w:r>
        <w:continuationSeparator/>
      </w:r>
    </w:p>
  </w:endnote>
  <w:endnote w:type="continuationNotice" w:id="1">
    <w:p w14:paraId="06399ED2" w14:textId="77777777" w:rsidR="003E7B3D" w:rsidRDefault="003E7B3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B3A9B1" w14:textId="77777777" w:rsidR="003E7B3D" w:rsidRDefault="003E7B3D" w:rsidP="004A1847">
      <w:pPr>
        <w:spacing w:after="0" w:line="240" w:lineRule="auto"/>
      </w:pPr>
      <w:r>
        <w:separator/>
      </w:r>
    </w:p>
  </w:footnote>
  <w:footnote w:type="continuationSeparator" w:id="0">
    <w:p w14:paraId="0E52A053" w14:textId="77777777" w:rsidR="003E7B3D" w:rsidRDefault="003E7B3D" w:rsidP="004A1847">
      <w:pPr>
        <w:spacing w:after="0" w:line="240" w:lineRule="auto"/>
      </w:pPr>
      <w:r>
        <w:continuationSeparator/>
      </w:r>
    </w:p>
  </w:footnote>
  <w:footnote w:type="continuationNotice" w:id="1">
    <w:p w14:paraId="4FC2AEC7" w14:textId="77777777" w:rsidR="003E7B3D" w:rsidRDefault="003E7B3D">
      <w:pPr>
        <w:spacing w:after="0" w:line="240" w:lineRule="auto"/>
      </w:pPr>
    </w:p>
  </w:footnote>
  <w:footnote w:id="2">
    <w:p w14:paraId="36801C78" w14:textId="77777777" w:rsidR="00721B31" w:rsidRPr="0097118A" w:rsidRDefault="00721B31" w:rsidP="00721B31">
      <w:pPr>
        <w:pStyle w:val="Textonotapie"/>
        <w:ind w:firstLine="709"/>
        <w:jc w:val="both"/>
        <w:rPr>
          <w:rFonts w:ascii="Verdana" w:hAnsi="Verdana" w:cs="Arial"/>
          <w:sz w:val="16"/>
          <w:szCs w:val="16"/>
        </w:rPr>
      </w:pPr>
      <w:r w:rsidRPr="0097118A">
        <w:rPr>
          <w:rFonts w:ascii="Verdana" w:hAnsi="Verdana" w:cs="Arial"/>
          <w:sz w:val="16"/>
          <w:szCs w:val="16"/>
          <w:vertAlign w:val="superscript"/>
        </w:rPr>
        <w:footnoteRef/>
      </w:r>
      <w:r w:rsidRPr="0097118A">
        <w:rPr>
          <w:rFonts w:ascii="Verdana" w:hAnsi="Verdana" w:cs="Arial"/>
          <w:sz w:val="16"/>
          <w:szCs w:val="16"/>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6BD10853" w14:textId="77777777" w:rsidR="00721B31" w:rsidRPr="0097118A" w:rsidRDefault="00721B31" w:rsidP="00721B31">
      <w:pPr>
        <w:pStyle w:val="Textonotapie"/>
        <w:ind w:firstLine="709"/>
        <w:jc w:val="both"/>
        <w:rPr>
          <w:rFonts w:ascii="Verdana" w:hAnsi="Verdana" w:cs="Arial"/>
          <w:sz w:val="16"/>
          <w:szCs w:val="16"/>
        </w:rPr>
      </w:pPr>
    </w:p>
    <w:p w14:paraId="4D394519" w14:textId="579062EC" w:rsidR="00721B31" w:rsidRPr="0097118A" w:rsidRDefault="00721B31" w:rsidP="00721B31">
      <w:pPr>
        <w:pStyle w:val="Textonotapie"/>
        <w:ind w:firstLine="709"/>
        <w:jc w:val="both"/>
        <w:rPr>
          <w:rFonts w:ascii="Verdana" w:hAnsi="Verdana" w:cs="Arial"/>
          <w:sz w:val="16"/>
          <w:szCs w:val="16"/>
        </w:rPr>
      </w:pPr>
      <w:r w:rsidRPr="0097118A">
        <w:rPr>
          <w:rFonts w:ascii="Verdana" w:hAnsi="Verdana" w:cs="Arial"/>
          <w:sz w:val="16"/>
          <w:szCs w:val="16"/>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w:t>
      </w:r>
      <w:r w:rsidR="007D0EB5">
        <w:rPr>
          <w:rFonts w:ascii="Verdana" w:hAnsi="Verdana" w:cs="Arial"/>
          <w:sz w:val="16"/>
          <w:szCs w:val="16"/>
        </w:rPr>
        <w:t xml:space="preserve">cia </w:t>
      </w:r>
      <w:r w:rsidRPr="0097118A">
        <w:rPr>
          <w:rFonts w:ascii="Verdana" w:hAnsi="Verdana" w:cs="Arial"/>
          <w:sz w:val="16"/>
          <w:szCs w:val="16"/>
        </w:rPr>
        <w:t>(por lo que la discrecionalidad es la puerta de entrada en la pirámide del ordenamiento de consideraciones de política administrativa o de carácter metajurídico)” (BLANQUER, David. Derecho administrativo: el fin, los medios y el control. Tomo I. Valencia: Tirant lo Blanch, 2010. p. 191).,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291CAE1E" w14:textId="77777777" w:rsidR="00721B31" w:rsidRPr="0097118A" w:rsidRDefault="00721B31" w:rsidP="00721B31">
      <w:pPr>
        <w:pStyle w:val="Textonotapie"/>
        <w:ind w:firstLine="709"/>
        <w:jc w:val="both"/>
        <w:rPr>
          <w:rFonts w:ascii="Verdana" w:hAnsi="Verdana"/>
          <w:sz w:val="16"/>
          <w:szCs w:val="16"/>
        </w:rPr>
      </w:pPr>
    </w:p>
  </w:footnote>
  <w:footnote w:id="3">
    <w:p w14:paraId="4C508D2A" w14:textId="77777777" w:rsidR="00721B31" w:rsidRPr="0097118A" w:rsidRDefault="00721B31" w:rsidP="00721B31">
      <w:pPr>
        <w:pStyle w:val="Textonotapie"/>
        <w:ind w:firstLine="709"/>
        <w:jc w:val="both"/>
        <w:rPr>
          <w:rFonts w:ascii="Verdana" w:hAnsi="Verdana"/>
          <w:sz w:val="16"/>
          <w:szCs w:val="16"/>
        </w:rPr>
      </w:pPr>
      <w:r w:rsidRPr="0097118A">
        <w:rPr>
          <w:rStyle w:val="Refdenotaalpie"/>
          <w:rFonts w:ascii="Verdana" w:hAnsi="Verdana"/>
          <w:sz w:val="16"/>
          <w:szCs w:val="16"/>
        </w:rPr>
        <w:footnoteRef/>
      </w:r>
      <w:r w:rsidRPr="0097118A">
        <w:rPr>
          <w:rFonts w:ascii="Verdana" w:hAnsi="Verdana"/>
          <w:sz w:val="16"/>
          <w:szCs w:val="16"/>
        </w:rPr>
        <w:t xml:space="preserve"> La “</w:t>
      </w:r>
      <w:r w:rsidRPr="0097118A">
        <w:rPr>
          <w:rFonts w:ascii="Verdana" w:eastAsia="Calibri" w:hAnsi="Verdana" w:cs="Arial"/>
          <w:sz w:val="16"/>
          <w:szCs w:val="16"/>
        </w:rPr>
        <w:t>Guía para promover la participación de las Mipymes en los Procesos de Compra y Contratación Pública”</w:t>
      </w:r>
      <w:r w:rsidRPr="0097118A">
        <w:rPr>
          <w:rFonts w:ascii="Verdana" w:hAnsi="Verdana"/>
          <w:sz w:val="16"/>
          <w:szCs w:val="16"/>
        </w:rPr>
        <w:t xml:space="preserve"> expedida por la Agencia Nacional de Contratación Pública – Colombia Compra Eficiente</w:t>
      </w:r>
      <w:r w:rsidRPr="0097118A">
        <w:rPr>
          <w:rFonts w:ascii="Verdana" w:eastAsia="Calibri" w:hAnsi="Verdana" w:cs="Arial"/>
          <w:sz w:val="16"/>
          <w:szCs w:val="16"/>
        </w:rPr>
        <w:t xml:space="preserve"> se puede consultar en el siguiente enlace: </w:t>
      </w:r>
      <w:hyperlink r:id="rId1" w:history="1">
        <w:r w:rsidRPr="0097118A">
          <w:rPr>
            <w:rStyle w:val="Hipervnculo"/>
            <w:rFonts w:ascii="Verdana" w:eastAsia="Calibri" w:hAnsi="Verdana" w:cs="Arial"/>
            <w:sz w:val="16"/>
            <w:szCs w:val="16"/>
          </w:rPr>
          <w:t>https://www.colombiacompra.gov.co/archivos/manual/guia-para-promover-la-participacion-de-las-mipymes-en-los-procesos-de-compra-publica</w:t>
        </w:r>
      </w:hyperlink>
      <w:r w:rsidRPr="0097118A">
        <w:rPr>
          <w:rFonts w:ascii="Verdana" w:eastAsia="Calibri" w:hAnsi="Verdana" w:cs="Arial"/>
          <w:sz w:val="16"/>
          <w:szCs w:val="16"/>
        </w:rPr>
        <w:t xml:space="preserve"> </w:t>
      </w:r>
    </w:p>
  </w:footnote>
  <w:footnote w:id="4">
    <w:p w14:paraId="49445D0C" w14:textId="77777777" w:rsidR="00721B31" w:rsidRPr="0097118A" w:rsidRDefault="00721B31" w:rsidP="00721B31">
      <w:pPr>
        <w:pStyle w:val="Textonotapie"/>
        <w:ind w:firstLine="708"/>
        <w:jc w:val="both"/>
        <w:rPr>
          <w:rFonts w:ascii="Verdana" w:hAnsi="Verdana"/>
          <w:sz w:val="16"/>
          <w:szCs w:val="16"/>
          <w:lang w:val="es-ES"/>
        </w:rPr>
      </w:pPr>
      <w:r w:rsidRPr="0097118A">
        <w:rPr>
          <w:rStyle w:val="Refdenotaalpie"/>
          <w:rFonts w:ascii="Verdana" w:hAnsi="Verdana"/>
          <w:sz w:val="16"/>
          <w:szCs w:val="16"/>
        </w:rPr>
        <w:footnoteRef/>
      </w:r>
      <w:r w:rsidRPr="0097118A">
        <w:rPr>
          <w:rFonts w:ascii="Verdana" w:hAnsi="Verdana"/>
          <w:sz w:val="16"/>
          <w:szCs w:val="16"/>
        </w:rPr>
        <w:t xml:space="preserve"> </w:t>
      </w:r>
      <w:r w:rsidRPr="0097118A">
        <w:rPr>
          <w:rFonts w:ascii="Verdana" w:hAnsi="Verdana"/>
          <w:sz w:val="16"/>
          <w:szCs w:val="16"/>
          <w:lang w:val="es-ES"/>
        </w:rPr>
        <w:t>Ver</w:t>
      </w:r>
      <w:r w:rsidRPr="0097118A">
        <w:rPr>
          <w:rFonts w:ascii="Verdana" w:hAnsi="Verdana" w:cs="Arial"/>
          <w:sz w:val="16"/>
          <w:szCs w:val="16"/>
          <w:lang w:val="es-ES"/>
        </w:rPr>
        <w:t xml:space="preserve"> los Conceptos 4201714000006924 del 29 de enero de 2018,</w:t>
      </w:r>
      <w:r w:rsidRPr="0097118A">
        <w:rPr>
          <w:rFonts w:ascii="Verdana" w:eastAsia="Calibri" w:hAnsi="Verdana" w:cs="Arial"/>
          <w:sz w:val="16"/>
          <w:szCs w:val="16"/>
          <w:lang w:val="es-ES"/>
        </w:rPr>
        <w:t xml:space="preserve"> C-045 del 17 de marzo de 2020, C-162 del 16 de abril de 2020, C-214 del 21 de abril de 2020, C-258 del 17 de abril de 2020, C-364 del 4 de junio de 2020, C-413 del 30 de junio de 2020</w:t>
      </w:r>
      <w:r w:rsidRPr="0097118A">
        <w:rPr>
          <w:rFonts w:ascii="Verdana" w:hAnsi="Verdana" w:cs="Arial"/>
          <w:sz w:val="16"/>
          <w:szCs w:val="16"/>
          <w:lang w:val="es-ES"/>
        </w:rPr>
        <w:t xml:space="preserve">, </w:t>
      </w:r>
      <w:r w:rsidRPr="0097118A">
        <w:rPr>
          <w:rFonts w:ascii="Verdana" w:eastAsia="Calibri" w:hAnsi="Verdana" w:cs="Arial"/>
          <w:sz w:val="16"/>
          <w:szCs w:val="16"/>
          <w:lang w:val="es-ES"/>
        </w:rPr>
        <w:t>C-492 del 24 de julio de 2020, C-523 del 11 de agosto de 2020, C-610 del 14 de septiembre de 2020 y C-700 de 1 de diciembre de 2020</w:t>
      </w:r>
    </w:p>
  </w:footnote>
  <w:footnote w:id="5">
    <w:p w14:paraId="5EB27890" w14:textId="77777777" w:rsidR="00721B31" w:rsidRPr="0097118A" w:rsidRDefault="00721B31" w:rsidP="00721B31">
      <w:pPr>
        <w:pStyle w:val="Textonotapie"/>
        <w:ind w:firstLine="709"/>
        <w:jc w:val="both"/>
        <w:rPr>
          <w:rFonts w:ascii="Verdana" w:hAnsi="Verdana" w:cs="Arial"/>
          <w:sz w:val="16"/>
          <w:szCs w:val="16"/>
        </w:rPr>
      </w:pPr>
      <w:r w:rsidRPr="0097118A">
        <w:rPr>
          <w:rStyle w:val="Refdenotaalpie"/>
          <w:rFonts w:ascii="Verdana" w:hAnsi="Verdana" w:cs="Arial"/>
          <w:sz w:val="16"/>
          <w:szCs w:val="16"/>
        </w:rPr>
        <w:footnoteRef/>
      </w:r>
      <w:r w:rsidRPr="0097118A">
        <w:rPr>
          <w:rFonts w:ascii="Verdana" w:hAnsi="Verdana" w:cs="Arial"/>
          <w:sz w:val="16"/>
          <w:szCs w:val="16"/>
        </w:rPr>
        <w:t xml:space="preserve">  Agencia Nacional de Contratación Pública – Colombia Compra Eficiente. Concepto C-045 del 17 de marzo de 2020. Radicado de salida No. 2202013000001974.</w:t>
      </w:r>
    </w:p>
  </w:footnote>
  <w:footnote w:id="6">
    <w:p w14:paraId="7FC81908" w14:textId="77777777" w:rsidR="00721B31" w:rsidRPr="0097118A" w:rsidRDefault="00721B31" w:rsidP="00721B31">
      <w:pPr>
        <w:pStyle w:val="Textonotapie"/>
        <w:ind w:firstLine="708"/>
        <w:contextualSpacing/>
        <w:jc w:val="both"/>
        <w:rPr>
          <w:rFonts w:ascii="Verdana" w:hAnsi="Verdana" w:cs="Arial"/>
          <w:sz w:val="16"/>
          <w:szCs w:val="16"/>
        </w:rPr>
      </w:pPr>
      <w:r w:rsidRPr="0097118A">
        <w:rPr>
          <w:rStyle w:val="Refdenotaalpie"/>
          <w:rFonts w:ascii="Verdana" w:hAnsi="Verdana" w:cs="Arial"/>
          <w:sz w:val="16"/>
          <w:szCs w:val="16"/>
        </w:rPr>
        <w:footnoteRef/>
      </w:r>
      <w:r w:rsidRPr="0097118A">
        <w:rPr>
          <w:rFonts w:ascii="Verdana" w:hAnsi="Verdana" w:cs="Arial"/>
          <w:sz w:val="16"/>
          <w:szCs w:val="16"/>
        </w:rPr>
        <w:t xml:space="preserve"> </w:t>
      </w:r>
      <w:bookmarkStart w:id="3" w:name="76"/>
      <w:r w:rsidRPr="0097118A">
        <w:rPr>
          <w:rFonts w:ascii="Verdana" w:hAnsi="Verdana" w:cs="Arial"/>
          <w:bCs/>
          <w:sz w:val="16"/>
          <w:szCs w:val="16"/>
        </w:rPr>
        <w:t>Artículo 76. “Domicilio.</w:t>
      </w:r>
      <w:bookmarkEnd w:id="3"/>
      <w:r w:rsidRPr="0097118A">
        <w:rPr>
          <w:rFonts w:ascii="Verdana" w:hAnsi="Verdana" w:cs="Arial"/>
          <w:sz w:val="16"/>
          <w:szCs w:val="16"/>
        </w:rPr>
        <w:t> El domicilio consiste en la residencia acompañada, real o presuntivamente del ánimo de permanecer en ella”.</w:t>
      </w:r>
    </w:p>
    <w:p w14:paraId="3A753740" w14:textId="77777777" w:rsidR="00721B31" w:rsidRPr="0097118A" w:rsidRDefault="00721B31" w:rsidP="00721B31">
      <w:pPr>
        <w:pStyle w:val="Textonotapie"/>
        <w:ind w:firstLine="708"/>
        <w:contextualSpacing/>
        <w:jc w:val="both"/>
        <w:rPr>
          <w:rFonts w:ascii="Verdana" w:hAnsi="Verdana" w:cs="Arial"/>
          <w:sz w:val="16"/>
          <w:szCs w:val="16"/>
          <w:lang w:val="es-ES"/>
        </w:rPr>
      </w:pPr>
    </w:p>
  </w:footnote>
  <w:footnote w:id="7">
    <w:p w14:paraId="3DD56918" w14:textId="77777777" w:rsidR="00721B31" w:rsidRPr="0097118A" w:rsidRDefault="00721B31" w:rsidP="00721B31">
      <w:pPr>
        <w:pStyle w:val="Car1"/>
        <w:ind w:firstLine="709"/>
        <w:contextualSpacing/>
        <w:jc w:val="both"/>
        <w:rPr>
          <w:rFonts w:ascii="Verdana" w:hAnsi="Verdana" w:cs="Arial"/>
          <w:bCs/>
          <w:sz w:val="16"/>
          <w:szCs w:val="16"/>
          <w:lang w:val="es-ES_tradnl"/>
        </w:rPr>
      </w:pPr>
      <w:r w:rsidRPr="0097118A">
        <w:rPr>
          <w:rStyle w:val="Refdenotaalpie"/>
          <w:rFonts w:ascii="Verdana" w:hAnsi="Verdana" w:cs="Arial"/>
          <w:sz w:val="16"/>
          <w:szCs w:val="16"/>
        </w:rPr>
        <w:footnoteRef/>
      </w:r>
      <w:r w:rsidRPr="0097118A">
        <w:rPr>
          <w:rFonts w:ascii="Verdana" w:hAnsi="Verdana" w:cs="Arial"/>
          <w:sz w:val="16"/>
          <w:szCs w:val="16"/>
        </w:rPr>
        <w:t xml:space="preserve"> </w:t>
      </w:r>
      <w:r w:rsidRPr="0097118A">
        <w:rPr>
          <w:rFonts w:ascii="Verdana" w:hAnsi="Verdana" w:cs="Arial"/>
          <w:sz w:val="16"/>
          <w:szCs w:val="16"/>
          <w:lang w:val="es-CO"/>
        </w:rPr>
        <w:t xml:space="preserve">Al respecto, la doctrina ha señalado que </w:t>
      </w:r>
      <w:r w:rsidRPr="0097118A">
        <w:rPr>
          <w:rFonts w:ascii="Verdana" w:eastAsia="Calibri" w:hAnsi="Verdana" w:cs="Arial"/>
          <w:bCs/>
          <w:sz w:val="16"/>
          <w:szCs w:val="16"/>
          <w:lang w:val="es-ES_tradnl"/>
        </w:rPr>
        <w:t xml:space="preserve">«inseparable del elemento objetivo – actividad económica organizada- y del subjetivo – empresario mercantil - </w:t>
      </w:r>
      <w:r w:rsidRPr="0097118A">
        <w:rPr>
          <w:rFonts w:ascii="Verdana" w:hAnsi="Verdana" w:cs="Arial"/>
          <w:sz w:val="16"/>
          <w:szCs w:val="16"/>
          <w:lang w:val="es-CO"/>
        </w:rPr>
        <w:t xml:space="preserve">la empresa comercial requiere un elemento funcional llamado establecimiento de comercio, que es un conjunto heterogéneo de bienes destinados específicamente por el empresario a desarrollar la actividad organizada. Así lo establece la definición prevista en el artículo 25 del Código de Comercio: “[…] Dicha </w:t>
      </w:r>
      <w:r w:rsidRPr="0097118A">
        <w:rPr>
          <w:rFonts w:ascii="Verdana" w:hAnsi="Verdana" w:cs="Arial"/>
          <w:bCs/>
          <w:sz w:val="16"/>
          <w:szCs w:val="16"/>
          <w:lang w:val="es-ES_tradnl"/>
        </w:rPr>
        <w:t>actividad se realizará a través de uno o más establecimientos de comercio”</w:t>
      </w:r>
      <w:r w:rsidRPr="0097118A">
        <w:rPr>
          <w:rFonts w:ascii="Verdana" w:eastAsia="Calibri" w:hAnsi="Verdana" w:cs="Arial"/>
          <w:bCs/>
          <w:sz w:val="16"/>
          <w:szCs w:val="16"/>
          <w:lang w:val="es-ES_tradnl"/>
        </w:rPr>
        <w:t>»</w:t>
      </w:r>
      <w:r w:rsidRPr="0097118A">
        <w:rPr>
          <w:rFonts w:ascii="Verdana" w:hAnsi="Verdana" w:cs="Arial"/>
          <w:bCs/>
          <w:sz w:val="16"/>
          <w:szCs w:val="16"/>
          <w:lang w:val="es-ES_tradnl"/>
        </w:rPr>
        <w:t>. (CASTRO DE CIFUENTES, Marcela. Derecho Comercial. Actos de comercio, empresas comerciantes y empresarios. Universidad de los Andes. 2016. Pág. 109).</w:t>
      </w:r>
    </w:p>
    <w:p w14:paraId="3F2D8533" w14:textId="77777777" w:rsidR="00721B31" w:rsidRPr="0097118A" w:rsidRDefault="00721B31" w:rsidP="00721B31">
      <w:pPr>
        <w:pStyle w:val="Textonotapie"/>
        <w:contextualSpacing/>
        <w:jc w:val="both"/>
        <w:rPr>
          <w:rFonts w:ascii="Verdana" w:hAnsi="Verdana" w:cs="Arial"/>
          <w:sz w:val="16"/>
          <w:szCs w:val="16"/>
          <w:lang w:val="es-ES_tradnl"/>
        </w:rPr>
      </w:pPr>
    </w:p>
  </w:footnote>
  <w:footnote w:id="8">
    <w:p w14:paraId="505BDA4E" w14:textId="77777777" w:rsidR="00721B31" w:rsidRPr="0097118A" w:rsidRDefault="00721B31" w:rsidP="00721B31">
      <w:pPr>
        <w:spacing w:after="120" w:line="240" w:lineRule="auto"/>
        <w:ind w:firstLine="709"/>
        <w:jc w:val="both"/>
        <w:rPr>
          <w:rFonts w:ascii="Verdana" w:eastAsia="Calibri" w:hAnsi="Verdana" w:cs="Arial"/>
          <w:color w:val="000000"/>
          <w:sz w:val="16"/>
          <w:szCs w:val="16"/>
        </w:rPr>
      </w:pPr>
      <w:r w:rsidRPr="0097118A">
        <w:rPr>
          <w:rStyle w:val="Refdenotaalpie"/>
          <w:rFonts w:ascii="Verdana" w:hAnsi="Verdana"/>
          <w:sz w:val="16"/>
          <w:szCs w:val="16"/>
        </w:rPr>
        <w:footnoteRef/>
      </w:r>
      <w:r w:rsidRPr="0097118A">
        <w:rPr>
          <w:rFonts w:ascii="Verdana" w:hAnsi="Verdana"/>
          <w:sz w:val="16"/>
          <w:szCs w:val="16"/>
        </w:rPr>
        <w:t xml:space="preserve"> </w:t>
      </w:r>
      <w:r w:rsidRPr="0097118A">
        <w:rPr>
          <w:rFonts w:ascii="Verdana" w:hAnsi="Verdana"/>
          <w:sz w:val="16"/>
          <w:szCs w:val="16"/>
          <w:lang w:val="es-ES"/>
        </w:rPr>
        <w:t xml:space="preserve">Por ejemplo, </w:t>
      </w:r>
      <w:r w:rsidRPr="0097118A">
        <w:rPr>
          <w:rFonts w:ascii="Verdana" w:eastAsia="Calibri" w:hAnsi="Verdana" w:cs="Arial"/>
          <w:color w:val="000000"/>
          <w:sz w:val="16"/>
          <w:szCs w:val="16"/>
        </w:rPr>
        <w:t xml:space="preserve">en los procesos cobijados por los documentos tipo para licitación de obra pública de infraestructura de transporte, adoptados mediante Resolución No. 465 de 10 septiembre de 2024. Se incluye la causal en el literal H del numeral 1.15 del Documento Base que señala: </w:t>
      </w:r>
      <w:r w:rsidRPr="0097118A">
        <w:rPr>
          <w:rFonts w:ascii="Verdana" w:eastAsia="Calibri" w:hAnsi="Verdana" w:cs="Arial"/>
          <w:i/>
          <w:iCs/>
          <w:color w:val="000000"/>
          <w:sz w:val="16"/>
          <w:szCs w:val="16"/>
        </w:rPr>
        <w:t>“H.</w:t>
      </w:r>
      <w:r w:rsidRPr="0097118A">
        <w:rPr>
          <w:rFonts w:ascii="Verdana" w:eastAsia="Calibri" w:hAnsi="Verdana" w:cs="Arial"/>
          <w:i/>
          <w:iCs/>
          <w:color w:val="000000"/>
          <w:sz w:val="16"/>
          <w:szCs w:val="16"/>
        </w:rPr>
        <w:tab/>
        <w:t>Que el proponente aporte información inexacta sobre la cual pueda existir una posible falsedad en los términos de la sección 1.11 del Documento Base”</w:t>
      </w:r>
      <w:r w:rsidRPr="0097118A">
        <w:rPr>
          <w:rFonts w:ascii="Verdana" w:eastAsia="Calibri" w:hAnsi="Verdana" w:cs="Arial"/>
          <w:color w:val="000000"/>
          <w:sz w:val="16"/>
          <w:szCs w:val="16"/>
        </w:rPr>
        <w:t xml:space="preserve">. A su turno, el numeral 1.11 establece que </w:t>
      </w:r>
      <w:r w:rsidRPr="0097118A">
        <w:rPr>
          <w:rFonts w:ascii="Verdana" w:eastAsia="Calibri" w:hAnsi="Verdana" w:cs="Arial"/>
          <w:i/>
          <w:iCs/>
          <w:color w:val="000000"/>
          <w:sz w:val="16"/>
          <w:szCs w:val="16"/>
        </w:rPr>
        <w:t>“La entidad se reserva el derecho de verificar integralmente la información aportada por el proponente. Para esto, puede acudir a las autoridades, personas, empresas o entidades   respectivas</w:t>
      </w:r>
      <w:r w:rsidRPr="0097118A">
        <w:rPr>
          <w:rFonts w:ascii="Verdana" w:eastAsia="Calibri" w:hAnsi="Verdana" w:cs="Arial"/>
          <w:color w:val="000000"/>
          <w:sz w:val="16"/>
          <w:szCs w:val="16"/>
        </w:rPr>
        <w:t>. Cuando exista inconsistencia entre la información suministrada por el proponente y la verificada por la entidad, la información que pretende</w:t>
      </w:r>
      <w:r w:rsidRPr="0097118A">
        <w:rPr>
          <w:rFonts w:ascii="Verdana" w:eastAsia="Calibri" w:hAnsi="Verdana" w:cs="Arial"/>
          <w:i/>
          <w:iCs/>
          <w:color w:val="000000"/>
          <w:sz w:val="16"/>
          <w:szCs w:val="16"/>
        </w:rPr>
        <w:t xml:space="preserve"> demostrar el proponente se tendrá por no acreditada</w:t>
      </w:r>
      <w:r w:rsidRPr="0097118A">
        <w:rPr>
          <w:rFonts w:ascii="Verdana" w:eastAsia="Calibri" w:hAnsi="Verdana" w:cs="Arial"/>
          <w:color w:val="000000"/>
          <w:sz w:val="16"/>
          <w:szCs w:val="16"/>
        </w:rPr>
        <w:t xml:space="preserve">. </w:t>
      </w:r>
      <w:r w:rsidRPr="0097118A">
        <w:rPr>
          <w:rFonts w:ascii="Verdana" w:eastAsia="Calibri" w:hAnsi="Verdana" w:cs="Arial"/>
          <w:i/>
          <w:iCs/>
          <w:color w:val="000000"/>
          <w:sz w:val="16"/>
          <w:szCs w:val="16"/>
        </w:rPr>
        <w:t>La entidad compulsará copias a las autoridades competentes en aquellos eventos en los cuales la información aportada tenga inconsistencias sobre las cuales pueda existir una posible falsedad, sin que el proponente haya demostrado lo contrario, y rechazará la oferta”</w:t>
      </w:r>
      <w:r w:rsidRPr="0097118A">
        <w:rPr>
          <w:rFonts w:ascii="Verdana" w:eastAsia="Calibri" w:hAnsi="Verdana" w:cs="Arial"/>
          <w:color w:val="000000"/>
          <w:sz w:val="16"/>
          <w:szCs w:val="16"/>
        </w:rPr>
        <w:t>.</w:t>
      </w:r>
    </w:p>
  </w:footnote>
  <w:footnote w:id="9">
    <w:p w14:paraId="6ED2C7F0" w14:textId="77777777" w:rsidR="00721B31" w:rsidRPr="0097118A" w:rsidRDefault="00721B31" w:rsidP="00721B31">
      <w:pPr>
        <w:pStyle w:val="Textonotapie"/>
        <w:ind w:firstLine="709"/>
        <w:jc w:val="both"/>
        <w:rPr>
          <w:rFonts w:ascii="Verdana" w:hAnsi="Verdana"/>
          <w:sz w:val="16"/>
          <w:szCs w:val="16"/>
        </w:rPr>
      </w:pPr>
      <w:r w:rsidRPr="0097118A">
        <w:rPr>
          <w:rFonts w:ascii="Verdana" w:hAnsi="Verdana" w:cs="Arial"/>
          <w:sz w:val="16"/>
          <w:szCs w:val="16"/>
          <w:vertAlign w:val="superscript"/>
        </w:rPr>
        <w:footnoteRef/>
      </w:r>
      <w:r w:rsidRPr="0097118A">
        <w:rPr>
          <w:rFonts w:ascii="Verdana" w:hAnsi="Verdana" w:cs="Arial"/>
          <w:sz w:val="16"/>
          <w:szCs w:val="16"/>
        </w:rPr>
        <w:t xml:space="preserve">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w:t>
      </w:r>
    </w:p>
  </w:footnote>
  <w:footnote w:id="10">
    <w:p w14:paraId="274D27B8" w14:textId="77777777" w:rsidR="00721B31" w:rsidRPr="0097118A" w:rsidRDefault="00721B31" w:rsidP="00721B31">
      <w:pPr>
        <w:pStyle w:val="Textonotapie"/>
        <w:ind w:firstLine="708"/>
        <w:jc w:val="both"/>
        <w:rPr>
          <w:rFonts w:ascii="Verdana" w:hAnsi="Verdana" w:cs="Arial"/>
          <w:sz w:val="16"/>
          <w:szCs w:val="16"/>
        </w:rPr>
      </w:pPr>
      <w:r w:rsidRPr="0097118A">
        <w:rPr>
          <w:rStyle w:val="Refdenotaalpie"/>
          <w:rFonts w:ascii="Verdana" w:hAnsi="Verdana" w:cs="Arial"/>
          <w:sz w:val="16"/>
          <w:szCs w:val="16"/>
        </w:rPr>
        <w:footnoteRef/>
      </w:r>
      <w:r w:rsidRPr="0097118A">
        <w:rPr>
          <w:rFonts w:ascii="Verdana" w:hAnsi="Verdana" w:cs="Arial"/>
          <w:sz w:val="16"/>
          <w:szCs w:val="16"/>
        </w:rPr>
        <w:t xml:space="preserve"> Para estos efectos,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02199D"/>
    <w:multiLevelType w:val="multilevel"/>
    <w:tmpl w:val="82A8E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4A054B"/>
    <w:multiLevelType w:val="hybridMultilevel"/>
    <w:tmpl w:val="8D56A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1"/>
  </w:num>
  <w:num w:numId="12" w16cid:durableId="1470781324">
    <w:abstractNumId w:val="1"/>
  </w:num>
  <w:num w:numId="13" w16cid:durableId="1512908409">
    <w:abstractNumId w:val="5"/>
  </w:num>
  <w:num w:numId="14" w16cid:durableId="895897244">
    <w:abstractNumId w:val="17"/>
  </w:num>
  <w:num w:numId="15" w16cid:durableId="390349800">
    <w:abstractNumId w:val="13"/>
  </w:num>
  <w:num w:numId="16" w16cid:durableId="341274352">
    <w:abstractNumId w:val="0"/>
  </w:num>
  <w:num w:numId="17" w16cid:durableId="571424827">
    <w:abstractNumId w:val="4"/>
  </w:num>
  <w:num w:numId="18" w16cid:durableId="944727731">
    <w:abstractNumId w:val="3"/>
  </w:num>
  <w:num w:numId="19" w16cid:durableId="1972249979">
    <w:abstractNumId w:val="10"/>
  </w:num>
  <w:num w:numId="20" w16cid:durableId="16074256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2C11"/>
    <w:rsid w:val="00061B2A"/>
    <w:rsid w:val="00072971"/>
    <w:rsid w:val="00082362"/>
    <w:rsid w:val="000A683E"/>
    <w:rsid w:val="000B19B9"/>
    <w:rsid w:val="000D0334"/>
    <w:rsid w:val="000D5DA7"/>
    <w:rsid w:val="000F6486"/>
    <w:rsid w:val="00114B04"/>
    <w:rsid w:val="00116940"/>
    <w:rsid w:val="00125105"/>
    <w:rsid w:val="00127233"/>
    <w:rsid w:val="00156405"/>
    <w:rsid w:val="0015699B"/>
    <w:rsid w:val="001750F9"/>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2D0D"/>
    <w:rsid w:val="002C7A84"/>
    <w:rsid w:val="002E2BF8"/>
    <w:rsid w:val="002E4FD9"/>
    <w:rsid w:val="00301ECF"/>
    <w:rsid w:val="0030657A"/>
    <w:rsid w:val="00322A85"/>
    <w:rsid w:val="00324168"/>
    <w:rsid w:val="00330834"/>
    <w:rsid w:val="003448F4"/>
    <w:rsid w:val="00374F5E"/>
    <w:rsid w:val="00377E3E"/>
    <w:rsid w:val="003A4AA1"/>
    <w:rsid w:val="003A779E"/>
    <w:rsid w:val="003B4DB2"/>
    <w:rsid w:val="003C2584"/>
    <w:rsid w:val="003D0F4D"/>
    <w:rsid w:val="003D5B0D"/>
    <w:rsid w:val="003E0499"/>
    <w:rsid w:val="003E4F80"/>
    <w:rsid w:val="003E6439"/>
    <w:rsid w:val="003E7B3D"/>
    <w:rsid w:val="003F3941"/>
    <w:rsid w:val="00406575"/>
    <w:rsid w:val="00414C74"/>
    <w:rsid w:val="0042722E"/>
    <w:rsid w:val="00427C0C"/>
    <w:rsid w:val="00437492"/>
    <w:rsid w:val="0044528D"/>
    <w:rsid w:val="00466E39"/>
    <w:rsid w:val="004A1847"/>
    <w:rsid w:val="004A305D"/>
    <w:rsid w:val="004F21C4"/>
    <w:rsid w:val="004F685F"/>
    <w:rsid w:val="00512809"/>
    <w:rsid w:val="005566E8"/>
    <w:rsid w:val="00561D7B"/>
    <w:rsid w:val="005679B4"/>
    <w:rsid w:val="00574867"/>
    <w:rsid w:val="00591460"/>
    <w:rsid w:val="005A65E0"/>
    <w:rsid w:val="005C2B25"/>
    <w:rsid w:val="005C3777"/>
    <w:rsid w:val="005C567C"/>
    <w:rsid w:val="005C5CDC"/>
    <w:rsid w:val="005D476C"/>
    <w:rsid w:val="00602096"/>
    <w:rsid w:val="006200BF"/>
    <w:rsid w:val="006219F8"/>
    <w:rsid w:val="006302F7"/>
    <w:rsid w:val="00646B9F"/>
    <w:rsid w:val="00665D70"/>
    <w:rsid w:val="006900D9"/>
    <w:rsid w:val="006E0E53"/>
    <w:rsid w:val="00706C16"/>
    <w:rsid w:val="00721B31"/>
    <w:rsid w:val="00725838"/>
    <w:rsid w:val="007340C3"/>
    <w:rsid w:val="007425D4"/>
    <w:rsid w:val="0075235A"/>
    <w:rsid w:val="00756841"/>
    <w:rsid w:val="007649AB"/>
    <w:rsid w:val="00771D0C"/>
    <w:rsid w:val="007833AC"/>
    <w:rsid w:val="007A239C"/>
    <w:rsid w:val="007B268C"/>
    <w:rsid w:val="007B7171"/>
    <w:rsid w:val="007C0C0F"/>
    <w:rsid w:val="007C3DC2"/>
    <w:rsid w:val="007D0EB5"/>
    <w:rsid w:val="007E5497"/>
    <w:rsid w:val="00806F5F"/>
    <w:rsid w:val="00820278"/>
    <w:rsid w:val="008258C9"/>
    <w:rsid w:val="0083494E"/>
    <w:rsid w:val="00844AE9"/>
    <w:rsid w:val="00867F95"/>
    <w:rsid w:val="008843B6"/>
    <w:rsid w:val="00891928"/>
    <w:rsid w:val="00896B9F"/>
    <w:rsid w:val="008A446D"/>
    <w:rsid w:val="008B25F1"/>
    <w:rsid w:val="008D180B"/>
    <w:rsid w:val="008E37B3"/>
    <w:rsid w:val="008F0EA7"/>
    <w:rsid w:val="008F2A72"/>
    <w:rsid w:val="00923EEF"/>
    <w:rsid w:val="00933A09"/>
    <w:rsid w:val="009419F9"/>
    <w:rsid w:val="0095685E"/>
    <w:rsid w:val="00956A79"/>
    <w:rsid w:val="00961B09"/>
    <w:rsid w:val="00965334"/>
    <w:rsid w:val="0097093E"/>
    <w:rsid w:val="009778F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34DE"/>
    <w:rsid w:val="00A862E2"/>
    <w:rsid w:val="00AB0ADB"/>
    <w:rsid w:val="00AC6365"/>
    <w:rsid w:val="00AE1202"/>
    <w:rsid w:val="00B00C0E"/>
    <w:rsid w:val="00B01B1A"/>
    <w:rsid w:val="00B0381D"/>
    <w:rsid w:val="00B372B9"/>
    <w:rsid w:val="00B44A47"/>
    <w:rsid w:val="00B72CD3"/>
    <w:rsid w:val="00B72FFF"/>
    <w:rsid w:val="00B928BD"/>
    <w:rsid w:val="00BA7C90"/>
    <w:rsid w:val="00BC3D36"/>
    <w:rsid w:val="00BC5733"/>
    <w:rsid w:val="00BD54A6"/>
    <w:rsid w:val="00BD7F72"/>
    <w:rsid w:val="00BE1EC4"/>
    <w:rsid w:val="00BF7425"/>
    <w:rsid w:val="00C04FB3"/>
    <w:rsid w:val="00C11D8B"/>
    <w:rsid w:val="00C15139"/>
    <w:rsid w:val="00C330EB"/>
    <w:rsid w:val="00C50D69"/>
    <w:rsid w:val="00C5365C"/>
    <w:rsid w:val="00C754BE"/>
    <w:rsid w:val="00C76B1C"/>
    <w:rsid w:val="00C925AC"/>
    <w:rsid w:val="00CB6357"/>
    <w:rsid w:val="00CC1B26"/>
    <w:rsid w:val="00CE7BF1"/>
    <w:rsid w:val="00CF533F"/>
    <w:rsid w:val="00D361FD"/>
    <w:rsid w:val="00D423A2"/>
    <w:rsid w:val="00D44875"/>
    <w:rsid w:val="00D44E26"/>
    <w:rsid w:val="00D520D8"/>
    <w:rsid w:val="00D63AC2"/>
    <w:rsid w:val="00D7383B"/>
    <w:rsid w:val="00D7788A"/>
    <w:rsid w:val="00DA231B"/>
    <w:rsid w:val="00DB1647"/>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6C92"/>
    <w:rsid w:val="00EA0E3D"/>
    <w:rsid w:val="00EC38A7"/>
    <w:rsid w:val="00EE1AA8"/>
    <w:rsid w:val="00F21EDA"/>
    <w:rsid w:val="00F23FEA"/>
    <w:rsid w:val="00F31EDC"/>
    <w:rsid w:val="00F462B3"/>
    <w:rsid w:val="00F5664F"/>
    <w:rsid w:val="00F666C4"/>
    <w:rsid w:val="00F76AFC"/>
    <w:rsid w:val="00FA47C0"/>
    <w:rsid w:val="00FB5DD1"/>
    <w:rsid w:val="00FC2B5D"/>
    <w:rsid w:val="00FD208E"/>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B5850F8"/>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21B3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21B31"/>
    <w:rPr>
      <w:rFonts w:ascii="Geomanist Light" w:hAnsi="Geomanist Light"/>
      <w:lang w:val="es-ES"/>
    </w:rPr>
  </w:style>
  <w:style w:type="paragraph" w:styleId="Textoindependiente">
    <w:name w:val="Body Text"/>
    <w:basedOn w:val="Normal"/>
    <w:link w:val="TextoindependienteCar"/>
    <w:uiPriority w:val="99"/>
    <w:semiHidden/>
    <w:unhideWhenUsed/>
    <w:rsid w:val="00721B31"/>
    <w:pPr>
      <w:spacing w:after="120"/>
    </w:pPr>
  </w:style>
  <w:style w:type="character" w:customStyle="1" w:styleId="TextoindependienteCar">
    <w:name w:val="Texto independiente Car"/>
    <w:basedOn w:val="Fuentedeprrafopredeter"/>
    <w:link w:val="Textoindependiente"/>
    <w:uiPriority w:val="99"/>
    <w:semiHidden/>
    <w:rsid w:val="00721B31"/>
  </w:style>
  <w:style w:type="paragraph" w:customStyle="1" w:styleId="Car1">
    <w:name w:val="Car1"/>
    <w:basedOn w:val="Normal"/>
    <w:next w:val="Textonotapie"/>
    <w:uiPriority w:val="99"/>
    <w:unhideWhenUsed/>
    <w:qFormat/>
    <w:rsid w:val="00721B31"/>
    <w:pPr>
      <w:spacing w:after="0" w:line="240" w:lineRule="auto"/>
    </w:pPr>
    <w:rPr>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guia-para-promover-la-participacion-de-las-mipymes-en-los-procesos-de-compra-public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lbaving@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guia-para-promover-la-participacion-de-las-mipymes-en-los-procesos-de-compra-public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960FABC-F931-4131-82EC-29DEDAA38A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23</Pages>
  <Words>8006</Words>
  <Characters>44038</Characters>
  <Application>Microsoft Office Word</Application>
  <DocSecurity>0</DocSecurity>
  <Lines>366</Lines>
  <Paragraphs>103</Paragraphs>
  <ScaleCrop>false</ScaleCrop>
  <Company/>
  <LinksUpToDate>false</LinksUpToDate>
  <CharactersWithSpaces>51941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2026-07-14T16:35:00Z</dcterms:created>
  <dcterms:modified xsi:type="dcterms:W3CDTF">2026-07-14T23:50:00Z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