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2184" w14:textId="77777777" w:rsidR="003A1BAC" w:rsidRPr="004C046B" w:rsidRDefault="003A1BAC" w:rsidP="003A1BAC">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Antecedentes normativos ‒ Decreto 392 de 2018 ‒ Omisiones reglamentarias ‒ Sentencia de acción de cumplimiento</w:t>
      </w:r>
    </w:p>
    <w:p w14:paraId="41D49B7F" w14:textId="77777777" w:rsidR="003A1BAC" w:rsidRPr="007B5AD4" w:rsidRDefault="003A1BAC" w:rsidP="003A1BAC">
      <w:pPr>
        <w:spacing w:after="0" w:line="240" w:lineRule="auto"/>
        <w:contextualSpacing/>
        <w:jc w:val="both"/>
        <w:rPr>
          <w:rFonts w:ascii="Verdana" w:eastAsia="Calibri" w:hAnsi="Verdana" w:cs="Arial"/>
          <w:b/>
          <w:bCs/>
          <w:sz w:val="20"/>
          <w:szCs w:val="20"/>
          <w:lang w:eastAsia="es-ES"/>
        </w:rPr>
      </w:pPr>
    </w:p>
    <w:p w14:paraId="145E291C" w14:textId="77777777" w:rsidR="003A1BAC" w:rsidRDefault="003A1BAC" w:rsidP="003A1BAC">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La insuficiencia del Decreto 392 de 2018 fue constatada judicialmente. La Sección Quinta del Consejo de Estado, mediante sentencia de acción de cumplimiento del 12 de diciembre de 2024, radicación </w:t>
      </w:r>
      <w:proofErr w:type="spellStart"/>
      <w:r w:rsidRPr="007C6F9B">
        <w:rPr>
          <w:rFonts w:ascii="Verdana" w:eastAsia="Calibri" w:hAnsi="Verdana" w:cs="Arial"/>
          <w:sz w:val="20"/>
          <w:szCs w:val="20"/>
          <w:lang w:eastAsia="es-ES"/>
        </w:rPr>
        <w:t>n.°</w:t>
      </w:r>
      <w:proofErr w:type="spellEnd"/>
      <w:r w:rsidRPr="007C6F9B">
        <w:rPr>
          <w:rFonts w:ascii="Verdana" w:eastAsia="Calibri" w:hAnsi="Verdana" w:cs="Arial"/>
          <w:sz w:val="20"/>
          <w:szCs w:val="20"/>
          <w:lang w:eastAsia="es-ES"/>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332D09BA"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25AD1E5E" w14:textId="3E6CC5F7" w:rsidR="00594D0B" w:rsidRDefault="00594D0B" w:rsidP="003A1BAC">
      <w:pPr>
        <w:spacing w:after="0" w:line="240" w:lineRule="auto"/>
        <w:contextualSpacing/>
        <w:jc w:val="both"/>
        <w:rPr>
          <w:rFonts w:ascii="Verdana" w:eastAsia="Calibri" w:hAnsi="Verdana" w:cs="Arial"/>
          <w:b/>
          <w:bCs/>
          <w:lang w:eastAsia="es-ES"/>
        </w:rPr>
      </w:pPr>
      <w:r w:rsidRPr="00594D0B">
        <w:rPr>
          <w:rFonts w:ascii="Verdana" w:eastAsia="Calibri" w:hAnsi="Verdana" w:cs="Arial"/>
          <w:b/>
          <w:bCs/>
          <w:lang w:eastAsia="es-ES"/>
        </w:rPr>
        <w:t>DECRETO 0287 DE 2026 – Puntaje adicional – Requisitos</w:t>
      </w:r>
    </w:p>
    <w:p w14:paraId="4292AE6D" w14:textId="77777777" w:rsidR="00594D0B" w:rsidRDefault="00594D0B" w:rsidP="003A1BAC">
      <w:pPr>
        <w:spacing w:after="0" w:line="240" w:lineRule="auto"/>
        <w:contextualSpacing/>
        <w:jc w:val="both"/>
        <w:rPr>
          <w:rFonts w:ascii="Verdana" w:eastAsia="Calibri" w:hAnsi="Verdana" w:cs="Arial"/>
          <w:b/>
          <w:bCs/>
          <w:lang w:eastAsia="es-ES"/>
        </w:rPr>
      </w:pPr>
    </w:p>
    <w:p w14:paraId="6E8C544F" w14:textId="77777777" w:rsidR="00594D0B" w:rsidRPr="008D1F58" w:rsidRDefault="00594D0B" w:rsidP="00594D0B">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 xml:space="preserve">En respuesta al problema planteado, es preciso señalar que el artículo 2.2.1.2.4.2.7.4 del Decreto 1082 de 2015, modificado por el Decreto 287 de 2026, establece un puntaje adicional del dos por ciento (2 %) del total de los puntos previstos en el pliego de condiciones para los procedimientos de licitación pública y concurso de méritos. A este beneficio pueden acceder los proponentes que: i) acrediten alguna de las condiciones previstas en el artículo 2.2.1.2.4.2.6 del Decreto 1082 de 2015, o </w:t>
      </w:r>
      <w:proofErr w:type="spellStart"/>
      <w:r w:rsidRPr="008D1F58">
        <w:rPr>
          <w:rFonts w:ascii="Verdana" w:eastAsia="Calibri" w:hAnsi="Verdana" w:cs="Arial"/>
          <w:sz w:val="20"/>
          <w:szCs w:val="20"/>
          <w:lang w:eastAsia="es-ES"/>
        </w:rPr>
        <w:t>ii</w:t>
      </w:r>
      <w:proofErr w:type="spellEnd"/>
      <w:r w:rsidRPr="008D1F58">
        <w:rPr>
          <w:rFonts w:ascii="Verdana" w:eastAsia="Calibri" w:hAnsi="Verdana" w:cs="Arial"/>
          <w:sz w:val="20"/>
          <w:szCs w:val="20"/>
          <w:lang w:eastAsia="es-ES"/>
        </w:rPr>
        <w:t>) demuestren la vinculación de personas con discapacidad a su planta de personal en los términos establecidos en el numeral 2 del artículo 2.2.1.2.4.2.7.4.</w:t>
      </w:r>
    </w:p>
    <w:p w14:paraId="7B5BE611"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545C4AEF" w14:textId="5B315AA1" w:rsidR="003A1BAC" w:rsidRDefault="008D1F58" w:rsidP="003A1BAC">
      <w:pPr>
        <w:spacing w:after="0" w:line="240" w:lineRule="auto"/>
        <w:contextualSpacing/>
        <w:jc w:val="both"/>
        <w:rPr>
          <w:rFonts w:ascii="Verdana" w:eastAsia="Calibri" w:hAnsi="Verdana" w:cs="Arial"/>
          <w:b/>
          <w:bCs/>
          <w:lang w:eastAsia="es-ES"/>
        </w:rPr>
      </w:pPr>
      <w:r w:rsidRPr="008D1F58">
        <w:rPr>
          <w:rFonts w:ascii="Verdana" w:eastAsia="Calibri" w:hAnsi="Verdana" w:cs="Arial"/>
          <w:b/>
          <w:bCs/>
          <w:lang w:eastAsia="es-ES"/>
        </w:rPr>
        <w:t xml:space="preserve">EMPRENDIMIENTOS Y EMPRESAS DE PERSONAS CON DISCAPACIDAD ‒ Cargos del </w:t>
      </w:r>
      <w:r>
        <w:rPr>
          <w:rFonts w:ascii="Verdana" w:eastAsia="Calibri" w:hAnsi="Verdana" w:cs="Arial"/>
          <w:b/>
          <w:bCs/>
          <w:lang w:eastAsia="es-ES"/>
        </w:rPr>
        <w:t>n</w:t>
      </w:r>
      <w:r w:rsidRPr="008D1F58">
        <w:rPr>
          <w:rFonts w:ascii="Verdana" w:eastAsia="Calibri" w:hAnsi="Verdana" w:cs="Arial"/>
          <w:b/>
          <w:bCs/>
          <w:lang w:eastAsia="es-ES"/>
        </w:rPr>
        <w:t>ivel directivo – Noción</w:t>
      </w:r>
    </w:p>
    <w:p w14:paraId="51C1B2C3" w14:textId="77777777" w:rsidR="008D1F58" w:rsidRPr="00D70058" w:rsidRDefault="008D1F58" w:rsidP="003A1BAC">
      <w:pPr>
        <w:spacing w:after="0" w:line="240" w:lineRule="auto"/>
        <w:contextualSpacing/>
        <w:jc w:val="both"/>
        <w:rPr>
          <w:rFonts w:ascii="Verdana" w:eastAsia="Calibri" w:hAnsi="Verdana" w:cs="Arial"/>
          <w:b/>
          <w:bCs/>
          <w:sz w:val="20"/>
          <w:szCs w:val="20"/>
          <w:highlight w:val="yellow"/>
          <w:lang w:eastAsia="es-ES"/>
        </w:rPr>
      </w:pPr>
    </w:p>
    <w:p w14:paraId="22F08EBF" w14:textId="7E83DB2C" w:rsidR="008D1F58" w:rsidRPr="008D1F58"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Ahora bien, de conformidad con el numeral 4 del artículo 2.2.1.2.4.2.6, se consideran emprendimientos o empresas de personas con discapacidad las personas jurídicas que tengan vinculada laboralmente al menos una (1) persona con discapacidad en un empleo del nivel directivo durante, por lo menos, el año anterior a la fecha de cierre del proceso de selección, ya sea en el mismo cargo o en otro del mismo nivel. La norma precisa que los empleos del nivel directivo son aquellos cuyas funciones se relacionan con la dirección de áreas misionales de la empresa y la adopción de decisiones estratégicas. En consecuencia, se trata de cargos ubicados en los niveles superiores de la estructura organizacional o que, por su jerarquía, impliquen funciones de representación del empleador.</w:t>
      </w:r>
    </w:p>
    <w:p w14:paraId="7761D060" w14:textId="77777777" w:rsidR="008D1F58" w:rsidRDefault="008D1F58" w:rsidP="008D1F58">
      <w:pPr>
        <w:spacing w:after="0" w:line="240" w:lineRule="auto"/>
        <w:contextualSpacing/>
        <w:jc w:val="both"/>
        <w:rPr>
          <w:rFonts w:ascii="Verdana" w:eastAsia="Calibri" w:hAnsi="Verdana" w:cs="Arial"/>
          <w:sz w:val="20"/>
          <w:szCs w:val="20"/>
          <w:lang w:eastAsia="es-ES"/>
        </w:rPr>
      </w:pPr>
    </w:p>
    <w:p w14:paraId="01A10AE2" w14:textId="4B077008" w:rsidR="008D1F58"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 xml:space="preserve">De acuerdo con el inciso cuarto del citado numeral, esta circunstancia debe acreditarse mediante certificación expedida por el representante legal y el revisor fiscal, cuando exista, o por el contador, en la que se identifique a las personas con discapacidad que ocupan cargos del nivel directivo y se indique el tiempo de vinculación correspondiente. Por tanto, el proponente que acredite esta condición podrá acceder al puntaje adicional </w:t>
      </w:r>
      <w:r w:rsidRPr="008D1F58">
        <w:rPr>
          <w:rFonts w:ascii="Verdana" w:eastAsia="Calibri" w:hAnsi="Verdana" w:cs="Arial"/>
          <w:sz w:val="20"/>
          <w:szCs w:val="20"/>
          <w:lang w:eastAsia="es-ES"/>
        </w:rPr>
        <w:lastRenderedPageBreak/>
        <w:t>previsto en el artículo 2.2.1.2.4.2.7.4 del Decreto 1082 de 2015, conforme con lo dispuesto en el numeral 1 de dicha disposición.</w:t>
      </w:r>
    </w:p>
    <w:p w14:paraId="1853343B" w14:textId="77777777" w:rsidR="008D1F58" w:rsidRPr="008D1F58" w:rsidRDefault="008D1F58" w:rsidP="008D1F58">
      <w:pPr>
        <w:spacing w:after="0" w:line="240" w:lineRule="auto"/>
        <w:contextualSpacing/>
        <w:jc w:val="both"/>
        <w:rPr>
          <w:rFonts w:ascii="Verdana" w:eastAsia="Calibri" w:hAnsi="Verdana" w:cs="Arial"/>
          <w:sz w:val="20"/>
          <w:szCs w:val="20"/>
          <w:lang w:eastAsia="es-ES"/>
        </w:rPr>
      </w:pPr>
    </w:p>
    <w:p w14:paraId="60105560" w14:textId="5764020E" w:rsidR="003A1BAC"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Sin perjuicio de lo anterior, cuando la persona con discapacidad vinculada no ocupe un cargo del nivel directivo en los términos del numeral 4 del artículo 2.2.1.2.4.2.6, el proponente podrá verificar la procedencia del puntaje con fundamento en el numeral 2 del artículo 2.2.1.2.4.2.7.4. En este evento, deberá determinar el rango en el que se ubica su planta de personal para establecer el número mínimo de personas con discapacidad que deben encontrarse vinculadas laboralmente. Al respecto, debe tenerse en cuenta que, las empresas cuya planta de personal esté conformada entre uno (1) y treinta (30) trabajadores, la norma exige la vinculación de al menos dos (2) personas con discapacidad para acceder al puntaje adicional</w:t>
      </w:r>
      <w:r>
        <w:rPr>
          <w:rFonts w:ascii="Verdana" w:eastAsia="Calibri" w:hAnsi="Verdana" w:cs="Arial"/>
          <w:sz w:val="20"/>
          <w:szCs w:val="20"/>
          <w:lang w:eastAsia="es-ES"/>
        </w:rPr>
        <w:t>.</w:t>
      </w:r>
    </w:p>
    <w:p w14:paraId="6DA83550"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61398658" w14:textId="048330E6" w:rsidR="00F9269C" w:rsidRDefault="00F9269C" w:rsidP="00F9269C">
      <w:pPr>
        <w:spacing w:after="0" w:line="240" w:lineRule="auto"/>
        <w:contextualSpacing/>
        <w:jc w:val="both"/>
        <w:rPr>
          <w:rFonts w:ascii="Verdana" w:eastAsia="Calibri" w:hAnsi="Verdana" w:cs="Arial"/>
          <w:b/>
          <w:bCs/>
          <w:lang w:eastAsia="es-ES"/>
        </w:rPr>
      </w:pPr>
      <w:r w:rsidRPr="008D1F58">
        <w:rPr>
          <w:rFonts w:ascii="Verdana" w:eastAsia="Calibri" w:hAnsi="Verdana" w:cs="Arial"/>
          <w:b/>
          <w:bCs/>
          <w:lang w:eastAsia="es-ES"/>
        </w:rPr>
        <w:t xml:space="preserve">EMPRENDIMIENTOS Y EMPRESAS DE PERSONAS CON DISCAPACIDAD ‒ Cargos del </w:t>
      </w:r>
      <w:r>
        <w:rPr>
          <w:rFonts w:ascii="Verdana" w:eastAsia="Calibri" w:hAnsi="Verdana" w:cs="Arial"/>
          <w:b/>
          <w:bCs/>
          <w:lang w:eastAsia="es-ES"/>
        </w:rPr>
        <w:t>n</w:t>
      </w:r>
      <w:r w:rsidRPr="008D1F58">
        <w:rPr>
          <w:rFonts w:ascii="Verdana" w:eastAsia="Calibri" w:hAnsi="Verdana" w:cs="Arial"/>
          <w:b/>
          <w:bCs/>
          <w:lang w:eastAsia="es-ES"/>
        </w:rPr>
        <w:t>ivel directivo –</w:t>
      </w:r>
      <w:r>
        <w:rPr>
          <w:rFonts w:ascii="Verdana" w:eastAsia="Calibri" w:hAnsi="Verdana" w:cs="Arial"/>
          <w:b/>
          <w:bCs/>
          <w:lang w:eastAsia="es-ES"/>
        </w:rPr>
        <w:t xml:space="preserve"> Características</w:t>
      </w:r>
    </w:p>
    <w:p w14:paraId="2EDB6C69" w14:textId="77777777" w:rsidR="00F9269C" w:rsidRDefault="00F9269C" w:rsidP="00F9269C">
      <w:pPr>
        <w:spacing w:after="0" w:line="240" w:lineRule="auto"/>
        <w:contextualSpacing/>
        <w:jc w:val="both"/>
        <w:rPr>
          <w:rFonts w:ascii="Verdana" w:eastAsia="Calibri" w:hAnsi="Verdana" w:cs="Arial"/>
          <w:b/>
          <w:bCs/>
          <w:lang w:eastAsia="es-ES"/>
        </w:rPr>
      </w:pPr>
    </w:p>
    <w:p w14:paraId="6C8F8E5E" w14:textId="77777777" w:rsidR="00F9269C" w:rsidRDefault="00F9269C" w:rsidP="00F9269C">
      <w:pPr>
        <w:spacing w:after="0" w:line="240" w:lineRule="auto"/>
        <w:contextualSpacing/>
        <w:jc w:val="both"/>
        <w:rPr>
          <w:rFonts w:ascii="Verdana" w:eastAsia="Calibri" w:hAnsi="Verdana" w:cs="Arial"/>
          <w:sz w:val="20"/>
          <w:szCs w:val="20"/>
          <w:lang w:eastAsia="es-ES"/>
        </w:rPr>
      </w:pPr>
      <w:r w:rsidRPr="00F9269C">
        <w:rPr>
          <w:rFonts w:ascii="Verdana" w:eastAsia="Calibri" w:hAnsi="Verdana" w:cs="Arial"/>
          <w:sz w:val="20"/>
          <w:szCs w:val="20"/>
          <w:lang w:eastAsia="es-ES"/>
        </w:rPr>
        <w:t>En</w:t>
      </w:r>
      <w:r w:rsidRPr="00102743">
        <w:rPr>
          <w:rFonts w:ascii="Verdana" w:eastAsia="Calibri" w:hAnsi="Verdana" w:cs="Arial"/>
          <w:sz w:val="20"/>
          <w:szCs w:val="20"/>
          <w:lang w:eastAsia="es-ES"/>
        </w:rPr>
        <w:t xml:space="preserve"> ese sentido, respecto de su pregunta sobre la interpretación del numeral 4 del artículo 2.2.1.2.4.2.6 cuando menciona: “(…) ubicados en un nivel de mando o los que por su jerarquía desempeñan cargos encaminados al cumplimiento de funciones orientadas a representar al empleador”, es necesario precisar que esto hace mención de supuestos de hecho diferentes, es decir, el nivel directivo será quienes tengan un nivel de mando o quienes representen al empleador, siendo posible que ambos concurran en una misma persona, pero la ley no exige que coincidan sino que la persona con discapacidad cuente con nivel de mando o represente al empleador.</w:t>
      </w:r>
    </w:p>
    <w:p w14:paraId="436D9966" w14:textId="77777777" w:rsidR="00102743" w:rsidRPr="00102743" w:rsidRDefault="00102743" w:rsidP="00F9269C">
      <w:pPr>
        <w:spacing w:after="0" w:line="240" w:lineRule="auto"/>
        <w:contextualSpacing/>
        <w:jc w:val="both"/>
        <w:rPr>
          <w:rFonts w:ascii="Verdana" w:eastAsia="Calibri" w:hAnsi="Verdana" w:cs="Arial"/>
          <w:sz w:val="20"/>
          <w:szCs w:val="20"/>
          <w:lang w:eastAsia="es-ES"/>
        </w:rPr>
      </w:pPr>
    </w:p>
    <w:p w14:paraId="5A55ABD3" w14:textId="77777777" w:rsidR="00F9269C" w:rsidRPr="00102743" w:rsidRDefault="00F9269C" w:rsidP="00102743">
      <w:pPr>
        <w:spacing w:after="0" w:line="240" w:lineRule="auto"/>
        <w:contextualSpacing/>
        <w:jc w:val="both"/>
        <w:rPr>
          <w:rFonts w:ascii="Verdana" w:eastAsia="Calibri" w:hAnsi="Verdana" w:cs="Arial"/>
          <w:sz w:val="20"/>
          <w:szCs w:val="20"/>
          <w:lang w:eastAsia="es-ES"/>
        </w:rPr>
      </w:pPr>
      <w:r w:rsidRPr="00102743">
        <w:rPr>
          <w:rFonts w:ascii="Verdana" w:eastAsia="Calibri" w:hAnsi="Verdana" w:cs="Arial"/>
          <w:sz w:val="20"/>
          <w:szCs w:val="20"/>
          <w:lang w:eastAsia="es-ES"/>
        </w:rPr>
        <w:t xml:space="preserve">Ahora bien, sobre la denominación del cargo para efectos de acreditar la condición del numeral 4 del artículo 2.2.1.2.4.2.6, es necesario aclarar que por autonomía empresarial, las empresas pueden organizarse internamente según lo consideren pertinente, no obstante, se aclara que el cumplimiento de la condición mencionada por la norma depende de que el cargo de nivel directivo cuente con las características de: i) dirigir áreas misionales de la empresa, </w:t>
      </w:r>
      <w:proofErr w:type="spellStart"/>
      <w:r w:rsidRPr="00102743">
        <w:rPr>
          <w:rFonts w:ascii="Verdana" w:eastAsia="Calibri" w:hAnsi="Verdana" w:cs="Arial"/>
          <w:sz w:val="20"/>
          <w:szCs w:val="20"/>
          <w:lang w:eastAsia="es-ES"/>
        </w:rPr>
        <w:t>ii</w:t>
      </w:r>
      <w:proofErr w:type="spellEnd"/>
      <w:r w:rsidRPr="00102743">
        <w:rPr>
          <w:rFonts w:ascii="Verdana" w:eastAsia="Calibri" w:hAnsi="Verdana" w:cs="Arial"/>
          <w:sz w:val="20"/>
          <w:szCs w:val="20"/>
          <w:lang w:eastAsia="es-ES"/>
        </w:rPr>
        <w:t xml:space="preserve">) tomar decisiones a nivel estratégico, y </w:t>
      </w:r>
      <w:proofErr w:type="spellStart"/>
      <w:r w:rsidRPr="00102743">
        <w:rPr>
          <w:rFonts w:ascii="Verdana" w:eastAsia="Calibri" w:hAnsi="Verdana" w:cs="Arial"/>
          <w:sz w:val="20"/>
          <w:szCs w:val="20"/>
          <w:lang w:eastAsia="es-ES"/>
        </w:rPr>
        <w:t>iii</w:t>
      </w:r>
      <w:proofErr w:type="spellEnd"/>
      <w:r w:rsidRPr="00102743">
        <w:rPr>
          <w:rFonts w:ascii="Verdana" w:eastAsia="Calibri" w:hAnsi="Verdana" w:cs="Arial"/>
          <w:sz w:val="20"/>
          <w:szCs w:val="20"/>
          <w:lang w:eastAsia="es-ES"/>
        </w:rPr>
        <w:t>) ubicarse en un nivel de mando o tener funciones orientadas a representar al empleador.</w:t>
      </w:r>
    </w:p>
    <w:p w14:paraId="0D7D5BD4" w14:textId="77777777" w:rsidR="00F9269C" w:rsidRDefault="00F9269C" w:rsidP="00F9269C">
      <w:pPr>
        <w:spacing w:after="0" w:line="240" w:lineRule="auto"/>
        <w:contextualSpacing/>
        <w:jc w:val="both"/>
        <w:rPr>
          <w:rFonts w:ascii="Verdana" w:eastAsia="Calibri" w:hAnsi="Verdana" w:cs="Arial"/>
          <w:b/>
          <w:bCs/>
          <w:lang w:eastAsia="es-ES"/>
        </w:rPr>
      </w:pPr>
    </w:p>
    <w:p w14:paraId="69123E6A"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BF14830"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26B57EA"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1B189D3A"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1A547F3B"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36A1C703"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75C89FD"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3426AF30"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4B1B9D14"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D65DD88"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58C07D14"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59E0E70E"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6A010E22" w14:textId="038B10AD" w:rsidR="001038DE" w:rsidRDefault="00E311FB" w:rsidP="003A1BAC">
      <w:pPr>
        <w:spacing w:after="0"/>
        <w:rPr>
          <w:rFonts w:ascii="Verdana" w:hAnsi="Verdana"/>
          <w:lang w:val="es-ES_tradnl"/>
        </w:rPr>
      </w:pPr>
      <w:r w:rsidRPr="00E311FB">
        <w:rPr>
          <w:rFonts w:ascii="Verdana" w:hAnsi="Verdana"/>
          <w:lang w:val="es-ES_tradnl"/>
        </w:rPr>
        <w:lastRenderedPageBreak/>
        <w:t xml:space="preserve">Bogotá D.C., </w:t>
      </w:r>
      <w:r w:rsidR="003D68B7">
        <w:rPr>
          <w:rFonts w:ascii="Verdana" w:hAnsi="Verdana"/>
          <w:lang w:val="es-ES_tradnl"/>
        </w:rPr>
        <w:t>7 de julio de 2026</w:t>
      </w:r>
    </w:p>
    <w:p w14:paraId="148B0CBA" w14:textId="77777777" w:rsidR="003D68B7" w:rsidRDefault="003D68B7" w:rsidP="003A1BAC">
      <w:pPr>
        <w:spacing w:after="0"/>
        <w:rPr>
          <w:rFonts w:ascii="Verdana" w:hAnsi="Verdana"/>
          <w:lang w:val="es-ES_tradnl"/>
        </w:rPr>
      </w:pPr>
    </w:p>
    <w:p w14:paraId="3D8F1B0C" w14:textId="2822F65B" w:rsidR="003D68B7" w:rsidRDefault="003D68B7" w:rsidP="003D68B7">
      <w:pPr>
        <w:spacing w:after="0"/>
        <w:jc w:val="right"/>
        <w:rPr>
          <w:rFonts w:ascii="Verdana" w:hAnsi="Verdana"/>
          <w:lang w:val="es-ES_tradnl"/>
        </w:rPr>
      </w:pPr>
      <w:r w:rsidRPr="003D68B7">
        <w:rPr>
          <w:rFonts w:ascii="Verdana" w:hAnsi="Verdana"/>
          <w:lang w:val="es-ES_tradnl"/>
        </w:rPr>
        <w:drawing>
          <wp:inline distT="0" distB="0" distL="0" distR="0" wp14:anchorId="6051D5CD" wp14:editId="3E840405">
            <wp:extent cx="3686689" cy="1028844"/>
            <wp:effectExtent l="0" t="0" r="0" b="0"/>
            <wp:docPr id="1933859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5993" name=""/>
                    <pic:cNvPicPr/>
                  </pic:nvPicPr>
                  <pic:blipFill>
                    <a:blip r:embed="rId11"/>
                    <a:stretch>
                      <a:fillRect/>
                    </a:stretch>
                  </pic:blipFill>
                  <pic:spPr>
                    <a:xfrm>
                      <a:off x="0" y="0"/>
                      <a:ext cx="3686689" cy="1028844"/>
                    </a:xfrm>
                    <a:prstGeom prst="rect">
                      <a:avLst/>
                    </a:prstGeom>
                  </pic:spPr>
                </pic:pic>
              </a:graphicData>
            </a:graphic>
          </wp:inline>
        </w:drawing>
      </w:r>
    </w:p>
    <w:p w14:paraId="61321AD4" w14:textId="77777777" w:rsidR="003A1BAC" w:rsidRDefault="003A1BAC" w:rsidP="003A1BAC">
      <w:pPr>
        <w:spacing w:after="0"/>
        <w:rPr>
          <w:rFonts w:ascii="Verdana" w:hAnsi="Verdana"/>
          <w:lang w:val="es-ES_tradnl"/>
        </w:rPr>
      </w:pPr>
    </w:p>
    <w:p w14:paraId="5A3C1D37" w14:textId="77777777" w:rsidR="003A1BAC" w:rsidRPr="00777292" w:rsidRDefault="003A1BAC" w:rsidP="003A1BAC">
      <w:pPr>
        <w:spacing w:after="0"/>
        <w:rPr>
          <w:rFonts w:ascii="Verdana" w:hAnsi="Verdana"/>
          <w:lang w:val="es-ES_tradnl"/>
        </w:rPr>
      </w:pPr>
    </w:p>
    <w:p w14:paraId="4F39BDE4" w14:textId="77777777" w:rsidR="003A1BAC" w:rsidRPr="00FB6143" w:rsidRDefault="003A1BAC" w:rsidP="003A1BAC">
      <w:pPr>
        <w:spacing w:after="0" w:line="240" w:lineRule="auto"/>
        <w:rPr>
          <w:rFonts w:ascii="Verdana" w:hAnsi="Verdana"/>
        </w:rPr>
      </w:pPr>
      <w:bookmarkStart w:id="0" w:name="_Hlk143780582"/>
      <w:r w:rsidRPr="00FB6143">
        <w:rPr>
          <w:rFonts w:ascii="Verdana" w:eastAsia="Calibri" w:hAnsi="Verdana" w:cs="Arial"/>
          <w:lang w:eastAsia="es-ES"/>
        </w:rPr>
        <w:t>Señor</w:t>
      </w:r>
    </w:p>
    <w:p w14:paraId="7536B7C8" w14:textId="3244C48C" w:rsidR="003A1BAC" w:rsidRPr="00181EEB" w:rsidRDefault="00B24431" w:rsidP="003A1BAC">
      <w:pPr>
        <w:spacing w:after="0"/>
        <w:rPr>
          <w:rFonts w:ascii="Verdana" w:eastAsia="Calibri" w:hAnsi="Verdana" w:cs="Arial"/>
          <w:b/>
          <w:bCs/>
          <w:lang w:eastAsia="es-ES"/>
        </w:rPr>
      </w:pPr>
      <w:r>
        <w:rPr>
          <w:rFonts w:ascii="Verdana" w:eastAsia="Calibri" w:hAnsi="Verdana" w:cs="Arial"/>
          <w:b/>
          <w:bCs/>
          <w:lang w:eastAsia="es-ES"/>
        </w:rPr>
        <w:t>Juan Pablo Muñoz</w:t>
      </w:r>
    </w:p>
    <w:p w14:paraId="1099C6DB" w14:textId="77777777" w:rsidR="00E311FB" w:rsidRPr="00E311FB" w:rsidRDefault="00E311FB" w:rsidP="00E311FB">
      <w:pPr>
        <w:spacing w:after="0"/>
        <w:rPr>
          <w:rFonts w:ascii="Verdana" w:hAnsi="Verdana"/>
        </w:rPr>
      </w:pPr>
      <w:r w:rsidRPr="00E311FB">
        <w:rPr>
          <w:rFonts w:ascii="Verdana" w:hAnsi="Verdana"/>
        </w:rPr>
        <w:t>juanpablo.munoz@ingeplan.co, direccionjuridica@ingeplan.co,</w:t>
      </w:r>
    </w:p>
    <w:p w14:paraId="4F355955" w14:textId="766E8A69" w:rsidR="003A1BAC" w:rsidRPr="00E311FB" w:rsidRDefault="00E311FB" w:rsidP="00E311FB">
      <w:pPr>
        <w:spacing w:after="0"/>
        <w:rPr>
          <w:rFonts w:ascii="Verdana" w:hAnsi="Verdana"/>
        </w:rPr>
      </w:pPr>
      <w:r w:rsidRPr="00E311FB">
        <w:rPr>
          <w:rFonts w:ascii="Verdana" w:hAnsi="Verdana"/>
        </w:rPr>
        <w:t>profesional.juridico2@ingeplan.co</w:t>
      </w:r>
    </w:p>
    <w:p w14:paraId="4CB0FE73" w14:textId="77777777" w:rsidR="003A1BAC" w:rsidRPr="00181EEB" w:rsidRDefault="003A1BAC" w:rsidP="003A1BAC">
      <w:pPr>
        <w:spacing w:after="0"/>
        <w:rPr>
          <w:rFonts w:ascii="Verdana" w:eastAsia="Calibri" w:hAnsi="Verdana" w:cs="Arial"/>
          <w:lang w:eastAsia="es-ES"/>
        </w:rPr>
      </w:pPr>
      <w:r w:rsidRPr="00181EEB">
        <w:rPr>
          <w:rFonts w:ascii="Verdana" w:eastAsia="Calibri" w:hAnsi="Verdana" w:cs="Arial"/>
          <w:lang w:eastAsia="es-ES"/>
        </w:rPr>
        <w:t>Ciudad</w:t>
      </w:r>
    </w:p>
    <w:p w14:paraId="3D1E632F" w14:textId="77777777" w:rsidR="003A1BAC" w:rsidRPr="00777292" w:rsidRDefault="003A1BAC" w:rsidP="003A1BAC">
      <w:pPr>
        <w:spacing w:after="0"/>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3A1BAC" w:rsidRPr="00777292" w14:paraId="317B33D4" w14:textId="77777777" w:rsidTr="002D3CDE">
        <w:trPr>
          <w:trHeight w:val="190"/>
        </w:trPr>
        <w:tc>
          <w:tcPr>
            <w:tcW w:w="2689" w:type="dxa"/>
          </w:tcPr>
          <w:p w14:paraId="51CFE102" w14:textId="77777777" w:rsidR="003A1BAC" w:rsidRDefault="003A1BAC" w:rsidP="002D3CDE">
            <w:pPr>
              <w:jc w:val="both"/>
              <w:rPr>
                <w:rFonts w:ascii="Verdana" w:eastAsia="Calibri" w:hAnsi="Verdana" w:cs="Arial"/>
                <w:b/>
                <w:bCs/>
                <w:lang w:eastAsia="es-ES_tradnl"/>
              </w:rPr>
            </w:pPr>
          </w:p>
          <w:p w14:paraId="2EF7E8E3" w14:textId="77777777" w:rsidR="003A1BAC" w:rsidRPr="00777292" w:rsidRDefault="003A1BAC" w:rsidP="002D3CDE">
            <w:pPr>
              <w:jc w:val="both"/>
              <w:rPr>
                <w:rFonts w:ascii="Verdana" w:eastAsia="Calibri" w:hAnsi="Verdana" w:cs="Arial"/>
                <w:b/>
                <w:bCs/>
                <w:lang w:eastAsia="es-ES_tradnl"/>
              </w:rPr>
            </w:pPr>
          </w:p>
        </w:tc>
        <w:tc>
          <w:tcPr>
            <w:tcW w:w="6100" w:type="dxa"/>
          </w:tcPr>
          <w:p w14:paraId="77AE1A2A" w14:textId="0F182085" w:rsidR="003A1BAC" w:rsidRPr="00777292" w:rsidRDefault="003A1BAC" w:rsidP="002D3CDE">
            <w:pPr>
              <w:jc w:val="both"/>
              <w:rPr>
                <w:rFonts w:ascii="Verdana" w:eastAsia="Calibri" w:hAnsi="Verdana" w:cs="Arial"/>
                <w:b/>
                <w:bCs/>
                <w:lang w:eastAsia="es-ES"/>
              </w:rPr>
            </w:pPr>
            <w:r w:rsidRPr="00777292">
              <w:rPr>
                <w:rFonts w:ascii="Verdana" w:eastAsia="Calibri" w:hAnsi="Verdana" w:cs="Arial"/>
                <w:b/>
                <w:bCs/>
                <w:lang w:eastAsia="es-ES"/>
              </w:rPr>
              <w:t xml:space="preserve">Concepto C- </w:t>
            </w:r>
            <w:r w:rsidR="00CE00D0">
              <w:rPr>
                <w:rFonts w:ascii="Verdana" w:eastAsia="Calibri" w:hAnsi="Verdana" w:cs="Arial"/>
                <w:b/>
                <w:bCs/>
                <w:lang w:eastAsia="es-ES"/>
              </w:rPr>
              <w:t>874</w:t>
            </w:r>
            <w:r w:rsidRPr="00777292">
              <w:rPr>
                <w:rFonts w:ascii="Verdana" w:eastAsia="Calibri" w:hAnsi="Verdana" w:cs="Arial"/>
                <w:b/>
                <w:bCs/>
                <w:lang w:eastAsia="es-ES"/>
              </w:rPr>
              <w:t xml:space="preserve"> de 2026</w:t>
            </w:r>
          </w:p>
          <w:p w14:paraId="6D2EA4F5" w14:textId="77777777" w:rsidR="003A1BAC" w:rsidRPr="00777292" w:rsidRDefault="003A1BAC" w:rsidP="002D3CDE">
            <w:pPr>
              <w:jc w:val="both"/>
              <w:rPr>
                <w:rFonts w:ascii="Verdana" w:eastAsia="Calibri" w:hAnsi="Verdana" w:cs="Arial"/>
                <w:b/>
                <w:bCs/>
                <w:lang w:eastAsia="es-ES"/>
              </w:rPr>
            </w:pPr>
          </w:p>
        </w:tc>
      </w:tr>
      <w:tr w:rsidR="003A1BAC" w:rsidRPr="00777292" w14:paraId="024AC644" w14:textId="77777777" w:rsidTr="002D3CDE">
        <w:trPr>
          <w:trHeight w:val="884"/>
        </w:trPr>
        <w:tc>
          <w:tcPr>
            <w:tcW w:w="2689" w:type="dxa"/>
          </w:tcPr>
          <w:p w14:paraId="5E802A59" w14:textId="77777777" w:rsidR="003A1BAC" w:rsidRPr="00777292" w:rsidRDefault="003A1BAC" w:rsidP="002D3CDE">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75E58C78" w14:textId="211561F4" w:rsidR="003A1BAC" w:rsidRPr="00777292" w:rsidRDefault="003A1BAC" w:rsidP="00F17922">
            <w:pPr>
              <w:spacing w:line="276" w:lineRule="auto"/>
              <w:contextualSpacing/>
              <w:jc w:val="both"/>
              <w:rPr>
                <w:rFonts w:ascii="Verdana" w:eastAsia="Calibri" w:hAnsi="Verdana" w:cs="Arial"/>
                <w:lang w:eastAsia="es-ES"/>
              </w:rPr>
            </w:pPr>
            <w:r w:rsidRPr="00777292">
              <w:rPr>
                <w:rFonts w:ascii="Verdana" w:eastAsia="Calibri" w:hAnsi="Verdana" w:cs="Arial"/>
                <w:lang w:eastAsia="es-ES"/>
              </w:rPr>
              <w:t>DECRETO 0287 DE 2026 ‒ Antecedentes normativos ‒ Decreto 392 de 2018 ‒ Omisiones reglamentarias ‒ Sentencia de acción de cumplimiento</w:t>
            </w:r>
            <w:r>
              <w:rPr>
                <w:rFonts w:ascii="Verdana" w:eastAsia="Calibri" w:hAnsi="Verdana" w:cs="Arial"/>
                <w:lang w:eastAsia="es-ES"/>
              </w:rPr>
              <w:t xml:space="preserve"> </w:t>
            </w:r>
            <w:r w:rsidR="00A373F2">
              <w:rPr>
                <w:rFonts w:ascii="Verdana" w:eastAsia="Calibri" w:hAnsi="Verdana" w:cs="Arial"/>
                <w:lang w:eastAsia="es-ES"/>
              </w:rPr>
              <w:t>/</w:t>
            </w:r>
            <w:r w:rsidR="00D73A23">
              <w:rPr>
                <w:rFonts w:ascii="Verdana" w:eastAsia="Calibri" w:hAnsi="Verdana" w:cs="Arial"/>
                <w:lang w:eastAsia="es-ES"/>
              </w:rPr>
              <w:t xml:space="preserve"> </w:t>
            </w:r>
            <w:r w:rsidR="00BD7D24" w:rsidRPr="00777292">
              <w:rPr>
                <w:rFonts w:ascii="Verdana" w:eastAsia="Calibri" w:hAnsi="Verdana" w:cs="Arial"/>
                <w:lang w:eastAsia="es-ES"/>
              </w:rPr>
              <w:t xml:space="preserve">DECRETO 0287 DE 2026 </w:t>
            </w:r>
            <w:r w:rsidR="00D73A23">
              <w:rPr>
                <w:rFonts w:ascii="Verdana" w:eastAsia="Calibri" w:hAnsi="Verdana" w:cs="Arial"/>
                <w:lang w:eastAsia="es-ES"/>
              </w:rPr>
              <w:t>– Puntaje adicional – Requisitos</w:t>
            </w:r>
            <w:r w:rsidR="00BD7D24">
              <w:rPr>
                <w:rFonts w:ascii="Verdana" w:eastAsia="Calibri" w:hAnsi="Verdana" w:cs="Arial"/>
                <w:lang w:eastAsia="es-ES"/>
              </w:rPr>
              <w:t xml:space="preserve"> /</w:t>
            </w:r>
            <w:r w:rsidR="00A373F2">
              <w:rPr>
                <w:rFonts w:ascii="Verdana" w:eastAsia="Calibri" w:hAnsi="Verdana" w:cs="Arial"/>
                <w:lang w:eastAsia="es-ES"/>
              </w:rPr>
              <w:t xml:space="preserve"> </w:t>
            </w:r>
            <w:r w:rsidR="00A373F2" w:rsidRPr="00777292">
              <w:rPr>
                <w:rFonts w:ascii="Verdana" w:eastAsia="Calibri" w:hAnsi="Verdana" w:cs="Arial"/>
                <w:lang w:eastAsia="es-ES"/>
              </w:rPr>
              <w:t>EMPRENDIMIENTOS Y EMPRESAS DE PERSONAS CON DISCAPACIDAD</w:t>
            </w:r>
            <w:r w:rsidR="001B4B80">
              <w:rPr>
                <w:rFonts w:ascii="Verdana" w:eastAsia="Calibri" w:hAnsi="Verdana" w:cs="Arial"/>
                <w:lang w:eastAsia="es-ES"/>
              </w:rPr>
              <w:t xml:space="preserve"> </w:t>
            </w:r>
            <w:r w:rsidRPr="00777292">
              <w:rPr>
                <w:rFonts w:ascii="Verdana" w:eastAsia="Calibri" w:hAnsi="Verdana" w:cs="Arial"/>
                <w:lang w:eastAsia="es-ES"/>
              </w:rPr>
              <w:t>‒</w:t>
            </w:r>
            <w:r>
              <w:rPr>
                <w:rFonts w:ascii="Verdana" w:eastAsia="Calibri" w:hAnsi="Verdana" w:cs="Arial"/>
                <w:lang w:eastAsia="es-ES"/>
              </w:rPr>
              <w:t xml:space="preserve"> </w:t>
            </w:r>
            <w:r w:rsidR="00D73A23">
              <w:rPr>
                <w:rFonts w:ascii="Verdana" w:eastAsia="Calibri" w:hAnsi="Verdana" w:cs="Arial"/>
                <w:lang w:eastAsia="es-ES"/>
              </w:rPr>
              <w:t>Cargos del</w:t>
            </w:r>
            <w:r w:rsidRPr="00B66A1B">
              <w:rPr>
                <w:rFonts w:ascii="Verdana" w:eastAsia="Calibri" w:hAnsi="Verdana" w:cs="Arial"/>
                <w:lang w:eastAsia="es-ES"/>
              </w:rPr>
              <w:t xml:space="preserve"> </w:t>
            </w:r>
            <w:r w:rsidR="00594D0B">
              <w:rPr>
                <w:rFonts w:ascii="Verdana" w:eastAsia="Calibri" w:hAnsi="Verdana" w:cs="Arial"/>
                <w:lang w:eastAsia="es-ES"/>
              </w:rPr>
              <w:t>n</w:t>
            </w:r>
            <w:r w:rsidRPr="00B66A1B">
              <w:rPr>
                <w:rFonts w:ascii="Verdana" w:eastAsia="Calibri" w:hAnsi="Verdana" w:cs="Arial"/>
                <w:lang w:eastAsia="es-ES"/>
              </w:rPr>
              <w:t>ivel directivo</w:t>
            </w:r>
            <w:r w:rsidR="001B4B80">
              <w:rPr>
                <w:rFonts w:ascii="Verdana" w:eastAsia="Calibri" w:hAnsi="Verdana" w:cs="Arial"/>
                <w:lang w:eastAsia="es-ES"/>
              </w:rPr>
              <w:t xml:space="preserve"> – Noción</w:t>
            </w:r>
            <w:r w:rsidR="00102743">
              <w:rPr>
                <w:rFonts w:ascii="Verdana" w:eastAsia="Calibri" w:hAnsi="Verdana" w:cs="Arial"/>
                <w:lang w:eastAsia="es-ES"/>
              </w:rPr>
              <w:t xml:space="preserve"> /</w:t>
            </w:r>
            <w:r w:rsidR="00102743">
              <w:t xml:space="preserve"> </w:t>
            </w:r>
            <w:r w:rsidR="00102743" w:rsidRPr="00102743">
              <w:rPr>
                <w:rFonts w:ascii="Verdana" w:eastAsia="Calibri" w:hAnsi="Verdana" w:cs="Arial"/>
                <w:lang w:eastAsia="es-ES"/>
              </w:rPr>
              <w:t>EMPRENDIMIENTOS Y EMPRESAS DE PERSONAS CON DISCAPACIDAD ‒ Cargos del nivel directivo – Características</w:t>
            </w:r>
            <w:r w:rsidR="00102743">
              <w:rPr>
                <w:rFonts w:ascii="Verdana" w:eastAsia="Calibri" w:hAnsi="Verdana" w:cs="Arial"/>
                <w:lang w:eastAsia="es-ES"/>
              </w:rPr>
              <w:t xml:space="preserve"> </w:t>
            </w:r>
          </w:p>
        </w:tc>
      </w:tr>
      <w:tr w:rsidR="003A1BAC" w:rsidRPr="00777292" w14:paraId="31E40406" w14:textId="77777777" w:rsidTr="002D3CDE">
        <w:tc>
          <w:tcPr>
            <w:tcW w:w="2689" w:type="dxa"/>
          </w:tcPr>
          <w:p w14:paraId="09A4DD1F" w14:textId="77777777" w:rsidR="003A1BAC" w:rsidRPr="00777292" w:rsidRDefault="003A1BAC" w:rsidP="002D3CDE">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14C3AD82" w14:textId="3B3D6048" w:rsidR="003A1BAC" w:rsidRPr="00777292" w:rsidRDefault="003A1BAC" w:rsidP="00F17922">
            <w:pPr>
              <w:spacing w:line="276" w:lineRule="auto"/>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sidRPr="00777292">
              <w:rPr>
                <w:rFonts w:ascii="Verdana" w:hAnsi="Verdana" w:cs="Segoe UI"/>
                <w:color w:val="2B2B2B"/>
                <w:shd w:val="clear" w:color="auto" w:fill="FFFFFF"/>
              </w:rPr>
              <w:t xml:space="preserve"> </w:t>
            </w:r>
            <w:r w:rsidR="00E659AE" w:rsidRPr="00E659AE">
              <w:rPr>
                <w:rFonts w:ascii="Verdana" w:hAnsi="Verdana" w:cs="Segoe UI"/>
                <w:color w:val="2B2B2B"/>
                <w:shd w:val="clear" w:color="auto" w:fill="FFFFFF"/>
              </w:rPr>
              <w:t>1_2026_05_26_007042</w:t>
            </w:r>
          </w:p>
        </w:tc>
      </w:tr>
    </w:tbl>
    <w:p w14:paraId="137B206E" w14:textId="77777777" w:rsidR="003A1BAC" w:rsidRPr="00206556" w:rsidRDefault="003A1BAC" w:rsidP="003A1BAC">
      <w:pPr>
        <w:tabs>
          <w:tab w:val="left" w:pos="1520"/>
        </w:tabs>
        <w:spacing w:after="0" w:line="276" w:lineRule="auto"/>
        <w:jc w:val="both"/>
        <w:rPr>
          <w:rFonts w:ascii="Verdana" w:eastAsia="Calibri" w:hAnsi="Verdana" w:cs="Arial"/>
          <w:color w:val="ED7D31" w:themeColor="accent2"/>
          <w:sz w:val="20"/>
          <w:szCs w:val="20"/>
          <w:lang w:val="es-ES" w:eastAsia="es-ES"/>
        </w:rPr>
      </w:pPr>
    </w:p>
    <w:p w14:paraId="7597C74E" w14:textId="77777777" w:rsidR="003A1BAC" w:rsidRPr="00206556" w:rsidRDefault="003A1BAC" w:rsidP="003A1BAC">
      <w:pPr>
        <w:spacing w:after="0" w:line="276" w:lineRule="auto"/>
        <w:jc w:val="both"/>
        <w:rPr>
          <w:rFonts w:ascii="Verdana" w:eastAsia="Calibri" w:hAnsi="Verdana" w:cs="Arial"/>
          <w:color w:val="ED7D31" w:themeColor="accent2"/>
          <w:lang w:val="es-ES" w:eastAsia="es-ES"/>
        </w:rPr>
      </w:pPr>
    </w:p>
    <w:p w14:paraId="5AC5EB64" w14:textId="1D79A418" w:rsidR="003A1BAC" w:rsidRPr="00206556" w:rsidRDefault="003A1BAC" w:rsidP="003A1BAC">
      <w:pPr>
        <w:spacing w:after="0" w:line="276" w:lineRule="auto"/>
        <w:jc w:val="both"/>
        <w:rPr>
          <w:rFonts w:ascii="Verdana" w:eastAsia="Calibri" w:hAnsi="Verdana" w:cs="Arial"/>
          <w:lang w:val="es-ES" w:eastAsia="es-ES"/>
        </w:rPr>
      </w:pPr>
      <w:r w:rsidRPr="006A7B59">
        <w:rPr>
          <w:rFonts w:ascii="Verdana" w:eastAsia="Calibri" w:hAnsi="Verdana" w:cs="Arial"/>
          <w:lang w:val="es-ES" w:eastAsia="es-ES"/>
        </w:rPr>
        <w:t>Estimad</w:t>
      </w:r>
      <w:r>
        <w:rPr>
          <w:rFonts w:ascii="Verdana" w:eastAsia="Calibri" w:hAnsi="Verdana" w:cs="Arial"/>
          <w:lang w:val="es-ES" w:eastAsia="es-ES"/>
        </w:rPr>
        <w:t>o</w:t>
      </w:r>
      <w:r w:rsidRPr="006A7B59">
        <w:rPr>
          <w:rFonts w:ascii="Verdana" w:eastAsia="Calibri" w:hAnsi="Verdana" w:cs="Arial"/>
          <w:lang w:val="es-ES" w:eastAsia="es-ES"/>
        </w:rPr>
        <w:t xml:space="preserve"> Señor </w:t>
      </w:r>
      <w:r w:rsidR="00EB4D75">
        <w:rPr>
          <w:rFonts w:ascii="Verdana" w:eastAsia="Calibri" w:hAnsi="Verdana" w:cs="Arial"/>
          <w:lang w:val="es-ES" w:eastAsia="es-ES"/>
        </w:rPr>
        <w:t>M</w:t>
      </w:r>
      <w:r w:rsidR="00D438EF">
        <w:rPr>
          <w:rFonts w:ascii="Verdana" w:eastAsia="Calibri" w:hAnsi="Verdana" w:cs="Arial"/>
          <w:lang w:val="es-ES" w:eastAsia="es-ES"/>
        </w:rPr>
        <w:t>uño</w:t>
      </w:r>
      <w:r w:rsidR="00EB4D75">
        <w:rPr>
          <w:rFonts w:ascii="Verdana" w:eastAsia="Calibri" w:hAnsi="Verdana" w:cs="Arial"/>
          <w:lang w:val="es-ES" w:eastAsia="es-ES"/>
        </w:rPr>
        <w:t>z</w:t>
      </w:r>
      <w:r w:rsidRPr="006A7B59">
        <w:rPr>
          <w:rFonts w:ascii="Verdana" w:eastAsia="Calibri" w:hAnsi="Verdana" w:cs="Arial"/>
          <w:lang w:val="es-ES" w:eastAsia="es-ES"/>
        </w:rPr>
        <w:t>,</w:t>
      </w:r>
    </w:p>
    <w:p w14:paraId="75E43AB5" w14:textId="77777777" w:rsidR="003A1BAC" w:rsidRPr="00206556" w:rsidRDefault="003A1BAC" w:rsidP="003A1BAC">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4FAD3AB9" w14:textId="065EA48E" w:rsidR="003A1BAC" w:rsidRPr="00206556" w:rsidRDefault="003A1BAC" w:rsidP="003A1BAC">
      <w:pPr>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En ejercicio de la competencia otorgada por los artículos 3, numeral 5º, y 11, numeral 8º, del Decreto Ley 4170 de 2011,</w:t>
      </w:r>
      <w:r w:rsidRPr="00206556">
        <w:rPr>
          <w:rFonts w:ascii="Verdana" w:eastAsia="Arial MT" w:hAnsi="Verdana" w:cs="Arial MT"/>
          <w:lang w:val="es-ES" w:eastAsia="es-ES"/>
        </w:rPr>
        <w:t xml:space="preserve"> </w:t>
      </w:r>
      <w:r w:rsidRPr="00206556">
        <w:rPr>
          <w:rFonts w:ascii="Verdana" w:hAnsi="Verdana" w:cs="Arial"/>
          <w:lang w:val="es-ES"/>
        </w:rPr>
        <w:t xml:space="preserve">así como lo establecido en la Resolución 469 de 2025 expedida por esta Entidad, </w:t>
      </w:r>
      <w:r w:rsidRPr="00206556">
        <w:rPr>
          <w:rFonts w:ascii="Verdana" w:eastAsia="Calibri" w:hAnsi="Verdana" w:cs="Arial"/>
          <w:lang w:val="es-ES" w:eastAsia="es-ES"/>
        </w:rPr>
        <w:t xml:space="preserve">la Agencia Nacional de Contratación Pública – Colombia Compra Eficiente– responde su solicitud de </w:t>
      </w:r>
      <w:r w:rsidRPr="00FB46F9">
        <w:rPr>
          <w:rFonts w:ascii="Verdana" w:eastAsia="Calibri" w:hAnsi="Verdana" w:cs="Arial"/>
          <w:lang w:val="es-ES" w:eastAsia="es-ES"/>
        </w:rPr>
        <w:t>consulta de fecha</w:t>
      </w:r>
      <w:r>
        <w:rPr>
          <w:rFonts w:ascii="Verdana" w:eastAsia="Calibri" w:hAnsi="Verdana" w:cs="Arial"/>
          <w:lang w:val="es-ES" w:eastAsia="es-ES"/>
        </w:rPr>
        <w:t xml:space="preserve"> 26</w:t>
      </w:r>
      <w:r w:rsidRPr="00FB46F9">
        <w:rPr>
          <w:rFonts w:ascii="Verdana" w:eastAsia="Calibri" w:hAnsi="Verdana" w:cs="Arial"/>
          <w:lang w:val="es-ES" w:eastAsia="es-ES"/>
        </w:rPr>
        <w:t xml:space="preserve"> de </w:t>
      </w:r>
      <w:r w:rsidR="004F33B3">
        <w:rPr>
          <w:rFonts w:ascii="Verdana" w:eastAsia="Calibri" w:hAnsi="Verdana" w:cs="Arial"/>
          <w:lang w:val="es-ES" w:eastAsia="es-ES"/>
        </w:rPr>
        <w:t>mayo</w:t>
      </w:r>
      <w:r w:rsidRPr="00FB46F9">
        <w:rPr>
          <w:rFonts w:ascii="Verdana" w:eastAsia="Calibri" w:hAnsi="Verdana" w:cs="Arial"/>
          <w:lang w:val="es-ES" w:eastAsia="es-ES"/>
        </w:rPr>
        <w:t xml:space="preserve"> de 2026, en</w:t>
      </w:r>
      <w:r w:rsidRPr="00206556">
        <w:rPr>
          <w:rFonts w:ascii="Verdana" w:eastAsia="Calibri" w:hAnsi="Verdana" w:cs="Arial"/>
          <w:lang w:val="es-ES" w:eastAsia="es-ES"/>
        </w:rPr>
        <w:t xml:space="preserve"> la cual manifiesta lo siguiente: </w:t>
      </w:r>
    </w:p>
    <w:p w14:paraId="43B2A68B" w14:textId="77777777" w:rsidR="003A1BAC" w:rsidRDefault="003A1BAC" w:rsidP="003A1BAC">
      <w:pPr>
        <w:spacing w:before="120" w:after="120" w:line="240" w:lineRule="auto"/>
        <w:ind w:right="709"/>
        <w:contextualSpacing/>
        <w:jc w:val="both"/>
        <w:rPr>
          <w:rFonts w:ascii="Verdana" w:eastAsia="Century Gothic" w:hAnsi="Verdana" w:cs="Century Gothic"/>
          <w:i/>
          <w:iCs/>
          <w:sz w:val="20"/>
          <w:szCs w:val="20"/>
          <w:lang w:val="es-ES"/>
        </w:rPr>
      </w:pPr>
    </w:p>
    <w:p w14:paraId="7FCBC58A" w14:textId="5E159556" w:rsidR="00817B53" w:rsidRPr="00817B53" w:rsidRDefault="00817B53" w:rsidP="00817B53">
      <w:pPr>
        <w:spacing w:before="120" w:after="120" w:line="240" w:lineRule="auto"/>
        <w:ind w:left="708" w:right="709"/>
        <w:contextualSpacing/>
        <w:jc w:val="both"/>
        <w:rPr>
          <w:rFonts w:ascii="Verdana" w:eastAsia="Century Gothic" w:hAnsi="Verdana" w:cs="Century Gothic"/>
          <w:i/>
          <w:iCs/>
          <w:sz w:val="21"/>
          <w:szCs w:val="21"/>
          <w:lang w:val="es-ES"/>
        </w:rPr>
      </w:pPr>
      <w:r>
        <w:rPr>
          <w:rFonts w:ascii="Verdana" w:eastAsia="Century Gothic" w:hAnsi="Verdana" w:cs="Century Gothic"/>
          <w:i/>
          <w:iCs/>
          <w:sz w:val="21"/>
          <w:szCs w:val="21"/>
          <w:lang w:val="es-ES"/>
        </w:rPr>
        <w:t xml:space="preserve">“(…) </w:t>
      </w:r>
      <w:r w:rsidRPr="00817B53">
        <w:rPr>
          <w:rFonts w:ascii="Verdana" w:eastAsia="Century Gothic" w:hAnsi="Verdana" w:cs="Century Gothic"/>
          <w:i/>
          <w:iCs/>
          <w:sz w:val="21"/>
          <w:szCs w:val="21"/>
          <w:lang w:val="es-ES"/>
        </w:rPr>
        <w:t>Primero.</w:t>
      </w:r>
    </w:p>
    <w:p w14:paraId="1ADD0D1F" w14:textId="6E3A6EE0" w:rsidR="00817B53" w:rsidRPr="00817B53" w:rsidRDefault="00817B53" w:rsidP="00817B53">
      <w:pPr>
        <w:spacing w:before="120" w:after="120" w:line="240" w:lineRule="auto"/>
        <w:ind w:left="709" w:right="709"/>
        <w:contextualSpacing/>
        <w:jc w:val="both"/>
        <w:rPr>
          <w:rFonts w:ascii="Verdana" w:eastAsia="Century Gothic" w:hAnsi="Verdana" w:cs="Century Gothic"/>
          <w:i/>
          <w:iCs/>
          <w:sz w:val="21"/>
          <w:szCs w:val="21"/>
          <w:lang w:val="es-ES"/>
        </w:rPr>
      </w:pPr>
      <w:r w:rsidRPr="00817B53">
        <w:rPr>
          <w:rFonts w:ascii="Verdana" w:eastAsia="Century Gothic" w:hAnsi="Verdana" w:cs="Century Gothic"/>
          <w:i/>
          <w:iCs/>
          <w:sz w:val="21"/>
          <w:szCs w:val="21"/>
          <w:lang w:val="es-ES"/>
        </w:rPr>
        <w:t>El artículo 2.2.1.2.4.2.6. del Decreto 0287 de 2026 define los empleos del nivel directivo señalando que serán cargos de nivel directivo los que dentro de la organización "se encuentran ubicados en un nivel de mando o los que por su jerarquía desempeñan funciones orientadas a representar al empleador". El conector "o" es disyuntivo, lo que significa jurídico y gramaticalmente que ambos supuestos son alternativos e independientes: basta acreditar cualquiera de los dos.</w:t>
      </w:r>
      <w:r>
        <w:rPr>
          <w:rFonts w:ascii="Verdana" w:eastAsia="Century Gothic" w:hAnsi="Verdana" w:cs="Century Gothic"/>
          <w:i/>
          <w:iCs/>
          <w:sz w:val="21"/>
          <w:szCs w:val="21"/>
          <w:lang w:val="es-ES"/>
        </w:rPr>
        <w:t xml:space="preserve"> </w:t>
      </w:r>
      <w:r w:rsidRPr="00817B53">
        <w:rPr>
          <w:rFonts w:ascii="Verdana" w:eastAsia="Century Gothic" w:hAnsi="Verdana" w:cs="Century Gothic"/>
          <w:i/>
          <w:iCs/>
          <w:sz w:val="21"/>
          <w:szCs w:val="21"/>
          <w:lang w:val="es-ES"/>
        </w:rPr>
        <w:t>En consecuencia, se solicita a esa Agencia pronunciarse sobre el siguiente interrogante. ¿puede una entidad estatal exigir en sus pliegos de condiciones que el cargo directivo de la persona con discapacidad reúna de forma simultánea y acumulativa todos los supuestos del Decreto nivel de mando, dirección de</w:t>
      </w:r>
      <w:r>
        <w:rPr>
          <w:rFonts w:ascii="Verdana" w:eastAsia="Century Gothic" w:hAnsi="Verdana" w:cs="Century Gothic"/>
          <w:i/>
          <w:iCs/>
          <w:sz w:val="21"/>
          <w:szCs w:val="21"/>
          <w:lang w:val="es-ES"/>
        </w:rPr>
        <w:t xml:space="preserve"> </w:t>
      </w:r>
      <w:r w:rsidRPr="00817B53">
        <w:rPr>
          <w:rFonts w:ascii="Verdana" w:eastAsia="Century Gothic" w:hAnsi="Verdana" w:cs="Century Gothic"/>
          <w:i/>
          <w:iCs/>
          <w:sz w:val="21"/>
          <w:szCs w:val="21"/>
          <w:lang w:val="es-ES"/>
        </w:rPr>
        <w:t>áreas misionales, toma de decisiones estratégicas y representación de los empleadores, cuando el propio Decreto los establece de manera disyuntiva? ¿O dicha exigencia acumulativa constituye una extralimitación que restringe injustificadamente el acceso al puntaje del 2% y vulnera los principios de selección objetiva, proporcionalidad y libre concurrencia?</w:t>
      </w:r>
    </w:p>
    <w:p w14:paraId="246267A5" w14:textId="77777777" w:rsidR="00817B53" w:rsidRDefault="00817B53" w:rsidP="00817B53">
      <w:pPr>
        <w:spacing w:before="120" w:after="120" w:line="240" w:lineRule="auto"/>
        <w:ind w:left="709" w:right="709"/>
        <w:contextualSpacing/>
        <w:jc w:val="both"/>
        <w:rPr>
          <w:rFonts w:ascii="Verdana" w:eastAsia="Century Gothic" w:hAnsi="Verdana" w:cs="Century Gothic"/>
          <w:i/>
          <w:iCs/>
          <w:sz w:val="21"/>
          <w:szCs w:val="21"/>
          <w:lang w:val="es-ES"/>
        </w:rPr>
      </w:pPr>
    </w:p>
    <w:p w14:paraId="2D4D28E4" w14:textId="52BC7F09" w:rsidR="00817B53" w:rsidRPr="00817B53" w:rsidRDefault="00817B53" w:rsidP="00817B53">
      <w:pPr>
        <w:spacing w:before="120" w:after="120" w:line="240" w:lineRule="auto"/>
        <w:ind w:left="709" w:right="709"/>
        <w:contextualSpacing/>
        <w:jc w:val="both"/>
        <w:rPr>
          <w:rFonts w:ascii="Verdana" w:eastAsia="Century Gothic" w:hAnsi="Verdana" w:cs="Century Gothic"/>
          <w:i/>
          <w:iCs/>
          <w:sz w:val="21"/>
          <w:szCs w:val="21"/>
          <w:lang w:val="es-ES"/>
        </w:rPr>
      </w:pPr>
      <w:r w:rsidRPr="00817B53">
        <w:rPr>
          <w:rFonts w:ascii="Verdana" w:eastAsia="Century Gothic" w:hAnsi="Verdana" w:cs="Century Gothic"/>
          <w:i/>
          <w:iCs/>
          <w:sz w:val="21"/>
          <w:szCs w:val="21"/>
          <w:lang w:val="es-ES"/>
        </w:rPr>
        <w:t>Segundo.</w:t>
      </w:r>
    </w:p>
    <w:p w14:paraId="23DC2EA2" w14:textId="33E802D7" w:rsidR="00817B53" w:rsidRPr="00817B53" w:rsidRDefault="00817B53" w:rsidP="00817B53">
      <w:pPr>
        <w:spacing w:before="120" w:after="120" w:line="240" w:lineRule="auto"/>
        <w:ind w:left="709" w:right="709"/>
        <w:contextualSpacing/>
        <w:jc w:val="both"/>
        <w:rPr>
          <w:rFonts w:ascii="Verdana" w:eastAsia="Century Gothic" w:hAnsi="Verdana" w:cs="Century Gothic"/>
          <w:i/>
          <w:iCs/>
          <w:sz w:val="21"/>
          <w:szCs w:val="21"/>
          <w:lang w:val="es-ES"/>
        </w:rPr>
      </w:pPr>
      <w:r w:rsidRPr="00817B53">
        <w:rPr>
          <w:rFonts w:ascii="Verdana" w:eastAsia="Century Gothic" w:hAnsi="Verdana" w:cs="Century Gothic"/>
          <w:i/>
          <w:iCs/>
          <w:sz w:val="21"/>
          <w:szCs w:val="21"/>
          <w:lang w:val="es-ES"/>
        </w:rPr>
        <w:t>¿Los cargos del nivel administrativo que demuestren funciones reales de dirección y representación del empleador indiferente a su denominación como “Gerente, Coordinador, supervisor”, pueden ser considerados como cargos del nivel directivo para efectos del Decreto 0287 de 2026, siempre que en las certificaciones laborales y en el contrato de trabajo se acrediten efectivamente dichas funciones de mando y representación, conforme al principio de primacía</w:t>
      </w:r>
      <w:r>
        <w:rPr>
          <w:rFonts w:ascii="Verdana" w:eastAsia="Century Gothic" w:hAnsi="Verdana" w:cs="Century Gothic"/>
          <w:i/>
          <w:iCs/>
          <w:sz w:val="21"/>
          <w:szCs w:val="21"/>
          <w:lang w:val="es-ES"/>
        </w:rPr>
        <w:t xml:space="preserve"> </w:t>
      </w:r>
      <w:r w:rsidRPr="00817B53">
        <w:rPr>
          <w:rFonts w:ascii="Verdana" w:eastAsia="Century Gothic" w:hAnsi="Verdana" w:cs="Century Gothic"/>
          <w:i/>
          <w:iCs/>
          <w:sz w:val="21"/>
          <w:szCs w:val="21"/>
          <w:lang w:val="es-ES"/>
        </w:rPr>
        <w:t>de la realidad sobre las formas consagrado en el artículo 53 de la Constitución Política y el artículo 32 del Código Sustantivo del Trabajo?</w:t>
      </w:r>
    </w:p>
    <w:p w14:paraId="2F503E6A" w14:textId="77777777" w:rsidR="00817B53" w:rsidRDefault="00817B53" w:rsidP="00817B53">
      <w:pPr>
        <w:spacing w:before="120" w:after="120" w:line="240" w:lineRule="auto"/>
        <w:ind w:left="709" w:right="709"/>
        <w:contextualSpacing/>
        <w:jc w:val="both"/>
        <w:rPr>
          <w:rFonts w:ascii="Verdana" w:eastAsia="Century Gothic" w:hAnsi="Verdana" w:cs="Century Gothic"/>
          <w:i/>
          <w:iCs/>
          <w:sz w:val="21"/>
          <w:szCs w:val="21"/>
          <w:lang w:val="es-ES"/>
        </w:rPr>
      </w:pPr>
    </w:p>
    <w:p w14:paraId="50F5C754" w14:textId="66C1AE7F" w:rsidR="00817B53" w:rsidRPr="00817B53" w:rsidRDefault="00817B53" w:rsidP="00817B53">
      <w:pPr>
        <w:spacing w:before="120" w:after="120" w:line="240" w:lineRule="auto"/>
        <w:ind w:left="709" w:right="709"/>
        <w:contextualSpacing/>
        <w:jc w:val="both"/>
        <w:rPr>
          <w:rFonts w:ascii="Verdana" w:eastAsia="Century Gothic" w:hAnsi="Verdana" w:cs="Century Gothic"/>
          <w:i/>
          <w:iCs/>
          <w:sz w:val="21"/>
          <w:szCs w:val="21"/>
          <w:lang w:val="es-ES"/>
        </w:rPr>
      </w:pPr>
      <w:r w:rsidRPr="00817B53">
        <w:rPr>
          <w:rFonts w:ascii="Verdana" w:eastAsia="Century Gothic" w:hAnsi="Verdana" w:cs="Century Gothic"/>
          <w:i/>
          <w:iCs/>
          <w:sz w:val="21"/>
          <w:szCs w:val="21"/>
          <w:lang w:val="es-ES"/>
        </w:rPr>
        <w:t>Tercero.</w:t>
      </w:r>
    </w:p>
    <w:p w14:paraId="37AC0C72" w14:textId="19DC392A" w:rsidR="003A1BAC" w:rsidRDefault="00817B53" w:rsidP="00817B53">
      <w:pPr>
        <w:spacing w:before="120" w:after="120" w:line="240" w:lineRule="auto"/>
        <w:ind w:left="709" w:right="709"/>
        <w:contextualSpacing/>
        <w:jc w:val="both"/>
        <w:rPr>
          <w:rFonts w:ascii="Verdana" w:eastAsia="Century Gothic" w:hAnsi="Verdana" w:cs="Century Gothic"/>
          <w:i/>
          <w:iCs/>
          <w:sz w:val="20"/>
          <w:szCs w:val="20"/>
          <w:lang w:val="es-ES"/>
        </w:rPr>
      </w:pPr>
      <w:r w:rsidRPr="00817B53">
        <w:rPr>
          <w:rFonts w:ascii="Verdana" w:eastAsia="Century Gothic" w:hAnsi="Verdana" w:cs="Century Gothic"/>
          <w:i/>
          <w:iCs/>
          <w:sz w:val="21"/>
          <w:szCs w:val="21"/>
          <w:lang w:val="es-ES"/>
        </w:rPr>
        <w:t>¿Puede una entidad estatal establecer en sus pliegos de condiciones que no acepta cargos administrativos para efectos del puntaje por discapacidad del Decreto 0287 de 2026, cuando en las certificaciones laborales el cargo se denomina “Gerente, Coordinador, supervisor” a pesar de que sus funciones reales y acreditadas son de mando y representación del empleador? ¿O dicha restricción vulneraría los principios de selección objetiva, libre concurrencia y proporcionalidad, así como la finalidad inclusiva del sistema de preferencias?</w:t>
      </w:r>
    </w:p>
    <w:p w14:paraId="5E66451C" w14:textId="77777777" w:rsidR="003A1BAC" w:rsidRPr="00206556" w:rsidRDefault="003A1BAC" w:rsidP="003A1BAC">
      <w:pPr>
        <w:spacing w:before="120" w:after="120" w:line="240" w:lineRule="auto"/>
        <w:ind w:left="709" w:right="709"/>
        <w:contextualSpacing/>
        <w:jc w:val="both"/>
        <w:rPr>
          <w:rFonts w:ascii="Verdana" w:eastAsia="Century Gothic" w:hAnsi="Verdana" w:cs="Century Gothic"/>
          <w:i/>
          <w:iCs/>
          <w:sz w:val="20"/>
          <w:szCs w:val="20"/>
          <w:lang w:val="es-ES"/>
        </w:rPr>
      </w:pPr>
    </w:p>
    <w:p w14:paraId="147618E5" w14:textId="77777777" w:rsidR="003A1BAC" w:rsidRPr="00206556" w:rsidRDefault="003A1BAC" w:rsidP="003A1BAC">
      <w:pPr>
        <w:spacing w:after="120" w:line="276" w:lineRule="auto"/>
        <w:ind w:firstLine="708"/>
        <w:jc w:val="both"/>
        <w:rPr>
          <w:rFonts w:ascii="Verdana" w:eastAsia="Calibri" w:hAnsi="Verdana" w:cs="Arial"/>
          <w:lang w:val="es-ES" w:eastAsia="es-ES"/>
        </w:rPr>
      </w:pPr>
      <w:r w:rsidRPr="00206556">
        <w:rPr>
          <w:rFonts w:ascii="Verdana" w:eastAsia="Calibri" w:hAnsi="Verdana" w:cs="Arial"/>
          <w:lang w:val="es-ES" w:eastAsia="es-ES"/>
        </w:rPr>
        <w:t xml:space="preserve">De manera preliminar, resulta necesario acotar que esta entidad solo tiene competencia para responder consultas sobre la aplicación de normas de carácter </w:t>
      </w:r>
      <w:r w:rsidRPr="00206556">
        <w:rPr>
          <w:rFonts w:ascii="Verdana" w:eastAsia="Calibri" w:hAnsi="Verdana" w:cs="Arial"/>
          <w:lang w:val="es-ES" w:eastAsia="es-ES"/>
        </w:rPr>
        <w:lastRenderedPageBreak/>
        <w:t>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w:t>
      </w:r>
      <w:r>
        <w:rPr>
          <w:rFonts w:ascii="Verdana" w:eastAsia="Calibri" w:hAnsi="Verdana" w:cs="Arial"/>
          <w:lang w:val="es-ES" w:eastAsia="es-ES"/>
        </w:rPr>
        <w:t xml:space="preserve"> al</w:t>
      </w:r>
      <w:r w:rsidRPr="00206556">
        <w:rPr>
          <w:rFonts w:ascii="Verdana" w:eastAsia="Calibri" w:hAnsi="Verdana" w:cs="Arial"/>
          <w:lang w:val="es-ES" w:eastAsia="es-ES"/>
        </w:rPr>
        <w:t xml:space="preserve"> </w:t>
      </w:r>
      <w:r>
        <w:rPr>
          <w:rFonts w:ascii="Verdana" w:hAnsi="Verdana"/>
        </w:rPr>
        <w:t>Estatuto General de Contratación Pública</w:t>
      </w:r>
      <w:r w:rsidRPr="00206556">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sidRPr="00206556">
        <w:rPr>
          <w:rFonts w:ascii="Verdana" w:hAnsi="Verdana"/>
          <w:lang w:val="es-ES"/>
        </w:rPr>
        <w:tab/>
      </w:r>
    </w:p>
    <w:p w14:paraId="11A5B4E1" w14:textId="77777777" w:rsidR="003A1BAC" w:rsidRPr="00206556" w:rsidRDefault="003A1BAC" w:rsidP="003A1BAC">
      <w:pPr>
        <w:spacing w:after="0" w:line="276" w:lineRule="auto"/>
        <w:ind w:firstLine="709"/>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lang w:val="es-ES" w:eastAsia="es-ES"/>
        </w:rPr>
        <w:t xml:space="preserve">el </w:t>
      </w:r>
      <w:r w:rsidRPr="00206556">
        <w:rPr>
          <w:rFonts w:ascii="Verdana" w:eastAsia="Calibri" w:hAnsi="Verdana" w:cs="Arial"/>
          <w:lang w:val="es-ES" w:eastAsia="es-ES"/>
        </w:rPr>
        <w:t xml:space="preserve">problema jurídico de su consulta. </w:t>
      </w:r>
    </w:p>
    <w:p w14:paraId="1D18CB3F" w14:textId="77777777" w:rsidR="003A1BAC" w:rsidRPr="00206556" w:rsidRDefault="003A1BAC" w:rsidP="003A1BAC">
      <w:pPr>
        <w:spacing w:after="0" w:line="276" w:lineRule="auto"/>
        <w:ind w:firstLine="709"/>
        <w:jc w:val="both"/>
        <w:rPr>
          <w:rFonts w:ascii="Verdana" w:eastAsia="Calibri" w:hAnsi="Verdana" w:cs="Arial"/>
          <w:lang w:val="es-ES" w:eastAsia="es-ES"/>
        </w:rPr>
      </w:pPr>
    </w:p>
    <w:p w14:paraId="5B39E981" w14:textId="77777777" w:rsidR="003A1BAC" w:rsidRPr="00206556" w:rsidRDefault="003A1BAC" w:rsidP="003A1BAC">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t>1. Problema planteado:</w:t>
      </w:r>
    </w:p>
    <w:p w14:paraId="57BFEDDA" w14:textId="77777777" w:rsidR="003A1BAC" w:rsidRPr="00206556" w:rsidRDefault="003A1BAC" w:rsidP="003A1BAC">
      <w:pPr>
        <w:tabs>
          <w:tab w:val="left" w:pos="426"/>
        </w:tabs>
        <w:spacing w:after="0" w:line="276" w:lineRule="auto"/>
        <w:jc w:val="both"/>
        <w:rPr>
          <w:rFonts w:ascii="Verdana" w:eastAsia="Century Gothic" w:hAnsi="Verdana" w:cs="Century Gothic"/>
          <w:color w:val="ED7D31" w:themeColor="accent2"/>
          <w:lang w:val="es-ES"/>
        </w:rPr>
      </w:pPr>
    </w:p>
    <w:p w14:paraId="7914A4ED" w14:textId="77777777" w:rsidR="003A1BAC" w:rsidRDefault="003A1BAC" w:rsidP="003A1BAC">
      <w:pPr>
        <w:spacing w:after="0" w:line="276" w:lineRule="auto"/>
        <w:jc w:val="both"/>
        <w:rPr>
          <w:rFonts w:ascii="Verdana" w:eastAsia="Century Gothic" w:hAnsi="Verdana" w:cs="Century Gothic"/>
        </w:rPr>
      </w:pPr>
      <w:r w:rsidRPr="00206556">
        <w:rPr>
          <w:rFonts w:ascii="Verdana" w:eastAsia="Century Gothic" w:hAnsi="Verdana" w:cs="Century Gothic"/>
          <w:lang w:val="es-ES"/>
        </w:rPr>
        <w:t xml:space="preserve">De acuerdo con el contenido de su solicitud, esta Agencia resolverá el siguiente problema jurídico: </w:t>
      </w:r>
      <w:r w:rsidRPr="00206556">
        <w:rPr>
          <w:rFonts w:ascii="Verdana" w:eastAsia="Century Gothic" w:hAnsi="Verdana" w:cs="Century Gothic"/>
        </w:rPr>
        <w:t>¿</w:t>
      </w:r>
      <w:r>
        <w:rPr>
          <w:rFonts w:ascii="Verdana" w:eastAsia="Century Gothic" w:hAnsi="Verdana" w:cs="Century Gothic"/>
        </w:rPr>
        <w:t>Cómo se aplica el puntaje para empleadores de personas con discapacidad que ocupan el nivel directivo de la empresa</w:t>
      </w:r>
      <w:r w:rsidRPr="00206556">
        <w:rPr>
          <w:rFonts w:ascii="Verdana" w:eastAsia="Century Gothic" w:hAnsi="Verdana" w:cs="Century Gothic"/>
        </w:rPr>
        <w:t>?</w:t>
      </w:r>
    </w:p>
    <w:p w14:paraId="2808050C" w14:textId="77777777" w:rsidR="003A1BAC" w:rsidRPr="00206556" w:rsidRDefault="003A1BAC" w:rsidP="003A1BAC">
      <w:pPr>
        <w:spacing w:after="0" w:line="276" w:lineRule="auto"/>
        <w:jc w:val="both"/>
        <w:rPr>
          <w:rFonts w:ascii="Verdana" w:eastAsia="Century Gothic" w:hAnsi="Verdana" w:cs="Century Gothic"/>
          <w:color w:val="ED7D31" w:themeColor="accent2"/>
        </w:rPr>
      </w:pPr>
    </w:p>
    <w:p w14:paraId="56B65508"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p>
    <w:p w14:paraId="2BE8EC2C"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A1BAC" w:rsidRPr="00206556" w14:paraId="655FF97A" w14:textId="77777777" w:rsidTr="002D3CDE">
        <w:tc>
          <w:tcPr>
            <w:tcW w:w="8828" w:type="dxa"/>
          </w:tcPr>
          <w:p w14:paraId="60A35710" w14:textId="77777777" w:rsidR="00D86808" w:rsidRPr="00D86808" w:rsidRDefault="00D86808" w:rsidP="00F17922">
            <w:pPr>
              <w:spacing w:before="120" w:after="120" w:line="276" w:lineRule="auto"/>
              <w:jc w:val="both"/>
              <w:rPr>
                <w:rFonts w:ascii="Verdana" w:eastAsia="Calibri" w:hAnsi="Verdana" w:cs="Arial"/>
              </w:rPr>
            </w:pPr>
            <w:r w:rsidRPr="00D86808">
              <w:rPr>
                <w:rFonts w:ascii="Verdana" w:eastAsia="Calibri" w:hAnsi="Verdana" w:cs="Arial"/>
              </w:rPr>
              <w:t xml:space="preserve">En respuesta al problema planteado, es preciso señalar que el artículo 2.2.1.2.4.2.7.4 del Decreto 1082 de 2015, modificado por el Decreto 287 de 2026, establece un puntaje adicional del dos por ciento (2 %) del total de los puntos previstos en el pliego de condiciones para los procedimientos de licitación pública y concurso de méritos. A este beneficio pueden acceder los proponentes que: i) acrediten alguna de las condiciones previstas en el artículo 2.2.1.2.4.2.6 del Decreto 1082 de 2015, o </w:t>
            </w:r>
            <w:proofErr w:type="spellStart"/>
            <w:r w:rsidRPr="00D86808">
              <w:rPr>
                <w:rFonts w:ascii="Verdana" w:eastAsia="Calibri" w:hAnsi="Verdana" w:cs="Arial"/>
              </w:rPr>
              <w:t>ii</w:t>
            </w:r>
            <w:proofErr w:type="spellEnd"/>
            <w:r w:rsidRPr="00D86808">
              <w:rPr>
                <w:rFonts w:ascii="Verdana" w:eastAsia="Calibri" w:hAnsi="Verdana" w:cs="Arial"/>
              </w:rPr>
              <w:t>) demuestren la vinculación de personas con discapacidad a su planta de personal en los términos establecidos en el numeral 2 del artículo 2.2.1.2.4.2.7.4.</w:t>
            </w:r>
          </w:p>
          <w:p w14:paraId="754FF912" w14:textId="77777777" w:rsidR="00D86808" w:rsidRPr="00D86808" w:rsidRDefault="00D86808" w:rsidP="00D86808">
            <w:pPr>
              <w:spacing w:before="120" w:after="120" w:line="276" w:lineRule="auto"/>
              <w:ind w:firstLine="709"/>
              <w:jc w:val="both"/>
              <w:rPr>
                <w:rFonts w:ascii="Verdana" w:eastAsia="Calibri" w:hAnsi="Verdana" w:cs="Arial"/>
              </w:rPr>
            </w:pPr>
            <w:r w:rsidRPr="00D86808">
              <w:rPr>
                <w:rFonts w:ascii="Verdana" w:eastAsia="Calibri" w:hAnsi="Verdana" w:cs="Arial"/>
              </w:rPr>
              <w:lastRenderedPageBreak/>
              <w:t>Ahora bien, de conformidad con el numeral 4 del artículo 2.2.1.2.4.2.6, se consideran emprendimientos o empresas de personas con discapacidad las personas jurídicas que tengan vinculada laboralmente al menos una (1) persona con discapacidad en un empleo del nivel directivo durante, por lo menos, el año anterior a la fecha de cierre del proceso de selección, ya sea en el mismo cargo o en otro del mismo nivel. La norma precisa que los empleos del nivel directivo son aquellos cuyas funciones se relacionan con la dirección de áreas misionales de la empresa y la adopción de decisiones estratégicas. En consecuencia, se trata de cargos ubicados en los niveles superiores de la estructura organizacional o que, por su jerarquía, impliquen funciones de representación del empleador.</w:t>
            </w:r>
          </w:p>
          <w:p w14:paraId="181315D6" w14:textId="77777777" w:rsidR="00D86808" w:rsidRDefault="00D86808" w:rsidP="00D86808">
            <w:pPr>
              <w:spacing w:before="120" w:after="120" w:line="276" w:lineRule="auto"/>
              <w:ind w:firstLine="709"/>
              <w:jc w:val="both"/>
              <w:rPr>
                <w:rFonts w:ascii="Verdana" w:eastAsia="Calibri" w:hAnsi="Verdana" w:cs="Arial"/>
              </w:rPr>
            </w:pPr>
            <w:r w:rsidRPr="00D86808">
              <w:rPr>
                <w:rFonts w:ascii="Verdana" w:eastAsia="Calibri" w:hAnsi="Verdana" w:cs="Arial"/>
              </w:rPr>
              <w:t>De acuerdo con el inciso cuarto del citado numeral, esta circunstancia debe acreditarse mediante certificación expedida por el representante legal y el revisor fiscal, cuando exista, o por el contador, en la que se identifique a las personas con discapacidad que ocupan cargos del nivel directivo y se indique el tiempo de vinculación correspondiente. Por tanto, el proponente que acredite esta condición podrá acceder al puntaje adicional previsto en el artículo 2.2.1.2.4.2.7.4 del Decreto 1082 de 2015, conforme con lo dispuesto en el numeral 1 de dicha disposición.</w:t>
            </w:r>
          </w:p>
          <w:p w14:paraId="52011A4D" w14:textId="307F42DF" w:rsidR="00D313BE" w:rsidRDefault="00D313BE" w:rsidP="00D86808">
            <w:pPr>
              <w:spacing w:before="120" w:after="120" w:line="276" w:lineRule="auto"/>
              <w:ind w:firstLine="709"/>
              <w:jc w:val="both"/>
              <w:rPr>
                <w:rFonts w:ascii="Verdana" w:eastAsia="Calibri" w:hAnsi="Verdana" w:cs="Arial"/>
              </w:rPr>
            </w:pPr>
            <w:r>
              <w:rPr>
                <w:rFonts w:ascii="Verdana" w:eastAsia="Calibri" w:hAnsi="Verdana" w:cs="Arial"/>
              </w:rPr>
              <w:t>En ese sentido, respecto de su pregunta sobre la interpretación del</w:t>
            </w:r>
            <w:r w:rsidRPr="00D86808">
              <w:rPr>
                <w:rFonts w:ascii="Verdana" w:eastAsia="Calibri" w:hAnsi="Verdana" w:cs="Arial"/>
              </w:rPr>
              <w:t xml:space="preserve"> numeral 4 del artículo 2.2.1.2.4.2.6</w:t>
            </w:r>
            <w:r>
              <w:rPr>
                <w:rFonts w:ascii="Verdana" w:eastAsia="Calibri" w:hAnsi="Verdana" w:cs="Arial"/>
              </w:rPr>
              <w:t xml:space="preserve"> cuando menciona</w:t>
            </w:r>
            <w:r w:rsidR="00D836E8">
              <w:rPr>
                <w:rFonts w:ascii="Verdana" w:eastAsia="Calibri" w:hAnsi="Verdana" w:cs="Arial"/>
              </w:rPr>
              <w:t>:</w:t>
            </w:r>
            <w:r>
              <w:rPr>
                <w:rFonts w:ascii="Verdana" w:eastAsia="Calibri" w:hAnsi="Verdana" w:cs="Arial"/>
              </w:rPr>
              <w:t xml:space="preserve"> “(</w:t>
            </w:r>
            <w:r w:rsidR="002D07E7">
              <w:rPr>
                <w:rFonts w:ascii="Verdana" w:eastAsia="Calibri" w:hAnsi="Verdana" w:cs="Arial"/>
              </w:rPr>
              <w:t>…)</w:t>
            </w:r>
            <w:r w:rsidR="002D07E7" w:rsidRPr="00AB7849">
              <w:rPr>
                <w:rFonts w:ascii="Verdana" w:eastAsia="Calibri" w:hAnsi="Verdana" w:cs="Arial"/>
              </w:rPr>
              <w:t xml:space="preserve"> ubicados</w:t>
            </w:r>
            <w:r w:rsidR="00AB7849" w:rsidRPr="00AB7849">
              <w:rPr>
                <w:rFonts w:ascii="Verdana" w:eastAsia="Calibri" w:hAnsi="Verdana" w:cs="Arial"/>
              </w:rPr>
              <w:t xml:space="preserve"> en un nivel de mando o los que por su jerarquía desempeñan cargos encaminados al cumplimiento de funciones orientadas a representar al empleador</w:t>
            </w:r>
            <w:r w:rsidR="00AB7849">
              <w:rPr>
                <w:rFonts w:ascii="Verdana" w:eastAsia="Calibri" w:hAnsi="Verdana" w:cs="Arial"/>
              </w:rPr>
              <w:t>”</w:t>
            </w:r>
            <w:r w:rsidR="00D836E8">
              <w:rPr>
                <w:rFonts w:ascii="Verdana" w:eastAsia="Calibri" w:hAnsi="Verdana" w:cs="Arial"/>
              </w:rPr>
              <w:t>, es necesario pre</w:t>
            </w:r>
            <w:r w:rsidR="00512520">
              <w:rPr>
                <w:rFonts w:ascii="Verdana" w:eastAsia="Calibri" w:hAnsi="Verdana" w:cs="Arial"/>
              </w:rPr>
              <w:t xml:space="preserve">cisar que esto hace mención </w:t>
            </w:r>
            <w:r w:rsidR="002D07E7">
              <w:rPr>
                <w:rFonts w:ascii="Verdana" w:eastAsia="Calibri" w:hAnsi="Verdana" w:cs="Arial"/>
              </w:rPr>
              <w:t>de</w:t>
            </w:r>
            <w:r w:rsidR="00512520">
              <w:rPr>
                <w:rFonts w:ascii="Verdana" w:eastAsia="Calibri" w:hAnsi="Verdana" w:cs="Arial"/>
              </w:rPr>
              <w:t xml:space="preserve"> supuestos</w:t>
            </w:r>
            <w:r w:rsidR="002D07E7">
              <w:rPr>
                <w:rFonts w:ascii="Verdana" w:eastAsia="Calibri" w:hAnsi="Verdana" w:cs="Arial"/>
              </w:rPr>
              <w:t xml:space="preserve"> de hecho</w:t>
            </w:r>
            <w:r w:rsidR="00512520">
              <w:rPr>
                <w:rFonts w:ascii="Verdana" w:eastAsia="Calibri" w:hAnsi="Verdana" w:cs="Arial"/>
              </w:rPr>
              <w:t xml:space="preserve"> diferentes, es decir, el nivel directivo será </w:t>
            </w:r>
            <w:r w:rsidR="002D07E7">
              <w:rPr>
                <w:rFonts w:ascii="Verdana" w:eastAsia="Calibri" w:hAnsi="Verdana" w:cs="Arial"/>
              </w:rPr>
              <w:t xml:space="preserve">quienes tengan un nivel de mando o quienes representen al empleador, siendo posible que ambos concurran en una misma persona, pero la ley no exige que coincidan sino que la persona con discapacidad </w:t>
            </w:r>
            <w:r w:rsidR="00EA1C2A">
              <w:rPr>
                <w:rFonts w:ascii="Verdana" w:eastAsia="Calibri" w:hAnsi="Verdana" w:cs="Arial"/>
              </w:rPr>
              <w:t>cuente con nivel de mando o represente al empleador.</w:t>
            </w:r>
          </w:p>
          <w:p w14:paraId="1A7FB3DA" w14:textId="5D603640" w:rsidR="00482D37" w:rsidRPr="00D86808" w:rsidRDefault="00482D37" w:rsidP="00D86808">
            <w:pPr>
              <w:spacing w:before="120" w:after="120" w:line="276" w:lineRule="auto"/>
              <w:ind w:firstLine="709"/>
              <w:jc w:val="both"/>
              <w:rPr>
                <w:rFonts w:ascii="Verdana" w:eastAsia="Calibri" w:hAnsi="Verdana" w:cs="Arial"/>
              </w:rPr>
            </w:pPr>
            <w:r>
              <w:rPr>
                <w:rFonts w:ascii="Verdana" w:eastAsia="Calibri" w:hAnsi="Verdana" w:cs="Arial"/>
              </w:rPr>
              <w:t xml:space="preserve">Ahora bien, </w:t>
            </w:r>
            <w:r w:rsidR="00F50C0A">
              <w:rPr>
                <w:rFonts w:ascii="Verdana" w:eastAsia="Calibri" w:hAnsi="Verdana" w:cs="Arial"/>
              </w:rPr>
              <w:t xml:space="preserve">sobre la denominación del cargo para efectos de acreditar la condición del </w:t>
            </w:r>
            <w:r w:rsidR="00F50C0A" w:rsidRPr="00D86808">
              <w:rPr>
                <w:rFonts w:ascii="Verdana" w:eastAsia="Calibri" w:hAnsi="Verdana" w:cs="Arial"/>
              </w:rPr>
              <w:t>numeral 4 del artículo 2.2.1.2.4.2.6</w:t>
            </w:r>
            <w:r w:rsidR="00F03AC7">
              <w:rPr>
                <w:rFonts w:ascii="Verdana" w:eastAsia="Calibri" w:hAnsi="Verdana" w:cs="Arial"/>
              </w:rPr>
              <w:t xml:space="preserve">, es necesario aclarar que por autonomía empresarial, las empresas </w:t>
            </w:r>
            <w:r w:rsidR="00E2788E">
              <w:rPr>
                <w:rFonts w:ascii="Verdana" w:eastAsia="Calibri" w:hAnsi="Verdana" w:cs="Arial"/>
              </w:rPr>
              <w:t xml:space="preserve">pueden organizarse internamente según lo consideren </w:t>
            </w:r>
            <w:r w:rsidR="009F1DAC">
              <w:rPr>
                <w:rFonts w:ascii="Verdana" w:eastAsia="Calibri" w:hAnsi="Verdana" w:cs="Arial"/>
              </w:rPr>
              <w:t>pertinente, no obstante, se aclara que el cumplimiento de la condición mencionada por la norma depende de</w:t>
            </w:r>
            <w:r w:rsidR="00F32BCA">
              <w:rPr>
                <w:rFonts w:ascii="Verdana" w:eastAsia="Calibri" w:hAnsi="Verdana" w:cs="Arial"/>
              </w:rPr>
              <w:t xml:space="preserve"> que el cargo de nivel directivo cuente con las características de: i) </w:t>
            </w:r>
            <w:r w:rsidR="001F1EEA">
              <w:rPr>
                <w:rFonts w:ascii="Verdana" w:eastAsia="Calibri" w:hAnsi="Verdana" w:cs="Arial"/>
              </w:rPr>
              <w:t xml:space="preserve">dirigir áreas misionales de la </w:t>
            </w:r>
            <w:r w:rsidR="001F1EEA">
              <w:rPr>
                <w:rFonts w:ascii="Verdana" w:eastAsia="Calibri" w:hAnsi="Verdana" w:cs="Arial"/>
              </w:rPr>
              <w:lastRenderedPageBreak/>
              <w:t xml:space="preserve">empresa, </w:t>
            </w:r>
            <w:proofErr w:type="spellStart"/>
            <w:r w:rsidR="001F1EEA">
              <w:rPr>
                <w:rFonts w:ascii="Verdana" w:eastAsia="Calibri" w:hAnsi="Verdana" w:cs="Arial"/>
              </w:rPr>
              <w:t>ii</w:t>
            </w:r>
            <w:proofErr w:type="spellEnd"/>
            <w:r w:rsidR="001F1EEA">
              <w:rPr>
                <w:rFonts w:ascii="Verdana" w:eastAsia="Calibri" w:hAnsi="Verdana" w:cs="Arial"/>
              </w:rPr>
              <w:t xml:space="preserve">) tomar decisiones a nivel estratégico, y </w:t>
            </w:r>
            <w:proofErr w:type="spellStart"/>
            <w:r w:rsidR="001F1EEA">
              <w:rPr>
                <w:rFonts w:ascii="Verdana" w:eastAsia="Calibri" w:hAnsi="Verdana" w:cs="Arial"/>
              </w:rPr>
              <w:t>iii</w:t>
            </w:r>
            <w:proofErr w:type="spellEnd"/>
            <w:r w:rsidR="001F1EEA">
              <w:rPr>
                <w:rFonts w:ascii="Verdana" w:eastAsia="Calibri" w:hAnsi="Verdana" w:cs="Arial"/>
              </w:rPr>
              <w:t>)</w:t>
            </w:r>
            <w:r w:rsidR="004D72A7">
              <w:rPr>
                <w:rFonts w:ascii="Verdana" w:eastAsia="Calibri" w:hAnsi="Verdana" w:cs="Arial"/>
              </w:rPr>
              <w:t xml:space="preserve"> ubicarse en un nivel de mando o tener funciones orientadas a representar al empleador.</w:t>
            </w:r>
          </w:p>
          <w:p w14:paraId="5D8F814B" w14:textId="5F0286B6" w:rsidR="003A1BAC" w:rsidRPr="00670CFB" w:rsidRDefault="00D86808" w:rsidP="002D3CDE">
            <w:pPr>
              <w:spacing w:before="120" w:after="120" w:line="276" w:lineRule="auto"/>
              <w:ind w:firstLine="709"/>
              <w:jc w:val="both"/>
              <w:rPr>
                <w:rFonts w:ascii="Verdana" w:eastAsia="Calibri" w:hAnsi="Verdana" w:cs="Arial"/>
              </w:rPr>
            </w:pPr>
            <w:r w:rsidRPr="00D86808">
              <w:rPr>
                <w:rFonts w:ascii="Verdana" w:eastAsia="Calibri" w:hAnsi="Verdana" w:cs="Arial"/>
              </w:rPr>
              <w:t xml:space="preserve">Sin perjuicio de lo anterior, cuando la persona con discapacidad vinculada no ocupe un cargo del nivel directivo en los términos del numeral 4 del artículo 2.2.1.2.4.2.6, el proponente podrá verificar la procedencia del puntaje con fundamento en el numeral 2 del artículo 2.2.1.2.4.2.7.4. En este evento, deberá determinar el rango en el que se ubica su planta de personal para establecer el número mínimo de personas con discapacidad que deben encontrarse vinculadas laboralmente. </w:t>
            </w:r>
            <w:r>
              <w:rPr>
                <w:rFonts w:ascii="Verdana" w:eastAsia="Calibri" w:hAnsi="Verdana" w:cs="Arial"/>
              </w:rPr>
              <w:t>Al respecto, debe tenerse en cuenta que,</w:t>
            </w:r>
            <w:r w:rsidRPr="00D86808">
              <w:rPr>
                <w:rFonts w:ascii="Verdana" w:eastAsia="Calibri" w:hAnsi="Verdana" w:cs="Arial"/>
              </w:rPr>
              <w:t xml:space="preserve"> las empresas cuya planta de personal esté conformada entre uno (1) y treinta (30) trabajadores, la norma exige la vinculación de al menos dos (2) personas con discapacidad para acceder al puntaje adicional.</w:t>
            </w:r>
          </w:p>
        </w:tc>
      </w:tr>
    </w:tbl>
    <w:p w14:paraId="2DF2B85B"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53973846"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 respuesta:</w:t>
      </w:r>
    </w:p>
    <w:p w14:paraId="6B56BEA0"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color w:val="ED7D31" w:themeColor="accent2"/>
          <w:lang w:val="es-ES"/>
        </w:rPr>
      </w:pPr>
    </w:p>
    <w:p w14:paraId="79DC0139" w14:textId="77777777" w:rsidR="003A1BAC" w:rsidRPr="00206556" w:rsidRDefault="003A1BAC" w:rsidP="003A1BAC">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0827E6B7" w14:textId="77777777" w:rsidR="003A1BAC" w:rsidRPr="00206556" w:rsidRDefault="003A1BAC" w:rsidP="003A1BAC">
      <w:pPr>
        <w:spacing w:after="0" w:line="276" w:lineRule="auto"/>
        <w:jc w:val="both"/>
        <w:rPr>
          <w:rFonts w:ascii="Verdana" w:eastAsia="Calibri" w:hAnsi="Verdana" w:cs="Arial"/>
          <w:lang w:val="es-ES"/>
        </w:rPr>
      </w:pPr>
    </w:p>
    <w:p w14:paraId="7DCAA975" w14:textId="77777777" w:rsidR="003A1BAC" w:rsidRPr="000C6B53" w:rsidRDefault="003A1BAC" w:rsidP="003A1BAC">
      <w:pPr>
        <w:spacing w:after="120" w:line="276" w:lineRule="auto"/>
        <w:jc w:val="both"/>
        <w:rPr>
          <w:rFonts w:ascii="Verdana" w:eastAsia="Calibri" w:hAnsi="Verdana" w:cs="Arial"/>
        </w:rPr>
      </w:pPr>
      <w:r w:rsidRPr="000C6B53">
        <w:rPr>
          <w:rFonts w:ascii="Verdana" w:eastAsia="Calibri" w:hAnsi="Verdana" w:cs="Arial"/>
          <w:lang w:val="es-ES"/>
        </w:rPr>
        <w:t xml:space="preserve">(i) </w:t>
      </w:r>
      <w:r w:rsidRPr="000C6B53">
        <w:rPr>
          <w:rFonts w:ascii="Verdana" w:eastAsia="Calibri" w:hAnsi="Verdana" w:cs="Arial"/>
        </w:rPr>
        <w:t xml:space="preserve">Para resolver el problema jurídico planteado, esta Agencia considera necesario partir del análisis de los antecedentes normativos que explican el origen, la finalidad y el alcance del Sistema Integral de Preferencias establecido por el Decreto 0287 de 2026, en la medida en que solo a partir de ese contexto es posible comprender las obligaciones concretas que dicho decreto impone a las entidades estatales y a los demás partícipes de la contratación pública. </w:t>
      </w:r>
    </w:p>
    <w:p w14:paraId="62D3E96F" w14:textId="77777777" w:rsidR="003A1BAC" w:rsidRPr="000C6B53" w:rsidRDefault="003A1BAC" w:rsidP="003A1BAC">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t>El fundamento constitucional del Sistema de Preferencias en favor de las PcD en la contratación pública se encuentra en el principio de igualdad material o real y efectiva consagrado en el artículo 13 de la Constitución Política de 1991</w:t>
      </w:r>
      <w:r w:rsidRPr="000C6B53">
        <w:rPr>
          <w:rStyle w:val="Refdenotaalpie"/>
          <w:rFonts w:ascii="Verdana" w:eastAsia="Times New Roman" w:hAnsi="Verdana" w:cs="Times New Roman"/>
        </w:rPr>
        <w:footnoteReference w:id="1"/>
      </w:r>
      <w:r w:rsidRPr="000C6B53">
        <w:rPr>
          <w:rFonts w:ascii="Verdana" w:eastAsia="Times New Roman" w:hAnsi="Verdana" w:cs="Times New Roman"/>
        </w:rPr>
        <w:t xml:space="preserve">, el cual le impone al Estado el deber positivo de adoptar </w:t>
      </w:r>
      <w:r w:rsidRPr="000C6B53">
        <w:rPr>
          <w:rFonts w:ascii="Verdana" w:eastAsia="Times New Roman" w:hAnsi="Verdana" w:cs="Times New Roman"/>
          <w:i/>
          <w:iCs/>
        </w:rPr>
        <w:t>acciones afirmativas</w:t>
      </w:r>
      <w:r w:rsidRPr="000C6B53">
        <w:rPr>
          <w:rFonts w:ascii="Verdana" w:eastAsia="Times New Roman" w:hAnsi="Verdana" w:cs="Times New Roman"/>
        </w:rPr>
        <w:t xml:space="preserve"> en favor de grupos históricamente excluidos, dirigidas a corregir situaciones de discriminación estructural que los afectan. En desarrollo de este mandato, la Corte Constitucional ha sostenido que tales medidas buscan contrarrestar los efectos de la discriminación y que el Estado puede establecer tratamientos </w:t>
      </w:r>
      <w:r w:rsidRPr="000C6B53">
        <w:rPr>
          <w:rFonts w:ascii="Verdana" w:eastAsia="Times New Roman" w:hAnsi="Verdana" w:cs="Times New Roman"/>
        </w:rPr>
        <w:lastRenderedPageBreak/>
        <w:t xml:space="preserve">diferenciales a favor de estos grupos en aras de lograr una igualdad real y efectiva. </w:t>
      </w:r>
    </w:p>
    <w:p w14:paraId="76AF31F2" w14:textId="77777777" w:rsidR="003A1BAC" w:rsidRPr="000C6B53" w:rsidRDefault="003A1BAC" w:rsidP="003A1BAC">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t>A su vez, los artículos 47 y 54 de la Carta Política refuerzan este mandato al ordenar políticas de integración social y ubicación laboral para las PcD</w:t>
      </w:r>
      <w:r w:rsidRPr="000C6B53">
        <w:rPr>
          <w:rStyle w:val="Refdenotaalpie"/>
          <w:rFonts w:ascii="Verdana" w:eastAsia="Times New Roman" w:hAnsi="Verdana" w:cs="Times New Roman"/>
        </w:rPr>
        <w:footnoteReference w:id="2"/>
      </w:r>
      <w:r w:rsidRPr="000C6B53">
        <w:rPr>
          <w:rFonts w:ascii="Verdana" w:eastAsia="Times New Roman" w:hAnsi="Verdana" w:cs="Times New Roman"/>
        </w:rPr>
        <w:t>.</w:t>
      </w:r>
    </w:p>
    <w:p w14:paraId="3A1BFCF6" w14:textId="77777777" w:rsidR="003A1BAC" w:rsidRPr="000C6B53" w:rsidRDefault="003A1BAC" w:rsidP="003A1BAC">
      <w:pPr>
        <w:spacing w:after="120" w:line="276" w:lineRule="auto"/>
        <w:ind w:firstLine="708"/>
        <w:jc w:val="both"/>
        <w:rPr>
          <w:rFonts w:ascii="Verdana" w:hAnsi="Verdana"/>
        </w:rPr>
      </w:pPr>
      <w:r w:rsidRPr="000C6B53">
        <w:rPr>
          <w:rFonts w:ascii="Verdana" w:eastAsia="Times New Roman" w:hAnsi="Verdana" w:cs="Times New Roman"/>
        </w:rPr>
        <w:t>En el plano internacional, Colombia es Estado Parte de diversos instrumentos que conforman el Bloque de Constitucionalidad en los términos del artículo 93 superior. En particular, la Convención sobre los Derechos de las Personas con Discapacidad de la ONU</w:t>
      </w:r>
      <w:r w:rsidRPr="000C6B53">
        <w:rPr>
          <w:rStyle w:val="Refdenotaalpie"/>
          <w:rFonts w:ascii="Verdana" w:eastAsia="Times New Roman" w:hAnsi="Verdana" w:cs="Times New Roman"/>
        </w:rPr>
        <w:footnoteReference w:id="3"/>
      </w:r>
      <w:r w:rsidRPr="000C6B53">
        <w:rPr>
          <w:rFonts w:ascii="Verdana" w:eastAsia="Times New Roman" w:hAnsi="Verdana" w:cs="Times New Roman"/>
        </w:rPr>
        <w:t xml:space="preserve"> reconoce el derecho de las PcD a trabajar en igualdad de condiciones y exige programas de acción afirmativa. De igual forma, la Convención Interamericana para la Eliminación de todas las Formas de Discriminación</w:t>
      </w:r>
      <w:r w:rsidRPr="000C6B53">
        <w:rPr>
          <w:rStyle w:val="Refdenotaalpie"/>
          <w:rFonts w:ascii="Verdana" w:eastAsia="Times New Roman" w:hAnsi="Verdana" w:cs="Times New Roman"/>
        </w:rPr>
        <w:footnoteReference w:id="4"/>
      </w:r>
      <w:r w:rsidRPr="000C6B53">
        <w:rPr>
          <w:rFonts w:ascii="Verdana" w:eastAsia="Times New Roman" w:hAnsi="Verdana" w:cs="Times New Roman"/>
        </w:rPr>
        <w:t xml:space="preserve"> ordena eliminar progresivamente la discriminación en la prestación de servicios, incluido el empleo. Finalmente, el Convenio 159 de la OIT</w:t>
      </w:r>
      <w:r w:rsidRPr="000C6B53">
        <w:rPr>
          <w:rStyle w:val="Refdenotaalpie"/>
          <w:rFonts w:ascii="Verdana" w:eastAsia="Times New Roman" w:hAnsi="Verdana" w:cs="Times New Roman"/>
        </w:rPr>
        <w:footnoteReference w:id="5"/>
      </w:r>
      <w:r w:rsidRPr="000C6B53">
        <w:rPr>
          <w:rFonts w:ascii="Verdana" w:eastAsia="Times New Roman" w:hAnsi="Verdana" w:cs="Times New Roman"/>
        </w:rPr>
        <w:t xml:space="preserve"> exige medidas orientadas a garantizar la igualdad de oportunidades de todas las categorías de PcD en materia de empleo.</w:t>
      </w:r>
    </w:p>
    <w:p w14:paraId="5EC44082" w14:textId="77777777" w:rsidR="003A1BAC" w:rsidRPr="000C6B53" w:rsidRDefault="003A1BAC" w:rsidP="003A1BAC">
      <w:pPr>
        <w:spacing w:after="120" w:line="276" w:lineRule="auto"/>
        <w:jc w:val="both"/>
        <w:rPr>
          <w:rFonts w:ascii="Verdana" w:hAnsi="Verdana"/>
        </w:rPr>
      </w:pPr>
      <w:r w:rsidRPr="000C6B53">
        <w:rPr>
          <w:rFonts w:ascii="Verdana" w:eastAsia="Times New Roman" w:hAnsi="Verdana" w:cs="Times New Roman"/>
          <w:b/>
          <w:bCs/>
        </w:rPr>
        <w:t xml:space="preserve">       </w:t>
      </w:r>
      <w:r w:rsidRPr="000C6B53">
        <w:rPr>
          <w:rFonts w:ascii="Verdana" w:eastAsia="Times New Roman" w:hAnsi="Verdana" w:cs="Times New Roman"/>
        </w:rPr>
        <w:t>En desarrollo de estos mandatos, con rango constitucional,</w:t>
      </w:r>
      <w:r w:rsidRPr="000C6B53">
        <w:rPr>
          <w:rFonts w:ascii="Verdana" w:eastAsia="Times New Roman" w:hAnsi="Verdana" w:cs="Times New Roman"/>
          <w:b/>
          <w:bCs/>
        </w:rPr>
        <w:t xml:space="preserve"> </w:t>
      </w:r>
      <w:r w:rsidRPr="000C6B53">
        <w:rPr>
          <w:rFonts w:ascii="Verdana" w:eastAsia="Times New Roman" w:hAnsi="Verdana" w:cs="Times New Roman"/>
        </w:rPr>
        <w:t>la Ley 361 de 1997 estableció los primeros mecanismos de integración social de las PcD. Su artículo 24 introdujo una preferencia en igualdad de condiciones en licitaciones y adjudicaciones de contratos estatales para aquellos empleadores que tuvieran al menos el diez por ciento (10%) de su nómina compuesta por PcD</w:t>
      </w:r>
      <w:r w:rsidRPr="000C6B53">
        <w:rPr>
          <w:rStyle w:val="Refdenotaalpie"/>
          <w:rFonts w:ascii="Verdana" w:eastAsia="Times New Roman" w:hAnsi="Verdana" w:cs="Times New Roman"/>
        </w:rPr>
        <w:footnoteReference w:id="6"/>
      </w:r>
      <w:r w:rsidRPr="000C6B53">
        <w:rPr>
          <w:rFonts w:ascii="Verdana" w:eastAsia="Times New Roman" w:hAnsi="Verdana" w:cs="Times New Roman"/>
        </w:rPr>
        <w:t xml:space="preserve">. Esta norma vinculó por primera vez la contratación pública con la inclusión laboral de las PcD, pero su alcance era limitado en la medida que se trataba de una preferencia </w:t>
      </w:r>
      <w:r w:rsidRPr="000C6B53">
        <w:rPr>
          <w:rFonts w:ascii="Verdana" w:eastAsia="Times New Roman" w:hAnsi="Verdana" w:cs="Times New Roman"/>
        </w:rPr>
        <w:lastRenderedPageBreak/>
        <w:t>residual aplicable solo en caso de empate y que beneficiaba únicamente a los empleadores de PcD sin considerar a las propias PcD como proponentes o contratistas directos.</w:t>
      </w:r>
    </w:p>
    <w:p w14:paraId="29EB9E95" w14:textId="77777777" w:rsidR="003A1BAC" w:rsidRPr="000C6B53" w:rsidRDefault="003A1BAC" w:rsidP="003A1BAC">
      <w:pPr>
        <w:spacing w:after="120" w:line="276" w:lineRule="auto"/>
        <w:jc w:val="both"/>
        <w:rPr>
          <w:rFonts w:ascii="Verdana" w:hAnsi="Verdana"/>
        </w:rPr>
      </w:pPr>
      <w:r w:rsidRPr="000C6B53">
        <w:rPr>
          <w:rFonts w:ascii="Verdana" w:eastAsia="Times New Roman" w:hAnsi="Verdana" w:cs="Times New Roman"/>
          <w:b/>
          <w:bCs/>
        </w:rPr>
        <w:t xml:space="preserve">       </w:t>
      </w:r>
      <w:r w:rsidRPr="000C6B53">
        <w:rPr>
          <w:rFonts w:ascii="Verdana" w:eastAsia="Times New Roman" w:hAnsi="Verdana" w:cs="Times New Roman"/>
        </w:rPr>
        <w:t xml:space="preserve">Posteriormente, la Ley Estatutaria 1618 de 2013 representó un avance sustancial en el marco jurídico de protección de las PcD, al definirlas como </w:t>
      </w:r>
      <w:r w:rsidRPr="000C6B53">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0C6B53">
        <w:rPr>
          <w:rStyle w:val="Refdenotaalpie"/>
          <w:rFonts w:ascii="Verdana" w:eastAsia="Times New Roman" w:hAnsi="Verdana" w:cs="Times New Roman"/>
          <w:i/>
          <w:iCs/>
        </w:rPr>
        <w:footnoteReference w:id="7"/>
      </w:r>
      <w:r w:rsidRPr="000C6B53">
        <w:rPr>
          <w:rFonts w:ascii="Verdana" w:eastAsia="Times New Roman" w:hAnsi="Verdana" w:cs="Times New Roman"/>
          <w:i/>
          <w:iCs/>
        </w:rPr>
        <w:t>.</w:t>
      </w:r>
      <w:r w:rsidRPr="000C6B53">
        <w:rPr>
          <w:rFonts w:ascii="Verdana" w:eastAsia="Times New Roman" w:hAnsi="Verdana" w:cs="Times New Roman"/>
        </w:rPr>
        <w:t xml:space="preserve"> En su artículo 13, numerales 1, 7 y 8, ordenó al Gobierno Nacional reglamentar: i) una puntuación adicional en licitación pública, concurso de méritos y contratación directa para empresas que vinculen PcD y para empresas de PcD; </w:t>
      </w:r>
      <w:proofErr w:type="spellStart"/>
      <w:r w:rsidRPr="000C6B53">
        <w:rPr>
          <w:rFonts w:ascii="Verdana" w:eastAsia="Times New Roman" w:hAnsi="Verdana" w:cs="Times New Roman"/>
        </w:rPr>
        <w:t>ii</w:t>
      </w:r>
      <w:proofErr w:type="spellEnd"/>
      <w:r w:rsidRPr="000C6B53">
        <w:rPr>
          <w:rFonts w:ascii="Verdana" w:eastAsia="Times New Roman" w:hAnsi="Verdana" w:cs="Times New Roman"/>
        </w:rPr>
        <w:t xml:space="preserve">) un sistema de preferencias para empleadores de PcD en la adjudicación; y </w:t>
      </w:r>
      <w:proofErr w:type="spellStart"/>
      <w:r w:rsidRPr="000C6B53">
        <w:rPr>
          <w:rFonts w:ascii="Verdana" w:eastAsia="Times New Roman" w:hAnsi="Verdana" w:cs="Times New Roman"/>
        </w:rPr>
        <w:t>iii</w:t>
      </w:r>
      <w:proofErr w:type="spellEnd"/>
      <w:r w:rsidRPr="000C6B53">
        <w:rPr>
          <w:rFonts w:ascii="Verdana" w:eastAsia="Times New Roman" w:hAnsi="Verdana" w:cs="Times New Roman"/>
        </w:rPr>
        <w:t xml:space="preserve">) </w:t>
      </w:r>
      <w:r w:rsidRPr="000C6B53">
        <w:rPr>
          <w:rFonts w:ascii="Verdana" w:eastAsia="Times New Roman" w:hAnsi="Verdana" w:cs="Times New Roman"/>
          <w:i/>
        </w:rPr>
        <w:t>un sistema de preferencias en favor de las propias PcD como contratistas</w:t>
      </w:r>
      <w:r w:rsidRPr="000C6B53">
        <w:rPr>
          <w:rStyle w:val="Refdenotaalpie"/>
          <w:rFonts w:ascii="Verdana" w:eastAsia="Times New Roman" w:hAnsi="Verdana" w:cs="Times New Roman"/>
        </w:rPr>
        <w:footnoteReference w:id="8"/>
      </w:r>
      <w:r w:rsidRPr="000C6B53">
        <w:rPr>
          <w:rFonts w:ascii="Verdana" w:eastAsia="Times New Roman" w:hAnsi="Verdana" w:cs="Times New Roman"/>
        </w:rPr>
        <w:t xml:space="preserve">. Este último mandato fue especialmente significativo porque introdujo el concepto de </w:t>
      </w:r>
      <w:r w:rsidRPr="000C6B53">
        <w:rPr>
          <w:rFonts w:ascii="Verdana" w:eastAsia="Times New Roman" w:hAnsi="Verdana" w:cs="Times New Roman"/>
          <w:i/>
          <w:iCs/>
        </w:rPr>
        <w:t>"sistema de preferencias"</w:t>
      </w:r>
      <w:r w:rsidRPr="000C6B53">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4F2F8E6C" w14:textId="77777777" w:rsidR="003A1BAC" w:rsidRPr="000C6B53" w:rsidRDefault="003A1BAC" w:rsidP="003A1BAC">
      <w:pPr>
        <w:spacing w:after="120" w:line="276" w:lineRule="auto"/>
        <w:ind w:firstLine="709"/>
        <w:jc w:val="both"/>
        <w:rPr>
          <w:rFonts w:ascii="Verdana" w:hAnsi="Verdana"/>
        </w:rPr>
      </w:pPr>
      <w:r w:rsidRPr="000C6B53">
        <w:rPr>
          <w:rFonts w:ascii="Verdana" w:hAnsi="Verdana"/>
        </w:rPr>
        <w:t xml:space="preserve">En cumplimiento parcial de los numerales 1 y 8 del artículo 13 de la Ley 1618 de 2013, se expidió el Decreto 392 de 2018. Sin embargo, tal y como se reconoce en los considerandos del Decreto 0287 de 2026, dicha regulación presentó omisiones estructurales que frustraron la finalidad de la Ley Estatutaria. En efecto, el Decreto 392 de 2018 solo contempló el uno por ciento (1%) del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w:t>
      </w:r>
      <w:r w:rsidRPr="000C6B53">
        <w:rPr>
          <w:rFonts w:ascii="Verdana" w:hAnsi="Verdana"/>
        </w:rPr>
        <w:lastRenderedPageBreak/>
        <w:t>reglamentación material el numeral 8, que era precisamente el que ordenaba el Sistema De Preferencias en favor de las propias PcD como contratistas.</w:t>
      </w:r>
    </w:p>
    <w:p w14:paraId="6E77AC55" w14:textId="77777777" w:rsidR="003A1BAC" w:rsidRPr="000C6B53" w:rsidRDefault="003A1BAC" w:rsidP="003A1BAC">
      <w:pPr>
        <w:spacing w:after="120" w:line="276" w:lineRule="auto"/>
        <w:ind w:firstLine="709"/>
        <w:jc w:val="both"/>
        <w:rPr>
          <w:rFonts w:ascii="Verdana" w:hAnsi="Verdana"/>
        </w:rPr>
      </w:pPr>
      <w:r w:rsidRPr="000C6B53">
        <w:rPr>
          <w:rFonts w:ascii="Verdana" w:hAnsi="Verdana"/>
        </w:rPr>
        <w:t xml:space="preserve">La insuficiencia del Decreto 392 de 2018 fue constatada judicialmente. La Sección Quinta del Consejo de Estado, mediante sentencia proferida dentro de una acción de cumplimiento del 12 de diciembre de 2024, radicación </w:t>
      </w:r>
      <w:proofErr w:type="spellStart"/>
      <w:r w:rsidRPr="000C6B53">
        <w:rPr>
          <w:rFonts w:ascii="Verdana" w:hAnsi="Verdana"/>
        </w:rPr>
        <w:t>n.°</w:t>
      </w:r>
      <w:proofErr w:type="spellEnd"/>
      <w:r w:rsidRPr="000C6B53">
        <w:rPr>
          <w:rFonts w:ascii="Verdana" w:hAnsi="Verdana"/>
        </w:rPr>
        <w:t xml:space="preserve"> 05001-23-33-000-2024-00847-01, M.P. Omar Joaquín Barreto Suárez, declaró el incumplimiento por parte del Gobierno Nacional del artículo 62 de la Ley 1996 de 2019, norma que ordenaba reglamentar las medidas del artículo 13 de la Ley 1618 de 2013. En dicha providencia, la Sala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001B36B0" w14:textId="77777777" w:rsidR="003A1BAC" w:rsidRDefault="003A1BAC" w:rsidP="003A1BAC">
      <w:pPr>
        <w:spacing w:after="120" w:line="276" w:lineRule="auto"/>
        <w:ind w:firstLine="709"/>
        <w:jc w:val="both"/>
        <w:rPr>
          <w:rFonts w:ascii="Verdana" w:hAnsi="Verdana"/>
        </w:rPr>
      </w:pPr>
      <w:r w:rsidRPr="000C6B53">
        <w:rPr>
          <w:rFonts w:ascii="Verdana" w:hAnsi="Verdana"/>
        </w:rPr>
        <w:t>En cumplimiento de esa decisión, fue expedido el Decreto 0287 de 2026, el cual, como se indicó en la respuesta del presente concepto, establece un Sistema Integral de Preferencias compuesto por cinco medidas afirmativas que actúan en todas las fases del proceso contractual: planeación, selección, adjudicación y ejecución. Dicho sistema se orienta a beneficiar a dos sujetos diferenciados: los emprendimientos y empresas de PcD y los empleadores de PcD. A continuación, se desarrolla el alcance de cada aspecto del sistema planteado en los problemas jurídicos.</w:t>
      </w:r>
      <w:r w:rsidRPr="00E727F0">
        <w:rPr>
          <w:rFonts w:ascii="Verdana" w:hAnsi="Verdana"/>
        </w:rPr>
        <w:t xml:space="preserve"> </w:t>
      </w:r>
    </w:p>
    <w:p w14:paraId="2F0DB084" w14:textId="77777777" w:rsidR="003A1BAC" w:rsidRPr="00E727F0" w:rsidRDefault="003A1BAC" w:rsidP="003A1BAC">
      <w:pPr>
        <w:spacing w:after="120" w:line="276" w:lineRule="auto"/>
        <w:ind w:firstLine="708"/>
        <w:jc w:val="both"/>
        <w:rPr>
          <w:rFonts w:ascii="Verdana" w:hAnsi="Verdana"/>
        </w:rPr>
      </w:pPr>
      <w:r w:rsidRPr="00206556">
        <w:rPr>
          <w:rFonts w:ascii="Verdana" w:hAnsi="Verdana"/>
        </w:rPr>
        <w:t>(</w:t>
      </w:r>
      <w:proofErr w:type="spellStart"/>
      <w:r w:rsidRPr="00206556">
        <w:rPr>
          <w:rFonts w:ascii="Verdana" w:hAnsi="Verdana"/>
        </w:rPr>
        <w:t>ii</w:t>
      </w:r>
      <w:proofErr w:type="spellEnd"/>
      <w:r w:rsidRPr="00206556">
        <w:rPr>
          <w:rFonts w:ascii="Verdana" w:hAnsi="Verdana"/>
        </w:rPr>
        <w:t xml:space="preserve">) </w:t>
      </w:r>
      <w:r w:rsidRPr="00E727F0">
        <w:rPr>
          <w:rFonts w:ascii="Verdana" w:eastAsia="Times New Roman" w:hAnsi="Verdana" w:cs="Times New Roman"/>
        </w:rPr>
        <w:t>Uno de los incentivos centrales que el Decreto 0287 de 2026 establece en favor de los partícipes del sistema es el puntaje adicional del 2%, previsto en el artículo 2.2.1.2.4.2.7.4. del Decreto 1082 de 2015 (modificado). Este puntaje puede obtenerse acreditando cualquiera de las dos condiciones que la norma contempla: ser emprendimiento o empresa de PcD, conforme a las categorías del artículo 2.2.1.2.4.2.6., o ser empleador de PcD que supere los mínimos de vinculación exigidos por la Ley 2466 de 2025 (Reforma Laboral). Sin embargo, el hecho de que ambas condiciones puedan acreditarse simultáneamente no significa que el puntaje sea acumulable. El mismo artículo es explícito al disponer que:</w:t>
      </w:r>
    </w:p>
    <w:p w14:paraId="3B3982BC" w14:textId="77777777" w:rsidR="003A1BAC" w:rsidRPr="00FE07F8" w:rsidRDefault="003A1BAC" w:rsidP="003A1BAC">
      <w:pPr>
        <w:spacing w:before="120" w:after="120" w:line="240" w:lineRule="auto"/>
        <w:ind w:left="709" w:right="709"/>
        <w:jc w:val="both"/>
        <w:rPr>
          <w:rFonts w:ascii="Verdana" w:hAnsi="Verdana"/>
          <w:sz w:val="21"/>
          <w:szCs w:val="21"/>
        </w:rPr>
      </w:pPr>
      <w:r w:rsidRPr="00FE07F8">
        <w:rPr>
          <w:rFonts w:ascii="Verdana" w:eastAsia="Times New Roman" w:hAnsi="Verdana" w:cs="Times New Roman"/>
          <w:i/>
          <w:iCs/>
          <w:sz w:val="21"/>
          <w:szCs w:val="21"/>
        </w:rPr>
        <w:t xml:space="preserve">"El proponente podrá acreditar alguna de las situaciones mencionadas, y en todo caso el puntaje adicional total y único a otorgar por este </w:t>
      </w:r>
      <w:r w:rsidRPr="00FE07F8">
        <w:rPr>
          <w:rFonts w:ascii="Verdana" w:eastAsia="Times New Roman" w:hAnsi="Verdana" w:cs="Times New Roman"/>
          <w:i/>
          <w:iCs/>
          <w:sz w:val="21"/>
          <w:szCs w:val="21"/>
        </w:rPr>
        <w:lastRenderedPageBreak/>
        <w:t>criterio será del dos por ciento (2%), sin que sean acumulables a efecto de la evaluación de la oferta."</w:t>
      </w:r>
    </w:p>
    <w:p w14:paraId="285932CD" w14:textId="77777777" w:rsidR="003A1BAC" w:rsidRPr="00206556" w:rsidRDefault="003A1BAC" w:rsidP="003A1BAC">
      <w:pPr>
        <w:spacing w:after="120" w:line="276" w:lineRule="auto"/>
        <w:ind w:firstLine="709"/>
        <w:jc w:val="both"/>
        <w:rPr>
          <w:rFonts w:ascii="Verdana" w:hAnsi="Verdana"/>
        </w:rPr>
      </w:pPr>
      <w:r w:rsidRPr="00E727F0">
        <w:rPr>
          <w:rFonts w:ascii="Verdana" w:eastAsia="Times New Roman" w:hAnsi="Verdana" w:cs="Times New Roman"/>
        </w:rPr>
        <w:t>Esta decisión normativa responde a una razón de diseño del sistema: el 2% ya incorpora el estímulo suficiente para promover la inclusión de PcD,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00FEA769" w14:textId="77777777" w:rsidR="003A1BAC" w:rsidRPr="00D22B7C" w:rsidRDefault="003A1BAC" w:rsidP="003A1BAC">
      <w:pPr>
        <w:spacing w:after="120" w:line="276" w:lineRule="auto"/>
        <w:ind w:firstLine="709"/>
        <w:jc w:val="both"/>
        <w:rPr>
          <w:rFonts w:ascii="Verdana" w:hAnsi="Verdana"/>
        </w:rPr>
      </w:pPr>
      <w:r w:rsidRPr="00206556">
        <w:rPr>
          <w:rFonts w:ascii="Verdana" w:eastAsia="Times New Roman" w:hAnsi="Verdana" w:cs="Times New Roman"/>
        </w:rPr>
        <w:t>(</w:t>
      </w:r>
      <w:proofErr w:type="spellStart"/>
      <w:r w:rsidRPr="00206556">
        <w:rPr>
          <w:rFonts w:ascii="Verdana" w:eastAsia="Times New Roman" w:hAnsi="Verdana" w:cs="Times New Roman"/>
        </w:rPr>
        <w:t>iii</w:t>
      </w:r>
      <w:proofErr w:type="spellEnd"/>
      <w:r w:rsidRPr="00206556">
        <w:rPr>
          <w:rFonts w:ascii="Verdana" w:eastAsia="Times New Roman" w:hAnsi="Verdana" w:cs="Times New Roman"/>
        </w:rPr>
        <w:t xml:space="preserve">) </w:t>
      </w:r>
      <w:r w:rsidRPr="00D22B7C">
        <w:rPr>
          <w:rFonts w:ascii="Verdana" w:eastAsia="Times New Roman" w:hAnsi="Verdana" w:cs="Times New Roman"/>
        </w:rPr>
        <w:t xml:space="preserve">En cuanto </w:t>
      </w:r>
      <w:r>
        <w:rPr>
          <w:rFonts w:ascii="Verdana" w:eastAsia="Times New Roman" w:hAnsi="Verdana" w:cs="Times New Roman"/>
        </w:rPr>
        <w:t>a las condiciones para acceder al puntaje, e</w:t>
      </w:r>
      <w:r w:rsidRPr="006E7113">
        <w:rPr>
          <w:rFonts w:ascii="Verdana" w:eastAsia="Times New Roman" w:hAnsi="Verdana" w:cs="Times New Roman"/>
        </w:rPr>
        <w:t xml:space="preserve">l artículo 2.2.1.2.4.2.7.4. del Decreto 0287 de 2026 establece que para </w:t>
      </w:r>
      <w:r>
        <w:rPr>
          <w:rFonts w:ascii="Verdana" w:eastAsia="Times New Roman" w:hAnsi="Verdana" w:cs="Times New Roman"/>
        </w:rPr>
        <w:t>obtener los puntos</w:t>
      </w:r>
      <w:r w:rsidRPr="00D22B7C">
        <w:rPr>
          <w:rFonts w:ascii="Verdana" w:eastAsia="Times New Roman" w:hAnsi="Verdana" w:cs="Times New Roman"/>
        </w:rPr>
        <w:t xml:space="preserve"> adicional</w:t>
      </w:r>
      <w:r>
        <w:rPr>
          <w:rFonts w:ascii="Verdana" w:eastAsia="Times New Roman" w:hAnsi="Verdana" w:cs="Times New Roman"/>
        </w:rPr>
        <w:t xml:space="preserve">es se debe cumplir una de las siguientes condiciones: i) ser emprendimiento y empresa de personas con discapacidad, o </w:t>
      </w:r>
      <w:proofErr w:type="spellStart"/>
      <w:r>
        <w:rPr>
          <w:rFonts w:ascii="Verdana" w:eastAsia="Times New Roman" w:hAnsi="Verdana" w:cs="Times New Roman"/>
        </w:rPr>
        <w:t>ii</w:t>
      </w:r>
      <w:proofErr w:type="spellEnd"/>
      <w:r>
        <w:rPr>
          <w:rFonts w:ascii="Verdana" w:eastAsia="Times New Roman" w:hAnsi="Verdana" w:cs="Times New Roman"/>
        </w:rPr>
        <w:t>) ser empleador</w:t>
      </w:r>
      <w:r w:rsidRPr="00D22B7C">
        <w:rPr>
          <w:rFonts w:ascii="Verdana" w:eastAsia="Times New Roman" w:hAnsi="Verdana" w:cs="Times New Roman"/>
        </w:rPr>
        <w:t xml:space="preserve"> de PcD,</w:t>
      </w:r>
      <w:r>
        <w:rPr>
          <w:rFonts w:ascii="Verdana" w:eastAsia="Times New Roman" w:hAnsi="Verdana" w:cs="Times New Roman"/>
        </w:rPr>
        <w:t xml:space="preserve"> y en este último caso</w:t>
      </w:r>
      <w:r w:rsidRPr="00D22B7C">
        <w:rPr>
          <w:rFonts w:ascii="Verdana" w:eastAsia="Times New Roman" w:hAnsi="Verdana" w:cs="Times New Roman"/>
        </w:rPr>
        <w:t xml:space="preserve"> el proponente debe acreditar dentro de su planta de personal la vinculación de personas con discapacidad mediante contrato laboral con dedicación exclusiva, superando los mínimos que exige la Ley 2466 de 2025 (Reforma Laboral). El número mínimo de PcD requerido varía según el tamaño de la planta de personal del proponente, conforme a la siguiente tabla:</w:t>
      </w:r>
    </w:p>
    <w:p w14:paraId="44691ED1" w14:textId="77777777" w:rsidR="003A1BAC" w:rsidRPr="00D22B7C" w:rsidRDefault="003A1BAC" w:rsidP="003A1BAC">
      <w:pPr>
        <w:spacing w:after="100"/>
        <w:rPr>
          <w:rFonts w:ascii="Verdana" w:hAnsi="Verdana"/>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7"/>
        <w:gridCol w:w="2828"/>
      </w:tblGrid>
      <w:tr w:rsidR="003A1BAC" w:rsidRPr="00D22B7C" w14:paraId="687D5046"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D01032" w14:textId="77777777" w:rsidR="003A1BAC" w:rsidRPr="00D22B7C" w:rsidRDefault="003A1BAC" w:rsidP="002D3CDE">
            <w:pPr>
              <w:jc w:val="center"/>
              <w:rPr>
                <w:rFonts w:ascii="Verdana" w:hAnsi="Verdana"/>
              </w:rPr>
            </w:pPr>
            <w:r w:rsidRPr="00D22B7C">
              <w:rPr>
                <w:rFonts w:ascii="Verdana" w:eastAsia="Times New Roman" w:hAnsi="Verdana" w:cs="Times New Roman"/>
                <w:b/>
                <w:bCs/>
              </w:rPr>
              <w:t>Número total de trabajadores de la planta de personal del proponente</w:t>
            </w:r>
          </w:p>
        </w:tc>
        <w:tc>
          <w:tcPr>
            <w:tcW w:w="282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0A0C0E" w14:textId="77777777" w:rsidR="003A1BAC" w:rsidRPr="00D22B7C" w:rsidRDefault="003A1BAC" w:rsidP="002D3CDE">
            <w:pPr>
              <w:jc w:val="center"/>
              <w:rPr>
                <w:rFonts w:ascii="Verdana" w:hAnsi="Verdana"/>
              </w:rPr>
            </w:pPr>
            <w:r w:rsidRPr="00D22B7C">
              <w:rPr>
                <w:rFonts w:ascii="Verdana" w:eastAsia="Times New Roman" w:hAnsi="Verdana" w:cs="Times New Roman"/>
                <w:b/>
                <w:bCs/>
              </w:rPr>
              <w:t>Número mínimo de trabajadores con discapacidad requerido</w:t>
            </w:r>
          </w:p>
        </w:tc>
      </w:tr>
      <w:tr w:rsidR="003A1BAC" w:rsidRPr="00D22B7C" w14:paraId="2AFD91E1"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A7D6971" w14:textId="77777777" w:rsidR="003A1BAC" w:rsidRPr="00D22B7C" w:rsidRDefault="003A1BAC" w:rsidP="002D3CDE">
            <w:pPr>
              <w:jc w:val="center"/>
              <w:rPr>
                <w:rFonts w:ascii="Verdana" w:hAnsi="Verdana"/>
              </w:rPr>
            </w:pPr>
            <w:r w:rsidRPr="00D22B7C">
              <w:rPr>
                <w:rFonts w:ascii="Verdana" w:eastAsia="Times New Roman" w:hAnsi="Verdana" w:cs="Times New Roman"/>
              </w:rPr>
              <w:t>Entre 1 y 30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842EFFD" w14:textId="77777777" w:rsidR="003A1BAC" w:rsidRPr="00D22B7C" w:rsidRDefault="003A1BAC" w:rsidP="002D3CDE">
            <w:pPr>
              <w:jc w:val="center"/>
              <w:rPr>
                <w:rFonts w:ascii="Verdana" w:hAnsi="Verdana"/>
              </w:rPr>
            </w:pPr>
            <w:r w:rsidRPr="00D22B7C">
              <w:rPr>
                <w:rFonts w:ascii="Verdana" w:eastAsia="Times New Roman" w:hAnsi="Verdana" w:cs="Times New Roman"/>
              </w:rPr>
              <w:t>2</w:t>
            </w:r>
          </w:p>
        </w:tc>
      </w:tr>
      <w:tr w:rsidR="003A1BAC" w:rsidRPr="00D22B7C" w14:paraId="34C6D02C"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CD23DD4" w14:textId="77777777" w:rsidR="003A1BAC" w:rsidRPr="00D22B7C" w:rsidRDefault="003A1BAC" w:rsidP="002D3CDE">
            <w:pPr>
              <w:jc w:val="center"/>
              <w:rPr>
                <w:rFonts w:ascii="Verdana" w:hAnsi="Verdana"/>
              </w:rPr>
            </w:pPr>
            <w:r w:rsidRPr="00D22B7C">
              <w:rPr>
                <w:rFonts w:ascii="Verdana" w:eastAsia="Times New Roman" w:hAnsi="Verdana" w:cs="Times New Roman"/>
              </w:rPr>
              <w:t>Entre 31 y 100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89AC6BC" w14:textId="77777777" w:rsidR="003A1BAC" w:rsidRPr="00D22B7C" w:rsidRDefault="003A1BAC" w:rsidP="002D3CDE">
            <w:pPr>
              <w:jc w:val="center"/>
              <w:rPr>
                <w:rFonts w:ascii="Verdana" w:hAnsi="Verdana"/>
              </w:rPr>
            </w:pPr>
            <w:r w:rsidRPr="00D22B7C">
              <w:rPr>
                <w:rFonts w:ascii="Verdana" w:eastAsia="Times New Roman" w:hAnsi="Verdana" w:cs="Times New Roman"/>
              </w:rPr>
              <w:t>3</w:t>
            </w:r>
          </w:p>
        </w:tc>
      </w:tr>
      <w:tr w:rsidR="003A1BAC" w:rsidRPr="00D22B7C" w14:paraId="7A8DF6F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A2CF276" w14:textId="77777777" w:rsidR="003A1BAC" w:rsidRPr="00D22B7C" w:rsidRDefault="003A1BAC" w:rsidP="002D3CDE">
            <w:pPr>
              <w:jc w:val="center"/>
              <w:rPr>
                <w:rFonts w:ascii="Verdana" w:hAnsi="Verdana"/>
              </w:rPr>
            </w:pPr>
            <w:r w:rsidRPr="00D22B7C">
              <w:rPr>
                <w:rFonts w:ascii="Verdana" w:eastAsia="Times New Roman" w:hAnsi="Verdana" w:cs="Times New Roman"/>
              </w:rPr>
              <w:t>Entre 101 y 150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95E87D6" w14:textId="77777777" w:rsidR="003A1BAC" w:rsidRPr="00D22B7C" w:rsidRDefault="003A1BAC" w:rsidP="002D3CDE">
            <w:pPr>
              <w:jc w:val="center"/>
              <w:rPr>
                <w:rFonts w:ascii="Verdana" w:hAnsi="Verdana"/>
              </w:rPr>
            </w:pPr>
            <w:r w:rsidRPr="00D22B7C">
              <w:rPr>
                <w:rFonts w:ascii="Verdana" w:eastAsia="Times New Roman" w:hAnsi="Verdana" w:cs="Times New Roman"/>
              </w:rPr>
              <w:t>4</w:t>
            </w:r>
          </w:p>
        </w:tc>
      </w:tr>
      <w:tr w:rsidR="003A1BAC" w:rsidRPr="00D22B7C" w14:paraId="6CE6E56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347E328" w14:textId="77777777" w:rsidR="003A1BAC" w:rsidRPr="00D22B7C" w:rsidRDefault="003A1BAC" w:rsidP="002D3CDE">
            <w:pPr>
              <w:jc w:val="center"/>
              <w:rPr>
                <w:rFonts w:ascii="Verdana" w:hAnsi="Verdana"/>
              </w:rPr>
            </w:pPr>
            <w:r w:rsidRPr="00D22B7C">
              <w:rPr>
                <w:rFonts w:ascii="Verdana" w:eastAsia="Times New Roman" w:hAnsi="Verdana" w:cs="Times New Roman"/>
              </w:rPr>
              <w:t>Entre 151 y 200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7E23A63" w14:textId="77777777" w:rsidR="003A1BAC" w:rsidRPr="00D22B7C" w:rsidRDefault="003A1BAC" w:rsidP="002D3CDE">
            <w:pPr>
              <w:jc w:val="center"/>
              <w:rPr>
                <w:rFonts w:ascii="Verdana" w:hAnsi="Verdana"/>
              </w:rPr>
            </w:pPr>
            <w:r w:rsidRPr="00D22B7C">
              <w:rPr>
                <w:rFonts w:ascii="Verdana" w:eastAsia="Times New Roman" w:hAnsi="Verdana" w:cs="Times New Roman"/>
              </w:rPr>
              <w:t>5</w:t>
            </w:r>
          </w:p>
        </w:tc>
      </w:tr>
      <w:tr w:rsidR="003A1BAC" w:rsidRPr="00D22B7C" w14:paraId="417DA4E2"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0FB3013" w14:textId="77777777" w:rsidR="003A1BAC" w:rsidRPr="00D22B7C" w:rsidRDefault="003A1BAC" w:rsidP="002D3CDE">
            <w:pPr>
              <w:jc w:val="center"/>
              <w:rPr>
                <w:rFonts w:ascii="Verdana" w:hAnsi="Verdana"/>
              </w:rPr>
            </w:pPr>
            <w:r w:rsidRPr="00D22B7C">
              <w:rPr>
                <w:rFonts w:ascii="Verdana" w:eastAsia="Times New Roman" w:hAnsi="Verdana" w:cs="Times New Roman"/>
              </w:rPr>
              <w:lastRenderedPageBreak/>
              <w:t>Entre 201 y 300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F7047C1" w14:textId="77777777" w:rsidR="003A1BAC" w:rsidRPr="00D22B7C" w:rsidRDefault="003A1BAC" w:rsidP="002D3CDE">
            <w:pPr>
              <w:jc w:val="center"/>
              <w:rPr>
                <w:rFonts w:ascii="Verdana" w:hAnsi="Verdana"/>
              </w:rPr>
            </w:pPr>
            <w:r w:rsidRPr="00D22B7C">
              <w:rPr>
                <w:rFonts w:ascii="Verdana" w:eastAsia="Times New Roman" w:hAnsi="Verdana" w:cs="Times New Roman"/>
              </w:rPr>
              <w:t>7</w:t>
            </w:r>
          </w:p>
        </w:tc>
      </w:tr>
      <w:tr w:rsidR="003A1BAC" w:rsidRPr="00D22B7C" w14:paraId="7B8D7030"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C2B4FFD" w14:textId="77777777" w:rsidR="003A1BAC" w:rsidRPr="00D22B7C" w:rsidRDefault="003A1BAC" w:rsidP="002D3CDE">
            <w:pPr>
              <w:jc w:val="center"/>
              <w:rPr>
                <w:rFonts w:ascii="Verdana" w:hAnsi="Verdana"/>
              </w:rPr>
            </w:pPr>
            <w:r w:rsidRPr="00D22B7C">
              <w:rPr>
                <w:rFonts w:ascii="Verdana" w:eastAsia="Times New Roman" w:hAnsi="Verdana" w:cs="Times New Roman"/>
              </w:rPr>
              <w:t>Entre 301 y 400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4A8673C" w14:textId="77777777" w:rsidR="003A1BAC" w:rsidRPr="00D22B7C" w:rsidRDefault="003A1BAC" w:rsidP="002D3CDE">
            <w:pPr>
              <w:jc w:val="center"/>
              <w:rPr>
                <w:rFonts w:ascii="Verdana" w:hAnsi="Verdana"/>
              </w:rPr>
            </w:pPr>
            <w:r w:rsidRPr="00D22B7C">
              <w:rPr>
                <w:rFonts w:ascii="Verdana" w:eastAsia="Times New Roman" w:hAnsi="Verdana" w:cs="Times New Roman"/>
              </w:rPr>
              <w:t>10</w:t>
            </w:r>
          </w:p>
        </w:tc>
      </w:tr>
      <w:tr w:rsidR="003A1BAC" w:rsidRPr="00D22B7C" w14:paraId="6FDFA5E6"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C15EA54" w14:textId="77777777" w:rsidR="003A1BAC" w:rsidRPr="00D22B7C" w:rsidRDefault="003A1BAC" w:rsidP="002D3CDE">
            <w:pPr>
              <w:jc w:val="center"/>
              <w:rPr>
                <w:rFonts w:ascii="Verdana" w:hAnsi="Verdana"/>
              </w:rPr>
            </w:pPr>
            <w:r w:rsidRPr="00D22B7C">
              <w:rPr>
                <w:rFonts w:ascii="Verdana" w:eastAsia="Times New Roman" w:hAnsi="Verdana" w:cs="Times New Roman"/>
              </w:rPr>
              <w:t>Entre 401 y 500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FCB9352" w14:textId="77777777" w:rsidR="003A1BAC" w:rsidRPr="00D22B7C" w:rsidRDefault="003A1BAC" w:rsidP="002D3CDE">
            <w:pPr>
              <w:jc w:val="center"/>
              <w:rPr>
                <w:rFonts w:ascii="Verdana" w:hAnsi="Verdana"/>
              </w:rPr>
            </w:pPr>
            <w:r w:rsidRPr="00D22B7C">
              <w:rPr>
                <w:rFonts w:ascii="Verdana" w:eastAsia="Times New Roman" w:hAnsi="Verdana" w:cs="Times New Roman"/>
              </w:rPr>
              <w:t>12</w:t>
            </w:r>
          </w:p>
        </w:tc>
      </w:tr>
      <w:tr w:rsidR="003A1BAC" w:rsidRPr="00D22B7C" w14:paraId="17570C6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1EC6528" w14:textId="77777777" w:rsidR="003A1BAC" w:rsidRPr="00D22B7C" w:rsidRDefault="003A1BAC" w:rsidP="002D3CDE">
            <w:pPr>
              <w:jc w:val="center"/>
              <w:rPr>
                <w:rFonts w:ascii="Verdana" w:hAnsi="Verdana"/>
              </w:rPr>
            </w:pPr>
            <w:r w:rsidRPr="00D22B7C">
              <w:rPr>
                <w:rFonts w:ascii="Verdana" w:eastAsia="Times New Roman" w:hAnsi="Verdana" w:cs="Times New Roman"/>
              </w:rPr>
              <w:t>Entre 501 y 600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4F1B26F" w14:textId="77777777" w:rsidR="003A1BAC" w:rsidRPr="00D22B7C" w:rsidRDefault="003A1BAC" w:rsidP="002D3CDE">
            <w:pPr>
              <w:jc w:val="center"/>
              <w:rPr>
                <w:rFonts w:ascii="Verdana" w:hAnsi="Verdana"/>
              </w:rPr>
            </w:pPr>
            <w:r w:rsidRPr="00D22B7C">
              <w:rPr>
                <w:rFonts w:ascii="Verdana" w:eastAsia="Times New Roman" w:hAnsi="Verdana" w:cs="Times New Roman"/>
              </w:rPr>
              <w:t>14</w:t>
            </w:r>
          </w:p>
        </w:tc>
      </w:tr>
      <w:tr w:rsidR="003A1BAC" w:rsidRPr="00D22B7C" w14:paraId="5EC404AB"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183176C" w14:textId="77777777" w:rsidR="003A1BAC" w:rsidRPr="00D22B7C" w:rsidRDefault="003A1BAC" w:rsidP="002D3CDE">
            <w:pPr>
              <w:jc w:val="center"/>
              <w:rPr>
                <w:rFonts w:ascii="Verdana" w:hAnsi="Verdana"/>
              </w:rPr>
            </w:pPr>
            <w:r w:rsidRPr="00D22B7C">
              <w:rPr>
                <w:rFonts w:ascii="Verdana" w:eastAsia="Times New Roman" w:hAnsi="Verdana" w:cs="Times New Roman"/>
              </w:rPr>
              <w:t>Entre 601 y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D263B77" w14:textId="77777777" w:rsidR="003A1BAC" w:rsidRPr="00D22B7C" w:rsidRDefault="003A1BAC" w:rsidP="002D3CDE">
            <w:pPr>
              <w:jc w:val="center"/>
              <w:rPr>
                <w:rFonts w:ascii="Verdana" w:hAnsi="Verdana"/>
              </w:rPr>
            </w:pPr>
            <w:r w:rsidRPr="00D22B7C">
              <w:rPr>
                <w:rFonts w:ascii="Verdana" w:eastAsia="Times New Roman" w:hAnsi="Verdana" w:cs="Times New Roman"/>
              </w:rPr>
              <w:t>16</w:t>
            </w:r>
          </w:p>
        </w:tc>
      </w:tr>
      <w:tr w:rsidR="003A1BAC" w:rsidRPr="00D22B7C" w14:paraId="49819B5E"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0F4018E" w14:textId="77777777" w:rsidR="003A1BAC" w:rsidRPr="00D22B7C" w:rsidRDefault="003A1BAC" w:rsidP="002D3CDE">
            <w:pPr>
              <w:jc w:val="center"/>
              <w:rPr>
                <w:rFonts w:ascii="Verdana" w:hAnsi="Verdana"/>
              </w:rPr>
            </w:pPr>
            <w:r w:rsidRPr="00D22B7C">
              <w:rPr>
                <w:rFonts w:ascii="Verdana" w:eastAsia="Times New Roman" w:hAnsi="Verdana" w:cs="Times New Roman"/>
              </w:rPr>
              <w:t>Más de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BEC7642" w14:textId="77777777" w:rsidR="003A1BAC" w:rsidRPr="00D22B7C" w:rsidRDefault="003A1BAC" w:rsidP="002D3CDE">
            <w:pPr>
              <w:jc w:val="center"/>
              <w:rPr>
                <w:rFonts w:ascii="Verdana" w:hAnsi="Verdana"/>
              </w:rPr>
            </w:pPr>
            <w:r w:rsidRPr="00D22B7C">
              <w:rPr>
                <w:rFonts w:ascii="Verdana" w:eastAsia="Times New Roman" w:hAnsi="Verdana" w:cs="Times New Roman"/>
              </w:rPr>
              <w:t>Por cada 100 trabajadores adicionales, se suman 2 trabajadores con discapacidad</w:t>
            </w:r>
          </w:p>
        </w:tc>
      </w:tr>
    </w:tbl>
    <w:p w14:paraId="0C323361" w14:textId="77777777" w:rsidR="003A1BAC" w:rsidRPr="00D22B7C" w:rsidRDefault="003A1BAC" w:rsidP="003A1BAC">
      <w:pPr>
        <w:spacing w:after="0" w:line="276" w:lineRule="auto"/>
        <w:rPr>
          <w:rFonts w:ascii="Verdana" w:hAnsi="Verdana"/>
        </w:rPr>
      </w:pPr>
    </w:p>
    <w:p w14:paraId="7CE9B5A0" w14:textId="77777777" w:rsidR="003A1BAC" w:rsidRPr="00D22B7C" w:rsidRDefault="003A1BAC" w:rsidP="003A1BAC">
      <w:pPr>
        <w:spacing w:after="120" w:line="276" w:lineRule="auto"/>
        <w:ind w:firstLine="709"/>
        <w:jc w:val="both"/>
        <w:rPr>
          <w:rFonts w:ascii="Verdana" w:hAnsi="Verdana"/>
        </w:rPr>
      </w:pPr>
      <w:r w:rsidRPr="00D22B7C">
        <w:rPr>
          <w:rFonts w:ascii="Verdana" w:eastAsia="Times New Roman" w:hAnsi="Verdana" w:cs="Times New Roman"/>
        </w:rPr>
        <w:t>El puntaje no se otorga por cumplir la ley sino por superarla: solo el proponente que acredite un número de PcD vinculadas igual o superior al indicado en la tabla tendrá derecho al puntaje adicional del 2%. Esta precisión es relevante porque evita que el proponente confunda el mínimo legal de vinculación con el umbral exigido para acceder al beneficio contractual. Cuando se trate de un proponente plural, se tomará en cuenta únicamente la planta de personal del integrante con mayor participación porcentual en el consorcio o unión temporal</w:t>
      </w:r>
      <w:r>
        <w:rPr>
          <w:rFonts w:ascii="Verdana" w:eastAsia="Times New Roman" w:hAnsi="Verdana" w:cs="Times New Roman"/>
        </w:rPr>
        <w:t>, sin que se exija el aporte de experiencia</w:t>
      </w:r>
      <w:r w:rsidRPr="00D22B7C">
        <w:rPr>
          <w:rFonts w:ascii="Verdana" w:eastAsia="Times New Roman" w:hAnsi="Verdana" w:cs="Times New Roman"/>
        </w:rPr>
        <w:t>.</w:t>
      </w:r>
    </w:p>
    <w:p w14:paraId="2CE9AD78" w14:textId="77777777" w:rsidR="003A1BAC" w:rsidRDefault="003A1BAC" w:rsidP="003A1BAC">
      <w:pPr>
        <w:spacing w:after="120" w:line="276" w:lineRule="auto"/>
        <w:ind w:firstLine="708"/>
        <w:jc w:val="both"/>
        <w:rPr>
          <w:rFonts w:ascii="Verdana" w:eastAsia="Times New Roman" w:hAnsi="Verdana" w:cs="Times New Roman"/>
        </w:rPr>
      </w:pPr>
      <w:r>
        <w:rPr>
          <w:rFonts w:ascii="Verdana" w:eastAsia="Times New Roman" w:hAnsi="Verdana" w:cs="Times New Roman"/>
        </w:rPr>
        <w:t>Por otra parte, respecto de la calidad de emprendimiento y empresa de persona con discapacidad el decreto dispone 4 categorías en las que una persona natural o jurídica tendrá esa calidad:</w:t>
      </w:r>
    </w:p>
    <w:p w14:paraId="1BB08F44"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w:t>
      </w:r>
      <w:r>
        <w:rPr>
          <w:rFonts w:ascii="Verdana" w:eastAsia="Times New Roman" w:hAnsi="Verdana" w:cs="Times New Roman"/>
          <w:i/>
          <w:iCs/>
          <w:sz w:val="21"/>
          <w:szCs w:val="21"/>
        </w:rPr>
        <w:t>(…)</w:t>
      </w:r>
      <w:r w:rsidRPr="00E4530E">
        <w:rPr>
          <w:rFonts w:ascii="Verdana" w:eastAsia="Times New Roman" w:hAnsi="Verdana" w:cs="Times New Roman"/>
          <w:i/>
          <w:iCs/>
          <w:sz w:val="21"/>
          <w:szCs w:val="21"/>
        </w:rPr>
        <w:t>1) Personas naturales con discapacidad que ejerzan una profesión liberal. Esta circunstancia se acreditará mediante la copia de cedula de ciudadanía, la cedula de extranjería o el pasaporte, el certificado de discapacidad expedido de acuerdo con la normativa del Ministerio de Salud y Protección Social, así coma el título profesional correspondiente.</w:t>
      </w:r>
    </w:p>
    <w:p w14:paraId="5F74DFCB"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 xml:space="preserve">2) Personas naturales con discapacidad que hayan realizado actividades comerciales a través de un establecimiento de comercio, durante al menos el último año anterior a la fecha de cierre del proceso de selección. Esta circunstancia se acreditará mediante la copia de </w:t>
      </w:r>
      <w:r w:rsidRPr="00E4530E">
        <w:rPr>
          <w:rFonts w:ascii="Verdana" w:eastAsia="Times New Roman" w:hAnsi="Verdana" w:cs="Times New Roman"/>
          <w:i/>
          <w:iCs/>
          <w:sz w:val="21"/>
          <w:szCs w:val="21"/>
        </w:rPr>
        <w:lastRenderedPageBreak/>
        <w:t>cedula de ciudadanía, la cedula de extranjera o el pasaporte, el certificado de discapacidad expedido de acuerdo con la normativa del Ministerio de Salud y Protección Social, así coma la copia del registro mercantil.</w:t>
      </w:r>
    </w:p>
    <w:p w14:paraId="21BA6283"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3) Personas jurídicas donde más del cincuenta por ciento (50%) de sus acciones, partes de interés o cuotas de participación pertenezcan a personas con discapacidad y los derechos de propiedad hayan pertenecido a estas durante al menos el último año anterior a la fecha de cierre del Proceso de Selección.</w:t>
      </w:r>
    </w:p>
    <w:p w14:paraId="0662076C"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La circunstancia de la propiedad de la persona jurídica se acreditará mediante certificación expedida por el representante legal y el revisor fiscal, cuando exista, de acuerdo con los requerimientos de ley o, el contador, donde conste la distribución de l</w:t>
      </w:r>
      <w:r>
        <w:rPr>
          <w:rFonts w:ascii="Verdana" w:eastAsia="Times New Roman" w:hAnsi="Verdana" w:cs="Times New Roman"/>
          <w:i/>
          <w:iCs/>
          <w:sz w:val="21"/>
          <w:szCs w:val="21"/>
        </w:rPr>
        <w:t>o</w:t>
      </w:r>
      <w:r w:rsidRPr="00E4530E">
        <w:rPr>
          <w:rFonts w:ascii="Verdana" w:eastAsia="Times New Roman" w:hAnsi="Verdana" w:cs="Times New Roman"/>
          <w:i/>
          <w:iCs/>
          <w:sz w:val="21"/>
          <w:szCs w:val="21"/>
        </w:rPr>
        <w:t>s derechos en la sociedad y el tiempo en el que las personas con discapacidad han mantenido su participación. Adicionalmente se debe adjuntar la copia de cedula de ciudadanía, la cedula de extranjera o el pasaporte, el certificado de discapacidad expedido de acuerdo con la normativa del Ministerio de Salud y Protección Social, así como la copia del certificado de existencia y representación legal.</w:t>
      </w:r>
    </w:p>
    <w:p w14:paraId="79C366D0"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4) Personas jurídicas que tengan vinculadas laboralmente al menos una persona con discapacidad en empleos del nivel directivo de la empresa durante al menos el último año anterior a la fecha de cierre del Proceso de Selección en el mismo cargo u otro del mismo nivel.</w:t>
      </w:r>
    </w:p>
    <w:p w14:paraId="584C3CB0"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Por otra parte,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7FC100FA"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Esta circunstancia se acreditará mediante certificación expedida por el representante legal y el revisor fiscal, cuando exista de acuerdo con los requerimientos de ley, o el contador, donde se señale de manera detallada las personas con discapacidad que ocupan cargos de nivel directivo del proponente y el tiempo de vinculación.</w:t>
      </w:r>
    </w:p>
    <w:p w14:paraId="2A4F7D3E" w14:textId="77777777" w:rsidR="003A1BAC"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 xml:space="preserve">La certificación deberá relacionar el nombre completo y el número de documento de identidad de las personas con discapacidad que ocupan cargos de nivel directivo del proponente. Como soporte, se anexará copia de los respectivos documentos de identidad, copia de los contratos de trabajo o certificación laboral con las funciones, así como el certificado de aportes a seguridad social del último año en el que se </w:t>
      </w:r>
      <w:r w:rsidRPr="00E4530E">
        <w:rPr>
          <w:rFonts w:ascii="Verdana" w:eastAsia="Times New Roman" w:hAnsi="Verdana" w:cs="Times New Roman"/>
          <w:i/>
          <w:iCs/>
          <w:sz w:val="21"/>
          <w:szCs w:val="21"/>
        </w:rPr>
        <w:lastRenderedPageBreak/>
        <w:t>demuestren los pagos realizados por el empleador, y el certificado de discapacidad expedido de acuerdo con la normativa del Ministerio de Salud y Protección Social</w:t>
      </w:r>
      <w:r>
        <w:rPr>
          <w:rFonts w:ascii="Verdana" w:eastAsia="Times New Roman" w:hAnsi="Verdana" w:cs="Times New Roman"/>
          <w:i/>
          <w:iCs/>
          <w:sz w:val="21"/>
          <w:szCs w:val="21"/>
        </w:rPr>
        <w:t>”.</w:t>
      </w:r>
    </w:p>
    <w:p w14:paraId="46848844" w14:textId="77777777" w:rsidR="003A1BAC" w:rsidRPr="00E4530E" w:rsidRDefault="003A1BAC" w:rsidP="003A1BAC">
      <w:pPr>
        <w:spacing w:after="120" w:line="276" w:lineRule="auto"/>
        <w:ind w:firstLine="709"/>
        <w:jc w:val="both"/>
        <w:rPr>
          <w:rFonts w:ascii="Verdana" w:hAnsi="Verdana"/>
        </w:rPr>
      </w:pPr>
      <w:r w:rsidRPr="00E4530E">
        <w:rPr>
          <w:rFonts w:ascii="Verdana" w:hAnsi="Verdana"/>
        </w:rPr>
        <w:t>Por tanto,</w:t>
      </w:r>
      <w:r w:rsidRPr="000911C8">
        <w:rPr>
          <w:rFonts w:ascii="Verdana" w:eastAsia="Calibri" w:hAnsi="Verdana" w:cs="Arial"/>
        </w:rPr>
        <w:t xml:space="preserve"> </w:t>
      </w:r>
      <w:r>
        <w:rPr>
          <w:rFonts w:ascii="Verdana" w:eastAsia="Calibri" w:hAnsi="Verdana" w:cs="Arial"/>
        </w:rPr>
        <w:t>de acuerdo con su consulta, si un proponente acredita un (1) trabajador con discapacidad que ejerce un cargo del nivel directivo para la obtención del puntaje, podrá ser considerado emprendimiento y empresa de personas con discapacidad de acuerdo con el artículo 2.2.1.2.4.2.6, numeral 4. Lo anterior siempre y cuando acredite que la persona con discapacidad en el cargo de nivel directivo, lo ha ejercido durante al menos el último año anterior a la fecha de cierre del proceso, lo cual debe ser acreditado de acuerdo con los documentos anteriormente citados. En este caso, será considerado emprendimiento y empresa de personas con discapacidad que es una de las dos condiciones para obtener el puntaje señalado en el artículo 2.2.1.2.4.2.7.4 del Decreto 287 de 2026, ya que la segunda condición que es tener vinculadas personas con discapacidad de acuerdo con la tabla del mismo artículo, no se cumpliría porque se requiere como mínimo dos (2) personas con discapacidad vinculadas; pero el artículo señala que con cumplir solo una (1) de las dos condiciones se accede al puntaje.</w:t>
      </w:r>
    </w:p>
    <w:p w14:paraId="656C8340" w14:textId="77777777" w:rsidR="003A1BAC" w:rsidRPr="00D22B7C" w:rsidRDefault="003A1BAC" w:rsidP="003A1BAC">
      <w:pPr>
        <w:spacing w:after="120" w:line="276" w:lineRule="auto"/>
        <w:ind w:firstLine="709"/>
        <w:jc w:val="both"/>
        <w:rPr>
          <w:rFonts w:ascii="Verdana" w:hAnsi="Verdana"/>
        </w:rPr>
      </w:pPr>
      <w:r w:rsidRPr="00206556">
        <w:rPr>
          <w:rFonts w:ascii="Verdana" w:hAnsi="Verdana"/>
        </w:rPr>
        <w:t>(</w:t>
      </w:r>
      <w:proofErr w:type="spellStart"/>
      <w:r>
        <w:rPr>
          <w:rFonts w:ascii="Verdana" w:hAnsi="Verdana"/>
        </w:rPr>
        <w:t>iv</w:t>
      </w:r>
      <w:proofErr w:type="spellEnd"/>
      <w:r w:rsidRPr="00206556">
        <w:rPr>
          <w:rFonts w:ascii="Verdana" w:hAnsi="Verdana"/>
        </w:rPr>
        <w:t>) En relación, al ámbito de aplicación del puntaje adicional del 2%</w:t>
      </w:r>
      <w:r>
        <w:rPr>
          <w:rFonts w:ascii="Verdana" w:hAnsi="Verdana"/>
        </w:rPr>
        <w:t>, e</w:t>
      </w:r>
      <w:r w:rsidRPr="00206556">
        <w:rPr>
          <w:rFonts w:ascii="Verdana" w:hAnsi="Verdana"/>
        </w:rPr>
        <w:t xml:space="preserve">l artículo 2.2.1.2.4.2.7.4. del Decreto 0287 de 2026 establece este puntaje exclusivamente en los procedimientos de licitación pública y concurso de méritos, para entidades regidas por </w:t>
      </w:r>
      <w:r>
        <w:rPr>
          <w:rFonts w:ascii="Verdana" w:hAnsi="Verdana"/>
        </w:rPr>
        <w:t>el Estatuto General de Contratación Pública</w:t>
      </w:r>
      <w:r w:rsidRPr="00206556">
        <w:rPr>
          <w:rFonts w:ascii="Verdana" w:hAnsi="Verdana"/>
        </w:rPr>
        <w:t xml:space="preserve">. La restricción obedece a que el puntaje solo tiene lugar en procesos de selección competitiva con evaluación comparativa de propuestas; en la contratación directa no hay concurrencia ni asignación de puntos, de modo que técnicamente no es posible aplicarlo. No obstante, la ausencia del puntaje en otras modalidades y regímenes no equivale a la ausencia de medidas afirmativas: los criterios habilitantes diferenciales aplican en régimen especial; las compras públicas accesibles y las condiciones especiales de ejecución aplican en todas las modalidades </w:t>
      </w:r>
      <w:r>
        <w:rPr>
          <w:rFonts w:ascii="Verdana" w:hAnsi="Verdana"/>
        </w:rPr>
        <w:t>de selección</w:t>
      </w:r>
      <w:r w:rsidRPr="00206556">
        <w:rPr>
          <w:rFonts w:ascii="Verdana" w:hAnsi="Verdana"/>
        </w:rPr>
        <w:t>; y la contratación directa tiene su propia medida afirmativa a través de los contratos de prestación de servicios con PcD.</w:t>
      </w:r>
    </w:p>
    <w:p w14:paraId="0EF41355" w14:textId="77777777" w:rsidR="003A1BAC" w:rsidRPr="00670CFB" w:rsidRDefault="003A1BAC" w:rsidP="003A1BAC">
      <w:pPr>
        <w:spacing w:after="120" w:line="276" w:lineRule="auto"/>
        <w:ind w:firstLine="709"/>
        <w:jc w:val="both"/>
        <w:rPr>
          <w:rFonts w:ascii="Verdana" w:hAnsi="Verdana"/>
        </w:rPr>
      </w:pPr>
      <w:r w:rsidRPr="00206556">
        <w:rPr>
          <w:rFonts w:ascii="Verdana" w:hAnsi="Verdana"/>
        </w:rPr>
        <w:t>(</w:t>
      </w:r>
      <w:r>
        <w:rPr>
          <w:rFonts w:ascii="Verdana" w:hAnsi="Verdana"/>
        </w:rPr>
        <w:t>v</w:t>
      </w:r>
      <w:r w:rsidRPr="00206556">
        <w:rPr>
          <w:rFonts w:ascii="Verdana" w:hAnsi="Verdana"/>
        </w:rPr>
        <w:t xml:space="preserve">) </w:t>
      </w:r>
      <w:r w:rsidRPr="00670CFB">
        <w:rPr>
          <w:rFonts w:ascii="Verdana" w:hAnsi="Verdana"/>
        </w:rPr>
        <w:t xml:space="preserve">Las consideraciones desarrolladas en los numerales precedentes permiten ahora presentar, de manera articulada, el alcance completo de las cinco medidas que componen el Sistema Integral de Preferencias, su forma de aplicación en cada fase del proceso contractual y las consecuencias jurídicas que se derivan de su inobservancia, es necesario precisar que el Decreto 0287 de </w:t>
      </w:r>
      <w:r w:rsidRPr="00670CFB">
        <w:rPr>
          <w:rFonts w:ascii="Verdana" w:hAnsi="Verdana"/>
        </w:rPr>
        <w:lastRenderedPageBreak/>
        <w:t>2026 no concibe la inclusión de las PcD como un momento aislado sino como un compromiso continuo que atraviesa todo el ciclo contractual. Cada medida tiene un momento de activación, unas obligaciones concretas para la entidad y el contratista, y unas consecuencias específicas frente a su incumplimiento, que se exponen a continuación.</w:t>
      </w:r>
    </w:p>
    <w:p w14:paraId="449658A1"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primera medida son las herramientas de planeación para procesos inclusivos, reguladas en el artículo 2.2.1.2.4.2.7.2. del Decreto 1082 de 2015 (modificado), que se activan en la fase precontractual, antes de la apertura del proceso, y comprenden tres instrumentos. El primero son las ferias de negocios inclusivas, que consisten en reuniones entre la entidad contratante y los emprendimientos y empresas de PcD que puedan ofrecer los bienes, obras o servicios requeridos, con el propósito de identificarlos en el mercado y recibir sus observaciones sobre la estructuración del proceso antes de que este sea abierto; estas ferias no son ruedas de negocios ni implican compromisos contractuales, sino un ejercicio de planeación responsable que puede realizarse simultáneamente con las ferias previstas para MiPymes. El segundo instrumento es la incorporación de criterios sociales en los pliegos de condiciones, que permite a la entidad establecer exigencias adicionales vinculadas al objeto del contrato que promuevan la integración laboral de las PcD, más allá de lo que el propio decreto ya exige como mínimo obligatorio. El tercero es la división del proceso en lotes o segmentos, que facilita la participación de emprendimientos de menor capacidad al reducir la escala de las obligaciones contractuales requeridas para cada parte. Estas herramientas aplican a las entidades </w:t>
      </w:r>
      <w:r>
        <w:rPr>
          <w:rFonts w:ascii="Verdana" w:hAnsi="Verdana"/>
        </w:rPr>
        <w:t xml:space="preserve">sometidas al </w:t>
      </w:r>
      <w:r w:rsidRPr="00670CFB">
        <w:rPr>
          <w:rFonts w:ascii="Verdana" w:hAnsi="Verdana"/>
        </w:rPr>
        <w:t>Estatuto</w:t>
      </w:r>
      <w:r>
        <w:rPr>
          <w:rFonts w:ascii="Verdana" w:hAnsi="Verdana"/>
        </w:rPr>
        <w:t xml:space="preserve"> General de Contratación Pública </w:t>
      </w:r>
      <w:r w:rsidRPr="00670CFB">
        <w:rPr>
          <w:rFonts w:ascii="Verdana" w:hAnsi="Verdana"/>
        </w:rPr>
        <w:t>en licitación pública, concurso de méritos, mínima cuantía y selección abreviada, pero no en contratación directa, que tiene su propia medida afirmativa. Su omisión injustificada en los estudios previos puede comprometer la legalidad de la planeación contractual al desconocer una obligación legal expresa.</w:t>
      </w:r>
    </w:p>
    <w:p w14:paraId="56D2ED88"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segunda medida son los criterios habilitantes diferenciales, regulados en el artículo 2.2.1.2.4.2.7.3. del Decreto 1082 de 2015 (modificado), que operan en la fase de selección y consisten en la obligación de establecer requisitos habilitantes ajustados o reducidos en materia de experiencia, capacidad financiera, capacidad organizacional o valor de la garantía de seriedad de la oferta, para facilitar la participación de los emprendimientos y empresas de PcD con domicilio en el territorio nacional. La entidad debe flexibilizar la mayor cantidad posible de estos requisitos de acuerdo con lo que resulte </w:t>
      </w:r>
      <w:r w:rsidRPr="00670CFB">
        <w:rPr>
          <w:rFonts w:ascii="Verdana" w:hAnsi="Verdana"/>
        </w:rPr>
        <w:lastRenderedPageBreak/>
        <w:t>justificado en sus estudios previos, garantizando en todo caso que los requisitos ajustados sean suficientes para acreditar la idoneidad del proponente y el adecuado cumplimiento del objeto contractual, con el límite del principio de proporcionalidad. Esta medida aplica en licitación pública, selección abreviada y concurso de méritos, tanto en el régimen de</w:t>
      </w:r>
      <w:r>
        <w:rPr>
          <w:rFonts w:ascii="Verdana" w:hAnsi="Verdana"/>
        </w:rPr>
        <w:t>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como en los procesos competitivos de entidades con régimen especial, pero no en mínima cuantía ni en contratación directa. Aplica exclusivamente para los emprendimientos y empresas de PcD y no para los empleadores de PcD. En tratándose de proponentes plurales, opera cuando al menos uno de los integrantes cumple las condiciones del artículo 2.2.1.2.4.2.6. con una participación no inferior al 10%, aportando la experiencia en proporción equivalente a su participación. Su omisión injustificada en el pliego de condiciones puede constituir una barrera de acceso contraria a los mandatos del decreto y comprometer la validez del proceso de selección.</w:t>
      </w:r>
    </w:p>
    <w:p w14:paraId="74EF5A76"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tercera medida es el puntaje adicional del 2%, regulado en el artículo 2.2.1.2.4.2.7.4. del Decreto 1082 de 2015 (modificado), que opera en la fase de evaluación de propuestas y consiste en otorgar un puntaje adicional máximo del dos por ciento (2%) del total de los puntos del pliego a los proponentes que acrediten ser emprendimientos o empresas de PcD o ser empleadores de PcD que superen los mínimos de vinculación exigidos por la Ley 2466 de 2025. </w:t>
      </w:r>
      <w:r>
        <w:rPr>
          <w:rFonts w:ascii="Verdana" w:hAnsi="Verdana"/>
        </w:rPr>
        <w:t>Como ya se indicó anteriormente, e</w:t>
      </w:r>
      <w:r w:rsidRPr="00670CFB">
        <w:rPr>
          <w:rFonts w:ascii="Verdana" w:hAnsi="Verdana"/>
        </w:rPr>
        <w:t xml:space="preserve">ste puntaje es único </w:t>
      </w:r>
      <w:r>
        <w:rPr>
          <w:rFonts w:ascii="Verdana" w:hAnsi="Verdana"/>
        </w:rPr>
        <w:t xml:space="preserve">y no </w:t>
      </w:r>
      <w:r w:rsidRPr="00670CFB">
        <w:rPr>
          <w:rFonts w:ascii="Verdana" w:hAnsi="Verdana"/>
        </w:rPr>
        <w:t xml:space="preserve">acumulable: aunque el proponente acredite ambas condiciones simultáneamente, el puntaje máximo a otorgar es siempre el 2%, sin que las condiciones sean sumables. Aplica únicamente en entidades </w:t>
      </w:r>
      <w:r>
        <w:rPr>
          <w:rFonts w:ascii="Verdana" w:hAnsi="Verdana"/>
        </w:rPr>
        <w:t>sometidas al Estatuto General de Contratación Pública</w:t>
      </w:r>
      <w:r w:rsidRPr="00670CFB">
        <w:rPr>
          <w:rFonts w:ascii="Verdana" w:hAnsi="Verdana"/>
        </w:rPr>
        <w:t>, en licitación pública y concurso de méritos. La acreditación exige, entre otros documentos, los certificados de aportes a seguridad social de los tres (3) meses anteriores a la presentación de la oferta para cada PcD incluida en el cómputo, junto con el certificado del Ministerio de Trabajo. La no inclusión de este puntaje en el pliego por parte de la entidad configura el incumplimiento de una obligación legal expresa. Adicionalmente, las condiciones que dieron lugar al puntaje deben mantenerse durante toda la ejecución del contrato, y el contratista debe acreditarlo con cada solicitud de pago; la reducción injustificada del número de PcD vinculadas puede constituir causal de incumplimiento contractual, salvo que se demuestre fuerza mayor o caso fortuito, y en todo caso respetando el derecho a la estabilidad laboral reforzada de las PcD.</w:t>
      </w:r>
    </w:p>
    <w:p w14:paraId="1D6E5BD4"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lastRenderedPageBreak/>
        <w:t xml:space="preserve">La cuarta medida son las condiciones especiales de ejecución, reguladas en el artículo 2.2.1.2.4.2.7.5. del Decreto 1082 de 2015 (modificado), que operan durante la ejecución del contrato y consisten en la obligación de incluir en los documentos del proceso al menos una de dos condiciones contractuales: la subcontratación inclusiva, que exige al contratista priorizar a PcD y a emprendimientos y empresas de PcD cuando requiera subcontratar bienes, obras o servicios para la ejecución; o la integración del equipo de trabajo, que exige priorizar personas naturales con discapacidad cuando la ejecución requiera conformar un equipo de trabajo. La priorización no implica exclusividad: el contratista puede contratar a otros proveedores, pero debe procurar que las PcD y sus empresas tengan preferencia cuando existan en el mercado y sea factible su vinculación. Esta medida aplica en entidades </w:t>
      </w:r>
      <w:r>
        <w:rPr>
          <w:rFonts w:ascii="Verdana" w:hAnsi="Verdana"/>
        </w:rPr>
        <w:t>sometidas al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en todas las modalidades, incluida la contratación directa. Solo puede omitirse su inclusión cuando la entidad justifique expresamente esa decisión en los estudios previos con argumentos objetivos relacionados con las características del contrato específico, pues esta justificación constituye una verdadera carga argumentativa. El cumplimiento de estas condiciones es verificado por el supervisor o interventor con cada solicitud de pago, y su inobservancia injustificada puede constituir causal de incumplimiento contractual.</w:t>
      </w:r>
    </w:p>
    <w:p w14:paraId="2DC58A57"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quinta medida es la inclusión de PcD en contratos de prestación de servicios profesionales y/o de apoyo a la gestión, regulada en el artículo 2.2.1.2.4.2.7.6. del Decreto 1082 de 2015 (modificado), que opera en la modalidad de contratación directa y tiene carácter potestativo: las entidades </w:t>
      </w:r>
      <w:r>
        <w:rPr>
          <w:rFonts w:ascii="Verdana" w:hAnsi="Verdana"/>
        </w:rPr>
        <w:t>sometidas al Estatuto General de Contratación Pública</w:t>
      </w:r>
      <w:r w:rsidRPr="00670CFB">
        <w:rPr>
          <w:rFonts w:ascii="Verdana" w:hAnsi="Verdana"/>
        </w:rPr>
        <w:t xml:space="preserve"> propenderán por esta contratación de forma progresiva, de acuerdo con su planeación institucional, disponibilidad presupuestal y necesidades del servicio, sin que su no aplicación en un caso concreto configure incumplimiento. La entidad que decida aplicarla debe verificar la idoneidad de la PcD para cumplir el objeto contractual, acordar los ajustes razonables necesarios en corresponsabilidad con la persona contratista, evaluar la no exigencia de garantías —que no son obligatorias para esta tipología contractual— e indicar en el SECOP que el contrato corresponde a la aplicación de esta medida afirmativa. En ningún caso la medida autoriza la asignación de funciones permanentes ni genera subordinación laboral. Colombia Compra Eficiente realizará el seguimiento de esta medida a través del SECOP, </w:t>
      </w:r>
      <w:r w:rsidRPr="00670CFB">
        <w:rPr>
          <w:rFonts w:ascii="Verdana" w:hAnsi="Verdana"/>
        </w:rPr>
        <w:lastRenderedPageBreak/>
        <w:t>evaluando pertinencia, duración, objeto y nivel de especialización de cada contrato.</w:t>
      </w:r>
    </w:p>
    <w:p w14:paraId="0E58F989"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A estas cinco medidas se suma, de manera transversal e independiente, la obligación de compras públicas accesibles regulada en el artículo 2.2.1.2.4.2.7.1. del Decreto 1082 de 2015 (modificado), que aplica a todos los entes del Estado con independencia de su régimen de contratación, en todas las modalidades de selección incluida la contratación directa, y en todos los contratos en </w:t>
      </w:r>
      <w:r>
        <w:rPr>
          <w:rFonts w:ascii="Verdana" w:hAnsi="Verdana"/>
        </w:rPr>
        <w:t>los que se adquieran</w:t>
      </w:r>
      <w:r w:rsidRPr="00670CFB">
        <w:rPr>
          <w:rFonts w:ascii="Verdana" w:hAnsi="Verdana"/>
        </w:rPr>
        <w:t xml:space="preserve"> bien</w:t>
      </w:r>
      <w:r>
        <w:rPr>
          <w:rFonts w:ascii="Verdana" w:hAnsi="Verdana"/>
        </w:rPr>
        <w:t>es</w:t>
      </w:r>
      <w:r w:rsidRPr="00670CFB">
        <w:rPr>
          <w:rFonts w:ascii="Verdana" w:hAnsi="Verdana"/>
        </w:rPr>
        <w:t>, obra</w:t>
      </w:r>
      <w:r>
        <w:rPr>
          <w:rFonts w:ascii="Verdana" w:hAnsi="Verdana"/>
        </w:rPr>
        <w:t>s</w:t>
      </w:r>
      <w:r w:rsidRPr="00670CFB">
        <w:rPr>
          <w:rFonts w:ascii="Verdana" w:hAnsi="Verdana"/>
        </w:rPr>
        <w:t xml:space="preserve"> o servicio</w:t>
      </w:r>
      <w:r>
        <w:rPr>
          <w:rFonts w:ascii="Verdana" w:hAnsi="Verdana"/>
        </w:rPr>
        <w:t>s</w:t>
      </w:r>
      <w:r w:rsidRPr="00670CFB">
        <w:rPr>
          <w:rFonts w:ascii="Verdana" w:hAnsi="Verdana"/>
        </w:rPr>
        <w:t>. Esta obligación consiste en incorporar en los estudios previos y en los documentos del proceso criterios que garanticen la accesibilidad de las PcD, teniendo en cuenta las siete categorías de discapacidad definidas por el Ministerio de Salud y Protección Social —visual, física, psicosocial (mental), auditiva, sordoceguera, intelectual y múltiple— y los principios de accesibilidad universal, diseño universal y ajustes razonables consagrados en la Ley 1346 de 2009 y la Ley 1618 de 2013. Cuando no existan normas legales, reglamentarias o técnicas aplicables al objeto del contrato, la entidad debe elaborar una ficha técnica propia con criterios de accesibilidad; la inexistencia de norma técnica no exonera a la entidad de esta obligación sino que la convierte en autora de sus propios estándares de accesibilidad para ese contrato específico.</w:t>
      </w:r>
    </w:p>
    <w:p w14:paraId="0669ACA7"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De esta manera, el Sistema Integral de Preferencias establecido por el Decreto 0287 de 2026 constituye un cambio estructural en la forma en que el 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jurídicas concretas frente a su inobservancia y con un horizonte claro de inclusión laboral efectiva y progresiva de esta población.</w:t>
      </w:r>
    </w:p>
    <w:p w14:paraId="1F1138C5" w14:textId="77777777" w:rsidR="003A1BAC" w:rsidRPr="00206556" w:rsidRDefault="003A1BAC" w:rsidP="003A1BAC">
      <w:pPr>
        <w:spacing w:after="0" w:line="276" w:lineRule="auto"/>
        <w:jc w:val="both"/>
        <w:rPr>
          <w:rFonts w:ascii="Verdana" w:eastAsia="Calibri" w:hAnsi="Verdana" w:cs="Arial"/>
          <w:lang w:val="es-ES"/>
        </w:rPr>
      </w:pPr>
    </w:p>
    <w:p w14:paraId="72BB9696" w14:textId="77777777" w:rsidR="003A1BAC" w:rsidRPr="00206556" w:rsidRDefault="003A1BAC" w:rsidP="003A1BAC">
      <w:pPr>
        <w:spacing w:after="12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A1BAC" w:rsidRPr="00206556" w14:paraId="2CB619CD" w14:textId="77777777" w:rsidTr="002D3CDE">
        <w:trPr>
          <w:trHeight w:val="297"/>
        </w:trPr>
        <w:tc>
          <w:tcPr>
            <w:tcW w:w="8647" w:type="dxa"/>
          </w:tcPr>
          <w:p w14:paraId="218CDB1A" w14:textId="77777777" w:rsidR="003A1BAC" w:rsidRPr="00670CFB"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33BE296C"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2147D7D2"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5C2F66FC"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lastRenderedPageBreak/>
              <w:t>Ley 361 de 1997. Artículo 24.</w:t>
            </w:r>
          </w:p>
          <w:p w14:paraId="218EA744"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78B3ADBF"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201D749F"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250FB189"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661A89F7"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232BC796"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61948CD2"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1AEB517F"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50A23C9E"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7AFC5E2C"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3EB5C9F3"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5F1154CE"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C-410 de 2001. M.P. Álvaro Tafur Galvis.</w:t>
            </w:r>
          </w:p>
          <w:p w14:paraId="36EF4165"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13ACA260"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Consejo de Estado. Sala de lo Contencioso Administrativo, Sección Quinta. Sentencia de acción de cumplimiento del 12 de diciembre de 2024. Rad. </w:t>
            </w:r>
            <w:proofErr w:type="spellStart"/>
            <w:r w:rsidRPr="00206556">
              <w:rPr>
                <w:rFonts w:ascii="Verdana" w:eastAsia="Arial MT" w:hAnsi="Verdana" w:cs="Arial"/>
                <w:lang w:eastAsia="es-ES" w:bidi="es-ES"/>
              </w:rPr>
              <w:t>n.°</w:t>
            </w:r>
            <w:proofErr w:type="spellEnd"/>
            <w:r w:rsidRPr="00206556">
              <w:rPr>
                <w:rFonts w:ascii="Verdana" w:eastAsia="Arial MT" w:hAnsi="Verdana" w:cs="Arial"/>
                <w:lang w:eastAsia="es-ES" w:bidi="es-ES"/>
              </w:rPr>
              <w:t xml:space="preserve"> 05001-23-33-000-2024-00847-01. M.P. Omar Joaquín Barreto Suárez.</w:t>
            </w:r>
          </w:p>
          <w:p w14:paraId="60DDF8D1"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3E9F4FC1"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00C37330"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6526A445"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Agencia Nacional de Contratación Pública – Colombia Compra Eficiente. Memoria Justificativa del Decreto 0287 de 2026. Bogotá, </w:t>
            </w:r>
            <w:r w:rsidRPr="00206556">
              <w:rPr>
                <w:rFonts w:ascii="Verdana" w:eastAsia="Arial MT" w:hAnsi="Verdana" w:cs="Arial"/>
                <w:lang w:eastAsia="es-ES" w:bidi="es-ES"/>
              </w:rPr>
              <w:lastRenderedPageBreak/>
              <w:t>2026.</w:t>
            </w:r>
          </w:p>
          <w:p w14:paraId="1678CEE0"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33A52438"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616B3EB3" w14:textId="77777777" w:rsidR="003A1BAC" w:rsidRPr="00206556" w:rsidRDefault="003A1BAC" w:rsidP="003A1BAC">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4B523B34" w14:textId="6BD4C8BA" w:rsidR="003A1BAC" w:rsidRPr="00206556" w:rsidRDefault="003A1BAC" w:rsidP="00562884">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tc>
      </w:tr>
    </w:tbl>
    <w:p w14:paraId="61089421" w14:textId="77777777" w:rsidR="003A1BAC" w:rsidRPr="00206556" w:rsidRDefault="003A1BAC" w:rsidP="003A1BAC">
      <w:pPr>
        <w:widowControl w:val="0"/>
        <w:autoSpaceDE w:val="0"/>
        <w:autoSpaceDN w:val="0"/>
        <w:spacing w:after="0" w:line="276" w:lineRule="auto"/>
        <w:jc w:val="both"/>
        <w:rPr>
          <w:rFonts w:ascii="Verdana" w:hAnsi="Verdana" w:cs="Arial"/>
          <w:color w:val="ED7D31" w:themeColor="accent2"/>
          <w:lang w:val="es-ES"/>
        </w:rPr>
      </w:pPr>
    </w:p>
    <w:p w14:paraId="21279AD8" w14:textId="77777777" w:rsidR="003A1BAC"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076C16AE" w14:textId="77777777" w:rsidR="003A1BAC" w:rsidRPr="00670CFB" w:rsidRDefault="003A1BAC" w:rsidP="003A1BAC">
      <w:pPr>
        <w:tabs>
          <w:tab w:val="left" w:pos="142"/>
          <w:tab w:val="left" w:pos="284"/>
        </w:tabs>
        <w:spacing w:after="0" w:line="276" w:lineRule="auto"/>
        <w:jc w:val="both"/>
        <w:rPr>
          <w:rFonts w:ascii="Verdana" w:eastAsia="Century Gothic" w:hAnsi="Verdana" w:cs="Century Gothic"/>
          <w:b/>
          <w:lang w:val="es-ES"/>
        </w:rPr>
      </w:pPr>
    </w:p>
    <w:p w14:paraId="58AECC41" w14:textId="57FB94EF" w:rsidR="003A1BAC" w:rsidRPr="00206556" w:rsidRDefault="003A1BAC" w:rsidP="003A1BAC">
      <w:pPr>
        <w:spacing w:after="0" w:line="276" w:lineRule="auto"/>
        <w:jc w:val="both"/>
        <w:rPr>
          <w:rFonts w:ascii="Verdana" w:hAnsi="Verdana"/>
          <w:color w:val="ED7D31" w:themeColor="accent2"/>
          <w:lang w:val="es-ES"/>
        </w:rPr>
      </w:pPr>
      <w:r w:rsidRPr="00E85A49">
        <w:rPr>
          <w:rFonts w:ascii="Verdana" w:eastAsia="Calibri" w:hAnsi="Verdana" w:cs="Arial"/>
          <w:lang w:val="es-ES"/>
        </w:rPr>
        <w:t>La Agencia Nacional de Contratación Pública – Colombia Compra Eficiente se ha referido sobre el alcance del Decreto 0287 de 2026 en los conceptos C-473 del 7 de mayo de 2026, C-498 del 8 de mayo de 2026</w:t>
      </w:r>
      <w:r>
        <w:rPr>
          <w:rFonts w:ascii="Verdana" w:eastAsia="Calibri" w:hAnsi="Verdana" w:cs="Arial"/>
          <w:lang w:val="es-ES"/>
        </w:rPr>
        <w:t>,</w:t>
      </w:r>
      <w:r w:rsidRPr="00E85A49">
        <w:rPr>
          <w:rFonts w:ascii="Verdana" w:eastAsia="Calibri" w:hAnsi="Verdana" w:cs="Arial"/>
          <w:lang w:val="es-ES"/>
        </w:rPr>
        <w:t xml:space="preserve"> C-576 del 19 de mayo de 2026</w:t>
      </w:r>
      <w:r w:rsidR="00B24431">
        <w:rPr>
          <w:rFonts w:ascii="Verdana" w:eastAsia="Calibri" w:hAnsi="Verdana" w:cs="Arial"/>
          <w:lang w:val="es-ES"/>
        </w:rPr>
        <w:t xml:space="preserve">, </w:t>
      </w:r>
      <w:r>
        <w:rPr>
          <w:rFonts w:ascii="Verdana" w:eastAsia="Calibri" w:hAnsi="Verdana" w:cs="Arial"/>
          <w:lang w:val="es-ES"/>
        </w:rPr>
        <w:t>C-604 del 22 de mayo de 2026</w:t>
      </w:r>
      <w:r w:rsidR="004D4F0C">
        <w:rPr>
          <w:rFonts w:ascii="Verdana" w:eastAsia="Calibri" w:hAnsi="Verdana" w:cs="Arial"/>
          <w:lang w:val="es-ES"/>
        </w:rPr>
        <w:t>,</w:t>
      </w:r>
      <w:r w:rsidR="00B24431">
        <w:rPr>
          <w:rFonts w:ascii="Verdana" w:eastAsia="Calibri" w:hAnsi="Verdana" w:cs="Arial"/>
          <w:lang w:val="es-ES"/>
        </w:rPr>
        <w:t xml:space="preserve"> C-686 del 28 de mayo de 2026</w:t>
      </w:r>
      <w:r w:rsidR="004D4F0C">
        <w:rPr>
          <w:rFonts w:ascii="Verdana" w:eastAsia="Calibri" w:hAnsi="Verdana" w:cs="Arial"/>
          <w:lang w:val="es-ES"/>
        </w:rPr>
        <w:t>, C-737 del 29 de mayo de 2026</w:t>
      </w:r>
      <w:r w:rsidR="00205CFE">
        <w:rPr>
          <w:rFonts w:ascii="Verdana" w:eastAsia="Calibri" w:hAnsi="Verdana" w:cs="Arial"/>
          <w:lang w:val="es-ES"/>
        </w:rPr>
        <w:t>, C-654 del 1 de junio de 2026, C-745 del 2 de junio de 2026</w:t>
      </w:r>
      <w:r w:rsidR="001B71AE">
        <w:rPr>
          <w:rFonts w:ascii="Verdana" w:eastAsia="Calibri" w:hAnsi="Verdana" w:cs="Arial"/>
          <w:lang w:val="es-ES"/>
        </w:rPr>
        <w:t>, C-672 del 3 de junio de 2026</w:t>
      </w:r>
      <w:r w:rsidRPr="00206556">
        <w:rPr>
          <w:rFonts w:ascii="Verdana" w:eastAsia="Calibri" w:hAnsi="Verdana" w:cs="Arial"/>
          <w:lang w:val="es-ES_tradnl" w:eastAsia="es-ES"/>
        </w:rPr>
        <w:t>.</w:t>
      </w:r>
      <w:r w:rsidRPr="00206556">
        <w:rPr>
          <w:rFonts w:ascii="Verdana" w:hAnsi="Verdana" w:cs="Arial"/>
          <w:shd w:val="clear" w:color="auto" w:fill="FFFFFF"/>
          <w:lang w:val="es-ES"/>
        </w:rPr>
        <w:t xml:space="preserve"> Est</w:t>
      </w:r>
      <w:r>
        <w:rPr>
          <w:rFonts w:ascii="Verdana" w:hAnsi="Verdana" w:cs="Arial"/>
          <w:shd w:val="clear" w:color="auto" w:fill="FFFFFF"/>
          <w:lang w:val="es-ES"/>
        </w:rPr>
        <w:t>os</w:t>
      </w:r>
      <w:r w:rsidRPr="00206556">
        <w:rPr>
          <w:rFonts w:ascii="Verdana" w:hAnsi="Verdana"/>
          <w:lang w:val="es-ES"/>
        </w:rPr>
        <w:t xml:space="preserve"> y otros se encuentran disponibles para consulta en el Sistema de relatoría de la Agencia, al cual se puede acceder a través del siguiente enlace:</w:t>
      </w:r>
      <w:r w:rsidRPr="00206556">
        <w:rPr>
          <w:rFonts w:ascii="Verdana" w:hAnsi="Verdana" w:cs="Arial"/>
          <w:shd w:val="clear" w:color="auto" w:fill="FFFFFF"/>
          <w:lang w:val="es-ES"/>
        </w:rPr>
        <w:t xml:space="preserve"> </w:t>
      </w:r>
      <w:hyperlink r:id="rId12" w:history="1">
        <w:r w:rsidRPr="00206556">
          <w:rPr>
            <w:rStyle w:val="Hipervnculo"/>
            <w:rFonts w:ascii="Verdana" w:hAnsi="Verdana" w:cs="Arial"/>
            <w:shd w:val="clear" w:color="auto" w:fill="FFFFFF"/>
            <w:lang w:val="es-ES"/>
          </w:rPr>
          <w:t>https://relatoria.colombiacompra.gov.co/busqueda/conceptos</w:t>
        </w:r>
      </w:hyperlink>
    </w:p>
    <w:p w14:paraId="44DEB88C" w14:textId="77777777" w:rsidR="003A1BAC" w:rsidRPr="00206556" w:rsidRDefault="003A1BAC" w:rsidP="003A1BAC">
      <w:pPr>
        <w:spacing w:after="0" w:line="276" w:lineRule="auto"/>
        <w:jc w:val="both"/>
        <w:rPr>
          <w:rFonts w:ascii="Verdana" w:hAnsi="Verdana" w:cs="Arial"/>
          <w:color w:val="ED7D31" w:themeColor="accent2"/>
          <w:shd w:val="clear" w:color="auto" w:fill="FFFFFF"/>
          <w:lang w:val="es-ES"/>
        </w:rPr>
      </w:pPr>
    </w:p>
    <w:p w14:paraId="2F5AB205"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3"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456C3784" w14:textId="77777777" w:rsidR="003A1BAC" w:rsidRPr="00206556" w:rsidRDefault="003A1BAC" w:rsidP="003A1BAC">
      <w:pPr>
        <w:spacing w:after="0" w:line="276" w:lineRule="auto"/>
        <w:jc w:val="both"/>
        <w:rPr>
          <w:rFonts w:ascii="Verdana" w:hAnsi="Verdana" w:cs="Arial"/>
          <w:shd w:val="clear" w:color="auto" w:fill="FFFFFF"/>
        </w:rPr>
      </w:pPr>
    </w:p>
    <w:p w14:paraId="639AAAA7"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w:t>
      </w:r>
      <w:r w:rsidRPr="00206556">
        <w:rPr>
          <w:rFonts w:ascii="Verdana" w:hAnsi="Verdana" w:cs="Arial"/>
          <w:shd w:val="clear" w:color="auto" w:fill="FFFFFF"/>
        </w:rPr>
        <w:lastRenderedPageBreak/>
        <w:t xml:space="preserve">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4" w:history="1">
        <w:r w:rsidRPr="00206556">
          <w:rPr>
            <w:rStyle w:val="Hipervnculo"/>
            <w:rFonts w:ascii="Verdana" w:hAnsi="Verdana" w:cs="Arial"/>
            <w:shd w:val="clear" w:color="auto" w:fill="FFFFFF"/>
          </w:rPr>
          <w:t>https://www.colombiacompra.gov.co/normativa-y-relatoria/documentos-tipo</w:t>
        </w:r>
      </w:hyperlink>
    </w:p>
    <w:p w14:paraId="3F91B17E" w14:textId="77777777" w:rsidR="003A1BAC" w:rsidRPr="00206556" w:rsidRDefault="003A1BAC" w:rsidP="003A1BAC">
      <w:pPr>
        <w:spacing w:after="0" w:line="276" w:lineRule="auto"/>
        <w:jc w:val="both"/>
        <w:rPr>
          <w:rFonts w:ascii="Verdana" w:hAnsi="Verdana" w:cs="Arial"/>
          <w:shd w:val="clear" w:color="auto" w:fill="FFFFFF"/>
        </w:rPr>
      </w:pPr>
    </w:p>
    <w:p w14:paraId="53530D08"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3427D914" w14:textId="77777777" w:rsidR="003A1BAC" w:rsidRPr="00206556" w:rsidRDefault="003A1BAC" w:rsidP="003A1BAC">
      <w:pPr>
        <w:spacing w:after="0" w:line="276" w:lineRule="auto"/>
        <w:jc w:val="both"/>
        <w:rPr>
          <w:rFonts w:ascii="Verdana" w:hAnsi="Verdana" w:cs="Arial"/>
          <w:color w:val="ED7D31" w:themeColor="accent2"/>
          <w:shd w:val="clear" w:color="auto" w:fill="FFFFFF"/>
        </w:rPr>
      </w:pPr>
    </w:p>
    <w:p w14:paraId="77BFA0B0"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0D848AA2" w14:textId="77777777" w:rsidR="003A1BAC" w:rsidRPr="00206556" w:rsidRDefault="003A1BAC" w:rsidP="003A1BAC">
      <w:pPr>
        <w:spacing w:after="0"/>
        <w:jc w:val="both"/>
        <w:rPr>
          <w:rFonts w:ascii="Verdana" w:hAnsi="Verdana" w:cs="Arial"/>
          <w:shd w:val="clear" w:color="auto" w:fill="FFFFFF"/>
        </w:rPr>
      </w:pPr>
    </w:p>
    <w:p w14:paraId="30C724B8"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62D885B3"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w:t>
      </w:r>
      <w:proofErr w:type="spellStart"/>
      <w:r w:rsidRPr="00206556">
        <w:rPr>
          <w:rStyle w:val="Hipervnculo"/>
          <w:rFonts w:ascii="Verdana" w:hAnsi="Verdana"/>
          <w:lang w:val="es-ES"/>
        </w:rPr>
        <w:t>ColombiaCompraEficiente</w:t>
      </w:r>
      <w:proofErr w:type="spellEnd"/>
    </w:p>
    <w:p w14:paraId="278E2295"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12D17FF4"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0A26749B" w14:textId="77777777" w:rsidR="003A1BAC" w:rsidRPr="00206556" w:rsidRDefault="003A1BAC" w:rsidP="003A1BAC">
      <w:pPr>
        <w:widowControl w:val="0"/>
        <w:autoSpaceDE w:val="0"/>
        <w:autoSpaceDN w:val="0"/>
        <w:spacing w:after="0" w:line="276" w:lineRule="auto"/>
        <w:jc w:val="both"/>
        <w:rPr>
          <w:rFonts w:ascii="Verdana" w:hAnsi="Verdana" w:cs="Arial"/>
          <w:color w:val="ED7D31" w:themeColor="accent2"/>
          <w:lang w:val="es-ES"/>
        </w:rPr>
      </w:pPr>
    </w:p>
    <w:p w14:paraId="0054244C" w14:textId="77777777" w:rsidR="003A1BAC" w:rsidRPr="00206556" w:rsidRDefault="003A1BAC" w:rsidP="003A1BAC">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7011DC0" w14:textId="77777777" w:rsidR="003A1BAC" w:rsidRPr="00206556" w:rsidRDefault="003A1BAC" w:rsidP="003A1BAC">
      <w:pPr>
        <w:widowControl w:val="0"/>
        <w:autoSpaceDE w:val="0"/>
        <w:autoSpaceDN w:val="0"/>
        <w:spacing w:after="0" w:line="276" w:lineRule="auto"/>
        <w:jc w:val="both"/>
        <w:rPr>
          <w:rFonts w:ascii="Verdana" w:hAnsi="Verdana" w:cs="Arial"/>
          <w:lang w:val="es-ES"/>
        </w:rPr>
      </w:pPr>
    </w:p>
    <w:p w14:paraId="40DF13B0" w14:textId="77777777" w:rsidR="003A1BAC" w:rsidRPr="00206556" w:rsidRDefault="003A1BAC" w:rsidP="003A1BAC">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49030CFF" w14:textId="467E366E" w:rsidR="003A1BAC" w:rsidRPr="00206556" w:rsidRDefault="003D68B7" w:rsidP="006C32FD">
      <w:pPr>
        <w:autoSpaceDE w:val="0"/>
        <w:autoSpaceDN w:val="0"/>
        <w:adjustRightInd w:val="0"/>
        <w:spacing w:after="0" w:line="276" w:lineRule="auto"/>
        <w:jc w:val="center"/>
        <w:rPr>
          <w:rFonts w:ascii="Verdana" w:eastAsia="Calibri" w:hAnsi="Verdana" w:cs="Arial"/>
          <w:noProof/>
          <w:sz w:val="20"/>
          <w:szCs w:val="20"/>
        </w:rPr>
      </w:pPr>
      <w:r>
        <w:rPr>
          <w:noProof/>
        </w:rPr>
        <w:lastRenderedPageBreak/>
        <w:drawing>
          <wp:inline distT="0" distB="0" distL="0" distR="0" wp14:anchorId="72FAED21" wp14:editId="1F67FCA8">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5"/>
                    <a:stretch>
                      <a:fillRect/>
                    </a:stretch>
                  </pic:blipFill>
                  <pic:spPr>
                    <a:xfrm>
                      <a:off x="0" y="0"/>
                      <a:ext cx="3771900" cy="1400175"/>
                    </a:xfrm>
                    <a:prstGeom prst="rect">
                      <a:avLst/>
                    </a:prstGeom>
                  </pic:spPr>
                </pic:pic>
              </a:graphicData>
            </a:graphic>
          </wp:inline>
        </w:drawing>
      </w:r>
    </w:p>
    <w:p w14:paraId="1516661C" w14:textId="61709256" w:rsidR="003A1BAC" w:rsidRPr="00206556" w:rsidRDefault="003A1BAC" w:rsidP="003A1BAC">
      <w:pPr>
        <w:spacing w:after="0" w:line="256" w:lineRule="auto"/>
        <w:jc w:val="center"/>
        <w:rPr>
          <w:rFonts w:ascii="Verdana" w:eastAsia="Times New Roman" w:hAnsi="Verdana" w:cs="Arial"/>
          <w:lang w:eastAsia="es-ES"/>
        </w:rPr>
      </w:pPr>
    </w:p>
    <w:p w14:paraId="175800FD" w14:textId="77777777" w:rsidR="003A1BAC" w:rsidRPr="00206556" w:rsidRDefault="003A1BAC" w:rsidP="003A1BAC">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3A1BAC" w:rsidRPr="00206556" w14:paraId="05BFC2E8" w14:textId="77777777" w:rsidTr="002D3CDE">
        <w:trPr>
          <w:trHeight w:val="322"/>
        </w:trPr>
        <w:tc>
          <w:tcPr>
            <w:tcW w:w="733" w:type="dxa"/>
            <w:tcBorders>
              <w:top w:val="nil"/>
              <w:left w:val="nil"/>
              <w:bottom w:val="nil"/>
              <w:right w:val="nil"/>
            </w:tcBorders>
            <w:vAlign w:val="center"/>
            <w:hideMark/>
          </w:tcPr>
          <w:p w14:paraId="262AA1F5"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C9408BF" w14:textId="77777777" w:rsidR="003A1BAC" w:rsidRPr="00206556" w:rsidRDefault="003A1BAC" w:rsidP="002D3CDE">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val="es-ES_tradnl" w:eastAsia="es-ES"/>
              </w:rPr>
              <w:t>Ximena Ríos López</w:t>
            </w:r>
          </w:p>
          <w:p w14:paraId="662071EF" w14:textId="77777777" w:rsidR="003A1BAC" w:rsidRPr="00A5703A" w:rsidRDefault="003A1BAC" w:rsidP="002D3CDE">
            <w:pPr>
              <w:autoSpaceDE w:val="0"/>
              <w:autoSpaceDN w:val="0"/>
              <w:adjustRightInd w:val="0"/>
              <w:spacing w:after="0" w:line="276" w:lineRule="auto"/>
              <w:rPr>
                <w:rFonts w:ascii="Verdana" w:eastAsia="Calibri" w:hAnsi="Verdana" w:cs="Arial"/>
              </w:rPr>
            </w:pPr>
            <w:r w:rsidRPr="00206556">
              <w:rPr>
                <w:rFonts w:ascii="Verdana" w:eastAsia="Times New Roman" w:hAnsi="Verdana" w:cs="Arial"/>
                <w:sz w:val="16"/>
                <w:szCs w:val="16"/>
                <w:lang w:eastAsia="es-ES"/>
              </w:rPr>
              <w:t>Gestor T1-11 de la Subdirección de Gestión Contractual</w:t>
            </w:r>
          </w:p>
        </w:tc>
      </w:tr>
      <w:tr w:rsidR="003A1BAC" w:rsidRPr="00206556" w14:paraId="113CD7D7" w14:textId="77777777" w:rsidTr="002D3CDE">
        <w:trPr>
          <w:trHeight w:val="322"/>
        </w:trPr>
        <w:tc>
          <w:tcPr>
            <w:tcW w:w="733" w:type="dxa"/>
            <w:tcBorders>
              <w:top w:val="nil"/>
              <w:left w:val="nil"/>
              <w:bottom w:val="nil"/>
              <w:right w:val="nil"/>
            </w:tcBorders>
            <w:vAlign w:val="center"/>
            <w:hideMark/>
          </w:tcPr>
          <w:p w14:paraId="28A4F308"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B0C4EF3" w14:textId="23DF7A85" w:rsidR="003A1BAC" w:rsidRPr="00206556" w:rsidRDefault="006C32FD" w:rsidP="002D3CDE">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Adriana López</w:t>
            </w:r>
          </w:p>
          <w:p w14:paraId="023DA057" w14:textId="32BD373A" w:rsidR="003A1BAC" w:rsidRPr="00A5703A" w:rsidRDefault="006C32FD" w:rsidP="002D3CDE">
            <w:pPr>
              <w:autoSpaceDE w:val="0"/>
              <w:autoSpaceDN w:val="0"/>
              <w:adjustRightInd w:val="0"/>
              <w:spacing w:after="0" w:line="276" w:lineRule="auto"/>
              <w:rPr>
                <w:rFonts w:ascii="Verdana" w:eastAsia="Calibri" w:hAnsi="Verdana" w:cs="Arial"/>
              </w:rPr>
            </w:pPr>
            <w:r>
              <w:rPr>
                <w:rFonts w:ascii="Verdana" w:eastAsia="Times New Roman" w:hAnsi="Verdana" w:cs="Arial"/>
                <w:sz w:val="16"/>
                <w:szCs w:val="16"/>
                <w:lang w:eastAsia="es-ES"/>
              </w:rPr>
              <w:t>Contratista</w:t>
            </w:r>
            <w:r w:rsidR="003A1BAC">
              <w:rPr>
                <w:rFonts w:ascii="Verdana" w:eastAsia="Times New Roman" w:hAnsi="Verdana" w:cs="Arial"/>
                <w:sz w:val="16"/>
                <w:szCs w:val="16"/>
                <w:lang w:eastAsia="es-ES"/>
              </w:rPr>
              <w:t xml:space="preserve"> </w:t>
            </w:r>
            <w:r w:rsidR="003A1BAC" w:rsidRPr="00206556">
              <w:rPr>
                <w:rFonts w:ascii="Verdana" w:eastAsia="Times New Roman" w:hAnsi="Verdana" w:cs="Arial"/>
                <w:sz w:val="16"/>
                <w:szCs w:val="16"/>
                <w:lang w:eastAsia="es-ES"/>
              </w:rPr>
              <w:t>de la Subdirección de Gestión Contractual</w:t>
            </w:r>
          </w:p>
        </w:tc>
      </w:tr>
      <w:tr w:rsidR="003A1BAC" w:rsidRPr="00206556" w14:paraId="438E5873" w14:textId="77777777" w:rsidTr="002D3CDE">
        <w:trPr>
          <w:trHeight w:val="307"/>
        </w:trPr>
        <w:tc>
          <w:tcPr>
            <w:tcW w:w="733" w:type="dxa"/>
            <w:tcBorders>
              <w:top w:val="nil"/>
              <w:left w:val="nil"/>
              <w:bottom w:val="nil"/>
              <w:right w:val="nil"/>
            </w:tcBorders>
            <w:vAlign w:val="center"/>
            <w:hideMark/>
          </w:tcPr>
          <w:p w14:paraId="6631095B"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240C606" w14:textId="77777777" w:rsidR="003A1BAC" w:rsidRPr="00206556" w:rsidRDefault="003A1BAC" w:rsidP="002D3CDE">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09F97F1E" w14:textId="77777777" w:rsidR="003A1BAC" w:rsidRPr="00206556" w:rsidRDefault="003A1BAC" w:rsidP="002D3CDE">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bookmarkEnd w:id="0"/>
    </w:tbl>
    <w:p w14:paraId="46E4073D" w14:textId="77777777" w:rsidR="003A1BAC" w:rsidRDefault="003A1BAC" w:rsidP="003A1BAC">
      <w:pPr>
        <w:autoSpaceDE w:val="0"/>
        <w:autoSpaceDN w:val="0"/>
        <w:adjustRightInd w:val="0"/>
        <w:spacing w:after="0" w:line="276" w:lineRule="auto"/>
        <w:jc w:val="center"/>
        <w:rPr>
          <w:rFonts w:ascii="Verdana" w:eastAsia="Calibri" w:hAnsi="Verdana" w:cs="Arial"/>
        </w:rPr>
      </w:pPr>
    </w:p>
    <w:p w14:paraId="34F6870D" w14:textId="1115156F" w:rsidR="003A1BAC" w:rsidRDefault="003A1BAC" w:rsidP="003A1BAC">
      <w:pPr>
        <w:autoSpaceDE w:val="0"/>
        <w:autoSpaceDN w:val="0"/>
        <w:adjustRightInd w:val="0"/>
        <w:spacing w:after="0" w:line="276" w:lineRule="auto"/>
        <w:jc w:val="center"/>
        <w:rPr>
          <w:rFonts w:ascii="Verdana" w:eastAsia="Calibri" w:hAnsi="Verdana" w:cs="Arial"/>
        </w:rPr>
      </w:pPr>
    </w:p>
    <w:p w14:paraId="0F293BF4" w14:textId="320013C9" w:rsidR="00127233" w:rsidRPr="003A1BAC" w:rsidRDefault="00127233" w:rsidP="003A1BAC"/>
    <w:sectPr w:rsidR="00127233" w:rsidRPr="003A1BAC"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5DC7" w14:textId="77777777" w:rsidR="009F4859" w:rsidRDefault="009F4859" w:rsidP="004A1847">
      <w:pPr>
        <w:spacing w:after="0" w:line="240" w:lineRule="auto"/>
      </w:pPr>
      <w:r>
        <w:separator/>
      </w:r>
    </w:p>
  </w:endnote>
  <w:endnote w:type="continuationSeparator" w:id="0">
    <w:p w14:paraId="13B5C755" w14:textId="77777777" w:rsidR="009F4859" w:rsidRDefault="009F485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Aria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9B36F" w14:textId="77777777" w:rsidR="009F4859" w:rsidRDefault="009F4859" w:rsidP="004A1847">
      <w:pPr>
        <w:spacing w:after="0" w:line="240" w:lineRule="auto"/>
      </w:pPr>
      <w:r>
        <w:separator/>
      </w:r>
    </w:p>
  </w:footnote>
  <w:footnote w:type="continuationSeparator" w:id="0">
    <w:p w14:paraId="1FEBDB3F" w14:textId="77777777" w:rsidR="009F4859" w:rsidRDefault="009F4859" w:rsidP="004A1847">
      <w:pPr>
        <w:spacing w:after="0" w:line="240" w:lineRule="auto"/>
      </w:pPr>
      <w:r>
        <w:continuationSeparator/>
      </w:r>
    </w:p>
  </w:footnote>
  <w:footnote w:id="1">
    <w:p w14:paraId="241B4833" w14:textId="77777777" w:rsidR="003A1BAC" w:rsidRPr="00206556" w:rsidRDefault="003A1BAC" w:rsidP="003A1BAC">
      <w:pPr>
        <w:spacing w:after="0" w:line="240" w:lineRule="auto"/>
        <w:ind w:firstLine="709"/>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45AD9F53" w14:textId="77777777" w:rsidR="003A1BAC" w:rsidRPr="00206556" w:rsidRDefault="003A1BAC" w:rsidP="003A1BAC">
      <w:pPr>
        <w:spacing w:after="0" w:line="240" w:lineRule="auto"/>
        <w:ind w:firstLine="709"/>
        <w:jc w:val="both"/>
        <w:rPr>
          <w:rFonts w:ascii="Verdana" w:hAnsi="Verdana"/>
          <w:sz w:val="16"/>
          <w:szCs w:val="16"/>
        </w:rPr>
      </w:pPr>
    </w:p>
  </w:footnote>
  <w:footnote w:id="2">
    <w:p w14:paraId="30C618FB" w14:textId="77777777" w:rsidR="003A1BAC" w:rsidRPr="00206556" w:rsidRDefault="003A1BAC" w:rsidP="003A1BAC">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3AB92941" w14:textId="77777777" w:rsidR="003A1BAC" w:rsidRPr="00206556" w:rsidRDefault="003A1BAC" w:rsidP="003A1BAC">
      <w:pPr>
        <w:pStyle w:val="Textonotapie"/>
        <w:ind w:firstLine="709"/>
        <w:jc w:val="both"/>
        <w:rPr>
          <w:rFonts w:ascii="Verdana" w:hAnsi="Verdana"/>
          <w:sz w:val="16"/>
          <w:szCs w:val="16"/>
          <w:lang w:val="es-ES"/>
        </w:rPr>
      </w:pPr>
    </w:p>
  </w:footnote>
  <w:footnote w:id="3">
    <w:p w14:paraId="6C7074CF" w14:textId="77777777" w:rsidR="003A1BAC" w:rsidRPr="00206556" w:rsidRDefault="003A1BAC" w:rsidP="003A1BAC">
      <w:pPr>
        <w:spacing w:after="0" w:line="240" w:lineRule="auto"/>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313E0D01" w14:textId="77777777" w:rsidR="003A1BAC" w:rsidRPr="00206556" w:rsidRDefault="003A1BAC" w:rsidP="003A1BAC">
      <w:pPr>
        <w:spacing w:after="0" w:line="240" w:lineRule="auto"/>
        <w:ind w:firstLine="709"/>
        <w:jc w:val="both"/>
        <w:rPr>
          <w:rFonts w:ascii="Verdana" w:hAnsi="Verdana"/>
          <w:sz w:val="16"/>
          <w:szCs w:val="16"/>
        </w:rPr>
      </w:pPr>
    </w:p>
  </w:footnote>
  <w:footnote w:id="4">
    <w:p w14:paraId="3485B71B" w14:textId="77777777" w:rsidR="003A1BAC" w:rsidRPr="00206556" w:rsidRDefault="003A1BAC" w:rsidP="003A1BAC">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08CE5530" w14:textId="77777777" w:rsidR="003A1BAC" w:rsidRPr="00206556" w:rsidRDefault="003A1BAC" w:rsidP="003A1BAC">
      <w:pPr>
        <w:pStyle w:val="Textonotapie"/>
        <w:ind w:firstLine="709"/>
        <w:jc w:val="both"/>
        <w:rPr>
          <w:rFonts w:ascii="Verdana" w:hAnsi="Verdana"/>
          <w:sz w:val="16"/>
          <w:szCs w:val="16"/>
          <w:lang w:val="es-ES"/>
        </w:rPr>
      </w:pPr>
    </w:p>
  </w:footnote>
  <w:footnote w:id="5">
    <w:p w14:paraId="6EA6C5C3" w14:textId="77777777" w:rsidR="003A1BAC" w:rsidRPr="00206556" w:rsidRDefault="003A1BAC" w:rsidP="003A1BAC">
      <w:pPr>
        <w:pStyle w:val="Textonotapie"/>
        <w:ind w:firstLine="709"/>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0EFDB3F1" w14:textId="77777777" w:rsidR="003A1BAC" w:rsidRPr="00206556" w:rsidRDefault="003A1BAC" w:rsidP="003A1BAC">
      <w:pPr>
        <w:pStyle w:val="Textonotapie"/>
        <w:ind w:firstLine="709"/>
        <w:jc w:val="both"/>
        <w:rPr>
          <w:rFonts w:ascii="Verdana" w:hAnsi="Verdana"/>
          <w:sz w:val="16"/>
          <w:szCs w:val="16"/>
          <w:lang w:val="es-ES"/>
        </w:rPr>
      </w:pPr>
    </w:p>
  </w:footnote>
  <w:footnote w:id="6">
    <w:p w14:paraId="35ECDFD2" w14:textId="77777777" w:rsidR="003A1BAC" w:rsidRPr="00206556" w:rsidRDefault="003A1BAC" w:rsidP="003A1BAC">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5B5348C3" w14:textId="77777777" w:rsidR="003A1BAC" w:rsidRPr="00206556" w:rsidRDefault="003A1BAC" w:rsidP="003A1BAC">
      <w:pPr>
        <w:pStyle w:val="Textonotapie"/>
        <w:ind w:firstLine="709"/>
        <w:rPr>
          <w:rFonts w:ascii="Verdana" w:hAnsi="Verdana"/>
          <w:sz w:val="16"/>
          <w:szCs w:val="16"/>
          <w:lang w:val="es-ES"/>
        </w:rPr>
      </w:pPr>
    </w:p>
  </w:footnote>
  <w:footnote w:id="7">
    <w:p w14:paraId="251B5A00" w14:textId="77777777" w:rsidR="003A1BAC" w:rsidRPr="00206556" w:rsidRDefault="003A1BAC" w:rsidP="003A1BAC">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255880D4" w14:textId="77777777" w:rsidR="003A1BAC" w:rsidRPr="00206556" w:rsidRDefault="003A1BAC" w:rsidP="003A1BAC">
      <w:pPr>
        <w:pStyle w:val="Textonotapie"/>
        <w:ind w:firstLine="709"/>
        <w:rPr>
          <w:rFonts w:ascii="Verdana" w:hAnsi="Verdana"/>
          <w:sz w:val="16"/>
          <w:szCs w:val="16"/>
          <w:lang w:val="es-ES"/>
        </w:rPr>
      </w:pPr>
    </w:p>
  </w:footnote>
  <w:footnote w:id="8">
    <w:p w14:paraId="4F52FBCA" w14:textId="77777777" w:rsidR="003A1BAC" w:rsidRPr="00206556" w:rsidRDefault="003A1BAC" w:rsidP="003A1BAC">
      <w:pPr>
        <w:pStyle w:val="Textonotapie"/>
        <w:ind w:firstLine="709"/>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2.1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2"/>
  </w:num>
  <w:num w:numId="7" w16cid:durableId="1946422806">
    <w:abstractNumId w:val="5"/>
  </w:num>
  <w:num w:numId="8" w16cid:durableId="152644682">
    <w:abstractNumId w:val="11"/>
  </w:num>
  <w:num w:numId="9" w16cid:durableId="1317221377">
    <w:abstractNumId w:val="7"/>
  </w:num>
  <w:num w:numId="10" w16cid:durableId="1471245386">
    <w:abstractNumId w:val="10"/>
  </w:num>
  <w:num w:numId="11" w16cid:durableId="289172385">
    <w:abstractNumId w:val="8"/>
  </w:num>
  <w:num w:numId="12" w16cid:durableId="1470781324">
    <w:abstractNumId w:val="0"/>
  </w:num>
  <w:num w:numId="13" w16cid:durableId="1512908409">
    <w:abstractNumId w:val="3"/>
  </w:num>
  <w:num w:numId="14" w16cid:durableId="895897244">
    <w:abstractNumId w:val="13"/>
  </w:num>
  <w:num w:numId="15" w16cid:durableId="390349800">
    <w:abstractNumId w:val="9"/>
  </w:num>
  <w:num w:numId="16" w16cid:durableId="124564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B5D"/>
    <w:rsid w:val="00013F7E"/>
    <w:rsid w:val="00016F78"/>
    <w:rsid w:val="000364C3"/>
    <w:rsid w:val="00045DAC"/>
    <w:rsid w:val="00046945"/>
    <w:rsid w:val="00050EF1"/>
    <w:rsid w:val="00052609"/>
    <w:rsid w:val="00061B2A"/>
    <w:rsid w:val="00063D2B"/>
    <w:rsid w:val="00082362"/>
    <w:rsid w:val="000A683E"/>
    <w:rsid w:val="000B19B9"/>
    <w:rsid w:val="000D0334"/>
    <w:rsid w:val="000D5DA7"/>
    <w:rsid w:val="000E08EE"/>
    <w:rsid w:val="000E3486"/>
    <w:rsid w:val="000F6486"/>
    <w:rsid w:val="00102743"/>
    <w:rsid w:val="001038DE"/>
    <w:rsid w:val="00116940"/>
    <w:rsid w:val="00121532"/>
    <w:rsid w:val="001231C7"/>
    <w:rsid w:val="00125105"/>
    <w:rsid w:val="00127233"/>
    <w:rsid w:val="0015699B"/>
    <w:rsid w:val="00161263"/>
    <w:rsid w:val="0018129F"/>
    <w:rsid w:val="001850FD"/>
    <w:rsid w:val="00185759"/>
    <w:rsid w:val="00192DB5"/>
    <w:rsid w:val="001A33BF"/>
    <w:rsid w:val="001B4B80"/>
    <w:rsid w:val="001B71AE"/>
    <w:rsid w:val="001C1D5F"/>
    <w:rsid w:val="001E4177"/>
    <w:rsid w:val="001F0B24"/>
    <w:rsid w:val="001F1EEA"/>
    <w:rsid w:val="001F5AAA"/>
    <w:rsid w:val="001F7DC6"/>
    <w:rsid w:val="00205CFE"/>
    <w:rsid w:val="00211B48"/>
    <w:rsid w:val="0021388C"/>
    <w:rsid w:val="0021400E"/>
    <w:rsid w:val="0022400B"/>
    <w:rsid w:val="00225AB2"/>
    <w:rsid w:val="00230952"/>
    <w:rsid w:val="002421BB"/>
    <w:rsid w:val="00252605"/>
    <w:rsid w:val="0025796E"/>
    <w:rsid w:val="002707A2"/>
    <w:rsid w:val="00280361"/>
    <w:rsid w:val="002951A0"/>
    <w:rsid w:val="002962BC"/>
    <w:rsid w:val="002A093D"/>
    <w:rsid w:val="002A0DD0"/>
    <w:rsid w:val="002A49AC"/>
    <w:rsid w:val="002A527B"/>
    <w:rsid w:val="002A64FD"/>
    <w:rsid w:val="002A77C8"/>
    <w:rsid w:val="002C7A84"/>
    <w:rsid w:val="002D07E7"/>
    <w:rsid w:val="002D2E28"/>
    <w:rsid w:val="002D4EAE"/>
    <w:rsid w:val="002E2BF8"/>
    <w:rsid w:val="002E4FD9"/>
    <w:rsid w:val="003044B0"/>
    <w:rsid w:val="0030657A"/>
    <w:rsid w:val="00322A85"/>
    <w:rsid w:val="00324168"/>
    <w:rsid w:val="00330834"/>
    <w:rsid w:val="0033217B"/>
    <w:rsid w:val="003448F4"/>
    <w:rsid w:val="00345267"/>
    <w:rsid w:val="003706EC"/>
    <w:rsid w:val="00374F5E"/>
    <w:rsid w:val="00377E3E"/>
    <w:rsid w:val="00385F8E"/>
    <w:rsid w:val="0038731B"/>
    <w:rsid w:val="00387F12"/>
    <w:rsid w:val="00390A4F"/>
    <w:rsid w:val="00396D58"/>
    <w:rsid w:val="003A013C"/>
    <w:rsid w:val="003A101E"/>
    <w:rsid w:val="003A1BAC"/>
    <w:rsid w:val="003A2F2E"/>
    <w:rsid w:val="003A779E"/>
    <w:rsid w:val="003B1196"/>
    <w:rsid w:val="003C7D4A"/>
    <w:rsid w:val="003D081E"/>
    <w:rsid w:val="003D0F4D"/>
    <w:rsid w:val="003D5B0D"/>
    <w:rsid w:val="003D68B7"/>
    <w:rsid w:val="003E0499"/>
    <w:rsid w:val="003E4F80"/>
    <w:rsid w:val="003E6439"/>
    <w:rsid w:val="003F0ED1"/>
    <w:rsid w:val="003F3941"/>
    <w:rsid w:val="00406575"/>
    <w:rsid w:val="00407026"/>
    <w:rsid w:val="00414C74"/>
    <w:rsid w:val="0042119F"/>
    <w:rsid w:val="0042722E"/>
    <w:rsid w:val="004353EE"/>
    <w:rsid w:val="0044528D"/>
    <w:rsid w:val="00461175"/>
    <w:rsid w:val="00466E39"/>
    <w:rsid w:val="00482D37"/>
    <w:rsid w:val="004A1847"/>
    <w:rsid w:val="004A305D"/>
    <w:rsid w:val="004B5150"/>
    <w:rsid w:val="004D352A"/>
    <w:rsid w:val="004D4F0C"/>
    <w:rsid w:val="004D72A7"/>
    <w:rsid w:val="004F01CA"/>
    <w:rsid w:val="004F21C4"/>
    <w:rsid w:val="004F33B3"/>
    <w:rsid w:val="004F685F"/>
    <w:rsid w:val="005006C2"/>
    <w:rsid w:val="00507361"/>
    <w:rsid w:val="00512520"/>
    <w:rsid w:val="00512770"/>
    <w:rsid w:val="00521962"/>
    <w:rsid w:val="00533DBF"/>
    <w:rsid w:val="00542636"/>
    <w:rsid w:val="0054478F"/>
    <w:rsid w:val="00554544"/>
    <w:rsid w:val="005566E8"/>
    <w:rsid w:val="00556F32"/>
    <w:rsid w:val="00562884"/>
    <w:rsid w:val="00565519"/>
    <w:rsid w:val="0057033C"/>
    <w:rsid w:val="00574867"/>
    <w:rsid w:val="00574B02"/>
    <w:rsid w:val="00580197"/>
    <w:rsid w:val="005837FA"/>
    <w:rsid w:val="00591460"/>
    <w:rsid w:val="00594D0B"/>
    <w:rsid w:val="005A65E0"/>
    <w:rsid w:val="005A77D1"/>
    <w:rsid w:val="005C1592"/>
    <w:rsid w:val="005C2CED"/>
    <w:rsid w:val="005C3777"/>
    <w:rsid w:val="005C5CDC"/>
    <w:rsid w:val="005D476C"/>
    <w:rsid w:val="005D5628"/>
    <w:rsid w:val="0061269B"/>
    <w:rsid w:val="00615EA1"/>
    <w:rsid w:val="006200BF"/>
    <w:rsid w:val="006219F8"/>
    <w:rsid w:val="006263FB"/>
    <w:rsid w:val="006302F7"/>
    <w:rsid w:val="00646B9F"/>
    <w:rsid w:val="006521CE"/>
    <w:rsid w:val="00652FDF"/>
    <w:rsid w:val="00664EF8"/>
    <w:rsid w:val="0066595E"/>
    <w:rsid w:val="00665D70"/>
    <w:rsid w:val="006878AF"/>
    <w:rsid w:val="006900D9"/>
    <w:rsid w:val="00690614"/>
    <w:rsid w:val="006C32FD"/>
    <w:rsid w:val="006C6930"/>
    <w:rsid w:val="006C6C71"/>
    <w:rsid w:val="006D36D3"/>
    <w:rsid w:val="006E2F67"/>
    <w:rsid w:val="006E70F1"/>
    <w:rsid w:val="00706C16"/>
    <w:rsid w:val="007219AE"/>
    <w:rsid w:val="007340C3"/>
    <w:rsid w:val="0075235A"/>
    <w:rsid w:val="00754D51"/>
    <w:rsid w:val="00756841"/>
    <w:rsid w:val="007649AB"/>
    <w:rsid w:val="00771D0C"/>
    <w:rsid w:val="007833AC"/>
    <w:rsid w:val="0078641B"/>
    <w:rsid w:val="00797209"/>
    <w:rsid w:val="007B268C"/>
    <w:rsid w:val="007B7171"/>
    <w:rsid w:val="007C0C0F"/>
    <w:rsid w:val="007C20C9"/>
    <w:rsid w:val="007C3DC2"/>
    <w:rsid w:val="007C6A48"/>
    <w:rsid w:val="007E5497"/>
    <w:rsid w:val="00806F5F"/>
    <w:rsid w:val="00817B53"/>
    <w:rsid w:val="00820278"/>
    <w:rsid w:val="008258C9"/>
    <w:rsid w:val="00844AE9"/>
    <w:rsid w:val="00846F5A"/>
    <w:rsid w:val="00850EAC"/>
    <w:rsid w:val="008512A0"/>
    <w:rsid w:val="008561D8"/>
    <w:rsid w:val="00867F95"/>
    <w:rsid w:val="008750E9"/>
    <w:rsid w:val="008820B2"/>
    <w:rsid w:val="008843B6"/>
    <w:rsid w:val="00891928"/>
    <w:rsid w:val="008A446D"/>
    <w:rsid w:val="008B25F1"/>
    <w:rsid w:val="008C002A"/>
    <w:rsid w:val="008C0FC7"/>
    <w:rsid w:val="008C11B1"/>
    <w:rsid w:val="008D180B"/>
    <w:rsid w:val="008D1F58"/>
    <w:rsid w:val="008F0EA7"/>
    <w:rsid w:val="009157DB"/>
    <w:rsid w:val="00923EEF"/>
    <w:rsid w:val="00931712"/>
    <w:rsid w:val="009419F9"/>
    <w:rsid w:val="0095685E"/>
    <w:rsid w:val="00961B09"/>
    <w:rsid w:val="00965334"/>
    <w:rsid w:val="00966696"/>
    <w:rsid w:val="0097093E"/>
    <w:rsid w:val="0098798A"/>
    <w:rsid w:val="009A0DFA"/>
    <w:rsid w:val="009A1C6F"/>
    <w:rsid w:val="009A3E8B"/>
    <w:rsid w:val="009B2D26"/>
    <w:rsid w:val="009B55B3"/>
    <w:rsid w:val="009C0D3A"/>
    <w:rsid w:val="009C37A3"/>
    <w:rsid w:val="009C52AE"/>
    <w:rsid w:val="009C71FA"/>
    <w:rsid w:val="009C72E7"/>
    <w:rsid w:val="009C7F7E"/>
    <w:rsid w:val="009D3058"/>
    <w:rsid w:val="009E69FC"/>
    <w:rsid w:val="009F1DAC"/>
    <w:rsid w:val="009F3928"/>
    <w:rsid w:val="009F3A13"/>
    <w:rsid w:val="009F4859"/>
    <w:rsid w:val="00A04A89"/>
    <w:rsid w:val="00A122D3"/>
    <w:rsid w:val="00A14468"/>
    <w:rsid w:val="00A17F13"/>
    <w:rsid w:val="00A20739"/>
    <w:rsid w:val="00A23AF9"/>
    <w:rsid w:val="00A24E17"/>
    <w:rsid w:val="00A33C78"/>
    <w:rsid w:val="00A373F2"/>
    <w:rsid w:val="00A80498"/>
    <w:rsid w:val="00A91F13"/>
    <w:rsid w:val="00A97165"/>
    <w:rsid w:val="00AB0ADB"/>
    <w:rsid w:val="00AB7849"/>
    <w:rsid w:val="00AC47A7"/>
    <w:rsid w:val="00AD0122"/>
    <w:rsid w:val="00AD06E8"/>
    <w:rsid w:val="00AD0FD5"/>
    <w:rsid w:val="00AD2196"/>
    <w:rsid w:val="00B00C0E"/>
    <w:rsid w:val="00B01B1A"/>
    <w:rsid w:val="00B0381D"/>
    <w:rsid w:val="00B24431"/>
    <w:rsid w:val="00B32BD0"/>
    <w:rsid w:val="00B4266E"/>
    <w:rsid w:val="00B44073"/>
    <w:rsid w:val="00B44A47"/>
    <w:rsid w:val="00B51B43"/>
    <w:rsid w:val="00B65A1F"/>
    <w:rsid w:val="00B72CD3"/>
    <w:rsid w:val="00B72FFF"/>
    <w:rsid w:val="00B86367"/>
    <w:rsid w:val="00BB5D07"/>
    <w:rsid w:val="00BC3D36"/>
    <w:rsid w:val="00BD1EC9"/>
    <w:rsid w:val="00BD3403"/>
    <w:rsid w:val="00BD54A6"/>
    <w:rsid w:val="00BD5F3F"/>
    <w:rsid w:val="00BD7D24"/>
    <w:rsid w:val="00BD7F72"/>
    <w:rsid w:val="00BF72F8"/>
    <w:rsid w:val="00BF7425"/>
    <w:rsid w:val="00C04FB3"/>
    <w:rsid w:val="00C05134"/>
    <w:rsid w:val="00C11D8B"/>
    <w:rsid w:val="00C137C6"/>
    <w:rsid w:val="00C150A5"/>
    <w:rsid w:val="00C15139"/>
    <w:rsid w:val="00C174D8"/>
    <w:rsid w:val="00C330EB"/>
    <w:rsid w:val="00C50D69"/>
    <w:rsid w:val="00C5365C"/>
    <w:rsid w:val="00C61377"/>
    <w:rsid w:val="00C754BE"/>
    <w:rsid w:val="00C76B1C"/>
    <w:rsid w:val="00C925AC"/>
    <w:rsid w:val="00CA577A"/>
    <w:rsid w:val="00CB3C75"/>
    <w:rsid w:val="00CB6357"/>
    <w:rsid w:val="00CC1B26"/>
    <w:rsid w:val="00CC4922"/>
    <w:rsid w:val="00CC4AC6"/>
    <w:rsid w:val="00CD2412"/>
    <w:rsid w:val="00CD319B"/>
    <w:rsid w:val="00CE00D0"/>
    <w:rsid w:val="00CE6726"/>
    <w:rsid w:val="00D024F7"/>
    <w:rsid w:val="00D02709"/>
    <w:rsid w:val="00D03071"/>
    <w:rsid w:val="00D12161"/>
    <w:rsid w:val="00D1557A"/>
    <w:rsid w:val="00D21C34"/>
    <w:rsid w:val="00D26006"/>
    <w:rsid w:val="00D313BE"/>
    <w:rsid w:val="00D361FD"/>
    <w:rsid w:val="00D423A2"/>
    <w:rsid w:val="00D43727"/>
    <w:rsid w:val="00D438EF"/>
    <w:rsid w:val="00D44E26"/>
    <w:rsid w:val="00D45E2C"/>
    <w:rsid w:val="00D520D8"/>
    <w:rsid w:val="00D63AC2"/>
    <w:rsid w:val="00D7383B"/>
    <w:rsid w:val="00D73A23"/>
    <w:rsid w:val="00D7788A"/>
    <w:rsid w:val="00D81368"/>
    <w:rsid w:val="00D836E8"/>
    <w:rsid w:val="00D86808"/>
    <w:rsid w:val="00DA16F9"/>
    <w:rsid w:val="00DA231B"/>
    <w:rsid w:val="00DA79A1"/>
    <w:rsid w:val="00DB21F1"/>
    <w:rsid w:val="00DB3D90"/>
    <w:rsid w:val="00DC39FC"/>
    <w:rsid w:val="00DE0395"/>
    <w:rsid w:val="00DE4257"/>
    <w:rsid w:val="00DF5254"/>
    <w:rsid w:val="00E02524"/>
    <w:rsid w:val="00E10FC2"/>
    <w:rsid w:val="00E12A5D"/>
    <w:rsid w:val="00E16408"/>
    <w:rsid w:val="00E20894"/>
    <w:rsid w:val="00E245AB"/>
    <w:rsid w:val="00E2764C"/>
    <w:rsid w:val="00E2788E"/>
    <w:rsid w:val="00E27F2E"/>
    <w:rsid w:val="00E311FB"/>
    <w:rsid w:val="00E3246D"/>
    <w:rsid w:val="00E50AFE"/>
    <w:rsid w:val="00E659AE"/>
    <w:rsid w:val="00E66B9B"/>
    <w:rsid w:val="00E75C92"/>
    <w:rsid w:val="00E771DC"/>
    <w:rsid w:val="00E86342"/>
    <w:rsid w:val="00E8772A"/>
    <w:rsid w:val="00E90F6B"/>
    <w:rsid w:val="00E92C27"/>
    <w:rsid w:val="00E94B18"/>
    <w:rsid w:val="00EA0E3D"/>
    <w:rsid w:val="00EA1C2A"/>
    <w:rsid w:val="00EB4D75"/>
    <w:rsid w:val="00EC38A7"/>
    <w:rsid w:val="00EC6B65"/>
    <w:rsid w:val="00ED3EA0"/>
    <w:rsid w:val="00EE154C"/>
    <w:rsid w:val="00EE1AA8"/>
    <w:rsid w:val="00EE6D42"/>
    <w:rsid w:val="00F025BA"/>
    <w:rsid w:val="00F03AC7"/>
    <w:rsid w:val="00F17922"/>
    <w:rsid w:val="00F23FEA"/>
    <w:rsid w:val="00F31EDC"/>
    <w:rsid w:val="00F32BCA"/>
    <w:rsid w:val="00F36D31"/>
    <w:rsid w:val="00F462B3"/>
    <w:rsid w:val="00F50C0A"/>
    <w:rsid w:val="00F5233B"/>
    <w:rsid w:val="00F553EE"/>
    <w:rsid w:val="00F5664F"/>
    <w:rsid w:val="00F609A0"/>
    <w:rsid w:val="00F62A55"/>
    <w:rsid w:val="00F666C4"/>
    <w:rsid w:val="00F76AFC"/>
    <w:rsid w:val="00F77C86"/>
    <w:rsid w:val="00F9269C"/>
    <w:rsid w:val="00F96832"/>
    <w:rsid w:val="00FA1389"/>
    <w:rsid w:val="00FA47C0"/>
    <w:rsid w:val="00FB5DD1"/>
    <w:rsid w:val="00FC2B5D"/>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A1BAC"/>
    <w:pPr>
      <w:spacing w:line="240" w:lineRule="exact"/>
    </w:pPr>
    <w:rPr>
      <w:vertAlign w:val="superscript"/>
    </w:rPr>
  </w:style>
  <w:style w:type="character" w:styleId="Refdecomentario">
    <w:name w:val="annotation reference"/>
    <w:basedOn w:val="Fuentedeprrafopredeter"/>
    <w:uiPriority w:val="99"/>
    <w:semiHidden/>
    <w:unhideWhenUsed/>
    <w:rsid w:val="00DE0395"/>
    <w:rPr>
      <w:sz w:val="16"/>
      <w:szCs w:val="16"/>
    </w:rPr>
  </w:style>
  <w:style w:type="paragraph" w:styleId="Textocomentario">
    <w:name w:val="annotation text"/>
    <w:basedOn w:val="Normal"/>
    <w:link w:val="TextocomentarioCar"/>
    <w:uiPriority w:val="99"/>
    <w:unhideWhenUsed/>
    <w:rsid w:val="00DE0395"/>
    <w:pPr>
      <w:spacing w:line="240" w:lineRule="auto"/>
    </w:pPr>
    <w:rPr>
      <w:sz w:val="20"/>
      <w:szCs w:val="20"/>
    </w:rPr>
  </w:style>
  <w:style w:type="character" w:customStyle="1" w:styleId="TextocomentarioCar">
    <w:name w:val="Texto comentario Car"/>
    <w:basedOn w:val="Fuentedeprrafopredeter"/>
    <w:link w:val="Textocomentario"/>
    <w:uiPriority w:val="99"/>
    <w:rsid w:val="00DE0395"/>
    <w:rPr>
      <w:sz w:val="20"/>
      <w:szCs w:val="20"/>
    </w:rPr>
  </w:style>
  <w:style w:type="paragraph" w:styleId="Asuntodelcomentario">
    <w:name w:val="annotation subject"/>
    <w:basedOn w:val="Textocomentario"/>
    <w:next w:val="Textocomentario"/>
    <w:link w:val="AsuntodelcomentarioCar"/>
    <w:uiPriority w:val="99"/>
    <w:semiHidden/>
    <w:unhideWhenUsed/>
    <w:rsid w:val="00DE0395"/>
    <w:rPr>
      <w:b/>
      <w:bCs/>
    </w:rPr>
  </w:style>
  <w:style w:type="character" w:customStyle="1" w:styleId="AsuntodelcomentarioCar">
    <w:name w:val="Asunto del comentario Car"/>
    <w:basedOn w:val="TextocomentarioCar"/>
    <w:link w:val="Asuntodelcomentario"/>
    <w:uiPriority w:val="99"/>
    <w:semiHidden/>
    <w:rsid w:val="00DE03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DEC21E34-8E75-4D2A-A45C-8AFCADAE3A98}">
  <ds:schemaRefs>
    <ds:schemaRef ds:uri="http://schemas.openxmlformats.org/officeDocument/2006/bibliography"/>
  </ds:schemaRefs>
</ds:datastoreItem>
</file>

<file path=customXml/itemProps4.xml><?xml version="1.0" encoding="utf-8"?>
<ds:datastoreItem xmlns:ds="http://schemas.openxmlformats.org/officeDocument/2006/customXml" ds:itemID="{7B44831D-2F6C-4F4B-AED5-FB757ADD5C05}"/>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46</TotalTime>
  <Pages>22</Pages>
  <Words>7169</Words>
  <Characters>39435</Characters>
  <Application>Microsoft Office Word</Application>
  <DocSecurity>0</DocSecurity>
  <Lines>328</Lines>
  <Paragraphs>93</Paragraphs>
  <ScaleCrop>false</ScaleCrop>
  <Company/>
  <LinksUpToDate>false</LinksUpToDate>
  <CharactersWithSpaces>46511</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8257627</vt:i4>
      </vt:variant>
      <vt:variant>
        <vt:i4>0</vt:i4>
      </vt:variant>
      <vt:variant>
        <vt:i4>0</vt:i4>
      </vt:variant>
      <vt:variant>
        <vt:i4>5</vt:i4>
      </vt:variant>
      <vt:variant>
        <vt:lpwstr>mailto:arturoemartinez@hotmail.com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37</cp:revision>
  <cp:lastPrinted>2023-01-10T21:18:00Z</cp:lastPrinted>
  <dcterms:created xsi:type="dcterms:W3CDTF">2026-06-10T22:24:00Z</dcterms:created>
  <dcterms:modified xsi:type="dcterms:W3CDTF">2026-07-08T15:03:00Z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