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i="http://schemas.microsoft.com/office/word/2026/wordml/cei"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95E04A" w14:textId="77777777" w:rsidR="00EC38AA" w:rsidRPr="001717FA" w:rsidRDefault="00EC38AA" w:rsidP="00EC38AA">
      <w:pPr>
        <w:jc w:val="both"/>
        <w:rPr>
          <w:rFonts w:ascii="Verdana" w:hAnsi="Verdana" w:cs="Arial"/>
          <w:b/>
          <w:bCs/>
        </w:rPr>
      </w:pPr>
      <w:bookmarkStart w:id="0" w:name="_Hlk143780582"/>
      <w:r w:rsidRPr="001717FA">
        <w:rPr>
          <w:rFonts w:ascii="Verdana" w:hAnsi="Verdana" w:cs="Arial"/>
          <w:b/>
          <w:bCs/>
        </w:rPr>
        <w:t xml:space="preserve">COLOMBIA COMPRA EFICIENTE – Decreto Ley 4170 de 2011 – Naturaleza jurídica </w:t>
      </w:r>
    </w:p>
    <w:p w14:paraId="18CA2DF5" w14:textId="77777777" w:rsidR="00EC38AA" w:rsidRPr="001717FA" w:rsidRDefault="00EC38AA" w:rsidP="00EC38AA">
      <w:pPr>
        <w:spacing w:after="0" w:line="240" w:lineRule="auto"/>
        <w:jc w:val="both"/>
        <w:rPr>
          <w:rFonts w:ascii="Verdana" w:hAnsi="Verdana" w:cs="Arial"/>
          <w:b/>
          <w:bCs/>
        </w:rPr>
      </w:pPr>
      <w:r w:rsidRPr="001717FA">
        <w:rPr>
          <w:rFonts w:ascii="Verdana" w:eastAsia="Calibri" w:hAnsi="Verdana" w:cs="Arial"/>
          <w:bCs/>
          <w:color w:val="000000" w:themeColor="text1"/>
          <w:sz w:val="20"/>
          <w:lang w:val="es-ES_tradnl"/>
        </w:rPr>
        <w:t xml:space="preserve">El legislador determinó que su objetivo sería servir como ente rector de la política de compras y contratación del Estado, al ser consciente de la necesidad de contar en la estructura del Estado con un órgano técnico especializado que asumiera la tarea de formular políticas públicas, normas y unificar los procesos de contratación estatal, facultando a la Agencia para “difundir las normas, reglas, procedimientos, medios tecnológicos y mejores prácticas para las compras y la contratación pública”, de conformidad con el numeral 10 del artículo 3 del Decreto Ley 4170 de 2011. </w:t>
      </w:r>
    </w:p>
    <w:p w14:paraId="1F51D6E3" w14:textId="77777777" w:rsidR="00EC38AA" w:rsidRPr="001717FA" w:rsidRDefault="00EC38AA" w:rsidP="00EC38AA">
      <w:pPr>
        <w:spacing w:before="120" w:after="240" w:line="240" w:lineRule="auto"/>
        <w:jc w:val="both"/>
        <w:rPr>
          <w:rFonts w:ascii="Verdana" w:eastAsia="Calibri" w:hAnsi="Verdana" w:cs="Arial"/>
          <w:bCs/>
          <w:color w:val="000000" w:themeColor="text1"/>
          <w:sz w:val="20"/>
          <w:lang w:val="es-ES_tradnl"/>
        </w:rPr>
      </w:pPr>
      <w:r w:rsidRPr="001717FA">
        <w:rPr>
          <w:rFonts w:ascii="Verdana" w:eastAsia="Calibri" w:hAnsi="Verdana" w:cs="Arial"/>
          <w:bCs/>
          <w:color w:val="000000" w:themeColor="text1"/>
          <w:sz w:val="20"/>
          <w:lang w:val="es-ES_tradnl"/>
        </w:rPr>
        <w:t xml:space="preserve">En este contexto, concretamente el numeral 2 del artículo 3 del Decreto Ley 4170 de 2011 señala que una de las funciones de la Agencia Nacional de Contratación Pública es “desarrollar, implementar y difundir las políticas públicas, planes, programas, normas, instrumentos y herramientas que faciliten las compras y contratación pública del Estado y promuevan las mejores prácticas, la eficiencia, transparencia y competitividad del mismo, a fin de que se cumplan los principios y procesos generales que deben gobernar la actividad contractual de las entidades públicas”. </w:t>
      </w:r>
    </w:p>
    <w:p w14:paraId="04CCCB59" w14:textId="77777777" w:rsidR="007950AB" w:rsidRPr="001717FA" w:rsidRDefault="007950AB" w:rsidP="007950AB">
      <w:pPr>
        <w:spacing w:before="120" w:after="240" w:line="240" w:lineRule="auto"/>
        <w:jc w:val="both"/>
        <w:rPr>
          <w:rFonts w:ascii="Verdana" w:eastAsia="Calibri" w:hAnsi="Verdana" w:cs="Arial"/>
          <w:bCs/>
          <w:color w:val="000000" w:themeColor="text1"/>
          <w:sz w:val="20"/>
          <w:lang w:val="es-ES_tradnl"/>
        </w:rPr>
      </w:pPr>
      <w:r w:rsidRPr="001717FA">
        <w:rPr>
          <w:rFonts w:ascii="Verdana" w:hAnsi="Verdana" w:cs="Arial"/>
          <w:b/>
          <w:bCs/>
        </w:rPr>
        <w:t>COLOMBIA COMPRA EFICIENTE – Funciones – Expedición – Guías – Manuales – Circulares – Obligatoriedad – Decreto 1600 del 2024</w:t>
      </w:r>
    </w:p>
    <w:p w14:paraId="3FA1C450" w14:textId="77777777" w:rsidR="007950AB" w:rsidRPr="001717FA" w:rsidRDefault="007950AB" w:rsidP="007950AB">
      <w:pPr>
        <w:spacing w:after="240" w:line="240" w:lineRule="auto"/>
        <w:jc w:val="both"/>
        <w:rPr>
          <w:rFonts w:ascii="Verdana" w:eastAsia="Calibri" w:hAnsi="Verdana" w:cs="Arial"/>
          <w:sz w:val="20"/>
          <w:szCs w:val="20"/>
          <w:lang w:val="es-ES"/>
        </w:rPr>
      </w:pPr>
      <w:r w:rsidRPr="001717FA">
        <w:rPr>
          <w:rFonts w:ascii="Verdana" w:eastAsia="Calibri" w:hAnsi="Verdana" w:cs="Arial"/>
          <w:sz w:val="20"/>
          <w:szCs w:val="20"/>
          <w:lang w:val="es-ES"/>
        </w:rPr>
        <w:t>En ejercicio de las competencias asignadas, Colombia Compra Eficiente ha expedido Guías, Manuales y Circulares, los cuales pueden ser calificados como herramientas de apoyo a los partícipes de la contratación pública. Pese a que el Decreto Ley 4170 de 2011 no contiene de manera expresa los vocablos Guía o Manual, Colombia Compra Eficiente, a partir del 2013, los ha expedido como instrumentos y herramientas que facilitan las compras y la contratación pública y promueven las mejores prácticas, la eficiencia, transparencia y competitividad.</w:t>
      </w:r>
    </w:p>
    <w:p w14:paraId="3BF506A2" w14:textId="77777777" w:rsidR="007950AB" w:rsidRPr="001717FA" w:rsidRDefault="007950AB" w:rsidP="007950AB">
      <w:pPr>
        <w:spacing w:after="240" w:line="240" w:lineRule="auto"/>
        <w:jc w:val="both"/>
        <w:rPr>
          <w:rFonts w:ascii="Verdana" w:eastAsia="Calibri" w:hAnsi="Verdana" w:cs="Arial"/>
          <w:sz w:val="20"/>
          <w:szCs w:val="20"/>
          <w:lang w:val="es-ES"/>
        </w:rPr>
      </w:pPr>
      <w:r w:rsidRPr="001717FA">
        <w:rPr>
          <w:rFonts w:ascii="Verdana" w:eastAsia="Calibri" w:hAnsi="Verdana" w:cs="Arial"/>
          <w:sz w:val="20"/>
          <w:szCs w:val="20"/>
          <w:lang w:val="es-ES"/>
        </w:rPr>
        <w:t>[…]</w:t>
      </w:r>
    </w:p>
    <w:p w14:paraId="420C38F6" w14:textId="77777777" w:rsidR="007950AB" w:rsidRPr="001717FA" w:rsidRDefault="007950AB" w:rsidP="007950AB">
      <w:pPr>
        <w:spacing w:after="240" w:line="240" w:lineRule="auto"/>
        <w:jc w:val="both"/>
        <w:rPr>
          <w:rFonts w:ascii="Verdana" w:eastAsia="Geomanist Light" w:hAnsi="Verdana" w:cs="Arial"/>
          <w:sz w:val="20"/>
          <w:szCs w:val="20"/>
        </w:rPr>
      </w:pPr>
      <w:r w:rsidRPr="001717FA">
        <w:rPr>
          <w:rFonts w:ascii="Verdana" w:eastAsia="Geomanist Light" w:hAnsi="Verdana" w:cs="Arial"/>
          <w:sz w:val="20"/>
          <w:szCs w:val="20"/>
        </w:rPr>
        <w:t xml:space="preserve">La obligatoriedad de un acto o instrumento expedido por la ANCP-CCE se determina cuando su contenido corresponde a materias cuya regulación ha sido atribuida expresamente por el legislador o por el Presidente de la República a la Agencia Nacional de Contratación Pública. Este aspecto se vincula directamente con uno de los elementos esenciales de los actos administrativos: la competencia. </w:t>
      </w:r>
    </w:p>
    <w:p w14:paraId="69F2137A" w14:textId="77777777" w:rsidR="007950AB" w:rsidRPr="001717FA" w:rsidRDefault="007950AB" w:rsidP="007950AB">
      <w:pPr>
        <w:spacing w:after="240" w:line="240" w:lineRule="auto"/>
        <w:jc w:val="both"/>
        <w:rPr>
          <w:rFonts w:ascii="Verdana" w:eastAsia="Calibri" w:hAnsi="Verdana" w:cs="Arial"/>
          <w:sz w:val="20"/>
          <w:szCs w:val="20"/>
          <w:lang w:val="es-ES"/>
        </w:rPr>
      </w:pPr>
      <w:r w:rsidRPr="001717FA">
        <w:rPr>
          <w:rFonts w:ascii="Verdana" w:eastAsia="Calibri" w:hAnsi="Verdana" w:cs="Arial"/>
          <w:sz w:val="20"/>
          <w:szCs w:val="20"/>
          <w:lang w:val="es-ES"/>
        </w:rPr>
        <w:t>[…]</w:t>
      </w:r>
    </w:p>
    <w:p w14:paraId="06E20E8F" w14:textId="77777777" w:rsidR="007950AB" w:rsidRPr="001717FA" w:rsidRDefault="007950AB" w:rsidP="007950AB">
      <w:pPr>
        <w:spacing w:after="240" w:line="240" w:lineRule="auto"/>
        <w:jc w:val="both"/>
        <w:rPr>
          <w:rFonts w:ascii="Verdana" w:eastAsia="Calibri" w:hAnsi="Verdana" w:cs="Arial"/>
          <w:bCs/>
          <w:color w:val="000000" w:themeColor="text1"/>
          <w:sz w:val="20"/>
          <w:lang w:val="es-ES_tradnl"/>
        </w:rPr>
      </w:pPr>
      <w:r w:rsidRPr="001717FA">
        <w:rPr>
          <w:rFonts w:ascii="Verdana" w:eastAsia="Calibri" w:hAnsi="Verdana" w:cs="Arial"/>
          <w:bCs/>
          <w:color w:val="000000" w:themeColor="text1"/>
          <w:sz w:val="20"/>
          <w:lang w:val="es-ES_tradnl"/>
        </w:rPr>
        <w:t>Las entidades no pueden alegar discrecionalidad absoluta en la forma de realizar estudios previos o análisis sectoriales, ya que deben garantizar la incorporación de los lineamientos metodológicos de Colombia Compra Eficiente como parte de su cumplimiento legal. Esto fortalece la estandarización de prácticas en contratación pública y asegura que las guías y manuales de la Agencia se utilicen como soporte técnico y jurídico para garantizar transparencia, objetividad en la fijación de precios y mayor seguridad en la planeación contractual. En consecuencia, el artículo 2.1.4.3.2.1 del Decreto 1600 del 2024 otorga a estos instrumentos un valor normativo indirecto, vinculando su aplicación al deber de las entidades de prevenir la corrupción y cumplir con estándares mínimos de calidad en la contratación.</w:t>
      </w:r>
    </w:p>
    <w:p w14:paraId="310B1C9F" w14:textId="77777777" w:rsidR="00741278" w:rsidRPr="001717FA" w:rsidRDefault="00741278" w:rsidP="00741278">
      <w:pPr>
        <w:spacing w:after="0" w:line="240" w:lineRule="auto"/>
        <w:jc w:val="both"/>
        <w:rPr>
          <w:rFonts w:ascii="Verdana" w:eastAsia="Calibri" w:hAnsi="Verdana" w:cs="Arial"/>
          <w:b/>
          <w:lang w:val="es-MX"/>
        </w:rPr>
      </w:pPr>
      <w:r w:rsidRPr="001717FA">
        <w:rPr>
          <w:rFonts w:ascii="Verdana" w:eastAsia="Calibri" w:hAnsi="Verdana" w:cs="Arial"/>
          <w:b/>
          <w:bCs/>
          <w:lang w:val="es-MX"/>
        </w:rPr>
        <w:t xml:space="preserve">GUÍA PARA EL MANEJO DE OFERTAS ARTIFICIALMENTE BAJAS </w:t>
      </w:r>
      <w:r w:rsidRPr="001717FA">
        <w:rPr>
          <w:rFonts w:ascii="Verdana" w:eastAsia="Calibri" w:hAnsi="Verdana" w:cs="Arial"/>
          <w:b/>
          <w:lang w:val="es-MX"/>
        </w:rPr>
        <w:t>– Identificación</w:t>
      </w:r>
    </w:p>
    <w:p w14:paraId="1255BF9B" w14:textId="77777777" w:rsidR="00741278" w:rsidRPr="001717FA" w:rsidRDefault="00741278" w:rsidP="00741278">
      <w:pPr>
        <w:spacing w:after="0"/>
        <w:jc w:val="both"/>
        <w:rPr>
          <w:rFonts w:ascii="Verdana" w:eastAsia="Verdana" w:hAnsi="Verdana" w:cs="Verdana"/>
          <w:color w:val="7030A0"/>
          <w:sz w:val="18"/>
          <w:szCs w:val="18"/>
          <w:lang w:val="es-ES"/>
        </w:rPr>
      </w:pPr>
    </w:p>
    <w:p w14:paraId="7EA4477D" w14:textId="77777777" w:rsidR="00741278" w:rsidRPr="001717FA" w:rsidRDefault="00741278" w:rsidP="00741278">
      <w:pPr>
        <w:spacing w:after="120" w:line="240" w:lineRule="auto"/>
        <w:jc w:val="both"/>
        <w:rPr>
          <w:rFonts w:ascii="Verdana" w:eastAsia="Times New Roman" w:hAnsi="Verdana" w:cs="Arial"/>
          <w:sz w:val="20"/>
          <w:szCs w:val="20"/>
          <w:lang w:val="es-ES"/>
        </w:rPr>
      </w:pPr>
      <w:r w:rsidRPr="001717FA">
        <w:rPr>
          <w:rFonts w:ascii="Verdana" w:eastAsia="Times New Roman" w:hAnsi="Verdana" w:cs="Arial"/>
          <w:sz w:val="20"/>
          <w:szCs w:val="20"/>
          <w:lang w:val="es-ES"/>
        </w:rPr>
        <w:t xml:space="preserve">[…] La Agencia Nacional de Contratación Pública – Colombia Compra Eficiente el 16 de diciembre de 2024, actualizó la “Guía para el manejo de ofertas artificialmente bajas en Procesos de Contratación”, donde se </w:t>
      </w:r>
      <w:r w:rsidRPr="001717FA">
        <w:rPr>
          <w:rFonts w:ascii="Verdana" w:hAnsi="Verdana" w:cs="Arial"/>
          <w:color w:val="000000" w:themeColor="text1"/>
          <w:sz w:val="20"/>
          <w:szCs w:val="20"/>
        </w:rPr>
        <w:t xml:space="preserve">recomienda a las entidades estatales tener en cuenta la siguiente información: i) promedio del valor de las ofertas, </w:t>
      </w:r>
      <w:proofErr w:type="spellStart"/>
      <w:r w:rsidRPr="001717FA">
        <w:rPr>
          <w:rFonts w:ascii="Verdana" w:hAnsi="Verdana" w:cs="Arial"/>
          <w:color w:val="000000" w:themeColor="text1"/>
          <w:sz w:val="20"/>
          <w:szCs w:val="20"/>
        </w:rPr>
        <w:t>ii</w:t>
      </w:r>
      <w:proofErr w:type="spellEnd"/>
      <w:r w:rsidRPr="001717FA">
        <w:rPr>
          <w:rFonts w:ascii="Verdana" w:hAnsi="Verdana" w:cs="Arial"/>
          <w:color w:val="000000" w:themeColor="text1"/>
          <w:sz w:val="20"/>
          <w:szCs w:val="20"/>
        </w:rPr>
        <w:t xml:space="preserve">) mediana del valor las ofertas, </w:t>
      </w:r>
      <w:proofErr w:type="spellStart"/>
      <w:r w:rsidRPr="001717FA">
        <w:rPr>
          <w:rFonts w:ascii="Verdana" w:hAnsi="Verdana" w:cs="Arial"/>
          <w:color w:val="000000" w:themeColor="text1"/>
          <w:sz w:val="20"/>
          <w:szCs w:val="20"/>
        </w:rPr>
        <w:t>iii</w:t>
      </w:r>
      <w:proofErr w:type="spellEnd"/>
      <w:r w:rsidRPr="001717FA">
        <w:rPr>
          <w:rFonts w:ascii="Verdana" w:hAnsi="Verdana" w:cs="Arial"/>
          <w:color w:val="000000" w:themeColor="text1"/>
          <w:sz w:val="20"/>
          <w:szCs w:val="20"/>
        </w:rPr>
        <w:t xml:space="preserve">) desviación estándar del valor de las ofertas, </w:t>
      </w:r>
      <w:proofErr w:type="spellStart"/>
      <w:r w:rsidRPr="001717FA">
        <w:rPr>
          <w:rFonts w:ascii="Verdana" w:hAnsi="Verdana" w:cs="Arial"/>
          <w:color w:val="000000" w:themeColor="text1"/>
          <w:sz w:val="20"/>
          <w:szCs w:val="20"/>
        </w:rPr>
        <w:t>iv</w:t>
      </w:r>
      <w:proofErr w:type="spellEnd"/>
      <w:r w:rsidRPr="001717FA">
        <w:rPr>
          <w:rFonts w:ascii="Verdana" w:hAnsi="Verdana" w:cs="Arial"/>
          <w:color w:val="000000" w:themeColor="text1"/>
          <w:sz w:val="20"/>
          <w:szCs w:val="20"/>
        </w:rPr>
        <w:t xml:space="preserve">) diferencia entre el costo estimado del contrato y el promedio o mediana del valor de las ofertas, v) diferencia entre el valor de la oferta que puede ser artificialmente baja y el promedio del valor de las ofertas, vi) diferencia entre el valor de la oferta que puede ser artificialmente baja y el costo estimado del contrato, y </w:t>
      </w:r>
      <w:proofErr w:type="spellStart"/>
      <w:r w:rsidRPr="001717FA">
        <w:rPr>
          <w:rFonts w:ascii="Verdana" w:hAnsi="Verdana" w:cs="Arial"/>
          <w:color w:val="000000" w:themeColor="text1"/>
          <w:sz w:val="20"/>
          <w:szCs w:val="20"/>
        </w:rPr>
        <w:t>vii</w:t>
      </w:r>
      <w:proofErr w:type="spellEnd"/>
      <w:r w:rsidRPr="001717FA">
        <w:rPr>
          <w:rFonts w:ascii="Verdana" w:hAnsi="Verdana" w:cs="Arial"/>
          <w:color w:val="000000" w:themeColor="text1"/>
          <w:sz w:val="20"/>
          <w:szCs w:val="20"/>
        </w:rPr>
        <w:t xml:space="preserve">) la información histórica de ofertas y contratos del objeto del proceso de contratación. </w:t>
      </w:r>
    </w:p>
    <w:p w14:paraId="5D581565" w14:textId="0CAEE47F" w:rsidR="00741278" w:rsidRPr="001717FA" w:rsidRDefault="00741278" w:rsidP="00741278">
      <w:pPr>
        <w:spacing w:before="120" w:line="240" w:lineRule="auto"/>
        <w:jc w:val="both"/>
        <w:rPr>
          <w:rFonts w:ascii="Verdana" w:hAnsi="Verdana" w:cs="Arial"/>
          <w:color w:val="000000" w:themeColor="text1"/>
          <w:sz w:val="20"/>
          <w:szCs w:val="20"/>
        </w:rPr>
      </w:pPr>
      <w:r w:rsidRPr="001717FA">
        <w:rPr>
          <w:rFonts w:ascii="Verdana" w:hAnsi="Verdana" w:cs="Arial"/>
          <w:color w:val="000000" w:themeColor="text1"/>
          <w:sz w:val="20"/>
          <w:szCs w:val="20"/>
        </w:rPr>
        <w:t xml:space="preserve">Con estos datos, la entidad puede emplear herramientas para identificar ofertas que pueden ser artíficamente bajas, tales como la comparación absoluta o la comparación relativa. La </w:t>
      </w:r>
      <w:r w:rsidRPr="001717FA">
        <w:rPr>
          <w:rFonts w:ascii="Verdana" w:hAnsi="Verdana" w:cs="Arial"/>
          <w:i/>
          <w:iCs/>
          <w:color w:val="000000" w:themeColor="text1"/>
          <w:sz w:val="20"/>
          <w:szCs w:val="20"/>
        </w:rPr>
        <w:t>comparación absoluta</w:t>
      </w:r>
      <w:r w:rsidRPr="001717FA">
        <w:rPr>
          <w:rFonts w:ascii="Verdana" w:hAnsi="Verdana" w:cs="Arial"/>
          <w:color w:val="000000" w:themeColor="text1"/>
          <w:sz w:val="20"/>
          <w:szCs w:val="20"/>
        </w:rPr>
        <w:t xml:space="preserve"> consiste en contrastar cada oferta con el costo estimado del bien o servicio, de acuerdo con el estudio del sector. En este caso, si se reciben menos de cinco (5) ofertas, se debe solicitar aclaración a los proponentes cuyas ofertas sean menores en un 20%, o un mayor porcentaje en relación con el costo estimado por la entidad estatal. La </w:t>
      </w:r>
      <w:r w:rsidRPr="001717FA">
        <w:rPr>
          <w:rFonts w:ascii="Verdana" w:hAnsi="Verdana" w:cs="Arial"/>
          <w:i/>
          <w:iCs/>
          <w:color w:val="000000" w:themeColor="text1"/>
          <w:sz w:val="20"/>
          <w:szCs w:val="20"/>
        </w:rPr>
        <w:t>comparación relativa</w:t>
      </w:r>
      <w:r w:rsidRPr="001717FA">
        <w:rPr>
          <w:rFonts w:ascii="Verdana" w:hAnsi="Verdana" w:cs="Arial"/>
          <w:color w:val="000000" w:themeColor="text1"/>
          <w:sz w:val="20"/>
          <w:szCs w:val="20"/>
        </w:rPr>
        <w:t xml:space="preserve"> consiste en comparar cada oferta con las demás presentadas. [...]</w:t>
      </w:r>
    </w:p>
    <w:p w14:paraId="09BA846C" w14:textId="77777777" w:rsidR="00741278" w:rsidRPr="001717FA" w:rsidRDefault="00741278" w:rsidP="00741278">
      <w:pPr>
        <w:spacing w:after="120" w:line="240" w:lineRule="auto"/>
        <w:jc w:val="both"/>
        <w:rPr>
          <w:rFonts w:ascii="Verdana" w:eastAsia="Calibri" w:hAnsi="Verdana" w:cs="Arial"/>
          <w:b/>
          <w:lang w:val="es-MX"/>
        </w:rPr>
      </w:pPr>
      <w:r w:rsidRPr="001717FA">
        <w:rPr>
          <w:rFonts w:ascii="Verdana" w:eastAsia="Calibri" w:hAnsi="Verdana" w:cs="Arial"/>
          <w:b/>
          <w:bCs/>
          <w:lang w:val="es-MX"/>
        </w:rPr>
        <w:t xml:space="preserve">GUÍA PARA EL MANEJO DE OFERTAS ARTIFICIALMENTE BAJAS </w:t>
      </w:r>
      <w:r w:rsidRPr="001717FA">
        <w:rPr>
          <w:rFonts w:ascii="Verdana" w:eastAsia="Calibri" w:hAnsi="Verdana" w:cs="Arial"/>
          <w:b/>
          <w:lang w:val="es-MX"/>
        </w:rPr>
        <w:t>– Manejo</w:t>
      </w:r>
    </w:p>
    <w:p w14:paraId="1BC2FCFD" w14:textId="446C4C5E" w:rsidR="00741278" w:rsidRPr="001717FA" w:rsidRDefault="00741278" w:rsidP="00741278">
      <w:pPr>
        <w:spacing w:after="120" w:line="240" w:lineRule="auto"/>
        <w:jc w:val="both"/>
        <w:rPr>
          <w:rFonts w:ascii="Verdana" w:eastAsia="Calibri" w:hAnsi="Verdana" w:cs="Arial"/>
          <w:b/>
          <w:lang w:val="es-MX"/>
        </w:rPr>
      </w:pPr>
      <w:r w:rsidRPr="001717FA">
        <w:rPr>
          <w:rFonts w:ascii="Verdana" w:eastAsia="Verdana" w:hAnsi="Verdana" w:cs="Verdana"/>
          <w:sz w:val="20"/>
          <w:szCs w:val="20"/>
          <w:lang w:val="es-ES"/>
        </w:rPr>
        <w:t>[…] La</w:t>
      </w:r>
      <w:r w:rsidRPr="001717FA">
        <w:rPr>
          <w:rFonts w:ascii="Verdana" w:eastAsia="Calibri" w:hAnsi="Verdana" w:cs="Arial"/>
          <w:sz w:val="20"/>
          <w:szCs w:val="20"/>
          <w:lang w:val="es-ES"/>
        </w:rPr>
        <w:t xml:space="preserve"> Guía </w:t>
      </w:r>
      <w:r w:rsidRPr="001717FA">
        <w:rPr>
          <w:rFonts w:ascii="Verdana" w:eastAsia="Calibri" w:hAnsi="Verdana" w:cs="Arial"/>
          <w:i/>
          <w:iCs/>
          <w:sz w:val="20"/>
          <w:szCs w:val="20"/>
          <w:lang w:val="es-ES"/>
        </w:rPr>
        <w:t>sugiere</w:t>
      </w:r>
      <w:r w:rsidRPr="001717FA">
        <w:rPr>
          <w:rFonts w:ascii="Verdana" w:eastAsia="Calibri" w:hAnsi="Verdana" w:cs="Arial"/>
          <w:sz w:val="20"/>
          <w:szCs w:val="20"/>
          <w:lang w:val="es-ES"/>
        </w:rPr>
        <w:t xml:space="preserve"> llevar a cabo las siguientes actuaciones: i) comparar el valor de cada oferta con el costo estimado de la provisión del bien o servicio, de acuerdo con el estudio del sector que elaboró la entidad. De todos modos, la verificación de las ofertas artificialmente bajas se puede sustentar en información adicional, como, por ejemplo, los precios de fabricantes y otros factores económicos relevantes. </w:t>
      </w:r>
      <w:proofErr w:type="spellStart"/>
      <w:r w:rsidRPr="001717FA">
        <w:rPr>
          <w:rFonts w:ascii="Verdana" w:eastAsia="Calibri" w:hAnsi="Verdana" w:cs="Arial"/>
          <w:sz w:val="20"/>
          <w:szCs w:val="20"/>
          <w:lang w:val="es-ES"/>
        </w:rPr>
        <w:t>ii</w:t>
      </w:r>
      <w:proofErr w:type="spellEnd"/>
      <w:r w:rsidRPr="001717FA">
        <w:rPr>
          <w:rFonts w:ascii="Verdana" w:eastAsia="Calibri" w:hAnsi="Verdana" w:cs="Arial"/>
          <w:sz w:val="20"/>
          <w:szCs w:val="20"/>
          <w:lang w:val="es-ES"/>
        </w:rPr>
        <w:t xml:space="preserve">) Solicitar explicaciones a los proponentes cuyas ofertas sean menores en un 20% o más en relación con el precio estimado por la Entidad Estatal. Para tales fines, se sugiere acudir al método de </w:t>
      </w:r>
      <w:r w:rsidRPr="001717FA">
        <w:rPr>
          <w:rFonts w:ascii="Verdana" w:eastAsia="Calibri" w:hAnsi="Verdana" w:cs="Arial"/>
          <w:i/>
          <w:iCs/>
          <w:sz w:val="20"/>
          <w:szCs w:val="20"/>
          <w:lang w:val="es-ES"/>
        </w:rPr>
        <w:t>comparación absoluta</w:t>
      </w:r>
      <w:r w:rsidRPr="001717FA">
        <w:rPr>
          <w:rFonts w:ascii="Verdana" w:eastAsia="Calibri" w:hAnsi="Verdana" w:cs="Arial"/>
          <w:sz w:val="20"/>
          <w:szCs w:val="20"/>
          <w:lang w:val="es-ES"/>
        </w:rPr>
        <w:t xml:space="preserve">, previamente explicado. Por último, </w:t>
      </w:r>
      <w:proofErr w:type="spellStart"/>
      <w:r w:rsidRPr="001717FA">
        <w:rPr>
          <w:rFonts w:ascii="Verdana" w:eastAsia="Calibri" w:hAnsi="Verdana" w:cs="Arial"/>
          <w:sz w:val="20"/>
          <w:szCs w:val="20"/>
          <w:lang w:val="es-ES"/>
        </w:rPr>
        <w:t>iii</w:t>
      </w:r>
      <w:proofErr w:type="spellEnd"/>
      <w:r w:rsidRPr="001717FA">
        <w:rPr>
          <w:rFonts w:ascii="Verdana" w:eastAsia="Calibri" w:hAnsi="Verdana" w:cs="Arial"/>
          <w:sz w:val="20"/>
          <w:szCs w:val="20"/>
          <w:lang w:val="es-ES"/>
        </w:rPr>
        <w:t xml:space="preserve">) analizar la información remitida por el proponente requerido y, con fundamento en esta, considerar el rechazo de las ofertas por la configuración de alguno de los eventos señalados en la Sección VII de la mencionada Guía. </w:t>
      </w:r>
      <w:r w:rsidRPr="001717FA">
        <w:rPr>
          <w:rStyle w:val="normaltextrun"/>
          <w:rFonts w:ascii="Verdana" w:hAnsi="Verdana" w:cs="Arial"/>
          <w:sz w:val="20"/>
          <w:szCs w:val="20"/>
          <w:shd w:val="clear" w:color="auto" w:fill="FFFFFF"/>
          <w:lang w:val="es-ES"/>
        </w:rPr>
        <w:t>Este documento se refiere a los eventos en los que el proponente omitió diligenciar algún ítem o componente de la oferta; cometió un error aritmético en la determinación del valor total de la oferta; ofreció por una unidad de medida diferente a la solicitada por la Entidad Estatal; u ofreció condiciones técnicas o de ejecución del contrato que no se ajustan a las especificaciones requeridas por la Entidad.</w:t>
      </w:r>
      <w:r w:rsidRPr="001717FA">
        <w:rPr>
          <w:rStyle w:val="eop"/>
          <w:rFonts w:ascii="Verdana" w:hAnsi="Verdana" w:cs="Arial"/>
          <w:sz w:val="20"/>
          <w:szCs w:val="20"/>
          <w:shd w:val="clear" w:color="auto" w:fill="FFFFFF"/>
        </w:rPr>
        <w:t> </w:t>
      </w:r>
      <w:r w:rsidRPr="001717FA">
        <w:rPr>
          <w:rFonts w:ascii="Verdana" w:eastAsia="Calibri" w:hAnsi="Verdana" w:cs="Arial"/>
          <w:sz w:val="20"/>
          <w:szCs w:val="20"/>
          <w:lang w:val="es-ES"/>
        </w:rPr>
        <w:t xml:space="preserve"> </w:t>
      </w:r>
    </w:p>
    <w:p w14:paraId="227027AA" w14:textId="77777777" w:rsidR="00741278" w:rsidRPr="001717FA" w:rsidRDefault="00741278" w:rsidP="00741278">
      <w:pPr>
        <w:spacing w:before="120" w:line="240" w:lineRule="auto"/>
        <w:jc w:val="both"/>
        <w:rPr>
          <w:rFonts w:ascii="Verdana" w:hAnsi="Verdana" w:cs="Arial"/>
          <w:sz w:val="20"/>
          <w:szCs w:val="20"/>
        </w:rPr>
      </w:pPr>
      <w:r w:rsidRPr="001717FA">
        <w:rPr>
          <w:rFonts w:ascii="Verdana" w:hAnsi="Verdana" w:cs="Arial"/>
          <w:sz w:val="20"/>
          <w:szCs w:val="20"/>
        </w:rPr>
        <w:t>Una vez que la entidad haya surtido su proceso de determinación de una propuesta como artificialmente baja y considerando que la oferta se encuentra inmersa en esta circunstancia, es necesario requerir al oferente para que explique las razones que sustentan el valor ofrecido. Posteriormente, el comité evaluador analizará las explicaciones y decidirá si rechaza la oferta o continúa con el análisis de la misma en el proceso de evaluación de ofertas. […]</w:t>
      </w:r>
    </w:p>
    <w:p w14:paraId="3D9A2C27" w14:textId="77777777" w:rsidR="00201085" w:rsidRPr="001717FA" w:rsidRDefault="00201085" w:rsidP="00201085">
      <w:pPr>
        <w:spacing w:after="0" w:line="240" w:lineRule="auto"/>
        <w:jc w:val="both"/>
        <w:rPr>
          <w:rFonts w:ascii="Verdana" w:eastAsia="Arial MT" w:hAnsi="Verdana" w:cs="Arial MT"/>
          <w:bCs/>
          <w:sz w:val="20"/>
          <w:lang w:val="es-ES_tradnl"/>
        </w:rPr>
      </w:pPr>
    </w:p>
    <w:p w14:paraId="199FF38E" w14:textId="77777777" w:rsidR="00201085" w:rsidRPr="001717FA" w:rsidRDefault="00201085" w:rsidP="00201085">
      <w:pPr>
        <w:spacing w:after="0" w:line="240" w:lineRule="auto"/>
        <w:jc w:val="both"/>
        <w:rPr>
          <w:rFonts w:ascii="Verdana" w:eastAsia="Arial MT" w:hAnsi="Verdana" w:cs="Arial MT"/>
          <w:b/>
          <w:bCs/>
        </w:rPr>
      </w:pPr>
    </w:p>
    <w:p w14:paraId="284F401E" w14:textId="77777777" w:rsidR="00201085" w:rsidRPr="001717FA" w:rsidRDefault="00201085" w:rsidP="00201085">
      <w:pPr>
        <w:spacing w:before="1" w:after="0" w:line="240" w:lineRule="auto"/>
        <w:jc w:val="both"/>
        <w:rPr>
          <w:rFonts w:ascii="Verdana" w:hAnsi="Verdana" w:cs="Arial"/>
          <w:sz w:val="20"/>
          <w:szCs w:val="20"/>
          <w:lang w:val="es-ES"/>
        </w:rPr>
      </w:pPr>
    </w:p>
    <w:p w14:paraId="67D72CD9" w14:textId="77777777" w:rsidR="00EC38AA" w:rsidRPr="001717FA" w:rsidRDefault="00EC38AA" w:rsidP="30821638">
      <w:pPr>
        <w:spacing w:after="0"/>
        <w:rPr>
          <w:rFonts w:ascii="Verdana" w:eastAsia="Verdana" w:hAnsi="Verdana" w:cs="Verdana"/>
          <w:lang w:val="es-ES"/>
        </w:rPr>
      </w:pPr>
    </w:p>
    <w:p w14:paraId="6F9E57A9" w14:textId="77777777" w:rsidR="00EC38AA" w:rsidRPr="001717FA" w:rsidRDefault="00EC38AA" w:rsidP="30821638">
      <w:pPr>
        <w:spacing w:after="0"/>
        <w:rPr>
          <w:rFonts w:ascii="Verdana" w:eastAsia="Verdana" w:hAnsi="Verdana" w:cs="Verdana"/>
        </w:rPr>
      </w:pPr>
    </w:p>
    <w:p w14:paraId="2455EE03" w14:textId="77777777" w:rsidR="00396D88" w:rsidRPr="001717FA" w:rsidRDefault="00396D88" w:rsidP="30821638">
      <w:pPr>
        <w:spacing w:after="0"/>
        <w:rPr>
          <w:rFonts w:ascii="Verdana" w:eastAsia="Verdana" w:hAnsi="Verdana" w:cs="Verdana"/>
        </w:rPr>
      </w:pPr>
    </w:p>
    <w:p w14:paraId="6F47BAFD" w14:textId="77777777" w:rsidR="00396D88" w:rsidRPr="001717FA" w:rsidRDefault="00396D88" w:rsidP="30821638">
      <w:pPr>
        <w:spacing w:after="0"/>
        <w:rPr>
          <w:rFonts w:ascii="Verdana" w:eastAsia="Verdana" w:hAnsi="Verdana" w:cs="Verdana"/>
        </w:rPr>
      </w:pPr>
    </w:p>
    <w:p w14:paraId="22A7B076" w14:textId="77777777" w:rsidR="00396D88" w:rsidRPr="001717FA" w:rsidRDefault="00396D88" w:rsidP="30821638">
      <w:pPr>
        <w:spacing w:after="0"/>
        <w:rPr>
          <w:rFonts w:ascii="Verdana" w:eastAsia="Verdana" w:hAnsi="Verdana" w:cs="Verdana"/>
        </w:rPr>
      </w:pPr>
    </w:p>
    <w:p w14:paraId="4EDAB701" w14:textId="77777777" w:rsidR="00396D88" w:rsidRPr="001717FA" w:rsidRDefault="00396D88" w:rsidP="30821638">
      <w:pPr>
        <w:spacing w:after="0"/>
        <w:rPr>
          <w:rFonts w:ascii="Verdana" w:eastAsia="Verdana" w:hAnsi="Verdana" w:cs="Verdana"/>
        </w:rPr>
      </w:pPr>
    </w:p>
    <w:p w14:paraId="4A2C19D8" w14:textId="77777777" w:rsidR="00396D88" w:rsidRPr="001717FA" w:rsidRDefault="00396D88" w:rsidP="30821638">
      <w:pPr>
        <w:spacing w:after="0"/>
        <w:rPr>
          <w:rFonts w:ascii="Verdana" w:eastAsia="Verdana" w:hAnsi="Verdana" w:cs="Verdana"/>
        </w:rPr>
      </w:pPr>
    </w:p>
    <w:p w14:paraId="247A2F66" w14:textId="77777777" w:rsidR="00396D88" w:rsidRPr="001717FA" w:rsidRDefault="00396D88" w:rsidP="30821638">
      <w:pPr>
        <w:spacing w:after="0"/>
        <w:rPr>
          <w:rFonts w:ascii="Verdana" w:eastAsia="Verdana" w:hAnsi="Verdana" w:cs="Verdana"/>
        </w:rPr>
      </w:pPr>
    </w:p>
    <w:p w14:paraId="05A90255" w14:textId="77777777" w:rsidR="00396D88" w:rsidRPr="001717FA" w:rsidRDefault="00396D88" w:rsidP="30821638">
      <w:pPr>
        <w:spacing w:after="0"/>
        <w:rPr>
          <w:rFonts w:ascii="Verdana" w:eastAsia="Verdana" w:hAnsi="Verdana" w:cs="Verdana"/>
        </w:rPr>
      </w:pPr>
    </w:p>
    <w:p w14:paraId="6F6CBF01" w14:textId="77777777" w:rsidR="00396D88" w:rsidRPr="001717FA" w:rsidRDefault="00396D88" w:rsidP="30821638">
      <w:pPr>
        <w:spacing w:after="0"/>
        <w:rPr>
          <w:rFonts w:ascii="Verdana" w:eastAsia="Verdana" w:hAnsi="Verdana" w:cs="Verdana"/>
        </w:rPr>
      </w:pPr>
    </w:p>
    <w:p w14:paraId="28291A7A" w14:textId="77777777" w:rsidR="00396D88" w:rsidRPr="001717FA" w:rsidRDefault="00396D88" w:rsidP="30821638">
      <w:pPr>
        <w:spacing w:after="0"/>
        <w:rPr>
          <w:rFonts w:ascii="Verdana" w:eastAsia="Verdana" w:hAnsi="Verdana" w:cs="Verdana"/>
        </w:rPr>
      </w:pPr>
    </w:p>
    <w:p w14:paraId="591CAF21" w14:textId="77777777" w:rsidR="00396D88" w:rsidRPr="001717FA" w:rsidRDefault="00396D88" w:rsidP="30821638">
      <w:pPr>
        <w:spacing w:after="0"/>
        <w:rPr>
          <w:rFonts w:ascii="Verdana" w:eastAsia="Verdana" w:hAnsi="Verdana" w:cs="Verdana"/>
        </w:rPr>
      </w:pPr>
    </w:p>
    <w:p w14:paraId="4AE25829" w14:textId="77777777" w:rsidR="00396D88" w:rsidRPr="001717FA" w:rsidRDefault="00396D88" w:rsidP="30821638">
      <w:pPr>
        <w:spacing w:after="0"/>
        <w:rPr>
          <w:rFonts w:ascii="Verdana" w:eastAsia="Verdana" w:hAnsi="Verdana" w:cs="Verdana"/>
        </w:rPr>
      </w:pPr>
    </w:p>
    <w:p w14:paraId="52C2ACD6" w14:textId="77777777" w:rsidR="00396D88" w:rsidRPr="001717FA" w:rsidRDefault="00396D88" w:rsidP="30821638">
      <w:pPr>
        <w:spacing w:after="0"/>
        <w:rPr>
          <w:rFonts w:ascii="Verdana" w:eastAsia="Verdana" w:hAnsi="Verdana" w:cs="Verdana"/>
        </w:rPr>
      </w:pPr>
    </w:p>
    <w:p w14:paraId="2F9594FF" w14:textId="77777777" w:rsidR="00396D88" w:rsidRPr="001717FA" w:rsidRDefault="00396D88" w:rsidP="30821638">
      <w:pPr>
        <w:spacing w:after="0"/>
        <w:rPr>
          <w:rFonts w:ascii="Verdana" w:eastAsia="Verdana" w:hAnsi="Verdana" w:cs="Verdana"/>
        </w:rPr>
      </w:pPr>
    </w:p>
    <w:p w14:paraId="4723051B" w14:textId="77777777" w:rsidR="00396D88" w:rsidRPr="001717FA" w:rsidRDefault="00396D88" w:rsidP="30821638">
      <w:pPr>
        <w:spacing w:after="0"/>
        <w:rPr>
          <w:rFonts w:ascii="Verdana" w:eastAsia="Verdana" w:hAnsi="Verdana" w:cs="Verdana"/>
        </w:rPr>
      </w:pPr>
    </w:p>
    <w:p w14:paraId="61DE76D4" w14:textId="77777777" w:rsidR="00396D88" w:rsidRPr="001717FA" w:rsidRDefault="00396D88" w:rsidP="30821638">
      <w:pPr>
        <w:spacing w:after="0"/>
        <w:rPr>
          <w:rFonts w:ascii="Verdana" w:eastAsia="Verdana" w:hAnsi="Verdana" w:cs="Verdana"/>
        </w:rPr>
      </w:pPr>
    </w:p>
    <w:p w14:paraId="3C8AE219" w14:textId="77777777" w:rsidR="00396D88" w:rsidRPr="001717FA" w:rsidRDefault="00396D88" w:rsidP="30821638">
      <w:pPr>
        <w:spacing w:after="0"/>
        <w:rPr>
          <w:rFonts w:ascii="Verdana" w:eastAsia="Verdana" w:hAnsi="Verdana" w:cs="Verdana"/>
        </w:rPr>
      </w:pPr>
    </w:p>
    <w:p w14:paraId="13CA1AA5" w14:textId="77777777" w:rsidR="00396D88" w:rsidRPr="001717FA" w:rsidRDefault="00396D88" w:rsidP="30821638">
      <w:pPr>
        <w:spacing w:after="0"/>
        <w:rPr>
          <w:rFonts w:ascii="Verdana" w:eastAsia="Verdana" w:hAnsi="Verdana" w:cs="Verdana"/>
        </w:rPr>
      </w:pPr>
    </w:p>
    <w:p w14:paraId="2E30961A" w14:textId="77777777" w:rsidR="00396D88" w:rsidRPr="001717FA" w:rsidRDefault="00396D88" w:rsidP="30821638">
      <w:pPr>
        <w:spacing w:after="0"/>
        <w:rPr>
          <w:rFonts w:ascii="Verdana" w:eastAsia="Verdana" w:hAnsi="Verdana" w:cs="Verdana"/>
        </w:rPr>
      </w:pPr>
    </w:p>
    <w:p w14:paraId="74F5BE88" w14:textId="77777777" w:rsidR="00396D88" w:rsidRPr="001717FA" w:rsidRDefault="00396D88" w:rsidP="30821638">
      <w:pPr>
        <w:spacing w:after="0"/>
        <w:rPr>
          <w:rFonts w:ascii="Verdana" w:eastAsia="Verdana" w:hAnsi="Verdana" w:cs="Verdana"/>
        </w:rPr>
      </w:pPr>
    </w:p>
    <w:p w14:paraId="6CC91586" w14:textId="77777777" w:rsidR="00396D88" w:rsidRPr="001717FA" w:rsidRDefault="00396D88" w:rsidP="30821638">
      <w:pPr>
        <w:spacing w:after="0"/>
        <w:rPr>
          <w:rFonts w:ascii="Verdana" w:eastAsia="Verdana" w:hAnsi="Verdana" w:cs="Verdana"/>
        </w:rPr>
      </w:pPr>
    </w:p>
    <w:p w14:paraId="68FD8BE1" w14:textId="77777777" w:rsidR="00396D88" w:rsidRPr="001717FA" w:rsidRDefault="00396D88" w:rsidP="30821638">
      <w:pPr>
        <w:spacing w:after="0"/>
        <w:rPr>
          <w:rFonts w:ascii="Verdana" w:eastAsia="Verdana" w:hAnsi="Verdana" w:cs="Verdana"/>
        </w:rPr>
      </w:pPr>
    </w:p>
    <w:p w14:paraId="39364493" w14:textId="77777777" w:rsidR="00396D88" w:rsidRDefault="00396D88" w:rsidP="30821638">
      <w:pPr>
        <w:spacing w:after="0"/>
        <w:rPr>
          <w:rFonts w:ascii="Verdana" w:eastAsia="Verdana" w:hAnsi="Verdana" w:cs="Verdana"/>
        </w:rPr>
      </w:pPr>
    </w:p>
    <w:p w14:paraId="08666CD7" w14:textId="77777777" w:rsidR="0024250E" w:rsidRPr="001717FA" w:rsidRDefault="0024250E" w:rsidP="30821638">
      <w:pPr>
        <w:spacing w:after="0"/>
        <w:rPr>
          <w:rFonts w:ascii="Verdana" w:eastAsia="Verdana" w:hAnsi="Verdana" w:cs="Verdana"/>
        </w:rPr>
      </w:pPr>
    </w:p>
    <w:p w14:paraId="5BC37F86" w14:textId="77777777" w:rsidR="00396D88" w:rsidRPr="001717FA" w:rsidRDefault="00396D88" w:rsidP="30821638">
      <w:pPr>
        <w:spacing w:after="0"/>
        <w:rPr>
          <w:rFonts w:ascii="Verdana" w:eastAsia="Verdana" w:hAnsi="Verdana" w:cs="Verdana"/>
        </w:rPr>
      </w:pPr>
    </w:p>
    <w:p w14:paraId="7B39F228" w14:textId="77777777" w:rsidR="00396D88" w:rsidRPr="001717FA" w:rsidRDefault="00396D88" w:rsidP="30821638">
      <w:pPr>
        <w:spacing w:after="0"/>
        <w:rPr>
          <w:rFonts w:ascii="Verdana" w:eastAsia="Verdana" w:hAnsi="Verdana" w:cs="Verdana"/>
        </w:rPr>
      </w:pPr>
    </w:p>
    <w:p w14:paraId="5A95B2E7" w14:textId="77777777" w:rsidR="00396D88" w:rsidRPr="001717FA" w:rsidRDefault="00396D88" w:rsidP="30821638">
      <w:pPr>
        <w:spacing w:after="0"/>
        <w:rPr>
          <w:rFonts w:ascii="Verdana" w:eastAsia="Verdana" w:hAnsi="Verdana" w:cs="Verdana"/>
        </w:rPr>
      </w:pPr>
    </w:p>
    <w:p w14:paraId="7A974F0A" w14:textId="77777777" w:rsidR="00396D88" w:rsidRPr="001717FA" w:rsidRDefault="00396D88" w:rsidP="30821638">
      <w:pPr>
        <w:spacing w:after="0"/>
        <w:rPr>
          <w:rFonts w:ascii="Verdana" w:eastAsia="Verdana" w:hAnsi="Verdana" w:cs="Verdana"/>
        </w:rPr>
      </w:pPr>
    </w:p>
    <w:p w14:paraId="310DA40A" w14:textId="77777777" w:rsidR="008E2E2F" w:rsidRDefault="008E2E2F" w:rsidP="30821638">
      <w:pPr>
        <w:spacing w:after="0"/>
        <w:rPr>
          <w:rFonts w:ascii="Verdana" w:eastAsia="Verdana" w:hAnsi="Verdana" w:cs="Verdana"/>
        </w:rPr>
      </w:pPr>
    </w:p>
    <w:p w14:paraId="0EAC626E" w14:textId="00E556A8" w:rsidR="0024250E" w:rsidRDefault="00C15139" w:rsidP="30821638">
      <w:pPr>
        <w:spacing w:after="0"/>
        <w:rPr>
          <w:rFonts w:ascii="Verdana" w:hAnsi="Verdana"/>
        </w:rPr>
      </w:pPr>
      <w:r w:rsidRPr="7871A91D">
        <w:rPr>
          <w:rFonts w:ascii="Verdana" w:eastAsia="Verdana" w:hAnsi="Verdana" w:cs="Verdana"/>
        </w:rPr>
        <w:t xml:space="preserve">Bogotá D.C., </w:t>
      </w:r>
      <w:r w:rsidR="000E3480" w:rsidRPr="7871A91D">
        <w:rPr>
          <w:rFonts w:ascii="Verdana" w:eastAsia="Verdana" w:hAnsi="Verdana" w:cs="Verdana"/>
        </w:rPr>
        <w:t>06 de ju</w:t>
      </w:r>
      <w:r w:rsidR="277E866C" w:rsidRPr="7871A91D">
        <w:rPr>
          <w:rFonts w:ascii="Verdana" w:eastAsia="Verdana" w:hAnsi="Verdana" w:cs="Verdana"/>
        </w:rPr>
        <w:t>l</w:t>
      </w:r>
      <w:r w:rsidR="000E3480" w:rsidRPr="7871A91D">
        <w:rPr>
          <w:rFonts w:ascii="Verdana" w:eastAsia="Verdana" w:hAnsi="Verdana" w:cs="Verdana"/>
        </w:rPr>
        <w:t>io del 2026</w:t>
      </w:r>
      <w:r>
        <w:tab/>
      </w:r>
    </w:p>
    <w:p w14:paraId="55570F38" w14:textId="09FABB36" w:rsidR="0024250E" w:rsidRDefault="0024250E" w:rsidP="0024250E">
      <w:pPr>
        <w:spacing w:after="0"/>
        <w:jc w:val="right"/>
        <w:rPr>
          <w:rFonts w:ascii="Verdana" w:hAnsi="Verdana"/>
        </w:rPr>
      </w:pPr>
      <w:r w:rsidRPr="0024250E">
        <w:rPr>
          <w:rFonts w:ascii="Verdana" w:hAnsi="Verdana"/>
          <w:noProof/>
        </w:rPr>
        <w:drawing>
          <wp:inline distT="0" distB="0" distL="0" distR="0" wp14:anchorId="72ECC93A" wp14:editId="2C364E76">
            <wp:extent cx="2800350" cy="866775"/>
            <wp:effectExtent l="0" t="0" r="0" b="9525"/>
            <wp:docPr id="80939749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9397499" name=""/>
                    <pic:cNvPicPr/>
                  </pic:nvPicPr>
                  <pic:blipFill>
                    <a:blip r:embed="rId11"/>
                    <a:stretch>
                      <a:fillRect/>
                    </a:stretch>
                  </pic:blipFill>
                  <pic:spPr>
                    <a:xfrm>
                      <a:off x="0" y="0"/>
                      <a:ext cx="2800760" cy="866902"/>
                    </a:xfrm>
                    <a:prstGeom prst="rect">
                      <a:avLst/>
                    </a:prstGeom>
                  </pic:spPr>
                </pic:pic>
              </a:graphicData>
            </a:graphic>
          </wp:inline>
        </w:drawing>
      </w:r>
    </w:p>
    <w:p w14:paraId="3A40081D" w14:textId="77777777" w:rsidR="00F365B8" w:rsidRPr="001717FA" w:rsidRDefault="00F365B8" w:rsidP="00F365B8">
      <w:pPr>
        <w:spacing w:after="0" w:line="240" w:lineRule="auto"/>
        <w:rPr>
          <w:rFonts w:ascii="Verdana" w:hAnsi="Verdana"/>
        </w:rPr>
      </w:pPr>
      <w:r w:rsidRPr="001717FA">
        <w:rPr>
          <w:rFonts w:ascii="Verdana" w:eastAsia="Calibri" w:hAnsi="Verdana" w:cs="Arial"/>
          <w:color w:val="000000" w:themeColor="text1"/>
          <w:lang w:val="es-ES" w:eastAsia="es-ES"/>
        </w:rPr>
        <w:t>Señor:</w:t>
      </w:r>
    </w:p>
    <w:p w14:paraId="45840BB0" w14:textId="3397E01E" w:rsidR="00F365B8" w:rsidRPr="001717FA" w:rsidRDefault="00F73830" w:rsidP="00F365B8">
      <w:pPr>
        <w:spacing w:after="0" w:line="240" w:lineRule="auto"/>
        <w:jc w:val="both"/>
        <w:rPr>
          <w:rFonts w:ascii="Verdana" w:eastAsia="Calibri" w:hAnsi="Verdana" w:cs="Arial"/>
          <w:b/>
          <w:bCs/>
          <w:color w:val="000000" w:themeColor="text1"/>
          <w:lang w:eastAsia="es-ES"/>
        </w:rPr>
      </w:pPr>
      <w:r w:rsidRPr="001717FA">
        <w:rPr>
          <w:rFonts w:ascii="Verdana" w:eastAsia="Calibri" w:hAnsi="Verdana" w:cs="Arial"/>
          <w:b/>
          <w:bCs/>
          <w:color w:val="000000" w:themeColor="text1"/>
          <w:lang w:eastAsia="es-ES"/>
        </w:rPr>
        <w:t xml:space="preserve">Robinson Cerquera Manchola </w:t>
      </w:r>
    </w:p>
    <w:p w14:paraId="24E7FE0B" w14:textId="5AF3ACFE" w:rsidR="00F73830" w:rsidRPr="001717FA" w:rsidRDefault="00F73830" w:rsidP="00F365B8">
      <w:pPr>
        <w:spacing w:after="0" w:line="240" w:lineRule="auto"/>
        <w:rPr>
          <w:rFonts w:ascii="Verdana" w:hAnsi="Verdana"/>
        </w:rPr>
      </w:pPr>
      <w:hyperlink r:id="rId12" w:history="1">
        <w:r w:rsidRPr="001717FA">
          <w:rPr>
            <w:rStyle w:val="Hyperlink"/>
            <w:rFonts w:ascii="Verdana" w:hAnsi="Verdana"/>
          </w:rPr>
          <w:t>ing_rocer@hotmail.com</w:t>
        </w:r>
      </w:hyperlink>
    </w:p>
    <w:p w14:paraId="11BD0FAF" w14:textId="1983CF1A" w:rsidR="00F365B8" w:rsidRPr="001717FA" w:rsidRDefault="0005767B" w:rsidP="00F365B8">
      <w:pPr>
        <w:spacing w:after="0" w:line="240" w:lineRule="auto"/>
        <w:rPr>
          <w:rFonts w:ascii="Verdana" w:eastAsia="Calibri" w:hAnsi="Verdana" w:cs="Arial"/>
          <w:b/>
          <w:bCs/>
          <w:color w:val="000000" w:themeColor="text1"/>
          <w:lang w:val="es-ES_tradnl" w:eastAsia="es-ES_tradnl"/>
        </w:rPr>
      </w:pPr>
      <w:r>
        <w:rPr>
          <w:rFonts w:ascii="Verdana" w:eastAsia="Calibri" w:hAnsi="Verdana" w:cs="Arial"/>
          <w:color w:val="000000" w:themeColor="text1"/>
          <w:lang w:val="es-ES_tradnl" w:eastAsia="es-ES"/>
        </w:rPr>
        <w:t xml:space="preserve">Bogotá D.C. </w:t>
      </w:r>
    </w:p>
    <w:p w14:paraId="1D0F57CF" w14:textId="77777777" w:rsidR="00F365B8" w:rsidRPr="001717FA" w:rsidRDefault="00F365B8" w:rsidP="00F365B8">
      <w:pPr>
        <w:spacing w:after="0" w:line="240" w:lineRule="auto"/>
        <w:rPr>
          <w:rFonts w:ascii="Verdana" w:eastAsia="Calibri" w:hAnsi="Verdana" w:cs="Arial"/>
          <w:b/>
          <w:bCs/>
          <w:color w:val="000000" w:themeColor="text1"/>
          <w:highlight w:val="cyan"/>
          <w:lang w:val="es-ES_tradnl" w:eastAsia="es-ES_tradnl"/>
        </w:rPr>
      </w:pPr>
    </w:p>
    <w:p w14:paraId="70A8729E" w14:textId="4A4C0B15" w:rsidR="00F365B8" w:rsidRPr="001717FA" w:rsidRDefault="00F365B8" w:rsidP="00F365B8">
      <w:pPr>
        <w:spacing w:after="0" w:line="240" w:lineRule="auto"/>
        <w:rPr>
          <w:rFonts w:ascii="Verdana" w:eastAsia="Calibri" w:hAnsi="Verdana" w:cs="Arial"/>
          <w:b/>
          <w:bCs/>
          <w:color w:val="000000" w:themeColor="text1"/>
          <w:lang w:val="es-ES_tradnl" w:eastAsia="es-ES_tradnl"/>
        </w:rPr>
      </w:pPr>
      <w:r w:rsidRPr="001717FA">
        <w:rPr>
          <w:rFonts w:ascii="Verdana" w:eastAsia="Calibri" w:hAnsi="Verdana" w:cs="Arial"/>
          <w:b/>
          <w:bCs/>
          <w:color w:val="000000" w:themeColor="text1"/>
          <w:lang w:val="es-ES_tradnl" w:eastAsia="es-ES_tradnl"/>
        </w:rPr>
        <w:t xml:space="preserve">                                   Concepto </w:t>
      </w:r>
      <w:r w:rsidR="00B02038" w:rsidRPr="001717FA">
        <w:rPr>
          <w:rFonts w:ascii="Verdana" w:eastAsia="Calibri" w:hAnsi="Verdana" w:cs="Arial"/>
          <w:b/>
          <w:bCs/>
          <w:color w:val="000000" w:themeColor="text1"/>
          <w:lang w:val="es-ES_tradnl" w:eastAsia="es-ES_tradnl"/>
        </w:rPr>
        <w:t>C-877</w:t>
      </w:r>
      <w:r w:rsidRPr="001717FA">
        <w:rPr>
          <w:rFonts w:ascii="Verdana" w:eastAsia="Calibri" w:hAnsi="Verdana" w:cs="Arial"/>
          <w:b/>
          <w:bCs/>
          <w:color w:val="000000" w:themeColor="text1"/>
          <w:lang w:val="es-ES_tradnl" w:eastAsia="es-ES_tradnl"/>
        </w:rPr>
        <w:t xml:space="preserve"> del 2026</w:t>
      </w:r>
    </w:p>
    <w:p w14:paraId="0942101D" w14:textId="77777777" w:rsidR="00F365B8" w:rsidRPr="001717FA" w:rsidRDefault="00F365B8" w:rsidP="00F365B8">
      <w:pPr>
        <w:spacing w:after="0" w:line="240" w:lineRule="auto"/>
        <w:rPr>
          <w:rFonts w:ascii="Verdana" w:eastAsia="Calibri" w:hAnsi="Verdana" w:cs="Arial"/>
          <w:b/>
          <w:bCs/>
          <w:color w:val="000000" w:themeColor="text1"/>
          <w:highlight w:val="cyan"/>
          <w:lang w:val="es-ES_tradnl" w:eastAsia="es-ES_tradnl"/>
        </w:rPr>
      </w:pPr>
    </w:p>
    <w:tbl>
      <w:tblPr>
        <w:tblStyle w:val="TableGrid"/>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F365B8" w:rsidRPr="001717FA" w14:paraId="6380B8CD" w14:textId="77777777" w:rsidTr="00F40819">
        <w:trPr>
          <w:trHeight w:val="884"/>
        </w:trPr>
        <w:tc>
          <w:tcPr>
            <w:tcW w:w="2689" w:type="dxa"/>
          </w:tcPr>
          <w:p w14:paraId="4670CDA0" w14:textId="77777777" w:rsidR="00F365B8" w:rsidRPr="001717FA" w:rsidRDefault="00F365B8" w:rsidP="00F40819">
            <w:pPr>
              <w:jc w:val="both"/>
              <w:rPr>
                <w:rFonts w:ascii="Verdana" w:eastAsia="Calibri" w:hAnsi="Verdana" w:cs="Arial"/>
                <w:color w:val="000000" w:themeColor="text1"/>
                <w:highlight w:val="cyan"/>
                <w:lang w:val="es-ES_tradnl" w:eastAsia="es-ES_tradnl"/>
              </w:rPr>
            </w:pPr>
            <w:r w:rsidRPr="001717FA">
              <w:rPr>
                <w:rFonts w:ascii="Verdana" w:eastAsia="Calibri" w:hAnsi="Verdana" w:cs="Arial"/>
                <w:b/>
                <w:color w:val="000000" w:themeColor="text1"/>
                <w:lang w:val="es-ES_tradnl" w:eastAsia="es-ES_tradnl"/>
              </w:rPr>
              <w:t>Temas:</w:t>
            </w:r>
            <w:r w:rsidRPr="001717FA">
              <w:rPr>
                <w:rFonts w:ascii="Verdana" w:eastAsia="Calibri" w:hAnsi="Verdana" w:cs="Arial"/>
                <w:color w:val="000000" w:themeColor="text1"/>
                <w:lang w:val="es-ES_tradnl" w:eastAsia="es-ES_tradnl"/>
              </w:rPr>
              <w:t xml:space="preserve">                   </w:t>
            </w:r>
          </w:p>
        </w:tc>
        <w:tc>
          <w:tcPr>
            <w:tcW w:w="6100" w:type="dxa"/>
          </w:tcPr>
          <w:p w14:paraId="4BE293E3" w14:textId="675E5DEF" w:rsidR="00396D88" w:rsidRPr="00114936" w:rsidRDefault="00396D88" w:rsidP="00F40819">
            <w:pPr>
              <w:jc w:val="both"/>
              <w:rPr>
                <w:rFonts w:ascii="Verdana" w:eastAsia="Calibri" w:hAnsi="Verdana" w:cs="Arial"/>
                <w:lang w:val="es-MX" w:eastAsia="es-ES"/>
              </w:rPr>
            </w:pPr>
            <w:r w:rsidRPr="001717FA">
              <w:rPr>
                <w:rFonts w:ascii="Verdana" w:eastAsia="Calibri" w:hAnsi="Verdana" w:cs="Arial"/>
                <w:lang w:val="es-ES" w:eastAsia="es-ES"/>
              </w:rPr>
              <w:t xml:space="preserve">COLOMBIA COMPRA EFICIENTE – Decreto Ley 4170 de 2011 – Naturaleza jurídica / COLOMBIA COMPRA EFICIENTE – Funciones – Expedición – Guías – Manuales – Circulares – Obligatoriedad – Decreto 1600 del 2024 / </w:t>
            </w:r>
            <w:r w:rsidR="00114936" w:rsidRPr="00114936">
              <w:rPr>
                <w:rFonts w:ascii="Verdana" w:eastAsia="Calibri" w:hAnsi="Verdana" w:cs="Arial"/>
                <w:lang w:val="es-ES" w:eastAsia="es-ES"/>
              </w:rPr>
              <w:t>GUÍA PARA EL MANEJO DE OFERTAS ARTIFICIALMENTE BAJAS – Identificación</w:t>
            </w:r>
            <w:r w:rsidR="00114936">
              <w:rPr>
                <w:rFonts w:ascii="Verdana" w:eastAsia="Calibri" w:hAnsi="Verdana" w:cs="Arial"/>
                <w:lang w:val="es-ES" w:eastAsia="es-ES"/>
              </w:rPr>
              <w:t xml:space="preserve"> / </w:t>
            </w:r>
            <w:r w:rsidR="00114936" w:rsidRPr="00114936">
              <w:rPr>
                <w:rFonts w:ascii="Verdana" w:eastAsia="Calibri" w:hAnsi="Verdana" w:cs="Arial"/>
                <w:lang w:val="es-ES" w:eastAsia="es-ES"/>
              </w:rPr>
              <w:t>GUÍA PARA EL MANEJO DE OFERTAS ARTIFICIALMENTE BAJAS – Manejo</w:t>
            </w:r>
          </w:p>
          <w:p w14:paraId="774D1738" w14:textId="61F48BD2" w:rsidR="00114936" w:rsidRPr="001717FA" w:rsidRDefault="00114936" w:rsidP="00F40819">
            <w:pPr>
              <w:jc w:val="both"/>
              <w:rPr>
                <w:rFonts w:ascii="Verdana" w:eastAsia="Calibri" w:hAnsi="Verdana" w:cs="Arial"/>
                <w:highlight w:val="cyan"/>
                <w:lang w:val="es-MX" w:eastAsia="es-ES"/>
              </w:rPr>
            </w:pPr>
          </w:p>
        </w:tc>
      </w:tr>
      <w:tr w:rsidR="00F365B8" w:rsidRPr="001717FA" w14:paraId="132C90FB" w14:textId="77777777" w:rsidTr="00F40819">
        <w:tc>
          <w:tcPr>
            <w:tcW w:w="2689" w:type="dxa"/>
          </w:tcPr>
          <w:p w14:paraId="5C3E7B3E" w14:textId="77777777" w:rsidR="00F365B8" w:rsidRPr="001717FA" w:rsidRDefault="00F365B8" w:rsidP="00F40819">
            <w:pPr>
              <w:jc w:val="both"/>
              <w:rPr>
                <w:rFonts w:ascii="Verdana" w:eastAsia="Calibri" w:hAnsi="Verdana" w:cs="Arial"/>
                <w:b/>
                <w:color w:val="000000" w:themeColor="text1"/>
                <w:lang w:val="es-ES_tradnl" w:eastAsia="es-ES_tradnl"/>
              </w:rPr>
            </w:pPr>
            <w:r w:rsidRPr="001717FA">
              <w:rPr>
                <w:rFonts w:ascii="Verdana" w:eastAsia="Calibri" w:hAnsi="Verdana" w:cs="Arial"/>
                <w:b/>
                <w:color w:val="000000" w:themeColor="text1"/>
                <w:lang w:val="es-ES_tradnl" w:eastAsia="es-ES_tradnl"/>
              </w:rPr>
              <w:t>Radicación:</w:t>
            </w:r>
            <w:r w:rsidRPr="001717FA">
              <w:rPr>
                <w:rFonts w:ascii="Verdana" w:eastAsia="Calibri" w:hAnsi="Verdana" w:cs="Arial"/>
                <w:color w:val="000000" w:themeColor="text1"/>
                <w:lang w:val="es-ES_tradnl" w:eastAsia="es-ES_tradnl"/>
              </w:rPr>
              <w:t xml:space="preserve">               </w:t>
            </w:r>
          </w:p>
        </w:tc>
        <w:tc>
          <w:tcPr>
            <w:tcW w:w="6100" w:type="dxa"/>
          </w:tcPr>
          <w:p w14:paraId="640AF381" w14:textId="2AEAA584" w:rsidR="00F365B8" w:rsidRPr="001717FA" w:rsidRDefault="00F365B8" w:rsidP="00F40819">
            <w:pPr>
              <w:jc w:val="both"/>
              <w:rPr>
                <w:rFonts w:ascii="Verdana" w:eastAsia="Calibri" w:hAnsi="Verdana" w:cs="Arial"/>
                <w:color w:val="000000" w:themeColor="text1"/>
                <w:lang w:eastAsia="es-ES_tradnl"/>
              </w:rPr>
            </w:pPr>
            <w:r w:rsidRPr="001717FA">
              <w:rPr>
                <w:rFonts w:ascii="Verdana" w:eastAsia="Calibri" w:hAnsi="Verdana" w:cs="Arial"/>
                <w:color w:val="000000" w:themeColor="text1"/>
                <w:lang w:val="es-ES_tradnl" w:eastAsia="es-ES_tradnl"/>
              </w:rPr>
              <w:t>Respuesta a consulta con radicado No.</w:t>
            </w:r>
            <w:r w:rsidRPr="001717FA">
              <w:rPr>
                <w:rFonts w:ascii="Verdana" w:hAnsi="Verdana"/>
              </w:rPr>
              <w:t xml:space="preserve"> </w:t>
            </w:r>
            <w:r w:rsidR="00B02038" w:rsidRPr="001717FA">
              <w:rPr>
                <w:rFonts w:ascii="Verdana" w:hAnsi="Verdana"/>
              </w:rPr>
              <w:t>1_2026_05_26_007063</w:t>
            </w:r>
          </w:p>
        </w:tc>
      </w:tr>
    </w:tbl>
    <w:p w14:paraId="2FC29CFD" w14:textId="77777777" w:rsidR="00F365B8" w:rsidRPr="001717FA" w:rsidRDefault="00F365B8" w:rsidP="00F365B8">
      <w:pPr>
        <w:spacing w:after="0" w:line="276" w:lineRule="auto"/>
        <w:jc w:val="both"/>
        <w:rPr>
          <w:rFonts w:ascii="Verdana" w:eastAsia="Calibri" w:hAnsi="Verdana" w:cs="Arial"/>
          <w:color w:val="000000" w:themeColor="text1"/>
          <w:highlight w:val="cyan"/>
          <w:lang w:val="es-ES" w:eastAsia="es-ES"/>
        </w:rPr>
      </w:pPr>
    </w:p>
    <w:p w14:paraId="580D6B67" w14:textId="5BB42BE3" w:rsidR="00F365B8" w:rsidRPr="001717FA" w:rsidRDefault="00F365B8" w:rsidP="00F365B8">
      <w:pPr>
        <w:spacing w:after="0" w:line="276" w:lineRule="auto"/>
        <w:jc w:val="both"/>
        <w:rPr>
          <w:rFonts w:ascii="Verdana" w:eastAsia="Calibri" w:hAnsi="Verdana" w:cs="Arial"/>
          <w:color w:val="000000" w:themeColor="text1"/>
          <w:lang w:val="es-ES" w:eastAsia="es-ES"/>
        </w:rPr>
      </w:pPr>
      <w:r w:rsidRPr="001717FA">
        <w:rPr>
          <w:rFonts w:ascii="Verdana" w:eastAsia="Calibri" w:hAnsi="Verdana" w:cs="Arial"/>
          <w:color w:val="000000" w:themeColor="text1"/>
          <w:lang w:val="es-ES" w:eastAsia="es-ES"/>
        </w:rPr>
        <w:t xml:space="preserve">Estimado señor </w:t>
      </w:r>
      <w:r w:rsidR="00F73830" w:rsidRPr="001717FA">
        <w:rPr>
          <w:rFonts w:ascii="Verdana" w:eastAsia="Calibri" w:hAnsi="Verdana" w:cs="Arial"/>
          <w:color w:val="000000" w:themeColor="text1"/>
          <w:lang w:eastAsia="es-ES"/>
        </w:rPr>
        <w:t>Cerquera Manchola</w:t>
      </w:r>
      <w:r w:rsidRPr="001717FA">
        <w:rPr>
          <w:rFonts w:ascii="Verdana" w:eastAsia="Calibri" w:hAnsi="Verdana" w:cs="Arial"/>
          <w:color w:val="000000" w:themeColor="text1"/>
          <w:lang w:val="es-ES" w:eastAsia="es-ES"/>
        </w:rPr>
        <w:t xml:space="preserve">: </w:t>
      </w:r>
    </w:p>
    <w:p w14:paraId="15DE31ED" w14:textId="77777777" w:rsidR="00F365B8" w:rsidRPr="001717FA" w:rsidRDefault="00F365B8" w:rsidP="00F365B8">
      <w:pPr>
        <w:spacing w:after="0" w:line="276" w:lineRule="auto"/>
        <w:rPr>
          <w:rFonts w:ascii="Verdana" w:eastAsia="Times New Roman" w:hAnsi="Verdana" w:cs="Segoe UI"/>
          <w:highlight w:val="cyan"/>
          <w:lang w:eastAsia="es-CO"/>
        </w:rPr>
      </w:pPr>
    </w:p>
    <w:p w14:paraId="082E0CF8" w14:textId="4052BB86" w:rsidR="00F365B8" w:rsidRPr="001717FA" w:rsidRDefault="00F365B8" w:rsidP="00F365B8">
      <w:pPr>
        <w:spacing w:after="0" w:line="276" w:lineRule="auto"/>
        <w:jc w:val="both"/>
        <w:rPr>
          <w:rFonts w:ascii="Verdana" w:eastAsia="Calibri" w:hAnsi="Verdana" w:cs="Arial"/>
          <w:lang w:val="es-ES" w:eastAsia="es-ES"/>
        </w:rPr>
      </w:pPr>
      <w:r w:rsidRPr="001717FA">
        <w:rPr>
          <w:rFonts w:ascii="Verdana" w:eastAsia="Calibri" w:hAnsi="Verdana" w:cs="Arial"/>
          <w:lang w:val="es-ES" w:eastAsia="es-ES"/>
        </w:rPr>
        <w:t>En ejercicio de la competencia otorgada por los artículos 3, numeral 5º, y 11, numeral 8º, del Decreto Ley 4170 de 2011,</w:t>
      </w:r>
      <w:r w:rsidRPr="001717FA">
        <w:rPr>
          <w:rFonts w:ascii="Verdana" w:eastAsia="Arial MT" w:hAnsi="Verdana" w:cs="Arial"/>
          <w:lang w:val="es-ES" w:eastAsia="es-ES"/>
        </w:rPr>
        <w:t xml:space="preserve"> </w:t>
      </w:r>
      <w:r w:rsidRPr="001717FA">
        <w:rPr>
          <w:rFonts w:ascii="Verdana" w:hAnsi="Verdana" w:cs="Arial"/>
        </w:rPr>
        <w:t xml:space="preserve">así como lo establecido en el artículo 4 de la Resolución 1707 de 2018 expedida por esta Entidad, </w:t>
      </w:r>
      <w:r w:rsidRPr="001717FA">
        <w:rPr>
          <w:rFonts w:ascii="Verdana" w:eastAsia="Calibri" w:hAnsi="Verdana" w:cs="Arial"/>
          <w:lang w:val="es-ES" w:eastAsia="es-ES"/>
        </w:rPr>
        <w:t xml:space="preserve">la Agencia Nacional de Contratación Pública – Colombia Compra Eficiente– responde su solicitud radicada el </w:t>
      </w:r>
      <w:r w:rsidR="00835372" w:rsidRPr="001717FA">
        <w:rPr>
          <w:rFonts w:ascii="Verdana" w:eastAsia="Calibri" w:hAnsi="Verdana" w:cs="Arial"/>
          <w:lang w:val="es-ES" w:eastAsia="es-ES"/>
        </w:rPr>
        <w:t>26 de mayo del 2026</w:t>
      </w:r>
      <w:r w:rsidRPr="001717FA">
        <w:rPr>
          <w:rFonts w:ascii="Verdana" w:eastAsia="Calibri" w:hAnsi="Verdana" w:cs="Arial"/>
          <w:lang w:val="es-ES" w:eastAsia="es-ES"/>
        </w:rPr>
        <w:t xml:space="preserve">, en la cual manifiesta lo siguiente: </w:t>
      </w:r>
    </w:p>
    <w:p w14:paraId="69B43E96" w14:textId="77777777" w:rsidR="00F365B8" w:rsidRPr="001717FA" w:rsidRDefault="00F365B8" w:rsidP="00F365B8">
      <w:pPr>
        <w:spacing w:after="0" w:line="276" w:lineRule="auto"/>
        <w:jc w:val="both"/>
        <w:rPr>
          <w:rFonts w:ascii="Verdana" w:eastAsia="Calibri" w:hAnsi="Verdana" w:cs="Arial"/>
          <w:lang w:val="es-ES" w:eastAsia="es-ES"/>
        </w:rPr>
      </w:pPr>
    </w:p>
    <w:p w14:paraId="42D1FF0C" w14:textId="659D0D2E" w:rsidR="00F365B8" w:rsidRPr="001717FA" w:rsidRDefault="00F365B8" w:rsidP="000702C5">
      <w:pPr>
        <w:spacing w:after="0" w:line="240" w:lineRule="auto"/>
        <w:ind w:left="709" w:right="709"/>
        <w:jc w:val="both"/>
        <w:rPr>
          <w:rFonts w:ascii="Verdana" w:eastAsia="Century Gothic" w:hAnsi="Verdana" w:cs="Arial"/>
          <w:sz w:val="20"/>
          <w:szCs w:val="20"/>
        </w:rPr>
      </w:pPr>
      <w:r w:rsidRPr="001717FA">
        <w:rPr>
          <w:rFonts w:ascii="Verdana" w:eastAsia="Century Gothic" w:hAnsi="Verdana" w:cs="Arial"/>
          <w:sz w:val="20"/>
          <w:szCs w:val="20"/>
          <w:lang w:val="es-ES"/>
        </w:rPr>
        <w:t xml:space="preserve">“[…] </w:t>
      </w:r>
      <w:r w:rsidR="000702C5" w:rsidRPr="001717FA">
        <w:rPr>
          <w:rFonts w:ascii="Verdana" w:eastAsia="Century Gothic" w:hAnsi="Verdana" w:cs="Arial"/>
          <w:sz w:val="20"/>
          <w:szCs w:val="20"/>
        </w:rPr>
        <w:t xml:space="preserve">Puede una entidad Estatal apartarse de la guía establecida por CCE para el manejo de ofertas artificialmente bajas dentro de un proceso de selección de contratistas </w:t>
      </w:r>
      <w:r w:rsidRPr="001717FA">
        <w:rPr>
          <w:rFonts w:ascii="Verdana" w:eastAsia="Century Gothic" w:hAnsi="Verdana" w:cs="Arial"/>
          <w:sz w:val="20"/>
          <w:szCs w:val="20"/>
        </w:rPr>
        <w:t>[…]”</w:t>
      </w:r>
    </w:p>
    <w:p w14:paraId="0D32412F" w14:textId="77777777" w:rsidR="00F365B8" w:rsidRPr="001717FA" w:rsidRDefault="00F365B8" w:rsidP="00F365B8">
      <w:pPr>
        <w:spacing w:after="0"/>
        <w:jc w:val="both"/>
        <w:rPr>
          <w:rFonts w:ascii="Verdana" w:hAnsi="Verdana" w:cs="Arial"/>
          <w:highlight w:val="cyan"/>
        </w:rPr>
      </w:pPr>
    </w:p>
    <w:p w14:paraId="5BFB6909" w14:textId="77777777" w:rsidR="00F365B8" w:rsidRPr="001717FA" w:rsidRDefault="00F365B8" w:rsidP="00F365B8">
      <w:pPr>
        <w:spacing w:after="120" w:line="276" w:lineRule="auto"/>
        <w:ind w:firstLine="709"/>
        <w:jc w:val="both"/>
        <w:rPr>
          <w:rFonts w:ascii="Verdana" w:eastAsia="Calibri" w:hAnsi="Verdana" w:cs="Arial"/>
          <w:color w:val="000000"/>
          <w:lang w:val="es-ES_tradnl" w:eastAsia="es-ES_tradnl"/>
        </w:rPr>
      </w:pPr>
      <w:r w:rsidRPr="001717FA">
        <w:rPr>
          <w:rFonts w:ascii="Verdana" w:eastAsia="Calibri" w:hAnsi="Verdana" w:cs="Arial"/>
          <w:color w:val="000000"/>
          <w:lang w:val="es-ES" w:eastAsia="es-ES"/>
        </w:rPr>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la Agencia Nacional de Contratación Pública -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w:t>
      </w:r>
    </w:p>
    <w:p w14:paraId="56F96A9D" w14:textId="77777777" w:rsidR="00F365B8" w:rsidRPr="001717FA" w:rsidRDefault="00F365B8" w:rsidP="00F365B8">
      <w:pPr>
        <w:spacing w:after="0" w:line="276" w:lineRule="auto"/>
        <w:ind w:firstLine="709"/>
        <w:jc w:val="both"/>
        <w:rPr>
          <w:rFonts w:ascii="Verdana" w:eastAsia="Calibri" w:hAnsi="Verdana" w:cs="Arial"/>
          <w:color w:val="000000"/>
          <w:lang w:val="es-ES" w:eastAsia="es-ES"/>
        </w:rPr>
      </w:pPr>
      <w:r w:rsidRPr="001717FA">
        <w:rPr>
          <w:rFonts w:ascii="Verdana" w:eastAsia="Calibri" w:hAnsi="Verdana" w:cs="Arial"/>
          <w:color w:val="000000"/>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los problemas jurídicos de su consulta.  </w:t>
      </w:r>
    </w:p>
    <w:p w14:paraId="397BFBE7" w14:textId="77777777" w:rsidR="00F365B8" w:rsidRPr="001717FA" w:rsidRDefault="00F365B8" w:rsidP="00F365B8">
      <w:pPr>
        <w:spacing w:after="0" w:line="276" w:lineRule="auto"/>
        <w:jc w:val="both"/>
        <w:rPr>
          <w:rStyle w:val="Hyperlink"/>
          <w:rFonts w:ascii="Verdana" w:hAnsi="Verdana"/>
          <w:highlight w:val="cyan"/>
          <w:lang w:val="es-ES"/>
        </w:rPr>
      </w:pPr>
    </w:p>
    <w:p w14:paraId="647B91DA" w14:textId="77777777" w:rsidR="00F365B8" w:rsidRPr="001717FA" w:rsidRDefault="00F365B8" w:rsidP="00F365B8">
      <w:pPr>
        <w:pStyle w:val="ListParagraph"/>
        <w:numPr>
          <w:ilvl w:val="0"/>
          <w:numId w:val="16"/>
        </w:numPr>
        <w:spacing w:after="0" w:line="276" w:lineRule="auto"/>
        <w:jc w:val="both"/>
        <w:rPr>
          <w:rFonts w:ascii="Verdana" w:eastAsia="Verdana" w:hAnsi="Verdana" w:cs="Verdana"/>
        </w:rPr>
      </w:pPr>
      <w:r w:rsidRPr="001717FA">
        <w:rPr>
          <w:rFonts w:ascii="Verdana" w:eastAsia="Century Gothic" w:hAnsi="Verdana" w:cs="Arial"/>
          <w:b/>
        </w:rPr>
        <w:t>Problemas planteados:</w:t>
      </w:r>
    </w:p>
    <w:p w14:paraId="7397363A" w14:textId="77777777" w:rsidR="00F365B8" w:rsidRPr="001717FA" w:rsidRDefault="00F365B8" w:rsidP="00F365B8">
      <w:pPr>
        <w:spacing w:after="0" w:line="276" w:lineRule="auto"/>
        <w:jc w:val="both"/>
        <w:rPr>
          <w:rFonts w:ascii="Verdana" w:eastAsia="Verdana" w:hAnsi="Verdana" w:cs="Verdana"/>
          <w:highlight w:val="cyan"/>
          <w:lang w:val="es-MX"/>
        </w:rPr>
      </w:pPr>
    </w:p>
    <w:p w14:paraId="0B084DB4" w14:textId="5037AACE" w:rsidR="00F365B8" w:rsidRPr="001717FA" w:rsidRDefault="00F365B8" w:rsidP="00F365B8">
      <w:pPr>
        <w:pStyle w:val="TableParagraph"/>
        <w:spacing w:line="276" w:lineRule="auto"/>
        <w:ind w:left="0"/>
        <w:jc w:val="both"/>
        <w:rPr>
          <w:rFonts w:ascii="Verdana" w:eastAsia="Century Gothic" w:hAnsi="Verdana" w:cs="Century Gothic"/>
          <w:lang w:val="es-CO"/>
        </w:rPr>
      </w:pPr>
      <w:r w:rsidRPr="001717FA">
        <w:rPr>
          <w:rFonts w:ascii="Verdana" w:eastAsia="Century Gothic" w:hAnsi="Verdana" w:cs="Century Gothic"/>
        </w:rPr>
        <w:t xml:space="preserve">De acuerdo con el contenido de su solicitud, esta Agencia resolverá el siguiente problema jurídico: </w:t>
      </w:r>
      <w:r w:rsidR="006C22D5" w:rsidRPr="001717FA">
        <w:rPr>
          <w:rFonts w:ascii="Verdana" w:eastAsia="Century Gothic" w:hAnsi="Verdana" w:cs="Century Gothic"/>
        </w:rPr>
        <w:t>¿</w:t>
      </w:r>
      <w:r w:rsidR="001842E6" w:rsidRPr="001717FA">
        <w:rPr>
          <w:rFonts w:ascii="Verdana" w:eastAsia="Century Gothic" w:hAnsi="Verdana" w:cs="Century Gothic"/>
        </w:rPr>
        <w:t>C</w:t>
      </w:r>
      <w:r w:rsidR="006C22D5" w:rsidRPr="001717FA">
        <w:rPr>
          <w:rFonts w:ascii="Verdana" w:eastAsia="Century Gothic" w:hAnsi="Verdana" w:cs="Century Gothic"/>
        </w:rPr>
        <w:t xml:space="preserve">uál es el alcance </w:t>
      </w:r>
      <w:r w:rsidR="001842E6" w:rsidRPr="001717FA">
        <w:rPr>
          <w:rFonts w:ascii="Verdana" w:eastAsia="Century Gothic" w:hAnsi="Verdana" w:cs="Century Gothic"/>
        </w:rPr>
        <w:t xml:space="preserve">de la </w:t>
      </w:r>
      <w:r w:rsidR="001842E6" w:rsidRPr="001717FA">
        <w:rPr>
          <w:rFonts w:ascii="Verdana" w:eastAsia="Century Gothic" w:hAnsi="Verdana" w:cs="Century Gothic"/>
          <w:i/>
          <w:iCs/>
        </w:rPr>
        <w:t>Guía para el Manejo de Ofertas Artificialmente bajas</w:t>
      </w:r>
      <w:r w:rsidR="00124B47" w:rsidRPr="001717FA">
        <w:rPr>
          <w:rFonts w:ascii="Verdana" w:eastAsia="Century Gothic" w:hAnsi="Verdana" w:cs="Century Gothic"/>
          <w:i/>
          <w:iCs/>
        </w:rPr>
        <w:t xml:space="preserve"> en los procesos de contratación</w:t>
      </w:r>
      <w:r w:rsidR="006C22D5" w:rsidRPr="001717FA">
        <w:rPr>
          <w:rFonts w:ascii="Verdana" w:eastAsia="Century Gothic" w:hAnsi="Verdana" w:cs="Century Gothic"/>
        </w:rPr>
        <w:t>?</w:t>
      </w:r>
    </w:p>
    <w:p w14:paraId="5899A4F7" w14:textId="77777777" w:rsidR="00F365B8" w:rsidRPr="001717FA" w:rsidRDefault="00F365B8" w:rsidP="00F365B8">
      <w:pPr>
        <w:pStyle w:val="TableParagraph"/>
        <w:spacing w:line="276" w:lineRule="auto"/>
        <w:ind w:left="0"/>
        <w:jc w:val="both"/>
        <w:rPr>
          <w:rFonts w:ascii="Verdana" w:eastAsia="Verdana" w:hAnsi="Verdana" w:cs="Verdana"/>
          <w:highlight w:val="cyan"/>
          <w:lang w:val="es-CO"/>
        </w:rPr>
      </w:pPr>
    </w:p>
    <w:p w14:paraId="195A88E0" w14:textId="77777777" w:rsidR="00F365B8" w:rsidRPr="001717FA" w:rsidRDefault="00F365B8" w:rsidP="00F365B8">
      <w:pPr>
        <w:pStyle w:val="ListParagraph"/>
        <w:numPr>
          <w:ilvl w:val="0"/>
          <w:numId w:val="16"/>
        </w:numPr>
        <w:spacing w:after="0" w:line="276" w:lineRule="auto"/>
        <w:jc w:val="both"/>
        <w:rPr>
          <w:rFonts w:ascii="Verdana" w:eastAsia="Century Gothic" w:hAnsi="Verdana" w:cs="Arial"/>
          <w:b/>
        </w:rPr>
      </w:pPr>
      <w:r w:rsidRPr="001717FA">
        <w:rPr>
          <w:rFonts w:ascii="Verdana" w:eastAsia="Century Gothic" w:hAnsi="Verdana" w:cs="Arial"/>
          <w:b/>
        </w:rPr>
        <w:t>Respuesta:</w:t>
      </w:r>
    </w:p>
    <w:p w14:paraId="4141B77E" w14:textId="77777777" w:rsidR="00F365B8" w:rsidRPr="001717FA" w:rsidRDefault="00F365B8" w:rsidP="00F365B8">
      <w:pPr>
        <w:spacing w:after="0" w:line="276" w:lineRule="auto"/>
        <w:rPr>
          <w:rFonts w:ascii="Verdana" w:eastAsia="Aptos" w:hAnsi="Verdana" w:cs="Arial"/>
          <w:highlight w:val="cyan"/>
        </w:rPr>
      </w:pPr>
    </w:p>
    <w:tbl>
      <w:tblPr>
        <w:tblStyle w:val="TableGrid"/>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F365B8" w:rsidRPr="001717FA" w14:paraId="62565526" w14:textId="77777777" w:rsidTr="00F40819">
        <w:tc>
          <w:tcPr>
            <w:tcW w:w="8828" w:type="dxa"/>
          </w:tcPr>
          <w:p w14:paraId="11292682" w14:textId="77777777" w:rsidR="00F365B8" w:rsidRPr="001717FA" w:rsidRDefault="00F365B8" w:rsidP="00F40819">
            <w:pPr>
              <w:spacing w:after="120" w:line="276" w:lineRule="auto"/>
              <w:jc w:val="both"/>
              <w:rPr>
                <w:rFonts w:ascii="Verdana" w:hAnsi="Verdana" w:cs="Arial"/>
                <w:color w:val="000000" w:themeColor="text1"/>
              </w:rPr>
            </w:pPr>
            <w:bookmarkStart w:id="1" w:name="_Hlk171067516"/>
            <w:r w:rsidRPr="001717FA">
              <w:rPr>
                <w:rFonts w:ascii="Verdana" w:hAnsi="Verdana" w:cs="Arial"/>
                <w:color w:val="000000" w:themeColor="text1"/>
              </w:rPr>
              <w:t>En respuesta a al problema antes planteado esta Subdirección manifiesta lo siguiente:</w:t>
            </w:r>
          </w:p>
          <w:p w14:paraId="1ED11CED" w14:textId="77777777" w:rsidR="007533F0" w:rsidRPr="001717FA" w:rsidRDefault="00CE1B7C" w:rsidP="007533F0">
            <w:pPr>
              <w:pStyle w:val="BodyText"/>
              <w:spacing w:after="120" w:line="276" w:lineRule="auto"/>
              <w:jc w:val="both"/>
              <w:rPr>
                <w:lang w:val="es-CO"/>
              </w:rPr>
            </w:pPr>
            <w:r w:rsidRPr="001717FA">
              <w:rPr>
                <w:lang w:val="es-CO"/>
              </w:rPr>
              <w:t xml:space="preserve">En atención a la consulta formulada, resulta necesario precisar que la </w:t>
            </w:r>
            <w:r w:rsidRPr="001717FA">
              <w:rPr>
                <w:i/>
                <w:iCs/>
                <w:lang w:val="es-CO"/>
              </w:rPr>
              <w:t>Guía para el Manejo de Ofertas Artificialmente Bajas en los Procesos de Contratación</w:t>
            </w:r>
            <w:r w:rsidRPr="001717FA">
              <w:rPr>
                <w:lang w:val="es-CO"/>
              </w:rPr>
              <w:t xml:space="preserve"> tiene un carácter exclusivamente orientador y no vinculante. Sus enunciados no deben interpretarse como definiciones cerradas ni como restricciones normativas al ejercicio interpretativo de las Entidades Estatales o de los proponentes. En otras palabras, la Guía constituye un instrumento de orientación que reúne recomendaciones y buenas prácticas destinadas a facilitar la identificación, por parte de las Entidades Estatales, de las características de las ofertas artificialmente bajas presentadas en los procesos de contratación, proporcionando elementos útiles para su adecuado manejo.</w:t>
            </w:r>
          </w:p>
          <w:p w14:paraId="54C644F9" w14:textId="77777777" w:rsidR="008C23F6" w:rsidRPr="001717FA" w:rsidRDefault="007533F0" w:rsidP="008C23F6">
            <w:pPr>
              <w:pStyle w:val="BodyText"/>
              <w:spacing w:after="120" w:line="276" w:lineRule="auto"/>
              <w:jc w:val="both"/>
              <w:rPr>
                <w:rFonts w:eastAsia="Century Gothic" w:cs="Arial"/>
              </w:rPr>
            </w:pPr>
            <w:r w:rsidRPr="001717FA">
              <w:rPr>
                <w:rFonts w:eastAsia="Century Gothic" w:cs="Arial"/>
              </w:rPr>
              <w:t>En concordancia con lo dispuesto en el Decreto 1600 de 2025, las Entidades Estatales están llamadas a incorporar estas buenas prácticas como parte de la planeación contractual. Así, aunque la Guía no reviste carácter vinculante, se configura como un referente técnico y metodológico que contribuye al fortalecimiento de la transparencia y a la consolidación de la seguridad jurídica en los procesos de contratación estatal.</w:t>
            </w:r>
          </w:p>
          <w:p w14:paraId="673E7689" w14:textId="3EC8EB6F" w:rsidR="00F365B8" w:rsidRPr="001717FA" w:rsidRDefault="008C23F6" w:rsidP="005148DC">
            <w:pPr>
              <w:pStyle w:val="BodyText"/>
              <w:spacing w:after="120" w:line="276" w:lineRule="auto"/>
              <w:jc w:val="both"/>
              <w:rPr>
                <w:rFonts w:eastAsia="Century Gothic" w:cs="Arial"/>
              </w:rPr>
            </w:pPr>
            <w:r w:rsidRPr="001717FA">
              <w:rPr>
                <w:rFonts w:eastAsia="Century Gothic" w:cs="Arial"/>
              </w:rPr>
              <w:t xml:space="preserve">En </w:t>
            </w:r>
            <w:r w:rsidR="007F3D72" w:rsidRPr="001717FA">
              <w:rPr>
                <w:rFonts w:eastAsia="Century Gothic" w:cs="Arial"/>
              </w:rPr>
              <w:t>síntesis</w:t>
            </w:r>
            <w:r w:rsidRPr="001717FA">
              <w:rPr>
                <w:rFonts w:eastAsia="Century Gothic" w:cs="Arial"/>
              </w:rPr>
              <w:t xml:space="preserve">, las Entidades Estatales pueden apartarse de las metodologías e instrumentos de identificación sugeridos en la </w:t>
            </w:r>
            <w:r w:rsidRPr="001717FA">
              <w:rPr>
                <w:rFonts w:eastAsia="Century Gothic" w:cs="Arial"/>
                <w:i/>
                <w:iCs/>
              </w:rPr>
              <w:t>Guía para el Manejo de Ofertas Artificialmente Bajas en los Procesos de Contratación</w:t>
            </w:r>
            <w:r w:rsidRPr="001717FA">
              <w:rPr>
                <w:rFonts w:eastAsia="Century Gothic" w:cs="Arial"/>
              </w:rPr>
              <w:t>, dado que estos carecen de carácter vinculante. No obstante, en ningún caso les es permitido omitir el procedimiento obligatorio previsto en el artículo 2.2.1.1.2.2.4 del Decreto 1082 de 2015. Lo anterior obedece a que la discrecionalidad de la Entidad Estatal recae sobre el método de identificación de la oferta potencialmente baja, mas no sobre la obligación de activar el procedimiento de aclaraciones una vez identificada dicha circunstancia.</w:t>
            </w:r>
          </w:p>
        </w:tc>
      </w:tr>
      <w:bookmarkEnd w:id="1"/>
    </w:tbl>
    <w:p w14:paraId="250D8034" w14:textId="77777777" w:rsidR="00F365B8" w:rsidRPr="001717FA" w:rsidRDefault="00F365B8" w:rsidP="00F365B8">
      <w:pPr>
        <w:widowControl w:val="0"/>
        <w:autoSpaceDE w:val="0"/>
        <w:autoSpaceDN w:val="0"/>
        <w:spacing w:after="0" w:line="276" w:lineRule="auto"/>
        <w:ind w:left="360" w:hanging="360"/>
        <w:outlineLvl w:val="0"/>
        <w:rPr>
          <w:rFonts w:ascii="Verdana" w:eastAsia="Arial" w:hAnsi="Verdana" w:cs="Arial"/>
          <w:b/>
          <w:bCs/>
          <w:highlight w:val="cyan"/>
        </w:rPr>
      </w:pPr>
    </w:p>
    <w:p w14:paraId="11FC05DD" w14:textId="77777777" w:rsidR="00F365B8" w:rsidRPr="001717FA" w:rsidRDefault="00F365B8" w:rsidP="00F365B8">
      <w:pPr>
        <w:widowControl w:val="0"/>
        <w:autoSpaceDE w:val="0"/>
        <w:autoSpaceDN w:val="0"/>
        <w:spacing w:after="0" w:line="276" w:lineRule="auto"/>
        <w:ind w:left="360" w:hanging="360"/>
        <w:outlineLvl w:val="0"/>
        <w:rPr>
          <w:rFonts w:ascii="Verdana" w:eastAsia="Arial" w:hAnsi="Verdana" w:cs="Arial"/>
          <w:b/>
          <w:bCs/>
          <w:lang w:val="es-ES"/>
        </w:rPr>
      </w:pPr>
      <w:r w:rsidRPr="001717FA">
        <w:rPr>
          <w:rFonts w:ascii="Verdana" w:eastAsia="Arial" w:hAnsi="Verdana" w:cs="Arial"/>
          <w:b/>
          <w:bCs/>
          <w:lang w:val="es-ES"/>
        </w:rPr>
        <w:t>3. Razones de la respuesta:</w:t>
      </w:r>
    </w:p>
    <w:p w14:paraId="0C79A0E4" w14:textId="77777777" w:rsidR="00F365B8" w:rsidRPr="001717FA" w:rsidRDefault="00F365B8" w:rsidP="00F365B8">
      <w:pPr>
        <w:spacing w:after="0" w:line="276" w:lineRule="auto"/>
        <w:jc w:val="both"/>
        <w:rPr>
          <w:rFonts w:ascii="Verdana" w:eastAsia="Calibri" w:hAnsi="Verdana" w:cs="Arial"/>
          <w:lang w:val="es-ES"/>
        </w:rPr>
      </w:pPr>
    </w:p>
    <w:p w14:paraId="311E07BF" w14:textId="77777777" w:rsidR="00F365B8" w:rsidRPr="001717FA" w:rsidRDefault="00F365B8" w:rsidP="00F365B8">
      <w:pPr>
        <w:spacing w:after="0" w:line="276" w:lineRule="auto"/>
        <w:jc w:val="both"/>
        <w:rPr>
          <w:rFonts w:ascii="Verdana" w:eastAsia="Calibri" w:hAnsi="Verdana" w:cs="Arial"/>
          <w:lang w:val="es-ES"/>
        </w:rPr>
      </w:pPr>
      <w:r w:rsidRPr="001717FA">
        <w:rPr>
          <w:rFonts w:ascii="Verdana" w:eastAsia="Calibri" w:hAnsi="Verdana" w:cs="Arial"/>
          <w:lang w:val="es-ES"/>
        </w:rPr>
        <w:t xml:space="preserve">La respuesta anterior se sustenta en las siguientes consideraciones: </w:t>
      </w:r>
    </w:p>
    <w:p w14:paraId="5C5C5508" w14:textId="77777777" w:rsidR="00390DF2" w:rsidRPr="001717FA" w:rsidRDefault="00390DF2" w:rsidP="00F365B8">
      <w:pPr>
        <w:spacing w:after="0" w:line="276" w:lineRule="auto"/>
        <w:jc w:val="both"/>
        <w:rPr>
          <w:rFonts w:ascii="Verdana" w:eastAsia="Calibri" w:hAnsi="Verdana" w:cs="Arial"/>
          <w:lang w:val="es-ES"/>
        </w:rPr>
      </w:pPr>
    </w:p>
    <w:p w14:paraId="327B6BC7" w14:textId="77777777" w:rsidR="00390DF2" w:rsidRPr="001717FA" w:rsidRDefault="00390DF2" w:rsidP="00390DF2">
      <w:pPr>
        <w:spacing w:after="0" w:line="276" w:lineRule="auto"/>
        <w:jc w:val="both"/>
        <w:rPr>
          <w:rFonts w:ascii="Verdana" w:eastAsia="Times New Roman" w:hAnsi="Verdana" w:cs="Arial"/>
          <w:i/>
          <w:lang w:val="es-ES_tradnl" w:eastAsia="es-ES_tradnl"/>
        </w:rPr>
      </w:pPr>
      <w:r w:rsidRPr="001717FA">
        <w:rPr>
          <w:rFonts w:ascii="Verdana" w:eastAsia="Calibri" w:hAnsi="Verdana" w:cs="Arial"/>
          <w:lang w:val="es-ES"/>
        </w:rPr>
        <w:t xml:space="preserve">i) </w:t>
      </w:r>
      <w:r w:rsidRPr="001717FA">
        <w:rPr>
          <w:rFonts w:ascii="Verdana" w:eastAsia="Times New Roman" w:hAnsi="Verdana" w:cs="Arial"/>
          <w:iCs/>
          <w:lang w:val="es-ES_tradnl" w:eastAsia="es-ES_tradnl"/>
        </w:rPr>
        <w:t>La Agencia Nacional de Contratación Pública – Colombia Compra Eficiente fue creada por el Decreto Ley 4170 de 2011, como una Unidad Administrativa Especial, descentralizada de la Rama Ejecutiva del orden nacional, adscrita al Departamento Nacional de Planeación. El objetivo fijado para esta entidad, según el Legislador, es servir como ente rector de la política de compra y contratación del Estado, esto, al ser consciente de la necesidad de contar en la estructura del Estado con un órgano técnico especializado que asumiera la tarea de formular políticas públicas, normas y unificar los Procesos de Contratación estatal, facultándola para “difundir las normas, reglas, procedimientos, medios tecnológicos y mejores prácticas para las compras y la contratación pública”</w:t>
      </w:r>
      <w:r w:rsidRPr="001717FA">
        <w:rPr>
          <w:rStyle w:val="FootnoteReference"/>
          <w:rFonts w:ascii="Verdana" w:eastAsia="Times New Roman" w:hAnsi="Verdana" w:cs="Arial"/>
          <w:iCs/>
          <w:lang w:val="es-ES_tradnl" w:eastAsia="es-ES_tradnl"/>
        </w:rPr>
        <w:footnoteReference w:id="1"/>
      </w:r>
      <w:r w:rsidRPr="001717FA">
        <w:rPr>
          <w:rFonts w:ascii="Verdana" w:eastAsia="Times New Roman" w:hAnsi="Verdana" w:cs="Arial"/>
          <w:iCs/>
          <w:lang w:val="es-ES_tradnl" w:eastAsia="es-ES_tradnl"/>
        </w:rPr>
        <w:t>.</w:t>
      </w:r>
    </w:p>
    <w:p w14:paraId="43E28DE8" w14:textId="77777777" w:rsidR="00390DF2" w:rsidRPr="001717FA" w:rsidRDefault="00390DF2" w:rsidP="00390DF2">
      <w:pPr>
        <w:spacing w:before="120" w:after="0" w:line="276" w:lineRule="auto"/>
        <w:jc w:val="both"/>
        <w:rPr>
          <w:rFonts w:ascii="Verdana" w:eastAsia="Times New Roman" w:hAnsi="Verdana" w:cs="Arial"/>
          <w:iCs/>
          <w:lang w:val="es-ES_tradnl" w:eastAsia="es-ES_tradnl"/>
        </w:rPr>
      </w:pPr>
      <w:r w:rsidRPr="001717FA">
        <w:rPr>
          <w:rFonts w:ascii="Verdana" w:eastAsia="Times New Roman" w:hAnsi="Verdana" w:cs="Arial"/>
          <w:iCs/>
          <w:lang w:val="es-ES_tradnl" w:eastAsia="es-ES_tradnl"/>
        </w:rPr>
        <w:tab/>
        <w:t>En este contexto, concretamente el numeral 2 del artículo 3 del Decreto Ley 4170 de 2011, dispuso que una de las funciones de la Agencia Nacional de Contratación Pública es “desarrollar, implementar y difundir las políticas públicas, planes, programas, normas, instrumentos y herramientas que faciliten las compras y contratación pública del Estado y promuevan las mejores prácticas, la eficiencia, transparencia y competitividad del mismo, a fin de que se cumplan los principios y procesos generales que deben gobernar la actividad contractual de las entidades públicas”. De igual forma, el numeral 5 del mismo artículo otorga la facultad para expedir circulares externas en materia de compras y contratación pública.</w:t>
      </w:r>
    </w:p>
    <w:p w14:paraId="656ADB3D" w14:textId="77777777" w:rsidR="00390DF2" w:rsidRPr="001717FA" w:rsidRDefault="00390DF2" w:rsidP="00390DF2">
      <w:pPr>
        <w:spacing w:before="120" w:after="0" w:line="276" w:lineRule="auto"/>
        <w:jc w:val="both"/>
        <w:rPr>
          <w:rFonts w:ascii="Verdana" w:eastAsia="Times New Roman" w:hAnsi="Verdana" w:cs="Arial"/>
          <w:lang w:val="es-ES" w:eastAsia="es-ES"/>
        </w:rPr>
      </w:pPr>
      <w:r w:rsidRPr="001717FA">
        <w:rPr>
          <w:rFonts w:ascii="Verdana" w:eastAsia="Times New Roman" w:hAnsi="Verdana" w:cs="Arial"/>
          <w:iCs/>
          <w:lang w:val="es-ES_tradnl" w:eastAsia="es-ES_tradnl"/>
        </w:rPr>
        <w:tab/>
      </w:r>
      <w:r w:rsidRPr="001717FA">
        <w:rPr>
          <w:rFonts w:ascii="Verdana" w:eastAsia="Times New Roman" w:hAnsi="Verdana" w:cs="Arial"/>
          <w:lang w:val="es-ES" w:eastAsia="es-ES"/>
        </w:rPr>
        <w:t xml:space="preserve">En ejercicio de estas competencias, Colombia Compra Eficiente ha expedido Guías, Manuales y Circulares que pueden ser calificados como </w:t>
      </w:r>
      <w:r w:rsidRPr="001717FA">
        <w:rPr>
          <w:rFonts w:ascii="Verdana" w:eastAsia="Times New Roman" w:hAnsi="Verdana" w:cs="Arial"/>
          <w:i/>
          <w:iCs/>
          <w:lang w:val="es-ES" w:eastAsia="es-ES"/>
        </w:rPr>
        <w:t>herramientas de apoyo a los partícipes de la contratación pública</w:t>
      </w:r>
      <w:r w:rsidRPr="001717FA">
        <w:rPr>
          <w:rFonts w:ascii="Verdana" w:eastAsia="Times New Roman" w:hAnsi="Verdana" w:cs="Arial"/>
          <w:lang w:val="es-ES" w:eastAsia="es-ES"/>
        </w:rPr>
        <w:t>. A pesar de que el Decreto Ley 4170 de 2011 no contiene de manera expresa los vocablos Guía o Manual, esta Agencia a partir del año 2013, los ha expedido como instrumentos que facilitan las compras y la contratación pública y promueven las mejores prácticas, la eficiencia, transparencia y competitividad. El Decreto 1510 de 2013, por el cual se reglamentó el Sistema de Compras y Contratación Pública, compilado por el Decreto 1082 de 2015</w:t>
      </w:r>
      <w:r w:rsidRPr="001717FA">
        <w:rPr>
          <w:rStyle w:val="FootnoteReference"/>
          <w:rFonts w:ascii="Verdana" w:eastAsia="Times New Roman" w:hAnsi="Verdana" w:cs="Arial"/>
          <w:lang w:val="es-ES" w:eastAsia="es-ES"/>
        </w:rPr>
        <w:footnoteReference w:id="2"/>
      </w:r>
      <w:r w:rsidRPr="001717FA">
        <w:rPr>
          <w:rFonts w:ascii="Verdana" w:eastAsia="Times New Roman" w:hAnsi="Verdana" w:cs="Arial"/>
          <w:lang w:val="es-ES" w:eastAsia="es-ES"/>
        </w:rPr>
        <w:t>, a pesar de que se refiere de forma expresa a los Manuales y Guías, no distingue o precisa el concepto de cada uno.</w:t>
      </w:r>
    </w:p>
    <w:p w14:paraId="4F69AAD2" w14:textId="77777777" w:rsidR="00390DF2" w:rsidRPr="001717FA" w:rsidRDefault="00390DF2" w:rsidP="00390DF2">
      <w:pPr>
        <w:spacing w:before="120" w:after="0" w:line="276" w:lineRule="auto"/>
        <w:jc w:val="both"/>
        <w:rPr>
          <w:rFonts w:ascii="Verdana" w:eastAsia="Times New Roman" w:hAnsi="Verdana" w:cs="Arial"/>
          <w:iCs/>
          <w:lang w:val="es-ES_tradnl" w:eastAsia="es-ES_tradnl"/>
        </w:rPr>
      </w:pPr>
      <w:r w:rsidRPr="001717FA">
        <w:rPr>
          <w:rFonts w:ascii="Verdana" w:eastAsia="Times New Roman" w:hAnsi="Verdana" w:cs="Arial"/>
          <w:iCs/>
          <w:lang w:val="es-ES_tradnl" w:eastAsia="es-ES_tradnl"/>
        </w:rPr>
        <w:tab/>
        <w:t>Bajo las denominaciones de guías, manuales, instructivos y protocolos muchas entidades del Estado han adoptado herramientas e instrumentos para definir criterios técnicos, fijar procedimientos, estandarizar procesos y establecer metodologías, aunque no existe un significado unívoco que defina cada herramienta</w:t>
      </w:r>
      <w:r w:rsidRPr="001717FA">
        <w:rPr>
          <w:rStyle w:val="FootnoteReference"/>
          <w:rFonts w:ascii="Verdana" w:hAnsi="Verdana" w:cs="Arial"/>
        </w:rPr>
        <w:footnoteReference w:id="3"/>
      </w:r>
      <w:r w:rsidRPr="001717FA">
        <w:rPr>
          <w:rFonts w:ascii="Verdana" w:hAnsi="Verdana" w:cs="Arial"/>
        </w:rPr>
        <w:t>.</w:t>
      </w:r>
    </w:p>
    <w:p w14:paraId="23CB1734" w14:textId="77777777" w:rsidR="00390DF2" w:rsidRPr="001717FA" w:rsidRDefault="00390DF2" w:rsidP="00390DF2">
      <w:pPr>
        <w:spacing w:before="120" w:after="0" w:line="276" w:lineRule="auto"/>
        <w:jc w:val="both"/>
        <w:rPr>
          <w:rFonts w:ascii="Verdana" w:eastAsia="Times New Roman" w:hAnsi="Verdana" w:cs="Arial"/>
          <w:lang w:val="es-ES" w:eastAsia="es-ES"/>
        </w:rPr>
      </w:pPr>
      <w:r w:rsidRPr="001717FA">
        <w:rPr>
          <w:rFonts w:ascii="Verdana" w:eastAsia="Times New Roman" w:hAnsi="Verdana" w:cs="Arial"/>
          <w:iCs/>
          <w:lang w:val="es-ES_tradnl" w:eastAsia="es-ES_tradnl"/>
        </w:rPr>
        <w:tab/>
      </w:r>
      <w:r w:rsidRPr="001717FA">
        <w:rPr>
          <w:rFonts w:ascii="Verdana" w:eastAsia="Times New Roman" w:hAnsi="Verdana" w:cs="Arial"/>
          <w:lang w:val="es-ES" w:eastAsia="es-ES"/>
        </w:rPr>
        <w:t>Dentro del funcionamiento interno de esta Agencia, los Manuales han sido entendidos como documentos que tratan de manera general aspectos fundamentales y elementales de un tema. Su contenido tiende a ser teórico y su finalidad es aclarar los puntos más importantes del asunto abordado. Por ejemplo, Colombia Compra Eficiente ha elaborado manuales para determinar y verificar los requisitos habilitantes o para el manejo de los Acuerdos Comerciales en los Procesos de Contratación.</w:t>
      </w:r>
    </w:p>
    <w:p w14:paraId="4145E25C" w14:textId="77777777" w:rsidR="00390DF2" w:rsidRPr="001717FA" w:rsidRDefault="00390DF2" w:rsidP="00390DF2">
      <w:pPr>
        <w:spacing w:before="120" w:after="0" w:line="276" w:lineRule="auto"/>
        <w:jc w:val="both"/>
        <w:rPr>
          <w:rFonts w:ascii="Verdana" w:eastAsia="Times New Roman" w:hAnsi="Verdana" w:cs="Arial"/>
          <w:iCs/>
          <w:lang w:val="es-ES_tradnl" w:eastAsia="es-ES_tradnl"/>
        </w:rPr>
      </w:pPr>
      <w:r w:rsidRPr="001717FA">
        <w:rPr>
          <w:rFonts w:ascii="Verdana" w:eastAsia="Times New Roman" w:hAnsi="Verdana" w:cs="Arial"/>
          <w:iCs/>
          <w:lang w:val="es-ES_tradnl" w:eastAsia="es-ES_tradnl"/>
        </w:rPr>
        <w:tab/>
        <w:t>Las Guías, por su parte, se han entendido como documentos técnicos que indican generalmente un procedimiento sobre cómo deben operarse ciertos temas por parte de los partícipes del Sistema de Compra Pública. Así, por ejemplo, se han expedido guías de compras públicas socialmente responsables o guías para la liquidación de los contratos estatales, la cual fija un procedimiento para el efecto.</w:t>
      </w:r>
    </w:p>
    <w:p w14:paraId="2E20760A" w14:textId="77777777" w:rsidR="00D0444F" w:rsidRPr="001717FA" w:rsidRDefault="00390DF2" w:rsidP="00D0444F">
      <w:pPr>
        <w:spacing w:before="120" w:after="0" w:line="276" w:lineRule="auto"/>
        <w:ind w:firstLine="708"/>
        <w:jc w:val="both"/>
        <w:rPr>
          <w:rFonts w:ascii="Verdana" w:eastAsia="Times New Roman" w:hAnsi="Verdana" w:cs="Arial"/>
          <w:iCs/>
          <w:lang w:val="es-ES_tradnl" w:eastAsia="es-ES_tradnl"/>
        </w:rPr>
      </w:pPr>
      <w:r w:rsidRPr="001717FA">
        <w:rPr>
          <w:rFonts w:ascii="Verdana" w:eastAsia="Calibri" w:hAnsi="Verdana" w:cs="Arial"/>
          <w:lang w:val="es-ES"/>
        </w:rPr>
        <w:t xml:space="preserve">Ahora bien, desde el 2017 </w:t>
      </w:r>
      <w:r w:rsidRPr="001717FA">
        <w:rPr>
          <w:rFonts w:ascii="Verdana" w:hAnsi="Verdana" w:cs="Arial"/>
          <w:lang w:val="es-MX" w:eastAsia="x-none"/>
        </w:rPr>
        <w:t>la Subdirección de Gestión Contractual acogió un enfoque sustantivo sobre el carácter obligatorio de los actos expedidos por la entidad. Esto quiere decir que con independencia de la forma que adopte la directriz, su carácter obligatorio o no, está determinado por la existencia de una competencia legal o reglamentaria para regular el asunto en concreto. En otras palabras, lo que define la obligatoriedad de determinado acto que expida la entidad no es que se adopte mediante circular externa, sino que el contenido sea de aquellos cuya regulación haya sido encargada por el Legislador o el Presidente de la República a la Agencia Nacional de Contratación Pública. Lo anterior, hace referencia a la competencia, como uno de los elementos que caracteriza a los actos administrativos.</w:t>
      </w:r>
    </w:p>
    <w:p w14:paraId="5B4A408F" w14:textId="1DA3C099" w:rsidR="00390DF2" w:rsidRPr="001717FA" w:rsidRDefault="00390DF2" w:rsidP="00D0444F">
      <w:pPr>
        <w:spacing w:before="120" w:after="0" w:line="276" w:lineRule="auto"/>
        <w:ind w:firstLine="708"/>
        <w:jc w:val="both"/>
        <w:rPr>
          <w:rFonts w:ascii="Verdana" w:eastAsia="Times New Roman" w:hAnsi="Verdana" w:cs="Arial"/>
          <w:iCs/>
          <w:lang w:val="es-ES_tradnl" w:eastAsia="es-ES_tradnl"/>
        </w:rPr>
      </w:pPr>
      <w:r w:rsidRPr="001717FA">
        <w:rPr>
          <w:rFonts w:ascii="Verdana" w:hAnsi="Verdana" w:cs="Arial"/>
          <w:lang w:val="es-MX" w:eastAsia="x-none"/>
        </w:rPr>
        <w:t>Además, para que un acto expedido por esta entidad sea obligatorio, debe reunir todos los demás elementos de un acto administrativo, entendido este, desde su concepción clásica, como la manifestación unilateral de la voluntad de la Administración, en ejercicio de la función administrativa, con la potencialidad de producir efectos jurídicos. Este enfoque sustantivo o material en relación con la obligatoriedad de las Circulares, Guías, Manuales o Documentos Tipo, se corresponde al entendimiento que la jurisprudencia del Consejo de Estado ha tenido para determinar si está ante un acto de la administración controlable por la Jurisdicción Contenciosa Administrativa, esto es, si está en presencia de un acto administrativo.</w:t>
      </w:r>
    </w:p>
    <w:p w14:paraId="4A9B82C5" w14:textId="77777777" w:rsidR="00390DF2" w:rsidRPr="001717FA" w:rsidRDefault="00390DF2" w:rsidP="00390DF2">
      <w:pPr>
        <w:spacing w:after="120" w:line="276" w:lineRule="auto"/>
        <w:ind w:firstLine="709"/>
        <w:jc w:val="both"/>
        <w:rPr>
          <w:rFonts w:ascii="Verdana" w:hAnsi="Verdana" w:cs="Arial"/>
          <w:lang w:val="es-MX" w:eastAsia="x-none"/>
        </w:rPr>
      </w:pPr>
      <w:r w:rsidRPr="001717FA">
        <w:rPr>
          <w:rFonts w:ascii="Verdana" w:hAnsi="Verdana" w:cs="Arial"/>
          <w:lang w:val="es-MX" w:eastAsia="x-none"/>
        </w:rPr>
        <w:t xml:space="preserve">Ahora bien, el Consejo de Estado señaló sobre la naturaleza jurídica de los Manuales y Guías expedidos por Colombia Compra Eficiente, que se trata de normas de carácter general, impersonal y abstracto, cuya finalidad es dar un mayor nivel de detalle a todas las normas a las que están subordinadas, de forma que sea posible su aplicación. Sostuvo además, que normas como los manuales y las guías son conocidas como “normas reglamentarias de segundo o de tercer grado”, entendiendo las de primer grado como las expedidas por el Presidente de la República en ejercicio de la potestad reglamentaria del numeral 11 del artículo 189 de la Constitución Política. </w:t>
      </w:r>
    </w:p>
    <w:p w14:paraId="4AF48AB8" w14:textId="77777777" w:rsidR="00390DF2" w:rsidRPr="001717FA" w:rsidRDefault="00390DF2" w:rsidP="00390DF2">
      <w:pPr>
        <w:spacing w:after="120" w:line="276" w:lineRule="auto"/>
        <w:ind w:firstLine="709"/>
        <w:jc w:val="both"/>
        <w:rPr>
          <w:rFonts w:ascii="Verdana" w:hAnsi="Verdana" w:cs="Arial"/>
          <w:lang w:val="es-MX" w:eastAsia="x-none"/>
        </w:rPr>
      </w:pPr>
      <w:r w:rsidRPr="001717FA">
        <w:rPr>
          <w:rFonts w:ascii="Verdana" w:hAnsi="Verdana" w:cs="Arial"/>
          <w:lang w:val="es-MX" w:eastAsia="x-none"/>
        </w:rPr>
        <w:t>El Alto Tribunal Administrativo, en concordancia con el criterio sustantivo o material de identificación de los actos administrativos antes expuesto, reiteró que estos pueden estar revestidos de distintas formas, como decretos, resoluciones, reglamentos, acuerdo, manuales o circulares. En consecuencia, no es el nombre otorgado lo que genera la naturaleza de acto administrativo, sino su contenido reglamentario o normativo de obligatoria aplicación, y ello es predicable, incluso, de los manuales expedidos por las distintas autoridades administrativas.</w:t>
      </w:r>
    </w:p>
    <w:p w14:paraId="227A95CE" w14:textId="77777777" w:rsidR="00390DF2" w:rsidRPr="001717FA" w:rsidRDefault="00390DF2" w:rsidP="00390DF2">
      <w:pPr>
        <w:spacing w:after="120" w:line="276" w:lineRule="auto"/>
        <w:ind w:firstLine="709"/>
        <w:jc w:val="both"/>
        <w:rPr>
          <w:rFonts w:ascii="Verdana" w:hAnsi="Verdana" w:cs="Arial"/>
          <w:lang w:val="es-MX" w:eastAsia="x-none"/>
        </w:rPr>
      </w:pPr>
      <w:r w:rsidRPr="001717FA">
        <w:rPr>
          <w:rFonts w:ascii="Verdana" w:hAnsi="Verdana" w:cs="Arial"/>
          <w:lang w:val="es-MX" w:eastAsia="x-none"/>
        </w:rPr>
        <w:t>De esta forma, los manuales, guías o circulares frente a los que existe fundamento normativo de rango legal o reglamentario que da la competencia a Colombia Compra Eficiente para expedirlos fueron declarados ajustados al ordenamiento jurídico y, además, frente a ellos se puede concluir, que se trata de actos administrativos –incluso reglamentos– de obligatorio cumplimiento para los partícipes de la contratación pública, como el “Manual de uso de los acuerdos marco de precios”, los manuales y guías para la elaboración y actualización del Plan Anual de Adquisiciones y el manual o guía para el uso del Clasificador de Bienes y Servicios.</w:t>
      </w:r>
    </w:p>
    <w:p w14:paraId="53D1B4F6" w14:textId="77777777" w:rsidR="00390DF2" w:rsidRPr="001717FA" w:rsidRDefault="00390DF2" w:rsidP="00390DF2">
      <w:pPr>
        <w:spacing w:after="120" w:line="276" w:lineRule="auto"/>
        <w:ind w:firstLine="709"/>
        <w:jc w:val="both"/>
        <w:rPr>
          <w:rFonts w:ascii="Verdana" w:hAnsi="Verdana" w:cs="Arial"/>
          <w:lang w:val="es-MX" w:eastAsia="x-none"/>
        </w:rPr>
      </w:pPr>
      <w:r w:rsidRPr="001717FA">
        <w:rPr>
          <w:rFonts w:ascii="Verdana" w:hAnsi="Verdana" w:cs="Arial"/>
          <w:lang w:val="es-MX" w:eastAsia="x-none"/>
        </w:rPr>
        <w:t>Lo contrario ocurre con los manuales, guías o circulares que se expiden sin una competencia legal o reglamentaria, diferente de la genérica contenida en el Decreto Ley 4170 de 2011, que defiera a esta entidad su adopción, como ocurre con los manuales y guías para la identificación y cobertura del riesgo, los manuales y guías para el manejo de los Acuerdos Comerciales en los Procesos de Contratación. Estos instrumentos o herramientas quedan en el ámbito de normas de apoyo y de buenas prácticas para los partícipes del Sistema de Compra Pública, de donde no se puede derivar obligatoriedad.</w:t>
      </w:r>
    </w:p>
    <w:p w14:paraId="2F1812E4" w14:textId="77777777" w:rsidR="00390DF2" w:rsidRPr="001717FA" w:rsidRDefault="00390DF2" w:rsidP="00390DF2">
      <w:pPr>
        <w:spacing w:after="120" w:line="276" w:lineRule="auto"/>
        <w:ind w:firstLine="709"/>
        <w:jc w:val="both"/>
        <w:rPr>
          <w:rFonts w:ascii="Verdana" w:hAnsi="Verdana" w:cs="Arial"/>
          <w:lang w:val="es-MX" w:eastAsia="x-none"/>
        </w:rPr>
      </w:pPr>
      <w:r w:rsidRPr="001717FA">
        <w:rPr>
          <w:rFonts w:ascii="Verdana" w:hAnsi="Verdana" w:cs="Arial"/>
          <w:lang w:val="es-MX" w:eastAsia="x-none"/>
        </w:rPr>
        <w:t>En ese sentido, la obligatoriedad de los instrumentos expedidos por Colombia Compra Eficiente no depende de la forma mediante la cual se adopten, pues las guías, manuales o circulares podrán ser de obligatoria observancia o de mera pauta, para fomentar las buenas prácticas administrativas, dependiendo de si existe una norma de rango legal o reglamentaria, diferente a la del Decreto Ley 4170 de 2011, que confiera la competencia para regular determinado aspecto de la contratación estatal. Si la competencia no proviene de la ley o el reglamento, sin importar que se trate de una guía, un manual o una circular externa, no producirá efectos jurídicos y su función estará limitada a dar orientaciones o a producir normas, es decir, no será obligatoria, y, en consecuencia, no será vinculante para sus destinatarios, con independencia del nombre que tenga.</w:t>
      </w:r>
    </w:p>
    <w:p w14:paraId="49998048" w14:textId="77777777" w:rsidR="00390DF2" w:rsidRPr="001717FA" w:rsidRDefault="00390DF2" w:rsidP="00390DF2">
      <w:pPr>
        <w:spacing w:after="120" w:line="276" w:lineRule="auto"/>
        <w:ind w:firstLine="709"/>
        <w:jc w:val="both"/>
        <w:rPr>
          <w:rFonts w:ascii="Verdana" w:hAnsi="Verdana" w:cs="Arial"/>
          <w:lang w:val="es-MX" w:eastAsia="x-none"/>
        </w:rPr>
      </w:pPr>
      <w:r w:rsidRPr="001717FA">
        <w:rPr>
          <w:rFonts w:ascii="Verdana" w:hAnsi="Verdana" w:cs="Arial"/>
          <w:lang w:val="es-MX" w:eastAsia="x-none"/>
        </w:rPr>
        <w:t>Sin perjuicio de lo anterior, debe tenerse de presente que el artículo 2.1.4.3.2.1, adicionado al Decreto 1081 de 2015 por el Decreto 1600 de 2024, establece que las Entidades Estatales deben verificar situaciones de control, aplicar buenas prácticas de contratación transparente y fortalecer los análisis de mercado para la fijación objetiva de precios. En este sentido, las guías y manuales expedidos por Colombia Compra Eficiente dejan de ser simples documentos de orientación y se convierten en instrumentos de referencia de observancia, pues su contenido se alinea directamente con las exigencias normativas de prevención de riesgos y corrupción en los procesos contractuales.</w:t>
      </w:r>
    </w:p>
    <w:p w14:paraId="20DB20A0" w14:textId="77777777" w:rsidR="00390DF2" w:rsidRPr="001717FA" w:rsidRDefault="00390DF2" w:rsidP="00390DF2">
      <w:pPr>
        <w:spacing w:after="120" w:line="276" w:lineRule="auto"/>
        <w:ind w:firstLine="709"/>
        <w:jc w:val="both"/>
        <w:rPr>
          <w:rFonts w:ascii="Verdana" w:hAnsi="Verdana" w:cs="Arial"/>
          <w:lang w:eastAsia="x-none"/>
        </w:rPr>
      </w:pPr>
      <w:r w:rsidRPr="001717FA">
        <w:rPr>
          <w:rFonts w:ascii="Verdana" w:hAnsi="Verdana" w:cs="Arial"/>
          <w:lang w:eastAsia="x-none"/>
        </w:rPr>
        <w:t>La norma implica que las entidades no pueden alegar discrecionalidad absoluta en la forma de realizar estudios previos o análisis sectoriales, ya que deben garantizar la incorporación de los lineamientos metodológicos de Colombia Compra Eficiente como parte de su cumplimiento legal. Esto fortalece la estandarización de prácticas en contratación pública y asegura que las guías y manuales de la Agencia se utilicen como soporte técnico y jurídico para garantizar transparencia, objetividad en la fijación de precios y mayor seguridad en la planeación contractual. En consecuencia, el artículo 2.1.4.3.2.1 otorga a estos instrumentos un valor normativo indirecto, vinculando su aplicación al deber de las entidades de prevenir la corrupción y cumplir con estándares mínimos de calidad en la contratación.</w:t>
      </w:r>
    </w:p>
    <w:p w14:paraId="41B15E24" w14:textId="64F854FB" w:rsidR="00B760C6" w:rsidRPr="001717FA" w:rsidRDefault="00B760C6" w:rsidP="00B760C6">
      <w:pPr>
        <w:spacing w:after="120" w:line="276" w:lineRule="auto"/>
        <w:jc w:val="both"/>
        <w:rPr>
          <w:rFonts w:ascii="Verdana" w:hAnsi="Verdana" w:cs="Arial"/>
          <w:lang w:eastAsia="x-none"/>
        </w:rPr>
      </w:pPr>
      <w:proofErr w:type="spellStart"/>
      <w:r w:rsidRPr="001717FA">
        <w:rPr>
          <w:rFonts w:ascii="Verdana" w:hAnsi="Verdana" w:cs="Arial"/>
          <w:lang w:eastAsia="x-none"/>
        </w:rPr>
        <w:t>ii</w:t>
      </w:r>
      <w:proofErr w:type="spellEnd"/>
      <w:r w:rsidRPr="001717FA">
        <w:rPr>
          <w:rFonts w:ascii="Verdana" w:hAnsi="Verdana" w:cs="Arial"/>
          <w:lang w:eastAsia="x-none"/>
        </w:rPr>
        <w:t>)</w:t>
      </w:r>
      <w:r w:rsidR="009B2440" w:rsidRPr="001717FA">
        <w:rPr>
          <w:rFonts w:ascii="Verdana" w:hAnsi="Verdana" w:cs="Arial"/>
          <w:lang w:eastAsia="x-none"/>
        </w:rPr>
        <w:t xml:space="preserve"> Delimitado el alcance de los instrumentos publicados por la Agencia Nacional de Contratación Pública, resulta pertinente, en atención a la consulta formulada, efectuar algunas precisiones respecto del contenido de la Guía para el Manejo de Ofertas Artificialmente Bajas en los Procesos de Contratación.</w:t>
      </w:r>
      <w:r w:rsidR="005D0FCA" w:rsidRPr="001717FA">
        <w:rPr>
          <w:rFonts w:ascii="Verdana" w:hAnsi="Verdana" w:cs="Arial"/>
          <w:lang w:eastAsia="x-none"/>
        </w:rPr>
        <w:t xml:space="preserve"> </w:t>
      </w:r>
      <w:r w:rsidR="00517E98" w:rsidRPr="001717FA">
        <w:rPr>
          <w:rFonts w:ascii="Verdana" w:hAnsi="Verdana" w:cs="Arial"/>
          <w:lang w:eastAsia="x-none"/>
        </w:rPr>
        <w:t>De acuerdo con el</w:t>
      </w:r>
      <w:r w:rsidR="00E45DFB" w:rsidRPr="001717FA">
        <w:rPr>
          <w:rFonts w:ascii="Verdana" w:hAnsi="Verdana" w:cs="Arial"/>
          <w:lang w:eastAsia="x-none"/>
        </w:rPr>
        <w:t xml:space="preserve"> </w:t>
      </w:r>
      <w:r w:rsidR="00517E98" w:rsidRPr="001717FA">
        <w:rPr>
          <w:rFonts w:ascii="Verdana" w:hAnsi="Verdana" w:cs="Arial"/>
          <w:color w:val="000000" w:themeColor="text1"/>
        </w:rPr>
        <w:t>artículo 26.6 de la Ley 80 de 1993, los contratistas responderán cuando presenten ofertas que resulten artificialmente bajas con el propósito de obtener la adjudicación del contrato.</w:t>
      </w:r>
      <w:r w:rsidR="00517E98" w:rsidRPr="001717FA">
        <w:rPr>
          <w:rFonts w:ascii="Verdana" w:hAnsi="Verdana" w:cs="Arial"/>
          <w:color w:val="000000" w:themeColor="text1"/>
          <w:lang w:val="es-ES"/>
        </w:rPr>
        <w:t xml:space="preserve"> El precio artificialmente bajo es definido como aquel que, además de ser muy reducido, no encuentra fundamento en el tráfico comercial. En este sentido, la entidad estaría imposibilitada para aceptar la propuesta artificialmente baja, so pena de la infracción de los principios de la contratación pública</w:t>
      </w:r>
      <w:r w:rsidR="00517E98" w:rsidRPr="001717FA">
        <w:rPr>
          <w:rFonts w:ascii="Verdana" w:hAnsi="Verdana" w:cs="Arial"/>
          <w:color w:val="000000" w:themeColor="text1"/>
        </w:rPr>
        <w:t xml:space="preserve">. </w:t>
      </w:r>
      <w:r w:rsidR="003817C1" w:rsidRPr="001717FA">
        <w:rPr>
          <w:rFonts w:ascii="Verdana" w:hAnsi="Verdana" w:cs="Arial"/>
          <w:lang w:eastAsia="x-none"/>
        </w:rPr>
        <w:t xml:space="preserve"> </w:t>
      </w:r>
    </w:p>
    <w:p w14:paraId="338B1928" w14:textId="318AC4A3" w:rsidR="004A783C" w:rsidRPr="001717FA" w:rsidRDefault="00056AF0" w:rsidP="004A783C">
      <w:pPr>
        <w:spacing w:line="276" w:lineRule="auto"/>
        <w:ind w:firstLine="709"/>
        <w:jc w:val="both"/>
        <w:rPr>
          <w:rFonts w:ascii="Verdana" w:hAnsi="Verdana" w:cs="Arial"/>
          <w:color w:val="000000" w:themeColor="text1"/>
        </w:rPr>
      </w:pPr>
      <w:r w:rsidRPr="001717FA">
        <w:rPr>
          <w:rFonts w:ascii="Verdana" w:hAnsi="Verdana" w:cs="Arial"/>
          <w:color w:val="000000" w:themeColor="text1"/>
        </w:rPr>
        <w:t>Partiendo de este postulado</w:t>
      </w:r>
      <w:r w:rsidR="004A783C" w:rsidRPr="001717FA">
        <w:rPr>
          <w:rFonts w:ascii="Verdana" w:hAnsi="Verdana" w:cs="Arial"/>
          <w:color w:val="000000" w:themeColor="text1"/>
        </w:rPr>
        <w:t xml:space="preserve">, la </w:t>
      </w:r>
      <w:r w:rsidR="004A783C" w:rsidRPr="001717FA">
        <w:rPr>
          <w:rFonts w:ascii="Verdana" w:hAnsi="Verdana" w:cs="Arial"/>
          <w:i/>
          <w:iCs/>
          <w:color w:val="000000" w:themeColor="text1"/>
        </w:rPr>
        <w:t>Guía para el manejo de ofertas artificialmente bajas en Procesos de Contratación</w:t>
      </w:r>
      <w:r w:rsidR="004A783C" w:rsidRPr="001717FA">
        <w:rPr>
          <w:rStyle w:val="FootnoteReference"/>
          <w:rFonts w:ascii="Verdana" w:hAnsi="Verdana" w:cs="Arial"/>
          <w:color w:val="000000" w:themeColor="text1"/>
        </w:rPr>
        <w:footnoteReference w:id="4"/>
      </w:r>
      <w:r w:rsidR="004A783C" w:rsidRPr="001717FA">
        <w:rPr>
          <w:rFonts w:ascii="Verdana" w:hAnsi="Verdana" w:cs="Arial"/>
          <w:color w:val="000000" w:themeColor="text1"/>
        </w:rPr>
        <w:t>, establece que una oferta es artificialmente baja cuando, “a criterio de la Entidad Estatal, el precio ofertado no parece suficiente para garantizar la correcta ejecución del contrato. Esto, de acuerdo con la información recogida durante la etapa de planeación y particularmente durante el Estudio del Sector”. En este punto, es importante diferenciar las “ofertas artificialmente bajas” y las “ofertas competitivas”, entendiendo por estas últimas aquellas “que tienen en su estructura de costos economías de escala o de alcance, que permiten generar un bien o un servicio a menor costo que el resto de proveedores en el mercado”, según lo establece la guía antes mencionada.</w:t>
      </w:r>
    </w:p>
    <w:p w14:paraId="7A50E3ED" w14:textId="77777777" w:rsidR="004A783C" w:rsidRPr="001717FA" w:rsidRDefault="004A783C" w:rsidP="004A783C">
      <w:pPr>
        <w:spacing w:before="120" w:after="0" w:line="276" w:lineRule="auto"/>
        <w:ind w:firstLine="708"/>
        <w:jc w:val="both"/>
        <w:rPr>
          <w:rFonts w:ascii="Verdana" w:hAnsi="Verdana" w:cs="Arial"/>
          <w:color w:val="000000" w:themeColor="text1"/>
        </w:rPr>
      </w:pPr>
      <w:r w:rsidRPr="001717FA">
        <w:rPr>
          <w:rFonts w:ascii="Verdana" w:hAnsi="Verdana" w:cs="Arial"/>
          <w:color w:val="000000" w:themeColor="text1"/>
        </w:rPr>
        <w:t xml:space="preserve">De otro lado, el artículo 2.2.1.1.2.2.4 del Decreto 1082 de 2015 regula el procedimiento a seguir en los eventos en que se presenten propuestas con valor artificialmente bajo: </w:t>
      </w:r>
    </w:p>
    <w:p w14:paraId="0C4502FC" w14:textId="77777777" w:rsidR="004A783C" w:rsidRPr="001717FA" w:rsidRDefault="004A783C" w:rsidP="004A783C">
      <w:pPr>
        <w:spacing w:after="0" w:line="276" w:lineRule="auto"/>
        <w:ind w:firstLine="709"/>
        <w:jc w:val="both"/>
        <w:rPr>
          <w:rFonts w:ascii="Verdana" w:hAnsi="Verdana" w:cs="Arial"/>
          <w:color w:val="000000" w:themeColor="text1"/>
          <w:sz w:val="20"/>
          <w:szCs w:val="20"/>
        </w:rPr>
      </w:pPr>
    </w:p>
    <w:p w14:paraId="4E902D6D" w14:textId="77777777" w:rsidR="004A783C" w:rsidRPr="001717FA" w:rsidRDefault="004A783C" w:rsidP="004A783C">
      <w:pPr>
        <w:tabs>
          <w:tab w:val="left" w:pos="7230"/>
          <w:tab w:val="left" w:pos="7797"/>
          <w:tab w:val="left" w:pos="8080"/>
        </w:tabs>
        <w:spacing w:after="120" w:line="240" w:lineRule="auto"/>
        <w:ind w:left="709" w:right="709"/>
        <w:jc w:val="both"/>
        <w:rPr>
          <w:rFonts w:ascii="Verdana" w:hAnsi="Verdana" w:cs="Arial"/>
          <w:color w:val="000000" w:themeColor="text1"/>
          <w:sz w:val="20"/>
          <w:szCs w:val="20"/>
        </w:rPr>
      </w:pPr>
      <w:r w:rsidRPr="001717FA">
        <w:rPr>
          <w:rFonts w:ascii="Verdana" w:hAnsi="Verdana" w:cs="Arial"/>
          <w:color w:val="000000" w:themeColor="text1"/>
          <w:sz w:val="20"/>
          <w:szCs w:val="20"/>
        </w:rPr>
        <w:t>“Si de acuerdo con la información obtenida por la Entidad Estatal en su deber de análisis de que trata el artículo 2.2.1.1.1.6.1 del presente decreto, el valor de una oferta parece artificialmente bajo, la Entidad Estatal debe requerir al oferente para que explique las razones que sustentan el valor ofrecido. Analizadas las explicaciones, el comité evaluador de que trata el artículo anterior, o quien haga la evaluación de las ofertas, debe recomendar rechazar la oferta o continuar con el análisis de la misma en la evaluación de las ofertas.</w:t>
      </w:r>
    </w:p>
    <w:p w14:paraId="0C2B8B10" w14:textId="77777777" w:rsidR="004A783C" w:rsidRPr="001717FA" w:rsidRDefault="004A783C" w:rsidP="004A783C">
      <w:pPr>
        <w:tabs>
          <w:tab w:val="left" w:pos="7230"/>
          <w:tab w:val="left" w:pos="7797"/>
          <w:tab w:val="left" w:pos="8080"/>
        </w:tabs>
        <w:spacing w:after="120" w:line="240" w:lineRule="auto"/>
        <w:ind w:left="709" w:right="709"/>
        <w:jc w:val="both"/>
        <w:rPr>
          <w:rFonts w:ascii="Verdana" w:hAnsi="Verdana" w:cs="Arial"/>
          <w:color w:val="000000" w:themeColor="text1"/>
          <w:sz w:val="20"/>
          <w:szCs w:val="20"/>
        </w:rPr>
      </w:pPr>
      <w:r w:rsidRPr="001717FA">
        <w:rPr>
          <w:rFonts w:ascii="Verdana" w:hAnsi="Verdana" w:cs="Arial"/>
          <w:color w:val="000000" w:themeColor="text1"/>
          <w:sz w:val="20"/>
          <w:szCs w:val="20"/>
        </w:rPr>
        <w:t>Cuando el valor de la oferta sobre la cual la Entidad Estatal tuvo dudas sobre su valor, responde a circunstancias objetivas del oferente y de su oferta que no ponen en riesgo el cumplimiento del contrato si este es adjudicado a tal oferta, la Entidad Estatal debe continuar con su análisis en el proceso de evaluación de ofertas.</w:t>
      </w:r>
    </w:p>
    <w:p w14:paraId="7D829DD4" w14:textId="77777777" w:rsidR="004A783C" w:rsidRPr="001717FA" w:rsidRDefault="004A783C" w:rsidP="004A783C">
      <w:pPr>
        <w:tabs>
          <w:tab w:val="left" w:pos="7230"/>
          <w:tab w:val="left" w:pos="7797"/>
          <w:tab w:val="left" w:pos="8080"/>
        </w:tabs>
        <w:spacing w:after="0" w:line="240" w:lineRule="auto"/>
        <w:ind w:left="709" w:right="709"/>
        <w:jc w:val="both"/>
        <w:rPr>
          <w:rFonts w:ascii="Verdana" w:hAnsi="Verdana" w:cs="Arial"/>
          <w:color w:val="000000" w:themeColor="text1"/>
          <w:sz w:val="20"/>
          <w:szCs w:val="20"/>
        </w:rPr>
      </w:pPr>
      <w:r w:rsidRPr="001717FA">
        <w:rPr>
          <w:rFonts w:ascii="Verdana" w:hAnsi="Verdana" w:cs="Arial"/>
          <w:color w:val="000000" w:themeColor="text1"/>
          <w:sz w:val="20"/>
          <w:szCs w:val="20"/>
        </w:rPr>
        <w:t>En la subasta inversa esta disposición es aplicable sobre el precio obtenido al final de la misma”.</w:t>
      </w:r>
    </w:p>
    <w:p w14:paraId="16EDD6FD" w14:textId="77777777" w:rsidR="004A783C" w:rsidRPr="001717FA" w:rsidRDefault="004A783C" w:rsidP="004A783C">
      <w:pPr>
        <w:spacing w:after="0" w:line="276" w:lineRule="auto"/>
        <w:ind w:left="709" w:right="709"/>
        <w:jc w:val="both"/>
        <w:rPr>
          <w:rFonts w:ascii="Verdana" w:hAnsi="Verdana" w:cs="Arial"/>
          <w:color w:val="000000" w:themeColor="text1"/>
        </w:rPr>
      </w:pPr>
    </w:p>
    <w:p w14:paraId="3D5D5CE3" w14:textId="77777777" w:rsidR="004A783C" w:rsidRPr="001717FA" w:rsidRDefault="004A783C" w:rsidP="004A783C">
      <w:pPr>
        <w:spacing w:after="0" w:line="276" w:lineRule="auto"/>
        <w:ind w:firstLine="708"/>
        <w:jc w:val="both"/>
        <w:rPr>
          <w:rFonts w:ascii="Verdana" w:hAnsi="Verdana" w:cs="Arial"/>
          <w:color w:val="000000" w:themeColor="text1"/>
        </w:rPr>
      </w:pPr>
      <w:r w:rsidRPr="001717FA">
        <w:rPr>
          <w:rFonts w:ascii="Verdana" w:hAnsi="Verdana" w:cs="Arial"/>
          <w:color w:val="000000" w:themeColor="text1"/>
        </w:rPr>
        <w:t xml:space="preserve">De lo expuesto se desprende que, ante una propuesta artificialmente baja, la entidad estatal está obligada a: i) requerir al oferente para que explique las razones que sustentan el valor ofrecido; </w:t>
      </w:r>
      <w:proofErr w:type="spellStart"/>
      <w:r w:rsidRPr="001717FA">
        <w:rPr>
          <w:rFonts w:ascii="Verdana" w:hAnsi="Verdana" w:cs="Arial"/>
          <w:color w:val="000000" w:themeColor="text1"/>
        </w:rPr>
        <w:t>ii</w:t>
      </w:r>
      <w:proofErr w:type="spellEnd"/>
      <w:r w:rsidRPr="001717FA">
        <w:rPr>
          <w:rFonts w:ascii="Verdana" w:hAnsi="Verdana" w:cs="Arial"/>
          <w:color w:val="000000" w:themeColor="text1"/>
        </w:rPr>
        <w:t xml:space="preserve">) analizar las explicaciones; y </w:t>
      </w:r>
      <w:proofErr w:type="spellStart"/>
      <w:r w:rsidRPr="001717FA">
        <w:rPr>
          <w:rFonts w:ascii="Verdana" w:hAnsi="Verdana" w:cs="Arial"/>
          <w:color w:val="000000" w:themeColor="text1"/>
        </w:rPr>
        <w:t>iii</w:t>
      </w:r>
      <w:proofErr w:type="spellEnd"/>
      <w:r w:rsidRPr="001717FA">
        <w:rPr>
          <w:rFonts w:ascii="Verdana" w:hAnsi="Verdana" w:cs="Arial"/>
          <w:color w:val="000000" w:themeColor="text1"/>
        </w:rPr>
        <w:t xml:space="preserve">) con base en lo anterior, rechazar la oferta o continuar con su análisis en la fase de evaluación. Así, la entidad deberá, inicialmente, determinar si la propuesta es considerada artificialmente baja, de acuerdo con la información del análisis del sector y, posteriormente, agotar el procedimiento indicado. </w:t>
      </w:r>
    </w:p>
    <w:p w14:paraId="41C1340D" w14:textId="125FFBE9" w:rsidR="004A783C" w:rsidRPr="001717FA" w:rsidRDefault="004A783C" w:rsidP="004A783C">
      <w:pPr>
        <w:spacing w:before="120" w:after="120" w:line="276" w:lineRule="auto"/>
        <w:ind w:firstLine="708"/>
        <w:jc w:val="both"/>
        <w:rPr>
          <w:rFonts w:ascii="Verdana" w:hAnsi="Verdana" w:cs="Arial"/>
          <w:color w:val="000000" w:themeColor="text1"/>
        </w:rPr>
      </w:pPr>
      <w:r w:rsidRPr="001717FA">
        <w:rPr>
          <w:rFonts w:ascii="Verdana" w:hAnsi="Verdana" w:cs="Arial"/>
          <w:color w:val="000000" w:themeColor="text1"/>
        </w:rPr>
        <w:t xml:space="preserve">Por su parte, la </w:t>
      </w:r>
      <w:r w:rsidRPr="001717FA">
        <w:rPr>
          <w:rFonts w:ascii="Verdana" w:hAnsi="Verdana" w:cs="Arial"/>
          <w:i/>
          <w:iCs/>
          <w:color w:val="000000" w:themeColor="text1"/>
        </w:rPr>
        <w:t>Guía para el manejo de ofertas artificialmente bajas en Procesos de Contratación</w:t>
      </w:r>
      <w:r w:rsidRPr="001717FA">
        <w:rPr>
          <w:rFonts w:ascii="Verdana" w:hAnsi="Verdana" w:cs="Arial"/>
          <w:color w:val="000000" w:themeColor="text1"/>
        </w:rPr>
        <w:t xml:space="preserve"> recomienda a las </w:t>
      </w:r>
      <w:r w:rsidR="00417B58" w:rsidRPr="001717FA">
        <w:rPr>
          <w:rFonts w:ascii="Verdana" w:hAnsi="Verdana" w:cs="Arial"/>
          <w:color w:val="000000" w:themeColor="text1"/>
        </w:rPr>
        <w:t>E</w:t>
      </w:r>
      <w:r w:rsidRPr="001717FA">
        <w:rPr>
          <w:rFonts w:ascii="Verdana" w:hAnsi="Verdana" w:cs="Arial"/>
          <w:color w:val="000000" w:themeColor="text1"/>
        </w:rPr>
        <w:t xml:space="preserve">ntidades </w:t>
      </w:r>
      <w:r w:rsidR="00417B58" w:rsidRPr="001717FA">
        <w:rPr>
          <w:rFonts w:ascii="Verdana" w:hAnsi="Verdana" w:cs="Arial"/>
          <w:color w:val="000000" w:themeColor="text1"/>
        </w:rPr>
        <w:t>E</w:t>
      </w:r>
      <w:r w:rsidRPr="001717FA">
        <w:rPr>
          <w:rFonts w:ascii="Verdana" w:hAnsi="Verdana" w:cs="Arial"/>
          <w:color w:val="000000" w:themeColor="text1"/>
        </w:rPr>
        <w:t xml:space="preserve">statales tener en cuenta la siguiente información para determinar si una oferta es artificialmente baja: i) promedio del valor de las ofertas, </w:t>
      </w:r>
      <w:proofErr w:type="spellStart"/>
      <w:r w:rsidRPr="001717FA">
        <w:rPr>
          <w:rFonts w:ascii="Verdana" w:hAnsi="Verdana" w:cs="Arial"/>
          <w:color w:val="000000" w:themeColor="text1"/>
        </w:rPr>
        <w:t>ii</w:t>
      </w:r>
      <w:proofErr w:type="spellEnd"/>
      <w:r w:rsidRPr="001717FA">
        <w:rPr>
          <w:rFonts w:ascii="Verdana" w:hAnsi="Verdana" w:cs="Arial"/>
          <w:color w:val="000000" w:themeColor="text1"/>
        </w:rPr>
        <w:t xml:space="preserve">) mediana del valor las ofertas, </w:t>
      </w:r>
      <w:proofErr w:type="spellStart"/>
      <w:r w:rsidRPr="001717FA">
        <w:rPr>
          <w:rFonts w:ascii="Verdana" w:hAnsi="Verdana" w:cs="Arial"/>
          <w:color w:val="000000" w:themeColor="text1"/>
        </w:rPr>
        <w:t>iii</w:t>
      </w:r>
      <w:proofErr w:type="spellEnd"/>
      <w:r w:rsidRPr="001717FA">
        <w:rPr>
          <w:rFonts w:ascii="Verdana" w:hAnsi="Verdana" w:cs="Arial"/>
          <w:color w:val="000000" w:themeColor="text1"/>
        </w:rPr>
        <w:t xml:space="preserve">) desviación estándar del valor de las ofertas, </w:t>
      </w:r>
      <w:proofErr w:type="spellStart"/>
      <w:r w:rsidRPr="001717FA">
        <w:rPr>
          <w:rFonts w:ascii="Verdana" w:hAnsi="Verdana" w:cs="Arial"/>
          <w:color w:val="000000" w:themeColor="text1"/>
        </w:rPr>
        <w:t>iv</w:t>
      </w:r>
      <w:proofErr w:type="spellEnd"/>
      <w:r w:rsidRPr="001717FA">
        <w:rPr>
          <w:rFonts w:ascii="Verdana" w:hAnsi="Verdana" w:cs="Arial"/>
          <w:color w:val="000000" w:themeColor="text1"/>
        </w:rPr>
        <w:t xml:space="preserve">) diferencia entre el costo estimado del contrato y el promedio o mediana del valor de las ofertas, v) diferencia entre el valor de la oferta que puede ser artificialmente baja y el promedio del valor de las ofertas, vi) diferencia entre el valor de la oferta que puede ser artificialmente baja y el costo estimado del contrato, y </w:t>
      </w:r>
      <w:proofErr w:type="spellStart"/>
      <w:r w:rsidRPr="001717FA">
        <w:rPr>
          <w:rFonts w:ascii="Verdana" w:hAnsi="Verdana" w:cs="Arial"/>
          <w:color w:val="000000" w:themeColor="text1"/>
        </w:rPr>
        <w:t>vii</w:t>
      </w:r>
      <w:proofErr w:type="spellEnd"/>
      <w:r w:rsidRPr="001717FA">
        <w:rPr>
          <w:rFonts w:ascii="Verdana" w:hAnsi="Verdana" w:cs="Arial"/>
          <w:color w:val="000000" w:themeColor="text1"/>
        </w:rPr>
        <w:t xml:space="preserve">) la información histórica de ofertas y contratos del objeto del proceso de contratación. </w:t>
      </w:r>
    </w:p>
    <w:p w14:paraId="2BF6AA6B" w14:textId="77777777" w:rsidR="004A783C" w:rsidRPr="001717FA" w:rsidRDefault="004A783C" w:rsidP="004A783C">
      <w:pPr>
        <w:spacing w:before="120" w:after="120" w:line="276" w:lineRule="auto"/>
        <w:ind w:firstLine="708"/>
        <w:jc w:val="both"/>
        <w:rPr>
          <w:rFonts w:ascii="Verdana" w:hAnsi="Verdana" w:cs="Arial"/>
          <w:color w:val="000000" w:themeColor="text1"/>
        </w:rPr>
      </w:pPr>
      <w:r w:rsidRPr="001717FA">
        <w:rPr>
          <w:rFonts w:ascii="Verdana" w:hAnsi="Verdana" w:cs="Arial"/>
          <w:color w:val="000000" w:themeColor="text1"/>
        </w:rPr>
        <w:t xml:space="preserve">Con estos datos, la entidad puede emplear herramientas para identificar ofertas que pueden ser artíficamente bajas, tales como la comparación absoluta o la comparación relativa. La </w:t>
      </w:r>
      <w:r w:rsidRPr="001717FA">
        <w:rPr>
          <w:rFonts w:ascii="Verdana" w:hAnsi="Verdana" w:cs="Arial"/>
          <w:i/>
          <w:iCs/>
          <w:color w:val="000000" w:themeColor="text1"/>
        </w:rPr>
        <w:t>comparación absoluta</w:t>
      </w:r>
      <w:r w:rsidRPr="001717FA">
        <w:rPr>
          <w:rFonts w:ascii="Verdana" w:hAnsi="Verdana" w:cs="Arial"/>
          <w:color w:val="000000" w:themeColor="text1"/>
        </w:rPr>
        <w:t xml:space="preserve"> consiste en contrastar cada oferta con el costo estimado del bien o servicio, de acuerdo con el estudio del sector. En este caso, si se reciben menos de cinco (5) ofertas, se debe solicitar aclaración a los proponentes cuyas ofertas sean menores en un 20%, o un mayor porcentaje en relación con el costo estimado por la entidad estatal. La </w:t>
      </w:r>
      <w:r w:rsidRPr="001717FA">
        <w:rPr>
          <w:rFonts w:ascii="Verdana" w:hAnsi="Verdana" w:cs="Arial"/>
          <w:i/>
          <w:iCs/>
          <w:color w:val="000000" w:themeColor="text1"/>
        </w:rPr>
        <w:t>comparación relativa</w:t>
      </w:r>
      <w:r w:rsidRPr="001717FA">
        <w:rPr>
          <w:rFonts w:ascii="Verdana" w:hAnsi="Verdana" w:cs="Arial"/>
          <w:color w:val="000000" w:themeColor="text1"/>
        </w:rPr>
        <w:t xml:space="preserve"> consiste en que la entidad contrasta la información que obtiene a partir del universo de ofertas que presentan los proponentes en el proceso de selección. </w:t>
      </w:r>
    </w:p>
    <w:p w14:paraId="30F4A097" w14:textId="77777777" w:rsidR="004A783C" w:rsidRPr="001717FA" w:rsidRDefault="004A783C" w:rsidP="004A783C">
      <w:pPr>
        <w:spacing w:before="120" w:after="0" w:line="276" w:lineRule="auto"/>
        <w:ind w:firstLine="708"/>
        <w:jc w:val="both"/>
        <w:rPr>
          <w:rFonts w:ascii="Verdana" w:hAnsi="Verdana" w:cs="Arial"/>
          <w:color w:val="000000" w:themeColor="text1"/>
        </w:rPr>
      </w:pPr>
      <w:r w:rsidRPr="001717FA">
        <w:rPr>
          <w:rFonts w:ascii="Verdana" w:hAnsi="Verdana" w:cs="Arial"/>
          <w:color w:val="000000"/>
          <w:shd w:val="clear" w:color="auto" w:fill="FFFFFF"/>
        </w:rPr>
        <w:t>Colombia Compra Eficiente ha sugerido a las entidades aplicar la siguiente metodología para identificar ofertas con “precios artificialmente bajos”, en aquellos procesos en los que hay cinco (5) o más ofertas</w:t>
      </w:r>
      <w:r w:rsidRPr="001717FA">
        <w:rPr>
          <w:rFonts w:ascii="Verdana" w:hAnsi="Verdana" w:cs="Arial"/>
          <w:color w:val="000000" w:themeColor="text1"/>
        </w:rPr>
        <w:t>:</w:t>
      </w:r>
    </w:p>
    <w:p w14:paraId="33C192E7" w14:textId="77777777" w:rsidR="004A783C" w:rsidRPr="001717FA" w:rsidRDefault="004A783C" w:rsidP="004A783C">
      <w:pPr>
        <w:spacing w:after="0" w:line="276" w:lineRule="auto"/>
        <w:jc w:val="both"/>
        <w:rPr>
          <w:rFonts w:ascii="Verdana" w:hAnsi="Verdana" w:cs="Arial"/>
          <w:color w:val="000000" w:themeColor="text1"/>
        </w:rPr>
      </w:pPr>
    </w:p>
    <w:p w14:paraId="242D7DCA" w14:textId="77777777" w:rsidR="004A783C" w:rsidRPr="001717FA" w:rsidRDefault="004A783C" w:rsidP="004A783C">
      <w:pPr>
        <w:spacing w:after="0"/>
        <w:ind w:left="709" w:right="709" w:hanging="2"/>
        <w:jc w:val="both"/>
        <w:rPr>
          <w:rFonts w:ascii="Verdana" w:hAnsi="Verdana" w:cs="Arial"/>
          <w:color w:val="000000" w:themeColor="text1"/>
          <w:sz w:val="21"/>
          <w:szCs w:val="21"/>
        </w:rPr>
      </w:pPr>
      <w:r w:rsidRPr="001717FA">
        <w:rPr>
          <w:rFonts w:ascii="Verdana" w:hAnsi="Verdana" w:cs="Arial"/>
          <w:color w:val="000000" w:themeColor="text1"/>
          <w:sz w:val="21"/>
          <w:szCs w:val="21"/>
        </w:rPr>
        <w:t xml:space="preserve">1. Primero deberá tomar el conjunto de ofertas a evaluar. </w:t>
      </w:r>
    </w:p>
    <w:p w14:paraId="003F6802" w14:textId="77777777" w:rsidR="004A783C" w:rsidRPr="001717FA" w:rsidRDefault="004A783C" w:rsidP="004A783C">
      <w:pPr>
        <w:spacing w:after="0"/>
        <w:ind w:left="709" w:right="709" w:hanging="2"/>
        <w:jc w:val="both"/>
        <w:rPr>
          <w:rFonts w:ascii="Verdana" w:hAnsi="Verdana" w:cs="Arial"/>
          <w:color w:val="000000" w:themeColor="text1"/>
          <w:sz w:val="21"/>
          <w:szCs w:val="21"/>
        </w:rPr>
      </w:pPr>
      <w:r w:rsidRPr="001717FA">
        <w:rPr>
          <w:rFonts w:ascii="Verdana" w:hAnsi="Verdana" w:cs="Arial"/>
          <w:color w:val="000000" w:themeColor="text1"/>
          <w:sz w:val="21"/>
          <w:szCs w:val="21"/>
        </w:rPr>
        <w:t>2. Calcular la mediana, dependiendo de la dispersión de los datos el promedio del valor de cada oferta o de cada ítem dentro de la oferta.</w:t>
      </w:r>
    </w:p>
    <w:p w14:paraId="1B85BBFE" w14:textId="77777777" w:rsidR="004A783C" w:rsidRPr="001717FA" w:rsidRDefault="004A783C" w:rsidP="004A783C">
      <w:pPr>
        <w:spacing w:after="0"/>
        <w:ind w:left="709" w:right="709" w:hanging="2"/>
        <w:jc w:val="both"/>
        <w:rPr>
          <w:rFonts w:ascii="Verdana" w:hAnsi="Verdana" w:cs="Arial"/>
          <w:color w:val="000000" w:themeColor="text1"/>
          <w:sz w:val="21"/>
          <w:szCs w:val="21"/>
        </w:rPr>
      </w:pPr>
      <w:r w:rsidRPr="001717FA">
        <w:rPr>
          <w:rFonts w:ascii="Verdana" w:hAnsi="Verdana" w:cs="Arial"/>
          <w:color w:val="000000" w:themeColor="text1"/>
          <w:sz w:val="21"/>
          <w:szCs w:val="21"/>
        </w:rPr>
        <w:t xml:space="preserve">3. Calcular la desviación estándar del conjunto. </w:t>
      </w:r>
    </w:p>
    <w:p w14:paraId="7489B9A4" w14:textId="77777777" w:rsidR="004A783C" w:rsidRPr="001717FA" w:rsidRDefault="004A783C" w:rsidP="004A783C">
      <w:pPr>
        <w:spacing w:after="0"/>
        <w:ind w:left="709" w:right="709" w:hanging="2"/>
        <w:jc w:val="both"/>
        <w:rPr>
          <w:rFonts w:ascii="Verdana" w:hAnsi="Verdana" w:cs="Arial"/>
          <w:color w:val="000000" w:themeColor="text1"/>
          <w:sz w:val="21"/>
          <w:szCs w:val="21"/>
        </w:rPr>
      </w:pPr>
      <w:r w:rsidRPr="001717FA">
        <w:rPr>
          <w:rFonts w:ascii="Verdana" w:hAnsi="Verdana" w:cs="Arial"/>
          <w:color w:val="000000" w:themeColor="text1"/>
          <w:sz w:val="21"/>
          <w:szCs w:val="21"/>
        </w:rPr>
        <w:t>4. Determinar el valor mínimo aceptable para la Entidad Estatal.</w:t>
      </w:r>
      <w:r w:rsidRPr="001717FA">
        <w:rPr>
          <w:rStyle w:val="FootnoteReference"/>
          <w:rFonts w:ascii="Verdana" w:hAnsi="Verdana" w:cs="Arial"/>
          <w:color w:val="000000" w:themeColor="text1"/>
          <w:sz w:val="21"/>
          <w:szCs w:val="21"/>
        </w:rPr>
        <w:footnoteReference w:id="5"/>
      </w:r>
    </w:p>
    <w:p w14:paraId="62A3C3E9" w14:textId="77777777" w:rsidR="004A783C" w:rsidRPr="001717FA" w:rsidRDefault="004A783C" w:rsidP="004A783C">
      <w:pPr>
        <w:spacing w:after="0" w:line="276" w:lineRule="auto"/>
        <w:jc w:val="both"/>
        <w:rPr>
          <w:rFonts w:ascii="Verdana" w:hAnsi="Verdana" w:cs="Arial"/>
          <w:color w:val="000000" w:themeColor="text1"/>
        </w:rPr>
      </w:pPr>
    </w:p>
    <w:p w14:paraId="3F9F9AE2" w14:textId="77777777" w:rsidR="004A783C" w:rsidRPr="001717FA" w:rsidRDefault="004A783C" w:rsidP="004A783C">
      <w:pPr>
        <w:spacing w:after="0" w:line="276" w:lineRule="auto"/>
        <w:ind w:firstLine="708"/>
        <w:jc w:val="both"/>
        <w:rPr>
          <w:rFonts w:ascii="Verdana" w:hAnsi="Verdana" w:cs="Arial"/>
          <w:color w:val="000000" w:themeColor="text1"/>
        </w:rPr>
      </w:pPr>
      <w:r w:rsidRPr="001717FA">
        <w:rPr>
          <w:rFonts w:ascii="Verdana" w:hAnsi="Verdana" w:cs="Arial"/>
          <w:color w:val="000000" w:themeColor="text1"/>
        </w:rPr>
        <w:t xml:space="preserve">La </w:t>
      </w:r>
      <w:r w:rsidRPr="001717FA">
        <w:rPr>
          <w:rFonts w:ascii="Verdana" w:hAnsi="Verdana" w:cs="Arial"/>
          <w:i/>
          <w:iCs/>
          <w:color w:val="000000" w:themeColor="text1"/>
        </w:rPr>
        <w:t>mediana</w:t>
      </w:r>
      <w:r w:rsidRPr="001717FA">
        <w:rPr>
          <w:rFonts w:ascii="Verdana" w:hAnsi="Verdana" w:cs="Arial"/>
          <w:color w:val="000000" w:themeColor="text1"/>
        </w:rPr>
        <w:t xml:space="preserve"> debe calcularse ordenando los valores de mayor a menor y tomando el valor de la oferta en la mitad de la lista. Si el número de ofertas es par, caso en el cual no habrá una oferta “en la mitad”, debe tomarse los dos valores del medio, se suman y dividen en dos. Posteriormente, es necesario calcular la </w:t>
      </w:r>
      <w:r w:rsidRPr="001717FA">
        <w:rPr>
          <w:rFonts w:ascii="Verdana" w:hAnsi="Verdana" w:cs="Arial"/>
          <w:i/>
          <w:iCs/>
          <w:color w:val="000000" w:themeColor="text1"/>
        </w:rPr>
        <w:t>desviación estándar</w:t>
      </w:r>
      <w:r w:rsidRPr="001717FA">
        <w:rPr>
          <w:rFonts w:ascii="Verdana" w:hAnsi="Verdana" w:cs="Arial"/>
          <w:color w:val="000000" w:themeColor="text1"/>
        </w:rPr>
        <w:t xml:space="preserve">, utilizando la siguiente fórmula, en la que el </w:t>
      </w:r>
      <w:r w:rsidRPr="001717FA">
        <w:rPr>
          <w:rFonts w:ascii="Verdana" w:eastAsia="Calibri" w:hAnsi="Verdana" w:cs="Arial"/>
          <w:color w:val="000000" w:themeColor="text1"/>
          <w:lang w:val="es-ES"/>
        </w:rPr>
        <w:t xml:space="preserve">valor </w:t>
      </w:r>
      <w:r w:rsidRPr="001717FA">
        <w:rPr>
          <w:rFonts w:ascii="Verdana" w:eastAsia="Calibri" w:hAnsi="Verdana" w:cs="Arial"/>
          <w:i/>
          <w:color w:val="000000" w:themeColor="text1"/>
          <w:lang w:val="es-ES"/>
        </w:rPr>
        <w:t>n</w:t>
      </w:r>
      <w:r w:rsidRPr="001717FA">
        <w:rPr>
          <w:rFonts w:ascii="Verdana" w:eastAsia="Calibri" w:hAnsi="Verdana" w:cs="Arial"/>
          <w:color w:val="000000" w:themeColor="text1"/>
          <w:lang w:val="es-ES"/>
        </w:rPr>
        <w:t xml:space="preserve"> es el número de ofertas</w:t>
      </w:r>
      <w:r w:rsidRPr="001717FA">
        <w:rPr>
          <w:rFonts w:ascii="Verdana" w:hAnsi="Verdana" w:cs="Arial"/>
          <w:color w:val="000000" w:themeColor="text1"/>
        </w:rPr>
        <w:t xml:space="preserve">: </w:t>
      </w:r>
    </w:p>
    <w:p w14:paraId="6905B6C0" w14:textId="77777777" w:rsidR="004A783C" w:rsidRPr="001717FA" w:rsidRDefault="004A783C" w:rsidP="004A783C">
      <w:pPr>
        <w:spacing w:after="0" w:line="276" w:lineRule="auto"/>
        <w:ind w:firstLine="708"/>
        <w:jc w:val="both"/>
        <w:rPr>
          <w:rFonts w:ascii="Verdana" w:hAnsi="Verdana" w:cs="Arial"/>
          <w:color w:val="000000" w:themeColor="text1"/>
        </w:rPr>
      </w:pPr>
    </w:p>
    <w:p w14:paraId="1B40DE1C" w14:textId="77777777" w:rsidR="004A783C" w:rsidRPr="001717FA" w:rsidRDefault="004A783C" w:rsidP="004A783C">
      <w:pPr>
        <w:spacing w:after="0" w:line="276" w:lineRule="auto"/>
        <w:jc w:val="center"/>
        <w:rPr>
          <w:rFonts w:ascii="Verdana" w:hAnsi="Verdana" w:cs="Arial"/>
          <w:color w:val="000000" w:themeColor="text1"/>
        </w:rPr>
      </w:pPr>
      <w:r w:rsidRPr="001717FA">
        <w:rPr>
          <w:rFonts w:ascii="Verdana" w:hAnsi="Verdana" w:cs="Arial"/>
          <w:noProof/>
          <w:color w:val="000000" w:themeColor="text1"/>
        </w:rPr>
        <w:drawing>
          <wp:inline distT="0" distB="0" distL="0" distR="0" wp14:anchorId="21F4872A" wp14:editId="3CF21D4A">
            <wp:extent cx="4113920" cy="614435"/>
            <wp:effectExtent l="0" t="0" r="1270" b="0"/>
            <wp:docPr id="90285887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2858878" name=""/>
                    <pic:cNvPicPr/>
                  </pic:nvPicPr>
                  <pic:blipFill>
                    <a:blip r:embed="rId13"/>
                    <a:stretch>
                      <a:fillRect/>
                    </a:stretch>
                  </pic:blipFill>
                  <pic:spPr>
                    <a:xfrm>
                      <a:off x="0" y="0"/>
                      <a:ext cx="4385526" cy="655001"/>
                    </a:xfrm>
                    <a:prstGeom prst="rect">
                      <a:avLst/>
                    </a:prstGeom>
                  </pic:spPr>
                </pic:pic>
              </a:graphicData>
            </a:graphic>
          </wp:inline>
        </w:drawing>
      </w:r>
    </w:p>
    <w:p w14:paraId="2295A367" w14:textId="77777777" w:rsidR="004A783C" w:rsidRPr="001717FA" w:rsidRDefault="004A783C" w:rsidP="004A783C">
      <w:pPr>
        <w:spacing w:after="0" w:line="276" w:lineRule="auto"/>
        <w:jc w:val="both"/>
        <w:rPr>
          <w:rFonts w:ascii="Verdana" w:hAnsi="Verdana" w:cs="Arial"/>
          <w:color w:val="000000" w:themeColor="text1"/>
        </w:rPr>
      </w:pPr>
    </w:p>
    <w:p w14:paraId="61AA67FA" w14:textId="77777777" w:rsidR="004A783C" w:rsidRPr="001717FA" w:rsidRDefault="004A783C" w:rsidP="004A783C">
      <w:pPr>
        <w:spacing w:after="120" w:line="276" w:lineRule="auto"/>
        <w:ind w:firstLine="708"/>
        <w:jc w:val="both"/>
        <w:rPr>
          <w:rFonts w:ascii="Verdana" w:hAnsi="Verdana" w:cs="Arial"/>
          <w:color w:val="000000" w:themeColor="text1"/>
        </w:rPr>
      </w:pPr>
      <w:r w:rsidRPr="001717FA">
        <w:rPr>
          <w:rFonts w:ascii="Verdana" w:hAnsi="Verdana" w:cs="Arial"/>
          <w:color w:val="000000" w:themeColor="text1"/>
        </w:rPr>
        <w:t xml:space="preserve">Por último, el </w:t>
      </w:r>
      <w:r w:rsidRPr="001717FA">
        <w:rPr>
          <w:rFonts w:ascii="Verdana" w:hAnsi="Verdana" w:cs="Arial"/>
          <w:i/>
          <w:iCs/>
          <w:color w:val="000000" w:themeColor="text1"/>
        </w:rPr>
        <w:t>valor mínimo aceptable</w:t>
      </w:r>
      <w:r w:rsidRPr="001717FA">
        <w:rPr>
          <w:rFonts w:ascii="Verdana" w:hAnsi="Verdana" w:cs="Arial"/>
          <w:color w:val="000000" w:themeColor="text1"/>
        </w:rPr>
        <w:t xml:space="preserve">, será igual a la </w:t>
      </w:r>
      <w:r w:rsidRPr="001717FA">
        <w:rPr>
          <w:rFonts w:ascii="Verdana" w:hAnsi="Verdana" w:cs="Arial"/>
          <w:i/>
          <w:iCs/>
          <w:color w:val="000000" w:themeColor="text1"/>
        </w:rPr>
        <w:t>mediana</w:t>
      </w:r>
      <w:r w:rsidRPr="001717FA">
        <w:rPr>
          <w:rFonts w:ascii="Verdana" w:hAnsi="Verdana" w:cs="Arial"/>
          <w:color w:val="000000" w:themeColor="text1"/>
        </w:rPr>
        <w:t xml:space="preserve"> menos la </w:t>
      </w:r>
      <w:r w:rsidRPr="001717FA">
        <w:rPr>
          <w:rFonts w:ascii="Verdana" w:hAnsi="Verdana" w:cs="Arial"/>
          <w:i/>
          <w:iCs/>
          <w:color w:val="000000" w:themeColor="text1"/>
        </w:rPr>
        <w:t>desviación estándar</w:t>
      </w:r>
      <w:r w:rsidRPr="001717FA">
        <w:rPr>
          <w:rFonts w:ascii="Verdana" w:hAnsi="Verdana" w:cs="Arial"/>
          <w:color w:val="000000" w:themeColor="text1"/>
        </w:rPr>
        <w:t xml:space="preserve">. De esta manera, la entidad puede identificar como ofertas artificialmente bajas las que se encuentren por debajo de ese valor mínimo. Con todo, dicho valor puede ser diferente al obtenido con la anterior metodología, dependiendo de la información y los datos con los que cuenten las entidades. </w:t>
      </w:r>
      <w:r w:rsidRPr="001717FA">
        <w:rPr>
          <w:rStyle w:val="normaltextrun"/>
          <w:rFonts w:ascii="Verdana" w:hAnsi="Verdana" w:cs="Arial"/>
          <w:color w:val="000000"/>
          <w:shd w:val="clear" w:color="auto" w:fill="FFFFFF"/>
        </w:rPr>
        <w:t>Esto es así porque l</w:t>
      </w:r>
      <w:r w:rsidRPr="001717FA">
        <w:rPr>
          <w:rStyle w:val="normaltextrun"/>
          <w:rFonts w:ascii="Verdana" w:hAnsi="Verdana" w:cs="Arial"/>
          <w:color w:val="000000"/>
          <w:shd w:val="clear" w:color="auto" w:fill="FFFFFF"/>
          <w:lang w:val="es-ES"/>
        </w:rPr>
        <w:t>as entidades pueden o no acoger la metodología explicada, toda vez que la Guía no es de obligatorio cumplimiento para las entidades, pues sólo constituye una orientación o lineamiento para sus procesos de contratación</w:t>
      </w:r>
      <w:r w:rsidRPr="001717FA">
        <w:rPr>
          <w:rFonts w:ascii="Verdana" w:eastAsia="Calibri" w:hAnsi="Verdana" w:cs="Arial"/>
          <w:color w:val="000000" w:themeColor="text1"/>
          <w:lang w:val="es-ES"/>
        </w:rPr>
        <w:t>.</w:t>
      </w:r>
    </w:p>
    <w:p w14:paraId="6163DF8C" w14:textId="77777777" w:rsidR="004A783C" w:rsidRPr="001717FA" w:rsidRDefault="004A783C" w:rsidP="004A783C">
      <w:pPr>
        <w:spacing w:before="120" w:after="120" w:line="276" w:lineRule="auto"/>
        <w:ind w:firstLine="708"/>
        <w:jc w:val="both"/>
        <w:rPr>
          <w:rFonts w:ascii="Verdana" w:eastAsia="Calibri" w:hAnsi="Verdana" w:cs="Arial"/>
          <w:color w:val="000000" w:themeColor="text1"/>
          <w:lang w:val="es-ES"/>
        </w:rPr>
      </w:pPr>
      <w:r w:rsidRPr="001717FA">
        <w:rPr>
          <w:rFonts w:ascii="Verdana" w:eastAsia="Calibri" w:hAnsi="Verdana" w:cs="Arial"/>
          <w:color w:val="000000" w:themeColor="text1"/>
          <w:lang w:val="es-ES"/>
        </w:rPr>
        <w:t xml:space="preserve">La Guía también contempla los casos en los que el contratista se selecciona a través de </w:t>
      </w:r>
      <w:r w:rsidRPr="001717FA">
        <w:rPr>
          <w:rFonts w:ascii="Verdana" w:eastAsia="Calibri" w:hAnsi="Verdana" w:cs="Arial"/>
          <w:i/>
          <w:iCs/>
          <w:color w:val="000000" w:themeColor="text1"/>
          <w:lang w:val="es-ES"/>
        </w:rPr>
        <w:t>subasta inversa</w:t>
      </w:r>
      <w:r w:rsidRPr="001717FA">
        <w:rPr>
          <w:rFonts w:ascii="Verdana" w:eastAsia="Calibri" w:hAnsi="Verdana" w:cs="Arial"/>
          <w:color w:val="000000" w:themeColor="text1"/>
          <w:lang w:val="es-ES"/>
        </w:rPr>
        <w:t xml:space="preserve">, en los cuales el criterio de evaluación es el precio. En este evento, la Agencia recomienda tener especial cuidado, ya que es común que ofertas competitivas puedan parecer artificialmente bajas en el desarrollo de la subasta inversa. Sin embargo, dichas ofertas no siempre deben ser interpretadas como artificialmente bajas. En este sentido, en caso de presentarse dudas, la Guía sugiere llevar a cabo las siguientes actuaciones: </w:t>
      </w:r>
    </w:p>
    <w:p w14:paraId="4F83F61E" w14:textId="77777777" w:rsidR="004A783C" w:rsidRPr="001717FA" w:rsidRDefault="004A783C" w:rsidP="004A783C">
      <w:pPr>
        <w:spacing w:before="120" w:after="120" w:line="276" w:lineRule="auto"/>
        <w:ind w:firstLine="708"/>
        <w:jc w:val="both"/>
        <w:rPr>
          <w:rFonts w:ascii="Verdana" w:eastAsia="Calibri" w:hAnsi="Verdana" w:cs="Arial"/>
          <w:color w:val="000000" w:themeColor="text1"/>
          <w:lang w:val="es-ES"/>
        </w:rPr>
      </w:pPr>
      <w:r w:rsidRPr="001717FA">
        <w:rPr>
          <w:rFonts w:ascii="Verdana" w:eastAsia="Calibri" w:hAnsi="Verdana" w:cs="Arial"/>
          <w:color w:val="000000" w:themeColor="text1"/>
          <w:lang w:val="es-ES"/>
        </w:rPr>
        <w:t xml:space="preserve">i) Verificar la oferta y su componente económico, para así determinar si los precios tienen un componente extraño que no fue posible determinar al momento de realizar el Estudio del sector, en relación con los proveedores del bien, obra o servicio que se pretende contratar; </w:t>
      </w:r>
      <w:proofErr w:type="spellStart"/>
      <w:r w:rsidRPr="001717FA">
        <w:rPr>
          <w:rFonts w:ascii="Verdana" w:eastAsia="Calibri" w:hAnsi="Verdana" w:cs="Arial"/>
          <w:color w:val="000000" w:themeColor="text1"/>
          <w:lang w:val="es-ES"/>
        </w:rPr>
        <w:t>ii</w:t>
      </w:r>
      <w:proofErr w:type="spellEnd"/>
      <w:r w:rsidRPr="001717FA">
        <w:rPr>
          <w:rFonts w:ascii="Verdana" w:eastAsia="Calibri" w:hAnsi="Verdana" w:cs="Arial"/>
          <w:color w:val="000000" w:themeColor="text1"/>
          <w:lang w:val="es-ES"/>
        </w:rPr>
        <w:t xml:space="preserve">) Comparar el valor de cada oferta con el costo estimado de la provisión del bien o servicio de acuerdo con el Estudio del Sector. La verificación de ofertas artificialmente bajas puede sustentarse en información adicional a la utilizada en el Estudio del Sector, como precios de fabricantes y otros factores económicos relevantes; </w:t>
      </w:r>
      <w:proofErr w:type="spellStart"/>
      <w:r w:rsidRPr="001717FA">
        <w:rPr>
          <w:rFonts w:ascii="Verdana" w:eastAsia="Calibri" w:hAnsi="Verdana" w:cs="Arial"/>
          <w:color w:val="000000" w:themeColor="text1"/>
          <w:lang w:val="es-ES"/>
        </w:rPr>
        <w:t>iii</w:t>
      </w:r>
      <w:proofErr w:type="spellEnd"/>
      <w:r w:rsidRPr="001717FA">
        <w:rPr>
          <w:rFonts w:ascii="Verdana" w:eastAsia="Calibri" w:hAnsi="Verdana" w:cs="Arial"/>
          <w:color w:val="000000" w:themeColor="text1"/>
          <w:lang w:val="es-ES"/>
        </w:rPr>
        <w:t xml:space="preserve">) Solicitar explicaciones a los proponentes cuyas ofertas sean menores en un 20%, o un mayor porcentaje, al costo total estimado por la Entidad Estatal (comparación absoluta, ver numeral 2.1.1); y </w:t>
      </w:r>
      <w:proofErr w:type="spellStart"/>
      <w:r w:rsidRPr="001717FA">
        <w:rPr>
          <w:rFonts w:ascii="Verdana" w:eastAsia="Calibri" w:hAnsi="Verdana" w:cs="Arial"/>
          <w:color w:val="000000" w:themeColor="text1"/>
          <w:lang w:val="es-ES"/>
        </w:rPr>
        <w:t>iv</w:t>
      </w:r>
      <w:proofErr w:type="spellEnd"/>
      <w:r w:rsidRPr="001717FA">
        <w:rPr>
          <w:rFonts w:ascii="Verdana" w:eastAsia="Calibri" w:hAnsi="Verdana" w:cs="Arial"/>
          <w:color w:val="000000" w:themeColor="text1"/>
          <w:lang w:val="es-ES"/>
        </w:rPr>
        <w:t xml:space="preserve">) Analizar la información remitida por el proponente y considerar el rechazo de las ofertas que cumplan con alguna de las condiciones establecidas en el numeral 4.2 de la presente Guía. </w:t>
      </w:r>
      <w:r w:rsidRPr="001717FA">
        <w:rPr>
          <w:rStyle w:val="normaltextrun"/>
          <w:rFonts w:ascii="Verdana" w:hAnsi="Verdana" w:cs="Arial"/>
          <w:color w:val="000000"/>
          <w:shd w:val="clear" w:color="auto" w:fill="FFFFFF"/>
          <w:lang w:val="es-ES"/>
        </w:rPr>
        <w:t>Este documento se refiere a los eventos en los que el proponente omitió diligenciar algún ítem o componente de la oferta; cometió un error aritmético en la determinación del valor total de la oferta; ofreció por una unidad de medida diferente a la solicitada por la Entidad Estatal; u ofreció condiciones técnicas o de ejecución del contrato que no se ajustan a las especificaciones requeridas por la Entidad.</w:t>
      </w:r>
      <w:r w:rsidRPr="001717FA">
        <w:rPr>
          <w:rStyle w:val="eop"/>
          <w:rFonts w:ascii="Verdana" w:hAnsi="Verdana" w:cs="Arial"/>
          <w:color w:val="000000"/>
          <w:shd w:val="clear" w:color="auto" w:fill="FFFFFF"/>
        </w:rPr>
        <w:t> </w:t>
      </w:r>
      <w:r w:rsidRPr="001717FA">
        <w:rPr>
          <w:rFonts w:ascii="Verdana" w:eastAsia="Calibri" w:hAnsi="Verdana" w:cs="Arial"/>
          <w:color w:val="000000" w:themeColor="text1"/>
          <w:lang w:val="es-ES"/>
        </w:rPr>
        <w:t xml:space="preserve"> </w:t>
      </w:r>
    </w:p>
    <w:p w14:paraId="1485CB32" w14:textId="77777777" w:rsidR="004A783C" w:rsidRPr="001717FA" w:rsidRDefault="004A783C" w:rsidP="004A783C">
      <w:pPr>
        <w:spacing w:before="120" w:line="276" w:lineRule="auto"/>
        <w:ind w:firstLine="708"/>
        <w:jc w:val="both"/>
        <w:rPr>
          <w:rFonts w:ascii="Verdana" w:hAnsi="Verdana" w:cs="Arial"/>
          <w:color w:val="000000" w:themeColor="text1"/>
        </w:rPr>
      </w:pPr>
      <w:r w:rsidRPr="001717FA">
        <w:rPr>
          <w:rFonts w:ascii="Verdana" w:hAnsi="Verdana" w:cs="Arial"/>
          <w:color w:val="000000" w:themeColor="text1"/>
        </w:rPr>
        <w:t xml:space="preserve">Una vez que la entidad haya surtido su proceso de determinación de una propuesta como artificialmente baja y considerando que la oferta se encuentra inmersa en esta circunstancia, es necesario requerir al oferente para que explique las razones que sustentan el valor ofrecido. Posteriormente, el comité evaluador analizará las explicaciones y decidirá si rechaza la oferta o continúa con el análisis de la misma en el proceso de evaluación de ofertas. </w:t>
      </w:r>
    </w:p>
    <w:p w14:paraId="6BD0FF06" w14:textId="77777777" w:rsidR="004A783C" w:rsidRPr="001717FA" w:rsidRDefault="004A783C" w:rsidP="004A783C">
      <w:pPr>
        <w:spacing w:before="120" w:line="276" w:lineRule="auto"/>
        <w:ind w:firstLine="709"/>
        <w:jc w:val="both"/>
        <w:rPr>
          <w:rFonts w:ascii="Verdana" w:hAnsi="Verdana" w:cs="Arial"/>
          <w:color w:val="000000" w:themeColor="text1"/>
        </w:rPr>
      </w:pPr>
      <w:r w:rsidRPr="001717FA">
        <w:rPr>
          <w:rFonts w:ascii="Verdana" w:hAnsi="Verdana" w:cs="Arial"/>
          <w:color w:val="000000" w:themeColor="text1"/>
        </w:rPr>
        <w:t>La ley y el reglamento no determinan la forma ni el momento para requerir a los proponentes para que justifiquen el precio ofertado. Por tanto, la determinación de tales asuntos es facultativa para cada entidad pública, para lo cual debe tener presentes las particularidades de cada modalidad de selección de contratistas, partiendo de la base de que la entidad solo podrá pedir explicaciones al proponente cuando conozca su oferta económica.</w:t>
      </w:r>
    </w:p>
    <w:p w14:paraId="4BD47C6B" w14:textId="77777777" w:rsidR="004A783C" w:rsidRPr="001717FA" w:rsidRDefault="004A783C" w:rsidP="004A783C">
      <w:pPr>
        <w:spacing w:before="120" w:line="276" w:lineRule="auto"/>
        <w:ind w:firstLine="708"/>
        <w:jc w:val="both"/>
        <w:rPr>
          <w:rFonts w:ascii="Verdana" w:hAnsi="Verdana" w:cs="Arial"/>
          <w:color w:val="000000" w:themeColor="text1"/>
        </w:rPr>
      </w:pPr>
      <w:r w:rsidRPr="001717FA">
        <w:rPr>
          <w:rFonts w:ascii="Verdana" w:hAnsi="Verdana" w:cs="Arial"/>
          <w:color w:val="000000" w:themeColor="text1"/>
        </w:rPr>
        <w:t xml:space="preserve">En el evento en que el proponente no allegue información una vez se haya requerido, se tratará de una omisión que el comité evaluador deberá analizar. De ser el caso, podrá rechazar la oferta si la duda que tiene es de tal magnitud que no tomar la decisión podría eventualmente comprometer la legalidad del proceso.   </w:t>
      </w:r>
    </w:p>
    <w:p w14:paraId="31B5FCCC" w14:textId="77777777" w:rsidR="004A783C" w:rsidRPr="001717FA" w:rsidRDefault="004A783C" w:rsidP="004A783C">
      <w:pPr>
        <w:spacing w:before="120" w:line="276" w:lineRule="auto"/>
        <w:ind w:firstLine="708"/>
        <w:jc w:val="both"/>
        <w:rPr>
          <w:rFonts w:ascii="Verdana" w:hAnsi="Verdana" w:cs="Arial"/>
          <w:color w:val="000000" w:themeColor="text1"/>
        </w:rPr>
      </w:pPr>
      <w:r w:rsidRPr="001717FA">
        <w:rPr>
          <w:rFonts w:ascii="Verdana" w:hAnsi="Verdana" w:cs="Arial"/>
          <w:color w:val="000000" w:themeColor="text1"/>
        </w:rPr>
        <w:t>El requerimiento debe comunicarse al proponente por el medio que la entidad considere más eficaz e idóneo, de acuerdo con el caso y las circunstancias particulares de la información objeto de requerimiento. Puede acudir a mensajes electrónicos y otros de similar informalidad.</w:t>
      </w:r>
    </w:p>
    <w:p w14:paraId="2DAFF57A" w14:textId="13503277" w:rsidR="004A783C" w:rsidRPr="001717FA" w:rsidRDefault="004A783C" w:rsidP="004A783C">
      <w:pPr>
        <w:spacing w:before="120" w:line="276" w:lineRule="auto"/>
        <w:ind w:firstLine="708"/>
        <w:jc w:val="both"/>
        <w:rPr>
          <w:rFonts w:ascii="Verdana" w:hAnsi="Verdana" w:cs="Arial"/>
          <w:color w:val="000000" w:themeColor="text1"/>
        </w:rPr>
      </w:pPr>
      <w:r w:rsidRPr="001717FA">
        <w:rPr>
          <w:rFonts w:ascii="Verdana" w:hAnsi="Verdana" w:cs="Arial"/>
          <w:color w:val="000000" w:themeColor="text1"/>
        </w:rPr>
        <w:t xml:space="preserve">El requerimiento debe comunicarse al proponente por el medio que la entidad considere más eficaz e idóneo, de acuerdo con el caso y las circunstancias particulares de la información objeto de requerimiento. Puede acudir a mensajes electrónicos y otros de similar informalidad. En relación con este aspecto, en el concepto del 7 de noviembre de 2019 –radicado No. 2201913000008288–, esta Agencia avaló en abstracto la idoneidad de una llamada telefónica para comunicar el requerimiento al oferente. La </w:t>
      </w:r>
      <w:r w:rsidR="00C20CEF" w:rsidRPr="001717FA">
        <w:rPr>
          <w:rFonts w:ascii="Verdana" w:hAnsi="Verdana" w:cs="Arial"/>
          <w:color w:val="000000" w:themeColor="text1"/>
        </w:rPr>
        <w:t>E</w:t>
      </w:r>
      <w:r w:rsidRPr="001717FA">
        <w:rPr>
          <w:rFonts w:ascii="Verdana" w:hAnsi="Verdana" w:cs="Arial"/>
          <w:color w:val="000000" w:themeColor="text1"/>
        </w:rPr>
        <w:t xml:space="preserve">ntidad </w:t>
      </w:r>
      <w:r w:rsidR="00C20CEF" w:rsidRPr="001717FA">
        <w:rPr>
          <w:rFonts w:ascii="Verdana" w:hAnsi="Verdana" w:cs="Arial"/>
          <w:color w:val="000000" w:themeColor="text1"/>
        </w:rPr>
        <w:t>E</w:t>
      </w:r>
      <w:r w:rsidRPr="001717FA">
        <w:rPr>
          <w:rFonts w:ascii="Verdana" w:hAnsi="Verdana" w:cs="Arial"/>
          <w:color w:val="000000" w:themeColor="text1"/>
        </w:rPr>
        <w:t>statal, entonces, no tiene la obligación de notificar dicho requerimiento al proponente, pues el mismo es un acto de trámite y no uno definitivo</w:t>
      </w:r>
      <w:r w:rsidRPr="001717FA">
        <w:rPr>
          <w:rFonts w:ascii="Verdana" w:hAnsi="Verdana"/>
          <w:vertAlign w:val="superscript"/>
        </w:rPr>
        <w:footnoteReference w:id="6"/>
      </w:r>
      <w:r w:rsidRPr="001717FA">
        <w:rPr>
          <w:rFonts w:ascii="Verdana" w:hAnsi="Verdana" w:cs="Arial"/>
          <w:color w:val="000000" w:themeColor="text1"/>
        </w:rPr>
        <w:t>.</w:t>
      </w:r>
    </w:p>
    <w:p w14:paraId="52691B37" w14:textId="77777777" w:rsidR="004A783C" w:rsidRPr="001717FA" w:rsidRDefault="004A783C" w:rsidP="004A783C">
      <w:pPr>
        <w:spacing w:before="120" w:line="276" w:lineRule="auto"/>
        <w:ind w:firstLine="708"/>
        <w:jc w:val="both"/>
        <w:rPr>
          <w:rFonts w:ascii="Verdana" w:hAnsi="Verdana" w:cs="Arial"/>
          <w:color w:val="000000" w:themeColor="text1"/>
        </w:rPr>
      </w:pPr>
      <w:r w:rsidRPr="001717FA">
        <w:rPr>
          <w:rFonts w:ascii="Verdana" w:hAnsi="Verdana" w:cs="Arial"/>
          <w:color w:val="000000" w:themeColor="text1"/>
        </w:rPr>
        <w:t>En cuanto al término que se debe otorgar a los proponentes para que expliquen el precio ofertado, es preciso indicar que es un asunto que también queda a la discrecionalidad de la entidad. Sin embargo, la discrecionalidad debe ejercerse de manera sensata, con buen criterio y de forma prudente. Así lo explicó la Sección Quinta del Consejo de Estado en la sentencia del 10 de junio de 1992, en la que resaltó que “los (actos) denominados discrecionales […] se emiten por la autoridad administrativa en virtud de que la ley ha creído conveniente dejar a la sensatez, a la oportunidad, al buen criterio y al suficiente tacto que ha de presidir la gestión pública y enmarcar en la prudencia la toma de decisiones, con orden del buen servicio que ha de regir y de guiar sus tareas”</w:t>
      </w:r>
      <w:r w:rsidRPr="001717FA">
        <w:rPr>
          <w:rStyle w:val="FootnoteReference"/>
          <w:rFonts w:ascii="Verdana" w:hAnsi="Verdana" w:cs="Arial"/>
          <w:color w:val="000000" w:themeColor="text1"/>
        </w:rPr>
        <w:footnoteReference w:id="7"/>
      </w:r>
      <w:r w:rsidRPr="001717FA">
        <w:rPr>
          <w:rFonts w:ascii="Verdana" w:hAnsi="Verdana" w:cs="Arial"/>
          <w:color w:val="000000" w:themeColor="text1"/>
        </w:rPr>
        <w:t xml:space="preserve">. </w:t>
      </w:r>
    </w:p>
    <w:p w14:paraId="2545FB47" w14:textId="77777777" w:rsidR="004A783C" w:rsidRPr="001717FA" w:rsidRDefault="004A783C" w:rsidP="004A783C">
      <w:pPr>
        <w:spacing w:before="120" w:line="276" w:lineRule="auto"/>
        <w:ind w:firstLine="708"/>
        <w:jc w:val="both"/>
        <w:rPr>
          <w:rFonts w:ascii="Verdana" w:hAnsi="Verdana" w:cs="Arial"/>
          <w:color w:val="000000" w:themeColor="text1"/>
        </w:rPr>
      </w:pPr>
      <w:r w:rsidRPr="001717FA">
        <w:rPr>
          <w:rFonts w:ascii="Verdana" w:hAnsi="Verdana" w:cs="Arial"/>
          <w:color w:val="000000" w:themeColor="text1"/>
        </w:rPr>
        <w:t>La doctrina foránea se ha pronunciado en similar sentido, al argumentar que la discrecionalidad administrativa tiene dos (2) limitantes: una, el respeto a la finalidad jurídica que justifica, que no es nada distinto a satisfacer el interés general; y otra, que el uso de la discrecionalidad sea necesario para cumplir el interés jurídico que se tutela. En estos términos, la entidad deberá adoptar una medida que esté acorde con el interés general</w:t>
      </w:r>
      <w:r w:rsidRPr="001717FA">
        <w:rPr>
          <w:rStyle w:val="FootnoteReference"/>
          <w:rFonts w:ascii="Verdana" w:hAnsi="Verdana" w:cs="Arial"/>
          <w:color w:val="000000" w:themeColor="text1"/>
        </w:rPr>
        <w:footnoteReference w:id="8"/>
      </w:r>
      <w:r w:rsidRPr="001717FA">
        <w:rPr>
          <w:rFonts w:ascii="Verdana" w:hAnsi="Verdana" w:cs="Arial"/>
          <w:color w:val="000000" w:themeColor="text1"/>
        </w:rPr>
        <w:t>.</w:t>
      </w:r>
    </w:p>
    <w:p w14:paraId="08C594A9" w14:textId="77777777" w:rsidR="004A783C" w:rsidRPr="001717FA" w:rsidRDefault="004A783C" w:rsidP="004A783C">
      <w:pPr>
        <w:spacing w:before="120" w:after="120" w:line="276" w:lineRule="auto"/>
        <w:ind w:firstLine="708"/>
        <w:jc w:val="both"/>
        <w:rPr>
          <w:rFonts w:ascii="Verdana" w:hAnsi="Verdana" w:cs="Arial"/>
          <w:color w:val="000000" w:themeColor="text1"/>
        </w:rPr>
      </w:pPr>
      <w:r w:rsidRPr="001717FA">
        <w:rPr>
          <w:rFonts w:ascii="Verdana" w:hAnsi="Verdana" w:cs="Arial"/>
          <w:color w:val="000000" w:themeColor="text1"/>
        </w:rPr>
        <w:t xml:space="preserve">La entidad tiene entonces la facultad de definir el término mínimo que otorgará a los proponentes para aclarar el precio artificialmente bajo. No obstante, dicho término debe estar acorde, por un lado, con el interés general y, por el otro, con los principios de proporcionalidad y razonabilidad, así como también con los principios del Estatuto General de Contratación de la Administración Pública. </w:t>
      </w:r>
    </w:p>
    <w:p w14:paraId="1EE4BDE9" w14:textId="02DD12FF" w:rsidR="004A783C" w:rsidRPr="001717FA" w:rsidRDefault="004A783C" w:rsidP="004A783C">
      <w:pPr>
        <w:pStyle w:val="NormalWeb"/>
        <w:spacing w:before="120" w:beforeAutospacing="0" w:after="120" w:afterAutospacing="0" w:line="276" w:lineRule="auto"/>
        <w:ind w:firstLine="709"/>
        <w:jc w:val="both"/>
        <w:rPr>
          <w:rFonts w:ascii="Verdana" w:hAnsi="Verdana" w:cs="Arial"/>
          <w:color w:val="000000" w:themeColor="text1"/>
          <w:sz w:val="22"/>
          <w:szCs w:val="22"/>
          <w:lang w:val="es-ES"/>
        </w:rPr>
      </w:pPr>
      <w:r w:rsidRPr="001717FA">
        <w:rPr>
          <w:rFonts w:ascii="Verdana" w:hAnsi="Verdana" w:cs="Arial"/>
          <w:color w:val="000000" w:themeColor="text1"/>
          <w:sz w:val="22"/>
          <w:szCs w:val="22"/>
          <w:lang w:val="es-ES"/>
        </w:rPr>
        <w:t xml:space="preserve">Finalmente, verificada la información remitida por el proponente, la entidad debe definir si rechaza o no la oferta. En la </w:t>
      </w:r>
      <w:r w:rsidRPr="001717FA">
        <w:rPr>
          <w:rFonts w:ascii="Verdana" w:hAnsi="Verdana" w:cs="Arial"/>
          <w:i/>
          <w:iCs/>
          <w:color w:val="000000" w:themeColor="text1"/>
          <w:sz w:val="22"/>
          <w:szCs w:val="22"/>
          <w:lang w:val="es-ES"/>
        </w:rPr>
        <w:t>Guía para el manejo de ofertas artificialmente bajas en Procesos de Contratación</w:t>
      </w:r>
      <w:r w:rsidRPr="001717FA">
        <w:rPr>
          <w:rFonts w:ascii="Verdana" w:hAnsi="Verdana" w:cs="Arial"/>
          <w:color w:val="000000" w:themeColor="text1"/>
          <w:sz w:val="22"/>
          <w:szCs w:val="22"/>
          <w:lang w:val="es-ES"/>
        </w:rPr>
        <w:t xml:space="preserve">, la </w:t>
      </w:r>
      <w:r w:rsidRPr="001717FA">
        <w:rPr>
          <w:rFonts w:ascii="Verdana" w:hAnsi="Verdana" w:cs="Arial"/>
          <w:color w:val="000000" w:themeColor="text1"/>
          <w:sz w:val="22"/>
        </w:rPr>
        <w:t xml:space="preserve">Agencia Nacional de Contratación Pública </w:t>
      </w:r>
      <w:r w:rsidRPr="001717FA">
        <w:rPr>
          <w:rFonts w:ascii="Verdana" w:hAnsi="Verdana" w:cs="Arial"/>
          <w:color w:val="000000" w:themeColor="text1"/>
          <w:sz w:val="22"/>
          <w:szCs w:val="22"/>
          <w:lang w:val="es-ES"/>
        </w:rPr>
        <w:t xml:space="preserve">precisó que se debe rechazar la propuesta en los siguientes eventos: i) “el proponente no presenta por escrito a la entidad estatal la aclaración de la oferta”, </w:t>
      </w:r>
      <w:proofErr w:type="spellStart"/>
      <w:r w:rsidRPr="001717FA">
        <w:rPr>
          <w:rFonts w:ascii="Verdana" w:hAnsi="Verdana" w:cs="Arial"/>
          <w:color w:val="000000" w:themeColor="text1"/>
          <w:sz w:val="22"/>
          <w:szCs w:val="22"/>
          <w:lang w:val="es-ES"/>
        </w:rPr>
        <w:t>ii</w:t>
      </w:r>
      <w:proofErr w:type="spellEnd"/>
      <w:r w:rsidRPr="001717FA">
        <w:rPr>
          <w:rFonts w:ascii="Verdana" w:hAnsi="Verdana" w:cs="Arial"/>
          <w:color w:val="000000" w:themeColor="text1"/>
          <w:sz w:val="22"/>
          <w:szCs w:val="22"/>
          <w:lang w:val="es-ES"/>
        </w:rPr>
        <w:t xml:space="preserve">) “el proponente no envía parte o la totalidad de la información solicitada por la entidad estatal”, </w:t>
      </w:r>
      <w:proofErr w:type="spellStart"/>
      <w:r w:rsidRPr="001717FA">
        <w:rPr>
          <w:rFonts w:ascii="Verdana" w:hAnsi="Verdana" w:cs="Arial"/>
          <w:color w:val="000000" w:themeColor="text1"/>
          <w:sz w:val="22"/>
          <w:szCs w:val="22"/>
          <w:lang w:val="es-ES"/>
        </w:rPr>
        <w:t>iii</w:t>
      </w:r>
      <w:proofErr w:type="spellEnd"/>
      <w:r w:rsidRPr="001717FA">
        <w:rPr>
          <w:rFonts w:ascii="Verdana" w:hAnsi="Verdana" w:cs="Arial"/>
          <w:color w:val="000000" w:themeColor="text1"/>
          <w:sz w:val="22"/>
          <w:szCs w:val="22"/>
          <w:lang w:val="es-ES"/>
        </w:rPr>
        <w:t xml:space="preserve">) “las aclaraciones del proponente no son satisfactorias para garantizar la sostenibilidad de la oferta durante la ejecución del contrato” y </w:t>
      </w:r>
      <w:proofErr w:type="spellStart"/>
      <w:r w:rsidRPr="001717FA">
        <w:rPr>
          <w:rFonts w:ascii="Verdana" w:hAnsi="Verdana" w:cs="Arial"/>
          <w:color w:val="000000" w:themeColor="text1"/>
          <w:sz w:val="22"/>
          <w:szCs w:val="22"/>
          <w:lang w:val="es-ES"/>
        </w:rPr>
        <w:t>iv</w:t>
      </w:r>
      <w:proofErr w:type="spellEnd"/>
      <w:r w:rsidRPr="001717FA">
        <w:rPr>
          <w:rFonts w:ascii="Verdana" w:hAnsi="Verdana" w:cs="Arial"/>
          <w:color w:val="000000" w:themeColor="text1"/>
          <w:sz w:val="22"/>
          <w:szCs w:val="22"/>
          <w:lang w:val="es-ES"/>
        </w:rPr>
        <w:t>) “las aclaraciones del proponente no desvirtúan la teoría de que está utilizando su oferta como parte de una estrategia colusoria o anticompetitiva durante el proceso de selección”. Lo anterior, sin perjuicio de los eventos señalados en el numeral 4.2 de la “Guía para el manejo de ofertas artificialmente bajas en Procesos de Contratación de Colombia Compra Eficiente”, los cuales, debe advertirse, son criterios orientadores para las entidades públicas y no causales de rechazo en estricto sentido.</w:t>
      </w:r>
    </w:p>
    <w:p w14:paraId="4856550F" w14:textId="77777777" w:rsidR="004A783C" w:rsidRPr="001717FA" w:rsidRDefault="004A783C" w:rsidP="004A783C">
      <w:pPr>
        <w:pStyle w:val="NormalWeb"/>
        <w:spacing w:before="0" w:beforeAutospacing="0" w:after="120" w:afterAutospacing="0" w:line="276" w:lineRule="auto"/>
        <w:ind w:firstLine="709"/>
        <w:jc w:val="both"/>
        <w:rPr>
          <w:rFonts w:ascii="Verdana" w:hAnsi="Verdana" w:cs="Arial"/>
          <w:color w:val="000000" w:themeColor="text1"/>
          <w:sz w:val="22"/>
          <w:szCs w:val="22"/>
          <w:lang w:val="es-ES"/>
        </w:rPr>
      </w:pPr>
      <w:r w:rsidRPr="001717FA">
        <w:rPr>
          <w:rFonts w:ascii="Verdana" w:hAnsi="Verdana" w:cs="Arial"/>
          <w:color w:val="000000" w:themeColor="text1"/>
          <w:sz w:val="22"/>
          <w:szCs w:val="22"/>
          <w:lang w:val="es-ES"/>
        </w:rPr>
        <w:t xml:space="preserve">En todo caso, debe advertirse que las aclaraciones que están obligados a dar los proponentes según lo dispuesto en el artículo 2.2.1.1.2.2.4 del Decreto 1082 de 2015, deben cumplir con la carga de claridad suficiente para desvirtuar las razones por las que la Entidad Estatal ha estimado que la oferta es artificialmente baja. Esto implica dar cuenta de las circunstancias objetivas debido a las cuales la oferta es sustentable y competitiva. De acuerdo con lo señalado en la mencionada guía estas circunstancias pueden estar relacionadas con </w:t>
      </w:r>
      <w:r w:rsidRPr="001717FA">
        <w:rPr>
          <w:rFonts w:ascii="Verdana" w:hAnsi="Verdana" w:cs="Arial"/>
          <w:color w:val="000000" w:themeColor="text1"/>
          <w:sz w:val="22"/>
          <w:szCs w:val="22"/>
        </w:rPr>
        <w:t xml:space="preserve">i) técnicas diferenciadas de producción del bien o provisión del servicio; </w:t>
      </w:r>
      <w:proofErr w:type="spellStart"/>
      <w:r w:rsidRPr="001717FA">
        <w:rPr>
          <w:rFonts w:ascii="Verdana" w:hAnsi="Verdana" w:cs="Arial"/>
          <w:color w:val="000000" w:themeColor="text1"/>
          <w:sz w:val="22"/>
          <w:szCs w:val="22"/>
        </w:rPr>
        <w:t>ii</w:t>
      </w:r>
      <w:proofErr w:type="spellEnd"/>
      <w:r w:rsidRPr="001717FA">
        <w:rPr>
          <w:rFonts w:ascii="Verdana" w:hAnsi="Verdana" w:cs="Arial"/>
          <w:color w:val="000000" w:themeColor="text1"/>
          <w:sz w:val="22"/>
          <w:szCs w:val="22"/>
        </w:rPr>
        <w:t xml:space="preserve">) cercanía al lugar de provisión o al lugar de abastecimiento de materias primas; </w:t>
      </w:r>
      <w:proofErr w:type="spellStart"/>
      <w:r w:rsidRPr="001717FA">
        <w:rPr>
          <w:rFonts w:ascii="Verdana" w:hAnsi="Verdana" w:cs="Arial"/>
          <w:color w:val="000000" w:themeColor="text1"/>
          <w:sz w:val="22"/>
          <w:szCs w:val="22"/>
        </w:rPr>
        <w:t>iii</w:t>
      </w:r>
      <w:proofErr w:type="spellEnd"/>
      <w:r w:rsidRPr="001717FA">
        <w:rPr>
          <w:rFonts w:ascii="Verdana" w:hAnsi="Verdana" w:cs="Arial"/>
          <w:color w:val="000000" w:themeColor="text1"/>
          <w:sz w:val="22"/>
          <w:szCs w:val="22"/>
        </w:rPr>
        <w:t xml:space="preserve">) mejores condiciones contractuales con los proveedores de insumos; y </w:t>
      </w:r>
      <w:proofErr w:type="spellStart"/>
      <w:r w:rsidRPr="001717FA">
        <w:rPr>
          <w:rFonts w:ascii="Verdana" w:hAnsi="Verdana" w:cs="Arial"/>
          <w:color w:val="000000" w:themeColor="text1"/>
          <w:sz w:val="22"/>
          <w:szCs w:val="22"/>
        </w:rPr>
        <w:t>iv</w:t>
      </w:r>
      <w:proofErr w:type="spellEnd"/>
      <w:r w:rsidRPr="001717FA">
        <w:rPr>
          <w:rFonts w:ascii="Verdana" w:hAnsi="Verdana" w:cs="Arial"/>
          <w:color w:val="000000" w:themeColor="text1"/>
          <w:sz w:val="22"/>
          <w:szCs w:val="22"/>
        </w:rPr>
        <w:t>) mayor diversificación de productos o servicios relacionados.</w:t>
      </w:r>
      <w:r w:rsidRPr="001717FA">
        <w:rPr>
          <w:rFonts w:ascii="Verdana" w:hAnsi="Verdana" w:cs="Arial"/>
          <w:color w:val="000000" w:themeColor="text1"/>
          <w:sz w:val="22"/>
          <w:szCs w:val="22"/>
          <w:lang w:val="es-ES"/>
        </w:rPr>
        <w:t xml:space="preserve"> Lo anterior sin perjuicio de que el contratista indique alguna otra razón distinta por la que la oferta es competitiva, incluyendo aquellas relacionadas con implementación de economías de escala o alcance, esto, en razón a que en la mencionada guía se indica que “la Entidad Estatal debe tenerlo en cuenta en el análisis de las aclaraciones”. </w:t>
      </w:r>
    </w:p>
    <w:p w14:paraId="3309E9E1" w14:textId="77777777" w:rsidR="004A783C" w:rsidRPr="001717FA" w:rsidRDefault="004A783C" w:rsidP="004A783C">
      <w:pPr>
        <w:pStyle w:val="NormalWeb"/>
        <w:spacing w:before="0" w:beforeAutospacing="0" w:after="120" w:afterAutospacing="0" w:line="276" w:lineRule="auto"/>
        <w:ind w:firstLine="709"/>
        <w:jc w:val="both"/>
        <w:rPr>
          <w:rFonts w:ascii="Verdana" w:hAnsi="Verdana" w:cs="Arial"/>
          <w:color w:val="000000" w:themeColor="text1"/>
          <w:sz w:val="22"/>
          <w:szCs w:val="22"/>
          <w:lang w:val="es-ES"/>
        </w:rPr>
      </w:pPr>
      <w:r w:rsidRPr="001717FA">
        <w:rPr>
          <w:rFonts w:ascii="Verdana" w:hAnsi="Verdana" w:cs="Arial"/>
          <w:color w:val="000000" w:themeColor="text1"/>
          <w:sz w:val="22"/>
          <w:szCs w:val="22"/>
          <w:lang w:val="es-ES"/>
        </w:rPr>
        <w:t>En relación con el párrafo precedente y para atender uno de los problemas jurídicos planteados en este concepto, debe precisarse que la guía a la que allí se hace referencia se limita a enunciar las circunstancias que podrían influir en el valor de una oferta, sin desarrollar ni definir de manera expresa el contenido o alcance de los cuatro (4) elementos mencionados, a saber: (i) técnicas diferenciadas de producción del bien o provisión del servicio; (</w:t>
      </w:r>
      <w:proofErr w:type="spellStart"/>
      <w:r w:rsidRPr="001717FA">
        <w:rPr>
          <w:rFonts w:ascii="Verdana" w:hAnsi="Verdana" w:cs="Arial"/>
          <w:color w:val="000000" w:themeColor="text1"/>
          <w:sz w:val="22"/>
          <w:szCs w:val="22"/>
          <w:lang w:val="es-ES"/>
        </w:rPr>
        <w:t>ii</w:t>
      </w:r>
      <w:proofErr w:type="spellEnd"/>
      <w:r w:rsidRPr="001717FA">
        <w:rPr>
          <w:rFonts w:ascii="Verdana" w:hAnsi="Verdana" w:cs="Arial"/>
          <w:color w:val="000000" w:themeColor="text1"/>
          <w:sz w:val="22"/>
          <w:szCs w:val="22"/>
          <w:lang w:val="es-ES"/>
        </w:rPr>
        <w:t>) cercanía al lugar de provisión o al lugar de abastecimiento de materias primas; (</w:t>
      </w:r>
      <w:proofErr w:type="spellStart"/>
      <w:r w:rsidRPr="001717FA">
        <w:rPr>
          <w:rFonts w:ascii="Verdana" w:hAnsi="Verdana" w:cs="Arial"/>
          <w:color w:val="000000" w:themeColor="text1"/>
          <w:sz w:val="22"/>
          <w:szCs w:val="22"/>
          <w:lang w:val="es-ES"/>
        </w:rPr>
        <w:t>iii</w:t>
      </w:r>
      <w:proofErr w:type="spellEnd"/>
      <w:r w:rsidRPr="001717FA">
        <w:rPr>
          <w:rFonts w:ascii="Verdana" w:hAnsi="Verdana" w:cs="Arial"/>
          <w:color w:val="000000" w:themeColor="text1"/>
          <w:sz w:val="22"/>
          <w:szCs w:val="22"/>
          <w:lang w:val="es-ES"/>
        </w:rPr>
        <w:t>) mejores condiciones contractuales con los proveedores de insumos; y (</w:t>
      </w:r>
      <w:proofErr w:type="spellStart"/>
      <w:r w:rsidRPr="001717FA">
        <w:rPr>
          <w:rFonts w:ascii="Verdana" w:hAnsi="Verdana" w:cs="Arial"/>
          <w:color w:val="000000" w:themeColor="text1"/>
          <w:sz w:val="22"/>
          <w:szCs w:val="22"/>
          <w:lang w:val="es-ES"/>
        </w:rPr>
        <w:t>iv</w:t>
      </w:r>
      <w:proofErr w:type="spellEnd"/>
      <w:r w:rsidRPr="001717FA">
        <w:rPr>
          <w:rFonts w:ascii="Verdana" w:hAnsi="Verdana" w:cs="Arial"/>
          <w:color w:val="000000" w:themeColor="text1"/>
          <w:sz w:val="22"/>
          <w:szCs w:val="22"/>
          <w:lang w:val="es-ES"/>
        </w:rPr>
        <w:t xml:space="preserve">) mayor diversificación de productos o servicios relacionados. </w:t>
      </w:r>
    </w:p>
    <w:p w14:paraId="1E5E36E1" w14:textId="77777777" w:rsidR="004A783C" w:rsidRPr="001717FA" w:rsidRDefault="004A783C" w:rsidP="004A783C">
      <w:pPr>
        <w:pStyle w:val="NormalWeb"/>
        <w:spacing w:before="0" w:beforeAutospacing="0" w:after="120" w:afterAutospacing="0" w:line="276" w:lineRule="auto"/>
        <w:ind w:firstLine="709"/>
        <w:jc w:val="both"/>
        <w:rPr>
          <w:rFonts w:ascii="Verdana" w:hAnsi="Verdana" w:cs="Arial"/>
          <w:color w:val="000000" w:themeColor="text1"/>
          <w:sz w:val="22"/>
          <w:szCs w:val="22"/>
          <w:lang w:val="es-ES"/>
        </w:rPr>
      </w:pPr>
      <w:r w:rsidRPr="001717FA">
        <w:rPr>
          <w:rFonts w:ascii="Verdana" w:hAnsi="Verdana" w:cs="Arial"/>
          <w:color w:val="000000" w:themeColor="text1"/>
          <w:sz w:val="22"/>
          <w:szCs w:val="22"/>
          <w:lang w:val="es-ES"/>
        </w:rPr>
        <w:t>Dado que la mencionada guía tiene un carácter meramente orientador y no vinculante, sus enunciados no pueden entenderse como definiciones cerradas ni como limitaciones normativas al ejercicio interpretativo de la Entidad Estatal o de los proponentes. En ese sentido, los cuatro elementos previamente indicados pueden ser comprendidos con un determinado alcance, de conformidad con los principios que rigen la contratación estatal y con el análisis del caso concreto, sin que ello implique apartarse de la guía ni desconocer su finalidad orientadora, ni tampoco exceder el marco previsto en el artículo 2.2.1.1.2.2.4 del Decreto 1082 de 2015.</w:t>
      </w:r>
    </w:p>
    <w:p w14:paraId="1F6C1CEC" w14:textId="77777777" w:rsidR="004A783C" w:rsidRPr="001717FA" w:rsidRDefault="004A783C" w:rsidP="004A783C">
      <w:pPr>
        <w:spacing w:after="120" w:line="276" w:lineRule="auto"/>
        <w:ind w:firstLine="708"/>
        <w:jc w:val="both"/>
        <w:rPr>
          <w:rFonts w:ascii="Verdana" w:eastAsia="Calibri" w:hAnsi="Verdana" w:cs="Arial"/>
        </w:rPr>
      </w:pPr>
      <w:r w:rsidRPr="001717FA">
        <w:rPr>
          <w:rFonts w:ascii="Verdana" w:hAnsi="Verdana" w:cs="Arial"/>
          <w:color w:val="000000" w:themeColor="text1"/>
        </w:rPr>
        <w:t xml:space="preserve">Sobre el alcance de los cuatro elementos que pueden incidir en el valor de la oferta, </w:t>
      </w:r>
      <w:r w:rsidRPr="001717FA">
        <w:rPr>
          <w:rFonts w:ascii="Verdana" w:eastAsia="Calibri" w:hAnsi="Verdana" w:cs="Arial"/>
        </w:rPr>
        <w:t>es posible acercarse a su definición a través de las pautas hermenéuticas del artículo 28 del Código Civil, pues “</w:t>
      </w:r>
      <w:r w:rsidRPr="001717FA">
        <w:rPr>
          <w:rFonts w:ascii="Verdana" w:eastAsia="Calibri" w:hAnsi="Verdana" w:cs="Arial"/>
          <w:i/>
          <w:iCs/>
        </w:rPr>
        <w:t>Las palabras de la ley se entenderán en su sentido natural y obvio, según el uso general de las mismas palabras</w:t>
      </w:r>
      <w:r w:rsidRPr="001717FA">
        <w:rPr>
          <w:rFonts w:ascii="Verdana" w:eastAsia="Calibri" w:hAnsi="Verdana" w:cs="Arial"/>
        </w:rPr>
        <w:t xml:space="preserve">; pero cuando el legislador las haya definido expresamente para ciertas materias, se les dará en éstas su significado legal” (Énfasis fuera de texto). De esta manera, </w:t>
      </w:r>
      <w:r w:rsidRPr="001717FA">
        <w:rPr>
          <w:rFonts w:ascii="Verdana" w:hAnsi="Verdana" w:cs="Arial"/>
          <w:color w:val="000000" w:themeColor="text1"/>
        </w:rPr>
        <w:t xml:space="preserve">esta Agencia considera que los mismos pueden entenderse </w:t>
      </w:r>
      <w:r w:rsidRPr="001717FA">
        <w:rPr>
          <w:rFonts w:ascii="Verdana" w:eastAsia="Calibri" w:hAnsi="Verdana" w:cs="Arial"/>
        </w:rPr>
        <w:t>con el siguiente alcance, como criterio orientador:</w:t>
      </w:r>
    </w:p>
    <w:p w14:paraId="119E52A5" w14:textId="77777777" w:rsidR="004A783C" w:rsidRPr="001717FA" w:rsidRDefault="004A783C" w:rsidP="004A783C">
      <w:pPr>
        <w:spacing w:after="120" w:line="276" w:lineRule="auto"/>
        <w:ind w:firstLine="708"/>
        <w:jc w:val="both"/>
        <w:rPr>
          <w:rFonts w:ascii="Verdana" w:hAnsi="Verdana" w:cs="Arial"/>
          <w:color w:val="000000" w:themeColor="text1"/>
        </w:rPr>
      </w:pPr>
      <w:r w:rsidRPr="001717FA">
        <w:rPr>
          <w:rFonts w:ascii="Verdana" w:hAnsi="Verdana" w:cs="Arial"/>
          <w:color w:val="000000" w:themeColor="text1"/>
        </w:rPr>
        <w:t xml:space="preserve">i) Técnicas diferenciales de producción del bien o provisión del servicio. Son los métodos o procedimientos específicos empleados para transformar recursos -insumos- en bienes o servicios, cuya elección depende de factores como la eficiencia, los costos, la calidad, la tecnología disponible y la escala de producción. La palabra diferencial indica que existen alternativas de producción o prestación, y que cada una puede generar distintos niveles de costo, eficiencia, calidad y productividad. </w:t>
      </w:r>
    </w:p>
    <w:p w14:paraId="01D52D4E" w14:textId="77777777" w:rsidR="004A783C" w:rsidRPr="001717FA" w:rsidRDefault="004A783C" w:rsidP="004A783C">
      <w:pPr>
        <w:pStyle w:val="NormalWeb"/>
        <w:spacing w:before="0" w:beforeAutospacing="0" w:after="120" w:afterAutospacing="0" w:line="276" w:lineRule="auto"/>
        <w:ind w:firstLine="709"/>
        <w:jc w:val="both"/>
        <w:rPr>
          <w:rFonts w:ascii="Verdana" w:hAnsi="Verdana" w:cs="Arial"/>
          <w:color w:val="000000" w:themeColor="text1"/>
          <w:sz w:val="22"/>
          <w:szCs w:val="22"/>
        </w:rPr>
      </w:pPr>
      <w:proofErr w:type="spellStart"/>
      <w:r w:rsidRPr="001717FA">
        <w:rPr>
          <w:rFonts w:ascii="Verdana" w:hAnsi="Verdana" w:cs="Arial"/>
          <w:color w:val="000000" w:themeColor="text1"/>
          <w:sz w:val="22"/>
          <w:szCs w:val="22"/>
        </w:rPr>
        <w:t>ii</w:t>
      </w:r>
      <w:proofErr w:type="spellEnd"/>
      <w:r w:rsidRPr="001717FA">
        <w:rPr>
          <w:rFonts w:ascii="Verdana" w:hAnsi="Verdana" w:cs="Arial"/>
          <w:color w:val="000000" w:themeColor="text1"/>
          <w:sz w:val="22"/>
          <w:szCs w:val="22"/>
        </w:rPr>
        <w:t xml:space="preserve">) Cercanía al lugar de provisión o al lugar de abastecimiento de materias primas. Consiste en la proximidad geográfica entre el sitio en donde se obtienen los insumos básicos necesarios para la producción de materias primas y el lugar donde se realiza la transformación o provisión del bien o servicios. En administración y logística, esta proximidad se considera un factor estratégico, porque reduce costos de transporte, disminuye tiempos de abastecimiento, aumente la eficiencia operativa y mejorar la continuidad del suministro. </w:t>
      </w:r>
    </w:p>
    <w:p w14:paraId="6A37C700" w14:textId="77777777" w:rsidR="004A783C" w:rsidRPr="001717FA" w:rsidRDefault="004A783C" w:rsidP="004A783C">
      <w:pPr>
        <w:pStyle w:val="NormalWeb"/>
        <w:spacing w:before="0" w:beforeAutospacing="0" w:after="120" w:afterAutospacing="0" w:line="276" w:lineRule="auto"/>
        <w:ind w:firstLine="709"/>
        <w:jc w:val="both"/>
        <w:rPr>
          <w:rFonts w:ascii="Verdana" w:hAnsi="Verdana" w:cs="Arial"/>
          <w:color w:val="000000" w:themeColor="text1"/>
          <w:sz w:val="22"/>
          <w:szCs w:val="22"/>
          <w:lang w:val="es-ES"/>
        </w:rPr>
      </w:pPr>
      <w:proofErr w:type="spellStart"/>
      <w:r w:rsidRPr="001717FA">
        <w:rPr>
          <w:rFonts w:ascii="Verdana" w:hAnsi="Verdana" w:cs="Arial"/>
          <w:color w:val="000000" w:themeColor="text1"/>
          <w:sz w:val="22"/>
          <w:szCs w:val="22"/>
          <w:lang w:val="es-ES"/>
        </w:rPr>
        <w:t>iii</w:t>
      </w:r>
      <w:proofErr w:type="spellEnd"/>
      <w:r w:rsidRPr="001717FA">
        <w:rPr>
          <w:rFonts w:ascii="Verdana" w:hAnsi="Verdana" w:cs="Arial"/>
          <w:color w:val="000000" w:themeColor="text1"/>
          <w:sz w:val="22"/>
          <w:szCs w:val="22"/>
          <w:lang w:val="es-ES"/>
        </w:rPr>
        <w:t xml:space="preserve">) Mejores condiciones contractuales con los proveedores de insumos. Corresponde a aquellos términos, cláusulas o contratos, entre otros, que se negocian entre las empresas y sus proveedores que maximizan el valor para la primera. Esto, asegura costos con precios más competitivos, plazos de entrega favorables, condiciones de pago convenientes, niveles de calidad acordados, entre otros. Estas condiciones surgen de un proceso de abastecimiento y negociación, y permite reducir costos, mitigar riesgos y mejorar la eficiencia y estabilidad de la cadena de suministros. </w:t>
      </w:r>
    </w:p>
    <w:p w14:paraId="78DA37A5" w14:textId="77777777" w:rsidR="004A783C" w:rsidRPr="001717FA" w:rsidRDefault="004A783C" w:rsidP="004A783C">
      <w:pPr>
        <w:pStyle w:val="NormalWeb"/>
        <w:spacing w:before="0" w:beforeAutospacing="0" w:after="120" w:afterAutospacing="0" w:line="276" w:lineRule="auto"/>
        <w:ind w:firstLine="709"/>
        <w:jc w:val="both"/>
        <w:rPr>
          <w:rFonts w:ascii="Verdana" w:hAnsi="Verdana" w:cs="Arial"/>
          <w:color w:val="000000" w:themeColor="text1"/>
          <w:sz w:val="22"/>
          <w:szCs w:val="22"/>
          <w:lang w:val="es-ES"/>
        </w:rPr>
      </w:pPr>
      <w:proofErr w:type="spellStart"/>
      <w:r w:rsidRPr="001717FA">
        <w:rPr>
          <w:rFonts w:ascii="Verdana" w:hAnsi="Verdana" w:cs="Arial"/>
          <w:color w:val="000000" w:themeColor="text1"/>
          <w:sz w:val="22"/>
          <w:szCs w:val="22"/>
          <w:lang w:val="es-ES"/>
        </w:rPr>
        <w:t>iv</w:t>
      </w:r>
      <w:proofErr w:type="spellEnd"/>
      <w:r w:rsidRPr="001717FA">
        <w:rPr>
          <w:rFonts w:ascii="Verdana" w:hAnsi="Verdana" w:cs="Arial"/>
          <w:color w:val="000000" w:themeColor="text1"/>
          <w:sz w:val="22"/>
          <w:szCs w:val="22"/>
          <w:lang w:val="es-ES"/>
        </w:rPr>
        <w:t xml:space="preserve">) Mayor diversificación de productos o servicios relacionados. Consiste en una estrategia empresarial para ampliar la gama de productos o servicios ofrecidos por la empresa, manteniendo una conexión o complementariedad con la línea principal del negocio. El objetivo de esta es reducir riesgos, aprovechar sinergias de recursos, tecnologías, o canales de distribución, y aumentar la competitividad en el mercado. </w:t>
      </w:r>
    </w:p>
    <w:p w14:paraId="6695B451" w14:textId="71862903" w:rsidR="004A783C" w:rsidRPr="001717FA" w:rsidRDefault="004A783C" w:rsidP="004A783C">
      <w:pPr>
        <w:pStyle w:val="NormalWeb"/>
        <w:spacing w:before="0" w:beforeAutospacing="0" w:after="120" w:afterAutospacing="0" w:line="276" w:lineRule="auto"/>
        <w:ind w:firstLine="709"/>
        <w:jc w:val="both"/>
        <w:rPr>
          <w:rFonts w:ascii="Verdana" w:hAnsi="Verdana" w:cs="Arial"/>
          <w:color w:val="000000" w:themeColor="text1"/>
          <w:sz w:val="22"/>
          <w:szCs w:val="22"/>
        </w:rPr>
      </w:pPr>
      <w:r w:rsidRPr="001717FA">
        <w:rPr>
          <w:rFonts w:ascii="Verdana" w:hAnsi="Verdana" w:cs="Arial"/>
          <w:color w:val="000000" w:themeColor="text1"/>
          <w:sz w:val="22"/>
          <w:szCs w:val="22"/>
        </w:rPr>
        <w:t xml:space="preserve">Conforme con el alcance de los cuatro elementos señalados, estos influyen significativamente en el valor de la oferta porque afectan tanto la eficiencia operativa como la capacidad de competencia de la empresa. De esta forma, las técnicas diferenciales de </w:t>
      </w:r>
      <w:r w:rsidR="00A0535A" w:rsidRPr="001717FA">
        <w:rPr>
          <w:rFonts w:ascii="Verdana" w:hAnsi="Verdana" w:cs="Arial"/>
          <w:color w:val="000000" w:themeColor="text1"/>
          <w:sz w:val="22"/>
          <w:szCs w:val="22"/>
        </w:rPr>
        <w:t>producción</w:t>
      </w:r>
      <w:r w:rsidRPr="001717FA">
        <w:rPr>
          <w:rFonts w:ascii="Verdana" w:hAnsi="Verdana" w:cs="Arial"/>
          <w:color w:val="000000" w:themeColor="text1"/>
          <w:sz w:val="22"/>
          <w:szCs w:val="22"/>
        </w:rPr>
        <w:t xml:space="preserve"> determinan el nivel de costos, calidad y productividad, impactando de forma directa en la relación costo-beneficio del bien o servicio ofrecido. Por su parte, la cercanía al lugar de provisión o abastecimiento reduce gastos logísticos y tiempos de suministro, mejorando la continuidad operativa y la rapidez de respuesta del mercado. Por su parte, las mejores condiciones contractuales con proveedores permiten asegurar insumos a precios competitivos y con garantías de calidad y entrega, disminuyendo riesgos y optimizando el flujo financiero. Finalmente, la mayor diversificación de productos o servicios relacionados amplía la oferta comercial, reduciendo la dependencia de un solo mercado y generando sinergias que potencian la innovación y eficacia, aumentando de esta forma, el atractivo del valor percibido de la oferta. En resumen, estos cuatro factores, contribuyen a maximizar la propuesta de valor, equilibrando costos, calidad, riesgo y competitividad. </w:t>
      </w:r>
    </w:p>
    <w:p w14:paraId="18337F8A" w14:textId="77777777" w:rsidR="004A783C" w:rsidRPr="001717FA" w:rsidRDefault="004A783C" w:rsidP="004A783C">
      <w:pPr>
        <w:pStyle w:val="NormalWeb"/>
        <w:spacing w:before="0" w:beforeAutospacing="0" w:after="120" w:afterAutospacing="0" w:line="276" w:lineRule="auto"/>
        <w:ind w:firstLine="709"/>
        <w:jc w:val="both"/>
        <w:rPr>
          <w:rFonts w:ascii="Verdana" w:hAnsi="Verdana" w:cs="Arial"/>
          <w:color w:val="000000" w:themeColor="text1"/>
          <w:sz w:val="22"/>
          <w:szCs w:val="22"/>
          <w:lang w:val="es-ES"/>
        </w:rPr>
      </w:pPr>
      <w:r w:rsidRPr="001717FA">
        <w:rPr>
          <w:rFonts w:ascii="Verdana" w:hAnsi="Verdana" w:cs="Arial"/>
          <w:color w:val="000000" w:themeColor="text1"/>
          <w:sz w:val="22"/>
          <w:szCs w:val="22"/>
          <w:lang w:val="es-ES"/>
        </w:rPr>
        <w:t xml:space="preserve">En contraste, la misma guía sí incorpora una definición o referencia conceptual más precisa respecto de las economías de escala y de alcance, las cuales son expresamente reconocidas como factores que la Entidad Estatal debe considerar al momento de analizar las aclaraciones presentadas por los proponentes. Sobre la primera, esto es, economías de escala la guía indica que se entiende por estas, </w:t>
      </w:r>
      <w:r w:rsidRPr="001717FA">
        <w:rPr>
          <w:rFonts w:ascii="Verdana" w:hAnsi="Verdana" w:cs="Arial"/>
          <w:i/>
          <w:iCs/>
          <w:color w:val="000000" w:themeColor="text1"/>
          <w:sz w:val="22"/>
          <w:szCs w:val="22"/>
          <w:lang w:val="es-ES"/>
        </w:rPr>
        <w:t>“la capacidad que posee una empresa en producir mayor cantidad de productos a un menor coste de producción debido a que a medida que la producción en una empresa crece, sus costos se reducen”</w:t>
      </w:r>
      <w:r w:rsidRPr="001717FA">
        <w:rPr>
          <w:rStyle w:val="FootnoteReference"/>
          <w:rFonts w:ascii="Verdana" w:hAnsi="Verdana" w:cs="Arial"/>
          <w:color w:val="000000" w:themeColor="text1"/>
          <w:sz w:val="22"/>
          <w:szCs w:val="22"/>
          <w:lang w:val="es-ES"/>
        </w:rPr>
        <w:footnoteReference w:id="9"/>
      </w:r>
      <w:r w:rsidRPr="001717FA">
        <w:rPr>
          <w:rFonts w:ascii="Verdana" w:hAnsi="Verdana" w:cs="Arial"/>
          <w:color w:val="000000" w:themeColor="text1"/>
          <w:sz w:val="22"/>
          <w:szCs w:val="22"/>
          <w:lang w:val="es-ES"/>
        </w:rPr>
        <w:t xml:space="preserve">. Sobre la segunda, el documento establece que </w:t>
      </w:r>
      <w:r w:rsidRPr="001717FA">
        <w:rPr>
          <w:rFonts w:ascii="Verdana" w:hAnsi="Verdana" w:cs="Arial"/>
          <w:i/>
          <w:iCs/>
          <w:color w:val="000000" w:themeColor="text1"/>
          <w:sz w:val="22"/>
          <w:szCs w:val="22"/>
          <w:lang w:val="es-ES"/>
        </w:rPr>
        <w:t>“(u)</w:t>
      </w:r>
      <w:proofErr w:type="spellStart"/>
      <w:r w:rsidRPr="001717FA">
        <w:rPr>
          <w:rFonts w:ascii="Verdana" w:hAnsi="Verdana" w:cs="Arial"/>
          <w:i/>
          <w:iCs/>
          <w:color w:val="000000" w:themeColor="text1"/>
          <w:sz w:val="22"/>
          <w:szCs w:val="22"/>
          <w:lang w:val="es-ES"/>
        </w:rPr>
        <w:t>na</w:t>
      </w:r>
      <w:proofErr w:type="spellEnd"/>
      <w:r w:rsidRPr="001717FA">
        <w:rPr>
          <w:rFonts w:ascii="Verdana" w:hAnsi="Verdana" w:cs="Arial"/>
          <w:i/>
          <w:iCs/>
          <w:color w:val="000000" w:themeColor="text1"/>
          <w:sz w:val="22"/>
          <w:szCs w:val="22"/>
          <w:lang w:val="es-ES"/>
        </w:rPr>
        <w:t xml:space="preserve"> empresa alcanza economías de alcance cuando la diversificación de bienes o servicios en su portafolio reduce los costos asociados a los producción o generación de los bienes o servicios”.</w:t>
      </w:r>
    </w:p>
    <w:p w14:paraId="0AB08B22" w14:textId="77777777" w:rsidR="004A783C" w:rsidRPr="001717FA" w:rsidRDefault="004A783C" w:rsidP="004A783C">
      <w:pPr>
        <w:pStyle w:val="NormalWeb"/>
        <w:spacing w:before="0" w:beforeAutospacing="0" w:after="120" w:afterAutospacing="0" w:line="276" w:lineRule="auto"/>
        <w:ind w:firstLine="709"/>
        <w:jc w:val="both"/>
        <w:rPr>
          <w:rFonts w:ascii="Verdana" w:hAnsi="Verdana" w:cs="Arial"/>
          <w:color w:val="000000" w:themeColor="text1"/>
          <w:sz w:val="22"/>
          <w:szCs w:val="22"/>
          <w:lang w:val="es-ES"/>
        </w:rPr>
      </w:pPr>
      <w:r w:rsidRPr="001717FA">
        <w:rPr>
          <w:rFonts w:ascii="Verdana" w:hAnsi="Verdana" w:cs="Arial"/>
          <w:color w:val="000000" w:themeColor="text1"/>
          <w:sz w:val="22"/>
          <w:szCs w:val="22"/>
          <w:lang w:val="es-ES"/>
        </w:rPr>
        <w:t>En consecuencia, tanto las economías de escala como las economías de alcance pueden influir en la presentación de ofertas más económicas, al permitir a las empresas reducir sus costos de producción o de prestación de servicios. El aumento de la producción y la diversificación del portafolio de bienes o servicios favorecen un uso más eficiente de los recursos, la distribución de los costos fijos entre un mayor número de unidades y el aprovechamiento de sinergias operativas, lo que se traduce en una disminución de los costos totales. Estas eficiencias pueden reflejarse en el precio ofertado, posibilitando la presentación de propuestas más competitivas sin afectar la calidad o la viabilidad de la oferta.</w:t>
      </w:r>
    </w:p>
    <w:p w14:paraId="31D63B18" w14:textId="77777777" w:rsidR="004A783C" w:rsidRPr="001717FA" w:rsidRDefault="004A783C" w:rsidP="004A783C">
      <w:pPr>
        <w:pStyle w:val="NormalWeb"/>
        <w:spacing w:before="0" w:beforeAutospacing="0" w:after="120" w:afterAutospacing="0" w:line="276" w:lineRule="auto"/>
        <w:ind w:firstLine="709"/>
        <w:jc w:val="both"/>
        <w:rPr>
          <w:rFonts w:ascii="Verdana" w:hAnsi="Verdana" w:cs="Arial"/>
          <w:color w:val="000000" w:themeColor="text1"/>
          <w:sz w:val="22"/>
          <w:szCs w:val="22"/>
          <w:lang w:val="es-ES"/>
        </w:rPr>
      </w:pPr>
      <w:r w:rsidRPr="001717FA">
        <w:rPr>
          <w:rFonts w:ascii="Verdana" w:hAnsi="Verdana" w:cs="Arial"/>
          <w:color w:val="000000" w:themeColor="text1"/>
          <w:sz w:val="22"/>
          <w:szCs w:val="22"/>
        </w:rPr>
        <w:t>Ahora bien, si alguna oferta resulta estar muy por debajo de las demás en el análisis de subtotales, quiere decir que el proponente subestimó todos los costos asociados, o estableció un margen de utilidad excepcionalmente reducido. En este caso, la Entidad Estatal puede solicitar nuevamente aclaraciones, haciendo énfasis en el margen de utilidad estimado por el proponente.</w:t>
      </w:r>
    </w:p>
    <w:p w14:paraId="02A5D3DA" w14:textId="77777777" w:rsidR="004A783C" w:rsidRPr="001717FA" w:rsidRDefault="004A783C" w:rsidP="004A783C">
      <w:pPr>
        <w:pStyle w:val="NormalWeb"/>
        <w:spacing w:before="0" w:beforeAutospacing="0" w:after="120" w:afterAutospacing="0" w:line="276" w:lineRule="auto"/>
        <w:ind w:firstLine="709"/>
        <w:jc w:val="both"/>
        <w:rPr>
          <w:rFonts w:ascii="Verdana" w:hAnsi="Verdana" w:cs="Arial"/>
          <w:color w:val="000000" w:themeColor="text1"/>
          <w:sz w:val="22"/>
          <w:szCs w:val="22"/>
          <w:lang w:val="es-ES"/>
        </w:rPr>
      </w:pPr>
      <w:r w:rsidRPr="001717FA">
        <w:rPr>
          <w:rFonts w:ascii="Verdana" w:hAnsi="Verdana" w:cs="Arial"/>
          <w:color w:val="000000" w:themeColor="text1"/>
          <w:sz w:val="22"/>
          <w:szCs w:val="22"/>
          <w:lang w:val="es-ES"/>
        </w:rPr>
        <w:t xml:space="preserve">Con todo, si las razones indicadas por el proponente en respuesta a la solicitud de aclaración no cumplen con la referida carga de claridad y objetividad, la entidad estatal deberá rechazar la oferta. En ese sentido, es importante tener en cuenta que </w:t>
      </w:r>
      <w:r w:rsidRPr="001717FA">
        <w:rPr>
          <w:rFonts w:ascii="Verdana" w:hAnsi="Verdana" w:cs="Arial"/>
          <w:color w:val="000000" w:themeColor="text1"/>
          <w:sz w:val="22"/>
          <w:szCs w:val="22"/>
        </w:rPr>
        <w:t>la respuesta a la solicitud de aclaración no es una oportunidad para que los proponentes modifiquen parcial ni totalmente sus ofertas, ni para que estos transgredan la conmutatividad del contrato estatal ofreciendo una contraprestación excesivamente reducida</w:t>
      </w:r>
      <w:r w:rsidRPr="001717FA">
        <w:rPr>
          <w:rStyle w:val="FootnoteReference"/>
          <w:rFonts w:ascii="Verdana" w:hAnsi="Verdana" w:cs="Arial"/>
          <w:color w:val="000000" w:themeColor="text1"/>
          <w:sz w:val="22"/>
          <w:szCs w:val="22"/>
        </w:rPr>
        <w:footnoteReference w:id="10"/>
      </w:r>
      <w:r w:rsidRPr="001717FA">
        <w:rPr>
          <w:rFonts w:ascii="Verdana" w:hAnsi="Verdana" w:cs="Arial"/>
          <w:color w:val="000000" w:themeColor="text1"/>
          <w:sz w:val="22"/>
          <w:szCs w:val="22"/>
        </w:rPr>
        <w:t xml:space="preserve"> alejada de la realidad del mercado expresada en el análisis del sector, considerando que ello no solo podría afectar la ejecución del contrato, sino que podría dar cuenta de prácticas restrictivas a la competencia. </w:t>
      </w:r>
    </w:p>
    <w:p w14:paraId="3450E01F" w14:textId="77777777" w:rsidR="006A3161" w:rsidRPr="001717FA" w:rsidRDefault="004A783C" w:rsidP="006A3161">
      <w:pPr>
        <w:pStyle w:val="NormalWeb"/>
        <w:spacing w:before="0" w:beforeAutospacing="0" w:after="120" w:afterAutospacing="0" w:line="276" w:lineRule="auto"/>
        <w:ind w:firstLine="709"/>
        <w:jc w:val="both"/>
        <w:rPr>
          <w:rFonts w:ascii="Verdana" w:hAnsi="Verdana" w:cs="Arial"/>
          <w:color w:val="000000" w:themeColor="text1"/>
          <w:sz w:val="22"/>
          <w:szCs w:val="22"/>
          <w:lang w:val="es-ES"/>
        </w:rPr>
      </w:pPr>
      <w:r w:rsidRPr="001717FA">
        <w:rPr>
          <w:rFonts w:ascii="Verdana" w:hAnsi="Verdana" w:cs="Arial"/>
          <w:color w:val="000000"/>
          <w:sz w:val="22"/>
          <w:szCs w:val="22"/>
          <w:shd w:val="clear" w:color="auto" w:fill="FFFFFF"/>
        </w:rPr>
        <w:t>Todo lo anterior, teniendo en cuenta que la referida Guía contiene criterios orientadores para las entidades públicas, los cuales, en consecuencia, no son vinculantes ni de obligatorio acatamiento. En otras palabras, las entidades están facultadas para aplicar los criterios contenidos en la Guía o acudir, si bien lo tienen, a otro tipo de criterios que consideren más apropiados para cada proceso de contratación</w:t>
      </w:r>
      <w:r w:rsidRPr="001717FA">
        <w:rPr>
          <w:rFonts w:ascii="Verdana" w:hAnsi="Verdana" w:cs="Arial"/>
          <w:color w:val="000000" w:themeColor="text1"/>
          <w:sz w:val="22"/>
          <w:szCs w:val="22"/>
          <w:lang w:val="es-ES"/>
        </w:rPr>
        <w:t>.</w:t>
      </w:r>
    </w:p>
    <w:p w14:paraId="4435DFF1" w14:textId="7031748B" w:rsidR="00601BDA" w:rsidRPr="001717FA" w:rsidRDefault="00601BDA" w:rsidP="006A3161">
      <w:pPr>
        <w:pStyle w:val="NormalWeb"/>
        <w:spacing w:before="0" w:beforeAutospacing="0" w:after="120" w:afterAutospacing="0" w:line="276" w:lineRule="auto"/>
        <w:ind w:firstLine="709"/>
        <w:jc w:val="both"/>
        <w:rPr>
          <w:rFonts w:ascii="Verdana" w:hAnsi="Verdana" w:cs="Arial"/>
          <w:color w:val="000000" w:themeColor="text1"/>
          <w:sz w:val="22"/>
          <w:szCs w:val="22"/>
          <w:lang w:val="es-ES"/>
        </w:rPr>
      </w:pPr>
      <w:r w:rsidRPr="001717FA">
        <w:rPr>
          <w:rFonts w:ascii="Verdana" w:eastAsia="Calibri" w:hAnsi="Verdana" w:cs="Arial"/>
          <w:bCs/>
          <w:color w:val="000000" w:themeColor="text1"/>
          <w:sz w:val="22"/>
          <w:szCs w:val="22"/>
        </w:rPr>
        <w:t>Al margen de la explicación precedente, debe advertirse que el análisis requerido para resolver problemas específicos en torno a la gestión contractual de las entidades públicas debe ser realizado por quienes tengan interés en ello, de acuerdo con lo explicado en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61DCED5A" w14:textId="77777777" w:rsidR="00601BDA" w:rsidRPr="001717FA" w:rsidRDefault="00601BDA" w:rsidP="00601BDA">
      <w:pPr>
        <w:spacing w:after="0" w:line="276" w:lineRule="auto"/>
        <w:ind w:firstLine="708"/>
        <w:jc w:val="both"/>
        <w:rPr>
          <w:rFonts w:ascii="Verdana" w:eastAsia="Calibri" w:hAnsi="Verdana" w:cs="Arial"/>
          <w:bCs/>
          <w:color w:val="000000" w:themeColor="text1"/>
        </w:rPr>
      </w:pPr>
      <w:r w:rsidRPr="001717FA">
        <w:rPr>
          <w:rFonts w:ascii="Verdana" w:eastAsia="Calibri"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060DF915" w14:textId="177476D4" w:rsidR="00DB7553" w:rsidRPr="001717FA" w:rsidRDefault="00DB7553" w:rsidP="00DB7553">
      <w:pPr>
        <w:pBdr>
          <w:top w:val="nil"/>
          <w:left w:val="nil"/>
          <w:bottom w:val="nil"/>
          <w:right w:val="nil"/>
          <w:between w:val="nil"/>
        </w:pBdr>
        <w:spacing w:after="0" w:line="276" w:lineRule="auto"/>
        <w:jc w:val="both"/>
        <w:rPr>
          <w:rFonts w:ascii="Verdana" w:eastAsia="Calibri" w:hAnsi="Verdana" w:cs="Arial"/>
          <w:bCs/>
          <w:color w:val="000000" w:themeColor="text1"/>
          <w:lang w:val="es-ES_tradnl"/>
        </w:rPr>
      </w:pPr>
    </w:p>
    <w:p w14:paraId="61195E4A" w14:textId="77777777" w:rsidR="00DB7553" w:rsidRPr="001717FA" w:rsidRDefault="00DB7553" w:rsidP="00DB7553">
      <w:pPr>
        <w:pStyle w:val="ListParagraph"/>
        <w:numPr>
          <w:ilvl w:val="0"/>
          <w:numId w:val="18"/>
        </w:numPr>
        <w:tabs>
          <w:tab w:val="left" w:pos="142"/>
          <w:tab w:val="left" w:pos="284"/>
        </w:tabs>
        <w:spacing w:after="0" w:line="276" w:lineRule="auto"/>
        <w:ind w:left="360"/>
        <w:contextualSpacing w:val="0"/>
        <w:jc w:val="both"/>
        <w:rPr>
          <w:rFonts w:ascii="Verdana" w:eastAsia="Century Gothic" w:hAnsi="Verdana" w:cs="Century Gothic"/>
          <w:b/>
          <w:bCs/>
        </w:rPr>
      </w:pPr>
      <w:r w:rsidRPr="001717FA">
        <w:rPr>
          <w:rFonts w:ascii="Verdana" w:eastAsia="Century Gothic" w:hAnsi="Verdana" w:cs="Century Gothic"/>
          <w:b/>
          <w:bCs/>
        </w:rPr>
        <w:t>Referencias normativas, jurisprudenciales y otras fuentes:</w:t>
      </w:r>
    </w:p>
    <w:p w14:paraId="2543178C" w14:textId="77777777" w:rsidR="00DB7553" w:rsidRPr="001717FA" w:rsidRDefault="00DB7553" w:rsidP="00DB7553">
      <w:pPr>
        <w:widowControl w:val="0"/>
        <w:autoSpaceDE w:val="0"/>
        <w:autoSpaceDN w:val="0"/>
        <w:spacing w:after="0" w:line="276" w:lineRule="auto"/>
        <w:jc w:val="both"/>
        <w:rPr>
          <w:rFonts w:ascii="Verdana" w:hAnsi="Verdana" w:cs="Arial"/>
        </w:rPr>
      </w:pPr>
    </w:p>
    <w:tbl>
      <w:tblPr>
        <w:tblStyle w:val="TableGrid"/>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DB7553" w:rsidRPr="001717FA" w14:paraId="3DE95125" w14:textId="77777777" w:rsidTr="00A70637">
        <w:trPr>
          <w:trHeight w:val="311"/>
        </w:trPr>
        <w:tc>
          <w:tcPr>
            <w:tcW w:w="8647" w:type="dxa"/>
          </w:tcPr>
          <w:p w14:paraId="31BF7451" w14:textId="56FE5881" w:rsidR="00264178" w:rsidRPr="001717FA" w:rsidRDefault="00264178" w:rsidP="00595B4C">
            <w:pPr>
              <w:widowControl w:val="0"/>
              <w:numPr>
                <w:ilvl w:val="0"/>
                <w:numId w:val="17"/>
              </w:numPr>
              <w:autoSpaceDE w:val="0"/>
              <w:autoSpaceDN w:val="0"/>
              <w:spacing w:after="120" w:line="276" w:lineRule="auto"/>
              <w:jc w:val="both"/>
              <w:rPr>
                <w:rFonts w:ascii="Verdana" w:hAnsi="Verdana" w:cs="Arial"/>
              </w:rPr>
            </w:pPr>
            <w:r w:rsidRPr="001717FA">
              <w:rPr>
                <w:rFonts w:ascii="Verdana" w:hAnsi="Verdana" w:cs="Arial"/>
                <w:color w:val="000000" w:themeColor="text1"/>
              </w:rPr>
              <w:t>Constitución Política. Artículo 189. Numeral 11</w:t>
            </w:r>
          </w:p>
          <w:p w14:paraId="75CE2C0D" w14:textId="3CAA9E4D" w:rsidR="00241690" w:rsidRPr="001717FA" w:rsidRDefault="00241690" w:rsidP="00595B4C">
            <w:pPr>
              <w:widowControl w:val="0"/>
              <w:numPr>
                <w:ilvl w:val="0"/>
                <w:numId w:val="17"/>
              </w:numPr>
              <w:autoSpaceDE w:val="0"/>
              <w:autoSpaceDN w:val="0"/>
              <w:spacing w:after="120" w:line="276" w:lineRule="auto"/>
              <w:jc w:val="both"/>
              <w:rPr>
                <w:rFonts w:ascii="Verdana" w:hAnsi="Verdana" w:cs="Arial"/>
              </w:rPr>
            </w:pPr>
            <w:r w:rsidRPr="001717FA">
              <w:rPr>
                <w:rFonts w:ascii="Verdana" w:hAnsi="Verdana" w:cs="Arial"/>
                <w:color w:val="000000" w:themeColor="text1"/>
              </w:rPr>
              <w:t>Ley 80 de 1993. Artículo 26.6</w:t>
            </w:r>
          </w:p>
          <w:p w14:paraId="7E981B26" w14:textId="2156D9EE" w:rsidR="004036B0" w:rsidRPr="001717FA" w:rsidRDefault="004036B0" w:rsidP="00595B4C">
            <w:pPr>
              <w:widowControl w:val="0"/>
              <w:numPr>
                <w:ilvl w:val="0"/>
                <w:numId w:val="17"/>
              </w:numPr>
              <w:autoSpaceDE w:val="0"/>
              <w:autoSpaceDN w:val="0"/>
              <w:spacing w:after="120" w:line="276" w:lineRule="auto"/>
              <w:jc w:val="both"/>
              <w:rPr>
                <w:rFonts w:ascii="Verdana" w:hAnsi="Verdana" w:cs="Arial"/>
              </w:rPr>
            </w:pPr>
            <w:r w:rsidRPr="001717FA">
              <w:rPr>
                <w:rFonts w:ascii="Verdana" w:hAnsi="Verdana" w:cs="Arial"/>
                <w:color w:val="000000" w:themeColor="text1"/>
              </w:rPr>
              <w:t>Código Civil. Artículo 28</w:t>
            </w:r>
          </w:p>
          <w:p w14:paraId="50ED9F2B" w14:textId="77777777" w:rsidR="00264178" w:rsidRPr="001717FA" w:rsidRDefault="00264178" w:rsidP="00264178">
            <w:pPr>
              <w:widowControl w:val="0"/>
              <w:numPr>
                <w:ilvl w:val="0"/>
                <w:numId w:val="17"/>
              </w:numPr>
              <w:autoSpaceDE w:val="0"/>
              <w:autoSpaceDN w:val="0"/>
              <w:spacing w:after="120" w:line="276" w:lineRule="auto"/>
              <w:jc w:val="both"/>
              <w:rPr>
                <w:rFonts w:ascii="Verdana" w:hAnsi="Verdana" w:cs="Arial"/>
              </w:rPr>
            </w:pPr>
            <w:r w:rsidRPr="001717FA">
              <w:rPr>
                <w:rFonts w:ascii="Verdana" w:eastAsia="Times New Roman" w:hAnsi="Verdana" w:cs="Arial"/>
                <w:iCs/>
                <w:lang w:val="es-ES_tradnl" w:eastAsia="es-ES_tradnl"/>
              </w:rPr>
              <w:t>Decreto Ley 4170 de 2011. Artículo 3. Numeral 10</w:t>
            </w:r>
          </w:p>
          <w:p w14:paraId="575E1F8F" w14:textId="5621AA50" w:rsidR="00264178" w:rsidRPr="001717FA" w:rsidRDefault="00264178" w:rsidP="00264178">
            <w:pPr>
              <w:widowControl w:val="0"/>
              <w:numPr>
                <w:ilvl w:val="0"/>
                <w:numId w:val="17"/>
              </w:numPr>
              <w:autoSpaceDE w:val="0"/>
              <w:autoSpaceDN w:val="0"/>
              <w:spacing w:after="120" w:line="276" w:lineRule="auto"/>
              <w:jc w:val="both"/>
              <w:rPr>
                <w:rFonts w:ascii="Verdana" w:hAnsi="Verdana" w:cs="Arial"/>
              </w:rPr>
            </w:pPr>
            <w:r w:rsidRPr="001717FA">
              <w:rPr>
                <w:rFonts w:ascii="Verdana" w:eastAsia="Times New Roman" w:hAnsi="Verdana" w:cs="Arial"/>
                <w:iCs/>
                <w:lang w:val="es-ES_tradnl" w:eastAsia="es-ES_tradnl"/>
              </w:rPr>
              <w:t xml:space="preserve">Decreto 1082 del 2015. Artículos 2.2.1.2.5.2 y </w:t>
            </w:r>
            <w:r w:rsidRPr="001717FA">
              <w:rPr>
                <w:rFonts w:ascii="Verdana" w:hAnsi="Verdana" w:cs="Arial"/>
                <w:color w:val="000000" w:themeColor="text1"/>
              </w:rPr>
              <w:t>2.2.1.1.2.2.4</w:t>
            </w:r>
          </w:p>
          <w:p w14:paraId="2EC4D958" w14:textId="377669F9" w:rsidR="00834D33" w:rsidRPr="001717FA" w:rsidRDefault="00834D33" w:rsidP="00264178">
            <w:pPr>
              <w:widowControl w:val="0"/>
              <w:numPr>
                <w:ilvl w:val="0"/>
                <w:numId w:val="17"/>
              </w:numPr>
              <w:autoSpaceDE w:val="0"/>
              <w:autoSpaceDN w:val="0"/>
              <w:spacing w:after="120" w:line="276" w:lineRule="auto"/>
              <w:jc w:val="both"/>
              <w:rPr>
                <w:rFonts w:ascii="Verdana" w:hAnsi="Verdana" w:cs="Arial"/>
              </w:rPr>
            </w:pPr>
            <w:r w:rsidRPr="001717FA">
              <w:rPr>
                <w:rFonts w:ascii="Verdana" w:hAnsi="Verdana" w:cs="Arial"/>
                <w:color w:val="000000" w:themeColor="text1"/>
              </w:rPr>
              <w:t>Decreto 1600 de 2024</w:t>
            </w:r>
          </w:p>
          <w:p w14:paraId="2F8C18D4" w14:textId="5CB9E5C3" w:rsidR="00DB7553" w:rsidRPr="001717FA" w:rsidRDefault="0006112E" w:rsidP="00595B4C">
            <w:pPr>
              <w:widowControl w:val="0"/>
              <w:numPr>
                <w:ilvl w:val="0"/>
                <w:numId w:val="17"/>
              </w:numPr>
              <w:autoSpaceDE w:val="0"/>
              <w:autoSpaceDN w:val="0"/>
              <w:spacing w:after="120" w:line="276" w:lineRule="auto"/>
              <w:jc w:val="both"/>
              <w:rPr>
                <w:rFonts w:ascii="Verdana" w:hAnsi="Verdana" w:cs="Arial"/>
              </w:rPr>
            </w:pPr>
            <w:r w:rsidRPr="001717FA">
              <w:rPr>
                <w:rFonts w:ascii="Verdana" w:hAnsi="Verdana" w:cs="Arial"/>
              </w:rPr>
              <w:t xml:space="preserve">Consejo de Estado. Sección Tercera. Sentencia del 4 de junio de 2008. </w:t>
            </w:r>
            <w:proofErr w:type="spellStart"/>
            <w:r w:rsidRPr="001717FA">
              <w:rPr>
                <w:rFonts w:ascii="Verdana" w:hAnsi="Verdana" w:cs="Arial"/>
              </w:rPr>
              <w:t>Exp</w:t>
            </w:r>
            <w:proofErr w:type="spellEnd"/>
            <w:r w:rsidRPr="001717FA">
              <w:rPr>
                <w:rFonts w:ascii="Verdana" w:hAnsi="Verdana" w:cs="Arial"/>
              </w:rPr>
              <w:t>. No. 17.783. C.P. Myriam Guerrero de Escobar.</w:t>
            </w:r>
          </w:p>
          <w:p w14:paraId="66D6C361" w14:textId="266F5B01" w:rsidR="00991AC6" w:rsidRPr="001717FA" w:rsidRDefault="00991AC6" w:rsidP="00595B4C">
            <w:pPr>
              <w:widowControl w:val="0"/>
              <w:numPr>
                <w:ilvl w:val="0"/>
                <w:numId w:val="17"/>
              </w:numPr>
              <w:autoSpaceDE w:val="0"/>
              <w:autoSpaceDN w:val="0"/>
              <w:spacing w:after="120" w:line="276" w:lineRule="auto"/>
              <w:jc w:val="both"/>
              <w:rPr>
                <w:rFonts w:ascii="Verdana" w:hAnsi="Verdana" w:cs="Arial"/>
              </w:rPr>
            </w:pPr>
            <w:r w:rsidRPr="001717FA">
              <w:rPr>
                <w:rFonts w:ascii="Verdana" w:hAnsi="Verdana" w:cs="Arial"/>
              </w:rPr>
              <w:t>Consejo de Estado</w:t>
            </w:r>
            <w:r w:rsidR="00B75769">
              <w:rPr>
                <w:rFonts w:ascii="Verdana" w:hAnsi="Verdana" w:cs="Arial"/>
              </w:rPr>
              <w:t xml:space="preserve">. </w:t>
            </w:r>
            <w:r w:rsidRPr="001717FA">
              <w:rPr>
                <w:rFonts w:ascii="Verdana" w:hAnsi="Verdana" w:cs="Arial"/>
              </w:rPr>
              <w:t>Sección Quinta, sentencia del 22 de octubre de 2009. C.P. Filemón Jiménez</w:t>
            </w:r>
          </w:p>
          <w:p w14:paraId="5D7FC124" w14:textId="77777777" w:rsidR="002C249C" w:rsidRPr="001717FA" w:rsidRDefault="002C249C" w:rsidP="00595B4C">
            <w:pPr>
              <w:widowControl w:val="0"/>
              <w:numPr>
                <w:ilvl w:val="0"/>
                <w:numId w:val="17"/>
              </w:numPr>
              <w:autoSpaceDE w:val="0"/>
              <w:autoSpaceDN w:val="0"/>
              <w:spacing w:after="120" w:line="276" w:lineRule="auto"/>
              <w:jc w:val="both"/>
              <w:rPr>
                <w:rFonts w:ascii="Verdana" w:hAnsi="Verdana" w:cs="Arial"/>
              </w:rPr>
            </w:pPr>
            <w:r w:rsidRPr="001717FA">
              <w:rPr>
                <w:rFonts w:ascii="Verdana" w:hAnsi="Verdana" w:cs="Arial"/>
              </w:rPr>
              <w:t xml:space="preserve">Consejo de Estado. Sección Segunda. Sentencia del 10 de junio de 1992. </w:t>
            </w:r>
            <w:proofErr w:type="spellStart"/>
            <w:r w:rsidRPr="001717FA">
              <w:rPr>
                <w:rFonts w:ascii="Verdana" w:hAnsi="Verdana" w:cs="Arial"/>
              </w:rPr>
              <w:t>Exp</w:t>
            </w:r>
            <w:proofErr w:type="spellEnd"/>
            <w:r w:rsidRPr="001717FA">
              <w:rPr>
                <w:rFonts w:ascii="Verdana" w:hAnsi="Verdana" w:cs="Arial"/>
              </w:rPr>
              <w:t>. No. 4.249. C.P. Álvaro Lecompte Luna.</w:t>
            </w:r>
          </w:p>
          <w:p w14:paraId="5857DDEA" w14:textId="7F8D0E7F" w:rsidR="004036B0" w:rsidRPr="001717FA" w:rsidRDefault="001717FA" w:rsidP="001717FA">
            <w:pPr>
              <w:widowControl w:val="0"/>
              <w:numPr>
                <w:ilvl w:val="0"/>
                <w:numId w:val="17"/>
              </w:numPr>
              <w:autoSpaceDE w:val="0"/>
              <w:autoSpaceDN w:val="0"/>
              <w:spacing w:after="120" w:line="276" w:lineRule="auto"/>
              <w:jc w:val="both"/>
              <w:rPr>
                <w:rFonts w:ascii="Verdana" w:hAnsi="Verdana" w:cs="Arial"/>
              </w:rPr>
            </w:pPr>
            <w:r w:rsidRPr="001717FA">
              <w:rPr>
                <w:rFonts w:ascii="Verdana" w:hAnsi="Verdana" w:cs="Arial"/>
              </w:rPr>
              <w:t xml:space="preserve">Guía para el Manejo de Ofertas Artificialmente bajas. Disponible para consulta en el siguiente enlace: </w:t>
            </w:r>
            <w:hyperlink r:id="rId14" w:history="1">
              <w:r w:rsidRPr="001717FA">
                <w:rPr>
                  <w:rStyle w:val="Hyperlink"/>
                  <w:rFonts w:ascii="Verdana" w:hAnsi="Verdana" w:cs="Arial"/>
                </w:rPr>
                <w:t>Guía para el Manejo de Ofertas Artificialmente bajas</w:t>
              </w:r>
            </w:hyperlink>
            <w:r w:rsidRPr="001717FA">
              <w:rPr>
                <w:rFonts w:ascii="Verdana" w:hAnsi="Verdana" w:cs="Arial"/>
              </w:rPr>
              <w:t xml:space="preserve"> </w:t>
            </w:r>
          </w:p>
        </w:tc>
      </w:tr>
    </w:tbl>
    <w:p w14:paraId="3ADACAF0" w14:textId="77777777" w:rsidR="00DB7553" w:rsidRPr="001717FA" w:rsidRDefault="00DB7553" w:rsidP="00DB7553">
      <w:pPr>
        <w:widowControl w:val="0"/>
        <w:autoSpaceDE w:val="0"/>
        <w:autoSpaceDN w:val="0"/>
        <w:spacing w:after="0" w:line="276" w:lineRule="auto"/>
        <w:jc w:val="both"/>
        <w:rPr>
          <w:rFonts w:ascii="Verdana" w:hAnsi="Verdana" w:cs="Arial"/>
        </w:rPr>
      </w:pPr>
    </w:p>
    <w:p w14:paraId="76A83280" w14:textId="77777777" w:rsidR="00DB7553" w:rsidRPr="001717FA" w:rsidRDefault="00DB7553" w:rsidP="00DB7553">
      <w:pPr>
        <w:pStyle w:val="ListParagraph"/>
        <w:numPr>
          <w:ilvl w:val="0"/>
          <w:numId w:val="18"/>
        </w:numPr>
        <w:tabs>
          <w:tab w:val="left" w:pos="142"/>
          <w:tab w:val="left" w:pos="284"/>
        </w:tabs>
        <w:spacing w:after="0" w:line="276" w:lineRule="auto"/>
        <w:ind w:left="0" w:firstLine="0"/>
        <w:contextualSpacing w:val="0"/>
        <w:jc w:val="both"/>
        <w:rPr>
          <w:rFonts w:ascii="Verdana" w:eastAsia="Century Gothic" w:hAnsi="Verdana" w:cs="Arial"/>
          <w:b/>
          <w:bCs/>
        </w:rPr>
      </w:pPr>
      <w:r w:rsidRPr="001717FA">
        <w:rPr>
          <w:rFonts w:ascii="Verdana" w:eastAsia="Century Gothic" w:hAnsi="Verdana" w:cs="Arial"/>
          <w:b/>
          <w:bCs/>
        </w:rPr>
        <w:t>Doctrina de la Agencia Nacional de Contratación Pública:</w:t>
      </w:r>
    </w:p>
    <w:p w14:paraId="2DA6461F" w14:textId="77777777" w:rsidR="00DB7553" w:rsidRPr="001717FA" w:rsidRDefault="00DB7553" w:rsidP="00DB7553">
      <w:pPr>
        <w:widowControl w:val="0"/>
        <w:autoSpaceDE w:val="0"/>
        <w:autoSpaceDN w:val="0"/>
        <w:spacing w:after="0" w:line="276" w:lineRule="auto"/>
        <w:jc w:val="both"/>
        <w:rPr>
          <w:rFonts w:ascii="Verdana" w:hAnsi="Verdana" w:cs="Arial"/>
        </w:rPr>
      </w:pPr>
    </w:p>
    <w:p w14:paraId="5B056130" w14:textId="79299882" w:rsidR="00DB7553" w:rsidRPr="001717FA" w:rsidRDefault="00DB7553" w:rsidP="001C11E7">
      <w:pPr>
        <w:widowControl w:val="0"/>
        <w:autoSpaceDE w:val="0"/>
        <w:autoSpaceDN w:val="0"/>
        <w:spacing w:after="120" w:line="276" w:lineRule="auto"/>
        <w:jc w:val="both"/>
        <w:rPr>
          <w:rFonts w:ascii="Verdana" w:eastAsia="Aptos" w:hAnsi="Verdana" w:cs="Arial"/>
          <w:shd w:val="clear" w:color="auto" w:fill="FFFFFF"/>
          <w:lang w:val="es-ES"/>
        </w:rPr>
      </w:pPr>
      <w:r w:rsidRPr="001717FA">
        <w:rPr>
          <w:rFonts w:ascii="Verdana" w:eastAsia="Aptos" w:hAnsi="Verdana" w:cs="Arial"/>
          <w:shd w:val="clear" w:color="auto" w:fill="FFFFFF"/>
          <w:lang w:val="es-ES"/>
        </w:rPr>
        <w:t xml:space="preserve">Sobre </w:t>
      </w:r>
      <w:r w:rsidR="000E1D95" w:rsidRPr="001717FA">
        <w:rPr>
          <w:rFonts w:ascii="Verdana" w:eastAsia="Aptos" w:hAnsi="Verdana" w:cs="Arial"/>
          <w:shd w:val="clear" w:color="auto" w:fill="FFFFFF"/>
          <w:lang w:val="es-ES"/>
        </w:rPr>
        <w:t xml:space="preserve">la </w:t>
      </w:r>
      <w:r w:rsidR="000E1D95" w:rsidRPr="001717FA">
        <w:rPr>
          <w:rFonts w:ascii="Verdana" w:hAnsi="Verdana" w:cs="Arial"/>
        </w:rPr>
        <w:t>obligatoriedad instrumentos expedidos por Colombia Compra Eficiente en los conceptos C-238 del 5 de julio de 2023, C-888 del 27 de diciembre de 2024, C-531 del 9 de octubre de 2024, C-389 del 07 de mayo del 2025</w:t>
      </w:r>
      <w:r w:rsidR="00595B4C" w:rsidRPr="001717FA">
        <w:rPr>
          <w:rFonts w:ascii="Verdana" w:hAnsi="Verdana" w:cs="Arial"/>
        </w:rPr>
        <w:t xml:space="preserve">, </w:t>
      </w:r>
      <w:r w:rsidR="002379C3" w:rsidRPr="001717FA">
        <w:rPr>
          <w:rFonts w:ascii="Verdana" w:hAnsi="Verdana" w:cs="Arial"/>
        </w:rPr>
        <w:t xml:space="preserve">C-1696 del 01 de diciembre del 2025, </w:t>
      </w:r>
      <w:r w:rsidR="001E4635" w:rsidRPr="001717FA">
        <w:rPr>
          <w:rFonts w:ascii="Verdana" w:hAnsi="Verdana" w:cs="Arial"/>
        </w:rPr>
        <w:t>C-069 del 19 de febrero del 2026</w:t>
      </w:r>
      <w:r w:rsidR="00F52004" w:rsidRPr="001717FA">
        <w:rPr>
          <w:rFonts w:ascii="Verdana" w:hAnsi="Verdana" w:cs="Arial"/>
        </w:rPr>
        <w:t xml:space="preserve">, C-260 del 26 de marzo del 2026, </w:t>
      </w:r>
      <w:r w:rsidR="0019472A" w:rsidRPr="001717FA">
        <w:rPr>
          <w:rFonts w:ascii="Verdana" w:hAnsi="Verdana" w:cs="Arial"/>
        </w:rPr>
        <w:t>C-221 del 26 de marzo del 2026</w:t>
      </w:r>
      <w:r w:rsidR="00616A86" w:rsidRPr="001717FA">
        <w:rPr>
          <w:rFonts w:ascii="Verdana" w:hAnsi="Verdana" w:cs="Arial"/>
        </w:rPr>
        <w:t xml:space="preserve"> y C-585 del </w:t>
      </w:r>
      <w:r w:rsidR="001C11E7" w:rsidRPr="001717FA">
        <w:rPr>
          <w:rFonts w:ascii="Verdana" w:hAnsi="Verdana" w:cs="Arial"/>
        </w:rPr>
        <w:t>14 de mayo del 2026</w:t>
      </w:r>
      <w:r w:rsidRPr="001717FA">
        <w:rPr>
          <w:rFonts w:ascii="Verdana" w:eastAsia="Aptos" w:hAnsi="Verdana" w:cs="Arial"/>
          <w:shd w:val="clear" w:color="auto" w:fill="FFFFFF"/>
          <w:lang w:val="es-ES"/>
        </w:rPr>
        <w:t xml:space="preserve">. </w:t>
      </w:r>
      <w:r w:rsidRPr="001717FA">
        <w:rPr>
          <w:rFonts w:ascii="Verdana" w:hAnsi="Verdana" w:cs="Arial"/>
        </w:rPr>
        <w:t>Estos y otros conceptos se encuentran disponibles para consulta en el Sistema de relatoría de la Agencia, al cual se puede acceder a través del siguiente enlace:</w:t>
      </w:r>
      <w:r w:rsidRPr="001717FA">
        <w:rPr>
          <w:rFonts w:ascii="Verdana" w:hAnsi="Verdana" w:cs="Arial"/>
          <w:shd w:val="clear" w:color="auto" w:fill="FFFFFF"/>
        </w:rPr>
        <w:t xml:space="preserve"> </w:t>
      </w:r>
      <w:hyperlink r:id="rId15" w:history="1">
        <w:r w:rsidRPr="001717FA">
          <w:rPr>
            <w:rStyle w:val="Hyperlink"/>
            <w:rFonts w:ascii="Verdana" w:hAnsi="Verdana" w:cs="Arial"/>
            <w:shd w:val="clear" w:color="auto" w:fill="FFFFFF"/>
          </w:rPr>
          <w:t>https://relatoria.colombiacompra.gov.co/busqueda/conceptos</w:t>
        </w:r>
      </w:hyperlink>
      <w:r w:rsidRPr="001717FA">
        <w:rPr>
          <w:rFonts w:ascii="Verdana" w:hAnsi="Verdana" w:cs="Arial"/>
          <w:shd w:val="clear" w:color="auto" w:fill="FFFFFF"/>
        </w:rPr>
        <w:t>.</w:t>
      </w:r>
      <w:r w:rsidRPr="001717FA">
        <w:rPr>
          <w:rFonts w:ascii="Verdana" w:hAnsi="Verdana" w:cs="Arial"/>
          <w:color w:val="FF0000"/>
          <w:shd w:val="clear" w:color="auto" w:fill="FFFFFF"/>
        </w:rPr>
        <w:t xml:space="preserve"> </w:t>
      </w:r>
      <w:r w:rsidRPr="001717FA">
        <w:rPr>
          <w:rFonts w:ascii="Verdana" w:hAnsi="Verdana" w:cs="Arial"/>
          <w:color w:val="000000" w:themeColor="text1"/>
          <w:shd w:val="clear" w:color="auto" w:fill="FFFFFF"/>
        </w:rPr>
        <w:t>  </w:t>
      </w:r>
    </w:p>
    <w:p w14:paraId="3ACED258" w14:textId="77777777" w:rsidR="00DB7553" w:rsidRPr="001717FA" w:rsidRDefault="00DB7553" w:rsidP="00DB7553">
      <w:pPr>
        <w:spacing w:after="0" w:line="276" w:lineRule="auto"/>
        <w:jc w:val="both"/>
        <w:rPr>
          <w:rFonts w:ascii="Verdana" w:hAnsi="Verdana" w:cs="Arial"/>
        </w:rPr>
      </w:pPr>
      <w:r w:rsidRPr="001717FA">
        <w:rPr>
          <w:rFonts w:ascii="Verdana" w:hAnsi="Verdana" w:cs="Arial"/>
        </w:rPr>
        <w:t xml:space="preserve">La sostenibilidad no es una opción, es una obligación. Por ello, la Agencia Nacional de Contratación Pública –Colombia Compra Eficiente– te invita a realizar el </w:t>
      </w:r>
      <w:r w:rsidRPr="001717FA">
        <w:rPr>
          <w:rFonts w:ascii="Verdana" w:hAnsi="Verdana" w:cs="Arial"/>
          <w:b/>
          <w:bCs/>
        </w:rPr>
        <w:t>Curso de Contratación Pública Sostenible y Socialmente Responsable</w:t>
      </w:r>
      <w:r w:rsidRPr="001717FA">
        <w:rPr>
          <w:rFonts w:ascii="Verdana" w:hAnsi="Verdana" w:cs="Arial"/>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1717FA">
        <w:rPr>
          <w:rFonts w:ascii="Verdana" w:hAnsi="Verdana" w:cs="Arial"/>
        </w:rPr>
        <w:br/>
      </w:r>
      <w:hyperlink r:id="rId16" w:tgtFrame="_new" w:history="1">
        <w:r w:rsidRPr="001717FA">
          <w:rPr>
            <w:rStyle w:val="Hyperlink"/>
            <w:rFonts w:ascii="Verdana" w:hAnsi="Verdana" w:cs="Arial"/>
          </w:rPr>
          <w:t>https://formacionvirtual.colombiacompra.gov.co/mod/page/view.php?id=3718</w:t>
        </w:r>
      </w:hyperlink>
    </w:p>
    <w:p w14:paraId="2B684A38" w14:textId="77777777" w:rsidR="00DB7553" w:rsidRPr="001717FA" w:rsidRDefault="00DB7553" w:rsidP="00DB7553">
      <w:pPr>
        <w:spacing w:after="0" w:line="276" w:lineRule="auto"/>
        <w:jc w:val="both"/>
        <w:rPr>
          <w:rFonts w:ascii="Verdana" w:hAnsi="Verdana" w:cs="Arial"/>
        </w:rPr>
      </w:pPr>
    </w:p>
    <w:p w14:paraId="5AF40E6C" w14:textId="77777777" w:rsidR="00DB7553" w:rsidRPr="001717FA" w:rsidRDefault="00DB7553" w:rsidP="00DB7553">
      <w:pPr>
        <w:spacing w:after="0" w:line="276" w:lineRule="auto"/>
        <w:jc w:val="both"/>
        <w:rPr>
          <w:rFonts w:ascii="Verdana" w:hAnsi="Verdana" w:cs="Arial"/>
        </w:rPr>
      </w:pPr>
      <w:r w:rsidRPr="001717FA">
        <w:rPr>
          <w:rFonts w:ascii="Verdana" w:hAnsi="Verdana" w:cs="Arial"/>
        </w:rPr>
        <w:t xml:space="preserve">De otro lado, te contamos que esta Agencia ha da un paso decisivo en la estandarización y modernización del </w:t>
      </w:r>
      <w:r w:rsidRPr="001717FA">
        <w:rPr>
          <w:rFonts w:ascii="Verdana" w:hAnsi="Verdana" w:cs="Arial"/>
          <w:b/>
          <w:bCs/>
        </w:rPr>
        <w:t>sector  social</w:t>
      </w:r>
      <w:r w:rsidRPr="001717FA">
        <w:rPr>
          <w:rFonts w:ascii="Verdana" w:hAnsi="Verdana" w:cs="Arial"/>
        </w:rPr>
        <w:t xml:space="preserve"> con la expedición de las </w:t>
      </w:r>
      <w:r w:rsidRPr="001717FA">
        <w:rPr>
          <w:rFonts w:ascii="Verdana" w:hAnsi="Verdana" w:cs="Arial"/>
          <w:b/>
          <w:bCs/>
        </w:rPr>
        <w:t>Resoluciones 539, 540, 541, 952 y 953 de 2025</w:t>
      </w:r>
      <w:r w:rsidRPr="001717FA">
        <w:rPr>
          <w:rFonts w:ascii="Verdana" w:hAnsi="Verdana" w:cs="Arial"/>
        </w:rPr>
        <w:t xml:space="preserve">, </w:t>
      </w:r>
      <w:r w:rsidRPr="001717FA">
        <w:rPr>
          <w:rFonts w:ascii="Verdana" w:hAnsi="Verdana" w:cs="Arial"/>
          <w:b/>
          <w:bCs/>
        </w:rPr>
        <w:t>mediante las cuales adoptó Documentos Tipo</w:t>
      </w:r>
      <w:r w:rsidRPr="001717FA">
        <w:rPr>
          <w:rFonts w:ascii="Verdana" w:hAnsi="Verdana" w:cs="Arial"/>
        </w:rPr>
        <w:t xml:space="preserve"> para las modalidades de selección de</w:t>
      </w:r>
      <w:r w:rsidRPr="001717FA">
        <w:rPr>
          <w:rFonts w:ascii="Verdana" w:hAnsi="Verdana" w:cs="Arial"/>
          <w:b/>
          <w:bCs/>
        </w:rPr>
        <w:t xml:space="preserve"> licitación pública (versión 2), selección abreviada de menor cuantía, mínima cuantía, consultoría e interventoría</w:t>
      </w:r>
      <w:r w:rsidRPr="001717FA">
        <w:rPr>
          <w:rFonts w:ascii="Verdana" w:hAnsi="Verdana" w:cs="Arial"/>
        </w:rPr>
        <w:t xml:space="preserve">, promoviendo procesos más transparentes, eficientes  competitivos y sostenibles en sectores estratégicos como educación, salud, cultura, recreación, deporte, institucional y vivienda. Consulta y descarga los documentos aquí: </w:t>
      </w:r>
      <w:hyperlink r:id="rId17" w:tgtFrame="_new" w:history="1">
        <w:r w:rsidRPr="001717FA">
          <w:rPr>
            <w:rStyle w:val="Hyperlink"/>
            <w:rFonts w:ascii="Verdana" w:hAnsi="Verdana" w:cs="Arial"/>
          </w:rPr>
          <w:t>https://www.colombiacompra.gov.co/normativa-y-relatoria/documentos-tipo</w:t>
        </w:r>
      </w:hyperlink>
    </w:p>
    <w:p w14:paraId="5FDA3B65" w14:textId="77777777" w:rsidR="00DB7553" w:rsidRPr="001717FA" w:rsidRDefault="00DB7553" w:rsidP="00DB7553">
      <w:pPr>
        <w:spacing w:after="0" w:line="276" w:lineRule="auto"/>
        <w:jc w:val="both"/>
        <w:rPr>
          <w:rFonts w:ascii="Verdana" w:hAnsi="Verdana" w:cs="Arial"/>
        </w:rPr>
      </w:pPr>
    </w:p>
    <w:p w14:paraId="52257CB0" w14:textId="77777777" w:rsidR="00DB7553" w:rsidRPr="001717FA" w:rsidRDefault="00DB7553" w:rsidP="00DB7553">
      <w:pPr>
        <w:spacing w:after="0" w:line="276" w:lineRule="auto"/>
        <w:jc w:val="both"/>
        <w:rPr>
          <w:rFonts w:ascii="Verdana" w:hAnsi="Verdana" w:cs="Arial"/>
        </w:rPr>
      </w:pPr>
      <w:r w:rsidRPr="001717FA">
        <w:rPr>
          <w:rFonts w:ascii="Verdana" w:hAnsi="Verdana" w:cs="Arial"/>
        </w:rPr>
        <w:t xml:space="preserve">Si quieres conocer más sobre la aplicación de Documentos Tipo puedes consultar la última versión de la </w:t>
      </w:r>
      <w:r w:rsidRPr="001717FA">
        <w:rPr>
          <w:rFonts w:ascii="Verdana" w:hAnsi="Verdana" w:cs="Arial"/>
          <w:b/>
          <w:bCs/>
        </w:rPr>
        <w:t>Guía para la comprensión e implementación de los Documentos Tipo de obra pública de infraestructura de transporte</w:t>
      </w:r>
      <w:r w:rsidRPr="001717FA">
        <w:rPr>
          <w:rFonts w:ascii="Verdana" w:hAnsi="Verdana" w:cs="Arial"/>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1717FA">
        <w:rPr>
          <w:rFonts w:ascii="Verdana" w:hAnsi="Verdana" w:cs="Arial"/>
        </w:rPr>
        <w:br/>
      </w:r>
      <w:hyperlink r:id="rId18" w:tgtFrame="_new" w:history="1">
        <w:r w:rsidRPr="001717FA">
          <w:rPr>
            <w:rStyle w:val="Hyperlink"/>
            <w:rFonts w:ascii="Verdana" w:hAnsi="Verdana" w:cs="Arial"/>
          </w:rPr>
          <w:t>https://www.colombiacompra.gov.co/archivos/manual/guia-para-la-comprension-e-implementacion-de-los-documentos-tipo-de-obra-publica-de-infraestructura-de-transporte-bajo-las-diferentes-modalidades-de-contratacion-vigentes</w:t>
        </w:r>
      </w:hyperlink>
    </w:p>
    <w:p w14:paraId="032D5477" w14:textId="77777777" w:rsidR="00DB7553" w:rsidRPr="001717FA" w:rsidRDefault="00DB7553" w:rsidP="00DB7553">
      <w:pPr>
        <w:spacing w:after="0" w:line="276" w:lineRule="auto"/>
        <w:jc w:val="both"/>
        <w:rPr>
          <w:rFonts w:ascii="Verdana" w:hAnsi="Verdana" w:cs="Arial"/>
        </w:rPr>
      </w:pPr>
    </w:p>
    <w:p w14:paraId="7D0E1B9D" w14:textId="77777777" w:rsidR="00DB7553" w:rsidRPr="001717FA" w:rsidRDefault="00DB7553" w:rsidP="00DB7553">
      <w:pPr>
        <w:spacing w:after="0" w:line="276" w:lineRule="auto"/>
        <w:jc w:val="both"/>
        <w:rPr>
          <w:rFonts w:ascii="Verdana" w:hAnsi="Verdana" w:cs="Arial"/>
        </w:rPr>
      </w:pPr>
      <w:r w:rsidRPr="001717FA">
        <w:rPr>
          <w:rFonts w:ascii="Verdana" w:hAnsi="Verdana" w:cs="Arial"/>
        </w:rPr>
        <w:t xml:space="preserve">Por último, lo invitamos a seguirnos en las redes sociales en las cuales se difunde información institucional: </w:t>
      </w:r>
    </w:p>
    <w:p w14:paraId="214653B2" w14:textId="77777777" w:rsidR="00DB7553" w:rsidRPr="001717FA" w:rsidRDefault="00DB7553" w:rsidP="00DB7553">
      <w:pPr>
        <w:spacing w:after="0" w:line="276" w:lineRule="auto"/>
        <w:jc w:val="both"/>
        <w:rPr>
          <w:rFonts w:ascii="Verdana" w:hAnsi="Verdana" w:cs="Arial"/>
        </w:rPr>
      </w:pPr>
    </w:p>
    <w:p w14:paraId="22058F3C" w14:textId="77777777" w:rsidR="00DB7553" w:rsidRPr="001717FA" w:rsidRDefault="00DB7553" w:rsidP="00DB7553">
      <w:pPr>
        <w:spacing w:after="0" w:line="276" w:lineRule="auto"/>
        <w:jc w:val="both"/>
        <w:rPr>
          <w:rFonts w:ascii="Verdana" w:hAnsi="Verdana" w:cs="Arial"/>
        </w:rPr>
      </w:pPr>
      <w:r w:rsidRPr="001717FA">
        <w:rPr>
          <w:rFonts w:ascii="Verdana" w:hAnsi="Verdana" w:cs="Arial"/>
        </w:rPr>
        <w:t xml:space="preserve">Twitter: </w:t>
      </w:r>
      <w:r w:rsidRPr="001717FA">
        <w:rPr>
          <w:rStyle w:val="Hyperlink"/>
          <w:rFonts w:ascii="Verdana" w:hAnsi="Verdana" w:cs="Arial"/>
          <w:color w:val="4472C4" w:themeColor="accent1"/>
        </w:rPr>
        <w:t>@colombiacompra</w:t>
      </w:r>
      <w:r w:rsidRPr="001717FA">
        <w:rPr>
          <w:rFonts w:ascii="Verdana" w:hAnsi="Verdana" w:cs="Arial"/>
          <w:color w:val="4472C4" w:themeColor="accent1"/>
        </w:rPr>
        <w:t xml:space="preserve"> </w:t>
      </w:r>
    </w:p>
    <w:p w14:paraId="4A54B3C8" w14:textId="77777777" w:rsidR="00DB7553" w:rsidRPr="001717FA" w:rsidRDefault="00DB7553" w:rsidP="00DB7553">
      <w:pPr>
        <w:spacing w:after="0" w:line="276" w:lineRule="auto"/>
        <w:jc w:val="both"/>
        <w:rPr>
          <w:rFonts w:ascii="Verdana" w:hAnsi="Verdana" w:cs="Arial"/>
        </w:rPr>
      </w:pPr>
      <w:r w:rsidRPr="001717FA">
        <w:rPr>
          <w:rFonts w:ascii="Verdana" w:hAnsi="Verdana" w:cs="Arial"/>
        </w:rPr>
        <w:t xml:space="preserve">Facebook: </w:t>
      </w:r>
      <w:proofErr w:type="spellStart"/>
      <w:r w:rsidRPr="001717FA">
        <w:rPr>
          <w:rStyle w:val="Hyperlink"/>
          <w:rFonts w:ascii="Verdana" w:hAnsi="Verdana" w:cs="Arial"/>
          <w:color w:val="4472C4" w:themeColor="accent1"/>
        </w:rPr>
        <w:t>ColombiaCompraEficiente</w:t>
      </w:r>
      <w:proofErr w:type="spellEnd"/>
    </w:p>
    <w:p w14:paraId="2E81E855" w14:textId="77777777" w:rsidR="00DB7553" w:rsidRPr="001717FA" w:rsidRDefault="00DB7553" w:rsidP="00DB7553">
      <w:pPr>
        <w:spacing w:after="0" w:line="276" w:lineRule="auto"/>
        <w:jc w:val="both"/>
        <w:rPr>
          <w:rStyle w:val="Hyperlink"/>
          <w:rFonts w:ascii="Verdana" w:hAnsi="Verdana" w:cs="Arial"/>
          <w:color w:val="4472C4" w:themeColor="accent1"/>
        </w:rPr>
      </w:pPr>
      <w:r w:rsidRPr="001717FA">
        <w:rPr>
          <w:rFonts w:ascii="Verdana" w:hAnsi="Verdana" w:cs="Arial"/>
        </w:rPr>
        <w:t xml:space="preserve">LinkedIn: </w:t>
      </w:r>
      <w:r w:rsidRPr="001717FA">
        <w:rPr>
          <w:rStyle w:val="Hyperlink"/>
          <w:rFonts w:ascii="Verdana" w:hAnsi="Verdana" w:cs="Arial"/>
          <w:color w:val="4472C4" w:themeColor="accent1"/>
        </w:rPr>
        <w:t>Agencia Nacional de Contratación Pública - Colombia Compra Eficiente</w:t>
      </w:r>
      <w:r w:rsidRPr="001717FA">
        <w:rPr>
          <w:rFonts w:ascii="Verdana" w:hAnsi="Verdana" w:cs="Arial"/>
          <w:color w:val="4472C4" w:themeColor="accent1"/>
        </w:rPr>
        <w:t xml:space="preserve"> </w:t>
      </w:r>
      <w:r w:rsidRPr="001717FA">
        <w:rPr>
          <w:rFonts w:ascii="Verdana" w:hAnsi="Verdana" w:cs="Arial"/>
        </w:rPr>
        <w:t xml:space="preserve">Instagram: </w:t>
      </w:r>
      <w:r w:rsidRPr="001717FA">
        <w:rPr>
          <w:rStyle w:val="Hyperlink"/>
          <w:rFonts w:ascii="Verdana" w:hAnsi="Verdana" w:cs="Arial"/>
          <w:color w:val="4472C4" w:themeColor="accent1"/>
        </w:rPr>
        <w:t>@colombiacompraeficiente_cce</w:t>
      </w:r>
    </w:p>
    <w:p w14:paraId="48BAD534" w14:textId="77777777" w:rsidR="00DB7553" w:rsidRPr="001717FA" w:rsidRDefault="00DB7553" w:rsidP="00DB7553">
      <w:pPr>
        <w:spacing w:after="0" w:line="276" w:lineRule="auto"/>
        <w:jc w:val="both"/>
        <w:rPr>
          <w:rStyle w:val="Hyperlink"/>
          <w:rFonts w:ascii="Verdana" w:hAnsi="Verdana" w:cs="Arial"/>
          <w:color w:val="4472C4" w:themeColor="accent1"/>
        </w:rPr>
      </w:pPr>
    </w:p>
    <w:p w14:paraId="4291FAF1" w14:textId="77777777" w:rsidR="00DB7553" w:rsidRPr="001717FA" w:rsidRDefault="00DB7553" w:rsidP="00DB7553">
      <w:pPr>
        <w:widowControl w:val="0"/>
        <w:autoSpaceDE w:val="0"/>
        <w:autoSpaceDN w:val="0"/>
        <w:spacing w:after="0" w:line="276" w:lineRule="auto"/>
        <w:jc w:val="both"/>
        <w:rPr>
          <w:rFonts w:ascii="Verdana" w:hAnsi="Verdana" w:cs="Arial"/>
          <w:lang w:val="es-ES_tradnl"/>
        </w:rPr>
      </w:pPr>
      <w:r w:rsidRPr="001717FA">
        <w:rPr>
          <w:rFonts w:ascii="Verdana" w:hAnsi="Verdana" w:cs="Arial"/>
        </w:rPr>
        <w:t xml:space="preserve">Este concepto tiene el alcance previsto en el artículo 28 del Código de Procedimiento Administrativo y de lo Contencioso Administrativo </w:t>
      </w:r>
      <w:r w:rsidRPr="001717FA">
        <w:rPr>
          <w:rFonts w:ascii="Verdana" w:hAnsi="Verdana" w:cs="Arial"/>
          <w:lang w:val="es-ES_tradnl"/>
        </w:rPr>
        <w:t>y las expresiones aquí utilizadas con mayúscula inicial deben ser entendidas con el significado que les otorga el artículo 2.2.1.1.1.3.1. del Decreto 1082 de 2015.</w:t>
      </w:r>
    </w:p>
    <w:p w14:paraId="7554BB3A" w14:textId="77777777" w:rsidR="00DB7553" w:rsidRPr="001717FA" w:rsidRDefault="00DB7553" w:rsidP="00DB7553">
      <w:pPr>
        <w:widowControl w:val="0"/>
        <w:autoSpaceDE w:val="0"/>
        <w:autoSpaceDN w:val="0"/>
        <w:spacing w:after="0" w:line="276" w:lineRule="auto"/>
        <w:jc w:val="both"/>
        <w:rPr>
          <w:rFonts w:ascii="Verdana" w:hAnsi="Verdana" w:cs="Arial"/>
        </w:rPr>
      </w:pPr>
    </w:p>
    <w:p w14:paraId="4E9F8B71" w14:textId="77777777" w:rsidR="00DB7553" w:rsidRPr="001717FA" w:rsidRDefault="00DB7553" w:rsidP="00DB7553">
      <w:pPr>
        <w:spacing w:after="0" w:line="276" w:lineRule="auto"/>
        <w:jc w:val="both"/>
        <w:rPr>
          <w:rFonts w:ascii="Verdana" w:hAnsi="Verdana" w:cs="Arial"/>
          <w:lang w:eastAsia="es-CO"/>
        </w:rPr>
      </w:pPr>
      <w:r w:rsidRPr="001717FA">
        <w:rPr>
          <w:rFonts w:ascii="Verdana" w:eastAsia="Times New Roman" w:hAnsi="Verdana" w:cs="Arial"/>
          <w:lang w:eastAsia="es-CO"/>
        </w:rPr>
        <w:t>Atentamente,</w:t>
      </w:r>
      <w:r w:rsidRPr="001717FA">
        <w:rPr>
          <w:rFonts w:ascii="Verdana" w:hAnsi="Verdana" w:cs="Arial"/>
          <w:lang w:eastAsia="es-CO"/>
        </w:rPr>
        <w:t xml:space="preserve"> </w:t>
      </w:r>
    </w:p>
    <w:p w14:paraId="59B55321" w14:textId="5EC0DEFA" w:rsidR="00DB7553" w:rsidRPr="001717FA" w:rsidRDefault="00F91B4D" w:rsidP="00DB7553">
      <w:pPr>
        <w:spacing w:line="276" w:lineRule="auto"/>
        <w:jc w:val="center"/>
        <w:rPr>
          <w:rFonts w:ascii="Verdana" w:hAnsi="Verdana" w:cs="Arial"/>
          <w:color w:val="000000"/>
          <w:sz w:val="16"/>
          <w:szCs w:val="16"/>
          <w:lang w:val="es-ES_tradnl" w:eastAsia="es-CO"/>
        </w:rPr>
      </w:pPr>
      <w:r w:rsidRPr="004D5C25">
        <w:rPr>
          <w:rFonts w:ascii="Century Gothic" w:hAnsi="Century Gothic"/>
          <w:noProof/>
        </w:rPr>
        <w:drawing>
          <wp:inline distT="0" distB="0" distL="0" distR="0" wp14:anchorId="2836F803" wp14:editId="5FD557BD">
            <wp:extent cx="3705742" cy="1590897"/>
            <wp:effectExtent l="0" t="0" r="9525" b="9525"/>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9"/>
                    <a:stretch>
                      <a:fillRect/>
                    </a:stretch>
                  </pic:blipFill>
                  <pic:spPr>
                    <a:xfrm>
                      <a:off x="0" y="0"/>
                      <a:ext cx="3705742" cy="1590897"/>
                    </a:xfrm>
                    <a:prstGeom prst="rect">
                      <a:avLst/>
                    </a:prstGeom>
                  </pic:spPr>
                </pic:pic>
              </a:graphicData>
            </a:graphic>
          </wp:inline>
        </w:drawing>
      </w:r>
    </w:p>
    <w:tbl>
      <w:tblPr>
        <w:tblStyle w:val="TableGrid"/>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DB7553" w:rsidRPr="001717FA" w14:paraId="7DFEED2F" w14:textId="77777777" w:rsidTr="00F40819">
        <w:trPr>
          <w:trHeight w:val="315"/>
        </w:trPr>
        <w:tc>
          <w:tcPr>
            <w:tcW w:w="893" w:type="dxa"/>
            <w:vAlign w:val="center"/>
            <w:hideMark/>
          </w:tcPr>
          <w:p w14:paraId="1C42F41B" w14:textId="77777777" w:rsidR="00DB7553" w:rsidRPr="001717FA" w:rsidRDefault="00DB7553" w:rsidP="00F40819">
            <w:pPr>
              <w:contextualSpacing/>
              <w:rPr>
                <w:rFonts w:ascii="Verdana" w:hAnsi="Verdana" w:cs="Arial"/>
                <w:sz w:val="16"/>
                <w:szCs w:val="16"/>
                <w:lang w:val="es-ES" w:eastAsia="es-ES"/>
              </w:rPr>
            </w:pPr>
            <w:r w:rsidRPr="001717FA">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4F9B5E7D" w14:textId="77777777" w:rsidR="00DB7553" w:rsidRPr="001717FA" w:rsidRDefault="00DB7553" w:rsidP="00F40819">
            <w:pPr>
              <w:contextualSpacing/>
              <w:rPr>
                <w:rFonts w:ascii="Verdana" w:eastAsia="Arial" w:hAnsi="Verdana" w:cs="Arial"/>
                <w:sz w:val="16"/>
                <w:szCs w:val="16"/>
              </w:rPr>
            </w:pPr>
            <w:r w:rsidRPr="001717FA">
              <w:rPr>
                <w:rFonts w:ascii="Verdana" w:eastAsia="Arial" w:hAnsi="Verdana" w:cs="Arial"/>
                <w:sz w:val="16"/>
                <w:szCs w:val="16"/>
              </w:rPr>
              <w:t>Ana María Ortiz Ballesteros</w:t>
            </w:r>
          </w:p>
          <w:p w14:paraId="1684C179" w14:textId="77777777" w:rsidR="00DB7553" w:rsidRPr="001717FA" w:rsidRDefault="00DB7553" w:rsidP="00F40819">
            <w:pPr>
              <w:contextualSpacing/>
              <w:rPr>
                <w:rFonts w:ascii="Verdana" w:eastAsia="Arial" w:hAnsi="Verdana" w:cs="Arial"/>
                <w:sz w:val="16"/>
                <w:szCs w:val="16"/>
              </w:rPr>
            </w:pPr>
            <w:r w:rsidRPr="001717FA">
              <w:rPr>
                <w:rStyle w:val="normaltextrun"/>
                <w:rFonts w:ascii="Verdana" w:eastAsia="Arial" w:hAnsi="Verdana" w:cs="Arial"/>
                <w:sz w:val="16"/>
                <w:szCs w:val="16"/>
              </w:rPr>
              <w:t>C</w:t>
            </w:r>
            <w:r w:rsidRPr="001717FA">
              <w:rPr>
                <w:rStyle w:val="normaltextrun"/>
                <w:rFonts w:ascii="Verdana" w:hAnsi="Verdana"/>
                <w:sz w:val="16"/>
                <w:szCs w:val="16"/>
              </w:rPr>
              <w:t>ontratista</w:t>
            </w:r>
            <w:r w:rsidRPr="001717FA">
              <w:rPr>
                <w:rStyle w:val="normaltextrun"/>
                <w:rFonts w:ascii="Verdana" w:eastAsia="Arial" w:hAnsi="Verdana" w:cs="Arial"/>
                <w:sz w:val="16"/>
                <w:szCs w:val="16"/>
              </w:rPr>
              <w:t xml:space="preserve"> de la Subdirección de Gestión Contractual</w:t>
            </w:r>
          </w:p>
        </w:tc>
      </w:tr>
      <w:tr w:rsidR="00DB7553" w:rsidRPr="001717FA" w14:paraId="2E68007E" w14:textId="77777777" w:rsidTr="00F40819">
        <w:trPr>
          <w:trHeight w:val="330"/>
        </w:trPr>
        <w:tc>
          <w:tcPr>
            <w:tcW w:w="893" w:type="dxa"/>
            <w:vAlign w:val="center"/>
            <w:hideMark/>
          </w:tcPr>
          <w:p w14:paraId="37DE270D" w14:textId="77777777" w:rsidR="00DB7553" w:rsidRPr="001717FA" w:rsidRDefault="00DB7553" w:rsidP="00F40819">
            <w:pPr>
              <w:contextualSpacing/>
              <w:rPr>
                <w:rFonts w:ascii="Verdana" w:hAnsi="Verdana" w:cs="Arial"/>
                <w:sz w:val="16"/>
                <w:szCs w:val="16"/>
                <w:lang w:val="es-ES" w:eastAsia="es-ES"/>
              </w:rPr>
            </w:pPr>
            <w:r w:rsidRPr="001717FA">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608CE4AE" w14:textId="77777777" w:rsidR="00DB7553" w:rsidRPr="001717FA" w:rsidRDefault="00DB7553" w:rsidP="00F40819">
            <w:pPr>
              <w:pStyle w:val="paragraph"/>
              <w:spacing w:before="0" w:beforeAutospacing="0" w:after="0" w:afterAutospacing="0"/>
              <w:contextualSpacing/>
              <w:textAlignment w:val="baseline"/>
              <w:rPr>
                <w:rFonts w:ascii="Verdana" w:hAnsi="Verdana" w:cs="Arial"/>
                <w:sz w:val="16"/>
                <w:szCs w:val="16"/>
              </w:rPr>
            </w:pPr>
            <w:r w:rsidRPr="001717FA">
              <w:rPr>
                <w:rFonts w:ascii="Verdana" w:hAnsi="Verdana" w:cs="Arial"/>
                <w:sz w:val="16"/>
                <w:szCs w:val="16"/>
              </w:rPr>
              <w:t xml:space="preserve">Adriana </w:t>
            </w:r>
            <w:proofErr w:type="spellStart"/>
            <w:r w:rsidRPr="001717FA">
              <w:rPr>
                <w:rFonts w:ascii="Verdana" w:hAnsi="Verdana" w:cs="Arial"/>
                <w:sz w:val="16"/>
                <w:szCs w:val="16"/>
              </w:rPr>
              <w:t>Katerine</w:t>
            </w:r>
            <w:proofErr w:type="spellEnd"/>
            <w:r w:rsidRPr="001717FA">
              <w:rPr>
                <w:rFonts w:ascii="Verdana" w:hAnsi="Verdana" w:cs="Arial"/>
                <w:sz w:val="16"/>
                <w:szCs w:val="16"/>
              </w:rPr>
              <w:t xml:space="preserve"> López Rodríguez</w:t>
            </w:r>
          </w:p>
          <w:p w14:paraId="182DC194" w14:textId="77777777" w:rsidR="00DB7553" w:rsidRPr="001717FA" w:rsidRDefault="00DB7553" w:rsidP="00F40819">
            <w:pPr>
              <w:pStyle w:val="paragraph"/>
              <w:spacing w:before="0" w:beforeAutospacing="0" w:after="0" w:afterAutospacing="0"/>
              <w:contextualSpacing/>
              <w:textAlignment w:val="baseline"/>
              <w:rPr>
                <w:rFonts w:ascii="Verdana" w:hAnsi="Verdana" w:cs="Arial"/>
                <w:sz w:val="16"/>
                <w:szCs w:val="16"/>
              </w:rPr>
            </w:pPr>
            <w:r w:rsidRPr="001717FA">
              <w:rPr>
                <w:rStyle w:val="normaltextrun"/>
                <w:rFonts w:ascii="Verdana" w:eastAsia="Arial" w:hAnsi="Verdana" w:cs="Arial"/>
                <w:sz w:val="16"/>
                <w:szCs w:val="16"/>
              </w:rPr>
              <w:t>C</w:t>
            </w:r>
            <w:r w:rsidRPr="001717FA">
              <w:rPr>
                <w:rStyle w:val="normaltextrun"/>
                <w:rFonts w:ascii="Verdana" w:hAnsi="Verdana"/>
                <w:sz w:val="16"/>
                <w:szCs w:val="16"/>
              </w:rPr>
              <w:t>ontratista</w:t>
            </w:r>
            <w:r w:rsidRPr="001717FA">
              <w:rPr>
                <w:rStyle w:val="normaltextrun"/>
                <w:rFonts w:ascii="Verdana" w:eastAsia="Arial" w:hAnsi="Verdana" w:cs="Arial"/>
                <w:sz w:val="16"/>
                <w:szCs w:val="16"/>
              </w:rPr>
              <w:t xml:space="preserve"> de la Subdirección de Gestión Contractual</w:t>
            </w:r>
          </w:p>
        </w:tc>
      </w:tr>
      <w:tr w:rsidR="00DB7553" w:rsidRPr="001717FA" w14:paraId="581F0E62" w14:textId="77777777" w:rsidTr="00F40819">
        <w:trPr>
          <w:trHeight w:val="300"/>
        </w:trPr>
        <w:tc>
          <w:tcPr>
            <w:tcW w:w="893" w:type="dxa"/>
            <w:vAlign w:val="center"/>
          </w:tcPr>
          <w:p w14:paraId="66E79E50" w14:textId="77777777" w:rsidR="00DB7553" w:rsidRPr="001717FA" w:rsidRDefault="00DB7553" w:rsidP="00F40819">
            <w:pPr>
              <w:contextualSpacing/>
              <w:rPr>
                <w:rFonts w:ascii="Verdana" w:hAnsi="Verdana" w:cs="Arial"/>
                <w:sz w:val="16"/>
                <w:szCs w:val="16"/>
                <w:lang w:val="es-ES" w:eastAsia="es-ES"/>
              </w:rPr>
            </w:pPr>
            <w:r w:rsidRPr="001717FA">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5EB15A46" w14:textId="77777777" w:rsidR="00DB7553" w:rsidRPr="001717FA" w:rsidRDefault="00DB7553" w:rsidP="00F40819">
            <w:pPr>
              <w:contextualSpacing/>
              <w:rPr>
                <w:rFonts w:ascii="Verdana" w:eastAsia="Calibri" w:hAnsi="Verdana" w:cs="Arial"/>
                <w:sz w:val="16"/>
                <w:szCs w:val="16"/>
                <w:lang w:val="pt-BR" w:eastAsia="es-ES"/>
              </w:rPr>
            </w:pPr>
            <w:r w:rsidRPr="001717FA">
              <w:rPr>
                <w:rFonts w:ascii="Verdana" w:eastAsia="Calibri" w:hAnsi="Verdana" w:cs="Arial"/>
                <w:sz w:val="16"/>
                <w:szCs w:val="16"/>
                <w:lang w:val="pt-BR" w:eastAsia="es-ES"/>
              </w:rPr>
              <w:t xml:space="preserve">Carolina Quintero </w:t>
            </w:r>
            <w:proofErr w:type="spellStart"/>
            <w:r w:rsidRPr="001717FA">
              <w:rPr>
                <w:rFonts w:ascii="Verdana" w:eastAsia="Calibri" w:hAnsi="Verdana" w:cs="Arial"/>
                <w:sz w:val="16"/>
                <w:szCs w:val="16"/>
                <w:lang w:val="pt-BR" w:eastAsia="es-ES"/>
              </w:rPr>
              <w:t>Gacharná</w:t>
            </w:r>
            <w:proofErr w:type="spellEnd"/>
          </w:p>
          <w:p w14:paraId="54E108E5" w14:textId="77777777" w:rsidR="00DB7553" w:rsidRPr="001717FA" w:rsidRDefault="00DB7553" w:rsidP="00F40819">
            <w:pPr>
              <w:contextualSpacing/>
              <w:rPr>
                <w:rFonts w:ascii="Verdana" w:eastAsia="Calibri" w:hAnsi="Verdana" w:cs="Arial"/>
                <w:sz w:val="16"/>
                <w:szCs w:val="16"/>
                <w:lang w:val="pt-BR" w:eastAsia="es-ES"/>
              </w:rPr>
            </w:pPr>
            <w:r w:rsidRPr="001717FA">
              <w:rPr>
                <w:rFonts w:ascii="Verdana" w:eastAsia="Calibri" w:hAnsi="Verdana" w:cs="Arial"/>
                <w:sz w:val="16"/>
                <w:szCs w:val="16"/>
                <w:lang w:eastAsia="es-ES"/>
              </w:rPr>
              <w:t>Subdirectora</w:t>
            </w:r>
            <w:r w:rsidRPr="001717FA">
              <w:rPr>
                <w:rFonts w:ascii="Verdana" w:eastAsia="Calibri" w:hAnsi="Verdana" w:cs="Arial"/>
                <w:sz w:val="16"/>
                <w:szCs w:val="16"/>
                <w:lang w:val="pt-BR" w:eastAsia="es-ES"/>
              </w:rPr>
              <w:t xml:space="preserve"> de Gestión Contractual ANCP – CCE</w:t>
            </w:r>
          </w:p>
        </w:tc>
      </w:tr>
    </w:tbl>
    <w:p w14:paraId="69BC4D14" w14:textId="46089947" w:rsidR="00C15139" w:rsidRPr="001717FA" w:rsidRDefault="00C15139" w:rsidP="30821638">
      <w:pPr>
        <w:spacing w:after="0" w:line="240" w:lineRule="auto"/>
        <w:textAlignment w:val="baseline"/>
        <w:rPr>
          <w:rFonts w:ascii="Verdana" w:eastAsia="Verdana" w:hAnsi="Verdana" w:cs="Verdana"/>
          <w:lang w:eastAsia="es-CO"/>
        </w:rPr>
      </w:pPr>
      <w:r w:rsidRPr="001717FA">
        <w:rPr>
          <w:rFonts w:ascii="Verdana" w:eastAsia="Verdana" w:hAnsi="Verdana" w:cs="Verdana"/>
          <w:lang w:eastAsia="es-CO"/>
        </w:rPr>
        <w:t> </w:t>
      </w:r>
      <w:bookmarkEnd w:id="0"/>
    </w:p>
    <w:sectPr w:rsidR="00C15139" w:rsidRPr="001717FA" w:rsidSect="007C0C0F">
      <w:headerReference w:type="default" r:id="rId20"/>
      <w:footerReference w:type="default" r:id="rId21"/>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i="http://schemas.microsoft.com/office/word/2026/wordml/cei"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B4AD37" w14:textId="77777777" w:rsidR="00D4128A" w:rsidRDefault="00D4128A" w:rsidP="004A1847">
      <w:pPr>
        <w:spacing w:after="0" w:line="240" w:lineRule="auto"/>
      </w:pPr>
      <w:r>
        <w:separator/>
      </w:r>
    </w:p>
  </w:endnote>
  <w:endnote w:type="continuationSeparator" w:id="0">
    <w:p w14:paraId="7DC18B6F" w14:textId="77777777" w:rsidR="00D4128A" w:rsidRDefault="00D4128A"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Yu Gothic Light">
    <w:altName w:val="游ゴシック Light"/>
    <w:panose1 w:val="020B0300000000000000"/>
    <w:charset w:val="80"/>
    <w:family w:val="swiss"/>
    <w:pitch w:val="variable"/>
    <w:sig w:usb0="E00002FF" w:usb1="2AC7FDFF" w:usb2="00000016" w:usb3="00000000" w:csb0="0002009F"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Segoe UI">
    <w:panose1 w:val="020B0502040204020203"/>
    <w:charset w:val="00"/>
    <w:family w:val="swiss"/>
    <w:pitch w:val="variable"/>
    <w:sig w:usb0="E4002EFF" w:usb1="C000E47F" w:usb2="00000009" w:usb3="00000000" w:csb0="000001FF" w:csb1="00000000"/>
  </w:font>
  <w:font w:name="Aptos">
    <w:panose1 w:val="00000000000000000000"/>
    <w:charset w:val="00"/>
    <w:family w:val="roman"/>
    <w:notTrueType/>
    <w:pitch w:val="default"/>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Yu Mincho">
    <w:altName w:val="游明朝"/>
    <w:panose1 w:val="00000000000000000000"/>
    <w:charset w:val="80"/>
    <w:family w:val="roman"/>
    <w:notTrueType/>
    <w:pitch w:val="default"/>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i="http://schemas.microsoft.com/office/word/2026/wordml/cei"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Footer"/>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i="http://schemas.microsoft.com/office/word/2026/wordml/cei"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847932" w14:textId="77777777" w:rsidR="00D4128A" w:rsidRDefault="00D4128A" w:rsidP="004A1847">
      <w:pPr>
        <w:spacing w:after="0" w:line="240" w:lineRule="auto"/>
      </w:pPr>
      <w:r>
        <w:separator/>
      </w:r>
    </w:p>
  </w:footnote>
  <w:footnote w:type="continuationSeparator" w:id="0">
    <w:p w14:paraId="67DE02BC" w14:textId="77777777" w:rsidR="00D4128A" w:rsidRDefault="00D4128A" w:rsidP="004A1847">
      <w:pPr>
        <w:spacing w:after="0" w:line="240" w:lineRule="auto"/>
      </w:pPr>
      <w:r>
        <w:continuationSeparator/>
      </w:r>
    </w:p>
  </w:footnote>
  <w:footnote w:id="1">
    <w:p w14:paraId="117F6522" w14:textId="77777777" w:rsidR="00390DF2" w:rsidRPr="00196147" w:rsidRDefault="00390DF2" w:rsidP="00390DF2">
      <w:pPr>
        <w:pStyle w:val="FootnoteText"/>
        <w:ind w:firstLine="708"/>
        <w:jc w:val="both"/>
        <w:rPr>
          <w:rFonts w:ascii="Verdana" w:hAnsi="Verdana" w:cs="Arial"/>
          <w:sz w:val="18"/>
          <w:szCs w:val="18"/>
          <w:lang w:val="es-CO"/>
        </w:rPr>
      </w:pPr>
      <w:r w:rsidRPr="00196147">
        <w:rPr>
          <w:rStyle w:val="FootnoteReference"/>
          <w:rFonts w:ascii="Verdana" w:hAnsi="Verdana" w:cs="Arial"/>
          <w:sz w:val="18"/>
          <w:szCs w:val="18"/>
        </w:rPr>
        <w:footnoteRef/>
      </w:r>
      <w:r w:rsidRPr="00196147">
        <w:rPr>
          <w:rFonts w:ascii="Verdana" w:hAnsi="Verdana" w:cs="Arial"/>
          <w:sz w:val="18"/>
          <w:szCs w:val="18"/>
        </w:rPr>
        <w:t xml:space="preserve"> Numeral 10 del artículo 3 del Decreto Ley 4170 de 2011.</w:t>
      </w:r>
    </w:p>
  </w:footnote>
  <w:footnote w:id="2">
    <w:p w14:paraId="5F577602" w14:textId="77777777" w:rsidR="00390DF2" w:rsidRDefault="00390DF2" w:rsidP="00390DF2">
      <w:pPr>
        <w:pStyle w:val="FootnoteText"/>
        <w:ind w:firstLine="708"/>
        <w:rPr>
          <w:rFonts w:ascii="Verdana" w:hAnsi="Verdana"/>
          <w:sz w:val="18"/>
          <w:szCs w:val="18"/>
          <w:lang w:val="es-ES"/>
        </w:rPr>
      </w:pPr>
      <w:r w:rsidRPr="00196147">
        <w:rPr>
          <w:rStyle w:val="FootnoteReference"/>
          <w:rFonts w:ascii="Verdana" w:hAnsi="Verdana"/>
          <w:sz w:val="18"/>
          <w:szCs w:val="18"/>
        </w:rPr>
        <w:footnoteRef/>
      </w:r>
      <w:r w:rsidRPr="00196147">
        <w:rPr>
          <w:rFonts w:ascii="Verdana" w:hAnsi="Verdana"/>
          <w:sz w:val="18"/>
          <w:szCs w:val="18"/>
        </w:rPr>
        <w:t xml:space="preserve"> </w:t>
      </w:r>
      <w:r w:rsidRPr="00196147">
        <w:rPr>
          <w:rFonts w:ascii="Verdana" w:hAnsi="Verdana"/>
          <w:sz w:val="18"/>
          <w:szCs w:val="18"/>
          <w:lang w:val="es-ES"/>
        </w:rPr>
        <w:t>Artículo 2.2.1.2.5.2.</w:t>
      </w:r>
    </w:p>
    <w:p w14:paraId="3FAEED1E" w14:textId="77777777" w:rsidR="00AA403B" w:rsidRPr="00196147" w:rsidRDefault="00AA403B" w:rsidP="00390DF2">
      <w:pPr>
        <w:pStyle w:val="FootnoteText"/>
        <w:ind w:firstLine="708"/>
        <w:rPr>
          <w:rFonts w:ascii="Verdana" w:hAnsi="Verdana"/>
          <w:sz w:val="18"/>
          <w:szCs w:val="18"/>
          <w:lang w:val="es-ES"/>
        </w:rPr>
      </w:pPr>
    </w:p>
  </w:footnote>
  <w:footnote w:id="3">
    <w:p w14:paraId="39570E75" w14:textId="77777777" w:rsidR="00390DF2" w:rsidRDefault="00390DF2" w:rsidP="00390DF2">
      <w:pPr>
        <w:tabs>
          <w:tab w:val="left" w:pos="426"/>
          <w:tab w:val="left" w:pos="2087"/>
          <w:tab w:val="left" w:pos="3424"/>
          <w:tab w:val="left" w:pos="4701"/>
          <w:tab w:val="left" w:pos="5341"/>
          <w:tab w:val="left" w:pos="5920"/>
          <w:tab w:val="left" w:pos="7487"/>
          <w:tab w:val="left" w:pos="8037"/>
          <w:tab w:val="left" w:pos="8524"/>
        </w:tabs>
        <w:spacing w:line="240" w:lineRule="auto"/>
        <w:ind w:firstLine="709"/>
        <w:jc w:val="both"/>
        <w:rPr>
          <w:rFonts w:ascii="Verdana" w:hAnsi="Verdana" w:cs="Arial"/>
          <w:sz w:val="18"/>
          <w:szCs w:val="18"/>
        </w:rPr>
      </w:pPr>
      <w:r w:rsidRPr="00196147">
        <w:rPr>
          <w:rStyle w:val="FootnoteReference"/>
          <w:rFonts w:ascii="Verdana" w:hAnsi="Verdana" w:cs="Arial"/>
          <w:sz w:val="18"/>
          <w:szCs w:val="18"/>
        </w:rPr>
        <w:footnoteRef/>
      </w:r>
      <w:r w:rsidRPr="00196147">
        <w:rPr>
          <w:rFonts w:ascii="Verdana" w:hAnsi="Verdana" w:cs="Arial"/>
          <w:sz w:val="18"/>
          <w:szCs w:val="18"/>
        </w:rPr>
        <w:t xml:space="preserve"> Por ejemplo, para Colciencias los manuales “son instrumentos administrativos que se elaboran para determinar en forma explícita, ordenada y sistemática información sobre objetivos, políticas, atribuciones, organización y procedimientos de los órganos de una institución. Se caracterizan por desarrollar criterios generales sobre un tema estratégico y en su mayoría, referencian procedimientos, guías, instructivos, modelos y formatos”. Mientras que las guías son “documentos que contienen orientaciones acerca de la forma como se desarrolla una metodología</w:t>
      </w:r>
      <w:r>
        <w:rPr>
          <w:rFonts w:ascii="Verdana" w:hAnsi="Verdana" w:cs="Arial"/>
          <w:sz w:val="18"/>
          <w:szCs w:val="18"/>
        </w:rPr>
        <w:t xml:space="preserve"> </w:t>
      </w:r>
      <w:r w:rsidRPr="00196147">
        <w:rPr>
          <w:rFonts w:ascii="Verdana" w:hAnsi="Verdana" w:cs="Arial"/>
          <w:sz w:val="18"/>
          <w:szCs w:val="18"/>
        </w:rPr>
        <w:t xml:space="preserve">relacionada con los procedimientos de la entidad”: </w:t>
      </w:r>
      <w:hyperlink r:id="rId1" w:history="1">
        <w:r w:rsidRPr="00875F63">
          <w:rPr>
            <w:rStyle w:val="Hyperlink"/>
            <w:rFonts w:ascii="Verdana" w:hAnsi="Verdana" w:cs="Arial"/>
            <w:sz w:val="18"/>
            <w:szCs w:val="18"/>
          </w:rPr>
          <w:t>https://www.colciencias.gov.co/sites/default/files/ckeditor_files/G102PR01-procedimiento-elaboracion- control.pdf</w:t>
        </w:r>
      </w:hyperlink>
      <w:r>
        <w:rPr>
          <w:rFonts w:ascii="Verdana" w:hAnsi="Verdana" w:cs="Arial"/>
          <w:sz w:val="18"/>
          <w:szCs w:val="18"/>
        </w:rPr>
        <w:t xml:space="preserve"> </w:t>
      </w:r>
    </w:p>
    <w:p w14:paraId="5BD26F46" w14:textId="77777777" w:rsidR="00390DF2" w:rsidRPr="00196147" w:rsidRDefault="00390DF2" w:rsidP="00390DF2">
      <w:pPr>
        <w:tabs>
          <w:tab w:val="left" w:pos="426"/>
          <w:tab w:val="left" w:pos="2087"/>
          <w:tab w:val="left" w:pos="3424"/>
          <w:tab w:val="left" w:pos="4701"/>
          <w:tab w:val="left" w:pos="5341"/>
          <w:tab w:val="left" w:pos="5920"/>
          <w:tab w:val="left" w:pos="7487"/>
          <w:tab w:val="left" w:pos="8037"/>
          <w:tab w:val="left" w:pos="8524"/>
        </w:tabs>
        <w:spacing w:line="240" w:lineRule="auto"/>
        <w:ind w:firstLine="709"/>
        <w:jc w:val="both"/>
        <w:rPr>
          <w:rFonts w:ascii="Verdana" w:hAnsi="Verdana" w:cs="Arial"/>
          <w:sz w:val="18"/>
          <w:szCs w:val="18"/>
        </w:rPr>
      </w:pPr>
      <w:r w:rsidRPr="00196147">
        <w:rPr>
          <w:rFonts w:ascii="Verdana" w:hAnsi="Verdana" w:cs="Arial"/>
          <w:sz w:val="18"/>
          <w:szCs w:val="18"/>
        </w:rPr>
        <w:t xml:space="preserve">Para la Autoridad Nacional de Licencias Ambientales los manuales y guías </w:t>
      </w:r>
      <w:r w:rsidRPr="00196147">
        <w:rPr>
          <w:rFonts w:ascii="Verdana" w:hAnsi="Verdana" w:cs="Arial"/>
          <w:sz w:val="18"/>
          <w:szCs w:val="18"/>
          <w:lang w:val="es-MX"/>
        </w:rPr>
        <w:t>“</w:t>
      </w:r>
      <w:r w:rsidRPr="00196147">
        <w:rPr>
          <w:rFonts w:ascii="Verdana" w:hAnsi="Verdana" w:cs="Arial"/>
          <w:sz w:val="18"/>
          <w:szCs w:val="18"/>
        </w:rPr>
        <w:t xml:space="preserve">son documentos técnicos a través de los cuales se estandarizan y se definen criterios y procedimientos de una actividad específica. A través de ellos se indican enfoques, lineamientos, se definen instructivos y se detallan los pasos que deben seguir quienes desarrollan una actividad determinada. El propósito de esta herramienta es el de permitir que las autoridades o a cualquier otro organismo equivalente haga más efectiva su gestión y documente sistemáticamente los criterios considerados durante los procesos de toma de decisiones”: </w:t>
      </w:r>
      <w:hyperlink r:id="rId2">
        <w:r w:rsidRPr="00196147">
          <w:rPr>
            <w:rFonts w:ascii="Verdana" w:hAnsi="Verdana" w:cs="Arial"/>
            <w:sz w:val="18"/>
            <w:szCs w:val="18"/>
          </w:rPr>
          <w:t>http://portal.anla.gov.co/manuales-y-guias</w:t>
        </w:r>
      </w:hyperlink>
      <w:r>
        <w:rPr>
          <w:rFonts w:ascii="Verdana" w:hAnsi="Verdana"/>
          <w:sz w:val="18"/>
          <w:szCs w:val="18"/>
        </w:rPr>
        <w:t xml:space="preserve"> </w:t>
      </w:r>
    </w:p>
  </w:footnote>
  <w:footnote w:id="4">
    <w:p w14:paraId="2F5A8137" w14:textId="77777777" w:rsidR="004A783C" w:rsidRPr="00537AC4" w:rsidRDefault="004A783C" w:rsidP="004A783C">
      <w:pPr>
        <w:snapToGrid w:val="0"/>
        <w:spacing w:before="120" w:after="120" w:line="240" w:lineRule="auto"/>
        <w:ind w:firstLine="708"/>
        <w:jc w:val="both"/>
        <w:rPr>
          <w:rFonts w:ascii="Verdana" w:hAnsi="Verdana" w:cs="Arial"/>
          <w:color w:val="000000" w:themeColor="text1"/>
          <w:sz w:val="18"/>
          <w:szCs w:val="18"/>
        </w:rPr>
      </w:pPr>
      <w:r w:rsidRPr="00537AC4">
        <w:rPr>
          <w:rStyle w:val="FootnoteReference"/>
          <w:rFonts w:ascii="Verdana" w:hAnsi="Verdana"/>
          <w:sz w:val="18"/>
          <w:szCs w:val="18"/>
        </w:rPr>
        <w:footnoteRef/>
      </w:r>
      <w:r w:rsidRPr="00537AC4">
        <w:rPr>
          <w:rFonts w:ascii="Verdana" w:hAnsi="Verdana"/>
          <w:sz w:val="18"/>
          <w:szCs w:val="18"/>
        </w:rPr>
        <w:t xml:space="preserve"> </w:t>
      </w:r>
      <w:r w:rsidRPr="00537AC4">
        <w:rPr>
          <w:rFonts w:ascii="Verdana" w:hAnsi="Verdana" w:cs="Arial"/>
          <w:color w:val="000000" w:themeColor="text1"/>
          <w:sz w:val="18"/>
          <w:szCs w:val="18"/>
        </w:rPr>
        <w:t xml:space="preserve">La Agencia Nacional de Contratación Pública – Colombia Compra Eficiente expidió la “Guía para el manejo de ofertas artificialmente bajas en Procesos de Contratación”, en la cual se señalan las causas y consecuencias de que en los procedimientos contractuales existan este tipo de ofertas, y las herramientas y pasos para identificarlas y manejarlas; además de estrategias para reducir la posibilidad de recibir ofertas con “precios artificialmente bajos”. De acuerdo con la parte introductoria de la Guía, esta brinda pautas a los participantes de la contratación pública, en cumplimiento del objetivo y funciones de esta Agencia que, de acuerdo con el artículo 3 Decreto Ley 4170 de 2011, desarrolla implementar y difunde políticas, planes, programas, normas instrumentos y herramientas que facilitan la contratación pública. </w:t>
      </w:r>
    </w:p>
    <w:p w14:paraId="3E1BF2F2" w14:textId="77777777" w:rsidR="004A783C" w:rsidRPr="00537AC4" w:rsidRDefault="004A783C" w:rsidP="004A783C">
      <w:pPr>
        <w:snapToGrid w:val="0"/>
        <w:spacing w:before="120" w:after="120" w:line="240" w:lineRule="auto"/>
        <w:ind w:firstLine="708"/>
        <w:jc w:val="both"/>
        <w:rPr>
          <w:rFonts w:ascii="Verdana" w:hAnsi="Verdana" w:cs="Arial"/>
          <w:color w:val="000000" w:themeColor="text1"/>
          <w:sz w:val="18"/>
          <w:szCs w:val="18"/>
        </w:rPr>
      </w:pPr>
      <w:r w:rsidRPr="00537AC4">
        <w:rPr>
          <w:rFonts w:ascii="Verdana" w:hAnsi="Verdana" w:cs="Arial"/>
          <w:color w:val="000000" w:themeColor="text1"/>
          <w:sz w:val="18"/>
          <w:szCs w:val="18"/>
        </w:rPr>
        <w:t xml:space="preserve">Entre las funciones asignadas se contempla el desarrollo y publicación de instrumentos y herramientas que ayuden a los participantes de la contratación pública, los cuales fueron denominados por la Agencia como manuales y guías. Los lineamientos y orientaciones que esta entidad propone tienen en cuenta la aplicación de normas de carácter general en materia de compras y contratación pública, y por ende se dirigen a facilitar la actividad contractual de las entidades públicas en general. </w:t>
      </w:r>
    </w:p>
    <w:p w14:paraId="51441131" w14:textId="77777777" w:rsidR="004A783C" w:rsidRPr="00537AC4" w:rsidRDefault="004A783C" w:rsidP="004A783C">
      <w:pPr>
        <w:pStyle w:val="FootnoteText"/>
        <w:snapToGrid w:val="0"/>
        <w:spacing w:after="120"/>
        <w:rPr>
          <w:rFonts w:ascii="Verdana" w:hAnsi="Verdana"/>
          <w:sz w:val="18"/>
          <w:szCs w:val="18"/>
          <w:lang w:val="es-CO"/>
        </w:rPr>
      </w:pPr>
    </w:p>
  </w:footnote>
  <w:footnote w:id="5">
    <w:p w14:paraId="3B54787E" w14:textId="77777777" w:rsidR="004A783C" w:rsidRPr="00537AC4" w:rsidRDefault="004A783C" w:rsidP="004A783C">
      <w:pPr>
        <w:pStyle w:val="FootnoteText"/>
        <w:snapToGrid w:val="0"/>
        <w:spacing w:after="120"/>
        <w:ind w:firstLine="709"/>
        <w:jc w:val="both"/>
        <w:rPr>
          <w:rFonts w:ascii="Verdana" w:hAnsi="Verdana" w:cs="Arial"/>
          <w:color w:val="000000" w:themeColor="text1"/>
          <w:sz w:val="18"/>
          <w:szCs w:val="18"/>
          <w:lang w:val="es-ES"/>
        </w:rPr>
      </w:pPr>
      <w:r w:rsidRPr="00537AC4">
        <w:rPr>
          <w:rStyle w:val="FootnoteReference"/>
          <w:rFonts w:ascii="Verdana" w:hAnsi="Verdana" w:cs="Arial"/>
          <w:color w:val="000000" w:themeColor="text1"/>
          <w:sz w:val="18"/>
          <w:szCs w:val="18"/>
        </w:rPr>
        <w:footnoteRef/>
      </w:r>
      <w:r w:rsidRPr="00537AC4">
        <w:rPr>
          <w:rFonts w:ascii="Verdana" w:hAnsi="Verdana" w:cs="Arial"/>
          <w:color w:val="000000" w:themeColor="text1"/>
          <w:sz w:val="18"/>
          <w:szCs w:val="18"/>
        </w:rPr>
        <w:t xml:space="preserve"> Guía para el manejo de ofertas artificialmente bajas en Procesos de Contratación. p. 10.</w:t>
      </w:r>
    </w:p>
  </w:footnote>
  <w:footnote w:id="6">
    <w:p w14:paraId="329F3EA2" w14:textId="77777777" w:rsidR="004A783C" w:rsidRPr="00537AC4" w:rsidRDefault="004A783C" w:rsidP="004A783C">
      <w:pPr>
        <w:pStyle w:val="FootnoteText"/>
        <w:snapToGrid w:val="0"/>
        <w:spacing w:after="120"/>
        <w:ind w:firstLine="709"/>
        <w:jc w:val="both"/>
        <w:rPr>
          <w:rFonts w:ascii="Verdana" w:hAnsi="Verdana" w:cs="Arial"/>
          <w:color w:val="000000" w:themeColor="text1"/>
          <w:sz w:val="18"/>
          <w:szCs w:val="18"/>
        </w:rPr>
      </w:pPr>
      <w:r w:rsidRPr="00537AC4">
        <w:rPr>
          <w:rStyle w:val="FootnoteReference"/>
          <w:rFonts w:ascii="Verdana" w:hAnsi="Verdana" w:cs="Arial"/>
          <w:color w:val="000000" w:themeColor="text1"/>
          <w:sz w:val="18"/>
          <w:szCs w:val="18"/>
        </w:rPr>
        <w:footnoteRef/>
      </w:r>
      <w:r w:rsidRPr="00537AC4">
        <w:rPr>
          <w:rFonts w:ascii="Verdana" w:hAnsi="Verdana" w:cs="Arial"/>
          <w:color w:val="000000" w:themeColor="text1"/>
          <w:sz w:val="18"/>
          <w:szCs w:val="18"/>
        </w:rPr>
        <w:t xml:space="preserve"> De acuerdo con el Consejo de Estado, Sección Quinta, sentencia del 22 de octubre de 2009. C.P. Filemón Jiménez, los actos administrativos de fondo son aquellos que concluyen la actuación administrativa, en tanto que deciden directa o indirectamente el fondo del asunto y producen efectos jurídicos definitivos; mientras que los actos de trámite por sí mismos no concluyen la actuación administrativa, salvo que, como lo prevé la norma, la decisión que se adopte impida que continúe tal actuación, caso en el cual se convierte en un acto administrativo definitivo, porque pone fin al procedimiento administrativo.</w:t>
      </w:r>
    </w:p>
  </w:footnote>
  <w:footnote w:id="7">
    <w:p w14:paraId="2232A3EC" w14:textId="77777777" w:rsidR="004A783C" w:rsidRPr="00537AC4" w:rsidRDefault="004A783C" w:rsidP="004A783C">
      <w:pPr>
        <w:pStyle w:val="FootnoteText"/>
        <w:snapToGrid w:val="0"/>
        <w:spacing w:after="120"/>
        <w:ind w:firstLine="709"/>
        <w:jc w:val="both"/>
        <w:rPr>
          <w:rFonts w:ascii="Verdana" w:hAnsi="Verdana" w:cs="Arial"/>
          <w:color w:val="000000" w:themeColor="text1"/>
          <w:sz w:val="18"/>
          <w:szCs w:val="18"/>
          <w:lang w:val="es-ES"/>
        </w:rPr>
      </w:pPr>
      <w:r w:rsidRPr="00537AC4">
        <w:rPr>
          <w:rStyle w:val="FootnoteReference"/>
          <w:rFonts w:ascii="Verdana" w:hAnsi="Verdana" w:cs="Arial"/>
          <w:color w:val="000000" w:themeColor="text1"/>
          <w:sz w:val="18"/>
          <w:szCs w:val="18"/>
        </w:rPr>
        <w:footnoteRef/>
      </w:r>
      <w:r w:rsidRPr="00537AC4">
        <w:rPr>
          <w:rFonts w:ascii="Verdana" w:hAnsi="Verdana" w:cs="Arial"/>
          <w:color w:val="000000" w:themeColor="text1"/>
          <w:sz w:val="18"/>
          <w:szCs w:val="18"/>
        </w:rPr>
        <w:t xml:space="preserve"> </w:t>
      </w:r>
      <w:r w:rsidRPr="00537AC4">
        <w:rPr>
          <w:rFonts w:ascii="Verdana" w:hAnsi="Verdana" w:cs="Arial"/>
          <w:color w:val="000000" w:themeColor="text1"/>
          <w:sz w:val="18"/>
          <w:szCs w:val="18"/>
          <w:lang w:val="es-ES"/>
        </w:rPr>
        <w:t>Consejo de Estado. Sección Segunda. Sentencia del 10 de junio de 1992. Exp. No. 4.249. C.P. Álvaro Lecompte Luna.</w:t>
      </w:r>
    </w:p>
  </w:footnote>
  <w:footnote w:id="8">
    <w:p w14:paraId="0BC74AC3" w14:textId="77777777" w:rsidR="004A783C" w:rsidRPr="00537AC4" w:rsidRDefault="004A783C" w:rsidP="004A783C">
      <w:pPr>
        <w:pStyle w:val="FootnoteText"/>
        <w:snapToGrid w:val="0"/>
        <w:spacing w:after="120"/>
        <w:ind w:firstLine="709"/>
        <w:jc w:val="both"/>
        <w:rPr>
          <w:rFonts w:ascii="Verdana" w:hAnsi="Verdana" w:cs="Arial"/>
          <w:color w:val="000000" w:themeColor="text1"/>
          <w:sz w:val="18"/>
          <w:szCs w:val="18"/>
        </w:rPr>
      </w:pPr>
      <w:r w:rsidRPr="00537AC4">
        <w:rPr>
          <w:rStyle w:val="FootnoteReference"/>
          <w:rFonts w:ascii="Verdana" w:hAnsi="Verdana" w:cs="Arial"/>
          <w:color w:val="000000" w:themeColor="text1"/>
          <w:sz w:val="18"/>
          <w:szCs w:val="18"/>
        </w:rPr>
        <w:footnoteRef/>
      </w:r>
      <w:r w:rsidRPr="00537AC4">
        <w:rPr>
          <w:rFonts w:ascii="Verdana" w:hAnsi="Verdana" w:cs="Arial"/>
          <w:color w:val="000000" w:themeColor="text1"/>
          <w:sz w:val="18"/>
          <w:szCs w:val="18"/>
        </w:rPr>
        <w:t xml:space="preserve"> DROMI, Roberto. Reforma del Estado y Privatizaciones. Tomo 2. Pliegos de condiciones. Buenos Aires: Astrea, 1991. p. 8. “La discrecionalidad tiene por lo menos dos límites evidentes. Uno es el respeto a la finalidad jurídica que justifica y da sustento al poder de la autoridad competente; el otro hace referencia a la necesidad de que el uso de la discrecionalidad administrativa, en nada sobrepasa lo rigurosamente necesario para el cumplimiento del interés jurídico que deba ser legítimamente tutelado. De ahí que si la finalidad que justifica cierta decisión discrecional es la de satisfacer adecuadamente el interés público, sólo él puede servir como criterio para la adopción de la medida”.</w:t>
      </w:r>
    </w:p>
  </w:footnote>
  <w:footnote w:id="9">
    <w:p w14:paraId="778BCCE4" w14:textId="4471BE7B" w:rsidR="004A783C" w:rsidRPr="00537AC4" w:rsidRDefault="004A783C" w:rsidP="00A0535A">
      <w:pPr>
        <w:pStyle w:val="FootnoteText"/>
        <w:snapToGrid w:val="0"/>
        <w:spacing w:after="120"/>
        <w:ind w:firstLine="708"/>
        <w:jc w:val="both"/>
        <w:rPr>
          <w:rFonts w:ascii="Verdana" w:hAnsi="Verdana"/>
          <w:sz w:val="18"/>
          <w:szCs w:val="18"/>
          <w:lang w:val="es-CO"/>
        </w:rPr>
      </w:pPr>
      <w:r w:rsidRPr="00537AC4">
        <w:rPr>
          <w:rStyle w:val="FootnoteReference"/>
          <w:rFonts w:ascii="Verdana" w:hAnsi="Verdana"/>
          <w:sz w:val="18"/>
          <w:szCs w:val="18"/>
        </w:rPr>
        <w:footnoteRef/>
      </w:r>
      <w:r w:rsidRPr="00537AC4">
        <w:rPr>
          <w:rFonts w:ascii="Verdana" w:hAnsi="Verdana"/>
          <w:sz w:val="18"/>
          <w:szCs w:val="18"/>
          <w:lang w:val="en-US"/>
        </w:rPr>
        <w:t xml:space="preserve"> </w:t>
      </w:r>
      <w:r w:rsidR="00A0535A">
        <w:rPr>
          <w:rFonts w:ascii="Verdana" w:hAnsi="Verdana"/>
          <w:sz w:val="18"/>
          <w:szCs w:val="18"/>
          <w:lang w:val="en-US"/>
        </w:rPr>
        <w:t xml:space="preserve"> </w:t>
      </w:r>
      <w:r w:rsidRPr="00537AC4">
        <w:rPr>
          <w:rFonts w:ascii="Verdana" w:hAnsi="Verdana"/>
          <w:sz w:val="18"/>
          <w:szCs w:val="18"/>
          <w:lang w:val="en-US"/>
        </w:rPr>
        <w:t>Ibidem. Tomado de Sullivan, Arthur; Steven M. Sheffrin (2003). Economics: Principles</w:t>
      </w:r>
      <w:r w:rsidR="00A0535A">
        <w:rPr>
          <w:rFonts w:ascii="Verdana" w:hAnsi="Verdana"/>
          <w:sz w:val="18"/>
          <w:szCs w:val="18"/>
          <w:lang w:val="en-US"/>
        </w:rPr>
        <w:t xml:space="preserve"> </w:t>
      </w:r>
      <w:r w:rsidRPr="00537AC4">
        <w:rPr>
          <w:rFonts w:ascii="Verdana" w:hAnsi="Verdana"/>
          <w:sz w:val="18"/>
          <w:szCs w:val="18"/>
          <w:lang w:val="en-US"/>
        </w:rPr>
        <w:t xml:space="preserve">in action. </w:t>
      </w:r>
      <w:r w:rsidRPr="00537AC4">
        <w:rPr>
          <w:rFonts w:ascii="Verdana" w:hAnsi="Verdana"/>
          <w:sz w:val="18"/>
          <w:szCs w:val="18"/>
          <w:lang w:val="es-CO"/>
        </w:rPr>
        <w:t xml:space="preserve">Upper Saddle River, New Jersey 07458: Prentice Hall. </w:t>
      </w:r>
    </w:p>
  </w:footnote>
  <w:footnote w:id="10">
    <w:p w14:paraId="49402D8E" w14:textId="77777777" w:rsidR="004A783C" w:rsidRPr="00537AC4" w:rsidRDefault="004A783C" w:rsidP="004A783C">
      <w:pPr>
        <w:pStyle w:val="FootnoteText"/>
        <w:snapToGrid w:val="0"/>
        <w:spacing w:after="120"/>
        <w:ind w:firstLine="708"/>
        <w:jc w:val="both"/>
        <w:rPr>
          <w:rFonts w:ascii="Verdana" w:hAnsi="Verdana"/>
          <w:sz w:val="18"/>
          <w:szCs w:val="18"/>
        </w:rPr>
      </w:pPr>
      <w:r w:rsidRPr="00537AC4">
        <w:rPr>
          <w:rStyle w:val="FootnoteReference"/>
          <w:rFonts w:ascii="Verdana" w:hAnsi="Verdana"/>
          <w:sz w:val="18"/>
          <w:szCs w:val="18"/>
        </w:rPr>
        <w:footnoteRef/>
      </w:r>
      <w:r w:rsidRPr="00537AC4">
        <w:rPr>
          <w:rFonts w:ascii="Verdana" w:hAnsi="Verdana"/>
          <w:sz w:val="18"/>
          <w:szCs w:val="18"/>
        </w:rPr>
        <w:t xml:space="preserve"> Es importante tener en cuenta que, dado que los contratos estatales regulados por el Estatuto General de Contratación de la Administración Pública son principalmente negocios jurídicos conmutativos, la contraprestación no solo es un derecho del contratista–Ley 80 de 1993, art. 5, num. 1–, sino que también es un elemento relevante para su perfeccionamiento–Ley 80 de 1993, art. 41, inciso primero–.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i="http://schemas.microsoft.com/office/word/2026/wordml/cei"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Header"/>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Header"/>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i="http://schemas.microsoft.com/office/word/2026/wordml/cei"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11.25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9" w15:restartNumberingAfterBreak="0">
    <w:nsid w:val="40A07E45"/>
    <w:multiLevelType w:val="hybridMultilevel"/>
    <w:tmpl w:val="B052C350"/>
    <w:lvl w:ilvl="0" w:tplc="919E07C0">
      <w:start w:val="1"/>
      <w:numFmt w:val="decimal"/>
      <w:lvlText w:val="%1."/>
      <w:lvlJc w:val="left"/>
      <w:pPr>
        <w:ind w:left="720" w:hanging="360"/>
      </w:pPr>
      <w:rPr>
        <w:rFonts w:eastAsia="Century Gothic" w:cs="Arial" w:hint="default"/>
        <w:b/>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15:restartNumberingAfterBreak="0">
    <w:nsid w:val="53244075"/>
    <w:multiLevelType w:val="hybridMultilevel"/>
    <w:tmpl w:val="99FC0930"/>
    <w:lvl w:ilvl="0" w:tplc="6DD292B4">
      <w:start w:val="4"/>
      <w:numFmt w:val="decimal"/>
      <w:lvlText w:val="%1."/>
      <w:lvlJc w:val="left"/>
      <w:pPr>
        <w:ind w:left="502" w:hanging="360"/>
      </w:pPr>
      <w:rPr>
        <w:rFonts w:hint="default"/>
      </w:rPr>
    </w:lvl>
    <w:lvl w:ilvl="1" w:tplc="240A0019" w:tentative="1">
      <w:start w:val="1"/>
      <w:numFmt w:val="lowerLetter"/>
      <w:lvlText w:val="%2."/>
      <w:lvlJc w:val="left"/>
      <w:pPr>
        <w:ind w:left="1222" w:hanging="360"/>
      </w:pPr>
    </w:lvl>
    <w:lvl w:ilvl="2" w:tplc="240A001B" w:tentative="1">
      <w:start w:val="1"/>
      <w:numFmt w:val="lowerRoman"/>
      <w:lvlText w:val="%3."/>
      <w:lvlJc w:val="right"/>
      <w:pPr>
        <w:ind w:left="1942" w:hanging="180"/>
      </w:pPr>
    </w:lvl>
    <w:lvl w:ilvl="3" w:tplc="240A000F" w:tentative="1">
      <w:start w:val="1"/>
      <w:numFmt w:val="decimal"/>
      <w:lvlText w:val="%4."/>
      <w:lvlJc w:val="left"/>
      <w:pPr>
        <w:ind w:left="2662" w:hanging="360"/>
      </w:pPr>
    </w:lvl>
    <w:lvl w:ilvl="4" w:tplc="240A0019" w:tentative="1">
      <w:start w:val="1"/>
      <w:numFmt w:val="lowerLetter"/>
      <w:lvlText w:val="%5."/>
      <w:lvlJc w:val="left"/>
      <w:pPr>
        <w:ind w:left="3382" w:hanging="360"/>
      </w:pPr>
    </w:lvl>
    <w:lvl w:ilvl="5" w:tplc="240A001B" w:tentative="1">
      <w:start w:val="1"/>
      <w:numFmt w:val="lowerRoman"/>
      <w:lvlText w:val="%6."/>
      <w:lvlJc w:val="right"/>
      <w:pPr>
        <w:ind w:left="4102" w:hanging="180"/>
      </w:pPr>
    </w:lvl>
    <w:lvl w:ilvl="6" w:tplc="240A000F" w:tentative="1">
      <w:start w:val="1"/>
      <w:numFmt w:val="decimal"/>
      <w:lvlText w:val="%7."/>
      <w:lvlJc w:val="left"/>
      <w:pPr>
        <w:ind w:left="4822" w:hanging="360"/>
      </w:pPr>
    </w:lvl>
    <w:lvl w:ilvl="7" w:tplc="240A0019" w:tentative="1">
      <w:start w:val="1"/>
      <w:numFmt w:val="lowerLetter"/>
      <w:lvlText w:val="%8."/>
      <w:lvlJc w:val="left"/>
      <w:pPr>
        <w:ind w:left="5542" w:hanging="360"/>
      </w:pPr>
    </w:lvl>
    <w:lvl w:ilvl="8" w:tplc="240A001B" w:tentative="1">
      <w:start w:val="1"/>
      <w:numFmt w:val="lowerRoman"/>
      <w:lvlText w:val="%9."/>
      <w:lvlJc w:val="right"/>
      <w:pPr>
        <w:ind w:left="6262" w:hanging="180"/>
      </w:p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5"/>
  </w:num>
  <w:num w:numId="2" w16cid:durableId="19822139">
    <w:abstractNumId w:val="1"/>
  </w:num>
  <w:num w:numId="3" w16cid:durableId="876742304">
    <w:abstractNumId w:val="3"/>
  </w:num>
  <w:num w:numId="4" w16cid:durableId="24518640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4"/>
  </w:num>
  <w:num w:numId="7" w16cid:durableId="1946422806">
    <w:abstractNumId w:val="4"/>
  </w:num>
  <w:num w:numId="8" w16cid:durableId="152644682">
    <w:abstractNumId w:val="13"/>
  </w:num>
  <w:num w:numId="9" w16cid:durableId="1317221377">
    <w:abstractNumId w:val="6"/>
  </w:num>
  <w:num w:numId="10" w16cid:durableId="1471245386">
    <w:abstractNumId w:val="12"/>
  </w:num>
  <w:num w:numId="11" w16cid:durableId="289172385">
    <w:abstractNumId w:val="7"/>
  </w:num>
  <w:num w:numId="12" w16cid:durableId="1470781324">
    <w:abstractNumId w:val="0"/>
  </w:num>
  <w:num w:numId="13" w16cid:durableId="1512908409">
    <w:abstractNumId w:val="2"/>
  </w:num>
  <w:num w:numId="14" w16cid:durableId="895897244">
    <w:abstractNumId w:val="15"/>
  </w:num>
  <w:num w:numId="15" w16cid:durableId="390349800">
    <w:abstractNumId w:val="11"/>
  </w:num>
  <w:num w:numId="16" w16cid:durableId="854611398">
    <w:abstractNumId w:val="9"/>
  </w:num>
  <w:num w:numId="17" w16cid:durableId="1542086715">
    <w:abstractNumId w:val="8"/>
  </w:num>
  <w:num w:numId="18" w16cid:durableId="172348233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20D74"/>
    <w:rsid w:val="00046945"/>
    <w:rsid w:val="00056AF0"/>
    <w:rsid w:val="0005767B"/>
    <w:rsid w:val="0006112E"/>
    <w:rsid w:val="00061B2A"/>
    <w:rsid w:val="000702C5"/>
    <w:rsid w:val="00082362"/>
    <w:rsid w:val="00094B18"/>
    <w:rsid w:val="000A683E"/>
    <w:rsid w:val="000B19B9"/>
    <w:rsid w:val="000D0334"/>
    <w:rsid w:val="000D5DA7"/>
    <w:rsid w:val="000E1D95"/>
    <w:rsid w:val="000E3480"/>
    <w:rsid w:val="000F6486"/>
    <w:rsid w:val="001069CB"/>
    <w:rsid w:val="00114936"/>
    <w:rsid w:val="00116940"/>
    <w:rsid w:val="00124B47"/>
    <w:rsid w:val="00125105"/>
    <w:rsid w:val="00126A84"/>
    <w:rsid w:val="00127233"/>
    <w:rsid w:val="0015699B"/>
    <w:rsid w:val="001717FA"/>
    <w:rsid w:val="001842E6"/>
    <w:rsid w:val="0019472A"/>
    <w:rsid w:val="001A33BF"/>
    <w:rsid w:val="001A66B1"/>
    <w:rsid w:val="001B39AA"/>
    <w:rsid w:val="001C11E7"/>
    <w:rsid w:val="001E4177"/>
    <w:rsid w:val="001E4635"/>
    <w:rsid w:val="001F0B24"/>
    <w:rsid w:val="001F7DC6"/>
    <w:rsid w:val="00201085"/>
    <w:rsid w:val="0022400B"/>
    <w:rsid w:val="002379C3"/>
    <w:rsid w:val="00241690"/>
    <w:rsid w:val="002421BB"/>
    <w:rsid w:val="0024250E"/>
    <w:rsid w:val="00252E83"/>
    <w:rsid w:val="00257197"/>
    <w:rsid w:val="0025796E"/>
    <w:rsid w:val="00264178"/>
    <w:rsid w:val="002707A2"/>
    <w:rsid w:val="002832D7"/>
    <w:rsid w:val="002951A0"/>
    <w:rsid w:val="002962BC"/>
    <w:rsid w:val="002A093D"/>
    <w:rsid w:val="002A0DD0"/>
    <w:rsid w:val="002A49AC"/>
    <w:rsid w:val="002A64FD"/>
    <w:rsid w:val="002C249C"/>
    <w:rsid w:val="002C7A84"/>
    <w:rsid w:val="002E2BF8"/>
    <w:rsid w:val="002E4FD9"/>
    <w:rsid w:val="0030657A"/>
    <w:rsid w:val="00322A85"/>
    <w:rsid w:val="00324168"/>
    <w:rsid w:val="00330834"/>
    <w:rsid w:val="003359DC"/>
    <w:rsid w:val="003448F4"/>
    <w:rsid w:val="00374F5E"/>
    <w:rsid w:val="00377E3E"/>
    <w:rsid w:val="003817C1"/>
    <w:rsid w:val="00390DF2"/>
    <w:rsid w:val="00396D88"/>
    <w:rsid w:val="003A69EF"/>
    <w:rsid w:val="003A779E"/>
    <w:rsid w:val="003D0F4D"/>
    <w:rsid w:val="003D5B0D"/>
    <w:rsid w:val="003E0499"/>
    <w:rsid w:val="003E4F80"/>
    <w:rsid w:val="003E6439"/>
    <w:rsid w:val="003F3941"/>
    <w:rsid w:val="004036B0"/>
    <w:rsid w:val="00406575"/>
    <w:rsid w:val="00406980"/>
    <w:rsid w:val="00414C74"/>
    <w:rsid w:val="00417B58"/>
    <w:rsid w:val="0042722E"/>
    <w:rsid w:val="004413EE"/>
    <w:rsid w:val="0044528D"/>
    <w:rsid w:val="00466E39"/>
    <w:rsid w:val="004A1847"/>
    <w:rsid w:val="004A2940"/>
    <w:rsid w:val="004A305D"/>
    <w:rsid w:val="004A783C"/>
    <w:rsid w:val="004F21C4"/>
    <w:rsid w:val="004F685F"/>
    <w:rsid w:val="00510AC0"/>
    <w:rsid w:val="005148DC"/>
    <w:rsid w:val="00517E98"/>
    <w:rsid w:val="00547010"/>
    <w:rsid w:val="005566E8"/>
    <w:rsid w:val="00574867"/>
    <w:rsid w:val="00591460"/>
    <w:rsid w:val="00595B4C"/>
    <w:rsid w:val="005A65E0"/>
    <w:rsid w:val="005A739B"/>
    <w:rsid w:val="005C3777"/>
    <w:rsid w:val="005C5654"/>
    <w:rsid w:val="005C5CDC"/>
    <w:rsid w:val="005D0FCA"/>
    <w:rsid w:val="005D476C"/>
    <w:rsid w:val="005D5843"/>
    <w:rsid w:val="00601BDA"/>
    <w:rsid w:val="00616A86"/>
    <w:rsid w:val="006200BF"/>
    <w:rsid w:val="006219F8"/>
    <w:rsid w:val="006302F7"/>
    <w:rsid w:val="00646B9F"/>
    <w:rsid w:val="00665D70"/>
    <w:rsid w:val="006900D9"/>
    <w:rsid w:val="00691561"/>
    <w:rsid w:val="00692713"/>
    <w:rsid w:val="006A3161"/>
    <w:rsid w:val="006C22D5"/>
    <w:rsid w:val="006C5808"/>
    <w:rsid w:val="00706655"/>
    <w:rsid w:val="00706C16"/>
    <w:rsid w:val="007340C3"/>
    <w:rsid w:val="00741278"/>
    <w:rsid w:val="0075235A"/>
    <w:rsid w:val="007533F0"/>
    <w:rsid w:val="00756841"/>
    <w:rsid w:val="007649AB"/>
    <w:rsid w:val="00771D0C"/>
    <w:rsid w:val="007833AC"/>
    <w:rsid w:val="007950AB"/>
    <w:rsid w:val="007B268C"/>
    <w:rsid w:val="007B7171"/>
    <w:rsid w:val="007C0C0F"/>
    <w:rsid w:val="007C3DC2"/>
    <w:rsid w:val="007E5497"/>
    <w:rsid w:val="007F3D72"/>
    <w:rsid w:val="007F5899"/>
    <w:rsid w:val="00806F5F"/>
    <w:rsid w:val="00820278"/>
    <w:rsid w:val="008258C9"/>
    <w:rsid w:val="00834D33"/>
    <w:rsid w:val="00834E6D"/>
    <w:rsid w:val="00835372"/>
    <w:rsid w:val="00844AE9"/>
    <w:rsid w:val="00855E36"/>
    <w:rsid w:val="00867F95"/>
    <w:rsid w:val="00883BA5"/>
    <w:rsid w:val="008843B6"/>
    <w:rsid w:val="00891928"/>
    <w:rsid w:val="008A446D"/>
    <w:rsid w:val="008B25F1"/>
    <w:rsid w:val="008C23F6"/>
    <w:rsid w:val="008C6F34"/>
    <w:rsid w:val="008D180B"/>
    <w:rsid w:val="008D6231"/>
    <w:rsid w:val="008E2E2F"/>
    <w:rsid w:val="008F0EA7"/>
    <w:rsid w:val="008F26FD"/>
    <w:rsid w:val="00923EEF"/>
    <w:rsid w:val="009419F9"/>
    <w:rsid w:val="0095685E"/>
    <w:rsid w:val="00961B09"/>
    <w:rsid w:val="00965334"/>
    <w:rsid w:val="0097093E"/>
    <w:rsid w:val="00972FEA"/>
    <w:rsid w:val="00991AC6"/>
    <w:rsid w:val="009A0DFA"/>
    <w:rsid w:val="009A1C6F"/>
    <w:rsid w:val="009B2440"/>
    <w:rsid w:val="009B2D26"/>
    <w:rsid w:val="009C71FA"/>
    <w:rsid w:val="009C72E7"/>
    <w:rsid w:val="009C7F7E"/>
    <w:rsid w:val="009D3058"/>
    <w:rsid w:val="009D48C4"/>
    <w:rsid w:val="009F3A13"/>
    <w:rsid w:val="00A0535A"/>
    <w:rsid w:val="00A122D3"/>
    <w:rsid w:val="00A14468"/>
    <w:rsid w:val="00A17F13"/>
    <w:rsid w:val="00A20739"/>
    <w:rsid w:val="00A23AF9"/>
    <w:rsid w:val="00A33C78"/>
    <w:rsid w:val="00A70637"/>
    <w:rsid w:val="00A954AF"/>
    <w:rsid w:val="00AA403B"/>
    <w:rsid w:val="00AA4F93"/>
    <w:rsid w:val="00AB0ADB"/>
    <w:rsid w:val="00AF3F2A"/>
    <w:rsid w:val="00B00C0E"/>
    <w:rsid w:val="00B01B1A"/>
    <w:rsid w:val="00B02038"/>
    <w:rsid w:val="00B0381D"/>
    <w:rsid w:val="00B13758"/>
    <w:rsid w:val="00B44A47"/>
    <w:rsid w:val="00B72CD3"/>
    <w:rsid w:val="00B72FFF"/>
    <w:rsid w:val="00B75769"/>
    <w:rsid w:val="00B760C6"/>
    <w:rsid w:val="00BC3D36"/>
    <w:rsid w:val="00BD54A6"/>
    <w:rsid w:val="00BD7F72"/>
    <w:rsid w:val="00BF7425"/>
    <w:rsid w:val="00C04FB3"/>
    <w:rsid w:val="00C11D8B"/>
    <w:rsid w:val="00C15139"/>
    <w:rsid w:val="00C20CEF"/>
    <w:rsid w:val="00C330EB"/>
    <w:rsid w:val="00C356FF"/>
    <w:rsid w:val="00C4396B"/>
    <w:rsid w:val="00C50D69"/>
    <w:rsid w:val="00C526FB"/>
    <w:rsid w:val="00C5365C"/>
    <w:rsid w:val="00C65856"/>
    <w:rsid w:val="00C723B2"/>
    <w:rsid w:val="00C754BE"/>
    <w:rsid w:val="00C76B1C"/>
    <w:rsid w:val="00C925AC"/>
    <w:rsid w:val="00CA3126"/>
    <w:rsid w:val="00CB6357"/>
    <w:rsid w:val="00CC1B26"/>
    <w:rsid w:val="00CC55CC"/>
    <w:rsid w:val="00CD0741"/>
    <w:rsid w:val="00CE1B7C"/>
    <w:rsid w:val="00D0042E"/>
    <w:rsid w:val="00D006B4"/>
    <w:rsid w:val="00D0444F"/>
    <w:rsid w:val="00D1037B"/>
    <w:rsid w:val="00D21016"/>
    <w:rsid w:val="00D361FD"/>
    <w:rsid w:val="00D4128A"/>
    <w:rsid w:val="00D423A2"/>
    <w:rsid w:val="00D44E26"/>
    <w:rsid w:val="00D520D8"/>
    <w:rsid w:val="00D63AC2"/>
    <w:rsid w:val="00D7383B"/>
    <w:rsid w:val="00D7788A"/>
    <w:rsid w:val="00DA231B"/>
    <w:rsid w:val="00DB7553"/>
    <w:rsid w:val="00DC39FC"/>
    <w:rsid w:val="00DE692C"/>
    <w:rsid w:val="00DF5254"/>
    <w:rsid w:val="00E02524"/>
    <w:rsid w:val="00E054DF"/>
    <w:rsid w:val="00E16408"/>
    <w:rsid w:val="00E20894"/>
    <w:rsid w:val="00E245AB"/>
    <w:rsid w:val="00E2764C"/>
    <w:rsid w:val="00E27F2E"/>
    <w:rsid w:val="00E45DFB"/>
    <w:rsid w:val="00E50AFE"/>
    <w:rsid w:val="00E6148A"/>
    <w:rsid w:val="00E746CB"/>
    <w:rsid w:val="00E75C92"/>
    <w:rsid w:val="00E771DC"/>
    <w:rsid w:val="00E8772A"/>
    <w:rsid w:val="00E90F6B"/>
    <w:rsid w:val="00E92C27"/>
    <w:rsid w:val="00E96918"/>
    <w:rsid w:val="00EA0E3D"/>
    <w:rsid w:val="00EB2F07"/>
    <w:rsid w:val="00EC38A7"/>
    <w:rsid w:val="00EC38AA"/>
    <w:rsid w:val="00EE1AA8"/>
    <w:rsid w:val="00F23FEA"/>
    <w:rsid w:val="00F31EDC"/>
    <w:rsid w:val="00F365B8"/>
    <w:rsid w:val="00F40819"/>
    <w:rsid w:val="00F462B3"/>
    <w:rsid w:val="00F52004"/>
    <w:rsid w:val="00F5664F"/>
    <w:rsid w:val="00F60DB9"/>
    <w:rsid w:val="00F6478A"/>
    <w:rsid w:val="00F666C4"/>
    <w:rsid w:val="00F73830"/>
    <w:rsid w:val="00F76AFC"/>
    <w:rsid w:val="00F91B4D"/>
    <w:rsid w:val="00FA47C0"/>
    <w:rsid w:val="00FB5DD1"/>
    <w:rsid w:val="00FC2B5D"/>
    <w:rsid w:val="00FD39A8"/>
    <w:rsid w:val="00FE66EF"/>
    <w:rsid w:val="00FF1449"/>
    <w:rsid w:val="00FF7963"/>
    <w:rsid w:val="071B8F93"/>
    <w:rsid w:val="07C73DD1"/>
    <w:rsid w:val="09908A09"/>
    <w:rsid w:val="0E0AF0F4"/>
    <w:rsid w:val="0EFE6349"/>
    <w:rsid w:val="0FF4CCA8"/>
    <w:rsid w:val="13CFC91B"/>
    <w:rsid w:val="19A2EC2C"/>
    <w:rsid w:val="21779BE6"/>
    <w:rsid w:val="277E866C"/>
    <w:rsid w:val="2859CA1B"/>
    <w:rsid w:val="2C4D2425"/>
    <w:rsid w:val="2EE1E026"/>
    <w:rsid w:val="2F44F38F"/>
    <w:rsid w:val="30821638"/>
    <w:rsid w:val="32A4F9CF"/>
    <w:rsid w:val="33A1FF93"/>
    <w:rsid w:val="356CEDFD"/>
    <w:rsid w:val="3C591AFD"/>
    <w:rsid w:val="42183F0A"/>
    <w:rsid w:val="545B112A"/>
    <w:rsid w:val="5BEB1497"/>
    <w:rsid w:val="69614A15"/>
    <w:rsid w:val="74BA017B"/>
    <w:rsid w:val="7677286E"/>
    <w:rsid w:val="7871A91D"/>
    <w:rsid w:val="79A64A20"/>
    <w:rsid w:val="7BB183BC"/>
    <w:rsid w:val="7E7F4254"/>
  </w:rsids>
  <m:mathPr>
    <m:mathFont m:val="Cambria Math"/>
    <m:brkBin m:val="before"/>
    <m:brkBinSub m:val="--"/>
    <m:smallFrac m:val="0"/>
    <m:dispDef/>
    <m:lMargin m:val="0"/>
    <m:rMargin m:val="0"/>
    <m:defJc m:val="centerGroup"/>
    <m:wrapIndent m:val="1440"/>
    <m:intLim m:val="subSup"/>
    <m:naryLim m:val="undOvr"/>
  </m:mathPr>
  <w:themeFontLang w:val="es-CO"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C17F3186-9A1F-418D-AE3A-A49234FDA5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A1847"/>
    <w:pPr>
      <w:tabs>
        <w:tab w:val="center" w:pos="4419"/>
        <w:tab w:val="right" w:pos="8838"/>
      </w:tabs>
      <w:spacing w:after="0" w:line="240" w:lineRule="auto"/>
    </w:pPr>
  </w:style>
  <w:style w:type="character" w:customStyle="1" w:styleId="HeaderChar">
    <w:name w:val="Header Char"/>
    <w:basedOn w:val="DefaultParagraphFont"/>
    <w:link w:val="Header"/>
    <w:uiPriority w:val="99"/>
    <w:rsid w:val="004A1847"/>
  </w:style>
  <w:style w:type="paragraph" w:styleId="Footer">
    <w:name w:val="footer"/>
    <w:basedOn w:val="Normal"/>
    <w:link w:val="FooterChar"/>
    <w:uiPriority w:val="99"/>
    <w:unhideWhenUsed/>
    <w:rsid w:val="004A1847"/>
    <w:pPr>
      <w:tabs>
        <w:tab w:val="center" w:pos="4419"/>
        <w:tab w:val="right" w:pos="8838"/>
      </w:tabs>
      <w:spacing w:after="0" w:line="240" w:lineRule="auto"/>
    </w:pPr>
  </w:style>
  <w:style w:type="character" w:customStyle="1" w:styleId="FooterChar">
    <w:name w:val="Footer Char"/>
    <w:basedOn w:val="DefaultParagraphFont"/>
    <w:link w:val="Footer"/>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FootnoteTextChar">
    <w:name w:val="Footnote Text Char"/>
    <w:aliases w:val="Ref. de nota al pie1 Char,Texto de nota al pie Char,referencia nota al pie Char,Appel note de bas de page Char,Footnotes refss Char,Footnote number Char,BVI fnr Char,Footnote Text Char Char Char Char Char Char,Footnote reference Char"/>
    <w:basedOn w:val="DefaultParagraphFont"/>
    <w:link w:val="FootnoteText"/>
    <w:uiPriority w:val="99"/>
    <w:qFormat/>
    <w:locked/>
    <w:rsid w:val="006219F8"/>
    <w:rPr>
      <w:sz w:val="20"/>
      <w:szCs w:val="20"/>
      <w:lang w:val="es-MX"/>
    </w:rPr>
  </w:style>
  <w:style w:type="paragraph" w:styleId="FootnoteText">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FootnoteTextChar"/>
    <w:uiPriority w:val="99"/>
    <w:unhideWhenUsed/>
    <w:qFormat/>
    <w:rsid w:val="006219F8"/>
    <w:pPr>
      <w:spacing w:after="0" w:line="240" w:lineRule="auto"/>
    </w:pPr>
    <w:rPr>
      <w:sz w:val="20"/>
      <w:szCs w:val="20"/>
      <w:lang w:val="es-MX"/>
    </w:rPr>
  </w:style>
  <w:style w:type="character" w:customStyle="1" w:styleId="TextonotapieCar1">
    <w:name w:val="Texto nota pie Car1"/>
    <w:basedOn w:val="DefaultParagraphFont"/>
    <w:uiPriority w:val="99"/>
    <w:semiHidden/>
    <w:rsid w:val="006219F8"/>
    <w:rPr>
      <w:sz w:val="20"/>
      <w:szCs w:val="20"/>
    </w:rPr>
  </w:style>
  <w:style w:type="character" w:styleId="FootnoteReference">
    <w:name w:val="footnote reference"/>
    <w:aliases w:val="Ref. de nota al pie 2,Ref,de nota al pie,FC,Appel note de bas de p,f,4_G,16 Point,Superscript 6 Point,Texto nota al pie,Pie de Página,Texto de nota al pi,Nota de pie,Texto de nota al p,Footnote Reference Char3,Texto nota pie Car2,F,R"/>
    <w:basedOn w:val="DefaultParagraphFont"/>
    <w:link w:val="Appelnotedebasde"/>
    <w:uiPriority w:val="99"/>
    <w:unhideWhenUsed/>
    <w:qFormat/>
    <w:rsid w:val="006219F8"/>
    <w:rPr>
      <w:vertAlign w:val="superscript"/>
    </w:rPr>
  </w:style>
  <w:style w:type="character" w:customStyle="1" w:styleId="normaltextrun">
    <w:name w:val="normaltextrun"/>
    <w:basedOn w:val="DefaultParagraphFont"/>
    <w:rsid w:val="006219F8"/>
  </w:style>
  <w:style w:type="table" w:styleId="TableGrid">
    <w:name w:val="Table Grid"/>
    <w:basedOn w:val="Table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Fotografía,Párrafo de lista1,Bullet List,FooterText,numbered,Paragraphe de liste1,lp1,Scitum normal,HOJA,Bolita,Párrafo de lista4,BOLADEF,Párrafo de lista3,Párrafo de lista21,BOLA,Nivel 1 OS,Colorful List Accent 1,Foot"/>
    <w:basedOn w:val="Normal"/>
    <w:link w:val="ListParagraphChar"/>
    <w:uiPriority w:val="34"/>
    <w:qFormat/>
    <w:rsid w:val="005566E8"/>
    <w:pPr>
      <w:ind w:left="720"/>
      <w:contextualSpacing/>
    </w:pPr>
    <w:rPr>
      <w:rFonts w:ascii="Geomanist Light" w:hAnsi="Geomanist Light"/>
      <w:lang w:val="es-ES"/>
    </w:rPr>
  </w:style>
  <w:style w:type="paragraph" w:styleId="Title">
    <w:name w:val="Title"/>
    <w:basedOn w:val="Normal"/>
    <w:next w:val="Normal"/>
    <w:link w:val="TitleCh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itleChar">
    <w:name w:val="Title Char"/>
    <w:basedOn w:val="DefaultParagraphFont"/>
    <w:link w:val="Title"/>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DefaultParagraphFont"/>
    <w:rsid w:val="00DA231B"/>
  </w:style>
  <w:style w:type="character" w:styleId="Hyperlink">
    <w:name w:val="Hyperlink"/>
    <w:basedOn w:val="DefaultParagraphFont"/>
    <w:uiPriority w:val="99"/>
    <w:unhideWhenUsed/>
    <w:rsid w:val="00125105"/>
    <w:rPr>
      <w:color w:val="0000FF"/>
      <w:u w:val="single"/>
    </w:rPr>
  </w:style>
  <w:style w:type="character" w:styleId="FollowedHyperlink">
    <w:name w:val="FollowedHyperlink"/>
    <w:basedOn w:val="DefaultParagraphFont"/>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DefaultParagraphFont"/>
    <w:rsid w:val="00322A85"/>
  </w:style>
  <w:style w:type="character" w:customStyle="1" w:styleId="eop">
    <w:name w:val="eop"/>
    <w:basedOn w:val="DefaultParagraphFont"/>
    <w:rsid w:val="00322A85"/>
  </w:style>
  <w:style w:type="character" w:styleId="UnresolvedMention">
    <w:name w:val="Unresolved Mention"/>
    <w:basedOn w:val="DefaultParagraphFont"/>
    <w:uiPriority w:val="99"/>
    <w:semiHidden/>
    <w:unhideWhenUsed/>
    <w:rsid w:val="001F7DC6"/>
    <w:rPr>
      <w:color w:val="605E5C"/>
      <w:shd w:val="clear" w:color="auto" w:fill="E1DFDD"/>
    </w:rPr>
  </w:style>
  <w:style w:type="paragraph" w:styleId="NormalWeb">
    <w:name w:val="Normal (Web)"/>
    <w:basedOn w:val="Normal"/>
    <w:link w:val="NormalWebCh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on">
    <w:name w:val="Revision"/>
    <w:hidden/>
    <w:uiPriority w:val="99"/>
    <w:semiHidden/>
    <w:rsid w:val="009F3A13"/>
    <w:pPr>
      <w:spacing w:after="0" w:line="240" w:lineRule="auto"/>
    </w:pPr>
  </w:style>
  <w:style w:type="paragraph" w:styleId="BodyText">
    <w:name w:val="Body Text"/>
    <w:basedOn w:val="Normal"/>
    <w:link w:val="BodyTextChar"/>
    <w:uiPriority w:val="1"/>
    <w:qFormat/>
    <w:rsid w:val="00F365B8"/>
    <w:pPr>
      <w:widowControl w:val="0"/>
      <w:autoSpaceDE w:val="0"/>
      <w:autoSpaceDN w:val="0"/>
      <w:spacing w:after="0" w:line="240" w:lineRule="auto"/>
      <w:ind w:firstLine="709"/>
    </w:pPr>
    <w:rPr>
      <w:rFonts w:ascii="Verdana" w:eastAsia="Verdana" w:hAnsi="Verdana" w:cs="Verdana"/>
      <w:lang w:val="es-ES"/>
    </w:rPr>
  </w:style>
  <w:style w:type="character" w:customStyle="1" w:styleId="BodyTextChar">
    <w:name w:val="Body Text Char"/>
    <w:basedOn w:val="DefaultParagraphFont"/>
    <w:link w:val="BodyText"/>
    <w:uiPriority w:val="1"/>
    <w:rsid w:val="00F365B8"/>
    <w:rPr>
      <w:rFonts w:ascii="Verdana" w:eastAsia="Verdana" w:hAnsi="Verdana" w:cs="Verdana"/>
      <w:lang w:val="es-ES"/>
    </w:rPr>
  </w:style>
  <w:style w:type="character" w:customStyle="1" w:styleId="ListParagraphChar">
    <w:name w:val="List Paragraph Char"/>
    <w:aliases w:val="Fotografía Char,Párrafo de lista1 Char,Bullet List Char,FooterText Char,numbered Char,Paragraphe de liste1 Char,lp1 Char,Scitum normal Char,HOJA Char,Bolita Char,Párrafo de lista4 Char,BOLADEF Char,Párrafo de lista3 Char,BOLA Char"/>
    <w:link w:val="ListParagraph"/>
    <w:uiPriority w:val="34"/>
    <w:qFormat/>
    <w:locked/>
    <w:rsid w:val="00F365B8"/>
    <w:rPr>
      <w:rFonts w:ascii="Geomanist Light" w:hAnsi="Geomanist Light"/>
      <w:lang w:val="es-ES"/>
    </w:rPr>
  </w:style>
  <w:style w:type="character" w:customStyle="1" w:styleId="s15">
    <w:name w:val="s15"/>
    <w:basedOn w:val="DefaultParagraphFont"/>
    <w:rsid w:val="00F365B8"/>
  </w:style>
  <w:style w:type="paragraph" w:customStyle="1" w:styleId="TableParagraph">
    <w:name w:val="Table Paragraph"/>
    <w:basedOn w:val="Normal"/>
    <w:uiPriority w:val="1"/>
    <w:qFormat/>
    <w:rsid w:val="00F365B8"/>
    <w:pPr>
      <w:widowControl w:val="0"/>
      <w:autoSpaceDE w:val="0"/>
      <w:autoSpaceDN w:val="0"/>
      <w:spacing w:after="0" w:line="208" w:lineRule="exact"/>
      <w:ind w:left="119"/>
    </w:pPr>
    <w:rPr>
      <w:rFonts w:ascii="Calibri" w:eastAsia="Calibri" w:hAnsi="Calibri" w:cs="Calibri"/>
      <w:lang w:val="es-ES"/>
    </w:rPr>
  </w:style>
  <w:style w:type="paragraph" w:customStyle="1" w:styleId="Appelnotedebasde">
    <w:name w:val="Appel note de bas de..."/>
    <w:basedOn w:val="Normal"/>
    <w:link w:val="FootnoteReference"/>
    <w:uiPriority w:val="99"/>
    <w:rsid w:val="00390DF2"/>
    <w:pPr>
      <w:spacing w:line="240" w:lineRule="exact"/>
    </w:pPr>
    <w:rPr>
      <w:vertAlign w:val="superscript"/>
    </w:rPr>
  </w:style>
  <w:style w:type="character" w:customStyle="1" w:styleId="NormalWebChar">
    <w:name w:val="Normal (Web) Char"/>
    <w:link w:val="NormalWeb"/>
    <w:uiPriority w:val="99"/>
    <w:rsid w:val="004A783C"/>
    <w:rPr>
      <w:rFonts w:ascii="Times New Roman" w:eastAsia="Times New Roman" w:hAnsi="Times New Roman" w:cs="Times New Roman"/>
      <w:sz w:val="24"/>
      <w:szCs w:val="24"/>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ettings" Target="settings.xml"/><Relationship Id="rId12" Type="http://schemas.openxmlformats.org/officeDocument/2006/relationships/hyperlink" Target="mailto:ing_rocer@hotmail.com" TargetMode="External"/><Relationship Id="rId17" Type="http://schemas.openxmlformats.org/officeDocument/2006/relationships/hyperlink" Target="https://www.colombiacompra.gov.co/normativa-y-relatoria/documentos-tipo" TargetMode="External"/><Relationship Id="rId2" Type="http://schemas.openxmlformats.org/officeDocument/2006/relationships/customXml" Target="../customXml/item2.xml"/><Relationship Id="rId16" Type="http://schemas.openxmlformats.org/officeDocument/2006/relationships/hyperlink" Target="https://formacionvirtual.colombiacompra.gov.co/mod/page/view.php?id=3718"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yperlink" Target="https://relatoria.colombiacompra.gov.co/busqueda/conceptos"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image" Target="media/image4.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colombiacompra.gov.co/archivos/manual/guia-para-el-manejo-de-ofertas-artificialmente-bajas-en-procesos-de-contratacion-2" TargetMode="External"/><Relationship Id="rId22" Type="http://schemas.openxmlformats.org/officeDocument/2006/relationships/fontTable" Target="fontTable.xml"/></Relationships>
</file>

<file path=word/_rels/footnotes.xml.rels><?xml version="1.0" encoding="UTF-8" standalone="yes"?>
<Relationships xmlns="http://schemas.openxmlformats.org/package/2006/relationships"><Relationship Id="rId2" Type="http://schemas.openxmlformats.org/officeDocument/2006/relationships/hyperlink" Target="http://portal.anla.gov.co/manuales-y-guias" TargetMode="External"/><Relationship Id="rId1" Type="http://schemas.openxmlformats.org/officeDocument/2006/relationships/hyperlink" Target="https://www.colciencias.gov.co/sites/default/files/ckeditor_files/G102PR01-procedimiento-elaboracion-%20control.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19C09FC5-B86B-461B-929B-4583288C022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47AD39EF-70F4-4524-84E6-E0B2D634B9A5}">
  <ds:schemaRefs>
    <ds:schemaRef ds:uri="http://schemas.openxmlformats.org/officeDocument/2006/bibliography"/>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0</TotalTime>
  <Pages>1</Pages>
  <Words>7517</Words>
  <Characters>42850</Characters>
  <Application>Microsoft Office Word</Application>
  <DocSecurity>4</DocSecurity>
  <Lines>357</Lines>
  <Paragraphs>100</Paragraphs>
  <ScaleCrop>false</ScaleCrop>
  <Company/>
  <LinksUpToDate>false</LinksUpToDate>
  <CharactersWithSpaces>50267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Ana Maria Ortiz Ballesteros</cp:lastModifiedBy>
  <cp:revision>9</cp:revision>
  <cp:lastPrinted>2023-01-10T21:18:00Z</cp:lastPrinted>
  <dcterms:created xsi:type="dcterms:W3CDTF">2026-07-06T15:08:00Z</dcterms:created>
  <dcterms:modified xsi:type="dcterms:W3CDTF">2026-07-07T12:51:00Z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y fmtid="{D5CDD505-2E9C-101B-9397-08002B2CF9AE}" pid="4" name="MSIP_Label_79c9bbd4-2155-4c05-a8cb-143fc41f09a9_Enabled">
    <vt:lpwstr>true</vt:lpwstr>
  </property>
  <property fmtid="{D5CDD505-2E9C-101B-9397-08002B2CF9AE}" pid="5" name="MSIP_Label_79c9bbd4-2155-4c05-a8cb-143fc41f09a9_SetDate">
    <vt:lpwstr>2026-07-06T17:19:36Z</vt:lpwstr>
  </property>
  <property fmtid="{D5CDD505-2E9C-101B-9397-08002B2CF9AE}" pid="6" name="MSIP_Label_79c9bbd4-2155-4c05-a8cb-143fc41f09a9_Method">
    <vt:lpwstr>Standard</vt:lpwstr>
  </property>
  <property fmtid="{D5CDD505-2E9C-101B-9397-08002B2CF9AE}" pid="7" name="MSIP_Label_79c9bbd4-2155-4c05-a8cb-143fc41f09a9_Name">
    <vt:lpwstr>defa4170-0d19-0005-0004-bc88714345d2</vt:lpwstr>
  </property>
  <property fmtid="{D5CDD505-2E9C-101B-9397-08002B2CF9AE}" pid="8" name="MSIP_Label_79c9bbd4-2155-4c05-a8cb-143fc41f09a9_SiteId">
    <vt:lpwstr>33fa6907-21c6-4126-aa66-bcbed95361bb</vt:lpwstr>
  </property>
  <property fmtid="{D5CDD505-2E9C-101B-9397-08002B2CF9AE}" pid="9" name="MSIP_Label_79c9bbd4-2155-4c05-a8cb-143fc41f09a9_ActionId">
    <vt:lpwstr>50558ccd-aac5-45c5-81aa-46db8352e7aa</vt:lpwstr>
  </property>
  <property fmtid="{D5CDD505-2E9C-101B-9397-08002B2CF9AE}" pid="10" name="MSIP_Label_79c9bbd4-2155-4c05-a8cb-143fc41f09a9_ContentBits">
    <vt:lpwstr>0</vt:lpwstr>
  </property>
  <property fmtid="{D5CDD505-2E9C-101B-9397-08002B2CF9AE}" pid="11" name="MSIP_Label_79c9bbd4-2155-4c05-a8cb-143fc41f09a9_Tag">
    <vt:lpwstr>10, 3, 0, 1</vt:lpwstr>
  </property>
</Properties>
</file>