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B8485" w14:textId="77777777" w:rsidR="00A32C78" w:rsidRPr="001E5AD4" w:rsidRDefault="00A32C78" w:rsidP="00A32C78">
      <w:pPr>
        <w:snapToGrid w:val="0"/>
        <w:contextualSpacing/>
        <w:jc w:val="both"/>
        <w:rPr>
          <w:rFonts w:ascii="Verdana" w:eastAsia="Calibri" w:hAnsi="Verdana" w:cs="Arial"/>
          <w:b/>
          <w:bCs/>
          <w:lang w:val="es-ES" w:eastAsia="es-ES"/>
        </w:rPr>
      </w:pPr>
      <w:r w:rsidRPr="001E5AD4">
        <w:rPr>
          <w:rFonts w:ascii="Verdana" w:eastAsia="Calibri" w:hAnsi="Verdana" w:cs="Arial"/>
          <w:b/>
          <w:bCs/>
          <w:lang w:val="es-ES" w:eastAsia="es-ES"/>
        </w:rPr>
        <w:t>LEY DE GARANTÍAS ELECTORALES – Finalidad</w:t>
      </w:r>
    </w:p>
    <w:p w14:paraId="6387AFB8" w14:textId="77777777" w:rsidR="00A32C78" w:rsidRPr="001E5AD4" w:rsidRDefault="00A32C78" w:rsidP="00A32C78">
      <w:pPr>
        <w:snapToGrid w:val="0"/>
        <w:spacing w:after="0" w:line="240" w:lineRule="auto"/>
        <w:contextualSpacing/>
        <w:jc w:val="both"/>
        <w:rPr>
          <w:rFonts w:ascii="Verdana" w:eastAsia="Calibri" w:hAnsi="Verdana" w:cs="Arial"/>
          <w:sz w:val="20"/>
          <w:szCs w:val="20"/>
          <w:lang w:val="es-ES" w:eastAsia="es-ES"/>
        </w:rPr>
      </w:pPr>
    </w:p>
    <w:p w14:paraId="676D08AC" w14:textId="77777777" w:rsidR="00A32C78" w:rsidRPr="001E5AD4" w:rsidRDefault="00A32C78" w:rsidP="00A32C78">
      <w:pPr>
        <w:tabs>
          <w:tab w:val="left" w:pos="426"/>
        </w:tabs>
        <w:snapToGrid w:val="0"/>
        <w:spacing w:after="0" w:line="240" w:lineRule="auto"/>
        <w:contextualSpacing/>
        <w:jc w:val="both"/>
        <w:rPr>
          <w:rFonts w:ascii="Verdana" w:eastAsia="Calibri" w:hAnsi="Verdana" w:cs="Arial"/>
          <w:sz w:val="20"/>
          <w:szCs w:val="20"/>
          <w:lang w:val="es-ES"/>
        </w:rPr>
      </w:pPr>
      <w:r w:rsidRPr="001E5AD4">
        <w:rPr>
          <w:rFonts w:ascii="Verdana" w:eastAsia="Times New Roman" w:hAnsi="Verdana" w:cs="Arial"/>
          <w:sz w:val="20"/>
          <w:szCs w:val="20"/>
          <w:lang w:val="es-ES" w:eastAsia="es-CO"/>
        </w:rPr>
        <w:t>En el mismo sentido, la Ley 996 de 2005, conocida como “Ley de Garantías Electorales”, se suma al andamiaje constitucional y legal que busca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 En esta medida, introduce limitaciones para realizar nombramientos, postulaciones, contrataciones o cualquier otro tipo de actividad que implique destinación de recursos públicos bajo el devenir propio de las Entidades Estatales.</w:t>
      </w:r>
      <w:r w:rsidRPr="001E5AD4">
        <w:rPr>
          <w:rFonts w:ascii="Verdana" w:eastAsia="Calibri" w:hAnsi="Verdana" w:cs="Arial"/>
          <w:sz w:val="20"/>
          <w:szCs w:val="20"/>
          <w:lang w:val="es-ES"/>
        </w:rPr>
        <w:t xml:space="preserve"> </w:t>
      </w:r>
    </w:p>
    <w:p w14:paraId="5CF29EBA" w14:textId="77777777" w:rsidR="00A32C78" w:rsidRPr="001E5AD4" w:rsidRDefault="00A32C78" w:rsidP="00A32C78">
      <w:pPr>
        <w:snapToGrid w:val="0"/>
        <w:spacing w:after="0" w:line="240" w:lineRule="auto"/>
        <w:contextualSpacing/>
        <w:jc w:val="both"/>
        <w:rPr>
          <w:rFonts w:ascii="Verdana" w:eastAsia="Calibri" w:hAnsi="Verdana" w:cs="Arial"/>
          <w:sz w:val="20"/>
          <w:szCs w:val="20"/>
          <w:lang w:val="es-ES" w:eastAsia="es-ES"/>
        </w:rPr>
      </w:pPr>
    </w:p>
    <w:p w14:paraId="62C02327" w14:textId="77777777" w:rsidR="00A32C78" w:rsidRPr="001E5AD4" w:rsidRDefault="00A32C78" w:rsidP="00A32C78">
      <w:pPr>
        <w:snapToGrid w:val="0"/>
        <w:contextualSpacing/>
        <w:jc w:val="both"/>
        <w:rPr>
          <w:rFonts w:ascii="Verdana" w:eastAsia="Calibri" w:hAnsi="Verdana" w:cs="Arial"/>
          <w:b/>
          <w:bCs/>
          <w:sz w:val="20"/>
          <w:szCs w:val="20"/>
          <w:lang w:val="es-ES" w:eastAsia="es-ES"/>
        </w:rPr>
      </w:pPr>
      <w:r w:rsidRPr="001E5AD4">
        <w:rPr>
          <w:rFonts w:ascii="Verdana" w:eastAsia="Calibri" w:hAnsi="Verdana" w:cs="Arial"/>
          <w:b/>
          <w:bCs/>
          <w:lang w:val="es-ES" w:eastAsia="es-ES"/>
        </w:rPr>
        <w:t>LEY DE GARANTÍAS ELECTORALES ‒ Restricciones ‒ Contratación ‒ Tipos de elección</w:t>
      </w:r>
    </w:p>
    <w:p w14:paraId="00118A5B" w14:textId="77777777" w:rsidR="00A32C78" w:rsidRPr="001E5AD4" w:rsidRDefault="00A32C78" w:rsidP="00A32C78">
      <w:pPr>
        <w:snapToGrid w:val="0"/>
        <w:spacing w:after="0" w:line="240" w:lineRule="auto"/>
        <w:contextualSpacing/>
        <w:jc w:val="both"/>
        <w:rPr>
          <w:rFonts w:ascii="Verdana" w:eastAsia="Calibri" w:hAnsi="Verdana" w:cs="Arial"/>
          <w:sz w:val="20"/>
          <w:szCs w:val="20"/>
          <w:lang w:val="es-ES" w:eastAsia="es-ES"/>
        </w:rPr>
      </w:pPr>
    </w:p>
    <w:p w14:paraId="3BF569D9" w14:textId="77777777" w:rsidR="00A32C78" w:rsidRDefault="00A32C78" w:rsidP="00A32C78">
      <w:pPr>
        <w:snapToGrid w:val="0"/>
        <w:spacing w:after="0" w:line="240" w:lineRule="auto"/>
        <w:contextualSpacing/>
        <w:jc w:val="both"/>
        <w:rPr>
          <w:rFonts w:ascii="Verdana" w:eastAsia="Calibri" w:hAnsi="Verdana" w:cs="Arial"/>
          <w:sz w:val="20"/>
          <w:szCs w:val="20"/>
          <w:lang w:val="es-ES"/>
        </w:rPr>
      </w:pPr>
      <w:r w:rsidRPr="001E5AD4">
        <w:rPr>
          <w:rFonts w:ascii="Verdana" w:eastAsia="Calibri" w:hAnsi="Verdana" w:cs="Arial"/>
          <w:sz w:val="20"/>
          <w:szCs w:val="20"/>
          <w:lang w:val="es-ES"/>
        </w:rPr>
        <w:t xml:space="preserve">Por un lado, el </w:t>
      </w:r>
      <w:r w:rsidRPr="001E5AD4">
        <w:rPr>
          <w:rFonts w:ascii="Verdana" w:eastAsia="Calibri" w:hAnsi="Verdana" w:cs="Arial"/>
          <w:i/>
          <w:iCs/>
          <w:sz w:val="20"/>
          <w:szCs w:val="20"/>
          <w:lang w:val="es-ES"/>
        </w:rPr>
        <w:t xml:space="preserve">artículo 33 </w:t>
      </w:r>
      <w:r w:rsidRPr="001E5AD4">
        <w:rPr>
          <w:rFonts w:ascii="Verdana" w:eastAsia="Calibri" w:hAnsi="Verdana" w:cs="Arial"/>
          <w:sz w:val="20"/>
          <w:szCs w:val="20"/>
          <w:lang w:val="es-ES"/>
        </w:rPr>
        <w:t xml:space="preserve">de la Ley 996 de 2005 prohíbe “[…] la contratación directa por parte de </w:t>
      </w:r>
      <w:r w:rsidRPr="001E5AD4">
        <w:rPr>
          <w:rFonts w:ascii="Verdana" w:eastAsia="Calibri" w:hAnsi="Verdana" w:cs="Arial"/>
          <w:i/>
          <w:iCs/>
          <w:sz w:val="20"/>
          <w:szCs w:val="20"/>
          <w:lang w:val="es-ES"/>
        </w:rPr>
        <w:t>todos los entes del Estado</w:t>
      </w:r>
      <w:r w:rsidRPr="001E5AD4">
        <w:rPr>
          <w:rFonts w:ascii="Verdana" w:eastAsia="Calibri" w:hAnsi="Verdana" w:cs="Arial"/>
          <w:sz w:val="20"/>
          <w:szCs w:val="20"/>
          <w:lang w:val="es-ES"/>
        </w:rPr>
        <w:t xml:space="preserve">” durante los cuatro (4) meses anteriores a las </w:t>
      </w:r>
      <w:r w:rsidRPr="001E5AD4">
        <w:rPr>
          <w:rFonts w:ascii="Verdana" w:eastAsia="Calibri" w:hAnsi="Verdana" w:cs="Arial"/>
          <w:i/>
          <w:iCs/>
          <w:sz w:val="20"/>
          <w:szCs w:val="20"/>
          <w:lang w:val="es-ES"/>
        </w:rPr>
        <w:t>elecciones presidenciales</w:t>
      </w:r>
      <w:r w:rsidRPr="001E5AD4">
        <w:rPr>
          <w:rFonts w:ascii="Verdana" w:eastAsia="Calibri" w:hAnsi="Verdana" w:cs="Arial"/>
          <w:sz w:val="20"/>
          <w:szCs w:val="20"/>
          <w:lang w:val="es-ES"/>
        </w:rPr>
        <w:t>,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50EA8ACA" w14:textId="77777777" w:rsidR="00A32C78" w:rsidRPr="001E5AD4" w:rsidRDefault="00A32C78" w:rsidP="00A32C78">
      <w:pPr>
        <w:snapToGrid w:val="0"/>
        <w:spacing w:after="0" w:line="240" w:lineRule="auto"/>
        <w:contextualSpacing/>
        <w:jc w:val="both"/>
        <w:rPr>
          <w:rFonts w:ascii="Verdana" w:eastAsia="Calibri" w:hAnsi="Verdana" w:cs="Arial"/>
          <w:sz w:val="20"/>
          <w:szCs w:val="20"/>
          <w:lang w:val="es-ES"/>
        </w:rPr>
      </w:pPr>
    </w:p>
    <w:p w14:paraId="50DB5082" w14:textId="77777777" w:rsidR="00A32C78" w:rsidRPr="001E5AD4" w:rsidRDefault="00A32C78" w:rsidP="00A32C78">
      <w:pPr>
        <w:widowControl w:val="0"/>
        <w:autoSpaceDE w:val="0"/>
        <w:autoSpaceDN w:val="0"/>
        <w:snapToGrid w:val="0"/>
        <w:spacing w:after="0" w:line="240" w:lineRule="auto"/>
        <w:ind w:right="113"/>
        <w:contextualSpacing/>
        <w:jc w:val="both"/>
        <w:rPr>
          <w:rFonts w:ascii="Verdana" w:eastAsia="Arial" w:hAnsi="Verdana" w:cs="Arial"/>
          <w:sz w:val="20"/>
          <w:szCs w:val="20"/>
          <w:lang w:val="es-ES" w:eastAsia="es-ES" w:bidi="es-ES"/>
        </w:rPr>
      </w:pPr>
      <w:r w:rsidRPr="001E5AD4">
        <w:rPr>
          <w:rFonts w:ascii="Verdana" w:eastAsia="Calibri" w:hAnsi="Verdana" w:cs="Arial"/>
          <w:sz w:val="20"/>
          <w:szCs w:val="20"/>
          <w:lang w:val="es-ES"/>
        </w:rPr>
        <w:t xml:space="preserve">Por otro lado, </w:t>
      </w:r>
      <w:r w:rsidRPr="001E5AD4">
        <w:rPr>
          <w:rFonts w:ascii="Verdana" w:eastAsia="Calibri" w:hAnsi="Verdana" w:cs="Arial"/>
          <w:i/>
          <w:iCs/>
          <w:sz w:val="20"/>
          <w:szCs w:val="20"/>
          <w:lang w:val="es-ES"/>
        </w:rPr>
        <w:t xml:space="preserve">el parágrafo del artículo 38 </w:t>
      </w:r>
      <w:r w:rsidRPr="001E5AD4">
        <w:rPr>
          <w:rFonts w:ascii="Verdana" w:eastAsia="Calibri" w:hAnsi="Verdana" w:cs="Arial"/>
          <w:sz w:val="20"/>
          <w:szCs w:val="20"/>
          <w:lang w:val="es-ES"/>
        </w:rPr>
        <w:t xml:space="preserve">de la Ley 996 de 2005 prevé una restricción, aplicable respecto de </w:t>
      </w:r>
      <w:r w:rsidRPr="001E5AD4">
        <w:rPr>
          <w:rFonts w:ascii="Verdana" w:eastAsia="Calibri" w:hAnsi="Verdana" w:cs="Arial"/>
          <w:i/>
          <w:iCs/>
          <w:sz w:val="20"/>
          <w:szCs w:val="20"/>
          <w:lang w:val="es-ES"/>
        </w:rPr>
        <w:t>cualquier tipo de contienda electoral</w:t>
      </w:r>
      <w:r w:rsidRPr="001E5AD4">
        <w:rPr>
          <w:rFonts w:ascii="Verdana" w:eastAsia="Calibri" w:hAnsi="Verdana" w:cs="Arial"/>
          <w:sz w:val="20"/>
          <w:szCs w:val="20"/>
          <w:lang w:val="es-ES"/>
        </w:rPr>
        <w:t>,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1E5AD4">
        <w:rPr>
          <w:rFonts w:ascii="Verdana" w:eastAsia="Arial" w:hAnsi="Verdana" w:cs="Arial"/>
          <w:sz w:val="20"/>
          <w:szCs w:val="20"/>
          <w:lang w:val="es-ES" w:eastAsia="es-ES" w:bidi="es-ES"/>
        </w:rPr>
        <w:t xml:space="preserve"> </w:t>
      </w:r>
    </w:p>
    <w:p w14:paraId="08AC5F00" w14:textId="77777777" w:rsidR="00A32C78" w:rsidRPr="001E5AD4" w:rsidRDefault="00A32C78" w:rsidP="00A32C78">
      <w:pPr>
        <w:snapToGrid w:val="0"/>
        <w:spacing w:after="0" w:line="240" w:lineRule="auto"/>
        <w:contextualSpacing/>
        <w:jc w:val="both"/>
        <w:rPr>
          <w:rFonts w:ascii="Verdana" w:eastAsia="Calibri" w:hAnsi="Verdana" w:cs="Arial"/>
          <w:sz w:val="20"/>
          <w:szCs w:val="20"/>
          <w:lang w:val="es-ES" w:eastAsia="es-ES"/>
        </w:rPr>
      </w:pPr>
    </w:p>
    <w:p w14:paraId="57C53952" w14:textId="77777777" w:rsidR="00A32C78" w:rsidRPr="001E5AD4" w:rsidRDefault="00A32C78" w:rsidP="00A32C78">
      <w:pPr>
        <w:snapToGrid w:val="0"/>
        <w:spacing w:after="0" w:line="240" w:lineRule="auto"/>
        <w:contextualSpacing/>
        <w:jc w:val="both"/>
        <w:rPr>
          <w:rFonts w:ascii="Verdana" w:eastAsia="Calibri" w:hAnsi="Verdana" w:cs="Arial"/>
          <w:b/>
          <w:bCs/>
          <w:lang w:val="es-ES" w:eastAsia="es-ES"/>
        </w:rPr>
      </w:pPr>
      <w:r w:rsidRPr="001E5AD4">
        <w:rPr>
          <w:rFonts w:ascii="Verdana" w:eastAsia="Calibri" w:hAnsi="Verdana" w:cs="Arial"/>
          <w:b/>
          <w:bCs/>
          <w:lang w:val="es-ES" w:eastAsia="es-ES"/>
        </w:rPr>
        <w:t>LEY DE GARANTÍAS ELECTORALES ‒ Artículo 33 ‒ Ámbito material</w:t>
      </w:r>
    </w:p>
    <w:p w14:paraId="4434F314" w14:textId="77777777" w:rsidR="00A32C78" w:rsidRDefault="00A32C78" w:rsidP="00A32C78">
      <w:pPr>
        <w:snapToGrid w:val="0"/>
        <w:spacing w:after="0" w:line="240" w:lineRule="auto"/>
        <w:contextualSpacing/>
        <w:jc w:val="both"/>
        <w:rPr>
          <w:rFonts w:ascii="Verdana" w:eastAsia="Times New Roman" w:hAnsi="Verdana" w:cs="Arial"/>
          <w:sz w:val="20"/>
          <w:szCs w:val="20"/>
          <w:lang w:val="es-ES"/>
        </w:rPr>
      </w:pPr>
    </w:p>
    <w:p w14:paraId="3E5E1C82" w14:textId="77777777" w:rsidR="00A32C78" w:rsidRDefault="00A32C78" w:rsidP="00A32C78">
      <w:pPr>
        <w:snapToGrid w:val="0"/>
        <w:spacing w:after="0" w:line="240" w:lineRule="auto"/>
        <w:contextualSpacing/>
        <w:jc w:val="both"/>
        <w:rPr>
          <w:rFonts w:ascii="Verdana" w:eastAsia="Times New Roman" w:hAnsi="Verdana" w:cs="Arial"/>
          <w:sz w:val="20"/>
          <w:szCs w:val="20"/>
          <w:lang w:val="es-ES"/>
        </w:rPr>
      </w:pPr>
      <w:r w:rsidRPr="001E5AD4">
        <w:rPr>
          <w:rFonts w:ascii="Verdana" w:eastAsia="Times New Roman" w:hAnsi="Verdana" w:cs="Arial"/>
          <w:sz w:val="20"/>
          <w:szCs w:val="20"/>
          <w:lang w:val="es-ES"/>
        </w:rPr>
        <w:t xml:space="preserve">De lo anterior se desprende que la restricción aplica, sin perjuicio de las excepciones establecidas en la misma ley, para celebrar </w:t>
      </w:r>
      <w:r w:rsidRPr="001E5AD4">
        <w:rPr>
          <w:rFonts w:ascii="Verdana" w:eastAsia="Times New Roman" w:hAnsi="Verdana" w:cs="Arial"/>
          <w:i/>
          <w:iCs/>
          <w:sz w:val="20"/>
          <w:szCs w:val="20"/>
          <w:lang w:val="es-ES"/>
        </w:rPr>
        <w:t>cualquier contrato o convenio de forma directa</w:t>
      </w:r>
      <w:r w:rsidRPr="001E5AD4">
        <w:rPr>
          <w:rFonts w:ascii="Verdana" w:eastAsia="Times New Roman" w:hAnsi="Verdana" w:cs="Arial"/>
          <w:sz w:val="20"/>
          <w:szCs w:val="20"/>
          <w:lang w:val="es-ES"/>
        </w:rPr>
        <w:t>, esto es, sin que exista un proceso abierto y competitivo.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3B7883B0" w14:textId="77777777" w:rsidR="00A32C78" w:rsidRDefault="00A32C78" w:rsidP="00A32C78">
      <w:pPr>
        <w:snapToGrid w:val="0"/>
        <w:spacing w:after="0" w:line="240" w:lineRule="auto"/>
        <w:contextualSpacing/>
        <w:jc w:val="both"/>
        <w:rPr>
          <w:rFonts w:ascii="Verdana" w:eastAsia="Times New Roman" w:hAnsi="Verdana" w:cs="Arial"/>
          <w:sz w:val="20"/>
          <w:szCs w:val="20"/>
          <w:lang w:val="es-ES"/>
        </w:rPr>
      </w:pPr>
    </w:p>
    <w:p w14:paraId="1960D653" w14:textId="77777777" w:rsidR="00A32C78" w:rsidRPr="003F6479" w:rsidRDefault="00A32C78" w:rsidP="00A32C78">
      <w:pPr>
        <w:snapToGrid w:val="0"/>
        <w:spacing w:after="0" w:line="240" w:lineRule="auto"/>
        <w:contextualSpacing/>
        <w:jc w:val="both"/>
        <w:rPr>
          <w:rFonts w:ascii="Verdana" w:eastAsia="Calibri" w:hAnsi="Verdana" w:cs="Arial"/>
          <w:b/>
          <w:bCs/>
          <w:lang w:val="es-ES" w:eastAsia="es-ES"/>
        </w:rPr>
      </w:pPr>
      <w:r w:rsidRPr="003F6479">
        <w:rPr>
          <w:rFonts w:ascii="Verdana" w:eastAsia="Calibri" w:hAnsi="Verdana" w:cs="Arial"/>
          <w:b/>
          <w:bCs/>
          <w:lang w:val="es-ES" w:eastAsia="es-ES"/>
        </w:rPr>
        <w:t>LEY DE GARANTÍAS ELECTORALES – Aplicación – Organismos internacionales</w:t>
      </w:r>
    </w:p>
    <w:p w14:paraId="330AEA65" w14:textId="77777777" w:rsidR="00A32C78" w:rsidRPr="003F6479" w:rsidRDefault="00A32C78" w:rsidP="00A32C78">
      <w:pPr>
        <w:snapToGrid w:val="0"/>
        <w:spacing w:after="0" w:line="240" w:lineRule="auto"/>
        <w:contextualSpacing/>
        <w:jc w:val="both"/>
        <w:rPr>
          <w:rFonts w:ascii="Verdana" w:eastAsia="Calibri" w:hAnsi="Verdana" w:cs="Arial"/>
          <w:sz w:val="20"/>
          <w:szCs w:val="20"/>
          <w:lang w:val="es-ES" w:eastAsia="es-ES"/>
        </w:rPr>
      </w:pPr>
    </w:p>
    <w:p w14:paraId="44CF0007" w14:textId="77777777" w:rsidR="00A32C78" w:rsidRDefault="00A32C78" w:rsidP="00A32C78">
      <w:pPr>
        <w:snapToGrid w:val="0"/>
        <w:contextualSpacing/>
        <w:jc w:val="both"/>
        <w:rPr>
          <w:rFonts w:ascii="Verdana" w:eastAsia="Times New Roman" w:hAnsi="Verdana" w:cs="Arial"/>
          <w:sz w:val="20"/>
          <w:szCs w:val="20"/>
          <w:lang w:val="es-MX" w:eastAsia="x-none"/>
        </w:rPr>
      </w:pPr>
      <w:r w:rsidRPr="003F6479">
        <w:rPr>
          <w:rFonts w:ascii="Verdana" w:eastAsia="Arial" w:hAnsi="Verdana" w:cs="Arial"/>
          <w:bCs/>
          <w:color w:val="000000" w:themeColor="text1"/>
          <w:sz w:val="20"/>
          <w:szCs w:val="20"/>
          <w:lang w:val="es-ES"/>
        </w:rPr>
        <w:lastRenderedPageBreak/>
        <w:t xml:space="preserve">[…] </w:t>
      </w:r>
      <w:r w:rsidRPr="003F6479">
        <w:rPr>
          <w:rFonts w:ascii="Verdana" w:eastAsia="Times New Roman" w:hAnsi="Verdana" w:cs="Arial"/>
          <w:sz w:val="20"/>
          <w:szCs w:val="20"/>
          <w:lang w:val="es-MX" w:eastAsia="x-none"/>
        </w:rPr>
        <w:t xml:space="preserve">el </w:t>
      </w:r>
      <w:r w:rsidRPr="003F6479">
        <w:rPr>
          <w:rFonts w:ascii="Verdana" w:eastAsia="Times New Roman" w:hAnsi="Verdana" w:cs="Arial"/>
          <w:i/>
          <w:iCs/>
          <w:sz w:val="20"/>
          <w:szCs w:val="20"/>
          <w:lang w:val="es-MX" w:eastAsia="x-none"/>
        </w:rPr>
        <w:t>inciso primero</w:t>
      </w:r>
      <w:r w:rsidRPr="003F6479">
        <w:rPr>
          <w:rFonts w:ascii="Verdana" w:eastAsia="Times New Roman" w:hAnsi="Verdana" w:cs="Arial"/>
          <w:sz w:val="20"/>
          <w:szCs w:val="20"/>
          <w:lang w:val="es-MX" w:eastAsia="x-none"/>
        </w:rPr>
        <w:t xml:space="preserve"> del artículo 20 de la Ley 1150 de 2007, establece que los contratos o convenios se financien en su totalidad o en sumas iguales o superiores al cincuenta por ciento con fondos de dichos organismos, </w:t>
      </w:r>
      <w:r w:rsidRPr="003F6479">
        <w:rPr>
          <w:rFonts w:ascii="Verdana" w:eastAsia="Times New Roman" w:hAnsi="Verdana" w:cs="Arial"/>
          <w:i/>
          <w:iCs/>
          <w:sz w:val="20"/>
          <w:szCs w:val="20"/>
          <w:lang w:val="es-MX" w:eastAsia="x-none"/>
        </w:rPr>
        <w:t>pueden</w:t>
      </w:r>
      <w:r w:rsidRPr="003F6479">
        <w:rPr>
          <w:rFonts w:ascii="Verdana" w:eastAsia="Times New Roman" w:hAnsi="Verdana" w:cs="Arial"/>
          <w:sz w:val="20"/>
          <w:szCs w:val="20"/>
          <w:lang w:val="es-MX" w:eastAsia="x-none"/>
        </w:rPr>
        <w:t xml:space="preserve"> someterse a sus reglamentos. Por el contrario, cuando se trate de contratos que se financian con recursos del presupuesto general de la nación, las entidades </w:t>
      </w:r>
      <w:r w:rsidRPr="003F6479">
        <w:rPr>
          <w:rFonts w:ascii="Verdana" w:eastAsia="Times New Roman" w:hAnsi="Verdana" w:cs="Arial"/>
          <w:i/>
          <w:iCs/>
          <w:sz w:val="20"/>
          <w:szCs w:val="20"/>
          <w:lang w:val="es-MX" w:eastAsia="x-none"/>
        </w:rPr>
        <w:t>deberán</w:t>
      </w:r>
      <w:r w:rsidRPr="003F6479">
        <w:rPr>
          <w:rFonts w:ascii="Verdana" w:eastAsia="Times New Roman" w:hAnsi="Verdana" w:cs="Arial"/>
          <w:sz w:val="20"/>
          <w:szCs w:val="20"/>
          <w:lang w:val="es-MX" w:eastAsia="x-none"/>
        </w:rPr>
        <w:t xml:space="preserve"> necesariamente aplicar el Estatuto General de Contratación de la Administración Pública.</w:t>
      </w:r>
    </w:p>
    <w:p w14:paraId="5440F67E" w14:textId="77777777" w:rsidR="00A32C78" w:rsidRPr="003F6479" w:rsidRDefault="00A32C78" w:rsidP="00A32C78">
      <w:pPr>
        <w:snapToGrid w:val="0"/>
        <w:spacing w:after="0" w:line="240" w:lineRule="auto"/>
        <w:contextualSpacing/>
        <w:jc w:val="both"/>
        <w:rPr>
          <w:rFonts w:ascii="Verdana" w:eastAsia="Times New Roman" w:hAnsi="Verdana" w:cs="Arial"/>
          <w:sz w:val="20"/>
          <w:szCs w:val="20"/>
          <w:lang w:val="es-MX" w:eastAsia="x-none"/>
        </w:rPr>
      </w:pPr>
    </w:p>
    <w:p w14:paraId="5B3D1378" w14:textId="77777777" w:rsidR="00A32C78" w:rsidRPr="003F6479" w:rsidRDefault="00A32C78" w:rsidP="00A32C78">
      <w:pPr>
        <w:snapToGrid w:val="0"/>
        <w:spacing w:after="0" w:line="240" w:lineRule="auto"/>
        <w:contextualSpacing/>
        <w:jc w:val="both"/>
        <w:rPr>
          <w:rFonts w:ascii="Verdana" w:eastAsia="Times New Roman" w:hAnsi="Verdana" w:cs="Arial"/>
          <w:sz w:val="20"/>
          <w:szCs w:val="20"/>
          <w:lang w:val="es-MX"/>
        </w:rPr>
      </w:pPr>
      <w:r w:rsidRPr="003F6479">
        <w:rPr>
          <w:rFonts w:ascii="Verdana" w:eastAsia="Times New Roman" w:hAnsi="Verdana" w:cs="Arial"/>
          <w:sz w:val="20"/>
          <w:szCs w:val="20"/>
          <w:lang w:val="es-MX"/>
        </w:rPr>
        <w:t xml:space="preserve">En consecuencia, la restricción contemplada en el artículo 33 de la Ley de Garantías Electorales </w:t>
      </w:r>
      <w:r w:rsidRPr="003F6479">
        <w:rPr>
          <w:rFonts w:ascii="Verdana" w:eastAsia="Times New Roman" w:hAnsi="Verdana" w:cs="Arial"/>
          <w:i/>
          <w:iCs/>
          <w:sz w:val="20"/>
          <w:szCs w:val="20"/>
          <w:lang w:val="es-MX"/>
        </w:rPr>
        <w:t>no</w:t>
      </w:r>
      <w:r w:rsidRPr="003F6479">
        <w:rPr>
          <w:rFonts w:ascii="Verdana" w:eastAsia="Times New Roman" w:hAnsi="Verdana" w:cs="Arial"/>
          <w:sz w:val="20"/>
          <w:szCs w:val="20"/>
          <w:lang w:val="es-MX"/>
        </w:rPr>
        <w:t xml:space="preserve"> aplica a los contratos que son financiados en su totalidad o en sumas iguales o superiores al cincuenta por ciento con fondos de organismos de cooperación, asistencia o ayudas internacionales, y cuyo régimen sea el dispuesto en los reglamentos de tales organismos. Lo anterior, por cuanto en estos casos el artículo 20 de la Ley 1150 de 2007 autoriza la aplicación “integral” de los reglamentos de dichos organismos. </w:t>
      </w:r>
    </w:p>
    <w:p w14:paraId="0348E951" w14:textId="77777777" w:rsidR="00A32C78" w:rsidRDefault="00A32C78" w:rsidP="00B070F0">
      <w:pPr>
        <w:spacing w:after="0"/>
        <w:rPr>
          <w:rFonts w:ascii="Verdana" w:hAnsi="Verdana"/>
          <w:lang w:val="es-ES"/>
        </w:rPr>
      </w:pPr>
    </w:p>
    <w:p w14:paraId="14D493B6" w14:textId="77777777" w:rsidR="00FF4170" w:rsidRDefault="00FF4170" w:rsidP="00B070F0">
      <w:pPr>
        <w:spacing w:after="0"/>
        <w:rPr>
          <w:rFonts w:ascii="Verdana" w:hAnsi="Verdana"/>
          <w:lang w:val="es-ES"/>
        </w:rPr>
      </w:pPr>
    </w:p>
    <w:p w14:paraId="6243BF69" w14:textId="77777777" w:rsidR="00FF4170" w:rsidRDefault="00FF4170" w:rsidP="00B070F0">
      <w:pPr>
        <w:spacing w:after="0"/>
        <w:rPr>
          <w:rFonts w:ascii="Verdana" w:hAnsi="Verdana"/>
          <w:lang w:val="es-ES"/>
        </w:rPr>
      </w:pPr>
    </w:p>
    <w:p w14:paraId="63A69683" w14:textId="77777777" w:rsidR="00FF4170" w:rsidRDefault="00FF4170" w:rsidP="00B070F0">
      <w:pPr>
        <w:spacing w:after="0"/>
        <w:rPr>
          <w:rFonts w:ascii="Verdana" w:hAnsi="Verdana"/>
          <w:lang w:val="es-ES"/>
        </w:rPr>
      </w:pPr>
    </w:p>
    <w:p w14:paraId="6FDD7E4A" w14:textId="77777777" w:rsidR="00FF4170" w:rsidRDefault="00FF4170" w:rsidP="00B070F0">
      <w:pPr>
        <w:spacing w:after="0"/>
        <w:rPr>
          <w:rFonts w:ascii="Verdana" w:hAnsi="Verdana"/>
          <w:lang w:val="es-ES"/>
        </w:rPr>
      </w:pPr>
    </w:p>
    <w:p w14:paraId="620613E0" w14:textId="77777777" w:rsidR="00FF4170" w:rsidRDefault="00FF4170" w:rsidP="00B070F0">
      <w:pPr>
        <w:spacing w:after="0"/>
        <w:rPr>
          <w:rFonts w:ascii="Verdana" w:hAnsi="Verdana"/>
          <w:lang w:val="es-ES"/>
        </w:rPr>
      </w:pPr>
    </w:p>
    <w:p w14:paraId="7FC7EC54" w14:textId="77777777" w:rsidR="00FF4170" w:rsidRDefault="00FF4170" w:rsidP="00B070F0">
      <w:pPr>
        <w:spacing w:after="0"/>
        <w:rPr>
          <w:rFonts w:ascii="Verdana" w:hAnsi="Verdana"/>
          <w:lang w:val="es-ES"/>
        </w:rPr>
      </w:pPr>
    </w:p>
    <w:p w14:paraId="407C138F" w14:textId="77777777" w:rsidR="00FF4170" w:rsidRDefault="00FF4170" w:rsidP="00B070F0">
      <w:pPr>
        <w:spacing w:after="0"/>
        <w:rPr>
          <w:rFonts w:ascii="Verdana" w:hAnsi="Verdana"/>
          <w:lang w:val="es-ES"/>
        </w:rPr>
      </w:pPr>
    </w:p>
    <w:p w14:paraId="76A06148" w14:textId="77777777" w:rsidR="00FF4170" w:rsidRDefault="00FF4170" w:rsidP="00B070F0">
      <w:pPr>
        <w:spacing w:after="0"/>
        <w:rPr>
          <w:rFonts w:ascii="Verdana" w:hAnsi="Verdana"/>
          <w:lang w:val="es-ES"/>
        </w:rPr>
      </w:pPr>
    </w:p>
    <w:p w14:paraId="668057F1" w14:textId="77777777" w:rsidR="00FF4170" w:rsidRDefault="00FF4170" w:rsidP="00B070F0">
      <w:pPr>
        <w:spacing w:after="0"/>
        <w:rPr>
          <w:rFonts w:ascii="Verdana" w:hAnsi="Verdana"/>
          <w:lang w:val="es-ES"/>
        </w:rPr>
      </w:pPr>
    </w:p>
    <w:p w14:paraId="66973798" w14:textId="77777777" w:rsidR="00FF4170" w:rsidRDefault="00FF4170" w:rsidP="00B070F0">
      <w:pPr>
        <w:spacing w:after="0"/>
        <w:rPr>
          <w:rFonts w:ascii="Verdana" w:hAnsi="Verdana"/>
          <w:lang w:val="es-ES"/>
        </w:rPr>
      </w:pPr>
    </w:p>
    <w:p w14:paraId="7C01E8AF" w14:textId="77777777" w:rsidR="00FF4170" w:rsidRDefault="00FF4170" w:rsidP="00B070F0">
      <w:pPr>
        <w:spacing w:after="0"/>
        <w:rPr>
          <w:rFonts w:ascii="Verdana" w:hAnsi="Verdana"/>
          <w:lang w:val="es-ES"/>
        </w:rPr>
      </w:pPr>
    </w:p>
    <w:p w14:paraId="28BE8002" w14:textId="77777777" w:rsidR="00FF4170" w:rsidRDefault="00FF4170" w:rsidP="00B070F0">
      <w:pPr>
        <w:spacing w:after="0"/>
        <w:rPr>
          <w:rFonts w:ascii="Verdana" w:hAnsi="Verdana"/>
          <w:lang w:val="es-ES"/>
        </w:rPr>
      </w:pPr>
    </w:p>
    <w:p w14:paraId="00AC07E0" w14:textId="77777777" w:rsidR="00FF4170" w:rsidRDefault="00FF4170" w:rsidP="00B070F0">
      <w:pPr>
        <w:spacing w:after="0"/>
        <w:rPr>
          <w:rFonts w:ascii="Verdana" w:hAnsi="Verdana"/>
          <w:lang w:val="es-ES"/>
        </w:rPr>
      </w:pPr>
    </w:p>
    <w:p w14:paraId="192B7D10" w14:textId="77777777" w:rsidR="00FF4170" w:rsidRDefault="00FF4170" w:rsidP="00B070F0">
      <w:pPr>
        <w:spacing w:after="0"/>
        <w:rPr>
          <w:rFonts w:ascii="Verdana" w:hAnsi="Verdana"/>
          <w:lang w:val="es-ES"/>
        </w:rPr>
      </w:pPr>
    </w:p>
    <w:p w14:paraId="501F7263" w14:textId="77777777" w:rsidR="00FF4170" w:rsidRDefault="00FF4170" w:rsidP="00B070F0">
      <w:pPr>
        <w:spacing w:after="0"/>
        <w:rPr>
          <w:rFonts w:ascii="Verdana" w:hAnsi="Verdana"/>
          <w:lang w:val="es-ES"/>
        </w:rPr>
      </w:pPr>
    </w:p>
    <w:p w14:paraId="4147C064" w14:textId="77777777" w:rsidR="00FF4170" w:rsidRDefault="00FF4170" w:rsidP="00B070F0">
      <w:pPr>
        <w:spacing w:after="0"/>
        <w:rPr>
          <w:rFonts w:ascii="Verdana" w:hAnsi="Verdana"/>
          <w:lang w:val="es-ES"/>
        </w:rPr>
      </w:pPr>
    </w:p>
    <w:p w14:paraId="10F296D2" w14:textId="77777777" w:rsidR="00FF4170" w:rsidRDefault="00FF4170" w:rsidP="00B070F0">
      <w:pPr>
        <w:spacing w:after="0"/>
        <w:rPr>
          <w:rFonts w:ascii="Verdana" w:hAnsi="Verdana"/>
          <w:lang w:val="es-ES"/>
        </w:rPr>
      </w:pPr>
    </w:p>
    <w:p w14:paraId="5B7702BC" w14:textId="77777777" w:rsidR="00FF4170" w:rsidRDefault="00FF4170" w:rsidP="00B070F0">
      <w:pPr>
        <w:spacing w:after="0"/>
        <w:rPr>
          <w:rFonts w:ascii="Verdana" w:hAnsi="Verdana"/>
          <w:lang w:val="es-ES"/>
        </w:rPr>
      </w:pPr>
    </w:p>
    <w:p w14:paraId="3B4C0A70" w14:textId="77777777" w:rsidR="00FF4170" w:rsidRDefault="00FF4170" w:rsidP="00B070F0">
      <w:pPr>
        <w:spacing w:after="0"/>
        <w:rPr>
          <w:rFonts w:ascii="Verdana" w:hAnsi="Verdana"/>
          <w:lang w:val="es-ES"/>
        </w:rPr>
      </w:pPr>
    </w:p>
    <w:p w14:paraId="034BBD9D" w14:textId="77777777" w:rsidR="00FF4170" w:rsidRDefault="00FF4170" w:rsidP="00B070F0">
      <w:pPr>
        <w:spacing w:after="0"/>
        <w:rPr>
          <w:rFonts w:ascii="Verdana" w:hAnsi="Verdana"/>
          <w:lang w:val="es-ES"/>
        </w:rPr>
      </w:pPr>
    </w:p>
    <w:p w14:paraId="5E474ED8" w14:textId="77777777" w:rsidR="00FF4170" w:rsidRDefault="00FF4170" w:rsidP="00B070F0">
      <w:pPr>
        <w:spacing w:after="0"/>
        <w:rPr>
          <w:rFonts w:ascii="Verdana" w:hAnsi="Verdana"/>
          <w:lang w:val="es-ES"/>
        </w:rPr>
      </w:pPr>
    </w:p>
    <w:p w14:paraId="12168C6F" w14:textId="77777777" w:rsidR="00FF4170" w:rsidRDefault="00FF4170" w:rsidP="00B070F0">
      <w:pPr>
        <w:spacing w:after="0"/>
        <w:rPr>
          <w:rFonts w:ascii="Verdana" w:hAnsi="Verdana"/>
          <w:lang w:val="es-ES"/>
        </w:rPr>
      </w:pPr>
    </w:p>
    <w:p w14:paraId="1D504DD6" w14:textId="77777777" w:rsidR="00FF4170" w:rsidRDefault="00FF4170" w:rsidP="00B070F0">
      <w:pPr>
        <w:spacing w:after="0"/>
        <w:rPr>
          <w:rFonts w:ascii="Verdana" w:hAnsi="Verdana"/>
          <w:lang w:val="es-ES"/>
        </w:rPr>
      </w:pPr>
    </w:p>
    <w:p w14:paraId="60F1EB34" w14:textId="77777777" w:rsidR="00FF4170" w:rsidRDefault="00FF4170" w:rsidP="00B070F0">
      <w:pPr>
        <w:spacing w:after="0"/>
        <w:rPr>
          <w:rFonts w:ascii="Verdana" w:hAnsi="Verdana"/>
          <w:lang w:val="es-ES"/>
        </w:rPr>
      </w:pPr>
    </w:p>
    <w:p w14:paraId="0F936D0F" w14:textId="77777777" w:rsidR="00FF4170" w:rsidRDefault="00FF4170" w:rsidP="00B070F0">
      <w:pPr>
        <w:spacing w:after="0"/>
        <w:rPr>
          <w:rFonts w:ascii="Verdana" w:hAnsi="Verdana"/>
          <w:lang w:val="es-ES"/>
        </w:rPr>
      </w:pPr>
    </w:p>
    <w:p w14:paraId="0B0928B0" w14:textId="77777777" w:rsidR="00FF4170" w:rsidRDefault="00FF4170" w:rsidP="00B070F0">
      <w:pPr>
        <w:spacing w:after="0"/>
        <w:rPr>
          <w:rFonts w:ascii="Verdana" w:hAnsi="Verdana"/>
          <w:lang w:val="es-ES"/>
        </w:rPr>
      </w:pPr>
    </w:p>
    <w:p w14:paraId="0772BEA2" w14:textId="2B7885FF" w:rsidR="00B070F0" w:rsidRPr="00FC6F34" w:rsidRDefault="00FF4170" w:rsidP="00B070F0">
      <w:pPr>
        <w:spacing w:after="0"/>
        <w:rPr>
          <w:rFonts w:ascii="Verdana" w:hAnsi="Verdana"/>
          <w:lang w:val="es-ES"/>
        </w:rPr>
      </w:pPr>
      <w:r>
        <w:rPr>
          <w:rFonts w:ascii="Verdana" w:hAnsi="Verdana"/>
          <w:b/>
          <w:bCs/>
          <w:noProof/>
          <w:lang w:val="es-ES"/>
        </w:rPr>
        <w:lastRenderedPageBreak/>
        <w:drawing>
          <wp:anchor distT="0" distB="0" distL="114300" distR="114300" simplePos="0" relativeHeight="251661313" behindDoc="0" locked="0" layoutInCell="1" allowOverlap="1" wp14:anchorId="063911B8" wp14:editId="1DD87CD9">
            <wp:simplePos x="0" y="0"/>
            <wp:positionH relativeFrom="column">
              <wp:posOffset>2616872</wp:posOffset>
            </wp:positionH>
            <wp:positionV relativeFrom="paragraph">
              <wp:posOffset>68</wp:posOffset>
            </wp:positionV>
            <wp:extent cx="2121240" cy="662978"/>
            <wp:effectExtent l="0" t="0" r="0" b="0"/>
            <wp:wrapSquare wrapText="bothSides"/>
            <wp:docPr id="355704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04532" name="Picture 355704532"/>
                    <pic:cNvPicPr/>
                  </pic:nvPicPr>
                  <pic:blipFill>
                    <a:blip r:embed="rId10">
                      <a:extLst>
                        <a:ext uri="{28A0092B-C50C-407E-A947-70E740481C1C}">
                          <a14:useLocalDpi xmlns:a14="http://schemas.microsoft.com/office/drawing/2010/main" val="0"/>
                        </a:ext>
                      </a:extLst>
                    </a:blip>
                    <a:stretch>
                      <a:fillRect/>
                    </a:stretch>
                  </pic:blipFill>
                  <pic:spPr>
                    <a:xfrm>
                      <a:off x="0" y="0"/>
                      <a:ext cx="2121240" cy="662978"/>
                    </a:xfrm>
                    <a:prstGeom prst="rect">
                      <a:avLst/>
                    </a:prstGeom>
                  </pic:spPr>
                </pic:pic>
              </a:graphicData>
            </a:graphic>
            <wp14:sizeRelH relativeFrom="page">
              <wp14:pctWidth>0</wp14:pctWidth>
            </wp14:sizeRelH>
            <wp14:sizeRelV relativeFrom="page">
              <wp14:pctHeight>0</wp14:pctHeight>
            </wp14:sizeRelV>
          </wp:anchor>
        </w:drawing>
      </w:r>
      <w:r w:rsidR="00B070F0" w:rsidRPr="00FC6F34">
        <w:rPr>
          <w:rFonts w:ascii="Verdana" w:hAnsi="Verdana"/>
          <w:lang w:val="es-ES"/>
        </w:rPr>
        <w:t xml:space="preserve">Bogotá D.C., </w:t>
      </w:r>
      <w:r>
        <w:rPr>
          <w:rFonts w:ascii="Verdana" w:hAnsi="Verdana"/>
          <w:lang w:val="es-ES"/>
        </w:rPr>
        <w:t>08 de julio de 2026</w:t>
      </w:r>
    </w:p>
    <w:p w14:paraId="5807F456" w14:textId="7C6CF97C" w:rsidR="00B070F0" w:rsidRDefault="00B070F0" w:rsidP="00B070F0">
      <w:pPr>
        <w:spacing w:after="0" w:line="240" w:lineRule="auto"/>
        <w:rPr>
          <w:rFonts w:ascii="Verdana" w:eastAsia="Calibri" w:hAnsi="Verdana" w:cs="Arial"/>
          <w:color w:val="000000" w:themeColor="text1"/>
          <w:lang w:val="es-ES" w:eastAsia="es-ES"/>
        </w:rPr>
      </w:pPr>
      <w:bookmarkStart w:id="0" w:name="_Hlk143780582"/>
    </w:p>
    <w:p w14:paraId="44357CE1" w14:textId="61F7A78A" w:rsidR="00B070F0" w:rsidRDefault="00B070F0" w:rsidP="00B070F0">
      <w:pPr>
        <w:spacing w:after="0" w:line="240" w:lineRule="auto"/>
        <w:rPr>
          <w:rFonts w:ascii="Verdana" w:eastAsia="Calibri" w:hAnsi="Verdana" w:cs="Arial"/>
          <w:color w:val="000000" w:themeColor="text1"/>
          <w:lang w:val="es-ES" w:eastAsia="es-ES"/>
        </w:rPr>
      </w:pPr>
    </w:p>
    <w:p w14:paraId="5304A452" w14:textId="49B953B0" w:rsidR="00B070F0" w:rsidRPr="00FC6F34" w:rsidRDefault="00FF4170" w:rsidP="00B070F0">
      <w:pPr>
        <w:spacing w:after="0" w:line="240" w:lineRule="auto"/>
        <w:rPr>
          <w:rFonts w:ascii="Verdana" w:hAnsi="Verdana"/>
          <w:lang w:val="es-ES"/>
        </w:rPr>
      </w:pPr>
      <w:r>
        <w:rPr>
          <w:rFonts w:ascii="Verdana" w:eastAsia="Calibri" w:hAnsi="Verdana" w:cs="Arial"/>
          <w:b/>
          <w:bCs/>
          <w:noProof/>
          <w:color w:val="000000" w:themeColor="text1"/>
          <w:lang w:val="es-ES" w:eastAsia="es-ES"/>
        </w:rPr>
        <w:drawing>
          <wp:anchor distT="0" distB="0" distL="114300" distR="114300" simplePos="0" relativeHeight="251663361" behindDoc="0" locked="0" layoutInCell="1" allowOverlap="1" wp14:anchorId="63EEB4F1" wp14:editId="0E35F11F">
            <wp:simplePos x="0" y="0"/>
            <wp:positionH relativeFrom="column">
              <wp:posOffset>4593030</wp:posOffset>
            </wp:positionH>
            <wp:positionV relativeFrom="paragraph">
              <wp:posOffset>86995</wp:posOffset>
            </wp:positionV>
            <wp:extent cx="1953895" cy="548640"/>
            <wp:effectExtent l="0" t="0" r="1905" b="0"/>
            <wp:wrapSquare wrapText="bothSides"/>
            <wp:docPr id="1074602845" name="Picture 3" descr="A close-up of a whit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02845" name="Picture 3" descr="A close-up of a white car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53895" cy="54864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Calibri" w:hAnsi="Verdana" w:cs="Arial"/>
          <w:b/>
          <w:bCs/>
          <w:noProof/>
          <w:color w:val="000000" w:themeColor="text1"/>
          <w:lang w:val="es-ES" w:eastAsia="es-ES"/>
        </w:rPr>
        <w:drawing>
          <wp:anchor distT="0" distB="0" distL="114300" distR="114300" simplePos="0" relativeHeight="251662337" behindDoc="0" locked="0" layoutInCell="1" allowOverlap="1" wp14:anchorId="587F0F64" wp14:editId="225FB5D4">
            <wp:simplePos x="0" y="0"/>
            <wp:positionH relativeFrom="column">
              <wp:posOffset>2613025</wp:posOffset>
            </wp:positionH>
            <wp:positionV relativeFrom="paragraph">
              <wp:posOffset>83185</wp:posOffset>
            </wp:positionV>
            <wp:extent cx="1981200" cy="545465"/>
            <wp:effectExtent l="0" t="0" r="0" b="635"/>
            <wp:wrapSquare wrapText="bothSides"/>
            <wp:docPr id="2116742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42025" name="Picture 21167420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1200" cy="545465"/>
                    </a:xfrm>
                    <a:prstGeom prst="rect">
                      <a:avLst/>
                    </a:prstGeom>
                  </pic:spPr>
                </pic:pic>
              </a:graphicData>
            </a:graphic>
            <wp14:sizeRelH relativeFrom="page">
              <wp14:pctWidth>0</wp14:pctWidth>
            </wp14:sizeRelH>
            <wp14:sizeRelV relativeFrom="page">
              <wp14:pctHeight>0</wp14:pctHeight>
            </wp14:sizeRelV>
          </wp:anchor>
        </w:drawing>
      </w:r>
      <w:r w:rsidR="00B070F0">
        <w:rPr>
          <w:rFonts w:ascii="Verdana" w:eastAsia="Calibri" w:hAnsi="Verdana" w:cs="Arial"/>
          <w:color w:val="000000" w:themeColor="text1"/>
          <w:lang w:val="es-ES" w:eastAsia="es-ES"/>
        </w:rPr>
        <w:t>Doctor</w:t>
      </w:r>
    </w:p>
    <w:p w14:paraId="7420BCCC" w14:textId="04B450D4" w:rsidR="00B070F0" w:rsidRPr="00655AB6" w:rsidRDefault="00B070F0" w:rsidP="00B070F0">
      <w:pPr>
        <w:spacing w:after="0" w:line="240" w:lineRule="auto"/>
        <w:rPr>
          <w:rFonts w:ascii="Verdana" w:hAnsi="Verdana"/>
          <w:b/>
          <w:bCs/>
          <w:lang w:val="es-ES"/>
        </w:rPr>
      </w:pPr>
      <w:proofErr w:type="spellStart"/>
      <w:r w:rsidRPr="00655AB6">
        <w:rPr>
          <w:rFonts w:ascii="Verdana" w:hAnsi="Verdana"/>
          <w:b/>
          <w:bCs/>
          <w:lang w:val="es-ES"/>
        </w:rPr>
        <w:t>Franciso</w:t>
      </w:r>
      <w:proofErr w:type="spellEnd"/>
      <w:r w:rsidRPr="00655AB6">
        <w:rPr>
          <w:rFonts w:ascii="Verdana" w:hAnsi="Verdana"/>
          <w:b/>
          <w:bCs/>
          <w:lang w:val="es-ES"/>
        </w:rPr>
        <w:t xml:space="preserve"> Antonio Mazo Salazar </w:t>
      </w:r>
    </w:p>
    <w:p w14:paraId="26F7C43D" w14:textId="701822E5" w:rsidR="00B070F0" w:rsidRPr="00655AB6" w:rsidRDefault="00B070F0" w:rsidP="00B070F0">
      <w:pPr>
        <w:spacing w:after="0" w:line="240" w:lineRule="auto"/>
        <w:rPr>
          <w:rFonts w:ascii="Verdana" w:hAnsi="Verdana"/>
          <w:lang w:val="es-ES"/>
        </w:rPr>
      </w:pPr>
      <w:r w:rsidRPr="00655AB6">
        <w:rPr>
          <w:rFonts w:ascii="Verdana" w:hAnsi="Verdana"/>
          <w:lang w:val="es-ES"/>
        </w:rPr>
        <w:t>Gobernación del Chocó</w:t>
      </w:r>
    </w:p>
    <w:p w14:paraId="0A3021D1" w14:textId="49F80C04" w:rsidR="00B070F0" w:rsidRPr="00F45408" w:rsidRDefault="00B070F0" w:rsidP="00B070F0">
      <w:pPr>
        <w:spacing w:after="0"/>
        <w:rPr>
          <w:rFonts w:ascii="Verdana" w:eastAsia="Calibri" w:hAnsi="Verdana" w:cs="Arial"/>
          <w:b/>
          <w:color w:val="000000" w:themeColor="text1"/>
          <w:lang w:eastAsia="es-ES"/>
        </w:rPr>
      </w:pPr>
      <w:r w:rsidRPr="00FC6F34">
        <w:rPr>
          <w:rFonts w:ascii="Verdana" w:hAnsi="Verdana"/>
          <w:lang w:val="es-ES"/>
        </w:rPr>
        <w:t>Bogotá D.C.</w:t>
      </w:r>
    </w:p>
    <w:p w14:paraId="738E179A" w14:textId="77777777" w:rsidR="00B070F0" w:rsidRPr="00FC6F34" w:rsidRDefault="00B070F0" w:rsidP="00B070F0">
      <w:pPr>
        <w:spacing w:after="0" w:line="240" w:lineRule="auto"/>
        <w:rPr>
          <w:rFonts w:ascii="Verdana" w:eastAsia="Calibri" w:hAnsi="Verdana" w:cs="Arial"/>
          <w:b/>
          <w:bCs/>
          <w:color w:val="000000" w:themeColor="text1"/>
          <w:lang w:val="es-ES" w:eastAsia="es-ES"/>
        </w:rPr>
      </w:pPr>
    </w:p>
    <w:tbl>
      <w:tblPr>
        <w:tblStyle w:val="TableGrid"/>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B070F0" w:rsidRPr="00FC6F34" w14:paraId="76F21928" w14:textId="77777777" w:rsidTr="001966D9">
        <w:trPr>
          <w:trHeight w:val="300"/>
        </w:trPr>
        <w:tc>
          <w:tcPr>
            <w:tcW w:w="2410" w:type="dxa"/>
          </w:tcPr>
          <w:p w14:paraId="2D2C767E" w14:textId="77777777" w:rsidR="00B070F0" w:rsidRPr="00FC6F34" w:rsidRDefault="00B070F0" w:rsidP="001966D9">
            <w:pPr>
              <w:ind w:left="-142"/>
              <w:jc w:val="both"/>
              <w:rPr>
                <w:rFonts w:ascii="Verdana" w:eastAsia="Calibri" w:hAnsi="Verdana" w:cs="Arial"/>
                <w:b/>
                <w:bCs/>
                <w:color w:val="000000" w:themeColor="text1"/>
                <w:lang w:val="es-ES" w:eastAsia="es-ES_tradnl"/>
              </w:rPr>
            </w:pPr>
          </w:p>
        </w:tc>
        <w:tc>
          <w:tcPr>
            <w:tcW w:w="6100" w:type="dxa"/>
          </w:tcPr>
          <w:p w14:paraId="1DCA89E1" w14:textId="6E9940B1" w:rsidR="00B070F0" w:rsidRDefault="00B070F0" w:rsidP="001966D9">
            <w:pPr>
              <w:ind w:left="3"/>
              <w:jc w:val="both"/>
              <w:rPr>
                <w:rFonts w:ascii="Verdana" w:eastAsia="Calibri" w:hAnsi="Verdana" w:cs="Arial"/>
                <w:b/>
                <w:bCs/>
                <w:color w:val="000000" w:themeColor="text1"/>
                <w:lang w:val="es-ES" w:eastAsia="es-ES"/>
              </w:rPr>
            </w:pPr>
          </w:p>
          <w:p w14:paraId="7E1848DD" w14:textId="7D04205B" w:rsidR="00B070F0" w:rsidRPr="00FC6F34" w:rsidRDefault="00B070F0" w:rsidP="001966D9">
            <w:pPr>
              <w:ind w:left="3"/>
              <w:jc w:val="both"/>
              <w:rPr>
                <w:rFonts w:ascii="Verdana" w:eastAsia="Calibri" w:hAnsi="Verdana" w:cs="Arial"/>
                <w:b/>
                <w:bCs/>
                <w:color w:val="000000" w:themeColor="text1"/>
                <w:lang w:val="es-ES" w:eastAsia="es-ES"/>
              </w:rPr>
            </w:pPr>
            <w:r w:rsidRPr="00FC6F34">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878</w:t>
            </w:r>
            <w:r>
              <w:t xml:space="preserve"> </w:t>
            </w:r>
            <w:r w:rsidRPr="00FC6F34">
              <w:rPr>
                <w:rFonts w:ascii="Verdana" w:eastAsia="Calibri" w:hAnsi="Verdana" w:cs="Arial"/>
                <w:b/>
                <w:bCs/>
                <w:color w:val="000000" w:themeColor="text1"/>
                <w:lang w:val="es-ES" w:eastAsia="es-ES"/>
              </w:rPr>
              <w:t>de 202</w:t>
            </w:r>
            <w:r>
              <w:rPr>
                <w:rFonts w:ascii="Verdana" w:eastAsia="Calibri" w:hAnsi="Verdana" w:cs="Arial"/>
                <w:b/>
                <w:bCs/>
                <w:color w:val="000000" w:themeColor="text1"/>
                <w:lang w:val="es-ES" w:eastAsia="es-ES"/>
              </w:rPr>
              <w:t>6</w:t>
            </w:r>
          </w:p>
          <w:p w14:paraId="04B0351C" w14:textId="77777777" w:rsidR="00B070F0" w:rsidRPr="00FC6F34" w:rsidRDefault="00B070F0" w:rsidP="001966D9">
            <w:pPr>
              <w:ind w:left="3"/>
              <w:jc w:val="both"/>
              <w:rPr>
                <w:rFonts w:ascii="Verdana" w:eastAsia="Calibri" w:hAnsi="Verdana" w:cs="Arial"/>
                <w:b/>
                <w:bCs/>
                <w:color w:val="000000" w:themeColor="text1"/>
                <w:lang w:val="es-ES" w:eastAsia="es-ES"/>
              </w:rPr>
            </w:pPr>
          </w:p>
        </w:tc>
      </w:tr>
      <w:tr w:rsidR="00B070F0" w:rsidRPr="00FC6F34" w14:paraId="14C80B96" w14:textId="77777777" w:rsidTr="001966D9">
        <w:trPr>
          <w:trHeight w:val="300"/>
        </w:trPr>
        <w:tc>
          <w:tcPr>
            <w:tcW w:w="2410" w:type="dxa"/>
          </w:tcPr>
          <w:p w14:paraId="40BC1741" w14:textId="77777777" w:rsidR="00B070F0" w:rsidRPr="00E84C4E" w:rsidRDefault="00B070F0" w:rsidP="001966D9">
            <w:pPr>
              <w:ind w:left="424" w:firstLine="142"/>
              <w:jc w:val="both"/>
              <w:rPr>
                <w:rFonts w:ascii="Verdana" w:eastAsia="Calibri" w:hAnsi="Verdana" w:cs="Arial"/>
                <w:color w:val="000000" w:themeColor="text1"/>
                <w:lang w:val="es-ES" w:eastAsia="es-ES_tradnl"/>
              </w:rPr>
            </w:pPr>
            <w:r w:rsidRPr="00E84C4E">
              <w:rPr>
                <w:rFonts w:ascii="Verdana" w:eastAsia="Calibri" w:hAnsi="Verdana" w:cs="Arial"/>
                <w:b/>
                <w:color w:val="000000" w:themeColor="text1"/>
                <w:lang w:val="es-ES" w:eastAsia="es-ES_tradnl"/>
              </w:rPr>
              <w:t>Temas:</w:t>
            </w:r>
            <w:r w:rsidRPr="00E84C4E">
              <w:rPr>
                <w:rFonts w:ascii="Verdana" w:eastAsia="Calibri" w:hAnsi="Verdana" w:cs="Arial"/>
                <w:color w:val="000000" w:themeColor="text1"/>
                <w:lang w:val="es-ES" w:eastAsia="es-ES_tradnl"/>
              </w:rPr>
              <w:t xml:space="preserve">                  </w:t>
            </w:r>
          </w:p>
        </w:tc>
        <w:tc>
          <w:tcPr>
            <w:tcW w:w="6100" w:type="dxa"/>
          </w:tcPr>
          <w:p w14:paraId="0AD4FF0B" w14:textId="1AD41941" w:rsidR="00B070F0" w:rsidRPr="003F6479" w:rsidRDefault="00B070F0" w:rsidP="001966D9">
            <w:pPr>
              <w:snapToGrid w:val="0"/>
              <w:contextualSpacing/>
              <w:jc w:val="both"/>
              <w:rPr>
                <w:rFonts w:ascii="Verdana" w:eastAsia="Calibri" w:hAnsi="Verdana" w:cs="Arial"/>
                <w:lang w:val="es-ES" w:eastAsia="es-ES"/>
              </w:rPr>
            </w:pPr>
            <w:r w:rsidRPr="00E84C4E">
              <w:rPr>
                <w:rFonts w:ascii="Verdana" w:eastAsia="Calibri" w:hAnsi="Verdana" w:cs="Arial"/>
                <w:lang w:val="es-ES" w:eastAsia="es-ES"/>
              </w:rPr>
              <w:t xml:space="preserve">LEY DE GARANTÍAS ELECTORALES – Finalidad / LEY DE GARANTÍAS ELECTORALES ‒ Restricciones ‒ Contratación ‒ Tipos de elección / LEY DE GARANTÍAS ELECTORALES ‒ Artículo 33 ‒ Ámbito material/ LEY DE GARANTÍAS ELECTORALES – Aplicación – </w:t>
            </w:r>
            <w:r>
              <w:rPr>
                <w:rFonts w:ascii="Verdana" w:eastAsia="Calibri" w:hAnsi="Verdana" w:cs="Arial"/>
                <w:lang w:val="es-ES" w:eastAsia="es-ES"/>
              </w:rPr>
              <w:t xml:space="preserve">Organismos internacionales </w:t>
            </w:r>
          </w:p>
          <w:p w14:paraId="28490816" w14:textId="77777777" w:rsidR="00B070F0" w:rsidRPr="00E84C4E" w:rsidRDefault="00B070F0" w:rsidP="001966D9">
            <w:pPr>
              <w:spacing w:line="276" w:lineRule="auto"/>
              <w:jc w:val="both"/>
              <w:rPr>
                <w:rFonts w:ascii="Verdana" w:eastAsia="Calibri" w:hAnsi="Verdana" w:cs="Arial"/>
                <w:color w:val="000000" w:themeColor="text1"/>
                <w:lang w:val="es-ES" w:eastAsia="es-ES"/>
              </w:rPr>
            </w:pPr>
          </w:p>
        </w:tc>
      </w:tr>
      <w:tr w:rsidR="00B070F0" w:rsidRPr="00FC6F34" w14:paraId="088182AE" w14:textId="77777777" w:rsidTr="001966D9">
        <w:tc>
          <w:tcPr>
            <w:tcW w:w="2410" w:type="dxa"/>
          </w:tcPr>
          <w:p w14:paraId="597139EE" w14:textId="77777777" w:rsidR="00B070F0" w:rsidRPr="00FC6F34" w:rsidRDefault="00B070F0" w:rsidP="001966D9">
            <w:pPr>
              <w:ind w:left="561"/>
              <w:jc w:val="both"/>
              <w:rPr>
                <w:rFonts w:ascii="Verdana" w:eastAsia="Calibri" w:hAnsi="Verdana" w:cs="Arial"/>
                <w:b/>
                <w:color w:val="000000" w:themeColor="text1"/>
                <w:lang w:val="es-ES" w:eastAsia="es-ES_tradnl"/>
              </w:rPr>
            </w:pPr>
            <w:r w:rsidRPr="00FC6F34">
              <w:rPr>
                <w:rFonts w:ascii="Verdana" w:eastAsia="Calibri" w:hAnsi="Verdana" w:cs="Arial"/>
                <w:b/>
                <w:color w:val="000000" w:themeColor="text1"/>
                <w:lang w:val="es-ES" w:eastAsia="es-ES_tradnl"/>
              </w:rPr>
              <w:t>Radicación:</w:t>
            </w:r>
            <w:r w:rsidRPr="00FC6F34">
              <w:rPr>
                <w:rFonts w:ascii="Verdana" w:eastAsia="Calibri" w:hAnsi="Verdana" w:cs="Arial"/>
                <w:color w:val="000000" w:themeColor="text1"/>
                <w:lang w:val="es-ES" w:eastAsia="es-ES_tradnl"/>
              </w:rPr>
              <w:t xml:space="preserve">              </w:t>
            </w:r>
          </w:p>
        </w:tc>
        <w:tc>
          <w:tcPr>
            <w:tcW w:w="6100" w:type="dxa"/>
          </w:tcPr>
          <w:p w14:paraId="67C84164" w14:textId="77777777" w:rsidR="00B070F0" w:rsidRPr="00FC6F34" w:rsidRDefault="00B070F0" w:rsidP="001966D9">
            <w:pPr>
              <w:ind w:left="3"/>
              <w:jc w:val="both"/>
              <w:rPr>
                <w:rFonts w:ascii="Verdana" w:hAnsi="Verdana"/>
                <w:color w:val="000000"/>
                <w:lang w:val="es-ES"/>
              </w:rPr>
            </w:pPr>
            <w:r w:rsidRPr="00FC6F34">
              <w:rPr>
                <w:rFonts w:ascii="Verdana" w:eastAsia="Calibri" w:hAnsi="Verdana" w:cs="Arial"/>
                <w:color w:val="000000" w:themeColor="text1"/>
                <w:lang w:val="es-ES" w:eastAsia="es-ES"/>
              </w:rPr>
              <w:t>Respuesta a consulta</w:t>
            </w:r>
            <w:r>
              <w:rPr>
                <w:rFonts w:ascii="Verdana" w:eastAsia="Calibri" w:hAnsi="Verdana" w:cs="Arial"/>
                <w:color w:val="000000" w:themeColor="text1"/>
                <w:lang w:val="es-ES" w:eastAsia="es-ES"/>
              </w:rPr>
              <w:t>s</w:t>
            </w:r>
            <w:r w:rsidRPr="00FC6F34">
              <w:rPr>
                <w:rFonts w:ascii="Verdana" w:eastAsia="Calibri" w:hAnsi="Verdana" w:cs="Arial"/>
                <w:color w:val="000000" w:themeColor="text1"/>
                <w:lang w:val="es-ES" w:eastAsia="es-ES"/>
              </w:rPr>
              <w:t xml:space="preserve"> con radicado</w:t>
            </w:r>
            <w:r>
              <w:rPr>
                <w:rFonts w:ascii="Verdana" w:eastAsia="Calibri" w:hAnsi="Verdana" w:cs="Arial"/>
                <w:color w:val="000000" w:themeColor="text1"/>
                <w:lang w:val="es-ES" w:eastAsia="es-ES"/>
              </w:rPr>
              <w:t>s</w:t>
            </w:r>
            <w:r w:rsidRPr="00FC6F34">
              <w:rPr>
                <w:rFonts w:ascii="Verdana" w:eastAsia="Calibri" w:hAnsi="Verdana" w:cs="Arial"/>
                <w:color w:val="000000" w:themeColor="text1"/>
                <w:lang w:val="es-ES" w:eastAsia="es-ES"/>
              </w:rPr>
              <w:t xml:space="preserve"> No. </w:t>
            </w:r>
            <w:r w:rsidRPr="00901A3C">
              <w:rPr>
                <w:rFonts w:ascii="Verdana" w:eastAsia="Calibri" w:hAnsi="Verdana" w:cs="Arial"/>
                <w:color w:val="000000" w:themeColor="text1"/>
                <w:lang w:val="es-ES" w:eastAsia="es-ES"/>
              </w:rPr>
              <w:t>1_2026_05_26_007073</w:t>
            </w:r>
            <w:r>
              <w:rPr>
                <w:rFonts w:ascii="Verdana" w:eastAsia="Calibri" w:hAnsi="Verdana" w:cs="Arial"/>
                <w:color w:val="000000" w:themeColor="text1"/>
                <w:lang w:val="es-ES" w:eastAsia="es-ES"/>
              </w:rPr>
              <w:t xml:space="preserve">, </w:t>
            </w:r>
            <w:r w:rsidRPr="00897D62">
              <w:rPr>
                <w:rFonts w:ascii="Verdana" w:eastAsia="Calibri" w:hAnsi="Verdana" w:cs="Arial"/>
                <w:color w:val="000000" w:themeColor="text1"/>
                <w:lang w:eastAsia="es-ES"/>
              </w:rPr>
              <w:t>1_2026_05_26_007075 y 1_2026_05_26_007090 (acumuladas)</w:t>
            </w:r>
          </w:p>
        </w:tc>
      </w:tr>
    </w:tbl>
    <w:p w14:paraId="6B7F0F85" w14:textId="77777777" w:rsidR="00B070F0" w:rsidRPr="00FC6F34" w:rsidRDefault="00B070F0" w:rsidP="00B070F0">
      <w:pPr>
        <w:spacing w:after="0" w:line="276" w:lineRule="auto"/>
        <w:jc w:val="both"/>
        <w:rPr>
          <w:rFonts w:ascii="Verdana" w:eastAsia="Calibri" w:hAnsi="Verdana" w:cs="Arial"/>
          <w:color w:val="000000" w:themeColor="text1"/>
          <w:lang w:val="es-ES" w:eastAsia="es-ES"/>
        </w:rPr>
      </w:pPr>
    </w:p>
    <w:p w14:paraId="04835802" w14:textId="77777777" w:rsidR="00B070F0" w:rsidRPr="00FC6F34" w:rsidRDefault="00B070F0" w:rsidP="00B070F0">
      <w:pPr>
        <w:spacing w:after="0" w:line="276" w:lineRule="auto"/>
        <w:jc w:val="both"/>
        <w:rPr>
          <w:rFonts w:ascii="Verdana" w:eastAsia="Calibri" w:hAnsi="Verdana" w:cs="Arial"/>
          <w:color w:val="000000" w:themeColor="text1"/>
          <w:lang w:val="es-ES" w:eastAsia="es-ES"/>
        </w:rPr>
      </w:pPr>
    </w:p>
    <w:p w14:paraId="3DD3ED6A" w14:textId="77777777" w:rsidR="00B070F0" w:rsidRPr="00FC6F34" w:rsidRDefault="00B070F0" w:rsidP="00B070F0">
      <w:pPr>
        <w:spacing w:after="0" w:line="276" w:lineRule="auto"/>
        <w:jc w:val="both"/>
        <w:rPr>
          <w:rFonts w:ascii="Verdana" w:eastAsia="Calibri" w:hAnsi="Verdana" w:cs="Arial"/>
          <w:color w:val="000000" w:themeColor="text1"/>
          <w:lang w:val="es-ES" w:eastAsia="es-ES"/>
        </w:rPr>
      </w:pPr>
      <w:r w:rsidRPr="00FC6F34">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 xml:space="preserve">o Doctor </w:t>
      </w:r>
      <w:r>
        <w:rPr>
          <w:rFonts w:ascii="Verdana" w:eastAsia="Calibri" w:hAnsi="Verdana" w:cs="Arial"/>
          <w:color w:val="000000" w:themeColor="text1"/>
          <w:lang w:eastAsia="es-ES"/>
        </w:rPr>
        <w:t>Mazo</w:t>
      </w:r>
      <w:r w:rsidRPr="00FC6F34">
        <w:rPr>
          <w:rFonts w:ascii="Verdana" w:eastAsia="Calibri" w:hAnsi="Verdana" w:cs="Arial"/>
          <w:color w:val="000000" w:themeColor="text1"/>
          <w:lang w:val="es-ES" w:eastAsia="es-ES"/>
        </w:rPr>
        <w:t xml:space="preserve">: </w:t>
      </w:r>
    </w:p>
    <w:p w14:paraId="0647C730" w14:textId="77777777" w:rsidR="00B070F0" w:rsidRPr="00FC6F34" w:rsidRDefault="00B070F0" w:rsidP="00B070F0">
      <w:pPr>
        <w:tabs>
          <w:tab w:val="left" w:pos="3768"/>
        </w:tabs>
        <w:spacing w:after="0" w:line="276" w:lineRule="auto"/>
        <w:jc w:val="both"/>
        <w:rPr>
          <w:rFonts w:ascii="Verdana" w:eastAsia="Calibri" w:hAnsi="Verdana" w:cs="Arial"/>
          <w:color w:val="000000" w:themeColor="text1"/>
          <w:lang w:val="es-ES" w:eastAsia="es-ES"/>
        </w:rPr>
      </w:pPr>
      <w:r w:rsidRPr="00FC6F34">
        <w:rPr>
          <w:rFonts w:ascii="Verdana" w:eastAsia="Calibri" w:hAnsi="Verdana" w:cs="Arial"/>
          <w:color w:val="000000" w:themeColor="text1"/>
          <w:lang w:val="es-ES" w:eastAsia="es-ES"/>
        </w:rPr>
        <w:tab/>
      </w:r>
    </w:p>
    <w:p w14:paraId="0AB14173" w14:textId="77777777" w:rsidR="00B070F0" w:rsidRPr="00FC6F34" w:rsidRDefault="00B070F0" w:rsidP="00B070F0">
      <w:pPr>
        <w:spacing w:after="0" w:line="276" w:lineRule="auto"/>
        <w:jc w:val="both"/>
        <w:rPr>
          <w:rFonts w:ascii="Verdana" w:eastAsia="Calibri" w:hAnsi="Verdana" w:cs="Arial"/>
          <w:color w:val="000000" w:themeColor="text1"/>
          <w:lang w:val="es-ES" w:eastAsia="es-ES"/>
        </w:rPr>
      </w:pPr>
      <w:r w:rsidRPr="00FC6F34">
        <w:rPr>
          <w:rFonts w:ascii="Verdana" w:eastAsia="Calibri" w:hAnsi="Verdana" w:cs="Arial"/>
          <w:color w:val="000000" w:themeColor="text1"/>
          <w:lang w:val="es-ES" w:eastAsia="es-ES"/>
        </w:rPr>
        <w:t>En ejercicio de la competencia otorgada por los artículos 3, numeral 5º, y 11, numeral 8º, del Decreto Ley 4170 de 2011,</w:t>
      </w:r>
      <w:r w:rsidRPr="00FC6F34">
        <w:rPr>
          <w:rFonts w:ascii="Verdana" w:eastAsia="Arial MT" w:hAnsi="Verdana" w:cs="Arial MT"/>
          <w:color w:val="000000" w:themeColor="text1"/>
          <w:lang w:val="es-ES" w:eastAsia="es-ES"/>
        </w:rPr>
        <w:t xml:space="preserve"> </w:t>
      </w:r>
      <w:r w:rsidRPr="00FC6F34">
        <w:rPr>
          <w:rFonts w:ascii="Verdana" w:hAnsi="Verdana" w:cs="Arial"/>
          <w:color w:val="000000" w:themeColor="text1"/>
          <w:lang w:val="es-ES"/>
        </w:rPr>
        <w:t xml:space="preserve">así como lo establecido en el artículo 4 de la Resolución 1707 de 2018 expedida por esta Entidad, </w:t>
      </w:r>
      <w:r w:rsidRPr="00FC6F34">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color w:val="000000" w:themeColor="text1"/>
          <w:lang w:val="es-ES" w:eastAsia="es-ES"/>
        </w:rPr>
        <w:t xml:space="preserve">26 de mayo </w:t>
      </w:r>
      <w:r w:rsidRPr="00FC6F34">
        <w:rPr>
          <w:rFonts w:ascii="Verdana" w:eastAsia="Calibri" w:hAnsi="Verdana" w:cs="Arial"/>
          <w:color w:val="000000" w:themeColor="text1"/>
          <w:lang w:val="es-ES" w:eastAsia="es-ES"/>
        </w:rPr>
        <w:t>de 202</w:t>
      </w:r>
      <w:r>
        <w:rPr>
          <w:rFonts w:ascii="Verdana" w:eastAsia="Calibri" w:hAnsi="Verdana" w:cs="Arial"/>
          <w:color w:val="000000" w:themeColor="text1"/>
          <w:lang w:val="es-ES" w:eastAsia="es-ES"/>
        </w:rPr>
        <w:t>6</w:t>
      </w:r>
      <w:r w:rsidRPr="00FC6F34">
        <w:rPr>
          <w:rFonts w:ascii="Verdana" w:eastAsia="Calibri" w:hAnsi="Verdana" w:cs="Arial"/>
          <w:color w:val="000000" w:themeColor="text1"/>
          <w:lang w:val="es-ES" w:eastAsia="es-ES"/>
        </w:rPr>
        <w:t xml:space="preserve">, en la cual manifiesta lo siguiente: </w:t>
      </w:r>
    </w:p>
    <w:p w14:paraId="4D28976B" w14:textId="77777777" w:rsidR="00B070F0" w:rsidRPr="00FC6F34" w:rsidRDefault="00B070F0" w:rsidP="00B070F0">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p>
    <w:p w14:paraId="2945B804" w14:textId="77777777" w:rsidR="00B070F0" w:rsidRPr="00655AB6" w:rsidRDefault="00B070F0" w:rsidP="00B070F0">
      <w:pPr>
        <w:spacing w:before="120" w:after="120"/>
        <w:ind w:left="709" w:right="709"/>
        <w:contextualSpacing/>
        <w:jc w:val="both"/>
        <w:rPr>
          <w:rFonts w:ascii="Verdana" w:eastAsia="Century Gothic" w:hAnsi="Verdana" w:cs="Century Gothic"/>
          <w:i/>
          <w:color w:val="000000" w:themeColor="text1"/>
          <w:sz w:val="20"/>
          <w:szCs w:val="20"/>
        </w:rPr>
      </w:pPr>
      <w:r w:rsidRPr="00FC6F34">
        <w:rPr>
          <w:rFonts w:ascii="Verdana" w:eastAsia="Century Gothic" w:hAnsi="Verdana" w:cs="Century Gothic"/>
          <w:i/>
          <w:iCs/>
          <w:color w:val="000000" w:themeColor="text1"/>
          <w:sz w:val="20"/>
          <w:szCs w:val="20"/>
          <w:lang w:val="es-ES"/>
        </w:rPr>
        <w:t>“</w:t>
      </w:r>
      <w:r w:rsidRPr="00655AB6">
        <w:rPr>
          <w:rFonts w:ascii="Verdana" w:eastAsia="Century Gothic" w:hAnsi="Verdana" w:cs="Century Gothic"/>
          <w:i/>
          <w:color w:val="000000" w:themeColor="text1"/>
          <w:sz w:val="20"/>
          <w:szCs w:val="20"/>
        </w:rPr>
        <w:t xml:space="preserve">De manera atenta, me permito solicitar concepto jurídico respecto de la viabilidad de adelantar procesos contractuales bajo la modalidad de contratación directa, durante la vigencia de Ley de Garantías con fuente de financiación de un cien por ciento (100%) con recursos de cooperación internacional asignados por la Agencia Española de Cooperación Internacional para el Desarrollo – AECID, en el marco de la ejecución de los proyectos denominados PDT y PROTECT. </w:t>
      </w:r>
    </w:p>
    <w:p w14:paraId="72B14A9D" w14:textId="77777777" w:rsidR="00B070F0" w:rsidRPr="00655AB6" w:rsidRDefault="00B070F0" w:rsidP="00B070F0">
      <w:pPr>
        <w:spacing w:before="120" w:after="120"/>
        <w:ind w:left="709" w:right="709"/>
        <w:contextualSpacing/>
        <w:jc w:val="both"/>
        <w:rPr>
          <w:rFonts w:ascii="Verdana" w:eastAsia="Century Gothic" w:hAnsi="Verdana" w:cs="Century Gothic"/>
          <w:i/>
          <w:color w:val="000000" w:themeColor="text1"/>
          <w:sz w:val="20"/>
          <w:szCs w:val="20"/>
          <w:lang w:val="en-US"/>
        </w:rPr>
      </w:pPr>
      <w:r w:rsidRPr="25FA6AED">
        <w:rPr>
          <w:rFonts w:ascii="Verdana" w:eastAsia="Century Gothic" w:hAnsi="Verdana" w:cs="Century Gothic"/>
          <w:i/>
          <w:color w:val="000000" w:themeColor="text1"/>
          <w:sz w:val="20"/>
          <w:szCs w:val="20"/>
          <w:lang w:val="en-US"/>
        </w:rPr>
        <w:t xml:space="preserve">La presente solicitud se fundamenta en la necesidad de determinar el régimen jurídico aplicable a los recursos de cooperación internacional no </w:t>
      </w:r>
      <w:r w:rsidRPr="25FA6AED">
        <w:rPr>
          <w:rFonts w:ascii="Verdana" w:eastAsia="Century Gothic" w:hAnsi="Verdana" w:cs="Century Gothic"/>
          <w:i/>
          <w:color w:val="000000" w:themeColor="text1"/>
          <w:sz w:val="20"/>
          <w:szCs w:val="20"/>
          <w:lang w:val="en-US"/>
        </w:rPr>
        <w:lastRenderedPageBreak/>
        <w:t xml:space="preserve">reembolsable administrados por el Departamento del Chocó, así como establecer la procedencia de aplicar las disposiciones contempladas para la contratación con organismos de cooperación, teniendo en cuenta que dichos recursos provienen íntegramente de cooperación internacional, y fueron debidamente incorporados al presupuesto de ingresos y gastos del Departamento del Chocó y se encuentran destinados al desarrollo de actividades específicas contempladas dentro de los proyectos previamente referidos. </w:t>
      </w:r>
    </w:p>
    <w:p w14:paraId="16886F16" w14:textId="77777777" w:rsidR="00B070F0" w:rsidRPr="00655AB6" w:rsidRDefault="00B070F0" w:rsidP="00B070F0">
      <w:pPr>
        <w:spacing w:before="120" w:after="120"/>
        <w:ind w:left="709" w:right="709"/>
        <w:contextualSpacing/>
        <w:jc w:val="both"/>
        <w:rPr>
          <w:rFonts w:ascii="Verdana" w:eastAsia="Century Gothic" w:hAnsi="Verdana" w:cs="Century Gothic"/>
          <w:i/>
          <w:color w:val="000000" w:themeColor="text1"/>
          <w:sz w:val="20"/>
          <w:szCs w:val="20"/>
          <w:lang w:val="en-US"/>
        </w:rPr>
      </w:pPr>
      <w:r w:rsidRPr="25FA6AED">
        <w:rPr>
          <w:rFonts w:ascii="Verdana" w:eastAsia="Century Gothic" w:hAnsi="Verdana" w:cs="Century Gothic"/>
          <w:i/>
          <w:color w:val="000000" w:themeColor="text1"/>
          <w:sz w:val="20"/>
          <w:szCs w:val="20"/>
          <w:lang w:val="en-US"/>
        </w:rPr>
        <w:t xml:space="preserve">En ese sentido, se solicita emitir pronunciamiento respecto del siguiente aspecto: </w:t>
      </w:r>
    </w:p>
    <w:p w14:paraId="0B1A50D3" w14:textId="77777777" w:rsidR="00B070F0" w:rsidRPr="00655AB6" w:rsidRDefault="00B070F0" w:rsidP="00B070F0">
      <w:pPr>
        <w:numPr>
          <w:ilvl w:val="0"/>
          <w:numId w:val="18"/>
        </w:numPr>
        <w:spacing w:before="120" w:after="120"/>
        <w:ind w:right="709"/>
        <w:contextualSpacing/>
        <w:jc w:val="both"/>
        <w:rPr>
          <w:rFonts w:ascii="Verdana" w:eastAsia="Century Gothic" w:hAnsi="Verdana" w:cs="Century Gothic"/>
          <w:i/>
          <w:color w:val="000000" w:themeColor="text1"/>
          <w:sz w:val="20"/>
          <w:szCs w:val="20"/>
          <w:lang w:val="en-US"/>
        </w:rPr>
      </w:pPr>
      <w:r w:rsidRPr="25FA6AED">
        <w:rPr>
          <w:rFonts w:ascii="Verdana" w:eastAsia="Century Gothic" w:hAnsi="Verdana" w:cs="Century Gothic"/>
          <w:i/>
          <w:color w:val="000000" w:themeColor="text1"/>
          <w:sz w:val="20"/>
          <w:szCs w:val="20"/>
          <w:lang w:val="en-US"/>
        </w:rPr>
        <w:t xml:space="preserve">Es jurídicamente viable adelantar contratos mediante la modalidad de contratación directa cuando los recursos provienen en un 100% de cooperación internacional no reembolsable asignada por AECID, durante la vigencia de la Ley de Garantías? </w:t>
      </w:r>
    </w:p>
    <w:p w14:paraId="0B9B5A1D" w14:textId="77777777" w:rsidR="00B070F0" w:rsidRPr="00655AB6" w:rsidRDefault="00B070F0" w:rsidP="00B070F0">
      <w:pPr>
        <w:numPr>
          <w:ilvl w:val="0"/>
          <w:numId w:val="18"/>
        </w:numPr>
        <w:spacing w:before="120" w:after="120"/>
        <w:ind w:right="709"/>
        <w:contextualSpacing/>
        <w:jc w:val="both"/>
        <w:rPr>
          <w:rFonts w:ascii="Verdana" w:eastAsia="Century Gothic" w:hAnsi="Verdana" w:cs="Century Gothic"/>
          <w:i/>
          <w:color w:val="000000" w:themeColor="text1"/>
          <w:sz w:val="20"/>
          <w:szCs w:val="20"/>
          <w:lang w:val="en-US"/>
        </w:rPr>
      </w:pPr>
      <w:r w:rsidRPr="25FA6AED">
        <w:rPr>
          <w:rFonts w:ascii="Verdana" w:eastAsia="Century Gothic" w:hAnsi="Verdana" w:cs="Century Gothic"/>
          <w:i/>
          <w:color w:val="000000" w:themeColor="text1"/>
          <w:sz w:val="20"/>
          <w:szCs w:val="20"/>
          <w:lang w:val="en-US"/>
        </w:rPr>
        <w:t xml:space="preserve">¿El hecho de que los recursos de cooperación internacional no reembolsable hayan sido incorporados al presupuesto de ingresos y gastos de la entidad territorial modifica el régimen jurídico aplicable a su contratación o la posibilidad de acudir a mecanismos de contratación directa en vigencia de la ley de garantías? </w:t>
      </w:r>
    </w:p>
    <w:p w14:paraId="61DCCB7F" w14:textId="77777777" w:rsidR="00B070F0" w:rsidRPr="00655AB6" w:rsidRDefault="00B070F0" w:rsidP="00B070F0">
      <w:pPr>
        <w:numPr>
          <w:ilvl w:val="0"/>
          <w:numId w:val="18"/>
        </w:numPr>
        <w:spacing w:before="120" w:after="120"/>
        <w:ind w:right="709"/>
        <w:contextualSpacing/>
        <w:jc w:val="both"/>
        <w:rPr>
          <w:rFonts w:ascii="Verdana" w:eastAsia="Century Gothic" w:hAnsi="Verdana" w:cs="Century Gothic"/>
          <w:i/>
          <w:color w:val="000000" w:themeColor="text1"/>
          <w:sz w:val="20"/>
          <w:szCs w:val="20"/>
          <w:lang w:val="en-US"/>
        </w:rPr>
      </w:pPr>
      <w:r w:rsidRPr="25FA6AED">
        <w:rPr>
          <w:rFonts w:ascii="Verdana" w:eastAsia="Century Gothic" w:hAnsi="Verdana" w:cs="Century Gothic"/>
          <w:i/>
          <w:color w:val="000000" w:themeColor="text1"/>
          <w:sz w:val="20"/>
          <w:szCs w:val="20"/>
          <w:lang w:val="en-US"/>
        </w:rPr>
        <w:t xml:space="preserve">¿Los recursos de cooperación internacional no reembolsable provenientes de AECID se encuentran exceptuados de las restricciones previstas en el artículo 33 de la Ley 996 de 2005, en atención a su naturaleza y origen? </w:t>
      </w:r>
    </w:p>
    <w:p w14:paraId="6E77B37B" w14:textId="77777777" w:rsidR="00B070F0" w:rsidRPr="00BC2B99" w:rsidRDefault="00B070F0" w:rsidP="00B070F0">
      <w:pPr>
        <w:numPr>
          <w:ilvl w:val="0"/>
          <w:numId w:val="18"/>
        </w:numPr>
        <w:spacing w:before="120" w:after="120"/>
        <w:ind w:right="709"/>
        <w:contextualSpacing/>
        <w:jc w:val="both"/>
        <w:rPr>
          <w:rFonts w:ascii="Verdana" w:eastAsia="Century Gothic" w:hAnsi="Verdana" w:cs="Century Gothic"/>
          <w:i/>
          <w:color w:val="000000" w:themeColor="text1"/>
          <w:sz w:val="20"/>
          <w:szCs w:val="20"/>
        </w:rPr>
      </w:pPr>
      <w:r w:rsidRPr="00655AB6">
        <w:rPr>
          <w:rFonts w:ascii="Verdana" w:eastAsia="Century Gothic" w:hAnsi="Verdana" w:cs="Century Gothic"/>
          <w:i/>
          <w:color w:val="000000" w:themeColor="text1"/>
          <w:sz w:val="20"/>
          <w:szCs w:val="20"/>
        </w:rPr>
        <w:t>¿Cuál es el régimen jurídico aplicable a la contratación financiada exclusivamente con recursos de cooperación internacional administrados por entidades territoriales?</w:t>
      </w:r>
      <w:r w:rsidRPr="00BC2B99">
        <w:rPr>
          <w:rFonts w:ascii="Verdana" w:hAnsi="Verdana"/>
          <w:i/>
          <w:iCs/>
          <w:sz w:val="20"/>
          <w:szCs w:val="20"/>
          <w:lang w:val="es-ES"/>
        </w:rPr>
        <w:t>”</w:t>
      </w:r>
    </w:p>
    <w:p w14:paraId="012D688E" w14:textId="77777777" w:rsidR="00B070F0" w:rsidRPr="00FC6F34" w:rsidRDefault="00B070F0" w:rsidP="00B070F0">
      <w:pPr>
        <w:spacing w:after="0" w:line="276" w:lineRule="auto"/>
        <w:ind w:right="709"/>
        <w:jc w:val="both"/>
        <w:rPr>
          <w:rFonts w:ascii="Verdana" w:eastAsia="Calibri" w:hAnsi="Verdana" w:cs="Arial"/>
          <w:lang w:val="es-ES"/>
        </w:rPr>
      </w:pPr>
    </w:p>
    <w:p w14:paraId="4610AE3B" w14:textId="77777777" w:rsidR="00B070F0" w:rsidRPr="00FC6F34" w:rsidRDefault="00B070F0" w:rsidP="00B070F0">
      <w:pPr>
        <w:spacing w:after="120" w:line="276" w:lineRule="auto"/>
        <w:ind w:firstLine="708"/>
        <w:jc w:val="both"/>
        <w:rPr>
          <w:rFonts w:ascii="Verdana" w:eastAsia="Calibri" w:hAnsi="Verdana" w:cs="Arial"/>
          <w:color w:val="000000" w:themeColor="text1"/>
          <w:lang w:val="es-ES" w:eastAsia="es-ES"/>
        </w:rPr>
      </w:pPr>
      <w:r w:rsidRPr="00FC6F34">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C6F34">
        <w:rPr>
          <w:lang w:val="es-ES"/>
        </w:rPr>
        <w:tab/>
      </w:r>
    </w:p>
    <w:p w14:paraId="08F8F271" w14:textId="77777777" w:rsidR="00B070F0" w:rsidRPr="00FC6F34" w:rsidRDefault="00B070F0" w:rsidP="00B070F0">
      <w:pPr>
        <w:spacing w:after="0" w:line="276" w:lineRule="auto"/>
        <w:ind w:firstLine="709"/>
        <w:jc w:val="both"/>
        <w:rPr>
          <w:rFonts w:ascii="Verdana" w:eastAsia="Calibri" w:hAnsi="Verdana" w:cs="Arial"/>
          <w:color w:val="000000" w:themeColor="text1"/>
          <w:lang w:val="es-ES" w:eastAsia="es-ES"/>
        </w:rPr>
      </w:pPr>
      <w:r w:rsidRPr="00FC6F34">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w:t>
      </w:r>
      <w:r w:rsidRPr="00FC6F34">
        <w:rPr>
          <w:rFonts w:ascii="Verdana" w:eastAsia="Calibri" w:hAnsi="Verdana" w:cs="Arial"/>
          <w:color w:val="000000" w:themeColor="text1"/>
          <w:lang w:val="es-ES" w:eastAsia="es-ES"/>
        </w:rPr>
        <w:lastRenderedPageBreak/>
        <w:t>consultiva, esto es, haciendo abstracción de las circunstancias particulares y concretas mencionadas en su petición, pero haciendo unas consideraciones sobre las normas generales relacionadas con</w:t>
      </w:r>
      <w:r>
        <w:rPr>
          <w:rFonts w:ascii="Verdana" w:eastAsia="Calibri" w:hAnsi="Verdana" w:cs="Arial"/>
          <w:color w:val="000000" w:themeColor="text1"/>
          <w:lang w:val="es-ES" w:eastAsia="es-ES"/>
        </w:rPr>
        <w:t xml:space="preserve"> el </w:t>
      </w:r>
      <w:r w:rsidRPr="00FC6F34">
        <w:rPr>
          <w:rFonts w:ascii="Verdana" w:eastAsia="Calibri" w:hAnsi="Verdana" w:cs="Arial"/>
          <w:color w:val="000000" w:themeColor="text1"/>
          <w:lang w:val="es-ES" w:eastAsia="es-ES"/>
        </w:rPr>
        <w:t xml:space="preserve">problema jurídico de su consulta. </w:t>
      </w:r>
    </w:p>
    <w:p w14:paraId="5179924C" w14:textId="77777777" w:rsidR="00B070F0" w:rsidRPr="00FC6F34" w:rsidRDefault="00B070F0" w:rsidP="00B070F0">
      <w:pPr>
        <w:spacing w:after="0" w:line="276" w:lineRule="auto"/>
        <w:ind w:firstLine="709"/>
        <w:jc w:val="both"/>
        <w:rPr>
          <w:rFonts w:ascii="Verdana" w:eastAsia="Calibri" w:hAnsi="Verdana" w:cs="Arial"/>
          <w:color w:val="000000" w:themeColor="text1"/>
          <w:lang w:val="es-ES" w:eastAsia="es-ES"/>
        </w:rPr>
      </w:pPr>
    </w:p>
    <w:p w14:paraId="3FEE3EC2" w14:textId="77777777" w:rsidR="00B070F0" w:rsidRPr="00FC6F34" w:rsidRDefault="00B070F0" w:rsidP="00B070F0">
      <w:pPr>
        <w:tabs>
          <w:tab w:val="left" w:pos="142"/>
          <w:tab w:val="left" w:pos="284"/>
        </w:tabs>
        <w:spacing w:after="0" w:line="276" w:lineRule="auto"/>
        <w:contextualSpacing/>
        <w:jc w:val="both"/>
        <w:rPr>
          <w:rFonts w:ascii="Verdana" w:eastAsia="Century Gothic" w:hAnsi="Verdana" w:cs="Century Gothic"/>
          <w:b/>
          <w:color w:val="000000" w:themeColor="text1"/>
          <w:lang w:val="es-ES"/>
        </w:rPr>
      </w:pPr>
      <w:r w:rsidRPr="00FC6F34">
        <w:rPr>
          <w:rFonts w:ascii="Verdana" w:eastAsia="Century Gothic" w:hAnsi="Verdana" w:cs="Century Gothic"/>
          <w:b/>
          <w:color w:val="000000" w:themeColor="text1"/>
          <w:lang w:val="es-ES"/>
        </w:rPr>
        <w:t>1.Problema planteado:</w:t>
      </w:r>
    </w:p>
    <w:p w14:paraId="31EA6774" w14:textId="77777777" w:rsidR="00B070F0" w:rsidRPr="00FC6F34" w:rsidRDefault="00B070F0" w:rsidP="00B070F0">
      <w:pPr>
        <w:tabs>
          <w:tab w:val="left" w:pos="426"/>
        </w:tabs>
        <w:spacing w:after="0" w:line="276" w:lineRule="auto"/>
        <w:jc w:val="both"/>
        <w:rPr>
          <w:rFonts w:ascii="Verdana" w:eastAsia="Century Gothic" w:hAnsi="Verdana" w:cs="Century Gothic"/>
          <w:color w:val="000000" w:themeColor="text1"/>
          <w:lang w:val="es-ES"/>
        </w:rPr>
      </w:pPr>
    </w:p>
    <w:p w14:paraId="088F91DB" w14:textId="77777777" w:rsidR="00B070F0" w:rsidRPr="00FC6F34" w:rsidRDefault="00B070F0" w:rsidP="00B070F0">
      <w:pPr>
        <w:spacing w:after="0" w:line="276" w:lineRule="auto"/>
        <w:jc w:val="both"/>
        <w:rPr>
          <w:rFonts w:ascii="Verdana" w:eastAsia="Century Gothic" w:hAnsi="Verdana" w:cs="Century Gothic"/>
          <w:color w:val="000000" w:themeColor="text1"/>
          <w:lang w:val="es-ES"/>
        </w:rPr>
      </w:pPr>
      <w:r w:rsidRPr="00FC6F34">
        <w:rPr>
          <w:rFonts w:ascii="Verdana" w:eastAsia="Century Gothic" w:hAnsi="Verdana" w:cs="Century Gothic"/>
          <w:color w:val="000000" w:themeColor="text1"/>
          <w:lang w:val="es-ES"/>
        </w:rPr>
        <w:t xml:space="preserve">De acuerdo con el contenido de su solicitud, esta Agencia resolverá </w:t>
      </w:r>
      <w:r>
        <w:rPr>
          <w:rFonts w:ascii="Verdana" w:eastAsia="Century Gothic" w:hAnsi="Verdana" w:cs="Century Gothic"/>
          <w:color w:val="000000" w:themeColor="text1"/>
          <w:lang w:val="es-ES"/>
        </w:rPr>
        <w:t>el</w:t>
      </w:r>
      <w:r w:rsidRPr="00FC6F34">
        <w:rPr>
          <w:rFonts w:ascii="Verdana" w:eastAsia="Century Gothic" w:hAnsi="Verdana" w:cs="Century Gothic"/>
          <w:color w:val="000000" w:themeColor="text1"/>
          <w:lang w:val="es-ES"/>
        </w:rPr>
        <w:t xml:space="preserve"> siguiente problema jurídico: </w:t>
      </w:r>
      <w:r>
        <w:rPr>
          <w:rFonts w:ascii="Verdana" w:eastAsia="Century Gothic" w:hAnsi="Verdana" w:cs="Century Gothic"/>
          <w:color w:val="000000" w:themeColor="text1"/>
          <w:lang w:val="es-ES"/>
        </w:rPr>
        <w:t xml:space="preserve">¿Cuál es el ámbito de aplicación de las restricciones de la Ley de Garantías Electorales con respecto a los contratos o convenios financiados por </w:t>
      </w:r>
      <w:r w:rsidRPr="00E84C4E">
        <w:rPr>
          <w:rFonts w:ascii="Verdana" w:eastAsia="Century Gothic" w:hAnsi="Verdana" w:cs="Century Gothic"/>
          <w:color w:val="000000" w:themeColor="text1"/>
          <w:lang w:val="es-ES"/>
        </w:rPr>
        <w:t xml:space="preserve">organismos internacionales de cooperación? </w:t>
      </w:r>
    </w:p>
    <w:p w14:paraId="06DB2154" w14:textId="77777777" w:rsidR="00B070F0" w:rsidRPr="00FC6F34" w:rsidRDefault="00B070F0" w:rsidP="00B070F0">
      <w:pPr>
        <w:spacing w:after="0" w:line="276" w:lineRule="auto"/>
        <w:jc w:val="both"/>
        <w:rPr>
          <w:rFonts w:ascii="Verdana" w:eastAsia="Calibri" w:hAnsi="Verdana" w:cs="Arial"/>
          <w:color w:val="000000" w:themeColor="text1"/>
          <w:lang w:val="es-ES"/>
        </w:rPr>
      </w:pPr>
    </w:p>
    <w:p w14:paraId="1F9A51C9" w14:textId="77777777" w:rsidR="00B070F0" w:rsidRPr="00FC6F34" w:rsidRDefault="00B070F0" w:rsidP="00B070F0">
      <w:pPr>
        <w:tabs>
          <w:tab w:val="left" w:pos="142"/>
          <w:tab w:val="left" w:pos="284"/>
        </w:tabs>
        <w:spacing w:after="0" w:line="276" w:lineRule="auto"/>
        <w:jc w:val="both"/>
        <w:rPr>
          <w:rFonts w:ascii="Verdana" w:eastAsia="Century Gothic" w:hAnsi="Verdana" w:cs="Century Gothic"/>
          <w:b/>
          <w:color w:val="000000" w:themeColor="text1"/>
          <w:lang w:val="es-ES"/>
        </w:rPr>
      </w:pPr>
      <w:r w:rsidRPr="00FC6F34">
        <w:rPr>
          <w:rFonts w:ascii="Verdana" w:eastAsia="Century Gothic" w:hAnsi="Verdana" w:cs="Century Gothic"/>
          <w:b/>
          <w:color w:val="000000" w:themeColor="text1"/>
          <w:lang w:val="es-ES"/>
        </w:rPr>
        <w:t>2.Respuesta:</w:t>
      </w:r>
    </w:p>
    <w:p w14:paraId="7E403D52" w14:textId="77777777" w:rsidR="00B070F0" w:rsidRPr="00FC6F34" w:rsidRDefault="00B070F0" w:rsidP="00B070F0">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070F0" w:rsidRPr="00FC6F34" w14:paraId="2CDC4AC5" w14:textId="77777777" w:rsidTr="001966D9">
        <w:tc>
          <w:tcPr>
            <w:tcW w:w="8828" w:type="dxa"/>
          </w:tcPr>
          <w:p w14:paraId="017D6090" w14:textId="77777777" w:rsidR="00B070F0" w:rsidRDefault="00B070F0" w:rsidP="001966D9">
            <w:pPr>
              <w:spacing w:before="120" w:after="120" w:line="276" w:lineRule="auto"/>
              <w:jc w:val="both"/>
              <w:rPr>
                <w:rFonts w:ascii="Verdana" w:eastAsia="Times New Roman" w:hAnsi="Verdana" w:cs="Arial"/>
                <w:lang w:val="es-MX" w:eastAsia="x-none"/>
              </w:rPr>
            </w:pPr>
            <w:r>
              <w:rPr>
                <w:rFonts w:ascii="Verdana" w:eastAsia="Times New Roman" w:hAnsi="Verdana" w:cs="Arial"/>
                <w:lang w:val="es-MX" w:eastAsia="x-none"/>
              </w:rPr>
              <w:t>E</w:t>
            </w:r>
            <w:r w:rsidRPr="00B73308">
              <w:rPr>
                <w:rFonts w:ascii="Verdana" w:eastAsia="Times New Roman" w:hAnsi="Verdana" w:cs="Arial"/>
                <w:lang w:val="es-MX" w:eastAsia="x-none"/>
              </w:rPr>
              <w:t xml:space="preserve">l </w:t>
            </w:r>
            <w:r w:rsidRPr="00DF1455">
              <w:rPr>
                <w:rFonts w:ascii="Verdana" w:eastAsia="Times New Roman" w:hAnsi="Verdana" w:cs="Arial"/>
                <w:i/>
                <w:iCs/>
                <w:lang w:val="es-MX" w:eastAsia="x-none"/>
              </w:rPr>
              <w:t>inciso primero</w:t>
            </w:r>
            <w:r w:rsidRPr="00B73308">
              <w:rPr>
                <w:rFonts w:ascii="Verdana" w:eastAsia="Times New Roman" w:hAnsi="Verdana" w:cs="Arial"/>
                <w:lang w:val="es-MX" w:eastAsia="x-none"/>
              </w:rPr>
              <w:t xml:space="preserve"> del artículo 20 de la Ley 1150 de 2007, establece que</w:t>
            </w:r>
            <w:r>
              <w:rPr>
                <w:rFonts w:ascii="Verdana" w:eastAsia="Times New Roman" w:hAnsi="Verdana" w:cs="Arial"/>
                <w:lang w:val="es-MX" w:eastAsia="x-none"/>
              </w:rPr>
              <w:t xml:space="preserve"> los </w:t>
            </w:r>
            <w:r w:rsidRPr="00B73308">
              <w:rPr>
                <w:rFonts w:ascii="Verdana" w:eastAsia="Times New Roman" w:hAnsi="Verdana" w:cs="Arial"/>
                <w:lang w:val="es-MX" w:eastAsia="x-none"/>
              </w:rPr>
              <w:t xml:space="preserve">contratos </w:t>
            </w:r>
            <w:r>
              <w:rPr>
                <w:rFonts w:ascii="Verdana" w:eastAsia="Times New Roman" w:hAnsi="Verdana" w:cs="Arial"/>
                <w:lang w:val="es-MX" w:eastAsia="x-none"/>
              </w:rPr>
              <w:t xml:space="preserve">o convenios que </w:t>
            </w:r>
            <w:r w:rsidRPr="00B73308">
              <w:rPr>
                <w:rFonts w:ascii="Verdana" w:eastAsia="Times New Roman" w:hAnsi="Verdana" w:cs="Arial"/>
                <w:lang w:val="es-MX" w:eastAsia="x-none"/>
              </w:rPr>
              <w:t>se financi</w:t>
            </w:r>
            <w:r>
              <w:rPr>
                <w:rFonts w:ascii="Verdana" w:eastAsia="Times New Roman" w:hAnsi="Verdana" w:cs="Arial"/>
                <w:lang w:val="es-MX" w:eastAsia="x-none"/>
              </w:rPr>
              <w:t>e</w:t>
            </w:r>
            <w:r w:rsidRPr="00B73308">
              <w:rPr>
                <w:rFonts w:ascii="Verdana" w:eastAsia="Times New Roman" w:hAnsi="Verdana" w:cs="Arial"/>
                <w:lang w:val="es-MX" w:eastAsia="x-none"/>
              </w:rPr>
              <w:t>n en su totalidad o en sumas iguales o superiores al cincuenta por ciento con fondos de</w:t>
            </w:r>
            <w:r>
              <w:rPr>
                <w:rFonts w:ascii="Verdana" w:eastAsia="Times New Roman" w:hAnsi="Verdana" w:cs="Arial"/>
                <w:lang w:val="es-MX" w:eastAsia="x-none"/>
              </w:rPr>
              <w:t xml:space="preserve"> </w:t>
            </w:r>
            <w:r w:rsidRPr="00113FD5">
              <w:rPr>
                <w:rFonts w:ascii="Verdana" w:eastAsia="Times New Roman" w:hAnsi="Verdana" w:cs="Arial"/>
                <w:lang w:val="es-MX" w:eastAsia="x-none"/>
              </w:rPr>
              <w:t>los organismos de cooperación, asistencia o ayudas internacionales,</w:t>
            </w:r>
            <w:r>
              <w:rPr>
                <w:rFonts w:ascii="Verdana" w:eastAsia="Times New Roman" w:hAnsi="Verdana" w:cs="Arial"/>
                <w:lang w:val="es-MX" w:eastAsia="x-none"/>
              </w:rPr>
              <w:t xml:space="preserve"> </w:t>
            </w:r>
            <w:r w:rsidRPr="00484C25">
              <w:rPr>
                <w:rFonts w:ascii="Verdana" w:eastAsia="Times New Roman" w:hAnsi="Verdana" w:cs="Arial"/>
                <w:i/>
                <w:iCs/>
                <w:u w:val="single"/>
                <w:lang w:val="es-MX" w:eastAsia="x-none"/>
              </w:rPr>
              <w:t>pueden</w:t>
            </w:r>
            <w:r w:rsidRPr="00B73308">
              <w:rPr>
                <w:rFonts w:ascii="Verdana" w:eastAsia="Times New Roman" w:hAnsi="Verdana" w:cs="Arial"/>
                <w:lang w:val="es-MX" w:eastAsia="x-none"/>
              </w:rPr>
              <w:t xml:space="preserve"> someterse a</w:t>
            </w:r>
            <w:r>
              <w:rPr>
                <w:rFonts w:ascii="Verdana" w:eastAsia="Times New Roman" w:hAnsi="Verdana" w:cs="Arial"/>
                <w:lang w:val="es-MX" w:eastAsia="x-none"/>
              </w:rPr>
              <w:t xml:space="preserve"> sus reglamentos</w:t>
            </w:r>
            <w:r w:rsidRPr="00B73308">
              <w:rPr>
                <w:rFonts w:ascii="Verdana" w:eastAsia="Times New Roman" w:hAnsi="Verdana" w:cs="Arial"/>
                <w:lang w:val="es-MX" w:eastAsia="x-none"/>
              </w:rPr>
              <w:t>.</w:t>
            </w:r>
            <w:r>
              <w:rPr>
                <w:rFonts w:ascii="Verdana" w:eastAsia="Times New Roman" w:hAnsi="Verdana" w:cs="Arial"/>
                <w:lang w:val="es-MX" w:eastAsia="x-none"/>
              </w:rPr>
              <w:t xml:space="preserve"> Por el contrario</w:t>
            </w:r>
            <w:r w:rsidRPr="00B73308">
              <w:rPr>
                <w:rFonts w:ascii="Verdana" w:eastAsia="Times New Roman" w:hAnsi="Verdana" w:cs="Arial"/>
                <w:lang w:val="es-MX" w:eastAsia="x-none"/>
              </w:rPr>
              <w:t>,</w:t>
            </w:r>
            <w:r>
              <w:rPr>
                <w:rFonts w:ascii="Verdana" w:eastAsia="Times New Roman" w:hAnsi="Verdana" w:cs="Arial"/>
                <w:lang w:val="es-MX" w:eastAsia="x-none"/>
              </w:rPr>
              <w:t xml:space="preserve"> </w:t>
            </w:r>
            <w:r w:rsidRPr="00B73308">
              <w:rPr>
                <w:rFonts w:ascii="Verdana" w:eastAsia="Times New Roman" w:hAnsi="Verdana" w:cs="Arial"/>
                <w:lang w:val="es-MX" w:eastAsia="x-none"/>
              </w:rPr>
              <w:t xml:space="preserve">cuando se trate de contratos que se financian con recursos del presupuesto general de la nación, </w:t>
            </w:r>
            <w:r>
              <w:rPr>
                <w:rFonts w:ascii="Verdana" w:eastAsia="Times New Roman" w:hAnsi="Verdana" w:cs="Arial"/>
                <w:lang w:val="es-MX" w:eastAsia="x-none"/>
              </w:rPr>
              <w:t xml:space="preserve">las entidades </w:t>
            </w:r>
            <w:r w:rsidRPr="00F66EEE">
              <w:rPr>
                <w:rFonts w:ascii="Verdana" w:eastAsia="Times New Roman" w:hAnsi="Verdana" w:cs="Arial"/>
                <w:i/>
                <w:iCs/>
                <w:lang w:val="es-MX" w:eastAsia="x-none"/>
              </w:rPr>
              <w:t>deberán</w:t>
            </w:r>
            <w:r>
              <w:rPr>
                <w:rFonts w:ascii="Verdana" w:eastAsia="Times New Roman" w:hAnsi="Verdana" w:cs="Arial"/>
                <w:lang w:val="es-MX" w:eastAsia="x-none"/>
              </w:rPr>
              <w:t xml:space="preserve"> necesariamente </w:t>
            </w:r>
            <w:r w:rsidRPr="00B73308">
              <w:rPr>
                <w:rFonts w:ascii="Verdana" w:eastAsia="Times New Roman" w:hAnsi="Verdana" w:cs="Arial"/>
                <w:lang w:val="es-MX" w:eastAsia="x-none"/>
              </w:rPr>
              <w:t>aplicar el Estatuto General de Contratación</w:t>
            </w:r>
            <w:r>
              <w:rPr>
                <w:rFonts w:ascii="Verdana" w:eastAsia="Times New Roman" w:hAnsi="Verdana" w:cs="Arial"/>
                <w:lang w:val="es-MX" w:eastAsia="x-none"/>
              </w:rPr>
              <w:t xml:space="preserve"> de la Administración</w:t>
            </w:r>
            <w:r w:rsidRPr="00B73308">
              <w:rPr>
                <w:rFonts w:ascii="Verdana" w:eastAsia="Times New Roman" w:hAnsi="Verdana" w:cs="Arial"/>
                <w:lang w:val="es-MX" w:eastAsia="x-none"/>
              </w:rPr>
              <w:t xml:space="preserve"> Pública</w:t>
            </w:r>
            <w:r>
              <w:rPr>
                <w:rFonts w:ascii="Verdana" w:eastAsia="Times New Roman" w:hAnsi="Verdana" w:cs="Arial"/>
                <w:lang w:val="es-MX" w:eastAsia="x-none"/>
              </w:rPr>
              <w:t xml:space="preserve"> (EGCAP)</w:t>
            </w:r>
            <w:r w:rsidRPr="00B73308">
              <w:rPr>
                <w:rFonts w:ascii="Verdana" w:eastAsia="Times New Roman" w:hAnsi="Verdana" w:cs="Arial"/>
                <w:lang w:val="es-MX" w:eastAsia="x-none"/>
              </w:rPr>
              <w:t>.</w:t>
            </w:r>
          </w:p>
          <w:p w14:paraId="41EE2BD6" w14:textId="77777777" w:rsidR="00B070F0" w:rsidRDefault="00B070F0" w:rsidP="001966D9">
            <w:pPr>
              <w:spacing w:before="120" w:line="276" w:lineRule="auto"/>
              <w:ind w:firstLine="694"/>
              <w:jc w:val="both"/>
              <w:rPr>
                <w:rFonts w:ascii="Verdana" w:eastAsia="Times New Roman" w:hAnsi="Verdana" w:cs="Arial"/>
                <w:lang w:val="es-MX"/>
              </w:rPr>
            </w:pPr>
            <w:r w:rsidRPr="44B3FB22">
              <w:rPr>
                <w:rFonts w:ascii="Verdana" w:eastAsia="Times New Roman" w:hAnsi="Verdana" w:cs="Arial"/>
                <w:lang w:val="es-MX"/>
              </w:rPr>
              <w:t>En</w:t>
            </w:r>
            <w:r>
              <w:rPr>
                <w:rFonts w:ascii="Verdana" w:eastAsia="Times New Roman" w:hAnsi="Verdana" w:cs="Arial"/>
                <w:lang w:val="es-MX"/>
              </w:rPr>
              <w:t xml:space="preserve"> consecuencia</w:t>
            </w:r>
            <w:r w:rsidRPr="44B3FB22">
              <w:rPr>
                <w:rFonts w:ascii="Verdana" w:eastAsia="Times New Roman" w:hAnsi="Verdana" w:cs="Arial"/>
                <w:lang w:val="es-MX"/>
              </w:rPr>
              <w:t>, la restricción contemplada en el artículo 33</w:t>
            </w:r>
            <w:r>
              <w:rPr>
                <w:rFonts w:ascii="Verdana" w:eastAsia="Times New Roman" w:hAnsi="Verdana" w:cs="Arial"/>
                <w:lang w:val="es-MX"/>
              </w:rPr>
              <w:t xml:space="preserve"> de la Ley de Garantías Electorales</w:t>
            </w:r>
            <w:r w:rsidRPr="44B3FB22">
              <w:rPr>
                <w:rFonts w:ascii="Verdana" w:eastAsia="Times New Roman" w:hAnsi="Verdana" w:cs="Arial"/>
                <w:lang w:val="es-MX"/>
              </w:rPr>
              <w:t xml:space="preserve"> </w:t>
            </w:r>
            <w:r w:rsidRPr="00A85C83">
              <w:rPr>
                <w:rFonts w:ascii="Verdana" w:eastAsia="Times New Roman" w:hAnsi="Verdana" w:cs="Arial"/>
                <w:i/>
                <w:iCs/>
                <w:u w:val="single"/>
                <w:lang w:val="es-MX"/>
              </w:rPr>
              <w:t>n</w:t>
            </w:r>
            <w:r w:rsidRPr="00DF1455">
              <w:rPr>
                <w:rFonts w:ascii="Verdana" w:eastAsia="Times New Roman" w:hAnsi="Verdana" w:cs="Arial"/>
                <w:i/>
                <w:iCs/>
                <w:lang w:val="es-MX"/>
              </w:rPr>
              <w:t>o</w:t>
            </w:r>
            <w:r w:rsidRPr="44B3FB22">
              <w:rPr>
                <w:rFonts w:ascii="Verdana" w:eastAsia="Times New Roman" w:hAnsi="Verdana" w:cs="Arial"/>
                <w:lang w:val="es-MX"/>
              </w:rPr>
              <w:t xml:space="preserve"> aplica a los contratos</w:t>
            </w:r>
            <w:r>
              <w:rPr>
                <w:rFonts w:ascii="Verdana" w:eastAsia="Times New Roman" w:hAnsi="Verdana" w:cs="Arial"/>
                <w:lang w:val="es-MX"/>
              </w:rPr>
              <w:t xml:space="preserve"> o convenios</w:t>
            </w:r>
            <w:r w:rsidRPr="44B3FB22">
              <w:rPr>
                <w:rFonts w:ascii="Verdana" w:eastAsia="Times New Roman" w:hAnsi="Verdana" w:cs="Arial"/>
                <w:lang w:val="es-MX"/>
              </w:rPr>
              <w:t xml:space="preserve"> que son financiados en su totalidad o en sumas iguales o superiores al cincuenta por ciento con fondos de organismos de cooperación, asistencia o ayudas internacionales, </w:t>
            </w:r>
            <w:r>
              <w:rPr>
                <w:rFonts w:ascii="Verdana" w:eastAsia="Times New Roman" w:hAnsi="Verdana" w:cs="Arial"/>
                <w:lang w:val="es-MX"/>
              </w:rPr>
              <w:t xml:space="preserve">cuando las partes hayan optado por someterlos al </w:t>
            </w:r>
            <w:r w:rsidRPr="44B3FB22">
              <w:rPr>
                <w:rFonts w:ascii="Verdana" w:eastAsia="Times New Roman" w:hAnsi="Verdana" w:cs="Arial"/>
                <w:lang w:val="es-MX"/>
              </w:rPr>
              <w:t>régimen dispuesto en los reglamentos de tales organismos. Lo anterior, por cuanto en estos casos el artículo 20 de la Ley 1150 de 2007 autoriza</w:t>
            </w:r>
            <w:r>
              <w:rPr>
                <w:rFonts w:ascii="Verdana" w:eastAsia="Times New Roman" w:hAnsi="Verdana" w:cs="Arial"/>
                <w:lang w:val="es-MX"/>
              </w:rPr>
              <w:t xml:space="preserve"> la</w:t>
            </w:r>
            <w:r w:rsidRPr="44B3FB22">
              <w:rPr>
                <w:rFonts w:ascii="Verdana" w:eastAsia="Times New Roman" w:hAnsi="Verdana" w:cs="Arial"/>
                <w:lang w:val="es-MX"/>
              </w:rPr>
              <w:t xml:space="preserve"> aplica</w:t>
            </w:r>
            <w:r>
              <w:rPr>
                <w:rFonts w:ascii="Verdana" w:eastAsia="Times New Roman" w:hAnsi="Verdana" w:cs="Arial"/>
                <w:lang w:val="es-MX"/>
              </w:rPr>
              <w:t>ción</w:t>
            </w:r>
            <w:r w:rsidRPr="44B3FB22">
              <w:rPr>
                <w:rFonts w:ascii="Verdana" w:eastAsia="Times New Roman" w:hAnsi="Verdana" w:cs="Arial"/>
                <w:lang w:val="es-MX"/>
              </w:rPr>
              <w:t xml:space="preserve"> “integral” </w:t>
            </w:r>
            <w:r>
              <w:rPr>
                <w:rFonts w:ascii="Verdana" w:eastAsia="Times New Roman" w:hAnsi="Verdana" w:cs="Arial"/>
                <w:lang w:val="es-MX"/>
              </w:rPr>
              <w:t xml:space="preserve">de </w:t>
            </w:r>
            <w:r w:rsidRPr="44B3FB22">
              <w:rPr>
                <w:rFonts w:ascii="Verdana" w:eastAsia="Times New Roman" w:hAnsi="Verdana" w:cs="Arial"/>
                <w:lang w:val="es-MX"/>
              </w:rPr>
              <w:t>l</w:t>
            </w:r>
            <w:r>
              <w:rPr>
                <w:rFonts w:ascii="Verdana" w:eastAsia="Times New Roman" w:hAnsi="Verdana" w:cs="Arial"/>
                <w:lang w:val="es-MX"/>
              </w:rPr>
              <w:t>os</w:t>
            </w:r>
            <w:r w:rsidRPr="44B3FB22">
              <w:rPr>
                <w:rFonts w:ascii="Verdana" w:eastAsia="Times New Roman" w:hAnsi="Verdana" w:cs="Arial"/>
                <w:lang w:val="es-MX"/>
              </w:rPr>
              <w:t xml:space="preserve"> reglamento</w:t>
            </w:r>
            <w:r>
              <w:rPr>
                <w:rFonts w:ascii="Verdana" w:eastAsia="Times New Roman" w:hAnsi="Verdana" w:cs="Arial"/>
                <w:lang w:val="es-MX"/>
              </w:rPr>
              <w:t>s</w:t>
            </w:r>
            <w:r w:rsidRPr="44B3FB22">
              <w:rPr>
                <w:rFonts w:ascii="Verdana" w:eastAsia="Times New Roman" w:hAnsi="Verdana" w:cs="Arial"/>
                <w:lang w:val="es-MX"/>
              </w:rPr>
              <w:t xml:space="preserve"> de dichos organismos.</w:t>
            </w:r>
            <w:r>
              <w:rPr>
                <w:rFonts w:ascii="Verdana" w:eastAsia="Times New Roman" w:hAnsi="Verdana" w:cs="Arial"/>
                <w:lang w:val="es-MX"/>
              </w:rPr>
              <w:t xml:space="preserve"> Sin embargo, si optan por someter el convenio o contrato al EGCAP, la contratación estará sujeta a las prohibiciones establecidas en la Ley de Garantías Electorales.</w:t>
            </w:r>
          </w:p>
          <w:p w14:paraId="69147B12" w14:textId="77777777" w:rsidR="00B070F0" w:rsidRPr="00E92347" w:rsidRDefault="00B070F0" w:rsidP="001966D9">
            <w:pPr>
              <w:spacing w:before="120" w:line="276" w:lineRule="auto"/>
              <w:ind w:firstLine="694"/>
              <w:jc w:val="both"/>
              <w:rPr>
                <w:rFonts w:ascii="Verdana" w:eastAsia="Times New Roman" w:hAnsi="Verdana" w:cs="Arial"/>
                <w:lang w:val="es-MX"/>
              </w:rPr>
            </w:pPr>
            <w:r>
              <w:rPr>
                <w:rFonts w:ascii="Verdana" w:eastAsia="Times New Roman" w:hAnsi="Verdana" w:cs="Arial"/>
                <w:lang w:val="es-MX"/>
              </w:rPr>
              <w:t xml:space="preserve">Por otra parte, </w:t>
            </w:r>
            <w:r>
              <w:rPr>
                <w:rFonts w:ascii="Verdana" w:eastAsia="Calibri" w:hAnsi="Verdana" w:cs="Arial"/>
                <w:lang w:val="es-ES"/>
              </w:rPr>
              <w:t>e</w:t>
            </w:r>
            <w:r w:rsidRPr="00750B7D">
              <w:rPr>
                <w:rFonts w:ascii="Verdana" w:eastAsia="Calibri" w:hAnsi="Verdana" w:cs="Arial"/>
                <w:lang w:val="es-ES"/>
              </w:rPr>
              <w:t xml:space="preserve">l </w:t>
            </w:r>
            <w:r w:rsidRPr="00DF1455">
              <w:rPr>
                <w:rFonts w:ascii="Verdana" w:eastAsia="Calibri" w:hAnsi="Verdana" w:cs="Arial"/>
                <w:i/>
                <w:iCs/>
                <w:lang w:val="es-ES"/>
              </w:rPr>
              <w:t>inciso segundo</w:t>
            </w:r>
            <w:r w:rsidRPr="00750B7D">
              <w:rPr>
                <w:rFonts w:ascii="Verdana" w:eastAsia="Calibri" w:hAnsi="Verdana" w:cs="Arial"/>
                <w:lang w:val="es-ES"/>
              </w:rPr>
              <w:t xml:space="preserve"> </w:t>
            </w:r>
            <w:r>
              <w:rPr>
                <w:rFonts w:ascii="Verdana" w:eastAsia="Calibri" w:hAnsi="Verdana" w:cs="Arial"/>
                <w:lang w:val="es-ES"/>
              </w:rPr>
              <w:t xml:space="preserve">y el parágrafo primero </w:t>
            </w:r>
            <w:r w:rsidRPr="00750B7D">
              <w:rPr>
                <w:rFonts w:ascii="Verdana" w:eastAsia="Times New Roman" w:hAnsi="Verdana" w:cs="Arial"/>
                <w:lang w:val="es-MX" w:eastAsia="x-none"/>
              </w:rPr>
              <w:t>del artículo 20 de la Ley 1150 de 2007 señala</w:t>
            </w:r>
            <w:r>
              <w:rPr>
                <w:rFonts w:ascii="Verdana" w:eastAsia="Times New Roman" w:hAnsi="Verdana" w:cs="Arial"/>
                <w:lang w:val="es-MX" w:eastAsia="x-none"/>
              </w:rPr>
              <w:t>n</w:t>
            </w:r>
            <w:r w:rsidRPr="00750B7D">
              <w:rPr>
                <w:rFonts w:ascii="Verdana" w:eastAsia="Times New Roman" w:hAnsi="Verdana" w:cs="Arial"/>
                <w:lang w:val="es-MX" w:eastAsia="x-none"/>
              </w:rPr>
              <w:t xml:space="preserve"> que</w:t>
            </w:r>
            <w:r w:rsidRPr="00A85C83">
              <w:rPr>
                <w:rFonts w:ascii="Verdana" w:eastAsia="Times New Roman" w:hAnsi="Verdana" w:cs="Arial"/>
                <w:lang w:val="es-MX" w:eastAsia="x-none"/>
              </w:rPr>
              <w:t xml:space="preserve"> </w:t>
            </w:r>
            <w:r>
              <w:rPr>
                <w:rFonts w:ascii="Verdana" w:eastAsia="Times New Roman" w:hAnsi="Verdana" w:cs="Arial"/>
                <w:lang w:val="es-MX" w:eastAsia="x-none"/>
              </w:rPr>
              <w:t>l</w:t>
            </w:r>
            <w:r w:rsidRPr="00A85C83">
              <w:rPr>
                <w:rFonts w:ascii="Verdana" w:eastAsia="Times New Roman" w:hAnsi="Verdana" w:cs="Arial"/>
                <w:lang w:val="es-MX" w:eastAsia="x-none"/>
              </w:rPr>
              <w:t xml:space="preserve">os contratos o convenios celebrados con personas extranjeras de derecho público u organismos de derecho internacional cuyo objeto sea el desarrollo de programas de promoción, </w:t>
            </w:r>
            <w:r w:rsidRPr="00A85C83">
              <w:rPr>
                <w:rFonts w:ascii="Verdana" w:eastAsia="Times New Roman" w:hAnsi="Verdana" w:cs="Arial"/>
                <w:lang w:val="es-MX" w:eastAsia="x-none"/>
              </w:rPr>
              <w:lastRenderedPageBreak/>
              <w:t xml:space="preserve">prevención y atención en salud; contratos y convenios necesarios para la operación de la OIT; contratos y convenios que se ejecuten en desarrollo del sistema integrado de monitoreo de cultivos ilícitos; contratos y convenios para la operación del programa mundial de alimentos; contratos y convenios para el desarrollo de programas de apoyo educativo a población desplazada y vulnerable adelantados por la Unesco y la OIM; </w:t>
            </w:r>
            <w:r w:rsidRPr="00A85C83">
              <w:rPr>
                <w:rFonts w:ascii="Verdana" w:eastAsia="Times New Roman" w:hAnsi="Verdana" w:cs="Arial"/>
                <w:i/>
                <w:iCs/>
                <w:lang w:val="es-MX" w:eastAsia="x-none"/>
              </w:rPr>
              <w:t>los contratos o convenios financiados con fondos de los organismos multilaterales de crédito</w:t>
            </w:r>
            <w:r w:rsidRPr="00A85C83">
              <w:rPr>
                <w:rFonts w:ascii="Verdana" w:eastAsia="Times New Roman" w:hAnsi="Verdana" w:cs="Arial"/>
                <w:lang w:val="es-MX" w:eastAsia="x-none"/>
              </w:rPr>
              <w:t xml:space="preserve"> y entes gubernamentales extranjeros, podrán</w:t>
            </w:r>
            <w:r w:rsidRPr="00E92347">
              <w:rPr>
                <w:rFonts w:ascii="Verdana" w:eastAsia="Times New Roman" w:hAnsi="Verdana" w:cs="Arial"/>
                <w:lang w:eastAsia="x-none"/>
              </w:rPr>
              <w:t xml:space="preserve"> someterse a los reglamentos de tales entidades. De igual manera, los contratos o acuerdos celebrados con personas extranjeras de derecho público, podrán someterse a las reglas de tales organismos.</w:t>
            </w:r>
            <w:r>
              <w:rPr>
                <w:rFonts w:ascii="Verdana" w:eastAsia="Times New Roman" w:hAnsi="Verdana" w:cs="Arial"/>
                <w:lang w:eastAsia="x-none"/>
              </w:rPr>
              <w:t xml:space="preserve"> Estas reglas aplican independientemente del porcentaje de financiación, pues la autorización para regirse por sus reglamentos depende de que se cumpla con el objeto señalado o que se trate de los sujetos dispuestos en la norma.</w:t>
            </w:r>
          </w:p>
          <w:p w14:paraId="51C24E09" w14:textId="77777777" w:rsidR="00B070F0" w:rsidRPr="00FF364F" w:rsidRDefault="00B070F0" w:rsidP="001966D9">
            <w:pPr>
              <w:spacing w:before="120" w:line="276" w:lineRule="auto"/>
              <w:ind w:firstLine="694"/>
              <w:jc w:val="both"/>
              <w:rPr>
                <w:rFonts w:ascii="Verdana" w:hAnsi="Verdana" w:cs="Arial"/>
                <w:lang w:val="es-ES"/>
              </w:rPr>
            </w:pPr>
            <w:r w:rsidRPr="00E92347">
              <w:rPr>
                <w:rFonts w:ascii="Verdana" w:eastAsia="Times New Roman" w:hAnsi="Verdana" w:cs="Arial"/>
                <w:lang w:val="es-MX"/>
              </w:rPr>
              <w:t xml:space="preserve">En línea con lo </w:t>
            </w:r>
            <w:r w:rsidRPr="00E92347">
              <w:rPr>
                <w:rFonts w:ascii="Verdana" w:hAnsi="Verdana" w:cs="Arial"/>
                <w:lang w:val="es-ES"/>
              </w:rPr>
              <w:t xml:space="preserve">anterior, el artículo 2.2.1.2.4.4.1. del Decreto 1082 de 2015 establece que </w:t>
            </w:r>
            <w:r w:rsidRPr="00E92347">
              <w:rPr>
                <w:rFonts w:ascii="Verdana" w:hAnsi="Verdana" w:cs="Arial"/>
              </w:rPr>
              <w:t xml:space="preserve">los contratos o convenios financiados con fondos de los </w:t>
            </w:r>
            <w:r w:rsidRPr="00A85C83">
              <w:rPr>
                <w:rFonts w:ascii="Verdana" w:hAnsi="Verdana" w:cs="Arial"/>
                <w:i/>
                <w:iCs/>
              </w:rPr>
              <w:t>organismos multilaterales de crédito</w:t>
            </w:r>
            <w:r w:rsidRPr="00E92347">
              <w:rPr>
                <w:rFonts w:ascii="Verdana" w:hAnsi="Verdana" w:cs="Arial"/>
              </w:rPr>
              <w:t>, entes gubernamentales extranjeros o personas extranjeras de</w:t>
            </w:r>
            <w:r w:rsidRPr="00FF364F">
              <w:rPr>
                <w:rFonts w:ascii="Verdana" w:hAnsi="Verdana" w:cs="Arial"/>
              </w:rPr>
              <w:t xml:space="preserve"> derecho público, así como aquellos a los que se refiere el inciso 2 del artículo </w:t>
            </w:r>
            <w:r w:rsidRPr="00750B7D">
              <w:rPr>
                <w:rFonts w:ascii="Verdana" w:hAnsi="Verdana"/>
              </w:rPr>
              <w:t>20</w:t>
            </w:r>
            <w:r w:rsidRPr="00FF364F">
              <w:rPr>
                <w:rFonts w:ascii="Verdana" w:hAnsi="Verdana" w:cs="Arial"/>
              </w:rPr>
              <w:t xml:space="preserve"> de la Ley 1150 de 2007, se ejecutarán de conformidad con lo establecido en los tratados internacionales marco y complementarios, y en los convenios celebrados, o sus reglamentos, según sea el caso, sin que a ellos le sea aplicable el porcentaje </w:t>
            </w:r>
            <w:r>
              <w:rPr>
                <w:rFonts w:ascii="Verdana" w:hAnsi="Verdana" w:cs="Arial"/>
              </w:rPr>
              <w:t xml:space="preserve">de financiación </w:t>
            </w:r>
            <w:r w:rsidRPr="00FF364F">
              <w:rPr>
                <w:rFonts w:ascii="Verdana" w:hAnsi="Verdana" w:cs="Arial"/>
              </w:rPr>
              <w:t>señalado en el inciso primero del artículo</w:t>
            </w:r>
            <w:r w:rsidRPr="00FF364F">
              <w:rPr>
                <w:rFonts w:ascii="Verdana" w:hAnsi="Verdana"/>
              </w:rPr>
              <w:t xml:space="preserve"> </w:t>
            </w:r>
            <w:r w:rsidRPr="00750B7D">
              <w:rPr>
                <w:rFonts w:ascii="Verdana" w:hAnsi="Verdana"/>
              </w:rPr>
              <w:t>20</w:t>
            </w:r>
            <w:r w:rsidRPr="00FF364F">
              <w:rPr>
                <w:rFonts w:ascii="Verdana" w:hAnsi="Verdana" w:cs="Arial"/>
              </w:rPr>
              <w:t xml:space="preserve"> de la Ley 1150 de 2007.</w:t>
            </w:r>
            <w:r w:rsidRPr="00FF364F">
              <w:rPr>
                <w:rFonts w:ascii="Verdana" w:hAnsi="Verdana" w:cs="Arial"/>
                <w:lang w:val="es-ES"/>
              </w:rPr>
              <w:t xml:space="preserve"> </w:t>
            </w:r>
          </w:p>
          <w:p w14:paraId="263889B6" w14:textId="77777777" w:rsidR="00B070F0" w:rsidRDefault="00B070F0" w:rsidP="001966D9">
            <w:pPr>
              <w:spacing w:before="120" w:line="276" w:lineRule="auto"/>
              <w:ind w:firstLine="694"/>
              <w:jc w:val="both"/>
              <w:rPr>
                <w:rFonts w:ascii="Verdana" w:eastAsia="Times New Roman" w:hAnsi="Verdana" w:cs="Arial"/>
                <w:lang w:val="es-MX"/>
              </w:rPr>
            </w:pPr>
            <w:r>
              <w:rPr>
                <w:rFonts w:ascii="Verdana" w:hAnsi="Verdana" w:cs="Arial"/>
                <w:lang w:val="es-ES"/>
              </w:rPr>
              <w:t xml:space="preserve">Con fundamento en dicha normativa, </w:t>
            </w:r>
            <w:r w:rsidRPr="44B3FB22">
              <w:rPr>
                <w:rFonts w:ascii="Verdana" w:eastAsia="Times New Roman" w:hAnsi="Verdana" w:cs="Arial"/>
                <w:lang w:val="es-MX"/>
              </w:rPr>
              <w:t xml:space="preserve">la restricción contemplada en el </w:t>
            </w:r>
            <w:r w:rsidRPr="004C642F">
              <w:rPr>
                <w:rFonts w:ascii="Verdana" w:eastAsia="Times New Roman" w:hAnsi="Verdana" w:cs="Arial"/>
                <w:lang w:val="es-MX"/>
              </w:rPr>
              <w:t xml:space="preserve">artículo 33 </w:t>
            </w:r>
            <w:r w:rsidRPr="00097205">
              <w:rPr>
                <w:rFonts w:ascii="Verdana" w:eastAsia="Times New Roman" w:hAnsi="Verdana" w:cs="Arial"/>
                <w:i/>
                <w:iCs/>
                <w:u w:val="single"/>
                <w:lang w:val="es-MX"/>
              </w:rPr>
              <w:t>no</w:t>
            </w:r>
            <w:r w:rsidRPr="004C642F">
              <w:rPr>
                <w:rFonts w:ascii="Verdana" w:eastAsia="Times New Roman" w:hAnsi="Verdana" w:cs="Arial"/>
                <w:lang w:val="es-MX"/>
              </w:rPr>
              <w:t xml:space="preserve"> aplica</w:t>
            </w:r>
            <w:r w:rsidRPr="44B3FB22">
              <w:rPr>
                <w:rFonts w:ascii="Verdana" w:eastAsia="Times New Roman" w:hAnsi="Verdana" w:cs="Arial"/>
                <w:lang w:val="es-MX"/>
              </w:rPr>
              <w:t xml:space="preserve"> a los contratos </w:t>
            </w:r>
            <w:r>
              <w:rPr>
                <w:rFonts w:ascii="Verdana" w:eastAsia="Times New Roman" w:hAnsi="Verdana" w:cs="Arial"/>
                <w:lang w:val="es-MX"/>
              </w:rPr>
              <w:t>o convenios a los que se refiere el inciso segundo y el parágrafo primero del artículo 20 de la Ley 1150 de 2007 cuando opten por someterlos a los reglamentos de dichos organismos, incluyendo aquellos</w:t>
            </w:r>
            <w:r w:rsidRPr="44B3FB22">
              <w:rPr>
                <w:rFonts w:ascii="Verdana" w:eastAsia="Times New Roman" w:hAnsi="Verdana" w:cs="Arial"/>
                <w:lang w:val="es-MX"/>
              </w:rPr>
              <w:t xml:space="preserve"> financiados </w:t>
            </w:r>
            <w:r w:rsidRPr="004C642F">
              <w:rPr>
                <w:rFonts w:ascii="Verdana" w:eastAsia="Times New Roman" w:hAnsi="Verdana" w:cs="Arial"/>
                <w:lang w:eastAsia="x-none"/>
              </w:rPr>
              <w:t>con fondos de los organismos multilaterales de crédito</w:t>
            </w:r>
            <w:r>
              <w:rPr>
                <w:rFonts w:ascii="Verdana" w:eastAsia="Times New Roman" w:hAnsi="Verdana" w:cs="Arial"/>
                <w:lang w:eastAsia="x-none"/>
              </w:rPr>
              <w:t>, como es el caso del Banco Mundial o el Banco Interamericano de desarrollo</w:t>
            </w:r>
            <w:r>
              <w:rPr>
                <w:rFonts w:ascii="Verdana" w:eastAsia="Times New Roman" w:hAnsi="Verdana" w:cs="Arial"/>
                <w:lang w:val="es-MX"/>
              </w:rPr>
              <w:t>, sin importar el porcentaje de financiación.</w:t>
            </w:r>
          </w:p>
          <w:p w14:paraId="6207C7CF" w14:textId="77777777" w:rsidR="00B070F0" w:rsidRPr="002E7CF8" w:rsidRDefault="00B070F0" w:rsidP="001966D9">
            <w:pPr>
              <w:spacing w:before="120" w:line="276" w:lineRule="auto"/>
              <w:ind w:firstLine="694"/>
              <w:jc w:val="both"/>
              <w:rPr>
                <w:rFonts w:ascii="Verdana" w:eastAsia="Times New Roman" w:hAnsi="Verdana" w:cs="Arial"/>
                <w:lang w:val="es-MX"/>
              </w:rPr>
            </w:pPr>
            <w:r>
              <w:rPr>
                <w:rFonts w:ascii="Verdana" w:eastAsia="Arial" w:hAnsi="Verdana" w:cs="Arial"/>
                <w:bCs/>
                <w:color w:val="000000" w:themeColor="text1"/>
                <w:lang w:val="es-ES"/>
              </w:rPr>
              <w:t xml:space="preserve">Con respecto a la prohibición del </w:t>
            </w:r>
            <w:r w:rsidRPr="00C16886">
              <w:rPr>
                <w:rFonts w:ascii="Verdana" w:eastAsia="Arial" w:hAnsi="Verdana" w:cs="Arial"/>
                <w:bCs/>
                <w:i/>
                <w:iCs/>
                <w:color w:val="000000" w:themeColor="text1"/>
                <w:lang w:val="es-ES"/>
              </w:rPr>
              <w:t>parágrafo del artículo 38</w:t>
            </w:r>
            <w:r>
              <w:rPr>
                <w:rFonts w:ascii="Verdana" w:eastAsia="Arial" w:hAnsi="Verdana" w:cs="Arial"/>
                <w:bCs/>
                <w:color w:val="000000" w:themeColor="text1"/>
                <w:lang w:val="es-ES"/>
              </w:rPr>
              <w:t>, esta solo será procedente cuando quienes realicen la contratación sean “</w:t>
            </w:r>
            <w:r w:rsidRPr="000C77A8">
              <w:rPr>
                <w:rFonts w:ascii="Verdana" w:eastAsia="Arial" w:hAnsi="Verdana" w:cs="Arial"/>
                <w:bCs/>
                <w:color w:val="000000" w:themeColor="text1"/>
              </w:rPr>
              <w:t>Alcaldes, Gobernadores, Secretarios, Gerentes y Directores de las entidades del orden municipal, departamental o distrital</w:t>
            </w:r>
            <w:r>
              <w:rPr>
                <w:rFonts w:ascii="Verdana" w:eastAsia="Arial" w:hAnsi="Verdana" w:cs="Arial"/>
                <w:bCs/>
                <w:color w:val="000000" w:themeColor="text1"/>
              </w:rPr>
              <w:t xml:space="preserve">”, de modo que la restricción no aplica cuando se trate sujetos distintos a los previstos en la norma. Por otra parte,  </w:t>
            </w:r>
            <w:r>
              <w:rPr>
                <w:rFonts w:ascii="Verdana" w:eastAsia="Arial" w:hAnsi="Verdana" w:cs="Arial"/>
                <w:bCs/>
                <w:color w:val="000000" w:themeColor="text1"/>
              </w:rPr>
              <w:lastRenderedPageBreak/>
              <w:t xml:space="preserve">es necesario </w:t>
            </w:r>
            <w:r>
              <w:rPr>
                <w:rFonts w:ascii="Verdana" w:eastAsia="Arial" w:hAnsi="Verdana" w:cs="Arial"/>
                <w:bCs/>
                <w:color w:val="000000" w:themeColor="text1"/>
                <w:lang w:val="es-ES"/>
              </w:rPr>
              <w:t xml:space="preserve">que lo que pretendan adelantar estos sujetos sea un convenio interadministrativo para </w:t>
            </w:r>
            <w:r w:rsidRPr="002E7CF8">
              <w:rPr>
                <w:rFonts w:ascii="Verdana" w:eastAsia="Arial" w:hAnsi="Verdana" w:cs="Arial"/>
                <w:bCs/>
                <w:i/>
                <w:iCs/>
                <w:color w:val="000000" w:themeColor="text1"/>
                <w:lang w:val="es-ES"/>
              </w:rPr>
              <w:t>la ejecución de recursos públicos</w:t>
            </w:r>
            <w:r>
              <w:rPr>
                <w:rFonts w:ascii="Verdana" w:eastAsia="Arial" w:hAnsi="Verdana" w:cs="Arial"/>
                <w:bCs/>
                <w:color w:val="000000" w:themeColor="text1"/>
                <w:lang w:val="es-ES"/>
              </w:rPr>
              <w:t xml:space="preserve">. Solo cuando se cumplan estos supuestos, operará la restricción señalada en el parágrafo del artículo 38 de la Ley de Garantías y estará prohibido llevar a cabo la celebración del convenio en los cuatro meses anteriores a cualquier contienda electoral. </w:t>
            </w:r>
          </w:p>
          <w:p w14:paraId="5F892EFB" w14:textId="77777777" w:rsidR="00B070F0" w:rsidRPr="00036A04" w:rsidRDefault="00B070F0" w:rsidP="001966D9">
            <w:pPr>
              <w:spacing w:before="120" w:after="120" w:line="276" w:lineRule="auto"/>
              <w:ind w:firstLine="708"/>
              <w:jc w:val="both"/>
              <w:rPr>
                <w:rFonts w:ascii="Verdana" w:eastAsia="Times New Roman" w:hAnsi="Verdana" w:cs="Arial"/>
                <w:bCs/>
                <w:lang w:val="es-ES" w:eastAsia="es-CO"/>
              </w:rPr>
            </w:pPr>
            <w:r w:rsidRPr="00FC6F34">
              <w:rPr>
                <w:rFonts w:ascii="Verdana" w:eastAsia="Arial" w:hAnsi="Verdana" w:cs="Arial"/>
                <w:color w:val="000000" w:themeColor="text1"/>
                <w:lang w:val="es-ES"/>
              </w:rPr>
              <w:t xml:space="preserve">Finalmente, es importante advertir que </w:t>
            </w:r>
            <w:r w:rsidRPr="00FC6F34">
              <w:rPr>
                <w:rFonts w:ascii="Verdana" w:eastAsia="Times New Roman" w:hAnsi="Verdana" w:cs="Arial"/>
                <w:lang w:val="es-ES"/>
              </w:rPr>
              <w:t xml:space="preserve">compete a cada </w:t>
            </w:r>
            <w:r>
              <w:rPr>
                <w:rFonts w:ascii="Verdana" w:eastAsia="Times New Roman" w:hAnsi="Verdana" w:cs="Arial"/>
                <w:lang w:val="es-ES"/>
              </w:rPr>
              <w:t>E</w:t>
            </w:r>
            <w:r w:rsidRPr="00FC6F34">
              <w:rPr>
                <w:rFonts w:ascii="Verdana" w:eastAsia="Times New Roman" w:hAnsi="Verdana" w:cs="Arial"/>
                <w:lang w:val="es-ES"/>
              </w:rPr>
              <w:t xml:space="preserve">ntidad </w:t>
            </w:r>
            <w:r>
              <w:rPr>
                <w:rFonts w:ascii="Verdana" w:eastAsia="Times New Roman" w:hAnsi="Verdana" w:cs="Arial"/>
                <w:lang w:val="es-ES"/>
              </w:rPr>
              <w:t>E</w:t>
            </w:r>
            <w:r w:rsidRPr="00FC6F34">
              <w:rPr>
                <w:rFonts w:ascii="Verdana" w:eastAsia="Times New Roman" w:hAnsi="Verdana" w:cs="Arial"/>
                <w:lang w:val="es-ES"/>
              </w:rPr>
              <w:t>statal que considera celebrar un contrato específico definir si este se enmarca</w:t>
            </w:r>
            <w:r>
              <w:rPr>
                <w:rFonts w:ascii="Verdana" w:eastAsia="Times New Roman" w:hAnsi="Verdana" w:cs="Arial"/>
                <w:lang w:val="es-ES"/>
              </w:rPr>
              <w:t xml:space="preserve"> en alguna de las prohibiciones de la Ley de Garantías Electorales</w:t>
            </w:r>
            <w:r w:rsidRPr="00FC6F34">
              <w:rPr>
                <w:rFonts w:ascii="Verdana" w:eastAsia="Times New Roman" w:hAnsi="Verdana" w:cs="Arial"/>
                <w:lang w:val="es-ES"/>
              </w:rPr>
              <w:t xml:space="preserve">. </w:t>
            </w:r>
            <w:r w:rsidRPr="00FC6F34">
              <w:rPr>
                <w:rFonts w:ascii="Verdana" w:eastAsia="Times New Roman" w:hAnsi="Verdana" w:cs="Arial"/>
                <w:color w:val="000000" w:themeColor="text1"/>
                <w:lang w:val="es-ES" w:eastAsia="es-ES"/>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establecerá la forma de adelantar su gestión contractual, sin que sea atribución de la Agencia Nacional de Contratación Pública - Colombia Compra Eficiente validarla. </w:t>
            </w:r>
          </w:p>
        </w:tc>
      </w:tr>
    </w:tbl>
    <w:p w14:paraId="1A2D3D83" w14:textId="77777777" w:rsidR="00B070F0" w:rsidRPr="00FC6F34" w:rsidRDefault="00B070F0" w:rsidP="00B070F0">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49D8B2D" w14:textId="77777777" w:rsidR="00B070F0" w:rsidRPr="00FC6F34" w:rsidRDefault="00B070F0" w:rsidP="00B070F0">
      <w:pPr>
        <w:tabs>
          <w:tab w:val="left" w:pos="142"/>
          <w:tab w:val="left" w:pos="284"/>
        </w:tabs>
        <w:spacing w:after="0" w:line="276" w:lineRule="auto"/>
        <w:jc w:val="both"/>
        <w:rPr>
          <w:rFonts w:ascii="Verdana" w:eastAsia="Century Gothic" w:hAnsi="Verdana" w:cs="Century Gothic"/>
          <w:b/>
          <w:color w:val="000000" w:themeColor="text1"/>
          <w:lang w:val="es-ES"/>
        </w:rPr>
      </w:pPr>
      <w:r w:rsidRPr="00FC6F34">
        <w:rPr>
          <w:rFonts w:ascii="Verdana" w:eastAsia="Century Gothic" w:hAnsi="Verdana" w:cs="Century Gothic"/>
          <w:b/>
          <w:color w:val="000000" w:themeColor="text1"/>
          <w:lang w:val="es-ES"/>
        </w:rPr>
        <w:t>3.Razones de la respuesta:</w:t>
      </w:r>
    </w:p>
    <w:p w14:paraId="3AF12D37" w14:textId="77777777" w:rsidR="00B070F0" w:rsidRPr="00FC6F34" w:rsidRDefault="00B070F0" w:rsidP="00B070F0">
      <w:pPr>
        <w:spacing w:after="0" w:line="276" w:lineRule="auto"/>
        <w:jc w:val="both"/>
        <w:rPr>
          <w:rFonts w:ascii="Verdana" w:eastAsia="Calibri" w:hAnsi="Verdana" w:cs="Arial"/>
          <w:color w:val="000000" w:themeColor="text1"/>
          <w:lang w:val="es-ES"/>
        </w:rPr>
      </w:pPr>
    </w:p>
    <w:p w14:paraId="51607816" w14:textId="77777777" w:rsidR="00B070F0" w:rsidRPr="00FC6F34" w:rsidRDefault="00B070F0" w:rsidP="00B070F0">
      <w:pPr>
        <w:tabs>
          <w:tab w:val="left" w:pos="426"/>
        </w:tabs>
        <w:spacing w:after="120" w:line="276" w:lineRule="auto"/>
        <w:jc w:val="both"/>
        <w:rPr>
          <w:rFonts w:ascii="Verdana" w:eastAsia="Times New Roman" w:hAnsi="Verdana" w:cs="Arial"/>
          <w:lang w:val="es-ES" w:eastAsia="es-CO"/>
        </w:rPr>
      </w:pPr>
      <w:bookmarkStart w:id="1" w:name="_Hlk102983874"/>
      <w:bookmarkStart w:id="2" w:name="_Hlk102388095"/>
      <w:r w:rsidRPr="00FC6F34">
        <w:rPr>
          <w:rFonts w:ascii="Verdana" w:eastAsia="Calibri" w:hAnsi="Verdana" w:cs="Arial"/>
          <w:color w:val="000000" w:themeColor="text1"/>
          <w:lang w:val="es-ES"/>
        </w:rPr>
        <w:t>i)</w:t>
      </w:r>
      <w:r w:rsidRPr="00FC6F34">
        <w:rPr>
          <w:rFonts w:ascii="Verdana" w:eastAsia="Verdana" w:hAnsi="Verdana" w:cs="Verdana"/>
          <w:lang w:val="es-ES"/>
        </w:rPr>
        <w:t xml:space="preserve"> </w:t>
      </w:r>
      <w:r w:rsidRPr="00FC6F34">
        <w:rPr>
          <w:rFonts w:ascii="Verdana" w:eastAsia="Calibri" w:hAnsi="Verdana" w:cs="Arial"/>
          <w:lang w:val="es-ES"/>
        </w:rPr>
        <w:t>El ordenamiento jurídico colombiano contempla medidas para evitar la obtención de beneficios personales en asuntos propios de la administración pública</w:t>
      </w:r>
      <w:r w:rsidRPr="00FC6F34">
        <w:rPr>
          <w:rFonts w:ascii="Verdana" w:eastAsia="Calibri" w:hAnsi="Verdana" w:cs="Arial"/>
          <w:i/>
          <w:lang w:val="es-ES"/>
        </w:rPr>
        <w:t xml:space="preserve">. </w:t>
      </w:r>
      <w:r w:rsidRPr="00FC6F34">
        <w:rPr>
          <w:rFonts w:ascii="Verdana" w:eastAsia="Calibri" w:hAnsi="Verdana" w:cs="Arial"/>
          <w:lang w:val="es-ES"/>
        </w:rPr>
        <w:t>Por ejemplo, el artículo 127 de la Constitución Política establece una prohibición contractual a los servidores públicos y, en cuanto a aspectos políticos, señala restricciones a ciertos empleados del Estado, incluso en época no electoral</w:t>
      </w:r>
      <w:r w:rsidRPr="00FC6F34">
        <w:rPr>
          <w:rFonts w:ascii="Verdana" w:hAnsi="Verdana"/>
          <w:vertAlign w:val="superscript"/>
          <w:lang w:val="es-ES"/>
        </w:rPr>
        <w:footnoteReference w:id="2"/>
      </w:r>
      <w:r w:rsidRPr="00FC6F34">
        <w:rPr>
          <w:rFonts w:ascii="Verdana" w:eastAsia="Calibri" w:hAnsi="Verdana" w:cs="Arial"/>
          <w:lang w:val="es-ES"/>
        </w:rPr>
        <w:t xml:space="preserve">. </w:t>
      </w:r>
    </w:p>
    <w:p w14:paraId="7CEBCD6A" w14:textId="77777777" w:rsidR="00B070F0" w:rsidRPr="00FC6F34" w:rsidRDefault="00B070F0" w:rsidP="00B070F0">
      <w:pPr>
        <w:tabs>
          <w:tab w:val="left" w:pos="426"/>
        </w:tabs>
        <w:spacing w:after="120" w:line="276" w:lineRule="auto"/>
        <w:ind w:firstLine="709"/>
        <w:jc w:val="both"/>
        <w:rPr>
          <w:rFonts w:ascii="Verdana" w:eastAsia="Calibri" w:hAnsi="Verdana" w:cs="Arial"/>
          <w:lang w:val="es-ES"/>
        </w:rPr>
      </w:pPr>
      <w:r w:rsidRPr="00FC6F34">
        <w:rPr>
          <w:rFonts w:ascii="Verdana" w:eastAsia="Times New Roman" w:hAnsi="Verdana" w:cs="Arial"/>
          <w:lang w:val="es-ES" w:eastAsia="es-CO"/>
        </w:rPr>
        <w:lastRenderedPageBreak/>
        <w:t>En el mismo sentido, la Ley 996 de 2005, conocida como “Ley de Garantías Electorales”, se suma al andamiaje constitucional y legal que busca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FC6F34">
        <w:rPr>
          <w:rFonts w:ascii="Verdana" w:eastAsia="Times New Roman" w:hAnsi="Verdana" w:cs="Arial"/>
          <w:vertAlign w:val="superscript"/>
          <w:lang w:val="es-ES" w:eastAsia="es-CO"/>
        </w:rPr>
        <w:footnoteReference w:id="3"/>
      </w:r>
      <w:r w:rsidRPr="00FC6F34">
        <w:rPr>
          <w:rFonts w:ascii="Verdana" w:eastAsia="Times New Roman" w:hAnsi="Verdana" w:cs="Arial"/>
          <w:lang w:val="es-ES" w:eastAsia="es-CO"/>
        </w:rPr>
        <w:t>. En esta medida, introduce limitaciones para realizar nombramientos, postulaciones, contrataciones o cualquier otro tipo de actividad que implique destinación de recursos públicos bajo el devenir propio de las Entidades Estatales.</w:t>
      </w:r>
      <w:r w:rsidRPr="00FC6F34">
        <w:rPr>
          <w:rFonts w:ascii="Verdana" w:eastAsia="Calibri" w:hAnsi="Verdana" w:cs="Arial"/>
          <w:lang w:val="es-ES"/>
        </w:rPr>
        <w:t xml:space="preserve"> </w:t>
      </w:r>
    </w:p>
    <w:p w14:paraId="7D344B26" w14:textId="77777777" w:rsidR="00B070F0" w:rsidRPr="00FC6F34" w:rsidRDefault="00B070F0" w:rsidP="00B070F0">
      <w:pPr>
        <w:tabs>
          <w:tab w:val="left" w:pos="426"/>
        </w:tabs>
        <w:spacing w:after="0" w:line="276" w:lineRule="auto"/>
        <w:ind w:firstLine="709"/>
        <w:jc w:val="both"/>
        <w:rPr>
          <w:rFonts w:ascii="Verdana" w:eastAsia="Calibri" w:hAnsi="Verdana" w:cs="Arial"/>
          <w:lang w:val="es-ES"/>
        </w:rPr>
      </w:pPr>
      <w:r w:rsidRPr="00FC6F34">
        <w:rPr>
          <w:rFonts w:ascii="Verdana" w:eastAsia="Times New Roman" w:hAnsi="Verdana" w:cs="Arial"/>
          <w:lang w:val="es-ES" w:eastAsia="es-CO"/>
        </w:rPr>
        <w:t>En armonía con lo anterior, la Corte Constitucional ha abordado la definición de la Ley de Garantías Electorales. De esta manera, explica que tiene como propósito:</w:t>
      </w:r>
    </w:p>
    <w:p w14:paraId="5A33E385" w14:textId="77777777" w:rsidR="00B070F0" w:rsidRPr="00FC6F34" w:rsidRDefault="00B070F0" w:rsidP="00B070F0">
      <w:pPr>
        <w:spacing w:after="0" w:line="276" w:lineRule="auto"/>
        <w:ind w:right="709"/>
        <w:jc w:val="both"/>
        <w:rPr>
          <w:rFonts w:ascii="Verdana" w:eastAsia="Times New Roman" w:hAnsi="Verdana" w:cs="Arial"/>
          <w:lang w:val="es-ES" w:eastAsia="es-CO"/>
        </w:rPr>
      </w:pPr>
    </w:p>
    <w:p w14:paraId="13AC42C1" w14:textId="77777777" w:rsidR="00B070F0" w:rsidRPr="00FC6F34" w:rsidRDefault="00B070F0" w:rsidP="00B070F0">
      <w:pPr>
        <w:spacing w:after="0" w:line="240" w:lineRule="auto"/>
        <w:ind w:left="709" w:right="709"/>
        <w:contextualSpacing/>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 la definición de reglas claras que permitan acceder a los canales de expresión democrática de manera efectiva e igualitaria. El objetivo de una ley de garantías es definir esas reglas.</w:t>
      </w:r>
    </w:p>
    <w:p w14:paraId="5289ACFF" w14:textId="77777777" w:rsidR="00B070F0" w:rsidRPr="00FC6F34" w:rsidRDefault="00B070F0" w:rsidP="00B070F0">
      <w:pPr>
        <w:spacing w:after="0" w:line="240" w:lineRule="auto"/>
        <w:ind w:left="709" w:right="709"/>
        <w:contextualSpacing/>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 xml:space="preserve">[…] </w:t>
      </w:r>
    </w:p>
    <w:p w14:paraId="06BE8609" w14:textId="77777777" w:rsidR="00B070F0" w:rsidRPr="00FC6F34" w:rsidRDefault="00B070F0" w:rsidP="00B070F0">
      <w:pPr>
        <w:spacing w:after="0" w:line="240" w:lineRule="auto"/>
        <w:ind w:left="709" w:right="709"/>
        <w:contextualSpacing/>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FC6F34">
        <w:rPr>
          <w:rFonts w:ascii="Verdana" w:eastAsia="Calibri" w:hAnsi="Verdana" w:cs="Arial"/>
          <w:sz w:val="20"/>
          <w:szCs w:val="20"/>
          <w:vertAlign w:val="superscript"/>
          <w:lang w:val="es-ES"/>
        </w:rPr>
        <w:footnoteReference w:id="4"/>
      </w:r>
    </w:p>
    <w:p w14:paraId="5628C11D" w14:textId="77777777" w:rsidR="00B070F0" w:rsidRPr="00FC6F34" w:rsidRDefault="00B070F0" w:rsidP="00B070F0">
      <w:pPr>
        <w:spacing w:after="0" w:line="276" w:lineRule="auto"/>
        <w:ind w:firstLine="709"/>
        <w:jc w:val="both"/>
        <w:rPr>
          <w:rFonts w:ascii="Verdana" w:eastAsia="Times New Roman" w:hAnsi="Verdana" w:cs="Arial"/>
          <w:lang w:val="es-ES" w:eastAsia="es-CO"/>
        </w:rPr>
      </w:pPr>
    </w:p>
    <w:p w14:paraId="74855810" w14:textId="77777777" w:rsidR="00B070F0" w:rsidRPr="00FC6F34" w:rsidRDefault="00B070F0" w:rsidP="00B070F0">
      <w:pPr>
        <w:spacing w:after="0" w:line="276" w:lineRule="auto"/>
        <w:ind w:firstLine="709"/>
        <w:jc w:val="both"/>
        <w:rPr>
          <w:rFonts w:ascii="Verdana" w:eastAsia="Times New Roman" w:hAnsi="Verdana" w:cs="Arial"/>
          <w:lang w:val="es-ES" w:eastAsia="es-CO"/>
        </w:rPr>
      </w:pPr>
      <w:r w:rsidRPr="00FC6F34">
        <w:rPr>
          <w:rFonts w:ascii="Verdana" w:eastAsia="Times New Roman" w:hAnsi="Verdana" w:cs="Arial"/>
          <w:lang w:val="es-ES" w:eastAsia="es-CO"/>
        </w:rPr>
        <w:t>En este contexto, la Ley de Garantías Electorales establece el marco jurídico para el desarrollo de las elecciones, procurando condiciones de igualdad y transparencia para los aspirantes. Paralelamente, incluye restricciones en las actuaciones de los servidores públicos, evitando interferencias en la contienda electoral, así como la posible desviación de recursos públicos en aspiraciones electorales. Por ello, varias disposiciones de la Ley 996 de 2005, al contener normas prohibitivas, deben interpretarse restrictivamente. En efecto, la Sala de Consulta y Servicio Civil del Consejo de Estado, precisó:</w:t>
      </w:r>
    </w:p>
    <w:p w14:paraId="3A90588C" w14:textId="77777777" w:rsidR="00B070F0" w:rsidRPr="00FC6F34" w:rsidRDefault="00B070F0" w:rsidP="00B070F0">
      <w:pPr>
        <w:spacing w:after="0" w:line="276" w:lineRule="auto"/>
        <w:ind w:firstLine="709"/>
        <w:jc w:val="both"/>
        <w:rPr>
          <w:rFonts w:ascii="Verdana" w:eastAsia="Times New Roman" w:hAnsi="Verdana" w:cs="Arial"/>
          <w:lang w:val="es-ES" w:eastAsia="es-CO"/>
        </w:rPr>
      </w:pPr>
    </w:p>
    <w:p w14:paraId="4EA1BAB7" w14:textId="77777777" w:rsidR="00B070F0" w:rsidRPr="00FC6F34" w:rsidRDefault="00B070F0" w:rsidP="00B070F0">
      <w:pPr>
        <w:spacing w:after="0" w:line="240" w:lineRule="auto"/>
        <w:ind w:left="709" w:right="709"/>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lastRenderedPageBreak/>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FC6F34">
        <w:rPr>
          <w:rFonts w:ascii="Verdana" w:eastAsia="Times New Roman" w:hAnsi="Verdana" w:cs="Arial"/>
          <w:sz w:val="20"/>
          <w:szCs w:val="20"/>
          <w:lang w:val="es-ES" w:eastAsia="es-CO"/>
        </w:rPr>
        <w:t>legis</w:t>
      </w:r>
      <w:proofErr w:type="spellEnd"/>
      <w:r w:rsidRPr="00FC6F34">
        <w:rPr>
          <w:rFonts w:ascii="Verdana" w:eastAsia="Times New Roman" w:hAnsi="Verdana" w:cs="Arial"/>
          <w:sz w:val="20"/>
          <w:szCs w:val="20"/>
          <w:lang w:val="es-ES"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2D84DFBD" w14:textId="77777777" w:rsidR="00B070F0" w:rsidRPr="00FC6F34" w:rsidRDefault="00B070F0" w:rsidP="00B070F0">
      <w:pPr>
        <w:spacing w:after="0" w:line="240" w:lineRule="auto"/>
        <w:ind w:right="709"/>
        <w:jc w:val="both"/>
        <w:rPr>
          <w:rFonts w:ascii="Verdana" w:eastAsia="Times New Roman" w:hAnsi="Verdana" w:cs="Arial"/>
          <w:lang w:val="es-ES" w:eastAsia="es-CO"/>
        </w:rPr>
      </w:pPr>
    </w:p>
    <w:p w14:paraId="5D8826A8" w14:textId="77777777" w:rsidR="00B070F0" w:rsidRPr="00FC6F34" w:rsidRDefault="00B070F0" w:rsidP="00B070F0">
      <w:pPr>
        <w:spacing w:after="0" w:line="240" w:lineRule="auto"/>
        <w:ind w:left="709" w:right="709"/>
        <w:jc w:val="both"/>
        <w:rPr>
          <w:rFonts w:ascii="Verdana" w:eastAsia="Times New Roman" w:hAnsi="Verdana" w:cs="Arial"/>
          <w:sz w:val="20"/>
          <w:szCs w:val="20"/>
          <w:lang w:val="es-ES" w:eastAsia="es-CO"/>
        </w:rPr>
      </w:pPr>
      <w:r w:rsidRPr="00FC6F34">
        <w:rPr>
          <w:rFonts w:ascii="Verdana" w:eastAsia="Times New Roman" w:hAnsi="Verdana" w:cs="Arial"/>
          <w:sz w:val="20"/>
          <w:szCs w:val="20"/>
          <w:lang w:val="es-ES" w:eastAsia="es-CO"/>
        </w:rPr>
        <w:t>La jurisprudencia de la Corte Constitucional</w:t>
      </w:r>
      <w:r w:rsidRPr="00FC6F34">
        <w:rPr>
          <w:rFonts w:ascii="Verdana" w:eastAsia="Times New Roman" w:hAnsi="Verdana" w:cs="Arial"/>
          <w:sz w:val="20"/>
          <w:szCs w:val="20"/>
          <w:vertAlign w:val="superscript"/>
          <w:lang w:val="es-ES" w:eastAsia="es-CO"/>
        </w:rPr>
        <w:footnoteReference w:id="5"/>
      </w:r>
      <w:r w:rsidRPr="00FC6F34">
        <w:rPr>
          <w:rFonts w:ascii="Verdana" w:eastAsia="Times New Roman" w:hAnsi="Verdana" w:cs="Arial"/>
          <w:sz w:val="20"/>
          <w:szCs w:val="20"/>
          <w:lang w:val="es-ES" w:eastAsia="es-CO"/>
        </w:rPr>
        <w:t> y del Consejo de Estado</w:t>
      </w:r>
      <w:r w:rsidRPr="00FC6F34">
        <w:rPr>
          <w:rFonts w:ascii="Verdana" w:eastAsia="Times New Roman" w:hAnsi="Verdana" w:cs="Arial"/>
          <w:sz w:val="20"/>
          <w:szCs w:val="20"/>
          <w:vertAlign w:val="superscript"/>
          <w:lang w:val="es-ES" w:eastAsia="es-CO"/>
        </w:rPr>
        <w:footnoteReference w:id="6"/>
      </w:r>
      <w:r w:rsidRPr="00FC6F34">
        <w:rPr>
          <w:rFonts w:ascii="Verdana" w:eastAsia="Times New Roman" w:hAnsi="Verdana" w:cs="Arial"/>
          <w:sz w:val="20"/>
          <w:szCs w:val="20"/>
          <w:lang w:val="es-ES"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FC6F34">
        <w:rPr>
          <w:rFonts w:ascii="Verdana" w:eastAsia="Times New Roman" w:hAnsi="Verdana" w:cs="Arial"/>
          <w:sz w:val="20"/>
          <w:szCs w:val="20"/>
          <w:vertAlign w:val="superscript"/>
          <w:lang w:val="es-ES" w:eastAsia="es-CO"/>
        </w:rPr>
        <w:footnoteReference w:id="7"/>
      </w:r>
      <w:r w:rsidRPr="00FC6F34">
        <w:rPr>
          <w:rFonts w:ascii="Verdana" w:eastAsia="Times New Roman" w:hAnsi="Verdana" w:cs="Arial"/>
          <w:sz w:val="20"/>
          <w:szCs w:val="20"/>
          <w:lang w:val="es-ES" w:eastAsia="es-CO"/>
        </w:rPr>
        <w:t>.</w:t>
      </w:r>
    </w:p>
    <w:p w14:paraId="4B3FE26F" w14:textId="77777777" w:rsidR="00B070F0" w:rsidRPr="00FC6F34" w:rsidRDefault="00B070F0" w:rsidP="00B070F0">
      <w:pPr>
        <w:spacing w:after="0" w:line="276" w:lineRule="auto"/>
        <w:jc w:val="both"/>
        <w:rPr>
          <w:rFonts w:ascii="Verdana" w:eastAsia="Calibri" w:hAnsi="Verdana" w:cs="Arial"/>
          <w:bCs/>
          <w:lang w:val="es-ES"/>
        </w:rPr>
      </w:pPr>
    </w:p>
    <w:p w14:paraId="6CDE8946" w14:textId="77777777" w:rsidR="00B070F0" w:rsidRDefault="00B070F0" w:rsidP="00B070F0">
      <w:pPr>
        <w:spacing w:after="0" w:line="276" w:lineRule="auto"/>
        <w:ind w:firstLine="709"/>
        <w:jc w:val="both"/>
        <w:rPr>
          <w:rFonts w:ascii="Verdana" w:eastAsia="Arial" w:hAnsi="Verdana" w:cs="Arial"/>
          <w:lang w:val="es-ES" w:eastAsia="es-ES" w:bidi="es-ES"/>
        </w:rPr>
      </w:pPr>
      <w:r w:rsidRPr="00FC6F34">
        <w:rPr>
          <w:rFonts w:ascii="Verdana" w:eastAsia="Times New Roman" w:hAnsi="Verdana" w:cs="Arial"/>
          <w:lang w:val="es-ES" w:eastAsia="es-CO"/>
        </w:rPr>
        <w:t>De</w:t>
      </w:r>
      <w:r w:rsidRPr="00FC6F34">
        <w:rPr>
          <w:rFonts w:ascii="Verdana" w:eastAsia="Arial" w:hAnsi="Verdana" w:cs="Arial"/>
          <w:lang w:val="es-ES" w:eastAsia="es-ES" w:bidi="es-ES"/>
        </w:rPr>
        <w:t xml:space="preserve"> conformidad con lo anterior, la Ley de Garantías Electorales </w:t>
      </w:r>
      <w:r>
        <w:rPr>
          <w:rFonts w:ascii="Verdana" w:eastAsia="Arial" w:hAnsi="Verdana" w:cs="Arial"/>
          <w:lang w:val="es-ES" w:eastAsia="es-ES" w:bidi="es-ES"/>
        </w:rPr>
        <w:t xml:space="preserve">determinó </w:t>
      </w:r>
      <w:r w:rsidRPr="00FC6F34">
        <w:rPr>
          <w:rFonts w:ascii="Verdana" w:eastAsia="Arial" w:hAnsi="Verdana" w:cs="Arial"/>
          <w:lang w:val="es-ES" w:eastAsia="es-ES" w:bidi="es-ES"/>
        </w:rPr>
        <w:t xml:space="preserve">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alteren las condiciones de igualdad entre los candidatos. </w:t>
      </w:r>
    </w:p>
    <w:p w14:paraId="3045312D" w14:textId="77777777" w:rsidR="00B070F0" w:rsidRPr="00FC6F34" w:rsidRDefault="00B070F0" w:rsidP="00B070F0">
      <w:pPr>
        <w:spacing w:after="0" w:line="276" w:lineRule="auto"/>
        <w:ind w:firstLine="709"/>
        <w:jc w:val="both"/>
        <w:rPr>
          <w:rFonts w:ascii="Verdana" w:eastAsia="Arial" w:hAnsi="Verdana" w:cs="Arial"/>
          <w:lang w:val="es-ES" w:eastAsia="es-ES" w:bidi="es-ES"/>
        </w:rPr>
      </w:pPr>
    </w:p>
    <w:p w14:paraId="697C50CE" w14:textId="77777777" w:rsidR="00B070F0" w:rsidRPr="006A332F" w:rsidRDefault="00B070F0" w:rsidP="00B070F0">
      <w:pPr>
        <w:tabs>
          <w:tab w:val="left" w:pos="426"/>
        </w:tabs>
        <w:spacing w:after="120" w:line="276" w:lineRule="auto"/>
        <w:jc w:val="both"/>
        <w:rPr>
          <w:rFonts w:ascii="Verdana" w:eastAsia="Calibri" w:hAnsi="Verdana" w:cs="Arial"/>
          <w:lang w:val="es-ES"/>
        </w:rPr>
      </w:pPr>
      <w:proofErr w:type="spellStart"/>
      <w:r>
        <w:rPr>
          <w:rFonts w:ascii="Verdana" w:eastAsia="Arial" w:hAnsi="Verdana" w:cs="Arial"/>
          <w:lang w:val="es-ES" w:eastAsia="es-ES" w:bidi="es-ES"/>
        </w:rPr>
        <w:t>ii</w:t>
      </w:r>
      <w:proofErr w:type="spellEnd"/>
      <w:r>
        <w:rPr>
          <w:rFonts w:ascii="Verdana" w:eastAsia="Arial" w:hAnsi="Verdana" w:cs="Arial"/>
          <w:lang w:val="es-ES" w:eastAsia="es-ES" w:bidi="es-ES"/>
        </w:rPr>
        <w:t>) En suma,</w:t>
      </w:r>
      <w:r w:rsidRPr="00FC6F34">
        <w:rPr>
          <w:rFonts w:ascii="Verdana" w:eastAsia="Arial" w:hAnsi="Verdana" w:cs="Arial"/>
          <w:lang w:val="es-ES" w:eastAsia="es-ES" w:bidi="es-ES"/>
        </w:rPr>
        <w:t xml:space="preserve"> </w:t>
      </w:r>
      <w:r>
        <w:rPr>
          <w:rFonts w:ascii="Verdana" w:eastAsia="Arial" w:hAnsi="Verdana" w:cs="Arial"/>
          <w:lang w:val="es-ES" w:eastAsia="es-ES" w:bidi="es-ES"/>
        </w:rPr>
        <w:t>l</w:t>
      </w:r>
      <w:r w:rsidRPr="00FC6F34">
        <w:rPr>
          <w:rFonts w:ascii="Verdana" w:eastAsia="Arial" w:hAnsi="Verdana" w:cs="Arial"/>
          <w:lang w:val="es-ES" w:eastAsia="es-ES" w:bidi="es-ES"/>
        </w:rPr>
        <w:t xml:space="preserve">as restricciones consagradas en la Ley de Garantías se dirigen a dos (2) tipos de campañas electorales diferenciadas: las presidenciales y las que se adelanten </w:t>
      </w:r>
      <w:r w:rsidRPr="006A332F">
        <w:rPr>
          <w:rFonts w:ascii="Verdana" w:eastAsia="Calibri" w:hAnsi="Verdana" w:cs="Arial"/>
          <w:lang w:val="es-ES"/>
        </w:rPr>
        <w:t>para la elección de los demás cargos de elección popular, tanto a nivel nacional como territorial.</w:t>
      </w:r>
    </w:p>
    <w:p w14:paraId="6134D749" w14:textId="77777777" w:rsidR="00B070F0" w:rsidRDefault="00B070F0" w:rsidP="00B070F0">
      <w:pPr>
        <w:tabs>
          <w:tab w:val="left" w:pos="426"/>
        </w:tabs>
        <w:spacing w:after="120" w:line="276" w:lineRule="auto"/>
        <w:jc w:val="both"/>
        <w:rPr>
          <w:rFonts w:ascii="Verdana" w:eastAsia="Arial" w:hAnsi="Verdana" w:cs="Arial"/>
          <w:lang w:val="es-ES" w:eastAsia="es-ES" w:bidi="es-ES"/>
        </w:rPr>
      </w:pPr>
      <w:r>
        <w:rPr>
          <w:rFonts w:ascii="Verdana" w:eastAsia="Calibri" w:hAnsi="Verdana" w:cs="Arial"/>
          <w:lang w:val="es-ES"/>
        </w:rPr>
        <w:lastRenderedPageBreak/>
        <w:tab/>
      </w:r>
      <w:r w:rsidRPr="00FC6F34">
        <w:rPr>
          <w:rFonts w:ascii="Verdana" w:eastAsia="Calibri" w:hAnsi="Verdana" w:cs="Arial"/>
          <w:lang w:val="es-ES"/>
        </w:rPr>
        <w:t xml:space="preserve">Por un lado, el </w:t>
      </w:r>
      <w:r w:rsidRPr="006A332F">
        <w:rPr>
          <w:rFonts w:ascii="Verdana" w:eastAsia="Calibri" w:hAnsi="Verdana" w:cs="Arial"/>
          <w:lang w:val="es-ES"/>
        </w:rPr>
        <w:t xml:space="preserve">artículo 33 </w:t>
      </w:r>
      <w:r w:rsidRPr="00FC6F34">
        <w:rPr>
          <w:rFonts w:ascii="Verdana" w:eastAsia="Calibri" w:hAnsi="Verdana" w:cs="Arial"/>
          <w:lang w:val="es-ES"/>
        </w:rPr>
        <w:t xml:space="preserve">de la Ley 996 de 2005 prohíbe “[…] la contratación directa por parte de </w:t>
      </w:r>
      <w:r w:rsidRPr="006A332F">
        <w:rPr>
          <w:rFonts w:ascii="Verdana" w:eastAsia="Calibri" w:hAnsi="Verdana" w:cs="Arial"/>
          <w:lang w:val="es-ES"/>
        </w:rPr>
        <w:t>todos los entes del Estado</w:t>
      </w:r>
      <w:r w:rsidRPr="00FC6F34">
        <w:rPr>
          <w:rFonts w:ascii="Verdana" w:eastAsia="Calibri" w:hAnsi="Verdana" w:cs="Arial"/>
          <w:lang w:val="es-ES"/>
        </w:rPr>
        <w:t xml:space="preserve">” durante los cuatro (4) meses anteriores a las </w:t>
      </w:r>
      <w:r w:rsidRPr="006A332F">
        <w:rPr>
          <w:rFonts w:ascii="Verdana" w:eastAsia="Calibri" w:hAnsi="Verdana" w:cs="Arial"/>
          <w:lang w:val="es-ES"/>
        </w:rPr>
        <w:t>elecciones presidenciales</w:t>
      </w:r>
      <w:r w:rsidRPr="00FC6F34">
        <w:rPr>
          <w:rFonts w:ascii="Verdana" w:eastAsia="Calibri" w:hAnsi="Verdana" w:cs="Arial"/>
          <w:lang w:val="es-ES"/>
        </w:rPr>
        <w:t>,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FC6F34">
        <w:rPr>
          <w:rFonts w:ascii="Verdana" w:eastAsia="Calibri" w:hAnsi="Verdana" w:cs="Arial"/>
          <w:vertAlign w:val="superscript"/>
          <w:lang w:val="es-ES"/>
        </w:rPr>
        <w:footnoteReference w:id="8"/>
      </w:r>
      <w:r w:rsidRPr="00FC6F34">
        <w:rPr>
          <w:rFonts w:ascii="Verdana" w:eastAsia="Calibri" w:hAnsi="Verdana" w:cs="Arial"/>
          <w:lang w:val="es-ES"/>
        </w:rPr>
        <w:t>.</w:t>
      </w:r>
    </w:p>
    <w:p w14:paraId="4333ED4D" w14:textId="77777777" w:rsidR="00B070F0" w:rsidRPr="00FC6F34" w:rsidRDefault="00B070F0" w:rsidP="00B070F0">
      <w:pPr>
        <w:tabs>
          <w:tab w:val="left" w:pos="426"/>
        </w:tabs>
        <w:spacing w:after="120" w:line="276" w:lineRule="auto"/>
        <w:jc w:val="both"/>
        <w:rPr>
          <w:rFonts w:ascii="Verdana" w:eastAsia="Arial" w:hAnsi="Verdana" w:cs="Arial"/>
          <w:lang w:val="es-ES" w:eastAsia="es-ES" w:bidi="es-ES"/>
        </w:rPr>
      </w:pPr>
      <w:r>
        <w:rPr>
          <w:rFonts w:ascii="Verdana" w:eastAsia="Arial" w:hAnsi="Verdana" w:cs="Arial"/>
          <w:lang w:val="es-ES" w:eastAsia="es-ES" w:bidi="es-ES"/>
        </w:rPr>
        <w:tab/>
      </w:r>
      <w:r w:rsidRPr="00FC6F34">
        <w:rPr>
          <w:rFonts w:ascii="Verdana" w:eastAsia="Calibri" w:hAnsi="Verdana" w:cs="Arial"/>
          <w:lang w:val="es-ES"/>
        </w:rPr>
        <w:t xml:space="preserve">Por otro lado, </w:t>
      </w:r>
      <w:r w:rsidRPr="00FC6F34">
        <w:rPr>
          <w:rFonts w:ascii="Verdana" w:eastAsia="Calibri" w:hAnsi="Verdana" w:cs="Arial"/>
          <w:i/>
          <w:iCs/>
          <w:lang w:val="es-ES"/>
        </w:rPr>
        <w:t xml:space="preserve">el parágrafo del artículo 38 </w:t>
      </w:r>
      <w:r w:rsidRPr="00FC6F34">
        <w:rPr>
          <w:rFonts w:ascii="Verdana" w:eastAsia="Calibri" w:hAnsi="Verdana" w:cs="Arial"/>
          <w:lang w:val="es-ES"/>
        </w:rPr>
        <w:t xml:space="preserve">de la Ley 996 de 2005 prevé una restricción, aplicable respecto de </w:t>
      </w:r>
      <w:r w:rsidRPr="00FC6F34">
        <w:rPr>
          <w:rFonts w:ascii="Verdana" w:eastAsia="Calibri" w:hAnsi="Verdana" w:cs="Arial"/>
          <w:i/>
          <w:iCs/>
          <w:lang w:val="es-ES"/>
        </w:rPr>
        <w:t>cualquier tipo de contienda electoral</w:t>
      </w:r>
      <w:r w:rsidRPr="00FC6F34">
        <w:rPr>
          <w:rFonts w:ascii="Verdana" w:eastAsia="Calibri" w:hAnsi="Verdana" w:cs="Arial"/>
          <w:lang w:val="es-ES"/>
        </w:rPr>
        <w:t xml:space="preserve">, que prohíbe a los gobernadores, alcaldes municipales o distritales, secretarios, gerentes y directores de entidades descentralizadas del orden municipal, departamental o distrital “[…] celebrar </w:t>
      </w:r>
      <w:r w:rsidRPr="00FD1F46">
        <w:rPr>
          <w:rFonts w:ascii="Verdana" w:eastAsia="Calibri" w:hAnsi="Verdana" w:cs="Arial"/>
          <w:i/>
          <w:iCs/>
          <w:lang w:val="es-ES"/>
        </w:rPr>
        <w:t>convenios interadministrativos</w:t>
      </w:r>
      <w:r w:rsidRPr="00FC6F34">
        <w:rPr>
          <w:rFonts w:ascii="Verdana" w:eastAsia="Calibri" w:hAnsi="Verdana" w:cs="Arial"/>
          <w:lang w:val="es-ES"/>
        </w:rPr>
        <w:t xml:space="preserve"> para la ejecución de recursos públicos, ni participar, promover y destinar recursos públicos de las entidades a su cargo, como tampoco de las que participen como miembros de sus juntas directivas, en o para reuniones de carácter proselitista”</w:t>
      </w:r>
      <w:r w:rsidRPr="00FC6F34">
        <w:rPr>
          <w:rFonts w:ascii="Verdana" w:eastAsia="Calibri" w:hAnsi="Verdana" w:cs="Arial"/>
          <w:vertAlign w:val="superscript"/>
          <w:lang w:val="es-ES"/>
        </w:rPr>
        <w:footnoteReference w:id="9"/>
      </w:r>
      <w:r w:rsidRPr="00FC6F34">
        <w:rPr>
          <w:rFonts w:ascii="Verdana" w:eastAsia="Calibri" w:hAnsi="Verdana" w:cs="Arial"/>
          <w:lang w:val="es-ES"/>
        </w:rPr>
        <w:t>.</w:t>
      </w:r>
      <w:r w:rsidRPr="00FC6F34">
        <w:rPr>
          <w:rFonts w:ascii="Verdana" w:eastAsia="Arial" w:hAnsi="Verdana" w:cs="Arial"/>
          <w:lang w:val="es-ES" w:eastAsia="es-ES" w:bidi="es-ES"/>
        </w:rPr>
        <w:t xml:space="preserve"> </w:t>
      </w:r>
    </w:p>
    <w:p w14:paraId="3A237E63" w14:textId="77777777" w:rsidR="00B070F0" w:rsidRPr="00FC6F34" w:rsidRDefault="00B070F0" w:rsidP="00B070F0">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FC6F34">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señala:</w:t>
      </w:r>
    </w:p>
    <w:p w14:paraId="7EB46684" w14:textId="77777777" w:rsidR="00B070F0" w:rsidRPr="00FC6F34" w:rsidRDefault="00B070F0" w:rsidP="00B070F0">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69CDCBE3" w14:textId="77777777" w:rsidR="00B070F0" w:rsidRPr="00FC6F34" w:rsidRDefault="00B070F0" w:rsidP="00B070F0">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FC6F34">
        <w:rPr>
          <w:rFonts w:ascii="Verdana" w:eastAsia="Arial" w:hAnsi="Verdana" w:cs="Arial"/>
          <w:sz w:val="20"/>
          <w:szCs w:val="20"/>
          <w:lang w:val="es-ES" w:eastAsia="es-ES" w:bidi="es-ES"/>
        </w:rPr>
        <w:lastRenderedPageBreak/>
        <w:t>“La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FC6F34">
        <w:rPr>
          <w:rFonts w:ascii="Verdana" w:eastAsia="Arial" w:hAnsi="Verdana" w:cs="Arial"/>
          <w:sz w:val="20"/>
          <w:szCs w:val="20"/>
          <w:vertAlign w:val="superscript"/>
          <w:lang w:val="es-ES" w:eastAsia="es-ES" w:bidi="es-ES"/>
        </w:rPr>
        <w:footnoteReference w:id="10"/>
      </w:r>
    </w:p>
    <w:p w14:paraId="1713C013" w14:textId="77777777" w:rsidR="00B070F0" w:rsidRPr="00FC6F34" w:rsidRDefault="00B070F0" w:rsidP="00B070F0">
      <w:pPr>
        <w:widowControl w:val="0"/>
        <w:autoSpaceDE w:val="0"/>
        <w:autoSpaceDN w:val="0"/>
        <w:spacing w:after="0" w:line="276" w:lineRule="auto"/>
        <w:contextualSpacing/>
        <w:rPr>
          <w:rFonts w:ascii="Verdana" w:eastAsia="Arial" w:hAnsi="Verdana" w:cs="Arial"/>
          <w:lang w:val="es-ES" w:eastAsia="es-ES" w:bidi="es-ES"/>
        </w:rPr>
      </w:pPr>
    </w:p>
    <w:p w14:paraId="6BBC4F00" w14:textId="77777777" w:rsidR="00B070F0" w:rsidRPr="00FC6F34" w:rsidRDefault="00B070F0" w:rsidP="00B070F0">
      <w:pPr>
        <w:spacing w:after="12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sidRPr="00FC6F34">
        <w:rPr>
          <w:rFonts w:ascii="Verdana" w:eastAsia="Arial" w:hAnsi="Verdana" w:cs="Arial"/>
          <w:i/>
          <w:lang w:val="es-ES" w:eastAsia="es-ES" w:bidi="es-ES"/>
        </w:rPr>
        <w:t>En primer lugar</w:t>
      </w:r>
      <w:r w:rsidRPr="00FC6F34">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FC6F34">
        <w:rPr>
          <w:rFonts w:ascii="Verdana" w:eastAsia="Arial" w:hAnsi="Verdana" w:cs="Arial"/>
          <w:i/>
          <w:lang w:val="es-ES" w:eastAsia="es-ES" w:bidi="es-ES"/>
        </w:rPr>
        <w:t>En segundo lugar</w:t>
      </w:r>
      <w:r w:rsidRPr="00FC6F34">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322F9263" w14:textId="77777777" w:rsidR="00B070F0" w:rsidRPr="00FC6F34" w:rsidRDefault="00B070F0" w:rsidP="00B070F0">
      <w:pPr>
        <w:spacing w:after="12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 xml:space="preserve">Ambas restricciones no son excluyentes, lo que permite concluir que, en el período preelectoral para elección de Presidente de la República, aplican las restricciones del artículo 33 con sus excepciones, así como las del parágrafo del artículo 38, a todos los entes del Estado. En cambio, tratándose de elecciones </w:t>
      </w:r>
      <w:r w:rsidRPr="00FC6F34">
        <w:rPr>
          <w:rFonts w:ascii="Verdana" w:eastAsia="Arial" w:hAnsi="Verdana" w:cs="Arial"/>
          <w:lang w:val="es-ES" w:eastAsia="es-ES" w:bidi="es-ES"/>
        </w:rPr>
        <w:lastRenderedPageBreak/>
        <w:t>en general, excluyendo las correspondientes al Presidente de la República, las autoridades allí mencionadas sólo deben aplicar las restricciones contenidas en el parágrafo del artículo 38.</w:t>
      </w:r>
    </w:p>
    <w:p w14:paraId="660F9C48" w14:textId="77777777" w:rsidR="00B070F0" w:rsidRPr="00FC6F34" w:rsidRDefault="00B070F0" w:rsidP="00B070F0">
      <w:pPr>
        <w:spacing w:after="0" w:line="276" w:lineRule="auto"/>
        <w:ind w:firstLine="709"/>
        <w:jc w:val="both"/>
        <w:rPr>
          <w:rFonts w:ascii="Verdana" w:eastAsia="Arial" w:hAnsi="Verdana" w:cs="Arial"/>
          <w:lang w:val="es-ES" w:eastAsia="es-ES" w:bidi="es-ES"/>
        </w:rPr>
      </w:pPr>
      <w:r w:rsidRPr="00FC6F34">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7FEB5875" w14:textId="77777777" w:rsidR="00B070F0" w:rsidRPr="00FC6F34" w:rsidRDefault="00B070F0" w:rsidP="00B070F0">
      <w:pPr>
        <w:spacing w:after="0" w:line="276" w:lineRule="auto"/>
        <w:ind w:firstLine="709"/>
        <w:jc w:val="both"/>
        <w:rPr>
          <w:rFonts w:ascii="Verdana" w:eastAsia="Arial" w:hAnsi="Verdana" w:cs="Arial"/>
          <w:lang w:val="es-ES" w:eastAsia="es-ES" w:bidi="es-ES"/>
        </w:rPr>
      </w:pPr>
    </w:p>
    <w:p w14:paraId="02AD8CB3" w14:textId="77777777" w:rsidR="00B070F0" w:rsidRPr="00FC6F34" w:rsidRDefault="00B070F0" w:rsidP="00B070F0">
      <w:pPr>
        <w:spacing w:after="120" w:line="276" w:lineRule="auto"/>
        <w:jc w:val="both"/>
        <w:rPr>
          <w:rFonts w:ascii="Verdana" w:eastAsia="Times New Roman" w:hAnsi="Verdana" w:cs="Arial"/>
          <w:bCs/>
          <w:lang w:val="es-ES" w:eastAsia="es-CO"/>
        </w:rPr>
      </w:pPr>
      <w:proofErr w:type="spellStart"/>
      <w:r w:rsidRPr="00FC6F34">
        <w:rPr>
          <w:rFonts w:ascii="Verdana" w:eastAsia="Calibri" w:hAnsi="Verdana" w:cs="Arial"/>
          <w:lang w:val="es-ES"/>
        </w:rPr>
        <w:t>ii</w:t>
      </w:r>
      <w:r>
        <w:rPr>
          <w:rFonts w:ascii="Verdana" w:eastAsia="Calibri" w:hAnsi="Verdana" w:cs="Arial"/>
          <w:lang w:val="es-ES"/>
        </w:rPr>
        <w:t>i</w:t>
      </w:r>
      <w:proofErr w:type="spellEnd"/>
      <w:r w:rsidRPr="00FC6F34">
        <w:rPr>
          <w:rFonts w:ascii="Verdana" w:eastAsia="Calibri" w:hAnsi="Verdana" w:cs="Arial"/>
          <w:lang w:val="es-ES"/>
        </w:rPr>
        <w:t xml:space="preserve">) </w:t>
      </w:r>
      <w:r w:rsidRPr="00FC6F34">
        <w:rPr>
          <w:rFonts w:ascii="Verdana" w:eastAsia="Arial" w:hAnsi="Verdana" w:cs="Arial"/>
          <w:lang w:val="es-ES" w:eastAsia="es-ES" w:bidi="es-ES"/>
        </w:rPr>
        <w:t xml:space="preserve">Ahora bien, </w:t>
      </w:r>
      <w:r w:rsidRPr="00FC6F34">
        <w:rPr>
          <w:rFonts w:ascii="Verdana" w:eastAsia="Calibri" w:hAnsi="Verdana" w:cs="Arial"/>
          <w:lang w:val="es-ES" w:eastAsia="es-ES" w:bidi="es-ES"/>
        </w:rPr>
        <w:t xml:space="preserve">para responder al problema jurídico planteado es necesario precisar el alcance de la prohibición </w:t>
      </w:r>
      <w:r w:rsidRPr="00FC6F34">
        <w:rPr>
          <w:rFonts w:ascii="Verdana" w:eastAsia="Arial" w:hAnsi="Verdana" w:cs="Arial"/>
          <w:lang w:val="es-ES" w:eastAsia="es-ES" w:bidi="es-ES"/>
        </w:rPr>
        <w:t>establecida en e</w:t>
      </w:r>
      <w:r w:rsidRPr="00FC6F34">
        <w:rPr>
          <w:rFonts w:ascii="Verdana" w:eastAsia="Calibri" w:hAnsi="Verdana" w:cs="Arial"/>
          <w:lang w:val="es-ES"/>
        </w:rPr>
        <w:t xml:space="preserve">l </w:t>
      </w:r>
      <w:r w:rsidRPr="00FC6F34">
        <w:rPr>
          <w:rFonts w:ascii="Verdana" w:eastAsia="Times New Roman" w:hAnsi="Verdana" w:cs="Arial"/>
          <w:lang w:val="es-ES"/>
        </w:rPr>
        <w:t xml:space="preserve">artículo 33 de la Ley 996 de 2005. El ámbito material de esta prohibición está delimitado por la expresión </w:t>
      </w:r>
      <w:r w:rsidRPr="00FC6F34">
        <w:rPr>
          <w:rFonts w:ascii="Verdana" w:eastAsia="Calibri" w:hAnsi="Verdana" w:cs="Arial"/>
          <w:bCs/>
          <w:lang w:val="es-ES"/>
        </w:rPr>
        <w:t>“</w:t>
      </w:r>
      <w:r w:rsidRPr="00FC6F34">
        <w:rPr>
          <w:rFonts w:ascii="Verdana" w:eastAsia="Times New Roman" w:hAnsi="Verdana" w:cs="Arial"/>
          <w:lang w:val="es-ES"/>
        </w:rPr>
        <w:t>queda prohibida la contratación directa</w:t>
      </w:r>
      <w:r w:rsidRPr="00FC6F34">
        <w:rPr>
          <w:rFonts w:ascii="Verdana" w:eastAsia="Calibri" w:hAnsi="Verdana" w:cs="Arial"/>
          <w:lang w:val="es-ES"/>
        </w:rPr>
        <w:t>”</w:t>
      </w:r>
      <w:r w:rsidRPr="00FC6F34">
        <w:rPr>
          <w:rFonts w:ascii="Verdana" w:eastAsia="Times New Roman" w:hAnsi="Verdana" w:cs="Arial"/>
          <w:lang w:val="es-ES"/>
        </w:rPr>
        <w:t xml:space="preserve">. </w:t>
      </w:r>
      <w:r w:rsidRPr="00FC6F34">
        <w:rPr>
          <w:rFonts w:ascii="Verdana" w:eastAsia="Times New Roman" w:hAnsi="Verdana" w:cs="Arial"/>
          <w:lang w:val="es-ES" w:eastAsia="es-CO"/>
        </w:rPr>
        <w:t>A propósito de esta restricción de la Ley de Garantías Electorales, la Sala de Consulta y Servicio Civil del Consejo de Estado ha considerado que:</w:t>
      </w:r>
    </w:p>
    <w:p w14:paraId="56FB5CCF" w14:textId="77777777" w:rsidR="00B070F0" w:rsidRPr="00FC6F34" w:rsidRDefault="00B070F0" w:rsidP="00B070F0">
      <w:pPr>
        <w:spacing w:after="0" w:line="240" w:lineRule="auto"/>
        <w:ind w:left="709" w:right="709"/>
        <w:jc w:val="both"/>
        <w:rPr>
          <w:rFonts w:ascii="Verdana" w:eastAsia="Calibri" w:hAnsi="Verdana" w:cs="Arial"/>
          <w:sz w:val="20"/>
          <w:szCs w:val="20"/>
          <w:lang w:val="es-ES"/>
        </w:rPr>
      </w:pPr>
      <w:r w:rsidRPr="00FC6F34">
        <w:rPr>
          <w:rFonts w:ascii="Verdana" w:eastAsia="Calibri" w:hAnsi="Verdana" w:cs="Arial"/>
          <w:sz w:val="20"/>
          <w:szCs w:val="20"/>
          <w:lang w:val="es-ES"/>
        </w:rPr>
        <w:t>“[…] 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FC6F34">
        <w:rPr>
          <w:rFonts w:ascii="Verdana" w:eastAsia="Times New Roman" w:hAnsi="Verdana" w:cs="Arial"/>
          <w:sz w:val="20"/>
          <w:szCs w:val="20"/>
          <w:vertAlign w:val="superscript"/>
          <w:lang w:val="es-ES"/>
        </w:rPr>
        <w:footnoteReference w:id="11"/>
      </w:r>
      <w:r w:rsidRPr="00FC6F34">
        <w:rPr>
          <w:rFonts w:ascii="Verdana" w:eastAsia="Times New Roman" w:hAnsi="Verdana" w:cs="Arial"/>
          <w:sz w:val="20"/>
          <w:szCs w:val="20"/>
          <w:vertAlign w:val="superscript"/>
          <w:lang w:val="es-ES"/>
        </w:rPr>
        <w:t>.</w:t>
      </w:r>
      <w:r w:rsidRPr="00FC6F34">
        <w:rPr>
          <w:rFonts w:ascii="Verdana" w:eastAsia="Calibri" w:hAnsi="Verdana" w:cs="Arial"/>
          <w:sz w:val="20"/>
          <w:szCs w:val="20"/>
          <w:lang w:val="es-ES"/>
        </w:rPr>
        <w:t xml:space="preserve"> Por tanto, no son materia de la prohibición las demás modalidades de selección previstas en la ley 1150 de 2007, siendo estas, la licitación pública, el concurso de méritos y la selección abreviada, razón </w:t>
      </w:r>
      <w:r w:rsidRPr="00FC6F34">
        <w:rPr>
          <w:rFonts w:ascii="Verdana" w:eastAsia="Calibri" w:hAnsi="Verdana" w:cs="Arial"/>
          <w:sz w:val="20"/>
          <w:szCs w:val="20"/>
          <w:lang w:val="es-ES"/>
        </w:rPr>
        <w:lastRenderedPageBreak/>
        <w:t>por la cual en ese periodo preelectoral de que trata la disposición pueden las entidades públicas seguir contratando bajo estos sistemas. [...]</w:t>
      </w:r>
      <w:r w:rsidRPr="00FC6F34">
        <w:rPr>
          <w:rFonts w:ascii="Verdana" w:eastAsia="Times New Roman" w:hAnsi="Verdana" w:cs="Arial"/>
          <w:sz w:val="20"/>
          <w:szCs w:val="20"/>
          <w:vertAlign w:val="superscript"/>
          <w:lang w:val="es-ES" w:eastAsia="es-CO"/>
        </w:rPr>
        <w:footnoteReference w:id="12"/>
      </w:r>
      <w:r w:rsidRPr="00FC6F34">
        <w:rPr>
          <w:rFonts w:ascii="Verdana" w:eastAsia="Calibri" w:hAnsi="Verdana" w:cs="Arial"/>
          <w:sz w:val="20"/>
          <w:szCs w:val="20"/>
          <w:lang w:val="es-ES"/>
        </w:rPr>
        <w:t xml:space="preserve"> .</w:t>
      </w:r>
    </w:p>
    <w:p w14:paraId="04244A5F" w14:textId="77777777" w:rsidR="00B070F0" w:rsidRPr="00FC6F34" w:rsidRDefault="00B070F0" w:rsidP="00B070F0">
      <w:pPr>
        <w:shd w:val="clear" w:color="auto" w:fill="FFFFFF" w:themeFill="background1"/>
        <w:spacing w:after="0" w:line="276" w:lineRule="auto"/>
        <w:ind w:firstLine="709"/>
        <w:jc w:val="both"/>
        <w:rPr>
          <w:rFonts w:ascii="Verdana" w:eastAsia="Times New Roman" w:hAnsi="Verdana" w:cs="Arial"/>
          <w:lang w:val="es-ES" w:eastAsia="x-none"/>
        </w:rPr>
      </w:pPr>
    </w:p>
    <w:p w14:paraId="7F45C878" w14:textId="77777777" w:rsidR="00B070F0" w:rsidRPr="00FC6F34" w:rsidRDefault="00B070F0" w:rsidP="00B070F0">
      <w:pPr>
        <w:spacing w:after="120" w:line="276" w:lineRule="auto"/>
        <w:ind w:firstLine="708"/>
        <w:jc w:val="both"/>
        <w:rPr>
          <w:rFonts w:ascii="Verdana" w:eastAsia="Times New Roman" w:hAnsi="Verdana" w:cs="Arial"/>
          <w:bCs/>
          <w:lang w:val="es-ES" w:eastAsia="x-none"/>
        </w:rPr>
      </w:pPr>
      <w:r w:rsidRPr="00FC6F34">
        <w:rPr>
          <w:rFonts w:ascii="Verdana" w:eastAsia="Times New Roman" w:hAnsi="Verdana" w:cs="Arial"/>
          <w:lang w:val="es-ES" w:eastAsia="x-none"/>
        </w:rPr>
        <w:t xml:space="preserve">De acuerdo con este concepto, la prohibición del artículo 33 de la Ley de Garantías Electorales se refiere a </w:t>
      </w:r>
      <w:r w:rsidRPr="00FC6F34">
        <w:rPr>
          <w:rFonts w:ascii="Verdana" w:eastAsia="Times New Roman" w:hAnsi="Verdana" w:cs="Arial"/>
          <w:sz w:val="19"/>
          <w:szCs w:val="19"/>
          <w:lang w:val="es-ES" w:eastAsia="en-GB"/>
        </w:rPr>
        <w:t>“</w:t>
      </w:r>
      <w:r w:rsidRPr="00FD1F46">
        <w:rPr>
          <w:rFonts w:ascii="Verdana" w:eastAsia="Times New Roman" w:hAnsi="Verdana" w:cs="Arial"/>
          <w:i/>
          <w:iCs/>
          <w:lang w:val="es-ES" w:eastAsia="x-none"/>
        </w:rPr>
        <w:t>cualquier</w:t>
      </w:r>
      <w:r w:rsidRPr="00FC6F34">
        <w:rPr>
          <w:rFonts w:ascii="Verdana" w:eastAsia="Times New Roman" w:hAnsi="Verdana" w:cs="Arial"/>
          <w:lang w:val="es-ES" w:eastAsia="x-none"/>
        </w:rPr>
        <w:t xml:space="preserve"> sistema que no implique convocatoria pública y posibilidad de pluralidad de oferentes</w:t>
      </w:r>
      <w:r w:rsidRPr="00FC6F34">
        <w:rPr>
          <w:rFonts w:ascii="Verdana" w:eastAsia="Times New Roman" w:hAnsi="Verdana" w:cs="Arial"/>
          <w:lang w:val="es-ES" w:eastAsia="en-GB"/>
        </w:rPr>
        <w:t>”</w:t>
      </w:r>
      <w:r w:rsidRPr="00FC6F34">
        <w:rPr>
          <w:rFonts w:ascii="Verdana" w:eastAsia="Times New Roman" w:hAnsi="Verdana" w:cs="Arial"/>
          <w:lang w:val="es-ES" w:eastAsia="x-none"/>
        </w:rPr>
        <w:t xml:space="preserve">, por lo que excluye las demás modalidades de contratación previstas en la Ley 1150 de 2007, es decir, la licitación pública, la selección abreviada, el concurso de méritos </w:t>
      </w:r>
      <w:r w:rsidRPr="00FC6F34">
        <w:rPr>
          <w:rFonts w:ascii="Verdana" w:eastAsia="Times New Roman" w:hAnsi="Verdana" w:cs="Arial"/>
          <w:lang w:val="es-ES"/>
        </w:rPr>
        <w:t>y la mínima cuantía</w:t>
      </w:r>
      <w:r w:rsidRPr="00FC6F34" w:rsidDel="00A85D9F">
        <w:rPr>
          <w:rFonts w:ascii="Verdana" w:eastAsia="Times New Roman" w:hAnsi="Verdana" w:cs="Arial"/>
          <w:lang w:val="es-ES" w:eastAsia="x-none"/>
        </w:rPr>
        <w:t xml:space="preserve"> </w:t>
      </w:r>
      <w:r w:rsidRPr="00FC6F34">
        <w:rPr>
          <w:rFonts w:ascii="Verdana" w:eastAsia="Times New Roman" w:hAnsi="Verdana" w:cs="Arial"/>
          <w:lang w:val="es-ES"/>
        </w:rPr>
        <w:t xml:space="preserve">u otros previstos en normas especiales. </w:t>
      </w:r>
      <w:r w:rsidRPr="00FC6F34">
        <w:rPr>
          <w:rFonts w:ascii="Verdana" w:eastAsia="Times New Roman" w:hAnsi="Verdana" w:cs="Arial"/>
          <w:lang w:val="es-ES" w:eastAsia="x-none"/>
        </w:rPr>
        <w:t>Esta posición es congruente con la expedición de la Ley 1150 de 2007 que, entre otras reformas, introdujo la selección abreviada, rediseñó el concurso de méritos</w:t>
      </w:r>
      <w:r w:rsidRPr="00FC6F34">
        <w:rPr>
          <w:rFonts w:ascii="Verdana" w:eastAsia="Times New Roman" w:hAnsi="Verdana" w:cs="Arial"/>
          <w:vertAlign w:val="superscript"/>
          <w:lang w:val="es-ES" w:eastAsia="x-none"/>
        </w:rPr>
        <w:footnoteReference w:id="13"/>
      </w:r>
      <w:r w:rsidRPr="00FC6F34">
        <w:rPr>
          <w:rFonts w:ascii="Verdana" w:eastAsia="Times New Roman" w:hAnsi="Verdana" w:cs="Arial"/>
          <w:lang w:val="es-ES" w:eastAsia="x-none"/>
        </w:rPr>
        <w:t xml:space="preserve"> y sistematizó las causales de contratación directa</w:t>
      </w:r>
      <w:r w:rsidRPr="00FC6F34">
        <w:rPr>
          <w:rFonts w:ascii="Verdana" w:eastAsia="Times New Roman" w:hAnsi="Verdana" w:cs="Arial"/>
          <w:vertAlign w:val="superscript"/>
          <w:lang w:val="es-ES" w:eastAsia="x-none"/>
        </w:rPr>
        <w:footnoteReference w:id="14"/>
      </w:r>
      <w:r w:rsidRPr="00FC6F34">
        <w:rPr>
          <w:rFonts w:ascii="Verdana" w:eastAsia="Times New Roman" w:hAnsi="Verdana" w:cs="Arial"/>
          <w:lang w:val="es-ES" w:eastAsia="x-none"/>
        </w:rPr>
        <w:t xml:space="preserve">, </w:t>
      </w:r>
      <w:r w:rsidRPr="00FC6F34">
        <w:rPr>
          <w:rFonts w:ascii="Verdana" w:eastAsia="Calibri" w:hAnsi="Verdana" w:cs="Arial"/>
          <w:lang w:val="es-ES" w:eastAsia="x-none"/>
        </w:rPr>
        <w:t>además lo es con la posterior creación de la modalidad de mínima cuantía establecida actualmente en el numeral 5 del artículo 2 de la Ley 1150 de 2007, de acuerdo con las modificaciones realizadas por leyes posteriores.</w:t>
      </w:r>
    </w:p>
    <w:p w14:paraId="33289902" w14:textId="77777777" w:rsidR="00B070F0" w:rsidRPr="00FC6F34" w:rsidRDefault="00B070F0" w:rsidP="00B070F0">
      <w:pPr>
        <w:spacing w:after="120" w:line="276" w:lineRule="auto"/>
        <w:ind w:firstLine="708"/>
        <w:jc w:val="both"/>
        <w:rPr>
          <w:rFonts w:ascii="Verdana" w:eastAsia="Times New Roman" w:hAnsi="Verdana" w:cs="Arial"/>
          <w:bCs/>
          <w:lang w:val="es-ES" w:eastAsia="es-CO"/>
        </w:rPr>
      </w:pPr>
      <w:r w:rsidRPr="00FC6F34">
        <w:rPr>
          <w:rFonts w:ascii="Verdana" w:eastAsia="Times New Roman" w:hAnsi="Verdana" w:cs="Arial"/>
          <w:bCs/>
          <w:lang w:val="es-ES" w:eastAsia="es-CO"/>
        </w:rPr>
        <w:t xml:space="preserve">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w:t>
      </w:r>
      <w:r>
        <w:rPr>
          <w:rFonts w:ascii="Verdana" w:eastAsia="Times New Roman" w:hAnsi="Verdana" w:cs="Arial"/>
          <w:bCs/>
          <w:lang w:val="es-ES" w:eastAsia="es-CO"/>
        </w:rPr>
        <w:t>G</w:t>
      </w:r>
      <w:r w:rsidRPr="00FC6F34">
        <w:rPr>
          <w:rFonts w:ascii="Verdana" w:eastAsia="Times New Roman" w:hAnsi="Verdana" w:cs="Arial"/>
          <w:bCs/>
          <w:lang w:val="es-ES" w:eastAsia="es-CO"/>
        </w:rPr>
        <w:t>eneral de Contratación de la Administración Pública</w:t>
      </w:r>
      <w:r w:rsidRPr="00FD1F46">
        <w:rPr>
          <w:rFonts w:ascii="Verdana" w:eastAsia="Times New Roman" w:hAnsi="Verdana" w:cs="Arial"/>
          <w:bCs/>
          <w:lang w:val="es-ES" w:eastAsia="es-CO"/>
        </w:rPr>
        <w:t>, sino también frente a las entidades que tengan un régimen especial de contratación.</w:t>
      </w:r>
      <w:r w:rsidRPr="00FC6F34">
        <w:rPr>
          <w:rFonts w:ascii="Verdana" w:eastAsia="Times New Roman" w:hAnsi="Verdana" w:cs="Arial"/>
          <w:bCs/>
          <w:lang w:val="es-ES" w:eastAsia="es-CO"/>
        </w:rPr>
        <w:t xml:space="preserve"> No obstante, luego de la expedición de Ley 1150 de 2007, el Consejo de Estado comenzó a delimitar con mayor precisión el término de “contratación directa”. </w:t>
      </w:r>
      <w:r w:rsidRPr="00FC6F34">
        <w:rPr>
          <w:rFonts w:ascii="Verdana" w:eastAsia="Times New Roman" w:hAnsi="Verdana" w:cs="Arial"/>
          <w:lang w:val="es-ES"/>
        </w:rPr>
        <w:t xml:space="preserve">Así, para la prohibición o restricción temporal contenida en su artículo 33, “contratación directa” es </w:t>
      </w:r>
      <w:r w:rsidRPr="00FD1F46">
        <w:rPr>
          <w:rFonts w:ascii="Verdana" w:eastAsia="Times New Roman" w:hAnsi="Verdana" w:cs="Arial"/>
          <w:i/>
          <w:iCs/>
          <w:lang w:val="es-ES"/>
        </w:rPr>
        <w:t>cualquier</w:t>
      </w:r>
      <w:r w:rsidRPr="00FC6F34">
        <w:rPr>
          <w:rFonts w:ascii="Verdana" w:eastAsia="Times New Roman" w:hAnsi="Verdana" w:cs="Arial"/>
          <w:lang w:val="es-ES"/>
        </w:rPr>
        <w:t xml:space="preserve"> sistema de selección o procedimiento de contratación utilizado por las entidades estatales que no incluya la convocatoria pública en alguna de sus etapas, ni permita la participación de una pluralidad de oferentes</w:t>
      </w:r>
      <w:r w:rsidRPr="00FC6F34">
        <w:rPr>
          <w:rFonts w:ascii="Verdana" w:eastAsia="Times New Roman" w:hAnsi="Verdana" w:cs="Arial"/>
          <w:vertAlign w:val="superscript"/>
          <w:lang w:val="es-ES" w:eastAsia="x-none"/>
        </w:rPr>
        <w:footnoteReference w:id="15"/>
      </w:r>
      <w:r w:rsidRPr="00FC6F34">
        <w:rPr>
          <w:rFonts w:ascii="Verdana" w:eastAsia="Times New Roman" w:hAnsi="Verdana" w:cs="Arial"/>
          <w:lang w:val="es-ES"/>
        </w:rPr>
        <w:t>.</w:t>
      </w:r>
      <w:r w:rsidRPr="00FC6F34">
        <w:rPr>
          <w:rFonts w:ascii="Verdana" w:eastAsia="Times New Roman" w:hAnsi="Verdana" w:cs="Arial"/>
          <w:vertAlign w:val="superscript"/>
          <w:lang w:val="es-ES" w:eastAsia="x-none"/>
        </w:rPr>
        <w:t xml:space="preserve"> </w:t>
      </w:r>
    </w:p>
    <w:p w14:paraId="3782AD7B" w14:textId="77777777" w:rsidR="00B070F0" w:rsidRPr="00FC6F34" w:rsidRDefault="00B070F0" w:rsidP="00B070F0">
      <w:pPr>
        <w:spacing w:after="0" w:line="276" w:lineRule="auto"/>
        <w:ind w:firstLine="708"/>
        <w:jc w:val="both"/>
        <w:rPr>
          <w:rFonts w:ascii="Verdana" w:eastAsia="Times New Roman" w:hAnsi="Verdana" w:cs="Arial"/>
          <w:lang w:val="es-ES"/>
        </w:rPr>
      </w:pPr>
      <w:r w:rsidRPr="00FC6F34">
        <w:rPr>
          <w:rFonts w:ascii="Verdana" w:eastAsia="Times New Roman" w:hAnsi="Verdana" w:cs="Arial"/>
          <w:lang w:val="es-ES"/>
        </w:rPr>
        <w:t xml:space="preserve">De lo anterior se desprende que la restricción aplica, sin perjuicio de las excepciones establecidas en la misma ley, para celebrar </w:t>
      </w:r>
      <w:r w:rsidRPr="00FC6F34">
        <w:rPr>
          <w:rFonts w:ascii="Verdana" w:eastAsia="Times New Roman" w:hAnsi="Verdana" w:cs="Arial"/>
          <w:i/>
          <w:iCs/>
          <w:lang w:val="es-ES"/>
        </w:rPr>
        <w:t>cualquier contrato de forma directa</w:t>
      </w:r>
      <w:r w:rsidRPr="00FC6F34">
        <w:rPr>
          <w:rFonts w:ascii="Verdana" w:eastAsia="Times New Roman" w:hAnsi="Verdana" w:cs="Arial"/>
          <w:lang w:val="es-ES"/>
        </w:rPr>
        <w:t>, esto es, sin que exista un proceso abierto y competitivo. Por tanto,</w:t>
      </w:r>
      <w:r>
        <w:rPr>
          <w:rFonts w:ascii="Verdana" w:eastAsia="Times New Roman" w:hAnsi="Verdana" w:cs="Arial"/>
          <w:lang w:val="es-ES"/>
        </w:rPr>
        <w:t xml:space="preserve"> los procedimientos de selección que pretendan adelantar las Entidades Estatales mediante cualquiera de las causales de contratación directa establecidas en el artículo segundo de la Ley 1150 de 2007 estarán cubiertos por la prohibición establecida en el artículo 33 de la Ley de Garantías Electorales</w:t>
      </w:r>
      <w:r w:rsidRPr="00FD1F46">
        <w:rPr>
          <w:rFonts w:ascii="Verdana" w:eastAsia="Times New Roman" w:hAnsi="Verdana" w:cs="Arial"/>
        </w:rPr>
        <w:t>.</w:t>
      </w:r>
      <w:r>
        <w:rPr>
          <w:rFonts w:ascii="Verdana" w:eastAsia="Times New Roman" w:hAnsi="Verdana" w:cs="Arial"/>
          <w:lang w:val="es-ES"/>
        </w:rPr>
        <w:t xml:space="preserve"> En cualquier caso, </w:t>
      </w:r>
      <w:r w:rsidRPr="00FC6F34">
        <w:rPr>
          <w:rFonts w:ascii="Verdana" w:eastAsia="Times New Roman" w:hAnsi="Verdana" w:cs="Arial"/>
          <w:lang w:val="es-ES"/>
        </w:rPr>
        <w:t>no s</w:t>
      </w:r>
      <w:r>
        <w:rPr>
          <w:rFonts w:ascii="Verdana" w:eastAsia="Times New Roman" w:hAnsi="Verdana" w:cs="Arial"/>
          <w:lang w:val="es-ES"/>
        </w:rPr>
        <w:t>erán</w:t>
      </w:r>
      <w:r w:rsidRPr="00FC6F34">
        <w:rPr>
          <w:rFonts w:ascii="Verdana" w:eastAsia="Times New Roman" w:hAnsi="Verdana" w:cs="Arial"/>
          <w:lang w:val="es-ES"/>
        </w:rPr>
        <w:t xml:space="preserve"> materia de la prohibición las demás modalidades de selección previstas en la Ley 1150 de 2007, es decir, la licitación pública, el concurso de méritos, la selección abreviada y la mínima cuantía, razón por la cual en ese </w:t>
      </w:r>
      <w:r w:rsidRPr="00FC6F34">
        <w:rPr>
          <w:rFonts w:ascii="Verdana" w:eastAsia="Times New Roman" w:hAnsi="Verdana" w:cs="Arial"/>
          <w:lang w:val="es-ES"/>
        </w:rPr>
        <w:lastRenderedPageBreak/>
        <w:t>período preelectoral de que trata la disposición las entidades públicas pueden seguir contratando bajo estos sistemas</w:t>
      </w:r>
      <w:r>
        <w:rPr>
          <w:rFonts w:ascii="Verdana" w:eastAsia="Times New Roman" w:hAnsi="Verdana" w:cs="Arial"/>
          <w:lang w:val="es-ES"/>
        </w:rPr>
        <w:t xml:space="preserve"> para la satisfacción y atención de sus necesidades</w:t>
      </w:r>
      <w:r w:rsidRPr="00FC6F34">
        <w:rPr>
          <w:rFonts w:ascii="Verdana" w:eastAsia="Times New Roman" w:hAnsi="Verdana" w:cs="Arial"/>
          <w:lang w:val="es-ES"/>
        </w:rPr>
        <w:t>.</w:t>
      </w:r>
    </w:p>
    <w:p w14:paraId="2B4613AA" w14:textId="77777777" w:rsidR="00B070F0" w:rsidRPr="00FC6F34" w:rsidRDefault="00B070F0" w:rsidP="00B070F0">
      <w:pPr>
        <w:spacing w:after="0" w:line="276" w:lineRule="auto"/>
        <w:ind w:firstLine="708"/>
        <w:jc w:val="both"/>
        <w:rPr>
          <w:rFonts w:ascii="Verdana" w:eastAsia="Times New Roman" w:hAnsi="Verdana" w:cs="Arial"/>
          <w:lang w:val="es-ES"/>
        </w:rPr>
      </w:pPr>
    </w:p>
    <w:p w14:paraId="3A6D1B47" w14:textId="77777777" w:rsidR="00B070F0" w:rsidRPr="00FC6F34" w:rsidRDefault="00B070F0" w:rsidP="00B070F0">
      <w:pPr>
        <w:spacing w:after="0" w:line="276" w:lineRule="auto"/>
        <w:jc w:val="both"/>
        <w:rPr>
          <w:rFonts w:ascii="Verdana" w:eastAsia="Times New Roman" w:hAnsi="Verdana" w:cs="Arial"/>
          <w:lang w:val="es-ES"/>
        </w:rPr>
      </w:pPr>
      <w:proofErr w:type="spellStart"/>
      <w:r w:rsidRPr="00FC6F34">
        <w:rPr>
          <w:rFonts w:ascii="Verdana" w:eastAsia="Times New Roman" w:hAnsi="Verdana" w:cs="Arial"/>
          <w:bCs/>
          <w:lang w:val="es-ES" w:eastAsia="es-CO"/>
        </w:rPr>
        <w:t>i</w:t>
      </w:r>
      <w:r>
        <w:rPr>
          <w:rFonts w:ascii="Verdana" w:eastAsia="Times New Roman" w:hAnsi="Verdana" w:cs="Arial"/>
          <w:bCs/>
          <w:lang w:val="es-ES" w:eastAsia="es-CO"/>
        </w:rPr>
        <w:t>v</w:t>
      </w:r>
      <w:proofErr w:type="spellEnd"/>
      <w:r w:rsidRPr="00FC6F34">
        <w:rPr>
          <w:rFonts w:ascii="Verdana" w:eastAsia="Times New Roman" w:hAnsi="Verdana" w:cs="Arial"/>
          <w:bCs/>
          <w:lang w:val="es-ES" w:eastAsia="es-CO"/>
        </w:rPr>
        <w:t xml:space="preserve">) Con respecto a los </w:t>
      </w:r>
      <w:r w:rsidRPr="00FC6F34">
        <w:rPr>
          <w:rFonts w:ascii="Verdana" w:eastAsia="Times New Roman" w:hAnsi="Verdana" w:cs="Arial"/>
          <w:bCs/>
          <w:i/>
          <w:iCs/>
          <w:lang w:val="es-ES" w:eastAsia="es-CO"/>
        </w:rPr>
        <w:t>sujetos</w:t>
      </w:r>
      <w:r w:rsidRPr="00FC6F34">
        <w:rPr>
          <w:rFonts w:ascii="Verdana" w:eastAsia="Times New Roman" w:hAnsi="Verdana" w:cs="Arial"/>
          <w:bCs/>
          <w:lang w:val="es-ES" w:eastAsia="es-CO"/>
        </w:rPr>
        <w:t xml:space="preserve"> que se encuentran enmarcados en la prohibición del artículo 33, </w:t>
      </w:r>
      <w:r w:rsidRPr="00FC6F34">
        <w:rPr>
          <w:rFonts w:ascii="Verdana" w:eastAsia="Times New Roman" w:hAnsi="Verdana" w:cs="Arial"/>
          <w:lang w:val="es-ES"/>
        </w:rPr>
        <w:t>la Ley 996 de 2005 señala expresamente que son “</w:t>
      </w:r>
      <w:r w:rsidRPr="00FC6F34">
        <w:rPr>
          <w:rFonts w:ascii="Verdana" w:eastAsia="Times New Roman" w:hAnsi="Verdana" w:cs="Arial"/>
          <w:i/>
          <w:iCs/>
          <w:u w:val="single"/>
          <w:lang w:val="es-ES"/>
        </w:rPr>
        <w:t>todos</w:t>
      </w:r>
      <w:r w:rsidRPr="00FC6F34">
        <w:rPr>
          <w:rFonts w:ascii="Verdana" w:eastAsia="Times New Roman" w:hAnsi="Verdana" w:cs="Arial"/>
          <w:i/>
          <w:iCs/>
          <w:lang w:val="es-ES"/>
        </w:rPr>
        <w:t xml:space="preserve"> los entes del Estado</w:t>
      </w:r>
      <w:r w:rsidRPr="00FC6F34">
        <w:rPr>
          <w:rFonts w:ascii="Verdana" w:eastAsia="Times New Roman" w:hAnsi="Verdana" w:cs="Arial"/>
          <w:lang w:val="es-ES"/>
        </w:rPr>
        <w:t>” [énfasis propio]. Al respecto la Sala De Consulta y Servicio Civil del Consejo de Estado señaló lo siguiente:</w:t>
      </w:r>
    </w:p>
    <w:p w14:paraId="06BC4751" w14:textId="77777777" w:rsidR="00B070F0" w:rsidRPr="00FC6F34" w:rsidRDefault="00B070F0" w:rsidP="00B070F0">
      <w:pPr>
        <w:spacing w:after="0" w:line="276" w:lineRule="auto"/>
        <w:ind w:firstLine="708"/>
        <w:jc w:val="both"/>
        <w:rPr>
          <w:rFonts w:ascii="Verdana" w:eastAsia="Times New Roman" w:hAnsi="Verdana" w:cs="Arial"/>
          <w:lang w:val="es-ES"/>
        </w:rPr>
      </w:pPr>
    </w:p>
    <w:p w14:paraId="00089DB6" w14:textId="77777777" w:rsidR="00B070F0" w:rsidRPr="00FC6F34" w:rsidRDefault="00B070F0" w:rsidP="00B070F0">
      <w:pPr>
        <w:spacing w:after="0" w:line="240" w:lineRule="auto"/>
        <w:ind w:left="709" w:right="709"/>
        <w:jc w:val="both"/>
        <w:rPr>
          <w:rFonts w:ascii="Verdana" w:eastAsia="Times New Roman" w:hAnsi="Verdana" w:cs="Arial"/>
          <w:bCs/>
          <w:lang w:val="es-ES" w:eastAsia="es-CO"/>
        </w:rPr>
      </w:pPr>
      <w:r w:rsidRPr="00FC6F34">
        <w:rPr>
          <w:rFonts w:ascii="Verdana" w:eastAsia="Times New Roman" w:hAnsi="Verdana" w:cs="Arial"/>
          <w:bCs/>
          <w:sz w:val="20"/>
          <w:szCs w:val="20"/>
          <w:lang w:val="es-ES" w:eastAsia="es-CO"/>
        </w:rPr>
        <w:t>“El vocablo "todos" que utilizó el legislador, comprende, en consecuencia, sin distinción del "régimen jurídico, forma de organización o naturaleza, su pertenencia a una u otra rama del poder público o su autonomía, a la totalidad de los entes del Estado. Es decir, la prohibición cobija a cualquier ente público que eventualmente pueda a través de la contratación directa romper el equilibrio entre los partidos y los candidatos a las elecciones presidenciales […]”</w:t>
      </w:r>
      <w:r w:rsidRPr="00FC6F34">
        <w:rPr>
          <w:rStyle w:val="FootnoteReference"/>
          <w:rFonts w:ascii="Verdana" w:eastAsia="Times New Roman" w:hAnsi="Verdana" w:cs="Arial"/>
          <w:bCs/>
          <w:sz w:val="20"/>
          <w:szCs w:val="20"/>
          <w:lang w:val="es-ES" w:eastAsia="es-CO"/>
        </w:rPr>
        <w:footnoteReference w:id="16"/>
      </w:r>
      <w:r w:rsidRPr="00FC6F34">
        <w:rPr>
          <w:rFonts w:ascii="Verdana" w:eastAsia="Times New Roman" w:hAnsi="Verdana" w:cs="Arial"/>
          <w:bCs/>
          <w:sz w:val="20"/>
          <w:szCs w:val="20"/>
          <w:lang w:val="es-ES" w:eastAsia="es-CO"/>
        </w:rPr>
        <w:t>.</w:t>
      </w:r>
    </w:p>
    <w:p w14:paraId="6596F3D5" w14:textId="77777777" w:rsidR="00B070F0" w:rsidRPr="00FC6F34" w:rsidRDefault="00B070F0" w:rsidP="00B070F0">
      <w:pPr>
        <w:spacing w:before="240" w:line="276" w:lineRule="auto"/>
        <w:ind w:firstLine="708"/>
        <w:jc w:val="both"/>
        <w:rPr>
          <w:rFonts w:ascii="Verdana" w:hAnsi="Verdana" w:cs="Arial"/>
          <w:bCs/>
          <w:sz w:val="20"/>
          <w:szCs w:val="20"/>
          <w:lang w:val="es-ES" w:eastAsia="es-CO"/>
        </w:rPr>
      </w:pPr>
      <w:r w:rsidRPr="00FC6F34">
        <w:rPr>
          <w:rFonts w:ascii="Verdana" w:hAnsi="Verdana" w:cs="Arial"/>
          <w:bCs/>
          <w:lang w:val="es-ES" w:eastAsia="x-none"/>
        </w:rPr>
        <w:t xml:space="preserve">En consecuencia, el artículo 33 de la Ley 996 de 2005 señala expresamente que los destinatarios de la prohibición son “todos los entes del Estado”, expresión que contempla a los diferentes organismos o </w:t>
      </w:r>
      <w:r w:rsidRPr="00420BDF">
        <w:rPr>
          <w:rFonts w:ascii="Verdana" w:hAnsi="Verdana" w:cs="Arial"/>
          <w:bCs/>
          <w:lang w:val="es-ES" w:eastAsia="x-none"/>
        </w:rPr>
        <w:t>entidades autorizadas por la ley para suscribir contratos</w:t>
      </w:r>
      <w:r>
        <w:rPr>
          <w:rFonts w:ascii="Verdana" w:hAnsi="Verdana" w:cs="Arial"/>
          <w:bCs/>
          <w:lang w:val="es-ES" w:eastAsia="x-none"/>
        </w:rPr>
        <w:t xml:space="preserve">, como es el caso de </w:t>
      </w:r>
      <w:r w:rsidRPr="00F507F9">
        <w:rPr>
          <w:rFonts w:ascii="Verdana" w:hAnsi="Verdana" w:cs="Arial"/>
          <w:bCs/>
          <w:lang w:eastAsia="x-none"/>
        </w:rPr>
        <w:t>los Cabildos Indígenas, las asociaciones de Autoridades Tradicionales Indígenas, los consejos comunitarios de las comunidades negras regulados por la Ley 70 de 1993</w:t>
      </w:r>
      <w:r>
        <w:rPr>
          <w:rStyle w:val="FootnoteReference"/>
          <w:rFonts w:ascii="Verdana" w:hAnsi="Verdana" w:cs="Arial"/>
          <w:bCs/>
          <w:lang w:eastAsia="x-none"/>
        </w:rPr>
        <w:footnoteReference w:id="17"/>
      </w:r>
      <w:r w:rsidRPr="00FC6F34">
        <w:rPr>
          <w:rFonts w:ascii="Verdana" w:hAnsi="Verdana" w:cs="Arial"/>
          <w:bCs/>
          <w:lang w:val="es-ES" w:eastAsia="x-none"/>
        </w:rPr>
        <w:t>.</w:t>
      </w:r>
      <w:r w:rsidRPr="00FC6F34">
        <w:rPr>
          <w:rFonts w:ascii="Verdana" w:hAnsi="Verdana"/>
          <w:lang w:val="es-ES"/>
        </w:rPr>
        <w:t xml:space="preserve"> </w:t>
      </w:r>
      <w:r w:rsidRPr="00FC6F34">
        <w:rPr>
          <w:rFonts w:ascii="Verdana" w:hAnsi="Verdana" w:cs="Arial"/>
          <w:bCs/>
          <w:lang w:val="es-ES" w:eastAsia="x-none"/>
        </w:rPr>
        <w:t>En efecto, tal como lo ha sostenido el Consejo de Estado, el vocablo “todos” utilizado por el legislador comprende</w:t>
      </w:r>
      <w:r w:rsidRPr="00FC6F34">
        <w:rPr>
          <w:rFonts w:ascii="Verdana" w:hAnsi="Verdana"/>
          <w:lang w:val="es-ES"/>
        </w:rPr>
        <w:t xml:space="preserve"> </w:t>
      </w:r>
      <w:r w:rsidRPr="00FC6F34">
        <w:rPr>
          <w:rFonts w:ascii="Verdana" w:hAnsi="Verdana" w:cs="Arial"/>
          <w:bCs/>
          <w:lang w:val="es-ES" w:eastAsia="x-none"/>
        </w:rPr>
        <w:t xml:space="preserve">a la totalidad de los entes del Estado, sin distinción del régimen jurídico, forma de organización o naturaleza, su pertenencia a una u otra rama del poder público o su autonomía, e incluso si las entidades estatales </w:t>
      </w:r>
      <w:r w:rsidRPr="00FC6F34">
        <w:rPr>
          <w:rFonts w:ascii="Verdana" w:hAnsi="Verdana" w:cs="Arial"/>
          <w:bCs/>
          <w:lang w:val="es-ES" w:eastAsia="x-none"/>
        </w:rPr>
        <w:lastRenderedPageBreak/>
        <w:t>tienen régimen especial de contratación y están exceptuadas del ámbito de aplicación del Estatuto General de Contratación de la Administración Pública</w:t>
      </w:r>
      <w:r w:rsidRPr="00FC6F34">
        <w:rPr>
          <w:rStyle w:val="FootnoteReference"/>
          <w:rFonts w:ascii="Verdana" w:hAnsi="Verdana" w:cs="Arial"/>
          <w:bCs/>
          <w:sz w:val="20"/>
          <w:szCs w:val="20"/>
          <w:lang w:val="es-ES" w:eastAsia="x-none"/>
        </w:rPr>
        <w:footnoteReference w:id="18"/>
      </w:r>
      <w:r w:rsidRPr="00FC6F34">
        <w:rPr>
          <w:rFonts w:ascii="Verdana" w:hAnsi="Verdana" w:cs="Arial"/>
          <w:bCs/>
          <w:sz w:val="20"/>
          <w:szCs w:val="20"/>
          <w:lang w:val="es-ES" w:eastAsia="x-none"/>
        </w:rPr>
        <w:t>.</w:t>
      </w:r>
      <w:r w:rsidRPr="00FC6F34">
        <w:rPr>
          <w:rFonts w:ascii="Verdana" w:hAnsi="Verdana" w:cs="Arial"/>
          <w:bCs/>
          <w:sz w:val="20"/>
          <w:szCs w:val="20"/>
          <w:lang w:val="es-ES" w:eastAsia="es-CO"/>
        </w:rPr>
        <w:t>”</w:t>
      </w:r>
    </w:p>
    <w:p w14:paraId="6B150C5E" w14:textId="77777777" w:rsidR="00B070F0" w:rsidRDefault="00B070F0" w:rsidP="00B070F0">
      <w:pPr>
        <w:spacing w:after="0" w:line="276" w:lineRule="auto"/>
        <w:ind w:firstLine="709"/>
        <w:jc w:val="both"/>
        <w:rPr>
          <w:rFonts w:ascii="Verdana" w:eastAsia="Arial" w:hAnsi="Verdana" w:cs="Arial"/>
          <w:color w:val="000000" w:themeColor="text1"/>
          <w:lang w:val="es-ES"/>
        </w:rPr>
      </w:pPr>
      <w:r w:rsidRPr="00FC6F34">
        <w:rPr>
          <w:rFonts w:ascii="Verdana" w:eastAsia="Arial" w:hAnsi="Verdana" w:cs="Arial"/>
          <w:color w:val="000000" w:themeColor="text1"/>
          <w:lang w:val="es-ES"/>
        </w:rPr>
        <w:t xml:space="preserve">Por lo tanto, la restricción del artículo 33 prevista en la Ley 996 de 2005, teniendo en cuenta la finalidad de la ley de garantías electorales, cobija a </w:t>
      </w:r>
      <w:r w:rsidRPr="00FD1F46">
        <w:rPr>
          <w:rFonts w:ascii="Verdana" w:eastAsia="Arial" w:hAnsi="Verdana" w:cs="Arial"/>
          <w:i/>
          <w:iCs/>
          <w:color w:val="000000" w:themeColor="text1"/>
          <w:lang w:val="es-ES"/>
        </w:rPr>
        <w:t>cualquier ente público</w:t>
      </w:r>
      <w:r w:rsidRPr="00FC6F34">
        <w:rPr>
          <w:rFonts w:ascii="Verdana" w:eastAsia="Arial" w:hAnsi="Verdana" w:cs="Arial"/>
          <w:color w:val="000000" w:themeColor="text1"/>
          <w:lang w:val="es-ES"/>
        </w:rPr>
        <w:t xml:space="preserve"> que pueda a través de la contratación directa romper el equilibrio entre los partidos y los candidatos en las elecciones presidenciales. 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 o normas especiales.</w:t>
      </w:r>
    </w:p>
    <w:p w14:paraId="21885F65" w14:textId="77777777" w:rsidR="00B070F0" w:rsidRPr="00FC6F34" w:rsidRDefault="00B070F0" w:rsidP="00B070F0">
      <w:pPr>
        <w:spacing w:after="0" w:line="276" w:lineRule="auto"/>
        <w:ind w:firstLine="709"/>
        <w:jc w:val="both"/>
        <w:rPr>
          <w:rFonts w:ascii="Verdana" w:eastAsia="Arial" w:hAnsi="Verdana" w:cs="Arial"/>
          <w:bCs/>
          <w:color w:val="000000" w:themeColor="text1"/>
          <w:lang w:val="es-ES"/>
        </w:rPr>
      </w:pPr>
    </w:p>
    <w:p w14:paraId="07C0793D" w14:textId="77777777" w:rsidR="00B070F0" w:rsidRPr="00FC6F34" w:rsidRDefault="00B070F0" w:rsidP="00B070F0">
      <w:pPr>
        <w:spacing w:line="276" w:lineRule="auto"/>
        <w:jc w:val="both"/>
        <w:rPr>
          <w:rFonts w:ascii="Verdana" w:hAnsi="Verdana" w:cs="Arial"/>
          <w:bCs/>
          <w:color w:val="000000" w:themeColor="text1"/>
          <w:lang w:val="es-ES"/>
        </w:rPr>
      </w:pPr>
      <w:r>
        <w:rPr>
          <w:rFonts w:ascii="Verdana" w:eastAsia="Arial" w:hAnsi="Verdana" w:cs="Arial"/>
          <w:bCs/>
          <w:color w:val="000000" w:themeColor="text1"/>
          <w:lang w:val="es-ES"/>
        </w:rPr>
        <w:t xml:space="preserve">v) </w:t>
      </w:r>
      <w:r w:rsidRPr="00FC6F34">
        <w:rPr>
          <w:rFonts w:ascii="Verdana" w:eastAsia="Arial" w:hAnsi="Verdana" w:cs="Arial"/>
          <w:bCs/>
          <w:color w:val="000000" w:themeColor="text1"/>
          <w:lang w:val="es-ES"/>
        </w:rPr>
        <w:t xml:space="preserve">En este punto, </w:t>
      </w:r>
      <w:r>
        <w:rPr>
          <w:rFonts w:ascii="Verdana" w:eastAsia="Arial" w:hAnsi="Verdana" w:cs="Arial"/>
          <w:bCs/>
          <w:color w:val="000000" w:themeColor="text1"/>
          <w:lang w:val="es-ES"/>
        </w:rPr>
        <w:t>es importante resaltar que</w:t>
      </w:r>
      <w:r w:rsidRPr="00FC6F34">
        <w:rPr>
          <w:rFonts w:ascii="Verdana" w:eastAsia="Arial" w:hAnsi="Verdana" w:cs="Arial"/>
          <w:bCs/>
          <w:color w:val="000000" w:themeColor="text1"/>
          <w:lang w:val="es-ES"/>
        </w:rPr>
        <w:t xml:space="preserve">, en principio, todos los entes del Estado están cobijados por la prohibición para contratar directamente establecida en el artículo 33 de la Ley de Garantías Electorales. Sin embargo, </w:t>
      </w:r>
      <w:r w:rsidRPr="00FC6F34">
        <w:rPr>
          <w:rFonts w:ascii="Verdana" w:hAnsi="Verdana" w:cs="Arial"/>
          <w:bCs/>
          <w:color w:val="000000" w:themeColor="text1"/>
          <w:lang w:val="es-ES"/>
        </w:rPr>
        <w:t>el segundo inciso de la misma disposición consagró las excepciones aplicables a la prohibición de contratación directa</w:t>
      </w:r>
      <w:r>
        <w:rPr>
          <w:rFonts w:ascii="Verdana" w:hAnsi="Verdana" w:cs="Arial"/>
          <w:bCs/>
          <w:color w:val="000000" w:themeColor="text1"/>
          <w:lang w:val="es-ES"/>
        </w:rPr>
        <w:t xml:space="preserve"> allí establecida</w:t>
      </w:r>
      <w:r w:rsidRPr="00FC6F34">
        <w:rPr>
          <w:rFonts w:ascii="Verdana" w:hAnsi="Verdana" w:cs="Arial"/>
          <w:bCs/>
          <w:color w:val="000000" w:themeColor="text1"/>
          <w:lang w:val="es-ES"/>
        </w:rPr>
        <w:t xml:space="preserve">. </w:t>
      </w:r>
      <w:r>
        <w:rPr>
          <w:rFonts w:ascii="Verdana" w:hAnsi="Verdana" w:cs="Arial"/>
          <w:bCs/>
          <w:color w:val="000000" w:themeColor="text1"/>
          <w:lang w:val="es-ES"/>
        </w:rPr>
        <w:t>L</w:t>
      </w:r>
      <w:r w:rsidRPr="00FC6F34">
        <w:rPr>
          <w:rFonts w:ascii="Verdana" w:hAnsi="Verdana" w:cs="Arial"/>
          <w:bCs/>
          <w:color w:val="000000" w:themeColor="text1"/>
          <w:lang w:val="es-ES"/>
        </w:rPr>
        <w:t>as excepciones a la prohibición del artículo 33 de la norma mencionada son las siguientes:</w:t>
      </w:r>
    </w:p>
    <w:p w14:paraId="7DF7E0F0" w14:textId="77777777" w:rsidR="00B070F0" w:rsidRPr="00FC6F34" w:rsidRDefault="00B070F0" w:rsidP="00B070F0">
      <w:pPr>
        <w:tabs>
          <w:tab w:val="left" w:pos="709"/>
        </w:tabs>
        <w:spacing w:before="120" w:line="276" w:lineRule="auto"/>
        <w:jc w:val="both"/>
        <w:rPr>
          <w:rFonts w:ascii="Verdana" w:hAnsi="Verdana" w:cs="Arial"/>
          <w:bCs/>
          <w:color w:val="000000" w:themeColor="text1"/>
          <w:lang w:val="es-ES"/>
        </w:rPr>
      </w:pPr>
      <w:r w:rsidRPr="00FC6F34">
        <w:rPr>
          <w:rFonts w:ascii="Verdana" w:hAnsi="Verdana" w:cs="Arial"/>
          <w:bCs/>
          <w:color w:val="000000" w:themeColor="text1"/>
          <w:lang w:val="es-ES"/>
        </w:rPr>
        <w:tab/>
      </w:r>
      <w:r>
        <w:rPr>
          <w:rFonts w:ascii="Verdana" w:hAnsi="Verdana" w:cs="Arial"/>
          <w:bCs/>
          <w:color w:val="000000" w:themeColor="text1"/>
          <w:lang w:val="es-ES"/>
        </w:rPr>
        <w:t xml:space="preserve">1) </w:t>
      </w:r>
      <w:r w:rsidRPr="00FC6F34">
        <w:rPr>
          <w:rFonts w:ascii="Verdana" w:hAnsi="Verdana" w:cs="Arial"/>
          <w:bCs/>
          <w:color w:val="000000" w:themeColor="text1"/>
          <w:lang w:val="es-ES"/>
        </w:rPr>
        <w:t>La contratación referente a la defensa y seguridad del Estado;</w:t>
      </w:r>
    </w:p>
    <w:p w14:paraId="297D57D7" w14:textId="77777777" w:rsidR="00B070F0" w:rsidRPr="00FC6F34" w:rsidRDefault="00B070F0" w:rsidP="00B070F0">
      <w:pPr>
        <w:tabs>
          <w:tab w:val="left" w:pos="709"/>
        </w:tabs>
        <w:spacing w:before="120" w:line="276" w:lineRule="auto"/>
        <w:jc w:val="both"/>
        <w:rPr>
          <w:rFonts w:ascii="Verdana" w:hAnsi="Verdana" w:cs="Arial"/>
          <w:bCs/>
          <w:color w:val="000000" w:themeColor="text1"/>
          <w:lang w:val="es-ES"/>
        </w:rPr>
      </w:pPr>
      <w:r w:rsidRPr="00FC6F34">
        <w:rPr>
          <w:rFonts w:ascii="Verdana" w:hAnsi="Verdana" w:cs="Arial"/>
          <w:bCs/>
          <w:color w:val="000000" w:themeColor="text1"/>
          <w:lang w:val="es-ES"/>
        </w:rPr>
        <w:tab/>
      </w:r>
      <w:r>
        <w:rPr>
          <w:rFonts w:ascii="Verdana" w:hAnsi="Verdana" w:cs="Arial"/>
          <w:bCs/>
          <w:color w:val="000000" w:themeColor="text1"/>
          <w:lang w:val="es-ES"/>
        </w:rPr>
        <w:t>2</w:t>
      </w:r>
      <w:r w:rsidRPr="00FC6F34">
        <w:rPr>
          <w:rFonts w:ascii="Verdana" w:hAnsi="Verdana" w:cs="Arial"/>
          <w:bCs/>
          <w:color w:val="000000" w:themeColor="text1"/>
          <w:lang w:val="es-ES"/>
        </w:rPr>
        <w:t>) Los contratos de crédito público;</w:t>
      </w:r>
    </w:p>
    <w:p w14:paraId="489FA84C" w14:textId="77777777" w:rsidR="00B070F0" w:rsidRPr="00FC6F34" w:rsidRDefault="00B070F0" w:rsidP="00B070F0">
      <w:pPr>
        <w:tabs>
          <w:tab w:val="left" w:pos="709"/>
        </w:tabs>
        <w:spacing w:before="120" w:line="276" w:lineRule="auto"/>
        <w:jc w:val="both"/>
        <w:rPr>
          <w:rFonts w:ascii="Verdana" w:hAnsi="Verdana" w:cs="Arial"/>
          <w:bCs/>
          <w:color w:val="000000" w:themeColor="text1"/>
          <w:lang w:val="es-ES"/>
        </w:rPr>
      </w:pPr>
      <w:r w:rsidRPr="00FC6F34">
        <w:rPr>
          <w:rFonts w:ascii="Verdana" w:hAnsi="Verdana" w:cs="Arial"/>
          <w:bCs/>
          <w:color w:val="000000" w:themeColor="text1"/>
          <w:lang w:val="es-ES"/>
        </w:rPr>
        <w:tab/>
      </w:r>
      <w:r>
        <w:rPr>
          <w:rFonts w:ascii="Verdana" w:hAnsi="Verdana" w:cs="Arial"/>
          <w:bCs/>
          <w:color w:val="000000" w:themeColor="text1"/>
          <w:lang w:val="es-ES"/>
        </w:rPr>
        <w:t>3</w:t>
      </w:r>
      <w:r w:rsidRPr="00FC6F34">
        <w:rPr>
          <w:rFonts w:ascii="Verdana" w:hAnsi="Verdana" w:cs="Arial"/>
          <w:bCs/>
          <w:color w:val="000000" w:themeColor="text1"/>
          <w:lang w:val="es-ES"/>
        </w:rPr>
        <w:t xml:space="preserve">) Los contratos requeridos para cubrir las emergencias educativas, sanitarias y desastres; </w:t>
      </w:r>
    </w:p>
    <w:p w14:paraId="3008599B" w14:textId="77777777" w:rsidR="00B070F0" w:rsidRPr="00FC6F34" w:rsidRDefault="00B070F0" w:rsidP="00B070F0">
      <w:pPr>
        <w:tabs>
          <w:tab w:val="left" w:pos="709"/>
        </w:tabs>
        <w:spacing w:before="120" w:line="276" w:lineRule="auto"/>
        <w:jc w:val="both"/>
        <w:rPr>
          <w:rFonts w:ascii="Verdana" w:hAnsi="Verdana" w:cs="Arial"/>
          <w:bCs/>
          <w:color w:val="000000" w:themeColor="text1"/>
          <w:lang w:val="es-ES"/>
        </w:rPr>
      </w:pPr>
      <w:r w:rsidRPr="00FC6F34">
        <w:rPr>
          <w:rFonts w:ascii="Verdana" w:hAnsi="Verdana" w:cs="Arial"/>
          <w:bCs/>
          <w:color w:val="000000" w:themeColor="text1"/>
          <w:lang w:val="es-ES"/>
        </w:rPr>
        <w:tab/>
      </w:r>
      <w:r>
        <w:rPr>
          <w:rFonts w:ascii="Verdana" w:hAnsi="Verdana" w:cs="Arial"/>
          <w:bCs/>
          <w:color w:val="000000" w:themeColor="text1"/>
          <w:lang w:val="es-ES"/>
        </w:rPr>
        <w:t>4</w:t>
      </w:r>
      <w:r w:rsidRPr="00FC6F34">
        <w:rPr>
          <w:rFonts w:ascii="Verdana" w:hAnsi="Verdana" w:cs="Arial"/>
          <w:bCs/>
          <w:color w:val="000000" w:themeColor="text1"/>
          <w:lang w:val="es-ES"/>
        </w:rPr>
        <w:t>) La contratación para la reconstrucción de vías, puentes, carreteras, infraestructura energética y de comunicaciones, en caso de que hayan sido objeto de atentados, acciones terroristas, desastres naturales o casos de fuerza mayor y;</w:t>
      </w:r>
    </w:p>
    <w:p w14:paraId="4B625BA9" w14:textId="77777777" w:rsidR="00B070F0" w:rsidRPr="00FC6F34" w:rsidRDefault="00B070F0" w:rsidP="00B070F0">
      <w:pPr>
        <w:tabs>
          <w:tab w:val="left" w:pos="709"/>
        </w:tabs>
        <w:spacing w:before="120" w:line="276" w:lineRule="auto"/>
        <w:jc w:val="both"/>
        <w:rPr>
          <w:rFonts w:ascii="Verdana" w:hAnsi="Verdana" w:cs="Arial"/>
          <w:bCs/>
          <w:color w:val="000000" w:themeColor="text1"/>
          <w:lang w:val="es-ES"/>
        </w:rPr>
      </w:pPr>
      <w:r w:rsidRPr="00FC6F34">
        <w:rPr>
          <w:rFonts w:ascii="Verdana" w:hAnsi="Verdana" w:cs="Arial"/>
          <w:bCs/>
          <w:color w:val="000000" w:themeColor="text1"/>
          <w:lang w:val="es-ES"/>
        </w:rPr>
        <w:lastRenderedPageBreak/>
        <w:tab/>
      </w:r>
      <w:r>
        <w:rPr>
          <w:rFonts w:ascii="Verdana" w:hAnsi="Verdana" w:cs="Arial"/>
          <w:bCs/>
          <w:color w:val="000000" w:themeColor="text1"/>
          <w:lang w:val="es-ES"/>
        </w:rPr>
        <w:t>5</w:t>
      </w:r>
      <w:r w:rsidRPr="00FC6F34">
        <w:rPr>
          <w:rFonts w:ascii="Verdana" w:hAnsi="Verdana" w:cs="Arial"/>
          <w:bCs/>
          <w:color w:val="000000" w:themeColor="text1"/>
          <w:lang w:val="es-ES"/>
        </w:rPr>
        <w:t xml:space="preserve">) La contratación que deban realizar las entidades sanitarias y hospitalarias. </w:t>
      </w:r>
    </w:p>
    <w:p w14:paraId="17633FC2" w14:textId="77777777" w:rsidR="00B070F0" w:rsidRPr="00FC6F34" w:rsidRDefault="00B070F0" w:rsidP="00B070F0">
      <w:pPr>
        <w:spacing w:before="240" w:line="276" w:lineRule="auto"/>
        <w:ind w:firstLine="709"/>
        <w:jc w:val="both"/>
        <w:rPr>
          <w:rFonts w:ascii="Verdana" w:hAnsi="Verdana" w:cs="Arial"/>
          <w:lang w:val="es-ES" w:eastAsia="x-none"/>
        </w:rPr>
      </w:pPr>
      <w:r w:rsidRPr="00FC6F34">
        <w:rPr>
          <w:rFonts w:ascii="Verdana" w:hAnsi="Verdana" w:cs="Arial"/>
          <w:lang w:val="es-ES" w:eastAsia="x-none"/>
        </w:rPr>
        <w:t>Como lo anotó la Corte Constitucional, en Sentencia C-1153 de noviembre 11 de 2005,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FC6F34">
        <w:rPr>
          <w:rFonts w:ascii="Verdana" w:hAnsi="Verdana" w:cs="Arial"/>
          <w:color w:val="000000" w:themeColor="text1"/>
          <w:vertAlign w:val="superscript"/>
          <w:lang w:val="es-ES" w:eastAsia="es-CO"/>
        </w:rPr>
        <w:t xml:space="preserve"> </w:t>
      </w:r>
      <w:r w:rsidRPr="00FC6F34">
        <w:rPr>
          <w:rFonts w:ascii="Verdana" w:hAnsi="Verdana" w:cs="Arial"/>
          <w:color w:val="000000" w:themeColor="text1"/>
          <w:vertAlign w:val="superscript"/>
          <w:lang w:val="es-ES" w:eastAsia="es-CO"/>
        </w:rPr>
        <w:footnoteReference w:id="19"/>
      </w:r>
      <w:r w:rsidRPr="00FC6F34">
        <w:rPr>
          <w:rFonts w:ascii="Verdana" w:hAnsi="Verdana" w:cs="Arial"/>
          <w:lang w:val="es-ES" w:eastAsia="x-none"/>
        </w:rPr>
        <w:t>. De ahí que la Corte haya hecho particular énfasis en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5591B564" w14:textId="77777777" w:rsidR="00B070F0" w:rsidRPr="00FC6F34" w:rsidRDefault="00B070F0" w:rsidP="00B070F0">
      <w:pPr>
        <w:tabs>
          <w:tab w:val="left" w:pos="426"/>
        </w:tabs>
        <w:spacing w:before="120" w:line="276" w:lineRule="auto"/>
        <w:ind w:firstLine="709"/>
        <w:jc w:val="both"/>
        <w:rPr>
          <w:rFonts w:ascii="Verdana" w:hAnsi="Verdana" w:cs="Arial"/>
          <w:bCs/>
          <w:color w:val="000000" w:themeColor="text1"/>
          <w:lang w:val="es-ES"/>
        </w:rPr>
      </w:pPr>
      <w:r w:rsidRPr="00FC6F34">
        <w:rPr>
          <w:rFonts w:ascii="Verdana" w:hAnsi="Verdana" w:cs="Arial"/>
          <w:bCs/>
          <w:color w:val="000000" w:themeColor="text1"/>
          <w:lang w:val="es-ES"/>
        </w:rPr>
        <w:t xml:space="preserve">La Sala de Consulta y Servicio Civil del Consejo de Estado, en concepto del 4 de febrero de 2010, se pronunció frente a las razones por las que el legislador consagró excepciones al artículo 33 de la Ley de Garantías Electorales en los siguientes términos: </w:t>
      </w:r>
    </w:p>
    <w:p w14:paraId="51E894D8" w14:textId="77777777" w:rsidR="00B070F0" w:rsidRPr="00FC6F34" w:rsidRDefault="00B070F0" w:rsidP="00B070F0">
      <w:pPr>
        <w:shd w:val="clear" w:color="auto" w:fill="FFFFFF"/>
        <w:ind w:left="709" w:right="709"/>
        <w:jc w:val="both"/>
        <w:rPr>
          <w:rFonts w:ascii="Verdana" w:hAnsi="Verdana" w:cs="Arial"/>
          <w:color w:val="000000" w:themeColor="text1"/>
          <w:sz w:val="20"/>
          <w:szCs w:val="20"/>
          <w:lang w:val="es-ES" w:eastAsia="es-CO"/>
        </w:rPr>
      </w:pPr>
      <w:r w:rsidRPr="00FC6F34">
        <w:rPr>
          <w:rFonts w:ascii="Verdana" w:hAnsi="Verdana" w:cs="Arial"/>
          <w:color w:val="000000" w:themeColor="text1"/>
          <w:sz w:val="20"/>
          <w:szCs w:val="20"/>
          <w:lang w:val="es-ES" w:eastAsia="es-CO"/>
        </w:rPr>
        <w:t>“[…] Las excepciones establecidas en los artículos 32 y 33 en comento, guardan relación, exclusivamente, con algunos servicios públicos que por su naturaleza no admiten postergaciones en la atención de sus necesidades de personal, bienes y servicios [...]</w:t>
      </w:r>
      <w:r w:rsidRPr="00FC6F34">
        <w:rPr>
          <w:rFonts w:ascii="Verdana" w:hAnsi="Verdana" w:cs="Arial"/>
          <w:color w:val="000000" w:themeColor="text1"/>
          <w:sz w:val="20"/>
          <w:szCs w:val="20"/>
          <w:vertAlign w:val="superscript"/>
          <w:lang w:val="es-ES" w:eastAsia="es-CO"/>
        </w:rPr>
        <w:footnoteReference w:id="20"/>
      </w:r>
      <w:r w:rsidRPr="00FC6F34">
        <w:rPr>
          <w:rFonts w:ascii="Verdana" w:hAnsi="Verdana" w:cs="Arial"/>
          <w:color w:val="000000" w:themeColor="text1"/>
          <w:sz w:val="20"/>
          <w:szCs w:val="20"/>
          <w:lang w:val="es-ES" w:eastAsia="es-CO"/>
        </w:rPr>
        <w:t xml:space="preserve">”. </w:t>
      </w:r>
    </w:p>
    <w:p w14:paraId="62A3024D" w14:textId="77777777" w:rsidR="00B070F0" w:rsidRPr="00FC6F34" w:rsidRDefault="00B070F0" w:rsidP="00B070F0">
      <w:pPr>
        <w:tabs>
          <w:tab w:val="left" w:pos="426"/>
        </w:tabs>
        <w:spacing w:before="120" w:after="0" w:line="276" w:lineRule="auto"/>
        <w:ind w:firstLine="709"/>
        <w:jc w:val="both"/>
        <w:rPr>
          <w:rFonts w:ascii="Verdana" w:hAnsi="Verdana" w:cs="Arial"/>
          <w:color w:val="000000" w:themeColor="text1"/>
          <w:lang w:val="es-ES"/>
        </w:rPr>
      </w:pPr>
      <w:r w:rsidRPr="00FC6F34">
        <w:rPr>
          <w:rFonts w:ascii="Verdana" w:hAnsi="Verdana" w:cs="Arial"/>
          <w:bCs/>
          <w:color w:val="000000" w:themeColor="text1"/>
          <w:lang w:val="es-ES"/>
        </w:rPr>
        <w:t>Por tanto, las excepciones a la prohibición contenida en el inciso segundo de artículo 33 de la ley de garantías electorales tienen por finalidad garantizar la realización ininterrumpida de ciertas actividades que, dada su importancia en el orden interno, se verían irrazonablemente afectadas por la restricción. De igual forma, la Sala de Consulta y Servicio Civil del Consejo de Estado, en concepto del 2 de septiembre de 2013</w:t>
      </w:r>
      <w:r w:rsidRPr="00FC6F34">
        <w:rPr>
          <w:rFonts w:ascii="Verdana" w:hAnsi="Verdana" w:cs="Arial"/>
          <w:color w:val="000000" w:themeColor="text1"/>
          <w:lang w:val="es-ES"/>
        </w:rPr>
        <w:t xml:space="preserve">, mencionó las excepciones a la prohibición del artículo 33 de la Ley de Garantías Electorales, resaltando su carácter taxativo, y señalando la independencia de los supuestos, así: </w:t>
      </w:r>
    </w:p>
    <w:p w14:paraId="229C2A07" w14:textId="77777777" w:rsidR="00B070F0" w:rsidRPr="00FC6F34" w:rsidRDefault="00B070F0" w:rsidP="00B070F0">
      <w:pPr>
        <w:tabs>
          <w:tab w:val="left" w:pos="426"/>
        </w:tabs>
        <w:spacing w:after="0" w:line="276" w:lineRule="auto"/>
        <w:ind w:firstLine="709"/>
        <w:jc w:val="both"/>
        <w:rPr>
          <w:rFonts w:ascii="Verdana" w:hAnsi="Verdana" w:cs="Arial"/>
          <w:color w:val="000000" w:themeColor="text1"/>
          <w:lang w:val="es-ES"/>
        </w:rPr>
      </w:pPr>
    </w:p>
    <w:p w14:paraId="5C051127" w14:textId="77777777" w:rsidR="00B070F0" w:rsidRPr="00FC6F34" w:rsidRDefault="00B070F0" w:rsidP="00B070F0">
      <w:pPr>
        <w:tabs>
          <w:tab w:val="left" w:pos="426"/>
        </w:tabs>
        <w:spacing w:after="0"/>
        <w:ind w:right="709"/>
        <w:jc w:val="both"/>
        <w:rPr>
          <w:rFonts w:ascii="Verdana" w:hAnsi="Verdana" w:cs="Arial"/>
          <w:color w:val="000000" w:themeColor="text1"/>
          <w:sz w:val="20"/>
          <w:szCs w:val="20"/>
          <w:lang w:val="es-ES"/>
        </w:rPr>
      </w:pPr>
      <w:r w:rsidRPr="00FC6F34">
        <w:rPr>
          <w:rFonts w:ascii="Arial" w:hAnsi="Arial" w:cs="Arial"/>
          <w:color w:val="000000" w:themeColor="text1"/>
          <w:sz w:val="21"/>
          <w:szCs w:val="21"/>
          <w:lang w:val="es-ES"/>
        </w:rPr>
        <w:tab/>
      </w:r>
      <w:r w:rsidRPr="00FC6F34">
        <w:rPr>
          <w:rFonts w:ascii="Arial" w:hAnsi="Arial" w:cs="Arial"/>
          <w:color w:val="000000" w:themeColor="text1"/>
          <w:sz w:val="21"/>
          <w:szCs w:val="21"/>
          <w:lang w:val="es-ES"/>
        </w:rPr>
        <w:tab/>
        <w:t>“</w:t>
      </w:r>
      <w:r w:rsidRPr="00FC6F34">
        <w:rPr>
          <w:rFonts w:ascii="Verdana" w:hAnsi="Verdana" w:cs="Arial"/>
          <w:color w:val="000000" w:themeColor="text1"/>
          <w:sz w:val="20"/>
          <w:szCs w:val="20"/>
          <w:lang w:val="es-ES"/>
        </w:rPr>
        <w:t xml:space="preserve">[…] </w:t>
      </w:r>
      <w:r w:rsidRPr="00FC6F34">
        <w:rPr>
          <w:rFonts w:ascii="Verdana" w:hAnsi="Verdana" w:cs="Arial"/>
          <w:i/>
          <w:color w:val="000000" w:themeColor="text1"/>
          <w:sz w:val="20"/>
          <w:szCs w:val="20"/>
          <w:lang w:val="es-ES"/>
        </w:rPr>
        <w:t>Las excepciones aplicables a la restricción de contratación pública</w:t>
      </w:r>
    </w:p>
    <w:p w14:paraId="496FF15D" w14:textId="77777777" w:rsidR="00B070F0" w:rsidRPr="00FC6F34" w:rsidRDefault="00B070F0" w:rsidP="00B070F0">
      <w:pPr>
        <w:spacing w:after="0"/>
        <w:ind w:left="709" w:right="709"/>
        <w:jc w:val="both"/>
        <w:rPr>
          <w:rFonts w:ascii="Verdana" w:hAnsi="Verdana" w:cs="Arial"/>
          <w:color w:val="000000" w:themeColor="text1"/>
          <w:sz w:val="20"/>
          <w:szCs w:val="20"/>
          <w:shd w:val="clear" w:color="auto" w:fill="FFFFFF"/>
          <w:lang w:val="es-ES"/>
        </w:rPr>
      </w:pPr>
      <w:r w:rsidRPr="00FC6F34">
        <w:rPr>
          <w:rFonts w:ascii="Verdana" w:hAnsi="Verdana" w:cs="Arial"/>
          <w:color w:val="000000" w:themeColor="text1"/>
          <w:sz w:val="20"/>
          <w:szCs w:val="20"/>
          <w:shd w:val="clear" w:color="auto" w:fill="FFFFFF"/>
          <w:lang w:val="es-ES"/>
        </w:rPr>
        <w:lastRenderedPageBreak/>
        <w:t>Ahora bien, las únicas excepciones a las disposiciones previstas en la Ley de Garantías se encuentran numeradas taxativamente en el último inciso del artículo 33 de la ley 996 de 2005[…]</w:t>
      </w:r>
      <w:r w:rsidRPr="00FC6F34">
        <w:rPr>
          <w:rFonts w:ascii="Verdana" w:hAnsi="Verdana" w:cs="Arial"/>
          <w:color w:val="000000" w:themeColor="text1"/>
          <w:sz w:val="20"/>
          <w:szCs w:val="20"/>
          <w:shd w:val="clear" w:color="auto" w:fill="FFFFFF"/>
          <w:vertAlign w:val="superscript"/>
          <w:lang w:val="es-ES"/>
        </w:rPr>
        <w:footnoteReference w:id="21"/>
      </w:r>
      <w:r w:rsidRPr="00FC6F34">
        <w:rPr>
          <w:rFonts w:ascii="Verdana" w:hAnsi="Verdana" w:cs="Arial"/>
          <w:color w:val="000000" w:themeColor="text1"/>
          <w:sz w:val="20"/>
          <w:szCs w:val="20"/>
          <w:shd w:val="clear" w:color="auto" w:fill="FFFFFF"/>
          <w:lang w:val="es-ES"/>
        </w:rPr>
        <w:t>.</w:t>
      </w:r>
    </w:p>
    <w:p w14:paraId="668B61B6" w14:textId="77777777" w:rsidR="00B070F0" w:rsidRPr="00FC6F34" w:rsidRDefault="00B070F0" w:rsidP="00B070F0">
      <w:pPr>
        <w:spacing w:after="0"/>
        <w:ind w:left="709" w:right="709"/>
        <w:jc w:val="both"/>
        <w:rPr>
          <w:rFonts w:ascii="Verdana" w:hAnsi="Verdana" w:cs="Arial"/>
          <w:color w:val="000000" w:themeColor="text1"/>
          <w:sz w:val="20"/>
          <w:szCs w:val="20"/>
          <w:shd w:val="clear" w:color="auto" w:fill="FFFFFF"/>
          <w:lang w:val="es-ES"/>
        </w:rPr>
      </w:pPr>
    </w:p>
    <w:p w14:paraId="0C3076A9" w14:textId="77777777" w:rsidR="00B070F0" w:rsidRDefault="00B070F0" w:rsidP="00B070F0">
      <w:pPr>
        <w:tabs>
          <w:tab w:val="left" w:pos="426"/>
        </w:tabs>
        <w:spacing w:after="0" w:line="276" w:lineRule="auto"/>
        <w:ind w:firstLine="709"/>
        <w:jc w:val="both"/>
        <w:rPr>
          <w:rFonts w:ascii="Verdana" w:hAnsi="Verdana" w:cs="Arial"/>
          <w:bCs/>
          <w:color w:val="000000" w:themeColor="text1"/>
          <w:lang w:val="es-ES"/>
        </w:rPr>
      </w:pPr>
      <w:r w:rsidRPr="00FC6F34">
        <w:rPr>
          <w:rFonts w:ascii="Verdana" w:hAnsi="Verdana" w:cs="Arial"/>
          <w:bCs/>
          <w:color w:val="000000" w:themeColor="text1"/>
          <w:lang w:val="es-ES"/>
        </w:rPr>
        <w:t>Lo anterior implica que las excepciones al artículo 33 en comento deben interpretarse y aplicarse de manera estricta. En otras palabras, no es factible hacer interpretaciones extensivas</w:t>
      </w:r>
      <w:r w:rsidRPr="00FC6F34">
        <w:rPr>
          <w:rFonts w:ascii="Verdana" w:hAnsi="Verdana" w:cs="Arial"/>
          <w:bCs/>
          <w:i/>
          <w:iCs/>
          <w:color w:val="000000" w:themeColor="text1"/>
          <w:lang w:val="es-ES"/>
        </w:rPr>
        <w:t xml:space="preserve"> </w:t>
      </w:r>
      <w:r w:rsidRPr="00FC6F34">
        <w:rPr>
          <w:rFonts w:ascii="Verdana" w:hAnsi="Verdana" w:cs="Arial"/>
          <w:bCs/>
          <w:color w:val="000000" w:themeColor="text1"/>
          <w:lang w:val="es-ES"/>
        </w:rPr>
        <w:t xml:space="preserve">para incluir otros supuestos de hecho similares a las circunstancias previstas en dicho artículo, pues el carácter taxativo implica que solo en los eventos consagrados expresamente en la norma permiten que ciertas entidades estatales se vean exceptuadas de la prohibición. </w:t>
      </w:r>
      <w:r>
        <w:rPr>
          <w:rFonts w:ascii="Verdana" w:hAnsi="Verdana" w:cs="Arial"/>
          <w:bCs/>
          <w:color w:val="000000" w:themeColor="text1"/>
          <w:lang w:val="es-ES"/>
        </w:rPr>
        <w:t xml:space="preserve">Corresponderá a cada entidad analizar y justificar en cada caso concreto si se configura alguna de las excepciones referidas. Cuando esto ocurra, podrá adelantar el proceso de contratación aunque se encuentre en curso el periodo de la prohibición. </w:t>
      </w:r>
    </w:p>
    <w:p w14:paraId="3A44E851" w14:textId="77777777" w:rsidR="00B070F0" w:rsidRPr="00FC6F34" w:rsidRDefault="00B070F0" w:rsidP="00B070F0">
      <w:pPr>
        <w:tabs>
          <w:tab w:val="left" w:pos="426"/>
        </w:tabs>
        <w:spacing w:after="0" w:line="276" w:lineRule="auto"/>
        <w:ind w:firstLine="709"/>
        <w:jc w:val="both"/>
        <w:rPr>
          <w:rFonts w:ascii="Verdana" w:hAnsi="Verdana" w:cs="Arial"/>
          <w:bCs/>
          <w:color w:val="000000" w:themeColor="text1"/>
          <w:lang w:val="es-ES"/>
        </w:rPr>
      </w:pPr>
    </w:p>
    <w:p w14:paraId="00914ABD" w14:textId="77777777" w:rsidR="00B070F0" w:rsidRDefault="00B070F0" w:rsidP="00B070F0">
      <w:pPr>
        <w:spacing w:after="0" w:line="276" w:lineRule="auto"/>
        <w:jc w:val="both"/>
        <w:rPr>
          <w:rFonts w:ascii="Verdana" w:eastAsia="Times New Roman" w:hAnsi="Verdana" w:cs="Arial"/>
          <w:lang w:val="es-MX" w:eastAsia="x-none"/>
        </w:rPr>
      </w:pPr>
      <w:r>
        <w:rPr>
          <w:rFonts w:ascii="Verdana" w:eastAsia="Arial" w:hAnsi="Verdana" w:cs="Arial"/>
          <w:bCs/>
          <w:color w:val="000000" w:themeColor="text1"/>
          <w:lang w:val="es-ES"/>
        </w:rPr>
        <w:t xml:space="preserve">vi) Con respecto a los contratos que celebrados con organismos internacionales o aquellos de banca multilateral, </w:t>
      </w:r>
      <w:r>
        <w:rPr>
          <w:rFonts w:ascii="Verdana" w:eastAsia="Times New Roman" w:hAnsi="Verdana" w:cs="Arial"/>
          <w:lang w:val="es-MX" w:eastAsia="x-none"/>
        </w:rPr>
        <w:t>e</w:t>
      </w:r>
      <w:r w:rsidRPr="00B73308">
        <w:rPr>
          <w:rFonts w:ascii="Verdana" w:eastAsia="Times New Roman" w:hAnsi="Verdana" w:cs="Arial"/>
          <w:lang w:val="es-MX" w:eastAsia="x-none"/>
        </w:rPr>
        <w:t xml:space="preserve">l </w:t>
      </w:r>
      <w:r w:rsidRPr="00DF1455">
        <w:rPr>
          <w:rFonts w:ascii="Verdana" w:eastAsia="Times New Roman" w:hAnsi="Verdana" w:cs="Arial"/>
          <w:i/>
          <w:iCs/>
          <w:lang w:val="es-MX" w:eastAsia="x-none"/>
        </w:rPr>
        <w:t>inciso primero</w:t>
      </w:r>
      <w:r w:rsidRPr="00B73308">
        <w:rPr>
          <w:rFonts w:ascii="Verdana" w:eastAsia="Times New Roman" w:hAnsi="Verdana" w:cs="Arial"/>
          <w:lang w:val="es-MX" w:eastAsia="x-none"/>
        </w:rPr>
        <w:t xml:space="preserve"> del artículo 20 de la Ley 1150 de 2007 establece que</w:t>
      </w:r>
      <w:r>
        <w:rPr>
          <w:rFonts w:ascii="Verdana" w:eastAsia="Times New Roman" w:hAnsi="Verdana" w:cs="Arial"/>
          <w:lang w:val="es-MX" w:eastAsia="x-none"/>
        </w:rPr>
        <w:t>:</w:t>
      </w:r>
    </w:p>
    <w:p w14:paraId="60ECE9EF" w14:textId="77777777" w:rsidR="00B070F0" w:rsidRDefault="00B070F0" w:rsidP="00B070F0">
      <w:pPr>
        <w:spacing w:after="0" w:line="276" w:lineRule="auto"/>
        <w:jc w:val="both"/>
        <w:rPr>
          <w:rFonts w:ascii="Verdana" w:eastAsia="Times New Roman" w:hAnsi="Verdana" w:cs="Arial"/>
          <w:lang w:val="es-MX" w:eastAsia="x-none"/>
        </w:rPr>
      </w:pPr>
    </w:p>
    <w:p w14:paraId="7BD75548" w14:textId="77777777" w:rsidR="00B070F0" w:rsidRPr="00F66EEE" w:rsidRDefault="00B070F0" w:rsidP="00B070F0">
      <w:pPr>
        <w:spacing w:after="240" w:line="240" w:lineRule="auto"/>
        <w:ind w:left="709" w:right="709"/>
        <w:jc w:val="both"/>
        <w:rPr>
          <w:rFonts w:ascii="Verdana" w:eastAsia="Times New Roman" w:hAnsi="Verdana" w:cs="Arial"/>
          <w:sz w:val="21"/>
          <w:szCs w:val="21"/>
          <w:lang w:eastAsia="x-none"/>
        </w:rPr>
      </w:pPr>
      <w:r>
        <w:rPr>
          <w:rFonts w:ascii="Verdana" w:eastAsia="Times New Roman" w:hAnsi="Verdana" w:cs="Arial"/>
          <w:sz w:val="21"/>
          <w:szCs w:val="21"/>
          <w:lang w:eastAsia="x-none"/>
        </w:rPr>
        <w:t>“</w:t>
      </w:r>
      <w:r w:rsidRPr="00F66EEE">
        <w:rPr>
          <w:rFonts w:ascii="Verdana" w:eastAsia="Times New Roman" w:hAnsi="Verdana" w:cs="Arial"/>
          <w:sz w:val="21"/>
          <w:szCs w:val="21"/>
          <w:lang w:eastAsia="x-none"/>
        </w:rPr>
        <w:t>Los contratos o convenios financiados en su totalidad o en sumas iguales o superiores al cincuenta por ciento (50%) con fondos de los organismos de cooperación, asistencia o ayudas internacionales, podrán someterse a los reglamentos de tales entidades. En caso contrario, se someterán a los procedimientos establecidos en la Ley 80 de 1993. Los recursos de contrapartida vinculados a estas operaciones podrán tener el mismo tratamiento</w:t>
      </w:r>
      <w:r>
        <w:rPr>
          <w:rFonts w:ascii="Verdana" w:eastAsia="Times New Roman" w:hAnsi="Verdana" w:cs="Arial"/>
          <w:sz w:val="21"/>
          <w:szCs w:val="21"/>
          <w:lang w:eastAsia="x-none"/>
        </w:rPr>
        <w:t>”</w:t>
      </w:r>
      <w:r w:rsidRPr="00F66EEE">
        <w:rPr>
          <w:rFonts w:ascii="Verdana" w:eastAsia="Times New Roman" w:hAnsi="Verdana" w:cs="Arial"/>
          <w:sz w:val="21"/>
          <w:szCs w:val="21"/>
          <w:lang w:eastAsia="x-none"/>
        </w:rPr>
        <w:t>.</w:t>
      </w:r>
    </w:p>
    <w:p w14:paraId="0EEFA033" w14:textId="77777777" w:rsidR="00B070F0" w:rsidRDefault="00B070F0" w:rsidP="00B070F0">
      <w:pPr>
        <w:spacing w:after="120" w:line="276" w:lineRule="auto"/>
        <w:ind w:firstLine="694"/>
        <w:jc w:val="both"/>
        <w:rPr>
          <w:rFonts w:ascii="Verdana" w:eastAsia="Times New Roman" w:hAnsi="Verdana" w:cs="Arial"/>
          <w:lang w:val="es-MX" w:eastAsia="x-none"/>
        </w:rPr>
      </w:pPr>
      <w:r>
        <w:rPr>
          <w:rFonts w:ascii="Verdana" w:eastAsia="Times New Roman" w:hAnsi="Verdana" w:cs="Arial"/>
          <w:lang w:val="es-MX" w:eastAsia="x-none"/>
        </w:rPr>
        <w:t xml:space="preserve">En virtud de esta norma, </w:t>
      </w:r>
      <w:r w:rsidRPr="00B73308">
        <w:rPr>
          <w:rFonts w:ascii="Verdana" w:eastAsia="Times New Roman" w:hAnsi="Verdana" w:cs="Arial"/>
          <w:lang w:val="es-MX" w:eastAsia="x-none"/>
        </w:rPr>
        <w:t xml:space="preserve">siempre que </w:t>
      </w:r>
      <w:r>
        <w:rPr>
          <w:rFonts w:ascii="Verdana" w:eastAsia="Times New Roman" w:hAnsi="Verdana" w:cs="Arial"/>
          <w:lang w:val="es-MX" w:eastAsia="x-none"/>
        </w:rPr>
        <w:t xml:space="preserve">los </w:t>
      </w:r>
      <w:r w:rsidRPr="00B73308">
        <w:rPr>
          <w:rFonts w:ascii="Verdana" w:eastAsia="Times New Roman" w:hAnsi="Verdana" w:cs="Arial"/>
          <w:lang w:val="es-MX" w:eastAsia="x-none"/>
        </w:rPr>
        <w:t xml:space="preserve">contratos </w:t>
      </w:r>
      <w:r>
        <w:rPr>
          <w:rFonts w:ascii="Verdana" w:eastAsia="Times New Roman" w:hAnsi="Verdana" w:cs="Arial"/>
          <w:lang w:val="es-MX" w:eastAsia="x-none"/>
        </w:rPr>
        <w:t xml:space="preserve">o convenios </w:t>
      </w:r>
      <w:r w:rsidRPr="00B73308">
        <w:rPr>
          <w:rFonts w:ascii="Verdana" w:eastAsia="Times New Roman" w:hAnsi="Verdana" w:cs="Arial"/>
          <w:lang w:val="es-MX" w:eastAsia="x-none"/>
        </w:rPr>
        <w:t>se financi</w:t>
      </w:r>
      <w:r>
        <w:rPr>
          <w:rFonts w:ascii="Verdana" w:eastAsia="Times New Roman" w:hAnsi="Verdana" w:cs="Arial"/>
          <w:lang w:val="es-MX" w:eastAsia="x-none"/>
        </w:rPr>
        <w:t>e</w:t>
      </w:r>
      <w:r w:rsidRPr="00B73308">
        <w:rPr>
          <w:rFonts w:ascii="Verdana" w:eastAsia="Times New Roman" w:hAnsi="Verdana" w:cs="Arial"/>
          <w:lang w:val="es-MX" w:eastAsia="x-none"/>
        </w:rPr>
        <w:t xml:space="preserve">n en su totalidad o en sumas iguales o superiores al cincuenta por ciento con fondos de </w:t>
      </w:r>
      <w:r>
        <w:rPr>
          <w:rFonts w:ascii="Verdana" w:eastAsia="Times New Roman" w:hAnsi="Verdana" w:cs="Arial"/>
          <w:lang w:val="es-MX" w:eastAsia="x-none"/>
        </w:rPr>
        <w:t>dichos</w:t>
      </w:r>
      <w:r w:rsidRPr="00B73308">
        <w:rPr>
          <w:rFonts w:ascii="Verdana" w:eastAsia="Times New Roman" w:hAnsi="Verdana" w:cs="Arial"/>
          <w:lang w:val="es-MX" w:eastAsia="x-none"/>
        </w:rPr>
        <w:t xml:space="preserve"> organismos, </w:t>
      </w:r>
      <w:r w:rsidRPr="00DF1455">
        <w:rPr>
          <w:rFonts w:ascii="Verdana" w:eastAsia="Times New Roman" w:hAnsi="Verdana" w:cs="Arial"/>
          <w:i/>
          <w:iCs/>
          <w:lang w:val="es-MX" w:eastAsia="x-none"/>
        </w:rPr>
        <w:t>pueden</w:t>
      </w:r>
      <w:r w:rsidRPr="00B73308">
        <w:rPr>
          <w:rFonts w:ascii="Verdana" w:eastAsia="Times New Roman" w:hAnsi="Verdana" w:cs="Arial"/>
          <w:lang w:val="es-MX" w:eastAsia="x-none"/>
        </w:rPr>
        <w:t xml:space="preserve"> someterse a</w:t>
      </w:r>
      <w:r>
        <w:rPr>
          <w:rFonts w:ascii="Verdana" w:eastAsia="Times New Roman" w:hAnsi="Verdana" w:cs="Arial"/>
          <w:lang w:val="es-MX" w:eastAsia="x-none"/>
        </w:rPr>
        <w:t xml:space="preserve"> sus reglamentos</w:t>
      </w:r>
      <w:r w:rsidRPr="00B73308">
        <w:rPr>
          <w:rFonts w:ascii="Verdana" w:eastAsia="Times New Roman" w:hAnsi="Verdana" w:cs="Arial"/>
          <w:lang w:val="es-MX" w:eastAsia="x-none"/>
        </w:rPr>
        <w:t>.</w:t>
      </w:r>
      <w:r>
        <w:rPr>
          <w:rFonts w:ascii="Verdana" w:eastAsia="Times New Roman" w:hAnsi="Verdana" w:cs="Arial"/>
          <w:lang w:val="es-MX" w:eastAsia="x-none"/>
        </w:rPr>
        <w:t xml:space="preserve"> Por el contrario</w:t>
      </w:r>
      <w:r w:rsidRPr="00B73308">
        <w:rPr>
          <w:rFonts w:ascii="Verdana" w:eastAsia="Times New Roman" w:hAnsi="Verdana" w:cs="Arial"/>
          <w:lang w:val="es-MX" w:eastAsia="x-none"/>
        </w:rPr>
        <w:t>,</w:t>
      </w:r>
      <w:r>
        <w:rPr>
          <w:rFonts w:ascii="Verdana" w:eastAsia="Times New Roman" w:hAnsi="Verdana" w:cs="Arial"/>
          <w:lang w:val="es-MX" w:eastAsia="x-none"/>
        </w:rPr>
        <w:t xml:space="preserve"> </w:t>
      </w:r>
      <w:r w:rsidRPr="00B73308">
        <w:rPr>
          <w:rFonts w:ascii="Verdana" w:eastAsia="Times New Roman" w:hAnsi="Verdana" w:cs="Arial"/>
          <w:lang w:val="es-MX" w:eastAsia="x-none"/>
        </w:rPr>
        <w:t xml:space="preserve">cuando se trate de contratos que se financian con recursos del presupuesto general de la nación, </w:t>
      </w:r>
      <w:r>
        <w:rPr>
          <w:rFonts w:ascii="Verdana" w:eastAsia="Times New Roman" w:hAnsi="Verdana" w:cs="Arial"/>
          <w:lang w:val="es-MX" w:eastAsia="x-none"/>
        </w:rPr>
        <w:t xml:space="preserve">las entidades </w:t>
      </w:r>
      <w:r w:rsidRPr="00F66EEE">
        <w:rPr>
          <w:rFonts w:ascii="Verdana" w:eastAsia="Times New Roman" w:hAnsi="Verdana" w:cs="Arial"/>
          <w:i/>
          <w:iCs/>
          <w:lang w:val="es-MX" w:eastAsia="x-none"/>
        </w:rPr>
        <w:t>deberán</w:t>
      </w:r>
      <w:r>
        <w:rPr>
          <w:rFonts w:ascii="Verdana" w:eastAsia="Times New Roman" w:hAnsi="Verdana" w:cs="Arial"/>
          <w:lang w:val="es-MX" w:eastAsia="x-none"/>
        </w:rPr>
        <w:t xml:space="preserve"> necesariamente </w:t>
      </w:r>
      <w:r w:rsidRPr="00B73308">
        <w:rPr>
          <w:rFonts w:ascii="Verdana" w:eastAsia="Times New Roman" w:hAnsi="Verdana" w:cs="Arial"/>
          <w:lang w:val="es-MX" w:eastAsia="x-none"/>
        </w:rPr>
        <w:t>aplicar el Estatuto General de Contratación</w:t>
      </w:r>
      <w:r>
        <w:rPr>
          <w:rFonts w:ascii="Verdana" w:eastAsia="Times New Roman" w:hAnsi="Verdana" w:cs="Arial"/>
          <w:lang w:val="es-MX" w:eastAsia="x-none"/>
        </w:rPr>
        <w:t xml:space="preserve"> de la Administración</w:t>
      </w:r>
      <w:r w:rsidRPr="00B73308">
        <w:rPr>
          <w:rFonts w:ascii="Verdana" w:eastAsia="Times New Roman" w:hAnsi="Verdana" w:cs="Arial"/>
          <w:lang w:val="es-MX" w:eastAsia="x-none"/>
        </w:rPr>
        <w:t xml:space="preserve"> Pública.</w:t>
      </w:r>
    </w:p>
    <w:p w14:paraId="19E16D84" w14:textId="77777777" w:rsidR="00B070F0" w:rsidRDefault="00B070F0" w:rsidP="00B070F0">
      <w:pPr>
        <w:spacing w:before="120" w:after="0" w:line="276" w:lineRule="auto"/>
        <w:ind w:firstLine="694"/>
        <w:jc w:val="both"/>
        <w:rPr>
          <w:rFonts w:ascii="Verdana" w:eastAsia="Times New Roman" w:hAnsi="Verdana" w:cs="Arial"/>
          <w:lang w:val="es-MX"/>
        </w:rPr>
      </w:pPr>
      <w:r w:rsidRPr="44B3FB22">
        <w:rPr>
          <w:rFonts w:ascii="Verdana" w:eastAsia="Times New Roman" w:hAnsi="Verdana" w:cs="Arial"/>
          <w:lang w:val="es-MX"/>
        </w:rPr>
        <w:t>En</w:t>
      </w:r>
      <w:r>
        <w:rPr>
          <w:rFonts w:ascii="Verdana" w:eastAsia="Times New Roman" w:hAnsi="Verdana" w:cs="Arial"/>
          <w:lang w:val="es-MX"/>
        </w:rPr>
        <w:t xml:space="preserve"> consecuencia</w:t>
      </w:r>
      <w:r w:rsidRPr="44B3FB22">
        <w:rPr>
          <w:rFonts w:ascii="Verdana" w:eastAsia="Times New Roman" w:hAnsi="Verdana" w:cs="Arial"/>
          <w:lang w:val="es-MX"/>
        </w:rPr>
        <w:t>, la restricción contemplada en el artículo 33</w:t>
      </w:r>
      <w:r>
        <w:rPr>
          <w:rFonts w:ascii="Verdana" w:eastAsia="Times New Roman" w:hAnsi="Verdana" w:cs="Arial"/>
          <w:lang w:val="es-MX"/>
        </w:rPr>
        <w:t xml:space="preserve"> de la Ley de Garantías Electorales</w:t>
      </w:r>
      <w:r w:rsidRPr="44B3FB22">
        <w:rPr>
          <w:rFonts w:ascii="Verdana" w:eastAsia="Times New Roman" w:hAnsi="Verdana" w:cs="Arial"/>
          <w:lang w:val="es-MX"/>
        </w:rPr>
        <w:t xml:space="preserve"> </w:t>
      </w:r>
      <w:r w:rsidRPr="00664867">
        <w:rPr>
          <w:rFonts w:ascii="Verdana" w:eastAsia="Times New Roman" w:hAnsi="Verdana" w:cs="Arial"/>
          <w:i/>
          <w:iCs/>
          <w:u w:val="single"/>
          <w:lang w:val="es-MX"/>
        </w:rPr>
        <w:t>no</w:t>
      </w:r>
      <w:r w:rsidRPr="44B3FB22">
        <w:rPr>
          <w:rFonts w:ascii="Verdana" w:eastAsia="Times New Roman" w:hAnsi="Verdana" w:cs="Arial"/>
          <w:lang w:val="es-MX"/>
        </w:rPr>
        <w:t xml:space="preserve"> aplica a los contratos </w:t>
      </w:r>
      <w:r>
        <w:rPr>
          <w:rFonts w:ascii="Verdana" w:eastAsia="Times New Roman" w:hAnsi="Verdana" w:cs="Arial"/>
          <w:lang w:val="es-MX"/>
        </w:rPr>
        <w:t xml:space="preserve">o convenios </w:t>
      </w:r>
      <w:r w:rsidRPr="44B3FB22">
        <w:rPr>
          <w:rFonts w:ascii="Verdana" w:eastAsia="Times New Roman" w:hAnsi="Verdana" w:cs="Arial"/>
          <w:lang w:val="es-MX"/>
        </w:rPr>
        <w:t xml:space="preserve">que son financiados en su totalidad o en sumas iguales o superiores al cincuenta por ciento con </w:t>
      </w:r>
      <w:r w:rsidRPr="44B3FB22">
        <w:rPr>
          <w:rFonts w:ascii="Verdana" w:eastAsia="Times New Roman" w:hAnsi="Verdana" w:cs="Arial"/>
          <w:lang w:val="es-MX"/>
        </w:rPr>
        <w:lastRenderedPageBreak/>
        <w:t xml:space="preserve">fondos de organismos de cooperación, asistencia o ayudas internacionales, </w:t>
      </w:r>
      <w:r>
        <w:rPr>
          <w:rFonts w:ascii="Verdana" w:eastAsia="Times New Roman" w:hAnsi="Verdana" w:cs="Arial"/>
          <w:lang w:val="es-MX"/>
        </w:rPr>
        <w:t xml:space="preserve">cuando las partes acuerden que se someterán al </w:t>
      </w:r>
      <w:r w:rsidRPr="44B3FB22">
        <w:rPr>
          <w:rFonts w:ascii="Verdana" w:eastAsia="Times New Roman" w:hAnsi="Verdana" w:cs="Arial"/>
          <w:lang w:val="es-MX"/>
        </w:rPr>
        <w:t>régimen dispuesto en los reglamentos de tales organismos. Lo anterior, por cuanto en estos casos el artículo 20 de la Ley 1150 de 2007 autoriza</w:t>
      </w:r>
      <w:r>
        <w:rPr>
          <w:rFonts w:ascii="Verdana" w:eastAsia="Times New Roman" w:hAnsi="Verdana" w:cs="Arial"/>
          <w:lang w:val="es-MX"/>
        </w:rPr>
        <w:t xml:space="preserve"> la</w:t>
      </w:r>
      <w:r w:rsidRPr="44B3FB22">
        <w:rPr>
          <w:rFonts w:ascii="Verdana" w:eastAsia="Times New Roman" w:hAnsi="Verdana" w:cs="Arial"/>
          <w:lang w:val="es-MX"/>
        </w:rPr>
        <w:t xml:space="preserve"> aplica</w:t>
      </w:r>
      <w:r>
        <w:rPr>
          <w:rFonts w:ascii="Verdana" w:eastAsia="Times New Roman" w:hAnsi="Verdana" w:cs="Arial"/>
          <w:lang w:val="es-MX"/>
        </w:rPr>
        <w:t>ción</w:t>
      </w:r>
      <w:r w:rsidRPr="44B3FB22">
        <w:rPr>
          <w:rFonts w:ascii="Verdana" w:eastAsia="Times New Roman" w:hAnsi="Verdana" w:cs="Arial"/>
          <w:lang w:val="es-MX"/>
        </w:rPr>
        <w:t xml:space="preserve"> “integral” </w:t>
      </w:r>
      <w:r>
        <w:rPr>
          <w:rFonts w:ascii="Verdana" w:eastAsia="Times New Roman" w:hAnsi="Verdana" w:cs="Arial"/>
          <w:lang w:val="es-MX"/>
        </w:rPr>
        <w:t xml:space="preserve"> de </w:t>
      </w:r>
      <w:r w:rsidRPr="44B3FB22">
        <w:rPr>
          <w:rFonts w:ascii="Verdana" w:eastAsia="Times New Roman" w:hAnsi="Verdana" w:cs="Arial"/>
          <w:lang w:val="es-MX"/>
        </w:rPr>
        <w:t>l</w:t>
      </w:r>
      <w:r>
        <w:rPr>
          <w:rFonts w:ascii="Verdana" w:eastAsia="Times New Roman" w:hAnsi="Verdana" w:cs="Arial"/>
          <w:lang w:val="es-MX"/>
        </w:rPr>
        <w:t>os</w:t>
      </w:r>
      <w:r w:rsidRPr="44B3FB22">
        <w:rPr>
          <w:rFonts w:ascii="Verdana" w:eastAsia="Times New Roman" w:hAnsi="Verdana" w:cs="Arial"/>
          <w:lang w:val="es-MX"/>
        </w:rPr>
        <w:t xml:space="preserve"> reglamento</w:t>
      </w:r>
      <w:r>
        <w:rPr>
          <w:rFonts w:ascii="Verdana" w:eastAsia="Times New Roman" w:hAnsi="Verdana" w:cs="Arial"/>
          <w:lang w:val="es-MX"/>
        </w:rPr>
        <w:t>s</w:t>
      </w:r>
      <w:r w:rsidRPr="44B3FB22">
        <w:rPr>
          <w:rFonts w:ascii="Verdana" w:eastAsia="Times New Roman" w:hAnsi="Verdana" w:cs="Arial"/>
          <w:lang w:val="es-MX"/>
        </w:rPr>
        <w:t xml:space="preserve"> de dichos organismos</w:t>
      </w:r>
      <w:r w:rsidRPr="44B3FB22">
        <w:rPr>
          <w:rStyle w:val="FootnoteReference"/>
          <w:rFonts w:ascii="Verdana" w:eastAsia="Times New Roman" w:hAnsi="Verdana" w:cs="Arial"/>
          <w:lang w:val="es-MX"/>
        </w:rPr>
        <w:footnoteReference w:id="22"/>
      </w:r>
      <w:r w:rsidRPr="44B3FB22">
        <w:rPr>
          <w:rFonts w:ascii="Verdana" w:eastAsia="Times New Roman" w:hAnsi="Verdana" w:cs="Arial"/>
          <w:lang w:val="es-MX"/>
        </w:rPr>
        <w:t>.</w:t>
      </w:r>
      <w:bookmarkStart w:id="3" w:name="2.2.1.2.4.4.1"/>
      <w:bookmarkEnd w:id="3"/>
      <w:r>
        <w:rPr>
          <w:rFonts w:ascii="Verdana" w:eastAsia="Times New Roman" w:hAnsi="Verdana" w:cs="Arial"/>
          <w:lang w:val="es-MX"/>
        </w:rPr>
        <w:t xml:space="preserve"> Sin embargo, si optan por someter el convenio o contrato al EGCAP, la contratación estará sujeta a las prohibiciones establecidas en la Ley de Garantías Electorales.</w:t>
      </w:r>
    </w:p>
    <w:p w14:paraId="78332223" w14:textId="77777777" w:rsidR="00B070F0" w:rsidRDefault="00B070F0" w:rsidP="00B070F0">
      <w:pPr>
        <w:spacing w:before="120" w:after="0" w:line="276" w:lineRule="auto"/>
        <w:ind w:firstLine="694"/>
        <w:jc w:val="both"/>
        <w:rPr>
          <w:rFonts w:ascii="Verdana" w:eastAsia="Times New Roman" w:hAnsi="Verdana" w:cs="Arial"/>
          <w:lang w:val="es-MX" w:eastAsia="x-none"/>
        </w:rPr>
      </w:pPr>
      <w:r>
        <w:rPr>
          <w:rFonts w:ascii="Verdana" w:eastAsia="Times New Roman" w:hAnsi="Verdana" w:cs="Arial"/>
          <w:lang w:val="es-MX"/>
        </w:rPr>
        <w:t xml:space="preserve">Por otra parte, </w:t>
      </w:r>
      <w:r>
        <w:rPr>
          <w:rFonts w:ascii="Verdana" w:eastAsia="Calibri" w:hAnsi="Verdana" w:cs="Arial"/>
          <w:lang w:val="es-ES"/>
        </w:rPr>
        <w:t>e</w:t>
      </w:r>
      <w:r w:rsidRPr="00750B7D">
        <w:rPr>
          <w:rFonts w:ascii="Verdana" w:eastAsia="Calibri" w:hAnsi="Verdana" w:cs="Arial"/>
          <w:lang w:val="es-ES"/>
        </w:rPr>
        <w:t xml:space="preserve">l </w:t>
      </w:r>
      <w:r w:rsidRPr="00DF1455">
        <w:rPr>
          <w:rFonts w:ascii="Verdana" w:eastAsia="Calibri" w:hAnsi="Verdana" w:cs="Arial"/>
          <w:i/>
          <w:iCs/>
          <w:lang w:val="es-ES"/>
        </w:rPr>
        <w:t>inciso segundo</w:t>
      </w:r>
      <w:r w:rsidRPr="00750B7D">
        <w:rPr>
          <w:rFonts w:ascii="Verdana" w:eastAsia="Calibri" w:hAnsi="Verdana" w:cs="Arial"/>
          <w:lang w:val="es-ES"/>
        </w:rPr>
        <w:t xml:space="preserve"> </w:t>
      </w:r>
      <w:r>
        <w:rPr>
          <w:rFonts w:ascii="Verdana" w:eastAsia="Calibri" w:hAnsi="Verdana" w:cs="Arial"/>
          <w:lang w:val="es-ES"/>
        </w:rPr>
        <w:t xml:space="preserve">y el parágrafo primero </w:t>
      </w:r>
      <w:r w:rsidRPr="00750B7D">
        <w:rPr>
          <w:rFonts w:ascii="Verdana" w:eastAsia="Times New Roman" w:hAnsi="Verdana" w:cs="Arial"/>
          <w:lang w:val="es-MX" w:eastAsia="x-none"/>
        </w:rPr>
        <w:t>del artículo 20 de la Ley 1150 de 2007 señala</w:t>
      </w:r>
      <w:r>
        <w:rPr>
          <w:rFonts w:ascii="Verdana" w:eastAsia="Times New Roman" w:hAnsi="Verdana" w:cs="Arial"/>
          <w:lang w:val="es-MX" w:eastAsia="x-none"/>
        </w:rPr>
        <w:t>n</w:t>
      </w:r>
      <w:r w:rsidRPr="00750B7D">
        <w:rPr>
          <w:rFonts w:ascii="Verdana" w:eastAsia="Times New Roman" w:hAnsi="Verdana" w:cs="Arial"/>
          <w:lang w:val="es-MX" w:eastAsia="x-none"/>
        </w:rPr>
        <w:t xml:space="preserve"> </w:t>
      </w:r>
      <w:r>
        <w:rPr>
          <w:rFonts w:ascii="Verdana" w:eastAsia="Times New Roman" w:hAnsi="Verdana" w:cs="Arial"/>
          <w:lang w:val="es-MX" w:eastAsia="x-none"/>
        </w:rPr>
        <w:t>lo siguiente:</w:t>
      </w:r>
    </w:p>
    <w:p w14:paraId="5CB199F7" w14:textId="77777777" w:rsidR="00B070F0" w:rsidRDefault="00B070F0" w:rsidP="00B070F0">
      <w:pPr>
        <w:spacing w:after="0" w:line="276" w:lineRule="auto"/>
        <w:ind w:firstLine="694"/>
        <w:jc w:val="both"/>
        <w:rPr>
          <w:rFonts w:ascii="Verdana" w:eastAsia="Times New Roman" w:hAnsi="Verdana" w:cs="Arial"/>
          <w:lang w:val="es-MX" w:eastAsia="x-none"/>
        </w:rPr>
      </w:pPr>
    </w:p>
    <w:p w14:paraId="246C7F4F" w14:textId="77777777" w:rsidR="00B070F0" w:rsidRDefault="00B070F0" w:rsidP="00B070F0">
      <w:pPr>
        <w:spacing w:after="0" w:line="240" w:lineRule="auto"/>
        <w:ind w:left="709" w:right="709"/>
        <w:jc w:val="both"/>
        <w:rPr>
          <w:rFonts w:ascii="Verdana" w:eastAsia="Times New Roman" w:hAnsi="Verdana" w:cs="Arial"/>
          <w:sz w:val="21"/>
          <w:szCs w:val="21"/>
          <w:lang w:eastAsia="x-none"/>
        </w:rPr>
      </w:pPr>
      <w:r>
        <w:rPr>
          <w:rFonts w:ascii="Verdana" w:eastAsia="Times New Roman" w:hAnsi="Verdana" w:cs="Arial"/>
          <w:sz w:val="21"/>
          <w:szCs w:val="21"/>
          <w:lang w:eastAsia="x-none"/>
        </w:rPr>
        <w:t>“</w:t>
      </w:r>
      <w:r w:rsidRPr="00F66EEE">
        <w:rPr>
          <w:rFonts w:ascii="Verdana" w:eastAsia="Times New Roman" w:hAnsi="Verdana" w:cs="Arial"/>
          <w:sz w:val="21"/>
          <w:szCs w:val="21"/>
          <w:lang w:eastAsia="x-none"/>
        </w:rPr>
        <w:t xml:space="preserve">Los contratos o convenios celebrados con personas extranjeras de derecho público u organismos de derecho internacional cuyo objeto sea el desarrollo de programas de promoción, prevención y atención en salud; contratos y convenios necesarios para la operación de la OIT; contratos y convenios que se ejecuten en desarrollo del sistema integrado de monitoreo de cultivos ilícitos; contratos y convenios para la operación del programa mundial de alimentos; contratos y convenios para el desarrollo de programas de apoyo educativo a población desplazada y vulnerable adelantados por la Unesco y la OIM; </w:t>
      </w:r>
      <w:r w:rsidRPr="00664867">
        <w:rPr>
          <w:rFonts w:ascii="Verdana" w:eastAsia="Times New Roman" w:hAnsi="Verdana" w:cs="Arial"/>
          <w:i/>
          <w:iCs/>
          <w:sz w:val="21"/>
          <w:szCs w:val="21"/>
          <w:lang w:eastAsia="x-none"/>
        </w:rPr>
        <w:t>los contratos o convenios financiados con fondos de los organismos multilaterales de crédito</w:t>
      </w:r>
      <w:r w:rsidRPr="00F66EEE">
        <w:rPr>
          <w:rFonts w:ascii="Verdana" w:eastAsia="Times New Roman" w:hAnsi="Verdana" w:cs="Arial"/>
          <w:sz w:val="21"/>
          <w:szCs w:val="21"/>
          <w:lang w:eastAsia="x-none"/>
        </w:rPr>
        <w:t xml:space="preserve"> y entes gubernamentales extranjeros, podrán someterse a los reglamentos de tales entidades.</w:t>
      </w:r>
    </w:p>
    <w:p w14:paraId="715CC6B9" w14:textId="77777777" w:rsidR="00B070F0" w:rsidRPr="00F66EEE" w:rsidRDefault="00B070F0" w:rsidP="00B070F0">
      <w:pPr>
        <w:spacing w:before="120" w:after="0" w:line="240" w:lineRule="auto"/>
        <w:ind w:left="709" w:right="709"/>
        <w:jc w:val="both"/>
        <w:rPr>
          <w:rFonts w:ascii="Verdana" w:eastAsia="Times New Roman" w:hAnsi="Verdana" w:cs="Arial"/>
          <w:sz w:val="21"/>
          <w:szCs w:val="21"/>
          <w:lang w:val="es-MX" w:eastAsia="x-none"/>
        </w:rPr>
      </w:pPr>
      <w:r>
        <w:rPr>
          <w:rFonts w:ascii="Verdana" w:eastAsia="Times New Roman" w:hAnsi="Verdana" w:cs="Arial"/>
          <w:sz w:val="21"/>
          <w:szCs w:val="21"/>
          <w:lang w:eastAsia="x-none"/>
        </w:rPr>
        <w:t>[…]</w:t>
      </w:r>
    </w:p>
    <w:p w14:paraId="0F409CEC" w14:textId="77777777" w:rsidR="00B070F0" w:rsidRPr="00F66EEE" w:rsidRDefault="00B070F0" w:rsidP="00B070F0">
      <w:pPr>
        <w:spacing w:before="120" w:after="0" w:line="240" w:lineRule="auto"/>
        <w:ind w:left="709" w:right="709"/>
        <w:jc w:val="both"/>
        <w:rPr>
          <w:rFonts w:ascii="Verdana" w:eastAsia="Times New Roman" w:hAnsi="Verdana" w:cs="Arial"/>
          <w:sz w:val="21"/>
          <w:szCs w:val="21"/>
          <w:lang w:eastAsia="x-none"/>
        </w:rPr>
      </w:pPr>
      <w:r w:rsidRPr="00F66EEE">
        <w:rPr>
          <w:rFonts w:ascii="Verdana" w:eastAsia="Times New Roman" w:hAnsi="Verdana" w:cs="Arial"/>
          <w:sz w:val="21"/>
          <w:szCs w:val="21"/>
          <w:lang w:eastAsia="x-none"/>
        </w:rPr>
        <w:t>Parágrafo 1. Los contratos o acuerdos celebrados con personas extranjeras de derecho público, podrán someterse a las reglas de tales organismos</w:t>
      </w:r>
      <w:r>
        <w:rPr>
          <w:rFonts w:ascii="Verdana" w:eastAsia="Times New Roman" w:hAnsi="Verdana" w:cs="Arial"/>
          <w:sz w:val="21"/>
          <w:szCs w:val="21"/>
          <w:lang w:eastAsia="x-none"/>
        </w:rPr>
        <w:t>”</w:t>
      </w:r>
      <w:r w:rsidRPr="00F66EEE">
        <w:rPr>
          <w:rFonts w:ascii="Verdana" w:eastAsia="Times New Roman" w:hAnsi="Verdana" w:cs="Arial"/>
          <w:sz w:val="21"/>
          <w:szCs w:val="21"/>
          <w:lang w:eastAsia="x-none"/>
        </w:rPr>
        <w:t>.</w:t>
      </w:r>
      <w:r>
        <w:rPr>
          <w:rFonts w:ascii="Verdana" w:eastAsia="Times New Roman" w:hAnsi="Verdana" w:cs="Arial"/>
          <w:sz w:val="21"/>
          <w:szCs w:val="21"/>
          <w:lang w:eastAsia="x-none"/>
        </w:rPr>
        <w:t xml:space="preserve"> [Énfasis Propio]</w:t>
      </w:r>
    </w:p>
    <w:p w14:paraId="3CD0CAFF" w14:textId="77777777" w:rsidR="00B070F0" w:rsidRDefault="00B070F0" w:rsidP="00B070F0">
      <w:pPr>
        <w:spacing w:before="120" w:after="0" w:line="276" w:lineRule="auto"/>
        <w:ind w:firstLine="694"/>
        <w:jc w:val="both"/>
        <w:rPr>
          <w:rFonts w:ascii="Verdana" w:eastAsia="Calibri" w:hAnsi="Verdana" w:cs="Arial"/>
          <w:lang w:val="es-ES"/>
        </w:rPr>
      </w:pPr>
      <w:r w:rsidRPr="00750B7D">
        <w:rPr>
          <w:rFonts w:ascii="Verdana" w:eastAsia="Times New Roman" w:hAnsi="Verdana" w:cs="Arial"/>
          <w:lang w:val="es-MX" w:eastAsia="x-none"/>
        </w:rPr>
        <w:t xml:space="preserve"> </w:t>
      </w:r>
      <w:r>
        <w:rPr>
          <w:rFonts w:ascii="Verdana" w:eastAsia="Times New Roman" w:hAnsi="Verdana" w:cs="Arial"/>
          <w:lang w:val="es-MX" w:eastAsia="x-none"/>
        </w:rPr>
        <w:t xml:space="preserve">Seún lo expuesto, </w:t>
      </w:r>
      <w:r>
        <w:rPr>
          <w:rFonts w:ascii="Verdana" w:eastAsia="Calibri" w:hAnsi="Verdana" w:cs="Arial"/>
          <w:lang w:val="es-ES"/>
        </w:rPr>
        <w:t>las entidades pueden optar por someter los siguientes</w:t>
      </w:r>
      <w:r w:rsidRPr="00AA020D">
        <w:rPr>
          <w:rFonts w:ascii="Verdana" w:eastAsia="Calibri" w:hAnsi="Verdana" w:cs="Arial"/>
          <w:lang w:val="es-ES"/>
        </w:rPr>
        <w:t xml:space="preserve"> contrato</w:t>
      </w:r>
      <w:r>
        <w:rPr>
          <w:rFonts w:ascii="Verdana" w:eastAsia="Calibri" w:hAnsi="Verdana" w:cs="Arial"/>
          <w:lang w:val="es-ES"/>
        </w:rPr>
        <w:t>s</w:t>
      </w:r>
      <w:r w:rsidRPr="00AA020D">
        <w:rPr>
          <w:rFonts w:ascii="Verdana" w:eastAsia="Calibri" w:hAnsi="Verdana" w:cs="Arial"/>
          <w:lang w:val="es-ES"/>
        </w:rPr>
        <w:t xml:space="preserve"> o convenio</w:t>
      </w:r>
      <w:r>
        <w:rPr>
          <w:rFonts w:ascii="Verdana" w:eastAsia="Calibri" w:hAnsi="Verdana" w:cs="Arial"/>
          <w:lang w:val="es-ES"/>
        </w:rPr>
        <w:t>s</w:t>
      </w:r>
      <w:r w:rsidRPr="00AA020D">
        <w:rPr>
          <w:rFonts w:ascii="Verdana" w:eastAsia="Calibri" w:hAnsi="Verdana" w:cs="Arial"/>
          <w:lang w:val="es-ES"/>
        </w:rPr>
        <w:t xml:space="preserve"> a los reglamentos de </w:t>
      </w:r>
      <w:r>
        <w:rPr>
          <w:rFonts w:ascii="Verdana" w:eastAsia="Calibri" w:hAnsi="Verdana" w:cs="Arial"/>
          <w:lang w:val="es-ES"/>
        </w:rPr>
        <w:t xml:space="preserve">los </w:t>
      </w:r>
      <w:r w:rsidRPr="00AA020D">
        <w:rPr>
          <w:rFonts w:ascii="Verdana" w:eastAsia="Calibri" w:hAnsi="Verdana" w:cs="Arial"/>
          <w:lang w:val="es-ES"/>
        </w:rPr>
        <w:t>organismos</w:t>
      </w:r>
      <w:r>
        <w:rPr>
          <w:rFonts w:ascii="Verdana" w:eastAsia="Calibri" w:hAnsi="Verdana" w:cs="Arial"/>
          <w:lang w:val="es-ES"/>
        </w:rPr>
        <w:t xml:space="preserve"> o entes internacionales</w:t>
      </w:r>
      <w:r w:rsidRPr="00AA020D">
        <w:rPr>
          <w:rFonts w:ascii="Verdana" w:eastAsia="Calibri" w:hAnsi="Verdana" w:cs="Arial"/>
          <w:lang w:val="es-ES"/>
        </w:rPr>
        <w:t>, independientemente del monto o porcentaje de los aportes de las partes</w:t>
      </w:r>
      <w:r w:rsidRPr="00750B7D">
        <w:rPr>
          <w:rFonts w:ascii="Verdana" w:eastAsia="Calibri" w:hAnsi="Verdana" w:cs="Arial"/>
          <w:lang w:val="es-ES"/>
        </w:rPr>
        <w:t>:</w:t>
      </w:r>
    </w:p>
    <w:p w14:paraId="31087A7F" w14:textId="77777777" w:rsidR="00B070F0" w:rsidRPr="00DF1455" w:rsidRDefault="00B070F0" w:rsidP="00B070F0">
      <w:pPr>
        <w:spacing w:after="0" w:line="276" w:lineRule="auto"/>
        <w:jc w:val="both"/>
        <w:rPr>
          <w:rFonts w:ascii="Verdana" w:eastAsia="Times New Roman" w:hAnsi="Verdana" w:cs="Arial"/>
          <w:lang w:val="es-MX"/>
        </w:rPr>
      </w:pPr>
    </w:p>
    <w:p w14:paraId="2D501628" w14:textId="77777777" w:rsidR="00B070F0" w:rsidRDefault="00B070F0" w:rsidP="00B070F0">
      <w:pPr>
        <w:pStyle w:val="ListParagraph"/>
        <w:numPr>
          <w:ilvl w:val="0"/>
          <w:numId w:val="17"/>
        </w:numPr>
        <w:spacing w:after="0" w:line="276" w:lineRule="auto"/>
        <w:jc w:val="both"/>
        <w:rPr>
          <w:rFonts w:ascii="Verdana" w:hAnsi="Verdana"/>
        </w:rPr>
      </w:pPr>
      <w:r>
        <w:rPr>
          <w:rFonts w:ascii="Verdana" w:hAnsi="Verdana"/>
        </w:rPr>
        <w:t>L</w:t>
      </w:r>
      <w:r w:rsidRPr="00750B7D">
        <w:rPr>
          <w:rFonts w:ascii="Verdana" w:hAnsi="Verdana"/>
        </w:rPr>
        <w:t>os contratos o convenios celebrados con personas extranjeras de derecho público u organismos de derecho internacional cuyo objeto sea el desarrollo de programas de promoción, prevención y atención en salud;</w:t>
      </w:r>
    </w:p>
    <w:p w14:paraId="746EC2F6" w14:textId="77777777" w:rsidR="00B070F0" w:rsidRDefault="00B070F0" w:rsidP="00B070F0">
      <w:pPr>
        <w:pStyle w:val="ListParagraph"/>
        <w:numPr>
          <w:ilvl w:val="0"/>
          <w:numId w:val="17"/>
        </w:numPr>
        <w:spacing w:after="0" w:line="276" w:lineRule="auto"/>
        <w:jc w:val="both"/>
        <w:rPr>
          <w:rFonts w:ascii="Verdana" w:hAnsi="Verdana"/>
        </w:rPr>
      </w:pPr>
      <w:r>
        <w:rPr>
          <w:rFonts w:ascii="Verdana" w:hAnsi="Verdana"/>
        </w:rPr>
        <w:lastRenderedPageBreak/>
        <w:t>L</w:t>
      </w:r>
      <w:r w:rsidRPr="00750B7D">
        <w:rPr>
          <w:rFonts w:ascii="Verdana" w:hAnsi="Verdana"/>
        </w:rPr>
        <w:t xml:space="preserve">os contratos y convenios necesarios para la operación de la Organización Internacional del Trabajo; </w:t>
      </w:r>
    </w:p>
    <w:p w14:paraId="583A4DAE" w14:textId="77777777" w:rsidR="00B070F0" w:rsidRDefault="00B070F0" w:rsidP="00B070F0">
      <w:pPr>
        <w:pStyle w:val="ListParagraph"/>
        <w:numPr>
          <w:ilvl w:val="0"/>
          <w:numId w:val="17"/>
        </w:numPr>
        <w:spacing w:after="0" w:line="276" w:lineRule="auto"/>
        <w:jc w:val="both"/>
        <w:rPr>
          <w:rFonts w:ascii="Verdana" w:hAnsi="Verdana"/>
        </w:rPr>
      </w:pPr>
      <w:r>
        <w:rPr>
          <w:rFonts w:ascii="Verdana" w:hAnsi="Verdana"/>
        </w:rPr>
        <w:t>L</w:t>
      </w:r>
      <w:r w:rsidRPr="00750B7D">
        <w:rPr>
          <w:rFonts w:ascii="Verdana" w:hAnsi="Verdana"/>
        </w:rPr>
        <w:t xml:space="preserve">os contratos y convenios que se ejecuten en desarrollo del sistema integrado de monitoreo de cultivos ilícitos; </w:t>
      </w:r>
    </w:p>
    <w:p w14:paraId="4FC2DEDB" w14:textId="77777777" w:rsidR="00B070F0" w:rsidRDefault="00B070F0" w:rsidP="00B070F0">
      <w:pPr>
        <w:pStyle w:val="ListParagraph"/>
        <w:numPr>
          <w:ilvl w:val="0"/>
          <w:numId w:val="17"/>
        </w:numPr>
        <w:spacing w:after="0" w:line="276" w:lineRule="auto"/>
        <w:jc w:val="both"/>
        <w:rPr>
          <w:rFonts w:ascii="Verdana" w:hAnsi="Verdana"/>
        </w:rPr>
      </w:pPr>
      <w:r>
        <w:rPr>
          <w:rFonts w:ascii="Verdana" w:hAnsi="Verdana"/>
        </w:rPr>
        <w:t>L</w:t>
      </w:r>
      <w:r w:rsidRPr="00750B7D">
        <w:rPr>
          <w:rFonts w:ascii="Verdana" w:hAnsi="Verdana"/>
        </w:rPr>
        <w:t xml:space="preserve">os contratos y convenios para la operación del programa mundial de alimentos; </w:t>
      </w:r>
    </w:p>
    <w:p w14:paraId="01EC5ED0" w14:textId="77777777" w:rsidR="00B070F0" w:rsidRDefault="00B070F0" w:rsidP="00B070F0">
      <w:pPr>
        <w:pStyle w:val="ListParagraph"/>
        <w:numPr>
          <w:ilvl w:val="0"/>
          <w:numId w:val="17"/>
        </w:numPr>
        <w:spacing w:after="0" w:line="276" w:lineRule="auto"/>
        <w:jc w:val="both"/>
        <w:rPr>
          <w:rFonts w:ascii="Verdana" w:hAnsi="Verdana"/>
        </w:rPr>
      </w:pPr>
      <w:r>
        <w:rPr>
          <w:rFonts w:ascii="Verdana" w:hAnsi="Verdana"/>
        </w:rPr>
        <w:t>L</w:t>
      </w:r>
      <w:r w:rsidRPr="00750B7D">
        <w:rPr>
          <w:rFonts w:ascii="Verdana" w:hAnsi="Verdana"/>
        </w:rPr>
        <w:t xml:space="preserve">os contratos y convenios para el desarrollo de programas de apoyo educativo a población desplazada y vulnerable adelantados por la Unesco y la OIM; </w:t>
      </w:r>
    </w:p>
    <w:p w14:paraId="63FE1093" w14:textId="77777777" w:rsidR="00B070F0" w:rsidRPr="00750B7D" w:rsidRDefault="00B070F0" w:rsidP="00B070F0">
      <w:pPr>
        <w:pStyle w:val="ListParagraph"/>
        <w:numPr>
          <w:ilvl w:val="0"/>
          <w:numId w:val="17"/>
        </w:numPr>
        <w:spacing w:after="0" w:line="276" w:lineRule="auto"/>
        <w:jc w:val="both"/>
        <w:rPr>
          <w:rFonts w:ascii="Verdana" w:hAnsi="Verdana"/>
        </w:rPr>
      </w:pPr>
      <w:r>
        <w:rPr>
          <w:rFonts w:ascii="Verdana" w:hAnsi="Verdana"/>
        </w:rPr>
        <w:t>L</w:t>
      </w:r>
      <w:r w:rsidRPr="00750B7D">
        <w:rPr>
          <w:rFonts w:ascii="Verdana" w:hAnsi="Verdana"/>
        </w:rPr>
        <w:t>os contratos o convenios financiados con fondos de los organismos multilaterales de crédito y entes gubernamentales extranjeros</w:t>
      </w:r>
      <w:r>
        <w:rPr>
          <w:rFonts w:ascii="Verdana" w:hAnsi="Verdana"/>
        </w:rPr>
        <w:t xml:space="preserve">, como por ejemplo, aquellos suscritos con el Banco Mundial o el Banco Interamericano de Desarrollo. </w:t>
      </w:r>
    </w:p>
    <w:p w14:paraId="24CECE65" w14:textId="77777777" w:rsidR="00B070F0" w:rsidRPr="00FF364F" w:rsidRDefault="00B070F0" w:rsidP="00B070F0">
      <w:pPr>
        <w:spacing w:before="120" w:after="0" w:line="276" w:lineRule="auto"/>
        <w:ind w:firstLine="694"/>
        <w:jc w:val="both"/>
        <w:rPr>
          <w:rFonts w:ascii="Verdana" w:hAnsi="Verdana" w:cs="Arial"/>
          <w:lang w:val="es-ES"/>
        </w:rPr>
      </w:pPr>
      <w:r>
        <w:rPr>
          <w:rFonts w:ascii="Verdana" w:eastAsia="Times New Roman" w:hAnsi="Verdana" w:cs="Arial"/>
          <w:lang w:val="es-MX"/>
        </w:rPr>
        <w:t xml:space="preserve">En línea </w:t>
      </w:r>
      <w:r w:rsidRPr="00FF364F">
        <w:rPr>
          <w:rFonts w:ascii="Verdana" w:eastAsia="Times New Roman" w:hAnsi="Verdana" w:cs="Arial"/>
          <w:lang w:val="es-MX"/>
        </w:rPr>
        <w:t xml:space="preserve">con lo </w:t>
      </w:r>
      <w:r w:rsidRPr="00FF364F">
        <w:rPr>
          <w:rFonts w:ascii="Verdana" w:hAnsi="Verdana" w:cs="Arial"/>
          <w:lang w:val="es-ES"/>
        </w:rPr>
        <w:t xml:space="preserve">anterior, el artículo 2.2.1.2.4.4.1. del Decreto 1082 de 2015 establece que </w:t>
      </w:r>
      <w:r w:rsidRPr="00FF364F">
        <w:rPr>
          <w:rFonts w:ascii="Verdana" w:hAnsi="Verdana" w:cs="Arial"/>
        </w:rPr>
        <w:t xml:space="preserve">los contratos o convenios financiados con fondos de los organismos multilaterales de crédito, entes gubernamentales extranjeros o personas extranjeras de derecho público, así como aquellos a los que se refiere el inciso 2 del artículo </w:t>
      </w:r>
      <w:r w:rsidRPr="00750B7D">
        <w:rPr>
          <w:rFonts w:ascii="Verdana" w:hAnsi="Verdana"/>
        </w:rPr>
        <w:t>20</w:t>
      </w:r>
      <w:r w:rsidRPr="00FF364F">
        <w:rPr>
          <w:rFonts w:ascii="Verdana" w:hAnsi="Verdana" w:cs="Arial"/>
        </w:rPr>
        <w:t xml:space="preserve"> de la Ley 1150 de 2007, se ejecutarán de conformidad con lo establecido en los tratados internacionales marco y complementarios, y en los convenios celebrados, o sus reglamentos, según sea el caso, sin que a ellos le sea aplicable el porcentaje </w:t>
      </w:r>
      <w:r>
        <w:rPr>
          <w:rFonts w:ascii="Verdana" w:hAnsi="Verdana" w:cs="Arial"/>
        </w:rPr>
        <w:t xml:space="preserve">de financiación </w:t>
      </w:r>
      <w:r w:rsidRPr="00FF364F">
        <w:rPr>
          <w:rFonts w:ascii="Verdana" w:hAnsi="Verdana" w:cs="Arial"/>
        </w:rPr>
        <w:t>señalado en el inciso primero del artículo</w:t>
      </w:r>
      <w:r w:rsidRPr="00FF364F">
        <w:rPr>
          <w:rFonts w:ascii="Verdana" w:hAnsi="Verdana"/>
        </w:rPr>
        <w:t xml:space="preserve"> </w:t>
      </w:r>
      <w:r w:rsidRPr="00750B7D">
        <w:rPr>
          <w:rFonts w:ascii="Verdana" w:hAnsi="Verdana"/>
        </w:rPr>
        <w:t>20</w:t>
      </w:r>
      <w:r w:rsidRPr="00FF364F">
        <w:rPr>
          <w:rFonts w:ascii="Verdana" w:hAnsi="Verdana" w:cs="Arial"/>
        </w:rPr>
        <w:t xml:space="preserve"> de la Ley 1150 de 2007.</w:t>
      </w:r>
      <w:r w:rsidRPr="00FF364F">
        <w:rPr>
          <w:rFonts w:ascii="Verdana" w:hAnsi="Verdana" w:cs="Arial"/>
          <w:lang w:val="es-ES"/>
        </w:rPr>
        <w:t xml:space="preserve"> </w:t>
      </w:r>
    </w:p>
    <w:p w14:paraId="2CD0ADE4" w14:textId="77777777" w:rsidR="00B070F0" w:rsidRDefault="00B070F0" w:rsidP="00B070F0">
      <w:pPr>
        <w:spacing w:before="120" w:after="0" w:line="276" w:lineRule="auto"/>
        <w:ind w:firstLine="694"/>
        <w:jc w:val="both"/>
        <w:rPr>
          <w:rFonts w:ascii="Verdana" w:eastAsia="Times New Roman" w:hAnsi="Verdana" w:cs="Arial"/>
          <w:lang w:val="es-MX"/>
        </w:rPr>
      </w:pPr>
      <w:r>
        <w:rPr>
          <w:rFonts w:ascii="Verdana" w:hAnsi="Verdana" w:cs="Arial"/>
          <w:lang w:val="es-ES"/>
        </w:rPr>
        <w:t xml:space="preserve">Con fundamento en dicha normativa, </w:t>
      </w:r>
      <w:r w:rsidRPr="44B3FB22">
        <w:rPr>
          <w:rFonts w:ascii="Verdana" w:eastAsia="Times New Roman" w:hAnsi="Verdana" w:cs="Arial"/>
          <w:lang w:val="es-MX"/>
        </w:rPr>
        <w:t xml:space="preserve">la restricción contemplada en el </w:t>
      </w:r>
      <w:r w:rsidRPr="004C642F">
        <w:rPr>
          <w:rFonts w:ascii="Verdana" w:eastAsia="Times New Roman" w:hAnsi="Verdana" w:cs="Arial"/>
          <w:lang w:val="es-MX"/>
        </w:rPr>
        <w:t xml:space="preserve">artículo 33 </w:t>
      </w:r>
      <w:r>
        <w:rPr>
          <w:rFonts w:ascii="Verdana" w:eastAsia="Times New Roman" w:hAnsi="Verdana" w:cs="Arial"/>
          <w:i/>
          <w:iCs/>
          <w:lang w:val="es-MX"/>
        </w:rPr>
        <w:t>tampoco</w:t>
      </w:r>
      <w:r w:rsidRPr="004C642F">
        <w:rPr>
          <w:rFonts w:ascii="Verdana" w:eastAsia="Times New Roman" w:hAnsi="Verdana" w:cs="Arial"/>
          <w:lang w:val="es-MX"/>
        </w:rPr>
        <w:t xml:space="preserve"> aplica</w:t>
      </w:r>
      <w:r w:rsidRPr="44B3FB22">
        <w:rPr>
          <w:rFonts w:ascii="Verdana" w:eastAsia="Times New Roman" w:hAnsi="Verdana" w:cs="Arial"/>
          <w:lang w:val="es-MX"/>
        </w:rPr>
        <w:t xml:space="preserve"> a los contratos </w:t>
      </w:r>
      <w:r>
        <w:rPr>
          <w:rFonts w:ascii="Verdana" w:eastAsia="Times New Roman" w:hAnsi="Verdana" w:cs="Arial"/>
          <w:lang w:val="es-MX"/>
        </w:rPr>
        <w:t>o convenios a los que se refiere el inciso segundo y el parágrafo primero del artículo 20 de la Ley 1150 de 2007 cuando se sometan a los reglamentos de dichos organismos, incluyendo aquellos</w:t>
      </w:r>
      <w:r w:rsidRPr="44B3FB22">
        <w:rPr>
          <w:rFonts w:ascii="Verdana" w:eastAsia="Times New Roman" w:hAnsi="Verdana" w:cs="Arial"/>
          <w:lang w:val="es-MX"/>
        </w:rPr>
        <w:t xml:space="preserve"> </w:t>
      </w:r>
      <w:r>
        <w:rPr>
          <w:rFonts w:ascii="Verdana" w:eastAsia="Times New Roman" w:hAnsi="Verdana" w:cs="Arial"/>
          <w:lang w:val="es-MX"/>
        </w:rPr>
        <w:t xml:space="preserve">convenios o contratos </w:t>
      </w:r>
      <w:r w:rsidRPr="44B3FB22">
        <w:rPr>
          <w:rFonts w:ascii="Verdana" w:eastAsia="Times New Roman" w:hAnsi="Verdana" w:cs="Arial"/>
          <w:lang w:val="es-MX"/>
        </w:rPr>
        <w:t xml:space="preserve">financiados </w:t>
      </w:r>
      <w:r w:rsidRPr="004C642F">
        <w:rPr>
          <w:rFonts w:ascii="Verdana" w:eastAsia="Times New Roman" w:hAnsi="Verdana" w:cs="Arial"/>
          <w:lang w:eastAsia="x-none"/>
        </w:rPr>
        <w:t>con fondos de organismos multilaterales de crédito y entes gubernamentales extranjeros</w:t>
      </w:r>
      <w:r>
        <w:rPr>
          <w:rFonts w:ascii="Verdana" w:eastAsia="Times New Roman" w:hAnsi="Verdana" w:cs="Arial"/>
          <w:lang w:val="es-MX"/>
        </w:rPr>
        <w:t>, sin importar el porcentaje de financiación.</w:t>
      </w:r>
    </w:p>
    <w:p w14:paraId="5CABDC51" w14:textId="77777777" w:rsidR="00B070F0" w:rsidRPr="00DF1455" w:rsidRDefault="00B070F0" w:rsidP="00B070F0">
      <w:pPr>
        <w:spacing w:after="0" w:line="276" w:lineRule="auto"/>
        <w:ind w:firstLine="694"/>
        <w:jc w:val="both"/>
        <w:rPr>
          <w:rFonts w:ascii="Verdana" w:hAnsi="Verdana" w:cs="Arial"/>
          <w:lang w:val="es-ES"/>
        </w:rPr>
      </w:pPr>
    </w:p>
    <w:p w14:paraId="482FFD1F" w14:textId="77777777" w:rsidR="00B070F0" w:rsidRDefault="00B070F0" w:rsidP="00B070F0">
      <w:pPr>
        <w:spacing w:after="120" w:line="276" w:lineRule="auto"/>
        <w:jc w:val="both"/>
        <w:rPr>
          <w:rFonts w:ascii="Verdana" w:eastAsia="Arial" w:hAnsi="Verdana" w:cs="Arial"/>
          <w:bCs/>
          <w:color w:val="000000" w:themeColor="text1"/>
          <w:lang w:val="es-ES"/>
        </w:rPr>
      </w:pPr>
      <w:proofErr w:type="spellStart"/>
      <w:r>
        <w:rPr>
          <w:rFonts w:ascii="Verdana" w:eastAsia="Arial" w:hAnsi="Verdana" w:cs="Arial"/>
          <w:bCs/>
          <w:color w:val="000000" w:themeColor="text1"/>
          <w:lang w:val="es-ES"/>
        </w:rPr>
        <w:t>vii</w:t>
      </w:r>
      <w:proofErr w:type="spellEnd"/>
      <w:r>
        <w:rPr>
          <w:rFonts w:ascii="Verdana" w:eastAsia="Arial" w:hAnsi="Verdana" w:cs="Arial"/>
          <w:bCs/>
          <w:color w:val="000000" w:themeColor="text1"/>
          <w:lang w:val="es-ES"/>
        </w:rPr>
        <w:t xml:space="preserve">) Conforme con lo expuesto, las entidades que requieran adelantar procesos de contratación directa durante el periodo de garantías electorales deberán analizar, primero, si se configuran los supuestos establecidos en </w:t>
      </w:r>
      <w:r w:rsidRPr="00C16886">
        <w:rPr>
          <w:rFonts w:ascii="Verdana" w:eastAsia="Arial" w:hAnsi="Verdana" w:cs="Arial"/>
          <w:bCs/>
          <w:i/>
          <w:iCs/>
          <w:color w:val="000000" w:themeColor="text1"/>
          <w:lang w:val="es-ES"/>
        </w:rPr>
        <w:t>el artículo 33</w:t>
      </w:r>
      <w:r>
        <w:rPr>
          <w:rFonts w:ascii="Verdana" w:eastAsia="Arial" w:hAnsi="Verdana" w:cs="Arial"/>
          <w:bCs/>
          <w:color w:val="000000" w:themeColor="text1"/>
          <w:lang w:val="es-ES"/>
        </w:rPr>
        <w:t xml:space="preserve"> de la Ley 996 de 2005, es decir, si se trata de cualquier entidad pública que pretenda adelantar un proceso no competitivo. Adicionalmente, será pertinente analizar si se configura alguna de las excepciones previstas en la norma, con las </w:t>
      </w:r>
      <w:r>
        <w:rPr>
          <w:rFonts w:ascii="Verdana" w:eastAsia="Arial" w:hAnsi="Verdana" w:cs="Arial"/>
          <w:bCs/>
          <w:color w:val="000000" w:themeColor="text1"/>
          <w:lang w:val="es-ES"/>
        </w:rPr>
        <w:lastRenderedPageBreak/>
        <w:t>cuales podrá llevar a cabo la contratación directa, a pesar de que haya iniciado el periodo de garantías electorales correspondiente al artículo 33 de la Ley 996 de 2005.</w:t>
      </w:r>
    </w:p>
    <w:p w14:paraId="740E651A" w14:textId="77777777" w:rsidR="00B070F0" w:rsidRDefault="00B070F0" w:rsidP="00B070F0">
      <w:pPr>
        <w:spacing w:before="120" w:after="120" w:line="276" w:lineRule="auto"/>
        <w:jc w:val="both"/>
        <w:rPr>
          <w:rFonts w:ascii="Verdana" w:eastAsia="Arial" w:hAnsi="Verdana" w:cs="Arial"/>
          <w:bCs/>
          <w:color w:val="000000" w:themeColor="text1"/>
          <w:lang w:val="es-ES"/>
        </w:rPr>
      </w:pPr>
      <w:r>
        <w:rPr>
          <w:rFonts w:ascii="Verdana" w:eastAsia="Arial" w:hAnsi="Verdana" w:cs="Arial"/>
          <w:bCs/>
          <w:color w:val="000000" w:themeColor="text1"/>
          <w:lang w:val="es-ES"/>
        </w:rPr>
        <w:tab/>
        <w:t xml:space="preserve">Con respecto a la prohibición del </w:t>
      </w:r>
      <w:r w:rsidRPr="00C16886">
        <w:rPr>
          <w:rFonts w:ascii="Verdana" w:eastAsia="Arial" w:hAnsi="Verdana" w:cs="Arial"/>
          <w:bCs/>
          <w:i/>
          <w:iCs/>
          <w:color w:val="000000" w:themeColor="text1"/>
          <w:lang w:val="es-ES"/>
        </w:rPr>
        <w:t>parágrafo del artículo 38</w:t>
      </w:r>
      <w:r>
        <w:rPr>
          <w:rFonts w:ascii="Verdana" w:eastAsia="Arial" w:hAnsi="Verdana" w:cs="Arial"/>
          <w:bCs/>
          <w:color w:val="000000" w:themeColor="text1"/>
          <w:lang w:val="es-ES"/>
        </w:rPr>
        <w:t>, es necesario considerar que esta solo será procedente cuando quienes realicen la contratación sean “</w:t>
      </w:r>
      <w:r w:rsidRPr="000C77A8">
        <w:rPr>
          <w:rFonts w:ascii="Verdana" w:eastAsia="Arial" w:hAnsi="Verdana" w:cs="Arial"/>
          <w:bCs/>
          <w:color w:val="000000" w:themeColor="text1"/>
        </w:rPr>
        <w:t>Alcaldes, Gobernadores, Secretarios, Gerentes y Directores de las entidades del orden municipal, departamental o distrital</w:t>
      </w:r>
      <w:r>
        <w:rPr>
          <w:rFonts w:ascii="Verdana" w:eastAsia="Arial" w:hAnsi="Verdana" w:cs="Arial"/>
          <w:bCs/>
          <w:color w:val="000000" w:themeColor="text1"/>
        </w:rPr>
        <w:t xml:space="preserve">”, de modo que la restricción no aplica cuando se trate sujetos distintos a los previstos en la norma. Por otra parte,  es necesario </w:t>
      </w:r>
      <w:r>
        <w:rPr>
          <w:rFonts w:ascii="Verdana" w:eastAsia="Arial" w:hAnsi="Verdana" w:cs="Arial"/>
          <w:bCs/>
          <w:color w:val="000000" w:themeColor="text1"/>
          <w:lang w:val="es-ES"/>
        </w:rPr>
        <w:t>verificar si lo que pretende adelantar es un convenio interadministrativo para la ejecución de recursos públicos. Solo cuando se cumplan estos supuestos, operará la restricción señalada en el parágrafo y estará prohibido llevar a cabo la celebración del convenio en los cuatro meses anteriores a cualquier contienda electoral. Es importante resaltar que para esta prohibición la norma no contempló ninguna excepción.</w:t>
      </w:r>
    </w:p>
    <w:p w14:paraId="6749844A" w14:textId="77777777" w:rsidR="00B070F0" w:rsidRPr="00F66EEE" w:rsidRDefault="00B070F0" w:rsidP="00B070F0">
      <w:pPr>
        <w:spacing w:before="120" w:after="120" w:line="276" w:lineRule="auto"/>
        <w:ind w:firstLine="708"/>
        <w:jc w:val="both"/>
        <w:rPr>
          <w:rFonts w:ascii="Verdana" w:eastAsia="Arial" w:hAnsi="Verdana" w:cs="Arial"/>
          <w:bCs/>
          <w:color w:val="000000" w:themeColor="text1"/>
          <w:lang w:val="es-ES"/>
        </w:rPr>
      </w:pPr>
      <w:r>
        <w:rPr>
          <w:rFonts w:ascii="Verdana" w:eastAsia="Calibri" w:hAnsi="Verdana" w:cs="Arial"/>
          <w:lang w:val="es-ES"/>
        </w:rPr>
        <w:t xml:space="preserve">En suma, </w:t>
      </w:r>
      <w:r w:rsidRPr="00584759">
        <w:rPr>
          <w:rFonts w:ascii="Verdana" w:eastAsia="Calibri" w:hAnsi="Verdana" w:cs="Arial"/>
          <w:lang w:val="es-ES"/>
        </w:rPr>
        <w:t xml:space="preserve">corresponderá a cada </w:t>
      </w:r>
      <w:r>
        <w:rPr>
          <w:rFonts w:ascii="Verdana" w:eastAsia="Calibri" w:hAnsi="Verdana" w:cs="Arial"/>
          <w:lang w:val="es-ES"/>
        </w:rPr>
        <w:t>E</w:t>
      </w:r>
      <w:r w:rsidRPr="00584759">
        <w:rPr>
          <w:rFonts w:ascii="Verdana" w:eastAsia="Calibri" w:hAnsi="Verdana" w:cs="Arial"/>
          <w:lang w:val="es-ES"/>
        </w:rPr>
        <w:t xml:space="preserve">ntidad </w:t>
      </w:r>
      <w:r>
        <w:rPr>
          <w:rFonts w:ascii="Verdana" w:eastAsia="Calibri" w:hAnsi="Verdana" w:cs="Arial"/>
          <w:lang w:val="es-ES"/>
        </w:rPr>
        <w:t>E</w:t>
      </w:r>
      <w:r w:rsidRPr="00584759">
        <w:rPr>
          <w:rFonts w:ascii="Verdana" w:eastAsia="Calibri" w:hAnsi="Verdana" w:cs="Arial"/>
          <w:lang w:val="es-ES"/>
        </w:rPr>
        <w:t>statal</w:t>
      </w:r>
      <w:r>
        <w:rPr>
          <w:rFonts w:ascii="Verdana" w:eastAsia="Calibri" w:hAnsi="Verdana" w:cs="Arial"/>
          <w:lang w:val="es-ES"/>
        </w:rPr>
        <w:t xml:space="preserve"> </w:t>
      </w:r>
      <w:r w:rsidRPr="00584759">
        <w:rPr>
          <w:rFonts w:ascii="Verdana" w:eastAsia="Calibri" w:hAnsi="Verdana" w:cs="Arial"/>
          <w:lang w:val="es-ES"/>
        </w:rPr>
        <w:t>determinar la procedencia de celebrar un contrato estatal específico, para lo cual deberán tener en cuenta las prohibiciones establecidas en materia contractual en la Ley de Garantías Electorales, así como las excepciones que resulten procedentes, de acuerdo con lo explicado en las consideraciones de este concepto.</w:t>
      </w:r>
      <w:r>
        <w:rPr>
          <w:rFonts w:ascii="Verdana" w:eastAsia="Arial" w:hAnsi="Verdana" w:cs="Arial"/>
          <w:bCs/>
          <w:color w:val="000000" w:themeColor="text1"/>
          <w:lang w:val="es-ES"/>
        </w:rPr>
        <w:t xml:space="preserve"> </w:t>
      </w:r>
      <w:r>
        <w:rPr>
          <w:rFonts w:ascii="Verdana" w:hAnsi="Verdana" w:cs="Arial"/>
          <w:lang w:val="es-ES" w:eastAsia="es-CO"/>
        </w:rPr>
        <w:t>En cualquier caso, las entidades podrán considerar l</w:t>
      </w:r>
      <w:r w:rsidRPr="00FC6F34">
        <w:rPr>
          <w:rFonts w:ascii="Verdana" w:hAnsi="Verdana" w:cs="Arial"/>
          <w:lang w:val="es-ES" w:eastAsia="es-CO"/>
        </w:rPr>
        <w:t xml:space="preserve">a posibilidad </w:t>
      </w:r>
      <w:r>
        <w:rPr>
          <w:rFonts w:ascii="Verdana" w:hAnsi="Verdana" w:cs="Arial"/>
          <w:lang w:val="es-ES" w:eastAsia="es-CO"/>
        </w:rPr>
        <w:t>de adelantar procedimientos de selección mediante modalidades distintas a la contratación directa o implementar tipologías distintas a la contratación interadministrativa</w:t>
      </w:r>
      <w:r w:rsidRPr="00FC6F34">
        <w:rPr>
          <w:rFonts w:ascii="Verdana" w:hAnsi="Verdana" w:cs="Arial"/>
          <w:lang w:val="es-ES" w:eastAsia="es-CO"/>
        </w:rPr>
        <w:t xml:space="preserve">, </w:t>
      </w:r>
      <w:r>
        <w:rPr>
          <w:rFonts w:ascii="Verdana" w:hAnsi="Verdana" w:cs="Arial"/>
          <w:lang w:val="es-ES" w:eastAsia="es-CO"/>
        </w:rPr>
        <w:t xml:space="preserve">es decir, podrán adelantar aquellas que </w:t>
      </w:r>
      <w:r w:rsidRPr="00FC6F34">
        <w:rPr>
          <w:rFonts w:ascii="Verdana" w:hAnsi="Verdana" w:cs="Arial"/>
          <w:lang w:val="es-ES" w:eastAsia="es-CO"/>
        </w:rPr>
        <w:t>no se encuentr</w:t>
      </w:r>
      <w:r>
        <w:rPr>
          <w:rFonts w:ascii="Verdana" w:hAnsi="Verdana" w:cs="Arial"/>
          <w:lang w:val="es-ES" w:eastAsia="es-CO"/>
        </w:rPr>
        <w:t>e</w:t>
      </w:r>
      <w:r w:rsidRPr="00FC6F34">
        <w:rPr>
          <w:rFonts w:ascii="Verdana" w:hAnsi="Verdana" w:cs="Arial"/>
          <w:lang w:val="es-ES" w:eastAsia="es-CO"/>
        </w:rPr>
        <w:t>n restringidas por el artículo 33</w:t>
      </w:r>
      <w:r>
        <w:rPr>
          <w:rFonts w:ascii="Verdana" w:hAnsi="Verdana" w:cs="Arial"/>
          <w:lang w:val="es-ES" w:eastAsia="es-CO"/>
        </w:rPr>
        <w:t xml:space="preserve"> o el parágrafo del artículo 38</w:t>
      </w:r>
      <w:r w:rsidRPr="00FC6F34">
        <w:rPr>
          <w:rFonts w:ascii="Verdana" w:hAnsi="Verdana" w:cs="Arial"/>
          <w:lang w:val="es-ES" w:eastAsia="es-CO"/>
        </w:rPr>
        <w:t xml:space="preserve"> de la Ley 996 de 2005.</w:t>
      </w:r>
    </w:p>
    <w:p w14:paraId="0A64EFD1" w14:textId="77777777" w:rsidR="00B070F0" w:rsidRPr="00545054" w:rsidRDefault="00B070F0" w:rsidP="00B070F0">
      <w:pPr>
        <w:spacing w:after="120" w:line="276" w:lineRule="auto"/>
        <w:ind w:firstLine="708"/>
        <w:jc w:val="both"/>
        <w:rPr>
          <w:rFonts w:ascii="Verdana" w:eastAsia="Times New Roman" w:hAnsi="Verdana" w:cs="Arial"/>
          <w:bCs/>
          <w:lang w:val="es-ES" w:eastAsia="es-CO"/>
        </w:rPr>
      </w:pPr>
      <w:r w:rsidRPr="00FC6F34">
        <w:rPr>
          <w:rFonts w:ascii="Verdana" w:eastAsia="Arial" w:hAnsi="Verdana" w:cs="Arial"/>
          <w:color w:val="000000" w:themeColor="text1"/>
          <w:lang w:val="es-ES"/>
        </w:rPr>
        <w:t xml:space="preserve">Finalmente, es importante advertir que </w:t>
      </w:r>
      <w:r w:rsidRPr="00FC6F34">
        <w:rPr>
          <w:rFonts w:ascii="Verdana" w:eastAsia="Times New Roman" w:hAnsi="Verdana" w:cs="Arial"/>
          <w:lang w:val="es-ES"/>
        </w:rPr>
        <w:t xml:space="preserve">compete a cada </w:t>
      </w:r>
      <w:r>
        <w:rPr>
          <w:rFonts w:ascii="Verdana" w:eastAsia="Times New Roman" w:hAnsi="Verdana" w:cs="Arial"/>
          <w:lang w:val="es-ES"/>
        </w:rPr>
        <w:t>E</w:t>
      </w:r>
      <w:r w:rsidRPr="00FC6F34">
        <w:rPr>
          <w:rFonts w:ascii="Verdana" w:eastAsia="Times New Roman" w:hAnsi="Verdana" w:cs="Arial"/>
          <w:lang w:val="es-ES"/>
        </w:rPr>
        <w:t xml:space="preserve">ntidad </w:t>
      </w:r>
      <w:r>
        <w:rPr>
          <w:rFonts w:ascii="Verdana" w:eastAsia="Times New Roman" w:hAnsi="Verdana" w:cs="Arial"/>
          <w:lang w:val="es-ES"/>
        </w:rPr>
        <w:t>E</w:t>
      </w:r>
      <w:r w:rsidRPr="00FC6F34">
        <w:rPr>
          <w:rFonts w:ascii="Verdana" w:eastAsia="Times New Roman" w:hAnsi="Verdana" w:cs="Arial"/>
          <w:lang w:val="es-ES"/>
        </w:rPr>
        <w:t>statal que considera celebrar un contrato específico definir si este se enmarca</w:t>
      </w:r>
      <w:r>
        <w:rPr>
          <w:rFonts w:ascii="Verdana" w:eastAsia="Times New Roman" w:hAnsi="Verdana" w:cs="Arial"/>
          <w:lang w:val="es-ES"/>
        </w:rPr>
        <w:t xml:space="preserve"> en alguna de las prohibiciones de la Ley de Garantías Electorales</w:t>
      </w:r>
      <w:r w:rsidRPr="00FC6F34">
        <w:rPr>
          <w:rFonts w:ascii="Verdana" w:eastAsia="Times New Roman" w:hAnsi="Verdana" w:cs="Arial"/>
          <w:lang w:val="es-ES"/>
        </w:rPr>
        <w:t xml:space="preserve">. </w:t>
      </w:r>
      <w:r w:rsidRPr="00FC6F34">
        <w:rPr>
          <w:rFonts w:ascii="Verdana" w:eastAsia="Times New Roman" w:hAnsi="Verdana" w:cs="Arial"/>
          <w:color w:val="000000" w:themeColor="text1"/>
          <w:lang w:val="es-ES" w:eastAsia="es-ES"/>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establecerá la forma de adelantar su gestión contractual, sin que </w:t>
      </w:r>
      <w:r w:rsidRPr="00FC6F34">
        <w:rPr>
          <w:rFonts w:ascii="Verdana" w:eastAsia="Times New Roman" w:hAnsi="Verdana" w:cs="Arial"/>
          <w:color w:val="000000" w:themeColor="text1"/>
          <w:lang w:val="es-ES" w:eastAsia="es-ES"/>
        </w:rPr>
        <w:lastRenderedPageBreak/>
        <w:t xml:space="preserve">sea atribución de la Agencia Nacional de Contratación Pública - Colombia Compra Eficiente validarla. </w:t>
      </w:r>
    </w:p>
    <w:bookmarkEnd w:id="1"/>
    <w:bookmarkEnd w:id="2"/>
    <w:p w14:paraId="5D50CBBD" w14:textId="77777777" w:rsidR="00B070F0" w:rsidRPr="00FC6F34" w:rsidRDefault="00B070F0" w:rsidP="00B070F0">
      <w:pPr>
        <w:tabs>
          <w:tab w:val="left" w:pos="142"/>
          <w:tab w:val="left" w:pos="284"/>
        </w:tabs>
        <w:spacing w:after="0" w:line="276" w:lineRule="auto"/>
        <w:jc w:val="both"/>
        <w:rPr>
          <w:rFonts w:ascii="Verdana" w:eastAsia="Century Gothic" w:hAnsi="Verdana" w:cs="Century Gothic"/>
          <w:b/>
          <w:color w:val="000000" w:themeColor="text1"/>
          <w:lang w:val="es-ES"/>
        </w:rPr>
      </w:pPr>
      <w:r w:rsidRPr="00FC6F34">
        <w:rPr>
          <w:rFonts w:ascii="Verdana" w:eastAsia="Century Gothic" w:hAnsi="Verdana" w:cs="Century Gothic"/>
          <w:b/>
          <w:color w:val="000000" w:themeColor="text1"/>
          <w:lang w:val="es-ES"/>
        </w:rPr>
        <w:t>4.Referencias normativas, jurisprudenciales y otras fuentes:</w:t>
      </w:r>
    </w:p>
    <w:p w14:paraId="7FA4EEF1" w14:textId="77777777" w:rsidR="00B070F0" w:rsidRPr="00FC6F34" w:rsidRDefault="00B070F0" w:rsidP="00B070F0">
      <w:pPr>
        <w:widowControl w:val="0"/>
        <w:autoSpaceDE w:val="0"/>
        <w:autoSpaceDN w:val="0"/>
        <w:spacing w:after="0" w:line="276" w:lineRule="auto"/>
        <w:jc w:val="both"/>
        <w:rPr>
          <w:rFonts w:ascii="Verdana" w:hAnsi="Verdana" w:cs="Arial"/>
          <w:color w:val="000000" w:themeColor="text1"/>
          <w:lang w:val="es-ES"/>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070F0" w:rsidRPr="00FC6F34" w14:paraId="6D21CD48" w14:textId="77777777" w:rsidTr="001966D9">
        <w:trPr>
          <w:trHeight w:val="870"/>
        </w:trPr>
        <w:tc>
          <w:tcPr>
            <w:tcW w:w="8647" w:type="dxa"/>
          </w:tcPr>
          <w:p w14:paraId="756F9938" w14:textId="77777777" w:rsidR="00B070F0" w:rsidRPr="00FC6F34" w:rsidRDefault="00B070F0" w:rsidP="001966D9">
            <w:pPr>
              <w:widowControl w:val="0"/>
              <w:numPr>
                <w:ilvl w:val="0"/>
                <w:numId w:val="16"/>
              </w:numPr>
              <w:autoSpaceDE w:val="0"/>
              <w:autoSpaceDN w:val="0"/>
              <w:spacing w:before="120" w:after="120"/>
              <w:jc w:val="both"/>
              <w:rPr>
                <w:rFonts w:ascii="Verdana" w:eastAsia="Arial MT" w:hAnsi="Verdana" w:cs="Arial"/>
                <w:lang w:val="es-ES" w:eastAsia="es-ES" w:bidi="es-ES"/>
              </w:rPr>
            </w:pPr>
            <w:r w:rsidRPr="00FC6F34">
              <w:rPr>
                <w:rFonts w:ascii="Verdana" w:eastAsia="Arial MT" w:hAnsi="Verdana" w:cs="Arial"/>
                <w:lang w:val="es-ES" w:eastAsia="es-ES" w:bidi="es-ES"/>
              </w:rPr>
              <w:t xml:space="preserve">Ley 80 de 1993, artículos 39, 41. </w:t>
            </w:r>
          </w:p>
          <w:p w14:paraId="5555FB58" w14:textId="77777777" w:rsidR="00B070F0" w:rsidRPr="00FC6F34" w:rsidRDefault="00B070F0" w:rsidP="001966D9">
            <w:pPr>
              <w:widowControl w:val="0"/>
              <w:numPr>
                <w:ilvl w:val="0"/>
                <w:numId w:val="16"/>
              </w:numPr>
              <w:autoSpaceDE w:val="0"/>
              <w:autoSpaceDN w:val="0"/>
              <w:spacing w:after="120"/>
              <w:jc w:val="both"/>
              <w:rPr>
                <w:rFonts w:ascii="Verdana" w:eastAsia="Arial MT" w:hAnsi="Verdana" w:cs="Arial"/>
                <w:lang w:val="es-ES" w:eastAsia="es-ES" w:bidi="es-ES"/>
              </w:rPr>
            </w:pPr>
            <w:r w:rsidRPr="00FC6F34">
              <w:rPr>
                <w:rFonts w:ascii="Verdana" w:eastAsia="Arial MT" w:hAnsi="Verdana" w:cs="Arial"/>
                <w:bCs/>
                <w:lang w:val="es-ES" w:eastAsia="es-ES" w:bidi="es-ES"/>
              </w:rPr>
              <w:t>Ley 996 de 2005: artículos 33 y 38.</w:t>
            </w:r>
          </w:p>
          <w:p w14:paraId="5E983E80" w14:textId="77777777" w:rsidR="00B070F0" w:rsidRPr="00FC6F34" w:rsidRDefault="00B070F0" w:rsidP="001966D9">
            <w:pPr>
              <w:pStyle w:val="ListParagraph"/>
              <w:widowControl w:val="0"/>
              <w:numPr>
                <w:ilvl w:val="0"/>
                <w:numId w:val="16"/>
              </w:numPr>
              <w:autoSpaceDE w:val="0"/>
              <w:autoSpaceDN w:val="0"/>
              <w:spacing w:before="120" w:after="120" w:line="276" w:lineRule="auto"/>
              <w:contextualSpacing w:val="0"/>
              <w:jc w:val="both"/>
              <w:rPr>
                <w:rFonts w:ascii="Verdana" w:hAnsi="Verdana" w:cs="Arial"/>
              </w:rPr>
            </w:pPr>
            <w:r w:rsidRPr="00FC6F34">
              <w:rPr>
                <w:rFonts w:ascii="Verdana" w:hAnsi="Verdana" w:cs="Arial"/>
              </w:rPr>
              <w:t>Ley 813 de 2003: artículos 8, 10, 11 y 12.</w:t>
            </w:r>
          </w:p>
          <w:p w14:paraId="11A2A50C" w14:textId="77777777" w:rsidR="00B070F0" w:rsidRDefault="00B070F0" w:rsidP="001966D9">
            <w:pPr>
              <w:widowControl w:val="0"/>
              <w:numPr>
                <w:ilvl w:val="0"/>
                <w:numId w:val="16"/>
              </w:numPr>
              <w:autoSpaceDE w:val="0"/>
              <w:autoSpaceDN w:val="0"/>
              <w:spacing w:after="120"/>
              <w:jc w:val="both"/>
              <w:rPr>
                <w:rFonts w:ascii="Verdana" w:eastAsia="Arial MT" w:hAnsi="Verdana" w:cs="Arial"/>
                <w:lang w:val="es-ES" w:eastAsia="es-ES" w:bidi="es-ES"/>
              </w:rPr>
            </w:pPr>
            <w:r w:rsidRPr="00FC6F34">
              <w:rPr>
                <w:rFonts w:ascii="Verdana" w:eastAsia="Times New Roman" w:hAnsi="Verdana" w:cs="Times New Roman"/>
                <w:lang w:val="es-ES" w:eastAsia="es-MX"/>
              </w:rPr>
              <w:t>Ley 1150 de 2007</w:t>
            </w:r>
            <w:r>
              <w:rPr>
                <w:rFonts w:ascii="Verdana" w:eastAsia="Times New Roman" w:hAnsi="Verdana" w:cs="Times New Roman"/>
                <w:lang w:val="es-ES" w:eastAsia="es-MX"/>
              </w:rPr>
              <w:t>:</w:t>
            </w:r>
            <w:r w:rsidRPr="00FC6F34">
              <w:rPr>
                <w:rFonts w:ascii="Verdana" w:eastAsia="Times New Roman" w:hAnsi="Verdana" w:cs="Times New Roman"/>
                <w:lang w:val="es-ES" w:eastAsia="es-MX"/>
              </w:rPr>
              <w:t xml:space="preserve"> </w:t>
            </w:r>
            <w:r>
              <w:rPr>
                <w:rFonts w:ascii="Verdana" w:eastAsia="Arial MT" w:hAnsi="Verdana" w:cs="Arial"/>
                <w:lang w:val="es-ES" w:eastAsia="es-ES" w:bidi="es-ES"/>
              </w:rPr>
              <w:t>a</w:t>
            </w:r>
            <w:r w:rsidRPr="00FC6F34">
              <w:rPr>
                <w:rFonts w:ascii="Verdana" w:eastAsia="Arial MT" w:hAnsi="Verdana" w:cs="Arial"/>
                <w:lang w:val="es-ES" w:eastAsia="es-ES" w:bidi="es-ES"/>
              </w:rPr>
              <w:t>rtículo 2</w:t>
            </w:r>
            <w:r>
              <w:rPr>
                <w:rFonts w:ascii="Verdana" w:eastAsia="Arial MT" w:hAnsi="Verdana" w:cs="Arial"/>
                <w:lang w:val="es-ES" w:eastAsia="es-ES" w:bidi="es-ES"/>
              </w:rPr>
              <w:t xml:space="preserve"> y 20.</w:t>
            </w:r>
          </w:p>
          <w:p w14:paraId="27A26A18" w14:textId="77777777" w:rsidR="00B070F0" w:rsidRPr="00E92347" w:rsidRDefault="00B070F0" w:rsidP="001966D9">
            <w:pPr>
              <w:widowControl w:val="0"/>
              <w:numPr>
                <w:ilvl w:val="0"/>
                <w:numId w:val="16"/>
              </w:numPr>
              <w:autoSpaceDE w:val="0"/>
              <w:autoSpaceDN w:val="0"/>
              <w:spacing w:after="120"/>
              <w:jc w:val="both"/>
              <w:rPr>
                <w:rFonts w:ascii="Verdana" w:eastAsia="Arial MT" w:hAnsi="Verdana" w:cs="Arial"/>
                <w:lang w:eastAsia="es-ES" w:bidi="es-ES"/>
              </w:rPr>
            </w:pPr>
            <w:r w:rsidRPr="00E92347">
              <w:rPr>
                <w:rFonts w:ascii="Verdana" w:eastAsia="Arial MT" w:hAnsi="Verdana" w:cs="Arial"/>
                <w:lang w:eastAsia="es-ES" w:bidi="es-ES"/>
              </w:rPr>
              <w:t>Agencia Nacional de Contratación </w:t>
            </w:r>
            <w:r>
              <w:rPr>
                <w:rFonts w:ascii="Verdana" w:eastAsia="Arial MT" w:hAnsi="Verdana" w:cs="Arial"/>
                <w:lang w:eastAsia="es-ES" w:bidi="es-ES"/>
              </w:rPr>
              <w:t xml:space="preserve">Pública – Colombia Compra Eficiente, </w:t>
            </w:r>
            <w:r w:rsidRPr="00E92347">
              <w:rPr>
                <w:rFonts w:ascii="Verdana" w:eastAsia="Arial MT" w:hAnsi="Verdana" w:cs="Arial"/>
                <w:lang w:eastAsia="es-ES" w:bidi="es-ES"/>
              </w:rPr>
              <w:t>Circular Externa 006 de 2025</w:t>
            </w:r>
            <w:r>
              <w:rPr>
                <w:rFonts w:ascii="Verdana" w:eastAsia="Arial MT" w:hAnsi="Verdana" w:cs="Arial"/>
                <w:lang w:eastAsia="es-ES" w:bidi="es-ES"/>
              </w:rPr>
              <w:t xml:space="preserve"> sobre la Ley de Garantías Electorales. Disponible en:</w:t>
            </w:r>
            <w:r>
              <w:t xml:space="preserve"> </w:t>
            </w:r>
            <w:hyperlink r:id="rId13" w:history="1">
              <w:r w:rsidRPr="007D3EA5">
                <w:rPr>
                  <w:rStyle w:val="Hyperlink"/>
                  <w:rFonts w:ascii="Verdana" w:eastAsia="Arial MT" w:hAnsi="Verdana" w:cs="Arial"/>
                  <w:lang w:eastAsia="es-ES" w:bidi="es-ES"/>
                </w:rPr>
                <w:t>https://www.colombiacompra.gov.co/archivos/circular/circular-externa-006-de-2025</w:t>
              </w:r>
            </w:hyperlink>
            <w:r>
              <w:rPr>
                <w:rFonts w:ascii="Verdana" w:eastAsia="Arial MT" w:hAnsi="Verdana" w:cs="Arial"/>
                <w:lang w:eastAsia="es-ES" w:bidi="es-ES"/>
              </w:rPr>
              <w:t xml:space="preserve"> </w:t>
            </w:r>
          </w:p>
          <w:p w14:paraId="1CCCDF0E" w14:textId="77777777" w:rsidR="00B070F0" w:rsidRPr="00FC6F34" w:rsidRDefault="00B070F0" w:rsidP="001966D9">
            <w:pPr>
              <w:widowControl w:val="0"/>
              <w:numPr>
                <w:ilvl w:val="0"/>
                <w:numId w:val="16"/>
              </w:numPr>
              <w:autoSpaceDE w:val="0"/>
              <w:autoSpaceDN w:val="0"/>
              <w:spacing w:after="120"/>
              <w:jc w:val="both"/>
              <w:rPr>
                <w:rFonts w:ascii="Verdana" w:eastAsia="Calibri" w:hAnsi="Verdana" w:cs="Arial"/>
                <w:lang w:val="es-ES"/>
              </w:rPr>
            </w:pPr>
            <w:r w:rsidRPr="00FC6F34">
              <w:rPr>
                <w:rFonts w:ascii="Verdana" w:eastAsia="Calibri" w:hAnsi="Verdana" w:cs="Arial"/>
                <w:lang w:val="es-ES"/>
              </w:rPr>
              <w:t xml:space="preserve">Consejo de Estado, Sección Primera. Sentencia de 3 de marzo de 2005, Exp. 2004-00823-01(PI). </w:t>
            </w:r>
          </w:p>
          <w:p w14:paraId="7A95E8BC" w14:textId="77777777" w:rsidR="00B070F0" w:rsidRPr="00FC6F34" w:rsidRDefault="00B070F0" w:rsidP="001966D9">
            <w:pPr>
              <w:widowControl w:val="0"/>
              <w:numPr>
                <w:ilvl w:val="0"/>
                <w:numId w:val="16"/>
              </w:numPr>
              <w:autoSpaceDE w:val="0"/>
              <w:autoSpaceDN w:val="0"/>
              <w:spacing w:after="120"/>
              <w:jc w:val="both"/>
              <w:rPr>
                <w:rFonts w:ascii="Verdana" w:eastAsia="Calibri" w:hAnsi="Verdana" w:cs="Arial"/>
                <w:lang w:val="es-ES"/>
              </w:rPr>
            </w:pPr>
            <w:r w:rsidRPr="00FC6F34">
              <w:rPr>
                <w:rFonts w:ascii="Verdana" w:eastAsia="Calibri" w:hAnsi="Verdana" w:cs="Arial"/>
                <w:lang w:val="es-ES"/>
              </w:rPr>
              <w:t xml:space="preserve">Consejo de Estado, Sala de Consulta y Servicio Civil, Concepto de fecha 24 de julio de 2013, Rad. 2166, C. P. Álvaro Namén Vargas. </w:t>
            </w:r>
          </w:p>
          <w:p w14:paraId="640E6D87" w14:textId="77777777" w:rsidR="00B070F0" w:rsidRPr="00FC6F34" w:rsidRDefault="00B070F0" w:rsidP="001966D9">
            <w:pPr>
              <w:pStyle w:val="ListParagraph"/>
              <w:numPr>
                <w:ilvl w:val="0"/>
                <w:numId w:val="16"/>
              </w:numPr>
              <w:spacing w:before="120" w:after="120" w:line="276" w:lineRule="auto"/>
              <w:contextualSpacing w:val="0"/>
              <w:jc w:val="both"/>
              <w:rPr>
                <w:rFonts w:ascii="Verdana" w:hAnsi="Verdana" w:cs="Arial"/>
              </w:rPr>
            </w:pPr>
            <w:r w:rsidRPr="00FC6F34">
              <w:rPr>
                <w:rFonts w:ascii="Verdana" w:eastAsia="Calibri" w:hAnsi="Verdana" w:cs="Arial"/>
              </w:rPr>
              <w:t>Consejo de Estado. Sala de Consulta y Servicio Civil. Concepto del 17 de febrero de 2015. C.P. William Zambrano Cetina. Radicación No. 11001-03-06-000-2015-00164-00(2269).</w:t>
            </w:r>
          </w:p>
          <w:p w14:paraId="188CD05A" w14:textId="77777777" w:rsidR="00B070F0" w:rsidRPr="00FC6F34" w:rsidRDefault="00B070F0" w:rsidP="001966D9">
            <w:pPr>
              <w:pStyle w:val="ListParagraph"/>
              <w:numPr>
                <w:ilvl w:val="0"/>
                <w:numId w:val="16"/>
              </w:numPr>
              <w:spacing w:before="120" w:after="120" w:line="276" w:lineRule="auto"/>
              <w:contextualSpacing w:val="0"/>
              <w:jc w:val="both"/>
              <w:rPr>
                <w:rFonts w:ascii="Verdana" w:hAnsi="Verdana" w:cs="Arial"/>
              </w:rPr>
            </w:pPr>
            <w:r w:rsidRPr="00FC6F34">
              <w:rPr>
                <w:rFonts w:ascii="Verdana" w:eastAsia="Calibri" w:hAnsi="Verdana" w:cs="Arial"/>
              </w:rPr>
              <w:t>Consejo de Estado, Sala de Consulta y Servicio Civil, Concepto de fecha 8 de mayo de 2018, No. 2382. C. P. Álvaro Namén Vargas.</w:t>
            </w:r>
          </w:p>
        </w:tc>
      </w:tr>
    </w:tbl>
    <w:p w14:paraId="44CD3306" w14:textId="77777777" w:rsidR="00B070F0" w:rsidRPr="00FC6F34" w:rsidRDefault="00B070F0" w:rsidP="00B070F0">
      <w:pPr>
        <w:widowControl w:val="0"/>
        <w:autoSpaceDE w:val="0"/>
        <w:autoSpaceDN w:val="0"/>
        <w:spacing w:after="0" w:line="276" w:lineRule="auto"/>
        <w:jc w:val="both"/>
        <w:rPr>
          <w:rFonts w:ascii="Verdana" w:hAnsi="Verdana" w:cs="Arial"/>
          <w:color w:val="000000" w:themeColor="text1"/>
          <w:lang w:val="es-ES"/>
        </w:rPr>
      </w:pPr>
    </w:p>
    <w:p w14:paraId="0F2B4E5D" w14:textId="77777777" w:rsidR="00B070F0" w:rsidRPr="00FC6F34" w:rsidRDefault="00B070F0" w:rsidP="00B070F0">
      <w:pPr>
        <w:tabs>
          <w:tab w:val="left" w:pos="142"/>
          <w:tab w:val="left" w:pos="284"/>
        </w:tabs>
        <w:spacing w:after="0" w:line="276" w:lineRule="auto"/>
        <w:jc w:val="both"/>
        <w:rPr>
          <w:rFonts w:ascii="Verdana" w:eastAsia="Century Gothic" w:hAnsi="Verdana" w:cs="Century Gothic"/>
          <w:b/>
          <w:color w:val="000000" w:themeColor="text1"/>
          <w:lang w:val="es-ES"/>
        </w:rPr>
      </w:pPr>
      <w:r w:rsidRPr="00FC6F34">
        <w:rPr>
          <w:rFonts w:ascii="Verdana" w:eastAsia="Century Gothic" w:hAnsi="Verdana" w:cs="Century Gothic"/>
          <w:b/>
          <w:color w:val="000000" w:themeColor="text1"/>
          <w:lang w:val="es-ES"/>
        </w:rPr>
        <w:t>5.Doctrina de la Agencia Nacional de Contratación Pública:</w:t>
      </w:r>
    </w:p>
    <w:p w14:paraId="0B6A0FD1" w14:textId="77777777" w:rsidR="00B070F0" w:rsidRPr="00FC6F34" w:rsidRDefault="00B070F0" w:rsidP="00B070F0">
      <w:pPr>
        <w:widowControl w:val="0"/>
        <w:autoSpaceDE w:val="0"/>
        <w:autoSpaceDN w:val="0"/>
        <w:spacing w:after="0" w:line="276" w:lineRule="auto"/>
        <w:jc w:val="both"/>
        <w:rPr>
          <w:rFonts w:ascii="Verdana" w:hAnsi="Verdana" w:cs="Arial"/>
          <w:color w:val="000000" w:themeColor="text1"/>
          <w:lang w:val="es-ES"/>
        </w:rPr>
      </w:pPr>
    </w:p>
    <w:p w14:paraId="7EED8A15" w14:textId="77777777" w:rsidR="00B070F0" w:rsidRDefault="00B070F0" w:rsidP="00B070F0">
      <w:pPr>
        <w:spacing w:after="0"/>
        <w:jc w:val="both"/>
        <w:rPr>
          <w:rFonts w:ascii="Arial" w:eastAsia="Calibri" w:hAnsi="Arial" w:cs="Arial"/>
          <w:b/>
          <w:bCs/>
          <w:color w:val="000000" w:themeColor="text1"/>
          <w:lang w:val="es-ES_tradnl"/>
        </w:rPr>
      </w:pPr>
      <w:r w:rsidRPr="00FC6F34">
        <w:rPr>
          <w:rFonts w:ascii="Verdana" w:eastAsia="Calibri" w:hAnsi="Verdana" w:cs="Arial"/>
          <w:lang w:val="es-ES"/>
        </w:rPr>
        <w:t xml:space="preserve">La Agencia Nacional de Contratación Pública – Colombia Compra Eficiente se ha referido </w:t>
      </w:r>
      <w:r w:rsidRPr="00FC6F34">
        <w:rPr>
          <w:rFonts w:ascii="Verdana" w:hAnsi="Verdana" w:cs="Arial"/>
          <w:shd w:val="clear" w:color="auto" w:fill="FFFFFF"/>
          <w:lang w:val="es-ES"/>
        </w:rPr>
        <w:t xml:space="preserve">sobre la Ley de Garantías Electorales en los conceptos con radicado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w:t>
      </w:r>
      <w:r w:rsidRPr="00FC6F34">
        <w:rPr>
          <w:rFonts w:ascii="Verdana" w:hAnsi="Verdana" w:cs="Arial"/>
          <w:shd w:val="clear" w:color="auto" w:fill="FFFFFF"/>
          <w:lang w:val="es-ES"/>
        </w:rPr>
        <w:lastRenderedPageBreak/>
        <w:t>de 2021, C-686 del 21 de diciembre de 2021, C-697 del 3 de enero de 2022, C-180 del 21 de marzo de 2025, C-317 del 25 de abril de 2025, C-510 del 4 de junio de 2025, C -635 del 27 de junio de 2025, C–750 de 17 de julio 2025, C-729 del 15 de Julio de 2015 y C-273-A de 2025</w:t>
      </w:r>
      <w:r>
        <w:rPr>
          <w:rFonts w:ascii="Verdana" w:hAnsi="Verdana" w:cs="Arial"/>
          <w:shd w:val="clear" w:color="auto" w:fill="FFFFFF"/>
          <w:lang w:val="es-ES"/>
        </w:rPr>
        <w:t>, entre otros</w:t>
      </w:r>
      <w:r w:rsidRPr="00FC6F34">
        <w:rPr>
          <w:rFonts w:ascii="Verdana" w:hAnsi="Verdana" w:cs="Arial"/>
          <w:shd w:val="clear" w:color="auto" w:fill="FFFFFF"/>
          <w:lang w:val="es-ES"/>
        </w:rPr>
        <w:t>. Estos</w:t>
      </w:r>
      <w:r w:rsidRPr="00FC6F34">
        <w:rPr>
          <w:rFonts w:ascii="Verdana" w:hAnsi="Verdana"/>
          <w:lang w:val="es-ES"/>
        </w:rPr>
        <w:t xml:space="preserve"> y otros se encuentran disponibles para consulta en el Sistema de relatoría de la Agencia, al cual se puede acceder a través del siguiente enlace:</w:t>
      </w:r>
      <w:r w:rsidRPr="00FC6F34">
        <w:rPr>
          <w:rFonts w:ascii="Verdana" w:hAnsi="Verdana" w:cs="Arial"/>
          <w:shd w:val="clear" w:color="auto" w:fill="FFFFFF"/>
          <w:lang w:val="es-ES"/>
        </w:rPr>
        <w:t xml:space="preserve"> </w:t>
      </w:r>
      <w:hyperlink r:id="rId14" w:history="1">
        <w:r w:rsidRPr="00FC6F34">
          <w:rPr>
            <w:rFonts w:ascii="Verdana" w:hAnsi="Verdana" w:cs="Arial"/>
            <w:color w:val="0000FF"/>
            <w:u w:val="single"/>
            <w:shd w:val="clear" w:color="auto" w:fill="FFFFFF"/>
            <w:lang w:val="es-ES"/>
          </w:rPr>
          <w:t>https://relatoria.colombiacompra.gov.co/busqueda/concept os</w:t>
        </w:r>
      </w:hyperlink>
      <w:r w:rsidRPr="00FC6F34">
        <w:rPr>
          <w:rFonts w:ascii="Verdana" w:hAnsi="Verdana" w:cs="Arial"/>
          <w:shd w:val="clear" w:color="auto" w:fill="FFFFFF"/>
          <w:lang w:val="es-ES"/>
        </w:rPr>
        <w:t>.</w:t>
      </w:r>
      <w:r w:rsidRPr="00FC6F34">
        <w:rPr>
          <w:rFonts w:ascii="Verdana" w:hAnsi="Verdana" w:cs="Arial"/>
          <w:color w:val="FF0000"/>
          <w:shd w:val="clear" w:color="auto" w:fill="FFFFFF"/>
          <w:lang w:val="es-ES"/>
        </w:rPr>
        <w:t xml:space="preserve"> </w:t>
      </w:r>
      <w:r w:rsidRPr="00FC6F34">
        <w:rPr>
          <w:rFonts w:ascii="Verdana" w:hAnsi="Verdana" w:cs="Arial"/>
          <w:color w:val="000000" w:themeColor="text1"/>
          <w:shd w:val="clear" w:color="auto" w:fill="FFFFFF"/>
          <w:lang w:val="es-ES"/>
        </w:rPr>
        <w:t>  </w:t>
      </w:r>
    </w:p>
    <w:p w14:paraId="79D73A91" w14:textId="77777777" w:rsidR="00B070F0" w:rsidRDefault="00B070F0" w:rsidP="00B070F0">
      <w:pPr>
        <w:spacing w:after="0"/>
        <w:jc w:val="both"/>
        <w:rPr>
          <w:rFonts w:ascii="Verdana" w:hAnsi="Verdana" w:cs="Arial"/>
          <w:lang w:val="es-ES"/>
        </w:rPr>
      </w:pPr>
    </w:p>
    <w:p w14:paraId="50EEBF17" w14:textId="77777777" w:rsidR="00B070F0" w:rsidRPr="00CE50C5" w:rsidRDefault="00B070F0" w:rsidP="00B070F0">
      <w:pPr>
        <w:spacing w:after="0"/>
        <w:jc w:val="both"/>
        <w:rPr>
          <w:rFonts w:ascii="Arial" w:eastAsia="Calibri" w:hAnsi="Arial" w:cs="Arial"/>
          <w:b/>
          <w:bCs/>
          <w:color w:val="000000" w:themeColor="text1"/>
          <w:lang w:val="es-ES_tradnl"/>
        </w:rPr>
      </w:pPr>
      <w:r w:rsidRPr="00FC6F34">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225BD47" w14:textId="77777777" w:rsidR="00B070F0" w:rsidRPr="00FC6F34" w:rsidRDefault="00B070F0" w:rsidP="00B070F0">
      <w:pPr>
        <w:widowControl w:val="0"/>
        <w:autoSpaceDE w:val="0"/>
        <w:autoSpaceDN w:val="0"/>
        <w:spacing w:after="0" w:line="276" w:lineRule="auto"/>
        <w:jc w:val="both"/>
        <w:rPr>
          <w:rFonts w:ascii="Verdana" w:hAnsi="Verdana" w:cs="Arial"/>
          <w:lang w:val="es-ES"/>
        </w:rPr>
      </w:pPr>
    </w:p>
    <w:p w14:paraId="2CDB4A86" w14:textId="77777777" w:rsidR="00B070F0" w:rsidRPr="00FC6F34" w:rsidRDefault="00B070F0" w:rsidP="00B070F0">
      <w:pPr>
        <w:spacing w:after="0" w:line="276" w:lineRule="auto"/>
        <w:rPr>
          <w:rFonts w:ascii="Verdana" w:hAnsi="Verdana" w:cs="Arial"/>
          <w:color w:val="000000" w:themeColor="text1"/>
          <w:lang w:val="es-ES" w:eastAsia="es-CO"/>
        </w:rPr>
      </w:pPr>
      <w:r w:rsidRPr="00FC6F34">
        <w:rPr>
          <w:rFonts w:ascii="Verdana" w:eastAsia="Times New Roman" w:hAnsi="Verdana" w:cs="Arial"/>
          <w:color w:val="000000" w:themeColor="text1"/>
          <w:lang w:val="es-ES" w:eastAsia="es-CO"/>
        </w:rPr>
        <w:t>Atentamente,</w:t>
      </w:r>
      <w:r w:rsidRPr="00FC6F34">
        <w:rPr>
          <w:rFonts w:ascii="Verdana" w:hAnsi="Verdana" w:cs="Arial"/>
          <w:color w:val="000000" w:themeColor="text1"/>
          <w:lang w:val="es-ES" w:eastAsia="es-CO"/>
        </w:rPr>
        <w:t xml:space="preserve"> </w:t>
      </w:r>
    </w:p>
    <w:p w14:paraId="73C6C8B9" w14:textId="202FA1CF" w:rsidR="00B070F0" w:rsidRPr="00FC6F34" w:rsidRDefault="00FF4170" w:rsidP="00B070F0">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60289" behindDoc="0" locked="0" layoutInCell="1" allowOverlap="1" wp14:anchorId="5E5F3380" wp14:editId="48E0905E">
            <wp:simplePos x="0" y="0"/>
            <wp:positionH relativeFrom="column">
              <wp:posOffset>1147483</wp:posOffset>
            </wp:positionH>
            <wp:positionV relativeFrom="page">
              <wp:posOffset>4116481</wp:posOffset>
            </wp:positionV>
            <wp:extent cx="3771900" cy="1400175"/>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14:sizeRelH relativeFrom="page">
              <wp14:pctWidth>0</wp14:pctWidth>
            </wp14:sizeRelH>
            <wp14:sizeRelV relativeFrom="page">
              <wp14:pctHeight>0</wp14:pctHeight>
            </wp14:sizeRelV>
          </wp:anchor>
        </w:drawing>
      </w:r>
    </w:p>
    <w:p w14:paraId="2C0F5D71" w14:textId="77777777" w:rsidR="00B070F0" w:rsidRPr="00FC6F34" w:rsidRDefault="00B070F0" w:rsidP="00B070F0">
      <w:pPr>
        <w:spacing w:line="276" w:lineRule="auto"/>
        <w:jc w:val="center"/>
        <w:rPr>
          <w:rFonts w:ascii="Verdana" w:hAnsi="Verdana" w:cs="Arial"/>
          <w:color w:val="000000" w:themeColor="text1"/>
          <w:lang w:val="es-ES" w:eastAsia="es-CO"/>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070F0" w:rsidRPr="005474F1" w14:paraId="2A001E45" w14:textId="77777777" w:rsidTr="001966D9">
        <w:trPr>
          <w:trHeight w:val="315"/>
        </w:trPr>
        <w:tc>
          <w:tcPr>
            <w:tcW w:w="893" w:type="dxa"/>
            <w:vAlign w:val="center"/>
            <w:hideMark/>
          </w:tcPr>
          <w:p w14:paraId="648071D2" w14:textId="77777777" w:rsidR="00B070F0" w:rsidRPr="005474F1" w:rsidRDefault="00B070F0" w:rsidP="001966D9">
            <w:pPr>
              <w:contextualSpacing/>
              <w:rPr>
                <w:rFonts w:ascii="Verdana" w:hAnsi="Verdana" w:cs="Arial"/>
                <w:sz w:val="15"/>
                <w:szCs w:val="15"/>
                <w:lang w:val="es-ES" w:eastAsia="es-ES"/>
              </w:rPr>
            </w:pPr>
            <w:r w:rsidRPr="005474F1">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2E9B60DA" w14:textId="77777777" w:rsidR="00B070F0" w:rsidRPr="005474F1" w:rsidRDefault="00B070F0" w:rsidP="001966D9">
            <w:pPr>
              <w:contextualSpacing/>
              <w:rPr>
                <w:rFonts w:ascii="Verdana" w:eastAsia="Arial" w:hAnsi="Verdana" w:cs="Arial"/>
                <w:color w:val="000000" w:themeColor="text1"/>
                <w:sz w:val="15"/>
                <w:szCs w:val="15"/>
                <w:lang w:val="es-ES"/>
              </w:rPr>
            </w:pPr>
            <w:r w:rsidRPr="005474F1">
              <w:rPr>
                <w:rFonts w:ascii="Verdana" w:eastAsia="Arial" w:hAnsi="Verdana" w:cs="Arial"/>
                <w:color w:val="000000" w:themeColor="text1"/>
                <w:sz w:val="15"/>
                <w:szCs w:val="15"/>
                <w:lang w:val="es-ES"/>
              </w:rPr>
              <w:t>Anamaría Bonilla Prieto</w:t>
            </w:r>
          </w:p>
          <w:p w14:paraId="19DF63B0" w14:textId="77777777" w:rsidR="00B070F0" w:rsidRPr="005474F1" w:rsidRDefault="00B070F0" w:rsidP="001966D9">
            <w:pPr>
              <w:contextualSpacing/>
              <w:rPr>
                <w:rFonts w:ascii="Verdana" w:eastAsia="Arial" w:hAnsi="Verdana" w:cs="Arial"/>
                <w:sz w:val="15"/>
                <w:szCs w:val="15"/>
                <w:lang w:val="es-ES"/>
              </w:rPr>
            </w:pPr>
            <w:r w:rsidRPr="005474F1">
              <w:rPr>
                <w:rStyle w:val="normaltextrun"/>
                <w:rFonts w:ascii="Verdana" w:eastAsia="Arial" w:hAnsi="Verdana" w:cs="Arial"/>
                <w:color w:val="000000" w:themeColor="text1"/>
                <w:sz w:val="15"/>
                <w:szCs w:val="15"/>
                <w:lang w:val="es-ES"/>
              </w:rPr>
              <w:t xml:space="preserve">Contratista de la Subdirección </w:t>
            </w:r>
            <w:r w:rsidRPr="005474F1">
              <w:rPr>
                <w:rStyle w:val="normaltextrun"/>
                <w:rFonts w:ascii="Verdana" w:eastAsia="Arial" w:hAnsi="Verdana" w:cs="Arial"/>
                <w:sz w:val="15"/>
                <w:szCs w:val="15"/>
                <w:lang w:val="es-ES"/>
              </w:rPr>
              <w:t>de Gestión Contractual</w:t>
            </w:r>
          </w:p>
        </w:tc>
      </w:tr>
      <w:tr w:rsidR="00B070F0" w:rsidRPr="005474F1" w14:paraId="3D4C6605" w14:textId="77777777" w:rsidTr="001966D9">
        <w:trPr>
          <w:trHeight w:val="330"/>
        </w:trPr>
        <w:tc>
          <w:tcPr>
            <w:tcW w:w="893" w:type="dxa"/>
            <w:vAlign w:val="center"/>
            <w:hideMark/>
          </w:tcPr>
          <w:p w14:paraId="619613E8" w14:textId="77777777" w:rsidR="00B070F0" w:rsidRPr="005474F1" w:rsidRDefault="00B070F0" w:rsidP="001966D9">
            <w:pPr>
              <w:contextualSpacing/>
              <w:rPr>
                <w:rFonts w:ascii="Verdana" w:hAnsi="Verdana" w:cs="Arial"/>
                <w:sz w:val="15"/>
                <w:szCs w:val="15"/>
                <w:lang w:val="es-ES" w:eastAsia="es-ES"/>
              </w:rPr>
            </w:pPr>
            <w:r w:rsidRPr="005474F1">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5869920" w14:textId="77777777" w:rsidR="00B070F0" w:rsidRPr="005474F1" w:rsidRDefault="00B070F0" w:rsidP="001966D9">
            <w:pPr>
              <w:spacing w:line="276" w:lineRule="auto"/>
              <w:contextualSpacing/>
              <w:textAlignment w:val="baseline"/>
              <w:rPr>
                <w:rFonts w:ascii="Verdana" w:eastAsia="Times New Roman" w:hAnsi="Verdana" w:cs="Arial"/>
                <w:sz w:val="15"/>
                <w:szCs w:val="15"/>
                <w:lang w:val="es-ES" w:eastAsia="es-ES_tradnl"/>
              </w:rPr>
            </w:pPr>
            <w:r w:rsidRPr="005474F1">
              <w:rPr>
                <w:rFonts w:ascii="Verdana" w:eastAsia="Times New Roman" w:hAnsi="Verdana" w:cs="Arial"/>
                <w:sz w:val="15"/>
                <w:szCs w:val="15"/>
                <w:lang w:val="es-ES" w:eastAsia="es-ES_tradnl"/>
              </w:rPr>
              <w:t>Alejandro Sarmiento Cantillo</w:t>
            </w:r>
          </w:p>
          <w:p w14:paraId="27AD4568" w14:textId="77777777" w:rsidR="00B070F0" w:rsidRPr="005474F1" w:rsidRDefault="00B070F0" w:rsidP="001966D9">
            <w:pPr>
              <w:pStyle w:val="paragraph"/>
              <w:spacing w:before="0" w:beforeAutospacing="0" w:after="0" w:afterAutospacing="0"/>
              <w:contextualSpacing/>
              <w:textAlignment w:val="baseline"/>
              <w:rPr>
                <w:rFonts w:ascii="Verdana" w:hAnsi="Verdana" w:cs="Segoe UI"/>
                <w:sz w:val="15"/>
                <w:szCs w:val="15"/>
                <w:lang w:val="es-ES"/>
              </w:rPr>
            </w:pPr>
            <w:r w:rsidRPr="005474F1">
              <w:rPr>
                <w:rFonts w:ascii="Verdana" w:hAnsi="Verdana" w:cs="Arial"/>
                <w:sz w:val="15"/>
                <w:szCs w:val="15"/>
                <w:lang w:val="es-ES"/>
              </w:rPr>
              <w:t xml:space="preserve">Gestor T1 – 15 </w:t>
            </w:r>
            <w:r w:rsidRPr="005474F1">
              <w:rPr>
                <w:rStyle w:val="normaltextrun"/>
                <w:rFonts w:ascii="Verdana" w:hAnsi="Verdana" w:cs="Arial"/>
                <w:sz w:val="15"/>
                <w:szCs w:val="15"/>
                <w:lang w:val="es-ES"/>
              </w:rPr>
              <w:t>de la Subdirección de Gestión Contractual</w:t>
            </w:r>
            <w:r w:rsidRPr="005474F1">
              <w:rPr>
                <w:rStyle w:val="eop"/>
                <w:rFonts w:ascii="Verdana" w:hAnsi="Verdana" w:cs="Arial"/>
                <w:sz w:val="15"/>
                <w:szCs w:val="15"/>
                <w:lang w:val="es-ES"/>
              </w:rPr>
              <w:t> </w:t>
            </w:r>
          </w:p>
        </w:tc>
      </w:tr>
      <w:tr w:rsidR="00B070F0" w:rsidRPr="005474F1" w14:paraId="0DDEA184" w14:textId="77777777" w:rsidTr="001966D9">
        <w:trPr>
          <w:trHeight w:val="300"/>
        </w:trPr>
        <w:tc>
          <w:tcPr>
            <w:tcW w:w="893" w:type="dxa"/>
            <w:vAlign w:val="center"/>
          </w:tcPr>
          <w:p w14:paraId="36F2B358" w14:textId="77777777" w:rsidR="00B070F0" w:rsidRPr="005474F1" w:rsidRDefault="00B070F0" w:rsidP="001966D9">
            <w:pPr>
              <w:contextualSpacing/>
              <w:rPr>
                <w:rFonts w:ascii="Verdana" w:hAnsi="Verdana" w:cs="Arial"/>
                <w:sz w:val="15"/>
                <w:szCs w:val="15"/>
                <w:lang w:val="es-ES" w:eastAsia="es-ES"/>
              </w:rPr>
            </w:pPr>
            <w:r w:rsidRPr="005474F1">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7D71588" w14:textId="77777777" w:rsidR="00B070F0" w:rsidRPr="005474F1" w:rsidRDefault="00B070F0" w:rsidP="001966D9">
            <w:pPr>
              <w:contextualSpacing/>
              <w:rPr>
                <w:rFonts w:ascii="Verdana" w:eastAsia="Calibri" w:hAnsi="Verdana" w:cs="Arial"/>
                <w:sz w:val="15"/>
                <w:szCs w:val="15"/>
                <w:lang w:val="es-ES" w:eastAsia="es-ES"/>
              </w:rPr>
            </w:pPr>
            <w:r w:rsidRPr="005474F1">
              <w:rPr>
                <w:rFonts w:ascii="Verdana" w:eastAsia="Calibri" w:hAnsi="Verdana" w:cs="Arial"/>
                <w:sz w:val="15"/>
                <w:szCs w:val="15"/>
                <w:lang w:val="es-ES" w:eastAsia="es-ES"/>
              </w:rPr>
              <w:t>Carolina Quintero Gacharná</w:t>
            </w:r>
          </w:p>
          <w:p w14:paraId="3161BEBA" w14:textId="77777777" w:rsidR="00B070F0" w:rsidRPr="005474F1" w:rsidRDefault="00B070F0" w:rsidP="001966D9">
            <w:pPr>
              <w:contextualSpacing/>
              <w:rPr>
                <w:rFonts w:ascii="Verdana" w:eastAsia="Calibri" w:hAnsi="Verdana" w:cs="Arial"/>
                <w:sz w:val="15"/>
                <w:szCs w:val="15"/>
                <w:lang w:val="es-ES" w:eastAsia="es-ES"/>
              </w:rPr>
            </w:pPr>
            <w:r w:rsidRPr="005474F1">
              <w:rPr>
                <w:rFonts w:ascii="Verdana" w:eastAsia="Calibri" w:hAnsi="Verdana" w:cs="Arial"/>
                <w:sz w:val="15"/>
                <w:szCs w:val="15"/>
                <w:lang w:val="es-ES" w:eastAsia="es-ES"/>
              </w:rPr>
              <w:t>Subdirectora de Gestión Contractual ANCP – CCE</w:t>
            </w:r>
          </w:p>
        </w:tc>
      </w:tr>
      <w:bookmarkEnd w:id="0"/>
    </w:tbl>
    <w:p w14:paraId="30E7046B" w14:textId="6A0F3007" w:rsidR="00B070F0" w:rsidRPr="00037AD3" w:rsidRDefault="00B070F0" w:rsidP="00B070F0"/>
    <w:p w14:paraId="0F293BF4" w14:textId="6FB4CC8B" w:rsidR="00127233" w:rsidRPr="00B070F0" w:rsidRDefault="00127233" w:rsidP="00B070F0"/>
    <w:sectPr w:rsidR="00127233" w:rsidRPr="00B070F0"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4BAC0" w14:textId="77777777" w:rsidR="004D3AB8" w:rsidRDefault="004D3AB8" w:rsidP="004A1847">
      <w:pPr>
        <w:spacing w:after="0" w:line="240" w:lineRule="auto"/>
      </w:pPr>
      <w:r>
        <w:separator/>
      </w:r>
    </w:p>
  </w:endnote>
  <w:endnote w:type="continuationSeparator" w:id="0">
    <w:p w14:paraId="1F4A925B" w14:textId="77777777" w:rsidR="004D3AB8" w:rsidRDefault="004D3AB8" w:rsidP="004A1847">
      <w:pPr>
        <w:spacing w:after="0" w:line="240" w:lineRule="auto"/>
      </w:pPr>
      <w:r>
        <w:continuationSeparator/>
      </w:r>
    </w:p>
  </w:endnote>
  <w:endnote w:type="continuationNotice" w:id="1">
    <w:p w14:paraId="6AFB0BDC" w14:textId="77777777" w:rsidR="004D3AB8" w:rsidRDefault="004D3A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9FE8B" w14:textId="77777777" w:rsidR="004D3AB8" w:rsidRDefault="004D3AB8" w:rsidP="004A1847">
      <w:pPr>
        <w:spacing w:after="0" w:line="240" w:lineRule="auto"/>
      </w:pPr>
      <w:r>
        <w:separator/>
      </w:r>
    </w:p>
  </w:footnote>
  <w:footnote w:type="continuationSeparator" w:id="0">
    <w:p w14:paraId="7086D339" w14:textId="77777777" w:rsidR="004D3AB8" w:rsidRDefault="004D3AB8" w:rsidP="004A1847">
      <w:pPr>
        <w:spacing w:after="0" w:line="240" w:lineRule="auto"/>
      </w:pPr>
      <w:r>
        <w:continuationSeparator/>
      </w:r>
    </w:p>
  </w:footnote>
  <w:footnote w:type="continuationNotice" w:id="1">
    <w:p w14:paraId="70E8BA04" w14:textId="77777777" w:rsidR="004D3AB8" w:rsidRDefault="004D3AB8">
      <w:pPr>
        <w:spacing w:after="0" w:line="240" w:lineRule="auto"/>
      </w:pPr>
    </w:p>
  </w:footnote>
  <w:footnote w:id="2">
    <w:p w14:paraId="4A4E8BDF" w14:textId="77777777" w:rsidR="00B070F0" w:rsidRPr="00F507F9" w:rsidRDefault="00B070F0" w:rsidP="00B070F0">
      <w:pPr>
        <w:pStyle w:val="FootnoteText"/>
        <w:ind w:firstLine="709"/>
        <w:contextualSpacing/>
        <w:jc w:val="both"/>
        <w:rPr>
          <w:rFonts w:ascii="Verdana"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4258C3B3" w14:textId="77777777" w:rsidR="00B070F0" w:rsidRPr="00F507F9" w:rsidRDefault="00B070F0" w:rsidP="00B070F0">
      <w:pPr>
        <w:pStyle w:val="FootnoteText"/>
        <w:ind w:firstLine="709"/>
        <w:contextualSpacing/>
        <w:jc w:val="both"/>
        <w:rPr>
          <w:rFonts w:ascii="Verdana" w:hAnsi="Verdana" w:cs="Arial"/>
          <w:sz w:val="16"/>
          <w:szCs w:val="16"/>
        </w:rPr>
      </w:pPr>
      <w:r w:rsidRPr="00F507F9">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3">
    <w:p w14:paraId="62589420" w14:textId="77777777" w:rsidR="00B070F0" w:rsidRPr="00F507F9" w:rsidRDefault="00B070F0" w:rsidP="00B070F0">
      <w:pPr>
        <w:pStyle w:val="FootnoteText"/>
        <w:ind w:firstLine="709"/>
        <w:contextualSpacing/>
        <w:jc w:val="both"/>
        <w:rPr>
          <w:rFonts w:ascii="Verdana"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Gaceta del Congreso de la República No. 71 del 2005.</w:t>
      </w:r>
    </w:p>
  </w:footnote>
  <w:footnote w:id="4">
    <w:p w14:paraId="7B377141" w14:textId="77777777" w:rsidR="00B070F0" w:rsidRPr="00F507F9" w:rsidRDefault="00B070F0" w:rsidP="00B070F0">
      <w:pPr>
        <w:pStyle w:val="FootnoteText"/>
        <w:ind w:firstLine="709"/>
        <w:contextualSpacing/>
        <w:jc w:val="both"/>
        <w:rPr>
          <w:rFonts w:ascii="Verdana" w:hAnsi="Verdana" w:cs="Arial"/>
          <w:sz w:val="16"/>
          <w:szCs w:val="16"/>
          <w:lang w:val="pt-BR"/>
        </w:rPr>
      </w:pPr>
      <w:r w:rsidRPr="00F507F9">
        <w:rPr>
          <w:rStyle w:val="FootnoteReference"/>
          <w:rFonts w:ascii="Verdana" w:hAnsi="Verdana" w:cs="Arial"/>
          <w:sz w:val="16"/>
          <w:szCs w:val="16"/>
        </w:rPr>
        <w:footnoteRef/>
      </w:r>
      <w:r w:rsidRPr="00F507F9">
        <w:rPr>
          <w:rFonts w:ascii="Verdana" w:hAnsi="Verdana" w:cs="Arial"/>
          <w:sz w:val="16"/>
          <w:szCs w:val="16"/>
          <w:lang w:val="pt-BR"/>
        </w:rPr>
        <w:t xml:space="preserve"> Corte Constitucional, Sentencia C- 1153 de 2005, M.P. Marco Gerardo Monroy Cabra.</w:t>
      </w:r>
    </w:p>
  </w:footnote>
  <w:footnote w:id="5">
    <w:p w14:paraId="1900BE75" w14:textId="77777777" w:rsidR="00B070F0" w:rsidRPr="00F507F9" w:rsidRDefault="00B070F0" w:rsidP="00B070F0">
      <w:pPr>
        <w:pStyle w:val="FootnoteText"/>
        <w:ind w:firstLine="709"/>
        <w:contextualSpacing/>
        <w:jc w:val="both"/>
        <w:rPr>
          <w:rFonts w:ascii="Verdana" w:hAnsi="Verdana" w:cs="Arial"/>
          <w:sz w:val="16"/>
          <w:szCs w:val="16"/>
          <w:lang w:val="pt-BR"/>
        </w:rPr>
      </w:pPr>
      <w:r w:rsidRPr="00F507F9">
        <w:rPr>
          <w:rStyle w:val="FootnoteReference"/>
          <w:rFonts w:ascii="Verdana" w:hAnsi="Verdana" w:cs="Arial"/>
          <w:sz w:val="16"/>
          <w:szCs w:val="16"/>
        </w:rPr>
        <w:footnoteRef/>
      </w:r>
      <w:r w:rsidRPr="00F507F9">
        <w:rPr>
          <w:rFonts w:ascii="Verdana" w:hAnsi="Verdana" w:cs="Arial"/>
          <w:sz w:val="16"/>
          <w:szCs w:val="16"/>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6">
    <w:p w14:paraId="4C973B16" w14:textId="77777777" w:rsidR="00B070F0" w:rsidRPr="00F507F9" w:rsidRDefault="00B070F0" w:rsidP="00B070F0">
      <w:pPr>
        <w:pStyle w:val="FootnoteText"/>
        <w:ind w:firstLine="709"/>
        <w:contextualSpacing/>
        <w:jc w:val="both"/>
        <w:rPr>
          <w:rFonts w:ascii="Verdana" w:hAnsi="Verdana" w:cs="Arial"/>
          <w:sz w:val="16"/>
          <w:szCs w:val="16"/>
          <w:lang w:val="es-CO"/>
        </w:rPr>
      </w:pPr>
      <w:r w:rsidRPr="00F507F9">
        <w:rPr>
          <w:rStyle w:val="FootnoteReference"/>
          <w:rFonts w:ascii="Verdana" w:hAnsi="Verdana" w:cs="Arial"/>
          <w:sz w:val="16"/>
          <w:szCs w:val="16"/>
        </w:rPr>
        <w:footnoteRef/>
      </w:r>
      <w:r w:rsidRPr="00F507F9">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7">
    <w:p w14:paraId="60C297C0" w14:textId="77777777" w:rsidR="00B070F0" w:rsidRPr="00F507F9" w:rsidRDefault="00B070F0" w:rsidP="00B070F0">
      <w:pPr>
        <w:pStyle w:val="FootnoteText"/>
        <w:ind w:firstLine="709"/>
        <w:contextualSpacing/>
        <w:jc w:val="both"/>
        <w:rPr>
          <w:rFonts w:ascii="Verdana"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Consejo de Estado, Sala de Consulta y Servicio Civil de fecha 24 de julio de 2013, Rad. 2166, C. P. Álvaro Namén Vargas.  </w:t>
      </w:r>
    </w:p>
  </w:footnote>
  <w:footnote w:id="8">
    <w:p w14:paraId="24449C02" w14:textId="77777777" w:rsidR="00B070F0" w:rsidRPr="00F507F9" w:rsidRDefault="00B070F0" w:rsidP="00B070F0">
      <w:pPr>
        <w:spacing w:after="0" w:line="240" w:lineRule="auto"/>
        <w:ind w:firstLine="709"/>
        <w:contextualSpacing/>
        <w:jc w:val="both"/>
        <w:rPr>
          <w:rFonts w:ascii="Verdana" w:eastAsia="Times New Roman"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w:t>
      </w:r>
      <w:r w:rsidRPr="00F507F9">
        <w:rPr>
          <w:rFonts w:ascii="Verdana" w:eastAsia="Calibri" w:hAnsi="Verdana" w:cs="Arial"/>
          <w:color w:val="000000"/>
          <w:sz w:val="16"/>
          <w:szCs w:val="16"/>
        </w:rPr>
        <w:t>“</w:t>
      </w:r>
      <w:r w:rsidRPr="00F507F9">
        <w:rPr>
          <w:rFonts w:ascii="Verdana" w:eastAsia="Times New Roman" w:hAnsi="Verdana" w:cs="Arial"/>
          <w:sz w:val="16"/>
          <w:szCs w:val="16"/>
        </w:rPr>
        <w:t>Artículo 33. Restricciones a la contratación pública. Durante los cuatro (4) meses anteriores a la elección presidencial y hasta la realización de la elección en la segunda vuelta, si fuere el caso, queda prohibida la contratación directa por parte de todos los entes del Estado.</w:t>
      </w:r>
    </w:p>
    <w:p w14:paraId="7721CAD8" w14:textId="77777777" w:rsidR="00B070F0" w:rsidRPr="00F507F9" w:rsidRDefault="00B070F0" w:rsidP="00B070F0">
      <w:pPr>
        <w:spacing w:after="0" w:line="240" w:lineRule="auto"/>
        <w:ind w:firstLine="709"/>
        <w:contextualSpacing/>
        <w:jc w:val="both"/>
        <w:rPr>
          <w:rFonts w:ascii="Verdana" w:eastAsia="Times New Roman" w:hAnsi="Verdana" w:cs="Arial"/>
          <w:sz w:val="16"/>
          <w:szCs w:val="16"/>
        </w:rPr>
      </w:pPr>
      <w:r w:rsidRPr="00F507F9">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F507F9">
        <w:rPr>
          <w:rFonts w:ascii="Verdana" w:eastAsia="Calibri" w:hAnsi="Verdana" w:cs="Arial"/>
          <w:color w:val="000000"/>
          <w:sz w:val="16"/>
          <w:szCs w:val="16"/>
        </w:rPr>
        <w:t>”</w:t>
      </w:r>
      <w:r w:rsidRPr="00F507F9">
        <w:rPr>
          <w:rFonts w:ascii="Verdana" w:eastAsia="Times New Roman" w:hAnsi="Verdana" w:cs="Arial"/>
          <w:sz w:val="16"/>
          <w:szCs w:val="16"/>
        </w:rPr>
        <w:t>.</w:t>
      </w:r>
    </w:p>
  </w:footnote>
  <w:footnote w:id="9">
    <w:p w14:paraId="666FC3AB" w14:textId="77777777" w:rsidR="00B070F0" w:rsidRPr="00F507F9" w:rsidRDefault="00B070F0" w:rsidP="00B070F0">
      <w:pPr>
        <w:pStyle w:val="NormalWeb"/>
        <w:spacing w:before="0" w:beforeAutospacing="0" w:after="0" w:afterAutospacing="0"/>
        <w:ind w:firstLine="709"/>
        <w:contextualSpacing/>
        <w:jc w:val="both"/>
        <w:rPr>
          <w:rFonts w:ascii="Verdana" w:hAnsi="Verdana" w:cs="Arial"/>
          <w:sz w:val="16"/>
          <w:szCs w:val="16"/>
          <w:lang w:val="es-MX"/>
        </w:rPr>
      </w:pPr>
      <w:r w:rsidRPr="00F507F9">
        <w:rPr>
          <w:rStyle w:val="FootnoteReference"/>
          <w:rFonts w:ascii="Verdana" w:hAnsi="Verdana" w:cs="Arial"/>
          <w:sz w:val="16"/>
          <w:szCs w:val="16"/>
        </w:rPr>
        <w:footnoteRef/>
      </w:r>
      <w:r w:rsidRPr="00F507F9">
        <w:rPr>
          <w:rFonts w:ascii="Verdana" w:hAnsi="Verdana" w:cs="Arial"/>
          <w:sz w:val="16"/>
          <w:szCs w:val="16"/>
        </w:rPr>
        <w:t xml:space="preserve"> </w:t>
      </w:r>
      <w:r w:rsidRPr="00F507F9">
        <w:rPr>
          <w:rFonts w:ascii="Verdana" w:eastAsia="Calibri" w:hAnsi="Verdana" w:cs="Arial"/>
          <w:color w:val="000000"/>
          <w:sz w:val="16"/>
          <w:szCs w:val="16"/>
        </w:rPr>
        <w:t>“</w:t>
      </w:r>
      <w:r w:rsidRPr="00F507F9">
        <w:rPr>
          <w:rFonts w:ascii="Verdana" w:hAnsi="Verdana" w:cs="Arial"/>
          <w:sz w:val="16"/>
          <w:szCs w:val="16"/>
          <w:lang w:val="es-MX"/>
        </w:rPr>
        <w:t>Artículo 38. Prohibiciones para los servidores públicos. A los empleados del Estado les está prohibido: […]</w:t>
      </w:r>
    </w:p>
    <w:p w14:paraId="68B2530E" w14:textId="77777777" w:rsidR="00B070F0" w:rsidRPr="00F507F9" w:rsidRDefault="00B070F0" w:rsidP="00B070F0">
      <w:pPr>
        <w:pStyle w:val="NormalWeb"/>
        <w:spacing w:before="0" w:beforeAutospacing="0" w:after="0" w:afterAutospacing="0"/>
        <w:ind w:firstLine="709"/>
        <w:contextualSpacing/>
        <w:jc w:val="both"/>
        <w:rPr>
          <w:rFonts w:ascii="Verdana" w:hAnsi="Verdana" w:cs="Arial"/>
          <w:sz w:val="16"/>
          <w:szCs w:val="16"/>
          <w:lang w:val="es-MX"/>
        </w:rPr>
      </w:pPr>
      <w:r w:rsidRPr="00F507F9">
        <w:rPr>
          <w:rStyle w:val="baj"/>
          <w:rFonts w:ascii="Verdana" w:hAnsi="Verdana" w:cs="Arial"/>
          <w:sz w:val="16"/>
          <w:szCs w:val="16"/>
          <w:lang w:val="es-MX"/>
        </w:rPr>
        <w:t>Parágrafo.</w:t>
      </w:r>
      <w:r w:rsidRPr="00F507F9">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F507F9">
        <w:rPr>
          <w:rFonts w:ascii="Verdana" w:eastAsia="Calibri" w:hAnsi="Verdana" w:cs="Arial"/>
          <w:color w:val="000000"/>
          <w:sz w:val="16"/>
          <w:szCs w:val="16"/>
        </w:rPr>
        <w:t>”</w:t>
      </w:r>
      <w:r w:rsidRPr="00F507F9">
        <w:rPr>
          <w:rFonts w:ascii="Verdana" w:hAnsi="Verdana" w:cs="Arial"/>
          <w:sz w:val="16"/>
          <w:szCs w:val="16"/>
          <w:lang w:val="es-MX"/>
        </w:rPr>
        <w:t>.</w:t>
      </w:r>
    </w:p>
  </w:footnote>
  <w:footnote w:id="10">
    <w:p w14:paraId="1C293B6C" w14:textId="77777777" w:rsidR="00B070F0" w:rsidRPr="00F507F9" w:rsidRDefault="00B070F0" w:rsidP="00B070F0">
      <w:pPr>
        <w:spacing w:after="0" w:line="240" w:lineRule="auto"/>
        <w:ind w:left="100" w:right="244" w:firstLine="709"/>
        <w:contextualSpacing/>
        <w:jc w:val="both"/>
        <w:rPr>
          <w:rFonts w:ascii="Verdana" w:hAnsi="Verdana" w:cs="Arial"/>
          <w:sz w:val="16"/>
          <w:szCs w:val="16"/>
          <w:lang w:val="es-ES"/>
        </w:rPr>
      </w:pPr>
      <w:r w:rsidRPr="00F507F9">
        <w:rPr>
          <w:rStyle w:val="FootnoteReference"/>
          <w:rFonts w:ascii="Verdana" w:hAnsi="Verdana" w:cs="Arial"/>
          <w:sz w:val="16"/>
          <w:szCs w:val="16"/>
        </w:rPr>
        <w:footnoteRef/>
      </w:r>
      <w:r w:rsidRPr="00F507F9">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11">
    <w:p w14:paraId="74D950F5" w14:textId="77777777" w:rsidR="00B070F0" w:rsidRPr="00F507F9" w:rsidRDefault="00B070F0" w:rsidP="00B070F0">
      <w:pPr>
        <w:pStyle w:val="FootnoteText"/>
        <w:ind w:right="51" w:firstLine="709"/>
        <w:contextualSpacing/>
        <w:jc w:val="both"/>
        <w:rPr>
          <w:rFonts w:ascii="Verdana"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w:t>
      </w:r>
      <w:r w:rsidRPr="00F507F9">
        <w:rPr>
          <w:rFonts w:ascii="Verdana" w:hAnsi="Verdana" w:cs="Arial"/>
          <w:sz w:val="16"/>
          <w:szCs w:val="16"/>
          <w:lang w:val="es-ES"/>
        </w:rPr>
        <w:t xml:space="preserve">[26] </w:t>
      </w:r>
      <w:r w:rsidRPr="00F507F9">
        <w:rPr>
          <w:rFonts w:ascii="Verdana" w:hAnsi="Verdana" w:cs="Arial"/>
          <w:sz w:val="16"/>
          <w:szCs w:val="16"/>
        </w:rPr>
        <w:t>Al respecto ver el concepto 1712 de 2 de febrero de 2006. Consejo de Estado Sala de Consulta y Servicio Civil”.</w:t>
      </w:r>
    </w:p>
  </w:footnote>
  <w:footnote w:id="12">
    <w:p w14:paraId="5003C615" w14:textId="77777777" w:rsidR="00B070F0" w:rsidRPr="00F507F9" w:rsidRDefault="00B070F0" w:rsidP="00B070F0">
      <w:pPr>
        <w:pStyle w:val="FootnoteText"/>
        <w:ind w:firstLine="709"/>
        <w:contextualSpacing/>
        <w:jc w:val="both"/>
        <w:rPr>
          <w:rFonts w:ascii="Verdana"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footnote>
  <w:footnote w:id="13">
    <w:p w14:paraId="3BD2EFDE" w14:textId="77777777" w:rsidR="00B070F0" w:rsidRPr="00F507F9" w:rsidRDefault="00B070F0" w:rsidP="00B070F0">
      <w:pPr>
        <w:pStyle w:val="FootnoteText"/>
        <w:ind w:firstLine="709"/>
        <w:contextualSpacing/>
        <w:jc w:val="both"/>
        <w:rPr>
          <w:rFonts w:ascii="Verdana" w:hAnsi="Verdana" w:cs="Arial"/>
          <w:sz w:val="16"/>
          <w:szCs w:val="16"/>
          <w:lang w:val="es-ES"/>
        </w:rPr>
      </w:pPr>
      <w:r w:rsidRPr="00F507F9">
        <w:rPr>
          <w:rStyle w:val="FootnoteReference"/>
          <w:rFonts w:ascii="Verdana" w:hAnsi="Verdana" w:cs="Arial"/>
          <w:sz w:val="16"/>
          <w:szCs w:val="16"/>
        </w:rPr>
        <w:footnoteRef/>
      </w:r>
      <w:r w:rsidRPr="00F507F9">
        <w:rPr>
          <w:rFonts w:ascii="Verdana" w:hAnsi="Verdana" w:cs="Arial"/>
          <w:sz w:val="16"/>
          <w:szCs w:val="16"/>
        </w:rPr>
        <w:t xml:space="preserve"> </w:t>
      </w:r>
      <w:r w:rsidRPr="00F507F9">
        <w:rPr>
          <w:rFonts w:ascii="Verdana" w:hAnsi="Verdana" w:cs="Arial"/>
          <w:sz w:val="16"/>
          <w:szCs w:val="16"/>
          <w:lang w:val="es-ES"/>
        </w:rPr>
        <w:t xml:space="preserve">Artículo 2. </w:t>
      </w:r>
    </w:p>
  </w:footnote>
  <w:footnote w:id="14">
    <w:p w14:paraId="2648E221" w14:textId="77777777" w:rsidR="00B070F0" w:rsidRPr="00F507F9" w:rsidRDefault="00B070F0" w:rsidP="00B070F0">
      <w:pPr>
        <w:pStyle w:val="FootnoteText"/>
        <w:ind w:firstLine="709"/>
        <w:contextualSpacing/>
        <w:jc w:val="both"/>
        <w:rPr>
          <w:rFonts w:ascii="Verdana" w:hAnsi="Verdana" w:cs="Arial"/>
          <w:sz w:val="16"/>
          <w:szCs w:val="16"/>
          <w:lang w:val="es-ES"/>
        </w:rPr>
      </w:pPr>
      <w:r w:rsidRPr="00F507F9">
        <w:rPr>
          <w:rStyle w:val="FootnoteReference"/>
          <w:rFonts w:ascii="Verdana" w:hAnsi="Verdana" w:cs="Arial"/>
          <w:sz w:val="16"/>
          <w:szCs w:val="16"/>
        </w:rPr>
        <w:footnoteRef/>
      </w:r>
      <w:r w:rsidRPr="00F507F9">
        <w:rPr>
          <w:rFonts w:ascii="Verdana" w:hAnsi="Verdana" w:cs="Arial"/>
          <w:sz w:val="16"/>
          <w:szCs w:val="16"/>
        </w:rPr>
        <w:t xml:space="preserve"> </w:t>
      </w:r>
      <w:r w:rsidRPr="00F507F9">
        <w:rPr>
          <w:rFonts w:ascii="Verdana" w:hAnsi="Verdana" w:cs="Arial"/>
          <w:i/>
          <w:sz w:val="16"/>
          <w:szCs w:val="16"/>
          <w:lang w:val="es-ES"/>
        </w:rPr>
        <w:t>Ídem</w:t>
      </w:r>
      <w:r w:rsidRPr="00F507F9">
        <w:rPr>
          <w:rFonts w:ascii="Verdana" w:hAnsi="Verdana" w:cs="Arial"/>
          <w:sz w:val="16"/>
          <w:szCs w:val="16"/>
          <w:lang w:val="es-ES"/>
        </w:rPr>
        <w:t>.</w:t>
      </w:r>
    </w:p>
  </w:footnote>
  <w:footnote w:id="15">
    <w:p w14:paraId="5517D498" w14:textId="77777777" w:rsidR="00B070F0" w:rsidRPr="00F507F9" w:rsidRDefault="00B070F0" w:rsidP="00B070F0">
      <w:pPr>
        <w:pStyle w:val="FootnoteText"/>
        <w:ind w:firstLine="709"/>
        <w:contextualSpacing/>
        <w:jc w:val="both"/>
        <w:rPr>
          <w:rFonts w:ascii="Verdana" w:hAnsi="Verdana" w:cs="Arial"/>
          <w:sz w:val="16"/>
          <w:szCs w:val="16"/>
        </w:rPr>
      </w:pPr>
      <w:r w:rsidRPr="00F507F9">
        <w:rPr>
          <w:rStyle w:val="FootnoteReference"/>
          <w:rFonts w:ascii="Verdana" w:hAnsi="Verdana" w:cs="Arial"/>
          <w:sz w:val="16"/>
          <w:szCs w:val="16"/>
        </w:rPr>
        <w:footnoteRef/>
      </w:r>
      <w:r w:rsidRPr="00F507F9">
        <w:rPr>
          <w:rFonts w:ascii="Verdana" w:hAnsi="Verdana" w:cs="Arial"/>
          <w:sz w:val="16"/>
          <w:szCs w:val="16"/>
        </w:rPr>
        <w:t xml:space="preserve"> Consejo de Estado. Sala de Consulta y Servicio Civil. Concepto del 08 de mayo de 2018. Exp. 2.382. C.P. Álvaro Namén Vargas.</w:t>
      </w:r>
    </w:p>
  </w:footnote>
  <w:footnote w:id="16">
    <w:p w14:paraId="0E43A570" w14:textId="77777777" w:rsidR="00B070F0" w:rsidRPr="00F507F9" w:rsidRDefault="00B070F0" w:rsidP="00B070F0">
      <w:pPr>
        <w:pStyle w:val="FootnoteText"/>
        <w:ind w:firstLine="708"/>
        <w:contextualSpacing/>
        <w:jc w:val="both"/>
        <w:rPr>
          <w:rFonts w:ascii="Verdana" w:hAnsi="Verdana"/>
          <w:sz w:val="16"/>
          <w:szCs w:val="16"/>
          <w:lang w:val="es-ES"/>
        </w:rPr>
      </w:pPr>
      <w:r w:rsidRPr="00F507F9">
        <w:rPr>
          <w:rStyle w:val="FootnoteReference"/>
          <w:rFonts w:ascii="Verdana" w:hAnsi="Verdana"/>
          <w:sz w:val="16"/>
          <w:szCs w:val="16"/>
        </w:rPr>
        <w:footnoteRef/>
      </w:r>
      <w:r w:rsidRPr="00F507F9">
        <w:rPr>
          <w:rFonts w:ascii="Verdana" w:hAnsi="Verdana"/>
          <w:sz w:val="16"/>
          <w:szCs w:val="16"/>
        </w:rPr>
        <w:t xml:space="preserve"> </w:t>
      </w:r>
      <w:r w:rsidRPr="00F507F9">
        <w:rPr>
          <w:rFonts w:ascii="Verdana" w:eastAsia="Calibri" w:hAnsi="Verdana" w:cs="Arial"/>
          <w:sz w:val="16"/>
          <w:szCs w:val="16"/>
          <w:lang w:val="es-ES"/>
        </w:rPr>
        <w:t xml:space="preserve">Consejo de Estado, Sala de Consulta y Servicio Civil, Concepto de fecha 8 de mayo de 2018, No. </w:t>
      </w:r>
      <w:r w:rsidRPr="00F507F9">
        <w:rPr>
          <w:rFonts w:ascii="Verdana" w:hAnsi="Verdana"/>
          <w:sz w:val="16"/>
          <w:szCs w:val="16"/>
          <w:lang w:val="es-CO"/>
        </w:rPr>
        <w:t>2382.</w:t>
      </w:r>
      <w:r w:rsidRPr="00F507F9">
        <w:rPr>
          <w:rFonts w:ascii="Verdana" w:hAnsi="Verdana"/>
          <w:sz w:val="16"/>
          <w:szCs w:val="16"/>
        </w:rPr>
        <w:t xml:space="preserve"> </w:t>
      </w:r>
      <w:r w:rsidRPr="00F507F9">
        <w:rPr>
          <w:rFonts w:ascii="Verdana" w:hAnsi="Verdana"/>
          <w:sz w:val="16"/>
          <w:szCs w:val="16"/>
          <w:lang w:val="es-CO"/>
        </w:rPr>
        <w:t>C. P. Álvaro Namén Vargas.</w:t>
      </w:r>
    </w:p>
  </w:footnote>
  <w:footnote w:id="17">
    <w:p w14:paraId="542E6179" w14:textId="77777777" w:rsidR="00B070F0" w:rsidRPr="00F507F9" w:rsidRDefault="00B070F0" w:rsidP="00B070F0">
      <w:pPr>
        <w:pStyle w:val="FootnoteText"/>
        <w:ind w:firstLine="708"/>
        <w:jc w:val="both"/>
        <w:rPr>
          <w:rFonts w:ascii="Verdana" w:hAnsi="Verdana"/>
          <w:sz w:val="16"/>
          <w:szCs w:val="16"/>
        </w:rPr>
      </w:pPr>
      <w:r w:rsidRPr="00F507F9">
        <w:rPr>
          <w:rStyle w:val="FootnoteReference"/>
          <w:rFonts w:ascii="Verdana" w:hAnsi="Verdana"/>
          <w:sz w:val="16"/>
          <w:szCs w:val="16"/>
        </w:rPr>
        <w:footnoteRef/>
      </w:r>
      <w:r w:rsidRPr="00F507F9">
        <w:rPr>
          <w:rFonts w:ascii="Verdana" w:hAnsi="Verdana"/>
          <w:sz w:val="16"/>
          <w:szCs w:val="16"/>
        </w:rPr>
        <w:t xml:space="preserve"> </w:t>
      </w:r>
      <w:r w:rsidRPr="00F507F9">
        <w:rPr>
          <w:rFonts w:ascii="Verdana" w:hAnsi="Verdana"/>
          <w:sz w:val="16"/>
          <w:szCs w:val="16"/>
          <w:lang w:val="es-ES"/>
        </w:rPr>
        <w:t>Ley 1150 de 2007, artículo 6: “</w:t>
      </w:r>
      <w:r w:rsidRPr="00F507F9">
        <w:rPr>
          <w:rFonts w:ascii="Verdana" w:hAnsi="Verdana"/>
          <w:i/>
          <w:sz w:val="16"/>
          <w:szCs w:val="16"/>
        </w:rPr>
        <w:t>De la Capacidad para Contratar</w:t>
      </w:r>
      <w:r w:rsidRPr="00F507F9">
        <w:rPr>
          <w:rFonts w:ascii="Verdana" w:hAnsi="Verdana"/>
          <w:b/>
          <w:sz w:val="16"/>
          <w:szCs w:val="16"/>
        </w:rPr>
        <w:t>.</w:t>
      </w:r>
      <w:r w:rsidRPr="00F507F9">
        <w:rPr>
          <w:rFonts w:ascii="Verdana" w:hAnsi="Verdana"/>
          <w:sz w:val="16"/>
          <w:szCs w:val="16"/>
        </w:rPr>
        <w:t> Pueden celebrar contratos con las entidades estatales las personas consideradas legalmente capaces en las disposiciones vigentes. También podrán celebrar contratos con las entidades estatales los Cabildos Indígenas, las asociaciones de Autoridades Tradicionales Indígenas, los consejos comunitarios de las comunidades negras regulados por la Ley 70 de 1993.</w:t>
      </w:r>
    </w:p>
    <w:p w14:paraId="125E4A1C" w14:textId="77777777" w:rsidR="00B070F0" w:rsidRPr="00F507F9" w:rsidRDefault="00B070F0" w:rsidP="00B070F0">
      <w:pPr>
        <w:pStyle w:val="FootnoteText"/>
        <w:ind w:firstLine="708"/>
        <w:jc w:val="both"/>
        <w:rPr>
          <w:rFonts w:ascii="Verdana" w:hAnsi="Verdana"/>
          <w:sz w:val="16"/>
          <w:szCs w:val="16"/>
        </w:rPr>
      </w:pPr>
      <w:r w:rsidRPr="00F507F9">
        <w:rPr>
          <w:rFonts w:ascii="Verdana" w:hAnsi="Verdana"/>
          <w:sz w:val="16"/>
          <w:szCs w:val="16"/>
        </w:rPr>
        <w:t>Para las organizaciones de base de comunidades negras, afrocolombianas, raizales y palenqueras y las demás formas y expresiones organizativas, deberán contar con diez (10) años o más de haber sido incorporados por el Ministerio del Interior en el correspondiente Registro Público Único Nacional y que hayan cumplido con el deber de actualización de información en el mismo registro; y los consorcios y uniones temporales.</w:t>
      </w:r>
    </w:p>
    <w:p w14:paraId="464DBDE8" w14:textId="77777777" w:rsidR="00B070F0" w:rsidRPr="00F507F9" w:rsidRDefault="00B070F0" w:rsidP="00B070F0">
      <w:pPr>
        <w:pStyle w:val="FootnoteText"/>
        <w:ind w:firstLine="708"/>
        <w:jc w:val="both"/>
        <w:rPr>
          <w:rFonts w:ascii="Verdana" w:hAnsi="Verdana"/>
          <w:sz w:val="16"/>
          <w:szCs w:val="16"/>
        </w:rPr>
      </w:pPr>
      <w:r w:rsidRPr="00F507F9">
        <w:rPr>
          <w:rFonts w:ascii="Verdana" w:hAnsi="Verdana"/>
          <w:sz w:val="16"/>
          <w:szCs w:val="16"/>
        </w:rPr>
        <w:t>Las personas jurídicas nacionales y extranjeras deberán acreditar que su duración no será inferior a la del plazo del contrato y un año más”.</w:t>
      </w:r>
    </w:p>
  </w:footnote>
  <w:footnote w:id="18">
    <w:p w14:paraId="2F7B4DCA" w14:textId="77777777" w:rsidR="00B070F0" w:rsidRPr="00F507F9" w:rsidRDefault="00B070F0" w:rsidP="00B070F0">
      <w:pPr>
        <w:spacing w:after="0" w:line="240" w:lineRule="auto"/>
        <w:ind w:firstLine="709"/>
        <w:contextualSpacing/>
        <w:jc w:val="both"/>
        <w:rPr>
          <w:rFonts w:ascii="Verdana" w:hAnsi="Verdana" w:cs="Arial"/>
          <w:color w:val="000000" w:themeColor="text1"/>
          <w:sz w:val="16"/>
          <w:szCs w:val="16"/>
        </w:rPr>
      </w:pPr>
      <w:r w:rsidRPr="00F507F9">
        <w:rPr>
          <w:rStyle w:val="FootnoteReference"/>
          <w:rFonts w:ascii="Verdana" w:hAnsi="Verdana" w:cs="Arial"/>
          <w:color w:val="000000" w:themeColor="text1"/>
          <w:sz w:val="16"/>
          <w:szCs w:val="16"/>
        </w:rPr>
        <w:footnoteRef/>
      </w:r>
      <w:r w:rsidRPr="00F507F9">
        <w:rPr>
          <w:rFonts w:ascii="Verdana" w:hAnsi="Verdana" w:cs="Arial"/>
          <w:color w:val="000000" w:themeColor="text1"/>
          <w:sz w:val="16"/>
          <w:szCs w:val="16"/>
        </w:rPr>
        <w:t xml:space="preserve"> Consejo de Estado. Sala de Consulta y Servicio Civil. Concepto de 20 de febrero de 2006. Radicación Número: 11001-03-06-000-2006-00026-00(1727). Consejero Ponente: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19">
    <w:p w14:paraId="2864166D" w14:textId="77777777" w:rsidR="00B070F0" w:rsidRPr="00F507F9" w:rsidRDefault="00B070F0" w:rsidP="00B070F0">
      <w:pPr>
        <w:pStyle w:val="FootnoteText"/>
        <w:ind w:firstLine="708"/>
        <w:contextualSpacing/>
        <w:jc w:val="both"/>
        <w:rPr>
          <w:rFonts w:ascii="Verdana" w:hAnsi="Verdana" w:cs="Arial"/>
          <w:color w:val="000000" w:themeColor="text1"/>
          <w:sz w:val="16"/>
          <w:szCs w:val="16"/>
        </w:rPr>
      </w:pPr>
      <w:r w:rsidRPr="00F507F9">
        <w:rPr>
          <w:rStyle w:val="FootnoteReference"/>
          <w:rFonts w:ascii="Verdana" w:hAnsi="Verdana" w:cs="Arial"/>
          <w:color w:val="000000" w:themeColor="text1"/>
          <w:sz w:val="16"/>
          <w:szCs w:val="16"/>
        </w:rPr>
        <w:footnoteRef/>
      </w:r>
      <w:r w:rsidRPr="00F507F9">
        <w:rPr>
          <w:rFonts w:ascii="Verdana" w:hAnsi="Verdana" w:cs="Arial"/>
          <w:color w:val="000000" w:themeColor="text1"/>
          <w:sz w:val="16"/>
          <w:szCs w:val="16"/>
        </w:rPr>
        <w:t xml:space="preserve"> Corte Constitucional. Sentencia C-1153 de 2005 M.P. Marco Gerardo Monroy Cabra. </w:t>
      </w:r>
    </w:p>
  </w:footnote>
  <w:footnote w:id="20">
    <w:p w14:paraId="22BD177C" w14:textId="77777777" w:rsidR="00B070F0" w:rsidRPr="00F507F9" w:rsidRDefault="00B070F0" w:rsidP="00B070F0">
      <w:pPr>
        <w:pStyle w:val="FootnoteText"/>
        <w:ind w:firstLine="708"/>
        <w:contextualSpacing/>
        <w:jc w:val="both"/>
        <w:rPr>
          <w:rFonts w:ascii="Verdana" w:hAnsi="Verdana" w:cs="Arial"/>
          <w:color w:val="000000" w:themeColor="text1"/>
          <w:sz w:val="16"/>
          <w:szCs w:val="16"/>
        </w:rPr>
      </w:pPr>
      <w:r w:rsidRPr="00F507F9">
        <w:rPr>
          <w:rStyle w:val="FootnoteReference"/>
          <w:rFonts w:ascii="Verdana" w:hAnsi="Verdana" w:cs="Arial"/>
          <w:color w:val="000000" w:themeColor="text1"/>
          <w:sz w:val="16"/>
          <w:szCs w:val="16"/>
        </w:rPr>
        <w:footnoteRef/>
      </w:r>
      <w:r w:rsidRPr="00F507F9">
        <w:rPr>
          <w:rFonts w:ascii="Verdana" w:hAnsi="Verdana" w:cs="Arial"/>
          <w:color w:val="000000" w:themeColor="text1"/>
          <w:sz w:val="16"/>
          <w:szCs w:val="16"/>
        </w:rPr>
        <w:t xml:space="preserve"> Consejo de Estado. Sala de Consulta y Servicio Civil. Concepto del 18 de febrero 2010. Rad. 11001-03-06-000-2010-00006-00 (1985). C.P. Enrique José Arboleda Perdomo.</w:t>
      </w:r>
    </w:p>
  </w:footnote>
  <w:footnote w:id="21">
    <w:p w14:paraId="4B3AB940" w14:textId="77777777" w:rsidR="00B070F0" w:rsidRPr="00F507F9" w:rsidRDefault="00B070F0" w:rsidP="00B070F0">
      <w:pPr>
        <w:pStyle w:val="FootnoteText"/>
        <w:ind w:firstLine="708"/>
        <w:contextualSpacing/>
        <w:jc w:val="both"/>
        <w:rPr>
          <w:rFonts w:ascii="Verdana" w:hAnsi="Verdana" w:cs="Arial"/>
          <w:color w:val="000000" w:themeColor="text1"/>
          <w:sz w:val="16"/>
          <w:szCs w:val="16"/>
        </w:rPr>
      </w:pPr>
      <w:r w:rsidRPr="00F507F9">
        <w:rPr>
          <w:rStyle w:val="FootnoteReference"/>
          <w:rFonts w:ascii="Verdana" w:hAnsi="Verdana" w:cs="Arial"/>
          <w:color w:val="000000" w:themeColor="text1"/>
          <w:sz w:val="16"/>
          <w:szCs w:val="16"/>
        </w:rPr>
        <w:footnoteRef/>
      </w:r>
      <w:r w:rsidRPr="00F507F9">
        <w:rPr>
          <w:rFonts w:ascii="Verdana" w:hAnsi="Verdana" w:cs="Arial"/>
          <w:color w:val="000000" w:themeColor="text1"/>
          <w:sz w:val="16"/>
          <w:szCs w:val="16"/>
        </w:rPr>
        <w:t xml:space="preserve"> Consejo de Estado. Sala de Consulta y Servicio Civil. Concepto del 02 de septiembre de 2013. Rad. 11001-03-06-000-2013-00412-00 (2168). C.P. Álvaro Namén Vargas.</w:t>
      </w:r>
    </w:p>
  </w:footnote>
  <w:footnote w:id="22">
    <w:p w14:paraId="26E1B7D9" w14:textId="77777777" w:rsidR="00B070F0" w:rsidRPr="00F507F9" w:rsidRDefault="00B070F0" w:rsidP="00B070F0">
      <w:pPr>
        <w:pStyle w:val="FootnoteText"/>
        <w:ind w:firstLine="708"/>
        <w:jc w:val="both"/>
        <w:rPr>
          <w:rFonts w:ascii="Verdana" w:hAnsi="Verdana"/>
          <w:sz w:val="16"/>
          <w:szCs w:val="16"/>
        </w:rPr>
      </w:pPr>
      <w:r w:rsidRPr="00F507F9">
        <w:rPr>
          <w:rStyle w:val="FootnoteReference"/>
          <w:rFonts w:ascii="Verdana" w:hAnsi="Verdana"/>
          <w:sz w:val="16"/>
          <w:szCs w:val="16"/>
        </w:rPr>
        <w:footnoteRef/>
      </w:r>
      <w:r w:rsidRPr="00F507F9">
        <w:rPr>
          <w:rFonts w:ascii="Verdana" w:hAnsi="Verdana"/>
          <w:sz w:val="16"/>
          <w:szCs w:val="16"/>
        </w:rPr>
        <w:t xml:space="preserve"> </w:t>
      </w:r>
      <w:r w:rsidRPr="00F507F9">
        <w:rPr>
          <w:rFonts w:ascii="Verdana" w:hAnsi="Verdana"/>
          <w:sz w:val="16"/>
          <w:szCs w:val="16"/>
          <w:lang w:val="es-ES"/>
        </w:rPr>
        <w:t xml:space="preserve">Para mayor información consulta el concepto </w:t>
      </w:r>
      <w:r w:rsidRPr="00F507F9">
        <w:rPr>
          <w:rFonts w:ascii="Verdana" w:hAnsi="Verdana"/>
          <w:sz w:val="16"/>
          <w:szCs w:val="16"/>
        </w:rPr>
        <w:t xml:space="preserve">C‒559 de 2021 en el siguiente enlace: </w:t>
      </w:r>
      <w:hyperlink r:id="rId1" w:history="1">
        <w:r w:rsidRPr="00F507F9">
          <w:rPr>
            <w:rStyle w:val="Hyperlink"/>
            <w:rFonts w:ascii="Verdana" w:hAnsi="Verdana"/>
            <w:sz w:val="16"/>
            <w:szCs w:val="16"/>
          </w:rPr>
          <w:t>https://relatoria.colombiacompra.gov.co/conceptos/c-559-de-2021/</w:t>
        </w:r>
      </w:hyperlink>
      <w:r w:rsidRPr="00F507F9">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0" type="#_x0000_t75" style="width:14.8pt;height:14.8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2439DD"/>
    <w:multiLevelType w:val="hybridMultilevel"/>
    <w:tmpl w:val="EF621908"/>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954449"/>
    <w:multiLevelType w:val="multilevel"/>
    <w:tmpl w:val="A8381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53255849">
    <w:abstractNumId w:val="9"/>
  </w:num>
  <w:num w:numId="17" w16cid:durableId="195238146">
    <w:abstractNumId w:val="8"/>
  </w:num>
  <w:num w:numId="18" w16cid:durableId="7058314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A63"/>
    <w:rsid w:val="00016F78"/>
    <w:rsid w:val="000309A5"/>
    <w:rsid w:val="00046945"/>
    <w:rsid w:val="00061B2A"/>
    <w:rsid w:val="00082362"/>
    <w:rsid w:val="000A683E"/>
    <w:rsid w:val="000B19B9"/>
    <w:rsid w:val="000C286E"/>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4A6E"/>
    <w:rsid w:val="002C7A84"/>
    <w:rsid w:val="002E2BF8"/>
    <w:rsid w:val="002E4FD9"/>
    <w:rsid w:val="0030657A"/>
    <w:rsid w:val="00322A85"/>
    <w:rsid w:val="00324168"/>
    <w:rsid w:val="00330834"/>
    <w:rsid w:val="003448F4"/>
    <w:rsid w:val="00374F5E"/>
    <w:rsid w:val="00377E3E"/>
    <w:rsid w:val="003A779E"/>
    <w:rsid w:val="003B4DB2"/>
    <w:rsid w:val="003D0F4D"/>
    <w:rsid w:val="003D5B0D"/>
    <w:rsid w:val="003E0499"/>
    <w:rsid w:val="003E4F80"/>
    <w:rsid w:val="003E6439"/>
    <w:rsid w:val="003F3941"/>
    <w:rsid w:val="00406575"/>
    <w:rsid w:val="00414C74"/>
    <w:rsid w:val="0042722E"/>
    <w:rsid w:val="0044528D"/>
    <w:rsid w:val="00466E39"/>
    <w:rsid w:val="004A1847"/>
    <w:rsid w:val="004A305D"/>
    <w:rsid w:val="004D3AB8"/>
    <w:rsid w:val="004F21C4"/>
    <w:rsid w:val="004F685F"/>
    <w:rsid w:val="005321AA"/>
    <w:rsid w:val="005566E8"/>
    <w:rsid w:val="00574867"/>
    <w:rsid w:val="00591460"/>
    <w:rsid w:val="005A65E0"/>
    <w:rsid w:val="005C3777"/>
    <w:rsid w:val="005C5CDC"/>
    <w:rsid w:val="005D476C"/>
    <w:rsid w:val="005E0E7C"/>
    <w:rsid w:val="006200BF"/>
    <w:rsid w:val="006219F8"/>
    <w:rsid w:val="006302F7"/>
    <w:rsid w:val="00646B9F"/>
    <w:rsid w:val="00665D70"/>
    <w:rsid w:val="006900D9"/>
    <w:rsid w:val="00706C16"/>
    <w:rsid w:val="007340C3"/>
    <w:rsid w:val="007438A4"/>
    <w:rsid w:val="0075235A"/>
    <w:rsid w:val="00756841"/>
    <w:rsid w:val="007649AB"/>
    <w:rsid w:val="00771D0C"/>
    <w:rsid w:val="007833AC"/>
    <w:rsid w:val="0079661F"/>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E19EE"/>
    <w:rsid w:val="008F0EA7"/>
    <w:rsid w:val="00923EEF"/>
    <w:rsid w:val="009419F9"/>
    <w:rsid w:val="00956358"/>
    <w:rsid w:val="0095685E"/>
    <w:rsid w:val="00961B09"/>
    <w:rsid w:val="00965334"/>
    <w:rsid w:val="0097093E"/>
    <w:rsid w:val="00984390"/>
    <w:rsid w:val="009A0DFA"/>
    <w:rsid w:val="009A1C6F"/>
    <w:rsid w:val="009B2D26"/>
    <w:rsid w:val="009C71FA"/>
    <w:rsid w:val="009C72E7"/>
    <w:rsid w:val="009C7F7E"/>
    <w:rsid w:val="009D3058"/>
    <w:rsid w:val="009F3A13"/>
    <w:rsid w:val="00A122D3"/>
    <w:rsid w:val="00A14468"/>
    <w:rsid w:val="00A17F13"/>
    <w:rsid w:val="00A20739"/>
    <w:rsid w:val="00A23AF9"/>
    <w:rsid w:val="00A32C78"/>
    <w:rsid w:val="00A33C78"/>
    <w:rsid w:val="00AB0ADB"/>
    <w:rsid w:val="00B00C0E"/>
    <w:rsid w:val="00B01B1A"/>
    <w:rsid w:val="00B0381D"/>
    <w:rsid w:val="00B070F0"/>
    <w:rsid w:val="00B44A47"/>
    <w:rsid w:val="00B72CD3"/>
    <w:rsid w:val="00B72FFF"/>
    <w:rsid w:val="00BC3D36"/>
    <w:rsid w:val="00BD54A6"/>
    <w:rsid w:val="00BD7F72"/>
    <w:rsid w:val="00BF7425"/>
    <w:rsid w:val="00C04FB3"/>
    <w:rsid w:val="00C11D8B"/>
    <w:rsid w:val="00C15139"/>
    <w:rsid w:val="00C2216D"/>
    <w:rsid w:val="00C330EB"/>
    <w:rsid w:val="00C50D69"/>
    <w:rsid w:val="00C5365C"/>
    <w:rsid w:val="00C754BE"/>
    <w:rsid w:val="00C76B1C"/>
    <w:rsid w:val="00C925AC"/>
    <w:rsid w:val="00CB6357"/>
    <w:rsid w:val="00CC1B26"/>
    <w:rsid w:val="00D129A9"/>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6BFE"/>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4170"/>
    <w:rsid w:val="00FF7963"/>
    <w:rsid w:val="071B8F93"/>
    <w:rsid w:val="07C73DD1"/>
    <w:rsid w:val="09908A09"/>
    <w:rsid w:val="0E0AF0F4"/>
    <w:rsid w:val="0EFE6349"/>
    <w:rsid w:val="0FF4CCA8"/>
    <w:rsid w:val="13CFC91B"/>
    <w:rsid w:val="19A2EC2C"/>
    <w:rsid w:val="21779BE6"/>
    <w:rsid w:val="25FA6AED"/>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link w:val="NormalWebCh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B070F0"/>
    <w:pPr>
      <w:spacing w:line="240" w:lineRule="exact"/>
    </w:pPr>
    <w:rPr>
      <w:vertAlign w:val="superscript"/>
    </w:rPr>
  </w:style>
  <w:style w:type="character" w:customStyle="1" w:styleId="baj">
    <w:name w:val="b_aj"/>
    <w:basedOn w:val="DefaultParagraphFont"/>
    <w:rsid w:val="00B070F0"/>
  </w:style>
  <w:style w:type="character" w:customStyle="1" w:styleId="NormalWebChar">
    <w:name w:val="Normal (Web) Char"/>
    <w:link w:val="NormalWeb"/>
    <w:uiPriority w:val="99"/>
    <w:locked/>
    <w:rsid w:val="00B070F0"/>
    <w:rPr>
      <w:rFonts w:ascii="Times New Roman" w:eastAsia="Times New Roman" w:hAnsi="Times New Roman" w:cs="Times New Roman"/>
      <w:sz w:val="24"/>
      <w:szCs w:val="24"/>
      <w:lang w:eastAsia="es-CO"/>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B070F0"/>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circular/circular-externa-006-de-202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20o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elatoria.colombiacompra.gov.co/conceptos/c-559-de-20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B0E5EE-CBDB-487D-9DCE-3AB50600C541}"/>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22</Pages>
  <Words>6841</Words>
  <Characters>38995</Characters>
  <Application>Microsoft Office Word</Application>
  <DocSecurity>0</DocSecurity>
  <Lines>324</Lines>
  <Paragraphs>91</Paragraphs>
  <ScaleCrop>false</ScaleCrop>
  <Company/>
  <LinksUpToDate>false</LinksUpToDate>
  <CharactersWithSpaces>45745</CharactersWithSpaces>
  <SharedDoc>false</SharedDoc>
  <HLinks>
    <vt:vector size="18" baseType="variant">
      <vt:variant>
        <vt:i4>7209021</vt:i4>
      </vt:variant>
      <vt:variant>
        <vt:i4>3</vt:i4>
      </vt:variant>
      <vt:variant>
        <vt:i4>0</vt:i4>
      </vt:variant>
      <vt:variant>
        <vt:i4>5</vt:i4>
      </vt:variant>
      <vt:variant>
        <vt:lpwstr>https://relatoria.colombiacompra.gov.co/busqueda/concept os</vt:lpwstr>
      </vt:variant>
      <vt:variant>
        <vt:lpwstr/>
      </vt:variant>
      <vt:variant>
        <vt:i4>65542</vt:i4>
      </vt:variant>
      <vt:variant>
        <vt:i4>0</vt:i4>
      </vt:variant>
      <vt:variant>
        <vt:i4>0</vt:i4>
      </vt:variant>
      <vt:variant>
        <vt:i4>5</vt:i4>
      </vt:variant>
      <vt:variant>
        <vt:lpwstr>https://www.colombiacompra.gov.co/archivos/circular/circular-externa-006-de-2025</vt:lpwstr>
      </vt:variant>
      <vt:variant>
        <vt:lpwstr/>
      </vt:variant>
      <vt:variant>
        <vt:i4>6160390</vt:i4>
      </vt:variant>
      <vt:variant>
        <vt:i4>0</vt:i4>
      </vt:variant>
      <vt:variant>
        <vt:i4>0</vt:i4>
      </vt:variant>
      <vt:variant>
        <vt:i4>5</vt:i4>
      </vt:variant>
      <vt:variant>
        <vt:lpwstr>https://relatoria.colombiacompra.gov.co/conceptos/c-559-de-2021/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3</cp:revision>
  <cp:lastPrinted>2023-01-10T21:18:00Z</cp:lastPrinted>
  <dcterms:created xsi:type="dcterms:W3CDTF">2026-07-14T16:47:00Z</dcterms:created>
  <dcterms:modified xsi:type="dcterms:W3CDTF">2026-07-14T16:52:00Z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